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both"/>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w:t>
      </w:r>
      <w:r>
        <w:rPr>
          <w:rFonts w:hint="eastAsia" w:ascii="仿宋" w:hAnsi="仿宋" w:eastAsia="仿宋" w:cs="仿宋_GB2312"/>
          <w:sz w:val="48"/>
          <w:szCs w:val="48"/>
          <w:lang w:eastAsia="zh-CN"/>
        </w:rPr>
        <w:t>临平大道环卫保洁服务项目</w:t>
      </w:r>
      <w:r>
        <w:rPr>
          <w:rFonts w:hint="eastAsia" w:ascii="仿宋" w:hAnsi="仿宋" w:eastAsia="仿宋" w:cs="仿宋_GB2312"/>
          <w:sz w:val="48"/>
          <w:szCs w:val="48"/>
        </w:rPr>
        <w:t>）</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（项目编号：</w:t>
      </w:r>
      <w:r>
        <w:rPr>
          <w:rFonts w:hint="eastAsia" w:ascii="宋体" w:hAnsi="宋体" w:cs="宋体"/>
          <w:b/>
          <w:color w:val="000000"/>
          <w:sz w:val="36"/>
          <w:szCs w:val="36"/>
          <w:highlight w:val="none"/>
          <w:lang w:eastAsia="zh-CN"/>
        </w:rPr>
        <w:t>JYCG-2022-053</w:t>
      </w:r>
      <w:r>
        <w:rPr>
          <w:rFonts w:hint="eastAsia" w:ascii="宋体" w:hAnsi="宋体" w:cs="宋体"/>
          <w:b/>
          <w:color w:val="000000"/>
          <w:sz w:val="36"/>
          <w:szCs w:val="36"/>
          <w:highlight w:val="none"/>
        </w:rPr>
        <w:t>）</w:t>
      </w:r>
    </w:p>
    <w:p>
      <w:pPr>
        <w:snapToGrid w:val="0"/>
        <w:spacing w:line="360" w:lineRule="auto"/>
        <w:jc w:val="center"/>
        <w:rPr>
          <w:rFonts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highlight w:val="none"/>
        </w:rPr>
      </w:pPr>
    </w:p>
    <w:p>
      <w:pPr>
        <w:adjustRightInd w:val="0"/>
        <w:snapToGrid w:val="0"/>
        <w:spacing w:line="360" w:lineRule="auto"/>
        <w:jc w:val="center"/>
        <w:rPr>
          <w:rFonts w:hint="eastAsia" w:ascii="宋体" w:hAnsi="宋体" w:cs="宋体"/>
          <w:b/>
          <w:color w:val="000000"/>
          <w:sz w:val="36"/>
          <w:szCs w:val="36"/>
          <w:highlight w:val="none"/>
          <w:lang w:eastAsia="zh-CN"/>
        </w:rPr>
      </w:pPr>
      <w:r>
        <w:rPr>
          <w:rFonts w:hint="eastAsia" w:ascii="宋体" w:hAnsi="宋体" w:cs="宋体"/>
          <w:b/>
          <w:color w:val="000000"/>
          <w:sz w:val="36"/>
          <w:szCs w:val="36"/>
          <w:highlight w:val="none"/>
        </w:rPr>
        <w:t>采购人：</w:t>
      </w:r>
      <w:r>
        <w:rPr>
          <w:rFonts w:hint="eastAsia" w:ascii="宋体" w:hAnsi="宋体" w:cs="宋体"/>
          <w:b/>
          <w:color w:val="000000"/>
          <w:sz w:val="36"/>
          <w:szCs w:val="36"/>
          <w:highlight w:val="none"/>
          <w:lang w:eastAsia="zh-CN"/>
        </w:rPr>
        <w:t>杭州市临平区人民政府东湖街道办事处</w:t>
      </w:r>
    </w:p>
    <w:p>
      <w:pPr>
        <w:adjustRightInd w:val="0"/>
        <w:snapToGrid w:val="0"/>
        <w:spacing w:line="360" w:lineRule="auto"/>
        <w:jc w:val="center"/>
        <w:rPr>
          <w:rFonts w:hint="eastAsia" w:ascii="宋体" w:hAnsi="宋体" w:eastAsia="宋体" w:cs="宋体"/>
          <w:bCs/>
          <w:color w:val="000000"/>
          <w:sz w:val="28"/>
          <w:szCs w:val="28"/>
          <w:highlight w:val="none"/>
          <w:lang w:eastAsia="zh-CN"/>
        </w:rPr>
      </w:pPr>
      <w:r>
        <w:rPr>
          <w:rFonts w:hint="eastAsia" w:ascii="宋体" w:hAnsi="宋体" w:cs="宋体"/>
          <w:b/>
          <w:color w:val="000000"/>
          <w:sz w:val="36"/>
          <w:szCs w:val="36"/>
          <w:highlight w:val="none"/>
        </w:rPr>
        <w:t>采购代理机构：</w:t>
      </w:r>
      <w:r>
        <w:rPr>
          <w:rFonts w:hint="eastAsia" w:ascii="宋体" w:hAnsi="宋体" w:cs="宋体"/>
          <w:b/>
          <w:color w:val="000000"/>
          <w:sz w:val="36"/>
          <w:szCs w:val="36"/>
          <w:highlight w:val="none"/>
          <w:lang w:eastAsia="zh-CN"/>
        </w:rPr>
        <w:t>杭州玖裕建设管理有限公司</w:t>
      </w:r>
    </w:p>
    <w:p>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z w:val="32"/>
          <w:szCs w:val="32"/>
          <w:highlight w:val="none"/>
          <w:lang w:val="en-US" w:eastAsia="zh-CN"/>
        </w:rPr>
        <w:t>二</w:t>
      </w:r>
      <w:r>
        <w:rPr>
          <w:rFonts w:hint="eastAsia" w:ascii="宋体" w:hAnsi="宋体" w:cs="宋体"/>
          <w:bCs/>
          <w:sz w:val="32"/>
          <w:szCs w:val="32"/>
          <w:highlight w:val="none"/>
        </w:rPr>
        <w:t xml:space="preserve"> </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十二</w:t>
      </w:r>
      <w:r>
        <w:rPr>
          <w:rFonts w:hint="eastAsia" w:ascii="仿宋_GB2312" w:hAnsi="仿宋_GB2312" w:eastAsia="仿宋_GB2312" w:cs="仿宋_GB2312"/>
          <w:bCs/>
          <w:sz w:val="32"/>
          <w:szCs w:val="32"/>
          <w:highlight w:val="none"/>
        </w:rPr>
        <w:t>月</w:t>
      </w:r>
    </w:p>
    <w:p>
      <w:pPr>
        <w:spacing w:line="360" w:lineRule="auto"/>
        <w:jc w:val="center"/>
        <w:rPr>
          <w:rFonts w:ascii="仿宋" w:hAnsi="仿宋" w:eastAsia="仿宋" w:cs="仿宋_GB2312"/>
          <w:sz w:val="24"/>
          <w:highlight w:val="none"/>
        </w:rPr>
      </w:pPr>
      <w:r>
        <w:rPr>
          <w:rFonts w:ascii="仿宋" w:hAnsi="仿宋" w:eastAsia="仿宋" w:cs="仿宋_GB2312"/>
          <w:sz w:val="24"/>
          <w:highlight w:val="none"/>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临平大道环卫保洁服务项目</w:t>
      </w:r>
      <w:r>
        <w:rPr>
          <w:rFonts w:hint="eastAsia" w:ascii="仿宋_GB2312" w:hAnsi="仿宋" w:eastAsia="仿宋_GB2312" w:cs="仿宋_GB2312"/>
          <w:sz w:val="24"/>
          <w:highlight w:val="none"/>
          <w:u w:val="single"/>
        </w:rPr>
        <w:t>）</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HYPERLINK "https://www.zcygov.cn/）获取（下载）招标文件，并于2021年" </w:instrText>
      </w:r>
      <w:r>
        <w:rPr>
          <w:highlight w:val="none"/>
        </w:rPr>
        <w:fldChar w:fldCharType="separate"/>
      </w:r>
      <w:r>
        <w:rPr>
          <w:rStyle w:val="81"/>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3</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1</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3</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30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00秒</w:t>
      </w:r>
      <w:r>
        <w:rPr>
          <w:highlight w:val="non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JYCG-2022-053</w:t>
      </w:r>
      <w:r>
        <w:rPr>
          <w:rFonts w:hint="eastAsia" w:ascii="仿宋_GB2312" w:hAnsi="仿宋" w:eastAsia="仿宋_GB2312"/>
          <w:sz w:val="24"/>
          <w:highlight w:val="none"/>
        </w:rPr>
        <w:t>）</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rPr>
        <w:t>（</w:t>
      </w:r>
      <w:r>
        <w:rPr>
          <w:rFonts w:hint="eastAsia" w:ascii="仿宋_GB2312" w:hAnsi="仿宋" w:eastAsia="仿宋_GB2312" w:cs="仿宋_GB2312"/>
          <w:sz w:val="24"/>
          <w:lang w:eastAsia="zh-CN"/>
        </w:rPr>
        <w:t>临平大道环卫保洁服务项目</w:t>
      </w:r>
      <w:r>
        <w:rPr>
          <w:rFonts w:hint="eastAsia" w:ascii="仿宋_GB2312" w:hAnsi="仿宋" w:eastAsia="仿宋_GB2312" w:cs="仿宋_GB2312"/>
          <w:sz w:val="24"/>
        </w:rPr>
        <w:t>）</w:t>
      </w:r>
    </w:p>
    <w:p>
      <w:pPr>
        <w:spacing w:line="360" w:lineRule="auto"/>
        <w:rPr>
          <w:rFonts w:hint="eastAsia" w:ascii="仿宋" w:hAnsi="仿宋" w:eastAsia="仿宋" w:cs="仿宋"/>
          <w:b/>
          <w:bCs w:val="0"/>
          <w:color w:val="auto"/>
          <w:sz w:val="24"/>
        </w:rPr>
      </w:pPr>
      <w:r>
        <w:rPr>
          <w:rFonts w:ascii="仿宋_GB2312" w:hAnsi="仿宋" w:eastAsia="仿宋_GB2312"/>
          <w:sz w:val="24"/>
        </w:rPr>
        <w:t xml:space="preserve">   </w:t>
      </w:r>
      <w:r>
        <w:rPr>
          <w:rFonts w:ascii="仿宋_GB2312" w:hAnsi="仿宋" w:eastAsia="仿宋_GB2312"/>
          <w:b/>
          <w:bCs w:val="0"/>
          <w:sz w:val="24"/>
        </w:rPr>
        <w:t xml:space="preserve"> </w:t>
      </w:r>
      <w:r>
        <w:rPr>
          <w:rFonts w:hint="eastAsia" w:ascii="仿宋" w:hAnsi="仿宋" w:eastAsia="仿宋" w:cs="仿宋"/>
          <w:b/>
          <w:bCs w:val="0"/>
          <w:color w:val="auto"/>
          <w:sz w:val="24"/>
        </w:rPr>
        <w:t>预算金额（元）：</w:t>
      </w:r>
      <w:r>
        <w:rPr>
          <w:rFonts w:hint="eastAsia" w:ascii="仿宋" w:hAnsi="仿宋" w:eastAsia="仿宋" w:cs="仿宋"/>
          <w:b/>
          <w:bCs w:val="0"/>
          <w:color w:val="auto"/>
          <w:sz w:val="24"/>
          <w:highlight w:val="none"/>
        </w:rPr>
        <w:t xml:space="preserve"> 6566400元 </w:t>
      </w:r>
    </w:p>
    <w:p>
      <w:pPr>
        <w:spacing w:line="360" w:lineRule="auto"/>
        <w:ind w:firstLine="480"/>
        <w:rPr>
          <w:rFonts w:ascii="仿宋_GB2312" w:hAnsi="仿宋" w:eastAsia="仿宋_GB2312"/>
          <w:b/>
          <w:bCs w:val="0"/>
          <w:sz w:val="24"/>
        </w:rPr>
      </w:pPr>
      <w:r>
        <w:rPr>
          <w:rFonts w:hint="eastAsia" w:ascii="仿宋" w:hAnsi="仿宋" w:eastAsia="仿宋" w:cs="仿宋"/>
          <w:b/>
          <w:bCs w:val="0"/>
          <w:color w:val="auto"/>
          <w:sz w:val="24"/>
        </w:rPr>
        <w:t>最高限价（元）： 6566400元</w:t>
      </w:r>
    </w:p>
    <w:p>
      <w:pPr>
        <w:pStyle w:val="11"/>
        <w:spacing w:line="360" w:lineRule="auto"/>
        <w:ind w:firstLine="480"/>
        <w:rPr>
          <w:rFonts w:hint="eastAsia"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rPr>
        <w:t>（</w:t>
      </w:r>
      <w:r>
        <w:rPr>
          <w:rFonts w:hint="eastAsia" w:ascii="仿宋_GB2312" w:hAnsi="仿宋" w:eastAsia="仿宋_GB2312"/>
          <w:bCs/>
          <w:color w:val="auto"/>
          <w:kern w:val="2"/>
          <w:sz w:val="24"/>
          <w:szCs w:val="24"/>
          <w:lang w:eastAsia="zh-CN"/>
        </w:rPr>
        <w:t>临平大道环卫保洁服务项目</w:t>
      </w:r>
      <w:r>
        <w:rPr>
          <w:rFonts w:hint="eastAsia" w:ascii="仿宋_GB2312" w:hAnsi="仿宋" w:eastAsia="仿宋_GB2312"/>
          <w:bCs/>
          <w:color w:val="auto"/>
          <w:kern w:val="2"/>
          <w:sz w:val="24"/>
          <w:szCs w:val="24"/>
        </w:rPr>
        <w:t>）主要内容：</w:t>
      </w:r>
      <w:r>
        <w:rPr>
          <w:rFonts w:hint="eastAsia" w:ascii="仿宋_GB2312" w:hAnsi="仿宋" w:eastAsia="仿宋_GB2312"/>
          <w:bCs/>
          <w:color w:val="auto"/>
          <w:kern w:val="2"/>
          <w:sz w:val="24"/>
          <w:szCs w:val="24"/>
          <w:lang w:eastAsia="zh-CN"/>
        </w:rPr>
        <w:t>临平大道环卫保洁服务项目</w:t>
      </w:r>
      <w:r>
        <w:rPr>
          <w:rFonts w:ascii="仿宋_GB2312" w:hAnsi="仿宋" w:eastAsia="仿宋_GB2312"/>
          <w:bCs/>
          <w:color w:val="auto"/>
          <w:kern w:val="2"/>
          <w:sz w:val="24"/>
          <w:szCs w:val="24"/>
        </w:rPr>
        <w:t>。</w:t>
      </w:r>
      <w:r>
        <w:rPr>
          <w:rFonts w:hint="eastAsia" w:ascii="仿宋_GB2312" w:hAnsi="仿宋" w:eastAsia="仿宋_GB2312"/>
          <w:bCs/>
          <w:color w:val="auto"/>
          <w:kern w:val="2"/>
          <w:sz w:val="24"/>
          <w:szCs w:val="24"/>
        </w:rPr>
        <w:t>详见招标文件第三部分采购需求。</w:t>
      </w:r>
    </w:p>
    <w:p>
      <w:pPr>
        <w:pStyle w:val="90"/>
        <w:ind w:firstLine="482"/>
        <w:outlineLvl w:val="2"/>
        <w:rPr>
          <w:rFonts w:hint="eastAsia" w:ascii="仿宋" w:hAnsi="仿宋" w:eastAsia="仿宋" w:cs="仿宋"/>
          <w:b/>
          <w:highlight w:val="none"/>
          <w:lang w:val="en-US" w:eastAsia="zh-CN"/>
        </w:rPr>
      </w:pPr>
      <w:r>
        <w:rPr>
          <w:rFonts w:hint="eastAsia" w:ascii="仿宋_GB2312" w:hAnsi="仿宋" w:eastAsia="仿宋_GB2312"/>
          <w:b/>
        </w:rPr>
        <w:t>合同履约期限：</w:t>
      </w:r>
      <w:r>
        <w:rPr>
          <w:rFonts w:hint="eastAsia" w:ascii="仿宋" w:hAnsi="仿宋" w:eastAsia="仿宋" w:cs="仿宋"/>
          <w:b/>
          <w:highlight w:val="none"/>
          <w:lang w:val="en-US" w:eastAsia="zh-CN"/>
        </w:rPr>
        <w:t>详见第三部分采购需求</w:t>
      </w:r>
    </w:p>
    <w:p>
      <w:pPr>
        <w:pStyle w:val="11"/>
        <w:spacing w:line="360" w:lineRule="auto"/>
        <w:ind w:firstLine="480"/>
        <w:rPr>
          <w:rFonts w:hint="eastAsia" w:ascii="宋体" w:hAnsi="宋体" w:eastAsia="宋体" w:cs="Arial"/>
          <w:color w:val="auto"/>
          <w:kern w:val="0"/>
          <w:sz w:val="24"/>
          <w:highlight w:val="none"/>
        </w:rPr>
      </w:pPr>
      <w:r>
        <w:rPr>
          <w:rFonts w:hint="eastAsia" w:ascii="仿宋_GB2312" w:hAnsi="仿宋" w:eastAsia="仿宋_GB2312"/>
          <w:b/>
          <w:color w:val="auto"/>
          <w:sz w:val="24"/>
          <w:highlight w:val="none"/>
        </w:rPr>
        <w:t>本项目接受联合体投标：</w:t>
      </w:r>
      <w:r>
        <w:rPr>
          <w:rFonts w:ascii="MS Gothic" w:hAnsi="MS Gothic" w:eastAsia="MS Gothic" w:cs="Arial"/>
          <w:color w:val="auto"/>
          <w:kern w:val="0"/>
          <w:sz w:val="24"/>
          <w:highlight w:val="none"/>
        </w:rPr>
        <w:sym w:font="Wingdings" w:char="00FE"/>
      </w:r>
      <w:r>
        <w:rPr>
          <w:rFonts w:hint="eastAsia" w:ascii="仿宋_GB2312" w:hAnsi="仿宋" w:eastAsia="仿宋_GB2312"/>
          <w:b/>
          <w:color w:val="auto"/>
          <w:sz w:val="24"/>
          <w:highlight w:val="none"/>
        </w:rPr>
        <w:t>是，</w:t>
      </w:r>
      <w:r>
        <w:rPr>
          <w:rFonts w:ascii="MS Gothic" w:hAnsi="MS Gothic" w:eastAsia="MS Gothic" w:cs="Arial"/>
          <w:color w:val="auto"/>
          <w:kern w:val="0"/>
          <w:sz w:val="24"/>
          <w:highlight w:val="none"/>
        </w:rPr>
        <w:sym w:font="Wingdings" w:char="00A8"/>
      </w:r>
      <w:r>
        <w:rPr>
          <w:rFonts w:hint="eastAsia" w:ascii="仿宋_GB2312" w:hAnsi="仿宋" w:eastAsia="仿宋_GB2312"/>
          <w:b/>
          <w:color w:val="auto"/>
          <w:sz w:val="24"/>
          <w:highlight w:val="none"/>
        </w:rPr>
        <w:t>否</w:t>
      </w:r>
      <w:r>
        <w:rPr>
          <w:rFonts w:hint="eastAsia" w:ascii="宋体" w:hAnsi="宋体" w:eastAsia="宋体" w:cs="Arial"/>
          <w:color w:val="auto"/>
          <w:kern w:val="0"/>
          <w:sz w:val="24"/>
          <w:highlight w:val="none"/>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hint="eastAsia"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w:t>
      </w:r>
      <w:bookmarkStart w:id="411" w:name="_GoBack"/>
      <w:bookmarkEnd w:id="411"/>
      <w:r>
        <w:rPr>
          <w:rFonts w:hint="eastAsia" w:ascii="仿宋_GB2312" w:hAnsi="仿宋" w:eastAsia="仿宋_GB2312"/>
          <w:sz w:val="24"/>
        </w:rPr>
        <w:t>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3</w:t>
      </w:r>
      <w:r>
        <w:rPr>
          <w:rFonts w:hint="eastAsia" w:ascii="仿宋_GB2312" w:hAnsi="仿宋" w:eastAsia="仿宋_GB2312"/>
          <w:sz w:val="24"/>
          <w:highlight w:val="none"/>
          <w:u w:val="single"/>
        </w:rPr>
        <w:t xml:space="preserve"> </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1</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3</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lang w:val="en-US" w:eastAsia="zh-CN"/>
        </w:rPr>
        <w:t>获取网址</w:t>
      </w:r>
      <w:r>
        <w:rPr>
          <w:rFonts w:hint="eastAsia" w:ascii="仿宋_GB2312" w:hAnsi="仿宋" w:eastAsia="仿宋_GB2312"/>
          <w:b/>
          <w:sz w:val="24"/>
          <w:highlight w:val="none"/>
        </w:rPr>
        <w:t>：</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3</w:t>
      </w:r>
      <w:r>
        <w:rPr>
          <w:rFonts w:ascii="仿宋_GB2312" w:hAnsi="仿宋" w:eastAsia="仿宋_GB2312"/>
          <w:sz w:val="24"/>
          <w:u w:val="single"/>
        </w:rPr>
        <w:t>年</w:t>
      </w:r>
      <w:r>
        <w:rPr>
          <w:rFonts w:hint="eastAsia" w:ascii="仿宋_GB2312" w:hAnsi="仿宋" w:eastAsia="仿宋_GB2312"/>
          <w:sz w:val="24"/>
          <w:u w:val="single"/>
          <w:lang w:val="en-US" w:eastAsia="zh-CN"/>
        </w:rPr>
        <w:t>1</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 xml:space="preserve">点 </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hint="default" w:ascii="仿宋_GB2312" w:hAnsi="仿宋" w:eastAsia="仿宋_GB2312" w:cs="Times New Roman"/>
          <w:b w:val="0"/>
          <w:color w:val="auto"/>
          <w:sz w:val="24"/>
          <w:highlight w:val="none"/>
        </w:rPr>
      </w:pPr>
      <w:r>
        <w:rPr>
          <w:rFonts w:hint="eastAsia" w:ascii="仿宋_GB2312" w:hAnsi="仿宋" w:eastAsia="仿宋_GB2312"/>
          <w:b/>
          <w:sz w:val="24"/>
          <w:highlight w:val="none"/>
        </w:rPr>
        <w:t>投标地点：</w:t>
      </w:r>
      <w:r>
        <w:rPr>
          <w:rFonts w:hint="eastAsia" w:ascii="仿宋_GB2312" w:hAnsi="仿宋" w:eastAsia="仿宋_GB2312" w:cs="Times New Roman"/>
          <w:b w:val="0"/>
          <w:bCs w:val="0"/>
          <w:color w:val="auto"/>
          <w:sz w:val="24"/>
          <w:highlight w:val="none"/>
          <w:lang w:eastAsia="zh-CN"/>
        </w:rPr>
        <w:t>杭州玖裕建设管理有限公司</w:t>
      </w:r>
    </w:p>
    <w:p>
      <w:pPr>
        <w:spacing w:line="360" w:lineRule="auto"/>
        <w:ind w:firstLine="480" w:firstLineChars="200"/>
        <w:rPr>
          <w:rFonts w:ascii="仿宋_GB2312" w:hAnsi="仿宋" w:eastAsia="仿宋_GB2312"/>
          <w:b/>
          <w:sz w:val="24"/>
          <w:highlight w:val="none"/>
        </w:rPr>
      </w:pPr>
      <w:r>
        <w:rPr>
          <w:rFonts w:hint="eastAsia" w:ascii="仿宋_GB2312" w:hAnsi="仿宋" w:eastAsia="仿宋_GB2312"/>
          <w:sz w:val="24"/>
          <w:highlight w:val="none"/>
          <w:lang w:val="en-US" w:eastAsia="zh-CN"/>
        </w:rPr>
        <w:t>投标网址：</w:t>
      </w:r>
      <w:r>
        <w:rPr>
          <w:rFonts w:hint="eastAsia" w:ascii="仿宋_GB2312" w:hAnsi="仿宋" w:eastAsia="仿宋_GB2312"/>
          <w:sz w:val="24"/>
          <w:highlight w:val="none"/>
          <w:lang w:val="en-US"/>
        </w:rPr>
        <w:t>政采云平台</w:t>
      </w:r>
      <w:r>
        <w:rPr>
          <w:rFonts w:hint="eastAsia" w:ascii="仿宋_GB2312" w:hAnsi="仿宋" w:eastAsia="仿宋_GB2312"/>
          <w:sz w:val="24"/>
          <w:highlight w:val="none"/>
        </w:rPr>
        <w:t>（</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3</w:t>
      </w:r>
      <w:r>
        <w:rPr>
          <w:rFonts w:hint="eastAsia" w:ascii="仿宋_GB2312" w:hAnsi="仿宋" w:eastAsia="仿宋_GB2312"/>
          <w:sz w:val="24"/>
          <w:highlight w:val="none"/>
          <w:u w:val="single"/>
        </w:rPr>
        <w:t xml:space="preserve"> </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1</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3</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 xml:space="preserve">点 </w:t>
      </w:r>
      <w:r>
        <w:rPr>
          <w:rFonts w:hint="eastAsia" w:ascii="仿宋_GB2312" w:hAnsi="仿宋" w:eastAsia="仿宋_GB2312"/>
          <w:sz w:val="24"/>
          <w:highlight w:val="none"/>
          <w:u w:val="single"/>
          <w:lang w:val="en-US" w:eastAsia="zh-CN"/>
        </w:rPr>
        <w:t>30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p>
    <w:p>
      <w:pPr>
        <w:spacing w:line="360" w:lineRule="auto"/>
        <w:ind w:firstLine="482" w:firstLineChars="200"/>
        <w:rPr>
          <w:rFonts w:hint="default" w:ascii="仿宋_GB2312" w:hAnsi="仿宋" w:eastAsia="仿宋_GB2312" w:cs="Times New Roman"/>
          <w:b w:val="0"/>
          <w:color w:val="auto"/>
          <w:sz w:val="24"/>
          <w:highlight w:val="none"/>
        </w:rPr>
      </w:pPr>
      <w:r>
        <w:rPr>
          <w:rFonts w:hint="eastAsia" w:ascii="仿宋_GB2312" w:hAnsi="仿宋" w:eastAsia="仿宋_GB2312"/>
          <w:b/>
          <w:sz w:val="24"/>
          <w:highlight w:val="none"/>
        </w:rPr>
        <w:t>开标地点：</w:t>
      </w:r>
      <w:r>
        <w:rPr>
          <w:rFonts w:hint="eastAsia" w:ascii="仿宋_GB2312" w:hAnsi="仿宋" w:eastAsia="仿宋_GB2312" w:cs="Times New Roman"/>
          <w:b w:val="0"/>
          <w:bCs w:val="0"/>
          <w:color w:val="auto"/>
          <w:sz w:val="24"/>
          <w:highlight w:val="none"/>
          <w:lang w:eastAsia="zh-CN"/>
        </w:rPr>
        <w:t>杭州玖裕建设管理有限公司</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lang w:val="en-US" w:eastAsia="zh-CN"/>
        </w:rPr>
        <w:t>开标网址：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hint="eastAsia" w:ascii="宋体" w:hAnsi="宋体" w:cs="宋体"/>
          <w:b/>
          <w:bCs/>
          <w:color w:val="000000"/>
          <w:sz w:val="28"/>
          <w:highlight w:val="none"/>
        </w:rPr>
      </w:pPr>
      <w:r>
        <w:rPr>
          <w:rFonts w:hint="eastAsia" w:ascii="仿宋_GB2312" w:hAnsi="仿宋" w:eastAsia="仿宋_GB2312"/>
          <w:b/>
          <w:sz w:val="24"/>
          <w:lang w:val="en-US" w:eastAsia="zh-CN"/>
        </w:rPr>
        <w:t xml:space="preserve">    注：</w:t>
      </w:r>
      <w:r>
        <w:rPr>
          <w:rFonts w:hint="eastAsia" w:ascii="仿宋_GB2312" w:hAnsi="仿宋" w:eastAsia="仿宋_GB2312" w:cs="Times New Roman"/>
          <w:b w:val="0"/>
          <w:bCs w:val="0"/>
          <w:color w:val="auto"/>
          <w:sz w:val="24"/>
          <w:highlight w:val="none"/>
          <w:lang w:eastAsia="zh-CN"/>
        </w:rPr>
        <w:t>杭州玖裕建设管理有限公司</w:t>
      </w:r>
      <w:r>
        <w:rPr>
          <w:rFonts w:hint="default" w:ascii="仿宋_GB2312" w:hAnsi="仿宋" w:eastAsia="仿宋_GB2312" w:cs="Times New Roman"/>
          <w:b w:val="0"/>
          <w:bCs w:val="0"/>
          <w:color w:val="auto"/>
          <w:sz w:val="24"/>
          <w:highlight w:val="none"/>
          <w:lang w:eastAsia="zh-CN"/>
        </w:rPr>
        <w:t>（</w:t>
      </w:r>
      <w:r>
        <w:rPr>
          <w:rFonts w:hint="default" w:ascii="仿宋_GB2312" w:hAnsi="仿宋" w:eastAsia="仿宋_GB2312" w:cs="Times New Roman"/>
          <w:color w:val="auto"/>
          <w:sz w:val="24"/>
          <w:highlight w:val="none"/>
        </w:rPr>
        <w:t>杭州市</w:t>
      </w:r>
      <w:r>
        <w:rPr>
          <w:rFonts w:hint="default" w:ascii="仿宋_GB2312" w:hAnsi="仿宋" w:eastAsia="仿宋_GB2312" w:cs="Times New Roman"/>
          <w:color w:val="auto"/>
          <w:sz w:val="24"/>
          <w:highlight w:val="none"/>
          <w:lang w:eastAsia="zh-CN"/>
        </w:rPr>
        <w:t>临平</w:t>
      </w:r>
      <w:r>
        <w:rPr>
          <w:rFonts w:hint="default" w:ascii="仿宋_GB2312" w:hAnsi="仿宋" w:eastAsia="仿宋_GB2312" w:cs="Times New Roman"/>
          <w:color w:val="auto"/>
          <w:sz w:val="24"/>
          <w:highlight w:val="none"/>
        </w:rPr>
        <w:t>区</w:t>
      </w:r>
      <w:r>
        <w:rPr>
          <w:rFonts w:hint="eastAsia" w:ascii="仿宋_GB2312" w:hAnsi="仿宋" w:eastAsia="仿宋_GB2312" w:cs="Times New Roman"/>
          <w:color w:val="auto"/>
          <w:sz w:val="24"/>
          <w:highlight w:val="none"/>
          <w:lang w:val="en-US" w:eastAsia="zh-CN"/>
        </w:rPr>
        <w:t>东湖街道五洲路26号2幢401</w:t>
      </w:r>
      <w:r>
        <w:rPr>
          <w:rFonts w:hint="default" w:ascii="仿宋_GB2312" w:hAnsi="仿宋" w:eastAsia="仿宋_GB2312" w:cs="Times New Roman"/>
          <w:b w:val="0"/>
          <w:bCs w:val="0"/>
          <w:color w:val="auto"/>
          <w:sz w:val="24"/>
          <w:highlight w:val="none"/>
          <w:lang w:eastAsia="zh-CN"/>
        </w:rPr>
        <w:t>）</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numPr>
          <w:ilvl w:val="0"/>
          <w:numId w:val="1"/>
        </w:num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其他补充事宜</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pPr>
        <w:spacing w:line="360" w:lineRule="auto"/>
        <w:rPr>
          <w:rFonts w:ascii="仿宋_GB2312" w:hAnsi="仿宋" w:eastAsia="仿宋_GB2312"/>
          <w:sz w:val="24"/>
          <w:highlight w:val="none"/>
        </w:rPr>
      </w:pPr>
      <w:r>
        <w:rPr>
          <w:rFonts w:ascii="仿宋_GB2312" w:hAnsi="仿宋" w:eastAsia="仿宋_GB2312"/>
          <w:sz w:val="24"/>
        </w:rPr>
        <w:t xml:space="preserve">   </w:t>
      </w:r>
      <w:r>
        <w:rPr>
          <w:rFonts w:ascii="仿宋_GB2312" w:hAnsi="仿宋" w:eastAsia="仿宋_GB2312"/>
          <w:sz w:val="24"/>
          <w:highlight w:val="none"/>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（采购人）</w:t>
      </w:r>
      <w:r>
        <w:rPr>
          <w:rFonts w:hint="eastAsia" w:ascii="仿宋_GB2312" w:hAnsi="仿宋" w:eastAsia="仿宋_GB2312"/>
          <w:sz w:val="24"/>
          <w:lang w:eastAsia="zh-CN"/>
        </w:rPr>
        <w:t>杭州市临平区人民政府东湖街道办事处</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址：浙江省杭州市临平区顺达路3号(星光街与顺达路交叉口西北角)</w:t>
      </w:r>
      <w:r>
        <w:rPr>
          <w:rFonts w:hint="eastAsia" w:ascii="仿宋" w:hAnsi="仿宋" w:eastAsia="仿宋" w:cs="仿宋_GB2312"/>
          <w:sz w:val="24"/>
        </w:rPr>
        <w:t xml:space="preserve"> </w:t>
      </w:r>
      <w:r>
        <w:rPr>
          <w:rFonts w:hint="eastAsia" w:ascii="仿宋" w:hAnsi="仿宋" w:eastAsia="仿宋" w:cs="仿宋_GB2312"/>
          <w:sz w:val="24"/>
          <w:lang w:val="en-US" w:eastAsia="zh-CN"/>
        </w:rPr>
        <w:t xml:space="preserve"> </w:t>
      </w:r>
      <w:r>
        <w:rPr>
          <w:rFonts w:ascii="仿宋_GB2312" w:hAnsi="仿宋" w:eastAsia="仿宋_GB2312"/>
          <w:sz w:val="24"/>
        </w:rPr>
        <w:t xml:space="preserve">     </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项目联系人（询问）：裘宇涛</w:t>
      </w:r>
      <w:r>
        <w:rPr>
          <w:rFonts w:hint="eastAsia" w:ascii="仿宋" w:hAnsi="仿宋" w:eastAsia="仿宋" w:cs="仿宋"/>
          <w:color w:val="auto"/>
          <w:sz w:val="24"/>
          <w:lang w:val="en-US" w:eastAsia="zh-CN"/>
        </w:rPr>
        <w:t xml:space="preserve"> </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项目联系方式（询问）：0571-88566381</w:t>
      </w:r>
      <w:r>
        <w:rPr>
          <w:rFonts w:hint="eastAsia" w:ascii="仿宋" w:hAnsi="仿宋" w:eastAsia="仿宋" w:cs="仿宋"/>
          <w:color w:val="auto"/>
          <w:sz w:val="24"/>
          <w:lang w:val="en-US" w:eastAsia="zh-CN"/>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sz w:val="24"/>
        </w:rPr>
        <w:t>质疑联系人：</w:t>
      </w:r>
      <w:r>
        <w:rPr>
          <w:rFonts w:hint="eastAsia" w:ascii="仿宋_GB2312" w:hAnsi="仿宋" w:eastAsia="仿宋_GB2312"/>
          <w:sz w:val="24"/>
          <w:lang w:val="en-US" w:eastAsia="zh-CN"/>
        </w:rPr>
        <w:t xml:space="preserve"> 裘宇涛</w:t>
      </w:r>
      <w:r>
        <w:rPr>
          <w:rFonts w:hint="eastAsia" w:ascii="仿宋_GB2312" w:hAnsi="仿宋" w:eastAsia="仿宋_GB2312"/>
          <w:sz w:val="24"/>
        </w:rPr>
        <w:t xml:space="preserve">         </w:t>
      </w:r>
    </w:p>
    <w:p>
      <w:pPr>
        <w:spacing w:line="360" w:lineRule="auto"/>
        <w:rPr>
          <w:rFonts w:hint="eastAsia" w:ascii="仿宋_GB2312" w:hAnsi="仿宋" w:eastAsia="仿宋_GB2312"/>
          <w:sz w:val="24"/>
          <w:lang w:eastAsia="zh-CN"/>
        </w:rPr>
      </w:pPr>
      <w:r>
        <w:rPr>
          <w:rFonts w:hint="eastAsia" w:ascii="仿宋_GB2312" w:hAnsi="仿宋" w:eastAsia="仿宋_GB2312"/>
          <w:sz w:val="24"/>
        </w:rPr>
        <w:t xml:space="preserve">  </w:t>
      </w:r>
      <w:r>
        <w:rPr>
          <w:rFonts w:hint="eastAsia" w:ascii="仿宋_GB2312" w:hAnsi="仿宋" w:eastAsia="仿宋_GB2312"/>
          <w:sz w:val="24"/>
          <w:lang w:val="en-US" w:eastAsia="zh-CN"/>
        </w:rPr>
        <w:t xml:space="preserve">  </w:t>
      </w:r>
      <w:r>
        <w:rPr>
          <w:rFonts w:hint="eastAsia" w:ascii="仿宋_GB2312" w:hAnsi="仿宋" w:eastAsia="仿宋_GB2312"/>
          <w:sz w:val="24"/>
        </w:rPr>
        <w:t>质疑联系方式：</w:t>
      </w:r>
      <w:r>
        <w:rPr>
          <w:rFonts w:hint="eastAsia" w:ascii="仿宋_GB2312" w:hAnsi="仿宋" w:eastAsia="仿宋_GB2312"/>
          <w:sz w:val="24"/>
          <w:lang w:val="en-US" w:eastAsia="zh-CN"/>
        </w:rPr>
        <w:t xml:space="preserve"> 18969011015</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称：（采购代理机构）</w:t>
      </w:r>
      <w:r>
        <w:rPr>
          <w:rFonts w:hint="eastAsia" w:ascii="仿宋_GB2312" w:hAnsi="仿宋" w:eastAsia="仿宋_GB2312"/>
          <w:sz w:val="24"/>
          <w:lang w:eastAsia="zh-CN"/>
        </w:rPr>
        <w:t>杭州玖裕建设管理有限公司</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default" w:ascii="仿宋_GB2312" w:hAnsi="仿宋" w:eastAsia="仿宋_GB2312" w:cs="Times New Roman"/>
          <w:color w:val="auto"/>
          <w:sz w:val="24"/>
          <w:highlight w:val="none"/>
        </w:rPr>
        <w:t>杭州市</w:t>
      </w:r>
      <w:r>
        <w:rPr>
          <w:rFonts w:hint="default" w:ascii="仿宋_GB2312" w:hAnsi="仿宋" w:eastAsia="仿宋_GB2312" w:cs="Times New Roman"/>
          <w:color w:val="auto"/>
          <w:sz w:val="24"/>
          <w:highlight w:val="none"/>
          <w:lang w:eastAsia="zh-CN"/>
        </w:rPr>
        <w:t>临平</w:t>
      </w:r>
      <w:r>
        <w:rPr>
          <w:rFonts w:hint="default" w:ascii="仿宋_GB2312" w:hAnsi="仿宋" w:eastAsia="仿宋_GB2312" w:cs="Times New Roman"/>
          <w:color w:val="auto"/>
          <w:sz w:val="24"/>
          <w:highlight w:val="none"/>
        </w:rPr>
        <w:t>区</w:t>
      </w:r>
      <w:r>
        <w:rPr>
          <w:rFonts w:hint="eastAsia" w:ascii="仿宋_GB2312" w:hAnsi="仿宋" w:eastAsia="仿宋_GB2312" w:cs="Times New Roman"/>
          <w:color w:val="auto"/>
          <w:sz w:val="24"/>
          <w:highlight w:val="none"/>
          <w:lang w:val="en-US" w:eastAsia="zh-CN"/>
        </w:rPr>
        <w:t>东湖街道五洲路26号2幢401</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eastAsia="zh-CN"/>
        </w:rPr>
        <w:t>蒋旭鹏</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15858285885</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eastAsia="zh-CN"/>
        </w:rPr>
        <w:t>曹嘉伦</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0571-86182181</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widowControl w:val="0"/>
        <w:wordWrap/>
        <w:autoSpaceDE w:val="0"/>
        <w:autoSpaceDN w:val="0"/>
        <w:spacing w:line="360" w:lineRule="auto"/>
        <w:ind w:firstLine="480" w:firstLineChars="200"/>
        <w:rPr>
          <w:rFonts w:ascii="仿宋_GB2312" w:hAnsi="仿宋" w:eastAsia="仿宋_GB2312"/>
          <w:sz w:val="24"/>
          <w:highlight w:val="none"/>
          <w:lang w:val="zh-TW" w:eastAsia="zh-TW"/>
        </w:rPr>
      </w:pPr>
      <w:r>
        <w:rPr>
          <w:rFonts w:ascii="仿宋_GB2312" w:hAnsi="仿宋" w:eastAsia="仿宋_GB2312"/>
          <w:sz w:val="24"/>
          <w:highlight w:val="none"/>
        </w:rPr>
        <w:t>名    称：</w:t>
      </w:r>
      <w:r>
        <w:rPr>
          <w:rFonts w:hint="eastAsia" w:ascii="仿宋_GB2312" w:hAnsi="仿宋" w:eastAsia="仿宋_GB2312"/>
          <w:sz w:val="24"/>
          <w:highlight w:val="none"/>
          <w:lang w:val="zh-TW" w:eastAsia="zh-TW"/>
        </w:rPr>
        <w:t>杭州市</w:t>
      </w:r>
      <w:r>
        <w:rPr>
          <w:rFonts w:hint="eastAsia" w:ascii="仿宋_GB2312" w:hAnsi="仿宋" w:eastAsia="仿宋_GB2312"/>
          <w:sz w:val="24"/>
          <w:highlight w:val="none"/>
          <w:lang w:val="zh-TW"/>
        </w:rPr>
        <w:t>临平区</w:t>
      </w:r>
      <w:r>
        <w:rPr>
          <w:rFonts w:hint="eastAsia" w:ascii="仿宋_GB2312" w:hAnsi="仿宋" w:eastAsia="仿宋_GB2312"/>
          <w:sz w:val="24"/>
          <w:highlight w:val="none"/>
          <w:lang w:val="zh-TW" w:eastAsia="zh-TW"/>
        </w:rPr>
        <w:t>财政局</w:t>
      </w:r>
    </w:p>
    <w:p>
      <w:pPr>
        <w:widowControl w:val="0"/>
        <w:wordWrap/>
        <w:autoSpaceDE w:val="0"/>
        <w:autoSpaceDN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lang w:val="zh-TW" w:eastAsia="zh-TW"/>
        </w:rPr>
        <w:t>地址：杭州市临平区临平东湖中路236号</w:t>
      </w:r>
    </w:p>
    <w:p>
      <w:pPr>
        <w:widowControl w:val="0"/>
        <w:wordWrap/>
        <w:autoSpaceDE w:val="0"/>
        <w:autoSpaceDN w:val="0"/>
        <w:spacing w:line="360" w:lineRule="auto"/>
        <w:ind w:firstLine="480" w:firstLineChars="200"/>
        <w:rPr>
          <w:rFonts w:ascii="仿宋_GB2312" w:hAnsi="仿宋" w:eastAsia="仿宋_GB2312"/>
          <w:sz w:val="24"/>
          <w:highlight w:val="none"/>
          <w:lang w:val="zh-TW" w:eastAsia="zh-TW"/>
        </w:rPr>
      </w:pPr>
      <w:r>
        <w:rPr>
          <w:rFonts w:hint="eastAsia" w:ascii="仿宋_GB2312" w:hAnsi="仿宋" w:eastAsia="仿宋_GB2312"/>
          <w:sz w:val="24"/>
          <w:highlight w:val="none"/>
          <w:lang w:val="zh-TW" w:eastAsia="zh-TW"/>
        </w:rPr>
        <w:t>投诉受理人：俞征</w:t>
      </w:r>
    </w:p>
    <w:p>
      <w:pPr>
        <w:widowControl w:val="0"/>
        <w:wordWrap/>
        <w:autoSpaceDE w:val="0"/>
        <w:autoSpaceDN w:val="0"/>
        <w:spacing w:line="360" w:lineRule="auto"/>
        <w:ind w:firstLine="480" w:firstLineChars="200"/>
        <w:rPr>
          <w:rFonts w:ascii="仿宋_GB2312" w:hAnsi="仿宋" w:eastAsia="仿宋_GB2312"/>
          <w:sz w:val="24"/>
          <w:highlight w:val="none"/>
          <w:lang w:val="zh-TW" w:eastAsia="zh-TW"/>
        </w:rPr>
      </w:pPr>
      <w:r>
        <w:rPr>
          <w:rFonts w:hint="eastAsia" w:ascii="仿宋_GB2312" w:hAnsi="仿宋" w:eastAsia="仿宋_GB2312"/>
          <w:sz w:val="24"/>
          <w:highlight w:val="none"/>
          <w:lang w:val="zh-TW" w:eastAsia="zh-TW"/>
        </w:rPr>
        <w:t>联系电话</w:t>
      </w:r>
      <w:r>
        <w:rPr>
          <w:rFonts w:hint="eastAsia" w:ascii="仿宋_GB2312" w:hAnsi="仿宋" w:eastAsia="仿宋_GB2312"/>
          <w:sz w:val="24"/>
          <w:highlight w:val="none"/>
          <w:lang w:val="zh-TW" w:eastAsia="zh-CN"/>
        </w:rPr>
        <w:t>：</w:t>
      </w:r>
      <w:r>
        <w:rPr>
          <w:rFonts w:hint="eastAsia" w:ascii="仿宋_GB2312" w:hAnsi="仿宋" w:eastAsia="仿宋_GB2312"/>
          <w:sz w:val="24"/>
          <w:highlight w:val="none"/>
          <w:lang w:val="zh-TW" w:eastAsia="zh-TW"/>
        </w:rPr>
        <w:t>0571-89185312</w:t>
      </w:r>
    </w:p>
    <w:p>
      <w:pPr>
        <w:spacing w:line="360" w:lineRule="auto"/>
        <w:ind w:firstLine="480" w:firstLineChars="200"/>
        <w:rPr>
          <w:rFonts w:ascii="仿宋_GB2312" w:hAnsi="仿宋" w:eastAsia="仿宋_GB2312"/>
          <w:sz w:val="24"/>
        </w:rPr>
      </w:pPr>
      <w:r>
        <w:rPr>
          <w:rFonts w:hint="eastAsia" w:ascii="仿宋_GB2312" w:hAnsi="仿宋" w:eastAsia="仿宋_GB2312"/>
          <w:sz w:val="24"/>
          <w:highlight w:val="none"/>
          <w:lang w:val="zh-TW" w:eastAsia="zh-TW"/>
        </w:rPr>
        <w:t>监督投诉电话：0571-89185312</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8"/>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pStyle w:val="84"/>
        <w:rPr>
          <w:rFonts w:hint="eastAsia" w:ascii="仿宋" w:hAnsi="仿宋" w:eastAsia="仿宋" w:cs="仿宋_GB2312"/>
          <w:b/>
          <w:sz w:val="36"/>
          <w:szCs w:val="20"/>
        </w:rPr>
      </w:pPr>
    </w:p>
    <w:p>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6"/>
        <w:tblW w:w="947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7001"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3"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7001"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Times New Roman"/>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cs="Times New Roman"/>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0"/>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_GB2312" w:hAnsi="仿宋" w:eastAsia="仿宋_GB2312" w:cs="Times New Roman"/>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hint="eastAsia" w:ascii="仿宋_GB2312" w:hAnsi="仿宋" w:eastAsia="仿宋_GB2312" w:cs="Times New Roman"/>
                <w:b/>
                <w:kern w:val="0"/>
                <w:sz w:val="24"/>
                <w:szCs w:val="20"/>
                <w:lang w:val="zh-CN"/>
              </w:rPr>
              <w:t>;</w:t>
            </w:r>
          </w:p>
          <w:p>
            <w:pPr>
              <w:spacing w:before="0" w:beforeAutospacing="0" w:after="0" w:afterAutospacing="0" w:line="360" w:lineRule="auto"/>
              <w:ind w:left="0" w:right="0" w:firstLine="241" w:firstLineChars="100"/>
              <w:rPr>
                <w:rFonts w:hint="eastAsia"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sz w:val="24"/>
                <w:szCs w:val="21"/>
              </w:rPr>
              <w:t>;</w:t>
            </w:r>
          </w:p>
          <w:p>
            <w:pPr>
              <w:spacing w:before="0" w:beforeAutospacing="0" w:after="0" w:afterAutospacing="0" w:line="360" w:lineRule="auto"/>
              <w:ind w:left="0" w:right="0" w:firstLine="241" w:firstLineChars="100"/>
              <w:rPr>
                <w:rFonts w:hint="eastAsia" w:ascii="仿宋_GB2312" w:hAnsi="仿宋" w:eastAsia="仿宋_GB2312" w:cs="Times New Roman"/>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cs="Times New Roman"/>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_GB2312" w:hAnsi="仿宋" w:eastAsia="仿宋_GB2312" w:cs="仿宋_GB2312"/>
                <w:b/>
                <w:sz w:val="24"/>
                <w:szCs w:val="20"/>
              </w:rPr>
            </w:pPr>
            <w:r>
              <w:rPr>
                <w:rFonts w:hint="eastAsia" w:ascii="仿宋_GB2312" w:hAnsi="仿宋" w:eastAsia="仿宋_GB2312" w:cs="仿宋_GB2312"/>
                <w:b/>
                <w:sz w:val="24"/>
                <w:szCs w:val="20"/>
              </w:rPr>
              <w:t>分包</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MS Gothic" w:hAnsi="MS Gothic" w:eastAsia="MS Gothic" w:cs="Arial"/>
                <w:kern w:val="0"/>
                <w:sz w:val="24"/>
                <w:szCs w:val="20"/>
              </w:rPr>
              <w:t>☐</w:t>
            </w:r>
            <w:r>
              <w:rPr>
                <w:rFonts w:hint="eastAsia" w:ascii="仿宋_GB2312" w:hAnsi="仿宋" w:eastAsia="仿宋_GB2312" w:cs="Arial"/>
                <w:kern w:val="0"/>
                <w:sz w:val="24"/>
                <w:szCs w:val="20"/>
              </w:rPr>
              <w:t xml:space="preserve"> A</w:t>
            </w:r>
            <w:r>
              <w:rPr>
                <w:rFonts w:hint="eastAsia" w:ascii="仿宋_GB2312" w:hAnsi="仿宋" w:eastAsia="仿宋_GB2312" w:cs="Times New Roman"/>
                <w:sz w:val="24"/>
                <w:szCs w:val="20"/>
              </w:rPr>
              <w:t>同意将非主体、非关键性的</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工作分包。</w:t>
            </w: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 xml:space="preserve"> B</w:t>
            </w:r>
            <w:r>
              <w:rPr>
                <w:rFonts w:hint="eastAsia" w:ascii="仿宋_GB2312" w:hAnsi="仿宋" w:eastAsia="仿宋_GB2312" w:cs="Times New Roman"/>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7001"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（1）资格证明文件：见招标文件第二部分11.1。</w:t>
            </w:r>
          </w:p>
          <w:p>
            <w:pPr>
              <w:spacing w:before="0" w:beforeAutospacing="0" w:after="0" w:afterAutospacing="0" w:line="360" w:lineRule="auto"/>
              <w:ind w:left="0" w:right="0"/>
              <w:rPr>
                <w:rFonts w:hint="eastAsia" w:ascii="Arial" w:hAnsi="Arial" w:eastAsia="黑体" w:cs="Arial"/>
                <w:snapToGrid w:val="0"/>
                <w:kern w:val="0"/>
                <w:sz w:val="20"/>
                <w:szCs w:val="21"/>
              </w:rPr>
            </w:pPr>
            <w:r>
              <w:rPr>
                <w:rFonts w:hint="eastAsia" w:ascii="仿宋_GB2312" w:hAnsi="仿宋" w:eastAsia="仿宋_GB2312" w:cs="Times New Roman"/>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p>
        </w:tc>
        <w:tc>
          <w:tcPr>
            <w:tcW w:w="7001"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不组织。</w:t>
            </w:r>
          </w:p>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MS Gothic" w:hAnsi="MS Gothic" w:eastAsia="MS Gothic" w:cs="Arial"/>
                <w:kern w:val="0"/>
                <w:sz w:val="24"/>
                <w:szCs w:val="20"/>
              </w:rPr>
              <w:t>☐</w:t>
            </w:r>
            <w:r>
              <w:rPr>
                <w:rFonts w:hint="eastAsia" w:ascii="仿宋_GB2312" w:hAnsi="仿宋" w:eastAsia="仿宋_GB2312" w:cs="Times New Roman"/>
                <w:kern w:val="0"/>
                <w:sz w:val="24"/>
                <w:szCs w:val="20"/>
              </w:rPr>
              <w:t>B组织，</w:t>
            </w:r>
            <w:r>
              <w:rPr>
                <w:rFonts w:hint="eastAsia" w:ascii="仿宋_GB2312" w:hAnsi="仿宋" w:eastAsia="仿宋_GB2312" w:cs="Times New Roman"/>
                <w:sz w:val="24"/>
                <w:szCs w:val="20"/>
              </w:rPr>
              <w:t>时间：</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,地点：</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，联系人：</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，联系方式：</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样品提供</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Arial"/>
                <w:kern w:val="0"/>
                <w:sz w:val="24"/>
                <w:szCs w:val="20"/>
                <w:highlight w:val="none"/>
              </w:rPr>
              <w:sym w:font="Wingdings" w:char="F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不要求提供。</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MS Gothic" w:hAnsi="MS Gothic" w:eastAsia="MS Gothic" w:cs="Arial"/>
                <w:kern w:val="0"/>
                <w:sz w:val="24"/>
                <w:szCs w:val="20"/>
                <w:highlight w:val="none"/>
              </w:rPr>
              <w:t>☐</w:t>
            </w:r>
            <w:r>
              <w:rPr>
                <w:rFonts w:hint="eastAsia" w:ascii="仿宋_GB2312" w:hAnsi="仿宋" w:eastAsia="仿宋_GB2312" w:cs="Times New Roman"/>
                <w:kern w:val="0"/>
                <w:sz w:val="24"/>
                <w:szCs w:val="20"/>
                <w:highlight w:val="none"/>
              </w:rPr>
              <w:t>B要求提供，</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（1）</w:t>
            </w:r>
            <w:r>
              <w:rPr>
                <w:rFonts w:hint="eastAsia" w:ascii="仿宋" w:hAnsi="仿宋" w:eastAsia="仿宋" w:cs="Times New Roman"/>
                <w:snapToGrid w:val="0"/>
                <w:kern w:val="28"/>
                <w:sz w:val="24"/>
                <w:szCs w:val="20"/>
                <w:highlight w:val="none"/>
              </w:rPr>
              <w:t>样品：</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（2）</w:t>
            </w:r>
            <w:r>
              <w:rPr>
                <w:rFonts w:hint="eastAsia" w:ascii="仿宋" w:hAnsi="仿宋" w:eastAsia="仿宋" w:cs="Times New Roman"/>
                <w:snapToGrid w:val="0"/>
                <w:kern w:val="28"/>
                <w:sz w:val="24"/>
                <w:szCs w:val="20"/>
                <w:highlight w:val="none"/>
              </w:rPr>
              <w:t>样品制作的标准和要求：</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（3）样品的评审方法以及评审标准</w:t>
            </w:r>
            <w:r>
              <w:rPr>
                <w:rFonts w:hint="eastAsia" w:ascii="仿宋" w:hAnsi="仿宋" w:eastAsia="仿宋" w:cs="Times New Roman"/>
                <w:snapToGrid w:val="0"/>
                <w:kern w:val="28"/>
                <w:sz w:val="24"/>
                <w:szCs w:val="20"/>
                <w:highlight w:val="none"/>
              </w:rPr>
              <w:t>：详见</w:t>
            </w:r>
            <w:r>
              <w:rPr>
                <w:rFonts w:hint="eastAsia" w:ascii="仿宋_GB2312" w:hAnsi="仿宋" w:eastAsia="仿宋_GB2312" w:cs="Times New Roman"/>
                <w:sz w:val="24"/>
                <w:szCs w:val="20"/>
                <w:highlight w:val="none"/>
                <w:u w:val="single"/>
              </w:rPr>
              <w:t>评标办法</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（4）是否需要随样品提交检测报告：</w:t>
            </w:r>
            <w:r>
              <w:rPr>
                <w:rFonts w:hint="eastAsia" w:ascii="MS Gothic" w:hAnsi="MS Gothic" w:eastAsia="仿宋_GB2312" w:cs="Arial"/>
                <w:kern w:val="0"/>
                <w:sz w:val="24"/>
                <w:szCs w:val="20"/>
                <w:highlight w:val="none"/>
              </w:rPr>
              <w:sym w:font="Wingdings" w:char="F0FE"/>
            </w:r>
            <w:r>
              <w:rPr>
                <w:rFonts w:hint="eastAsia" w:ascii="仿宋_GB2312" w:hAnsi="仿宋" w:eastAsia="仿宋_GB2312" w:cs="Times New Roman"/>
                <w:kern w:val="0"/>
                <w:sz w:val="24"/>
                <w:szCs w:val="20"/>
                <w:highlight w:val="none"/>
              </w:rPr>
              <w:t>否；</w:t>
            </w:r>
            <w:r>
              <w:rPr>
                <w:rFonts w:hint="eastAsia" w:ascii="MS Gothic" w:hAnsi="MS Gothic" w:eastAsia="仿宋_GB2312" w:cs="Arial"/>
                <w:kern w:val="0"/>
                <w:sz w:val="24"/>
                <w:szCs w:val="20"/>
                <w:highlight w:val="none"/>
              </w:rPr>
              <w:t>☐</w:t>
            </w:r>
            <w:r>
              <w:rPr>
                <w:rFonts w:hint="eastAsia" w:ascii="仿宋_GB2312" w:hAnsi="仿宋" w:eastAsia="仿宋_GB2312" w:cs="Times New Roman"/>
                <w:kern w:val="0"/>
                <w:sz w:val="24"/>
                <w:szCs w:val="20"/>
                <w:highlight w:val="none"/>
              </w:rPr>
              <w:t>是，检测机构的要求</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；检测内容</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（5）提供样品的时间：</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；地点：</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；联系人</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w:t>
            </w:r>
            <w:r>
              <w:rPr>
                <w:rFonts w:hint="eastAsia" w:ascii="仿宋_GB2312" w:hAnsi="仿宋" w:eastAsia="仿宋_GB2312" w:cs="Times New Roman"/>
                <w:kern w:val="28"/>
                <w:sz w:val="24"/>
                <w:szCs w:val="20"/>
                <w:highlight w:val="none"/>
              </w:rPr>
              <w:t>联系电话：</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lang w:val="en-US" w:eastAsia="zh-CN"/>
              </w:rPr>
              <w:t>6</w:t>
            </w:r>
            <w:r>
              <w:rPr>
                <w:rFonts w:hint="eastAsia" w:ascii="仿宋_GB2312" w:hAnsi="仿宋" w:eastAsia="仿宋_GB2312" w:cs="Times New Roman"/>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 w:hAnsi="仿宋" w:eastAsia="仿宋" w:cs="仿宋"/>
                <w:sz w:val="24"/>
                <w:szCs w:val="20"/>
                <w:highlight w:val="none"/>
              </w:rPr>
              <w:t>；</w:t>
            </w:r>
            <w:r>
              <w:rPr>
                <w:rFonts w:hint="eastAsia" w:ascii="仿宋_GB2312" w:hAnsi="仿宋" w:eastAsia="仿宋_GB2312" w:cs="Times New Roman"/>
                <w:sz w:val="24"/>
                <w:szCs w:val="20"/>
                <w:highlight w:val="none"/>
              </w:rPr>
              <w:t>对于中标人提供的样品，采购人将进行保管、封存，并作为履约验收的参考。</w:t>
            </w:r>
          </w:p>
          <w:p>
            <w:pPr>
              <w:spacing w:before="0" w:beforeAutospacing="0" w:after="0" w:afterAutospacing="0" w:line="360" w:lineRule="auto"/>
              <w:ind w:left="0" w:right="0"/>
              <w:rPr>
                <w:rFonts w:hint="eastAsia" w:ascii="仿宋_GB2312" w:hAnsi="仿宋" w:eastAsia="仿宋_GB2312" w:cs="Times New Roman"/>
                <w:b/>
                <w:sz w:val="24"/>
                <w:szCs w:val="20"/>
                <w:highlight w:val="none"/>
              </w:rPr>
            </w:pPr>
            <w:r>
              <w:rPr>
                <w:rFonts w:hint="eastAsia" w:ascii="仿宋_GB2312" w:hAnsi="仿宋" w:eastAsia="仿宋_GB2312" w:cs="Times New Roman"/>
                <w:sz w:val="24"/>
                <w:szCs w:val="20"/>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Cs/>
                <w:sz w:val="24"/>
                <w:szCs w:val="20"/>
                <w:highlight w:val="none"/>
              </w:rPr>
            </w:pPr>
            <w:r>
              <w:rPr>
                <w:rFonts w:hint="eastAsia" w:ascii="仿宋_GB2312" w:hAnsi="仿宋" w:eastAsia="仿宋_GB2312" w:cs="仿宋_GB2312"/>
                <w:b/>
                <w:sz w:val="24"/>
                <w:szCs w:val="20"/>
                <w:highlight w:val="none"/>
              </w:rPr>
              <w:t>方案讲解演示</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F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不组织。</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MS Gothic" w:hAnsi="MS Gothic" w:eastAsia="仿宋_GB2312" w:cs="Arial"/>
                <w:kern w:val="0"/>
                <w:sz w:val="24"/>
                <w:szCs w:val="20"/>
                <w:highlight w:val="none"/>
              </w:rPr>
              <w:t>☐</w:t>
            </w:r>
            <w:r>
              <w:rPr>
                <w:rFonts w:hint="eastAsia" w:ascii="仿宋_GB2312" w:hAnsi="仿宋" w:eastAsia="仿宋_GB2312" w:cs="Times New Roman"/>
                <w:kern w:val="0"/>
                <w:sz w:val="24"/>
                <w:szCs w:val="20"/>
                <w:highlight w:val="none"/>
              </w:rPr>
              <w:t>B组织。</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（1）在评标时安排每个投标人进行方案讲解演示。每个投标人时间不超过20分钟，讲解次序以</w:t>
            </w:r>
            <w:r>
              <w:rPr>
                <w:rFonts w:hint="eastAsia" w:ascii="仿宋_GB2312" w:hAnsi="仿宋" w:eastAsia="仿宋_GB2312" w:cs="Times New Roman"/>
                <w:kern w:val="0"/>
                <w:sz w:val="24"/>
                <w:szCs w:val="20"/>
                <w:highlight w:val="none"/>
                <w:lang w:val="en-US" w:eastAsia="zh-CN"/>
              </w:rPr>
              <w:t>投标人现场抽签</w:t>
            </w:r>
            <w:r>
              <w:rPr>
                <w:rFonts w:hint="eastAsia" w:ascii="仿宋_GB2312" w:hAnsi="仿宋" w:eastAsia="仿宋_GB2312" w:cs="Times New Roman"/>
                <w:kern w:val="0"/>
                <w:sz w:val="24"/>
                <w:szCs w:val="20"/>
                <w:highlight w:val="none"/>
              </w:rPr>
              <w:t>为准，讲解演示人员不超过3人。讲解演示结束后按要求解答评标委员会提问。</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（2）方案讲解演示方式：</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lang w:val="en-US" w:eastAsia="zh-CN"/>
              </w:rPr>
              <w:t xml:space="preserve">    </w:t>
            </w:r>
            <w:r>
              <w:rPr>
                <w:rFonts w:hint="eastAsia" w:ascii="仿宋_GB2312" w:hAnsi="仿宋" w:eastAsia="仿宋_GB2312" w:cs="Times New Roman"/>
                <w:kern w:val="0"/>
                <w:sz w:val="24"/>
                <w:szCs w:val="20"/>
                <w:highlight w:val="none"/>
              </w:rPr>
              <w:t>交易中心现场讲解演示。现场讲解地点为</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，讲解演示所用电脑等设备由投标人自备。现场讲解演示人员进场时提供讲解人员名单（加盖公章）及身份证明，否则不得讲解演示。</w:t>
            </w:r>
          </w:p>
          <w:p>
            <w:pPr>
              <w:snapToGrid w:val="0"/>
              <w:spacing w:before="0" w:beforeAutospacing="0" w:after="0" w:afterAutospacing="0" w:line="360" w:lineRule="auto"/>
              <w:ind w:left="0" w:right="0"/>
              <w:rPr>
                <w:rFonts w:hint="eastAsia" w:ascii="仿宋_GB2312" w:hAnsi="仿宋" w:eastAsia="仿宋_GB2312" w:cs="仿宋_GB2312"/>
                <w:b/>
                <w:kern w:val="0"/>
                <w:sz w:val="24"/>
                <w:szCs w:val="20"/>
                <w:highlight w:val="none"/>
                <w:lang w:val="zh-CN"/>
              </w:rPr>
            </w:pPr>
            <w:r>
              <w:rPr>
                <w:rFonts w:hint="eastAsia" w:ascii="仿宋_GB2312" w:hAnsi="仿宋" w:eastAsia="仿宋_GB2312" w:cs="Times New Roman"/>
                <w:kern w:val="0"/>
                <w:sz w:val="24"/>
                <w:szCs w:val="2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highlight w:val="none"/>
              </w:rPr>
            </w:pPr>
            <w:r>
              <w:rPr>
                <w:rFonts w:hint="eastAsia" w:ascii="仿宋_GB2312" w:hAnsi="仿宋" w:eastAsia="仿宋_GB2312" w:cs="仿宋_GB2312"/>
                <w:sz w:val="24"/>
                <w:szCs w:val="20"/>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是否允许采购进口产品</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Arial"/>
                <w:kern w:val="0"/>
                <w:sz w:val="24"/>
                <w:szCs w:val="20"/>
                <w:highlight w:val="none"/>
              </w:rPr>
            </w:pPr>
            <w:r>
              <w:rPr>
                <w:rFonts w:hint="eastAsia" w:ascii="仿宋_GB2312" w:hAnsi="仿宋" w:eastAsia="仿宋_GB2312" w:cs="Arial"/>
                <w:kern w:val="0"/>
                <w:sz w:val="24"/>
                <w:szCs w:val="20"/>
                <w:highlight w:val="none"/>
              </w:rPr>
              <w:sym w:font="Wingdings" w:char="F0FE"/>
            </w:r>
            <w:r>
              <w:rPr>
                <w:rFonts w:hint="eastAsia" w:ascii="仿宋_GB2312" w:hAnsi="仿宋" w:eastAsia="仿宋_GB2312" w:cs="Arial"/>
                <w:kern w:val="0"/>
                <w:sz w:val="24"/>
                <w:szCs w:val="20"/>
                <w:highlight w:val="none"/>
              </w:rPr>
              <w:t>本项目不允许采购进口产品。</w:t>
            </w:r>
          </w:p>
          <w:p>
            <w:pPr>
              <w:spacing w:before="0" w:beforeAutospacing="0" w:after="0" w:afterAutospacing="0" w:line="360" w:lineRule="auto"/>
              <w:ind w:left="0" w:right="0"/>
              <w:rPr>
                <w:rFonts w:hint="eastAsia" w:ascii="Times New Roman" w:hAnsi="Times New Roman" w:cs="Times New Roman"/>
                <w:b w:val="0"/>
                <w:bCs w:val="0"/>
                <w:sz w:val="20"/>
                <w:szCs w:val="20"/>
                <w:highlight w:val="none"/>
              </w:rPr>
            </w:pPr>
            <w:r>
              <w:rPr>
                <w:rFonts w:hint="eastAsia" w:ascii="宋体" w:hAnsi="宋体" w:cs="宋体"/>
                <w:kern w:val="0"/>
                <w:sz w:val="24"/>
                <w:szCs w:val="20"/>
                <w:highlight w:val="none"/>
              </w:rPr>
              <w:t>☐</w:t>
            </w:r>
            <w:r>
              <w:rPr>
                <w:rFonts w:hint="eastAsia" w:ascii="仿宋" w:hAnsi="仿宋" w:eastAsia="仿宋" w:cs="仿宋"/>
                <w:kern w:val="0"/>
                <w:sz w:val="24"/>
                <w:szCs w:val="20"/>
                <w:highlight w:val="none"/>
              </w:rPr>
              <w:t>可以就</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highlight w:val="none"/>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highlight w:val="none"/>
              </w:rPr>
            </w:pPr>
            <w:r>
              <w:rPr>
                <w:rFonts w:hint="eastAsia" w:ascii="仿宋_GB2312" w:hAnsi="仿宋" w:eastAsia="仿宋_GB2312" w:cs="仿宋_GB2312"/>
                <w:sz w:val="24"/>
                <w:szCs w:val="20"/>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项目属性与核心产品</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00A8"/>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货物类，单一产品或</w:t>
            </w:r>
            <w:r>
              <w:rPr>
                <w:rFonts w:hint="eastAsia" w:ascii="仿宋_GB2312" w:hAnsi="仿宋" w:eastAsia="仿宋_GB2312" w:cs="Times New Roman"/>
                <w:kern w:val="0"/>
                <w:sz w:val="24"/>
                <w:szCs w:val="20"/>
                <w:highlight w:val="none"/>
              </w:rPr>
              <w:t>核心产品为：</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00FE"/>
            </w:r>
            <w:r>
              <w:rPr>
                <w:rFonts w:hint="eastAsia" w:ascii="仿宋_GB2312" w:hAnsi="仿宋" w:eastAsia="仿宋_GB2312" w:cs="Arial"/>
                <w:kern w:val="0"/>
                <w:sz w:val="24"/>
                <w:szCs w:val="20"/>
                <w:highlight w:val="none"/>
              </w:rPr>
              <w:t>B</w:t>
            </w:r>
            <w:r>
              <w:rPr>
                <w:rFonts w:hint="eastAsia" w:ascii="仿宋_GB2312" w:hAnsi="仿宋" w:eastAsia="仿宋_GB2312" w:cs="Times New Roman"/>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采购标的对应的中小企业划分标准所属行业</w:t>
            </w:r>
          </w:p>
        </w:tc>
        <w:tc>
          <w:tcPr>
            <w:tcW w:w="7001" w:type="dxa"/>
            <w:tcBorders>
              <w:top w:val="single" w:color="000000" w:sz="8" w:space="0"/>
              <w:left w:val="single" w:color="000000" w:sz="2" w:space="0"/>
              <w:bottom w:val="single" w:color="000000" w:sz="8" w:space="0"/>
              <w:right w:val="single" w:color="000000" w:sz="8" w:space="0"/>
            </w:tcBorders>
            <w:vAlign w:val="center"/>
          </w:tcPr>
          <w:p>
            <w:pPr>
              <w:pStyle w:val="9"/>
              <w:spacing w:before="0" w:beforeAutospacing="0" w:after="0" w:afterAutospacing="0"/>
              <w:ind w:right="0"/>
              <w:rPr>
                <w:rFonts w:hint="eastAsia" w:ascii="Times New Roman" w:hAnsi="Times New Roman" w:cs="Times New Roman"/>
                <w:sz w:val="20"/>
                <w:szCs w:val="20"/>
                <w:lang w:val="en-US"/>
              </w:rPr>
            </w:pPr>
            <w:r>
              <w:rPr>
                <w:rFonts w:hint="eastAsia" w:ascii="仿宋_GB2312" w:hAnsi="仿宋" w:eastAsia="仿宋_GB2312" w:cs="Arial"/>
                <w:kern w:val="0"/>
                <w:sz w:val="24"/>
                <w:szCs w:val="20"/>
                <w:highlight w:val="none"/>
              </w:rPr>
              <w:t>（1）标的：</w:t>
            </w:r>
            <w:r>
              <w:rPr>
                <w:rFonts w:hint="eastAsia" w:ascii="仿宋_GB2312" w:hAnsi="仿宋" w:eastAsia="仿宋_GB2312" w:cs="Arial"/>
                <w:kern w:val="0"/>
                <w:sz w:val="24"/>
                <w:szCs w:val="20"/>
                <w:highlight w:val="none"/>
                <w:lang w:eastAsia="zh-CN"/>
              </w:rPr>
              <w:t>环卫保洁服务</w:t>
            </w:r>
            <w:r>
              <w:rPr>
                <w:rFonts w:hint="eastAsia" w:ascii="仿宋" w:hAnsi="仿宋" w:eastAsia="仿宋" w:cs="仿宋"/>
                <w:kern w:val="0"/>
                <w:sz w:val="24"/>
                <w:szCs w:val="24"/>
                <w:highlight w:val="none"/>
              </w:rPr>
              <w:t>，属于</w:t>
            </w:r>
            <w:r>
              <w:rPr>
                <w:rFonts w:hint="eastAsia" w:ascii="仿宋" w:eastAsia="仿宋" w:cs="仿宋"/>
                <w:kern w:val="0"/>
                <w:sz w:val="24"/>
                <w:szCs w:val="24"/>
                <w:highlight w:val="none"/>
                <w:lang w:eastAsia="zh-CN"/>
              </w:rPr>
              <w:t>其他未列明行业</w:t>
            </w:r>
            <w:r>
              <w:rPr>
                <w:rFonts w:hint="eastAsia" w:ascii="仿宋" w:hAnsi="仿宋" w:eastAsia="仿宋" w:cs="仿宋"/>
                <w:kern w:val="0"/>
                <w:sz w:val="24"/>
                <w:szCs w:val="24"/>
                <w:highlight w:val="none"/>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节能产品、环境标志产品</w:t>
            </w:r>
          </w:p>
        </w:tc>
        <w:tc>
          <w:tcPr>
            <w:tcW w:w="7001"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Times New Roman" w:hAnsi="Times New Roman" w:eastAsia="仿宋" w:cs="Times New Roman"/>
                <w:sz w:val="20"/>
                <w:szCs w:val="20"/>
                <w:highlight w:val="none"/>
              </w:rPr>
            </w:pPr>
            <w:r>
              <w:rPr>
                <w:rFonts w:hint="eastAsia" w:ascii="仿宋_GB2312" w:hAnsi="仿宋" w:eastAsia="仿宋_GB2312" w:cs="Arial"/>
                <w:kern w:val="0"/>
                <w:sz w:val="24"/>
                <w:szCs w:val="20"/>
                <w:highlight w:val="none"/>
                <w:lang w:val="en-US" w:eastAsia="zh-CN"/>
              </w:rPr>
              <w:t xml:space="preserve">    </w:t>
            </w:r>
            <w:r>
              <w:rPr>
                <w:rFonts w:hint="eastAsia" w:ascii="仿宋_GB2312" w:hAnsi="仿宋" w:eastAsia="仿宋_GB2312" w:cs="Arial"/>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z w:val="24"/>
                <w:szCs w:val="20"/>
              </w:rPr>
            </w:pPr>
            <w:r>
              <w:rPr>
                <w:rFonts w:hint="eastAsia" w:ascii="仿宋_GB2312" w:hAnsi="仿宋" w:eastAsia="仿宋_GB2312" w:cs="Times New Roman"/>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20" w:firstLineChars="200"/>
              <w:rPr>
                <w:rFonts w:hint="eastAsia"/>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20" w:firstLineChars="200"/>
              <w:rPr>
                <w:rFonts w:hint="eastAsia"/>
              </w:rPr>
            </w:pPr>
          </w:p>
        </w:tc>
        <w:tc>
          <w:tcPr>
            <w:tcW w:w="7001"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备份投标文件送达</w:t>
            </w:r>
          </w:p>
        </w:tc>
        <w:tc>
          <w:tcPr>
            <w:tcW w:w="7001" w:type="dxa"/>
            <w:tcBorders>
              <w:top w:val="single" w:color="000000" w:sz="8" w:space="0"/>
              <w:left w:val="single" w:color="000000" w:sz="2" w:space="0"/>
              <w:bottom w:val="single" w:color="000000" w:sz="8" w:space="0"/>
              <w:right w:val="single" w:color="000000" w:sz="8" w:space="0"/>
            </w:tcBorders>
            <w:vAlign w:val="center"/>
          </w:tcPr>
          <w:p>
            <w:pPr>
              <w:pStyle w:val="38"/>
              <w:spacing w:before="0" w:beforeAutospacing="0" w:after="0" w:afterAutospacing="0" w:line="360" w:lineRule="auto"/>
              <w:ind w:left="0" w:right="0"/>
              <w:rPr>
                <w:rFonts w:hint="eastAsia" w:ascii="仿宋_GB2312" w:hAnsi="仿宋" w:eastAsia="仿宋_GB2312" w:cs="Times New Roman"/>
                <w:sz w:val="24"/>
                <w:szCs w:val="20"/>
                <w:highlight w:val="none"/>
                <w:u w:val="single"/>
              </w:rPr>
            </w:pPr>
            <w:r>
              <w:rPr>
                <w:rFonts w:hint="eastAsia" w:ascii="仿宋_GB2312" w:hAnsi="仿宋" w:eastAsia="仿宋_GB2312" w:cs="Times New Roman"/>
                <w:kern w:val="28"/>
                <w:sz w:val="24"/>
                <w:szCs w:val="24"/>
                <w:highlight w:val="none"/>
              </w:rPr>
              <w:t>备份投标文件送达地点：</w:t>
            </w:r>
            <w:r>
              <w:rPr>
                <w:rFonts w:hint="eastAsia" w:ascii="仿宋_GB2312" w:hAnsi="仿宋" w:eastAsia="仿宋_GB2312" w:cs="Times New Roman"/>
                <w:b/>
                <w:bCs/>
                <w:color w:val="auto"/>
                <w:sz w:val="24"/>
                <w:szCs w:val="20"/>
                <w:highlight w:val="none"/>
                <w:u w:val="single"/>
                <w:lang w:eastAsia="zh-CN"/>
              </w:rPr>
              <w:t>杭州玖裕建设管理有限公司</w:t>
            </w:r>
            <w:r>
              <w:rPr>
                <w:rFonts w:hint="eastAsia" w:ascii="仿宋_GB2312" w:hAnsi="仿宋" w:eastAsia="仿宋_GB2312" w:cs="Times New Roman"/>
                <w:sz w:val="24"/>
                <w:szCs w:val="20"/>
                <w:highlight w:val="none"/>
                <w:u w:val="single"/>
              </w:rPr>
              <w:t xml:space="preserve">  </w:t>
            </w:r>
          </w:p>
          <w:p>
            <w:pPr>
              <w:pStyle w:val="38"/>
              <w:spacing w:before="0" w:beforeAutospacing="0" w:after="0" w:afterAutospacing="0" w:line="360" w:lineRule="auto"/>
              <w:ind w:left="0" w:right="0"/>
              <w:rPr>
                <w:rFonts w:hint="eastAsia" w:ascii="仿宋_GB2312" w:hAnsi="仿宋" w:eastAsia="仿宋_GB2312" w:cs="仿宋_GB2312"/>
                <w:sz w:val="24"/>
                <w:szCs w:val="24"/>
                <w:highlight w:val="none"/>
              </w:rPr>
            </w:pPr>
            <w:r>
              <w:rPr>
                <w:rFonts w:hint="eastAsia" w:ascii="仿宋_GB2312" w:hAnsi="仿宋" w:eastAsia="仿宋_GB2312" w:cs="Times New Roman"/>
                <w:sz w:val="24"/>
                <w:szCs w:val="20"/>
                <w:highlight w:val="none"/>
                <w:u w:val="single"/>
                <w:lang w:eastAsia="zh-CN"/>
              </w:rPr>
              <w:t>联系人：</w:t>
            </w:r>
            <w:r>
              <w:rPr>
                <w:rFonts w:hint="eastAsia" w:ascii="仿宋_GB2312" w:hAnsi="仿宋" w:eastAsia="仿宋_GB2312" w:cs="Times New Roman"/>
                <w:sz w:val="24"/>
                <w:szCs w:val="20"/>
                <w:highlight w:val="none"/>
                <w:u w:val="single"/>
                <w:lang w:val="en-US" w:eastAsia="zh-CN"/>
              </w:rPr>
              <w:t>汤康平   联系电话：18305812699</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仿宋_GB2312"/>
                <w:sz w:val="24"/>
                <w:szCs w:val="24"/>
                <w:highlight w:val="none"/>
              </w:rPr>
              <w:t>。</w:t>
            </w:r>
          </w:p>
          <w:p>
            <w:pPr>
              <w:pStyle w:val="38"/>
              <w:spacing w:before="0" w:beforeAutospacing="0" w:after="0" w:afterAutospacing="0" w:line="360" w:lineRule="auto"/>
              <w:ind w:left="0" w:right="0"/>
              <w:rPr>
                <w:rFonts w:hint="eastAsia" w:ascii="仿宋_GB2312" w:hAnsi="仿宋" w:eastAsia="仿宋_GB2312" w:cs="仿宋_GB2312"/>
                <w:b/>
                <w:sz w:val="24"/>
                <w:szCs w:val="24"/>
              </w:rPr>
            </w:pPr>
            <w:r>
              <w:rPr>
                <w:rFonts w:hint="eastAsia" w:ascii="仿宋_GB2312" w:hAnsi="仿宋" w:eastAsia="仿宋_GB2312" w:cs="仿宋_GB2312"/>
                <w:b/>
                <w:sz w:val="24"/>
                <w:szCs w:val="24"/>
              </w:rPr>
              <w:t>采购人、采购机构不强制或变相强制投标人提交备份投标文件。</w:t>
            </w:r>
          </w:p>
          <w:p>
            <w:pPr>
              <w:spacing w:before="0" w:beforeAutospacing="0" w:after="0" w:afterAutospacing="0" w:line="360" w:lineRule="auto"/>
              <w:ind w:left="0" w:right="0" w:firstLine="482" w:firstLineChars="20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投标人递交以介质存储的数据电文形式的备份投标文件出现下列情况之一的，将被拒收：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1、未按规定密封或标记的投标文件；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2、由于包装不妥，在送交途中严重破损或失散的；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3、未成功</w:t>
            </w:r>
            <w:r>
              <w:rPr>
                <w:rFonts w:hint="eastAsia" w:ascii="宋体" w:hAnsi="宋体" w:cs="Times New Roman"/>
                <w:b/>
                <w:color w:val="000000"/>
                <w:sz w:val="24"/>
                <w:szCs w:val="20"/>
                <w:highlight w:val="none"/>
                <w:lang w:eastAsia="zh-CN"/>
              </w:rPr>
              <w:t>获取招标文件</w:t>
            </w:r>
            <w:r>
              <w:rPr>
                <w:rFonts w:hint="eastAsia" w:ascii="宋体" w:hAnsi="宋体" w:cs="Times New Roman"/>
                <w:b/>
                <w:color w:val="000000"/>
                <w:sz w:val="24"/>
                <w:szCs w:val="20"/>
                <w:highlight w:val="none"/>
              </w:rPr>
              <w:t>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4、超过投标截止时间送达的；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5、以介质存储的数据电文形式的备份投标文件，未采用DVD光盘形式提供的。</w:t>
            </w:r>
          </w:p>
          <w:p>
            <w:pPr>
              <w:pStyle w:val="38"/>
              <w:spacing w:before="0" w:beforeAutospacing="0" w:after="0" w:afterAutospacing="0" w:line="360" w:lineRule="auto"/>
              <w:ind w:left="0" w:right="0"/>
              <w:rPr>
                <w:rFonts w:hint="eastAsia" w:ascii="仿宋_GB2312" w:hAnsi="仿宋" w:eastAsia="仿宋_GB2312" w:cs="仿宋_GB2312"/>
                <w:b/>
                <w:sz w:val="24"/>
                <w:szCs w:val="24"/>
              </w:rPr>
            </w:pPr>
            <w:r>
              <w:rPr>
                <w:rFonts w:hint="eastAsia" w:ascii="宋体" w:hAnsi="宋体" w:cs="Times New Roman"/>
                <w:b/>
                <w:color w:val="000000"/>
                <w:sz w:val="24"/>
                <w:szCs w:val="20"/>
                <w:highlight w:val="none"/>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13</w:t>
            </w:r>
          </w:p>
        </w:tc>
        <w:tc>
          <w:tcPr>
            <w:tcW w:w="1843" w:type="dxa"/>
            <w:tcBorders>
              <w:top w:val="single" w:color="000000" w:sz="8" w:space="0"/>
              <w:left w:val="single" w:color="000000" w:sz="2" w:space="0"/>
              <w:right w:val="single" w:color="000000" w:sz="8" w:space="0"/>
            </w:tcBorders>
            <w:vAlign w:val="center"/>
          </w:tcPr>
          <w:p>
            <w:pPr>
              <w:widowControl/>
              <w:snapToGrid w:val="0"/>
              <w:spacing w:before="0" w:beforeAutospacing="0" w:after="0" w:afterAutospacing="0" w:line="360" w:lineRule="auto"/>
              <w:ind w:left="0" w:leftChars="0" w:right="0" w:rightChars="0"/>
              <w:jc w:val="center"/>
              <w:textAlignment w:val="center"/>
              <w:rPr>
                <w:rFonts w:hint="eastAsia" w:ascii="仿宋_GB2312" w:hAnsi="仿宋" w:eastAsia="仿宋_GB2312" w:cs="仿宋_GB2312"/>
                <w:b/>
                <w:sz w:val="24"/>
                <w:szCs w:val="20"/>
              </w:rPr>
            </w:pPr>
            <w:r>
              <w:rPr>
                <w:rFonts w:hint="eastAsia" w:ascii="宋体" w:hAnsi="宋体" w:eastAsia="宋体" w:cs="宋体"/>
                <w:b/>
                <w:bCs/>
                <w:color w:val="000000"/>
                <w:kern w:val="2"/>
                <w:sz w:val="24"/>
                <w:szCs w:val="24"/>
                <w:highlight w:val="none"/>
              </w:rPr>
              <w:t>招标服务费</w:t>
            </w:r>
          </w:p>
        </w:tc>
        <w:tc>
          <w:tcPr>
            <w:tcW w:w="7001"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招标服务费：中标人在领取中标通知书前需向招标代理机构支付人民</w:t>
            </w:r>
            <w:r>
              <w:rPr>
                <w:rFonts w:hint="eastAsia" w:ascii="仿宋_GB2312" w:hAnsi="仿宋" w:eastAsia="仿宋_GB2312" w:cs="Times New Roman"/>
                <w:snapToGrid w:val="0"/>
                <w:kern w:val="28"/>
                <w:sz w:val="24"/>
                <w:highlight w:val="none"/>
              </w:rPr>
              <w:t>币</w:t>
            </w:r>
            <w:r>
              <w:rPr>
                <w:rFonts w:hint="eastAsia" w:ascii="仿宋_GB2312" w:hAnsi="仿宋" w:eastAsia="仿宋_GB2312" w:cs="Times New Roman"/>
                <w:snapToGrid w:val="0"/>
                <w:kern w:val="28"/>
                <w:sz w:val="24"/>
                <w:highlight w:val="none"/>
                <w:lang w:val="en-US" w:eastAsia="zh-CN"/>
              </w:rPr>
              <w:t xml:space="preserve">89840 </w:t>
            </w:r>
            <w:r>
              <w:rPr>
                <w:rFonts w:hint="eastAsia" w:ascii="仿宋_GB2312" w:hAnsi="仿宋" w:eastAsia="仿宋_GB2312" w:cs="Times New Roman"/>
                <w:snapToGrid w:val="0"/>
                <w:kern w:val="28"/>
                <w:sz w:val="24"/>
                <w:highlight w:val="none"/>
              </w:rPr>
              <w:t>元招标代理</w:t>
            </w:r>
            <w:r>
              <w:rPr>
                <w:rFonts w:hint="eastAsia" w:ascii="仿宋_GB2312" w:hAnsi="仿宋" w:eastAsia="仿宋_GB2312" w:cs="Times New Roman"/>
                <w:snapToGrid w:val="0"/>
                <w:kern w:val="28"/>
                <w:sz w:val="24"/>
              </w:rPr>
              <w:t>服务费，费用包含在总报价中，不单独列项报价。</w:t>
            </w:r>
          </w:p>
          <w:p>
            <w:pPr>
              <w:spacing w:before="0" w:beforeAutospacing="0" w:after="0" w:afterAutospacing="0" w:line="360" w:lineRule="auto"/>
              <w:ind w:left="0" w:right="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中标服务费的交纳方式：以转帐或支票的形式支付，</w:t>
            </w:r>
          </w:p>
          <w:p>
            <w:pPr>
              <w:spacing w:before="0" w:beforeAutospacing="0" w:after="0" w:afterAutospacing="0" w:line="360" w:lineRule="auto"/>
              <w:ind w:left="0" w:right="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开户行名称：中国银行杭州</w:t>
            </w:r>
            <w:r>
              <w:rPr>
                <w:rFonts w:hint="eastAsia" w:ascii="仿宋_GB2312" w:hAnsi="仿宋" w:eastAsia="仿宋_GB2312" w:cs="Times New Roman"/>
                <w:snapToGrid w:val="0"/>
                <w:kern w:val="28"/>
                <w:sz w:val="24"/>
                <w:lang w:eastAsia="zh-CN"/>
              </w:rPr>
              <w:t>临平</w:t>
            </w:r>
            <w:r>
              <w:rPr>
                <w:rFonts w:hint="eastAsia" w:ascii="仿宋_GB2312" w:hAnsi="仿宋" w:eastAsia="仿宋_GB2312" w:cs="Times New Roman"/>
                <w:snapToGrid w:val="0"/>
                <w:kern w:val="28"/>
                <w:sz w:val="24"/>
              </w:rPr>
              <w:t>经济技术开发区支行；</w:t>
            </w:r>
          </w:p>
          <w:p>
            <w:pPr>
              <w:spacing w:before="0" w:beforeAutospacing="0" w:after="0" w:afterAutospacing="0" w:line="360" w:lineRule="auto"/>
              <w:ind w:left="0" w:right="0"/>
              <w:rPr>
                <w:rFonts w:hint="eastAsia" w:ascii="仿宋_GB2312" w:hAnsi="仿宋" w:eastAsia="仿宋_GB2312" w:cs="Times New Roman"/>
                <w:snapToGrid w:val="0"/>
                <w:kern w:val="28"/>
                <w:sz w:val="24"/>
                <w:lang w:eastAsia="zh-CN"/>
              </w:rPr>
            </w:pPr>
            <w:r>
              <w:rPr>
                <w:rFonts w:hint="eastAsia" w:ascii="仿宋_GB2312" w:hAnsi="仿宋" w:eastAsia="仿宋_GB2312" w:cs="Times New Roman"/>
                <w:snapToGrid w:val="0"/>
                <w:kern w:val="28"/>
                <w:sz w:val="24"/>
              </w:rPr>
              <w:t>帐号：381879897431</w:t>
            </w:r>
            <w:r>
              <w:rPr>
                <w:rFonts w:hint="eastAsia" w:ascii="仿宋_GB2312" w:hAnsi="仿宋" w:eastAsia="仿宋_GB2312" w:cs="Times New Roman"/>
                <w:snapToGrid w:val="0"/>
                <w:kern w:val="28"/>
                <w:sz w:val="24"/>
                <w:lang w:eastAsia="zh-CN"/>
              </w:rPr>
              <w:t>；</w:t>
            </w:r>
          </w:p>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rPr>
              <w:t>收款单位（账户名称）：</w:t>
            </w:r>
            <w:r>
              <w:rPr>
                <w:rFonts w:hint="eastAsia" w:ascii="仿宋_GB2312" w:hAnsi="仿宋" w:eastAsia="仿宋_GB2312" w:cs="Times New Roman"/>
                <w:snapToGrid w:val="0"/>
                <w:kern w:val="28"/>
                <w:sz w:val="24"/>
                <w:lang w:eastAsia="zh-CN"/>
              </w:rPr>
              <w:t>杭州玖裕建设管理有限公司</w:t>
            </w:r>
            <w:r>
              <w:rPr>
                <w:rFonts w:hint="eastAsia" w:ascii="仿宋_GB2312" w:hAnsi="仿宋" w:eastAsia="仿宋_GB2312" w:cs="Times New Roman"/>
                <w:snapToGrid w:val="0"/>
                <w:kern w:val="28"/>
                <w:sz w:val="24"/>
              </w:rPr>
              <w:t>。</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hint="eastAsia" w:ascii="仿宋_GB2312" w:hAnsi="仿宋" w:eastAsia="仿宋_GB2312" w:cs="仿宋_GB2312"/>
          <w:b/>
          <w:sz w:val="32"/>
          <w:szCs w:val="20"/>
        </w:rPr>
      </w:pPr>
      <w:bookmarkStart w:id="11" w:name="第三部分"/>
      <w:bookmarkStart w:id="12" w:name="_Toc164416483"/>
    </w:p>
    <w:p>
      <w:pPr>
        <w:pStyle w:val="2"/>
        <w:rPr>
          <w:rFonts w:hint="eastAsia" w:ascii="仿宋_GB2312" w:hAnsi="仿宋" w:eastAsia="仿宋_GB2312" w:cs="仿宋_GB2312"/>
          <w:b/>
          <w:sz w:val="32"/>
          <w:szCs w:val="20"/>
        </w:rPr>
      </w:pPr>
    </w:p>
    <w:p>
      <w:pPr>
        <w:pStyle w:val="3"/>
        <w:rPr>
          <w:rFonts w:hint="eastAsia" w:ascii="仿宋_GB2312" w:hAnsi="仿宋" w:eastAsia="仿宋_GB2312" w:cs="仿宋_GB2312"/>
          <w:b/>
          <w:sz w:val="32"/>
          <w:szCs w:val="20"/>
        </w:rPr>
      </w:pPr>
    </w:p>
    <w:p>
      <w:pPr>
        <w:pStyle w:val="3"/>
        <w:rPr>
          <w:rFonts w:hint="eastAsia" w:ascii="仿宋_GB2312" w:hAnsi="仿宋" w:eastAsia="仿宋_GB2312" w:cs="仿宋_GB2312"/>
          <w:b/>
          <w:sz w:val="32"/>
          <w:szCs w:val="20"/>
        </w:rPr>
      </w:pPr>
    </w:p>
    <w:p>
      <w:pPr>
        <w:pStyle w:val="3"/>
        <w:rPr>
          <w:rFonts w:hint="eastAsia" w:ascii="仿宋_GB2312" w:hAnsi="仿宋" w:eastAsia="仿宋_GB2312" w:cs="仿宋_GB2312"/>
          <w:b/>
          <w:sz w:val="32"/>
          <w:szCs w:val="20"/>
        </w:rPr>
      </w:pPr>
    </w:p>
    <w:p>
      <w:pPr>
        <w:pStyle w:val="3"/>
        <w:rPr>
          <w:rFonts w:hint="eastAsia" w:ascii="仿宋_GB2312" w:hAnsi="仿宋" w:eastAsia="仿宋_GB2312" w:cs="仿宋_GB2312"/>
          <w:b/>
          <w:sz w:val="32"/>
          <w:szCs w:val="20"/>
        </w:rPr>
      </w:pPr>
    </w:p>
    <w:p>
      <w:pPr>
        <w:adjustRightInd/>
        <w:spacing w:line="360" w:lineRule="auto"/>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hint="eastAsia" w:ascii="仿宋_GB2312" w:hAnsi="仿宋" w:eastAsia="仿宋_GB2312"/>
          <w:b/>
          <w:sz w:val="24"/>
          <w:lang w:val="en-US" w:eastAsia="zh-CN"/>
        </w:rPr>
        <w:t xml:space="preserve">  </w:t>
      </w: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highlight w:val="none"/>
        </w:rPr>
      </w:pPr>
      <w:r>
        <w:rPr>
          <w:rFonts w:hint="eastAsia" w:ascii="仿宋_GB2312" w:hAnsi="仿宋" w:eastAsia="仿宋_GB2312"/>
          <w:sz w:val="24"/>
          <w:lang w:val="en-US" w:eastAsia="zh-CN"/>
        </w:rPr>
        <w:t xml:space="preserve">  </w:t>
      </w: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_GB2312" w:hAnsi="仿宋" w:eastAsia="仿宋_GB2312"/>
          <w:sz w:val="24"/>
        </w:rPr>
      </w:pPr>
      <w:r>
        <w:rPr>
          <w:rFonts w:hint="eastAsia" w:ascii="仿宋_GB2312" w:hAnsi="仿宋" w:eastAsia="仿宋_GB2312"/>
          <w:sz w:val="24"/>
          <w:lang w:val="en-US" w:eastAsia="zh-CN"/>
        </w:rPr>
        <w:t xml:space="preserve"> </w:t>
      </w: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rPr>
        <w:t>3.2.1</w:t>
      </w:r>
      <w:r>
        <w:rPr>
          <w:rFonts w:ascii="仿宋_GB2312" w:hAnsi="仿宋" w:eastAsia="仿宋_GB2312"/>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w:t>
      </w:r>
      <w:r>
        <w:rPr>
          <w:rFonts w:hint="eastAsia" w:ascii="仿宋_GB2312" w:hAnsi="仿宋" w:eastAsia="仿宋_GB2312"/>
          <w:sz w:val="24"/>
          <w:highlight w:val="none"/>
        </w:rPr>
        <w:t>未预留份</w:t>
      </w:r>
      <w:r>
        <w:rPr>
          <w:rFonts w:hint="eastAsia" w:ascii="仿宋_GB2312" w:hAnsi="仿宋" w:eastAsia="仿宋_GB2312"/>
          <w:sz w:val="24"/>
        </w:rPr>
        <w:t>额专门面向中小企业的政府采购货物或服务项目，以及预留份</w:t>
      </w:r>
      <w:r>
        <w:rPr>
          <w:rFonts w:hint="eastAsia" w:ascii="仿宋_GB2312" w:hAnsi="仿宋" w:eastAsia="仿宋_GB2312"/>
          <w:sz w:val="24"/>
          <w:highlight w:val="none"/>
        </w:rPr>
        <w:t>额政府采购货物或服务项目中的非预留部分标项，对小型和微型企业的投标报价给予</w:t>
      </w:r>
      <w:r>
        <w:rPr>
          <w:rFonts w:hint="eastAsia" w:ascii="仿宋_GB2312" w:hAnsi="仿宋" w:eastAsia="仿宋_GB2312"/>
          <w:b/>
          <w:bCs/>
          <w:sz w:val="24"/>
          <w:highlight w:val="none"/>
          <w:lang w:val="en-US" w:eastAsia="zh-CN"/>
        </w:rPr>
        <w:t>20</w:t>
      </w:r>
      <w:r>
        <w:rPr>
          <w:rFonts w:ascii="仿宋_GB2312" w:hAnsi="仿宋" w:eastAsia="仿宋_GB2312"/>
          <w:b/>
          <w:bCs/>
          <w:sz w:val="24"/>
          <w:highlight w:val="none"/>
        </w:rPr>
        <w:t>%</w:t>
      </w:r>
      <w:r>
        <w:rPr>
          <w:rFonts w:ascii="仿宋_GB2312" w:hAnsi="仿宋" w:eastAsia="仿宋_GB2312"/>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b/>
          <w:bCs/>
          <w:sz w:val="24"/>
          <w:highlight w:val="none"/>
          <w:lang w:val="en-US" w:eastAsia="zh-CN"/>
        </w:rPr>
        <w:t>6</w:t>
      </w:r>
      <w:r>
        <w:rPr>
          <w:rFonts w:ascii="仿宋_GB2312" w:hAnsi="仿宋" w:eastAsia="仿宋_GB2312"/>
          <w:b/>
          <w:bCs/>
          <w:sz w:val="24"/>
          <w:highlight w:val="none"/>
        </w:rPr>
        <w:t>%</w:t>
      </w:r>
      <w:r>
        <w:rPr>
          <w:rFonts w:ascii="仿宋_GB2312" w:hAnsi="仿宋" w:eastAsia="仿宋_GB2312"/>
          <w:sz w:val="24"/>
          <w:highlight w:val="none"/>
        </w:rPr>
        <w:t>的扣除，用</w:t>
      </w:r>
      <w:r>
        <w:rPr>
          <w:rFonts w:ascii="仿宋_GB2312" w:hAnsi="仿宋" w:eastAsia="仿宋_GB2312"/>
          <w:sz w:val="24"/>
        </w:rPr>
        <w:t>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8"/>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8"/>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1"/>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8"/>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8"/>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8"/>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8"/>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8"/>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4.3.3供应</w:t>
      </w:r>
      <w:r>
        <w:rPr>
          <w:rFonts w:hint="eastAsia" w:ascii="仿宋_GB2312" w:hAnsi="仿宋" w:eastAsia="仿宋_GB2312"/>
        </w:rPr>
        <w:t>商投诉应当有明确的请求和必要的证明材料。</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hint="eastAsia" w:ascii="仿宋_GB2312" w:hAnsi="仿宋" w:eastAsia="仿宋_GB2312"/>
          <w:lang w:val="en-US" w:eastAsia="zh-CN"/>
        </w:rPr>
        <w:t>4</w:t>
      </w:r>
      <w:r>
        <w:rPr>
          <w:rFonts w:ascii="仿宋_GB2312" w:hAnsi="仿宋" w:eastAsia="仿宋_GB2312"/>
        </w:rPr>
        <w:t xml:space="preserve"> </w:t>
      </w:r>
      <w:r>
        <w:rPr>
          <w:rFonts w:hint="eastAsia" w:ascii="仿宋_GB2312" w:hAnsi="仿宋" w:eastAsia="仿宋_GB2312"/>
        </w:rPr>
        <w:t>以联合体形式参加政府采购活动的，其投诉应当由组成联合体的所有供应商共同提出。</w:t>
      </w:r>
    </w:p>
    <w:p>
      <w:pPr>
        <w:pStyle w:val="57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90"/>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8"/>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8"/>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90"/>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90"/>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9"/>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8"/>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8"/>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1"/>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rPr>
        <w:t>11.1.1符合参加政</w:t>
      </w:r>
      <w:r>
        <w:rPr>
          <w:rFonts w:ascii="仿宋_GB2312" w:hAnsi="仿宋" w:eastAsia="仿宋_GB2312" w:cs="仿宋_GB2312"/>
          <w:sz w:val="24"/>
          <w:highlight w:val="none"/>
        </w:rPr>
        <w:t>府采购活动应当具备的一般条件的承诺函；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b/>
          <w:bCs/>
          <w:sz w:val="24"/>
          <w:highlight w:val="none"/>
        </w:rPr>
        <w:t>商务技术</w:t>
      </w:r>
      <w:r>
        <w:rPr>
          <w:rFonts w:hint="eastAsia" w:ascii="仿宋_GB2312" w:hAnsi="仿宋" w:eastAsia="仿宋_GB2312" w:cs="仿宋_GB2312"/>
          <w:b/>
          <w:bCs/>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11.2.3联合协议</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11.2.4分包意向协议</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11.2.5符合性审查资料；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11.2.6评标标准相应的商务技术资料；</w:t>
      </w:r>
    </w:p>
    <w:p>
      <w:pPr>
        <w:snapToGrid w:val="0"/>
        <w:spacing w:line="360" w:lineRule="auto"/>
        <w:ind w:left="0" w:leftChars="0" w:firstLine="960" w:firstLineChars="400"/>
        <w:rPr>
          <w:rFonts w:hint="default" w:ascii="仿宋_GB2312" w:hAnsi="仿宋" w:eastAsia="仿宋_GB2312" w:cs="仿宋_GB2312"/>
          <w:sz w:val="24"/>
          <w:highlight w:val="none"/>
          <w:lang w:val="en-US" w:eastAsia="zh-CN"/>
        </w:rPr>
      </w:pPr>
      <w:r>
        <w:rPr>
          <w:rFonts w:hint="default" w:ascii="仿宋_GB2312" w:hAnsi="仿宋" w:eastAsia="仿宋_GB2312" w:cs="仿宋_GB2312"/>
          <w:color w:val="auto"/>
          <w:sz w:val="24"/>
          <w:highlight w:val="none"/>
        </w:rPr>
        <w:t>11.2.7投标标的清单；</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lang w:val="en-US" w:eastAsia="zh-CN"/>
        </w:rPr>
        <w:t>8</w:t>
      </w:r>
      <w:r>
        <w:rPr>
          <w:rFonts w:ascii="仿宋_GB2312" w:hAnsi="仿宋" w:eastAsia="仿宋_GB2312" w:cs="仿宋_GB2312"/>
          <w:sz w:val="24"/>
          <w:highlight w:val="none"/>
        </w:rPr>
        <w:t>商务技术偏离表；</w:t>
      </w:r>
    </w:p>
    <w:p>
      <w:pPr>
        <w:snapToGrid w:val="0"/>
        <w:spacing w:line="360" w:lineRule="auto"/>
        <w:ind w:firstLine="960" w:firstLineChars="400"/>
        <w:rPr>
          <w:rFonts w:hint="default"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9</w:t>
      </w:r>
      <w:r>
        <w:rPr>
          <w:rFonts w:hint="default" w:ascii="仿宋_GB2312" w:hAnsi="仿宋" w:eastAsia="仿宋_GB2312" w:cs="仿宋_GB2312"/>
          <w:sz w:val="24"/>
          <w:highlight w:val="none"/>
          <w:lang w:val="zh-CN"/>
        </w:rPr>
        <w:t>政府采购供应商廉洁自律承诺书；</w:t>
      </w:r>
    </w:p>
    <w:p>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sz w:val="24"/>
          <w:highlight w:val="none"/>
          <w:lang w:val="en-US" w:eastAsia="zh-CN"/>
        </w:rPr>
        <w:t xml:space="preserve">       </w:t>
      </w:r>
      <w:r>
        <w:rPr>
          <w:rFonts w:hint="default" w:ascii="仿宋_GB2312" w:hAnsi="仿宋" w:eastAsia="仿宋_GB2312" w:cs="仿宋_GB2312"/>
          <w:sz w:val="24"/>
          <w:highlight w:val="none"/>
          <w:lang w:val="zh-CN" w:eastAsia="zh-CN"/>
        </w:rPr>
        <w:t xml:space="preserve"> 11.2.</w:t>
      </w:r>
      <w:r>
        <w:rPr>
          <w:rFonts w:hint="eastAsia" w:ascii="仿宋_GB2312" w:hAnsi="仿宋" w:eastAsia="仿宋_GB2312" w:cs="仿宋_GB2312"/>
          <w:sz w:val="24"/>
          <w:highlight w:val="none"/>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hint="default" w:ascii="仿宋_GB2312" w:hAnsi="仿宋" w:eastAsia="仿宋_GB2312" w:cs="仿宋_GB2312"/>
          <w:color w:val="auto"/>
          <w:sz w:val="24"/>
          <w:szCs w:val="20"/>
          <w:highlight w:val="none"/>
          <w:lang w:val="zh-CN" w:eastAsia="zh-CN"/>
        </w:rPr>
        <w:t>（如有）</w:t>
      </w:r>
      <w:r>
        <w:rPr>
          <w:rFonts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11.3.2中小企业声明函</w:t>
      </w:r>
      <w:r>
        <w:rPr>
          <w:rFonts w:hint="eastAsia" w:ascii="仿宋_GB2312" w:hAnsi="仿宋" w:eastAsia="仿宋_GB2312" w:cs="仿宋_GB2312"/>
          <w:sz w:val="24"/>
          <w:highlight w:val="none"/>
          <w:lang w:eastAsia="zh-CN"/>
        </w:rPr>
        <w:t>；</w:t>
      </w:r>
    </w:p>
    <w:p>
      <w:pPr>
        <w:snapToGrid w:val="0"/>
        <w:ind w:firstLine="960" w:firstLineChars="400"/>
        <w:rPr>
          <w:rFonts w:ascii="仿宋_GB2312" w:hAnsi="仿宋" w:eastAsia="仿宋_GB2312" w:cs="仿宋_GB2312"/>
          <w:sz w:val="24"/>
          <w:highlight w:val="none"/>
        </w:rPr>
      </w:pPr>
      <w:r>
        <w:rPr>
          <w:rFonts w:hint="eastAsia" w:ascii="仿宋_GB2312" w:hAnsi="仿宋" w:eastAsia="仿宋_GB2312" w:cs="仿宋_GB2312"/>
          <w:sz w:val="24"/>
          <w:highlight w:val="none"/>
          <w:lang w:val="en-US" w:eastAsia="zh-CN"/>
        </w:rPr>
        <w:t>11.3.3</w:t>
      </w:r>
      <w:r>
        <w:rPr>
          <w:rFonts w:hint="default" w:ascii="仿宋_GB2312" w:hAnsi="仿宋" w:eastAsia="仿宋_GB2312" w:cs="仿宋_GB2312"/>
          <w:sz w:val="24"/>
          <w:highlight w:val="none"/>
        </w:rPr>
        <w:t>投标人针对报价需要说明的其他文件和说明</w:t>
      </w:r>
      <w:r>
        <w:rPr>
          <w:rFonts w:hint="default" w:ascii="仿宋_GB2312" w:hAnsi="仿宋" w:eastAsia="仿宋_GB2312" w:cs="仿宋_GB2312"/>
          <w:sz w:val="24"/>
          <w:highlight w:val="none"/>
          <w:lang w:eastAsia="zh-CN"/>
        </w:rPr>
        <w:t>（如有）</w:t>
      </w:r>
      <w:r>
        <w:rPr>
          <w:rFonts w:hint="default" w:ascii="仿宋_GB2312" w:hAnsi="仿宋" w:eastAsia="仿宋_GB2312" w:cs="仿宋_GB2312"/>
          <w:sz w:val="24"/>
          <w:highlight w:val="none"/>
        </w:rPr>
        <w:t>。</w:t>
      </w:r>
    </w:p>
    <w:p>
      <w:pPr>
        <w:spacing w:line="360" w:lineRule="auto"/>
        <w:ind w:firstLine="723" w:firstLineChars="30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90"/>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90"/>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90"/>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90"/>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9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90"/>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0"/>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90"/>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8"/>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8"/>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w:t>
      </w:r>
      <w:r>
        <w:rPr>
          <w:rFonts w:hint="eastAsia" w:ascii="宋体" w:hAnsi="宋体"/>
          <w:b/>
          <w:color w:val="000000"/>
          <w:sz w:val="24"/>
          <w:szCs w:val="24"/>
          <w:highlight w:val="none"/>
        </w:rPr>
        <w:t>在投标截止时间前半小时内</w:t>
      </w:r>
      <w:r>
        <w:rPr>
          <w:rFonts w:ascii="仿宋_GB2312" w:hAnsi="仿宋" w:eastAsia="仿宋_GB2312" w:cs="仿宋_GB2312"/>
          <w:sz w:val="24"/>
          <w:szCs w:val="24"/>
        </w:rPr>
        <w:t>递交备份投标文件1份</w:t>
      </w:r>
      <w:r>
        <w:rPr>
          <w:rFonts w:hint="eastAsia" w:ascii="仿宋_GB2312" w:hAnsi="仿宋" w:eastAsia="仿宋_GB2312" w:cs="仿宋_GB2312"/>
          <w:sz w:val="24"/>
          <w:szCs w:val="24"/>
          <w:lang w:val="en-US" w:eastAsia="zh-CN"/>
        </w:rPr>
        <w:t>至杭州玖裕建设管理有限公司</w:t>
      </w:r>
      <w:r>
        <w:rPr>
          <w:rFonts w:ascii="仿宋_GB2312" w:hAnsi="仿宋" w:eastAsia="仿宋_GB2312" w:cs="仿宋_GB2312"/>
          <w:sz w:val="24"/>
          <w:szCs w:val="24"/>
        </w:rPr>
        <w:t>，</w:t>
      </w:r>
      <w:r>
        <w:rPr>
          <w:rFonts w:hint="eastAsia" w:ascii="仿宋_GB2312" w:hAnsi="仿宋" w:eastAsia="仿宋_GB2312" w:cs="仿宋_GB2312"/>
          <w:b/>
          <w:sz w:val="24"/>
          <w:szCs w:val="24"/>
        </w:rPr>
        <w:t>但采购人、采购机构不强制或变相强制投标人提交备份投标文件。</w:t>
      </w:r>
    </w:p>
    <w:p>
      <w:pPr>
        <w:pStyle w:val="38"/>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szCs w:val="24"/>
        </w:rPr>
        <w:t>，投标人名称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8"/>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8"/>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lang w:val="en-US" w:eastAsia="zh-CN"/>
        </w:rPr>
        <w:t>4</w:t>
      </w:r>
      <w:r>
        <w:rPr>
          <w:rFonts w:ascii="仿宋_GB2312" w:hAnsi="仿宋" w:eastAsia="仿宋_GB2312" w:cs="仿宋_GB2312"/>
          <w:b/>
          <w:sz w:val="24"/>
          <w:szCs w:val="24"/>
        </w:rPr>
        <w:t>投标人仅提交备份投标文件，没有在电子交易平台传输递交投标文件的，投标无效。</w:t>
      </w:r>
    </w:p>
    <w:p>
      <w:pPr>
        <w:pStyle w:val="90"/>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lang w:val="en-US" w:eastAsia="zh-CN"/>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90"/>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90"/>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90"/>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90"/>
        <w:spacing w:before="0"/>
        <w:ind w:firstLine="643"/>
        <w:rPr>
          <w:rFonts w:ascii="仿宋_GB2312" w:hAnsi="仿宋" w:eastAsia="仿宋_GB2312" w:cs="仿宋_GB2312"/>
          <w:b/>
          <w:sz w:val="32"/>
        </w:rPr>
      </w:pPr>
    </w:p>
    <w:p>
      <w:pPr>
        <w:pStyle w:val="90"/>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5"/>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5"/>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5"/>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5"/>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90"/>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90"/>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9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9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90"/>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9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9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9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90"/>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90"/>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rPr>
        <w:t>2</w:t>
      </w:r>
      <w:r>
        <w:rPr>
          <w:rFonts w:ascii="仿宋_GB2312" w:hAnsi="仿宋" w:eastAsia="仿宋_GB2312" w:cs="仿宋_GB2312"/>
          <w:b/>
          <w:highlight w:val="none"/>
        </w:rPr>
        <w:t xml:space="preserve">2. </w:t>
      </w:r>
      <w:r>
        <w:rPr>
          <w:rFonts w:hint="eastAsia" w:ascii="仿宋_GB2312" w:hAnsi="仿宋" w:eastAsia="仿宋_GB2312" w:cs="仿宋_GB2312"/>
          <w:b/>
          <w:highlight w:val="none"/>
        </w:rPr>
        <w:t>确定中标供应商</w:t>
      </w:r>
    </w:p>
    <w:p>
      <w:pPr>
        <w:pStyle w:val="90"/>
        <w:snapToGrid w:val="0"/>
        <w:spacing w:before="0"/>
        <w:ind w:firstLine="480"/>
        <w:rPr>
          <w:rFonts w:hint="eastAsia" w:ascii="仿宋_GB2312" w:hAnsi="仿宋" w:eastAsia="仿宋_GB2312" w:cs="仿宋_GB2312"/>
          <w:kern w:val="2"/>
          <w:sz w:val="24"/>
          <w:szCs w:val="24"/>
          <w:highlight w:val="none"/>
          <w:lang w:val="en-US" w:eastAsia="zh-CN" w:bidi="ar-SA"/>
        </w:rPr>
      </w:pPr>
      <w:r>
        <w:rPr>
          <w:rFonts w:hint="eastAsia" w:ascii="仿宋_GB2312" w:hAnsi="仿宋" w:eastAsia="仿宋_GB2312" w:cs="仿宋_GB2312"/>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0"/>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w:t>
      </w:r>
      <w:r>
        <w:rPr>
          <w:rFonts w:hint="eastAsia" w:ascii="仿宋_GB2312" w:hAnsi="仿宋" w:eastAsia="仿宋_GB2312" w:cs="仿宋_GB2312"/>
          <w:sz w:val="24"/>
          <w:highlight w:val="none"/>
          <w:lang w:eastAsia="zh-CN"/>
        </w:rPr>
        <w:t>项目名称</w:t>
      </w:r>
      <w:r>
        <w:rPr>
          <w:rFonts w:ascii="仿宋_GB2312" w:hAnsi="仿宋" w:eastAsia="仿宋_GB2312" w:cs="仿宋_GB2312"/>
          <w:sz w:val="24"/>
          <w:highlight w:val="none"/>
        </w:rPr>
        <w:t>和项目编号，中标人名称、地址和中标金额，主要中标标的</w:t>
      </w:r>
      <w:r>
        <w:rPr>
          <w:rFonts w:hint="eastAsia" w:ascii="仿宋_GB2312" w:hAnsi="仿宋" w:eastAsia="仿宋_GB2312" w:cs="仿宋_GB2312"/>
          <w:sz w:val="24"/>
          <w:highlight w:val="none"/>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rPr>
        <w:t xml:space="preserve">25. </w:t>
      </w:r>
      <w:r>
        <w:rPr>
          <w:rFonts w:hint="eastAsia" w:ascii="仿宋_GB2312" w:hAnsi="仿宋" w:eastAsia="仿宋_GB2312" w:cs="仿宋_GB2312"/>
          <w:b/>
        </w:rPr>
        <w:t>合</w:t>
      </w:r>
      <w:r>
        <w:rPr>
          <w:rFonts w:hint="eastAsia" w:ascii="仿宋_GB2312" w:hAnsi="仿宋" w:eastAsia="仿宋_GB2312" w:cs="仿宋_GB2312"/>
          <w:b/>
          <w:highlight w:val="none"/>
        </w:rPr>
        <w:t>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采购人与中标人应当通过电子交易平台在中标通知书发出之日起</w:t>
      </w:r>
      <w:r>
        <w:rPr>
          <w:rFonts w:hint="eastAsia" w:ascii="仿宋_GB2312" w:hAnsi="仿宋" w:eastAsia="仿宋_GB2312" w:cs="Arial"/>
          <w:kern w:val="0"/>
          <w:sz w:val="24"/>
          <w:highlight w:val="none"/>
          <w:lang w:eastAsia="zh-CN"/>
        </w:rPr>
        <w:t>十个工作日</w:t>
      </w:r>
      <w:r>
        <w:rPr>
          <w:rFonts w:ascii="仿宋_GB2312" w:hAnsi="仿宋" w:eastAsia="仿宋_GB2312" w:cs="Arial"/>
          <w:kern w:val="0"/>
          <w:sz w:val="24"/>
          <w:highlight w:val="none"/>
        </w:rPr>
        <w:t>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pPr>
        <w:pStyle w:val="90"/>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90"/>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pPr>
        <w:pStyle w:val="90"/>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pPr>
        <w:pStyle w:val="90"/>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pPr>
        <w:pStyle w:val="2"/>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26. </w:t>
      </w:r>
      <w:r>
        <w:rPr>
          <w:rFonts w:hint="eastAsia" w:ascii="仿宋_GB2312" w:hAnsi="仿宋" w:eastAsia="仿宋_GB2312" w:cs="仿宋_GB2312"/>
          <w:b/>
          <w:highlight w:val="none"/>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sz w:val="24"/>
          <w:highlight w:val="none"/>
        </w:rPr>
        <w:t>履约保证金的数额不得超过政府采购合同金额的</w:t>
      </w:r>
      <w:r>
        <w:rPr>
          <w:rFonts w:hint="eastAsia" w:ascii="仿宋_GB2312" w:hAnsi="仿宋" w:eastAsia="仿宋_GB2312"/>
          <w:sz w:val="24"/>
          <w:highlight w:val="none"/>
          <w:lang w:val="en-US" w:eastAsia="zh-CN"/>
        </w:rPr>
        <w:t>1</w:t>
      </w:r>
      <w:r>
        <w:rPr>
          <w:rFonts w:ascii="仿宋_GB2312" w:hAnsi="仿宋" w:eastAsia="仿宋_GB2312"/>
          <w:sz w:val="24"/>
          <w:highlight w:val="none"/>
        </w:rPr>
        <w:t>%。</w:t>
      </w:r>
      <w:r>
        <w:rPr>
          <w:rFonts w:hint="eastAsia" w:ascii="仿宋_GB2312" w:hAnsi="仿宋" w:eastAsia="仿宋_GB2312"/>
          <w:sz w:val="24"/>
          <w:highlight w:val="none"/>
        </w:rPr>
        <w:t>鼓励和支持供应商以银行、保险公</w:t>
      </w:r>
      <w:r>
        <w:rPr>
          <w:rFonts w:hint="eastAsia" w:ascii="仿宋_GB2312" w:hAnsi="仿宋" w:eastAsia="仿宋_GB2312"/>
          <w:sz w:val="24"/>
        </w:rPr>
        <w:t>司出具的保函形式提供履约保证金。</w:t>
      </w:r>
      <w:r>
        <w:rPr>
          <w:rFonts w:hint="eastAsia" w:ascii="仿宋_GB2312" w:hAnsi="仿宋" w:eastAsia="仿宋_GB2312"/>
          <w:b/>
          <w:sz w:val="24"/>
        </w:rPr>
        <w:t>采购人不得拒收履约保函。</w:t>
      </w:r>
    </w:p>
    <w:p>
      <w:pPr>
        <w:pStyle w:val="9"/>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90"/>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90"/>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90"/>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90"/>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90"/>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90"/>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90"/>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highlight w:val="none"/>
        </w:rPr>
      </w:pPr>
      <w:bookmarkStart w:id="14" w:name="_Hlt68072990"/>
      <w:bookmarkEnd w:id="14"/>
      <w:bookmarkStart w:id="15" w:name="_Hlt68072998"/>
      <w:bookmarkEnd w:id="15"/>
      <w:bookmarkStart w:id="16" w:name="_Hlt74730295"/>
      <w:bookmarkEnd w:id="16"/>
      <w:bookmarkStart w:id="17" w:name="_Hlt75236101"/>
      <w:bookmarkEnd w:id="17"/>
      <w:bookmarkStart w:id="18" w:name="_Hlt75236011"/>
      <w:bookmarkEnd w:id="18"/>
      <w:bookmarkStart w:id="19" w:name="_Hlt68403820"/>
      <w:bookmarkEnd w:id="19"/>
      <w:bookmarkStart w:id="20" w:name="_Hlt68057669"/>
      <w:bookmarkEnd w:id="20"/>
      <w:bookmarkStart w:id="21" w:name="_Hlt74707468"/>
      <w:bookmarkEnd w:id="21"/>
      <w:bookmarkStart w:id="22" w:name="_Hlt74714665"/>
      <w:bookmarkEnd w:id="22"/>
      <w:bookmarkStart w:id="23" w:name="_Hlt68073093"/>
      <w:bookmarkEnd w:id="23"/>
      <w:bookmarkStart w:id="24" w:name="_Hlt74729768"/>
      <w:bookmarkEnd w:id="24"/>
      <w:bookmarkStart w:id="25" w:name="_Hlt75236290"/>
      <w:bookmarkEnd w:id="25"/>
    </w:p>
    <w:p>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sz w:val="32"/>
          <w:szCs w:val="20"/>
          <w:highlight w:val="none"/>
          <w:lang w:val="en-US"/>
        </w:rPr>
      </w:pPr>
      <w:r>
        <w:rPr>
          <w:rFonts w:hint="eastAsia" w:ascii="仿宋_GB2312" w:hAnsi="仿宋" w:eastAsia="仿宋_GB2312" w:cs="仿宋_GB2312"/>
          <w:b/>
          <w:kern w:val="0"/>
          <w:sz w:val="32"/>
          <w:szCs w:val="20"/>
          <w:highlight w:val="none"/>
          <w:lang w:val="en-US" w:eastAsia="zh-CN" w:bidi="ar-SA"/>
        </w:rPr>
        <w:t>十、货款支付</w:t>
      </w:r>
    </w:p>
    <w:p>
      <w:pPr>
        <w:pStyle w:val="9"/>
        <w:tabs>
          <w:tab w:val="left" w:pos="0"/>
          <w:tab w:val="clear" w:pos="432"/>
        </w:tabs>
        <w:ind w:left="12" w:hanging="12"/>
        <w:rPr>
          <w:rFonts w:ascii="仿宋" w:hAnsi="仿宋" w:eastAsia="仿宋"/>
          <w:sz w:val="24"/>
          <w:highlight w:val="none"/>
        </w:rPr>
      </w:pPr>
      <w:r>
        <w:rPr>
          <w:rFonts w:hint="eastAsia" w:ascii="仿宋" w:eastAsia="仿宋"/>
          <w:sz w:val="24"/>
          <w:highlight w:val="none"/>
          <w:lang w:val="en-US" w:eastAsia="zh-CN"/>
        </w:rPr>
        <w:t xml:space="preserve">    </w:t>
      </w:r>
      <w:r>
        <w:rPr>
          <w:rFonts w:hint="eastAsia" w:ascii="仿宋" w:hAnsi="仿宋" w:eastAsia="仿宋"/>
          <w:sz w:val="24"/>
          <w:highlight w:val="none"/>
          <w:lang w:val="en-US" w:eastAsia="zh-CN"/>
        </w:rPr>
        <w:t>30</w:t>
      </w:r>
      <w:r>
        <w:rPr>
          <w:rFonts w:ascii="仿宋" w:hAnsi="仿宋" w:eastAsia="仿宋"/>
          <w:sz w:val="24"/>
          <w:highlight w:val="none"/>
        </w:rPr>
        <w:t>.</w:t>
      </w:r>
      <w:r>
        <w:rPr>
          <w:rFonts w:hint="eastAsia" w:ascii="仿宋" w:hAnsi="仿宋" w:eastAsia="仿宋"/>
          <w:sz w:val="24"/>
          <w:highlight w:val="none"/>
          <w:lang w:val="en-US" w:eastAsia="zh-CN"/>
        </w:rPr>
        <w:t>1</w:t>
      </w:r>
      <w:r>
        <w:rPr>
          <w:rFonts w:hint="eastAsia" w:ascii="仿宋" w:hAnsi="仿宋" w:eastAsia="仿宋"/>
          <w:sz w:val="24"/>
          <w:highlight w:val="none"/>
          <w:lang w:eastAsia="zh-CN"/>
        </w:rPr>
        <w:t>应当</w:t>
      </w:r>
      <w:r>
        <w:rPr>
          <w:rFonts w:ascii="仿宋" w:hAnsi="仿宋" w:eastAsia="仿宋"/>
          <w:sz w:val="24"/>
          <w:highlight w:val="none"/>
        </w:rPr>
        <w:t>在政府采购合同中约定预付款，预付款比例</w:t>
      </w:r>
      <w:r>
        <w:rPr>
          <w:rFonts w:hint="eastAsia" w:ascii="仿宋" w:hAnsi="仿宋" w:eastAsia="仿宋"/>
          <w:sz w:val="24"/>
          <w:highlight w:val="none"/>
        </w:rPr>
        <w:t>为</w:t>
      </w:r>
      <w:r>
        <w:rPr>
          <w:rFonts w:ascii="仿宋" w:hAnsi="仿宋" w:eastAsia="仿宋"/>
          <w:sz w:val="24"/>
          <w:highlight w:val="none"/>
        </w:rPr>
        <w:t>合同金额的</w:t>
      </w:r>
      <w:r>
        <w:rPr>
          <w:rFonts w:hint="eastAsia" w:ascii="仿宋" w:hAnsi="仿宋" w:eastAsia="仿宋"/>
          <w:sz w:val="24"/>
          <w:highlight w:val="none"/>
          <w:lang w:val="en-US" w:eastAsia="zh-CN"/>
        </w:rPr>
        <w:t>40</w:t>
      </w:r>
      <w:r>
        <w:rPr>
          <w:rFonts w:ascii="仿宋" w:hAnsi="仿宋" w:eastAsia="仿宋"/>
          <w:sz w:val="24"/>
          <w:highlight w:val="none"/>
        </w:rPr>
        <w:t>％；项目分年安排预算的，每年预付款比例</w:t>
      </w:r>
      <w:r>
        <w:rPr>
          <w:rFonts w:hint="eastAsia" w:ascii="仿宋" w:hAnsi="仿宋" w:eastAsia="仿宋"/>
          <w:sz w:val="24"/>
          <w:highlight w:val="none"/>
        </w:rPr>
        <w:t>为</w:t>
      </w:r>
      <w:r>
        <w:rPr>
          <w:rFonts w:ascii="仿宋" w:hAnsi="仿宋" w:eastAsia="仿宋"/>
          <w:sz w:val="24"/>
          <w:highlight w:val="none"/>
        </w:rPr>
        <w:t>项目年度计划支付资金额的</w:t>
      </w:r>
      <w:r>
        <w:rPr>
          <w:rFonts w:hint="eastAsia" w:ascii="仿宋" w:hAnsi="仿宋" w:eastAsia="仿宋"/>
          <w:sz w:val="24"/>
          <w:highlight w:val="none"/>
          <w:lang w:val="en-US" w:eastAsia="zh-CN"/>
        </w:rPr>
        <w:t>40</w:t>
      </w:r>
      <w:r>
        <w:rPr>
          <w:rFonts w:ascii="仿宋" w:hAnsi="仿宋" w:eastAsia="仿宋"/>
          <w:sz w:val="24"/>
          <w:highlight w:val="none"/>
        </w:rPr>
        <w:t>％。采购项目实施以人工投入为主的，可适当降低预付款比例，但不低于</w:t>
      </w:r>
      <w:r>
        <w:rPr>
          <w:rFonts w:hint="eastAsia" w:ascii="仿宋" w:hAnsi="仿宋" w:eastAsia="仿宋"/>
          <w:sz w:val="24"/>
          <w:highlight w:val="none"/>
          <w:lang w:val="en-US" w:eastAsia="zh-CN"/>
        </w:rPr>
        <w:t>20</w:t>
      </w:r>
      <w:r>
        <w:rPr>
          <w:rFonts w:ascii="仿宋" w:hAnsi="仿宋" w:eastAsia="仿宋"/>
          <w:sz w:val="24"/>
          <w:highlight w:val="none"/>
        </w:rPr>
        <w:t>%。可以根据项目特点、</w:t>
      </w:r>
      <w:r>
        <w:rPr>
          <w:rFonts w:hint="eastAsia" w:ascii="仿宋" w:hAnsi="仿宋" w:eastAsia="仿宋"/>
          <w:sz w:val="24"/>
          <w:highlight w:val="none"/>
          <w:lang w:eastAsia="zh-CN"/>
        </w:rPr>
        <w:t>供应商</w:t>
      </w:r>
      <w:r>
        <w:rPr>
          <w:rFonts w:ascii="仿宋" w:hAnsi="仿宋" w:eastAsia="仿宋"/>
          <w:sz w:val="24"/>
          <w:highlight w:val="none"/>
        </w:rPr>
        <w:t>信用等实际情况提高预付款比例，最高预付比例可以达到</w:t>
      </w:r>
      <w:r>
        <w:rPr>
          <w:rFonts w:hint="eastAsia" w:ascii="仿宋" w:hAnsi="仿宋" w:eastAsia="仿宋"/>
          <w:sz w:val="24"/>
          <w:highlight w:val="none"/>
          <w:lang w:val="en-US" w:eastAsia="zh-CN"/>
        </w:rPr>
        <w:t>70</w:t>
      </w:r>
      <w:r>
        <w:rPr>
          <w:rFonts w:ascii="仿宋" w:hAnsi="仿宋" w:eastAsia="仿宋"/>
          <w:sz w:val="24"/>
          <w:highlight w:val="none"/>
        </w:rPr>
        <w:t>%。</w:t>
      </w:r>
    </w:p>
    <w:p>
      <w:pPr>
        <w:spacing w:line="560" w:lineRule="exact"/>
        <w:ind w:firstLine="480" w:firstLineChars="200"/>
        <w:rPr>
          <w:rFonts w:ascii="仿宋" w:hAnsi="仿宋" w:eastAsia="仿宋"/>
          <w:sz w:val="24"/>
        </w:rPr>
      </w:pPr>
      <w:r>
        <w:rPr>
          <w:rFonts w:hint="eastAsia" w:ascii="仿宋" w:hAnsi="仿宋" w:eastAsia="仿宋"/>
          <w:sz w:val="24"/>
          <w:lang w:val="en-US" w:eastAsia="zh-CN"/>
        </w:rPr>
        <w:t>30.2</w:t>
      </w:r>
      <w:r>
        <w:rPr>
          <w:rFonts w:hint="eastAsia" w:ascii="仿宋" w:hAnsi="仿宋" w:eastAsia="仿宋"/>
          <w:sz w:val="24"/>
          <w:lang w:eastAsia="zh-CN"/>
        </w:rPr>
        <w:t>供应商</w:t>
      </w:r>
      <w:r>
        <w:rPr>
          <w:rFonts w:hint="eastAsia" w:ascii="仿宋" w:hAnsi="仿宋" w:eastAsia="仿宋"/>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ascii="仿宋" w:hAnsi="仿宋" w:eastAsia="仿宋"/>
          <w:sz w:val="24"/>
        </w:rPr>
      </w:pPr>
      <w:r>
        <w:rPr>
          <w:rFonts w:hint="eastAsia" w:ascii="仿宋" w:hAnsi="仿宋" w:eastAsia="仿宋"/>
          <w:sz w:val="24"/>
          <w:lang w:val="en-US" w:eastAsia="zh-CN"/>
        </w:rPr>
        <w:t>30.3</w:t>
      </w:r>
      <w:r>
        <w:rPr>
          <w:rFonts w:hint="eastAsia" w:ascii="仿宋" w:hAnsi="仿宋" w:eastAsia="仿宋"/>
          <w:sz w:val="24"/>
          <w:lang w:eastAsia="zh-CN"/>
        </w:rPr>
        <w:t>供应商</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rPr>
          <w:rFonts w:hint="eastAsia"/>
          <w:lang w:val="en-US" w:eastAsia="zh-CN"/>
        </w:rPr>
      </w:pPr>
    </w:p>
    <w:p>
      <w:pPr>
        <w:pStyle w:val="620"/>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30.4</w:t>
      </w:r>
      <w:r>
        <w:rPr>
          <w:rFonts w:hint="eastAsia" w:ascii="仿宋" w:hAnsi="仿宋" w:eastAsia="仿宋" w:cs="Times New Roman"/>
          <w:lang w:eastAsia="zh-CN"/>
        </w:rPr>
        <w:t>采购人</w:t>
      </w:r>
      <w:r>
        <w:rPr>
          <w:rFonts w:hint="eastAsia" w:ascii="仿宋" w:hAnsi="仿宋" w:eastAsia="仿宋" w:cs="Times New Roman"/>
        </w:rPr>
        <w:t>应严格履行合同，及时组织验收，验收合格后及时将合同款支付完毕。对于满足合同约定支付条件的，</w:t>
      </w:r>
      <w:r>
        <w:rPr>
          <w:rFonts w:hint="eastAsia" w:ascii="仿宋" w:hAnsi="仿宋" w:eastAsia="仿宋" w:cs="Times New Roman"/>
          <w:lang w:eastAsia="zh-CN"/>
        </w:rPr>
        <w:t>采购人</w:t>
      </w:r>
      <w:r>
        <w:rPr>
          <w:rFonts w:hint="eastAsia" w:ascii="仿宋" w:hAnsi="仿宋" w:eastAsia="仿宋" w:cs="Times New Roman"/>
        </w:rPr>
        <w:t>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w:t>
      </w:r>
    </w:p>
    <w:p>
      <w:pPr>
        <w:pStyle w:val="9"/>
        <w:rPr>
          <w:rFonts w:hint="eastAsia"/>
          <w:lang w:val="en-US" w:eastAsia="zh-CN"/>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pgNumType w:fmt="decimal"/>
          <w:cols w:space="720" w:num="1"/>
          <w:titlePg/>
          <w:docGrid w:linePitch="312" w:charSpace="0"/>
        </w:sectPr>
      </w:pPr>
    </w:p>
    <w:bookmarkEnd w:id="11"/>
    <w:bookmarkEnd w:id="12"/>
    <w:p>
      <w:pPr>
        <w:spacing w:before="348" w:line="228" w:lineRule="auto"/>
        <w:ind w:left="2574"/>
        <w:outlineLvl w:val="0"/>
        <w:rPr>
          <w:rFonts w:ascii="仿宋" w:hAnsi="仿宋" w:eastAsia="仿宋" w:cs="仿宋"/>
          <w:sz w:val="35"/>
          <w:szCs w:val="35"/>
        </w:rPr>
      </w:pPr>
      <w:bookmarkStart w:id="26" w:name="第四部分"/>
      <w:r>
        <w:rPr>
          <w:rFonts w:ascii="仿宋" w:hAnsi="仿宋" w:eastAsia="仿宋" w:cs="仿宋"/>
          <w:spacing w:val="7"/>
          <w:sz w:val="35"/>
          <w:szCs w:val="35"/>
          <w14:textOutline w14:w="6537" w14:cap="sq" w14:cmpd="sng">
            <w14:solidFill>
              <w14:srgbClr w14:val="000000"/>
            </w14:solidFill>
            <w14:prstDash w14:val="solid"/>
            <w14:bevel/>
          </w14:textOutline>
        </w:rPr>
        <w:t>第</w:t>
      </w:r>
      <w:r>
        <w:rPr>
          <w:rFonts w:ascii="仿宋" w:hAnsi="仿宋" w:eastAsia="仿宋" w:cs="仿宋"/>
          <w:spacing w:val="6"/>
          <w:sz w:val="35"/>
          <w:szCs w:val="35"/>
          <w14:textOutline w14:w="6537" w14:cap="sq" w14:cmpd="sng">
            <w14:solidFill>
              <w14:srgbClr w14:val="000000"/>
            </w14:solidFill>
            <w14:prstDash w14:val="solid"/>
            <w14:bevel/>
          </w14:textOutline>
        </w:rPr>
        <w:t>三部分</w:t>
      </w:r>
      <w:r>
        <w:rPr>
          <w:rFonts w:ascii="仿宋" w:hAnsi="仿宋" w:eastAsia="仿宋" w:cs="仿宋"/>
          <w:spacing w:val="6"/>
          <w:sz w:val="35"/>
          <w:szCs w:val="35"/>
        </w:rPr>
        <w:t xml:space="preserve">   </w:t>
      </w:r>
      <w:r>
        <w:rPr>
          <w:rFonts w:ascii="仿宋" w:hAnsi="仿宋" w:eastAsia="仿宋" w:cs="仿宋"/>
          <w:spacing w:val="6"/>
          <w:sz w:val="35"/>
          <w:szCs w:val="35"/>
          <w14:textOutline w14:w="6537" w14:cap="sq" w14:cmpd="sng">
            <w14:solidFill>
              <w14:srgbClr w14:val="000000"/>
            </w14:solidFill>
            <w14:prstDash w14:val="solid"/>
            <w14:bevel/>
          </w14:textOutline>
        </w:rPr>
        <w:t>采购需求</w:t>
      </w:r>
    </w:p>
    <w:p>
      <w:pPr>
        <w:spacing w:line="286" w:lineRule="auto"/>
        <w:rPr>
          <w:rFonts w:ascii="Arial"/>
          <w:sz w:val="21"/>
        </w:rPr>
      </w:pPr>
    </w:p>
    <w:p>
      <w:pPr>
        <w:tabs>
          <w:tab w:val="left" w:pos="1866"/>
          <w:tab w:val="left" w:pos="3876"/>
          <w:tab w:val="left" w:pos="7029"/>
          <w:tab w:val="left" w:pos="9249"/>
          <w:tab w:val="left" w:pos="10070"/>
          <w:tab w:val="left" w:pos="12204"/>
        </w:tabs>
        <w:spacing w:line="360" w:lineRule="auto"/>
        <w:jc w:val="left"/>
        <w:rPr>
          <w:rFonts w:ascii="宋体" w:cs="宋体"/>
          <w:b/>
          <w:sz w:val="24"/>
        </w:rPr>
      </w:pPr>
      <w:r>
        <w:rPr>
          <w:rFonts w:hint="eastAsia" w:ascii="宋体" w:hAnsi="宋体" w:cs="宋体"/>
          <w:b/>
          <w:sz w:val="24"/>
        </w:rPr>
        <w:t>一、采购项目概述</w:t>
      </w:r>
    </w:p>
    <w:p>
      <w:pPr>
        <w:pStyle w:val="38"/>
        <w:snapToGrid w:val="0"/>
        <w:spacing w:line="360" w:lineRule="auto"/>
        <w:ind w:firstLine="480" w:firstLineChars="200"/>
        <w:rPr>
          <w:rFonts w:hint="eastAsia" w:hAnsi="宋体"/>
          <w:sz w:val="24"/>
        </w:rPr>
      </w:pPr>
      <w:r>
        <w:rPr>
          <w:rFonts w:hint="eastAsia" w:hAnsi="宋体" w:cs="宋体"/>
          <w:sz w:val="24"/>
        </w:rPr>
        <w:t>本项目为“交钥匙”项目，采购内容</w:t>
      </w:r>
      <w:r>
        <w:rPr>
          <w:rFonts w:hint="eastAsia" w:hAnsi="宋体" w:cs="宋体"/>
          <w:sz w:val="24"/>
          <w:lang w:eastAsia="zh-CN"/>
        </w:rPr>
        <w:t>：</w:t>
      </w:r>
      <w:r>
        <w:rPr>
          <w:rFonts w:hint="eastAsia" w:hAnsi="宋体" w:cs="宋体"/>
          <w:sz w:val="24"/>
          <w:lang w:val="en-US" w:eastAsia="zh-CN"/>
        </w:rPr>
        <w:t>东湖街道</w:t>
      </w:r>
      <w:r>
        <w:rPr>
          <w:rFonts w:hint="eastAsia" w:hAnsi="宋体"/>
          <w:color w:val="000000"/>
          <w:kern w:val="2"/>
          <w:sz w:val="24"/>
          <w:lang w:val="en-US"/>
        </w:rPr>
        <w:t>所属范围内道路、厕所及相关设施清洁维护等工作</w:t>
      </w:r>
      <w:r>
        <w:rPr>
          <w:rFonts w:hint="eastAsia" w:hAnsi="宋体" w:cs="宋体"/>
          <w:sz w:val="24"/>
        </w:rPr>
        <w:t>。</w:t>
      </w:r>
      <w:r>
        <w:rPr>
          <w:rFonts w:hint="eastAsia" w:hAnsi="宋体"/>
          <w:sz w:val="24"/>
        </w:rPr>
        <w:t>投标报价包括</w:t>
      </w:r>
      <w:r>
        <w:rPr>
          <w:rFonts w:hint="eastAsia" w:hAnsi="宋体"/>
          <w:b/>
          <w:sz w:val="24"/>
        </w:rPr>
        <w:t>人员工资、办公场所费及办公设施费、工器具、劳动保护费用、工具物耗、养老保险、基本医疗保险、生育保险、工伤保险、失业保险、福利、待业费、垃圾处置费、运输费、管理费、规费、税金、不可预见费用等</w:t>
      </w:r>
      <w:r>
        <w:rPr>
          <w:rFonts w:hint="eastAsia" w:hAnsi="宋体"/>
          <w:b/>
          <w:sz w:val="24"/>
          <w:lang w:eastAsia="zh-CN"/>
        </w:rPr>
        <w:t>一切费用</w:t>
      </w:r>
      <w:r>
        <w:rPr>
          <w:rFonts w:hint="eastAsia" w:hAnsi="宋体"/>
          <w:sz w:val="24"/>
        </w:rPr>
        <w:t>。</w:t>
      </w:r>
    </w:p>
    <w:p>
      <w:pPr>
        <w:pStyle w:val="38"/>
        <w:snapToGrid w:val="0"/>
        <w:spacing w:line="360" w:lineRule="auto"/>
        <w:rPr>
          <w:rFonts w:hint="eastAsia" w:hAnsi="宋体" w:cs="宋体"/>
          <w:b/>
          <w:kern w:val="2"/>
          <w:sz w:val="24"/>
          <w:szCs w:val="24"/>
          <w:lang w:val="en-US" w:eastAsia="zh-CN"/>
        </w:rPr>
      </w:pPr>
      <w:r>
        <w:rPr>
          <w:rFonts w:hint="eastAsia" w:hAnsi="宋体" w:cs="仿宋_GB2312"/>
          <w:b/>
          <w:sz w:val="24"/>
          <w:lang w:val="zh-CN" w:bidi="ar"/>
        </w:rPr>
        <w:t>●二、</w:t>
      </w:r>
      <w:r>
        <w:rPr>
          <w:rFonts w:hint="eastAsia" w:hAnsi="宋体" w:cs="宋体"/>
          <w:b/>
          <w:kern w:val="2"/>
          <w:sz w:val="24"/>
          <w:szCs w:val="24"/>
          <w:lang w:val="en-US" w:eastAsia="zh-CN"/>
        </w:rPr>
        <w:t>保洁用工要求</w:t>
      </w:r>
    </w:p>
    <w:p>
      <w:pPr>
        <w:numPr>
          <w:ilvl w:val="0"/>
          <w:numId w:val="2"/>
        </w:numPr>
        <w:spacing w:line="360" w:lineRule="auto"/>
        <w:rPr>
          <w:rFonts w:hint="eastAsia" w:ascii="宋体" w:hAnsi="宋体"/>
          <w:b/>
          <w:color w:val="auto"/>
          <w:kern w:val="0"/>
          <w:sz w:val="24"/>
        </w:rPr>
      </w:pPr>
      <w:r>
        <w:rPr>
          <w:rFonts w:hint="eastAsia" w:ascii="宋体" w:hAnsi="宋体"/>
          <w:b/>
          <w:color w:val="auto"/>
          <w:kern w:val="0"/>
          <w:sz w:val="24"/>
        </w:rPr>
        <w:t>总负责人要求1名，具有3年以上保洁服务管理经验、较好的服务意识和沟通能力以及具有较强的责任心和吃苦耐劳的精神，其他管理人员10人；</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b/>
          <w:bCs/>
          <w:color w:val="auto"/>
          <w:kern w:val="0"/>
          <w:sz w:val="24"/>
        </w:rPr>
      </w:pPr>
      <w:r>
        <w:rPr>
          <w:rFonts w:hint="eastAsia" w:ascii="宋体" w:hAnsi="宋体"/>
          <w:b/>
          <w:bCs/>
          <w:color w:val="auto"/>
          <w:kern w:val="0"/>
          <w:sz w:val="24"/>
        </w:rPr>
        <w:t>其他保洁人员要求满足各保洁等级保洁人员数量，会说普通话，表达意思清楚，小学及以上文化，识字，身体健康，符合用工要求。能提供身份证等有效证件和无犯罪记录证明，按甲方要求做好其他属于保洁服务管理范围内的工作能力。</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kern w:val="0"/>
          <w:sz w:val="24"/>
        </w:rPr>
      </w:pPr>
      <w:r>
        <w:rPr>
          <w:rFonts w:hint="eastAsia" w:ascii="宋体" w:hAnsi="宋体"/>
          <w:color w:val="auto"/>
          <w:kern w:val="0"/>
          <w:sz w:val="24"/>
        </w:rPr>
        <w:t>保洁时间工作时长14-18小时（一类道路/人均面积9000平方米、二类道路/人均面积9500平方米、三类道路/人均面积10000平方米）。</w:t>
      </w:r>
    </w:p>
    <w:p>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olor w:val="auto"/>
          <w:kern w:val="0"/>
          <w:sz w:val="24"/>
        </w:rPr>
      </w:pPr>
      <w:r>
        <w:rPr>
          <w:rFonts w:hint="eastAsia" w:ascii="宋体" w:hAnsi="宋体"/>
          <w:color w:val="auto"/>
          <w:kern w:val="0"/>
          <w:sz w:val="24"/>
        </w:rPr>
        <w:t>一线作业时，必须统一穿戴安全反光背心和反光帽、夜间佩戴警示灯。</w:t>
      </w:r>
    </w:p>
    <w:p>
      <w:pPr>
        <w:tabs>
          <w:tab w:val="left" w:pos="540"/>
        </w:tabs>
        <w:spacing w:line="360" w:lineRule="auto"/>
        <w:rPr>
          <w:rFonts w:hint="eastAsia" w:ascii="宋体" w:hAnsi="宋体"/>
          <w:color w:val="auto"/>
          <w:kern w:val="0"/>
          <w:sz w:val="24"/>
        </w:rPr>
      </w:pPr>
      <w:bookmarkStart w:id="27" w:name="_Toc28449"/>
      <w:bookmarkStart w:id="28" w:name="_Toc380675160"/>
      <w:r>
        <w:rPr>
          <w:rFonts w:hint="eastAsia" w:ascii="宋体" w:hAnsi="宋体" w:cs="仿宋_GB2312"/>
          <w:b/>
          <w:color w:val="auto"/>
          <w:kern w:val="0"/>
          <w:sz w:val="24"/>
          <w:szCs w:val="20"/>
          <w:lang w:val="zh-CN" w:bidi="ar"/>
        </w:rPr>
        <w:t>●三、</w:t>
      </w:r>
      <w:r>
        <w:rPr>
          <w:rFonts w:hint="eastAsia" w:ascii="宋体" w:hAnsi="宋体"/>
          <w:b/>
          <w:color w:val="auto"/>
          <w:kern w:val="0"/>
          <w:sz w:val="24"/>
        </w:rPr>
        <w:t>保洁工作的具体要求</w:t>
      </w:r>
      <w:bookmarkEnd w:id="27"/>
      <w:bookmarkEnd w:id="28"/>
    </w:p>
    <w:p>
      <w:pPr>
        <w:spacing w:line="360" w:lineRule="auto"/>
        <w:rPr>
          <w:rFonts w:hint="eastAsia" w:ascii="宋体" w:hAnsi="宋体"/>
          <w:b/>
          <w:color w:val="auto"/>
          <w:kern w:val="0"/>
          <w:sz w:val="24"/>
        </w:rPr>
      </w:pPr>
      <w:r>
        <w:rPr>
          <w:rFonts w:hint="eastAsia" w:ascii="宋体" w:hAnsi="宋体"/>
          <w:b/>
          <w:color w:val="auto"/>
          <w:kern w:val="0"/>
          <w:sz w:val="24"/>
        </w:rPr>
        <w:t>（1）保洁要求：（投标人自行踏勘现场合理安排人员）</w:t>
      </w:r>
    </w:p>
    <w:p>
      <w:pPr>
        <w:snapToGrid w:val="0"/>
        <w:spacing w:line="360" w:lineRule="auto"/>
        <w:jc w:val="left"/>
        <w:rPr>
          <w:rFonts w:hint="eastAsia" w:ascii="仿宋" w:hAnsi="仿宋" w:eastAsia="仿宋" w:cs="仿宋_GB2312"/>
          <w:b/>
          <w:sz w:val="36"/>
          <w:szCs w:val="36"/>
        </w:rPr>
      </w:pPr>
      <w:r>
        <w:rPr>
          <w:rFonts w:hint="eastAsia" w:ascii="宋体" w:hAnsi="宋体"/>
          <w:color w:val="auto"/>
          <w:sz w:val="24"/>
          <w:u w:val="single"/>
        </w:rPr>
        <w:t>项目服务内容：</w:t>
      </w:r>
      <w:r>
        <w:rPr>
          <w:rFonts w:hint="eastAsia" w:ascii="宋体" w:hAnsi="宋体"/>
          <w:b/>
          <w:bCs/>
          <w:color w:val="auto"/>
          <w:sz w:val="24"/>
          <w:u w:val="single"/>
        </w:rPr>
        <w:t>道路、人行道、开敞空间及相关设施的清扫保洁，道路垃圾、路边及人行道杂草清除、路面定期清洗；保洁垃圾清运至垃圾中转站；招标区域内果壳箱、垃圾箱、护栏、公交站台等城市家具的清洗，牛皮癣清理，道路两侧可视范围内有色垃圾及偷倒垃圾清理</w:t>
      </w:r>
      <w:r>
        <w:rPr>
          <w:rFonts w:hint="eastAsia" w:ascii="宋体" w:hAnsi="宋体"/>
          <w:b/>
          <w:color w:val="auto"/>
          <w:sz w:val="24"/>
          <w:u w:val="single"/>
        </w:rPr>
        <w:t>。</w:t>
      </w:r>
    </w:p>
    <w:p>
      <w:pPr>
        <w:numPr>
          <w:ilvl w:val="0"/>
          <w:numId w:val="3"/>
        </w:numPr>
        <w:adjustRightInd w:val="0"/>
        <w:snapToGrid w:val="0"/>
        <w:spacing w:line="360" w:lineRule="auto"/>
        <w:rPr>
          <w:rFonts w:hint="eastAsia" w:ascii="宋体" w:hAnsi="宋体"/>
          <w:b/>
          <w:sz w:val="24"/>
        </w:rPr>
      </w:pPr>
      <w:r>
        <w:rPr>
          <w:rFonts w:hint="eastAsia" w:ascii="宋体" w:hAnsi="宋体"/>
          <w:b/>
          <w:sz w:val="24"/>
        </w:rPr>
        <w:t>作业内容：</w:t>
      </w:r>
    </w:p>
    <w:tbl>
      <w:tblPr>
        <w:tblStyle w:val="66"/>
        <w:tblW w:w="9715" w:type="dxa"/>
        <w:tblInd w:w="93" w:type="dxa"/>
        <w:tblLayout w:type="fixed"/>
        <w:tblCellMar>
          <w:top w:w="0" w:type="dxa"/>
          <w:left w:w="108" w:type="dxa"/>
          <w:bottom w:w="0" w:type="dxa"/>
          <w:right w:w="108" w:type="dxa"/>
        </w:tblCellMar>
      </w:tblPr>
      <w:tblGrid>
        <w:gridCol w:w="578"/>
        <w:gridCol w:w="1466"/>
        <w:gridCol w:w="2374"/>
        <w:gridCol w:w="918"/>
        <w:gridCol w:w="747"/>
        <w:gridCol w:w="852"/>
        <w:gridCol w:w="918"/>
        <w:gridCol w:w="983"/>
        <w:gridCol w:w="879"/>
      </w:tblGrid>
      <w:tr>
        <w:tblPrEx>
          <w:tblCellMar>
            <w:top w:w="0" w:type="dxa"/>
            <w:left w:w="108" w:type="dxa"/>
            <w:bottom w:w="0" w:type="dxa"/>
            <w:right w:w="108" w:type="dxa"/>
          </w:tblCellMar>
        </w:tblPrEx>
        <w:trPr>
          <w:trHeight w:val="627"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lang w:bidi="ar"/>
              </w:rPr>
              <w:t>路名</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lang w:bidi="ar"/>
              </w:rPr>
              <w:t>起止</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lang w:bidi="ar"/>
              </w:rPr>
              <w:t>长度（m）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lang w:bidi="ar"/>
              </w:rPr>
              <w:t>宽度（m）</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lang w:bidi="ar"/>
              </w:rPr>
              <w:t>面积（㎡）</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匝道及路口</w:t>
            </w:r>
            <w:r>
              <w:rPr>
                <w:rFonts w:hint="eastAsia" w:ascii="宋体" w:hAnsi="宋体" w:cs="宋体"/>
                <w:color w:val="000000"/>
                <w:kern w:val="0"/>
                <w:sz w:val="24"/>
                <w:lang w:bidi="ar"/>
              </w:rPr>
              <w:t>（㎡）</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lang w:bidi="ar"/>
              </w:rPr>
              <w:t>小计</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lang w:bidi="ar"/>
              </w:rPr>
              <w:t>保洁等级</w:t>
            </w:r>
          </w:p>
        </w:tc>
      </w:tr>
      <w:tr>
        <w:tblPrEx>
          <w:tblCellMar>
            <w:top w:w="0" w:type="dxa"/>
            <w:left w:w="108" w:type="dxa"/>
            <w:bottom w:w="0" w:type="dxa"/>
            <w:right w:w="108" w:type="dxa"/>
          </w:tblCellMar>
        </w:tblPrEx>
        <w:trPr>
          <w:trHeight w:val="337" w:hRule="atLeast"/>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临平大道</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望梅路</w:t>
            </w: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星光街</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8685</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60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521100</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26100</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547200</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lang w:bidi="ar"/>
              </w:rPr>
              <w:t>Ⅱ</w:t>
            </w:r>
          </w:p>
        </w:tc>
      </w:tr>
    </w:tbl>
    <w:p>
      <w:pPr>
        <w:pStyle w:val="2"/>
        <w:numPr>
          <w:ilvl w:val="0"/>
          <w:numId w:val="0"/>
        </w:numPr>
      </w:pPr>
    </w:p>
    <w:p>
      <w:pPr>
        <w:numPr>
          <w:ilvl w:val="0"/>
          <w:numId w:val="4"/>
        </w:numPr>
        <w:spacing w:line="360" w:lineRule="auto"/>
        <w:rPr>
          <w:rFonts w:hint="eastAsia" w:ascii="宋体" w:hAnsi="宋体"/>
          <w:sz w:val="24"/>
        </w:rPr>
      </w:pPr>
      <w:r>
        <w:rPr>
          <w:rFonts w:hint="eastAsia" w:ascii="宋体" w:hAnsi="宋体"/>
          <w:sz w:val="24"/>
        </w:rPr>
        <w:t>本保洁项目要求</w:t>
      </w:r>
    </w:p>
    <w:p>
      <w:pPr>
        <w:pStyle w:val="2"/>
        <w:numPr>
          <w:ilvl w:val="0"/>
          <w:numId w:val="0"/>
        </w:numPr>
        <w:ind w:firstLine="480" w:firstLineChars="200"/>
        <w:rPr>
          <w:rFonts w:hint="default" w:eastAsia="宋体"/>
          <w:lang w:val="en-US" w:eastAsia="zh-CN"/>
        </w:rPr>
      </w:pPr>
      <w:r>
        <w:rPr>
          <w:rFonts w:hint="eastAsia"/>
          <w:lang w:val="en-US" w:eastAsia="zh-CN"/>
        </w:rPr>
        <w:t>根据临平城组办[2022]7号、9号文件要求执行。</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一类道路洁化标准：</w:t>
      </w:r>
      <w:r>
        <w:rPr>
          <w:rFonts w:hint="eastAsia" w:ascii="宋体" w:hAnsi="宋体" w:cs="宋体"/>
          <w:color w:val="000000"/>
          <w:sz w:val="24"/>
        </w:rPr>
        <w:t>①路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剥落（或严重褪色）、垃圾满溢，表面清洁无污垢，周围地面无暴露垃圾、污水现象</w:t>
      </w:r>
      <w:r>
        <w:rPr>
          <w:rFonts w:hint="eastAsia" w:ascii="宋体" w:hAnsi="宋体" w:cs="仿宋_GB2312"/>
          <w:sz w:val="24"/>
        </w:rPr>
        <w:t>；其他城市家具定期擦洗</w:t>
      </w:r>
      <w:r>
        <w:rPr>
          <w:rFonts w:hint="eastAsia" w:ascii="宋体" w:hAnsi="宋体" w:cs="宋体"/>
          <w:color w:val="000000"/>
          <w:sz w:val="24"/>
        </w:rPr>
        <w:t>。⑤在规定时间内（夏季上午7点前，其它季节上午7点30分前）完成第一遍普扫，然后进行全天巡回保洁，道路有色垃圾滞留时间不得10分钟。</w:t>
      </w:r>
    </w:p>
    <w:p>
      <w:pPr>
        <w:spacing w:line="360" w:lineRule="auto"/>
        <w:ind w:firstLine="630"/>
        <w:rPr>
          <w:rFonts w:ascii="宋体" w:hAnsi="宋体" w:cs="宋体"/>
          <w:color w:val="000000"/>
          <w:sz w:val="24"/>
        </w:rPr>
      </w:pPr>
      <w:r>
        <w:rPr>
          <w:rFonts w:hint="eastAsia" w:ascii="宋体" w:hAnsi="宋体" w:cs="宋体"/>
          <w:b/>
          <w:color w:val="000000"/>
          <w:sz w:val="24"/>
        </w:rPr>
        <w:t>二类道路洁化标准：</w:t>
      </w:r>
      <w:r>
        <w:rPr>
          <w:rFonts w:hint="eastAsia" w:ascii="宋体" w:hAnsi="宋体" w:cs="宋体"/>
          <w:color w:val="000000"/>
          <w:sz w:val="24"/>
        </w:rPr>
        <w:t>①路面无垃圾、污渍、积泥较少，人行道无杂草，晴天无积水，道路两侧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w:t>
      </w:r>
      <w:r>
        <w:rPr>
          <w:rFonts w:hint="eastAsia" w:ascii="宋体" w:hAnsi="宋体" w:cs="仿宋_GB2312"/>
          <w:sz w:val="24"/>
        </w:rPr>
        <w:t>；其他城市家具定期擦洗</w:t>
      </w:r>
      <w:r>
        <w:rPr>
          <w:rFonts w:hint="eastAsia" w:ascii="宋体" w:hAnsi="宋体" w:cs="宋体"/>
          <w:color w:val="000000"/>
          <w:sz w:val="24"/>
        </w:rPr>
        <w:t>。⑤在规定时间内（夏季上午7点前，其它季节上午7点30分前）完成第一遍普扫，然后进行全天巡回保洁，道路有色垃圾滞留时间不得15分钟。</w:t>
      </w:r>
    </w:p>
    <w:p>
      <w:pPr>
        <w:spacing w:line="360" w:lineRule="auto"/>
        <w:ind w:firstLine="629"/>
        <w:rPr>
          <w:rFonts w:ascii="宋体" w:hAnsi="宋体" w:cs="宋体"/>
          <w:color w:val="000000"/>
          <w:sz w:val="24"/>
        </w:rPr>
      </w:pPr>
      <w:r>
        <w:rPr>
          <w:rFonts w:hint="eastAsia" w:ascii="宋体" w:hAnsi="宋体" w:cs="宋体"/>
          <w:b/>
          <w:color w:val="000000"/>
          <w:sz w:val="24"/>
        </w:rPr>
        <w:t>三类道路洁化标准：</w:t>
      </w:r>
      <w:r>
        <w:rPr>
          <w:rFonts w:hint="eastAsia" w:ascii="宋体" w:hAnsi="宋体" w:cs="宋体"/>
          <w:color w:val="000000"/>
          <w:sz w:val="24"/>
        </w:rPr>
        <w:t>①路面无垃圾、污渍、积泥较少，人行道杂草较少，道路两侧3米内无成堆垃圾。②雨水井沟眼无垃圾，无积泥嵌石。③道路绿地、花坛、树圈内无垃圾。④环卫设施（果壳箱、垃圾桶、垃圾房）设置整齐规范、无破损、歪斜、垃圾满溢，表面清洁无污垢，周围地面无暴露垃圾、污水现象</w:t>
      </w:r>
      <w:r>
        <w:rPr>
          <w:rFonts w:hint="eastAsia" w:ascii="宋体" w:hAnsi="宋体" w:cs="仿宋_GB2312"/>
          <w:sz w:val="24"/>
        </w:rPr>
        <w:t>；其他城市家具定期擦洗</w:t>
      </w:r>
      <w:r>
        <w:rPr>
          <w:rFonts w:hint="eastAsia" w:ascii="宋体" w:hAnsi="宋体" w:cs="宋体"/>
          <w:color w:val="000000"/>
          <w:sz w:val="24"/>
        </w:rPr>
        <w:t>。⑤在规定时间内（夏季上午7点前，其它季节上午7点30分前）完成第一遍普扫，然后进行全天巡回保洁，道路有色垃圾滞留时间不得超过20分钟。</w:t>
      </w:r>
    </w:p>
    <w:p>
      <w:pPr>
        <w:spacing w:line="360" w:lineRule="auto"/>
        <w:ind w:firstLine="630"/>
        <w:rPr>
          <w:rFonts w:ascii="宋体" w:hAnsi="宋体" w:cs="宋体"/>
          <w:sz w:val="24"/>
        </w:rPr>
      </w:pPr>
      <w:r>
        <w:rPr>
          <w:rFonts w:hint="eastAsia" w:ascii="宋体" w:hAnsi="宋体" w:cs="宋体"/>
          <w:b/>
          <w:color w:val="000000"/>
          <w:sz w:val="24"/>
        </w:rPr>
        <w:t>其他类道路、县乡公路：①</w:t>
      </w:r>
      <w:r>
        <w:rPr>
          <w:rFonts w:hint="eastAsia" w:ascii="宋体" w:hAnsi="宋体" w:cs="宋体"/>
          <w:color w:val="000000"/>
          <w:sz w:val="24"/>
        </w:rPr>
        <w:t>路面无垃圾、无杂物、无积泥（沙石），晴天无积水。②雨水井沟眼畅通干净。③绿化内清洁无垃圾、杂物。④环卫设施无破损，箱（桶、房）表面及周边整洁</w:t>
      </w:r>
      <w:r>
        <w:rPr>
          <w:rFonts w:hint="eastAsia" w:ascii="宋体" w:hAnsi="宋体" w:cs="仿宋_GB2312"/>
          <w:sz w:val="24"/>
        </w:rPr>
        <w:t>；其他城市家具定期擦洗</w:t>
      </w:r>
      <w:r>
        <w:rPr>
          <w:rFonts w:hint="eastAsia" w:ascii="宋体" w:hAnsi="宋体" w:cs="宋体"/>
          <w:color w:val="000000"/>
          <w:sz w:val="24"/>
        </w:rPr>
        <w:t>。⑤有色垃圾滞留时间不得超过30分钟，（公路有色垃圾滞留时间不得超过60分钟）。</w:t>
      </w:r>
    </w:p>
    <w:p>
      <w:pPr>
        <w:tabs>
          <w:tab w:val="left" w:pos="720"/>
        </w:tabs>
        <w:adjustRightInd w:val="0"/>
        <w:snapToGrid w:val="0"/>
        <w:spacing w:line="360" w:lineRule="auto"/>
        <w:rPr>
          <w:rFonts w:ascii="宋体" w:hAnsi="宋体"/>
          <w:sz w:val="24"/>
        </w:rPr>
      </w:pPr>
      <w:r>
        <w:rPr>
          <w:rFonts w:hint="eastAsia" w:ascii="宋体" w:hAnsi="宋体"/>
          <w:sz w:val="24"/>
        </w:rPr>
        <w:t>（2）道路冲洗、洒水频次严格按照环卫标准化管理要求操作，洒水必须洒到主车道侧石边，机动车道、非机动车道（铺装）及人行道路面应都列入冲洗范围，道路无积泥、无扬尘、路面见本色。</w:t>
      </w:r>
    </w:p>
    <w:p>
      <w:pPr>
        <w:tabs>
          <w:tab w:val="left" w:pos="720"/>
        </w:tabs>
        <w:adjustRightInd w:val="0"/>
        <w:snapToGrid w:val="0"/>
        <w:spacing w:line="360" w:lineRule="auto"/>
        <w:rPr>
          <w:rFonts w:ascii="宋体" w:hAnsi="宋体"/>
          <w:sz w:val="24"/>
        </w:rPr>
      </w:pPr>
      <w:r>
        <w:rPr>
          <w:rFonts w:hint="eastAsia" w:ascii="宋体" w:hAnsi="宋体"/>
          <w:sz w:val="24"/>
        </w:rPr>
        <w:t>（3）道路保洁范围内的绿化带（绿地）、休闲椅、花坛及铺装面、花钵、树池、窨井沟眼等无积泥积尘、无碎石杂物、无垃圾废土，人行道、树池、侧石边、路肩边基本无杂草杂物、无污迹。</w:t>
      </w:r>
    </w:p>
    <w:p>
      <w:pPr>
        <w:tabs>
          <w:tab w:val="left" w:pos="720"/>
        </w:tabs>
        <w:adjustRightInd w:val="0"/>
        <w:snapToGrid w:val="0"/>
        <w:spacing w:line="360" w:lineRule="auto"/>
        <w:rPr>
          <w:rFonts w:ascii="宋体" w:hAnsi="宋体"/>
          <w:sz w:val="24"/>
        </w:rPr>
      </w:pPr>
      <w:r>
        <w:rPr>
          <w:rFonts w:hint="eastAsia" w:ascii="宋体" w:hAnsi="宋体"/>
          <w:sz w:val="24"/>
        </w:rPr>
        <w:t>（4）机动、非机动作业车不得停放在消防栓、公交车站旁、不得停放在交通路口、应靠近人行道侧石停放，距离不超过20厘米。</w:t>
      </w:r>
    </w:p>
    <w:p>
      <w:pPr>
        <w:tabs>
          <w:tab w:val="left" w:pos="720"/>
        </w:tabs>
        <w:adjustRightInd w:val="0"/>
        <w:snapToGrid w:val="0"/>
        <w:spacing w:line="360" w:lineRule="auto"/>
        <w:rPr>
          <w:rFonts w:ascii="宋体" w:hAnsi="宋体"/>
          <w:sz w:val="24"/>
        </w:rPr>
      </w:pPr>
      <w:r>
        <w:rPr>
          <w:rFonts w:hint="eastAsia" w:ascii="宋体" w:hAnsi="宋体"/>
          <w:sz w:val="24"/>
        </w:rPr>
        <w:t>（5）道路两侧目测范围内（道路路肩外3米内）废土、垃圾应注意及时发现并及时清除。</w:t>
      </w:r>
    </w:p>
    <w:p>
      <w:pPr>
        <w:tabs>
          <w:tab w:val="left" w:pos="720"/>
        </w:tabs>
        <w:adjustRightInd w:val="0"/>
        <w:snapToGrid w:val="0"/>
        <w:spacing w:line="360" w:lineRule="auto"/>
        <w:rPr>
          <w:rFonts w:ascii="宋体" w:hAnsi="宋体"/>
          <w:sz w:val="24"/>
        </w:rPr>
      </w:pPr>
      <w:r>
        <w:rPr>
          <w:rFonts w:hint="eastAsia" w:ascii="宋体" w:hAnsi="宋体"/>
          <w:sz w:val="24"/>
        </w:rPr>
        <w:t>（6）遇有重大活动以及防汛抗台、抗雪抗旱等突发事件，必须及时组织力量做好清扫保洁等应急保障工作，按照城市管理保障应急机制要求，保证人员及时到达指定位置，并根据应急指令服从统一调配。</w:t>
      </w:r>
    </w:p>
    <w:p>
      <w:pPr>
        <w:tabs>
          <w:tab w:val="left" w:pos="720"/>
        </w:tabs>
        <w:adjustRightInd w:val="0"/>
        <w:snapToGrid w:val="0"/>
        <w:spacing w:line="360" w:lineRule="auto"/>
        <w:rPr>
          <w:rFonts w:ascii="宋体" w:hAnsi="宋体"/>
          <w:sz w:val="24"/>
        </w:rPr>
      </w:pPr>
      <w:r>
        <w:rPr>
          <w:rFonts w:hint="eastAsia" w:ascii="宋体" w:hAnsi="宋体"/>
          <w:sz w:val="24"/>
        </w:rPr>
        <w:t>（7）加强管理，确保在国家、省、市、区的各项检查中不失责任分。</w:t>
      </w:r>
    </w:p>
    <w:p>
      <w:pPr>
        <w:adjustRightInd w:val="0"/>
        <w:snapToGrid w:val="0"/>
        <w:spacing w:line="360" w:lineRule="auto"/>
        <w:rPr>
          <w:rFonts w:ascii="宋体" w:hAnsi="宋体"/>
          <w:b/>
          <w:sz w:val="24"/>
        </w:rPr>
      </w:pPr>
      <w:r>
        <w:rPr>
          <w:rFonts w:hint="eastAsia" w:ascii="宋体" w:hAnsi="宋体"/>
          <w:b/>
          <w:sz w:val="24"/>
        </w:rPr>
        <w:t>2.管理要求：</w:t>
      </w:r>
    </w:p>
    <w:p>
      <w:pPr>
        <w:numPr>
          <w:ilvl w:val="0"/>
          <w:numId w:val="5"/>
        </w:numPr>
        <w:adjustRightInd w:val="0"/>
        <w:snapToGrid w:val="0"/>
        <w:spacing w:line="360" w:lineRule="auto"/>
        <w:rPr>
          <w:rFonts w:ascii="宋体" w:hAnsi="宋体"/>
          <w:sz w:val="24"/>
        </w:rPr>
      </w:pPr>
      <w:r>
        <w:rPr>
          <w:rFonts w:hint="eastAsia" w:ascii="宋体" w:hAnsi="宋体"/>
          <w:sz w:val="24"/>
        </w:rPr>
        <w:t>乙方在保洁作业中投入的机械设备、人员配置等必须与投标文件中所承诺的数量规格相符合。加强日常作业质量管理，做好作业质量自查日记，每月25日前报送工作报表。</w:t>
      </w:r>
    </w:p>
    <w:p>
      <w:pPr>
        <w:numPr>
          <w:ilvl w:val="0"/>
          <w:numId w:val="5"/>
        </w:numPr>
        <w:adjustRightInd w:val="0"/>
        <w:snapToGrid w:val="0"/>
        <w:spacing w:line="360" w:lineRule="auto"/>
        <w:rPr>
          <w:rFonts w:ascii="宋体" w:hAnsi="宋体"/>
          <w:sz w:val="24"/>
        </w:rPr>
      </w:pPr>
      <w:r>
        <w:rPr>
          <w:rFonts w:hint="eastAsia" w:ascii="宋体" w:hAnsi="宋体"/>
          <w:sz w:val="24"/>
        </w:rPr>
        <w:t>规范管理、文明作业、自觉接受招标单位及其上级各部门领导的检查和社会监督，对出现的问题要及时整改。</w:t>
      </w:r>
    </w:p>
    <w:p>
      <w:pPr>
        <w:numPr>
          <w:ilvl w:val="0"/>
          <w:numId w:val="5"/>
        </w:numPr>
        <w:adjustRightInd w:val="0"/>
        <w:snapToGrid w:val="0"/>
        <w:spacing w:line="360" w:lineRule="auto"/>
        <w:rPr>
          <w:rFonts w:ascii="宋体" w:hAnsi="宋体"/>
          <w:sz w:val="24"/>
        </w:rPr>
      </w:pPr>
      <w:r>
        <w:rPr>
          <w:rFonts w:hint="eastAsia" w:ascii="宋体" w:hAnsi="宋体"/>
          <w:sz w:val="24"/>
        </w:rPr>
        <w:t>作业时应严格遵守交通规则、遵守劳动纪律、遵守安全操作规程，作业人员须统一穿戴安全反光背心和反光帽，佩证上岗。新职工上岗前必须组织安全教育培训，掌握安全作业知识后方能上岗作业。加强日常安全生产管理，确保职工人身安全。如遇各种意外事故发生由中标单位自行负责，并依照法律法规妥善处理（事故情况应及时告知招标单位）。</w:t>
      </w:r>
    </w:p>
    <w:p>
      <w:pPr>
        <w:numPr>
          <w:ilvl w:val="0"/>
          <w:numId w:val="5"/>
        </w:numPr>
        <w:adjustRightInd w:val="0"/>
        <w:snapToGrid w:val="0"/>
        <w:spacing w:line="360" w:lineRule="auto"/>
        <w:rPr>
          <w:rFonts w:ascii="宋体" w:hAnsi="宋体"/>
          <w:sz w:val="24"/>
        </w:rPr>
      </w:pPr>
      <w:r>
        <w:rPr>
          <w:rFonts w:hint="eastAsia" w:ascii="宋体" w:hAnsi="宋体"/>
          <w:sz w:val="24"/>
        </w:rPr>
        <w:t>乙方不得以任何名义擅自向沿街单位和个人收取环卫保洁费用。</w:t>
      </w:r>
    </w:p>
    <w:p>
      <w:pPr>
        <w:numPr>
          <w:ilvl w:val="0"/>
          <w:numId w:val="5"/>
        </w:numPr>
        <w:adjustRightInd w:val="0"/>
        <w:snapToGrid w:val="0"/>
        <w:spacing w:line="360" w:lineRule="auto"/>
        <w:rPr>
          <w:rFonts w:ascii="宋体" w:hAnsi="宋体"/>
          <w:sz w:val="24"/>
        </w:rPr>
      </w:pPr>
      <w:r>
        <w:rPr>
          <w:rFonts w:hint="eastAsia" w:ascii="宋体" w:hAnsi="宋体"/>
          <w:sz w:val="24"/>
        </w:rPr>
        <w:t>果壳箱应定期保养保持整洁完好无缺失，承包期间因作业操作不善或其它原因造成破损、缺失、被盗的，由乙方承担费用并负责修复或更新（果壳箱更换款式应保持原样，或经采购人同意后调整款式）。</w:t>
      </w:r>
    </w:p>
    <w:p>
      <w:pPr>
        <w:numPr>
          <w:ilvl w:val="0"/>
          <w:numId w:val="5"/>
        </w:numPr>
        <w:adjustRightInd w:val="0"/>
        <w:snapToGrid w:val="0"/>
        <w:spacing w:line="360" w:lineRule="auto"/>
        <w:rPr>
          <w:rFonts w:ascii="宋体" w:hAnsi="宋体"/>
          <w:sz w:val="24"/>
        </w:rPr>
      </w:pPr>
      <w:r>
        <w:rPr>
          <w:rFonts w:hint="eastAsia" w:ascii="宋体" w:hAnsi="宋体"/>
          <w:sz w:val="24"/>
        </w:rPr>
        <w:t>机动、人力车辆应按时冲洗保养保持外观整洁，无抛洒滴漏、无满溢、无吊挂，车辆符合环卫标准化管理要求。</w:t>
      </w:r>
    </w:p>
    <w:p>
      <w:pPr>
        <w:numPr>
          <w:ilvl w:val="0"/>
          <w:numId w:val="5"/>
        </w:numPr>
        <w:adjustRightInd w:val="0"/>
        <w:snapToGrid w:val="0"/>
        <w:spacing w:line="360" w:lineRule="auto"/>
        <w:rPr>
          <w:rFonts w:ascii="宋体" w:hAnsi="宋体"/>
          <w:sz w:val="24"/>
        </w:rPr>
      </w:pPr>
      <w:r>
        <w:rPr>
          <w:rFonts w:hint="eastAsia" w:ascii="宋体" w:hAnsi="宋体"/>
          <w:sz w:val="24"/>
        </w:rPr>
        <w:t>垃圾应倾倒在指定的垃圾中转站，不得焚烧垃圾、树叶，确需垃圾二次转运的应在指定地点进行，不得直接在保洁道路上进行。</w:t>
      </w:r>
    </w:p>
    <w:p>
      <w:pPr>
        <w:numPr>
          <w:ilvl w:val="0"/>
          <w:numId w:val="5"/>
        </w:numPr>
        <w:adjustRightInd w:val="0"/>
        <w:snapToGrid w:val="0"/>
        <w:spacing w:line="360" w:lineRule="auto"/>
        <w:rPr>
          <w:rFonts w:ascii="宋体" w:hAnsi="宋体"/>
          <w:sz w:val="24"/>
        </w:rPr>
      </w:pPr>
      <w:r>
        <w:rPr>
          <w:rFonts w:hint="eastAsia" w:ascii="宋体" w:hAnsi="宋体"/>
          <w:sz w:val="24"/>
        </w:rPr>
        <w:t>如遇渣土抛洒污染路面等情况，乙方应及时举报执法部门，同时配合相关部门进行道路清理冲洗。</w:t>
      </w:r>
    </w:p>
    <w:p>
      <w:pPr>
        <w:numPr>
          <w:ilvl w:val="0"/>
          <w:numId w:val="5"/>
        </w:numPr>
        <w:adjustRightInd w:val="0"/>
        <w:snapToGrid w:val="0"/>
        <w:spacing w:line="360" w:lineRule="auto"/>
        <w:rPr>
          <w:rFonts w:ascii="宋体" w:hAnsi="宋体"/>
          <w:sz w:val="24"/>
        </w:rPr>
      </w:pPr>
      <w:r>
        <w:rPr>
          <w:rFonts w:hint="eastAsia" w:ascii="宋体" w:hAnsi="宋体"/>
          <w:sz w:val="24"/>
        </w:rPr>
        <w:t>专用作业车辆要有反光标志、有编号、有监督电话、有责任单位、车辆停放场所乙方自行负责解决。</w:t>
      </w:r>
    </w:p>
    <w:p>
      <w:pPr>
        <w:numPr>
          <w:ilvl w:val="0"/>
          <w:numId w:val="5"/>
        </w:numPr>
        <w:adjustRightInd w:val="0"/>
        <w:snapToGrid w:val="0"/>
        <w:spacing w:line="360" w:lineRule="auto"/>
        <w:rPr>
          <w:rFonts w:hint="eastAsia"/>
          <w:b/>
          <w:bCs/>
          <w:color w:val="000000"/>
          <w:sz w:val="24"/>
        </w:rPr>
      </w:pPr>
      <w:r>
        <w:rPr>
          <w:rFonts w:hint="eastAsia" w:ascii="宋体" w:hAnsi="宋体"/>
          <w:sz w:val="24"/>
        </w:rPr>
        <w:t>本着以人为本、关爱职工的理念，严格遵守有关劳动法规，落实《杭州市人民政府办公厅关于进一步解决环卫工人实际困难，保障其合法权益的意见》精神。如因违法、违规并造成不良后果的，其责任由乙方自负。</w:t>
      </w:r>
    </w:p>
    <w:p>
      <w:pPr>
        <w:widowControl/>
        <w:adjustRightInd w:val="0"/>
        <w:snapToGrid w:val="0"/>
        <w:spacing w:line="360" w:lineRule="auto"/>
        <w:ind w:firstLine="482" w:firstLineChars="200"/>
        <w:rPr>
          <w:rFonts w:hint="eastAsia" w:ascii="宋体" w:hAnsi="宋体" w:cs="宋体"/>
          <w:b/>
          <w:bCs/>
          <w:kern w:val="0"/>
          <w:sz w:val="24"/>
        </w:rPr>
      </w:pPr>
      <w:r>
        <w:rPr>
          <w:rFonts w:hint="eastAsia" w:ascii="宋体" w:hAnsi="宋体" w:cs="宋体"/>
          <w:b/>
          <w:bCs/>
          <w:kern w:val="0"/>
          <w:sz w:val="24"/>
        </w:rPr>
        <w:t>公厕养护标准</w:t>
      </w:r>
    </w:p>
    <w:p>
      <w:pPr>
        <w:widowControl/>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1.按规范进行保洁作业，厕所内外环境保持干净整洁有序。24小时免费开放公厕，16小时保洁（6:00—22:00）。</w:t>
      </w:r>
    </w:p>
    <w:p>
      <w:pPr>
        <w:widowControl/>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2.保洁员应着统一的工作服并佩带上岗证。免费向公众提供洗手液和手纸服务，保持足够用量。保洁作业时需设置警示牌，冲洗厕所地面和雨雪冰冻天气时需铺设防滑垫。保洁作业时主动避让如厕人员。</w:t>
      </w:r>
    </w:p>
    <w:p>
      <w:pPr>
        <w:widowControl/>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3.公厕天花板、内外墙面、门窗、洗手池及台面、拖把池、大小便厕位隔断、搁物台、上下水管、镜子等无积尘、无污迹、无蛛网、无乱涂乱画。公厕内的垃圾桶或厕位纸篓，应及时清理，保持设施完好干净整洁，无满溢现象。公厕内无杂物堆放。公厕及厕位地面清洁无垃圾、污迹、积水。公厕内通风良好，无臭味。</w:t>
      </w:r>
    </w:p>
    <w:p>
      <w:pPr>
        <w:widowControl/>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4.小便器（槽）、坑位清洁无水锈、尿垢、垃圾，沟眼、管道保持畅通。</w:t>
      </w:r>
    </w:p>
    <w:p>
      <w:pPr>
        <w:widowControl/>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5.保持公厕设施完好，功能正常。公厕内外墙面无渗漏、破损，地面平整无破损。天花板、门窗及锁、窗栅、大小便厕位隔断、搁物台及金属扣件、镜子、挂衣钩、洗手池台面及水池、大小便器、水龙头、拖把池、水箱、水阀、上下水管无缺失、破损及生锈。公厕倒粪处门、瓷砖等设施完好。</w:t>
      </w:r>
    </w:p>
    <w:p>
      <w:pPr>
        <w:widowControl/>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6.它标准参照《城市公共厕所建设与管理标准》（DB33T 1210-2020 ）执行。</w:t>
      </w:r>
    </w:p>
    <w:p>
      <w:pPr>
        <w:spacing w:line="360" w:lineRule="auto"/>
        <w:rPr>
          <w:rFonts w:hint="eastAsia"/>
          <w:b/>
          <w:bCs/>
          <w:sz w:val="24"/>
        </w:rPr>
      </w:pPr>
      <w:r>
        <w:rPr>
          <w:rFonts w:hint="eastAsia"/>
          <w:b/>
          <w:bCs/>
          <w:sz w:val="24"/>
        </w:rPr>
        <w:t>3、本工程有关的特殊条款</w:t>
      </w:r>
    </w:p>
    <w:p>
      <w:pPr>
        <w:spacing w:line="360" w:lineRule="auto"/>
        <w:ind w:firstLine="482" w:firstLineChars="200"/>
        <w:rPr>
          <w:rFonts w:hint="eastAsia"/>
          <w:b/>
          <w:bCs/>
          <w:sz w:val="24"/>
        </w:rPr>
      </w:pPr>
      <w:r>
        <w:rPr>
          <w:rFonts w:hint="eastAsia"/>
          <w:b/>
          <w:bCs/>
          <w:sz w:val="24"/>
        </w:rPr>
        <w:t>（1）清扫保洁期内,必须投入相应的机械等设备，符合杭州市环卫行业标准化管理的要求。</w:t>
      </w:r>
    </w:p>
    <w:p>
      <w:pPr>
        <w:spacing w:line="360" w:lineRule="auto"/>
        <w:ind w:firstLine="482" w:firstLineChars="200"/>
        <w:rPr>
          <w:rFonts w:hint="eastAsia"/>
          <w:b/>
          <w:bCs/>
          <w:sz w:val="24"/>
        </w:rPr>
      </w:pPr>
      <w:r>
        <w:rPr>
          <w:rFonts w:hint="eastAsia"/>
          <w:b/>
          <w:bCs/>
          <w:sz w:val="24"/>
        </w:rPr>
        <w:t>（2）清扫保洁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力进行整治所涉及的费用，由中标单位双倍偿还招标人，招标人有权直接在养护费中扣除。</w:t>
      </w:r>
    </w:p>
    <w:p>
      <w:pPr>
        <w:spacing w:line="360" w:lineRule="auto"/>
        <w:ind w:firstLine="482" w:firstLineChars="200"/>
        <w:rPr>
          <w:rFonts w:hint="eastAsia"/>
          <w:b/>
          <w:bCs/>
          <w:sz w:val="24"/>
        </w:rPr>
      </w:pPr>
      <w:r>
        <w:rPr>
          <w:rFonts w:hint="eastAsia"/>
          <w:b/>
          <w:bCs/>
          <w:sz w:val="24"/>
        </w:rPr>
        <w:t>（3）养护期限内，采购人有权直接委托中标单位养护管理本标段</w:t>
      </w:r>
      <w:r>
        <w:rPr>
          <w:rFonts w:hint="eastAsia"/>
          <w:b/>
          <w:bCs/>
          <w:sz w:val="24"/>
          <w:lang w:val="en-US" w:eastAsia="zh-CN"/>
        </w:rPr>
        <w:t>15</w:t>
      </w:r>
      <w:r>
        <w:rPr>
          <w:rFonts w:hint="eastAsia"/>
          <w:b/>
          <w:bCs/>
          <w:sz w:val="24"/>
        </w:rPr>
        <w:t>%以下工程量的保洁面积</w:t>
      </w:r>
      <w:r>
        <w:rPr>
          <w:rFonts w:hint="eastAsia"/>
          <w:b/>
          <w:bCs/>
          <w:sz w:val="24"/>
          <w:lang w:val="en-US" w:eastAsia="zh-CN"/>
        </w:rPr>
        <w:t>或养护时间不超6个月的保洁任务</w:t>
      </w:r>
      <w:r>
        <w:rPr>
          <w:rFonts w:hint="eastAsia"/>
          <w:b/>
          <w:bCs/>
          <w:sz w:val="24"/>
        </w:rPr>
        <w:t>，采购人不额外增加养护费。</w:t>
      </w:r>
    </w:p>
    <w:p>
      <w:pPr>
        <w:spacing w:line="360" w:lineRule="auto"/>
        <w:ind w:firstLine="482" w:firstLineChars="200"/>
        <w:rPr>
          <w:rFonts w:hint="eastAsia"/>
          <w:b/>
          <w:bCs/>
          <w:sz w:val="24"/>
        </w:rPr>
      </w:pPr>
      <w:r>
        <w:rPr>
          <w:rFonts w:hint="eastAsia"/>
          <w:b/>
          <w:bCs/>
          <w:sz w:val="24"/>
        </w:rPr>
        <w:t>（4）清扫保洁期内所发生的任何安全事故一律由中标单位负责，招标人不承担任何责任。</w:t>
      </w:r>
    </w:p>
    <w:p>
      <w:pPr>
        <w:spacing w:line="360" w:lineRule="auto"/>
        <w:ind w:firstLine="482" w:firstLineChars="200"/>
        <w:rPr>
          <w:rFonts w:hint="eastAsia"/>
          <w:b/>
          <w:bCs/>
          <w:sz w:val="24"/>
        </w:rPr>
      </w:pPr>
      <w:r>
        <w:rPr>
          <w:rFonts w:hint="eastAsia"/>
          <w:b/>
          <w:bCs/>
          <w:sz w:val="24"/>
        </w:rPr>
        <w:t>（5）清扫保洁期内，中标单位所产生的各项费用（</w:t>
      </w:r>
      <w:r>
        <w:rPr>
          <w:rFonts w:hint="eastAsia" w:ascii="宋体" w:hAnsi="宋体"/>
          <w:b/>
          <w:bCs/>
          <w:sz w:val="24"/>
        </w:rPr>
        <w:t>迎检保障工作、防台抗洪、防雪抗冻、突击整治等各类应急工作</w:t>
      </w:r>
      <w:r>
        <w:rPr>
          <w:rFonts w:hint="eastAsia"/>
          <w:b/>
          <w:bCs/>
          <w:sz w:val="24"/>
        </w:rPr>
        <w:t>），由中标单位负责列入报价，招标人不再追加费用。</w:t>
      </w:r>
    </w:p>
    <w:p>
      <w:pPr>
        <w:spacing w:line="360" w:lineRule="auto"/>
        <w:ind w:firstLine="482" w:firstLineChars="200"/>
        <w:rPr>
          <w:rFonts w:hint="eastAsia"/>
          <w:b/>
          <w:bCs/>
          <w:sz w:val="24"/>
        </w:rPr>
      </w:pPr>
      <w:r>
        <w:rPr>
          <w:rFonts w:hint="eastAsia"/>
          <w:b/>
          <w:bCs/>
          <w:sz w:val="24"/>
        </w:rPr>
        <w:t>（6）</w:t>
      </w:r>
      <w:r>
        <w:rPr>
          <w:rFonts w:hint="eastAsia" w:ascii="宋体" w:hAnsi="宋体"/>
          <w:b/>
          <w:sz w:val="24"/>
        </w:rPr>
        <w:t>中标单位不得向沿街单位和个人收取任何费用（包括门前三包）。</w:t>
      </w:r>
    </w:p>
    <w:p>
      <w:pPr>
        <w:spacing w:line="360" w:lineRule="auto"/>
        <w:ind w:firstLine="482" w:firstLineChars="200"/>
        <w:rPr>
          <w:rFonts w:hint="eastAsia"/>
          <w:b/>
          <w:bCs/>
          <w:sz w:val="24"/>
        </w:rPr>
      </w:pPr>
      <w:r>
        <w:rPr>
          <w:rFonts w:hint="eastAsia"/>
          <w:b/>
          <w:bCs/>
          <w:sz w:val="24"/>
        </w:rPr>
        <w:t>（7）中标单位不得将本项目分包或转包，否则招标人有权责令其停止作业并中止承包合同，所造成的损失由中标单位负责。</w:t>
      </w:r>
    </w:p>
    <w:p>
      <w:pPr>
        <w:autoSpaceDE w:val="0"/>
        <w:autoSpaceDN w:val="0"/>
        <w:adjustRightInd w:val="0"/>
        <w:spacing w:line="360" w:lineRule="auto"/>
        <w:ind w:firstLine="479" w:firstLineChars="199"/>
        <w:jc w:val="left"/>
        <w:rPr>
          <w:rFonts w:hint="eastAsia" w:ascii="宋体" w:hAnsi="宋体"/>
          <w:b/>
          <w:bCs/>
          <w:sz w:val="24"/>
        </w:rPr>
      </w:pPr>
      <w:r>
        <w:rPr>
          <w:rFonts w:hint="eastAsia" w:ascii="宋体" w:hAnsi="宋体"/>
          <w:b/>
          <w:bCs/>
          <w:sz w:val="24"/>
        </w:rPr>
        <w:t>（8）招标人有权采用数字管理平台对保洁车辆、保洁人员进行作业监管，修改完善考核标准，投标人应无条件接受。</w:t>
      </w:r>
    </w:p>
    <w:p>
      <w:pPr>
        <w:spacing w:line="360" w:lineRule="auto"/>
        <w:ind w:firstLine="482" w:firstLineChars="200"/>
        <w:rPr>
          <w:rFonts w:hint="eastAsia"/>
          <w:b/>
          <w:bCs/>
          <w:sz w:val="24"/>
        </w:rPr>
      </w:pPr>
      <w:r>
        <w:rPr>
          <w:rFonts w:hint="eastAsia"/>
          <w:b/>
          <w:bCs/>
          <w:sz w:val="24"/>
        </w:rPr>
        <w:t>（9）公厕内的公共设施必须细心看管，认真维护，如遇丢失或损坏均由中标单位负责购置或维修，所需费用也由中标单位承担。公厕保洁过程中，如遇粪坑倒溢，粪管堵塞等情况，中标单位需及时采取措施，处理好类似情况。（处置类似情况费用由中标人承担）</w:t>
      </w:r>
    </w:p>
    <w:p>
      <w:pPr>
        <w:pStyle w:val="2"/>
        <w:spacing w:line="360" w:lineRule="auto"/>
        <w:ind w:firstLine="482" w:firstLineChars="200"/>
        <w:rPr>
          <w:rFonts w:hint="eastAsia"/>
          <w:lang w:eastAsia="zh-CN"/>
        </w:rPr>
      </w:pPr>
      <w:r>
        <w:rPr>
          <w:rFonts w:hint="eastAsia"/>
          <w:b/>
          <w:bCs/>
          <w:sz w:val="24"/>
          <w:lang w:eastAsia="zh-CN"/>
        </w:rPr>
        <w:t>（</w:t>
      </w:r>
      <w:r>
        <w:rPr>
          <w:rFonts w:hint="eastAsia"/>
          <w:b/>
          <w:bCs/>
          <w:sz w:val="24"/>
          <w:lang w:val="en-US" w:eastAsia="zh-CN"/>
        </w:rPr>
        <w:t>10</w:t>
      </w:r>
      <w:r>
        <w:rPr>
          <w:rFonts w:hint="eastAsia"/>
          <w:b/>
          <w:bCs/>
          <w:sz w:val="24"/>
          <w:lang w:eastAsia="zh-CN"/>
        </w:rPr>
        <w:t>）</w:t>
      </w:r>
      <w:r>
        <w:rPr>
          <w:rFonts w:hint="eastAsia" w:ascii="宋体" w:hAnsi="宋体"/>
          <w:b/>
          <w:bCs/>
          <w:color w:val="auto"/>
          <w:sz w:val="24"/>
        </w:rPr>
        <w:t>投标单位需承诺中标后一周内由甲方验收投标承诺车辆，喷绘</w:t>
      </w:r>
      <w:r>
        <w:rPr>
          <w:rFonts w:hint="eastAsia" w:ascii="宋体" w:hAnsi="宋体"/>
          <w:b/>
          <w:bCs/>
          <w:color w:val="auto"/>
          <w:sz w:val="24"/>
          <w:lang w:val="en-US" w:eastAsia="zh-CN"/>
        </w:rPr>
        <w:t>统一</w:t>
      </w:r>
      <w:r>
        <w:rPr>
          <w:rFonts w:hint="eastAsia" w:ascii="宋体" w:hAnsi="宋体"/>
          <w:b/>
          <w:bCs/>
          <w:color w:val="auto"/>
          <w:sz w:val="24"/>
        </w:rPr>
        <w:t>标识，并在所有车辆上安装GPS定位系统，如中标单位不能按时提供，招标人将取消中标单位资格，并报备区交易中心及城管局</w:t>
      </w:r>
      <w:r>
        <w:rPr>
          <w:rFonts w:hint="eastAsia" w:ascii="宋体" w:hAnsi="宋体"/>
          <w:b/>
          <w:bCs/>
          <w:color w:val="auto"/>
          <w:sz w:val="24"/>
          <w:lang w:eastAsia="zh-CN"/>
        </w:rPr>
        <w:t>。</w:t>
      </w:r>
    </w:p>
    <w:p>
      <w:pPr>
        <w:pStyle w:val="2"/>
        <w:spacing w:line="360" w:lineRule="auto"/>
        <w:ind w:firstLine="482" w:firstLineChars="200"/>
        <w:rPr>
          <w:rFonts w:hint="default"/>
          <w:b/>
          <w:bCs/>
          <w:sz w:val="24"/>
          <w:lang w:val="en-US" w:eastAsia="zh-CN"/>
        </w:rPr>
      </w:pPr>
      <w:r>
        <w:rPr>
          <w:rFonts w:hint="eastAsia"/>
          <w:b/>
          <w:bCs/>
          <w:sz w:val="24"/>
          <w:lang w:eastAsia="zh-CN"/>
        </w:rPr>
        <w:t>（</w:t>
      </w:r>
      <w:r>
        <w:rPr>
          <w:rFonts w:hint="eastAsia"/>
          <w:b/>
          <w:bCs/>
          <w:sz w:val="24"/>
          <w:lang w:val="en-US" w:eastAsia="zh-CN"/>
        </w:rPr>
        <w:t>11</w:t>
      </w:r>
      <w:r>
        <w:rPr>
          <w:rFonts w:hint="eastAsia"/>
          <w:b/>
          <w:bCs/>
          <w:sz w:val="24"/>
          <w:lang w:eastAsia="zh-CN"/>
        </w:rPr>
        <w:t>）</w:t>
      </w:r>
      <w:r>
        <w:rPr>
          <w:rFonts w:hint="eastAsia"/>
          <w:b/>
          <w:bCs/>
          <w:sz w:val="24"/>
          <w:lang w:val="en-US" w:eastAsia="zh-CN"/>
        </w:rPr>
        <w:t>实际保洁服务期限为签订合同之日起至2025年6月7日，招标期间由周边保洁作业单位进行保洁，2023年1月1日至签订合同之日的保洁服务费由中标单位根据中标价按保洁天数支付给代保洁单位。</w:t>
      </w:r>
    </w:p>
    <w:p>
      <w:pPr>
        <w:pStyle w:val="2"/>
        <w:spacing w:line="360" w:lineRule="auto"/>
        <w:ind w:firstLine="482" w:firstLineChars="200"/>
        <w:rPr>
          <w:rFonts w:hint="eastAsia"/>
          <w:b/>
          <w:bCs/>
          <w:sz w:val="24"/>
          <w:lang w:eastAsia="zh-CN"/>
        </w:rPr>
      </w:pPr>
      <w:r>
        <w:rPr>
          <w:rFonts w:hint="eastAsia"/>
          <w:b/>
          <w:bCs/>
          <w:sz w:val="24"/>
        </w:rPr>
        <w:t>（1</w:t>
      </w:r>
      <w:r>
        <w:rPr>
          <w:rFonts w:hint="eastAsia"/>
          <w:b/>
          <w:bCs/>
          <w:sz w:val="24"/>
          <w:lang w:val="en-US" w:eastAsia="zh-CN"/>
        </w:rPr>
        <w:t>2</w:t>
      </w:r>
      <w:r>
        <w:rPr>
          <w:rFonts w:hint="eastAsia"/>
          <w:b/>
          <w:bCs/>
          <w:sz w:val="24"/>
        </w:rPr>
        <w:t>）</w:t>
      </w:r>
      <w:r>
        <w:rPr>
          <w:rFonts w:hint="eastAsia" w:ascii="宋体" w:hAnsi="宋体"/>
          <w:b/>
          <w:bCs/>
          <w:sz w:val="24"/>
        </w:rPr>
        <w:t>当中标价低于本次招标预算最高限价的85%时，投标人需向招标人提供中标价与招标预算最高限价85%的差额作为风险保证金，作为履约合同的保障，如项目按合同履约完成的，招标人应在项目验收完成后15个工作日内无息退回，如未按合同</w:t>
      </w:r>
      <w:r>
        <w:rPr>
          <w:rFonts w:hint="eastAsia"/>
          <w:b/>
          <w:bCs/>
          <w:sz w:val="24"/>
          <w:lang w:eastAsia="zh-CN"/>
        </w:rPr>
        <w:t>履约完成的，招标人有权委托其他具有完成本项目能力的单位实施本项目的工作，费用在风险保证金支出。</w:t>
      </w:r>
    </w:p>
    <w:p>
      <w:pPr>
        <w:spacing w:line="360" w:lineRule="auto"/>
        <w:ind w:firstLine="482" w:firstLineChars="200"/>
        <w:rPr>
          <w:rFonts w:hint="eastAsia"/>
          <w:b/>
          <w:bCs/>
          <w:sz w:val="24"/>
          <w:highlight w:val="none"/>
        </w:rPr>
      </w:pPr>
    </w:p>
    <w:p>
      <w:pPr>
        <w:numPr>
          <w:ilvl w:val="0"/>
          <w:numId w:val="6"/>
        </w:numPr>
        <w:spacing w:line="360" w:lineRule="auto"/>
        <w:rPr>
          <w:rFonts w:hint="eastAsia" w:ascii="宋体" w:hAnsi="宋体"/>
          <w:b/>
          <w:kern w:val="0"/>
          <w:sz w:val="28"/>
          <w:szCs w:val="28"/>
          <w:highlight w:val="none"/>
          <w:lang w:eastAsia="zh-CN"/>
        </w:rPr>
      </w:pPr>
      <w:r>
        <w:rPr>
          <w:rFonts w:hint="eastAsia" w:ascii="宋体" w:hAnsi="宋体"/>
          <w:b/>
          <w:kern w:val="0"/>
          <w:sz w:val="28"/>
          <w:szCs w:val="28"/>
          <w:highlight w:val="none"/>
        </w:rPr>
        <w:t>服务期限</w:t>
      </w:r>
      <w:r>
        <w:rPr>
          <w:rFonts w:hint="eastAsia" w:ascii="宋体" w:hAnsi="宋体"/>
          <w:b/>
          <w:kern w:val="0"/>
          <w:sz w:val="28"/>
          <w:szCs w:val="28"/>
          <w:highlight w:val="none"/>
          <w:lang w:eastAsia="zh-CN"/>
        </w:rPr>
        <w:t>：</w:t>
      </w:r>
    </w:p>
    <w:p>
      <w:pPr>
        <w:adjustRightInd w:val="0"/>
        <w:snapToGrid w:val="0"/>
        <w:spacing w:line="360" w:lineRule="auto"/>
        <w:ind w:firstLine="482" w:firstLineChars="200"/>
        <w:rPr>
          <w:rFonts w:hint="eastAsia" w:ascii="宋体" w:hAnsi="宋体"/>
          <w:color w:val="FF0000"/>
          <w:kern w:val="0"/>
          <w:sz w:val="24"/>
          <w:highlight w:val="none"/>
        </w:rPr>
      </w:pPr>
      <w:r>
        <w:rPr>
          <w:rFonts w:hint="eastAsia" w:ascii="宋体" w:hAnsi="宋体" w:cs="宋体"/>
          <w:b/>
          <w:color w:val="FF0000"/>
          <w:sz w:val="24"/>
          <w:highlight w:val="none"/>
        </w:rPr>
        <w:t>本项目预算价6566400元/年</w:t>
      </w:r>
      <w:r>
        <w:rPr>
          <w:rFonts w:hint="eastAsia" w:ascii="宋体" w:hAnsi="宋体" w:cs="宋体"/>
          <w:b/>
          <w:color w:val="FF0000"/>
          <w:sz w:val="24"/>
          <w:highlight w:val="none"/>
          <w:lang w:eastAsia="zh-CN"/>
        </w:rPr>
        <w:t>，服务期限预计</w:t>
      </w:r>
      <w:r>
        <w:rPr>
          <w:rFonts w:hint="eastAsia" w:ascii="宋体" w:hAnsi="宋体" w:cs="宋体"/>
          <w:b/>
          <w:color w:val="FF0000"/>
          <w:sz w:val="24"/>
          <w:highlight w:val="none"/>
        </w:rPr>
        <w:t>2023</w:t>
      </w:r>
      <w:r>
        <w:rPr>
          <w:rFonts w:hint="eastAsia" w:ascii="宋体" w:hAnsi="宋体" w:cs="宋体"/>
          <w:b/>
          <w:color w:val="FF0000"/>
          <w:sz w:val="24"/>
          <w:highlight w:val="none"/>
          <w:lang w:eastAsia="zh-CN"/>
        </w:rPr>
        <w:t>年</w:t>
      </w:r>
      <w:r>
        <w:rPr>
          <w:rFonts w:hint="eastAsia" w:ascii="宋体" w:hAnsi="宋体" w:cs="宋体"/>
          <w:b/>
          <w:color w:val="FF0000"/>
          <w:sz w:val="24"/>
          <w:highlight w:val="none"/>
          <w:lang w:val="en-US" w:eastAsia="zh-CN"/>
        </w:rPr>
        <w:t>1月1日至</w:t>
      </w:r>
      <w:r>
        <w:rPr>
          <w:rFonts w:hint="eastAsia" w:ascii="宋体" w:hAnsi="宋体" w:cs="宋体"/>
          <w:b/>
          <w:color w:val="FF0000"/>
          <w:sz w:val="24"/>
          <w:highlight w:val="none"/>
        </w:rPr>
        <w:t>2025</w:t>
      </w:r>
      <w:r>
        <w:rPr>
          <w:rFonts w:hint="eastAsia" w:ascii="宋体" w:hAnsi="宋体" w:cs="宋体"/>
          <w:b/>
          <w:color w:val="FF0000"/>
          <w:sz w:val="24"/>
          <w:highlight w:val="none"/>
          <w:lang w:eastAsia="zh-CN"/>
        </w:rPr>
        <w:t>年</w:t>
      </w:r>
      <w:r>
        <w:rPr>
          <w:rFonts w:hint="eastAsia" w:ascii="宋体" w:hAnsi="宋体" w:cs="宋体"/>
          <w:b/>
          <w:color w:val="FF0000"/>
          <w:sz w:val="24"/>
          <w:highlight w:val="none"/>
        </w:rPr>
        <w:t>6</w:t>
      </w:r>
      <w:r>
        <w:rPr>
          <w:rFonts w:hint="eastAsia" w:ascii="宋体" w:hAnsi="宋体" w:cs="宋体"/>
          <w:b/>
          <w:color w:val="FF0000"/>
          <w:sz w:val="24"/>
          <w:highlight w:val="none"/>
          <w:lang w:eastAsia="zh-CN"/>
        </w:rPr>
        <w:t>月</w:t>
      </w:r>
      <w:r>
        <w:rPr>
          <w:rFonts w:hint="eastAsia" w:ascii="宋体" w:hAnsi="宋体" w:cs="宋体"/>
          <w:b/>
          <w:color w:val="FF0000"/>
          <w:sz w:val="24"/>
          <w:highlight w:val="none"/>
        </w:rPr>
        <w:t xml:space="preserve">7 </w:t>
      </w:r>
      <w:r>
        <w:rPr>
          <w:rFonts w:hint="eastAsia" w:ascii="宋体" w:hAnsi="宋体" w:cs="宋体"/>
          <w:b/>
          <w:color w:val="FF0000"/>
          <w:sz w:val="24"/>
          <w:highlight w:val="none"/>
          <w:lang w:eastAsia="zh-CN"/>
        </w:rPr>
        <w:t>日，</w:t>
      </w:r>
      <w:r>
        <w:rPr>
          <w:rFonts w:hint="eastAsia" w:ascii="宋体" w:hAnsi="宋体" w:cs="宋体"/>
          <w:b/>
          <w:color w:val="FF0000"/>
          <w:sz w:val="24"/>
          <w:highlight w:val="none"/>
        </w:rPr>
        <w:t>若在合同期内乙方有严重违约行为，甲方有权提前终止合同，由此造成的一切后果和损失由乙方承担。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b/>
          <w:kern w:val="0"/>
          <w:sz w:val="24"/>
          <w:highlight w:val="none"/>
        </w:rPr>
      </w:pPr>
      <w:r>
        <w:rPr>
          <w:rFonts w:hint="eastAsia" w:ascii="宋体" w:hAnsi="宋体"/>
          <w:b/>
          <w:kern w:val="0"/>
          <w:sz w:val="24"/>
          <w:highlight w:val="none"/>
        </w:rPr>
        <w:t xml:space="preserve">六、 甲方权利及义务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rPr>
        <w:t>1） 甲方有权指派专人定期不定期按照卫生保洁标准进行检查，如发现卫生不符合甲方要求，在规定期限内未及时整改，甲方将以书面形式通知乙方并视情况给予一定的经济处罚。（具体有甲乙双方协商并签定《奖惩条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rPr>
        <w:t>2） 甲方有权要求乙方更换项目内包括负责人及保洁员等工作人员。甲方尽可能为乙方顺利开展工作提供协调、帮助。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lang w:val="en-US" w:eastAsia="zh-CN"/>
        </w:rPr>
        <w:t>3</w:t>
      </w:r>
      <w:r>
        <w:rPr>
          <w:rFonts w:hint="eastAsia" w:ascii="宋体" w:hAnsi="宋体"/>
          <w:kern w:val="0"/>
          <w:sz w:val="24"/>
        </w:rPr>
        <w:t>） 甲方有权利要求乙方应遵守景区各项管理制度，服从甲方的管理和指挥。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lang w:val="en-US" w:eastAsia="zh-CN"/>
        </w:rPr>
        <w:t>4</w:t>
      </w:r>
      <w:r>
        <w:rPr>
          <w:rFonts w:hint="eastAsia" w:ascii="宋体" w:hAnsi="宋体"/>
          <w:kern w:val="0"/>
          <w:sz w:val="24"/>
        </w:rPr>
        <w:t>） 甲方为乙方</w:t>
      </w:r>
      <w:r>
        <w:rPr>
          <w:rFonts w:hint="eastAsia" w:ascii="宋体" w:hAnsi="宋体"/>
          <w:kern w:val="0"/>
          <w:sz w:val="24"/>
          <w:lang w:val="en-US" w:eastAsia="zh-CN"/>
        </w:rPr>
        <w:t>协助</w:t>
      </w:r>
      <w:r>
        <w:rPr>
          <w:rFonts w:hint="eastAsia" w:ascii="宋体" w:hAnsi="宋体"/>
          <w:kern w:val="0"/>
          <w:sz w:val="24"/>
        </w:rPr>
        <w:t>提供工作必须的基本用水、用电。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lang w:val="en-US" w:eastAsia="zh-CN"/>
        </w:rPr>
        <w:t>5</w:t>
      </w:r>
      <w:r>
        <w:rPr>
          <w:rFonts w:hint="eastAsia" w:ascii="宋体" w:hAnsi="宋体"/>
          <w:kern w:val="0"/>
          <w:sz w:val="24"/>
        </w:rPr>
        <w:t>） 甲方按合同约定时间支付乙方的保洁服务费用。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rPr>
        <w:t>7） 在乙方不能达到所承诺标准时，甲方有权抽调其他人员完成保洁任务，产生费用由乙方承担，其中人员费用按照乙方加班费处理。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b/>
          <w:bCs/>
          <w:kern w:val="0"/>
          <w:sz w:val="24"/>
        </w:rPr>
      </w:pPr>
      <w:r>
        <w:rPr>
          <w:rFonts w:hint="eastAsia" w:ascii="宋体" w:hAnsi="宋体"/>
          <w:b/>
          <w:bCs/>
          <w:kern w:val="0"/>
          <w:sz w:val="24"/>
        </w:rPr>
        <w:t>六、乙方权利及义务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rPr>
        <w:t>1) 乙方必须严格按照作业程序和约定的标准履行保洁义务，自行提供保洁工作必需的设备、工具、药剂、材料等。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rPr>
        <w:t>2) 严格履行各项承诺。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rPr>
        <w:t>3) 乙方的保洁工作人员必须身体健康（有卫生机构颁发的健康证明）、仪容端正、品德良好，外埠员工要有原籍***开具无犯罪证明，要统一着装上岗。</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rPr>
        <w:t>4) 乙方根据项目制定新员工培训、日常员工培训、考核、奖惩以及考勤管理办法和工作流程等规章制度。对于保洁员偷盗、打架斗殴、顶撞、辱骂等行为，要有明确的惩罚措施。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rPr>
        <w:t>5) 乙方要严格实行定岗定员，人员状况如有变更，乙方应提前五个工作日通知甲方。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rPr>
        <w:t>6) 乙方主管每日对保洁工作质量进行检查，并每周征求甲方对保洁工作的意见和建议，对存在的问题及时处理。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rPr>
        <w:t>7) 乙方无特殊原因不能任意变更工作程序、工作时间、人员数量，必须向甲方负责人报告，批准后方可实施。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rPr>
        <w:t>8) 乙方应严格要求保洁工作人员执行工具放置、个人物品摆放等各种标准。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rPr>
        <w:t>9) 乙方全面贯彻服务承诺，并接受甲方的监督检查，全面履行《奖惩条例》。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rPr>
        <w:t>10) 积极配合甲方的各项工作。在节能、安全、设施故障、参观检查、大型活动等，保洁工作的开展要遵守甲方的管理要求和景区的有关管理规定。乙方应遵循安全生产、文明保洁的有关规定，在规定的服务范围内进行卫生保洁过程中，采取严格的安全措施，如发生人身安全事故，责任与费用由乙方承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b/>
          <w:bCs/>
          <w:kern w:val="0"/>
          <w:sz w:val="24"/>
        </w:rPr>
      </w:pPr>
      <w:r>
        <w:rPr>
          <w:rFonts w:hint="eastAsia" w:ascii="宋体" w:hAnsi="宋体"/>
          <w:b/>
          <w:bCs/>
          <w:kern w:val="0"/>
          <w:sz w:val="24"/>
        </w:rPr>
        <w:t>七、 违约责任和仲裁条款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rPr>
        <w:t>1) 如因合同双方的任何一方未履行合同或未完全履行合同，致使另一方遭受损失，除依法可以免除责任的以外，对造成损失负有责任的一方应赔偿对方的损失；</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rPr>
        <w:t>2) 如合同双方任何一方由于不可抗拒原因致使合同无法正常履行，则由责任方承担责任。但乙方有协助处理问题的义务；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rPr>
        <w:t>3) 乙方服务质量未达到标准要求，并经甲方三次书面警告无效果时，甲方有权单方面终止合同；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kern w:val="0"/>
          <w:sz w:val="24"/>
        </w:rPr>
      </w:pPr>
      <w:r>
        <w:rPr>
          <w:rFonts w:hint="eastAsia" w:ascii="宋体" w:hAnsi="宋体"/>
          <w:kern w:val="0"/>
          <w:sz w:val="24"/>
        </w:rPr>
        <w:t>4) 如果单方面提出终止合同，至少提前2个月通知对方，且需双方协商决定，违约方向对方赔偿未履行合同金额的10%；</w:t>
      </w:r>
    </w:p>
    <w:p>
      <w:pPr>
        <w:spacing w:line="360" w:lineRule="auto"/>
        <w:rPr>
          <w:rFonts w:hint="eastAsia" w:ascii="宋体" w:hAnsi="宋体" w:cs="宋体"/>
          <w:b/>
          <w:color w:val="000000"/>
          <w:kern w:val="0"/>
          <w:sz w:val="24"/>
          <w:lang w:bidi="ar"/>
        </w:rPr>
      </w:pPr>
      <w:r>
        <w:rPr>
          <w:rFonts w:hint="eastAsia" w:ascii="宋体" w:hAnsi="宋体"/>
          <w:kern w:val="0"/>
          <w:sz w:val="24"/>
        </w:rPr>
        <w:t>5) 所有与合同执行有关的争议将通过双方友好协商解决。如果双方不能通过友好协商解决争议，则将该争议交至仲裁机构或直接向法院起诉。</w:t>
      </w:r>
    </w:p>
    <w:p>
      <w:pPr>
        <w:spacing w:line="360" w:lineRule="auto"/>
        <w:rPr>
          <w:rFonts w:hint="eastAsia" w:ascii="宋体" w:hAnsi="宋体" w:cs="宋体"/>
          <w:b/>
          <w:color w:val="000000"/>
          <w:sz w:val="24"/>
        </w:rPr>
      </w:pPr>
      <w:r>
        <w:rPr>
          <w:rFonts w:hint="eastAsia" w:ascii="宋体" w:hAnsi="宋体" w:cs="宋体"/>
          <w:b/>
          <w:color w:val="000000"/>
          <w:kern w:val="0"/>
          <w:sz w:val="24"/>
          <w:lang w:bidi="ar"/>
        </w:rPr>
        <w:t>八、服务收费及付款方式</w:t>
      </w:r>
    </w:p>
    <w:p>
      <w:pPr>
        <w:spacing w:line="360" w:lineRule="auto"/>
        <w:ind w:firstLine="600" w:firstLineChars="250"/>
        <w:rPr>
          <w:rFonts w:hint="eastAsia" w:ascii="宋体" w:hAnsi="宋体"/>
          <w:color w:val="000000"/>
          <w:sz w:val="24"/>
        </w:rPr>
      </w:pPr>
      <w:r>
        <w:rPr>
          <w:rFonts w:hint="eastAsia" w:ascii="宋体" w:hAnsi="宋体"/>
          <w:color w:val="000000"/>
          <w:sz w:val="24"/>
        </w:rPr>
        <w:t>保洁费用按季支付，即中标单位经季度考核后拨付。</w:t>
      </w:r>
    </w:p>
    <w:p>
      <w:pPr>
        <w:spacing w:line="360" w:lineRule="auto"/>
        <w:rPr>
          <w:rFonts w:hint="eastAsia" w:ascii="宋体" w:hAnsi="宋体"/>
          <w:b/>
          <w:bCs/>
          <w:color w:val="000000"/>
          <w:sz w:val="24"/>
        </w:rPr>
      </w:pPr>
      <w:r>
        <w:rPr>
          <w:rFonts w:hint="eastAsia" w:ascii="宋体" w:hAnsi="宋体"/>
          <w:b/>
          <w:bCs/>
          <w:color w:val="000000"/>
          <w:sz w:val="24"/>
        </w:rPr>
        <w:t>九</w:t>
      </w:r>
      <w:r>
        <w:rPr>
          <w:rFonts w:hint="eastAsia" w:ascii="宋体" w:hAnsi="宋体"/>
          <w:b/>
          <w:bCs/>
          <w:color w:val="000000"/>
          <w:sz w:val="24"/>
          <w:lang w:val="zh-CN"/>
        </w:rPr>
        <w:t xml:space="preserve"> 、履约</w:t>
      </w:r>
      <w:r>
        <w:rPr>
          <w:rFonts w:hint="eastAsia" w:ascii="宋体" w:hAnsi="宋体"/>
          <w:b/>
          <w:bCs/>
          <w:color w:val="000000"/>
          <w:sz w:val="24"/>
        </w:rPr>
        <w:t>保证金条款</w:t>
      </w:r>
    </w:p>
    <w:p>
      <w:pPr>
        <w:spacing w:line="360" w:lineRule="auto"/>
        <w:rPr>
          <w:rFonts w:hint="eastAsia" w:ascii="宋体" w:hAnsi="宋体"/>
          <w:sz w:val="24"/>
        </w:rPr>
      </w:pPr>
      <w:r>
        <w:rPr>
          <w:rFonts w:hint="eastAsia" w:ascii="宋体" w:hAnsi="宋体"/>
          <w:sz w:val="24"/>
        </w:rPr>
        <w:t>1）签订合同后</w:t>
      </w:r>
      <w:r>
        <w:rPr>
          <w:rFonts w:hint="eastAsia" w:ascii="宋体" w:hAnsi="宋体"/>
          <w:sz w:val="24"/>
          <w:u w:val="single"/>
        </w:rPr>
        <w:t xml:space="preserve"> 7 </w:t>
      </w:r>
      <w:r>
        <w:rPr>
          <w:rFonts w:hint="eastAsia" w:ascii="宋体" w:hAnsi="宋体"/>
          <w:sz w:val="24"/>
        </w:rPr>
        <w:t>个工作日内，乙方须向甲方交纳相当于合同总额</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%的履约保证金。以保证乙方遵守本合同的一切条款、条件和承诺，该保证金在甲方的规定存续期间不计息。</w:t>
      </w:r>
    </w:p>
    <w:p>
      <w:pPr>
        <w:spacing w:line="360" w:lineRule="auto"/>
        <w:rPr>
          <w:rFonts w:hint="eastAsia" w:ascii="宋体" w:hAnsi="宋体"/>
          <w:sz w:val="24"/>
        </w:rPr>
      </w:pPr>
      <w:r>
        <w:rPr>
          <w:rFonts w:hint="eastAsia" w:ascii="宋体" w:hAnsi="宋体"/>
          <w:sz w:val="24"/>
        </w:rPr>
        <w:t>2）甲方有权从履约保证金中扣除因乙方违约而导致损失的金额和违约金。</w:t>
      </w:r>
    </w:p>
    <w:p>
      <w:pPr>
        <w:spacing w:line="360" w:lineRule="auto"/>
        <w:rPr>
          <w:rFonts w:hint="eastAsia" w:ascii="宋体" w:hAnsi="宋体"/>
          <w:sz w:val="24"/>
        </w:rPr>
      </w:pPr>
      <w:r>
        <w:rPr>
          <w:rFonts w:hint="eastAsia" w:ascii="宋体" w:hAnsi="宋体"/>
          <w:sz w:val="24"/>
        </w:rPr>
        <w:t>3）甲方认为乙方在服务期内没有涉及甲方的应付而未付金额或违约行为，甲方在服务期满后（或提前终止承包后一个月内）全额退还履约保证金，否则，甲方将在扣除乙方应付金额或违约金后退还保证金余额。</w:t>
      </w:r>
    </w:p>
    <w:p>
      <w:pPr>
        <w:adjustRightInd w:val="0"/>
        <w:snapToGrid w:val="0"/>
        <w:spacing w:line="360" w:lineRule="auto"/>
        <w:rPr>
          <w:rFonts w:hint="eastAsia" w:ascii="仿宋_GB2312" w:hAnsi="宋体" w:cs="宋体"/>
          <w:b/>
          <w:bCs/>
          <w:kern w:val="0"/>
          <w:sz w:val="30"/>
          <w:szCs w:val="30"/>
        </w:rPr>
      </w:pPr>
      <w:r>
        <w:rPr>
          <w:rFonts w:hint="eastAsia" w:ascii="宋体" w:hAnsi="宋体"/>
          <w:b/>
          <w:bCs/>
          <w:color w:val="000000"/>
          <w:sz w:val="24"/>
        </w:rPr>
        <w:t xml:space="preserve"> </w:t>
      </w:r>
      <w:r>
        <w:rPr>
          <w:rFonts w:hint="eastAsia" w:ascii="宋体" w:hAnsi="宋体" w:cs="仿宋_GB2312"/>
          <w:b/>
          <w:kern w:val="0"/>
          <w:sz w:val="24"/>
          <w:szCs w:val="20"/>
          <w:lang w:bidi="ar"/>
        </w:rPr>
        <w:t>采购需求中</w:t>
      </w:r>
      <w:r>
        <w:rPr>
          <w:rFonts w:hint="eastAsia" w:ascii="宋体" w:hAnsi="宋体" w:cs="仿宋_GB2312"/>
          <w:b/>
          <w:kern w:val="0"/>
          <w:sz w:val="24"/>
          <w:szCs w:val="20"/>
          <w:lang w:val="zh-CN" w:bidi="ar"/>
        </w:rPr>
        <w:t>带“●”条款为实质性内容，投标人须在投标文件中提供《采购需求实质性内容响应表》，如有任意一条未响应或不满足，将被视为无效。</w:t>
      </w:r>
    </w:p>
    <w:p>
      <w:pPr>
        <w:widowControl/>
        <w:adjustRightInd w:val="0"/>
        <w:snapToGrid w:val="0"/>
        <w:jc w:val="center"/>
        <w:rPr>
          <w:rFonts w:hint="eastAsia" w:ascii="仿宋_GB2312" w:hAnsi="宋体" w:cs="宋体"/>
          <w:b/>
          <w:bCs/>
          <w:kern w:val="0"/>
          <w:sz w:val="30"/>
          <w:szCs w:val="30"/>
        </w:rPr>
      </w:pPr>
    </w:p>
    <w:p>
      <w:pPr>
        <w:widowControl/>
        <w:adjustRightInd w:val="0"/>
        <w:snapToGrid w:val="0"/>
        <w:jc w:val="center"/>
        <w:rPr>
          <w:rFonts w:hint="eastAsia" w:ascii="仿宋_GB2312" w:hAnsi="宋体" w:cs="宋体"/>
          <w:b/>
          <w:bCs/>
          <w:kern w:val="0"/>
          <w:sz w:val="30"/>
          <w:szCs w:val="30"/>
        </w:rPr>
      </w:pPr>
    </w:p>
    <w:p>
      <w:pPr>
        <w:widowControl/>
        <w:adjustRightInd w:val="0"/>
        <w:snapToGrid w:val="0"/>
        <w:jc w:val="center"/>
        <w:rPr>
          <w:rFonts w:hint="eastAsia" w:ascii="仿宋_GB2312" w:hAnsi="宋体" w:cs="宋体"/>
          <w:b/>
          <w:bCs/>
          <w:kern w:val="0"/>
          <w:sz w:val="30"/>
          <w:szCs w:val="30"/>
        </w:rPr>
      </w:pPr>
    </w:p>
    <w:p>
      <w:pPr>
        <w:widowControl/>
        <w:adjustRightInd w:val="0"/>
        <w:snapToGrid w:val="0"/>
        <w:jc w:val="center"/>
        <w:rPr>
          <w:rFonts w:hint="eastAsia" w:ascii="仿宋_GB2312" w:hAnsi="宋体" w:cs="宋体"/>
          <w:b/>
          <w:kern w:val="0"/>
          <w:sz w:val="30"/>
          <w:szCs w:val="30"/>
        </w:rPr>
      </w:pPr>
      <w:r>
        <w:rPr>
          <w:rFonts w:hint="eastAsia" w:ascii="仿宋_GB2312" w:hAnsi="宋体" w:cs="宋体"/>
          <w:b/>
          <w:bCs/>
          <w:kern w:val="0"/>
          <w:sz w:val="30"/>
          <w:szCs w:val="30"/>
        </w:rPr>
        <w:t>道路保洁分类管理考核评分标准（试行）</w:t>
      </w:r>
    </w:p>
    <w:tbl>
      <w:tblPr>
        <w:tblStyle w:val="66"/>
        <w:tblW w:w="0" w:type="auto"/>
        <w:jc w:val="center"/>
        <w:tblLayout w:type="fixed"/>
        <w:tblCellMar>
          <w:top w:w="0" w:type="dxa"/>
          <w:left w:w="0" w:type="dxa"/>
          <w:bottom w:w="0" w:type="dxa"/>
          <w:right w:w="0" w:type="dxa"/>
        </w:tblCellMar>
      </w:tblPr>
      <w:tblGrid>
        <w:gridCol w:w="422"/>
        <w:gridCol w:w="1479"/>
        <w:gridCol w:w="560"/>
        <w:gridCol w:w="3372"/>
        <w:gridCol w:w="3996"/>
      </w:tblGrid>
      <w:tr>
        <w:tblPrEx>
          <w:tblCellMar>
            <w:top w:w="0" w:type="dxa"/>
            <w:left w:w="0" w:type="dxa"/>
            <w:bottom w:w="0" w:type="dxa"/>
            <w:right w:w="0" w:type="dxa"/>
          </w:tblCellMar>
        </w:tblPrEx>
        <w:trPr>
          <w:trHeight w:val="619" w:hRule="atLeast"/>
          <w:jc w:val="center"/>
        </w:trPr>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0" w:beforeAutospacing="0" w:after="0" w:afterAutospacing="0"/>
              <w:ind w:left="0" w:right="0"/>
              <w:jc w:val="center"/>
              <w:rPr>
                <w:rFonts w:hint="eastAsia" w:ascii="仿宋_GB2312" w:hAnsi="宋体" w:cs="宋体"/>
                <w:kern w:val="0"/>
                <w:szCs w:val="21"/>
              </w:rPr>
            </w:pPr>
            <w:r>
              <w:rPr>
                <w:rFonts w:hint="eastAsia" w:ascii="仿宋_GB2312" w:hAnsi="宋体" w:cs="宋体"/>
                <w:b/>
                <w:bCs/>
                <w:kern w:val="0"/>
                <w:szCs w:val="21"/>
              </w:rPr>
              <w:t>序号</w:t>
            </w:r>
          </w:p>
        </w:tc>
        <w:tc>
          <w:tcPr>
            <w:tcW w:w="147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ind w:left="0" w:right="0"/>
              <w:jc w:val="center"/>
              <w:rPr>
                <w:rFonts w:hint="eastAsia" w:ascii="仿宋_GB2312" w:hAnsi="宋体" w:cs="宋体"/>
                <w:b/>
                <w:bCs/>
                <w:kern w:val="0"/>
                <w:szCs w:val="21"/>
              </w:rPr>
            </w:pPr>
            <w:r>
              <w:rPr>
                <w:rFonts w:hint="eastAsia" w:ascii="仿宋_GB2312" w:hAnsi="宋体" w:cs="宋体"/>
                <w:b/>
                <w:bCs/>
                <w:kern w:val="0"/>
                <w:szCs w:val="21"/>
              </w:rPr>
              <w:t>检查</w:t>
            </w:r>
          </w:p>
          <w:p>
            <w:pPr>
              <w:widowControl/>
              <w:adjustRightInd w:val="0"/>
              <w:snapToGrid w:val="0"/>
              <w:spacing w:before="0" w:beforeAutospacing="0" w:after="0" w:afterAutospacing="0"/>
              <w:ind w:left="0" w:right="0"/>
              <w:jc w:val="center"/>
              <w:rPr>
                <w:rFonts w:hint="eastAsia" w:ascii="仿宋_GB2312" w:hAnsi="宋体" w:cs="宋体"/>
                <w:kern w:val="0"/>
                <w:szCs w:val="21"/>
              </w:rPr>
            </w:pPr>
            <w:r>
              <w:rPr>
                <w:rFonts w:hint="eastAsia" w:ascii="仿宋_GB2312" w:hAnsi="宋体" w:cs="宋体"/>
                <w:b/>
                <w:bCs/>
                <w:kern w:val="0"/>
                <w:szCs w:val="21"/>
              </w:rPr>
              <w:t>项目</w:t>
            </w:r>
          </w:p>
        </w:tc>
        <w:tc>
          <w:tcPr>
            <w:tcW w:w="56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ind w:left="0" w:right="0"/>
              <w:jc w:val="center"/>
              <w:rPr>
                <w:rFonts w:hint="eastAsia" w:ascii="仿宋_GB2312" w:hAnsi="宋体" w:cs="宋体"/>
                <w:b/>
                <w:bCs/>
                <w:kern w:val="0"/>
                <w:szCs w:val="21"/>
              </w:rPr>
            </w:pPr>
            <w:r>
              <w:rPr>
                <w:rFonts w:hint="eastAsia" w:ascii="仿宋_GB2312" w:hAnsi="宋体" w:cs="宋体"/>
                <w:b/>
                <w:bCs/>
                <w:kern w:val="0"/>
                <w:szCs w:val="21"/>
              </w:rPr>
              <w:t>检查</w:t>
            </w:r>
          </w:p>
          <w:p>
            <w:pPr>
              <w:widowControl/>
              <w:adjustRightInd w:val="0"/>
              <w:snapToGrid w:val="0"/>
              <w:spacing w:before="0" w:beforeAutospacing="0" w:after="0" w:afterAutospacing="0"/>
              <w:ind w:left="0" w:right="0"/>
              <w:jc w:val="center"/>
              <w:rPr>
                <w:rFonts w:hint="eastAsia" w:ascii="仿宋_GB2312" w:hAnsi="宋体" w:cs="宋体"/>
                <w:kern w:val="0"/>
                <w:szCs w:val="21"/>
              </w:rPr>
            </w:pPr>
            <w:r>
              <w:rPr>
                <w:rFonts w:hint="eastAsia" w:ascii="仿宋_GB2312" w:hAnsi="宋体" w:cs="宋体"/>
                <w:b/>
                <w:bCs/>
                <w:kern w:val="0"/>
                <w:szCs w:val="21"/>
              </w:rPr>
              <w:t>方式</w:t>
            </w:r>
          </w:p>
        </w:tc>
        <w:tc>
          <w:tcPr>
            <w:tcW w:w="337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ind w:left="0" w:right="0"/>
              <w:jc w:val="center"/>
              <w:rPr>
                <w:rFonts w:hint="eastAsia" w:ascii="仿宋_GB2312" w:hAnsi="宋体" w:cs="宋体"/>
                <w:kern w:val="0"/>
                <w:szCs w:val="21"/>
              </w:rPr>
            </w:pPr>
            <w:r>
              <w:rPr>
                <w:rFonts w:hint="eastAsia" w:ascii="仿宋_GB2312" w:hAnsi="宋体" w:cs="宋体"/>
                <w:b/>
                <w:bCs/>
                <w:kern w:val="0"/>
                <w:szCs w:val="21"/>
              </w:rPr>
              <w:t>管理作业标准</w:t>
            </w:r>
          </w:p>
        </w:tc>
        <w:tc>
          <w:tcPr>
            <w:tcW w:w="399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ind w:left="0" w:right="0"/>
              <w:jc w:val="center"/>
              <w:rPr>
                <w:rFonts w:hint="eastAsia" w:ascii="仿宋_GB2312" w:hAnsi="宋体" w:cs="宋体"/>
                <w:kern w:val="0"/>
                <w:szCs w:val="21"/>
              </w:rPr>
            </w:pPr>
            <w:r>
              <w:rPr>
                <w:rFonts w:hint="eastAsia" w:ascii="仿宋_GB2312" w:hAnsi="宋体" w:cs="宋体"/>
                <w:b/>
                <w:bCs/>
                <w:kern w:val="0"/>
                <w:szCs w:val="21"/>
              </w:rPr>
              <w:t>评分标准</w:t>
            </w:r>
          </w:p>
        </w:tc>
      </w:tr>
      <w:tr>
        <w:tblPrEx>
          <w:tblCellMar>
            <w:top w:w="0" w:type="dxa"/>
            <w:left w:w="0" w:type="dxa"/>
            <w:bottom w:w="0" w:type="dxa"/>
            <w:right w:w="0" w:type="dxa"/>
          </w:tblCellMar>
        </w:tblPrEx>
        <w:trPr>
          <w:trHeight w:val="633" w:hRule="atLeast"/>
          <w:jc w:val="center"/>
        </w:trPr>
        <w:tc>
          <w:tcPr>
            <w:tcW w:w="422"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一</w:t>
            </w:r>
          </w:p>
        </w:tc>
        <w:tc>
          <w:tcPr>
            <w:tcW w:w="1479"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管理指标落实情况</w:t>
            </w:r>
          </w:p>
        </w:tc>
        <w:tc>
          <w:tcPr>
            <w:tcW w:w="560"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台账检查现场检查</w:t>
            </w:r>
          </w:p>
        </w:tc>
        <w:tc>
          <w:tcPr>
            <w:tcW w:w="3372"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420" w:firstLineChars="200"/>
              <w:rPr>
                <w:rFonts w:hint="eastAsia" w:ascii="仿宋_GB2312" w:hAnsi="宋体" w:cs="宋体"/>
                <w:kern w:val="0"/>
                <w:szCs w:val="21"/>
              </w:rPr>
            </w:pPr>
            <w:r>
              <w:rPr>
                <w:rFonts w:hint="eastAsia" w:ascii="仿宋_GB2312" w:hAnsi="宋体" w:cs="宋体"/>
                <w:kern w:val="0"/>
                <w:szCs w:val="21"/>
              </w:rPr>
              <w:t>1、按照区保洁分级分类管理定额要求落实道路保洁各项指标。</w:t>
            </w:r>
          </w:p>
        </w:tc>
        <w:tc>
          <w:tcPr>
            <w:tcW w:w="3996"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420" w:firstLineChars="200"/>
              <w:rPr>
                <w:rFonts w:hint="eastAsia" w:ascii="仿宋_GB2312" w:hAnsi="宋体" w:cs="宋体"/>
                <w:kern w:val="0"/>
                <w:szCs w:val="21"/>
              </w:rPr>
            </w:pPr>
            <w:r>
              <w:rPr>
                <w:rFonts w:hint="eastAsia" w:ascii="仿宋_GB2312" w:hAnsi="宋体" w:cs="宋体"/>
                <w:kern w:val="0"/>
                <w:szCs w:val="21"/>
              </w:rPr>
              <w:t>1、道路保洁时间未达到规定时间要求的，每条道路每次扣8分，保洁人员配置未达到规定要求的每条道路少一人扣2分，机械设备配置未达到要求的每少一项扣4分。</w:t>
            </w:r>
          </w:p>
        </w:tc>
      </w:tr>
      <w:tr>
        <w:tblPrEx>
          <w:tblCellMar>
            <w:top w:w="0" w:type="dxa"/>
            <w:left w:w="0" w:type="dxa"/>
            <w:bottom w:w="0" w:type="dxa"/>
            <w:right w:w="0" w:type="dxa"/>
          </w:tblCellMar>
        </w:tblPrEx>
        <w:trPr>
          <w:trHeight w:val="2215" w:hRule="atLeast"/>
          <w:jc w:val="center"/>
        </w:trPr>
        <w:tc>
          <w:tcPr>
            <w:tcW w:w="422"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1479"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560"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3372"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420" w:firstLineChars="200"/>
              <w:jc w:val="center"/>
              <w:rPr>
                <w:rFonts w:hint="eastAsia" w:ascii="仿宋_GB2312" w:hAnsi="宋体" w:cs="宋体"/>
                <w:kern w:val="0"/>
                <w:szCs w:val="21"/>
              </w:rPr>
            </w:pPr>
            <w:r>
              <w:rPr>
                <w:rFonts w:hint="eastAsia" w:ascii="仿宋_GB2312" w:hAnsi="宋体" w:cs="宋体"/>
                <w:kern w:val="0"/>
                <w:szCs w:val="21"/>
              </w:rPr>
              <w:t>2、洒水、机扫、清洗频次达到规定</w:t>
            </w:r>
          </w:p>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的要求。道路每日首次普扫采取机械化和人工相结合的清扫方式。洒水车、扫路车按计划出车，出车台账资料齐全；</w:t>
            </w:r>
          </w:p>
          <w:p>
            <w:pPr>
              <w:widowControl/>
              <w:adjustRightInd w:val="0"/>
              <w:snapToGrid w:val="0"/>
              <w:spacing w:before="0" w:beforeAutospacing="0" w:after="0" w:afterAutospacing="0" w:line="320" w:lineRule="exact"/>
              <w:ind w:left="0" w:right="0" w:firstLine="420" w:firstLineChars="200"/>
              <w:jc w:val="center"/>
              <w:rPr>
                <w:rFonts w:hint="eastAsia" w:ascii="仿宋_GB2312" w:hAnsi="宋体" w:cs="宋体"/>
                <w:kern w:val="0"/>
                <w:szCs w:val="21"/>
              </w:rPr>
            </w:pPr>
            <w:r>
              <w:rPr>
                <w:rFonts w:hint="eastAsia" w:ascii="仿宋_GB2312" w:hAnsi="宋体" w:cs="宋体"/>
                <w:kern w:val="0"/>
                <w:szCs w:val="21"/>
              </w:rPr>
              <w:t>需调整洒水、机扫、清洗作业计划的，应提前上报调整后的作业计划。</w:t>
            </w:r>
          </w:p>
        </w:tc>
        <w:tc>
          <w:tcPr>
            <w:tcW w:w="3996"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420" w:firstLineChars="200"/>
              <w:rPr>
                <w:rFonts w:hint="eastAsia" w:ascii="仿宋_GB2312" w:hAnsi="宋体" w:cs="宋体"/>
                <w:kern w:val="0"/>
                <w:szCs w:val="21"/>
              </w:rPr>
            </w:pPr>
            <w:r>
              <w:rPr>
                <w:rFonts w:hint="eastAsia" w:ascii="仿宋_GB2312" w:hAnsi="宋体" w:cs="宋体"/>
                <w:kern w:val="0"/>
                <w:szCs w:val="21"/>
              </w:rPr>
              <w:t>2、道路洒水、机扫、清洗频次未达到规定要求的，每少1次，所在标段当月清洁度扣0.1分，作业未完成整个频次或未覆盖全路段的，每发生1次，所在标段当月清洁度扣0.05分；道路洒水、机扫空驶的，每发生1次，所在标段当月清洁度扣0.1分。首次普扫未落实扫路车清扫的，每发生1次，所在标段当月清洁度扣0.2分。</w:t>
            </w:r>
          </w:p>
          <w:p>
            <w:pPr>
              <w:widowControl/>
              <w:adjustRightInd w:val="0"/>
              <w:snapToGrid w:val="0"/>
              <w:spacing w:before="0" w:beforeAutospacing="0" w:after="0" w:afterAutospacing="0" w:line="320" w:lineRule="exact"/>
              <w:ind w:left="0" w:right="0" w:firstLine="420" w:firstLineChars="200"/>
              <w:rPr>
                <w:rFonts w:hint="eastAsia" w:ascii="仿宋_GB2312" w:hAnsi="宋体" w:cs="宋体"/>
                <w:kern w:val="0"/>
                <w:szCs w:val="21"/>
              </w:rPr>
            </w:pPr>
            <w:r>
              <w:rPr>
                <w:rFonts w:hint="eastAsia" w:ascii="仿宋_GB2312" w:hAnsi="宋体" w:cs="宋体"/>
                <w:kern w:val="0"/>
                <w:szCs w:val="21"/>
              </w:rPr>
              <w:t>未提前上报调整后作业计划的，按原计划检查考核。</w:t>
            </w:r>
          </w:p>
        </w:tc>
      </w:tr>
      <w:tr>
        <w:tblPrEx>
          <w:tblCellMar>
            <w:top w:w="0" w:type="dxa"/>
            <w:left w:w="0" w:type="dxa"/>
            <w:bottom w:w="0" w:type="dxa"/>
            <w:right w:w="0" w:type="dxa"/>
          </w:tblCellMar>
        </w:tblPrEx>
        <w:trPr>
          <w:trHeight w:val="3675" w:hRule="atLeast"/>
          <w:jc w:val="center"/>
        </w:trPr>
        <w:tc>
          <w:tcPr>
            <w:tcW w:w="422" w:type="dxa"/>
            <w:vMerge w:val="restart"/>
            <w:tcBorders>
              <w:top w:val="nil"/>
              <w:left w:val="single" w:color="auto"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二</w:t>
            </w:r>
          </w:p>
        </w:tc>
        <w:tc>
          <w:tcPr>
            <w:tcW w:w="1479" w:type="dxa"/>
            <w:vMerge w:val="restart"/>
            <w:tcBorders>
              <w:top w:val="nil"/>
              <w:left w:val="single" w:color="auto"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道路保洁质量情况</w:t>
            </w:r>
          </w:p>
        </w:tc>
        <w:tc>
          <w:tcPr>
            <w:tcW w:w="560" w:type="dxa"/>
            <w:vMerge w:val="restart"/>
            <w:tcBorders>
              <w:top w:val="nil"/>
              <w:left w:val="single" w:color="auto"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现场检查</w:t>
            </w:r>
          </w:p>
        </w:tc>
        <w:tc>
          <w:tcPr>
            <w:tcW w:w="3372"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3、路面无垃圾、无杂物、无积泥（沙石），晴天无积水。雨水井沟眼畅通干净，人行道板及各类井盖等处缝隙无垃圾、杂物。</w:t>
            </w:r>
          </w:p>
        </w:tc>
        <w:tc>
          <w:tcPr>
            <w:tcW w:w="3996"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200"/>
              <w:rPr>
                <w:rFonts w:hint="eastAsia" w:ascii="仿宋_GB2312" w:hAnsi="宋体" w:cs="宋体"/>
                <w:kern w:val="0"/>
                <w:szCs w:val="21"/>
              </w:rPr>
            </w:pPr>
            <w:r>
              <w:rPr>
                <w:rFonts w:hint="eastAsia" w:ascii="仿宋_GB2312" w:hAnsi="宋体" w:cs="宋体"/>
                <w:kern w:val="0"/>
                <w:szCs w:val="21"/>
              </w:rPr>
              <w:t>3、路面垃圾（杂物）＜0.5m</w:t>
            </w:r>
            <w:r>
              <w:rPr>
                <w:rFonts w:hint="eastAsia" w:ascii="仿宋_GB2312" w:hAnsi="宋体" w:cs="宋体"/>
                <w:kern w:val="0"/>
                <w:szCs w:val="21"/>
                <w:vertAlign w:val="superscript"/>
              </w:rPr>
              <w:t>2</w:t>
            </w:r>
            <w:r>
              <w:rPr>
                <w:rFonts w:hint="eastAsia" w:ascii="仿宋_GB2312" w:hAnsi="宋体" w:cs="宋体"/>
                <w:kern w:val="0"/>
                <w:szCs w:val="21"/>
              </w:rPr>
              <w:t>的每处扣0.4分，＜2m</w:t>
            </w:r>
            <w:r>
              <w:rPr>
                <w:rFonts w:hint="eastAsia" w:ascii="仿宋_GB2312" w:hAnsi="宋体" w:cs="宋体"/>
                <w:kern w:val="0"/>
                <w:szCs w:val="21"/>
                <w:vertAlign w:val="superscript"/>
              </w:rPr>
              <w:t>2</w:t>
            </w:r>
            <w:r>
              <w:rPr>
                <w:rFonts w:hint="eastAsia" w:ascii="仿宋_GB2312" w:hAnsi="宋体" w:cs="宋体"/>
                <w:kern w:val="0"/>
                <w:szCs w:val="21"/>
              </w:rPr>
              <w:t>的每处扣0.8分,≥2m</w:t>
            </w:r>
            <w:r>
              <w:rPr>
                <w:rFonts w:hint="eastAsia" w:ascii="仿宋_GB2312" w:hAnsi="宋体" w:cs="宋体"/>
                <w:kern w:val="0"/>
                <w:szCs w:val="21"/>
                <w:vertAlign w:val="superscript"/>
              </w:rPr>
              <w:t>2</w:t>
            </w:r>
            <w:r>
              <w:rPr>
                <w:rFonts w:hint="eastAsia" w:ascii="仿宋_GB2312" w:hAnsi="宋体" w:cs="宋体"/>
                <w:kern w:val="0"/>
                <w:szCs w:val="21"/>
              </w:rPr>
              <w:t>的每处扣1.6分，有暴露垃圾堆的每处扣2分。</w:t>
            </w:r>
          </w:p>
          <w:p>
            <w:pPr>
              <w:widowControl/>
              <w:adjustRightInd w:val="0"/>
              <w:snapToGrid w:val="0"/>
              <w:spacing w:before="0" w:beforeAutospacing="0" w:after="0" w:afterAutospacing="0" w:line="320" w:lineRule="exact"/>
              <w:ind w:left="0" w:right="0" w:firstLine="200"/>
              <w:rPr>
                <w:rFonts w:hint="eastAsia" w:ascii="仿宋_GB2312" w:hAnsi="宋体" w:cs="宋体"/>
                <w:kern w:val="0"/>
                <w:szCs w:val="21"/>
              </w:rPr>
            </w:pPr>
            <w:r>
              <w:rPr>
                <w:rFonts w:hint="eastAsia" w:ascii="仿宋_GB2312" w:hAnsi="宋体" w:cs="宋体"/>
                <w:kern w:val="0"/>
                <w:szCs w:val="21"/>
              </w:rPr>
              <w:t>雨水井沟眼有积泥（嵌石）的每处扣0.8分，树圈有垃圾（杂物）的每处扣0.8分。</w:t>
            </w:r>
          </w:p>
          <w:p>
            <w:pPr>
              <w:widowControl/>
              <w:adjustRightInd w:val="0"/>
              <w:snapToGrid w:val="0"/>
              <w:spacing w:before="0" w:beforeAutospacing="0" w:after="0" w:afterAutospacing="0" w:line="320" w:lineRule="exact"/>
              <w:ind w:left="0" w:right="0" w:firstLine="200"/>
              <w:rPr>
                <w:rFonts w:hint="eastAsia" w:ascii="仿宋_GB2312" w:hAnsi="宋体" w:cs="宋体"/>
                <w:kern w:val="0"/>
                <w:szCs w:val="21"/>
              </w:rPr>
            </w:pPr>
            <w:r>
              <w:rPr>
                <w:rFonts w:hint="eastAsia" w:ascii="仿宋_GB2312" w:hAnsi="宋体" w:cs="宋体"/>
                <w:kern w:val="0"/>
                <w:szCs w:val="21"/>
              </w:rPr>
              <w:t>道路积泥（沙石）长度＜5米的每处扣0.8分，＜10米的每处扣1.6分，＜15米的每处扣2.4分，≥15米的每处扣4分。建筑垃圾(装潢垃圾)＜1m</w:t>
            </w:r>
            <w:r>
              <w:rPr>
                <w:rFonts w:hint="eastAsia" w:ascii="仿宋_GB2312" w:hAnsi="宋体" w:cs="宋体"/>
                <w:kern w:val="0"/>
                <w:szCs w:val="21"/>
                <w:vertAlign w:val="superscript"/>
              </w:rPr>
              <w:t>3</w:t>
            </w:r>
            <w:r>
              <w:rPr>
                <w:rFonts w:hint="eastAsia" w:ascii="仿宋_GB2312" w:hAnsi="宋体" w:cs="宋体"/>
                <w:kern w:val="0"/>
                <w:szCs w:val="21"/>
              </w:rPr>
              <w:t>的每处扣0.8分，≥1m</w:t>
            </w:r>
            <w:r>
              <w:rPr>
                <w:rFonts w:hint="eastAsia" w:ascii="仿宋_GB2312" w:hAnsi="宋体" w:cs="宋体"/>
                <w:kern w:val="0"/>
                <w:szCs w:val="21"/>
                <w:vertAlign w:val="superscript"/>
              </w:rPr>
              <w:t>3</w:t>
            </w:r>
            <w:r>
              <w:rPr>
                <w:rFonts w:hint="eastAsia" w:ascii="仿宋_GB2312" w:hAnsi="宋体" w:cs="宋体"/>
                <w:kern w:val="0"/>
                <w:szCs w:val="21"/>
              </w:rPr>
              <w:t>的每处扣1.6分，废弃物（如废弃的家具、电器等）每处扣0.8分。。</w:t>
            </w:r>
          </w:p>
          <w:p>
            <w:pPr>
              <w:widowControl/>
              <w:adjustRightInd w:val="0"/>
              <w:snapToGrid w:val="0"/>
              <w:spacing w:before="0" w:beforeAutospacing="0" w:after="0" w:afterAutospacing="0" w:line="320" w:lineRule="exact"/>
              <w:ind w:left="0" w:right="0" w:firstLine="200"/>
              <w:rPr>
                <w:rFonts w:hint="eastAsia" w:ascii="仿宋_GB2312" w:hAnsi="宋体" w:cs="宋体"/>
                <w:kern w:val="0"/>
                <w:szCs w:val="21"/>
              </w:rPr>
            </w:pPr>
            <w:r>
              <w:rPr>
                <w:rFonts w:hint="eastAsia" w:ascii="仿宋_GB2312" w:hAnsi="宋体" w:cs="宋体"/>
                <w:kern w:val="0"/>
                <w:szCs w:val="21"/>
              </w:rPr>
              <w:t>道路晴天积水＜3m</w:t>
            </w:r>
            <w:r>
              <w:rPr>
                <w:rFonts w:hint="eastAsia" w:ascii="仿宋_GB2312" w:hAnsi="宋体" w:cs="宋体"/>
                <w:kern w:val="0"/>
                <w:szCs w:val="21"/>
                <w:vertAlign w:val="superscript"/>
              </w:rPr>
              <w:t>2</w:t>
            </w:r>
            <w:r>
              <w:rPr>
                <w:rFonts w:hint="eastAsia" w:ascii="仿宋_GB2312" w:hAnsi="宋体" w:cs="宋体"/>
                <w:kern w:val="0"/>
                <w:szCs w:val="21"/>
              </w:rPr>
              <w:t>的每处扣0.8分，≥3m</w:t>
            </w:r>
            <w:r>
              <w:rPr>
                <w:rFonts w:hint="eastAsia" w:ascii="仿宋_GB2312" w:hAnsi="宋体" w:cs="宋体"/>
                <w:kern w:val="0"/>
                <w:szCs w:val="21"/>
                <w:vertAlign w:val="superscript"/>
              </w:rPr>
              <w:t>2</w:t>
            </w:r>
            <w:r>
              <w:rPr>
                <w:rFonts w:hint="eastAsia" w:ascii="仿宋_GB2312" w:hAnsi="宋体" w:cs="宋体"/>
                <w:kern w:val="0"/>
                <w:szCs w:val="21"/>
              </w:rPr>
              <w:t>的每处扣1.6分，冬季路面积水导致路面结冰的每处扣4分，导致有责交通事故的每次扣8分。</w:t>
            </w:r>
          </w:p>
          <w:p>
            <w:pPr>
              <w:widowControl/>
              <w:adjustRightInd w:val="0"/>
              <w:snapToGrid w:val="0"/>
              <w:spacing w:before="0" w:beforeAutospacing="0" w:after="0" w:afterAutospacing="0" w:line="320" w:lineRule="exact"/>
              <w:ind w:left="0" w:right="0" w:firstLine="200"/>
              <w:rPr>
                <w:rFonts w:hint="eastAsia" w:ascii="仿宋_GB2312" w:hAnsi="宋体" w:cs="宋体"/>
                <w:kern w:val="0"/>
                <w:szCs w:val="21"/>
              </w:rPr>
            </w:pPr>
            <w:r>
              <w:rPr>
                <w:rFonts w:hint="eastAsia" w:ascii="仿宋_GB2312" w:hAnsi="宋体" w:cs="宋体"/>
                <w:kern w:val="0"/>
                <w:szCs w:val="21"/>
              </w:rPr>
              <w:t>人行道板间、人行道各类井盖间等缝隙有垃圾的每处扣0.4分。</w:t>
            </w:r>
          </w:p>
        </w:tc>
      </w:tr>
      <w:tr>
        <w:tblPrEx>
          <w:tblCellMar>
            <w:top w:w="0" w:type="dxa"/>
            <w:left w:w="0" w:type="dxa"/>
            <w:bottom w:w="0" w:type="dxa"/>
            <w:right w:w="0" w:type="dxa"/>
          </w:tblCellMar>
        </w:tblPrEx>
        <w:trPr>
          <w:trHeight w:val="1651" w:hRule="atLeast"/>
          <w:jc w:val="center"/>
        </w:trPr>
        <w:tc>
          <w:tcPr>
            <w:tcW w:w="422"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1479"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560"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3372" w:type="dxa"/>
            <w:tcBorders>
              <w:top w:val="single" w:color="auto" w:sz="4" w:space="0"/>
              <w:left w:val="nil"/>
              <w:bottom w:val="single" w:color="auto" w:sz="4" w:space="0"/>
              <w:right w:val="single" w:color="auto" w:sz="4" w:space="0"/>
            </w:tcBorders>
            <w:noWrap w:val="0"/>
            <w:vAlign w:val="center"/>
          </w:tcPr>
          <w:p>
            <w:pPr>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4、道路绿地（含车道绿化隔离带、</w:t>
            </w:r>
          </w:p>
          <w:p>
            <w:pPr>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人行道绿地）、花坛保洁应与道路保洁同步，做到绿化带内无杂物、无垃圾。</w:t>
            </w:r>
          </w:p>
        </w:tc>
        <w:tc>
          <w:tcPr>
            <w:tcW w:w="3996" w:type="dxa"/>
            <w:tcBorders>
              <w:top w:val="single" w:color="auto" w:sz="4" w:space="0"/>
              <w:left w:val="nil"/>
              <w:bottom w:val="single" w:color="auto" w:sz="4" w:space="0"/>
              <w:right w:val="single" w:color="auto" w:sz="4" w:space="0"/>
            </w:tcBorders>
            <w:noWrap w:val="0"/>
            <w:vAlign w:val="center"/>
          </w:tcPr>
          <w:p>
            <w:pPr>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4、道路绿地、花坛内垃圾(杂物)＜0.5m</w:t>
            </w:r>
            <w:r>
              <w:rPr>
                <w:rFonts w:hint="eastAsia" w:ascii="仿宋_GB2312" w:hAnsi="宋体" w:cs="宋体"/>
                <w:kern w:val="0"/>
                <w:szCs w:val="21"/>
                <w:vertAlign w:val="superscript"/>
              </w:rPr>
              <w:t>2</w:t>
            </w:r>
            <w:r>
              <w:rPr>
                <w:rFonts w:hint="eastAsia" w:ascii="仿宋_GB2312" w:hAnsi="宋体" w:cs="宋体"/>
                <w:kern w:val="0"/>
                <w:szCs w:val="21"/>
              </w:rPr>
              <w:t>的每处扣0.4分，＜2m</w:t>
            </w:r>
            <w:r>
              <w:rPr>
                <w:rFonts w:hint="eastAsia" w:ascii="仿宋_GB2312" w:hAnsi="宋体" w:cs="宋体"/>
                <w:kern w:val="0"/>
                <w:szCs w:val="21"/>
                <w:vertAlign w:val="superscript"/>
              </w:rPr>
              <w:t>2</w:t>
            </w:r>
            <w:r>
              <w:rPr>
                <w:rFonts w:hint="eastAsia" w:ascii="仿宋_GB2312" w:hAnsi="宋体" w:cs="宋体"/>
                <w:kern w:val="0"/>
                <w:szCs w:val="21"/>
              </w:rPr>
              <w:t>的每处扣0.8分,≥2m</w:t>
            </w:r>
            <w:r>
              <w:rPr>
                <w:rFonts w:hint="eastAsia" w:ascii="仿宋_GB2312" w:hAnsi="宋体" w:cs="宋体"/>
                <w:kern w:val="0"/>
                <w:szCs w:val="21"/>
                <w:vertAlign w:val="superscript"/>
              </w:rPr>
              <w:t>2</w:t>
            </w:r>
            <w:r>
              <w:rPr>
                <w:rFonts w:hint="eastAsia" w:ascii="仿宋_GB2312" w:hAnsi="宋体" w:cs="宋体"/>
                <w:kern w:val="0"/>
                <w:szCs w:val="21"/>
              </w:rPr>
              <w:t>的每处扣1.6分，有暴露垃圾堆的每处扣2分。</w:t>
            </w:r>
          </w:p>
        </w:tc>
      </w:tr>
      <w:tr>
        <w:tblPrEx>
          <w:tblCellMar>
            <w:top w:w="0" w:type="dxa"/>
            <w:left w:w="0" w:type="dxa"/>
            <w:bottom w:w="0" w:type="dxa"/>
            <w:right w:w="0" w:type="dxa"/>
          </w:tblCellMar>
        </w:tblPrEx>
        <w:trPr>
          <w:trHeight w:val="1930" w:hRule="atLeast"/>
          <w:jc w:val="center"/>
        </w:trPr>
        <w:tc>
          <w:tcPr>
            <w:tcW w:w="422"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1479"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560"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337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420"/>
              <w:rPr>
                <w:rFonts w:hint="eastAsia" w:ascii="仿宋_GB2312" w:hAnsi="宋体" w:cs="宋体"/>
                <w:kern w:val="0"/>
                <w:szCs w:val="21"/>
              </w:rPr>
            </w:pPr>
            <w:r>
              <w:rPr>
                <w:rFonts w:hint="eastAsia" w:ascii="仿宋_GB2312" w:hAnsi="宋体" w:cs="宋体"/>
                <w:kern w:val="0"/>
                <w:szCs w:val="21"/>
              </w:rPr>
              <w:t>5、道路清洗要做到机动车道、非机动车道、人行道（含店前道路）路面见本色，无污迹，其他保洁责任内的设施无污垢、无积尘。</w:t>
            </w:r>
          </w:p>
          <w:p>
            <w:pPr>
              <w:adjustRightInd w:val="0"/>
              <w:snapToGrid w:val="0"/>
              <w:spacing w:before="0" w:beforeAutospacing="0" w:after="0" w:afterAutospacing="0" w:line="320" w:lineRule="exact"/>
              <w:ind w:left="0" w:right="0"/>
              <w:rPr>
                <w:rFonts w:hint="eastAsia" w:ascii="仿宋_GB2312" w:hAnsi="宋体" w:cs="宋体"/>
                <w:kern w:val="0"/>
                <w:szCs w:val="21"/>
              </w:rPr>
            </w:pPr>
          </w:p>
        </w:tc>
        <w:tc>
          <w:tcPr>
            <w:tcW w:w="3996" w:type="dxa"/>
            <w:tcBorders>
              <w:top w:val="single" w:color="auto" w:sz="4" w:space="0"/>
              <w:left w:val="nil"/>
              <w:bottom w:val="single" w:color="auto" w:sz="4" w:space="0"/>
              <w:right w:val="single" w:color="auto" w:sz="4" w:space="0"/>
            </w:tcBorders>
            <w:noWrap w:val="0"/>
            <w:vAlign w:val="center"/>
          </w:tcPr>
          <w:p>
            <w:pPr>
              <w:adjustRightInd w:val="0"/>
              <w:snapToGrid w:val="0"/>
              <w:spacing w:before="0" w:beforeAutospacing="0" w:after="0" w:afterAutospacing="0" w:line="320" w:lineRule="exact"/>
              <w:ind w:left="0" w:right="0" w:firstLine="396" w:firstLineChars="200"/>
              <w:rPr>
                <w:rFonts w:hint="eastAsia" w:ascii="仿宋_GB2312" w:hAnsi="宋体" w:cs="宋体"/>
                <w:kern w:val="0"/>
                <w:szCs w:val="21"/>
              </w:rPr>
            </w:pPr>
            <w:r>
              <w:rPr>
                <w:rFonts w:hint="eastAsia" w:ascii="仿宋_GB2312" w:hAnsi="宋体" w:cs="宋体"/>
                <w:spacing w:val="-6"/>
                <w:kern w:val="0"/>
                <w:szCs w:val="21"/>
              </w:rPr>
              <w:t>5、机动车道、非机动车道、人行道（含店前道路）路面污迹＜1m</w:t>
            </w:r>
            <w:r>
              <w:rPr>
                <w:rFonts w:hint="eastAsia" w:ascii="仿宋_GB2312" w:hAnsi="宋体" w:cs="宋体"/>
                <w:spacing w:val="-6"/>
                <w:kern w:val="0"/>
                <w:szCs w:val="21"/>
                <w:vertAlign w:val="superscript"/>
              </w:rPr>
              <w:t>2</w:t>
            </w:r>
            <w:r>
              <w:rPr>
                <w:rFonts w:hint="eastAsia" w:ascii="仿宋_GB2312" w:hAnsi="宋体" w:cs="宋体"/>
                <w:spacing w:val="-6"/>
                <w:kern w:val="0"/>
                <w:szCs w:val="21"/>
              </w:rPr>
              <w:t>的每处扣0.4分，≥1m</w:t>
            </w:r>
            <w:r>
              <w:rPr>
                <w:rFonts w:hint="eastAsia" w:ascii="仿宋_GB2312" w:hAnsi="宋体" w:cs="宋体"/>
                <w:spacing w:val="-6"/>
                <w:kern w:val="0"/>
                <w:szCs w:val="21"/>
                <w:vertAlign w:val="superscript"/>
              </w:rPr>
              <w:t>2</w:t>
            </w:r>
            <w:r>
              <w:rPr>
                <w:rFonts w:hint="eastAsia" w:ascii="仿宋_GB2312" w:hAnsi="宋体" w:cs="宋体"/>
                <w:spacing w:val="-6"/>
                <w:kern w:val="0"/>
                <w:szCs w:val="21"/>
              </w:rPr>
              <w:t>的每处扣1分，路面清洗质量不到位未见本色的，每处扣1分。休闲椅、花坛清洗质量未达标，有污迹、积尘的每处扣0.4分。交通隔离栏（墩）下有污迹、积尘＜10米的每处扣0.8分，≥10米的每处扣1.6分。</w:t>
            </w:r>
          </w:p>
        </w:tc>
      </w:tr>
      <w:tr>
        <w:tblPrEx>
          <w:tblCellMar>
            <w:top w:w="0" w:type="dxa"/>
            <w:left w:w="0" w:type="dxa"/>
            <w:bottom w:w="0" w:type="dxa"/>
            <w:right w:w="0" w:type="dxa"/>
          </w:tblCellMar>
        </w:tblPrEx>
        <w:trPr>
          <w:trHeight w:val="1525" w:hRule="atLeast"/>
          <w:jc w:val="center"/>
        </w:trPr>
        <w:tc>
          <w:tcPr>
            <w:tcW w:w="422"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1479"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560"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3372" w:type="dxa"/>
            <w:tcBorders>
              <w:top w:val="single" w:color="auto" w:sz="4" w:space="0"/>
              <w:left w:val="nil"/>
              <w:right w:val="single" w:color="auto" w:sz="4" w:space="0"/>
            </w:tcBorders>
            <w:noWrap w:val="0"/>
            <w:vAlign w:val="center"/>
          </w:tcPr>
          <w:p>
            <w:pPr>
              <w:adjustRightInd w:val="0"/>
              <w:snapToGrid w:val="0"/>
              <w:spacing w:before="0" w:beforeAutospacing="0" w:after="0" w:afterAutospacing="0" w:line="320" w:lineRule="exact"/>
              <w:ind w:left="0" w:right="0" w:firstLine="420"/>
              <w:rPr>
                <w:rFonts w:hint="eastAsia" w:ascii="仿宋_GB2312" w:hAnsi="宋体" w:cs="宋体"/>
                <w:kern w:val="0"/>
                <w:szCs w:val="21"/>
              </w:rPr>
            </w:pPr>
            <w:r>
              <w:rPr>
                <w:rFonts w:hint="eastAsia" w:ascii="仿宋_GB2312" w:hAnsi="宋体" w:cs="宋体"/>
                <w:kern w:val="0"/>
                <w:szCs w:val="21"/>
              </w:rPr>
              <w:t>6、沿街店家生活垃圾一日二清，加</w:t>
            </w:r>
          </w:p>
          <w:p>
            <w:pPr>
              <w:adjustRightInd w:val="0"/>
              <w:snapToGrid w:val="0"/>
              <w:spacing w:before="0" w:beforeAutospacing="0" w:after="0" w:afterAutospacing="0" w:line="320" w:lineRule="exact"/>
              <w:ind w:left="0" w:right="0" w:firstLine="420"/>
              <w:rPr>
                <w:rFonts w:hint="eastAsia" w:ascii="仿宋_GB2312" w:hAnsi="宋体" w:cs="宋体"/>
                <w:kern w:val="0"/>
                <w:szCs w:val="21"/>
              </w:rPr>
            </w:pPr>
            <w:r>
              <w:rPr>
                <w:rFonts w:hint="eastAsia" w:ascii="仿宋_GB2312" w:hAnsi="宋体" w:cs="宋体"/>
                <w:kern w:val="0"/>
                <w:szCs w:val="21"/>
              </w:rPr>
              <w:t>强水果店、早餐（摊）店前人行道巡回保洁，店家门前无垃圾包、无暴露垃圾、垃圾桶不满溢。</w:t>
            </w:r>
          </w:p>
        </w:tc>
        <w:tc>
          <w:tcPr>
            <w:tcW w:w="3996" w:type="dxa"/>
            <w:tcBorders>
              <w:top w:val="single" w:color="auto" w:sz="4" w:space="0"/>
              <w:left w:val="nil"/>
              <w:right w:val="single" w:color="auto" w:sz="4" w:space="0"/>
            </w:tcBorders>
            <w:noWrap w:val="0"/>
            <w:vAlign w:val="center"/>
          </w:tcPr>
          <w:p>
            <w:pPr>
              <w:adjustRightInd w:val="0"/>
              <w:snapToGrid w:val="0"/>
              <w:spacing w:before="0" w:beforeAutospacing="0" w:after="0" w:afterAutospacing="0" w:line="320" w:lineRule="exact"/>
              <w:ind w:left="0" w:right="0" w:firstLine="420"/>
              <w:rPr>
                <w:rFonts w:hint="eastAsia" w:ascii="仿宋_GB2312" w:hAnsi="宋体" w:cs="宋体"/>
                <w:spacing w:val="-6"/>
                <w:kern w:val="0"/>
                <w:szCs w:val="21"/>
              </w:rPr>
            </w:pPr>
            <w:r>
              <w:rPr>
                <w:rFonts w:hint="eastAsia" w:ascii="仿宋_GB2312" w:hAnsi="宋体" w:cs="宋体"/>
                <w:kern w:val="0"/>
                <w:szCs w:val="21"/>
              </w:rPr>
              <w:t>6、</w:t>
            </w:r>
            <w:r>
              <w:rPr>
                <w:rFonts w:hint="eastAsia" w:ascii="仿宋_GB2312" w:hAnsi="宋体" w:cs="宋体"/>
                <w:spacing w:val="-6"/>
                <w:kern w:val="0"/>
                <w:szCs w:val="21"/>
              </w:rPr>
              <w:t>沿街店家一店一桶垃圾未做到一日二清每处</w:t>
            </w:r>
          </w:p>
          <w:p>
            <w:pPr>
              <w:adjustRightInd w:val="0"/>
              <w:snapToGrid w:val="0"/>
              <w:spacing w:before="0" w:beforeAutospacing="0" w:after="0" w:afterAutospacing="0" w:line="320" w:lineRule="exact"/>
              <w:ind w:left="0" w:right="0" w:firstLine="420"/>
              <w:rPr>
                <w:rFonts w:hint="eastAsia" w:ascii="仿宋_GB2312" w:hAnsi="宋体" w:cs="宋体"/>
                <w:spacing w:val="-6"/>
                <w:kern w:val="0"/>
                <w:szCs w:val="21"/>
              </w:rPr>
            </w:pPr>
            <w:r>
              <w:rPr>
                <w:rFonts w:hint="eastAsia" w:ascii="仿宋_GB2312" w:hAnsi="宋体" w:cs="宋体"/>
                <w:spacing w:val="-6"/>
                <w:kern w:val="0"/>
                <w:szCs w:val="21"/>
              </w:rPr>
              <w:t>扣0.4分，垃圾桶垃圾满溢每处扣0.4分，店前有垃圾包或暴露垃圾每处扣0.4分。</w:t>
            </w:r>
          </w:p>
        </w:tc>
      </w:tr>
      <w:tr>
        <w:tblPrEx>
          <w:tblCellMar>
            <w:top w:w="0" w:type="dxa"/>
            <w:left w:w="0" w:type="dxa"/>
            <w:bottom w:w="0" w:type="dxa"/>
            <w:right w:w="0" w:type="dxa"/>
          </w:tblCellMar>
        </w:tblPrEx>
        <w:trPr>
          <w:trHeight w:val="1122" w:hRule="atLeast"/>
          <w:jc w:val="center"/>
        </w:trPr>
        <w:tc>
          <w:tcPr>
            <w:tcW w:w="422"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1479"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560"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3372"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420"/>
              <w:rPr>
                <w:rFonts w:hint="eastAsia" w:ascii="仿宋_GB2312" w:hAnsi="宋体" w:cs="宋体"/>
                <w:kern w:val="0"/>
                <w:szCs w:val="21"/>
              </w:rPr>
            </w:pPr>
            <w:r>
              <w:rPr>
                <w:rFonts w:hint="eastAsia" w:ascii="仿宋_GB2312" w:hAnsi="宋体" w:cs="宋体"/>
                <w:kern w:val="0"/>
                <w:szCs w:val="21"/>
              </w:rPr>
              <w:t>7、环卫设施、路面乱涂写招贴清除及时，无生活污水、污渍。</w:t>
            </w:r>
          </w:p>
          <w:p>
            <w:pPr>
              <w:widowControl/>
              <w:adjustRightInd w:val="0"/>
              <w:snapToGrid w:val="0"/>
              <w:spacing w:before="0" w:beforeAutospacing="0" w:after="0" w:afterAutospacing="0" w:line="320" w:lineRule="exact"/>
              <w:ind w:left="0" w:right="0" w:firstLine="420"/>
              <w:rPr>
                <w:rFonts w:hint="eastAsia" w:ascii="仿宋_GB2312" w:hAnsi="宋体" w:cs="宋体"/>
                <w:kern w:val="0"/>
                <w:szCs w:val="21"/>
              </w:rPr>
            </w:pPr>
          </w:p>
        </w:tc>
        <w:tc>
          <w:tcPr>
            <w:tcW w:w="3996"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7、 机动车道、非机动车道、人行道、侧石、环卫设施有乱涂写招贴的每处扣0.2分；生活污水、污渍污染路面＜1m</w:t>
            </w:r>
            <w:r>
              <w:rPr>
                <w:rFonts w:hint="eastAsia" w:ascii="仿宋_GB2312" w:hAnsi="宋体" w:cs="宋体"/>
                <w:kern w:val="0"/>
                <w:szCs w:val="21"/>
                <w:vertAlign w:val="superscript"/>
              </w:rPr>
              <w:t>2</w:t>
            </w:r>
            <w:r>
              <w:rPr>
                <w:rFonts w:hint="eastAsia" w:ascii="仿宋_GB2312" w:hAnsi="宋体" w:cs="宋体"/>
                <w:kern w:val="0"/>
                <w:szCs w:val="21"/>
              </w:rPr>
              <w:t>的每处扣0.4分，≥1m</w:t>
            </w:r>
            <w:r>
              <w:rPr>
                <w:rFonts w:hint="eastAsia" w:ascii="仿宋_GB2312" w:hAnsi="宋体" w:cs="宋体"/>
                <w:kern w:val="0"/>
                <w:szCs w:val="21"/>
                <w:vertAlign w:val="superscript"/>
              </w:rPr>
              <w:t>2</w:t>
            </w:r>
            <w:r>
              <w:rPr>
                <w:rFonts w:hint="eastAsia" w:ascii="仿宋_GB2312" w:hAnsi="宋体" w:cs="宋体"/>
                <w:kern w:val="0"/>
                <w:szCs w:val="21"/>
              </w:rPr>
              <w:t xml:space="preserve">的每处扣1分。  </w:t>
            </w:r>
          </w:p>
        </w:tc>
      </w:tr>
      <w:tr>
        <w:tblPrEx>
          <w:tblCellMar>
            <w:top w:w="0" w:type="dxa"/>
            <w:left w:w="0" w:type="dxa"/>
            <w:bottom w:w="0" w:type="dxa"/>
            <w:right w:w="0" w:type="dxa"/>
          </w:tblCellMar>
        </w:tblPrEx>
        <w:trPr>
          <w:trHeight w:val="751" w:hRule="atLeast"/>
          <w:jc w:val="center"/>
        </w:trPr>
        <w:tc>
          <w:tcPr>
            <w:tcW w:w="422"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1479"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560" w:type="dxa"/>
            <w:vMerge w:val="continue"/>
            <w:tcBorders>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3372"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8、道路两侧可视范围内无废土、垃圾。 </w:t>
            </w:r>
          </w:p>
        </w:tc>
        <w:tc>
          <w:tcPr>
            <w:tcW w:w="3996"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spacing w:val="-4"/>
                <w:kern w:val="0"/>
                <w:szCs w:val="21"/>
              </w:rPr>
            </w:pPr>
            <w:r>
              <w:rPr>
                <w:rFonts w:hint="eastAsia" w:ascii="仿宋_GB2312" w:hAnsi="宋体" w:cs="宋体"/>
                <w:kern w:val="0"/>
                <w:szCs w:val="21"/>
              </w:rPr>
              <w:t xml:space="preserve">  </w:t>
            </w:r>
            <w:r>
              <w:rPr>
                <w:rFonts w:hint="eastAsia" w:ascii="仿宋_GB2312" w:hAnsi="宋体" w:cs="宋体"/>
                <w:spacing w:val="-4"/>
                <w:kern w:val="0"/>
                <w:szCs w:val="21"/>
              </w:rPr>
              <w:t xml:space="preserve"> 8、 道路两侧废土、垃圾＜1m</w:t>
            </w:r>
            <w:r>
              <w:rPr>
                <w:rFonts w:hint="eastAsia" w:ascii="仿宋_GB2312" w:hAnsi="宋体" w:cs="宋体"/>
                <w:spacing w:val="-4"/>
                <w:kern w:val="0"/>
                <w:szCs w:val="21"/>
                <w:vertAlign w:val="superscript"/>
              </w:rPr>
              <w:t>2</w:t>
            </w:r>
            <w:r>
              <w:rPr>
                <w:rFonts w:hint="eastAsia" w:ascii="仿宋_GB2312" w:hAnsi="宋体" w:cs="宋体"/>
                <w:spacing w:val="-4"/>
                <w:kern w:val="0"/>
                <w:szCs w:val="21"/>
              </w:rPr>
              <w:t>的每处扣0.2分，≥ 1m</w:t>
            </w:r>
            <w:r>
              <w:rPr>
                <w:rFonts w:hint="eastAsia" w:ascii="仿宋_GB2312" w:hAnsi="宋体" w:cs="宋体"/>
                <w:spacing w:val="-4"/>
                <w:kern w:val="0"/>
                <w:szCs w:val="21"/>
                <w:vertAlign w:val="superscript"/>
              </w:rPr>
              <w:t>2</w:t>
            </w:r>
            <w:r>
              <w:rPr>
                <w:rFonts w:hint="eastAsia" w:ascii="仿宋_GB2312" w:hAnsi="宋体" w:cs="宋体"/>
                <w:spacing w:val="-4"/>
                <w:kern w:val="0"/>
                <w:szCs w:val="21"/>
              </w:rPr>
              <w:t>的每处扣0.4分，≥5 m</w:t>
            </w:r>
            <w:r>
              <w:rPr>
                <w:rFonts w:hint="eastAsia" w:ascii="仿宋_GB2312" w:hAnsi="宋体" w:cs="宋体"/>
                <w:spacing w:val="-4"/>
                <w:kern w:val="0"/>
                <w:szCs w:val="21"/>
                <w:vertAlign w:val="superscript"/>
              </w:rPr>
              <w:t>2</w:t>
            </w:r>
            <w:r>
              <w:rPr>
                <w:rFonts w:hint="eastAsia" w:ascii="仿宋_GB2312" w:hAnsi="宋体" w:cs="宋体"/>
                <w:spacing w:val="-4"/>
                <w:kern w:val="0"/>
                <w:szCs w:val="21"/>
              </w:rPr>
              <w:t>的每处扣1分。</w:t>
            </w:r>
          </w:p>
        </w:tc>
      </w:tr>
      <w:tr>
        <w:tblPrEx>
          <w:tblCellMar>
            <w:top w:w="0" w:type="dxa"/>
            <w:left w:w="0" w:type="dxa"/>
            <w:bottom w:w="0" w:type="dxa"/>
            <w:right w:w="0" w:type="dxa"/>
          </w:tblCellMar>
        </w:tblPrEx>
        <w:trPr>
          <w:trHeight w:val="751" w:hRule="atLeast"/>
          <w:jc w:val="center"/>
        </w:trPr>
        <w:tc>
          <w:tcPr>
            <w:tcW w:w="422" w:type="dxa"/>
            <w:vMerge w:val="continue"/>
            <w:tcBorders>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1479" w:type="dxa"/>
            <w:vMerge w:val="continue"/>
            <w:tcBorders>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560" w:type="dxa"/>
            <w:vMerge w:val="continue"/>
            <w:tcBorders>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3372"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420" w:firstLineChars="200"/>
              <w:rPr>
                <w:rFonts w:hint="eastAsia" w:ascii="仿宋_GB2312" w:hAnsi="宋体" w:cs="宋体"/>
                <w:kern w:val="0"/>
                <w:szCs w:val="21"/>
              </w:rPr>
            </w:pPr>
            <w:r>
              <w:rPr>
                <w:rFonts w:hint="eastAsia" w:ascii="仿宋_GB2312" w:hAnsi="宋体" w:cs="宋体"/>
                <w:kern w:val="0"/>
                <w:szCs w:val="21"/>
              </w:rPr>
              <w:t>9、居民楼道清扫要扫到墙角，扶梯和墙面、墙顶做到无蛛网或积尘、积灰，档面平台干净无积水，地面无果皮壳、纸屑及杂物</w:t>
            </w:r>
          </w:p>
        </w:tc>
        <w:tc>
          <w:tcPr>
            <w:tcW w:w="3996"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9、居民楼道路里有垃圾、地面有果皮壳、纸屑及杂物，有一处扣0.05分, 扶梯和墙面、墙顶有蛛网或积尘、积灰,有一处扣0.05分, 档面平台有积水扣0.05分。</w:t>
            </w:r>
          </w:p>
        </w:tc>
      </w:tr>
      <w:tr>
        <w:tblPrEx>
          <w:tblCellMar>
            <w:top w:w="0" w:type="dxa"/>
            <w:left w:w="0" w:type="dxa"/>
            <w:bottom w:w="0" w:type="dxa"/>
            <w:right w:w="0" w:type="dxa"/>
          </w:tblCellMar>
        </w:tblPrEx>
        <w:trPr>
          <w:trHeight w:val="1841" w:hRule="atLeast"/>
          <w:jc w:val="center"/>
        </w:trPr>
        <w:tc>
          <w:tcPr>
            <w:tcW w:w="422"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三</w:t>
            </w:r>
          </w:p>
        </w:tc>
        <w:tc>
          <w:tcPr>
            <w:tcW w:w="1479"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道路环卫设施管理情况</w:t>
            </w:r>
          </w:p>
        </w:tc>
        <w:tc>
          <w:tcPr>
            <w:tcW w:w="560"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现场检查</w:t>
            </w:r>
          </w:p>
        </w:tc>
        <w:tc>
          <w:tcPr>
            <w:tcW w:w="3372"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480"/>
              <w:rPr>
                <w:rFonts w:hint="eastAsia" w:ascii="仿宋_GB2312" w:hAnsi="宋体" w:cs="宋体"/>
                <w:kern w:val="0"/>
                <w:szCs w:val="21"/>
              </w:rPr>
            </w:pPr>
            <w:r>
              <w:rPr>
                <w:rFonts w:hint="eastAsia" w:ascii="仿宋_GB2312" w:hAnsi="宋体" w:cs="宋体"/>
                <w:kern w:val="0"/>
                <w:szCs w:val="21"/>
              </w:rPr>
              <w:t>10、道路（街巷）、开放式小区设置的垃圾桶整齐规范，盖好盖，箱门要关闭；</w:t>
            </w:r>
          </w:p>
          <w:p>
            <w:pPr>
              <w:widowControl/>
              <w:adjustRightInd w:val="0"/>
              <w:snapToGrid w:val="0"/>
              <w:spacing w:before="0" w:beforeAutospacing="0" w:after="0" w:afterAutospacing="0" w:line="320" w:lineRule="exact"/>
              <w:ind w:left="0" w:right="0" w:firstLine="480"/>
              <w:rPr>
                <w:rFonts w:hint="eastAsia" w:ascii="仿宋_GB2312" w:hAnsi="宋体" w:cs="宋体"/>
                <w:kern w:val="0"/>
                <w:szCs w:val="21"/>
              </w:rPr>
            </w:pPr>
            <w:r>
              <w:rPr>
                <w:rFonts w:hint="eastAsia" w:ascii="仿宋_GB2312" w:hAnsi="宋体" w:cs="宋体"/>
                <w:kern w:val="0"/>
                <w:szCs w:val="21"/>
              </w:rPr>
              <w:t>街巷设置的垃圾房门关闭不敞开、不破损、不锈蚀、无积存污垢，周围地面无污水。</w:t>
            </w:r>
          </w:p>
        </w:tc>
        <w:tc>
          <w:tcPr>
            <w:tcW w:w="3996"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315" w:firstLineChars="150"/>
              <w:rPr>
                <w:rFonts w:hint="eastAsia" w:ascii="仿宋_GB2312" w:hAnsi="宋体" w:cs="宋体"/>
                <w:kern w:val="0"/>
                <w:szCs w:val="21"/>
              </w:rPr>
            </w:pPr>
            <w:r>
              <w:rPr>
                <w:rFonts w:hint="eastAsia" w:ascii="仿宋_GB2312" w:hAnsi="宋体" w:cs="宋体"/>
                <w:kern w:val="0"/>
                <w:szCs w:val="21"/>
              </w:rPr>
              <w:t>10、道路（街巷）两侧的果壳箱箱门未关闭的每处扣0.2分；</w:t>
            </w:r>
          </w:p>
          <w:p>
            <w:pPr>
              <w:widowControl/>
              <w:adjustRightInd w:val="0"/>
              <w:snapToGrid w:val="0"/>
              <w:spacing w:before="0" w:beforeAutospacing="0" w:after="0" w:afterAutospacing="0" w:line="320" w:lineRule="exact"/>
              <w:ind w:left="0" w:right="0" w:firstLine="480"/>
              <w:rPr>
                <w:rFonts w:hint="eastAsia" w:ascii="仿宋_GB2312" w:hAnsi="宋体" w:cs="宋体"/>
                <w:kern w:val="0"/>
                <w:szCs w:val="21"/>
              </w:rPr>
            </w:pPr>
            <w:r>
              <w:rPr>
                <w:rFonts w:hint="eastAsia" w:ascii="仿宋_GB2312" w:hAnsi="宋体" w:cs="宋体"/>
                <w:kern w:val="0"/>
                <w:szCs w:val="21"/>
              </w:rPr>
              <w:t>垃圾桶未摆放整齐规范的每处扣0.2分，有盖未盖好的每处扣0.2分。</w:t>
            </w:r>
          </w:p>
          <w:p>
            <w:pPr>
              <w:widowControl/>
              <w:adjustRightInd w:val="0"/>
              <w:snapToGrid w:val="0"/>
              <w:spacing w:before="0" w:beforeAutospacing="0" w:after="0" w:afterAutospacing="0" w:line="320" w:lineRule="exact"/>
              <w:ind w:left="0" w:right="0" w:firstLine="480"/>
              <w:rPr>
                <w:rFonts w:hint="eastAsia" w:ascii="仿宋_GB2312" w:hAnsi="宋体" w:cs="宋体"/>
                <w:kern w:val="0"/>
                <w:szCs w:val="21"/>
              </w:rPr>
            </w:pPr>
            <w:r>
              <w:rPr>
                <w:rFonts w:hint="eastAsia" w:ascii="仿宋_GB2312" w:hAnsi="宋体" w:cs="宋体"/>
                <w:kern w:val="0"/>
                <w:szCs w:val="21"/>
              </w:rPr>
              <w:t>垃圾房清除垃圾后门不关的每处扣0.4分,破损、锈蚀、外墙面和地面有积存污垢，周围地面有积存污水的每处扣2分。</w:t>
            </w:r>
          </w:p>
        </w:tc>
      </w:tr>
      <w:tr>
        <w:tblPrEx>
          <w:tblCellMar>
            <w:top w:w="0" w:type="dxa"/>
            <w:left w:w="0" w:type="dxa"/>
            <w:bottom w:w="0" w:type="dxa"/>
            <w:right w:w="0" w:type="dxa"/>
          </w:tblCellMar>
        </w:tblPrEx>
        <w:trPr>
          <w:trHeight w:val="1841" w:hRule="atLeast"/>
          <w:jc w:val="center"/>
        </w:trPr>
        <w:tc>
          <w:tcPr>
            <w:tcW w:w="422"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1479"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560"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3372"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11、垃圾收集容器完好。道路（街巷）两侧的果壳箱无破损、歪斜、油漆剥落（或严重褪色）现象，果壳箱、垃圾桶无积存垃圾，日产日清。果壳箱、垃圾桶、垃圾房清洁无污垢、无垃圾满溢现象，箱（桶、房）外无暴露垃圾。</w:t>
            </w:r>
          </w:p>
        </w:tc>
        <w:tc>
          <w:tcPr>
            <w:tcW w:w="3996"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11、道路（街巷）两侧的果壳箱破损、油漆剥落（或严重褪色）、歪斜的每处扣0.4分，垃圾未日产日清的每处扣2分，垃圾清运不及时，果壳箱、垃圾桶垃圾满溢的每处扣2分。垃圾收集容器边有暴露垃圾堆的每处扣2分，周边地面有垃圾污水、苍蝇超标的每处扣2分；果壳箱(垃圾箱、桶）等垃圾收集容器清洗不到位，外观不洁有污垢的每处扣2分；垃圾收集后垃圾桶未按规定放回的每处扣0.4分。</w:t>
            </w:r>
          </w:p>
        </w:tc>
      </w:tr>
      <w:tr>
        <w:tblPrEx>
          <w:tblCellMar>
            <w:top w:w="0" w:type="dxa"/>
            <w:left w:w="0" w:type="dxa"/>
            <w:bottom w:w="0" w:type="dxa"/>
            <w:right w:w="0" w:type="dxa"/>
          </w:tblCellMar>
        </w:tblPrEx>
        <w:trPr>
          <w:trHeight w:val="1180" w:hRule="atLeast"/>
          <w:jc w:val="center"/>
        </w:trPr>
        <w:tc>
          <w:tcPr>
            <w:tcW w:w="422"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1479"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560"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3372"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12、环卫专业车辆（含机动车、非机动车）外观整洁、无破损。垃圾清运车实行密闭运输，无垃圾抛洒、无污水滴漏、车厢外无吊挂。吸粪车无沿途滴漏污水问题。</w:t>
            </w:r>
          </w:p>
        </w:tc>
        <w:tc>
          <w:tcPr>
            <w:tcW w:w="3996"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12、环卫专用车辆外观不洁、积尘、破损、车身油漆剥落（剥落面积大于15cm×15cm），垃圾清运车未实行密闭运输发生抛洒滴漏污染路面、车厢外有吊挂垃圾等问题，每发生1次，所在标段当月清洁度扣0.1分。</w:t>
            </w:r>
          </w:p>
        </w:tc>
      </w:tr>
      <w:tr>
        <w:tblPrEx>
          <w:tblCellMar>
            <w:top w:w="0" w:type="dxa"/>
            <w:left w:w="0" w:type="dxa"/>
            <w:bottom w:w="0" w:type="dxa"/>
            <w:right w:w="0" w:type="dxa"/>
          </w:tblCellMar>
        </w:tblPrEx>
        <w:trPr>
          <w:trHeight w:val="1235" w:hRule="atLeast"/>
          <w:jc w:val="center"/>
        </w:trPr>
        <w:tc>
          <w:tcPr>
            <w:tcW w:w="422"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四</w:t>
            </w:r>
          </w:p>
        </w:tc>
        <w:tc>
          <w:tcPr>
            <w:tcW w:w="1479"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作业规范执行情况</w:t>
            </w:r>
          </w:p>
        </w:tc>
        <w:tc>
          <w:tcPr>
            <w:tcW w:w="560"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现场检查</w:t>
            </w:r>
          </w:p>
        </w:tc>
        <w:tc>
          <w:tcPr>
            <w:tcW w:w="3372"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13、按规定时间内完成第一遍普扫。1月、2月、11月、12月每日上午7：30前完成普扫，其他月份每日上上午7：00</w:t>
            </w:r>
            <w:r>
              <w:rPr>
                <w:rFonts w:hint="eastAsia" w:ascii="仿宋_GB2312" w:hAnsi="宋体" w:cs="宋体"/>
                <w:spacing w:val="-6"/>
                <w:kern w:val="0"/>
                <w:szCs w:val="21"/>
              </w:rPr>
              <w:t>前完成普扫。普扫结束后做好巡回保洁工作</w:t>
            </w:r>
            <w:r>
              <w:rPr>
                <w:rFonts w:hint="eastAsia" w:ascii="仿宋_GB2312" w:hAnsi="宋体" w:cs="宋体"/>
                <w:kern w:val="0"/>
                <w:szCs w:val="21"/>
              </w:rPr>
              <w:t>。</w:t>
            </w:r>
          </w:p>
        </w:tc>
        <w:tc>
          <w:tcPr>
            <w:tcW w:w="3996"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13、未在规定时间内完成第一遍普扫的每条道路扣4分。</w:t>
            </w:r>
          </w:p>
        </w:tc>
      </w:tr>
      <w:tr>
        <w:tblPrEx>
          <w:tblCellMar>
            <w:top w:w="0" w:type="dxa"/>
            <w:left w:w="0" w:type="dxa"/>
            <w:bottom w:w="0" w:type="dxa"/>
            <w:right w:w="0" w:type="dxa"/>
          </w:tblCellMar>
        </w:tblPrEx>
        <w:trPr>
          <w:trHeight w:val="2373" w:hRule="atLeast"/>
          <w:jc w:val="center"/>
        </w:trPr>
        <w:tc>
          <w:tcPr>
            <w:tcW w:w="422"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1479"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560"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337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525" w:firstLineChars="250"/>
              <w:rPr>
                <w:rFonts w:hint="eastAsia" w:ascii="仿宋_GB2312" w:hAnsi="宋体" w:cs="宋体"/>
                <w:kern w:val="0"/>
                <w:szCs w:val="21"/>
              </w:rPr>
            </w:pPr>
            <w:r>
              <w:rPr>
                <w:rFonts w:hint="eastAsia" w:ascii="仿宋_GB2312" w:hAnsi="宋体" w:cs="宋体"/>
                <w:kern w:val="0"/>
                <w:szCs w:val="21"/>
              </w:rPr>
              <w:t>14、道路清扫（含机扫）时不扬尘。在普扫前应做好道路洒水，保持车行道路面湿润，有效控制清扫时可能产生的扬尘；机扫质量达标。</w:t>
            </w:r>
          </w:p>
          <w:p>
            <w:pPr>
              <w:widowControl/>
              <w:adjustRightInd w:val="0"/>
              <w:snapToGrid w:val="0"/>
              <w:spacing w:before="0" w:beforeAutospacing="0" w:after="0" w:afterAutospacing="0" w:line="320" w:lineRule="exact"/>
              <w:ind w:left="0" w:right="0" w:firstLine="480"/>
              <w:rPr>
                <w:rFonts w:hint="eastAsia" w:ascii="仿宋_GB2312" w:hAnsi="宋体" w:cs="宋体"/>
                <w:kern w:val="0"/>
                <w:szCs w:val="21"/>
              </w:rPr>
            </w:pPr>
            <w:r>
              <w:rPr>
                <w:rFonts w:hint="eastAsia" w:ascii="仿宋_GB2312" w:hAnsi="宋体" w:cs="宋体"/>
                <w:kern w:val="0"/>
                <w:szCs w:val="21"/>
              </w:rPr>
              <w:t>人工清扫保洁作业时，道路、人行道（含店前道路）不得漏扫、反扫，垃圾应归拢、归堆并清除彻底，清扫保洁时不得将垃圾扫入窨井中或向道路两侧反扫；</w:t>
            </w:r>
          </w:p>
          <w:p>
            <w:pPr>
              <w:widowControl/>
              <w:adjustRightInd w:val="0"/>
              <w:snapToGrid w:val="0"/>
              <w:spacing w:before="0" w:beforeAutospacing="0" w:after="0" w:afterAutospacing="0" w:line="320" w:lineRule="exact"/>
              <w:ind w:left="0" w:right="0" w:firstLine="420" w:firstLineChars="200"/>
              <w:rPr>
                <w:rFonts w:hint="eastAsia" w:ascii="仿宋_GB2312" w:hAnsi="宋体" w:cs="宋体"/>
                <w:kern w:val="0"/>
                <w:szCs w:val="21"/>
              </w:rPr>
            </w:pPr>
            <w:r>
              <w:rPr>
                <w:rFonts w:hint="eastAsia" w:ascii="仿宋_GB2312" w:hAnsi="宋体" w:cs="宋体"/>
                <w:kern w:val="0"/>
                <w:szCs w:val="21"/>
              </w:rPr>
              <w:t>垃圾清运小车作业时不得将垃圾直接落地转运。</w:t>
            </w:r>
          </w:p>
        </w:tc>
        <w:tc>
          <w:tcPr>
            <w:tcW w:w="399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482"/>
              <w:rPr>
                <w:rFonts w:hint="eastAsia" w:ascii="仿宋_GB2312" w:hAnsi="宋体" w:cs="宋体"/>
                <w:kern w:val="0"/>
                <w:szCs w:val="21"/>
              </w:rPr>
            </w:pPr>
            <w:r>
              <w:rPr>
                <w:rFonts w:hint="eastAsia" w:ascii="仿宋_GB2312" w:hAnsi="宋体" w:cs="宋体"/>
                <w:kern w:val="0"/>
                <w:szCs w:val="21"/>
              </w:rPr>
              <w:t>14、清扫保洁作业不规范导致路面扬尘的，每次扣2分；机扫路面应干净,清扫后垃圾未吸净而有成条或小堆的，每处扣2分。</w:t>
            </w:r>
          </w:p>
          <w:p>
            <w:pPr>
              <w:widowControl/>
              <w:adjustRightInd w:val="0"/>
              <w:snapToGrid w:val="0"/>
              <w:spacing w:before="0" w:beforeAutospacing="0" w:after="0" w:afterAutospacing="0" w:line="320" w:lineRule="exact"/>
              <w:ind w:left="0" w:right="0" w:firstLine="482"/>
              <w:rPr>
                <w:rFonts w:hint="eastAsia" w:ascii="仿宋_GB2312" w:hAnsi="宋体" w:cs="宋体"/>
                <w:kern w:val="0"/>
                <w:szCs w:val="21"/>
              </w:rPr>
            </w:pPr>
            <w:r>
              <w:rPr>
                <w:rFonts w:hint="eastAsia" w:ascii="仿宋_GB2312" w:hAnsi="宋体" w:cs="宋体"/>
                <w:kern w:val="0"/>
                <w:szCs w:val="21"/>
              </w:rPr>
              <w:t xml:space="preserve">道路、人行道（含店前道路）漏扫的每处扣0.8分，垃圾归拢、归堆未清除的每处扣2分，清除不彻底的每处扣0.8分，清扫保洁时将垃圾扫入窨井中或向道路两侧反扫的每次扣2分；垃圾清运小车将垃圾直接接触路面（或地面）进行转运的每次扣2分。 </w:t>
            </w:r>
          </w:p>
        </w:tc>
      </w:tr>
      <w:tr>
        <w:tblPrEx>
          <w:tblCellMar>
            <w:top w:w="0" w:type="dxa"/>
            <w:left w:w="0" w:type="dxa"/>
            <w:bottom w:w="0" w:type="dxa"/>
            <w:right w:w="0" w:type="dxa"/>
          </w:tblCellMar>
        </w:tblPrEx>
        <w:trPr>
          <w:trHeight w:val="5292" w:hRule="atLeast"/>
          <w:jc w:val="center"/>
        </w:trPr>
        <w:tc>
          <w:tcPr>
            <w:tcW w:w="422"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1479"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560"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337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482"/>
              <w:rPr>
                <w:rFonts w:hint="eastAsia" w:ascii="仿宋_GB2312" w:hAnsi="宋体" w:cs="宋体"/>
                <w:kern w:val="0"/>
                <w:szCs w:val="21"/>
              </w:rPr>
            </w:pPr>
            <w:r>
              <w:rPr>
                <w:rFonts w:hint="eastAsia" w:ascii="仿宋_GB2312" w:hAnsi="宋体" w:cs="宋体"/>
                <w:kern w:val="0"/>
                <w:szCs w:val="21"/>
              </w:rPr>
              <w:t>15、每日凌晨道路普扫前要落实洒水作业，交通早晚高峰期间（上午7:15－8:45，晚上17:30－18:45）,禁止洒水（有特殊情况除外）；</w:t>
            </w:r>
          </w:p>
          <w:p>
            <w:pPr>
              <w:widowControl/>
              <w:adjustRightInd w:val="0"/>
              <w:snapToGrid w:val="0"/>
              <w:spacing w:before="0" w:beforeAutospacing="0" w:after="0" w:afterAutospacing="0" w:line="320" w:lineRule="exact"/>
              <w:ind w:left="0" w:right="0" w:firstLine="482"/>
              <w:rPr>
                <w:rFonts w:hint="eastAsia" w:ascii="仿宋_GB2312" w:hAnsi="宋体" w:cs="宋体"/>
                <w:kern w:val="0"/>
                <w:szCs w:val="21"/>
              </w:rPr>
            </w:pPr>
            <w:r>
              <w:rPr>
                <w:rFonts w:hint="eastAsia" w:ascii="仿宋_GB2312" w:hAnsi="宋体" w:cs="宋体"/>
                <w:kern w:val="0"/>
                <w:szCs w:val="21"/>
              </w:rPr>
              <w:t>洒水车应有提示音乐音量调节装置，警示灯完好，22：00-7：00期间洒水作业时不得播放提示音乐，应使用警示灯光。洒水车作业时车速≤25km/h，洒水车通过十字路口、人行横道、机动车道与非机动车道混行的路段时要控制好水幅，以防止将水洒到行人。气温低于2度时暂停洒水，冰冻天气禁止洒水。</w:t>
            </w:r>
          </w:p>
        </w:tc>
        <w:tc>
          <w:tcPr>
            <w:tcW w:w="399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482"/>
              <w:rPr>
                <w:rFonts w:hint="eastAsia" w:ascii="仿宋_GB2312" w:hAnsi="宋体" w:cs="宋体"/>
                <w:kern w:val="0"/>
                <w:szCs w:val="21"/>
              </w:rPr>
            </w:pPr>
            <w:r>
              <w:rPr>
                <w:rFonts w:hint="eastAsia" w:ascii="仿宋_GB2312" w:hAnsi="宋体" w:cs="宋体"/>
                <w:kern w:val="0"/>
                <w:szCs w:val="21"/>
              </w:rPr>
              <w:t>15、凌晨普扫前未安排洒水作业的，每发生1次，所在标段当月清洁度扣0.1分，交通高峰时期安排洒水作业的，每发生1次，所在标段当月清洁度扣0.1分；</w:t>
            </w:r>
          </w:p>
          <w:p>
            <w:pPr>
              <w:widowControl/>
              <w:adjustRightInd w:val="0"/>
              <w:snapToGrid w:val="0"/>
              <w:spacing w:before="0" w:beforeAutospacing="0" w:after="0" w:afterAutospacing="0" w:line="320" w:lineRule="exact"/>
              <w:ind w:left="0" w:right="0" w:firstLine="482"/>
              <w:rPr>
                <w:rFonts w:hint="eastAsia" w:ascii="仿宋_GB2312" w:hAnsi="宋体" w:cs="宋体"/>
                <w:kern w:val="0"/>
                <w:szCs w:val="21"/>
              </w:rPr>
            </w:pPr>
            <w:r>
              <w:rPr>
                <w:rFonts w:hint="eastAsia" w:ascii="仿宋_GB2312" w:hAnsi="宋体" w:cs="宋体"/>
                <w:kern w:val="0"/>
                <w:szCs w:val="21"/>
              </w:rPr>
              <w:t>洒水车未安装提示音乐音量调节装置或警示灯缺失、破损的，每车次所在标段当月清洁度扣0.1分。在22:00-7:00期间洒水作业时仍播放提示音乐或未启用警示灯光的，每发生1次所在标段当月清洁度扣0.1分。洒水车作业超过规定车速的，每发生1次所在标段当月清洁度扣0.05分，洒水时未避让行人发生有责投诉的，每发生1次所在标段当月清洁度扣0.1分。冬季洒水使路面结冰发生有责投诉的，每发生1次，所在标段当月清洁度扣0.1分，导致有责交通事故的，所在标段当月清洁度扣0.2分。</w:t>
            </w:r>
          </w:p>
        </w:tc>
      </w:tr>
      <w:tr>
        <w:tblPrEx>
          <w:tblCellMar>
            <w:top w:w="0" w:type="dxa"/>
            <w:left w:w="0" w:type="dxa"/>
            <w:bottom w:w="0" w:type="dxa"/>
            <w:right w:w="0" w:type="dxa"/>
          </w:tblCellMar>
        </w:tblPrEx>
        <w:trPr>
          <w:trHeight w:val="1223" w:hRule="atLeast"/>
          <w:jc w:val="center"/>
        </w:trPr>
        <w:tc>
          <w:tcPr>
            <w:tcW w:w="422"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四</w:t>
            </w:r>
          </w:p>
        </w:tc>
        <w:tc>
          <w:tcPr>
            <w:tcW w:w="1479"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作业规范执行情况</w:t>
            </w:r>
          </w:p>
        </w:tc>
        <w:tc>
          <w:tcPr>
            <w:tcW w:w="560"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现场检查</w:t>
            </w:r>
          </w:p>
        </w:tc>
        <w:tc>
          <w:tcPr>
            <w:tcW w:w="337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16、扫路车作业时车速≤10km/h，清扫时必须启用警示灯，清扫时须喷水压尘。</w:t>
            </w:r>
          </w:p>
        </w:tc>
        <w:tc>
          <w:tcPr>
            <w:tcW w:w="3996"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16、扫路车清扫时超过规定车速的，每发生1次，所在标段当月清洁度扣0.05分。未开启警示灯的，每发生1次，所在标段当月清洁度扣0.05分。未喷水压尘的，每发生1次，所在标段当月清洁度扣0.05分。</w:t>
            </w:r>
          </w:p>
        </w:tc>
      </w:tr>
      <w:tr>
        <w:tblPrEx>
          <w:tblCellMar>
            <w:top w:w="0" w:type="dxa"/>
            <w:left w:w="0" w:type="dxa"/>
            <w:bottom w:w="0" w:type="dxa"/>
            <w:right w:w="0" w:type="dxa"/>
          </w:tblCellMar>
        </w:tblPrEx>
        <w:trPr>
          <w:trHeight w:val="1606" w:hRule="atLeast"/>
          <w:jc w:val="center"/>
        </w:trPr>
        <w:tc>
          <w:tcPr>
            <w:tcW w:w="422"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1479"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560"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3372"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17、清洗道路时高压冲洗车速度保持在5km/h-10km/h。</w:t>
            </w:r>
          </w:p>
        </w:tc>
        <w:tc>
          <w:tcPr>
            <w:tcW w:w="3996"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17、高压冲洗车作业时速度超过10km/h的，每发生1次，所在标段当月清洁度扣0.05分，</w:t>
            </w:r>
          </w:p>
        </w:tc>
      </w:tr>
      <w:tr>
        <w:tblPrEx>
          <w:tblCellMar>
            <w:top w:w="0" w:type="dxa"/>
            <w:left w:w="0" w:type="dxa"/>
            <w:bottom w:w="0" w:type="dxa"/>
            <w:right w:w="0" w:type="dxa"/>
          </w:tblCellMar>
        </w:tblPrEx>
        <w:trPr>
          <w:trHeight w:val="2475" w:hRule="atLeast"/>
          <w:jc w:val="center"/>
        </w:trPr>
        <w:tc>
          <w:tcPr>
            <w:tcW w:w="422"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1479"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560"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3372"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18、环卫工人应统一着装，巡回保洁员统一配置捡拾垃圾的手动钳、畚斗等作业工具，着装要整齐、整洁，胸前佩戴上岗证，文明作业，遵守作业规范和交通规则。</w:t>
            </w:r>
          </w:p>
        </w:tc>
        <w:tc>
          <w:tcPr>
            <w:tcW w:w="3996"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18、环卫工人着装不规范，如衣冠不整（如钮扣不扣、工作帽歪戴等）、服装不洁、未穿着统一的工作服、未使用统一的保洁工具的每人次扣0.8分，未佩证上岗的每人次扣0.8分。保洁员作业时不按规定保洁车辆乱停乱放每人次扣0.8分，不遵守交通规则乱穿乱闯交通信号灯的每人次扣1分，做与保洁不相关事项每人次扣0.5分。</w:t>
            </w:r>
          </w:p>
        </w:tc>
      </w:tr>
      <w:tr>
        <w:tblPrEx>
          <w:tblCellMar>
            <w:top w:w="0" w:type="dxa"/>
            <w:left w:w="0" w:type="dxa"/>
            <w:bottom w:w="0" w:type="dxa"/>
            <w:right w:w="0" w:type="dxa"/>
          </w:tblCellMar>
        </w:tblPrEx>
        <w:trPr>
          <w:trHeight w:val="1258" w:hRule="atLeast"/>
          <w:jc w:val="center"/>
        </w:trPr>
        <w:tc>
          <w:tcPr>
            <w:tcW w:w="422"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1479"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560"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3372"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19、垃圾应倾倒在规定地点，不得焚烧垃圾、树叶。落叶旺季做到及时清扫和转运处理。</w:t>
            </w:r>
          </w:p>
        </w:tc>
        <w:tc>
          <w:tcPr>
            <w:tcW w:w="3996"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19、垃圾未倾倒在规定地点或焚烧垃圾、树叶的每次扣4分。落叶旺季未及时清扫落叶的每条道路扣1分，未及时转运处理树叶的每次扣1分。</w:t>
            </w:r>
          </w:p>
        </w:tc>
      </w:tr>
      <w:tr>
        <w:tblPrEx>
          <w:tblCellMar>
            <w:top w:w="0" w:type="dxa"/>
            <w:left w:w="0" w:type="dxa"/>
            <w:bottom w:w="0" w:type="dxa"/>
            <w:right w:w="0" w:type="dxa"/>
          </w:tblCellMar>
        </w:tblPrEx>
        <w:trPr>
          <w:trHeight w:val="4028" w:hRule="atLeast"/>
          <w:jc w:val="center"/>
        </w:trPr>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五</w:t>
            </w:r>
          </w:p>
        </w:tc>
        <w:tc>
          <w:tcPr>
            <w:tcW w:w="147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安全管理落实情况</w:t>
            </w:r>
          </w:p>
        </w:tc>
        <w:tc>
          <w:tcPr>
            <w:tcW w:w="56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台账检查现场检查</w:t>
            </w:r>
          </w:p>
        </w:tc>
        <w:tc>
          <w:tcPr>
            <w:tcW w:w="337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373" w:firstLineChars="178"/>
              <w:rPr>
                <w:rFonts w:hint="eastAsia" w:ascii="仿宋_GB2312" w:hAnsi="宋体" w:cs="宋体"/>
                <w:kern w:val="0"/>
                <w:szCs w:val="21"/>
              </w:rPr>
            </w:pPr>
            <w:r>
              <w:rPr>
                <w:rFonts w:hint="eastAsia" w:ascii="仿宋_GB2312" w:hAnsi="宋体" w:cs="宋体"/>
                <w:kern w:val="0"/>
                <w:szCs w:val="21"/>
              </w:rPr>
              <w:t>20、环卫作业单位安全生产工作落实，避免发生交通事故。要按《杭州市城市道路清扫保洁交通安全教育手册》的相关规定，对辖区一线道路保洁员进行安全生产全面轮训，新录用环卫工人应实施安全生产培训后方可上岗，自觉养成“一停二看三作业”的良好习惯，提高自我防范意识。如遇意外伤亡交通事故发生应及时上报。保洁人员须穿反光背心，人力保洁小车、垃圾清运车要在车辆前部、后部、两侧设置反光标识。</w:t>
            </w:r>
          </w:p>
          <w:p>
            <w:pPr>
              <w:widowControl/>
              <w:adjustRightInd w:val="0"/>
              <w:snapToGrid w:val="0"/>
              <w:spacing w:before="0" w:beforeAutospacing="0" w:after="0" w:afterAutospacing="0" w:line="320" w:lineRule="exact"/>
              <w:ind w:left="0" w:right="0" w:firstLine="480"/>
              <w:rPr>
                <w:rFonts w:hint="eastAsia" w:ascii="仿宋_GB2312" w:hAnsi="宋体" w:cs="宋体"/>
                <w:kern w:val="0"/>
                <w:szCs w:val="21"/>
              </w:rPr>
            </w:pPr>
            <w:r>
              <w:rPr>
                <w:rFonts w:hint="eastAsia" w:ascii="仿宋_GB2312" w:hAnsi="宋体" w:cs="宋体"/>
                <w:kern w:val="0"/>
                <w:szCs w:val="21"/>
              </w:rPr>
              <w:t>清除大片污染时，应做到有组织、有交通安全防护措施，采取小组作业方式进行，并设置反光锥形筒或与扫路车、洒水车协同进行。</w:t>
            </w:r>
          </w:p>
        </w:tc>
        <w:tc>
          <w:tcPr>
            <w:tcW w:w="399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480"/>
              <w:rPr>
                <w:rFonts w:hint="eastAsia" w:ascii="仿宋_GB2312" w:hAnsi="宋体" w:cs="宋体"/>
                <w:kern w:val="0"/>
                <w:szCs w:val="21"/>
              </w:rPr>
            </w:pPr>
            <w:r>
              <w:rPr>
                <w:rFonts w:hint="eastAsia" w:ascii="仿宋_GB2312" w:hAnsi="宋体" w:cs="宋体"/>
                <w:kern w:val="0"/>
                <w:szCs w:val="21"/>
              </w:rPr>
              <w:t>20、各标段每年要有一次对一线道路保洁人员安全生产全面轮训，对新录用环卫工人进行上岗前安全生产培训，有年度轮训计划和上岗前培训记录，未达到上述要求的每缺一项当月清洁度扣0.5分；</w:t>
            </w:r>
          </w:p>
          <w:p>
            <w:pPr>
              <w:widowControl/>
              <w:adjustRightInd w:val="0"/>
              <w:snapToGrid w:val="0"/>
              <w:spacing w:before="0" w:beforeAutospacing="0" w:after="0" w:afterAutospacing="0" w:line="320" w:lineRule="exact"/>
              <w:ind w:left="0" w:right="0" w:firstLine="480"/>
              <w:rPr>
                <w:rFonts w:hint="eastAsia" w:ascii="仿宋_GB2312" w:hAnsi="宋体" w:cs="宋体"/>
                <w:kern w:val="0"/>
                <w:szCs w:val="21"/>
              </w:rPr>
            </w:pPr>
            <w:r>
              <w:rPr>
                <w:rFonts w:hint="eastAsia" w:ascii="仿宋_GB2312" w:hAnsi="宋体" w:cs="宋体"/>
                <w:kern w:val="0"/>
                <w:szCs w:val="21"/>
              </w:rPr>
              <w:t>保洁作业期间，每发生1起有责交通致伤事故当月清洁度扣2分、1起有责死亡事故当月清洁度扣5分。并取消年终评优资格。</w:t>
            </w:r>
          </w:p>
          <w:p>
            <w:pPr>
              <w:widowControl/>
              <w:adjustRightInd w:val="0"/>
              <w:snapToGrid w:val="0"/>
              <w:spacing w:before="0" w:beforeAutospacing="0" w:after="0" w:afterAutospacing="0" w:line="320" w:lineRule="exact"/>
              <w:ind w:left="0" w:right="0" w:firstLine="480"/>
              <w:rPr>
                <w:rFonts w:hint="eastAsia" w:ascii="仿宋_GB2312" w:hAnsi="宋体" w:cs="宋体"/>
                <w:kern w:val="0"/>
                <w:szCs w:val="21"/>
              </w:rPr>
            </w:pPr>
            <w:r>
              <w:rPr>
                <w:rFonts w:hint="eastAsia" w:ascii="仿宋_GB2312" w:hAnsi="宋体" w:cs="宋体"/>
                <w:kern w:val="0"/>
                <w:szCs w:val="21"/>
              </w:rPr>
              <w:t>伤亡交通事故发生后未在24小时内上报环卫主管部门的，每发生1次扣当月清洁度0.5分；</w:t>
            </w:r>
          </w:p>
          <w:p>
            <w:pPr>
              <w:widowControl/>
              <w:adjustRightInd w:val="0"/>
              <w:snapToGrid w:val="0"/>
              <w:spacing w:before="0" w:beforeAutospacing="0" w:after="0" w:afterAutospacing="0" w:line="320" w:lineRule="exact"/>
              <w:ind w:left="0" w:right="0" w:firstLine="480"/>
              <w:rPr>
                <w:rFonts w:hint="eastAsia" w:ascii="仿宋_GB2312" w:hAnsi="宋体" w:cs="宋体"/>
                <w:kern w:val="0"/>
                <w:szCs w:val="21"/>
              </w:rPr>
            </w:pPr>
            <w:r>
              <w:rPr>
                <w:rFonts w:hint="eastAsia" w:ascii="仿宋_GB2312" w:hAnsi="宋体" w:cs="宋体"/>
                <w:kern w:val="0"/>
                <w:szCs w:val="21"/>
              </w:rPr>
              <w:t>保洁员工作时间未穿反光工作服的，每人次扣4分；保洁小车、垃圾清运小车未在车辆前部、后部、两侧设置反光标识的，每车次扣4分。</w:t>
            </w:r>
          </w:p>
          <w:p>
            <w:pPr>
              <w:widowControl/>
              <w:adjustRightInd w:val="0"/>
              <w:snapToGrid w:val="0"/>
              <w:spacing w:before="0" w:beforeAutospacing="0" w:after="0" w:afterAutospacing="0" w:line="320" w:lineRule="exact"/>
              <w:ind w:left="0" w:right="0" w:firstLine="480"/>
              <w:rPr>
                <w:rFonts w:hint="eastAsia" w:ascii="仿宋_GB2312" w:hAnsi="宋体" w:cs="宋体"/>
                <w:kern w:val="0"/>
                <w:szCs w:val="21"/>
              </w:rPr>
            </w:pPr>
            <w:r>
              <w:rPr>
                <w:rFonts w:hint="eastAsia" w:ascii="仿宋_GB2312" w:hAnsi="宋体" w:cs="宋体"/>
                <w:kern w:val="0"/>
                <w:szCs w:val="21"/>
              </w:rPr>
              <w:t>清除大片污染时，组织不周密或交通安全防护措施不落实的，每发现1次扣4分。</w:t>
            </w:r>
          </w:p>
        </w:tc>
      </w:tr>
      <w:tr>
        <w:tblPrEx>
          <w:tblCellMar>
            <w:top w:w="0" w:type="dxa"/>
            <w:left w:w="0" w:type="dxa"/>
            <w:bottom w:w="0" w:type="dxa"/>
            <w:right w:w="0" w:type="dxa"/>
          </w:tblCellMar>
        </w:tblPrEx>
        <w:trPr>
          <w:trHeight w:val="993" w:hRule="atLeast"/>
          <w:jc w:val="center"/>
        </w:trPr>
        <w:tc>
          <w:tcPr>
            <w:tcW w:w="422" w:type="dxa"/>
            <w:vMerge w:val="restart"/>
            <w:tcBorders>
              <w:top w:val="nil"/>
              <w:left w:val="single" w:color="auto" w:sz="4" w:space="0"/>
              <w:bottom w:val="nil"/>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六</w:t>
            </w:r>
          </w:p>
        </w:tc>
        <w:tc>
          <w:tcPr>
            <w:tcW w:w="1479"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数字城管采集情况</w:t>
            </w:r>
          </w:p>
        </w:tc>
        <w:tc>
          <w:tcPr>
            <w:tcW w:w="560"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现场检查</w:t>
            </w:r>
          </w:p>
        </w:tc>
        <w:tc>
          <w:tcPr>
            <w:tcW w:w="3372"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21、建立健全应急保障机制，对乱倒的渣土应及时清理。</w:t>
            </w:r>
          </w:p>
        </w:tc>
        <w:tc>
          <w:tcPr>
            <w:tcW w:w="3996"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21、对数字城管采集的渣土乱倒信息，经核准确定后，未在规定时间内清除或清除不彻底的每件扣当月清洁度0.1分。</w:t>
            </w:r>
          </w:p>
        </w:tc>
      </w:tr>
      <w:tr>
        <w:tblPrEx>
          <w:tblCellMar>
            <w:top w:w="0" w:type="dxa"/>
            <w:left w:w="0" w:type="dxa"/>
            <w:bottom w:w="0" w:type="dxa"/>
            <w:right w:w="0" w:type="dxa"/>
          </w:tblCellMar>
        </w:tblPrEx>
        <w:trPr>
          <w:trHeight w:val="1094" w:hRule="atLeast"/>
          <w:jc w:val="center"/>
        </w:trPr>
        <w:tc>
          <w:tcPr>
            <w:tcW w:w="422" w:type="dxa"/>
            <w:vMerge w:val="continue"/>
            <w:tcBorders>
              <w:top w:val="nil"/>
              <w:left w:val="single" w:color="auto" w:sz="4" w:space="0"/>
              <w:bottom w:val="nil"/>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1479"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560"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3372"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22、建立健全长效保洁机制，及时解决保洁热难点问题。</w:t>
            </w:r>
          </w:p>
        </w:tc>
        <w:tc>
          <w:tcPr>
            <w:tcW w:w="3996"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22、对数字城管采集的建筑工地出入口污染、工程渣土抛洒滴漏、大面积暴露垃圾、垃圾收集容器垃圾满溢、非机动车道和人行道路面油污等问题，经确定后未在规定时间内清除或清除不彻底的每件扣当月清洁度0.1分。</w:t>
            </w:r>
          </w:p>
        </w:tc>
      </w:tr>
      <w:tr>
        <w:tblPrEx>
          <w:tblCellMar>
            <w:top w:w="0" w:type="dxa"/>
            <w:left w:w="0" w:type="dxa"/>
            <w:bottom w:w="0" w:type="dxa"/>
            <w:right w:w="0" w:type="dxa"/>
          </w:tblCellMar>
        </w:tblPrEx>
        <w:trPr>
          <w:trHeight w:val="2633" w:hRule="atLeast"/>
          <w:jc w:val="center"/>
        </w:trPr>
        <w:tc>
          <w:tcPr>
            <w:tcW w:w="42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七</w:t>
            </w:r>
          </w:p>
        </w:tc>
        <w:tc>
          <w:tcPr>
            <w:tcW w:w="1479" w:type="dxa"/>
            <w:vMerge w:val="restart"/>
            <w:tcBorders>
              <w:top w:val="nil"/>
              <w:left w:val="single" w:color="auto" w:sz="4" w:space="0"/>
              <w:bottom w:val="single" w:color="000000"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监督管理落实情况</w:t>
            </w:r>
          </w:p>
        </w:tc>
        <w:tc>
          <w:tcPr>
            <w:tcW w:w="560"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台账检查现场检查</w:t>
            </w:r>
          </w:p>
        </w:tc>
        <w:tc>
          <w:tcPr>
            <w:tcW w:w="3372"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480"/>
              <w:rPr>
                <w:rFonts w:hint="eastAsia" w:ascii="仿宋_GB2312" w:hAnsi="宋体" w:cs="宋体"/>
                <w:kern w:val="0"/>
                <w:szCs w:val="21"/>
              </w:rPr>
            </w:pPr>
            <w:r>
              <w:rPr>
                <w:rFonts w:hint="eastAsia" w:ascii="仿宋_GB2312" w:hAnsi="宋体" w:cs="宋体"/>
                <w:kern w:val="0"/>
                <w:szCs w:val="21"/>
              </w:rPr>
              <w:t>23、道路保洁投诉处理在规定的限期内完成，无有责投诉事件发生，重大活动保障到位，区级以上检查不失责任分。</w:t>
            </w:r>
          </w:p>
          <w:p>
            <w:pPr>
              <w:widowControl/>
              <w:adjustRightInd w:val="0"/>
              <w:snapToGrid w:val="0"/>
              <w:spacing w:before="0" w:beforeAutospacing="0" w:after="0" w:afterAutospacing="0" w:line="320" w:lineRule="exact"/>
              <w:ind w:left="0" w:right="0" w:firstLine="480"/>
              <w:rPr>
                <w:rFonts w:hint="eastAsia" w:ascii="仿宋_GB2312" w:hAnsi="宋体" w:cs="宋体"/>
                <w:kern w:val="0"/>
                <w:szCs w:val="21"/>
              </w:rPr>
            </w:pPr>
            <w:r>
              <w:rPr>
                <w:rFonts w:hint="eastAsia" w:ascii="仿宋_GB2312" w:hAnsi="宋体" w:cs="宋体"/>
                <w:kern w:val="0"/>
                <w:szCs w:val="21"/>
              </w:rPr>
              <w:t xml:space="preserve">检查时发现途经的道路（街巷）保洁问题多，保洁质量差，相关责任单位应在规定时间内落实整改。 </w:t>
            </w:r>
          </w:p>
        </w:tc>
        <w:tc>
          <w:tcPr>
            <w:tcW w:w="3996" w:type="dxa"/>
            <w:tcBorders>
              <w:top w:val="nil"/>
              <w:left w:val="nil"/>
              <w:bottom w:val="single" w:color="auto" w:sz="4" w:space="0"/>
              <w:right w:val="single" w:color="auto" w:sz="4" w:space="0"/>
            </w:tcBorders>
            <w:noWrap w:val="0"/>
            <w:vAlign w:val="center"/>
          </w:tcPr>
          <w:p>
            <w:pPr>
              <w:widowControl/>
              <w:tabs>
                <w:tab w:val="left" w:pos="3960"/>
              </w:tabs>
              <w:adjustRightInd w:val="0"/>
              <w:snapToGrid w:val="0"/>
              <w:spacing w:before="0" w:beforeAutospacing="0" w:after="0" w:afterAutospacing="0" w:line="440" w:lineRule="exact"/>
              <w:ind w:left="0" w:right="0" w:firstLine="420" w:firstLineChars="200"/>
              <w:jc w:val="left"/>
              <w:rPr>
                <w:rFonts w:hint="eastAsia" w:ascii="仿宋_GB2312" w:hAnsi="宋体" w:cs="宋体"/>
                <w:kern w:val="0"/>
                <w:szCs w:val="21"/>
              </w:rPr>
            </w:pPr>
            <w:r>
              <w:rPr>
                <w:rFonts w:hint="eastAsia" w:ascii="仿宋_GB2312" w:hAnsi="宋体" w:cs="宋体"/>
                <w:kern w:val="0"/>
                <w:szCs w:val="21"/>
              </w:rPr>
              <w:t>23、区长公开电话受理、领导督办、政务平台市民投诉的保洁问题未在规定期限内整改解决的按评分标准从当月考核中直接扣0.5分；新闻媒体曝光、区级以上检查失分、重大活动保障不力的保洁问题经确认有责的按评分标准从当月扣1分，并视情节予以通报处罚。瞒报交通事故的经查实按考核评分标准在当月中直接扣1分。</w:t>
            </w:r>
          </w:p>
          <w:p>
            <w:pPr>
              <w:widowControl/>
              <w:tabs>
                <w:tab w:val="left" w:pos="3960"/>
              </w:tabs>
              <w:adjustRightInd w:val="0"/>
              <w:snapToGrid w:val="0"/>
              <w:spacing w:before="0" w:beforeAutospacing="0" w:after="0" w:afterAutospacing="0" w:line="440" w:lineRule="exact"/>
              <w:ind w:left="0" w:right="0" w:firstLine="420" w:firstLineChars="200"/>
              <w:jc w:val="left"/>
              <w:rPr>
                <w:rFonts w:hint="eastAsia" w:ascii="仿宋_GB2312" w:hAnsi="宋体" w:cs="宋体"/>
                <w:kern w:val="0"/>
                <w:szCs w:val="21"/>
              </w:rPr>
            </w:pPr>
            <w:r>
              <w:rPr>
                <w:rFonts w:hint="eastAsia" w:ascii="仿宋_GB2312" w:hAnsi="宋体" w:cs="宋体"/>
                <w:kern w:val="0"/>
                <w:szCs w:val="21"/>
              </w:rPr>
              <w:t>检查时发现途经的道路（街巷）、开放式小区保洁问题多，保洁质量差，及时摄录现状情况，并第一时间告知相关责任单位立即整改。若复查发现整改不力的，每发生一次所在标段当月扣0.2分，计入当月考核成绩。</w:t>
            </w:r>
          </w:p>
          <w:p>
            <w:pPr>
              <w:widowControl/>
              <w:tabs>
                <w:tab w:val="left" w:pos="3960"/>
              </w:tabs>
              <w:adjustRightInd w:val="0"/>
              <w:snapToGrid w:val="0"/>
              <w:spacing w:before="0" w:beforeAutospacing="0" w:after="0" w:afterAutospacing="0" w:line="440" w:lineRule="exact"/>
              <w:ind w:left="0" w:right="0" w:firstLine="420" w:firstLineChars="200"/>
              <w:jc w:val="left"/>
              <w:rPr>
                <w:rFonts w:hint="eastAsia" w:ascii="仿宋_GB2312" w:hAnsi="宋体" w:cs="宋体"/>
                <w:kern w:val="0"/>
                <w:sz w:val="24"/>
                <w:szCs w:val="21"/>
              </w:rPr>
            </w:pPr>
            <w:r>
              <w:rPr>
                <w:rFonts w:hint="eastAsia" w:ascii="仿宋_GB2312" w:hAnsi="宋体" w:cs="宋体"/>
                <w:kern w:val="0"/>
                <w:szCs w:val="21"/>
              </w:rPr>
              <w:t>在“双最”评比中被评为最不清洁街道，第一次在当月考评中扣10分，第二次扣20分，第三次解除合同，并上报区城管局列入黑名单。</w:t>
            </w:r>
          </w:p>
          <w:p>
            <w:pPr>
              <w:widowControl/>
              <w:adjustRightInd w:val="0"/>
              <w:snapToGrid w:val="0"/>
              <w:spacing w:before="0" w:beforeAutospacing="0" w:after="0" w:afterAutospacing="0" w:line="320" w:lineRule="exact"/>
              <w:ind w:left="0" w:right="0" w:firstLine="482"/>
              <w:rPr>
                <w:rFonts w:hint="eastAsia" w:ascii="仿宋_GB2312" w:hAnsi="宋体" w:cs="宋体"/>
                <w:kern w:val="0"/>
                <w:szCs w:val="21"/>
              </w:rPr>
            </w:pPr>
            <w:r>
              <w:rPr>
                <w:rFonts w:hint="eastAsia" w:ascii="仿宋_GB2312" w:hAnsi="宋体" w:cs="宋体"/>
                <w:kern w:val="0"/>
                <w:szCs w:val="21"/>
              </w:rPr>
              <w:t>对非当月被检道路（或街巷）上发现的突出保洁问题，每发生1次当月清洁度扣0.05分；在规定期限内未落实整改的，每发生1次当月清洁度扣0.2分。</w:t>
            </w:r>
          </w:p>
        </w:tc>
      </w:tr>
      <w:tr>
        <w:tblPrEx>
          <w:tblCellMar>
            <w:top w:w="0" w:type="dxa"/>
            <w:left w:w="0" w:type="dxa"/>
            <w:bottom w:w="0" w:type="dxa"/>
            <w:right w:w="0" w:type="dxa"/>
          </w:tblCellMar>
        </w:tblPrEx>
        <w:trPr>
          <w:trHeight w:val="921" w:hRule="atLeast"/>
          <w:jc w:val="center"/>
        </w:trPr>
        <w:tc>
          <w:tcPr>
            <w:tcW w:w="42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1479" w:type="dxa"/>
            <w:vMerge w:val="continue"/>
            <w:tcBorders>
              <w:top w:val="nil"/>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560"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　</w:t>
            </w:r>
          </w:p>
        </w:tc>
        <w:tc>
          <w:tcPr>
            <w:tcW w:w="3372"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24、建立局（办）以上领导重点交办问题督查复查机制，将当月领导督办的保洁质量差的道路（街巷）纳入次月复查名单，将当月领导关注的典型保洁问题纳入次月重点检查项目。</w:t>
            </w:r>
          </w:p>
        </w:tc>
        <w:tc>
          <w:tcPr>
            <w:tcW w:w="3996" w:type="dxa"/>
            <w:tcBorders>
              <w:top w:val="nil"/>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24、在次月列入复查的道路（街巷）未在规定时间内落实整改、长效保洁不落实、典型保洁问题不解决的，每发生1次当月清洁度扣0.5分。</w:t>
            </w:r>
          </w:p>
        </w:tc>
      </w:tr>
      <w:tr>
        <w:tblPrEx>
          <w:tblCellMar>
            <w:top w:w="0" w:type="dxa"/>
            <w:left w:w="0" w:type="dxa"/>
            <w:bottom w:w="0" w:type="dxa"/>
            <w:right w:w="0" w:type="dxa"/>
          </w:tblCellMar>
        </w:tblPrEx>
        <w:trPr>
          <w:trHeight w:val="1554" w:hRule="atLeast"/>
          <w:jc w:val="center"/>
        </w:trPr>
        <w:tc>
          <w:tcPr>
            <w:tcW w:w="4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1479" w:type="dxa"/>
            <w:vMerge w:val="continue"/>
            <w:tcBorders>
              <w:top w:val="nil"/>
              <w:left w:val="single" w:color="auto" w:sz="4" w:space="0"/>
              <w:bottom w:val="nil"/>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56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现场检查</w:t>
            </w:r>
          </w:p>
        </w:tc>
        <w:tc>
          <w:tcPr>
            <w:tcW w:w="337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 xml:space="preserve">    25、长效保洁管理措施落实，不得采用跟踪检查组、临时突击保洁等不正常方式应对检查。</w:t>
            </w:r>
          </w:p>
        </w:tc>
        <w:tc>
          <w:tcPr>
            <w:tcW w:w="399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482"/>
              <w:rPr>
                <w:rFonts w:hint="eastAsia" w:ascii="仿宋_GB2312" w:hAnsi="宋体" w:cs="宋体"/>
                <w:kern w:val="0"/>
                <w:szCs w:val="21"/>
              </w:rPr>
            </w:pPr>
            <w:r>
              <w:rPr>
                <w:rFonts w:hint="eastAsia" w:ascii="仿宋_GB2312" w:hAnsi="宋体" w:cs="宋体"/>
                <w:kern w:val="0"/>
                <w:szCs w:val="21"/>
              </w:rPr>
              <w:t>25、妨碍、干扰正常检查秩序的，每次扣0.05分，扣分值计入当月清洁度。</w:t>
            </w:r>
          </w:p>
          <w:p>
            <w:pPr>
              <w:widowControl/>
              <w:adjustRightInd w:val="0"/>
              <w:snapToGrid w:val="0"/>
              <w:spacing w:before="0" w:beforeAutospacing="0" w:after="0" w:afterAutospacing="0" w:line="320" w:lineRule="exact"/>
              <w:ind w:left="0" w:right="0" w:firstLine="482"/>
              <w:rPr>
                <w:rFonts w:hint="eastAsia" w:ascii="仿宋_GB2312" w:hAnsi="宋体" w:cs="宋体"/>
                <w:kern w:val="0"/>
                <w:szCs w:val="21"/>
              </w:rPr>
            </w:pPr>
            <w:r>
              <w:rPr>
                <w:rFonts w:hint="eastAsia" w:ascii="仿宋_GB2312" w:hAnsi="宋体" w:cs="宋体"/>
                <w:kern w:val="0"/>
                <w:szCs w:val="21"/>
              </w:rPr>
              <w:t>阻挠、延误检查人员开展检查的每次扣0.1分，道路保洁管理人员或保洁工在检查组周边进行突击保洁影响正常检查的每次扣0.05分，扣分值计入当月清洁度。</w:t>
            </w:r>
          </w:p>
        </w:tc>
      </w:tr>
      <w:tr>
        <w:tblPrEx>
          <w:tblCellMar>
            <w:top w:w="0" w:type="dxa"/>
            <w:left w:w="0" w:type="dxa"/>
            <w:bottom w:w="0" w:type="dxa"/>
            <w:right w:w="0" w:type="dxa"/>
          </w:tblCellMar>
        </w:tblPrEx>
        <w:trPr>
          <w:trHeight w:val="1530" w:hRule="atLeast"/>
          <w:jc w:val="center"/>
        </w:trPr>
        <w:tc>
          <w:tcPr>
            <w:tcW w:w="422" w:type="dxa"/>
            <w:vMerge w:val="restart"/>
            <w:tcBorders>
              <w:top w:val="single" w:color="auto" w:sz="4" w:space="0"/>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八</w:t>
            </w:r>
          </w:p>
        </w:tc>
        <w:tc>
          <w:tcPr>
            <w:tcW w:w="1479" w:type="dxa"/>
            <w:vMerge w:val="restart"/>
            <w:tcBorders>
              <w:top w:val="nil"/>
              <w:left w:val="single" w:color="auto"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牛皮癣规范作业</w:t>
            </w:r>
          </w:p>
        </w:tc>
        <w:tc>
          <w:tcPr>
            <w:tcW w:w="560" w:type="dxa"/>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r>
              <w:rPr>
                <w:rFonts w:hint="eastAsia" w:ascii="仿宋_GB2312" w:hAnsi="宋体" w:cs="宋体"/>
                <w:kern w:val="0"/>
                <w:szCs w:val="21"/>
              </w:rPr>
              <w:t>现场检查</w:t>
            </w:r>
          </w:p>
        </w:tc>
        <w:tc>
          <w:tcPr>
            <w:tcW w:w="337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26、实行“四定”管理，确保保洁范围内所有道路、围墙、设施、建（构）建物外墙、楼道内部等无“牛皮癣”</w:t>
            </w:r>
          </w:p>
        </w:tc>
        <w:tc>
          <w:tcPr>
            <w:tcW w:w="399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482"/>
              <w:rPr>
                <w:rFonts w:hint="eastAsia" w:ascii="仿宋_GB2312" w:hAnsi="宋体" w:cs="宋体"/>
                <w:kern w:val="0"/>
                <w:szCs w:val="21"/>
              </w:rPr>
            </w:pPr>
            <w:r>
              <w:rPr>
                <w:rFonts w:hint="eastAsia" w:ascii="仿宋_GB2312" w:hAnsi="宋体" w:cs="宋体"/>
                <w:kern w:val="0"/>
                <w:szCs w:val="21"/>
              </w:rPr>
              <w:t>26、未按“四定”原则安排牛皮癣清理工作的，每次0.5分；</w:t>
            </w:r>
          </w:p>
          <w:p>
            <w:pPr>
              <w:widowControl/>
              <w:adjustRightInd w:val="0"/>
              <w:snapToGrid w:val="0"/>
              <w:spacing w:before="0" w:beforeAutospacing="0" w:after="0" w:afterAutospacing="0" w:line="320" w:lineRule="exact"/>
              <w:ind w:left="0" w:right="0" w:firstLine="482"/>
              <w:rPr>
                <w:rFonts w:hint="eastAsia" w:ascii="仿宋_GB2312" w:hAnsi="宋体" w:cs="宋体"/>
                <w:kern w:val="0"/>
                <w:szCs w:val="21"/>
              </w:rPr>
            </w:pPr>
            <w:r>
              <w:rPr>
                <w:rFonts w:hint="eastAsia" w:ascii="仿宋_GB2312" w:hAnsi="宋体" w:cs="宋体"/>
                <w:kern w:val="0"/>
                <w:szCs w:val="21"/>
              </w:rPr>
              <w:t>发现牛皮癣的，发现5处以内的（以0.2m</w:t>
            </w:r>
            <w:r>
              <w:rPr>
                <w:rFonts w:hint="eastAsia" w:ascii="仿宋_GB2312" w:hAnsi="宋体" w:cs="宋体"/>
                <w:kern w:val="0"/>
                <w:szCs w:val="21"/>
                <w:vertAlign w:val="superscript"/>
              </w:rPr>
              <w:t>2</w:t>
            </w:r>
            <w:r>
              <w:rPr>
                <w:rFonts w:hint="eastAsia" w:ascii="仿宋_GB2312" w:hAnsi="宋体" w:cs="宋体"/>
                <w:kern w:val="0"/>
                <w:szCs w:val="21"/>
              </w:rPr>
              <w:t>为一处，下同），每处计扣0.2分，5处以上的，每处扣0.5分</w:t>
            </w:r>
          </w:p>
        </w:tc>
      </w:tr>
      <w:tr>
        <w:tblPrEx>
          <w:tblCellMar>
            <w:top w:w="0" w:type="dxa"/>
            <w:left w:w="0" w:type="dxa"/>
            <w:bottom w:w="0" w:type="dxa"/>
            <w:right w:w="0" w:type="dxa"/>
          </w:tblCellMar>
        </w:tblPrEx>
        <w:trPr>
          <w:trHeight w:val="1054" w:hRule="atLeast"/>
          <w:jc w:val="center"/>
        </w:trPr>
        <w:tc>
          <w:tcPr>
            <w:tcW w:w="422" w:type="dxa"/>
            <w:vMerge w:val="continue"/>
            <w:tcBorders>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1479" w:type="dxa"/>
            <w:vMerge w:val="continue"/>
            <w:tcBorders>
              <w:left w:val="single" w:color="auto" w:sz="4" w:space="0"/>
              <w:bottom w:val="single" w:color="000000" w:sz="4" w:space="0"/>
              <w:right w:val="single" w:color="auto" w:sz="4" w:space="0"/>
            </w:tcBorders>
            <w:noWrap w:val="0"/>
            <w:vAlign w:val="center"/>
          </w:tcPr>
          <w:p>
            <w:pPr>
              <w:widowControl/>
              <w:spacing w:before="0" w:beforeAutospacing="0" w:after="0" w:afterAutospacing="0"/>
              <w:ind w:left="0" w:right="0"/>
              <w:jc w:val="left"/>
              <w:rPr>
                <w:rFonts w:hint="eastAsia" w:ascii="仿宋_GB2312" w:hAnsi="宋体" w:cs="宋体"/>
                <w:kern w:val="0"/>
                <w:szCs w:val="21"/>
              </w:rPr>
            </w:pPr>
          </w:p>
        </w:tc>
        <w:tc>
          <w:tcPr>
            <w:tcW w:w="560"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ind w:left="0" w:right="0"/>
              <w:jc w:val="left"/>
              <w:rPr>
                <w:rFonts w:hint="eastAsia" w:ascii="仿宋_GB2312" w:hAnsi="宋体" w:cs="宋体"/>
                <w:kern w:val="0"/>
                <w:szCs w:val="21"/>
              </w:rPr>
            </w:pPr>
          </w:p>
        </w:tc>
        <w:tc>
          <w:tcPr>
            <w:tcW w:w="337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rPr>
                <w:rFonts w:hint="eastAsia" w:ascii="仿宋_GB2312" w:hAnsi="宋体" w:cs="宋体"/>
                <w:kern w:val="0"/>
                <w:szCs w:val="21"/>
              </w:rPr>
            </w:pPr>
            <w:r>
              <w:rPr>
                <w:rFonts w:hint="eastAsia" w:ascii="仿宋_GB2312" w:hAnsi="宋体" w:cs="宋体"/>
                <w:kern w:val="0"/>
                <w:szCs w:val="21"/>
              </w:rPr>
              <w:t>27、严格按作业技术标准作业，做到按时清、随时清、杜绝“以癣治癣”</w:t>
            </w:r>
          </w:p>
        </w:tc>
        <w:tc>
          <w:tcPr>
            <w:tcW w:w="399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0" w:beforeAutospacing="0" w:after="0" w:afterAutospacing="0" w:line="320" w:lineRule="exact"/>
              <w:ind w:left="0" w:right="0" w:firstLine="482"/>
              <w:rPr>
                <w:rFonts w:hint="eastAsia" w:ascii="仿宋_GB2312" w:hAnsi="宋体" w:cs="宋体"/>
                <w:kern w:val="0"/>
                <w:szCs w:val="21"/>
              </w:rPr>
            </w:pPr>
            <w:r>
              <w:rPr>
                <w:rFonts w:hint="eastAsia" w:ascii="仿宋_GB2312" w:hAnsi="宋体" w:cs="宋体"/>
                <w:kern w:val="0"/>
                <w:szCs w:val="21"/>
              </w:rPr>
              <w:t>27、未按作业技术要求进行作业的，每发现一次，计扣0.5分/人。</w:t>
            </w:r>
          </w:p>
        </w:tc>
      </w:tr>
    </w:tbl>
    <w:p>
      <w:pPr>
        <w:adjustRightInd w:val="0"/>
        <w:snapToGrid w:val="0"/>
        <w:rPr>
          <w:rFonts w:ascii="宋体" w:hAnsi="宋体" w:cs="宋体"/>
          <w:kern w:val="0"/>
          <w:sz w:val="24"/>
        </w:rPr>
      </w:pPr>
    </w:p>
    <w:p>
      <w:pPr>
        <w:adjustRightInd w:val="0"/>
        <w:snapToGrid w:val="0"/>
        <w:rPr>
          <w:rFonts w:hint="eastAsia" w:ascii="宋体" w:hAnsi="宋体" w:cs="宋体"/>
          <w:kern w:val="0"/>
          <w:sz w:val="24"/>
        </w:rPr>
      </w:pPr>
      <w:r>
        <w:rPr>
          <w:rFonts w:hint="eastAsia" w:ascii="宋体" w:hAnsi="宋体" w:cs="宋体"/>
          <w:kern w:val="0"/>
          <w:sz w:val="24"/>
        </w:rPr>
        <w:t>备注：未注明从当月清洁度中扣分的项目，均从被检道路中扣分。</w:t>
      </w: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pStyle w:val="2"/>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3"/>
        <w:rPr>
          <w:rFonts w:hint="eastAsia" w:ascii="仿宋" w:hAnsi="仿宋" w:eastAsia="仿宋" w:cs="仿宋_GB2312"/>
          <w:b/>
          <w:sz w:val="36"/>
          <w:szCs w:val="36"/>
        </w:rPr>
      </w:pPr>
    </w:p>
    <w:p>
      <w:pPr>
        <w:pStyle w:val="3"/>
        <w:ind w:left="0" w:leftChars="0" w:firstLine="0" w:firstLineChars="0"/>
        <w:rPr>
          <w:rFonts w:hint="eastAsia"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9" w:name="_Toc184308107"/>
      <w:bookmarkEnd w:id="29"/>
      <w:bookmarkStart w:id="30" w:name="_Toc184313276"/>
      <w:bookmarkEnd w:id="30"/>
      <w:bookmarkStart w:id="31" w:name="_Toc184314473"/>
      <w:bookmarkEnd w:id="31"/>
      <w:bookmarkStart w:id="32" w:name="_Toc184314428"/>
      <w:bookmarkEnd w:id="32"/>
      <w:bookmarkStart w:id="33" w:name="_Toc184308058"/>
      <w:bookmarkEnd w:id="33"/>
      <w:bookmarkStart w:id="34" w:name="_Toc184310284"/>
      <w:bookmarkEnd w:id="34"/>
      <w:bookmarkStart w:id="35" w:name="_Toc184314443"/>
      <w:bookmarkEnd w:id="35"/>
      <w:bookmarkStart w:id="36" w:name="_Toc184314434"/>
      <w:bookmarkEnd w:id="36"/>
      <w:bookmarkStart w:id="37" w:name="_Toc184312097"/>
      <w:bookmarkEnd w:id="37"/>
      <w:bookmarkStart w:id="38" w:name="_Toc184313266"/>
      <w:bookmarkEnd w:id="38"/>
      <w:bookmarkStart w:id="39" w:name="_Toc184314446"/>
      <w:bookmarkEnd w:id="39"/>
      <w:bookmarkStart w:id="40" w:name="_Toc184312077"/>
      <w:bookmarkEnd w:id="40"/>
      <w:bookmarkStart w:id="41" w:name="_Toc184312082"/>
      <w:bookmarkEnd w:id="41"/>
      <w:bookmarkStart w:id="42" w:name="_Toc184312123"/>
      <w:bookmarkEnd w:id="42"/>
      <w:bookmarkStart w:id="43" w:name="_Toc184312139"/>
      <w:bookmarkEnd w:id="43"/>
      <w:bookmarkStart w:id="44" w:name="_Toc184308105"/>
      <w:bookmarkEnd w:id="44"/>
      <w:bookmarkStart w:id="45" w:name="_Toc184312130"/>
      <w:bookmarkEnd w:id="45"/>
      <w:bookmarkStart w:id="46" w:name="_Toc184310337"/>
      <w:bookmarkEnd w:id="46"/>
      <w:bookmarkStart w:id="47" w:name="_Toc184312084"/>
      <w:bookmarkEnd w:id="47"/>
      <w:bookmarkStart w:id="48" w:name="_Toc184314460"/>
      <w:bookmarkEnd w:id="48"/>
      <w:bookmarkStart w:id="49" w:name="_Toc184314442"/>
      <w:bookmarkEnd w:id="49"/>
      <w:bookmarkStart w:id="50" w:name="_Toc184308076"/>
      <w:bookmarkEnd w:id="50"/>
      <w:bookmarkStart w:id="51" w:name="_Toc184308074"/>
      <w:bookmarkEnd w:id="51"/>
      <w:bookmarkStart w:id="52" w:name="_Toc184314475"/>
      <w:bookmarkEnd w:id="52"/>
      <w:bookmarkStart w:id="53" w:name="_Toc184314440"/>
      <w:bookmarkEnd w:id="53"/>
      <w:bookmarkStart w:id="54" w:name="_Toc184314423"/>
      <w:bookmarkEnd w:id="54"/>
      <w:bookmarkStart w:id="55" w:name="_Toc184310324"/>
      <w:bookmarkEnd w:id="55"/>
      <w:bookmarkStart w:id="56" w:name="_Toc184314463"/>
      <w:bookmarkEnd w:id="56"/>
      <w:bookmarkStart w:id="57" w:name="_Toc184314462"/>
      <w:bookmarkEnd w:id="57"/>
      <w:bookmarkStart w:id="58" w:name="_Toc184313290"/>
      <w:bookmarkEnd w:id="58"/>
      <w:bookmarkStart w:id="59" w:name="_Toc184310307"/>
      <w:bookmarkEnd w:id="59"/>
      <w:bookmarkStart w:id="60" w:name="_Toc184312075"/>
      <w:bookmarkEnd w:id="60"/>
      <w:bookmarkStart w:id="61" w:name="_Toc184312106"/>
      <w:bookmarkEnd w:id="61"/>
      <w:bookmarkStart w:id="62" w:name="_Toc184314453"/>
      <w:bookmarkEnd w:id="62"/>
      <w:bookmarkStart w:id="63" w:name="_Toc184312099"/>
      <w:bookmarkEnd w:id="63"/>
      <w:bookmarkStart w:id="64" w:name="_Toc184310291"/>
      <w:bookmarkEnd w:id="64"/>
      <w:bookmarkStart w:id="65" w:name="_Toc184312120"/>
      <w:bookmarkEnd w:id="65"/>
      <w:bookmarkStart w:id="66" w:name="_Toc184308046"/>
      <w:bookmarkEnd w:id="66"/>
      <w:bookmarkStart w:id="67" w:name="_Toc184312125"/>
      <w:bookmarkEnd w:id="67"/>
      <w:bookmarkStart w:id="68" w:name="_Toc184312071"/>
      <w:bookmarkEnd w:id="68"/>
      <w:bookmarkStart w:id="69" w:name="_Toc184313302"/>
      <w:bookmarkEnd w:id="69"/>
      <w:bookmarkStart w:id="70" w:name="_Toc184310302"/>
      <w:bookmarkEnd w:id="70"/>
      <w:bookmarkStart w:id="71" w:name="_Toc184308097"/>
      <w:bookmarkEnd w:id="71"/>
      <w:bookmarkStart w:id="72" w:name="_Toc184310294"/>
      <w:bookmarkEnd w:id="72"/>
      <w:bookmarkStart w:id="73" w:name="_Toc184308061"/>
      <w:bookmarkEnd w:id="73"/>
      <w:bookmarkStart w:id="74" w:name="_Toc184313244"/>
      <w:bookmarkEnd w:id="74"/>
      <w:bookmarkStart w:id="75" w:name="_Toc184312104"/>
      <w:bookmarkEnd w:id="75"/>
      <w:bookmarkStart w:id="76" w:name="_Toc184308101"/>
      <w:bookmarkEnd w:id="76"/>
      <w:bookmarkStart w:id="77" w:name="_Toc184313247"/>
      <w:bookmarkEnd w:id="77"/>
      <w:bookmarkStart w:id="78" w:name="_Toc184308080"/>
      <w:bookmarkEnd w:id="78"/>
      <w:bookmarkStart w:id="79" w:name="_Toc184313243"/>
      <w:bookmarkEnd w:id="79"/>
      <w:bookmarkStart w:id="80" w:name="_Toc184308050"/>
      <w:bookmarkEnd w:id="80"/>
      <w:bookmarkStart w:id="81" w:name="_Toc184312070"/>
      <w:bookmarkEnd w:id="81"/>
      <w:bookmarkStart w:id="82" w:name="_Toc184312138"/>
      <w:bookmarkEnd w:id="82"/>
      <w:bookmarkStart w:id="83" w:name="_Toc184313301"/>
      <w:bookmarkEnd w:id="83"/>
      <w:bookmarkStart w:id="84" w:name="_Toc184312114"/>
      <w:bookmarkEnd w:id="84"/>
      <w:bookmarkStart w:id="85" w:name="_Toc184310292"/>
      <w:bookmarkEnd w:id="85"/>
      <w:bookmarkStart w:id="86" w:name="_Toc184308078"/>
      <w:bookmarkEnd w:id="86"/>
      <w:bookmarkStart w:id="87" w:name="_Toc184314444"/>
      <w:bookmarkEnd w:id="87"/>
      <w:bookmarkStart w:id="88" w:name="_Toc184313288"/>
      <w:bookmarkEnd w:id="88"/>
      <w:bookmarkStart w:id="89" w:name="_Toc184310330"/>
      <w:bookmarkEnd w:id="89"/>
      <w:bookmarkStart w:id="90" w:name="_Toc184308042"/>
      <w:bookmarkEnd w:id="90"/>
      <w:bookmarkStart w:id="91" w:name="_Toc184312088"/>
      <w:bookmarkEnd w:id="91"/>
      <w:bookmarkStart w:id="92" w:name="_Toc184308085"/>
      <w:bookmarkEnd w:id="92"/>
      <w:bookmarkStart w:id="93" w:name="_Toc184310274"/>
      <w:bookmarkEnd w:id="93"/>
      <w:bookmarkStart w:id="94" w:name="_Toc184308067"/>
      <w:bookmarkEnd w:id="94"/>
      <w:bookmarkStart w:id="95" w:name="_Toc184314425"/>
      <w:bookmarkEnd w:id="95"/>
      <w:bookmarkStart w:id="96" w:name="_Toc184310303"/>
      <w:bookmarkEnd w:id="96"/>
      <w:bookmarkStart w:id="97" w:name="_Toc184308098"/>
      <w:bookmarkEnd w:id="97"/>
      <w:bookmarkStart w:id="98" w:name="_Toc184312132"/>
      <w:bookmarkEnd w:id="98"/>
      <w:bookmarkStart w:id="99" w:name="_Toc184310280"/>
      <w:bookmarkEnd w:id="99"/>
      <w:bookmarkStart w:id="100" w:name="_Toc184308069"/>
      <w:bookmarkEnd w:id="100"/>
      <w:bookmarkStart w:id="101" w:name="_Toc184312087"/>
      <w:bookmarkEnd w:id="101"/>
      <w:bookmarkStart w:id="102" w:name="_Toc184312083"/>
      <w:bookmarkEnd w:id="102"/>
      <w:bookmarkStart w:id="103" w:name="_Toc184308053"/>
      <w:bookmarkEnd w:id="103"/>
      <w:bookmarkStart w:id="104" w:name="_Toc184310308"/>
      <w:bookmarkEnd w:id="104"/>
      <w:bookmarkStart w:id="105" w:name="_Toc184312073"/>
      <w:bookmarkEnd w:id="105"/>
      <w:bookmarkStart w:id="106" w:name="_Toc184310313"/>
      <w:bookmarkEnd w:id="106"/>
      <w:bookmarkStart w:id="107" w:name="_Toc184314461"/>
      <w:bookmarkEnd w:id="107"/>
      <w:bookmarkStart w:id="108" w:name="_Toc184310320"/>
      <w:bookmarkEnd w:id="108"/>
      <w:bookmarkStart w:id="109" w:name="_Toc184314449"/>
      <w:bookmarkEnd w:id="109"/>
      <w:bookmarkStart w:id="110" w:name="_Toc184313251"/>
      <w:bookmarkEnd w:id="110"/>
      <w:bookmarkStart w:id="111" w:name="_Toc184314464"/>
      <w:bookmarkEnd w:id="111"/>
      <w:bookmarkStart w:id="112" w:name="_Toc184312109"/>
      <w:bookmarkEnd w:id="112"/>
      <w:bookmarkStart w:id="113" w:name="_Toc184314418"/>
      <w:bookmarkEnd w:id="113"/>
      <w:bookmarkStart w:id="114" w:name="_Toc184313285"/>
      <w:bookmarkEnd w:id="114"/>
      <w:bookmarkStart w:id="115" w:name="_Toc184308059"/>
      <w:bookmarkEnd w:id="115"/>
      <w:bookmarkStart w:id="116" w:name="_Toc184313275"/>
      <w:bookmarkEnd w:id="116"/>
      <w:bookmarkStart w:id="117" w:name="_Toc184313298"/>
      <w:bookmarkEnd w:id="117"/>
      <w:bookmarkStart w:id="118" w:name="_Toc184310343"/>
      <w:bookmarkEnd w:id="118"/>
      <w:bookmarkStart w:id="119" w:name="_Toc184310282"/>
      <w:bookmarkEnd w:id="119"/>
      <w:bookmarkStart w:id="120" w:name="_Toc184310334"/>
      <w:bookmarkEnd w:id="120"/>
      <w:bookmarkStart w:id="121" w:name="_Toc184314445"/>
      <w:bookmarkEnd w:id="121"/>
      <w:bookmarkStart w:id="122" w:name="_Toc184310298"/>
      <w:bookmarkEnd w:id="122"/>
      <w:bookmarkStart w:id="123" w:name="_Toc184313294"/>
      <w:bookmarkEnd w:id="123"/>
      <w:bookmarkStart w:id="124" w:name="_Toc184313307"/>
      <w:bookmarkEnd w:id="124"/>
      <w:bookmarkStart w:id="125" w:name="_Toc184314474"/>
      <w:bookmarkEnd w:id="125"/>
      <w:bookmarkStart w:id="126" w:name="_Toc184308082"/>
      <w:bookmarkEnd w:id="126"/>
      <w:bookmarkStart w:id="127" w:name="_Toc184314470"/>
      <w:bookmarkEnd w:id="127"/>
      <w:bookmarkStart w:id="128" w:name="_Toc184312078"/>
      <w:bookmarkEnd w:id="128"/>
      <w:bookmarkStart w:id="129" w:name="_Toc184312131"/>
      <w:bookmarkEnd w:id="129"/>
      <w:bookmarkStart w:id="130" w:name="_Toc184312101"/>
      <w:bookmarkEnd w:id="130"/>
      <w:bookmarkStart w:id="131" w:name="_Toc184308093"/>
      <w:bookmarkEnd w:id="131"/>
      <w:bookmarkStart w:id="132" w:name="_Toc184314426"/>
      <w:bookmarkEnd w:id="132"/>
      <w:bookmarkStart w:id="133" w:name="_Toc184314458"/>
      <w:bookmarkEnd w:id="133"/>
      <w:bookmarkStart w:id="134" w:name="_Toc184312110"/>
      <w:bookmarkEnd w:id="134"/>
      <w:bookmarkStart w:id="135" w:name="_Toc184308070"/>
      <w:bookmarkEnd w:id="135"/>
      <w:bookmarkStart w:id="136" w:name="_Toc184310293"/>
      <w:bookmarkEnd w:id="136"/>
      <w:bookmarkStart w:id="137" w:name="_Toc184308077"/>
      <w:bookmarkEnd w:id="137"/>
      <w:bookmarkStart w:id="138" w:name="_Toc184312122"/>
      <w:bookmarkEnd w:id="138"/>
      <w:bookmarkStart w:id="139" w:name="_Toc184314432"/>
      <w:bookmarkEnd w:id="139"/>
      <w:bookmarkStart w:id="140" w:name="_Toc184312085"/>
      <w:bookmarkEnd w:id="140"/>
      <w:bookmarkStart w:id="141" w:name="_Toc184313265"/>
      <w:bookmarkEnd w:id="141"/>
      <w:bookmarkStart w:id="142" w:name="_Toc184308100"/>
      <w:bookmarkEnd w:id="142"/>
      <w:bookmarkStart w:id="143" w:name="_Toc184313309"/>
      <w:bookmarkEnd w:id="143"/>
      <w:bookmarkStart w:id="144" w:name="_Toc184310340"/>
      <w:bookmarkEnd w:id="144"/>
      <w:bookmarkStart w:id="145" w:name="_Toc184314452"/>
      <w:bookmarkEnd w:id="145"/>
      <w:bookmarkStart w:id="146" w:name="_Toc184312129"/>
      <w:bookmarkEnd w:id="146"/>
      <w:bookmarkStart w:id="147" w:name="_Toc184313249"/>
      <w:bookmarkEnd w:id="147"/>
      <w:bookmarkStart w:id="148" w:name="_Toc184314480"/>
      <w:bookmarkEnd w:id="148"/>
      <w:bookmarkStart w:id="149" w:name="_Toc184312092"/>
      <w:bookmarkEnd w:id="149"/>
      <w:bookmarkStart w:id="150" w:name="_Toc184314411"/>
      <w:bookmarkEnd w:id="150"/>
      <w:bookmarkStart w:id="151" w:name="_Toc184310342"/>
      <w:bookmarkEnd w:id="151"/>
      <w:bookmarkStart w:id="152" w:name="_Toc184310288"/>
      <w:bookmarkEnd w:id="152"/>
      <w:bookmarkStart w:id="153" w:name="_Toc184310326"/>
      <w:bookmarkEnd w:id="153"/>
      <w:bookmarkStart w:id="154" w:name="_Toc184308038"/>
      <w:bookmarkEnd w:id="154"/>
      <w:bookmarkStart w:id="155" w:name="_Toc184313310"/>
      <w:bookmarkEnd w:id="155"/>
      <w:bookmarkStart w:id="156" w:name="_Toc184308087"/>
      <w:bookmarkEnd w:id="156"/>
      <w:bookmarkStart w:id="157" w:name="_Toc184308096"/>
      <w:bookmarkEnd w:id="157"/>
      <w:bookmarkStart w:id="158" w:name="_Toc184313273"/>
      <w:bookmarkEnd w:id="158"/>
      <w:bookmarkStart w:id="159" w:name="_Toc184313269"/>
      <w:bookmarkEnd w:id="159"/>
      <w:bookmarkStart w:id="160" w:name="_Toc184308092"/>
      <w:bookmarkEnd w:id="160"/>
      <w:bookmarkStart w:id="161" w:name="_Toc184314468"/>
      <w:bookmarkEnd w:id="161"/>
      <w:bookmarkStart w:id="162" w:name="_Toc184314476"/>
      <w:bookmarkEnd w:id="162"/>
      <w:bookmarkStart w:id="163" w:name="_Toc184313255"/>
      <w:bookmarkEnd w:id="163"/>
      <w:bookmarkStart w:id="164" w:name="_Toc184308090"/>
      <w:bookmarkEnd w:id="164"/>
      <w:bookmarkStart w:id="165" w:name="_Toc184313256"/>
      <w:bookmarkEnd w:id="165"/>
      <w:bookmarkStart w:id="166" w:name="_Toc184310299"/>
      <w:bookmarkEnd w:id="166"/>
      <w:bookmarkStart w:id="167" w:name="_Toc184310312"/>
      <w:bookmarkEnd w:id="167"/>
      <w:bookmarkStart w:id="168" w:name="_Toc184312100"/>
      <w:bookmarkEnd w:id="168"/>
      <w:bookmarkStart w:id="169" w:name="_Toc184313240"/>
      <w:bookmarkEnd w:id="169"/>
      <w:bookmarkStart w:id="170" w:name="_Toc184314471"/>
      <w:bookmarkEnd w:id="170"/>
      <w:bookmarkStart w:id="171" w:name="_Toc184313308"/>
      <w:bookmarkEnd w:id="171"/>
      <w:bookmarkStart w:id="172" w:name="_Toc184310310"/>
      <w:bookmarkEnd w:id="172"/>
      <w:bookmarkStart w:id="173" w:name="_Toc184312124"/>
      <w:bookmarkEnd w:id="173"/>
      <w:bookmarkStart w:id="174" w:name="_Toc184308060"/>
      <w:bookmarkEnd w:id="174"/>
      <w:bookmarkStart w:id="175" w:name="_Toc184312135"/>
      <w:bookmarkEnd w:id="175"/>
      <w:bookmarkStart w:id="176" w:name="_Toc184313303"/>
      <w:bookmarkEnd w:id="176"/>
      <w:bookmarkStart w:id="177" w:name="_Toc184308055"/>
      <w:bookmarkEnd w:id="177"/>
      <w:bookmarkStart w:id="178" w:name="_Toc184312105"/>
      <w:bookmarkEnd w:id="178"/>
      <w:bookmarkStart w:id="179" w:name="_Toc184314457"/>
      <w:bookmarkEnd w:id="179"/>
      <w:bookmarkStart w:id="180" w:name="_Toc184312107"/>
      <w:bookmarkEnd w:id="180"/>
      <w:bookmarkStart w:id="181" w:name="_Toc184308045"/>
      <w:bookmarkEnd w:id="181"/>
      <w:bookmarkStart w:id="182" w:name="_Toc184308094"/>
      <w:bookmarkEnd w:id="182"/>
      <w:bookmarkStart w:id="183" w:name="_Toc184312086"/>
      <w:bookmarkEnd w:id="183"/>
      <w:bookmarkStart w:id="184" w:name="_Toc184314417"/>
      <w:bookmarkEnd w:id="184"/>
      <w:bookmarkStart w:id="185" w:name="_Toc184312068"/>
      <w:bookmarkEnd w:id="185"/>
      <w:bookmarkStart w:id="186" w:name="_Toc184314466"/>
      <w:bookmarkEnd w:id="186"/>
      <w:bookmarkStart w:id="187" w:name="_Toc184310315"/>
      <w:bookmarkEnd w:id="187"/>
      <w:bookmarkStart w:id="188" w:name="_Toc184310325"/>
      <w:bookmarkEnd w:id="188"/>
      <w:bookmarkStart w:id="189" w:name="_Toc184312102"/>
      <w:bookmarkEnd w:id="189"/>
      <w:bookmarkStart w:id="190" w:name="_Toc184308081"/>
      <w:bookmarkEnd w:id="190"/>
      <w:bookmarkStart w:id="191" w:name="_Toc184308051"/>
      <w:bookmarkEnd w:id="191"/>
      <w:bookmarkStart w:id="192" w:name="_Toc184314429"/>
      <w:bookmarkEnd w:id="192"/>
      <w:bookmarkStart w:id="193" w:name="_Toc184313259"/>
      <w:bookmarkEnd w:id="193"/>
      <w:bookmarkStart w:id="194" w:name="_Toc184308102"/>
      <w:bookmarkEnd w:id="194"/>
      <w:bookmarkStart w:id="195" w:name="_Toc184313239"/>
      <w:bookmarkEnd w:id="195"/>
      <w:bookmarkStart w:id="196" w:name="_Toc184313253"/>
      <w:bookmarkEnd w:id="196"/>
      <w:bookmarkStart w:id="197" w:name="_Toc184312069"/>
      <w:bookmarkEnd w:id="197"/>
      <w:bookmarkStart w:id="198" w:name="_Toc184314465"/>
      <w:bookmarkEnd w:id="198"/>
      <w:bookmarkStart w:id="199" w:name="_Toc184308086"/>
      <w:bookmarkEnd w:id="199"/>
      <w:bookmarkStart w:id="200" w:name="_Toc184310283"/>
      <w:bookmarkEnd w:id="200"/>
      <w:bookmarkStart w:id="201" w:name="_Toc184314481"/>
      <w:bookmarkEnd w:id="201"/>
      <w:bookmarkStart w:id="202" w:name="_Toc184312094"/>
      <w:bookmarkEnd w:id="202"/>
      <w:bookmarkStart w:id="203" w:name="_Toc184308039"/>
      <w:bookmarkEnd w:id="203"/>
      <w:bookmarkStart w:id="204" w:name="_Toc184310331"/>
      <w:bookmarkEnd w:id="204"/>
      <w:bookmarkStart w:id="205" w:name="_Toc184308041"/>
      <w:bookmarkEnd w:id="205"/>
      <w:bookmarkStart w:id="206" w:name="_Toc184313280"/>
      <w:bookmarkEnd w:id="206"/>
      <w:bookmarkStart w:id="207" w:name="_Toc184313250"/>
      <w:bookmarkEnd w:id="207"/>
      <w:bookmarkStart w:id="208" w:name="_Toc184312067"/>
      <w:bookmarkEnd w:id="208"/>
      <w:bookmarkStart w:id="209" w:name="_Toc184312080"/>
      <w:bookmarkEnd w:id="209"/>
      <w:bookmarkStart w:id="210" w:name="_Toc184308066"/>
      <w:bookmarkEnd w:id="210"/>
      <w:bookmarkStart w:id="211" w:name="_Toc184312089"/>
      <w:bookmarkEnd w:id="211"/>
      <w:bookmarkStart w:id="212" w:name="_Toc184313293"/>
      <w:bookmarkEnd w:id="212"/>
      <w:bookmarkStart w:id="213" w:name="_Toc184312118"/>
      <w:bookmarkEnd w:id="213"/>
      <w:bookmarkStart w:id="214" w:name="_Toc184314431"/>
      <w:bookmarkEnd w:id="214"/>
      <w:bookmarkStart w:id="215" w:name="_Toc184308064"/>
      <w:bookmarkEnd w:id="215"/>
      <w:bookmarkStart w:id="216" w:name="_Toc184308071"/>
      <w:bookmarkEnd w:id="216"/>
      <w:bookmarkStart w:id="217" w:name="_Toc184308075"/>
      <w:bookmarkEnd w:id="217"/>
      <w:bookmarkStart w:id="218" w:name="_Toc184308036"/>
      <w:bookmarkEnd w:id="218"/>
      <w:bookmarkStart w:id="219" w:name="_Toc184313254"/>
      <w:bookmarkEnd w:id="219"/>
      <w:bookmarkStart w:id="220" w:name="_Toc184308040"/>
      <w:bookmarkEnd w:id="220"/>
      <w:bookmarkStart w:id="221" w:name="_Toc184314427"/>
      <w:bookmarkEnd w:id="221"/>
      <w:bookmarkStart w:id="222" w:name="_Toc184314433"/>
      <w:bookmarkEnd w:id="222"/>
      <w:bookmarkStart w:id="223" w:name="_Toc184314467"/>
      <w:bookmarkEnd w:id="223"/>
      <w:bookmarkStart w:id="224" w:name="_Toc184313304"/>
      <w:bookmarkEnd w:id="224"/>
      <w:bookmarkStart w:id="225" w:name="_Toc184314450"/>
      <w:bookmarkEnd w:id="225"/>
      <w:bookmarkStart w:id="226" w:name="_Toc184308088"/>
      <w:bookmarkEnd w:id="226"/>
      <w:bookmarkStart w:id="227" w:name="_Toc184310323"/>
      <w:bookmarkEnd w:id="227"/>
      <w:bookmarkStart w:id="228" w:name="_Toc184312091"/>
      <w:bookmarkEnd w:id="228"/>
      <w:bookmarkStart w:id="229" w:name="_Toc184313248"/>
      <w:bookmarkEnd w:id="229"/>
      <w:bookmarkStart w:id="230" w:name="_Toc184313278"/>
      <w:bookmarkEnd w:id="230"/>
      <w:bookmarkStart w:id="231" w:name="_Toc184314435"/>
      <w:bookmarkEnd w:id="231"/>
      <w:bookmarkStart w:id="232" w:name="_Toc184310296"/>
      <w:bookmarkEnd w:id="232"/>
      <w:bookmarkStart w:id="233" w:name="_Toc184308108"/>
      <w:bookmarkEnd w:id="233"/>
      <w:bookmarkStart w:id="234" w:name="_Toc184314456"/>
      <w:bookmarkEnd w:id="234"/>
      <w:bookmarkStart w:id="235" w:name="_Toc184310336"/>
      <w:bookmarkEnd w:id="235"/>
      <w:bookmarkStart w:id="236" w:name="_Toc184313299"/>
      <w:bookmarkEnd w:id="236"/>
      <w:bookmarkStart w:id="237" w:name="_Toc184313246"/>
      <w:bookmarkEnd w:id="237"/>
      <w:bookmarkStart w:id="238" w:name="_Toc184312126"/>
      <w:bookmarkEnd w:id="238"/>
      <w:bookmarkStart w:id="239" w:name="_Toc184310333"/>
      <w:bookmarkEnd w:id="239"/>
      <w:bookmarkStart w:id="240" w:name="_Toc184310273"/>
      <w:bookmarkEnd w:id="240"/>
      <w:bookmarkStart w:id="241" w:name="_Toc184310285"/>
      <w:bookmarkEnd w:id="241"/>
      <w:bookmarkStart w:id="242" w:name="_Toc184314413"/>
      <w:bookmarkEnd w:id="242"/>
      <w:bookmarkStart w:id="243" w:name="_Toc184312108"/>
      <w:bookmarkEnd w:id="243"/>
      <w:bookmarkStart w:id="244" w:name="_Toc184314424"/>
      <w:bookmarkEnd w:id="244"/>
      <w:bookmarkStart w:id="245" w:name="_Toc184314414"/>
      <w:bookmarkEnd w:id="245"/>
      <w:bookmarkStart w:id="246" w:name="_Toc184314422"/>
      <w:bookmarkEnd w:id="246"/>
      <w:bookmarkStart w:id="247" w:name="_Toc184313264"/>
      <w:bookmarkEnd w:id="247"/>
      <w:bookmarkStart w:id="248" w:name="_Toc184313260"/>
      <w:bookmarkEnd w:id="248"/>
      <w:bookmarkStart w:id="249" w:name="_Toc184310327"/>
      <w:bookmarkEnd w:id="249"/>
      <w:bookmarkStart w:id="250" w:name="_Toc184314436"/>
      <w:bookmarkEnd w:id="250"/>
      <w:bookmarkStart w:id="251" w:name="_Toc184308083"/>
      <w:bookmarkEnd w:id="251"/>
      <w:bookmarkStart w:id="252" w:name="_Toc184313281"/>
      <w:bookmarkEnd w:id="252"/>
      <w:bookmarkStart w:id="253" w:name="_Toc184312127"/>
      <w:bookmarkEnd w:id="253"/>
      <w:bookmarkStart w:id="254" w:name="_Toc184312137"/>
      <w:bookmarkEnd w:id="254"/>
      <w:bookmarkStart w:id="255" w:name="_Toc184308065"/>
      <w:bookmarkEnd w:id="255"/>
      <w:bookmarkStart w:id="256" w:name="_Toc184308037"/>
      <w:bookmarkEnd w:id="256"/>
      <w:bookmarkStart w:id="257" w:name="_Toc184313245"/>
      <w:bookmarkEnd w:id="257"/>
      <w:bookmarkStart w:id="258" w:name="_Toc184312072"/>
      <w:bookmarkEnd w:id="258"/>
      <w:bookmarkStart w:id="259" w:name="_Toc184308054"/>
      <w:bookmarkEnd w:id="259"/>
      <w:bookmarkStart w:id="260" w:name="_Toc184314441"/>
      <w:bookmarkEnd w:id="260"/>
      <w:bookmarkStart w:id="261" w:name="_Toc184312096"/>
      <w:bookmarkEnd w:id="261"/>
      <w:bookmarkStart w:id="262" w:name="_Toc184308104"/>
      <w:bookmarkEnd w:id="262"/>
      <w:bookmarkStart w:id="263" w:name="_Toc184312112"/>
      <w:bookmarkEnd w:id="263"/>
      <w:bookmarkStart w:id="264" w:name="_Toc184313306"/>
      <w:bookmarkEnd w:id="264"/>
      <w:bookmarkStart w:id="265" w:name="_Toc184310332"/>
      <w:bookmarkEnd w:id="265"/>
      <w:bookmarkStart w:id="266" w:name="_Toc184313242"/>
      <w:bookmarkEnd w:id="266"/>
      <w:bookmarkStart w:id="267" w:name="_Toc184314438"/>
      <w:bookmarkEnd w:id="267"/>
      <w:bookmarkStart w:id="268" w:name="_Toc184314410"/>
      <w:bookmarkEnd w:id="268"/>
      <w:bookmarkStart w:id="269" w:name="_Toc184312128"/>
      <w:bookmarkEnd w:id="269"/>
      <w:bookmarkStart w:id="270" w:name="_Toc184313297"/>
      <w:bookmarkEnd w:id="270"/>
      <w:bookmarkStart w:id="271" w:name="_Toc184310328"/>
      <w:bookmarkEnd w:id="271"/>
      <w:bookmarkStart w:id="272" w:name="_Toc184310301"/>
      <w:bookmarkEnd w:id="272"/>
      <w:bookmarkStart w:id="273" w:name="_Toc184314419"/>
      <w:bookmarkEnd w:id="273"/>
      <w:bookmarkStart w:id="274" w:name="_Toc184314439"/>
      <w:bookmarkEnd w:id="274"/>
      <w:bookmarkStart w:id="275" w:name="_Toc184312111"/>
      <w:bookmarkEnd w:id="275"/>
      <w:bookmarkStart w:id="276" w:name="_Toc184314437"/>
      <w:bookmarkEnd w:id="276"/>
      <w:bookmarkStart w:id="277" w:name="_Toc184310295"/>
      <w:bookmarkEnd w:id="277"/>
      <w:bookmarkStart w:id="278" w:name="_Toc184313252"/>
      <w:bookmarkEnd w:id="278"/>
      <w:bookmarkStart w:id="279" w:name="_Toc184312119"/>
      <w:bookmarkEnd w:id="279"/>
      <w:bookmarkStart w:id="280" w:name="_Toc184313270"/>
      <w:bookmarkEnd w:id="280"/>
      <w:bookmarkStart w:id="281" w:name="_Toc184308049"/>
      <w:bookmarkEnd w:id="281"/>
      <w:bookmarkStart w:id="282" w:name="_Toc184313284"/>
      <w:bookmarkEnd w:id="282"/>
      <w:bookmarkStart w:id="283" w:name="_Toc184313272"/>
      <w:bookmarkEnd w:id="283"/>
      <w:bookmarkStart w:id="284" w:name="_Toc184310329"/>
      <w:bookmarkEnd w:id="284"/>
      <w:bookmarkStart w:id="285" w:name="_Toc184314478"/>
      <w:bookmarkEnd w:id="285"/>
      <w:bookmarkStart w:id="286" w:name="_Toc184308063"/>
      <w:bookmarkEnd w:id="286"/>
      <w:bookmarkStart w:id="287" w:name="_Toc184314420"/>
      <w:bookmarkEnd w:id="287"/>
      <w:bookmarkStart w:id="288" w:name="_Toc184310314"/>
      <w:bookmarkEnd w:id="288"/>
      <w:bookmarkStart w:id="289" w:name="_Toc184314451"/>
      <w:bookmarkEnd w:id="289"/>
      <w:bookmarkStart w:id="290" w:name="_Toc184310290"/>
      <w:bookmarkEnd w:id="290"/>
      <w:bookmarkStart w:id="291" w:name="_Toc184313274"/>
      <w:bookmarkEnd w:id="291"/>
      <w:bookmarkStart w:id="292" w:name="_Toc184313291"/>
      <w:bookmarkEnd w:id="292"/>
      <w:bookmarkStart w:id="293" w:name="_Toc184310306"/>
      <w:bookmarkEnd w:id="293"/>
      <w:bookmarkStart w:id="294" w:name="_Toc184312117"/>
      <w:bookmarkEnd w:id="294"/>
      <w:bookmarkStart w:id="295" w:name="_Toc184312136"/>
      <w:bookmarkEnd w:id="295"/>
      <w:bookmarkStart w:id="296" w:name="_Toc184310276"/>
      <w:bookmarkEnd w:id="296"/>
      <w:bookmarkStart w:id="297" w:name="_Toc184310322"/>
      <w:bookmarkEnd w:id="297"/>
      <w:bookmarkStart w:id="298" w:name="_Toc184314416"/>
      <w:bookmarkEnd w:id="298"/>
      <w:bookmarkStart w:id="299" w:name="_Toc184308091"/>
      <w:bookmarkEnd w:id="299"/>
      <w:bookmarkStart w:id="300" w:name="_Toc184313289"/>
      <w:bookmarkEnd w:id="300"/>
      <w:bookmarkStart w:id="301" w:name="_Toc184312103"/>
      <w:bookmarkEnd w:id="301"/>
      <w:bookmarkStart w:id="302" w:name="_Toc184313295"/>
      <w:bookmarkEnd w:id="302"/>
      <w:bookmarkStart w:id="303" w:name="_Toc184314447"/>
      <w:bookmarkEnd w:id="303"/>
      <w:bookmarkStart w:id="304" w:name="_Toc184313282"/>
      <w:bookmarkEnd w:id="304"/>
      <w:bookmarkStart w:id="305" w:name="_Toc184310341"/>
      <w:bookmarkEnd w:id="305"/>
      <w:bookmarkStart w:id="306" w:name="_Toc184312081"/>
      <w:bookmarkEnd w:id="306"/>
      <w:bookmarkStart w:id="307" w:name="_Toc184310305"/>
      <w:bookmarkEnd w:id="307"/>
      <w:bookmarkStart w:id="308" w:name="_Toc184308095"/>
      <w:bookmarkEnd w:id="308"/>
      <w:bookmarkStart w:id="309" w:name="_Toc184310278"/>
      <w:bookmarkEnd w:id="309"/>
      <w:bookmarkStart w:id="310" w:name="_Toc184313238"/>
      <w:bookmarkEnd w:id="310"/>
      <w:bookmarkStart w:id="311" w:name="_Toc184312134"/>
      <w:bookmarkEnd w:id="311"/>
      <w:bookmarkStart w:id="312" w:name="_Toc184310275"/>
      <w:bookmarkEnd w:id="312"/>
      <w:bookmarkStart w:id="313" w:name="_Toc184310317"/>
      <w:bookmarkEnd w:id="313"/>
      <w:bookmarkStart w:id="314" w:name="_Toc184313292"/>
      <w:bookmarkEnd w:id="314"/>
      <w:bookmarkStart w:id="315" w:name="_Toc184314430"/>
      <w:bookmarkEnd w:id="315"/>
      <w:bookmarkStart w:id="316" w:name="_Toc184310277"/>
      <w:bookmarkEnd w:id="316"/>
      <w:bookmarkStart w:id="317" w:name="_Toc184312121"/>
      <w:bookmarkEnd w:id="317"/>
      <w:bookmarkStart w:id="318" w:name="_Toc184310279"/>
      <w:bookmarkEnd w:id="318"/>
      <w:bookmarkStart w:id="319" w:name="_Toc184310311"/>
      <w:bookmarkEnd w:id="319"/>
      <w:bookmarkStart w:id="320" w:name="_Toc184310318"/>
      <w:bookmarkEnd w:id="320"/>
      <w:bookmarkStart w:id="321" w:name="_Toc184310338"/>
      <w:bookmarkEnd w:id="321"/>
      <w:bookmarkStart w:id="322" w:name="_Toc184312076"/>
      <w:bookmarkEnd w:id="322"/>
      <w:bookmarkStart w:id="323" w:name="_Toc184308099"/>
      <w:bookmarkEnd w:id="323"/>
      <w:bookmarkStart w:id="324" w:name="_Toc184310344"/>
      <w:bookmarkEnd w:id="324"/>
      <w:bookmarkStart w:id="325" w:name="_Toc184308106"/>
      <w:bookmarkEnd w:id="325"/>
      <w:bookmarkStart w:id="326" w:name="_Toc184314459"/>
      <w:bookmarkEnd w:id="326"/>
      <w:bookmarkStart w:id="327" w:name="_Toc184313262"/>
      <w:bookmarkEnd w:id="327"/>
      <w:bookmarkStart w:id="328" w:name="_Toc184314448"/>
      <w:bookmarkEnd w:id="328"/>
      <w:bookmarkStart w:id="329" w:name="_Toc184314454"/>
      <w:bookmarkEnd w:id="329"/>
      <w:bookmarkStart w:id="330" w:name="_Toc184310319"/>
      <w:bookmarkEnd w:id="330"/>
      <w:bookmarkStart w:id="331" w:name="_Toc184312098"/>
      <w:bookmarkEnd w:id="331"/>
      <w:bookmarkStart w:id="332" w:name="_Toc184310304"/>
      <w:bookmarkEnd w:id="332"/>
      <w:bookmarkStart w:id="333" w:name="_Toc184308052"/>
      <w:bookmarkEnd w:id="333"/>
      <w:bookmarkStart w:id="334" w:name="_Toc184314455"/>
      <w:bookmarkEnd w:id="334"/>
      <w:bookmarkStart w:id="335" w:name="_Toc184313258"/>
      <w:bookmarkEnd w:id="335"/>
      <w:bookmarkStart w:id="336" w:name="_Toc184308056"/>
      <w:bookmarkEnd w:id="336"/>
      <w:bookmarkStart w:id="337" w:name="_Toc184313287"/>
      <w:bookmarkEnd w:id="337"/>
      <w:bookmarkStart w:id="338" w:name="_Toc184310287"/>
      <w:bookmarkEnd w:id="338"/>
      <w:bookmarkStart w:id="339" w:name="_Toc184312074"/>
      <w:bookmarkEnd w:id="339"/>
      <w:bookmarkStart w:id="340" w:name="_Toc184308079"/>
      <w:bookmarkEnd w:id="340"/>
      <w:bookmarkStart w:id="341" w:name="_Toc184310309"/>
      <w:bookmarkEnd w:id="341"/>
      <w:bookmarkStart w:id="342" w:name="_Toc184313271"/>
      <w:bookmarkEnd w:id="342"/>
      <w:bookmarkStart w:id="343" w:name="_Toc184312115"/>
      <w:bookmarkEnd w:id="343"/>
      <w:bookmarkStart w:id="344" w:name="_Toc184313241"/>
      <w:bookmarkEnd w:id="344"/>
      <w:bookmarkStart w:id="345" w:name="_Toc184313268"/>
      <w:bookmarkEnd w:id="345"/>
      <w:bookmarkStart w:id="346" w:name="_Toc184313305"/>
      <w:bookmarkEnd w:id="346"/>
      <w:bookmarkStart w:id="347" w:name="_Toc184310286"/>
      <w:bookmarkEnd w:id="347"/>
      <w:bookmarkStart w:id="348" w:name="_Toc184310272"/>
      <w:bookmarkEnd w:id="348"/>
      <w:bookmarkStart w:id="349" w:name="_Toc184312079"/>
      <w:bookmarkEnd w:id="349"/>
      <w:bookmarkStart w:id="350" w:name="_Toc184314421"/>
      <w:bookmarkEnd w:id="350"/>
      <w:bookmarkStart w:id="351" w:name="_Toc184314479"/>
      <w:bookmarkEnd w:id="351"/>
      <w:bookmarkStart w:id="352" w:name="_Toc184313279"/>
      <w:bookmarkEnd w:id="352"/>
      <w:bookmarkStart w:id="353" w:name="_Toc184313286"/>
      <w:bookmarkEnd w:id="353"/>
      <w:bookmarkStart w:id="354" w:name="_Toc184310281"/>
      <w:bookmarkEnd w:id="354"/>
      <w:bookmarkStart w:id="355" w:name="_Toc184308062"/>
      <w:bookmarkEnd w:id="355"/>
      <w:bookmarkStart w:id="356" w:name="_Toc184312113"/>
      <w:bookmarkEnd w:id="356"/>
      <w:bookmarkStart w:id="357" w:name="_Toc184312093"/>
      <w:bookmarkEnd w:id="357"/>
      <w:bookmarkStart w:id="358" w:name="_Toc184310339"/>
      <w:bookmarkEnd w:id="358"/>
      <w:bookmarkStart w:id="359" w:name="_Toc184308044"/>
      <w:bookmarkEnd w:id="359"/>
      <w:bookmarkStart w:id="360" w:name="_Toc184308089"/>
      <w:bookmarkEnd w:id="360"/>
      <w:bookmarkStart w:id="361" w:name="_Toc184308068"/>
      <w:bookmarkEnd w:id="361"/>
      <w:bookmarkStart w:id="362" w:name="_Toc184313267"/>
      <w:bookmarkEnd w:id="362"/>
      <w:bookmarkStart w:id="363" w:name="_Toc184310289"/>
      <w:bookmarkEnd w:id="363"/>
      <w:bookmarkStart w:id="364" w:name="_Toc184313261"/>
      <w:bookmarkEnd w:id="364"/>
      <w:bookmarkStart w:id="365" w:name="_Toc184312090"/>
      <w:bookmarkEnd w:id="365"/>
      <w:bookmarkStart w:id="366" w:name="_Toc184312116"/>
      <w:bookmarkEnd w:id="366"/>
      <w:bookmarkStart w:id="367" w:name="_Toc184310300"/>
      <w:bookmarkEnd w:id="367"/>
      <w:bookmarkStart w:id="368" w:name="_Toc184314469"/>
      <w:bookmarkEnd w:id="368"/>
      <w:bookmarkStart w:id="369" w:name="_Toc184308057"/>
      <w:bookmarkEnd w:id="369"/>
      <w:bookmarkStart w:id="370" w:name="_Toc184314472"/>
      <w:bookmarkEnd w:id="370"/>
      <w:bookmarkStart w:id="371" w:name="_Toc184313296"/>
      <w:bookmarkEnd w:id="371"/>
      <w:bookmarkStart w:id="372" w:name="_Toc184314412"/>
      <w:bookmarkEnd w:id="372"/>
      <w:bookmarkStart w:id="373" w:name="_Toc184308084"/>
      <w:bookmarkEnd w:id="373"/>
      <w:bookmarkStart w:id="374" w:name="_Toc184314482"/>
      <w:bookmarkEnd w:id="374"/>
      <w:bookmarkStart w:id="375" w:name="_Toc184308073"/>
      <w:bookmarkEnd w:id="375"/>
      <w:bookmarkStart w:id="376" w:name="_Toc184308072"/>
      <w:bookmarkEnd w:id="376"/>
      <w:bookmarkStart w:id="377" w:name="_Toc184308043"/>
      <w:bookmarkEnd w:id="377"/>
      <w:bookmarkStart w:id="378" w:name="_Toc184310335"/>
      <w:bookmarkEnd w:id="378"/>
      <w:bookmarkStart w:id="379" w:name="_Toc184313263"/>
      <w:bookmarkEnd w:id="379"/>
      <w:bookmarkStart w:id="380" w:name="_Toc184308047"/>
      <w:bookmarkEnd w:id="380"/>
      <w:bookmarkStart w:id="381" w:name="_Toc184313257"/>
      <w:bookmarkEnd w:id="381"/>
      <w:bookmarkStart w:id="382" w:name="_Toc184310297"/>
      <w:bookmarkEnd w:id="382"/>
      <w:bookmarkStart w:id="383" w:name="_Toc184308048"/>
      <w:bookmarkEnd w:id="383"/>
      <w:bookmarkStart w:id="384" w:name="_Toc184312133"/>
      <w:bookmarkEnd w:id="384"/>
      <w:bookmarkStart w:id="385" w:name="_Toc184313283"/>
      <w:bookmarkEnd w:id="385"/>
      <w:bookmarkStart w:id="386" w:name="_Toc184310321"/>
      <w:bookmarkEnd w:id="386"/>
      <w:bookmarkStart w:id="387" w:name="_Toc184313277"/>
      <w:bookmarkEnd w:id="387"/>
      <w:bookmarkStart w:id="388" w:name="_Toc184308103"/>
      <w:bookmarkEnd w:id="388"/>
      <w:bookmarkStart w:id="389" w:name="_Toc184313300"/>
      <w:bookmarkEnd w:id="389"/>
      <w:bookmarkStart w:id="390" w:name="_Toc184310316"/>
      <w:bookmarkEnd w:id="390"/>
      <w:bookmarkStart w:id="391" w:name="_Toc184314415"/>
      <w:bookmarkEnd w:id="391"/>
      <w:bookmarkStart w:id="392" w:name="_Toc184314477"/>
      <w:bookmarkEnd w:id="392"/>
      <w:bookmarkStart w:id="393" w:name="_Toc184312095"/>
      <w:bookmarkEnd w:id="393"/>
      <w:r>
        <w:rPr>
          <w:rFonts w:hint="eastAsia" w:ascii="仿宋" w:hAnsi="仿宋" w:eastAsia="仿宋" w:cs="仿宋_GB2312"/>
          <w:b/>
          <w:sz w:val="36"/>
          <w:szCs w:val="36"/>
        </w:rPr>
        <w:t>评标办法</w:t>
      </w:r>
    </w:p>
    <w:p>
      <w:pPr>
        <w:numPr>
          <w:ilvl w:val="0"/>
          <w:numId w:val="0"/>
        </w:numPr>
        <w:adjustRightInd w:val="0"/>
        <w:snapToGrid w:val="0"/>
        <w:spacing w:line="480" w:lineRule="auto"/>
        <w:ind w:left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评标办法前附表</w:t>
      </w:r>
    </w:p>
    <w:tbl>
      <w:tblPr>
        <w:tblStyle w:val="66"/>
        <w:tblpPr w:leftFromText="180" w:rightFromText="180" w:vertAnchor="text" w:horzAnchor="page" w:tblpX="1031" w:tblpY="126"/>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8118"/>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12" w:type="dxa"/>
            <w:noWrap w:val="0"/>
            <w:vAlign w:val="center"/>
          </w:tcPr>
          <w:p>
            <w:pPr>
              <w:spacing w:before="0" w:beforeAutospacing="0" w:after="0" w:afterAutospacing="0" w:line="360" w:lineRule="auto"/>
              <w:ind w:left="0" w:right="0"/>
              <w:jc w:val="center"/>
              <w:outlineLvl w:val="0"/>
              <w:rPr>
                <w:rFonts w:hint="eastAsia" w:ascii="仿宋" w:hAnsi="仿宋" w:eastAsia="仿宋" w:cs="仿宋"/>
                <w:bCs/>
                <w:sz w:val="24"/>
                <w:szCs w:val="24"/>
              </w:rPr>
            </w:pPr>
            <w:r>
              <w:rPr>
                <w:rFonts w:hint="eastAsia" w:ascii="仿宋" w:hAnsi="仿宋" w:eastAsia="仿宋" w:cs="仿宋"/>
                <w:bCs/>
                <w:sz w:val="24"/>
                <w:szCs w:val="24"/>
              </w:rPr>
              <w:t>序号</w:t>
            </w:r>
          </w:p>
        </w:tc>
        <w:tc>
          <w:tcPr>
            <w:tcW w:w="8118" w:type="dxa"/>
            <w:noWrap w:val="0"/>
            <w:vAlign w:val="center"/>
          </w:tcPr>
          <w:p>
            <w:pPr>
              <w:spacing w:before="0" w:beforeAutospacing="0" w:after="0" w:afterAutospacing="0" w:line="360" w:lineRule="auto"/>
              <w:ind w:left="0" w:right="0"/>
              <w:jc w:val="center"/>
              <w:outlineLvl w:val="0"/>
              <w:rPr>
                <w:rFonts w:hint="eastAsia" w:ascii="仿宋" w:hAnsi="仿宋" w:eastAsia="仿宋" w:cs="仿宋"/>
                <w:bCs/>
                <w:sz w:val="24"/>
                <w:szCs w:val="24"/>
              </w:rPr>
            </w:pPr>
            <w:r>
              <w:rPr>
                <w:rFonts w:hint="eastAsia" w:ascii="仿宋" w:hAnsi="仿宋" w:eastAsia="仿宋" w:cs="仿宋"/>
                <w:bCs/>
                <w:sz w:val="24"/>
                <w:szCs w:val="24"/>
              </w:rPr>
              <w:t>评标标准</w:t>
            </w:r>
          </w:p>
        </w:tc>
        <w:tc>
          <w:tcPr>
            <w:tcW w:w="884" w:type="dxa"/>
            <w:noWrap w:val="0"/>
            <w:vAlign w:val="center"/>
          </w:tcPr>
          <w:p>
            <w:pPr>
              <w:spacing w:before="0" w:beforeAutospacing="0" w:after="0" w:afterAutospacing="0" w:line="360" w:lineRule="auto"/>
              <w:ind w:left="0" w:right="0"/>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912" w:type="dxa"/>
            <w:noWrap w:val="0"/>
            <w:vAlign w:val="center"/>
          </w:tcPr>
          <w:p>
            <w:pPr>
              <w:spacing w:before="0" w:beforeAutospacing="0" w:after="0" w:afterAutospacing="0" w:line="360" w:lineRule="auto"/>
              <w:ind w:left="0" w:right="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8118" w:type="dxa"/>
            <w:noWrap w:val="0"/>
            <w:vAlign w:val="center"/>
          </w:tcPr>
          <w:p>
            <w:pPr>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lang w:val="en-US" w:eastAsia="zh-CN"/>
              </w:rPr>
              <w:t>标单位获得质量管理体系认证、环境管理体系认证、职业健康安全管理体系认证提供 1 个得 1 分，最高得3 分。需提供全国认证认可信息公共服务平台网站（http://www.cnca.gov.cn/）查询页面截图，证书须处于“有效”状态,不提供、提供不全或不符合要求不得分。</w:t>
            </w:r>
          </w:p>
        </w:tc>
        <w:tc>
          <w:tcPr>
            <w:tcW w:w="884" w:type="dxa"/>
            <w:noWrap w:val="0"/>
            <w:vAlign w:val="center"/>
          </w:tcPr>
          <w:p>
            <w:pPr>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12" w:type="dxa"/>
            <w:noWrap w:val="0"/>
            <w:vAlign w:val="center"/>
          </w:tcPr>
          <w:p>
            <w:pPr>
              <w:spacing w:before="0" w:beforeAutospacing="0" w:after="0" w:afterAutospacing="0" w:line="360" w:lineRule="auto"/>
              <w:ind w:left="0" w:right="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118" w:type="dxa"/>
            <w:noWrap w:val="0"/>
            <w:vAlign w:val="center"/>
          </w:tcPr>
          <w:p>
            <w:pPr>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lang w:val="en-US" w:eastAsia="zh-CN"/>
              </w:rPr>
              <w:t>投标人拟派项目负责人具有环卫项目经理证证书的得1分（提供相关证书复印件并加盖公章）</w:t>
            </w:r>
          </w:p>
        </w:tc>
        <w:tc>
          <w:tcPr>
            <w:tcW w:w="884" w:type="dxa"/>
            <w:noWrap w:val="0"/>
            <w:vAlign w:val="center"/>
          </w:tcPr>
          <w:p>
            <w:pPr>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12" w:type="dxa"/>
            <w:noWrap w:val="0"/>
            <w:vAlign w:val="center"/>
          </w:tcPr>
          <w:p>
            <w:pPr>
              <w:spacing w:before="0" w:beforeAutospacing="0" w:after="0" w:afterAutospacing="0" w:line="360" w:lineRule="auto"/>
              <w:ind w:left="0" w:right="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8118" w:type="dxa"/>
            <w:noWrap w:val="0"/>
            <w:vAlign w:val="center"/>
          </w:tcPr>
          <w:p>
            <w:pPr>
              <w:spacing w:before="0" w:beforeAutospacing="0" w:after="0" w:afterAutospacing="0" w:line="360" w:lineRule="auto"/>
              <w:ind w:left="0" w:right="0"/>
              <w:outlineLvl w:val="0"/>
              <w:rPr>
                <w:rFonts w:hint="default" w:ascii="仿宋" w:hAnsi="仿宋" w:eastAsia="仿宋" w:cs="仿宋"/>
                <w:sz w:val="24"/>
                <w:szCs w:val="24"/>
                <w:lang w:val="en-US"/>
              </w:rPr>
            </w:pPr>
            <w:r>
              <w:rPr>
                <w:rFonts w:hint="eastAsia" w:ascii="仿宋" w:hAnsi="仿宋" w:eastAsia="仿宋" w:cs="仿宋"/>
                <w:sz w:val="24"/>
                <w:szCs w:val="24"/>
                <w:lang w:val="en-US" w:eastAsia="zh-CN"/>
              </w:rPr>
              <w:t>拟派项目专职安全管理员同时具有大专及以上学历及安全员证证书的得1分，最高得2分。（提供相关证书复印件并加盖公章）</w:t>
            </w:r>
          </w:p>
        </w:tc>
        <w:tc>
          <w:tcPr>
            <w:tcW w:w="884" w:type="dxa"/>
            <w:noWrap w:val="0"/>
            <w:vAlign w:val="center"/>
          </w:tcPr>
          <w:p>
            <w:pPr>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trPr>
        <w:tc>
          <w:tcPr>
            <w:tcW w:w="912" w:type="dxa"/>
            <w:noWrap w:val="0"/>
            <w:vAlign w:val="center"/>
          </w:tcPr>
          <w:p>
            <w:pPr>
              <w:spacing w:before="0" w:beforeAutospacing="0" w:after="0" w:afterAutospacing="0" w:line="360" w:lineRule="auto"/>
              <w:ind w:left="0" w:right="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8118" w:type="dxa"/>
            <w:noWrap w:val="0"/>
            <w:vAlign w:val="center"/>
          </w:tcPr>
          <w:p>
            <w:pPr>
              <w:numPr>
                <w:ilvl w:val="0"/>
                <w:numId w:val="7"/>
              </w:numPr>
              <w:spacing w:before="0" w:beforeAutospacing="0" w:after="0" w:afterAutospacing="0" w:line="360" w:lineRule="auto"/>
              <w:ind w:left="0" w:right="0"/>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自备核定总重量25吨及以上的清洗车得3分/辆，最高得6分（0-6）</w:t>
            </w:r>
          </w:p>
          <w:p>
            <w:pPr>
              <w:numPr>
                <w:ilvl w:val="0"/>
                <w:numId w:val="7"/>
              </w:numPr>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lang w:val="en-US" w:eastAsia="zh-CN"/>
              </w:rPr>
              <w:t>总重量18吨及以上、25吨以下的清洗车得2分/辆，最高得4分（0-4）</w:t>
            </w:r>
          </w:p>
          <w:p>
            <w:pPr>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lang w:val="en-US" w:eastAsia="zh-CN"/>
              </w:rPr>
              <w:t>3、自备核定总重量18T及以上道路污染清除车得4分/辆，最高得4分（0-4）</w:t>
            </w:r>
          </w:p>
          <w:p>
            <w:pPr>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lang w:val="en-US" w:eastAsia="zh-CN"/>
              </w:rPr>
              <w:t>4、自备核定总重量18T及以上洗扫车得3分/辆，最高得6分（0-6）</w:t>
            </w:r>
          </w:p>
          <w:p>
            <w:pPr>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lang w:val="en-US" w:eastAsia="zh-CN"/>
              </w:rPr>
              <w:t>5、自备总质量18吨及以上抑尘车得2分/辆，最高得4分（0-4）</w:t>
            </w:r>
          </w:p>
          <w:p>
            <w:pPr>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lang w:val="en-US" w:eastAsia="zh-CN"/>
              </w:rPr>
              <w:t>6、自备路面养护车得2分/辆，最高得4分；（0-4）</w:t>
            </w:r>
          </w:p>
          <w:p>
            <w:pPr>
              <w:spacing w:before="0" w:beforeAutospacing="0" w:after="0" w:afterAutospacing="0" w:line="360" w:lineRule="auto"/>
              <w:ind w:left="0" w:right="0"/>
              <w:outlineLvl w:val="0"/>
              <w:rPr>
                <w:rFonts w:hint="default" w:ascii="仿宋" w:hAnsi="仿宋" w:eastAsia="仿宋" w:cs="仿宋"/>
                <w:sz w:val="24"/>
                <w:szCs w:val="24"/>
                <w:lang w:val="en-US"/>
              </w:rPr>
            </w:pPr>
            <w:r>
              <w:rPr>
                <w:rFonts w:hint="eastAsia" w:ascii="仿宋" w:hAnsi="仿宋" w:eastAsia="仿宋" w:cs="仿宋"/>
                <w:sz w:val="24"/>
                <w:szCs w:val="24"/>
                <w:lang w:val="en-US" w:eastAsia="zh-CN"/>
              </w:rPr>
              <w:t>7、自备专用防撞车（或加装防撞设施的工具车，要求同步加装LED导向显示屏、警报和爆闪灯）得2分/辆，最高得4分；（0-4）</w:t>
            </w:r>
          </w:p>
          <w:p>
            <w:pPr>
              <w:spacing w:before="0" w:beforeAutospacing="0" w:after="0" w:afterAutospacing="0" w:line="360" w:lineRule="auto"/>
              <w:ind w:left="0" w:right="0"/>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8、自备小型四轮封闭式清扫车1分/辆，最高得6分（0-6）</w:t>
            </w:r>
          </w:p>
          <w:p>
            <w:pPr>
              <w:spacing w:before="0" w:beforeAutospacing="0" w:after="0" w:afterAutospacing="0" w:line="360" w:lineRule="auto"/>
              <w:ind w:left="0" w:right="0"/>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9、自备电动巡捡车得1分/辆，最高得4分（0-4）</w:t>
            </w:r>
          </w:p>
          <w:p>
            <w:pPr>
              <w:spacing w:before="0" w:beforeAutospacing="0" w:after="0" w:afterAutospacing="0" w:line="360" w:lineRule="auto"/>
              <w:ind w:left="0" w:right="0"/>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10、自备除雪车或除雪设备得2分/辆，最高得4分（0-4）</w:t>
            </w:r>
          </w:p>
          <w:p>
            <w:pPr>
              <w:spacing w:before="0" w:beforeAutospacing="0" w:after="0" w:afterAutospacing="0" w:line="360" w:lineRule="auto"/>
              <w:ind w:left="0" w:right="0"/>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11、（1-5）项中配备车辆中是新能源汽车的加1分/辆，最多加2分（0-2）</w:t>
            </w:r>
          </w:p>
          <w:p>
            <w:pPr>
              <w:spacing w:before="0" w:beforeAutospacing="0" w:after="0" w:afterAutospacing="0" w:line="360" w:lineRule="auto"/>
              <w:ind w:left="0" w:right="0"/>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12、18T及以上得清洗车带有高压清洗功能得每辆得1分，最高得2分（0-2）</w:t>
            </w:r>
          </w:p>
          <w:p>
            <w:pPr>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lang w:val="en-US" w:eastAsia="zh-CN"/>
              </w:rPr>
              <w:t>注：1、上述自备车辆均需提供投标单位自有车辆行驶证、车辆登记证、购车发票扫描件以及车辆实物照片，单项车辆在一辆以上的，要求该项车辆在同一照片，无行驶证的车辆设备需提供发票扫描件和车辆实物照片，不提供的，该项不得分。2、由于各车辆制造商不同，对于“洒水车/清洗车、三合一洗扫车/洗扫车”的车辆名称表述存在一定差异，但必须具备上述要求的相关作业功能；高压清洗功能为于车头或水箱下方具备多出水口向下冲洗功能。</w:t>
            </w:r>
          </w:p>
        </w:tc>
        <w:tc>
          <w:tcPr>
            <w:tcW w:w="884" w:type="dxa"/>
            <w:noWrap w:val="0"/>
            <w:vAlign w:val="center"/>
          </w:tcPr>
          <w:p>
            <w:pPr>
              <w:spacing w:before="0" w:beforeAutospacing="0" w:after="0" w:afterAutospacing="0" w:line="360" w:lineRule="auto"/>
              <w:ind w:left="0" w:right="0"/>
              <w:outlineLvl w:val="0"/>
              <w:rPr>
                <w:rFonts w:hint="default" w:ascii="仿宋" w:hAnsi="仿宋" w:eastAsia="仿宋" w:cs="仿宋"/>
                <w:sz w:val="24"/>
                <w:szCs w:val="24"/>
                <w:lang w:val="en-US"/>
              </w:rPr>
            </w:pPr>
            <w:r>
              <w:rPr>
                <w:rFonts w:hint="eastAsia" w:ascii="仿宋" w:hAnsi="仿宋" w:eastAsia="仿宋" w:cs="仿宋"/>
                <w:sz w:val="24"/>
                <w:szCs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2" w:type="dxa"/>
            <w:noWrap w:val="0"/>
            <w:vAlign w:val="center"/>
          </w:tcPr>
          <w:p>
            <w:pPr>
              <w:spacing w:before="0" w:beforeAutospacing="0" w:after="0" w:afterAutospacing="0" w:line="360" w:lineRule="auto"/>
              <w:ind w:left="0" w:right="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8118" w:type="dxa"/>
            <w:noWrap w:val="0"/>
            <w:vAlign w:val="center"/>
          </w:tcPr>
          <w:p>
            <w:pPr>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lang w:val="en-US" w:eastAsia="zh-CN"/>
              </w:rPr>
              <w:t>投标人近三年内（自2019年1月1日起至今，以合同签订时间为准）承接过类似项目的一个项目得0.5分，最高得1分；本项最高得1分</w:t>
            </w:r>
          </w:p>
        </w:tc>
        <w:tc>
          <w:tcPr>
            <w:tcW w:w="884" w:type="dxa"/>
            <w:noWrap w:val="0"/>
            <w:vAlign w:val="center"/>
          </w:tcPr>
          <w:p>
            <w:pPr>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2" w:type="dxa"/>
            <w:noWrap w:val="0"/>
            <w:vAlign w:val="center"/>
          </w:tcPr>
          <w:p>
            <w:pPr>
              <w:spacing w:before="0" w:beforeAutospacing="0" w:after="0" w:afterAutospacing="0" w:line="360" w:lineRule="auto"/>
              <w:ind w:left="0" w:right="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8118" w:type="dxa"/>
            <w:noWrap w:val="0"/>
            <w:vAlign w:val="center"/>
          </w:tcPr>
          <w:p>
            <w:pPr>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lang w:val="en-US" w:eastAsia="zh-CN"/>
              </w:rPr>
              <w:t>投标人自2019年1月1日以来，获得过区级（县、县级市）及以上行政主管部门颁发的荣誉得1分，最高得1分。</w:t>
            </w:r>
          </w:p>
        </w:tc>
        <w:tc>
          <w:tcPr>
            <w:tcW w:w="884" w:type="dxa"/>
            <w:noWrap w:val="0"/>
            <w:vAlign w:val="center"/>
          </w:tcPr>
          <w:p>
            <w:pPr>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2" w:type="dxa"/>
            <w:noWrap w:val="0"/>
            <w:vAlign w:val="center"/>
          </w:tcPr>
          <w:p>
            <w:pPr>
              <w:spacing w:before="0" w:beforeAutospacing="0" w:after="0" w:afterAutospacing="0" w:line="360" w:lineRule="auto"/>
              <w:ind w:left="0" w:right="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8118" w:type="dxa"/>
            <w:noWrap w:val="0"/>
            <w:vAlign w:val="center"/>
          </w:tcPr>
          <w:p>
            <w:pPr>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管理组织架构；管理制度及规范和标准；安全文明保证体系和安全保证措施；对本项目服务内容的理解</w:t>
            </w:r>
            <w:r>
              <w:rPr>
                <w:rFonts w:hint="eastAsia" w:ascii="仿宋" w:hAnsi="仿宋" w:eastAsia="仿宋" w:cs="仿宋"/>
                <w:sz w:val="24"/>
                <w:szCs w:val="24"/>
                <w:lang w:eastAsia="zh-CN"/>
              </w:rPr>
              <w:t>进行综合评分，措施制度好的，可操作性强，可行性高、制度合理的得</w:t>
            </w:r>
            <w:r>
              <w:rPr>
                <w:rFonts w:hint="eastAsia" w:ascii="仿宋" w:hAnsi="仿宋" w:eastAsia="仿宋" w:cs="仿宋"/>
                <w:sz w:val="24"/>
                <w:szCs w:val="24"/>
                <w:lang w:val="en-US" w:eastAsia="zh-CN"/>
              </w:rPr>
              <w:t>6-8分，措施制度较好的，可操作性强，可行性高、制度合理的得3-6分，，措施制度一般，可操作性强，可行性高、制度合理的得1-3分，没有措施、制度且不满足采购需求的不得分。</w:t>
            </w:r>
          </w:p>
          <w:p>
            <w:pPr>
              <w:spacing w:before="0" w:beforeAutospacing="0" w:after="0" w:afterAutospacing="0" w:line="360" w:lineRule="auto"/>
              <w:ind w:left="0" w:right="0"/>
              <w:outlineLvl w:val="0"/>
              <w:rPr>
                <w:rFonts w:hint="eastAsia" w:ascii="仿宋" w:hAnsi="仿宋" w:eastAsia="仿宋" w:cs="仿宋"/>
                <w:sz w:val="24"/>
                <w:szCs w:val="24"/>
                <w:lang w:val="en-US" w:eastAsia="zh-CN"/>
              </w:rPr>
            </w:pPr>
          </w:p>
        </w:tc>
        <w:tc>
          <w:tcPr>
            <w:tcW w:w="884" w:type="dxa"/>
            <w:noWrap w:val="0"/>
            <w:vAlign w:val="center"/>
          </w:tcPr>
          <w:p>
            <w:pPr>
              <w:spacing w:before="0" w:beforeAutospacing="0" w:after="0" w:afterAutospacing="0" w:line="360" w:lineRule="auto"/>
              <w:ind w:left="0" w:right="0"/>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2" w:type="dxa"/>
            <w:noWrap w:val="0"/>
            <w:vAlign w:val="center"/>
          </w:tcPr>
          <w:p>
            <w:pPr>
              <w:spacing w:before="0" w:beforeAutospacing="0" w:after="0" w:afterAutospacing="0" w:line="360" w:lineRule="auto"/>
              <w:ind w:left="0" w:right="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8118" w:type="dxa"/>
            <w:noWrap w:val="0"/>
            <w:vAlign w:val="center"/>
          </w:tcPr>
          <w:p>
            <w:pPr>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作业方案：投标人自行踏勘现场，针对本标段保洁的特点创新作业理念，制定“人扫、机扫、巡捡”三位一体的保洁作业方案，要求方案符合本标段实际情况，保洁作业能做到各要素的合理配置，全面、即时覆盖各作业区域；其他作业机具配置</w:t>
            </w:r>
            <w:r>
              <w:rPr>
                <w:rFonts w:hint="eastAsia" w:ascii="仿宋" w:hAnsi="仿宋" w:eastAsia="仿宋" w:cs="仿宋"/>
                <w:sz w:val="24"/>
                <w:szCs w:val="24"/>
                <w:lang w:eastAsia="zh-CN"/>
              </w:rPr>
              <w:t>，方案好的，可操作性强，可行性高、合理的得</w:t>
            </w:r>
            <w:r>
              <w:rPr>
                <w:rFonts w:hint="eastAsia" w:ascii="仿宋" w:hAnsi="仿宋" w:eastAsia="仿宋" w:cs="仿宋"/>
                <w:sz w:val="24"/>
                <w:szCs w:val="24"/>
                <w:lang w:val="en-US" w:eastAsia="zh-CN"/>
              </w:rPr>
              <w:t>6-8分，</w:t>
            </w:r>
            <w:r>
              <w:rPr>
                <w:rFonts w:hint="eastAsia" w:ascii="仿宋" w:hAnsi="仿宋" w:eastAsia="仿宋" w:cs="仿宋"/>
                <w:sz w:val="24"/>
                <w:szCs w:val="24"/>
                <w:lang w:eastAsia="zh-CN"/>
              </w:rPr>
              <w:t>方案较好的，可操作性强，可行性高、合理的得</w:t>
            </w:r>
            <w:r>
              <w:rPr>
                <w:rFonts w:hint="eastAsia" w:ascii="仿宋" w:hAnsi="仿宋" w:eastAsia="仿宋" w:cs="仿宋"/>
                <w:sz w:val="24"/>
                <w:szCs w:val="24"/>
                <w:lang w:val="en-US" w:eastAsia="zh-CN"/>
              </w:rPr>
              <w:t>3-6分，</w:t>
            </w:r>
            <w:r>
              <w:rPr>
                <w:rFonts w:hint="eastAsia" w:ascii="仿宋" w:hAnsi="仿宋" w:eastAsia="仿宋" w:cs="仿宋"/>
                <w:sz w:val="24"/>
                <w:szCs w:val="24"/>
                <w:lang w:eastAsia="zh-CN"/>
              </w:rPr>
              <w:t>方案一般的，可操作性强，可行性高、合理的得</w:t>
            </w:r>
            <w:r>
              <w:rPr>
                <w:rFonts w:hint="eastAsia" w:ascii="仿宋" w:hAnsi="仿宋" w:eastAsia="仿宋" w:cs="仿宋"/>
                <w:sz w:val="24"/>
                <w:szCs w:val="24"/>
                <w:lang w:val="en-US" w:eastAsia="zh-CN"/>
              </w:rPr>
              <w:t>1-3分，方案差，且不满足采购需求的不得分。</w:t>
            </w:r>
          </w:p>
          <w:p>
            <w:pPr>
              <w:spacing w:before="0" w:beforeAutospacing="0" w:after="0" w:afterAutospacing="0" w:line="360" w:lineRule="auto"/>
              <w:ind w:left="0" w:right="0"/>
              <w:outlineLvl w:val="0"/>
              <w:rPr>
                <w:rFonts w:hint="eastAsia" w:ascii="仿宋" w:hAnsi="仿宋" w:eastAsia="仿宋" w:cs="仿宋"/>
                <w:sz w:val="24"/>
                <w:szCs w:val="24"/>
                <w:lang w:val="en-US" w:eastAsia="zh-CN"/>
              </w:rPr>
            </w:pPr>
          </w:p>
        </w:tc>
        <w:tc>
          <w:tcPr>
            <w:tcW w:w="884" w:type="dxa"/>
            <w:noWrap w:val="0"/>
            <w:vAlign w:val="center"/>
          </w:tcPr>
          <w:p>
            <w:pPr>
              <w:spacing w:before="0" w:beforeAutospacing="0" w:after="0" w:afterAutospacing="0" w:line="360" w:lineRule="auto"/>
              <w:ind w:left="0" w:right="0"/>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2" w:type="dxa"/>
            <w:noWrap w:val="0"/>
            <w:vAlign w:val="center"/>
          </w:tcPr>
          <w:p>
            <w:pPr>
              <w:spacing w:before="0" w:beforeAutospacing="0" w:after="0" w:afterAutospacing="0" w:line="360" w:lineRule="auto"/>
              <w:ind w:left="0" w:right="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8118" w:type="dxa"/>
            <w:noWrap w:val="0"/>
            <w:vAlign w:val="center"/>
          </w:tcPr>
          <w:p>
            <w:pPr>
              <w:spacing w:before="0" w:beforeAutospacing="0" w:after="0" w:afterAutospacing="0" w:line="360" w:lineRule="auto"/>
              <w:ind w:left="0" w:right="0"/>
              <w:outlineLvl w:val="0"/>
              <w:rPr>
                <w:rFonts w:hint="eastAsia" w:ascii="仿宋" w:hAnsi="仿宋" w:eastAsia="仿宋" w:cs="仿宋"/>
                <w:sz w:val="24"/>
                <w:szCs w:val="24"/>
                <w:lang w:eastAsia="zh-CN"/>
              </w:rPr>
            </w:pPr>
            <w:r>
              <w:rPr>
                <w:rFonts w:hint="eastAsia" w:ascii="仿宋" w:hAnsi="仿宋" w:eastAsia="仿宋" w:cs="仿宋"/>
                <w:sz w:val="24"/>
                <w:szCs w:val="24"/>
              </w:rPr>
              <w:t>各项检查制度；台帐管理；对突发事故、自然灾害的处理及配合重大活动的应急预案；能无条件完成各项文明创建活动中的突发性工作任务要求，承诺确保不失分</w:t>
            </w:r>
            <w:r>
              <w:rPr>
                <w:rFonts w:hint="eastAsia" w:ascii="仿宋" w:hAnsi="仿宋" w:eastAsia="仿宋" w:cs="仿宋"/>
                <w:sz w:val="24"/>
                <w:szCs w:val="24"/>
                <w:lang w:eastAsia="zh-CN"/>
              </w:rPr>
              <w:t>，方案好的，可操作性强，可行性高、合理的得</w:t>
            </w:r>
            <w:r>
              <w:rPr>
                <w:rFonts w:hint="eastAsia" w:ascii="仿宋" w:hAnsi="仿宋" w:eastAsia="仿宋" w:cs="仿宋"/>
                <w:sz w:val="24"/>
                <w:szCs w:val="24"/>
                <w:lang w:val="en-US" w:eastAsia="zh-CN"/>
              </w:rPr>
              <w:t>6-8分，</w:t>
            </w:r>
            <w:r>
              <w:rPr>
                <w:rFonts w:hint="eastAsia" w:ascii="仿宋" w:hAnsi="仿宋" w:eastAsia="仿宋" w:cs="仿宋"/>
                <w:sz w:val="24"/>
                <w:szCs w:val="24"/>
                <w:lang w:eastAsia="zh-CN"/>
              </w:rPr>
              <w:t>方案较好的，可操作性强，可行性高、合理的得</w:t>
            </w:r>
            <w:r>
              <w:rPr>
                <w:rFonts w:hint="eastAsia" w:ascii="仿宋" w:hAnsi="仿宋" w:eastAsia="仿宋" w:cs="仿宋"/>
                <w:sz w:val="24"/>
                <w:szCs w:val="24"/>
                <w:lang w:val="en-US" w:eastAsia="zh-CN"/>
              </w:rPr>
              <w:t>3-6分，</w:t>
            </w:r>
            <w:r>
              <w:rPr>
                <w:rFonts w:hint="eastAsia" w:ascii="仿宋" w:hAnsi="仿宋" w:eastAsia="仿宋" w:cs="仿宋"/>
                <w:sz w:val="24"/>
                <w:szCs w:val="24"/>
                <w:lang w:eastAsia="zh-CN"/>
              </w:rPr>
              <w:t>方案一般的，可操作性强，可行性高、合理的得</w:t>
            </w:r>
            <w:r>
              <w:rPr>
                <w:rFonts w:hint="eastAsia" w:ascii="仿宋" w:hAnsi="仿宋" w:eastAsia="仿宋" w:cs="仿宋"/>
                <w:sz w:val="24"/>
                <w:szCs w:val="24"/>
                <w:lang w:val="en-US" w:eastAsia="zh-CN"/>
              </w:rPr>
              <w:t>1-3分，方案差，且不满足采购需求的不得分。</w:t>
            </w:r>
          </w:p>
          <w:p>
            <w:pPr>
              <w:spacing w:before="0" w:beforeAutospacing="0" w:after="0" w:afterAutospacing="0" w:line="360" w:lineRule="auto"/>
              <w:ind w:left="0" w:right="0"/>
              <w:outlineLvl w:val="0"/>
              <w:rPr>
                <w:rFonts w:hint="eastAsia" w:ascii="仿宋" w:hAnsi="仿宋" w:eastAsia="仿宋" w:cs="仿宋"/>
                <w:sz w:val="24"/>
                <w:szCs w:val="24"/>
                <w:lang w:val="en-US" w:eastAsia="zh-CN"/>
              </w:rPr>
            </w:pPr>
          </w:p>
        </w:tc>
        <w:tc>
          <w:tcPr>
            <w:tcW w:w="884" w:type="dxa"/>
            <w:noWrap w:val="0"/>
            <w:vAlign w:val="center"/>
          </w:tcPr>
          <w:p>
            <w:pPr>
              <w:spacing w:before="0" w:beforeAutospacing="0" w:after="0" w:afterAutospacing="0" w:line="360" w:lineRule="auto"/>
              <w:ind w:left="0" w:right="0"/>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912" w:type="dxa"/>
            <w:noWrap w:val="0"/>
            <w:vAlign w:val="center"/>
          </w:tcPr>
          <w:p>
            <w:pPr>
              <w:spacing w:before="0" w:beforeAutospacing="0" w:after="0" w:afterAutospacing="0" w:line="360" w:lineRule="auto"/>
              <w:ind w:left="0" w:right="0"/>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8118" w:type="dxa"/>
            <w:noWrap w:val="0"/>
            <w:vAlign w:val="center"/>
          </w:tcPr>
          <w:p>
            <w:pPr>
              <w:spacing w:before="0" w:beforeAutospacing="0" w:after="0" w:afterAutospacing="0" w:line="360" w:lineRule="auto"/>
              <w:ind w:left="0" w:right="0"/>
              <w:outlineLvl w:val="0"/>
              <w:rPr>
                <w:rFonts w:hint="eastAsia" w:ascii="仿宋" w:hAnsi="仿宋" w:eastAsia="仿宋" w:cs="仿宋"/>
                <w:sz w:val="24"/>
                <w:szCs w:val="24"/>
                <w:lang w:val="en-US" w:eastAsia="zh-CN"/>
              </w:rPr>
            </w:pPr>
            <w:r>
              <w:rPr>
                <w:rFonts w:hint="eastAsia" w:ascii="仿宋" w:hAnsi="仿宋" w:eastAsia="仿宋" w:cs="仿宋"/>
                <w:sz w:val="24"/>
                <w:szCs w:val="24"/>
                <w:lang w:eastAsia="zh-CN"/>
              </w:rPr>
              <w:t>根据本项目采购需求和实际提出</w:t>
            </w:r>
            <w:r>
              <w:rPr>
                <w:rFonts w:hint="eastAsia" w:ascii="仿宋" w:hAnsi="仿宋" w:eastAsia="仿宋" w:cs="仿宋"/>
                <w:sz w:val="24"/>
                <w:szCs w:val="24"/>
              </w:rPr>
              <w:t>合理化、优化建议</w:t>
            </w:r>
            <w:r>
              <w:rPr>
                <w:rFonts w:hint="eastAsia" w:ascii="仿宋" w:hAnsi="仿宋" w:eastAsia="仿宋" w:cs="仿宋"/>
                <w:sz w:val="24"/>
                <w:szCs w:val="24"/>
                <w:lang w:eastAsia="zh-CN"/>
              </w:rPr>
              <w:t>，建议好的，可操作性强，可行性高、合理的得</w:t>
            </w:r>
            <w:r>
              <w:rPr>
                <w:rFonts w:hint="eastAsia" w:ascii="仿宋" w:hAnsi="仿宋" w:eastAsia="仿宋" w:cs="仿宋"/>
                <w:sz w:val="24"/>
                <w:szCs w:val="24"/>
                <w:lang w:val="en-US" w:eastAsia="zh-CN"/>
              </w:rPr>
              <w:t>6-8分，</w:t>
            </w:r>
            <w:r>
              <w:rPr>
                <w:rFonts w:hint="eastAsia" w:ascii="仿宋" w:hAnsi="仿宋" w:eastAsia="仿宋" w:cs="仿宋"/>
                <w:sz w:val="24"/>
                <w:szCs w:val="24"/>
                <w:lang w:eastAsia="zh-CN"/>
              </w:rPr>
              <w:t>建议较好的，可操作性强，可行性高、合理的得</w:t>
            </w:r>
            <w:r>
              <w:rPr>
                <w:rFonts w:hint="eastAsia" w:ascii="仿宋" w:hAnsi="仿宋" w:eastAsia="仿宋" w:cs="仿宋"/>
                <w:sz w:val="24"/>
                <w:szCs w:val="24"/>
                <w:lang w:val="en-US" w:eastAsia="zh-CN"/>
              </w:rPr>
              <w:t>3-6分，</w:t>
            </w:r>
            <w:r>
              <w:rPr>
                <w:rFonts w:hint="eastAsia" w:ascii="仿宋" w:hAnsi="仿宋" w:eastAsia="仿宋" w:cs="仿宋"/>
                <w:sz w:val="24"/>
                <w:szCs w:val="24"/>
                <w:lang w:eastAsia="zh-CN"/>
              </w:rPr>
              <w:t>建议一般的，可操作性强，可行性高、合理的得</w:t>
            </w:r>
            <w:r>
              <w:rPr>
                <w:rFonts w:hint="eastAsia" w:ascii="仿宋" w:hAnsi="仿宋" w:eastAsia="仿宋" w:cs="仿宋"/>
                <w:sz w:val="24"/>
                <w:szCs w:val="24"/>
                <w:lang w:val="en-US" w:eastAsia="zh-CN"/>
              </w:rPr>
              <w:t>1-3分，没有</w:t>
            </w:r>
            <w:r>
              <w:rPr>
                <w:rFonts w:hint="eastAsia" w:ascii="仿宋" w:hAnsi="仿宋" w:eastAsia="仿宋" w:cs="仿宋"/>
                <w:sz w:val="24"/>
                <w:szCs w:val="24"/>
                <w:lang w:eastAsia="zh-CN"/>
              </w:rPr>
              <w:t>建议</w:t>
            </w:r>
            <w:r>
              <w:rPr>
                <w:rFonts w:hint="eastAsia" w:ascii="仿宋" w:hAnsi="仿宋" w:eastAsia="仿宋" w:cs="仿宋"/>
                <w:sz w:val="24"/>
                <w:szCs w:val="24"/>
                <w:lang w:val="en-US" w:eastAsia="zh-CN"/>
              </w:rPr>
              <w:t>，且不满足采购需求的不得分。</w:t>
            </w:r>
          </w:p>
        </w:tc>
        <w:tc>
          <w:tcPr>
            <w:tcW w:w="884" w:type="dxa"/>
            <w:noWrap w:val="0"/>
            <w:vAlign w:val="center"/>
          </w:tcPr>
          <w:p>
            <w:pPr>
              <w:spacing w:before="0" w:beforeAutospacing="0" w:after="0" w:afterAutospacing="0" w:line="360" w:lineRule="auto"/>
              <w:ind w:left="0" w:right="0"/>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2" w:type="dxa"/>
            <w:noWrap w:val="0"/>
            <w:vAlign w:val="center"/>
          </w:tcPr>
          <w:p>
            <w:pPr>
              <w:numPr>
                <w:ilvl w:val="0"/>
                <w:numId w:val="0"/>
              </w:numPr>
              <w:spacing w:before="0" w:beforeAutospacing="0" w:after="0" w:afterAutospacing="0" w:line="360" w:lineRule="auto"/>
              <w:ind w:left="0" w:right="0" w:rightChars="0"/>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8118" w:type="dxa"/>
            <w:noWrap w:val="0"/>
            <w:vAlign w:val="top"/>
          </w:tcPr>
          <w:p>
            <w:pPr>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有效投标报价的最低价作为评标基准价，其最低报价为满分；按［投标报价得分=（评标基准价/投标报价）*10］的计算公式计算。</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sz w:val="24"/>
                <w:szCs w:val="24"/>
              </w:rPr>
            </w:pPr>
            <w:r>
              <w:rPr>
                <w:rFonts w:hint="eastAsia" w:ascii="仿宋" w:hAnsi="仿宋" w:eastAsia="仿宋" w:cs="仿宋"/>
                <w:sz w:val="24"/>
                <w:szCs w:val="24"/>
              </w:rPr>
              <w:t>评标过程中，不得去掉报价中的最高报价和最低报价。</w:t>
            </w:r>
          </w:p>
          <w:p>
            <w:pPr>
              <w:widowControl/>
              <w:shd w:val="clear" w:color="auto" w:fill="FFFFFF"/>
              <w:adjustRightInd/>
              <w:spacing w:before="0" w:beforeAutospacing="0" w:after="225" w:afterAutospacing="0" w:line="315" w:lineRule="atLeast"/>
              <w:ind w:left="0" w:leftChars="0" w:right="0" w:rightChars="0" w:firstLine="420" w:firstLineChars="0"/>
              <w:jc w:val="left"/>
              <w:rPr>
                <w:rFonts w:hint="eastAsia" w:ascii="仿宋" w:hAnsi="仿宋" w:eastAsia="仿宋" w:cs="仿宋"/>
                <w:sz w:val="24"/>
                <w:szCs w:val="24"/>
              </w:rPr>
            </w:pPr>
            <w:r>
              <w:rPr>
                <w:rFonts w:hint="eastAsia" w:ascii="仿宋" w:hAnsi="仿宋" w:eastAsia="仿宋" w:cs="仿宋"/>
                <w:sz w:val="24"/>
                <w:szCs w:val="24"/>
              </w:rPr>
              <w:t>因落实政府采购政策需要进行价格调整的，以调整后的价格计算评标基准价和投标报价。</w:t>
            </w:r>
          </w:p>
        </w:tc>
        <w:tc>
          <w:tcPr>
            <w:tcW w:w="884" w:type="dxa"/>
            <w:noWrap w:val="0"/>
            <w:vAlign w:val="center"/>
          </w:tcPr>
          <w:p>
            <w:pPr>
              <w:spacing w:before="0" w:beforeAutospacing="0" w:after="0" w:afterAutospacing="0" w:line="360" w:lineRule="auto"/>
              <w:ind w:left="0" w:leftChars="0" w:right="0" w:rightChars="0" w:firstLine="120" w:firstLineChars="50"/>
              <w:jc w:val="center"/>
              <w:outlineLvl w:val="0"/>
              <w:rPr>
                <w:rFonts w:hint="eastAsia" w:ascii="仿宋" w:hAnsi="仿宋" w:eastAsia="仿宋" w:cs="仿宋"/>
                <w:sz w:val="24"/>
                <w:szCs w:val="24"/>
              </w:rPr>
            </w:pPr>
            <w:r>
              <w:rPr>
                <w:rFonts w:hint="eastAsia" w:ascii="仿宋" w:hAnsi="仿宋" w:eastAsia="仿宋" w:cs="仿宋"/>
                <w:sz w:val="24"/>
                <w:szCs w:val="24"/>
              </w:rPr>
              <w:t>10</w:t>
            </w:r>
          </w:p>
        </w:tc>
      </w:tr>
    </w:tbl>
    <w:p>
      <w:pPr>
        <w:spacing w:before="0" w:beforeAutospacing="0" w:after="0" w:afterAutospacing="0" w:line="360" w:lineRule="auto"/>
        <w:ind w:right="0"/>
        <w:outlineLvl w:val="0"/>
        <w:rPr>
          <w:rFonts w:hint="eastAsia" w:ascii="仿宋" w:hAnsi="仿宋" w:eastAsia="仿宋" w:cs="仿宋"/>
          <w:i w:val="0"/>
          <w:iCs w:val="0"/>
          <w:color w:val="000000"/>
          <w:kern w:val="0"/>
          <w:sz w:val="24"/>
          <w:szCs w:val="24"/>
          <w:u w:val="none"/>
          <w:lang w:val="en-US" w:eastAsia="zh-CN" w:bidi="ar"/>
        </w:rPr>
      </w:pPr>
    </w:p>
    <w:p>
      <w:pPr>
        <w:snapToGrid w:val="0"/>
        <w:spacing w:line="360" w:lineRule="auto"/>
        <w:rPr>
          <w:rFonts w:ascii="仿宋" w:hAnsi="仿宋" w:eastAsia="仿宋" w:cs="仿宋_GB2312"/>
          <w:b/>
          <w:sz w:val="24"/>
        </w:rPr>
      </w:pPr>
      <w:r>
        <w:rPr>
          <w:rFonts w:hint="eastAsia" w:ascii="仿宋" w:hAnsi="仿宋" w:eastAsia="仿宋" w:cs="仿宋"/>
          <w:color w:val="auto"/>
          <w:sz w:val="20"/>
          <w:szCs w:val="20"/>
          <w:shd w:val="clear" w:color="auto" w:fill="FFFFFF"/>
        </w:rPr>
        <w:t> *</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90"/>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90"/>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90"/>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90"/>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90"/>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90"/>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90"/>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90"/>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none"/>
          <w:lang w:val="en-US" w:eastAsia="zh-CN"/>
        </w:rPr>
        <w:t>20</w:t>
      </w:r>
      <w:r>
        <w:rPr>
          <w:rFonts w:ascii="仿宋" w:hAnsi="仿宋" w:eastAsia="仿宋" w:cs="仿宋"/>
          <w:kern w:val="0"/>
          <w:szCs w:val="24"/>
          <w:highlight w:val="none"/>
        </w:rPr>
        <w:t>%的扣除，</w:t>
      </w:r>
      <w:r>
        <w:rPr>
          <w:rFonts w:ascii="仿宋" w:hAnsi="仿宋" w:eastAsia="仿宋" w:cs="仿宋"/>
          <w:kern w:val="0"/>
          <w:szCs w:val="24"/>
        </w:rPr>
        <w:t>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w:t>
      </w:r>
      <w:r>
        <w:rPr>
          <w:rFonts w:ascii="仿宋" w:hAnsi="仿宋" w:eastAsia="仿宋" w:cs="仿宋"/>
          <w:kern w:val="0"/>
          <w:szCs w:val="24"/>
          <w:highlight w:val="none"/>
        </w:rPr>
        <w:t>报价给予</w:t>
      </w:r>
      <w:r>
        <w:rPr>
          <w:rFonts w:hint="eastAsia" w:ascii="仿宋" w:hAnsi="仿宋" w:eastAsia="仿宋" w:cs="仿宋"/>
          <w:kern w:val="0"/>
          <w:szCs w:val="24"/>
          <w:highlight w:val="none"/>
          <w:lang w:val="en-US" w:eastAsia="zh-CN"/>
        </w:rPr>
        <w:t>6</w:t>
      </w:r>
      <w:r>
        <w:rPr>
          <w:rFonts w:ascii="仿宋" w:hAnsi="仿宋" w:eastAsia="仿宋" w:cs="仿宋"/>
          <w:kern w:val="0"/>
          <w:szCs w:val="24"/>
          <w:highlight w:val="none"/>
        </w:rPr>
        <w:t>%的扣除，用</w:t>
      </w:r>
      <w:r>
        <w:rPr>
          <w:rFonts w:ascii="仿宋" w:hAnsi="仿宋" w:eastAsia="仿宋" w:cs="仿宋"/>
          <w:kern w:val="0"/>
          <w:szCs w:val="24"/>
        </w:rPr>
        <w:t>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90"/>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lang w:val="en-US" w:eastAsia="zh-CN"/>
        </w:rPr>
        <w:t>未</w:t>
      </w:r>
      <w:r>
        <w:rPr>
          <w:rFonts w:ascii="仿宋_GB2312" w:hAnsi="仿宋" w:eastAsia="仿宋_GB2312" w:cs="Arial"/>
          <w:kern w:val="0"/>
          <w:sz w:val="24"/>
        </w:rPr>
        <w:t>在电子交易平台传输递交投标文件的，投标无效；</w:t>
      </w:r>
    </w:p>
    <w:p>
      <w:pPr>
        <w:pStyle w:val="9"/>
        <w:ind w:left="862" w:leftChars="205"/>
        <w:rPr>
          <w:rFonts w:cs="Arial"/>
          <w:b w:val="0"/>
          <w:bCs w:val="0"/>
          <w:kern w:val="0"/>
          <w:sz w:val="24"/>
          <w:szCs w:val="24"/>
          <w:highlight w:val="none"/>
          <w:lang w:val="en-US"/>
        </w:rPr>
      </w:pPr>
      <w:r>
        <w:rPr>
          <w:rFonts w:cs="Arial"/>
          <w:b w:val="0"/>
          <w:bCs w:val="0"/>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投标文件不满足招标文件的带“▲”</w:t>
      </w:r>
      <w:r>
        <w:rPr>
          <w:rFonts w:hint="eastAsia" w:cs="Arial"/>
          <w:b w:val="0"/>
          <w:bCs w:val="0"/>
          <w:kern w:val="0"/>
          <w:sz w:val="24"/>
          <w:szCs w:val="24"/>
          <w:highlight w:val="none"/>
          <w:lang w:val="en-US" w:eastAsia="zh-CN"/>
        </w:rPr>
        <w:t>号</w:t>
      </w:r>
      <w:r>
        <w:rPr>
          <w:rFonts w:hint="eastAsia" w:cs="Arial"/>
          <w:b w:val="0"/>
          <w:bCs w:val="0"/>
          <w:kern w:val="0"/>
          <w:sz w:val="24"/>
          <w:szCs w:val="24"/>
          <w:highlight w:val="none"/>
          <w:lang w:val="en-US"/>
        </w:rPr>
        <w:t>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4" w:name="第五部分"/>
      <w:bookmarkStart w:id="395" w:name="_Toc86217003"/>
    </w:p>
    <w:p>
      <w:pPr>
        <w:pStyle w:val="2"/>
        <w:rPr>
          <w:rFonts w:ascii="仿宋_GB2312" w:hAnsi="仿宋" w:eastAsia="仿宋_GB2312" w:cs="仿宋_GB2312"/>
          <w:b/>
          <w:sz w:val="36"/>
          <w:szCs w:val="36"/>
        </w:rPr>
      </w:pPr>
    </w:p>
    <w:p>
      <w:pPr>
        <w:pStyle w:val="3"/>
        <w:rPr>
          <w:rFonts w:ascii="仿宋_GB2312" w:hAnsi="仿宋" w:eastAsia="仿宋_GB2312" w:cs="仿宋_GB2312"/>
          <w:b/>
          <w:sz w:val="36"/>
          <w:szCs w:val="36"/>
        </w:rPr>
      </w:pPr>
    </w:p>
    <w:p>
      <w:pPr>
        <w:pStyle w:val="3"/>
        <w:rPr>
          <w:rFonts w:ascii="仿宋_GB2312" w:hAnsi="仿宋" w:eastAsia="仿宋_GB2312" w:cs="仿宋_GB2312"/>
          <w:b/>
          <w:sz w:val="36"/>
          <w:szCs w:val="36"/>
        </w:rPr>
      </w:pPr>
    </w:p>
    <w:p>
      <w:pPr>
        <w:spacing w:line="360" w:lineRule="auto"/>
        <w:ind w:left="720" w:leftChars="343" w:firstLine="1084" w:firstLineChars="300"/>
        <w:outlineLvl w:val="0"/>
        <w:rPr>
          <w:rFonts w:hint="eastAsia"/>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p>
    <w:p>
      <w:pPr>
        <w:pStyle w:val="4"/>
        <w:rPr>
          <w:rFonts w:ascii="仿宋" w:hAnsi="仿宋" w:eastAsia="仿宋"/>
          <w:szCs w:val="24"/>
        </w:rPr>
      </w:pPr>
    </w:p>
    <w:p>
      <w:pPr>
        <w:pStyle w:val="4"/>
        <w:jc w:val="center"/>
        <w:rPr>
          <w:rFonts w:ascii="仿宋" w:hAnsi="仿宋" w:eastAsia="仿宋"/>
          <w:szCs w:val="24"/>
        </w:rPr>
      </w:pPr>
    </w:p>
    <w:p>
      <w:pPr>
        <w:pStyle w:val="4"/>
        <w:rPr>
          <w:rFonts w:ascii="仿宋" w:hAnsi="仿宋" w:eastAsia="仿宋"/>
          <w:szCs w:val="24"/>
        </w:rPr>
      </w:pPr>
    </w:p>
    <w:p>
      <w:pPr>
        <w:pStyle w:val="4"/>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lang w:eastAsia="zh-CN"/>
        </w:rPr>
        <w:t>项目名称</w:t>
      </w:r>
      <w:r>
        <w:rPr>
          <w:rFonts w:hint="eastAsia" w:ascii="仿宋" w:hAnsi="仿宋" w:eastAsia="仿宋"/>
          <w:sz w:val="24"/>
        </w:rPr>
        <w:t>：</w:t>
      </w:r>
      <w:r>
        <w:rPr>
          <w:rFonts w:ascii="仿宋" w:hAnsi="仿宋" w:eastAsia="仿宋"/>
          <w:sz w:val="24"/>
          <w:u w:val="single"/>
        </w:rPr>
        <w:t xml:space="preserve">                                   </w:t>
      </w:r>
    </w:p>
    <w:p>
      <w:pPr>
        <w:pStyle w:val="287"/>
        <w:spacing w:before="120" w:line="22" w:lineRule="atLeast"/>
        <w:rPr>
          <w:rFonts w:ascii="仿宋" w:hAnsi="仿宋" w:eastAsia="仿宋"/>
          <w:szCs w:val="24"/>
        </w:rPr>
      </w:pPr>
    </w:p>
    <w:p>
      <w:pPr>
        <w:pStyle w:val="287"/>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headerReference r:id="rId8" w:type="default"/>
          <w:footerReference r:id="rId9" w:type="default"/>
          <w:pgSz w:w="11907" w:h="16840"/>
          <w:pgMar w:top="1134" w:right="1134" w:bottom="1134" w:left="1814" w:header="851" w:footer="851" w:gutter="0"/>
          <w:pgNumType w:fmt="decimal"/>
          <w:cols w:space="720" w:num="1"/>
        </w:sectPr>
      </w:pPr>
    </w:p>
    <w:p>
      <w:pPr>
        <w:pStyle w:val="38"/>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pPr>
        <w:pStyle w:val="38"/>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pPr>
        <w:pStyle w:val="38"/>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eastAsia="zh-CN"/>
        </w:rPr>
        <w:t>JYCG-2022-053</w:t>
      </w:r>
      <w:r>
        <w:rPr>
          <w:rFonts w:hint="eastAsia" w:ascii="宋体" w:hAnsi="宋体" w:eastAsia="宋体" w:cs="宋体"/>
          <w:b/>
          <w:bCs/>
          <w:color w:val="auto"/>
          <w:sz w:val="24"/>
          <w:szCs w:val="24"/>
          <w:highlight w:val="none"/>
        </w:rPr>
        <w:t xml:space="preserve">   ）公开招标的结果，签署本合同。</w:t>
      </w:r>
    </w:p>
    <w:p>
      <w:pPr>
        <w:spacing w:line="560" w:lineRule="exact"/>
        <w:ind w:firstLine="482" w:firstLineChars="200"/>
        <w:outlineLvl w:val="0"/>
        <w:rPr>
          <w:rFonts w:ascii="宋体" w:hAnsi="宋体" w:eastAsia="宋体"/>
          <w:b/>
          <w:sz w:val="24"/>
        </w:rPr>
      </w:pPr>
      <w:bookmarkStart w:id="396" w:name="_Toc22185"/>
      <w:bookmarkStart w:id="397" w:name="_Toc6773"/>
      <w:bookmarkStart w:id="398" w:name="_Toc2918"/>
      <w:bookmarkStart w:id="399" w:name="_Toc18585"/>
      <w:bookmarkStart w:id="400" w:name="_Toc6311"/>
      <w:r>
        <w:rPr>
          <w:rFonts w:ascii="宋体" w:hAnsi="宋体" w:eastAsia="宋体"/>
          <w:b/>
          <w:sz w:val="24"/>
        </w:rPr>
        <w:t>1</w:t>
      </w:r>
      <w:r>
        <w:rPr>
          <w:rFonts w:hint="eastAsia" w:ascii="宋体" w:hAnsi="宋体"/>
          <w:b/>
          <w:sz w:val="24"/>
          <w:lang w:eastAsia="zh-CN"/>
        </w:rPr>
        <w:t>、</w:t>
      </w:r>
      <w:r>
        <w:rPr>
          <w:rFonts w:hint="eastAsia" w:ascii="宋体" w:hAnsi="宋体" w:eastAsia="宋体"/>
          <w:b/>
          <w:sz w:val="24"/>
        </w:rPr>
        <w:t>标的</w:t>
      </w:r>
      <w:bookmarkEnd w:id="396"/>
      <w:bookmarkEnd w:id="397"/>
      <w:bookmarkEnd w:id="398"/>
      <w:bookmarkEnd w:id="399"/>
      <w:bookmarkEnd w:id="400"/>
    </w:p>
    <w:p>
      <w:pPr>
        <w:spacing w:line="560" w:lineRule="exact"/>
        <w:ind w:firstLine="480" w:firstLineChars="200"/>
        <w:rPr>
          <w:rFonts w:ascii="宋体" w:hAnsi="宋体" w:eastAsia="宋体"/>
          <w:sz w:val="24"/>
          <w:u w:val="single"/>
        </w:rPr>
      </w:pPr>
      <w:r>
        <w:rPr>
          <w:rFonts w:ascii="宋体" w:hAnsi="宋体" w:eastAsia="宋体"/>
          <w:sz w:val="24"/>
        </w:rPr>
        <w:t>1.</w:t>
      </w:r>
      <w:r>
        <w:rPr>
          <w:rFonts w:hint="eastAsia" w:ascii="宋体" w:hAnsi="宋体"/>
          <w:sz w:val="24"/>
          <w:lang w:val="en-US" w:eastAsia="zh-CN"/>
        </w:rPr>
        <w:t>1</w:t>
      </w:r>
      <w:r>
        <w:rPr>
          <w:rFonts w:hint="eastAsia" w:ascii="宋体" w:hAnsi="宋体" w:eastAsia="宋体"/>
          <w:sz w:val="24"/>
        </w:rPr>
        <w:t>标的</w:t>
      </w:r>
      <w:r>
        <w:rPr>
          <w:rFonts w:ascii="宋体" w:hAnsi="宋体" w:eastAsia="宋体"/>
          <w:sz w:val="24"/>
        </w:rPr>
        <w:t>名称：</w:t>
      </w:r>
      <w:r>
        <w:rPr>
          <w:rFonts w:ascii="宋体" w:hAnsi="宋体" w:eastAsia="宋体"/>
          <w:sz w:val="24"/>
          <w:u w:val="single"/>
        </w:rPr>
        <w:t xml:space="preserve">                                                </w:t>
      </w:r>
      <w:r>
        <w:rPr>
          <w:rFonts w:hint="eastAsia" w:ascii="宋体" w:hAnsi="宋体" w:eastAsia="宋体"/>
          <w:sz w:val="24"/>
        </w:rPr>
        <w:t>；</w:t>
      </w:r>
    </w:p>
    <w:p>
      <w:pPr>
        <w:spacing w:line="560" w:lineRule="exact"/>
        <w:ind w:firstLine="480" w:firstLineChars="200"/>
        <w:rPr>
          <w:rFonts w:ascii="宋体" w:hAnsi="宋体" w:eastAsia="宋体"/>
          <w:sz w:val="24"/>
          <w:u w:val="single"/>
        </w:rPr>
      </w:pPr>
      <w:r>
        <w:rPr>
          <w:rFonts w:ascii="宋体" w:hAnsi="宋体" w:eastAsia="宋体"/>
          <w:sz w:val="24"/>
        </w:rPr>
        <w:t>1.2</w:t>
      </w:r>
      <w:r>
        <w:rPr>
          <w:rFonts w:hint="eastAsia" w:ascii="宋体" w:hAnsi="宋体" w:eastAsia="宋体"/>
          <w:sz w:val="24"/>
        </w:rPr>
        <w:t>标的</w:t>
      </w:r>
      <w:r>
        <w:rPr>
          <w:rFonts w:ascii="宋体" w:hAnsi="宋体" w:eastAsia="宋体"/>
          <w:sz w:val="24"/>
        </w:rPr>
        <w:t>数量：</w:t>
      </w:r>
      <w:r>
        <w:rPr>
          <w:rFonts w:ascii="宋体" w:hAnsi="宋体" w:eastAsia="宋体"/>
          <w:sz w:val="24"/>
          <w:u w:val="single"/>
        </w:rPr>
        <w:t xml:space="preserve">                                                </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1.3 </w:t>
      </w:r>
      <w:r>
        <w:rPr>
          <w:rFonts w:hint="eastAsia" w:ascii="宋体" w:hAnsi="宋体" w:eastAsia="宋体"/>
          <w:sz w:val="24"/>
        </w:rPr>
        <w:t>标的质量：</w:t>
      </w:r>
      <w:r>
        <w:rPr>
          <w:rFonts w:ascii="宋体" w:hAnsi="宋体" w:eastAsia="宋体"/>
          <w:sz w:val="24"/>
          <w:u w:val="single"/>
        </w:rPr>
        <w:t xml:space="preserve">　　　　　　　　　                      　      </w:t>
      </w:r>
      <w:r>
        <w:rPr>
          <w:rFonts w:hint="eastAsia" w:ascii="宋体" w:hAnsi="宋体" w:eastAsia="宋体"/>
          <w:sz w:val="24"/>
        </w:rPr>
        <w:t>。</w:t>
      </w:r>
    </w:p>
    <w:p>
      <w:pPr>
        <w:pStyle w:val="38"/>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pPr>
        <w:pStyle w:val="38"/>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sz w:val="24"/>
          <w:highlight w:val="none"/>
          <w:lang w:val="en-US" w:eastAsia="zh-CN"/>
        </w:rPr>
        <w:t>2、</w:t>
      </w:r>
      <w:r>
        <w:rPr>
          <w:rFonts w:hint="eastAsia" w:ascii="仿宋" w:hAnsi="仿宋" w:eastAsia="仿宋"/>
          <w:b/>
          <w:sz w:val="24"/>
          <w:highlight w:val="none"/>
        </w:rPr>
        <w:t>价款</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本合同总价为：￥</w:t>
      </w:r>
      <w:r>
        <w:rPr>
          <w:rFonts w:ascii="仿宋" w:hAnsi="仿宋" w:eastAsia="仿宋"/>
          <w:sz w:val="24"/>
          <w:highlight w:val="none"/>
          <w:u w:val="single"/>
        </w:rPr>
        <w:t xml:space="preserve">           </w:t>
      </w:r>
      <w:r>
        <w:rPr>
          <w:rFonts w:hint="eastAsia" w:ascii="仿宋" w:hAnsi="仿宋" w:eastAsia="仿宋"/>
          <w:sz w:val="24"/>
          <w:highlight w:val="none"/>
        </w:rPr>
        <w:t>元（大写：</w:t>
      </w:r>
      <w:r>
        <w:rPr>
          <w:rFonts w:ascii="仿宋" w:hAnsi="仿宋" w:eastAsia="仿宋"/>
          <w:sz w:val="24"/>
          <w:highlight w:val="none"/>
          <w:u w:val="single"/>
        </w:rPr>
        <w:t xml:space="preserve">                 </w:t>
      </w:r>
      <w:r>
        <w:rPr>
          <w:rFonts w:hint="eastAsia" w:ascii="仿宋" w:hAnsi="仿宋" w:eastAsia="仿宋"/>
          <w:sz w:val="24"/>
          <w:highlight w:val="none"/>
        </w:rPr>
        <w:t>元人民币）。</w:t>
      </w:r>
    </w:p>
    <w:p>
      <w:pPr>
        <w:spacing w:line="560" w:lineRule="exact"/>
        <w:ind w:firstLine="480" w:firstLineChars="200"/>
        <w:rPr>
          <w:rFonts w:ascii="仿宋" w:hAnsi="仿宋" w:eastAsia="仿宋"/>
          <w:sz w:val="24"/>
          <w:highlight w:val="none"/>
          <w:u w:val="single"/>
        </w:rPr>
      </w:pPr>
      <w:r>
        <w:rPr>
          <w:rFonts w:hint="eastAsia" w:ascii="仿宋" w:hAnsi="仿宋" w:eastAsia="仿宋"/>
          <w:sz w:val="24"/>
          <w:highlight w:val="none"/>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10"/>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bl>
    <w:p>
      <w:pPr>
        <w:spacing w:line="360" w:lineRule="auto"/>
        <w:ind w:firstLine="480" w:firstLineChars="200"/>
        <w:rPr>
          <w:rFonts w:hint="eastAsia" w:ascii="仿宋" w:hAnsi="仿宋" w:eastAsia="仿宋" w:cs="Times New Roman"/>
          <w:kern w:val="0"/>
          <w:sz w:val="24"/>
          <w:szCs w:val="20"/>
        </w:rPr>
      </w:pPr>
    </w:p>
    <w:p>
      <w:pPr>
        <w:pStyle w:val="38"/>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8"/>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pPr>
        <w:pStyle w:val="620"/>
        <w:spacing w:before="0" w:beforeAutospacing="0" w:after="0" w:afterAutospacing="0" w:line="360" w:lineRule="auto"/>
        <w:ind w:firstLine="420"/>
        <w:rPr>
          <w:rFonts w:ascii="仿宋" w:hAnsi="仿宋" w:eastAsia="仿宋"/>
        </w:rPr>
      </w:pPr>
      <w:r>
        <w:rPr>
          <w:rFonts w:hint="eastAsia" w:ascii="仿宋" w:hAnsi="仿宋" w:eastAsia="仿宋"/>
          <w:lang w:val="en-US" w:eastAsia="zh-CN"/>
        </w:rPr>
        <w:t xml:space="preserve"> 5.</w:t>
      </w:r>
      <w:r>
        <w:rPr>
          <w:rFonts w:ascii="仿宋" w:hAnsi="仿宋" w:eastAsia="仿宋"/>
        </w:rPr>
        <w:t xml:space="preserve">1 </w:t>
      </w:r>
      <w:r>
        <w:rPr>
          <w:rFonts w:hint="eastAsia" w:ascii="仿宋" w:hAnsi="仿宋" w:eastAsia="仿宋"/>
        </w:rPr>
        <w:t>采购文件要求乙方提交履约保证金的，乙方应按</w:t>
      </w:r>
      <w:r>
        <w:rPr>
          <w:rFonts w:hint="eastAsia" w:ascii="仿宋" w:hAnsi="仿宋" w:eastAsia="仿宋"/>
          <w:u w:val="single"/>
          <w:lang w:val="en-US" w:eastAsia="zh-CN"/>
        </w:rPr>
        <w:t xml:space="preserve">               </w:t>
      </w:r>
      <w:r>
        <w:rPr>
          <w:rFonts w:hint="eastAsia" w:ascii="仿宋" w:hAnsi="仿宋" w:eastAsia="仿宋"/>
        </w:rPr>
        <w:t>的方式，以支票、汇票、本票或者金融机构、担保机构出具的保函等非现金形式，提交不超过合</w:t>
      </w:r>
      <w:r>
        <w:rPr>
          <w:rFonts w:hint="eastAsia" w:ascii="仿宋" w:hAnsi="仿宋" w:eastAsia="仿宋"/>
          <w:highlight w:val="none"/>
        </w:rPr>
        <w:t>同金额</w:t>
      </w:r>
      <w:r>
        <w:rPr>
          <w:rFonts w:hint="eastAsia" w:ascii="仿宋" w:hAnsi="仿宋" w:eastAsia="仿宋"/>
          <w:highlight w:val="none"/>
          <w:lang w:val="en-US" w:eastAsia="zh-CN"/>
        </w:rPr>
        <w:t>1</w:t>
      </w:r>
      <w:r>
        <w:rPr>
          <w:rFonts w:ascii="仿宋" w:hAnsi="仿宋" w:eastAsia="仿宋"/>
          <w:highlight w:val="none"/>
        </w:rPr>
        <w:t>%的履约保</w:t>
      </w:r>
      <w:r>
        <w:rPr>
          <w:rFonts w:ascii="仿宋" w:hAnsi="仿宋" w:eastAsia="仿宋"/>
        </w:rPr>
        <w:t>证金；鼓励和支持乙方以银行、保险公司出具的保函形式提供履约保证。</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xml:space="preserve">.2  </w:t>
      </w:r>
      <w:r>
        <w:rPr>
          <w:rFonts w:hint="eastAsia" w:ascii="仿宋" w:hAnsi="仿宋" w:eastAsia="仿宋"/>
          <w:sz w:val="24"/>
        </w:rPr>
        <w:t>履约保证金在</w:t>
      </w:r>
      <w:r>
        <w:rPr>
          <w:rFonts w:hint="eastAsia" w:ascii="仿宋" w:hAnsi="仿宋" w:eastAsia="仿宋"/>
          <w:sz w:val="24"/>
          <w:u w:val="single"/>
          <w:lang w:val="en-US" w:eastAsia="zh-CN"/>
        </w:rPr>
        <w:t xml:space="preserve">                     </w:t>
      </w:r>
      <w:r>
        <w:rPr>
          <w:rFonts w:hint="eastAsia" w:ascii="仿宋" w:hAnsi="仿宋" w:eastAsia="仿宋"/>
          <w:sz w:val="24"/>
        </w:rPr>
        <w:t>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w:t>
      </w:r>
      <w:r>
        <w:rPr>
          <w:rFonts w:hint="eastAsia" w:ascii="仿宋" w:hAnsi="仿宋" w:eastAsia="仿宋"/>
          <w:sz w:val="24"/>
          <w:lang w:val="en-US" w:eastAsia="zh-CN"/>
        </w:rPr>
        <w:t>以</w:t>
      </w:r>
      <w:r>
        <w:rPr>
          <w:rFonts w:hint="eastAsia" w:ascii="仿宋" w:hAnsi="仿宋" w:eastAsia="仿宋"/>
          <w:sz w:val="24"/>
          <w:u w:val="single"/>
          <w:lang w:val="en-US" w:eastAsia="zh-CN"/>
        </w:rPr>
        <w:t xml:space="preserve">                      </w:t>
      </w:r>
      <w:r>
        <w:rPr>
          <w:rFonts w:hint="eastAsia" w:ascii="仿宋" w:hAnsi="仿宋" w:eastAsia="仿宋"/>
          <w:sz w:val="24"/>
        </w:rPr>
        <w:t>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xml:space="preserve">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pPr>
      <w:r>
        <w:rPr>
          <w:rFonts w:hint="eastAsia" w:ascii="仿宋" w:hAnsi="仿宋" w:eastAsia="仿宋"/>
          <w:sz w:val="24"/>
          <w:lang w:val="en-US" w:eastAsia="zh-CN"/>
        </w:rPr>
        <w:t>5</w:t>
      </w:r>
      <w:r>
        <w:rPr>
          <w:rFonts w:ascii="仿宋" w:hAnsi="仿宋" w:eastAsia="仿宋"/>
          <w:sz w:val="24"/>
        </w:rPr>
        <w:t>.</w:t>
      </w:r>
      <w:r>
        <w:rPr>
          <w:rFonts w:hint="eastAsia" w:ascii="仿宋" w:hAnsi="仿宋" w:eastAsia="仿宋"/>
          <w:sz w:val="24"/>
          <w:lang w:val="en-US" w:eastAsia="zh-CN"/>
        </w:rPr>
        <w:t>4</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5.5</w:t>
      </w:r>
      <w:r>
        <w:rPr>
          <w:rFonts w:ascii="仿宋" w:hAnsi="仿宋" w:eastAsia="仿宋"/>
          <w:sz w:val="24"/>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.履行期限、地点和方式</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1 履行期限：</w:t>
      </w:r>
      <w:r>
        <w:rPr>
          <w:rFonts w:hint="eastAsia" w:ascii="宋体" w:hAnsi="宋体" w:eastAsia="宋体" w:cs="宋体"/>
          <w:color w:val="auto"/>
          <w:sz w:val="24"/>
          <w:highlight w:val="none"/>
          <w:u w:val="single" w:color="auto"/>
        </w:rPr>
        <w:t>合同期限为</w:t>
      </w:r>
      <w:r>
        <w:rPr>
          <w:rFonts w:hint="eastAsia" w:ascii="宋体" w:hAnsi="宋体" w:eastAsia="宋体" w:cs="宋体"/>
          <w:color w:val="auto"/>
          <w:sz w:val="24"/>
          <w:highlight w:val="none"/>
          <w:u w:val="single" w:color="auto"/>
          <w:lang w:val="en-US" w:eastAsia="zh-CN"/>
        </w:rPr>
        <w:t>签订合同之日起至20年</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月</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日</w:t>
      </w:r>
      <w:r>
        <w:rPr>
          <w:rFonts w:hint="eastAsia" w:ascii="宋体" w:hAnsi="宋体" w:eastAsia="宋体" w:cs="宋体"/>
          <w:color w:val="auto"/>
          <w:sz w:val="24"/>
          <w:highlight w:val="none"/>
          <w:u w:val="single" w:color="auto"/>
        </w:rPr>
        <w:t>。合同期满后，乙方根据甲方需求另行签订补充服务协议；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2 履行地点：</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3 履行方式：</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spacing w:line="360" w:lineRule="auto"/>
        <w:ind w:firstLine="482" w:firstLineChars="200"/>
        <w:outlineLvl w:val="0"/>
        <w:rPr>
          <w:rFonts w:ascii="仿宋" w:hAnsi="仿宋" w:eastAsia="仿宋"/>
          <w:b/>
          <w:sz w:val="24"/>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sz w:val="24"/>
          <w:highlight w:val="none"/>
        </w:rPr>
        <w:t>付款方式、时间和条件</w:t>
      </w:r>
    </w:p>
    <w:p>
      <w:pPr>
        <w:pStyle w:val="620"/>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9.</w:t>
      </w:r>
      <w:r>
        <w:rPr>
          <w:rFonts w:ascii="仿宋" w:hAnsi="仿宋" w:eastAsia="仿宋" w:cs="Times New Roman"/>
        </w:rPr>
        <w:t>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.2甲方在政府采购合同中约定预付款，预付款比例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%。甲方可以根据项目特点、乙方信用等实际情况提高预付款比例，最高预付比例可以达到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sz w:val="24"/>
          <w:highlight w:val="none"/>
        </w:rPr>
      </w:pPr>
      <w:r>
        <w:rPr>
          <w:rFonts w:hint="eastAsia" w:ascii="仿宋" w:hAnsi="仿宋" w:eastAsia="仿宋"/>
          <w:sz w:val="24"/>
          <w:lang w:val="en-US" w:eastAsia="zh-CN"/>
        </w:rPr>
        <w:t>9</w:t>
      </w:r>
      <w:r>
        <w:rPr>
          <w:rFonts w:ascii="仿宋" w:hAnsi="仿宋" w:eastAsia="仿宋"/>
          <w:sz w:val="24"/>
        </w:rPr>
        <w:t>.3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w:t>
      </w:r>
      <w:r>
        <w:rPr>
          <w:rFonts w:hint="eastAsia" w:ascii="仿宋" w:hAnsi="仿宋" w:eastAsia="仿宋"/>
          <w:sz w:val="24"/>
          <w:highlight w:val="none"/>
        </w:rPr>
        <w:t>五支付逾期利息。</w:t>
      </w:r>
    </w:p>
    <w:p>
      <w:pPr>
        <w:spacing w:line="360" w:lineRule="auto"/>
        <w:ind w:firstLine="480" w:firstLineChars="200"/>
        <w:outlineLvl w:val="0"/>
        <w:rPr>
          <w:rFonts w:ascii="仿宋" w:hAnsi="仿宋" w:eastAsia="仿宋"/>
          <w:sz w:val="24"/>
          <w:highlight w:val="none"/>
        </w:rPr>
      </w:pPr>
      <w:r>
        <w:rPr>
          <w:rFonts w:hint="eastAsia" w:ascii="仿宋" w:hAnsi="仿宋" w:eastAsia="仿宋"/>
          <w:sz w:val="24"/>
          <w:highlight w:val="none"/>
          <w:lang w:val="en-US" w:eastAsia="zh-CN"/>
        </w:rPr>
        <w:t>9</w:t>
      </w:r>
      <w:r>
        <w:rPr>
          <w:rFonts w:ascii="仿宋" w:hAnsi="仿宋" w:eastAsia="仿宋"/>
          <w:sz w:val="24"/>
          <w:highlight w:val="none"/>
        </w:rPr>
        <w:t>.4资金支付的方式、时间和条</w:t>
      </w:r>
      <w:r>
        <w:rPr>
          <w:rFonts w:hint="eastAsia" w:ascii="仿宋" w:hAnsi="仿宋" w:eastAsia="仿宋"/>
          <w:sz w:val="24"/>
          <w:highlight w:val="none"/>
          <w:lang w:val="en-US" w:eastAsia="zh-CN"/>
        </w:rPr>
        <w:t>件：</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spacing w:line="360" w:lineRule="auto"/>
        <w:ind w:firstLine="480" w:firstLineChars="200"/>
        <w:outlineLvl w:val="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sz w:val="24"/>
          <w:highlight w:val="none"/>
          <w:lang w:val="en-US" w:eastAsia="zh-CN"/>
        </w:rPr>
        <w:t>13.1</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pPr>
      <w:r>
        <w:rPr>
          <w:rFonts w:hint="eastAsia" w:ascii="仿宋" w:hAnsi="仿宋" w:eastAsia="仿宋"/>
          <w:sz w:val="24"/>
          <w:lang w:val="en-US" w:eastAsia="zh-CN"/>
        </w:rPr>
        <w:t>14</w:t>
      </w:r>
      <w:r>
        <w:rPr>
          <w:rFonts w:hint="eastAsia" w:ascii="仿宋" w:hAnsi="仿宋" w:eastAsia="仿宋"/>
          <w:sz w:val="24"/>
        </w:rPr>
        <w:t>.7违约责任</w:t>
      </w:r>
      <w:r>
        <w:rPr>
          <w:rFonts w:hint="eastAsia" w:ascii="仿宋" w:hAnsi="仿宋" w:eastAsia="仿宋"/>
          <w:sz w:val="24"/>
          <w:lang w:val="en-US" w:eastAsia="zh-CN"/>
        </w:rPr>
        <w:t>采购人</w:t>
      </w:r>
      <w:r>
        <w:rPr>
          <w:rFonts w:hint="eastAsia" w:ascii="仿宋" w:hAnsi="仿宋" w:eastAsia="仿宋"/>
          <w:sz w:val="24"/>
        </w:rPr>
        <w:t>另有约定的</w:t>
      </w:r>
      <w:r>
        <w:rPr>
          <w:rFonts w:hint="eastAsia" w:ascii="仿宋" w:hAnsi="仿宋" w:eastAsia="仿宋"/>
          <w:sz w:val="24"/>
          <w:lang w:eastAsia="zh-CN"/>
        </w:rPr>
        <w:t>：</w:t>
      </w:r>
      <w:r>
        <w:rPr>
          <w:rFonts w:hint="eastAsia" w:ascii="仿宋" w:hAnsi="仿宋" w:eastAsia="仿宋"/>
          <w:sz w:val="24"/>
          <w:highlight w:val="none"/>
          <w:u w:val="single" w:color="auto"/>
          <w:lang w:val="en-US" w:eastAsia="zh-CN"/>
        </w:rPr>
        <w:t xml:space="preserve">                         </w:t>
      </w:r>
      <w:r>
        <w:rPr>
          <w:rFonts w:hint="eastAsia" w:ascii="仿宋" w:hAnsi="仿宋" w:eastAsia="仿宋"/>
          <w:sz w:val="24"/>
        </w:rPr>
        <w:t>从其约定。</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15.</w:t>
      </w:r>
      <w:r>
        <w:rPr>
          <w:rFonts w:hint="eastAsia" w:ascii="仿宋" w:hAnsi="仿宋" w:eastAsia="仿宋" w:cs="仿宋"/>
          <w:b/>
          <w:bCs/>
          <w:sz w:val="24"/>
        </w:rPr>
        <w:t>不可抗力事件处理</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15.1</w:t>
      </w:r>
      <w:r>
        <w:rPr>
          <w:rFonts w:hint="eastAsia" w:ascii="仿宋" w:hAnsi="仿宋" w:eastAsia="仿宋" w:cs="仿宋"/>
          <w:sz w:val="24"/>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15.2</w:t>
      </w:r>
      <w:r>
        <w:rPr>
          <w:rFonts w:hint="eastAsia" w:ascii="仿宋" w:hAnsi="仿宋" w:eastAsia="仿宋" w:cs="仿宋"/>
          <w:sz w:val="24"/>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15.3</w:t>
      </w:r>
      <w:r>
        <w:rPr>
          <w:rFonts w:hint="eastAsia" w:ascii="仿宋" w:hAnsi="仿宋" w:eastAsia="仿宋" w:cs="仿宋"/>
          <w:sz w:val="24"/>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16.</w:t>
      </w:r>
      <w:r>
        <w:rPr>
          <w:rFonts w:hint="eastAsia" w:ascii="仿宋" w:hAnsi="仿宋" w:eastAsia="仿宋" w:cs="仿宋"/>
          <w:b/>
          <w:bCs/>
          <w:sz w:val="24"/>
        </w:rPr>
        <w:t>诉讼</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17.</w:t>
      </w:r>
      <w:r>
        <w:rPr>
          <w:rFonts w:hint="eastAsia" w:ascii="仿宋" w:hAnsi="仿宋" w:eastAsia="仿宋" w:cs="仿宋"/>
          <w:b/>
          <w:bCs/>
          <w:sz w:val="24"/>
        </w:rPr>
        <w:t>合同生效及其它</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17.1</w:t>
      </w:r>
      <w:r>
        <w:rPr>
          <w:rFonts w:hint="eastAsia" w:ascii="仿宋" w:hAnsi="仿宋" w:eastAsia="仿宋" w:cs="仿宋"/>
          <w:sz w:val="24"/>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17.2</w:t>
      </w:r>
      <w:r>
        <w:rPr>
          <w:rFonts w:hint="eastAsia" w:ascii="仿宋" w:hAnsi="仿宋" w:eastAsia="仿宋" w:cs="仿宋"/>
          <w:sz w:val="24"/>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17.3</w:t>
      </w:r>
      <w:r>
        <w:rPr>
          <w:rFonts w:hint="eastAsia" w:ascii="仿宋" w:hAnsi="仿宋" w:eastAsia="仿宋" w:cs="仿宋"/>
          <w:sz w:val="24"/>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sz w:val="24"/>
          <w:highlight w:val="none"/>
        </w:rPr>
      </w:pPr>
      <w:r>
        <w:rPr>
          <w:rFonts w:hint="eastAsia" w:ascii="仿宋" w:hAnsi="仿宋" w:eastAsia="仿宋" w:cs="仿宋"/>
          <w:sz w:val="24"/>
          <w:lang w:val="en-US" w:eastAsia="zh-CN"/>
        </w:rPr>
        <w:t xml:space="preserve">    </w:t>
      </w:r>
      <w:r>
        <w:rPr>
          <w:rFonts w:hint="eastAsia" w:ascii="仿宋" w:hAnsi="仿宋" w:eastAsia="仿宋" w:cs="仿宋"/>
          <w:b/>
          <w:bCs/>
          <w:sz w:val="24"/>
          <w:lang w:eastAsia="zh-CN"/>
        </w:rPr>
        <w:t>1</w:t>
      </w:r>
      <w:r>
        <w:rPr>
          <w:rFonts w:hint="eastAsia" w:ascii="仿宋" w:hAnsi="仿宋" w:eastAsia="仿宋" w:cs="仿宋"/>
          <w:b/>
          <w:bCs/>
          <w:sz w:val="24"/>
          <w:lang w:val="en-US" w:eastAsia="zh-CN"/>
        </w:rPr>
        <w:t>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详见《政府采购支持中小企业信用融资相关事项通知》，或登录杭州市政府采购网“中小企业信用融资”模块，查</w:t>
      </w:r>
      <w:r>
        <w:rPr>
          <w:rFonts w:hint="eastAsia" w:ascii="仿宋" w:hAnsi="仿宋" w:eastAsia="仿宋" w:cs="仿宋"/>
          <w:b/>
          <w:bCs/>
          <w:sz w:val="24"/>
          <w:highlight w:val="none"/>
        </w:rPr>
        <w:t>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17.5</w:t>
      </w:r>
      <w:r>
        <w:rPr>
          <w:rFonts w:hint="eastAsia" w:ascii="仿宋" w:hAnsi="仿宋" w:eastAsia="仿宋" w:cs="仿宋"/>
          <w:sz w:val="24"/>
          <w:highlight w:val="none"/>
        </w:rPr>
        <w:t>本合同未尽事宜，遵照《</w:t>
      </w:r>
      <w:r>
        <w:rPr>
          <w:rFonts w:hint="eastAsia" w:ascii="仿宋" w:hAnsi="仿宋" w:eastAsia="仿宋" w:cs="仿宋"/>
          <w:sz w:val="24"/>
          <w:highlight w:val="none"/>
          <w:lang w:val="en-US" w:eastAsia="zh-CN"/>
        </w:rPr>
        <w:t>民法典</w:t>
      </w:r>
      <w:r>
        <w:rPr>
          <w:rFonts w:hint="eastAsia" w:ascii="仿宋" w:hAnsi="仿宋" w:eastAsia="仿宋" w:cs="仿宋"/>
          <w:sz w:val="24"/>
          <w:highlight w:val="none"/>
        </w:rPr>
        <w:t>》有关条文执行。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highlight w:val="none"/>
          <w:lang w:val="en-US" w:eastAsia="zh-CN"/>
        </w:rPr>
        <w:t xml:space="preserve">    17.6</w:t>
      </w:r>
      <w:r>
        <w:rPr>
          <w:rFonts w:hint="eastAsia" w:ascii="仿宋" w:hAnsi="仿宋" w:eastAsia="仿宋" w:cs="仿宋"/>
          <w:sz w:val="24"/>
          <w:highlight w:val="none"/>
        </w:rPr>
        <w:t>本合同一式多份，具有同等法律效力，甲</w:t>
      </w:r>
      <w:r>
        <w:rPr>
          <w:rFonts w:hint="eastAsia" w:ascii="仿宋" w:hAnsi="仿宋" w:eastAsia="仿宋" w:cs="仿宋"/>
          <w:sz w:val="24"/>
        </w:rPr>
        <w:t xml:space="preserve">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jc w:val="center"/>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签约时间：      年    月   日</w:t>
      </w: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签约地点： </w:t>
      </w:r>
    </w:p>
    <w:p>
      <w:pPr>
        <w:wordWrap/>
        <w:spacing w:line="360" w:lineRule="auto"/>
        <w:jc w:val="both"/>
        <w:rPr>
          <w:rFonts w:hint="eastAsia" w:ascii="仿宋" w:hAnsi="仿宋" w:eastAsia="仿宋" w:cs="仿宋"/>
          <w:sz w:val="24"/>
        </w:rPr>
      </w:pP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b/>
          <w:bCs/>
          <w:sz w:val="24"/>
        </w:rPr>
      </w:pPr>
      <w:bookmarkStart w:id="401" w:name="_Toc350327365"/>
      <w:bookmarkStart w:id="402" w:name="_Toc326765771"/>
      <w:bookmarkStart w:id="403" w:name="_Toc868"/>
      <w:bookmarkStart w:id="404" w:name="_Toc328381300"/>
      <w:bookmarkStart w:id="405" w:name="_Toc339872468"/>
      <w:bookmarkStart w:id="406" w:name="_Toc349721554"/>
      <w:r>
        <w:rPr>
          <w:rFonts w:hint="eastAsia" w:ascii="仿宋" w:hAnsi="仿宋" w:eastAsia="仿宋" w:cs="仿宋"/>
          <w:b/>
          <w:bCs/>
          <w:sz w:val="24"/>
        </w:rPr>
        <w:t xml:space="preserve"> 此仅为合同书样本，中标单位需根据实际情况和采购人签订相应的合同！</w:t>
      </w:r>
      <w:bookmarkEnd w:id="401"/>
      <w:bookmarkEnd w:id="402"/>
      <w:bookmarkEnd w:id="403"/>
      <w:bookmarkEnd w:id="404"/>
      <w:bookmarkEnd w:id="405"/>
      <w:bookmarkEnd w:id="406"/>
    </w:p>
    <w:p>
      <w:pPr>
        <w:snapToGrid/>
        <w:spacing w:before="0" w:beforeLines="0" w:after="0" w:line="360" w:lineRule="auto"/>
        <w:rPr>
          <w:rFonts w:hint="eastAsia" w:ascii="仿宋" w:hAnsi="仿宋" w:eastAsia="仿宋" w:cs="仿宋"/>
          <w:b/>
          <w:bCs/>
          <w:sz w:val="24"/>
        </w:rPr>
        <w:sectPr>
          <w:pgSz w:w="11906" w:h="16838"/>
          <w:pgMar w:top="1558" w:right="1531" w:bottom="468" w:left="1531" w:header="851" w:footer="851" w:gutter="0"/>
          <w:pgNumType w:fmt="decimal"/>
          <w:cols w:space="720" w:num="1"/>
          <w:titlePg/>
          <w:docGrid w:type="lines" w:linePitch="312" w:charSpace="0"/>
        </w:sectPr>
      </w:pPr>
      <w:bookmarkStart w:id="407" w:name="_Toc194217895"/>
    </w:p>
    <w:bookmarkEnd w:id="407"/>
    <w:p>
      <w:pPr>
        <w:pStyle w:val="9"/>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4"/>
      <w:r>
        <w:rPr>
          <w:rFonts w:ascii="仿宋" w:hAnsi="仿宋" w:eastAsia="仿宋" w:cs="仿宋_GB2312"/>
          <w:b/>
          <w:sz w:val="36"/>
          <w:szCs w:val="20"/>
        </w:rPr>
        <w:t xml:space="preserve"> </w:t>
      </w:r>
      <w:bookmarkEnd w:id="395"/>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w:t>
      </w:r>
      <w:r>
        <w:rPr>
          <w:rFonts w:ascii="仿宋_GB2312" w:hAnsi="仿宋" w:eastAsia="仿宋_GB2312" w:cs="仿宋_GB2312"/>
          <w:sz w:val="24"/>
          <w:highlight w:val="none"/>
        </w:rPr>
        <w:t>符合参加政府采购活动应当具备的一般条件的承诺函……</w:t>
      </w:r>
      <w:r>
        <w:rPr>
          <w:rFonts w:hint="eastAsia" w:ascii="仿宋_GB2312" w:hAnsi="仿宋" w:eastAsia="仿宋_GB2312" w:cs="仿宋_GB2312"/>
          <w:sz w:val="24"/>
          <w:highlight w:val="none"/>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项目编号</w:t>
      </w:r>
      <w:r>
        <w:rPr>
          <w:rFonts w:hint="eastAsia" w:ascii="仿宋_GB2312" w:hAnsi="仿宋" w:eastAsia="仿宋_GB2312" w:cs="仿宋_GB2312"/>
          <w:sz w:val="24"/>
        </w:rPr>
        <w:t>：</w:t>
      </w:r>
      <w:r>
        <w:rPr>
          <w:rFonts w:hint="eastAsia" w:ascii="仿宋_GB2312" w:hAnsi="仿宋" w:eastAsia="仿宋_GB2312" w:cs="仿宋_GB2312"/>
          <w:sz w:val="24"/>
          <w:lang w:eastAsia="zh-CN"/>
        </w:rPr>
        <w:t>JYCG-2022-053</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sz w:val="24"/>
        </w:rPr>
        <w:t>】政府采购活动，郑重承诺：</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cs="Times New Roman"/>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lang w:eastAsia="zh-CN"/>
        </w:rPr>
        <w:t>（</w:t>
      </w:r>
      <w:r>
        <w:rPr>
          <w:rFonts w:hint="eastAsia" w:ascii="仿宋_GB2312" w:hAnsi="仿宋" w:eastAsia="仿宋_GB2312"/>
          <w:sz w:val="24"/>
          <w:lang w:val="en-US" w:eastAsia="zh-CN"/>
        </w:rPr>
        <w:t>二</w:t>
      </w:r>
      <w:r>
        <w:rPr>
          <w:rFonts w:hint="eastAsia" w:ascii="仿宋_GB2312" w:hAnsi="仿宋" w:eastAsia="仿宋_GB2312"/>
          <w:sz w:val="24"/>
          <w:lang w:eastAsia="zh-CN"/>
        </w:rPr>
        <w:t>）</w:t>
      </w:r>
      <w:r>
        <w:rPr>
          <w:rFonts w:hint="eastAsia" w:ascii="仿宋_GB2312" w:hAnsi="仿宋" w:eastAsia="仿宋_GB2312"/>
          <w:sz w:val="24"/>
        </w:rPr>
        <w:t>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84"/>
      </w:pPr>
    </w:p>
    <w:p>
      <w:pPr>
        <w:pStyle w:val="9"/>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9"/>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9"/>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9"/>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r>
        <w:rPr>
          <w:rFonts w:ascii="仿宋_GB2312" w:hAnsi="仿宋" w:eastAsia="仿宋_GB2312" w:cs="仿宋_GB2312"/>
          <w:b/>
          <w:kern w:val="0"/>
          <w:sz w:val="36"/>
          <w:szCs w:val="36"/>
        </w:rPr>
        <w:br w:type="page"/>
      </w:r>
    </w:p>
    <w:p>
      <w:pPr>
        <w:pStyle w:val="9"/>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7</w:t>
      </w:r>
      <w:r>
        <w:rPr>
          <w:rFonts w:ascii="仿宋_GB2312" w:hAnsi="仿宋" w:eastAsia="仿宋_GB2312" w:cs="仿宋_GB2312"/>
          <w:sz w:val="24"/>
        </w:rPr>
        <w:t>）</w:t>
      </w:r>
      <w:r>
        <w:rPr>
          <w:rFonts w:hint="eastAsia" w:ascii="仿宋_GB2312" w:hAnsi="仿宋" w:eastAsia="仿宋_GB2312" w:cs="仿宋_GB2312"/>
          <w:sz w:val="24"/>
          <w:lang w:val="en-US" w:eastAsia="zh-CN"/>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both"/>
        <w:rPr>
          <w:rFonts w:ascii="仿宋_GB2312" w:hAnsi="仿宋" w:eastAsia="仿宋_GB2312" w:cs="仿宋_GB2312"/>
          <w:b/>
          <w:kern w:val="0"/>
          <w:sz w:val="32"/>
          <w:szCs w:val="32"/>
          <w:lang w:val="zh-CN"/>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lang w:val="zh-CN" w:eastAsia="zh-CN"/>
        </w:rPr>
        <w:t>（</w:t>
      </w:r>
      <w:r>
        <w:rPr>
          <w:rFonts w:hint="eastAsia" w:ascii="仿宋_GB2312" w:hAnsi="仿宋" w:eastAsia="仿宋_GB2312" w:cs="仿宋_GB2312"/>
          <w:sz w:val="24"/>
          <w:lang w:val="en-US" w:eastAsia="zh-CN"/>
        </w:rPr>
        <w:t>10</w:t>
      </w:r>
      <w:r>
        <w:rPr>
          <w:rFonts w:hint="eastAsia" w:ascii="仿宋_GB2312" w:hAnsi="仿宋" w:eastAsia="仿宋_GB2312" w:cs="仿宋_GB2312"/>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rPr>
        <w:t>…………………………………</w:t>
      </w:r>
      <w:r>
        <w:rPr>
          <w:rFonts w:hint="eastAsia" w:cs="仿宋_GB2312"/>
          <w:lang w:val="en-US" w:eastAsia="zh-CN"/>
        </w:rPr>
        <w:t xml:space="preserve"> </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9"/>
        <w:rPr>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2"/>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2"/>
              <w:adjustRightInd w:val="0"/>
              <w:spacing w:before="0" w:beforeAutospacing="0" w:after="0" w:afterAutospacing="0" w:line="360" w:lineRule="auto"/>
              <w:ind w:left="0" w:right="0"/>
              <w:rPr>
                <w:rFonts w:hint="eastAsia" w:ascii="仿宋_GB2312" w:hAnsi="仿宋" w:eastAsia="仿宋_GB2312" w:cs="Times New Roman"/>
                <w:bCs/>
                <w:sz w:val="24"/>
                <w:szCs w:val="20"/>
              </w:rPr>
            </w:pPr>
            <w:r>
              <w:rPr>
                <w:rFonts w:hint="eastAsia" w:ascii="仿宋_GB2312" w:hAnsi="仿宋" w:eastAsia="仿宋_GB2312" w:cs="Times New Roman"/>
                <w:bCs/>
                <w:sz w:val="24"/>
                <w:szCs w:val="20"/>
              </w:rPr>
              <w:t>正面：                                 反面：</w:t>
            </w:r>
          </w:p>
          <w:p>
            <w:pPr>
              <w:pStyle w:val="92"/>
              <w:adjustRightInd w:val="0"/>
              <w:spacing w:before="0" w:beforeAutospacing="0" w:after="0" w:afterAutospacing="0" w:line="360" w:lineRule="auto"/>
              <w:ind w:left="0" w:right="0"/>
              <w:rPr>
                <w:rFonts w:hint="eastAsia" w:ascii="仿宋_GB2312" w:hAnsi="仿宋" w:eastAsia="仿宋_GB2312" w:cs="Times New Roman"/>
                <w:bCs/>
                <w:sz w:val="24"/>
                <w:szCs w:val="20"/>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9"/>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w:t>
      </w:r>
      <w:r>
        <w:rPr>
          <w:rFonts w:hint="eastAsia" w:ascii="仿宋_GB2312" w:hAnsi="仿宋" w:eastAsia="仿宋_GB2312" w:cs="仿宋_GB2312"/>
          <w:kern w:val="0"/>
          <w:sz w:val="24"/>
          <w:highlight w:val="none"/>
        </w:rPr>
        <w:t>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，对联合体报价给予</w:t>
      </w:r>
      <w:r>
        <w:rPr>
          <w:rFonts w:hint="eastAsia" w:ascii="仿宋_GB2312" w:hAnsi="仿宋" w:eastAsia="仿宋_GB2312" w:cs="仿宋_GB2312"/>
          <w:b/>
          <w:kern w:val="0"/>
          <w:sz w:val="24"/>
          <w:highlight w:val="none"/>
          <w:lang w:val="en-US" w:eastAsia="zh-CN"/>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9"/>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w:t>
      </w:r>
      <w:r>
        <w:rPr>
          <w:rFonts w:hint="eastAsia" w:ascii="仿宋_GB2312" w:hAnsi="仿宋" w:eastAsia="仿宋_GB2312" w:cs="仿宋_GB2312"/>
          <w:b/>
          <w:kern w:val="0"/>
          <w:sz w:val="24"/>
          <w:highlight w:val="none"/>
          <w:lang w:val="zh-CN"/>
        </w:rPr>
        <w:t>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hint="eastAsia" w:ascii="仿宋_GB2312" w:hAnsi="仿宋" w:eastAsia="仿宋_GB2312" w:cs="仿宋_GB2312"/>
          <w:b/>
          <w:kern w:val="0"/>
          <w:sz w:val="24"/>
          <w:highlight w:val="none"/>
          <w:lang w:val="en-US" w:eastAsia="zh-CN"/>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序号</w:t>
            </w:r>
          </w:p>
        </w:tc>
        <w:tc>
          <w:tcPr>
            <w:tcW w:w="499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投标文件中的</w:t>
            </w:r>
          </w:p>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1</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需要使用电子签名或者签字盖章的投标文件的组成部分</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spacing w:before="0" w:beforeAutospacing="0" w:after="0" w:afterAutospacing="0"/>
              <w:ind w:left="0" w:right="0"/>
              <w:rPr>
                <w:rFonts w:hint="eastAsia" w:ascii="Times New Roman" w:hAnsi="Times New Roman" w:cs="Times New Roman"/>
                <w:sz w:val="20"/>
                <w:szCs w:val="20"/>
              </w:rPr>
            </w:pPr>
            <w:r>
              <w:rPr>
                <w:rFonts w:hint="eastAsia" w:ascii="仿宋" w:hAnsi="Times New Roman" w:eastAsia="仿宋" w:cs="仿宋_GB2312"/>
                <w:sz w:val="24"/>
                <w:szCs w:val="20"/>
              </w:rPr>
              <w:t>第</w:t>
            </w:r>
            <w:r>
              <w:rPr>
                <w:rFonts w:hint="eastAsia" w:ascii="仿宋" w:hAnsi="Times New Roman" w:eastAsia="仿宋" w:cs="仿宋_GB2312"/>
                <w:sz w:val="24"/>
                <w:szCs w:val="20"/>
                <w:u w:val="single"/>
              </w:rPr>
              <w:t xml:space="preserve">  </w:t>
            </w:r>
            <w:r>
              <w:rPr>
                <w:rFonts w:hint="eastAsia" w:ascii="仿宋" w:hAnsi="Times New Roman"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sz w:val="24"/>
                <w:szCs w:val="20"/>
              </w:rPr>
              <w:t>节能产品认证证书（本项目</w:t>
            </w:r>
            <w:r>
              <w:rPr>
                <w:rFonts w:hint="eastAsia" w:ascii="仿宋_GB2312" w:hAnsi="仿宋" w:eastAsia="仿宋_GB2312" w:cs="Times New Roman"/>
                <w:sz w:val="24"/>
                <w:szCs w:val="20"/>
              </w:rPr>
              <w:t>拟采购的产品不属于政府强制采购的节能产品品目清单范围的</w:t>
            </w:r>
            <w:r>
              <w:rPr>
                <w:rFonts w:hint="eastAsia" w:ascii="仿宋_GB2312" w:hAnsi="仿宋" w:eastAsia="仿宋_GB2312" w:cs="仿宋_GB2312"/>
                <w:sz w:val="24"/>
                <w:szCs w:val="20"/>
              </w:rPr>
              <w:t>，无需提供）</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pStyle w:val="9"/>
              <w:spacing w:before="0" w:beforeAutospacing="0" w:after="0" w:afterAutospacing="0"/>
              <w:ind w:right="0"/>
              <w:rPr>
                <w:rFonts w:hint="eastAsia" w:ascii="Times New Roman" w:hAnsi="Times New Roman" w:cs="Times New Roman"/>
                <w:sz w:val="20"/>
                <w:szCs w:val="20"/>
                <w:lang w:val="en-US"/>
              </w:rPr>
            </w:pPr>
            <w:r>
              <w:rPr>
                <w:rFonts w:hint="eastAsia" w:ascii="仿宋" w:hAnsi="Times New Roman" w:eastAsia="仿宋" w:cs="仿宋_GB2312"/>
                <w:b w:val="0"/>
                <w:bCs w:val="0"/>
                <w:sz w:val="24"/>
                <w:szCs w:val="24"/>
                <w:lang w:val="en-US"/>
              </w:rPr>
              <w:t>第</w:t>
            </w:r>
            <w:r>
              <w:rPr>
                <w:rFonts w:hint="eastAsia" w:ascii="仿宋" w:hAnsi="Times New Roman" w:eastAsia="仿宋" w:cs="仿宋_GB2312"/>
                <w:b w:val="0"/>
                <w:bCs w:val="0"/>
                <w:sz w:val="24"/>
                <w:szCs w:val="24"/>
                <w:u w:val="single"/>
                <w:lang w:val="en-US"/>
              </w:rPr>
              <w:t xml:space="preserve">  </w:t>
            </w:r>
            <w:r>
              <w:rPr>
                <w:rFonts w:hint="eastAsia" w:ascii="仿宋" w:hAnsi="Times New Roman"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3</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Times New Roman"/>
                <w:sz w:val="24"/>
                <w:szCs w:val="20"/>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投标函</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4</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kern w:val="0"/>
                <w:sz w:val="24"/>
                <w:szCs w:val="20"/>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9"/>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highlight w:val="green"/>
        </w:rPr>
      </w:pPr>
    </w:p>
    <w:p>
      <w:pPr>
        <w:jc w:val="center"/>
        <w:rPr>
          <w:rFonts w:hint="eastAsia" w:ascii="仿宋_GB2312" w:hAnsi="仿宋" w:eastAsia="仿宋_GB2312" w:cs="仿宋_GB2312"/>
          <w:b/>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pPr>
        <w:pStyle w:val="9"/>
        <w:rPr>
          <w:rFonts w:hint="eastAsia" w:ascii="仿宋_GB2312" w:hAnsi="仿宋" w:eastAsia="仿宋_GB2312" w:cs="仿宋_GB2312"/>
          <w:b/>
          <w:kern w:val="0"/>
          <w:sz w:val="32"/>
          <w:szCs w:val="32"/>
          <w:highlight w:val="none"/>
        </w:rPr>
      </w:pPr>
    </w:p>
    <w:p>
      <w:pPr>
        <w:rPr>
          <w:rFonts w:hint="eastAsia" w:ascii="仿宋_GB2312" w:hAnsi="仿宋" w:eastAsia="仿宋_GB2312" w:cs="仿宋_GB2312"/>
          <w:b/>
          <w:kern w:val="0"/>
          <w:sz w:val="32"/>
          <w:szCs w:val="32"/>
        </w:rPr>
      </w:pPr>
    </w:p>
    <w:p>
      <w:pPr>
        <w:pStyle w:val="9"/>
        <w:rPr>
          <w:rFonts w:hint="eastAsia" w:ascii="仿宋_GB2312" w:hAnsi="仿宋" w:eastAsia="仿宋_GB2312" w:cs="仿宋_GB2312"/>
          <w:b/>
          <w:kern w:val="0"/>
          <w:sz w:val="32"/>
          <w:szCs w:val="32"/>
        </w:rPr>
      </w:pPr>
    </w:p>
    <w:p>
      <w:pPr>
        <w:rPr>
          <w:rFonts w:hint="eastAsia"/>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八</w:t>
      </w:r>
      <w:r>
        <w:rPr>
          <w:rFonts w:hint="eastAsia" w:ascii="仿宋_GB2312" w:hAnsi="仿宋" w:eastAsia="仿宋_GB2312" w:cs="仿宋_GB2312"/>
          <w:b/>
          <w:kern w:val="0"/>
          <w:sz w:val="32"/>
          <w:szCs w:val="32"/>
        </w:rPr>
        <w:t>、商务技术偏离表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序号</w:t>
            </w:r>
          </w:p>
        </w:tc>
        <w:tc>
          <w:tcPr>
            <w:tcW w:w="3683"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1</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2</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九</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both"/>
        <w:rPr>
          <w:rFonts w:ascii="仿宋_GB2312" w:hAnsi="仿宋" w:eastAsia="仿宋_GB2312" w:cs="仿宋_GB2312"/>
          <w:b/>
          <w:kern w:val="0"/>
          <w:sz w:val="32"/>
          <w:szCs w:val="32"/>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lang w:eastAsia="zh-CN"/>
        </w:rPr>
        <w:t>）</w:t>
      </w:r>
      <w:r>
        <w:rPr>
          <w:rFonts w:hint="default" w:ascii="仿宋_GB2312" w:hAnsi="仿宋" w:eastAsia="仿宋_GB2312" w:cs="仿宋_GB2312"/>
          <w:sz w:val="24"/>
        </w:rPr>
        <w:t>投标人针对报价需要说明的其他文件和说明</w:t>
      </w:r>
      <w:r>
        <w:rPr>
          <w:rFonts w:hint="default" w:ascii="仿宋_GB2312" w:hAnsi="仿宋" w:eastAsia="仿宋_GB2312" w:cs="仿宋_GB2312"/>
          <w:sz w:val="24"/>
          <w:lang w:eastAsia="zh-CN"/>
        </w:rPr>
        <w:t>（如有）</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1"/>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pPr>
        <w:pStyle w:val="381"/>
        <w:tabs>
          <w:tab w:val="clear" w:pos="720"/>
        </w:tabs>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482"/>
        <w:rPr>
          <w:rFonts w:hint="eastAsia"/>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eastAsia="zh-CN"/>
        </w:rPr>
        <w:t>项目名称</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lang w:val="en-US" w:eastAsia="zh-CN"/>
        </w:rPr>
        <w:t>项目编号</w:t>
      </w:r>
      <w:r>
        <w:rPr>
          <w:rFonts w:hint="eastAsia" w:ascii="仿宋_GB2312" w:hAnsi="仿宋" w:eastAsia="仿宋_GB2312" w:cs="仿宋_GB2312"/>
          <w:kern w:val="0"/>
          <w:sz w:val="24"/>
          <w:highlight w:val="none"/>
          <w:lang w:val="zh-CN"/>
        </w:rPr>
        <w:t>：</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pPr>
        <w:pStyle w:val="9"/>
        <w:rPr>
          <w:rFonts w:hint="eastAsia"/>
          <w:highlight w:val="green"/>
          <w:lang w:val="zh-CN"/>
        </w:rPr>
      </w:pPr>
    </w:p>
    <w:p>
      <w:pPr>
        <w:spacing w:line="360" w:lineRule="auto"/>
        <w:jc w:val="center"/>
        <w:rPr>
          <w:rFonts w:ascii="宋体" w:hAnsi="宋体" w:cs="宋体"/>
          <w:b/>
          <w:kern w:val="0"/>
          <w:sz w:val="24"/>
          <w:highlight w:val="green"/>
          <w:lang w:val="zh-CN"/>
        </w:rPr>
      </w:pPr>
      <w:r>
        <w:rPr>
          <w:rFonts w:hint="eastAsia" w:ascii="宋体" w:hAnsi="宋体" w:cs="宋体"/>
          <w:b/>
          <w:kern w:val="0"/>
          <w:sz w:val="24"/>
          <w:highlight w:val="green"/>
          <w:lang w:val="zh-CN"/>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序号</w:t>
            </w:r>
          </w:p>
        </w:tc>
        <w:tc>
          <w:tcPr>
            <w:tcW w:w="992"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名称</w:t>
            </w:r>
          </w:p>
        </w:tc>
        <w:tc>
          <w:tcPr>
            <w:tcW w:w="2268" w:type="dxa"/>
            <w:vAlign w:val="top"/>
          </w:tcPr>
          <w:p>
            <w:pPr>
              <w:spacing w:before="0" w:beforeAutospacing="0" w:after="0" w:afterAutospacing="0" w:line="360" w:lineRule="auto"/>
              <w:ind w:left="0" w:right="0"/>
              <w:jc w:val="center"/>
              <w:rPr>
                <w:rFonts w:hint="eastAsia" w:ascii="宋体" w:hAnsi="宋体" w:cs="宋体"/>
                <w:b/>
                <w:sz w:val="24"/>
                <w:szCs w:val="20"/>
                <w:highlight w:val="green"/>
              </w:rPr>
            </w:pPr>
          </w:p>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服务范围</w:t>
            </w:r>
          </w:p>
        </w:tc>
        <w:tc>
          <w:tcPr>
            <w:tcW w:w="2410"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服务要求</w:t>
            </w:r>
          </w:p>
        </w:tc>
        <w:tc>
          <w:tcPr>
            <w:tcW w:w="2268"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服务时间</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服务标准</w:t>
            </w:r>
          </w:p>
        </w:tc>
        <w:tc>
          <w:tcPr>
            <w:tcW w:w="2127" w:type="dxa"/>
            <w:vAlign w:val="top"/>
          </w:tcPr>
          <w:p>
            <w:pPr>
              <w:spacing w:before="0" w:beforeAutospacing="0" w:after="0" w:afterAutospacing="0" w:line="360" w:lineRule="auto"/>
              <w:ind w:left="0" w:right="0"/>
              <w:jc w:val="center"/>
              <w:rPr>
                <w:rFonts w:hint="eastAsia" w:ascii="宋体" w:hAnsi="宋体" w:cs="宋体"/>
                <w:b/>
                <w:sz w:val="24"/>
                <w:szCs w:val="20"/>
                <w:highlight w:val="green"/>
              </w:rPr>
            </w:pPr>
          </w:p>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服务人数</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green"/>
              </w:rPr>
            </w:pPr>
          </w:p>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备注（如果有）</w:t>
            </w:r>
          </w:p>
          <w:p>
            <w:pPr>
              <w:spacing w:before="0" w:beforeAutospacing="0" w:after="0" w:afterAutospacing="0" w:line="360" w:lineRule="auto"/>
              <w:ind w:left="0" w:right="0"/>
              <w:jc w:val="center"/>
              <w:rPr>
                <w:rFonts w:hint="eastAsia" w:ascii="宋体" w:hAnsi="宋体" w:cs="宋体"/>
                <w:b/>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1</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2</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green"/>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投标报价（小写）</w:t>
            </w:r>
          </w:p>
        </w:tc>
        <w:tc>
          <w:tcPr>
            <w:tcW w:w="8647" w:type="dxa"/>
            <w:gridSpan w:val="4"/>
            <w:vAlign w:val="center"/>
          </w:tcPr>
          <w:p>
            <w:pPr>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green"/>
              </w:rPr>
            </w:pPr>
            <w:r>
              <w:rPr>
                <w:rFonts w:hint="eastAsia" w:ascii="宋体" w:hAnsi="宋体" w:cs="宋体"/>
                <w:b/>
                <w:sz w:val="24"/>
                <w:szCs w:val="20"/>
                <w:highlight w:val="green"/>
              </w:rPr>
              <w:t>投标报价（大写）</w:t>
            </w:r>
          </w:p>
        </w:tc>
        <w:tc>
          <w:tcPr>
            <w:tcW w:w="8647" w:type="dxa"/>
            <w:gridSpan w:val="4"/>
            <w:vAlign w:val="center"/>
          </w:tcPr>
          <w:p>
            <w:pPr>
              <w:spacing w:before="0" w:beforeAutospacing="0" w:after="0" w:afterAutospacing="0" w:line="360" w:lineRule="auto"/>
              <w:ind w:left="0" w:right="0"/>
              <w:jc w:val="center"/>
              <w:rPr>
                <w:rFonts w:hint="eastAsia" w:ascii="宋体" w:hAnsi="宋体" w:cs="宋体"/>
                <w:sz w:val="24"/>
                <w:szCs w:val="20"/>
                <w:highlight w:val="green"/>
              </w:rPr>
            </w:pPr>
            <w:r>
              <w:rPr>
                <w:rFonts w:hint="eastAsia" w:ascii="宋体" w:hAnsi="宋体" w:cs="宋体"/>
                <w:sz w:val="24"/>
                <w:szCs w:val="20"/>
                <w:highlight w:val="green"/>
              </w:rPr>
              <w:t>人民币              元/年整</w:t>
            </w:r>
          </w:p>
        </w:tc>
      </w:tr>
    </w:tbl>
    <w:p>
      <w:pPr>
        <w:snapToGrid w:val="0"/>
        <w:spacing w:line="360" w:lineRule="auto"/>
        <w:rPr>
          <w:rFonts w:hint="eastAsia" w:ascii="仿宋_GB2312" w:hAnsi="仿宋" w:eastAsia="仿宋_GB2312" w:cs="仿宋_GB2312"/>
          <w:b/>
          <w:kern w:val="0"/>
          <w:sz w:val="24"/>
          <w:highlight w:val="none"/>
          <w:lang w:val="zh-CN"/>
        </w:rPr>
      </w:pPr>
    </w:p>
    <w:p>
      <w:pPr>
        <w:snapToGrid w:val="0"/>
        <w:spacing w:line="360" w:lineRule="auto"/>
        <w:ind w:left="480"/>
        <w:rPr>
          <w:rFonts w:hint="eastAsia" w:ascii="宋体" w:hAnsi="宋体" w:cs="宋体"/>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firstLine="480" w:firstLineChars="200"/>
        <w:rPr>
          <w:rFonts w:hint="eastAsia" w:ascii="仿宋" w:hAnsi="仿宋" w:eastAsia="仿宋" w:cs="仿宋"/>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color w:val="FF0000"/>
          <w:kern w:val="0"/>
          <w:sz w:val="24"/>
          <w:highlight w:val="none"/>
          <w:lang w:val="zh-CN"/>
        </w:rPr>
        <w:t>，</w:t>
      </w:r>
      <w:r>
        <w:rPr>
          <w:rFonts w:hint="eastAsia" w:ascii="仿宋" w:hAnsi="仿宋" w:eastAsia="仿宋" w:cs="仿宋"/>
          <w:b/>
          <w:color w:val="FF0000"/>
          <w:kern w:val="0"/>
          <w:sz w:val="24"/>
          <w:highlight w:val="none"/>
        </w:rPr>
        <w:t>否则视为</w:t>
      </w:r>
      <w:r>
        <w:rPr>
          <w:rFonts w:hint="eastAsia" w:ascii="仿宋" w:hAnsi="仿宋" w:eastAsia="仿宋" w:cs="仿宋"/>
          <w:b/>
          <w:color w:val="FF0000"/>
          <w:sz w:val="24"/>
          <w:highlight w:val="none"/>
        </w:rPr>
        <w:t>投标文件含有采购人不能接受的附加条件，投标无效</w:t>
      </w:r>
      <w:r>
        <w:rPr>
          <w:rFonts w:hint="eastAsia" w:ascii="仿宋" w:hAnsi="仿宋" w:eastAsia="仿宋" w:cs="仿宋"/>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val="zh-CN"/>
        </w:rPr>
        <w:t>、有关本项目实施所涉及的一切费用均计入报价。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投标文件含有采购人不能接受的附加条件的，投标无效</w:t>
      </w:r>
      <w:r>
        <w:rPr>
          <w:rFonts w:hint="eastAsia" w:ascii="仿宋" w:hAnsi="仿宋" w:eastAsia="仿宋" w:cs="仿宋"/>
          <w:b/>
          <w:kern w:val="0"/>
          <w:sz w:val="24"/>
          <w:highlight w:val="none"/>
          <w:lang w:val="zh-CN"/>
        </w:rPr>
        <w:t>；采购内容未包含在《开标一览表（报价表）》名称栏中，投标人不能作出合理解释的，视为投标文件含有采购人不能接受的附加条件的，投标无效。</w:t>
      </w:r>
    </w:p>
    <w:p>
      <w:pPr>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szCs w:val="22"/>
          <w:highlight w:val="none"/>
          <w:lang w:val="en-US" w:eastAsia="zh-CN"/>
        </w:rPr>
        <w:t>3</w:t>
      </w:r>
      <w:r>
        <w:rPr>
          <w:rFonts w:hint="eastAsia" w:ascii="仿宋" w:hAnsi="仿宋" w:eastAsia="仿宋" w:cs="仿宋"/>
          <w:kern w:val="0"/>
          <w:sz w:val="24"/>
          <w:szCs w:val="22"/>
          <w:highlight w:val="none"/>
          <w:lang w:val="zh-CN"/>
        </w:rPr>
        <w:t>、</w:t>
      </w:r>
      <w:r>
        <w:rPr>
          <w:rFonts w:hint="eastAsia" w:ascii="仿宋" w:hAnsi="仿宋" w:eastAsia="仿宋" w:cs="仿宋"/>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 xml:space="preserve">    </w:t>
      </w:r>
    </w:p>
    <w:p>
      <w:pP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w:t>
      </w:r>
    </w:p>
    <w:p>
      <w:pPr>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lang w:val="zh-CN"/>
        </w:rPr>
        <w:t>、特别提示：采购机构将对</w:t>
      </w:r>
      <w:r>
        <w:rPr>
          <w:rFonts w:hint="eastAsia" w:ascii="仿宋" w:hAnsi="仿宋" w:eastAsia="仿宋" w:cs="仿宋"/>
          <w:kern w:val="0"/>
          <w:sz w:val="24"/>
          <w:highlight w:val="none"/>
          <w:lang w:val="zh-CN" w:eastAsia="zh-CN"/>
        </w:rPr>
        <w:t>项目名称</w:t>
      </w:r>
      <w:r>
        <w:rPr>
          <w:rFonts w:hint="eastAsia" w:ascii="仿宋" w:hAnsi="仿宋" w:eastAsia="仿宋" w:cs="仿宋"/>
          <w:kern w:val="0"/>
          <w:sz w:val="24"/>
          <w:highlight w:val="none"/>
          <w:lang w:val="zh-CN"/>
        </w:rPr>
        <w:t>和项目编号，中标供应商名称、地址和中标金额，主要中标标的名称、服务范围、服务要求、服务时间、服务标准等予以公示。</w:t>
      </w:r>
    </w:p>
    <w:p>
      <w:pPr>
        <w:pStyle w:val="9"/>
        <w:sectPr>
          <w:pgSz w:w="16838" w:h="11906" w:orient="landscape"/>
          <w:pgMar w:top="1418" w:right="1247" w:bottom="1418" w:left="1276" w:header="851" w:footer="992" w:gutter="0"/>
          <w:pgNumType w:fmt="decimal"/>
          <w:cols w:space="720" w:num="1"/>
          <w:titlePg/>
          <w:docGrid w:linePitch="312" w:charSpace="0"/>
        </w:sectPr>
      </w:pPr>
    </w:p>
    <w:p>
      <w:pPr>
        <w:pStyle w:val="381"/>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lang w:eastAsia="zh-CN"/>
        </w:rPr>
        <w:t>二</w:t>
      </w:r>
      <w:r>
        <w:rPr>
          <w:rFonts w:hint="eastAsia" w:ascii="仿宋_GB2312" w:hAnsi="仿宋" w:eastAsia="仿宋_GB2312" w:cs="仿宋_GB2312"/>
          <w:kern w:val="2"/>
          <w:sz w:val="32"/>
          <w:szCs w:val="32"/>
        </w:rPr>
        <w:t>、</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9"/>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9"/>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8"/>
        <w:pageBreakBefore/>
        <w:widowControl/>
        <w:spacing w:before="100" w:beforeAutospacing="1" w:after="100" w:afterAutospacing="1" w:line="360" w:lineRule="auto"/>
        <w:ind w:left="1290" w:firstLine="3092" w:firstLineChars="700"/>
        <w:rPr>
          <w:rFonts w:ascii="仿宋_GB2312" w:hAnsi="仿宋" w:eastAsia="仿宋_GB2312"/>
        </w:rPr>
      </w:pPr>
      <w:bookmarkStart w:id="408" w:name="_Toc465665161"/>
      <w:r>
        <w:rPr>
          <w:rFonts w:hint="eastAsia" w:ascii="仿宋_GB2312" w:hAnsi="仿宋" w:eastAsia="仿宋_GB2312"/>
        </w:rPr>
        <w:t>附件</w:t>
      </w:r>
      <w:bookmarkEnd w:id="408"/>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9" w:name="OLE_LINK13"/>
      <w:bookmarkStart w:id="410" w:name="OLE_LINK14"/>
      <w:r>
        <w:rPr>
          <w:rFonts w:hint="eastAsia" w:ascii="仿宋_GB2312" w:hAnsi="仿宋" w:eastAsia="仿宋_GB2312"/>
          <w:b/>
          <w:spacing w:val="6"/>
          <w:sz w:val="32"/>
          <w:szCs w:val="32"/>
        </w:rPr>
        <w:t>残疾人福利性单位声明函</w:t>
      </w:r>
    </w:p>
    <w:bookmarkEnd w:id="409"/>
    <w:bookmarkEnd w:id="410"/>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r>
        <w:br w:type="page"/>
      </w:r>
    </w:p>
    <w:p>
      <w:pPr>
        <w:pStyle w:val="9"/>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w:t>
      </w:r>
      <w:r>
        <w:rPr>
          <w:rFonts w:hint="eastAsia" w:ascii="仿宋_GB2312" w:hAnsi="仿宋" w:eastAsia="仿宋_GB2312" w:cs="仿宋_GB2312"/>
          <w:sz w:val="24"/>
          <w:lang w:eastAsia="zh-CN"/>
        </w:rPr>
        <w:t>项目名称</w:t>
      </w:r>
      <w:r>
        <w:rPr>
          <w:rFonts w:hint="eastAsia" w:ascii="仿宋_GB2312" w:hAnsi="仿宋" w:eastAsia="仿宋_GB2312"/>
          <w:sz w:val="24"/>
        </w:rPr>
        <w:t>：</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w:t>
      </w:r>
      <w:r>
        <w:rPr>
          <w:rFonts w:hint="eastAsia" w:ascii="仿宋_GB2312" w:hAnsi="仿宋" w:eastAsia="仿宋_GB2312" w:cs="仿宋_GB2312"/>
          <w:sz w:val="24"/>
          <w:lang w:eastAsia="zh-CN"/>
        </w:rPr>
        <w:t>项目名称</w:t>
      </w:r>
      <w:r>
        <w:rPr>
          <w:rFonts w:hint="eastAsia" w:ascii="仿宋_GB2312" w:hAnsi="仿宋" w:eastAsia="仿宋_GB2312" w:cs="仿宋_GB2312"/>
          <w:sz w:val="24"/>
        </w:rPr>
        <w:t>）项目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idqol/IBAAAjBAAADgAAAGRycy9lMm9Eb2MueG1srVNN k9MwDL0zw3/w+E6Thm0XMk33QCkXBnZY9geojpN4xl9juU3775Gd0v1gDz2QgyPZ8pPek7y6OxrN DjKgcrbh81nJmbTCtcr2DX/8vf3wiTOMYFvQzsqGnyTyu/X7d6vR17Jyg9OtDIxALNajb/gQo6+L AsUgDeDMeWnpsHPBQCQ39EUbYCR0o4uqLJfF6ELrgxMSkXY30yE/I4ZrAF3XKSE3TuyNtHFCDVJD JEo4KI98navtOiniz65DGZluODGNeaUkZO/SWqxXUPcB/KDEuQS4poRXnAwoS0kvUBuIwPZB/QNl lAgOXRdnwpliIpIVIRbz8pU2DwN4mbmQ1OgvouP/gxU/DveBqZYmgTMLhhr+i0QD22vJ5rdJn9Fj TWEP/j6cPSQzkT12waQ/0WDHrOnpoqk8RiZos7otb26WC84EnVXV4uNyvkioxdN1HzB+k86wZDQ8 UP6sJRy+Y5xC/4akbOi0ardK6+yEfvdFB3YAavA2f2f0F2HasrHhnxdVKgRoajuaFjKNJ+Zo+5zv xQ18Dlzm7y3gVNgGcJgKyAgpDGqjogzZGiS0X23L4smTupYeFU/FGNlypiW9wWTlyAhKXxNJ2mlL EqbOTL1I1s61J+rl3gfVD6TjPNebTmh2suDnOU/D+dzPSE9ve/0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cc/4wdgAAAAKAQAADwAAAAAAAAABACAAAAAiAAAAZHJzL2Rvd25yZXYueG1sUEsBAhQA FAAAAAgAh07iQInaqJfyAQAAIwQAAA4AAAAAAAAAAQAgAAAAJwEAAGRycy9lMm9Eb2MueG1sUEsF BgAAAAAGAAYAWQEAAIsFAAAAAA== ">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zbf0BfIBAAAjBAAADgAAAGRycy9lMm9Eb2MueG1srVNN k9MwDL0zw3/w+M6mDbSwmaZ7oJQLAzss/ADVVhLP+Gtst2n/PbLT7X7AoQdycCRbftJ7kld3R6PZ AUNUzrZ8fjPjDK1wUtm+5b9/bd994iwmsBK0s9jyE0Z+t377ZjX6Bms3OC0xMAKxsRl9y4eUfFNV UQxoIN44j5YOOxcMJHJDX8kAI6EbXdWz2bIaXZA+OIEx0u5mOuRnxHANoOs6JXDjxN6gTRNqQA2J KMVB+cjXpdquQ5F+dF3ExHTLiWkqKyUhe5fXar2Cpg/gByXOJcA1JbziZEBZSnqB2kACtg/qLyij RHDRdelGOFNNRIoixGI+e6XNwwAeCxeSOvqL6PH/wYrvh/vAlGx5zZkFQw3/SaKB7TWy+TLrM/rY UNiDvw9nL5KZyR67YPKfaLBj0fR00RSPiQnarJcfPt4uSG5BZ3W9eL+cLzJq9XTdh5i+ojMsGy0P lL9oCYdvMU2hjyE5W3Raya3Sujih333WgR2AGrwt3xn9RZi2bGz57aJeUCFAU9vRtJBpPDGPti/5 XtyIz4Fn5fsXcC5sA3GYCigIOQwaoxKGYg0I8ouVLJ08qWvpUfFcjEHJmUZ6g9kqkQmUviaStNOW JMydmXqRrZ2TJ+rl3gfVD6TjvNSbT2h2iuDnOc/D+dwvSE9ve/0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ndOwWNgAAAAKAQAADwAAAAAAAAABACAAAAAiAAAAZHJzL2Rvd25yZXYueG1sUEsBAhQA FAAAAAgAh07iQM239AXyAQAAIwQAAA4AAAAAAAAAAQAgAAAAJwEAAGRycy9lMm9Eb2MueG1sUEsF BgAAAAAGAAYAWQEAAIsFAAAAAA== ">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仿宋" w:eastAsia="仿宋_GB2312" w:cs="仿宋_GB2312"/>
          <w:sz w:val="24"/>
          <w:lang w:eastAsia="zh-CN"/>
        </w:rPr>
        <w:t>项目名称</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仿宋" w:eastAsia="仿宋_GB2312" w:cs="仿宋_GB2312"/>
          <w:sz w:val="24"/>
          <w:lang w:eastAsia="zh-CN"/>
        </w:rPr>
        <w:t>项目名称</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9"/>
        <w:rPr>
          <w:lang w:val="en-US"/>
        </w:rPr>
      </w:pPr>
    </w:p>
    <w:p>
      <w:pPr>
        <w:spacing w:line="360" w:lineRule="auto"/>
        <w:ind w:right="420"/>
      </w:pPr>
    </w:p>
    <w:p>
      <w:pPr>
        <w:spacing w:line="360" w:lineRule="auto"/>
        <w:rPr>
          <w:rFonts w:ascii="仿宋" w:hAnsi="仿宋" w:eastAsia="仿宋"/>
          <w:bCs/>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GA044yAgAAYQQAAA4AAABkcnMvZTJvRG9jLnhtbK1UzY7TMBC+I/EO lu80aStWVdV0VbYqQqrYlQri7DpOE8l/st0m5QHgDThx4c5z9Tn2c366aOGwBy7O2DP+xt83M1nc NkqSk3C+Mjqj41FKidDc5JU+ZPTzp82bGSU+MJ0zabTI6Fl4ert8/WpR27mYmNLIXDgCEO3ntc1o GYKdJ4nnpVDMj4wVGs7COMUCtu6Q5I7VQFcymaTpTVIbl1tnuPAep+vOSXtE9xJAUxQVF2vDj0ro 0KE6IVkAJV9W1tNl+9qiEDzcF4UXgciMgmloVySBvY9rslyw+cExW1a8fwJ7yROecVKs0kh6hVqz wMjRVX9BqYo7400RRtyopCPSKgIW4/SZNruSWdFygdTeXkX3/w+Wfzw9OFLlGZ1SoplCwS8/vl9+ /r78+kamUZ7a+jmidhZxoXlnGjTNcO5xGFk3hVPxCz4Efoh7voormkB4vDSbzGYpXBy+YQP85Om6 dT68F0aRaGTUoXqtqOy09aELHUJiNm02lZRtBaUmdUZvpm/T9sLVA3CpkSOS6B4brdDsm57Z3uRn EHOm6wxv+aZC8i3z4YE5tAIejGEJ91gKaZDE9BYlpXFf/3Ue41EheCmp0VoZ1ZgkSuQHjcoBMAyG G4z9YOijujPo1TGG0PLWxAUX5GAWzqgvmKBVzAEX0xyZMhoG8y507Y0J5GK1aoOO1lWHsruAvrMs bPXO8pgmCunt6hggZqtxFKhTpdcNnddWqZ+S2Np/7tuopz/D8h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4YDTjjICAABhBAAADgAAAAAAAAABACAAAAAfAQAAZHJzL2Uyb0RvYy54bWxQSwUG AAAAAAYABgBZAQAAwwUAAAAA ">
              <v:fill on="f" focussize="0,0"/>
              <v:stroke on="f" weight="0.5pt"/>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p>
    <w:pPr>
      <w:pStyle w:val="4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7"/>
      </w:rPr>
    </w:pPr>
    <w:r>
      <w:fldChar w:fldCharType="begin"/>
    </w:r>
    <w:r>
      <w:rPr>
        <w:rStyle w:val="77"/>
      </w:rPr>
      <w:instrText xml:space="preserve">PAGE  </w:instrText>
    </w:r>
    <w:r>
      <w:fldChar w:fldCharType="separate"/>
    </w:r>
    <w:r>
      <w:rPr>
        <w:rStyle w:val="77"/>
      </w:rPr>
      <w:t>8</w:t>
    </w:r>
    <w:r>
      <w:fldChar w:fldCharType="end"/>
    </w:r>
  </w:p>
  <w:p>
    <w:pPr>
      <w:pStyle w:val="45"/>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EhxuIyAgAAYw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TqeUGKZR8cv3b5cf vy4/vxKcQaDahTnidg6RsXlrG7TNcB5wmHg3pdfpC0YEfsh7vsormkh4ujSbzmZjuDh8wwb42eN1 50N8J6wmycipR/1aWdlpG2IXOoSkbMZupFJtDZUhdU5vXr8ZtxeuHoArgxyJRPfYZMVm3/TM9rY4 g5i3XW8ExzcSybcsxAfm0Qx4MMYl3mMplUUS21uUVNZ/+dd5ikeN4KWkRnPl1GCWKFHvDWoHwDgY fjD2g2GO+s6iWycYQ8dbExd8VINZeqs/Y4ZWKQdczHBkymkczLvYNThmkIvVqg06Oi8PVXcBnedY 3Jqd4ylNEjK41TFCzFbjJFCnSq8beq+tUj8nqbn/3LdRj/+G5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ESHG4jICAABjBAAADgAAAAAAAAABACAAAAAfAQAAZHJzL2Uyb0RvYy54bWxQSwUG AAAAAAYABgBZAQAAwwUAAAAA ">
              <v:fill on="f" focussize="0,0"/>
              <v:stroke on="f" weight="0.5pt"/>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7"/>
      </w:rPr>
    </w:pPr>
    <w:r>
      <w:fldChar w:fldCharType="begin"/>
    </w:r>
    <w:r>
      <w:rPr>
        <w:rStyle w:val="77"/>
      </w:rPr>
      <w:instrText xml:space="preserve">PAGE  </w:instrText>
    </w:r>
    <w:r>
      <w:fldChar w:fldCharType="end"/>
    </w:r>
  </w:p>
  <w:p>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LqMOCsyAgAAYQQAAA4AAABkcnMvZTJvRG9jLnhtbK1UzY7TMBC+I/EO lu80aVlWVdV0VbYqQqrYlRbE2XWcJpL/ZLtNygPAG3Diwp3n6nPw2Wm6aOGwBy7O2DP+xt83M5nf dEqSg3C+Mbqg41FOidDclI3eFfTTx/WrKSU+MF0yabQo6FF4erN4+WLe2pmYmNrIUjgCEO1nrS1o HYKdZZnntVDMj4wVGs7KOMUCtm6XlY61QFcym+T5ddYaV1pnuPAep6veSc+I7jmApqoaLlaG75XQ oUd1QrIASr5urKeL9NqqEjzcVZUXgciCgmlIK5LA3sY1W8zZbOeYrRt+fgJ7zhOecFKs0Uh6gVqx wMjeNX9BqYY7400VRtyorCeSFAGLcf5Em4eaWZG4QGpvL6L7/wfLPxzuHWnKgl5RoplCwU/fv51+ /Dr9/Equojyt9TNEPVjEhe6t6dA0w7nHYWTdVU7FL/gQ+CHu8SKu6ALh8dJ0Mp3mcHH4hg3ws8fr 1vnwThhFolFQh+olUdlh40MfOoTEbNqsGylTBaUmbUGvX7/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uow4KzICAABhBAAADgAAAAAAAAABACAAAAAfAQAAZHJzL2Uyb0RvYy54bWxQSwUG AAAAAAYABgBZAQAAwwUAAAAA ">
              <v:fill on="f" focussize="0,0"/>
              <v:stroke on="f" weight="0.5pt"/>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92"/>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GthHIzAgAAYwQAAA4AAABkcnMvZTJvRG9jLnhtbK1UzY7TMBC+I/EO lu80bdGuqqrpqmxVhFSxKy2Is+s4TST/yXablAeAN+DEhTvP1efYz07SRQuHPXBxxp7xN/6+mcni plWSHIXztdE5nYzGlAjNTVHrfU4/f9q8mVHiA9MFk0aLnJ6EpzfL168WjZ2LqamMLIQjANF+3tic ViHYeZZ5XgnF/MhYoeEsjVMsYOv2WeFYA3Qls+l4fJ01xhXWGS68x+m6c9Ie0b0E0JRlzcXa8IMS OnSoTkgWQMlXtfV0mV5bloKHu7L0IhCZUzANaUUS2Lu4ZssFm+8ds1XN+yewlzzhGSfFao2kF6g1 C4wcXP0XlKq5M96UYcSNyjoiSRGwmIyfafNQMSsSF0jt7UV0//9g+cfjvSN1gU64okQzhYqff3w/ //x9/vWN4AwCNdbPEfdgERnad6ZF8HDucRh5t6VT8QtGBH7Ie7rIK9pAeLw0m85mY7g4fMMG+NnT det8eC+MItHIqUP9kqzsuPWhCx1CYjZtNrWUqYZSkyan12+vxunCxQNwqZEjkugeG63Q7tqe2c4U JxBzpusNb/mmRvIt8+GeOTQDHoxxCXdYSmmQxPQWJZVxX/91HuNRI3gpadBcOdWYJUrkB43aATAM hhuM3WDog7o16NYJxtDyZOKCC3IwS2fUF8zQKuaAi2mOTDkNg3kbugbHDHKxWqWgg3X1vuouoPMs C1v9YHlME4X0dnUIEDNpHAXqVOl1Q++lKvVzEpv7z32Kevo3LB8B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nAQAAFtDb250ZW50X1R5cGVzXS54 bWxQSwECFAAKAAAAAACHTuJAAAAAAAAAAAAAAAAABgAAAAAAAAAAABAAAAB+AwAAX3JlbHMvUEsB AhQAFAAAAAgAh07iQIoUZjzRAAAAlAEAAAsAAAAAAAAAAQAgAAAAogMAAF9yZWxzLy5yZWxzUEsB AhQACgAAAAAAh07iQAAAAAAAAAAAAAAAAAQAAAAAAAAAAAAQAAAAAAAAAGRycy9QSwECFAAUAAAA CACHTuJAs0lY7tAAAAAFAQAADwAAAAAAAAABACAAAAAiAAAAZHJzL2Rvd25yZXYueG1sUEsBAhQA FAAAAAgAh07iQGGthHIzAgAAYwQAAA4AAAAAAAAAAQAgAAAAHwEAAGRycy9lMm9Eb2MueG1sUEsF BgAAAAAGAAYAWQEAAMQFAAAAAA== ">
              <v:fill on="f" focussize="0,0"/>
              <v:stroke on="f" weight="0.5pt"/>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ZTTZkyAgAAYwQAAA4AAABkcnMvZTJvRG9jLnhtbK1US44TMRDdI3EH y3vSSRBRFKUzChMFIUXMSANi7bjdaUv+yXbSHQ4AN2DFhj3nyjl47k8GDSxmwcZddpVf+b2q6uVN oxU5CR+kNTmdjMaUCMNtIc0hp58+bl/NKQmRmYIpa0ROzyLQm9XLF8vaLcTUVlYVwhOAmLCoXU6r GN0iywKvhGZhZJ0wcJbWaxax9Yes8KwGulbZdDyeZbX1hfOWixBwuumctEf0zwG0ZSm52Fh+1MLE DtULxSIohUq6QFfta8tS8HhXlkFEonIKprFdkQT2Pq3ZaskWB89cJXn/BPacJzzhpJk0SHqF2rDI yNHLv6C05N4GW8YRtzrriLSKgMVk/ESbh4o50XKB1MFdRQ//D5Z/ON17Igt0wowSwzQqfvn+7fLj 1+XnV4IzCFS7sEDcg0NkbN7aBsHDecBh4t2UXqcvGBH4Ie/5Kq9oIuHp0nw6n4/h4vANG+Bnj9ed D/GdsJokI6ce9WtlZaddiF3oEJKyGbuVSrU1VIbUOZ29fjNuL1w9AFcGORKJ7rHJis2+6ZntbXEG MW+73giObyWS71iI98yjGfBgjEu8w1IqiyS2tyiprP/yr/MUjxrBS0mN5sqpwSxRot4b1A6AcTD8 YOwHwxz1rUW3TjCGjrcmLvioBrP0Vn/GDK1TDriY4ciU0ziYt7FrcMwgF+t1G3R0Xh6q7gI6z7G4 Mw+OpzRJyODWxwgxW42TQJ0qvW7ovbZK/Zyk5v5z30Y9/htWvw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5lNNmTICAABjBAAADgAAAAAAAAABACAAAAAfAQAAZHJzL2Uyb0RvYy54bWxQSwUG AAAAAAYABgBZAQAAwwUAAAAA ">
              <v:fill on="f" focussize="0,0"/>
              <v:stroke on="f" weight="0.5pt"/>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KT72nYyAgAAYwQAAA4AAABkcnMvZTJvRG9jLnhtbK1UzY7TMBC+I/EO lu80aRFLVTVdla2KkCp2pQVxdh2nseQ/2W6T8gDwBpy4cN/n6nPwOWm6aOGwBy7O2DP+xt83M5lf t1qRg/BBWlPQ8SinRBhuS2l2Bf38af1qSkmIzJRMWSMKehSBXi9evpg3biYmtraqFJ4AxIRZ4wpa x+hmWRZ4LTQLI+uEgbOyXrOIrd9lpWcN0LXKJnl+lTXWl85bLkLA6ap30jOifw6grSrJxcryvRYm 9qheKBZBKdTSBbroXltVgsfbqgoiElVQMI3diiSwt2nNFnM223nmasnPT2DPecITTppJg6QXqBWL jOy9/AtKS+5tsFUccauznkinCFiM8yfa3NfMiY4LpA7uInr4f7D84+HOE1miE95SYphGxU8/vp9+ Ppx+fSM4g0CNCzPE3TtExvadbRE8nAccJt5t5XX6ghGBH/IeL/KKNhKeLk0n02kOF4dv2AA/e7zu fIjvhdUkGQX1qF8nKztsQuxDh5CUzdi1VKqroTKkKejV6zd5d+HiAbgyyJFI9I9NVmy37ZnZ1pZH EPO2743g+Foi+YaFeMc8mgEPxrjEWyyVskhizxYltfVf/3We4lEjeClp0FwFNZglStQHg9oBMA6G H4ztYJi9vrHo1jHG0PHOxAUf1WBW3uovmKFlygEXMxyZChoH8yb2DY4Z5GK57IL2zstd3V9A5zkW N+be8ZQmCRncch8hZqdxEqhX5awbeq+r0nlOUnP/ue+iHv8Ni9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pPvadjICAABjBAAADgAAAAAAAAABACAAAAAfAQAAZHJzL2Uyb0RvYy54bWxQSwUG AAAAAAYABgBZAQAAwwUAAAAA ">
              <v:fill on="f" focussize="0,0"/>
              <v:stroke on="f" weight="0.5pt"/>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P9bQWsyAgAAYwQAAA4AAABkcnMvZTJvRG9jLnhtbK1UzY7TMBC+I/EO lu80aRGrUjVdla2KkCp2pQVxdh2nseQ/2W6T8gDwBpy4cN/n6nPwOWm6aOGwBy7O2DP+xt83M5lf t1qRg/BBWlPQ8SinRBhuS2l2Bf38af1qSkmIzJRMWSMKehSBXi9evpg3biYmtraqFJ4AxIRZ4wpa x+hmWRZ4LTQLI+uEgbOyXrOIrd9lpWcN0LXKJnl+lTXWl85bLkLA6ap30jOifw6grSrJxcryvRYm 9qheKBZBKdTSBbroXltVgsfbqgoiElVQMI3diiSwt2nNFnM223nmasnPT2DPecITTppJg6QXqBWL jOy9/AtKS+5tsFUccauznkinCFiM8yfa3NfMiY4LpA7uInr4f7D84+HOE1miE95SYphGxU8/vp9+ Ppx+fSM4g0CNCzPE3TtExvadbRE8nAccJt5t5XX6ghGBH/IeL/KKNhKeLk0n02kOF4dv2AA/e7zu fIjvhdUkGQX1qF8nKztsQuxDh5CUzdi1VKqroTKkKejV6zd5d+HiAbgyyJFI9I9NVmy37ZnZ1pZH EPO2743g+Foi+YaFeMc8mgEPxrjEWyyVskhizxYltfVf/3We4lEjeClp0FwFNZglStQHg9oBMA6G H4ztYJi9vrHo1jHG0PHOxAUf1WBW3uovmKFlygEXMxyZChoH8yb2DY4Z5GK57IL2zstd3V9A5zkW N+be8ZQmCRncch8hZqdxEqhX5awbeq+r0nlOUnP/ue+iHv8Ni9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1tBazICAABjBAAADgAAAAAAAAABACAAAAAfAQAAZHJzL2Uyb0RvYy54bWxQSwUG AAAAAAYABgBZAQAAwwUAAAAA ">
              <v:fill on="f" focussize="0,0"/>
              <v:stroke on="f" weight="0.5pt"/>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NR3mOYyAgAAYw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TiGJYRoVv3z/dvnx 6/LzK8EZBKpdmCNu5xAZm7e2QdsM5wGHiXdTep2+YETgB9b5Kq9oIuHp0mw6m43h4vANG+Bnj9ed D/GdsJokI6ce9WtlZadtiF3oEJKyGbuRSrU1VIbUOb15/WbcXrh6AK4MciQS3WOTFZt90zPb2+IM Yt52vREc30gk37IQH5hHM+DBGJd4j6VUFklsb1FSWf/lX+cpHjWCl5IazZVTg1miRL03qB0A42D4 wdgPhjnqO4tunWAMHW9NXPBRDWbprf6MGVqlHHAxw5Epp3Ew72LX4JhBLlarNujovDxU3QV0nmNx a3aOpzRJyOBWxwgxW42TQJ0qvW7ovbZK/Zyk5v5z30Y9/huWvw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1HeY5jICAABjBAAADgAAAAAAAAABACAAAAAfAQAAZHJzL2Uyb0RvYy54bWxQSwUG AAAAAAYABgBZAQAAwwUAAAAA ">
              <v:fill on="f" focussize="0,0"/>
              <v:stroke on="f" weight="0.5pt"/>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5"/>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JbfDwkyAgAAYwQAAA4AAABkcnMvZTJvRG9jLnhtbK1US44TMRDdI3EH y3vSSRCjKEpnFCYKQoqYkQJi7bjdaUv+yXbSHQ4AN2DFhj3nyjl47k8GDSxmwcZddpVf1XtV7sVt oxU5CR+kNTmdjMaUCMNtIc0hp58+bl7NKAmRmYIpa0ROzyLQ2+XLF4vazcXUVlYVwhOAmDCvXU6r GN08ywKvhGZhZJ0wcJbWaxax9Yes8KwGulbZdDy+yWrrC+ctFyHgdN05aY/onwNoy1Jysbb8qIWJ HaoXikVQCpV0gS7bastS8HhflkFEonIKprFdkQT2Pq3ZcsHmB89cJXlfAntOCU84aSYNkl6h1iwy cvTyLygtubfBlnHErc46Iq0iYDEZP9FmVzEnWi6QOrir6OH/wfIPpwdPZJHT6YQSwzQ6fvn+7fLj 1+XnV4IzCFS7MEfcziEyNm9tg7EZzgMOE++m9Dp9wYjAD3nPV3lFEwlPl2bT2WwMF4dv2AA/e7zu fIjvhNUkGTn16F8rKzttQ+xCh5CUzdiNVKrtoTKkzunN6zfj9sLVA3BlkCOR6IpNVmz2Tc9sb4sz iHnbzUZwfCORfMtCfGAew4CC8VziPZZSWSSxvUVJZf2Xf52nePQIXkpqDFdODd4SJeq9Qe8AGAfD D8Z+MMxR31lMK9qBWloTF3xUg1l6qz/jDa1SDriY4ciU0ziYd7EbcLxBLlarNujovDxU3QVMnmNx a3aOpzRJyOBWxwgxW42TQJ0qvW6YvbZL/TtJw/3nvo16/DcsfwN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lt8PCTICAABjBAAADgAAAAAAAAABACAAAAAfAQAAZHJzL2Uyb0RvYy54bWxQSwUG AAAAAAYABgBZAQAAwwUAAAAA ">
              <v:fill on="f" focussize="0,0"/>
              <v:stroke on="f" weight="0.5pt"/>
              <v:imagedata o:title=""/>
              <o:lock v:ext="edit" aspectratio="f"/>
              <v:textbox inset="0mm,0mm,0mm,0mm" style="mso-fit-shape-to-text:t;">
                <w:txbxContent>
                  <w:p>
                    <w:pPr>
                      <w:pStyle w:val="45"/>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w:t>
    </w:r>
    <w:r>
      <w:rPr>
        <w:rFonts w:hint="eastAsia"/>
      </w:rPr>
      <w:t xml:space="preserve">             </w:t>
    </w:r>
    <w:r>
      <w:rPr>
        <w:rFonts w:hint="eastAsia"/>
        <w:lang w:val="en-US" w:eastAsia="zh-CN"/>
      </w:rPr>
      <w:t>临平区</w:t>
    </w:r>
    <w:r>
      <w:t>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right="230"/>
      <w:jc w:val="right"/>
      <w:rPr>
        <w:rFonts w:ascii="宋体" w:hAnsi="宋体" w:eastAsia="宋体" w:cs="宋体"/>
        <w:sz w:val="17"/>
        <w:szCs w:val="17"/>
      </w:rPr>
    </w:pPr>
    <w:r>
      <mc:AlternateContent>
        <mc:Choice Requires="wps">
          <w:drawing>
            <wp:anchor distT="0" distB="0" distL="114300" distR="114300" simplePos="0" relativeHeight="251661312" behindDoc="0" locked="0" layoutInCell="0" allowOverlap="1">
              <wp:simplePos x="0" y="0"/>
              <wp:positionH relativeFrom="page">
                <wp:posOffset>1151890</wp:posOffset>
              </wp:positionH>
              <wp:positionV relativeFrom="page">
                <wp:posOffset>739140</wp:posOffset>
              </wp:positionV>
              <wp:extent cx="525716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257165" cy="9525"/>
                      </a:xfrm>
                      <a:custGeom>
                        <a:avLst/>
                        <a:gdLst/>
                        <a:ahLst/>
                        <a:cxnLst/>
                        <a:pathLst>
                          <a:path w="8279" h="15">
                            <a:moveTo>
                              <a:pt x="0" y="0"/>
                            </a:moveTo>
                            <a:lnTo>
                              <a:pt x="8278" y="0"/>
                            </a:lnTo>
                            <a:lnTo>
                              <a:pt x="827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7pt;margin-top:58.2pt;height:0.75pt;width:413.95pt;mso-position-horizontal-relative:page;mso-position-vertical-relative:page;z-index:251661312;mso-width-relative:page;mso-height-relative:page;" fillcolor="#000000" filled="t" stroked="f" coordsize="8279,15" o:allowincell="f" o:gfxdata="UEsDBAoAAAAAAIdO4kAAAAAAAAAAAAAAAAAEAAAAZHJzL1BLAwQUAAAACACHTuJAiL12NdYAAAAM AQAADwAAAGRycy9kb3ducmV2LnhtbE2PMU/DMBCFdyT+g3VIbNQOVKUNcTogYGGiLQObEx9JhH22 Yqct/HouE2zv3T29+67anr0TRxzTEEhDsVAgkNpgB+o0HPbPN2sQKRuyxgVCDd+YYFtfXlSmtOFE b3jc5U5wCaXSaOhzjqWUqe3Rm7QIEYl3n2H0JrMdO2lHc+Jy7+StUivpzUB8oTcRH3tsv3aT1xBf fpbpEIMf2wFfp4/mXT45p/X1VaEeQGQ8578wzPiMDjUzNWEim4Rjvy6WHGVRrFjMCaU2dyCaeXS/ AVlX8v8T9S9QSwMEFAAAAAgAh07iQHeYHnoTAgAAewQAAA4AAABkcnMvZTJvRG9jLnhtbK1UzY7T MBC+I/EOlu80bUX3p2q6B6rlgmClXR7AdZzGkv/kcZP0zp07R8RLoBU8zS7iMRg7SVvKpQdyiMee yTfzfTPO4qbVitTCg7Qmp5PRmBJhuC2k2eT048PtqytKIDBTMGWNyOlOAL1ZvnyxaNxcTG1lVSE8 QRAD88bltArBzbMMeCU0g5F1wqCztF6zgFu/yQrPGkTXKpuOxxdZY33hvOUCAE9XnZP2iP4cQFuW kouV5VstTOhQvVAsICWopAO6TNWWpeDhQ1mCCETlFJmG9MYkaK/jO1su2Hzjmask70tg55Rwwkkz aTDpHmrFAiNbL/+B0pJ7C7YMI2511hFJiiCLyfhEm/uKOZG4oNTg9qLD/4Pl7+s7T2SR0xklhmls +NPj469Pn5+/ffn98/vzj69kFkVqHMwx9t7d+X4HaEbGbel1XJELaZOwu72wog2E4+FsOrucXGAG jr5r3EXI7PAt30J4K2zCYfU7CF1bisFi1WDx1gymYyEex9zRJE1Or6aX15RUONaz1A1ta/FgU0Q4 KQ6zH7zKHEchCt6BgQUGDu5hdQlsHzZ53dMZ/MPaxeGoIdZZQWkejxJyZUF0UkWKSbM9bYw71g2s ksWtVCrSBb9Zv1Ge1CzOfXr6Gv8KUyYGGxs/69LEkyw2u2tvtNa22OGMbJ2Xmwov0CQhRQ/OZCqp vz9x6I/3Cenwz1j+AV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IIEAABbQ29udGVudF9UeXBlc10ueG1sUEsBAhQACgAAAAAAh07iQAAAAAAAAAAA AAAAAAYAAAAAAAAAAAAQAAAAZAMAAF9yZWxzL1BLAQIUABQAAAAIAIdO4kCKFGY80QAAAJQBAAAL AAAAAAAAAAEAIAAAAIgDAABfcmVscy8ucmVsc1BLAQIUAAoAAAAAAIdO4kAAAAAAAAAAAAAAAAAE AAAAAAAAAAAAEAAAAAAAAABkcnMvUEsBAhQAFAAAAAgAh07iQIi9djXWAAAADAEAAA8AAAAAAAAA AQAgAAAAIgAAAGRycy9kb3ducmV2LnhtbFBLAQIUABQAAAAIAIdO4kB3mB56EwIAAHsEAAAOAAAA AAAAAAEAIAAAACUBAABkcnMvZTJvRG9jLnhtbFBLBQYAAAAABgAGAFkBAACqBQAAAAA= " path="m0,0l8278,0,8278,14,0,14,0,0xe">
              <v:fill on="t" focussize="0,0"/>
              <v:stroke on="f"/>
              <v:imagedata o:title=""/>
              <o:lock v:ext="edit" aspectratio="f"/>
            </v:shape>
          </w:pict>
        </mc:Fallback>
      </mc:AlternateContent>
    </w:r>
    <w:r>
      <w:rPr>
        <w:rFonts w:ascii="宋体" w:hAnsi="宋体" w:eastAsia="宋体" w:cs="宋体"/>
        <w:spacing w:val="16"/>
        <w:sz w:val="17"/>
        <w:szCs w:val="17"/>
      </w:rPr>
      <w:t>临</w:t>
    </w:r>
    <w:r>
      <w:rPr>
        <w:rFonts w:ascii="宋体" w:hAnsi="宋体" w:eastAsia="宋体" w:cs="宋体"/>
        <w:spacing w:val="9"/>
        <w:sz w:val="17"/>
        <w:szCs w:val="17"/>
      </w:rPr>
      <w:t>平</w:t>
    </w:r>
    <w:r>
      <w:rPr>
        <w:rFonts w:ascii="宋体" w:hAnsi="宋体" w:eastAsia="宋体" w:cs="宋体"/>
        <w:spacing w:val="8"/>
        <w:sz w:val="17"/>
        <w:szCs w:val="17"/>
      </w:rPr>
      <w:t>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p>
  <w:p>
    <w:pPr>
      <w:pStyle w:val="46"/>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1C383"/>
    <w:multiLevelType w:val="singleLevel"/>
    <w:tmpl w:val="A1A1C383"/>
    <w:lvl w:ilvl="0" w:tentative="0">
      <w:start w:val="1"/>
      <w:numFmt w:val="decimal"/>
      <w:suff w:val="nothing"/>
      <w:lvlText w:val="（%1）"/>
      <w:lvlJc w:val="left"/>
    </w:lvl>
  </w:abstractNum>
  <w:abstractNum w:abstractNumId="1">
    <w:nsid w:val="A471F47F"/>
    <w:multiLevelType w:val="singleLevel"/>
    <w:tmpl w:val="A471F47F"/>
    <w:lvl w:ilvl="0" w:tentative="0">
      <w:start w:val="5"/>
      <w:numFmt w:val="chineseCounting"/>
      <w:suff w:val="nothing"/>
      <w:lvlText w:val="%1、"/>
      <w:lvlJc w:val="left"/>
      <w:rPr>
        <w:rFonts w:hint="eastAsia"/>
      </w:rPr>
    </w:lvl>
  </w:abstractNum>
  <w:abstractNum w:abstractNumId="2">
    <w:nsid w:val="00000010"/>
    <w:multiLevelType w:val="multilevel"/>
    <w:tmpl w:val="00000010"/>
    <w:lvl w:ilvl="0" w:tentative="0">
      <w:start w:val="1"/>
      <w:numFmt w:val="decimal"/>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9980D96"/>
    <w:multiLevelType w:val="singleLevel"/>
    <w:tmpl w:val="09980D96"/>
    <w:lvl w:ilvl="0" w:tentative="0">
      <w:start w:val="4"/>
      <w:numFmt w:val="chineseCounting"/>
      <w:lvlText w:val="%1."/>
      <w:lvlJc w:val="left"/>
      <w:pPr>
        <w:tabs>
          <w:tab w:val="left" w:pos="312"/>
        </w:tabs>
      </w:pPr>
      <w:rPr>
        <w:rFonts w:hint="eastAsia"/>
      </w:rPr>
    </w:lvl>
  </w:abstractNum>
  <w:abstractNum w:abstractNumId="4">
    <w:nsid w:val="5B4307A5"/>
    <w:multiLevelType w:val="singleLevel"/>
    <w:tmpl w:val="5B4307A5"/>
    <w:lvl w:ilvl="0" w:tentative="0">
      <w:start w:val="1"/>
      <w:numFmt w:val="decimal"/>
      <w:suff w:val="nothing"/>
      <w:lvlText w:val="%1、"/>
      <w:lvlJc w:val="left"/>
    </w:lvl>
  </w:abstractNum>
  <w:abstractNum w:abstractNumId="5">
    <w:nsid w:val="5D3EB96C"/>
    <w:multiLevelType w:val="singleLevel"/>
    <w:tmpl w:val="5D3EB96C"/>
    <w:lvl w:ilvl="0" w:tentative="0">
      <w:start w:val="1"/>
      <w:numFmt w:val="decimal"/>
      <w:suff w:val="nothing"/>
      <w:lvlText w:val="（%1）"/>
      <w:lvlJc w:val="left"/>
    </w:lvl>
  </w:abstractNum>
  <w:abstractNum w:abstractNumId="6">
    <w:nsid w:val="629D9D1F"/>
    <w:multiLevelType w:val="singleLevel"/>
    <w:tmpl w:val="629D9D1F"/>
    <w:lvl w:ilvl="0" w:tentative="0">
      <w:start w:val="6"/>
      <w:numFmt w:val="chineseCounting"/>
      <w:suff w:val="nothing"/>
      <w:lvlText w:val="%1、"/>
      <w:lvlJc w:val="left"/>
    </w:lvl>
  </w:abstractNum>
  <w:num w:numId="1">
    <w:abstractNumId w:val="6"/>
  </w:num>
  <w:num w:numId="2">
    <w:abstractNumId w:val="5"/>
  </w:num>
  <w:num w:numId="3">
    <w:abstractNumId w:val="3"/>
  </w:num>
  <w:num w:numId="4">
    <w:abstractNumId w:val="0"/>
  </w:num>
  <w:num w:numId="5">
    <w:abstractNumId w:val="2"/>
    <w:lvlOverride w:ilvl="0">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F0767"/>
    <w:rsid w:val="015E4ACC"/>
    <w:rsid w:val="019F7441"/>
    <w:rsid w:val="01B37585"/>
    <w:rsid w:val="01D55165"/>
    <w:rsid w:val="01DF6BF8"/>
    <w:rsid w:val="01EC2C57"/>
    <w:rsid w:val="026B2E25"/>
    <w:rsid w:val="02824D4D"/>
    <w:rsid w:val="02827F58"/>
    <w:rsid w:val="02DC4B10"/>
    <w:rsid w:val="02DD76CE"/>
    <w:rsid w:val="02F36323"/>
    <w:rsid w:val="02F5619C"/>
    <w:rsid w:val="0326446A"/>
    <w:rsid w:val="032D5555"/>
    <w:rsid w:val="034D1D78"/>
    <w:rsid w:val="035D4591"/>
    <w:rsid w:val="036634D2"/>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3F5B0F"/>
    <w:rsid w:val="06493CA7"/>
    <w:rsid w:val="065A6178"/>
    <w:rsid w:val="06667154"/>
    <w:rsid w:val="066F1CF3"/>
    <w:rsid w:val="06930BB8"/>
    <w:rsid w:val="07245D42"/>
    <w:rsid w:val="07264C62"/>
    <w:rsid w:val="072A2FCD"/>
    <w:rsid w:val="0779354C"/>
    <w:rsid w:val="07C231CA"/>
    <w:rsid w:val="08061376"/>
    <w:rsid w:val="08452D77"/>
    <w:rsid w:val="086401F8"/>
    <w:rsid w:val="08751CAA"/>
    <w:rsid w:val="087E4C40"/>
    <w:rsid w:val="08D66AD6"/>
    <w:rsid w:val="08DA33A3"/>
    <w:rsid w:val="08E80F13"/>
    <w:rsid w:val="08EC1FBC"/>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AEE5A69"/>
    <w:rsid w:val="0B30404E"/>
    <w:rsid w:val="0B4C6C14"/>
    <w:rsid w:val="0B631A88"/>
    <w:rsid w:val="0B683D45"/>
    <w:rsid w:val="0B7F3F11"/>
    <w:rsid w:val="0B884417"/>
    <w:rsid w:val="0B9E2045"/>
    <w:rsid w:val="0BF6188C"/>
    <w:rsid w:val="0BF73C91"/>
    <w:rsid w:val="0C170175"/>
    <w:rsid w:val="0C345014"/>
    <w:rsid w:val="0C571A41"/>
    <w:rsid w:val="0C5C1171"/>
    <w:rsid w:val="0C5C1BCC"/>
    <w:rsid w:val="0C5E1CBC"/>
    <w:rsid w:val="0C615B50"/>
    <w:rsid w:val="0C8445DA"/>
    <w:rsid w:val="0C87121B"/>
    <w:rsid w:val="0CBA46D9"/>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1467D4"/>
    <w:rsid w:val="0F400F01"/>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26336"/>
    <w:rsid w:val="10F33360"/>
    <w:rsid w:val="10FC16EA"/>
    <w:rsid w:val="110F1D40"/>
    <w:rsid w:val="11266F33"/>
    <w:rsid w:val="11286567"/>
    <w:rsid w:val="114961D3"/>
    <w:rsid w:val="116D437B"/>
    <w:rsid w:val="118963A1"/>
    <w:rsid w:val="11B0581C"/>
    <w:rsid w:val="11C6522A"/>
    <w:rsid w:val="11E104CC"/>
    <w:rsid w:val="11E20309"/>
    <w:rsid w:val="11FE0013"/>
    <w:rsid w:val="12255233"/>
    <w:rsid w:val="12530213"/>
    <w:rsid w:val="127723A9"/>
    <w:rsid w:val="12862074"/>
    <w:rsid w:val="12883966"/>
    <w:rsid w:val="129E45B4"/>
    <w:rsid w:val="12BB25D2"/>
    <w:rsid w:val="12D81596"/>
    <w:rsid w:val="13072A44"/>
    <w:rsid w:val="135F4BE2"/>
    <w:rsid w:val="137A4BC0"/>
    <w:rsid w:val="139B1A0A"/>
    <w:rsid w:val="139D25C7"/>
    <w:rsid w:val="13BF3CE4"/>
    <w:rsid w:val="141008D8"/>
    <w:rsid w:val="14125FE6"/>
    <w:rsid w:val="14650857"/>
    <w:rsid w:val="146D271E"/>
    <w:rsid w:val="14982588"/>
    <w:rsid w:val="149A5AD9"/>
    <w:rsid w:val="14A7619D"/>
    <w:rsid w:val="14BB7B9C"/>
    <w:rsid w:val="150536C3"/>
    <w:rsid w:val="150C1963"/>
    <w:rsid w:val="151447A0"/>
    <w:rsid w:val="154A6454"/>
    <w:rsid w:val="15762120"/>
    <w:rsid w:val="1688363B"/>
    <w:rsid w:val="16A8729C"/>
    <w:rsid w:val="16B33777"/>
    <w:rsid w:val="16BC70A7"/>
    <w:rsid w:val="16C6339E"/>
    <w:rsid w:val="172F2D79"/>
    <w:rsid w:val="17557BEF"/>
    <w:rsid w:val="175F3F5B"/>
    <w:rsid w:val="17C74806"/>
    <w:rsid w:val="17D349C1"/>
    <w:rsid w:val="18186614"/>
    <w:rsid w:val="1830729E"/>
    <w:rsid w:val="1870062C"/>
    <w:rsid w:val="18817102"/>
    <w:rsid w:val="18830A15"/>
    <w:rsid w:val="18852B28"/>
    <w:rsid w:val="188B5321"/>
    <w:rsid w:val="18EF0876"/>
    <w:rsid w:val="196453DF"/>
    <w:rsid w:val="19932372"/>
    <w:rsid w:val="19A20DD5"/>
    <w:rsid w:val="19AE03F1"/>
    <w:rsid w:val="1A071A03"/>
    <w:rsid w:val="1A1F16AE"/>
    <w:rsid w:val="1A3B5C77"/>
    <w:rsid w:val="1A65423B"/>
    <w:rsid w:val="1A984BAD"/>
    <w:rsid w:val="1AB8220E"/>
    <w:rsid w:val="1AE4166C"/>
    <w:rsid w:val="1AF06CFB"/>
    <w:rsid w:val="1AF11B8D"/>
    <w:rsid w:val="1AF85A85"/>
    <w:rsid w:val="1B11359C"/>
    <w:rsid w:val="1B2A271F"/>
    <w:rsid w:val="1B46204F"/>
    <w:rsid w:val="1B482B7C"/>
    <w:rsid w:val="1B530544"/>
    <w:rsid w:val="1B713184"/>
    <w:rsid w:val="1B741675"/>
    <w:rsid w:val="1BA209CF"/>
    <w:rsid w:val="1BB4777D"/>
    <w:rsid w:val="1BC258DA"/>
    <w:rsid w:val="1BD75AB8"/>
    <w:rsid w:val="1BED245D"/>
    <w:rsid w:val="1C0459C2"/>
    <w:rsid w:val="1C1B3B4A"/>
    <w:rsid w:val="1C767BD0"/>
    <w:rsid w:val="1C88086E"/>
    <w:rsid w:val="1D266CE1"/>
    <w:rsid w:val="1D3963AF"/>
    <w:rsid w:val="1D6A673C"/>
    <w:rsid w:val="1D9247AE"/>
    <w:rsid w:val="1DB567EC"/>
    <w:rsid w:val="1DE54FD0"/>
    <w:rsid w:val="1DF51A98"/>
    <w:rsid w:val="1E3D060F"/>
    <w:rsid w:val="1E3F7D2E"/>
    <w:rsid w:val="1E4134E4"/>
    <w:rsid w:val="1E5062B3"/>
    <w:rsid w:val="1E523514"/>
    <w:rsid w:val="1E714A66"/>
    <w:rsid w:val="1E802593"/>
    <w:rsid w:val="1E8B1E2C"/>
    <w:rsid w:val="1EA703CC"/>
    <w:rsid w:val="1EB7330C"/>
    <w:rsid w:val="1F0A0FF3"/>
    <w:rsid w:val="1F5771FF"/>
    <w:rsid w:val="1FE868A9"/>
    <w:rsid w:val="20034907"/>
    <w:rsid w:val="20173E4B"/>
    <w:rsid w:val="204E48BC"/>
    <w:rsid w:val="208921B3"/>
    <w:rsid w:val="208A67B8"/>
    <w:rsid w:val="20973DEB"/>
    <w:rsid w:val="20B26522"/>
    <w:rsid w:val="20B44310"/>
    <w:rsid w:val="211116EB"/>
    <w:rsid w:val="2133151A"/>
    <w:rsid w:val="216133FC"/>
    <w:rsid w:val="21A03638"/>
    <w:rsid w:val="21D56769"/>
    <w:rsid w:val="21E52EF3"/>
    <w:rsid w:val="21FB5D7B"/>
    <w:rsid w:val="220B1C3D"/>
    <w:rsid w:val="221D1D20"/>
    <w:rsid w:val="22334A87"/>
    <w:rsid w:val="22681CF7"/>
    <w:rsid w:val="22BE6801"/>
    <w:rsid w:val="233500BF"/>
    <w:rsid w:val="23377FF7"/>
    <w:rsid w:val="234731C4"/>
    <w:rsid w:val="236B425F"/>
    <w:rsid w:val="23836192"/>
    <w:rsid w:val="23901F29"/>
    <w:rsid w:val="239C0061"/>
    <w:rsid w:val="23B908A4"/>
    <w:rsid w:val="23D46191"/>
    <w:rsid w:val="23E95BEF"/>
    <w:rsid w:val="23F23D7D"/>
    <w:rsid w:val="23FD0064"/>
    <w:rsid w:val="245375B0"/>
    <w:rsid w:val="24642C0A"/>
    <w:rsid w:val="24674C39"/>
    <w:rsid w:val="24B22173"/>
    <w:rsid w:val="24B95AD9"/>
    <w:rsid w:val="24BE24DA"/>
    <w:rsid w:val="24CF5825"/>
    <w:rsid w:val="24D663E6"/>
    <w:rsid w:val="24D77F2B"/>
    <w:rsid w:val="24E87C1C"/>
    <w:rsid w:val="253E1FB4"/>
    <w:rsid w:val="258B00E2"/>
    <w:rsid w:val="25A917A6"/>
    <w:rsid w:val="25BE27CC"/>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7D467D9"/>
    <w:rsid w:val="28084A26"/>
    <w:rsid w:val="28333E1D"/>
    <w:rsid w:val="28454BD6"/>
    <w:rsid w:val="28455253"/>
    <w:rsid w:val="28551971"/>
    <w:rsid w:val="285B1C53"/>
    <w:rsid w:val="2869202C"/>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C09049E"/>
    <w:rsid w:val="2C0A653C"/>
    <w:rsid w:val="2C191F85"/>
    <w:rsid w:val="2C2B6674"/>
    <w:rsid w:val="2C4E7785"/>
    <w:rsid w:val="2CE40F12"/>
    <w:rsid w:val="2CE82D6F"/>
    <w:rsid w:val="2CF24727"/>
    <w:rsid w:val="2D343236"/>
    <w:rsid w:val="2D491B1B"/>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96747"/>
    <w:rsid w:val="33263B3F"/>
    <w:rsid w:val="33292380"/>
    <w:rsid w:val="336963EB"/>
    <w:rsid w:val="33757D46"/>
    <w:rsid w:val="33816EEB"/>
    <w:rsid w:val="339D48BD"/>
    <w:rsid w:val="33EB55CD"/>
    <w:rsid w:val="33EC4C02"/>
    <w:rsid w:val="340D2360"/>
    <w:rsid w:val="3410665D"/>
    <w:rsid w:val="34211214"/>
    <w:rsid w:val="342E63AB"/>
    <w:rsid w:val="34950E68"/>
    <w:rsid w:val="34986E94"/>
    <w:rsid w:val="34A064BE"/>
    <w:rsid w:val="34AF62C9"/>
    <w:rsid w:val="34CB4388"/>
    <w:rsid w:val="34FA6E12"/>
    <w:rsid w:val="358D5588"/>
    <w:rsid w:val="363A3B40"/>
    <w:rsid w:val="365302AE"/>
    <w:rsid w:val="36607A0A"/>
    <w:rsid w:val="366E227C"/>
    <w:rsid w:val="366F2E0D"/>
    <w:rsid w:val="367B6A5C"/>
    <w:rsid w:val="36A74ADA"/>
    <w:rsid w:val="36AD60D5"/>
    <w:rsid w:val="36B224F9"/>
    <w:rsid w:val="36EC0CC9"/>
    <w:rsid w:val="3720417F"/>
    <w:rsid w:val="373F410B"/>
    <w:rsid w:val="37EE7094"/>
    <w:rsid w:val="38120769"/>
    <w:rsid w:val="38296C89"/>
    <w:rsid w:val="383002EB"/>
    <w:rsid w:val="38586797"/>
    <w:rsid w:val="3884091C"/>
    <w:rsid w:val="38BC0149"/>
    <w:rsid w:val="38BC34BF"/>
    <w:rsid w:val="38D87D1C"/>
    <w:rsid w:val="38EC33C3"/>
    <w:rsid w:val="39636459"/>
    <w:rsid w:val="396B7F6C"/>
    <w:rsid w:val="398A029A"/>
    <w:rsid w:val="39B417A9"/>
    <w:rsid w:val="39FC5695"/>
    <w:rsid w:val="3A006D8E"/>
    <w:rsid w:val="3A23749D"/>
    <w:rsid w:val="3A3651E5"/>
    <w:rsid w:val="3A744481"/>
    <w:rsid w:val="3A8C7BEF"/>
    <w:rsid w:val="3A906246"/>
    <w:rsid w:val="3AB412F0"/>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41FD3"/>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3FCE2739"/>
    <w:rsid w:val="4019356B"/>
    <w:rsid w:val="40592157"/>
    <w:rsid w:val="406E1CAE"/>
    <w:rsid w:val="40A0133A"/>
    <w:rsid w:val="40C31A53"/>
    <w:rsid w:val="40FF545D"/>
    <w:rsid w:val="410067C8"/>
    <w:rsid w:val="41586BC4"/>
    <w:rsid w:val="418F0D2A"/>
    <w:rsid w:val="41D01505"/>
    <w:rsid w:val="42474939"/>
    <w:rsid w:val="424C3C57"/>
    <w:rsid w:val="42562163"/>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35D7A"/>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5E2AFB"/>
    <w:rsid w:val="4D905305"/>
    <w:rsid w:val="4D964A72"/>
    <w:rsid w:val="4D9C1254"/>
    <w:rsid w:val="4DBD0916"/>
    <w:rsid w:val="4E6A4366"/>
    <w:rsid w:val="4E793892"/>
    <w:rsid w:val="4E800872"/>
    <w:rsid w:val="4EC569ED"/>
    <w:rsid w:val="4ED50EA1"/>
    <w:rsid w:val="4EEC050C"/>
    <w:rsid w:val="4F104EC3"/>
    <w:rsid w:val="4F47354A"/>
    <w:rsid w:val="4F911C54"/>
    <w:rsid w:val="4F9C11AB"/>
    <w:rsid w:val="4FE625E0"/>
    <w:rsid w:val="4FE65BDF"/>
    <w:rsid w:val="50151AE1"/>
    <w:rsid w:val="5021480F"/>
    <w:rsid w:val="506256F1"/>
    <w:rsid w:val="50962ECB"/>
    <w:rsid w:val="50A42E38"/>
    <w:rsid w:val="50A4577F"/>
    <w:rsid w:val="50B73D1F"/>
    <w:rsid w:val="50BD5BC9"/>
    <w:rsid w:val="50C11EEE"/>
    <w:rsid w:val="50E97CFC"/>
    <w:rsid w:val="50FA4028"/>
    <w:rsid w:val="510D65B7"/>
    <w:rsid w:val="511157AB"/>
    <w:rsid w:val="5142540C"/>
    <w:rsid w:val="518357C9"/>
    <w:rsid w:val="518832C8"/>
    <w:rsid w:val="518F5CC6"/>
    <w:rsid w:val="51A0432A"/>
    <w:rsid w:val="51A86090"/>
    <w:rsid w:val="51B7396D"/>
    <w:rsid w:val="522E4CC3"/>
    <w:rsid w:val="5244713B"/>
    <w:rsid w:val="52615633"/>
    <w:rsid w:val="52977FD4"/>
    <w:rsid w:val="52A25790"/>
    <w:rsid w:val="52A96B6F"/>
    <w:rsid w:val="52AB07CA"/>
    <w:rsid w:val="52B45975"/>
    <w:rsid w:val="52D94AA4"/>
    <w:rsid w:val="52EA3A62"/>
    <w:rsid w:val="52F50BB8"/>
    <w:rsid w:val="53097272"/>
    <w:rsid w:val="53544462"/>
    <w:rsid w:val="5397158E"/>
    <w:rsid w:val="54013861"/>
    <w:rsid w:val="54487265"/>
    <w:rsid w:val="544D6070"/>
    <w:rsid w:val="54510377"/>
    <w:rsid w:val="54605E1E"/>
    <w:rsid w:val="54B3506A"/>
    <w:rsid w:val="54CA0D16"/>
    <w:rsid w:val="54DD4057"/>
    <w:rsid w:val="54E7490F"/>
    <w:rsid w:val="550764A4"/>
    <w:rsid w:val="550B2BF6"/>
    <w:rsid w:val="551E5A77"/>
    <w:rsid w:val="55214EB5"/>
    <w:rsid w:val="55364EFD"/>
    <w:rsid w:val="555D4828"/>
    <w:rsid w:val="557A4C8B"/>
    <w:rsid w:val="558931E1"/>
    <w:rsid w:val="558F69EF"/>
    <w:rsid w:val="55923347"/>
    <w:rsid w:val="55925180"/>
    <w:rsid w:val="55983B1B"/>
    <w:rsid w:val="55A8376B"/>
    <w:rsid w:val="55DC29B6"/>
    <w:rsid w:val="55DD424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326F1"/>
    <w:rsid w:val="59F80043"/>
    <w:rsid w:val="5A09252F"/>
    <w:rsid w:val="5A0B2778"/>
    <w:rsid w:val="5A2A7C7B"/>
    <w:rsid w:val="5A3C0E89"/>
    <w:rsid w:val="5A3E2560"/>
    <w:rsid w:val="5A5D3B6E"/>
    <w:rsid w:val="5A637A76"/>
    <w:rsid w:val="5A6D33BA"/>
    <w:rsid w:val="5A7449E7"/>
    <w:rsid w:val="5A792B1F"/>
    <w:rsid w:val="5A874767"/>
    <w:rsid w:val="5AAD6F28"/>
    <w:rsid w:val="5AD1514A"/>
    <w:rsid w:val="5AD63A24"/>
    <w:rsid w:val="5B024457"/>
    <w:rsid w:val="5B091AC4"/>
    <w:rsid w:val="5B2E1A1D"/>
    <w:rsid w:val="5B843A1C"/>
    <w:rsid w:val="5B873E3F"/>
    <w:rsid w:val="5BC03E9E"/>
    <w:rsid w:val="5BC37A0B"/>
    <w:rsid w:val="5BE0007A"/>
    <w:rsid w:val="5C02690E"/>
    <w:rsid w:val="5C1259D7"/>
    <w:rsid w:val="5C196DA7"/>
    <w:rsid w:val="5C2A048C"/>
    <w:rsid w:val="5C80234E"/>
    <w:rsid w:val="5C8A680C"/>
    <w:rsid w:val="5CA90D88"/>
    <w:rsid w:val="5D0C4701"/>
    <w:rsid w:val="5D0F0395"/>
    <w:rsid w:val="5D221076"/>
    <w:rsid w:val="5D397964"/>
    <w:rsid w:val="5D5A391C"/>
    <w:rsid w:val="5D5F10C0"/>
    <w:rsid w:val="5D891B7B"/>
    <w:rsid w:val="5DAD38EE"/>
    <w:rsid w:val="5E006862"/>
    <w:rsid w:val="5E0207B9"/>
    <w:rsid w:val="5E1834A1"/>
    <w:rsid w:val="5E261785"/>
    <w:rsid w:val="5E3B3CA9"/>
    <w:rsid w:val="5E4A7017"/>
    <w:rsid w:val="5E552BBA"/>
    <w:rsid w:val="5E611C10"/>
    <w:rsid w:val="5EB033F0"/>
    <w:rsid w:val="5EFC7377"/>
    <w:rsid w:val="5F06174D"/>
    <w:rsid w:val="5F3A3602"/>
    <w:rsid w:val="5F6277C6"/>
    <w:rsid w:val="5F6D0B1D"/>
    <w:rsid w:val="5F8D0B82"/>
    <w:rsid w:val="5F9A3F78"/>
    <w:rsid w:val="5F9D2718"/>
    <w:rsid w:val="5FCC5339"/>
    <w:rsid w:val="5FE34A5B"/>
    <w:rsid w:val="5FFE1E36"/>
    <w:rsid w:val="600D3BA4"/>
    <w:rsid w:val="60232584"/>
    <w:rsid w:val="603354CB"/>
    <w:rsid w:val="607330CE"/>
    <w:rsid w:val="60825176"/>
    <w:rsid w:val="609F2AC4"/>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6671FB"/>
    <w:rsid w:val="62885958"/>
    <w:rsid w:val="629058F8"/>
    <w:rsid w:val="62F40B65"/>
    <w:rsid w:val="62FC2CFE"/>
    <w:rsid w:val="63024505"/>
    <w:rsid w:val="635B1DB5"/>
    <w:rsid w:val="63711FED"/>
    <w:rsid w:val="637825C4"/>
    <w:rsid w:val="63880DDC"/>
    <w:rsid w:val="638D750D"/>
    <w:rsid w:val="63AC6CC0"/>
    <w:rsid w:val="63ED1601"/>
    <w:rsid w:val="64055776"/>
    <w:rsid w:val="64240056"/>
    <w:rsid w:val="643E143A"/>
    <w:rsid w:val="648B6EEF"/>
    <w:rsid w:val="64C158BF"/>
    <w:rsid w:val="64CE2EAA"/>
    <w:rsid w:val="650236C7"/>
    <w:rsid w:val="653C3090"/>
    <w:rsid w:val="65854376"/>
    <w:rsid w:val="658767BE"/>
    <w:rsid w:val="65892531"/>
    <w:rsid w:val="66125E6A"/>
    <w:rsid w:val="66195831"/>
    <w:rsid w:val="662E75B1"/>
    <w:rsid w:val="66342C2E"/>
    <w:rsid w:val="663E784C"/>
    <w:rsid w:val="668B6A45"/>
    <w:rsid w:val="672F3F24"/>
    <w:rsid w:val="673E055F"/>
    <w:rsid w:val="67430B21"/>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DE0BD1"/>
    <w:rsid w:val="6AE74F38"/>
    <w:rsid w:val="6AE96859"/>
    <w:rsid w:val="6B147746"/>
    <w:rsid w:val="6B24787C"/>
    <w:rsid w:val="6B573233"/>
    <w:rsid w:val="6B5B6274"/>
    <w:rsid w:val="6B795CEF"/>
    <w:rsid w:val="6B80746E"/>
    <w:rsid w:val="6B8E6844"/>
    <w:rsid w:val="6B935D53"/>
    <w:rsid w:val="6BE96690"/>
    <w:rsid w:val="6BF86C61"/>
    <w:rsid w:val="6C196F71"/>
    <w:rsid w:val="6C226FCB"/>
    <w:rsid w:val="6C31226F"/>
    <w:rsid w:val="6C406744"/>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8335BD"/>
    <w:rsid w:val="6E8E12EF"/>
    <w:rsid w:val="6E972936"/>
    <w:rsid w:val="6ED446C5"/>
    <w:rsid w:val="6EFA5469"/>
    <w:rsid w:val="6F2A7D94"/>
    <w:rsid w:val="6F63625D"/>
    <w:rsid w:val="6F8331F1"/>
    <w:rsid w:val="6FAE1A09"/>
    <w:rsid w:val="6FC438EB"/>
    <w:rsid w:val="6FD75BF8"/>
    <w:rsid w:val="707723D0"/>
    <w:rsid w:val="70B668F0"/>
    <w:rsid w:val="70F5661B"/>
    <w:rsid w:val="71360107"/>
    <w:rsid w:val="713B688E"/>
    <w:rsid w:val="71565065"/>
    <w:rsid w:val="71D43752"/>
    <w:rsid w:val="71F1796A"/>
    <w:rsid w:val="72154626"/>
    <w:rsid w:val="72262B5D"/>
    <w:rsid w:val="72283FF7"/>
    <w:rsid w:val="722E7212"/>
    <w:rsid w:val="723A0474"/>
    <w:rsid w:val="725923E4"/>
    <w:rsid w:val="72864BF7"/>
    <w:rsid w:val="729023FC"/>
    <w:rsid w:val="72CE6D66"/>
    <w:rsid w:val="72D40618"/>
    <w:rsid w:val="73612AB3"/>
    <w:rsid w:val="73C0646E"/>
    <w:rsid w:val="742222F5"/>
    <w:rsid w:val="74476126"/>
    <w:rsid w:val="74706664"/>
    <w:rsid w:val="747F3682"/>
    <w:rsid w:val="749C4185"/>
    <w:rsid w:val="75067759"/>
    <w:rsid w:val="75207A92"/>
    <w:rsid w:val="752E6DCD"/>
    <w:rsid w:val="75342268"/>
    <w:rsid w:val="754A11EA"/>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C218E9"/>
    <w:rsid w:val="77D1700D"/>
    <w:rsid w:val="77EC04CC"/>
    <w:rsid w:val="78510AC5"/>
    <w:rsid w:val="78590B7C"/>
    <w:rsid w:val="78775729"/>
    <w:rsid w:val="78A42DB0"/>
    <w:rsid w:val="78A656AB"/>
    <w:rsid w:val="78B2245C"/>
    <w:rsid w:val="78E172CC"/>
    <w:rsid w:val="78EA1D1F"/>
    <w:rsid w:val="7904172F"/>
    <w:rsid w:val="790F7E27"/>
    <w:rsid w:val="792A231A"/>
    <w:rsid w:val="79316829"/>
    <w:rsid w:val="795B0E28"/>
    <w:rsid w:val="79763A39"/>
    <w:rsid w:val="797E66A9"/>
    <w:rsid w:val="79815C35"/>
    <w:rsid w:val="79A97383"/>
    <w:rsid w:val="79E27E8B"/>
    <w:rsid w:val="79F850CE"/>
    <w:rsid w:val="79F90271"/>
    <w:rsid w:val="79FD443C"/>
    <w:rsid w:val="7A0D5743"/>
    <w:rsid w:val="7A115E1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CFA1AAD"/>
    <w:rsid w:val="7D0C32F1"/>
    <w:rsid w:val="7D0F408D"/>
    <w:rsid w:val="7D491C6C"/>
    <w:rsid w:val="7D5429C0"/>
    <w:rsid w:val="7D6E6D43"/>
    <w:rsid w:val="7DB57A34"/>
    <w:rsid w:val="7DC46119"/>
    <w:rsid w:val="7DE60973"/>
    <w:rsid w:val="7DEF0916"/>
    <w:rsid w:val="7E1E5218"/>
    <w:rsid w:val="7E7713DD"/>
    <w:rsid w:val="7E9A4E1F"/>
    <w:rsid w:val="7EA7723A"/>
    <w:rsid w:val="7EF56FBB"/>
    <w:rsid w:val="7F0768EB"/>
    <w:rsid w:val="7F143BEC"/>
    <w:rsid w:val="7F3663C0"/>
    <w:rsid w:val="7F712CCC"/>
    <w:rsid w:val="7F715AF2"/>
    <w:rsid w:val="7F886E69"/>
    <w:rsid w:val="7FB57FF1"/>
    <w:rsid w:val="7FDF1D7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9">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1"/>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link w:val="74"/>
    <w:unhideWhenUsed/>
    <w:qFormat/>
    <w:uiPriority w:val="1"/>
    <w:rPr>
      <w:rFonts w:ascii="仿宋_GB2312" w:eastAsia="仿宋_GB2312"/>
      <w:b/>
      <w:sz w:val="32"/>
      <w:szCs w:val="32"/>
    </w:rPr>
  </w:style>
  <w:style w:type="table" w:default="1" w:styleId="66">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3"/>
    <w:link w:val="784"/>
    <w:qFormat/>
    <w:uiPriority w:val="0"/>
    <w:pPr>
      <w:spacing w:line="480" w:lineRule="exact"/>
      <w:ind w:firstLine="480" w:firstLineChars="200"/>
    </w:pPr>
    <w:rPr>
      <w:rFonts w:ascii="宋体" w:hAnsi="宋体"/>
      <w:sz w:val="24"/>
    </w:rPr>
  </w:style>
  <w:style w:type="paragraph" w:customStyle="1" w:styleId="3">
    <w:name w:val="正文文本首行缩进 2"/>
    <w:basedOn w:val="4"/>
    <w:qFormat/>
    <w:uiPriority w:val="0"/>
    <w:pPr>
      <w:tabs>
        <w:tab w:val="right" w:leader="dot" w:pos="8268"/>
      </w:tabs>
      <w:spacing w:line="200" w:lineRule="atLeast"/>
      <w:ind w:firstLine="420"/>
    </w:pPr>
    <w:rPr>
      <w:rFonts w:ascii="宋体" w:hAnsi="Courier New" w:eastAsia="宋体" w:cs="Times New Roman"/>
      <w:spacing w:val="-4"/>
      <w:sz w:val="18"/>
    </w:rPr>
  </w:style>
  <w:style w:type="paragraph" w:customStyle="1" w:styleId="4">
    <w:name w:val="正文缩进1"/>
    <w:basedOn w:val="5"/>
    <w:next w:val="3"/>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5">
    <w:name w:val="正文1"/>
    <w:basedOn w:val="6"/>
    <w:next w:val="7"/>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6">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7">
    <w:name w:val="标题 21"/>
    <w:basedOn w:val="5"/>
    <w:next w:val="5"/>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11">
    <w:name w:val="Normal Indent"/>
    <w:basedOn w:val="1"/>
    <w:next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8">
    <w:name w:val="toc 7"/>
    <w:basedOn w:val="1"/>
    <w:next w:val="1"/>
    <w:qFormat/>
    <w:uiPriority w:val="0"/>
    <w:pPr>
      <w:ind w:left="2520" w:leftChars="1200"/>
    </w:p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753"/>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728"/>
    <w:qFormat/>
    <w:uiPriority w:val="0"/>
    <w:pPr>
      <w:shd w:val="clear" w:color="auto" w:fill="000080"/>
    </w:pPr>
  </w:style>
  <w:style w:type="paragraph" w:styleId="25">
    <w:name w:val="annotation text"/>
    <w:basedOn w:val="1"/>
    <w:link w:val="856"/>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6">
    <w:name w:val="Salutation"/>
    <w:basedOn w:val="1"/>
    <w:next w:val="1"/>
    <w:link w:val="816"/>
    <w:qFormat/>
    <w:uiPriority w:val="0"/>
    <w:rPr>
      <w:rFonts w:ascii="仿宋_GB2312" w:eastAsia="仿宋_GB2312"/>
      <w:sz w:val="28"/>
      <w:szCs w:val="20"/>
    </w:rPr>
  </w:style>
  <w:style w:type="paragraph" w:styleId="27">
    <w:name w:val="Body Text 3"/>
    <w:basedOn w:val="1"/>
    <w:link w:val="844"/>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Body Text"/>
    <w:basedOn w:val="1"/>
    <w:next w:val="30"/>
    <w:link w:val="933"/>
    <w:qFormat/>
    <w:uiPriority w:val="0"/>
    <w:pPr>
      <w:autoSpaceDE w:val="0"/>
      <w:autoSpaceDN w:val="0"/>
      <w:spacing w:line="360" w:lineRule="auto"/>
    </w:pPr>
    <w:rPr>
      <w:rFonts w:ascii="宋体" w:hAnsi="Arial" w:cs="Arial"/>
      <w:snapToGrid w:val="0"/>
      <w:sz w:val="24"/>
      <w:szCs w:val="21"/>
      <w:lang w:val="zh-CN"/>
    </w:rPr>
  </w:style>
  <w:style w:type="paragraph" w:styleId="30">
    <w:name w:val="Body Text First Indent"/>
    <w:basedOn w:val="29"/>
    <w:next w:val="31"/>
    <w:link w:val="835"/>
    <w:qFormat/>
    <w:uiPriority w:val="0"/>
    <w:pPr>
      <w:ind w:firstLine="420"/>
    </w:pPr>
    <w:rPr>
      <w:rFonts w:hAnsi="Calibri" w:cs="Times New Roman"/>
      <w:szCs w:val="20"/>
    </w:rPr>
  </w:style>
  <w:style w:type="paragraph" w:styleId="31">
    <w:name w:val="toc 6"/>
    <w:basedOn w:val="1"/>
    <w:next w:val="1"/>
    <w:qFormat/>
    <w:uiPriority w:val="0"/>
    <w:pPr>
      <w:ind w:left="2100" w:leftChars="1000"/>
    </w:pPr>
  </w:style>
  <w:style w:type="paragraph" w:styleId="32">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Plain Text"/>
    <w:basedOn w:val="1"/>
    <w:next w:val="1"/>
    <w:link w:val="660"/>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710"/>
    <w:qFormat/>
    <w:uiPriority w:val="0"/>
    <w:pPr>
      <w:ind w:left="100" w:leftChars="2500"/>
    </w:pPr>
    <w:rPr>
      <w:rFonts w:ascii="宋体"/>
      <w:sz w:val="24"/>
      <w:szCs w:val="21"/>
      <w:lang w:val="zh-CN"/>
    </w:rPr>
  </w:style>
  <w:style w:type="paragraph" w:styleId="42">
    <w:name w:val="Body Text Indent 2"/>
    <w:basedOn w:val="1"/>
    <w:link w:val="824"/>
    <w:qFormat/>
    <w:uiPriority w:val="0"/>
    <w:pPr>
      <w:spacing w:line="360" w:lineRule="auto"/>
      <w:ind w:firstLine="601"/>
      <w:textAlignment w:val="baseline"/>
    </w:pPr>
    <w:rPr>
      <w:rFonts w:ascii="宋体"/>
      <w:kern w:val="0"/>
      <w:sz w:val="28"/>
      <w:szCs w:val="20"/>
    </w:rPr>
  </w:style>
  <w:style w:type="paragraph" w:styleId="43">
    <w:name w:val="endnote text"/>
    <w:basedOn w:val="1"/>
    <w:link w:val="941"/>
    <w:qFormat/>
    <w:uiPriority w:val="0"/>
    <w:rPr>
      <w:lang w:val="zh-CN"/>
    </w:rPr>
  </w:style>
  <w:style w:type="paragraph" w:styleId="44">
    <w:name w:val="Balloon Text"/>
    <w:basedOn w:val="1"/>
    <w:link w:val="717"/>
    <w:qFormat/>
    <w:uiPriority w:val="0"/>
    <w:rPr>
      <w:sz w:val="18"/>
      <w:szCs w:val="18"/>
    </w:rPr>
  </w:style>
  <w:style w:type="paragraph" w:styleId="45">
    <w:name w:val="footer"/>
    <w:basedOn w:val="1"/>
    <w:link w:val="892"/>
    <w:qFormat/>
    <w:uiPriority w:val="99"/>
    <w:pPr>
      <w:tabs>
        <w:tab w:val="center" w:pos="4153"/>
        <w:tab w:val="right" w:pos="8306"/>
      </w:tabs>
      <w:snapToGrid w:val="0"/>
      <w:jc w:val="left"/>
    </w:pPr>
    <w:rPr>
      <w:sz w:val="18"/>
      <w:szCs w:val="18"/>
    </w:rPr>
  </w:style>
  <w:style w:type="paragraph" w:styleId="46">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11"/>
    <w:link w:val="826"/>
    <w:qFormat/>
    <w:uiPriority w:val="0"/>
    <w:pPr>
      <w:adjustRightInd/>
      <w:snapToGrid/>
      <w:spacing w:before="60" w:after="60" w:line="300" w:lineRule="exact"/>
      <w:ind w:firstLine="0"/>
    </w:pPr>
    <w:rPr>
      <w:rFonts w:ascii="Calibri"/>
      <w:color w:val="0000FF"/>
      <w:kern w:val="0"/>
      <w:sz w:val="21"/>
    </w:r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85"/>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20"/>
    <w:qFormat/>
    <w:uiPriority w:val="0"/>
    <w:pPr>
      <w:spacing w:after="120" w:line="480" w:lineRule="auto"/>
    </w:pPr>
  </w:style>
  <w:style w:type="paragraph" w:styleId="61">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25"/>
    <w:next w:val="25"/>
    <w:link w:val="633"/>
    <w:qFormat/>
    <w:uiPriority w:val="0"/>
    <w:rPr>
      <w:b/>
      <w:bCs/>
    </w:rPr>
  </w:style>
  <w:style w:type="paragraph" w:styleId="65">
    <w:name w:val="Body Text First Indent 2"/>
    <w:basedOn w:val="2"/>
    <w:next w:val="1"/>
    <w:link w:val="656"/>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4">
    <w:name w:val="Char Char Char Char Char Char Char Char Char Char Char Char Char"/>
    <w:basedOn w:val="1"/>
    <w:link w:val="73"/>
    <w:qFormat/>
    <w:uiPriority w:val="0"/>
    <w:rPr>
      <w:rFonts w:ascii="仿宋_GB2312" w:eastAsia="仿宋_GB2312"/>
      <w:b/>
      <w:sz w:val="32"/>
      <w:szCs w:val="32"/>
    </w:r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3"/>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3"/>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5"/>
    <w:qFormat/>
    <w:uiPriority w:val="0"/>
    <w:pPr>
      <w:spacing w:before="156" w:line="360" w:lineRule="auto"/>
      <w:ind w:firstLine="510" w:firstLineChars="200"/>
    </w:pPr>
    <w:rPr>
      <w:sz w:val="24"/>
      <w:szCs w:val="20"/>
    </w:rPr>
  </w:style>
  <w:style w:type="paragraph" w:customStyle="1" w:styleId="91">
    <w:name w:val="无间隔1"/>
    <w:link w:val="673"/>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1"/>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9"/>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6"/>
    <w:qFormat/>
    <w:uiPriority w:val="0"/>
    <w:pPr>
      <w:ind w:left="0" w:right="466" w:firstLine="288"/>
    </w:pPr>
    <w:rPr>
      <w:rFonts w:hAnsi="宋体"/>
    </w:rPr>
  </w:style>
  <w:style w:type="paragraph" w:customStyle="1" w:styleId="98">
    <w:name w:val="样式 标题 3h33rd level3BOD 0H3l3CTHeading 3 - oldLevel 3 He..."/>
    <w:basedOn w:val="10"/>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12"/>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8"/>
    <w:qFormat/>
    <w:uiPriority w:val="0"/>
    <w:pPr>
      <w:adjustRightInd/>
      <w:spacing w:line="360" w:lineRule="auto"/>
      <w:ind w:firstLine="480" w:firstLineChars="200"/>
    </w:pPr>
    <w:rPr>
      <w:kern w:val="0"/>
      <w:sz w:val="24"/>
    </w:rPr>
  </w:style>
  <w:style w:type="paragraph" w:customStyle="1" w:styleId="103">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List Paragraph"/>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799"/>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1"/>
    <w:qFormat/>
    <w:uiPriority w:val="0"/>
    <w:pPr>
      <w:tabs>
        <w:tab w:val="left" w:pos="2356"/>
      </w:tabs>
    </w:pPr>
  </w:style>
  <w:style w:type="paragraph" w:customStyle="1" w:styleId="108">
    <w:name w:val="样式 标题 4h4H4Fab-4T5Ref Heading 1rh1Heading sqlsect 1.2.3...."/>
    <w:basedOn w:val="12"/>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4"/>
    <w:qFormat/>
    <w:uiPriority w:val="0"/>
    <w:pPr>
      <w:adjustRightInd/>
    </w:pPr>
    <w:rPr>
      <w:rFonts w:ascii="宋体" w:hAnsi="Courier New"/>
      <w:kern w:val="0"/>
      <w:sz w:val="20"/>
      <w:szCs w:val="20"/>
    </w:rPr>
  </w:style>
  <w:style w:type="paragraph" w:customStyle="1" w:styleId="111">
    <w:name w:val="正文说明"/>
    <w:basedOn w:val="1"/>
    <w:link w:val="846"/>
    <w:qFormat/>
    <w:uiPriority w:val="0"/>
    <w:pPr>
      <w:adjustRightInd/>
      <w:spacing w:line="360" w:lineRule="auto"/>
    </w:pPr>
    <w:rPr>
      <w:kern w:val="0"/>
      <w:sz w:val="24"/>
    </w:rPr>
  </w:style>
  <w:style w:type="paragraph" w:customStyle="1" w:styleId="112">
    <w:name w:val="Table Text"/>
    <w:basedOn w:val="1"/>
    <w:link w:val="852"/>
    <w:qFormat/>
    <w:uiPriority w:val="0"/>
    <w:pPr>
      <w:widowControl/>
      <w:spacing w:before="60" w:after="60"/>
      <w:jc w:val="left"/>
    </w:pPr>
    <w:rPr>
      <w:kern w:val="0"/>
      <w:sz w:val="24"/>
    </w:rPr>
  </w:style>
  <w:style w:type="paragraph" w:customStyle="1" w:styleId="113">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11"/>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12"/>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312"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9"/>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9"/>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spacing w:before="0" w:after="0"/>
      <w:outlineLvl w:val="5"/>
    </w:pPr>
  </w:style>
  <w:style w:type="paragraph" w:customStyle="1" w:styleId="162">
    <w:name w:val="5级标题"/>
    <w:basedOn w:val="16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14"/>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No Spacing"/>
    <w:basedOn w:val="1"/>
    <w:link w:val="942"/>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9"/>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8"/>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10"/>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13"/>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10"/>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9"/>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11"/>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8"/>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3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12"/>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9"/>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11"/>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156"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9"/>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60"/>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4">
    <w:name w:val="小节"/>
    <w:basedOn w:val="10"/>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9"/>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8"/>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9"/>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12"/>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5"/>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9"/>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156"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0" w:beforeLines="0" w:after="0" w:afterLines="0"/>
      <w:ind w:left="1680"/>
      <w:outlineLvl w:val="2"/>
    </w:pPr>
  </w:style>
  <w:style w:type="paragraph" w:customStyle="1" w:styleId="346">
    <w:name w:val="章标题"/>
    <w:next w:val="32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9"/>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8"/>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8"/>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12"/>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9"/>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9"/>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42"/>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10"/>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9"/>
    <w:qFormat/>
    <w:uiPriority w:val="0"/>
    <w:pPr>
      <w:snapToGrid w:val="0"/>
      <w:ind w:firstLine="480" w:firstLineChars="200"/>
    </w:pPr>
    <w:rPr>
      <w:rFonts w:ascii="Times New Roman"/>
      <w:szCs w:val="24"/>
      <w:lang w:val="en-US"/>
    </w:rPr>
  </w:style>
  <w:style w:type="paragraph" w:customStyle="1" w:styleId="45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3"/>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11"/>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10"/>
    <w:next w:val="57"/>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8"/>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8"/>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qFormat/>
    <w:uiPriority w:val="0"/>
    <w:pPr>
      <w:tabs>
        <w:tab w:val="left" w:pos="294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2"/>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9"/>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1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10"/>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4"/>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60"/>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6"/>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10"/>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8"/>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9"/>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13"/>
    <w:next w:val="1"/>
    <w:qFormat/>
    <w:uiPriority w:val="0"/>
    <w:pPr>
      <w:tabs>
        <w:tab w:val="left" w:pos="1080"/>
        <w:tab w:val="clear" w:pos="1008"/>
      </w:tabs>
      <w:ind w:left="1080" w:hanging="1080"/>
    </w:pPr>
  </w:style>
  <w:style w:type="paragraph" w:customStyle="1" w:styleId="583">
    <w:name w:val="数字标题1"/>
    <w:basedOn w:val="8"/>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1"/>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0"/>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9"/>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2">
    <w:name w:val="表格非标题文字 Char"/>
    <w:link w:val="85"/>
    <w:qFormat/>
    <w:uiPriority w:val="0"/>
    <w:rPr>
      <w:rFonts w:ascii="Futura Bk" w:hAnsi="Futura Bk"/>
      <w:kern w:val="2"/>
      <w:sz w:val="18"/>
      <w:szCs w:val="21"/>
      <w:lang w:val="en-US" w:eastAsia="zh-CN" w:bidi="ar-SA"/>
    </w:rPr>
  </w:style>
  <w:style w:type="character" w:customStyle="1" w:styleId="623">
    <w:name w:val="*正文 Char"/>
    <w:link w:val="86"/>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7"/>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4"/>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8"/>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9"/>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5"/>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3"/>
    <w:qFormat/>
    <w:uiPriority w:val="0"/>
    <w:rPr>
      <w:rFonts w:ascii="Arial" w:hAnsi="Arial" w:eastAsia="黑体" w:cs="Arial"/>
      <w:snapToGrid w:val="0"/>
      <w:kern w:val="0"/>
      <w:szCs w:val="21"/>
    </w:rPr>
  </w:style>
  <w:style w:type="character" w:customStyle="1" w:styleId="660">
    <w:name w:val="纯文本 Char"/>
    <w:link w:val="38"/>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90"/>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52"/>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1"/>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14"/>
    <w:qFormat/>
    <w:uiPriority w:val="0"/>
    <w:rPr>
      <w:rFonts w:ascii="Arial" w:hAnsi="Arial" w:eastAsia="黑体"/>
      <w:b/>
      <w:bCs/>
      <w:kern w:val="2"/>
      <w:sz w:val="24"/>
      <w:szCs w:val="24"/>
    </w:rPr>
  </w:style>
  <w:style w:type="character" w:customStyle="1" w:styleId="681">
    <w:name w:val="纯文本 Char_0"/>
    <w:link w:val="92"/>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4"/>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5"/>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41"/>
    <w:qFormat/>
    <w:uiPriority w:val="0"/>
    <w:rPr>
      <w:rFonts w:ascii="宋体"/>
      <w:kern w:val="2"/>
      <w:sz w:val="24"/>
      <w:szCs w:val="21"/>
      <w:lang w:val="zh-CN"/>
    </w:rPr>
  </w:style>
  <w:style w:type="character" w:customStyle="1" w:styleId="711">
    <w:name w:val="标题 9 Char"/>
    <w:link w:val="17"/>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4"/>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6"/>
    <w:qFormat/>
    <w:locked/>
    <w:uiPriority w:val="0"/>
    <w:rPr>
      <w:rFonts w:ascii="Tahoma" w:hAnsi="Tahoma"/>
      <w:sz w:val="24"/>
      <w:szCs w:val="24"/>
    </w:rPr>
  </w:style>
  <w:style w:type="character" w:customStyle="1" w:styleId="721">
    <w:name w:val="正文缩进 Char2"/>
    <w:link w:val="11"/>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7"/>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24"/>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3"/>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6"/>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9"/>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100"/>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22"/>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101"/>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2"/>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3"/>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4"/>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6"/>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8"/>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3"/>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13"/>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6"/>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61"/>
    <w:qFormat/>
    <w:uiPriority w:val="0"/>
    <w:rPr>
      <w:rFonts w:ascii="黑体" w:hAnsi="Courier New" w:eastAsia="黑体"/>
    </w:rPr>
  </w:style>
  <w:style w:type="character" w:customStyle="1" w:styleId="820">
    <w:name w:val="正文文本 2 Char1"/>
    <w:link w:val="60"/>
    <w:qFormat/>
    <w:uiPriority w:val="0"/>
    <w:rPr>
      <w:kern w:val="2"/>
      <w:sz w:val="21"/>
      <w:szCs w:val="24"/>
    </w:rPr>
  </w:style>
  <w:style w:type="character" w:customStyle="1" w:styleId="821">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15"/>
    <w:qFormat/>
    <w:uiPriority w:val="0"/>
    <w:rPr>
      <w:b/>
      <w:bCs/>
      <w:kern w:val="2"/>
      <w:sz w:val="24"/>
      <w:szCs w:val="24"/>
    </w:rPr>
  </w:style>
  <w:style w:type="character" w:customStyle="1" w:styleId="824">
    <w:name w:val="正文文本缩进 2 Char"/>
    <w:link w:val="42"/>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5"/>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9"/>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10"/>
    <w:qFormat/>
    <w:uiPriority w:val="0"/>
    <w:rPr>
      <w:rFonts w:ascii="宋体" w:hAnsi="Courier New"/>
    </w:rPr>
  </w:style>
  <w:style w:type="character" w:customStyle="1" w:styleId="835">
    <w:name w:val="正文首行缩进 Char"/>
    <w:link w:val="30"/>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12"/>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7"/>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11"/>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2"/>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5"/>
    <w:qFormat/>
    <w:uiPriority w:val="0"/>
    <w:rPr>
      <w:kern w:val="2"/>
      <w:sz w:val="21"/>
      <w:szCs w:val="24"/>
    </w:rPr>
  </w:style>
  <w:style w:type="character" w:customStyle="1" w:styleId="857">
    <w:name w:val="签名 Char"/>
    <w:link w:val="47"/>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3"/>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4"/>
    <w:qFormat/>
    <w:uiPriority w:val="0"/>
    <w:rPr>
      <w:rFonts w:ascii="宋体"/>
    </w:rPr>
  </w:style>
  <w:style w:type="character" w:customStyle="1" w:styleId="868">
    <w:name w:val="标题 8 Char"/>
    <w:link w:val="16"/>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7"/>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5"/>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5"/>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6"/>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6"/>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7"/>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8"/>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9"/>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20"/>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3"/>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21"/>
    <w:qFormat/>
    <w:uiPriority w:val="0"/>
    <w:rPr>
      <w:rFonts w:cs="宋体"/>
      <w:kern w:val="2"/>
      <w:sz w:val="24"/>
    </w:rPr>
  </w:style>
  <w:style w:type="character" w:customStyle="1" w:styleId="933">
    <w:name w:val="正文文本 Char1"/>
    <w:link w:val="29"/>
    <w:qFormat/>
    <w:uiPriority w:val="0"/>
    <w:rPr>
      <w:rFonts w:ascii="宋体" w:hAnsi="Arial" w:eastAsia="宋体" w:cs="Arial"/>
      <w:snapToGrid w:val="0"/>
      <w:kern w:val="2"/>
      <w:sz w:val="24"/>
      <w:szCs w:val="21"/>
      <w:lang w:val="zh-CN" w:eastAsia="zh-CN" w:bidi="ar-SA"/>
    </w:rPr>
  </w:style>
  <w:style w:type="character" w:customStyle="1" w:styleId="934">
    <w:name w:val="gray6"/>
    <w:basedOn w:val="73"/>
    <w:qFormat/>
    <w:uiPriority w:val="0"/>
    <w:rPr>
      <w:rFonts w:ascii="Arial" w:hAnsi="Arial" w:eastAsia="黑体" w:cs="Arial"/>
      <w:snapToGrid w:val="0"/>
      <w:kern w:val="0"/>
      <w:szCs w:val="21"/>
    </w:rPr>
  </w:style>
  <w:style w:type="character" w:customStyle="1" w:styleId="935">
    <w:name w:val="hui"/>
    <w:basedOn w:val="73"/>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43"/>
    <w:qFormat/>
    <w:uiPriority w:val="0"/>
    <w:rPr>
      <w:kern w:val="2"/>
      <w:sz w:val="21"/>
      <w:szCs w:val="24"/>
      <w:lang w:val="zh-CN"/>
    </w:rPr>
  </w:style>
  <w:style w:type="character" w:customStyle="1" w:styleId="942">
    <w:name w:val="无间隔 Char"/>
    <w:link w:val="171"/>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3"/>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header8.xml" Type="http://schemas.openxmlformats.org/officeDocument/2006/relationships/header"/><Relationship Id="rId19" Target="header9.xml" Type="http://schemas.openxmlformats.org/officeDocument/2006/relationships/head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footer11.xml" Type="http://schemas.openxmlformats.org/officeDocument/2006/relationships/footer"/><Relationship Id="rId23" Target="theme/theme1.xml" Type="http://schemas.openxmlformats.org/officeDocument/2006/relationships/theme"/><Relationship Id="rId24" Target="../customXml/item1.xml" Type="http://schemas.openxmlformats.org/officeDocument/2006/relationships/customXml"/><Relationship Id="rId25" Target="numbering.xml" Type="http://schemas.openxmlformats.org/officeDocument/2006/relationships/numbering"/><Relationship Id="rId26"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42944</Words>
  <Characters>45197</Characters>
  <Lines>287</Lines>
  <Paragraphs>81</Paragraphs>
  <TotalTime>0</TotalTime>
  <ScaleCrop>false</ScaleCrop>
  <LinksUpToDate>false</LinksUpToDate>
  <CharactersWithSpaces>51637</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WPS_1530706504</cp:lastModifiedBy>
  <cp:lastPrinted>2022-12-08T01:13:00Z</cp:lastPrinted>
  <dcterms:modified xsi:type="dcterms:W3CDTF">2022-12-14T08:20:03Z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6987B394E5D0431195F85BDE09E2A455</vt:lpwstr>
  </property>
</Properties>
</file>