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600" w:lineRule="atLeast"/>
        <w:jc w:val="center"/>
        <w:rPr>
          <w:rFonts w:hint="eastAsia" w:ascii="宋体" w:hAnsi="宋体" w:cs="宋体"/>
          <w:b/>
          <w:bCs/>
          <w:color w:val="auto"/>
          <w:spacing w:val="6"/>
          <w:sz w:val="44"/>
          <w:szCs w:val="44"/>
          <w:highlight w:val="none"/>
          <w:lang w:eastAsia="zh-CN"/>
        </w:rPr>
      </w:pPr>
    </w:p>
    <w:p>
      <w:pPr>
        <w:adjustRightInd/>
        <w:spacing w:line="360" w:lineRule="auto"/>
        <w:jc w:val="center"/>
        <w:rPr>
          <w:rFonts w:hint="eastAsia" w:ascii="仿宋" w:hAnsi="仿宋" w:eastAsia="仿宋" w:cs="仿宋_GB2312"/>
          <w:b/>
          <w:sz w:val="44"/>
          <w:szCs w:val="44"/>
          <w:highlight w:val="none"/>
          <w:lang w:eastAsia="zh-CN"/>
        </w:rPr>
      </w:pPr>
    </w:p>
    <w:p>
      <w:pPr>
        <w:adjustRightInd/>
        <w:spacing w:line="360" w:lineRule="auto"/>
        <w:jc w:val="center"/>
        <w:rPr>
          <w:rFonts w:ascii="宋体" w:hAnsi="宋体" w:cs="宋体"/>
          <w:b/>
          <w:bCs/>
          <w:color w:val="auto"/>
          <w:spacing w:val="6"/>
          <w:sz w:val="44"/>
          <w:szCs w:val="44"/>
          <w:highlight w:val="none"/>
        </w:rPr>
      </w:pPr>
      <w:r>
        <w:rPr>
          <w:rFonts w:hint="eastAsia" w:ascii="仿宋" w:hAnsi="仿宋" w:eastAsia="仿宋" w:cs="仿宋_GB2312"/>
          <w:b/>
          <w:sz w:val="44"/>
          <w:szCs w:val="44"/>
          <w:highlight w:val="none"/>
          <w:lang w:eastAsia="zh-CN"/>
        </w:rPr>
        <w:t>“临平记忆”展陈设计及施工项目</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b/>
          <w:sz w:val="44"/>
          <w:szCs w:val="44"/>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r>
        <w:rPr>
          <w:rFonts w:hint="eastAsia" w:ascii="仿宋" w:hAnsi="仿宋" w:eastAsia="仿宋" w:cs="仿宋_GB2312"/>
          <w:b/>
          <w:sz w:val="44"/>
          <w:szCs w:val="44"/>
          <w:highlight w:val="none"/>
        </w:rPr>
        <w:t xml:space="preserve">    </w:t>
      </w:r>
    </w:p>
    <w:p>
      <w:pPr>
        <w:snapToGrid w:val="0"/>
        <w:spacing w:line="360" w:lineRule="auto"/>
        <w:jc w:val="center"/>
        <w:rPr>
          <w:rFonts w:hint="eastAsia" w:ascii="仿宋" w:hAnsi="仿宋" w:eastAsia="仿宋" w:cs="仿宋_GB2312"/>
          <w:sz w:val="30"/>
          <w:szCs w:val="30"/>
          <w:highlight w:val="none"/>
          <w:lang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eastAsia="zh-CN"/>
        </w:rPr>
        <w:t>YCDL-2022-013</w:t>
      </w: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sz w:val="32"/>
          <w:szCs w:val="32"/>
          <w:highlight w:val="none"/>
        </w:rPr>
      </w:pPr>
    </w:p>
    <w:p>
      <w:pPr>
        <w:pStyle w:val="79"/>
        <w:rPr>
          <w:rFonts w:ascii="仿宋" w:hAnsi="仿宋" w:eastAsia="仿宋" w:cs="仿宋_GB2312"/>
          <w:sz w:val="32"/>
          <w:szCs w:val="32"/>
          <w:highlight w:val="none"/>
        </w:rPr>
      </w:pPr>
    </w:p>
    <w:p>
      <w:pPr>
        <w:pStyle w:val="79"/>
        <w:rPr>
          <w:rFonts w:ascii="仿宋" w:hAnsi="仿宋" w:eastAsia="仿宋" w:cs="仿宋_GB2312"/>
          <w:sz w:val="32"/>
          <w:szCs w:val="32"/>
          <w:highlight w:val="none"/>
        </w:rPr>
      </w:pPr>
    </w:p>
    <w:p>
      <w:pPr>
        <w:pStyle w:val="79"/>
        <w:rPr>
          <w:rFonts w:ascii="仿宋" w:hAnsi="仿宋" w:eastAsia="仿宋" w:cs="仿宋_GB2312"/>
          <w:sz w:val="32"/>
          <w:szCs w:val="32"/>
          <w:highlight w:val="none"/>
        </w:rPr>
      </w:pPr>
    </w:p>
    <w:p>
      <w:pPr>
        <w:snapToGrid w:val="0"/>
        <w:spacing w:line="360" w:lineRule="auto"/>
        <w:ind w:firstLine="2560" w:firstLineChars="800"/>
        <w:jc w:val="both"/>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rPr>
        <w:t>招标人：</w:t>
      </w:r>
      <w:r>
        <w:rPr>
          <w:rFonts w:hint="eastAsia" w:ascii="仿宋" w:hAnsi="仿宋" w:eastAsia="仿宋" w:cs="仿宋_GB2312"/>
          <w:sz w:val="32"/>
          <w:szCs w:val="32"/>
          <w:highlight w:val="none"/>
          <w:lang w:eastAsia="zh-CN"/>
        </w:rPr>
        <w:t>杭州市临平博物馆</w:t>
      </w:r>
    </w:p>
    <w:p>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招标代理机构：杭州亚辰工程咨询有限公司</w:t>
      </w:r>
    </w:p>
    <w:p>
      <w:pPr>
        <w:snapToGrid w:val="0"/>
        <w:spacing w:line="360" w:lineRule="auto"/>
        <w:jc w:val="center"/>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2022年</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lang w:eastAsia="zh-CN"/>
        </w:rPr>
        <w:t>月</w:t>
      </w:r>
      <w:r>
        <w:rPr>
          <w:rFonts w:hint="eastAsia" w:ascii="仿宋_GB2312" w:hAnsi="仿宋_GB2312" w:eastAsia="仿宋_GB2312" w:cs="仿宋_GB2312"/>
          <w:bCs/>
          <w:sz w:val="32"/>
          <w:szCs w:val="32"/>
          <w:highlight w:val="none"/>
          <w:lang w:val="en-US" w:eastAsia="zh-CN"/>
        </w:rPr>
        <w:t>23</w:t>
      </w:r>
      <w:r>
        <w:rPr>
          <w:rFonts w:hint="eastAsia" w:ascii="仿宋_GB2312" w:hAnsi="仿宋_GB2312" w:eastAsia="仿宋_GB2312" w:cs="仿宋_GB2312"/>
          <w:bCs/>
          <w:sz w:val="32"/>
          <w:szCs w:val="32"/>
          <w:highlight w:val="none"/>
          <w:lang w:eastAsia="zh-CN"/>
        </w:rPr>
        <w:t>日</w:t>
      </w:r>
    </w:p>
    <w:p>
      <w:pPr>
        <w:jc w:val="center"/>
        <w:rPr>
          <w:rFonts w:hint="eastAsia"/>
          <w:b/>
          <w:bCs/>
          <w:color w:val="auto"/>
          <w:sz w:val="44"/>
          <w:szCs w:val="44"/>
          <w:highlight w:val="none"/>
        </w:rPr>
      </w:pPr>
    </w:p>
    <w:p>
      <w:pPr>
        <w:jc w:val="center"/>
        <w:rPr>
          <w:rFonts w:hint="eastAsia"/>
          <w:b/>
          <w:bCs/>
          <w:color w:val="auto"/>
          <w:sz w:val="44"/>
          <w:szCs w:val="44"/>
          <w:highlight w:val="none"/>
        </w:rPr>
      </w:pPr>
    </w:p>
    <w:p>
      <w:pPr>
        <w:jc w:val="center"/>
        <w:rPr>
          <w:rFonts w:hint="eastAsia"/>
          <w:b/>
          <w:bCs/>
          <w:color w:val="auto"/>
          <w:sz w:val="44"/>
          <w:szCs w:val="44"/>
          <w:highlight w:val="none"/>
        </w:rPr>
      </w:pPr>
    </w:p>
    <w:p>
      <w:pPr>
        <w:pStyle w:val="79"/>
        <w:rPr>
          <w:rFonts w:hint="eastAsia"/>
          <w:b/>
          <w:bCs/>
          <w:color w:val="auto"/>
          <w:sz w:val="44"/>
          <w:szCs w:val="44"/>
          <w:highlight w:val="none"/>
        </w:rPr>
      </w:pPr>
    </w:p>
    <w:p>
      <w:pPr>
        <w:pStyle w:val="79"/>
        <w:rPr>
          <w:rFonts w:hint="eastAsia"/>
          <w:b/>
          <w:bCs/>
          <w:color w:val="auto"/>
          <w:sz w:val="44"/>
          <w:szCs w:val="44"/>
          <w:highlight w:val="none"/>
        </w:rPr>
      </w:pPr>
    </w:p>
    <w:p>
      <w:pPr>
        <w:jc w:val="center"/>
        <w:rPr>
          <w:rFonts w:hint="eastAsia"/>
          <w:b/>
          <w:bCs/>
          <w:color w:val="auto"/>
          <w:sz w:val="44"/>
          <w:szCs w:val="44"/>
          <w:highlight w:val="none"/>
        </w:rPr>
      </w:pPr>
    </w:p>
    <w:p>
      <w:pPr>
        <w:jc w:val="center"/>
        <w:rPr>
          <w:b/>
          <w:bCs/>
          <w:color w:val="auto"/>
          <w:sz w:val="44"/>
          <w:szCs w:val="44"/>
          <w:highlight w:val="none"/>
        </w:rPr>
      </w:pPr>
      <w:r>
        <w:rPr>
          <w:rFonts w:hint="eastAsia"/>
          <w:b/>
          <w:bCs/>
          <w:color w:val="auto"/>
          <w:sz w:val="44"/>
          <w:szCs w:val="44"/>
          <w:highlight w:val="none"/>
        </w:rPr>
        <w:t>目  录</w:t>
      </w:r>
    </w:p>
    <w:p>
      <w:pPr>
        <w:spacing w:line="360" w:lineRule="auto"/>
        <w:rPr>
          <w:rFonts w:ascii="宋体" w:hAnsi="宋体" w:cs="宋体"/>
          <w:color w:val="auto"/>
          <w:sz w:val="32"/>
          <w:szCs w:val="32"/>
          <w:highlight w:val="none"/>
        </w:rPr>
      </w:pPr>
    </w:p>
    <w:p>
      <w:pPr>
        <w:spacing w:line="600" w:lineRule="atLeast"/>
        <w:rPr>
          <w:color w:val="auto"/>
          <w:sz w:val="24"/>
          <w:highlight w:val="none"/>
        </w:rPr>
      </w:pPr>
      <w:r>
        <w:rPr>
          <w:rFonts w:hint="eastAsia"/>
          <w:color w:val="auto"/>
          <w:sz w:val="24"/>
          <w:highlight w:val="none"/>
        </w:rPr>
        <w:t>第一部分      招标公告</w:t>
      </w:r>
    </w:p>
    <w:p>
      <w:pPr>
        <w:spacing w:line="600" w:lineRule="atLeast"/>
        <w:rPr>
          <w:color w:val="auto"/>
          <w:sz w:val="24"/>
          <w:highlight w:val="none"/>
        </w:rPr>
      </w:pPr>
      <w:r>
        <w:rPr>
          <w:rFonts w:hint="eastAsia"/>
          <w:color w:val="auto"/>
          <w:sz w:val="24"/>
          <w:highlight w:val="none"/>
        </w:rPr>
        <w:t>第二部分      投标人须知</w:t>
      </w:r>
    </w:p>
    <w:p>
      <w:pPr>
        <w:spacing w:line="600" w:lineRule="atLeast"/>
        <w:rPr>
          <w:color w:val="auto"/>
          <w:sz w:val="24"/>
          <w:highlight w:val="none"/>
        </w:rPr>
      </w:pPr>
      <w:r>
        <w:rPr>
          <w:rFonts w:hint="eastAsia"/>
          <w:color w:val="auto"/>
          <w:sz w:val="24"/>
          <w:highlight w:val="none"/>
        </w:rPr>
        <w:t>第三部分      采购需求</w:t>
      </w:r>
    </w:p>
    <w:p>
      <w:pPr>
        <w:spacing w:line="600" w:lineRule="atLeast"/>
        <w:rPr>
          <w:color w:val="auto"/>
          <w:sz w:val="24"/>
          <w:highlight w:val="none"/>
        </w:rPr>
      </w:pPr>
      <w:r>
        <w:rPr>
          <w:rFonts w:hint="eastAsia"/>
          <w:color w:val="auto"/>
          <w:sz w:val="24"/>
          <w:highlight w:val="none"/>
        </w:rPr>
        <w:t>第四部分      评标办法</w:t>
      </w:r>
    </w:p>
    <w:p>
      <w:pPr>
        <w:spacing w:line="600" w:lineRule="atLeast"/>
        <w:rPr>
          <w:color w:val="auto"/>
          <w:sz w:val="24"/>
          <w:highlight w:val="none"/>
        </w:rPr>
      </w:pPr>
      <w:r>
        <w:rPr>
          <w:rFonts w:hint="eastAsia"/>
          <w:color w:val="auto"/>
          <w:sz w:val="24"/>
          <w:highlight w:val="none"/>
        </w:rPr>
        <w:t>第五部分      拟签订的合同文本</w:t>
      </w:r>
    </w:p>
    <w:p>
      <w:pPr>
        <w:spacing w:line="600" w:lineRule="atLeast"/>
        <w:rPr>
          <w:color w:val="auto"/>
          <w:sz w:val="24"/>
          <w:highlight w:val="none"/>
        </w:rPr>
      </w:pPr>
      <w:r>
        <w:rPr>
          <w:rFonts w:hint="eastAsia"/>
          <w:color w:val="auto"/>
          <w:sz w:val="24"/>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bookmarkEnd w:id="1"/>
    <w:p>
      <w:pPr>
        <w:adjustRightInd/>
        <w:jc w:val="center"/>
        <w:outlineLvl w:val="0"/>
        <w:rPr>
          <w:rFonts w:ascii="宋体" w:hAnsi="宋体" w:cs="宋体"/>
          <w:b/>
          <w:color w:val="auto"/>
          <w:sz w:val="28"/>
          <w:szCs w:val="28"/>
          <w:highlight w:val="none"/>
        </w:rPr>
      </w:pPr>
      <w:bookmarkStart w:id="2" w:name="第二部分"/>
      <w:bookmarkStart w:id="3" w:name="_Toc91899870"/>
      <w:bookmarkStart w:id="4" w:name="_Toc91899871"/>
    </w:p>
    <w:p>
      <w:pPr>
        <w:pStyle w:val="26"/>
        <w:ind w:firstLine="562"/>
        <w:rPr>
          <w:rFonts w:cs="宋体"/>
          <w:b/>
          <w:color w:val="auto"/>
          <w:sz w:val="28"/>
          <w:szCs w:val="28"/>
          <w:highlight w:val="none"/>
        </w:rPr>
      </w:pPr>
    </w:p>
    <w:p>
      <w:pPr>
        <w:pStyle w:val="61"/>
        <w:ind w:firstLine="562"/>
        <w:rPr>
          <w:rFonts w:cs="宋体"/>
          <w:b/>
          <w:color w:val="auto"/>
          <w:sz w:val="28"/>
          <w:szCs w:val="28"/>
          <w:highlight w:val="none"/>
        </w:rPr>
      </w:pPr>
    </w:p>
    <w:p>
      <w:pPr>
        <w:pStyle w:val="61"/>
        <w:ind w:firstLine="562"/>
        <w:rPr>
          <w:rFonts w:cs="宋体"/>
          <w:b/>
          <w:color w:val="auto"/>
          <w:sz w:val="28"/>
          <w:szCs w:val="28"/>
          <w:highlight w:val="none"/>
        </w:rPr>
      </w:pPr>
    </w:p>
    <w:p>
      <w:pPr>
        <w:adjustRightInd/>
        <w:jc w:val="both"/>
        <w:outlineLvl w:val="0"/>
        <w:rPr>
          <w:rFonts w:ascii="宋体" w:hAnsi="宋体" w:cs="宋体"/>
          <w:b/>
          <w:color w:val="auto"/>
          <w:sz w:val="28"/>
          <w:szCs w:val="28"/>
          <w:highlight w:val="none"/>
        </w:rPr>
      </w:pPr>
    </w:p>
    <w:p>
      <w:pPr>
        <w:adjustRightInd/>
        <w:jc w:val="center"/>
        <w:outlineLvl w:val="0"/>
        <w:rPr>
          <w:rFonts w:ascii="宋体" w:hAnsi="宋体" w:cs="宋体"/>
          <w:b/>
          <w:color w:val="auto"/>
          <w:sz w:val="36"/>
          <w:szCs w:val="20"/>
          <w:highlight w:val="none"/>
        </w:rPr>
      </w:pPr>
      <w:r>
        <w:rPr>
          <w:rFonts w:hint="eastAsia" w:ascii="宋体" w:hAnsi="宋体" w:cs="宋体"/>
          <w:b/>
          <w:color w:val="auto"/>
          <w:sz w:val="28"/>
          <w:szCs w:val="28"/>
          <w:highlight w:val="none"/>
        </w:rPr>
        <w:t>第一部分 招标公告</w:t>
      </w:r>
    </w:p>
    <w:p>
      <w:pPr>
        <w:pBdr>
          <w:top w:val="single" w:color="auto" w:sz="4" w:space="1"/>
          <w:left w:val="single" w:color="auto" w:sz="4" w:space="4"/>
          <w:bottom w:val="single" w:color="auto" w:sz="4" w:space="1"/>
          <w:right w:val="single" w:color="auto" w:sz="4" w:space="4"/>
        </w:pBdr>
        <w:spacing w:line="600" w:lineRule="atLeast"/>
        <w:ind w:firstLine="4320" w:firstLineChars="18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600" w:lineRule="atLeas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color="auto"/>
          <w:lang w:eastAsia="zh-CN"/>
        </w:rPr>
        <w:t>“临平记忆”展陈设计及施工项目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Fonts w:hint="eastAsia" w:ascii="宋体" w:hAnsi="宋体" w:cs="宋体"/>
          <w:color w:val="auto"/>
          <w:sz w:val="24"/>
          <w:szCs w:val="24"/>
          <w:highlight w:val="none"/>
          <w:u w:val="single"/>
          <w:lang w:eastAsia="zh-CN"/>
        </w:rPr>
        <w:t>2022年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lang w:eastAsia="zh-CN"/>
        </w:rPr>
        <w:t>分</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600" w:lineRule="exact"/>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kern w:val="0"/>
          <w:sz w:val="24"/>
          <w:highlight w:val="none"/>
          <w:u w:val="single"/>
          <w:lang w:eastAsia="zh-CN"/>
        </w:rPr>
        <w:t>YCDL-2022-013</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u w:val="single"/>
          <w:lang w:eastAsia="zh-CN"/>
        </w:rPr>
        <w:t>“临平记忆”展陈设计及施工项目</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 xml:space="preserve"> </w:t>
      </w:r>
      <w:r>
        <w:rPr>
          <w:rFonts w:hint="eastAsia" w:ascii="宋体" w:hAnsi="宋体" w:cs="宋体"/>
          <w:color w:val="auto"/>
          <w:sz w:val="24"/>
          <w:highlight w:val="none"/>
          <w:u w:val="single"/>
          <w:lang w:val="en-US" w:eastAsia="zh-CN"/>
        </w:rPr>
        <w:t>60</w:t>
      </w:r>
      <w:r>
        <w:rPr>
          <w:rFonts w:hint="eastAsia" w:ascii="宋体" w:hAnsi="宋体" w:cs="宋体"/>
          <w:color w:val="auto"/>
          <w:sz w:val="24"/>
          <w:highlight w:val="none"/>
          <w:u w:val="single" w:color="auto"/>
          <w:lang w:val="en-US" w:eastAsia="zh-CN"/>
        </w:rPr>
        <w:t>0000</w:t>
      </w:r>
      <w:r>
        <w:rPr>
          <w:rFonts w:hint="eastAsia" w:ascii="宋体" w:hAnsi="宋体" w:cs="宋体"/>
          <w:color w:val="auto"/>
          <w:sz w:val="24"/>
          <w:highlight w:val="none"/>
          <w:u w:val="single"/>
        </w:rPr>
        <w:t>元</w:t>
      </w:r>
      <w:r>
        <w:rPr>
          <w:rFonts w:hint="eastAsia" w:ascii="宋体" w:hAnsi="宋体" w:cs="宋体"/>
          <w:color w:val="auto"/>
          <w:sz w:val="24"/>
          <w:highlight w:val="none"/>
        </w:rPr>
        <w:t xml:space="preserve"> </w:t>
      </w:r>
    </w:p>
    <w:p>
      <w:pPr>
        <w:spacing w:line="600" w:lineRule="exact"/>
        <w:ind w:firstLine="482" w:firstLineChars="200"/>
        <w:rPr>
          <w:rFonts w:ascii="宋体" w:hAnsi="宋体" w:cs="宋体"/>
          <w:color w:val="auto"/>
          <w:sz w:val="24"/>
          <w:highlight w:val="none"/>
          <w:u w:val="singl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u w:val="single" w:color="auto"/>
          <w:lang w:val="en-US" w:eastAsia="zh-CN"/>
        </w:rPr>
        <w:t>600000</w:t>
      </w:r>
      <w:r>
        <w:rPr>
          <w:rFonts w:hint="eastAsia" w:ascii="宋体" w:hAnsi="宋体" w:cs="宋体"/>
          <w:color w:val="auto"/>
          <w:sz w:val="24"/>
          <w:highlight w:val="none"/>
          <w:u w:val="single"/>
        </w:rPr>
        <w:t>元</w:t>
      </w:r>
    </w:p>
    <w:p>
      <w:pPr>
        <w:spacing w:line="6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采购需求：</w:t>
      </w:r>
      <w:r>
        <w:rPr>
          <w:rFonts w:hint="eastAsia" w:ascii="宋体" w:hAnsi="宋体" w:cs="宋体"/>
          <w:color w:val="auto"/>
          <w:sz w:val="24"/>
          <w:highlight w:val="none"/>
          <w:u w:val="single"/>
        </w:rPr>
        <w:t>本项目采购内容为</w:t>
      </w:r>
      <w:r>
        <w:rPr>
          <w:rFonts w:hint="eastAsia" w:ascii="宋体" w:hAnsi="宋体" w:cs="宋体"/>
          <w:color w:val="auto"/>
          <w:sz w:val="24"/>
          <w:highlight w:val="none"/>
          <w:u w:val="single"/>
          <w:lang w:eastAsia="zh-CN"/>
        </w:rPr>
        <w:t>“临平记忆”展陈设计及施工项目</w:t>
      </w:r>
      <w:r>
        <w:rPr>
          <w:rFonts w:hint="eastAsia" w:ascii="宋体" w:hAnsi="宋体" w:cs="宋体"/>
          <w:color w:val="auto"/>
          <w:sz w:val="24"/>
          <w:highlight w:val="none"/>
          <w:u w:val="single"/>
        </w:rPr>
        <w:t>；详见第三部分—项目技术规范和服务要求</w:t>
      </w:r>
      <w:r>
        <w:rPr>
          <w:rFonts w:hint="eastAsia" w:ascii="宋体" w:hAnsi="宋体" w:cs="宋体"/>
          <w:bCs/>
          <w:color w:val="auto"/>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color w:val="auto"/>
          <w:szCs w:val="24"/>
          <w:highlight w:val="none"/>
          <w:lang w:val="en-US" w:eastAsia="zh-CN"/>
        </w:rPr>
      </w:pPr>
      <w:r>
        <w:rPr>
          <w:rFonts w:hint="eastAsia" w:ascii="宋体" w:hAnsi="宋体" w:cs="宋体"/>
          <w:b/>
          <w:color w:val="auto"/>
          <w:szCs w:val="24"/>
          <w:highlight w:val="none"/>
          <w:lang w:eastAsia="zh-CN"/>
        </w:rPr>
        <w:t>服务</w:t>
      </w:r>
      <w:r>
        <w:rPr>
          <w:rFonts w:hint="eastAsia" w:ascii="宋体" w:hAnsi="宋体" w:cs="宋体"/>
          <w:b/>
          <w:color w:val="auto"/>
          <w:szCs w:val="24"/>
          <w:highlight w:val="none"/>
        </w:rPr>
        <w:t>期限：</w:t>
      </w:r>
      <w:r>
        <w:rPr>
          <w:rFonts w:hint="eastAsia" w:hAnsi="宋体" w:cs="宋体"/>
          <w:sz w:val="24"/>
          <w:szCs w:val="24"/>
          <w:highlight w:val="none"/>
          <w:u w:val="single"/>
          <w:lang w:val="en-US" w:eastAsia="zh-CN"/>
        </w:rPr>
        <w:t>1）设计施工时间：自合同签订之日起15天内；2）</w:t>
      </w:r>
      <w:r>
        <w:rPr>
          <w:rFonts w:hint="eastAsia" w:ascii="宋体" w:hAnsi="宋体" w:cs="宋体"/>
          <w:sz w:val="24"/>
          <w:szCs w:val="24"/>
          <w:highlight w:val="none"/>
          <w:u w:val="single"/>
          <w:lang w:eastAsia="zh-CN"/>
        </w:rPr>
        <w:t>本项目</w:t>
      </w:r>
      <w:r>
        <w:rPr>
          <w:rFonts w:hint="eastAsia" w:ascii="宋体" w:hAnsi="宋体" w:eastAsia="宋体" w:cs="宋体"/>
          <w:sz w:val="24"/>
          <w:szCs w:val="24"/>
          <w:highlight w:val="none"/>
          <w:u w:val="single"/>
        </w:rPr>
        <w:t>展览时间：</w:t>
      </w:r>
      <w:r>
        <w:rPr>
          <w:rFonts w:hint="eastAsia" w:hAnsi="宋体" w:cs="宋体"/>
          <w:sz w:val="24"/>
          <w:szCs w:val="24"/>
          <w:highlight w:val="none"/>
          <w:u w:val="single"/>
          <w:lang w:val="en-US" w:eastAsia="zh-CN"/>
        </w:rPr>
        <w:t>4</w:t>
      </w:r>
      <w:r>
        <w:rPr>
          <w:rFonts w:hint="eastAsia" w:ascii="宋体" w:hAnsi="宋体" w:eastAsia="宋体" w:cs="宋体"/>
          <w:sz w:val="24"/>
          <w:szCs w:val="24"/>
          <w:highlight w:val="none"/>
          <w:u w:val="single"/>
        </w:rPr>
        <w:t>个月，具体时间暂定2022年10月1日—2023年2月1日</w:t>
      </w:r>
      <w:r>
        <w:rPr>
          <w:rFonts w:hint="eastAsia" w:hAnsi="宋体" w:cs="宋体"/>
          <w:sz w:val="24"/>
          <w:szCs w:val="24"/>
          <w:highlight w:val="none"/>
          <w:u w:val="single"/>
          <w:lang w:eastAsia="zh-CN"/>
        </w:rPr>
        <w:t>；</w:t>
      </w:r>
      <w:r>
        <w:rPr>
          <w:rFonts w:hint="eastAsia" w:ascii="宋体" w:hAnsi="宋体" w:eastAsia="宋体" w:cs="宋体"/>
          <w:sz w:val="24"/>
          <w:szCs w:val="24"/>
          <w:highlight w:val="none"/>
          <w:u w:val="single"/>
        </w:rPr>
        <w:t>具体根据采购人要求，具体根据采购人安排</w:t>
      </w:r>
      <w:r>
        <w:rPr>
          <w:rFonts w:hint="eastAsia" w:hAnsi="宋体" w:cs="宋体"/>
          <w:sz w:val="24"/>
          <w:szCs w:val="24"/>
          <w:highlight w:val="none"/>
          <w:u w:val="single"/>
          <w:lang w:eastAsia="zh-CN"/>
        </w:rPr>
        <w:t>；</w:t>
      </w:r>
      <w:r>
        <w:rPr>
          <w:rFonts w:hint="eastAsia" w:hAnsi="宋体" w:cs="宋体"/>
          <w:sz w:val="24"/>
          <w:szCs w:val="24"/>
          <w:highlight w:val="none"/>
          <w:u w:val="single"/>
          <w:lang w:val="en-US" w:eastAsia="zh-CN"/>
        </w:rPr>
        <w:t>3）</w:t>
      </w:r>
      <w:r>
        <w:rPr>
          <w:rFonts w:hint="eastAsia" w:ascii="宋体" w:hAnsi="宋体" w:eastAsia="宋体" w:cs="宋体"/>
          <w:sz w:val="24"/>
          <w:szCs w:val="24"/>
          <w:highlight w:val="none"/>
          <w:u w:val="single"/>
        </w:rPr>
        <w:t>项目完成时间：</w:t>
      </w:r>
      <w:r>
        <w:rPr>
          <w:rFonts w:hint="eastAsia" w:ascii="宋体" w:hAnsi="宋体" w:eastAsia="宋体" w:cs="宋体"/>
          <w:sz w:val="24"/>
          <w:szCs w:val="24"/>
          <w:highlight w:val="none"/>
          <w:u w:val="single"/>
          <w:lang w:val="en-US" w:eastAsia="zh-Hans"/>
        </w:rPr>
        <w:t>展览开展前</w:t>
      </w:r>
      <w:r>
        <w:rPr>
          <w:rFonts w:hint="eastAsia" w:hAnsi="宋体" w:cs="宋体"/>
          <w:sz w:val="24"/>
          <w:szCs w:val="24"/>
          <w:highlight w:val="none"/>
          <w:u w:val="single"/>
          <w:lang w:val="en-US" w:eastAsia="zh-CN"/>
        </w:rPr>
        <w:t>2</w:t>
      </w:r>
      <w:r>
        <w:rPr>
          <w:rFonts w:hint="eastAsia" w:ascii="宋体" w:hAnsi="宋体" w:eastAsia="宋体" w:cs="宋体"/>
          <w:sz w:val="24"/>
          <w:szCs w:val="24"/>
          <w:highlight w:val="none"/>
          <w:u w:val="single"/>
          <w:lang w:val="en-US" w:eastAsia="zh-Hans"/>
        </w:rPr>
        <w:t>日</w:t>
      </w:r>
      <w:r>
        <w:rPr>
          <w:rFonts w:hint="eastAsia" w:ascii="宋体" w:hAnsi="宋体" w:cs="宋体"/>
          <w:sz w:val="24"/>
          <w:szCs w:val="24"/>
          <w:highlight w:val="none"/>
          <w:u w:val="single"/>
          <w:lang w:val="en-US" w:eastAsia="zh-CN"/>
        </w:rPr>
        <w:t>。</w:t>
      </w:r>
    </w:p>
    <w:p>
      <w:pPr>
        <w:pStyle w:val="18"/>
        <w:spacing w:line="600" w:lineRule="exact"/>
        <w:ind w:firstLine="480"/>
        <w:rPr>
          <w:rFonts w:hAnsi="宋体" w:cs="宋体"/>
          <w:b/>
          <w:color w:val="auto"/>
          <w:sz w:val="24"/>
          <w:szCs w:val="24"/>
          <w:highlight w:val="none"/>
        </w:rPr>
      </w:pPr>
      <w:r>
        <w:rPr>
          <w:rFonts w:hint="eastAsia" w:hAnsi="宋体" w:cs="宋体"/>
          <w:b/>
          <w:color w:val="auto"/>
          <w:sz w:val="24"/>
          <w:szCs w:val="24"/>
          <w:highlight w:val="none"/>
        </w:rPr>
        <w:t>本项目接受联合体投标：</w:t>
      </w:r>
      <w:r>
        <w:rPr>
          <w:rFonts w:hint="eastAsia" w:hAnsi="宋体" w:cs="宋体"/>
          <w:color w:val="auto"/>
          <w:kern w:val="0"/>
          <w:sz w:val="24"/>
          <w:szCs w:val="24"/>
          <w:highlight w:val="none"/>
        </w:rPr>
        <w:sym w:font="Wingdings" w:char="00A8"/>
      </w:r>
      <w:r>
        <w:rPr>
          <w:rFonts w:hint="eastAsia" w:hAnsi="宋体" w:cs="宋体"/>
          <w:b/>
          <w:color w:val="auto"/>
          <w:sz w:val="24"/>
          <w:szCs w:val="24"/>
          <w:highlight w:val="none"/>
        </w:rPr>
        <w:t>是，</w:t>
      </w:r>
      <w:r>
        <w:rPr>
          <w:rFonts w:hint="eastAsia" w:hAnsi="宋体" w:cs="宋体"/>
          <w:color w:val="auto"/>
          <w:kern w:val="0"/>
          <w:sz w:val="24"/>
          <w:szCs w:val="24"/>
          <w:highlight w:val="none"/>
        </w:rPr>
        <w:sym w:font="Wingdings" w:char="00FE"/>
      </w:r>
      <w:r>
        <w:rPr>
          <w:rFonts w:hint="eastAsia" w:hAnsi="宋体" w:cs="宋体"/>
          <w:b/>
          <w:color w:val="auto"/>
          <w:sz w:val="24"/>
          <w:szCs w:val="24"/>
          <w:highlight w:val="none"/>
        </w:rPr>
        <w:t>否</w:t>
      </w:r>
      <w:r>
        <w:rPr>
          <w:rFonts w:hint="eastAsia" w:hAnsi="宋体" w:cs="宋体"/>
          <w:color w:val="auto"/>
          <w:kern w:val="0"/>
          <w:sz w:val="24"/>
          <w:szCs w:val="24"/>
          <w:highlight w:val="none"/>
        </w:rPr>
        <w:t>。</w:t>
      </w:r>
    </w:p>
    <w:p>
      <w:pPr>
        <w:spacing w:line="600" w:lineRule="exact"/>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600" w:lineRule="exact"/>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6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    2.落实政府采购政策需满足的资格要求：</w:t>
      </w:r>
    </w:p>
    <w:p>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无；</w:t>
      </w:r>
    </w:p>
    <w:p>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600" w:lineRule="exact"/>
        <w:ind w:firstLine="897" w:firstLineChars="374"/>
        <w:rPr>
          <w:rFonts w:ascii="宋体" w:hAnsi="宋体" w:cs="宋体"/>
          <w:color w:val="auto"/>
          <w:sz w:val="24"/>
          <w:highlight w:val="none"/>
          <w:u w:val="singl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货物全部由符合政策要求的中小企业制造，提供中小企业声明函；</w:t>
      </w:r>
    </w:p>
    <w:p>
      <w:pPr>
        <w:spacing w:line="600" w:lineRule="exact"/>
        <w:ind w:firstLine="897" w:firstLineChars="374"/>
        <w:rPr>
          <w:rFonts w:hint="eastAsia" w:ascii="宋体" w:hAnsi="宋体" w:eastAsia="宋体" w:cs="宋体"/>
          <w:b w:val="0"/>
          <w:bCs w:val="0"/>
          <w:snapToGrid w:val="0"/>
          <w:color w:val="auto"/>
          <w:kern w:val="28"/>
          <w:sz w:val="24"/>
          <w:szCs w:val="24"/>
          <w:highlight w:val="none"/>
          <w:lang w:val="en-US" w:eastAsia="zh-CN" w:bidi="ar-SA"/>
        </w:rPr>
      </w:pPr>
      <w:r>
        <w:rPr>
          <w:rFonts w:hint="eastAsia" w:ascii="宋体" w:hAnsi="宋体" w:cs="宋体"/>
          <w:b w:val="0"/>
          <w:bCs w:val="0"/>
          <w:color w:val="auto"/>
          <w:kern w:val="0"/>
          <w:sz w:val="24"/>
          <w:highlight w:val="none"/>
        </w:rPr>
        <w:sym w:font="Wingdings" w:char="00A8"/>
      </w:r>
      <w:r>
        <w:rPr>
          <w:rFonts w:hint="eastAsia" w:ascii="宋体" w:hAnsi="宋体" w:eastAsia="宋体" w:cs="宋体"/>
          <w:b w:val="0"/>
          <w:bCs w:val="0"/>
          <w:snapToGrid w:val="0"/>
          <w:color w:val="auto"/>
          <w:kern w:val="28"/>
          <w:sz w:val="24"/>
          <w:szCs w:val="24"/>
          <w:highlight w:val="none"/>
          <w:lang w:val="en-US" w:eastAsia="zh-CN" w:bidi="ar-SA"/>
        </w:rPr>
        <w:t>货物全部由符合政策要求的小微企业制造，提供中小企业声明函；</w:t>
      </w:r>
    </w:p>
    <w:p>
      <w:pPr>
        <w:spacing w:line="600" w:lineRule="exact"/>
        <w:ind w:firstLine="897" w:firstLineChars="374"/>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color w:val="auto"/>
          <w:sz w:val="24"/>
          <w:highlight w:val="none"/>
        </w:rPr>
        <w:t>服务全部由符合政策要求的中小企业承接，提供中小企业声明函；</w:t>
      </w:r>
    </w:p>
    <w:p>
      <w:pPr>
        <w:spacing w:line="600" w:lineRule="exact"/>
        <w:ind w:firstLine="897" w:firstLineChars="374"/>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color w:val="auto"/>
          <w:sz w:val="24"/>
          <w:highlight w:val="none"/>
        </w:rPr>
        <w:t>服务全部由符合政策要求的小微企业承接，提供中小企业声明函；</w:t>
      </w:r>
    </w:p>
    <w:p>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szCs w:val="24"/>
          <w:highlight w:val="none"/>
          <w:u w:val="single"/>
          <w:lang w:eastAsia="zh-CN"/>
        </w:rPr>
        <w:t>2022年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u w:val="single"/>
          <w:lang w:eastAsia="zh-CN"/>
        </w:rPr>
        <w:t>日</w:t>
      </w:r>
      <w:r>
        <w:rPr>
          <w:rFonts w:hint="eastAsia" w:ascii="宋体" w:hAnsi="宋体" w:cs="宋体"/>
          <w:color w:val="auto"/>
          <w:sz w:val="24"/>
          <w:highlight w:val="none"/>
        </w:rPr>
        <w:t>，每天上午00：00至12：00，下午12：00至23：59（北京时间，线上获取法定节假日均可，线下获取文件法定节假日除外）</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600" w:lineRule="exact"/>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szCs w:val="24"/>
          <w:highlight w:val="none"/>
          <w:u w:val="single"/>
          <w:lang w:eastAsia="zh-CN"/>
        </w:rPr>
        <w:t>2022年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lang w:eastAsia="zh-CN"/>
        </w:rPr>
        <w:t>分</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秒</w:t>
      </w:r>
      <w:r>
        <w:rPr>
          <w:rFonts w:hint="eastAsia" w:ascii="宋体" w:hAnsi="宋体" w:cs="宋体"/>
          <w:color w:val="auto"/>
          <w:sz w:val="24"/>
          <w:highlight w:val="none"/>
        </w:rPr>
        <w:t>（北京时间）</w:t>
      </w:r>
    </w:p>
    <w:p>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600" w:lineRule="exact"/>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szCs w:val="24"/>
          <w:highlight w:val="none"/>
          <w:u w:val="single"/>
          <w:lang w:eastAsia="zh-CN"/>
        </w:rPr>
        <w:t>2022年</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13</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lang w:eastAsia="zh-CN"/>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lang w:eastAsia="zh-CN"/>
        </w:rPr>
        <w:t>分</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秒</w:t>
      </w:r>
      <w:r>
        <w:rPr>
          <w:rFonts w:hint="eastAsia" w:ascii="宋体" w:hAnsi="宋体" w:cs="宋体"/>
          <w:bCs/>
          <w:color w:val="auto"/>
          <w:sz w:val="24"/>
          <w:highlight w:val="none"/>
          <w:u w:val="single"/>
        </w:rPr>
        <w:t xml:space="preserve"> </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numPr>
          <w:ilvl w:val="0"/>
          <w:numId w:val="1"/>
        </w:num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采购意向公开链接</w:t>
      </w:r>
    </w:p>
    <w:p>
      <w:pPr>
        <w:pStyle w:val="79"/>
        <w:numPr>
          <w:ilvl w:val="0"/>
          <w:numId w:val="0"/>
        </w:numPr>
        <w:ind w:firstLine="480" w:firstLineChars="200"/>
        <w:rPr>
          <w:rFonts w:hint="eastAsia"/>
        </w:rPr>
      </w:pPr>
      <w:r>
        <w:rPr>
          <w:rFonts w:hint="eastAsia"/>
        </w:rPr>
        <w:t>https://zfcg.czt.zj.gov.cn/innerUsed_noticeDetails/index.html?noticeId=8727536&amp;utm=web-government-front.49399a16.0.0.50947ff012ea11eda02fdf8b55324653</w:t>
      </w:r>
    </w:p>
    <w:p>
      <w:pPr>
        <w:spacing w:line="600" w:lineRule="exact"/>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600" w:lineRule="exact"/>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600" w:lineRule="exact"/>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杭州市临平博物馆</w:t>
      </w:r>
    </w:p>
    <w:p>
      <w:pPr>
        <w:spacing w:line="600" w:lineRule="exact"/>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址：杭州市临平区人民大道792号</w:t>
      </w:r>
    </w:p>
    <w:p>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sz w:val="24"/>
        </w:rPr>
        <w:t>于秋娜</w:t>
      </w:r>
    </w:p>
    <w:p>
      <w:pPr>
        <w:spacing w:line="6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项目联系方式（询问）：0571-89167220</w:t>
      </w:r>
    </w:p>
    <w:p>
      <w:pPr>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w:t>
      </w:r>
      <w:r>
        <w:rPr>
          <w:rFonts w:hint="eastAsia" w:ascii="宋体" w:hAnsi="宋体" w:cs="宋体"/>
          <w:sz w:val="24"/>
        </w:rPr>
        <w:t>严石涵</w:t>
      </w:r>
      <w:bookmarkStart w:id="397" w:name="_GoBack"/>
      <w:bookmarkEnd w:id="397"/>
    </w:p>
    <w:p>
      <w:pPr>
        <w:spacing w:line="600" w:lineRule="exact"/>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0571-89161278</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称：杭州亚辰工程咨询有限公司</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址：杭州市临平区兴国路506号k7原创园11号楼2楼          </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项目联系人（询问）：倪锋         </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项目联系方式（询问）：13777846972</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质疑联系人：王国栋             </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质疑联系方式：18989496197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val="en-US" w:eastAsia="zh-CN"/>
        </w:rPr>
        <w:t>临平</w:t>
      </w:r>
      <w:r>
        <w:rPr>
          <w:rFonts w:hint="eastAsia" w:ascii="宋体" w:hAnsi="宋体" w:eastAsia="宋体" w:cs="宋体"/>
          <w:color w:val="auto"/>
          <w:sz w:val="24"/>
          <w:highlight w:val="none"/>
        </w:rPr>
        <w:t>区政府采购办公室  </w:t>
      </w:r>
    </w:p>
    <w:p>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rPr>
        <w:t>杭州市临平区东湖中路236号</w:t>
      </w:r>
      <w:r>
        <w:rPr>
          <w:rFonts w:hint="eastAsia" w:ascii="宋体" w:hAnsi="宋体" w:cs="宋体"/>
          <w:color w:val="auto"/>
          <w:sz w:val="24"/>
          <w:highlight w:val="none"/>
          <w:lang w:eastAsia="zh-CN"/>
        </w:rPr>
        <w:t>临平</w:t>
      </w:r>
      <w:r>
        <w:rPr>
          <w:rFonts w:hint="eastAsia" w:ascii="宋体" w:hAnsi="宋体" w:cs="宋体"/>
          <w:color w:val="auto"/>
          <w:sz w:val="24"/>
          <w:highlight w:val="none"/>
        </w:rPr>
        <w:t>财税大楼</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89185312            </w:t>
      </w:r>
    </w:p>
    <w:p>
      <w:pPr>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俞征</w:t>
      </w:r>
      <w:r>
        <w:rPr>
          <w:rFonts w:hint="eastAsia" w:ascii="宋体" w:hAnsi="宋体" w:cs="宋体"/>
          <w:color w:val="auto"/>
          <w:sz w:val="24"/>
          <w:highlight w:val="none"/>
        </w:rPr>
        <w:t>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 xml:space="preserve">89185312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 xml:space="preserve">                              </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28"/>
          <w:szCs w:val="28"/>
          <w:highlight w:val="none"/>
        </w:rPr>
        <w:t>第二部分</w:t>
      </w:r>
      <w:bookmarkEnd w:id="2"/>
      <w:r>
        <w:rPr>
          <w:rFonts w:hint="eastAsia" w:ascii="宋体" w:hAnsi="宋体" w:cs="宋体"/>
          <w:b/>
          <w:color w:val="auto"/>
          <w:sz w:val="28"/>
          <w:szCs w:val="28"/>
          <w:highlight w:val="none"/>
        </w:rPr>
        <w:t xml:space="preserve"> 投标人须知</w:t>
      </w:r>
      <w:bookmarkEnd w:id="3"/>
    </w:p>
    <w:p>
      <w:pPr>
        <w:adjustRightInd/>
        <w:spacing w:line="36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前附表</w:t>
      </w:r>
    </w:p>
    <w:tbl>
      <w:tblPr>
        <w:tblStyle w:val="62"/>
        <w:tblW w:w="9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2"/>
        <w:gridCol w:w="1816"/>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事项</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报价要求</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有关本项目实施所需的所有费用（含税费）均计入报价。</w:t>
            </w:r>
            <w:r>
              <w:rPr>
                <w:rFonts w:hint="eastAsia" w:ascii="宋体" w:hAnsi="宋体" w:cs="宋体"/>
                <w:color w:val="auto"/>
                <w:sz w:val="24"/>
                <w:highlight w:val="none"/>
              </w:rPr>
              <w:t>开标一览表（报价表）是报价的唯一载体</w:t>
            </w:r>
            <w:r>
              <w:rPr>
                <w:rFonts w:hint="eastAsia" w:ascii="宋体" w:hAnsi="宋体" w:cs="宋体"/>
                <w:color w:val="auto"/>
                <w:sz w:val="24"/>
                <w:highlight w:val="none"/>
                <w:lang w:val="zh-CN"/>
              </w:rPr>
              <w:t>。投标文件中价格全部采用人民币报价。招标文件未列明，而投标人认为必需的费用也需列入报价。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分包</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1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投标人应当提供的资格、资信证明文件</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p>
        </w:tc>
        <w:tc>
          <w:tcPr>
            <w:tcW w:w="18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样品提供</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sym w:font="Wingdings" w:char="00FE"/>
            </w:r>
            <w:r>
              <w:rPr>
                <w:rFonts w:hint="eastAsia" w:ascii="宋体" w:hAnsi="宋体" w:cs="宋体"/>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方案讲解演示</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left"/>
              <w:textAlignment w:val="auto"/>
              <w:outlineLvl w:val="9"/>
              <w:rPr>
                <w:rFonts w:ascii="宋体" w:hAnsi="宋体" w:cs="宋体"/>
                <w:color w:val="auto"/>
                <w:sz w:val="24"/>
                <w:highlight w:val="none"/>
                <w:lang w:val="zh-CN"/>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是否允许采购进口产品</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项目属性与核心产品</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采购标的对应的中小企业划分标准所属行业</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lang w:eastAsia="zh-CN"/>
              </w:rPr>
              <w:t>展陈设计及施工项目</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（十六）其他未列明行业</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节能产品、环境标志产品</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1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中小企业信用融资</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p>
        </w:tc>
        <w:tc>
          <w:tcPr>
            <w:tcW w:w="181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备份投标文件送达地点和签收人员</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备份投标文件送达地点：杭州市临平区兴国路506号k7原创园11号楼2楼；备份投标文件签收人员：倪锋，联系电话：13777846972。采购人、采购机构不强制或变相强制投标人提交备份投标文件。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center"/>
              <w:textAlignment w:val="auto"/>
              <w:outlineLvl w:val="9"/>
              <w:rPr>
                <w:rFonts w:ascii="宋体" w:hAnsi="宋体" w:cs="宋体"/>
                <w:color w:val="auto"/>
                <w:sz w:val="24"/>
                <w:highlight w:val="none"/>
              </w:rPr>
            </w:pPr>
            <w:r>
              <w:rPr>
                <w:rFonts w:hint="eastAsia" w:ascii="宋体" w:hAnsi="宋体" w:eastAsia="宋体" w:cs="宋体"/>
                <w:color w:val="auto"/>
                <w:sz w:val="24"/>
                <w:highlight w:val="none"/>
              </w:rPr>
              <w:t>招标代理服务费</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本次代理服务费由中标人支付，代理服务费按照下图规定收费。招标代理费为</w:t>
            </w:r>
            <w:r>
              <w:rPr>
                <w:rFonts w:hint="eastAsia" w:ascii="宋体" w:hAnsi="宋体" w:cs="宋体"/>
                <w:color w:val="auto"/>
                <w:sz w:val="24"/>
                <w:highlight w:val="none"/>
                <w:lang w:val="en-US" w:eastAsia="zh-CN"/>
              </w:rPr>
              <w:t>10300</w:t>
            </w:r>
            <w:r>
              <w:rPr>
                <w:rFonts w:hint="eastAsia" w:ascii="宋体" w:hAnsi="宋体" w:eastAsia="宋体" w:cs="宋体"/>
                <w:color w:val="auto"/>
                <w:sz w:val="24"/>
                <w:highlight w:val="none"/>
                <w:lang w:eastAsia="zh-CN"/>
              </w:rPr>
              <w:t>人民币元整。各投标人应在投标报价中予以考虑。</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drawing>
                <wp:inline distT="0" distB="0" distL="114300" distR="114300">
                  <wp:extent cx="4090035" cy="1400175"/>
                  <wp:effectExtent l="0" t="0" r="5715" b="9525"/>
                  <wp:docPr id="3" name="图片 3" descr="1648624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8624212(1)"/>
                          <pic:cNvPicPr>
                            <a:picLocks noChangeAspect="1"/>
                          </pic:cNvPicPr>
                        </pic:nvPicPr>
                        <pic:blipFill>
                          <a:blip r:embed="rId21"/>
                          <a:stretch>
                            <a:fillRect/>
                          </a:stretch>
                        </pic:blipFill>
                        <pic:spPr>
                          <a:xfrm>
                            <a:off x="0" y="0"/>
                            <a:ext cx="4090035" cy="140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firstLine="0" w:firstLineChars="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中标服务费的交纳方式：以转帐或支票的形式支付，开户行名称：浙江杭州余杭农村商业银行股份有限公司东湖支行；帐号：201000271838241，收款单位（账户名称）：杭州亚辰工程咨询有限公司。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4"/>
                <w:highlight w:val="none"/>
                <w:lang w:val="en-US" w:eastAsia="zh-CN"/>
              </w:rPr>
            </w:pPr>
            <w:bookmarkStart w:id="5" w:name="第三部分"/>
            <w:bookmarkStart w:id="6" w:name="_Toc164416483"/>
            <w:r>
              <w:rPr>
                <w:rFonts w:hint="eastAsia" w:ascii="宋体" w:hAnsi="宋体" w:cs="宋体"/>
                <w:color w:val="auto"/>
                <w:sz w:val="24"/>
                <w:highlight w:val="none"/>
                <w:lang w:val="en-US" w:eastAsia="zh-CN"/>
              </w:rPr>
              <w:t>14</w:t>
            </w:r>
          </w:p>
        </w:tc>
        <w:tc>
          <w:tcPr>
            <w:tcW w:w="8469"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招标文件中带“●”条款为招标文件要求的实质性内容，投标人须在投标文件中提供《符合性审查资料》（格式见第六部分  应提交的有关格式范例），如有任意一条未响应或不满足，将被视为无效。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469"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rPr>
              <w:t>中标单位在</w:t>
            </w:r>
            <w:r>
              <w:rPr>
                <w:rFonts w:hint="eastAsia" w:ascii="宋体" w:hAnsi="宋体" w:eastAsia="宋体" w:cs="宋体"/>
                <w:color w:val="auto"/>
                <w:sz w:val="24"/>
                <w:highlight w:val="none"/>
                <w:lang w:eastAsia="zh-CN"/>
              </w:rPr>
              <w:t>中标后</w:t>
            </w:r>
            <w:r>
              <w:rPr>
                <w:rFonts w:hint="eastAsia" w:ascii="宋体" w:hAnsi="宋体" w:eastAsia="宋体" w:cs="宋体"/>
                <w:color w:val="auto"/>
                <w:sz w:val="24"/>
                <w:highlight w:val="none"/>
              </w:rPr>
              <w:t>，提供本项目纸质投标文件（资格文件”、“报价文件”和“商务技术文件”）</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份（正本一份，副本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份）并提供电子投标文件与纸质投标文件内容一致承诺书</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w:t>
            </w:r>
            <w:r>
              <w:rPr>
                <w:rFonts w:hint="eastAsia" w:ascii="宋体" w:hAnsi="宋体" w:cs="宋体"/>
                <w:color w:val="auto"/>
                <w:sz w:val="24"/>
                <w:highlight w:val="none"/>
                <w:lang w:eastAsia="zh-CN"/>
              </w:rPr>
              <w:t>送至代理公司</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16"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特别说明</w:t>
            </w:r>
          </w:p>
        </w:tc>
        <w:tc>
          <w:tcPr>
            <w:tcW w:w="665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无。</w:t>
            </w:r>
          </w:p>
        </w:tc>
      </w:tr>
      <w:bookmarkEnd w:id="4"/>
    </w:tbl>
    <w:p>
      <w:pPr>
        <w:adjustRightInd/>
        <w:spacing w:line="360" w:lineRule="auto"/>
        <w:ind w:firstLine="3845" w:firstLineChars="1197"/>
        <w:outlineLvl w:val="0"/>
        <w:rPr>
          <w:rFonts w:ascii="宋体" w:hAnsi="宋体" w:cs="宋体"/>
          <w:b/>
          <w:color w:val="auto"/>
          <w:sz w:val="32"/>
          <w:szCs w:val="20"/>
          <w:highlight w:val="none"/>
        </w:rPr>
      </w:pPr>
    </w:p>
    <w:p>
      <w:pPr>
        <w:rPr>
          <w:rFonts w:ascii="宋体" w:hAnsi="宋体" w:cs="宋体"/>
          <w:color w:val="auto"/>
          <w:highlight w:val="none"/>
        </w:rPr>
      </w:pPr>
    </w:p>
    <w:p>
      <w:pPr>
        <w:jc w:val="center"/>
        <w:rPr>
          <w:rFonts w:hint="eastAsia" w:ascii="宋体" w:hAnsi="宋体" w:cs="宋体"/>
          <w:b/>
          <w:bCs/>
          <w:color w:val="auto"/>
          <w:sz w:val="28"/>
          <w:szCs w:val="28"/>
          <w:highlight w:val="none"/>
        </w:rPr>
        <w:sectPr>
          <w:headerReference r:id="rId4" w:type="first"/>
          <w:footerReference r:id="rId6" w:type="first"/>
          <w:headerReference r:id="rId3" w:type="default"/>
          <w:footerReference r:id="rId5" w:type="default"/>
          <w:pgSz w:w="11905" w:h="16838"/>
          <w:pgMar w:top="1531" w:right="1304" w:bottom="1531" w:left="1361" w:header="851" w:footer="992" w:gutter="0"/>
          <w:cols w:space="720" w:num="1"/>
          <w:titlePg/>
          <w:docGrid w:linePitch="312" w:charSpace="0"/>
        </w:sectPr>
      </w:pPr>
      <w:bookmarkStart w:id="7" w:name="_Toc91899903"/>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一、总则</w:t>
      </w:r>
    </w:p>
    <w:p>
      <w:pPr>
        <w:spacing w:line="600" w:lineRule="exact"/>
        <w:rPr>
          <w:rFonts w:ascii="宋体" w:hAnsi="宋体" w:cs="宋体"/>
          <w:color w:val="auto"/>
          <w:sz w:val="24"/>
          <w:highlight w:val="none"/>
        </w:rPr>
      </w:pPr>
      <w:r>
        <w:rPr>
          <w:rFonts w:hint="eastAsia" w:ascii="宋体" w:hAnsi="宋体" w:cs="宋体"/>
          <w:color w:val="auto"/>
          <w:sz w:val="24"/>
          <w:highlight w:val="none"/>
        </w:rPr>
        <w:t>1、适用范围</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spacing w:line="600" w:lineRule="exact"/>
        <w:rPr>
          <w:rFonts w:ascii="宋体" w:hAnsi="宋体" w:cs="宋体"/>
          <w:color w:val="auto"/>
          <w:sz w:val="24"/>
          <w:highlight w:val="none"/>
        </w:rPr>
      </w:pPr>
      <w:r>
        <w:rPr>
          <w:rFonts w:hint="eastAsia" w:ascii="宋体" w:hAnsi="宋体" w:cs="宋体"/>
          <w:color w:val="auto"/>
          <w:sz w:val="24"/>
          <w:highlight w:val="none"/>
        </w:rPr>
        <w:t>2、定义</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 “●”系指实质性要求条款。</w:t>
      </w:r>
    </w:p>
    <w:p>
      <w:pPr>
        <w:spacing w:line="600" w:lineRule="exact"/>
        <w:rPr>
          <w:rFonts w:ascii="宋体" w:hAnsi="宋体" w:cs="宋体"/>
          <w:color w:val="auto"/>
          <w:sz w:val="24"/>
          <w:highlight w:val="none"/>
        </w:rPr>
      </w:pPr>
      <w:r>
        <w:rPr>
          <w:rFonts w:hint="eastAsia" w:ascii="宋体" w:hAnsi="宋体" w:cs="宋体"/>
          <w:color w:val="auto"/>
          <w:sz w:val="24"/>
          <w:highlight w:val="none"/>
        </w:rPr>
        <w:t>3、采购项目需要落实的政府采购政策</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color w:val="auto"/>
          <w:sz w:val="24"/>
          <w:highlight w:val="none"/>
          <w:lang w:eastAsia="zh-CN"/>
        </w:rPr>
        <w:t>●</w:t>
      </w:r>
      <w:r>
        <w:rPr>
          <w:rFonts w:hint="eastAsia" w:ascii="宋体" w:hAnsi="宋体" w:cs="宋体"/>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60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3.3.2在政府采购活动中，投标人提供的货物、工程或者服务符合下列情形的，享受中小企业扶持政策：</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3.3.2.1在货物采购项目中，货物由中小企业制造，即货物由中小企业生产且使用该中小企业商号或者注册商标；</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3.3.2.2在工程采购项目中，工程由中小企业承建，即工程施工单位为中小企业；</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3.3.2.3在服务采购项目中，服务由中小企业承接，即提供服务的人员为中小企业依照《中华人民共和国劳动合同法》订立劳动合同的从业人员。</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在货物采购项目中，投标人提供的货物既有中小企业制造货物，也有大型企业制造货物的，不享受中小企业扶持政策。</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3.4支持创新发展</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600" w:lineRule="exact"/>
        <w:rPr>
          <w:rFonts w:ascii="宋体" w:hAnsi="宋体" w:cs="宋体"/>
          <w:color w:val="auto"/>
          <w:sz w:val="24"/>
          <w:highlight w:val="none"/>
        </w:rPr>
      </w:pPr>
      <w:r>
        <w:rPr>
          <w:rFonts w:hint="eastAsia" w:ascii="宋体" w:hAnsi="宋体" w:cs="宋体"/>
          <w:color w:val="auto"/>
          <w:sz w:val="24"/>
          <w:highlight w:val="none"/>
        </w:rPr>
        <w:t>4、询问、质疑、投诉</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4.2供应商质疑</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4.2</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4.2</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4.2.2.1对招标文件提出质疑的，质疑期限为供应商获得招标文件之日或者招标文件公告期限届满之日起计算。</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4.2.2.2对采购过程提出质疑的，质疑期限为各采购程序环节结束之日起计算。对同一采购程序环节的质疑，供应商须一次性提出。</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4.2.2.3对采购结果提出质疑的，质疑期限自采购结果公告期限届满之日起计算。</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4.2.3</w:t>
      </w:r>
      <w:r>
        <w:rPr>
          <w:rFonts w:hint="eastAsia" w:ascii="宋体" w:hAnsi="宋体" w:cs="宋体"/>
          <w:color w:val="auto"/>
          <w:sz w:val="24"/>
          <w:highlight w:val="none"/>
        </w:rPr>
        <w:t>供应商提出质疑应当提交质疑函和必要的证明材料。质疑函应当包括下列内容：</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4.2.3.1供应商的姓名或者名称、地址、邮编、联系人及联系电话；</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4.2.3.2质疑项目的名称、编号；</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4.2.3.3具体、明确的质疑事项和与质疑事项相关的请求；</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4.2.3.4事实依据；</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4.2.3.5必要的法律依据；</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4.2.3.6提出质疑的日期：</w:t>
      </w:r>
      <w:r>
        <w:rPr>
          <w:rFonts w:hint="eastAsia" w:ascii="宋体" w:hAnsi="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质疑函范本及制作说明详见附件2。</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4.2</w:t>
      </w:r>
      <w:r>
        <w:rPr>
          <w:rFonts w:hint="eastAsia" w:ascii="宋体" w:hAnsi="宋体" w:cs="宋体"/>
          <w:color w:val="auto"/>
          <w:sz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4.2</w:t>
      </w:r>
      <w:r>
        <w:rPr>
          <w:rFonts w:hint="eastAsia" w:ascii="宋体" w:hAnsi="宋体" w:cs="宋体"/>
          <w:color w:val="auto"/>
          <w:sz w:val="24"/>
          <w:highlight w:val="none"/>
        </w:rPr>
        <w:t>.5询问或者质疑事项可能影响采购结果的，采购人应当暂停签订合同，已经签订合同的，应当中止履行合同。</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4.3供应商投诉</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4.3.1质疑供应商对采购人、采购机构的答复不满意或者采购人、采购机构未在规定的时间内作出答复的，可以在答复期满后十五个工作日内向同级政府采购监督管理部门提出投诉。</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w:t>
      </w:r>
      <w:r>
        <w:rPr>
          <w:rFonts w:hint="eastAsia" w:ascii="宋体" w:hAnsi="宋体" w:cs="宋体"/>
          <w:color w:val="auto"/>
          <w:sz w:val="24"/>
          <w:highlight w:val="none"/>
          <w:lang w:val="zh-CN"/>
        </w:rPr>
        <w:t>2</w:t>
      </w:r>
      <w:r>
        <w:rPr>
          <w:rFonts w:hint="eastAsia" w:ascii="宋体" w:hAnsi="宋体" w:cs="宋体"/>
          <w:color w:val="auto"/>
          <w:sz w:val="24"/>
          <w:highlight w:val="none"/>
        </w:rPr>
        <w:t>供应商投诉的事项不得超出已质疑事项的范围，基于质疑答复内容提出的投诉事项除外。</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4.3.3供应商投诉应当有明确的请求和必要的证明材料。</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4.3.4以联合体形式参加政府采购活动的，其投诉应当由组成联合体的所有供应商共同提出。</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投诉书范本及制作说明详见附件3。</w:t>
      </w:r>
    </w:p>
    <w:p>
      <w:pPr>
        <w:spacing w:line="600" w:lineRule="exact"/>
        <w:jc w:val="center"/>
        <w:rPr>
          <w:rFonts w:ascii="宋体" w:hAnsi="宋体" w:cs="宋体"/>
          <w:b/>
          <w:bCs/>
          <w:color w:val="auto"/>
          <w:sz w:val="28"/>
          <w:szCs w:val="28"/>
          <w:highlight w:val="none"/>
        </w:rPr>
      </w:pPr>
    </w:p>
    <w:p>
      <w:pPr>
        <w:spacing w:line="6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二、招标文件的构成、澄清、修改</w:t>
      </w:r>
    </w:p>
    <w:p>
      <w:pPr>
        <w:spacing w:line="600" w:lineRule="exact"/>
        <w:rPr>
          <w:rFonts w:ascii="宋体" w:hAnsi="宋体" w:cs="宋体"/>
          <w:color w:val="auto"/>
          <w:sz w:val="24"/>
          <w:highlight w:val="none"/>
        </w:rPr>
      </w:pPr>
      <w:r>
        <w:rPr>
          <w:rFonts w:hint="eastAsia" w:ascii="宋体" w:hAnsi="宋体" w:cs="宋体"/>
          <w:color w:val="auto"/>
          <w:sz w:val="24"/>
          <w:highlight w:val="none"/>
        </w:rPr>
        <w:t>5、招标文件的构成</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 招标文件包括下列文件及附件：</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5.1.1招标公告；</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5.1.2投标人须知；</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5.1.3采购需求；</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5.1.4评标办法；</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5.1.5拟签订的合同文本；</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5.1.6应提交的有关格式范例。</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5.2与本项目有关的澄清或者修改的内容为招标文件的组成部分。</w:t>
      </w:r>
    </w:p>
    <w:p>
      <w:pPr>
        <w:spacing w:line="600" w:lineRule="exact"/>
        <w:rPr>
          <w:rFonts w:ascii="宋体" w:hAnsi="宋体" w:cs="宋体"/>
          <w:color w:val="auto"/>
          <w:sz w:val="24"/>
          <w:highlight w:val="none"/>
        </w:rPr>
      </w:pPr>
      <w:r>
        <w:rPr>
          <w:rFonts w:hint="eastAsia" w:ascii="宋体" w:hAnsi="宋体" w:cs="宋体"/>
          <w:color w:val="auto"/>
          <w:sz w:val="24"/>
          <w:highlight w:val="none"/>
        </w:rPr>
        <w:t>6、招标文件的澄清、修改</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6.1已获取招标文件的潜在投标人，若有问题需要澄清，应于投标截止时间前，以书面形式向采购机构提出。</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600" w:lineRule="exact"/>
        <w:jc w:val="center"/>
        <w:rPr>
          <w:rFonts w:ascii="宋体" w:hAnsi="宋体" w:cs="宋体"/>
          <w:b/>
          <w:bCs/>
          <w:color w:val="auto"/>
          <w:sz w:val="28"/>
          <w:szCs w:val="28"/>
          <w:highlight w:val="none"/>
        </w:rPr>
      </w:pPr>
    </w:p>
    <w:p>
      <w:pPr>
        <w:spacing w:line="6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三、投标</w:t>
      </w:r>
    </w:p>
    <w:p>
      <w:pPr>
        <w:spacing w:line="600" w:lineRule="exact"/>
        <w:rPr>
          <w:rFonts w:ascii="宋体" w:hAnsi="宋体" w:cs="宋体"/>
          <w:color w:val="auto"/>
          <w:sz w:val="24"/>
          <w:highlight w:val="none"/>
        </w:rPr>
      </w:pPr>
      <w:r>
        <w:rPr>
          <w:rFonts w:hint="eastAsia" w:ascii="宋体" w:hAnsi="宋体" w:cs="宋体"/>
          <w:color w:val="auto"/>
          <w:sz w:val="24"/>
          <w:highlight w:val="none"/>
        </w:rPr>
        <w:t>7、招标文件的获取</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详见招标公告中获取招标文件的时间期限、地点、方式及招标文件售价。</w:t>
      </w:r>
    </w:p>
    <w:p>
      <w:pPr>
        <w:spacing w:line="600" w:lineRule="exact"/>
        <w:rPr>
          <w:rFonts w:ascii="宋体" w:hAnsi="宋体" w:cs="宋体"/>
          <w:color w:val="auto"/>
          <w:sz w:val="24"/>
          <w:highlight w:val="none"/>
        </w:rPr>
      </w:pPr>
      <w:r>
        <w:rPr>
          <w:rFonts w:hint="eastAsia" w:ascii="宋体" w:hAnsi="宋体" w:cs="宋体"/>
          <w:color w:val="auto"/>
          <w:sz w:val="24"/>
          <w:highlight w:val="none"/>
        </w:rPr>
        <w:t>8、开标前答疑会或现场考察</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采购人组织潜在投标人现场考察或者召开开标前答疑会的，潜在投标人按第二部分投标人须知前附表的规定参加现场考察或者开标前答疑会。</w:t>
      </w:r>
    </w:p>
    <w:p>
      <w:pPr>
        <w:spacing w:line="600" w:lineRule="exact"/>
        <w:rPr>
          <w:rFonts w:ascii="宋体" w:hAnsi="宋体" w:cs="宋体"/>
          <w:color w:val="auto"/>
          <w:sz w:val="24"/>
          <w:highlight w:val="none"/>
        </w:rPr>
      </w:pPr>
      <w:r>
        <w:rPr>
          <w:rFonts w:hint="eastAsia" w:ascii="宋体" w:hAnsi="宋体" w:cs="宋体"/>
          <w:color w:val="auto"/>
          <w:sz w:val="24"/>
          <w:highlight w:val="none"/>
        </w:rPr>
        <w:t>9、投标保证金</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本项目不需缴纳投标保证金。</w:t>
      </w:r>
    </w:p>
    <w:p>
      <w:pPr>
        <w:spacing w:line="600" w:lineRule="exact"/>
        <w:rPr>
          <w:rFonts w:ascii="宋体" w:hAnsi="宋体" w:cs="宋体"/>
          <w:color w:val="auto"/>
          <w:sz w:val="24"/>
          <w:highlight w:val="none"/>
        </w:rPr>
      </w:pPr>
      <w:r>
        <w:rPr>
          <w:rFonts w:hint="eastAsia" w:ascii="宋体" w:hAnsi="宋体" w:cs="宋体"/>
          <w:color w:val="auto"/>
          <w:sz w:val="24"/>
          <w:highlight w:val="none"/>
        </w:rPr>
        <w:t>10、投标文件的语言</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spacing w:line="600" w:lineRule="exact"/>
        <w:rPr>
          <w:rFonts w:ascii="宋体" w:hAnsi="宋体" w:cs="宋体"/>
          <w:color w:val="auto"/>
          <w:sz w:val="24"/>
          <w:highlight w:val="none"/>
        </w:rPr>
      </w:pPr>
      <w:r>
        <w:rPr>
          <w:rFonts w:hint="eastAsia" w:ascii="宋体" w:hAnsi="宋体" w:cs="宋体"/>
          <w:color w:val="auto"/>
          <w:sz w:val="24"/>
          <w:highlight w:val="none"/>
        </w:rPr>
        <w:t>11、投标文件的组成</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11.1资格文件：</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11.1.2落实政府采购政策需满足的资格要求；</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11.1.3本项目的特定资格要求。</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11.2.3联合协议；</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11.2.4分包意向协议；</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11.2.5符合性审查资料；</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11.2.6评标标准相应的商务技术资料；</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11.2.7商务技术偏离表；</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11.2.8</w:t>
      </w:r>
      <w:r>
        <w:rPr>
          <w:rFonts w:hint="eastAsia" w:ascii="宋体" w:hAnsi="宋体" w:cs="宋体"/>
          <w:color w:val="auto"/>
          <w:sz w:val="24"/>
          <w:highlight w:val="none"/>
          <w:lang w:val="zh-CN"/>
        </w:rPr>
        <w:t>政府采购供应商廉洁自律承诺书；</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11.</w:t>
      </w:r>
      <w:r>
        <w:rPr>
          <w:rFonts w:hint="eastAsia" w:ascii="宋体" w:hAnsi="宋体" w:cs="宋体"/>
          <w:color w:val="auto"/>
          <w:sz w:val="24"/>
          <w:highlight w:val="none"/>
        </w:rPr>
        <w:t xml:space="preserve">3报价文件：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投标文件含有采购人不能接受的附加条件的，投标无效；</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投标人提供虚假材料投标的，投标无效。</w:t>
      </w:r>
    </w:p>
    <w:p>
      <w:pPr>
        <w:spacing w:line="600" w:lineRule="exact"/>
        <w:rPr>
          <w:rFonts w:ascii="宋体" w:hAnsi="宋体" w:cs="宋体"/>
          <w:color w:val="auto"/>
          <w:sz w:val="24"/>
          <w:highlight w:val="none"/>
        </w:rPr>
      </w:pPr>
      <w:r>
        <w:rPr>
          <w:rFonts w:hint="eastAsia" w:ascii="宋体" w:hAnsi="宋体" w:cs="宋体"/>
          <w:color w:val="auto"/>
          <w:sz w:val="24"/>
          <w:highlight w:val="none"/>
        </w:rPr>
        <w:t>12、投标文件的编制</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12.3使用“政采云电子交易客户端”需要提前申领CA数字证书，申领流程请自行前往“浙江政府采购网-下载专区-电子交易客户端-CA驱动和申领流程”进行查阅。</w:t>
      </w:r>
    </w:p>
    <w:p>
      <w:pPr>
        <w:spacing w:line="600" w:lineRule="exact"/>
        <w:rPr>
          <w:rFonts w:ascii="宋体" w:hAnsi="宋体" w:cs="宋体"/>
          <w:color w:val="auto"/>
          <w:sz w:val="24"/>
          <w:highlight w:val="none"/>
        </w:rPr>
      </w:pPr>
      <w:r>
        <w:rPr>
          <w:rFonts w:hint="eastAsia" w:ascii="宋体" w:hAnsi="宋体" w:cs="宋体"/>
          <w:color w:val="auto"/>
          <w:sz w:val="24"/>
          <w:highlight w:val="none"/>
        </w:rPr>
        <w:t>13、投标文件的签署、盖章</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13.1投标文件按照招标文件第六部分格式要求进行签署、盖章。</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投标人的投标文件未按照招标文件要求签署、盖章的，其投标无效。</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13.2为确保网上操作合法、有效和安全，投标人应当在投标截止时间前完成在“政府采购云平台”的身份认证，确保在电子投标过程中能够对相关数据电文进行加密和使用电子签名。</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13.3招标文件对投标文件签署、盖章的要求适用于电子签名。</w:t>
      </w:r>
    </w:p>
    <w:p>
      <w:pPr>
        <w:spacing w:line="600" w:lineRule="exact"/>
        <w:rPr>
          <w:rFonts w:ascii="宋体" w:hAnsi="宋体" w:cs="宋体"/>
          <w:color w:val="auto"/>
          <w:sz w:val="24"/>
          <w:highlight w:val="none"/>
        </w:rPr>
      </w:pPr>
      <w:r>
        <w:rPr>
          <w:rFonts w:hint="eastAsia" w:ascii="宋体" w:hAnsi="宋体" w:cs="宋体"/>
          <w:color w:val="auto"/>
          <w:sz w:val="24"/>
          <w:highlight w:val="none"/>
        </w:rPr>
        <w:t>14、投标文件的提交、补充、修改、撤回</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14.3采购人、采购机构可以视情况延长投标文件提交的截止时间。在上述情况下，采购机构与投标人以前在投标截止期方面的全部权利、责任和义务，将适用于延长至新的投标截止期。</w:t>
      </w:r>
    </w:p>
    <w:p>
      <w:pPr>
        <w:spacing w:line="600" w:lineRule="exact"/>
        <w:rPr>
          <w:rFonts w:ascii="宋体" w:hAnsi="宋体" w:cs="宋体"/>
          <w:color w:val="auto"/>
          <w:sz w:val="24"/>
          <w:highlight w:val="none"/>
        </w:rPr>
      </w:pPr>
      <w:r>
        <w:rPr>
          <w:rFonts w:hint="eastAsia" w:ascii="宋体" w:hAnsi="宋体" w:cs="宋体"/>
          <w:color w:val="auto"/>
          <w:sz w:val="24"/>
          <w:highlight w:val="none"/>
        </w:rPr>
        <w:t>15、备份投标文件</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15.1投标人在电子交易平台传输递交投标文件后，还可以在投标截止时间前直接提交或者以邮政快递方式递交备份投标文件1份，但采购人、采购机构不强制或变相强制投标人提交备份投标文件。</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15.3直接提交备份投标文件的，投标人应于投标截止时间前在招标公告中载明的开标地点将备份投标文件提交给采购机构，采购机构将拒绝接受逾期送达的备份投标文件。</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15.5投标人仅提交备份投标文件，没有在电子交易平台传输递交投标文件的，投标无效。</w:t>
      </w:r>
    </w:p>
    <w:p>
      <w:pPr>
        <w:spacing w:line="600" w:lineRule="exact"/>
        <w:rPr>
          <w:rFonts w:ascii="宋体" w:hAnsi="宋体" w:cs="宋体"/>
          <w:color w:val="auto"/>
          <w:sz w:val="24"/>
          <w:highlight w:val="none"/>
        </w:rPr>
      </w:pPr>
      <w:r>
        <w:rPr>
          <w:rFonts w:hint="eastAsia" w:ascii="宋体" w:hAnsi="宋体" w:cs="宋体"/>
          <w:color w:val="auto"/>
          <w:sz w:val="24"/>
          <w:highlight w:val="none"/>
        </w:rPr>
        <w:t>16、投标文件的无效处理</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有招标文件第四部分第13项规定的情形之一的，投标无效：</w:t>
      </w:r>
    </w:p>
    <w:p>
      <w:pPr>
        <w:spacing w:line="600" w:lineRule="exact"/>
        <w:rPr>
          <w:rFonts w:ascii="宋体" w:hAnsi="宋体" w:cs="宋体"/>
          <w:color w:val="auto"/>
          <w:sz w:val="24"/>
          <w:highlight w:val="none"/>
        </w:rPr>
      </w:pPr>
      <w:r>
        <w:rPr>
          <w:rFonts w:hint="eastAsia" w:ascii="宋体" w:hAnsi="宋体" w:cs="宋体"/>
          <w:color w:val="auto"/>
          <w:sz w:val="24"/>
          <w:highlight w:val="none"/>
        </w:rPr>
        <w:t>17、投标有效期</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17.1投标有效期为从提交投标文件的截止之日起90天。</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投标人的投标文件中承诺的投标有效期少于招标文件中载明的投标有效期的，投标无效。</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17.2投标文件合格投递后，自投标截止日期起，在投标有效期内有效。</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spacing w:line="600" w:lineRule="exact"/>
        <w:jc w:val="center"/>
        <w:rPr>
          <w:rFonts w:ascii="宋体" w:hAnsi="宋体" w:cs="宋体"/>
          <w:b/>
          <w:bCs/>
          <w:color w:val="auto"/>
          <w:sz w:val="28"/>
          <w:szCs w:val="28"/>
          <w:highlight w:val="none"/>
        </w:rPr>
      </w:pPr>
    </w:p>
    <w:p>
      <w:pPr>
        <w:spacing w:line="6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四、开标、资格审查与信用信息查询</w:t>
      </w:r>
    </w:p>
    <w:p>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18、开标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18.3投标文件未按时解密，投标人提供了备份投标文件的，以备份投标文件作为依据，否则视为投标文件撤回。投标文件已按时解密的，备份投标文件自动失效。</w:t>
      </w:r>
    </w:p>
    <w:p>
      <w:pPr>
        <w:spacing w:line="600" w:lineRule="exact"/>
        <w:rPr>
          <w:rFonts w:ascii="宋体" w:hAnsi="宋体" w:cs="宋体"/>
          <w:color w:val="auto"/>
          <w:sz w:val="24"/>
          <w:highlight w:val="none"/>
        </w:rPr>
      </w:pPr>
      <w:r>
        <w:rPr>
          <w:rFonts w:hint="eastAsia" w:ascii="宋体" w:hAnsi="宋体" w:cs="宋体"/>
          <w:color w:val="auto"/>
          <w:sz w:val="24"/>
          <w:highlight w:val="none"/>
        </w:rPr>
        <w:t>19、资格审查</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19.1开标后，采购人或采购机构将依法对投标人的资格进行审查。</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19.2采购人或采购机构依据法律法规和招标文件的规定，对投标人的基本资格条件、特定资格条件进行审查。</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19.3投标人未按照招标文件要求提供与基本资格条件、特定资格条件相应的有效资格证明材料的，视为投标人不具备招标文件中规定的资格要求，其投标无效。</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19.4对未通过资格审查的投标人，采购人或采购机构告知其未通过的原因。</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19.5合格投标人不足3家的，不再评标。</w:t>
      </w:r>
    </w:p>
    <w:p>
      <w:pPr>
        <w:spacing w:line="600" w:lineRule="exact"/>
        <w:rPr>
          <w:rFonts w:ascii="宋体" w:hAnsi="宋体" w:cs="宋体"/>
          <w:color w:val="auto"/>
          <w:sz w:val="24"/>
          <w:highlight w:val="none"/>
        </w:rPr>
      </w:pPr>
      <w:r>
        <w:rPr>
          <w:rFonts w:hint="eastAsia" w:ascii="宋体" w:hAnsi="宋体" w:cs="宋体"/>
          <w:color w:val="auto"/>
          <w:sz w:val="24"/>
          <w:highlight w:val="none"/>
        </w:rPr>
        <w:t>20、信用信息查询</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20.1信用信息查询渠道及截止时间：采购机构将通过“信用中国”网站(www.creditchina.gov.cn）、中国政府采购网(www.ccgp.gov.cn）渠道查询投标人投标截止时间当天的信用记录。</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20.2信用信息查询记录和证据留存的具体方式：现场查询的投标人的信用记录、查询结果经确认后将与采购文件一起存档。</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20.3信用信息的使用规则：经查询列入失信被执行人名单、重大税收违法案件当事人名单、政府采购严重违法失信行为记录名单的投标人将被拒绝参与政府采购活动。</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600" w:lineRule="exact"/>
        <w:jc w:val="center"/>
        <w:rPr>
          <w:rFonts w:ascii="宋体" w:hAnsi="宋体" w:cs="宋体"/>
          <w:b/>
          <w:bCs/>
          <w:color w:val="auto"/>
          <w:sz w:val="28"/>
          <w:szCs w:val="28"/>
          <w:highlight w:val="none"/>
        </w:rPr>
      </w:pPr>
    </w:p>
    <w:p>
      <w:pPr>
        <w:spacing w:line="6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五、评标</w:t>
      </w:r>
    </w:p>
    <w:p>
      <w:pPr>
        <w:spacing w:line="600" w:lineRule="exact"/>
        <w:rPr>
          <w:rFonts w:ascii="宋体" w:hAnsi="宋体" w:cs="宋体"/>
          <w:color w:val="auto"/>
          <w:sz w:val="24"/>
          <w:highlight w:val="none"/>
        </w:rPr>
      </w:pPr>
      <w:r>
        <w:rPr>
          <w:rFonts w:hint="eastAsia" w:ascii="宋体" w:hAnsi="宋体" w:cs="宋体"/>
          <w:color w:val="auto"/>
          <w:sz w:val="24"/>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pacing w:line="600" w:lineRule="exact"/>
        <w:jc w:val="center"/>
        <w:rPr>
          <w:rFonts w:ascii="宋体" w:hAnsi="宋体" w:cs="宋体"/>
          <w:b/>
          <w:bCs/>
          <w:color w:val="auto"/>
          <w:sz w:val="28"/>
          <w:szCs w:val="28"/>
          <w:highlight w:val="none"/>
        </w:rPr>
      </w:pPr>
    </w:p>
    <w:p>
      <w:pPr>
        <w:spacing w:line="6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六、定 标</w:t>
      </w:r>
    </w:p>
    <w:p>
      <w:pPr>
        <w:spacing w:line="600" w:lineRule="exact"/>
        <w:rPr>
          <w:rFonts w:ascii="宋体" w:hAnsi="宋体" w:cs="宋体"/>
          <w:color w:val="auto"/>
          <w:sz w:val="24"/>
          <w:highlight w:val="none"/>
        </w:rPr>
      </w:pPr>
      <w:r>
        <w:rPr>
          <w:rFonts w:hint="eastAsia" w:ascii="宋体" w:hAnsi="宋体" w:cs="宋体"/>
          <w:color w:val="auto"/>
          <w:sz w:val="24"/>
          <w:highlight w:val="none"/>
        </w:rPr>
        <w:t>22、确定中标供应商</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采购人将自收到评审报告之日起5个工作日内通过电子交易平台在评审报告推荐的中标候选人中按顺序确定中标供应商。</w:t>
      </w:r>
    </w:p>
    <w:p>
      <w:pPr>
        <w:spacing w:line="600" w:lineRule="exact"/>
        <w:rPr>
          <w:rFonts w:ascii="宋体" w:hAnsi="宋体" w:cs="宋体"/>
          <w:color w:val="auto"/>
          <w:sz w:val="24"/>
          <w:highlight w:val="none"/>
        </w:rPr>
      </w:pPr>
      <w:r>
        <w:rPr>
          <w:rFonts w:hint="eastAsia" w:ascii="宋体" w:hAnsi="宋体" w:cs="宋体"/>
          <w:color w:val="auto"/>
          <w:sz w:val="24"/>
          <w:highlight w:val="none"/>
        </w:rPr>
        <w:t>23、中标通知与中标结果公告</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23.3公告期限为1个工作日。</w:t>
      </w:r>
    </w:p>
    <w:p>
      <w:pPr>
        <w:spacing w:line="600" w:lineRule="exact"/>
        <w:jc w:val="center"/>
        <w:rPr>
          <w:rFonts w:ascii="宋体" w:hAnsi="宋体" w:cs="宋体"/>
          <w:b/>
          <w:bCs/>
          <w:color w:val="auto"/>
          <w:sz w:val="28"/>
          <w:szCs w:val="28"/>
          <w:highlight w:val="none"/>
        </w:rPr>
      </w:pPr>
    </w:p>
    <w:p>
      <w:pPr>
        <w:spacing w:line="6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七、合同授予</w:t>
      </w:r>
    </w:p>
    <w:p>
      <w:pPr>
        <w:spacing w:line="600" w:lineRule="exact"/>
        <w:rPr>
          <w:rFonts w:ascii="宋体" w:hAnsi="宋体" w:cs="宋体"/>
          <w:color w:val="auto"/>
          <w:sz w:val="24"/>
          <w:highlight w:val="none"/>
        </w:rPr>
      </w:pPr>
      <w:r>
        <w:rPr>
          <w:rFonts w:hint="eastAsia" w:ascii="宋体" w:hAnsi="宋体" w:cs="宋体"/>
          <w:color w:val="auto"/>
          <w:sz w:val="24"/>
          <w:highlight w:val="none"/>
        </w:rPr>
        <w:t>24、合同主要条款详见第五部分拟签订的合同文本。</w:t>
      </w:r>
    </w:p>
    <w:p>
      <w:pPr>
        <w:spacing w:line="600" w:lineRule="exact"/>
        <w:rPr>
          <w:rFonts w:ascii="宋体" w:hAnsi="宋体" w:cs="宋体"/>
          <w:color w:val="auto"/>
          <w:sz w:val="24"/>
          <w:highlight w:val="none"/>
        </w:rPr>
      </w:pPr>
      <w:r>
        <w:rPr>
          <w:rFonts w:hint="eastAsia" w:ascii="宋体" w:hAnsi="宋体" w:cs="宋体"/>
          <w:color w:val="auto"/>
          <w:sz w:val="24"/>
          <w:highlight w:val="none"/>
        </w:rPr>
        <w:t>25、合同的签订</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 采购人与中标人应当通过电子交易平台在中标通知书发出之日起三十日内，按照招标文件确定的事项签订政府采购合同，并在合同签订之日起2个工作日内依法发布合同公告。</w:t>
      </w:r>
    </w:p>
    <w:p>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25.3如签订合同并生效后，供应商无故拒绝或延期，除按照合同条款处理外，列入不良行为记录一次，并给予通报。</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25.4中标供应商拒绝与采购人签订合同的，采购人可以按照评审报告推荐的中标或者成交候选人名单排序，确定下一候选人为中标供应商，也可以重新开展政府采购活动。</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25.5采购合同由采购人与中标供应商根据招标文件、投标文件等内容通过政府采购电子交易平台在线签订，自动备案。</w:t>
      </w:r>
    </w:p>
    <w:p>
      <w:pPr>
        <w:spacing w:line="600" w:lineRule="exact"/>
        <w:rPr>
          <w:rFonts w:ascii="宋体" w:hAnsi="宋体" w:cs="宋体"/>
          <w:color w:val="auto"/>
          <w:sz w:val="24"/>
          <w:highlight w:val="none"/>
        </w:rPr>
      </w:pPr>
      <w:r>
        <w:rPr>
          <w:rFonts w:hint="eastAsia" w:ascii="宋体" w:hAnsi="宋体" w:cs="宋体"/>
          <w:color w:val="auto"/>
          <w:sz w:val="24"/>
          <w:highlight w:val="none"/>
        </w:rPr>
        <w:t>26、履约保证金</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%。鼓励和支持供应商以银行、保险公司出具的保函形式提供履约保证金。采购人不得拒收履约保函。</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%；评价总分在90分以下或者暂无评分的，收取履约保证金不得高于合同金额</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600" w:lineRule="exact"/>
        <w:jc w:val="center"/>
        <w:rPr>
          <w:rFonts w:ascii="宋体" w:hAnsi="宋体" w:cs="宋体"/>
          <w:b/>
          <w:bCs/>
          <w:color w:val="auto"/>
          <w:sz w:val="28"/>
          <w:szCs w:val="28"/>
          <w:highlight w:val="none"/>
        </w:rPr>
      </w:pPr>
    </w:p>
    <w:p>
      <w:pPr>
        <w:spacing w:line="6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八、电子交易活动的中止</w:t>
      </w:r>
    </w:p>
    <w:p>
      <w:pPr>
        <w:spacing w:line="600" w:lineRule="exact"/>
        <w:rPr>
          <w:rFonts w:ascii="宋体" w:hAnsi="宋体" w:cs="宋体"/>
          <w:color w:val="auto"/>
          <w:sz w:val="24"/>
          <w:highlight w:val="none"/>
        </w:rPr>
      </w:pPr>
      <w:r>
        <w:rPr>
          <w:rFonts w:hint="eastAsia" w:ascii="宋体" w:hAnsi="宋体" w:cs="宋体"/>
          <w:color w:val="auto"/>
          <w:sz w:val="24"/>
          <w:highlight w:val="none"/>
        </w:rPr>
        <w:t>27、电子交易活动的中止。采购过程中出现以下情形，导致电子交易平台无法正常运行，或者无法保证电子交易的公平、公正和安全时，采购机构可中止电子交易活动：</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27.1电子交易平台发生故障而无法登录访问的；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27.2电子交易平台应用或数据库出现错误，不能进行正常操作的；</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27.3电子交易平台发现严重安全漏洞，有潜在泄密危险的；</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27.4病毒发作导致不能进行正常操作的； </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27.5其他无法保证电子交易的公平、公正和安全的情况。</w:t>
      </w:r>
    </w:p>
    <w:p>
      <w:pPr>
        <w:spacing w:line="600" w:lineRule="exact"/>
        <w:rPr>
          <w:rFonts w:ascii="宋体" w:hAnsi="宋体" w:cs="宋体"/>
          <w:b/>
          <w:bCs/>
          <w:color w:val="auto"/>
          <w:sz w:val="28"/>
          <w:szCs w:val="28"/>
          <w:highlight w:val="none"/>
        </w:rPr>
      </w:pPr>
      <w:r>
        <w:rPr>
          <w:rFonts w:hint="eastAsia" w:ascii="宋体" w:hAnsi="宋体" w:cs="宋体"/>
          <w:color w:val="auto"/>
          <w:sz w:val="24"/>
          <w:highlight w:val="none"/>
        </w:rPr>
        <w:t>28、出现以上情形，不影响采购公平、公正性的，采购组织机构可以待上述情形消除后继 续组织电子交易活动，也可以决定某些环节以纸质形式进行；影响或可能影响采购公平、公正性的，应当重新采购。</w:t>
      </w:r>
    </w:p>
    <w:p>
      <w:pPr>
        <w:spacing w:line="6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九、验收</w:t>
      </w:r>
    </w:p>
    <w:p>
      <w:pPr>
        <w:spacing w:line="600" w:lineRule="exact"/>
        <w:rPr>
          <w:rFonts w:ascii="宋体" w:hAnsi="宋体" w:cs="宋体"/>
          <w:color w:val="auto"/>
          <w:sz w:val="24"/>
          <w:highlight w:val="none"/>
        </w:rPr>
      </w:pPr>
      <w:r>
        <w:rPr>
          <w:rFonts w:hint="eastAsia" w:ascii="宋体" w:hAnsi="宋体" w:cs="宋体"/>
          <w:color w:val="auto"/>
          <w:sz w:val="24"/>
          <w:highlight w:val="none"/>
        </w:rPr>
        <w:t>29、验收</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29.2采购人可以邀请参加本项目的其他投标人或者第三方机构参与验收。参与验收的投标人或者第三方机构的意见作为验收书的参考资料一并存档。</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600" w:lineRule="exact"/>
        <w:ind w:firstLine="480" w:firstLineChars="200"/>
        <w:rPr>
          <w:rFonts w:ascii="宋体" w:hAnsi="宋体" w:cs="宋体"/>
          <w:color w:val="auto"/>
          <w:sz w:val="18"/>
          <w:szCs w:val="18"/>
          <w:highlight w:val="none"/>
        </w:rPr>
      </w:pPr>
      <w:r>
        <w:rPr>
          <w:rFonts w:hint="eastAsia" w:ascii="宋体" w:hAnsi="宋体" w:cs="宋体"/>
          <w:color w:val="auto"/>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p>
      <w:pPr>
        <w:tabs>
          <w:tab w:val="left" w:pos="0"/>
        </w:tabs>
        <w:spacing w:line="600" w:lineRule="exact"/>
        <w:ind w:firstLine="480"/>
        <w:rPr>
          <w:rFonts w:ascii="宋体" w:hAnsi="宋体" w:cs="宋体"/>
          <w:color w:val="auto"/>
          <w:kern w:val="0"/>
          <w:sz w:val="24"/>
          <w:highlight w:val="none"/>
        </w:rPr>
        <w:sectPr>
          <w:pgSz w:w="11905" w:h="16838"/>
          <w:pgMar w:top="1531" w:right="1304" w:bottom="1531" w:left="1361" w:header="851" w:footer="992" w:gutter="0"/>
          <w:cols w:space="720" w:num="1"/>
          <w:titlePg/>
          <w:docGrid w:linePitch="312" w:charSpace="0"/>
        </w:sectPr>
      </w:pPr>
      <w:bookmarkStart w:id="8" w:name="_Hlt68057669"/>
      <w:bookmarkEnd w:id="8"/>
      <w:bookmarkStart w:id="9" w:name="_Hlt68073093"/>
      <w:bookmarkEnd w:id="9"/>
      <w:bookmarkStart w:id="10" w:name="_Hlt68403820"/>
      <w:bookmarkEnd w:id="10"/>
      <w:bookmarkStart w:id="11" w:name="_Hlt74729768"/>
      <w:bookmarkEnd w:id="11"/>
      <w:bookmarkStart w:id="12" w:name="_Hlt68072990"/>
      <w:bookmarkEnd w:id="12"/>
      <w:bookmarkStart w:id="13" w:name="_Hlt68072998"/>
      <w:bookmarkEnd w:id="13"/>
      <w:bookmarkStart w:id="14" w:name="_Hlt75236101"/>
      <w:bookmarkEnd w:id="14"/>
      <w:bookmarkStart w:id="15" w:name="_Hlt75236011"/>
      <w:bookmarkEnd w:id="15"/>
      <w:bookmarkStart w:id="16" w:name="_Hlt74714665"/>
      <w:bookmarkEnd w:id="16"/>
      <w:bookmarkStart w:id="17" w:name="_Hlt75236290"/>
      <w:bookmarkEnd w:id="17"/>
      <w:bookmarkStart w:id="18" w:name="_Hlt74707468"/>
      <w:bookmarkEnd w:id="18"/>
      <w:bookmarkStart w:id="19" w:name="_Hlt74730295"/>
      <w:bookmarkEnd w:id="19"/>
    </w:p>
    <w:bookmarkEnd w:id="5"/>
    <w:bookmarkEnd w:id="6"/>
    <w:p>
      <w:pPr>
        <w:spacing w:line="600" w:lineRule="exact"/>
        <w:jc w:val="center"/>
        <w:rPr>
          <w:rFonts w:ascii="宋体" w:hAnsi="宋体" w:cs="宋体"/>
          <w:b/>
          <w:color w:val="auto"/>
          <w:sz w:val="28"/>
          <w:szCs w:val="28"/>
          <w:highlight w:val="none"/>
        </w:rPr>
      </w:pPr>
      <w:bookmarkStart w:id="20" w:name="第四部分"/>
      <w:r>
        <w:rPr>
          <w:rFonts w:hint="eastAsia" w:ascii="宋体" w:hAnsi="宋体" w:cs="宋体"/>
          <w:b/>
          <w:color w:val="auto"/>
          <w:sz w:val="28"/>
          <w:szCs w:val="28"/>
          <w:highlight w:val="none"/>
        </w:rPr>
        <w:t>第三部分   采购需求</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一、项目概况</w:t>
      </w:r>
      <w:r>
        <w:rPr>
          <w:rFonts w:hint="eastAsia" w:ascii="宋体" w:hAnsi="宋体" w:eastAsia="宋体" w:cs="宋体"/>
          <w:b/>
          <w:bCs/>
          <w:sz w:val="24"/>
          <w:szCs w:val="24"/>
          <w:lang w:eastAsia="zh-CN"/>
        </w:rPr>
        <w:t>：</w:t>
      </w:r>
    </w:p>
    <w:p>
      <w:pPr>
        <w:spacing w:line="600" w:lineRule="exact"/>
        <w:ind w:firstLine="480" w:firstLineChars="200"/>
        <w:jc w:val="left"/>
        <w:rPr>
          <w:rFonts w:hint="eastAsia" w:ascii="宋体" w:hAnsi="宋体" w:eastAsia="宋体" w:cs="宋体"/>
          <w:color w:val="000000"/>
          <w:sz w:val="24"/>
        </w:rPr>
      </w:pPr>
      <w:bookmarkStart w:id="21" w:name="_Toc456362713"/>
      <w:r>
        <w:rPr>
          <w:rFonts w:hint="eastAsia" w:ascii="宋体" w:hAnsi="宋体" w:cs="宋体"/>
          <w:sz w:val="24"/>
          <w:highlight w:val="none"/>
          <w:u w:val="none"/>
          <w:lang w:val="en-US" w:eastAsia="zh-CN"/>
        </w:rPr>
        <w:t>1、</w:t>
      </w:r>
      <w:r>
        <w:rPr>
          <w:rFonts w:hint="eastAsia" w:ascii="宋体" w:hAnsi="宋体" w:cs="宋体"/>
          <w:sz w:val="24"/>
          <w:highlight w:val="none"/>
          <w:u w:val="none"/>
        </w:rPr>
        <w:t>本项目采购内容为</w:t>
      </w:r>
      <w:r>
        <w:rPr>
          <w:rFonts w:hint="eastAsia" w:ascii="宋体" w:hAnsi="宋体" w:cs="宋体"/>
          <w:sz w:val="24"/>
          <w:highlight w:val="none"/>
          <w:u w:val="none"/>
          <w:lang w:eastAsia="zh-CN"/>
        </w:rPr>
        <w:t>“临平记忆”展陈设计及施工项目</w:t>
      </w:r>
      <w:r>
        <w:rPr>
          <w:rFonts w:hint="eastAsia" w:ascii="宋体" w:hAnsi="宋体" w:cs="宋体"/>
          <w:sz w:val="24"/>
          <w:highlight w:val="none"/>
          <w:u w:val="none"/>
          <w:lang w:val="en-US" w:eastAsia="zh-CN"/>
        </w:rPr>
        <w:t>，</w:t>
      </w:r>
      <w:r>
        <w:rPr>
          <w:rFonts w:hint="eastAsia" w:ascii="宋体" w:hAnsi="宋体" w:eastAsia="宋体" w:cs="宋体"/>
          <w:sz w:val="24"/>
          <w:highlight w:val="none"/>
          <w:u w:val="none"/>
        </w:rPr>
        <w:t>投标报价应包括投标供应商为本项目提供正常服务所必需的人员费、</w:t>
      </w:r>
      <w:r>
        <w:rPr>
          <w:rFonts w:hint="eastAsia" w:ascii="宋体" w:hAnsi="宋体" w:eastAsia="宋体" w:cs="宋体"/>
          <w:sz w:val="24"/>
          <w:highlight w:val="none"/>
          <w:u w:val="none"/>
          <w:lang w:eastAsia="zh-CN"/>
        </w:rPr>
        <w:t>设计费</w:t>
      </w:r>
      <w:r>
        <w:rPr>
          <w:rFonts w:hint="eastAsia" w:ascii="宋体" w:hAnsi="宋体" w:eastAsia="宋体" w:cs="宋体"/>
          <w:sz w:val="24"/>
          <w:highlight w:val="none"/>
          <w:u w:val="none"/>
        </w:rPr>
        <w:t>和设施费、</w:t>
      </w:r>
      <w:r>
        <w:rPr>
          <w:rFonts w:hint="eastAsia" w:ascii="宋体" w:hAnsi="宋体" w:cs="宋体"/>
          <w:color w:val="000000"/>
          <w:sz w:val="24"/>
          <w:u w:val="none"/>
        </w:rPr>
        <w:t>采购</w:t>
      </w:r>
      <w:r>
        <w:rPr>
          <w:rFonts w:hint="eastAsia" w:ascii="宋体" w:hAnsi="宋体" w:eastAsia="宋体" w:cs="宋体"/>
          <w:color w:val="000000"/>
          <w:sz w:val="24"/>
          <w:lang w:eastAsia="zh-CN"/>
        </w:rPr>
        <w:t>费、</w:t>
      </w:r>
      <w:r>
        <w:rPr>
          <w:rFonts w:hint="eastAsia" w:ascii="宋体" w:hAnsi="宋体" w:cs="宋体"/>
          <w:color w:val="000000"/>
          <w:sz w:val="24"/>
        </w:rPr>
        <w:t>运输</w:t>
      </w:r>
      <w:r>
        <w:rPr>
          <w:rFonts w:hint="eastAsia" w:ascii="宋体" w:hAnsi="宋体" w:eastAsia="宋体" w:cs="宋体"/>
          <w:color w:val="000000"/>
          <w:sz w:val="24"/>
          <w:lang w:eastAsia="zh-CN"/>
        </w:rPr>
        <w:t>费</w:t>
      </w:r>
      <w:r>
        <w:rPr>
          <w:rFonts w:hint="eastAsia" w:ascii="宋体" w:hAnsi="宋体" w:cs="宋体"/>
          <w:color w:val="000000"/>
          <w:sz w:val="24"/>
        </w:rPr>
        <w:t>、安装</w:t>
      </w:r>
      <w:r>
        <w:rPr>
          <w:rFonts w:hint="eastAsia" w:ascii="宋体" w:hAnsi="宋体" w:eastAsia="宋体" w:cs="宋体"/>
          <w:color w:val="000000"/>
          <w:sz w:val="24"/>
          <w:lang w:eastAsia="zh-CN"/>
        </w:rPr>
        <w:t>调试费、</w:t>
      </w:r>
      <w:r>
        <w:rPr>
          <w:rFonts w:hint="eastAsia" w:ascii="宋体" w:hAnsi="宋体" w:eastAsia="宋体" w:cs="宋体"/>
          <w:sz w:val="24"/>
          <w:highlight w:val="none"/>
        </w:rPr>
        <w:t>管理费、利润、税金及</w:t>
      </w:r>
      <w:r>
        <w:rPr>
          <w:rFonts w:hint="eastAsia" w:ascii="宋体" w:hAnsi="宋体" w:cs="宋体"/>
          <w:sz w:val="24"/>
          <w:highlight w:val="none"/>
          <w:lang w:eastAsia="zh-CN"/>
        </w:rPr>
        <w:t>招标</w:t>
      </w:r>
      <w:r>
        <w:rPr>
          <w:rFonts w:hint="eastAsia" w:ascii="宋体" w:hAnsi="宋体" w:eastAsia="宋体" w:cs="宋体"/>
          <w:sz w:val="24"/>
          <w:szCs w:val="24"/>
          <w:lang w:eastAsia="zh-CN"/>
        </w:rPr>
        <w:t>代理</w:t>
      </w:r>
      <w:r>
        <w:rPr>
          <w:rFonts w:hint="eastAsia" w:ascii="宋体" w:hAnsi="宋体" w:cs="宋体"/>
          <w:sz w:val="24"/>
          <w:szCs w:val="24"/>
          <w:lang w:eastAsia="zh-CN"/>
        </w:rPr>
        <w:t>服务</w:t>
      </w:r>
      <w:r>
        <w:rPr>
          <w:rFonts w:hint="eastAsia" w:ascii="宋体" w:hAnsi="宋体" w:eastAsia="宋体" w:cs="宋体"/>
          <w:sz w:val="24"/>
          <w:szCs w:val="24"/>
          <w:lang w:eastAsia="zh-CN"/>
        </w:rPr>
        <w:t>费及</w:t>
      </w:r>
      <w:r>
        <w:rPr>
          <w:rFonts w:hint="eastAsia" w:ascii="宋体" w:hAnsi="宋体" w:eastAsia="宋体" w:cs="宋体"/>
          <w:sz w:val="24"/>
          <w:szCs w:val="24"/>
        </w:rPr>
        <w:t>采购需求中未提到但在实际采购和安装过程中需要配置的各种设备、材料及其他费用等须由投标人支付的所有费用。</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项目</w:t>
      </w:r>
      <w:r>
        <w:rPr>
          <w:rFonts w:hint="eastAsia" w:ascii="宋体" w:hAnsi="宋体" w:eastAsia="宋体" w:cs="宋体"/>
          <w:sz w:val="24"/>
          <w:szCs w:val="24"/>
        </w:rPr>
        <w:t>地点：</w:t>
      </w:r>
      <w:r>
        <w:rPr>
          <w:rFonts w:hint="eastAsia" w:ascii="宋体" w:hAnsi="宋体" w:eastAsia="宋体" w:cs="宋体"/>
          <w:sz w:val="24"/>
          <w:szCs w:val="24"/>
          <w:lang w:eastAsia="zh-CN"/>
        </w:rPr>
        <w:t>中国江南水乡文化博物馆（临平博物馆）老馆临展厅</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3、展览面积：</w:t>
      </w:r>
      <w:r>
        <w:rPr>
          <w:rFonts w:hint="eastAsia" w:ascii="宋体" w:hAnsi="宋体" w:cs="宋体"/>
          <w:sz w:val="24"/>
          <w:szCs w:val="24"/>
          <w:lang w:val="en-US" w:eastAsia="zh-CN"/>
        </w:rPr>
        <w:t>50</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平方米。</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布展工程承包方式：包工包料，固定总价承包。</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cs="宋体"/>
          <w:color w:val="auto"/>
          <w:sz w:val="24"/>
          <w:highlight w:val="none"/>
        </w:rPr>
        <w:t>●</w:t>
      </w:r>
      <w:r>
        <w:rPr>
          <w:rFonts w:hint="eastAsia" w:ascii="宋体" w:hAnsi="宋体" w:eastAsia="宋体" w:cs="宋体"/>
          <w:sz w:val="24"/>
          <w:szCs w:val="24"/>
          <w:lang w:val="en-US" w:eastAsia="zh-CN"/>
        </w:rPr>
        <w:t>5、</w:t>
      </w:r>
      <w:r>
        <w:rPr>
          <w:rFonts w:hint="eastAsia" w:ascii="宋体" w:hAnsi="宋体" w:eastAsia="宋体" w:cs="宋体"/>
          <w:sz w:val="24"/>
          <w:szCs w:val="24"/>
        </w:rPr>
        <w:t>展览时间：</w:t>
      </w:r>
      <w:r>
        <w:rPr>
          <w:rFonts w:hint="eastAsia" w:ascii="宋体" w:hAnsi="宋体" w:cs="宋体"/>
          <w:sz w:val="24"/>
          <w:szCs w:val="24"/>
          <w:lang w:val="en-US" w:eastAsia="zh-CN"/>
        </w:rPr>
        <w:t>4</w:t>
      </w:r>
      <w:r>
        <w:rPr>
          <w:rFonts w:hint="eastAsia" w:ascii="宋体" w:hAnsi="宋体" w:eastAsia="宋体" w:cs="宋体"/>
          <w:sz w:val="24"/>
          <w:szCs w:val="24"/>
        </w:rPr>
        <w:t>个月，具体时间暂定2022年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日。具体根据采购人要求，具体根据采购人安排。</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color w:val="auto"/>
          <w:sz w:val="24"/>
          <w:highlight w:val="none"/>
        </w:rPr>
        <w:t>●</w:t>
      </w:r>
      <w:r>
        <w:rPr>
          <w:rFonts w:hint="eastAsia" w:ascii="宋体" w:hAnsi="宋体" w:eastAsia="宋体" w:cs="宋体"/>
          <w:sz w:val="24"/>
          <w:szCs w:val="24"/>
          <w:lang w:val="en-US" w:eastAsia="zh-CN"/>
        </w:rPr>
        <w:t>6、</w:t>
      </w:r>
      <w:r>
        <w:rPr>
          <w:rFonts w:hint="eastAsia" w:ascii="宋体" w:hAnsi="宋体" w:eastAsia="宋体" w:cs="宋体"/>
          <w:sz w:val="24"/>
          <w:szCs w:val="24"/>
        </w:rPr>
        <w:t>项目完成时间：</w:t>
      </w:r>
      <w:r>
        <w:rPr>
          <w:rFonts w:hint="eastAsia" w:ascii="宋体" w:hAnsi="宋体" w:eastAsia="宋体" w:cs="宋体"/>
          <w:sz w:val="24"/>
          <w:szCs w:val="24"/>
          <w:lang w:val="en-US" w:eastAsia="zh-Hans"/>
        </w:rPr>
        <w:t>展览开展前</w:t>
      </w:r>
      <w:r>
        <w:rPr>
          <w:rFonts w:hint="eastAsia" w:ascii="宋体" w:hAnsi="宋体" w:cs="宋体"/>
          <w:sz w:val="24"/>
          <w:szCs w:val="24"/>
          <w:lang w:val="en-US" w:eastAsia="zh-CN"/>
        </w:rPr>
        <w:t>2</w:t>
      </w:r>
      <w:r>
        <w:rPr>
          <w:rFonts w:hint="eastAsia" w:ascii="宋体" w:hAnsi="宋体" w:eastAsia="宋体" w:cs="宋体"/>
          <w:sz w:val="24"/>
          <w:szCs w:val="24"/>
          <w:lang w:val="en-US" w:eastAsia="zh-Hans"/>
        </w:rPr>
        <w:t>日</w:t>
      </w:r>
      <w:r>
        <w:rPr>
          <w:rFonts w:hint="eastAsia" w:ascii="宋体" w:hAnsi="宋体" w:cs="宋体"/>
          <w:sz w:val="24"/>
          <w:szCs w:val="24"/>
          <w:lang w:val="en-US" w:eastAsia="zh-CN"/>
        </w:rPr>
        <w:t>。</w:t>
      </w:r>
    </w:p>
    <w:bookmarkEnd w:id="21"/>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宋体" w:hAnsi="宋体" w:eastAsia="宋体" w:cs="宋体"/>
          <w:b/>
          <w:bCs/>
          <w:sz w:val="24"/>
          <w:szCs w:val="24"/>
        </w:rPr>
      </w:pPr>
      <w:bookmarkStart w:id="22" w:name="_Toc19207"/>
      <w:r>
        <w:rPr>
          <w:rFonts w:hint="eastAsia" w:ascii="宋体" w:hAnsi="宋体" w:cs="宋体"/>
          <w:b/>
          <w:bCs/>
          <w:sz w:val="24"/>
          <w:szCs w:val="24"/>
          <w:lang w:val="en-US" w:eastAsia="zh-CN"/>
        </w:rPr>
        <w:t>二</w:t>
      </w:r>
      <w:r>
        <w:rPr>
          <w:rFonts w:hint="eastAsia" w:ascii="宋体" w:hAnsi="宋体" w:eastAsia="宋体" w:cs="宋体"/>
          <w:b/>
          <w:bCs/>
          <w:sz w:val="24"/>
          <w:szCs w:val="24"/>
        </w:rPr>
        <w:t>、具体</w:t>
      </w:r>
      <w:bookmarkEnd w:id="22"/>
      <w:r>
        <w:rPr>
          <w:rFonts w:hint="eastAsia" w:ascii="宋体" w:hAnsi="宋体" w:eastAsia="宋体" w:cs="宋体"/>
          <w:b/>
          <w:bCs/>
          <w:sz w:val="24"/>
          <w:szCs w:val="24"/>
          <w:lang w:val="en-US" w:eastAsia="zh-CN"/>
        </w:rPr>
        <w:t>要求</w:t>
      </w:r>
      <w:r>
        <w:rPr>
          <w:rFonts w:hint="eastAsia" w:ascii="宋体" w:hAnsi="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cs="宋体"/>
          <w:color w:val="auto"/>
          <w:sz w:val="24"/>
          <w:highlight w:val="none"/>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采购</w:t>
      </w:r>
      <w:r>
        <w:rPr>
          <w:rFonts w:hint="eastAsia" w:ascii="宋体" w:hAnsi="宋体" w:eastAsia="宋体" w:cs="宋体"/>
          <w:sz w:val="24"/>
          <w:szCs w:val="24"/>
        </w:rPr>
        <w:t>内容</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 展览具体</w:t>
      </w:r>
      <w:r>
        <w:rPr>
          <w:rFonts w:hint="eastAsia" w:ascii="宋体" w:hAnsi="宋体" w:eastAsia="宋体" w:cs="宋体"/>
          <w:color w:val="auto"/>
          <w:sz w:val="24"/>
          <w:szCs w:val="24"/>
          <w:lang w:eastAsia="zh-CN"/>
        </w:rPr>
        <w:t>设计和制作内容包括：展陈空间规划；立面设计；相关模型及模拟场景制作，展台、展墙、展示托架制作；图版排版制作；室外宣传招贴，以及与展览相关的宣传物料等（相关展示用照片使用权归官方所有）；展览布</w:t>
      </w:r>
      <w:r>
        <w:rPr>
          <w:rFonts w:hint="eastAsia" w:ascii="宋体" w:hAnsi="宋体" w:eastAsia="宋体" w:cs="宋体"/>
          <w:color w:val="auto"/>
          <w:sz w:val="24"/>
          <w:szCs w:val="24"/>
          <w:lang w:val="en-US" w:eastAsia="zh-Hans"/>
        </w:rPr>
        <w:t>展</w:t>
      </w:r>
      <w:r>
        <w:rPr>
          <w:rFonts w:hint="eastAsia" w:ascii="宋体" w:hAnsi="宋体" w:eastAsia="宋体" w:cs="宋体"/>
          <w:color w:val="auto"/>
          <w:sz w:val="24"/>
          <w:szCs w:val="24"/>
          <w:lang w:eastAsia="zh-CN"/>
        </w:rPr>
        <w:t>、撤展（含展厅隔墙等的搭建、拆除、清运、卫生等，展厅卫生</w:t>
      </w:r>
      <w:r>
        <w:rPr>
          <w:rFonts w:hint="eastAsia" w:ascii="宋体" w:hAnsi="宋体" w:cs="宋体"/>
          <w:color w:val="auto"/>
          <w:sz w:val="24"/>
          <w:szCs w:val="24"/>
          <w:lang w:val="en-US" w:eastAsia="zh-CN"/>
        </w:rPr>
        <w:t>需</w:t>
      </w:r>
      <w:r>
        <w:rPr>
          <w:rFonts w:hint="eastAsia" w:ascii="宋体" w:hAnsi="宋体" w:eastAsia="宋体" w:cs="宋体"/>
          <w:color w:val="auto"/>
          <w:sz w:val="24"/>
          <w:szCs w:val="24"/>
          <w:lang w:eastAsia="zh-CN"/>
        </w:rPr>
        <w:t>精保</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具体以用户要求为准）。</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（2）口述史视频拍摄：共6个，每个不少于3分钟，用于展览影音播放，同时拍摄需取得口述者同意，并将口述资料和视频授权给招标方用于展览和宣传，使用期限为永久。</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（3）制作数字展厅即720全景VR制作，满足线上参观需求。</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（4）其他辅助宣传活动：执行展览开幕式活动、社教活动及文创产品设计。</w:t>
      </w:r>
    </w:p>
    <w:p>
      <w:pPr>
        <w:pStyle w:val="2"/>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布展</w:t>
      </w:r>
      <w:r>
        <w:rPr>
          <w:rFonts w:hint="eastAsia" w:ascii="宋体" w:hAnsi="宋体" w:eastAsia="宋体" w:cs="宋体"/>
          <w:sz w:val="24"/>
          <w:szCs w:val="24"/>
          <w:lang w:val="en-US" w:eastAsia="zh-CN"/>
        </w:rPr>
        <w:t>具体要求为：</w:t>
      </w:r>
      <w:r>
        <w:rPr>
          <w:rFonts w:hint="eastAsia" w:ascii="宋体" w:hAnsi="宋体" w:eastAsia="宋体" w:cs="宋体"/>
          <w:sz w:val="24"/>
          <w:szCs w:val="24"/>
          <w:lang w:val="en-US" w:eastAsia="zh-CN"/>
        </w:rPr>
        <w:tab/>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（1）展陈空间规划；</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（2）立面设计；</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（3）相关模型及模拟场景制作；</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（4）展台、展墙、展示托架制作；图版排版制作；</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板材需要非密度板，达到环保要求E1以上的板材，投标文件中提供检测报告复印件</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板材进场需要经过馆方验收通过后</w:t>
      </w:r>
      <w:r>
        <w:rPr>
          <w:rFonts w:hint="eastAsia" w:ascii="宋体" w:hAnsi="宋体" w:cs="宋体"/>
          <w:b w:val="0"/>
          <w:bCs w:val="0"/>
          <w:color w:val="auto"/>
          <w:sz w:val="24"/>
          <w:szCs w:val="24"/>
          <w:lang w:val="en-US" w:eastAsia="zh-CN"/>
        </w:rPr>
        <w:t>方可</w:t>
      </w:r>
      <w:r>
        <w:rPr>
          <w:rFonts w:hint="eastAsia" w:ascii="宋体" w:hAnsi="宋体" w:eastAsia="宋体" w:cs="宋体"/>
          <w:b w:val="0"/>
          <w:bCs w:val="0"/>
          <w:color w:val="auto"/>
          <w:sz w:val="24"/>
          <w:szCs w:val="24"/>
          <w:lang w:val="en-US" w:eastAsia="zh-CN"/>
        </w:rPr>
        <w:t>进行施工。</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（6）室外宣传招贴，以及与展览相关的宣传物料等（相关展示用照片使用权归官方所有）；</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（7）展览布</w:t>
      </w:r>
      <w:r>
        <w:rPr>
          <w:rFonts w:hint="eastAsia" w:ascii="宋体" w:hAnsi="宋体" w:eastAsia="宋体" w:cs="宋体"/>
          <w:b w:val="0"/>
          <w:bCs w:val="0"/>
          <w:color w:val="auto"/>
          <w:sz w:val="24"/>
          <w:szCs w:val="24"/>
          <w:lang w:val="en-US" w:eastAsia="zh-Hans"/>
        </w:rPr>
        <w:t>展</w:t>
      </w:r>
      <w:r>
        <w:rPr>
          <w:rFonts w:hint="eastAsia" w:ascii="宋体" w:hAnsi="宋体" w:eastAsia="宋体" w:cs="宋体"/>
          <w:b w:val="0"/>
          <w:bCs w:val="0"/>
          <w:color w:val="auto"/>
          <w:sz w:val="24"/>
          <w:szCs w:val="24"/>
          <w:lang w:val="en-US" w:eastAsia="zh-CN"/>
        </w:rPr>
        <w:t>、撤展（含展厅隔墙等的搭建、拆除、清运、卫生</w:t>
      </w:r>
      <w:r>
        <w:rPr>
          <w:rFonts w:hint="eastAsia" w:ascii="宋体" w:hAnsi="宋体" w:eastAsia="宋体" w:cs="宋体"/>
          <w:color w:val="auto"/>
          <w:sz w:val="24"/>
          <w:szCs w:val="24"/>
          <w:lang w:eastAsia="zh-CN"/>
        </w:rPr>
        <w:t>精保</w:t>
      </w:r>
      <w:r>
        <w:rPr>
          <w:rFonts w:hint="eastAsia" w:ascii="宋体" w:hAnsi="宋体" w:eastAsia="宋体" w:cs="宋体"/>
          <w:b w:val="0"/>
          <w:bCs w:val="0"/>
          <w:color w:val="auto"/>
          <w:sz w:val="24"/>
          <w:szCs w:val="24"/>
          <w:lang w:val="en-US" w:eastAsia="zh-CN"/>
        </w:rPr>
        <w:t>等）；</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（8）所有展柜用电、接电要经过馆方同意，保证观众和展品安全</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布展组织方案要求：</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（1）总体组织方案；</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（2）本项目难点、关键环节分析准确；</w:t>
      </w:r>
    </w:p>
    <w:p>
      <w:pPr>
        <w:keepNext w:val="0"/>
        <w:keepLines w:val="0"/>
        <w:pageBreakBefore w:val="0"/>
        <w:widowControl w:val="0"/>
        <w:kinsoku/>
        <w:wordWrap/>
        <w:overflowPunct/>
        <w:topLinePunct w:val="0"/>
        <w:autoSpaceDE/>
        <w:autoSpaceDN/>
        <w:bidi w:val="0"/>
        <w:adjustRightInd w:val="0"/>
        <w:snapToGrid/>
        <w:spacing w:line="600" w:lineRule="exact"/>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（3）投标人应提供布展进度计划及保证措施，投入的施工机械设备，保证质量措施、保证安全措施、文明施工现场措施、难点部位、关键环节的处置措施；</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）投标人应提供针对本项目的服务承诺、质量承诺、缺陷期内的质量保证承诺；</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color w:val="auto"/>
          <w:sz w:val="24"/>
          <w:highlight w:val="none"/>
        </w:rPr>
        <w:t>●</w:t>
      </w:r>
      <w:r>
        <w:rPr>
          <w:rFonts w:hint="eastAsia" w:ascii="宋体" w:hAnsi="宋体" w:eastAsia="宋体" w:cs="宋体"/>
          <w:sz w:val="24"/>
          <w:szCs w:val="24"/>
          <w:lang w:val="en-US" w:eastAsia="zh-CN"/>
        </w:rPr>
        <w:t>2、</w:t>
      </w:r>
      <w:r>
        <w:rPr>
          <w:rFonts w:hint="eastAsia" w:ascii="宋体" w:hAnsi="宋体" w:eastAsia="宋体" w:cs="宋体"/>
          <w:sz w:val="24"/>
          <w:szCs w:val="24"/>
        </w:rPr>
        <w:t>布展要求</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中标人应</w:t>
      </w:r>
      <w:r>
        <w:rPr>
          <w:rFonts w:hint="eastAsia" w:ascii="宋体" w:hAnsi="宋体" w:eastAsia="宋体" w:cs="宋体"/>
          <w:sz w:val="24"/>
          <w:szCs w:val="24"/>
        </w:rPr>
        <w:t>选派有博物馆陈列布展经验的专业团队来负责本次展览设计及布展，如果设计不符合采购人的要求，采购人可以要求更换设计团队。</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（2）效果图由采购人确认后方可按图施工。</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本次采购范围内的布展材料均由</w:t>
      </w:r>
      <w:r>
        <w:rPr>
          <w:rFonts w:hint="eastAsia" w:ascii="宋体" w:hAnsi="宋体" w:eastAsia="宋体" w:cs="宋体"/>
          <w:sz w:val="24"/>
          <w:szCs w:val="24"/>
          <w:lang w:eastAsia="zh-CN"/>
        </w:rPr>
        <w:t>中标人</w:t>
      </w:r>
      <w:r>
        <w:rPr>
          <w:rFonts w:hint="eastAsia" w:ascii="宋体" w:hAnsi="宋体" w:eastAsia="宋体" w:cs="宋体"/>
          <w:sz w:val="24"/>
          <w:szCs w:val="24"/>
        </w:rPr>
        <w:t>根据本采购文件、设计图纸和国家有关规定的具体要求进行采购、运输、检验、保管。</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由</w:t>
      </w:r>
      <w:r>
        <w:rPr>
          <w:rFonts w:hint="eastAsia" w:ascii="宋体" w:hAnsi="宋体" w:eastAsia="宋体" w:cs="宋体"/>
          <w:sz w:val="24"/>
          <w:szCs w:val="24"/>
          <w:lang w:eastAsia="zh-CN"/>
        </w:rPr>
        <w:t>中标人</w:t>
      </w:r>
      <w:r>
        <w:rPr>
          <w:rFonts w:hint="eastAsia" w:ascii="宋体" w:hAnsi="宋体" w:eastAsia="宋体" w:cs="宋体"/>
          <w:sz w:val="24"/>
          <w:szCs w:val="24"/>
        </w:rPr>
        <w:t>采购的主要布展材料，须采购人确认许可方能采购。当</w:t>
      </w:r>
      <w:r>
        <w:rPr>
          <w:rFonts w:hint="eastAsia" w:ascii="宋体" w:hAnsi="宋体" w:eastAsia="宋体" w:cs="宋体"/>
          <w:sz w:val="24"/>
          <w:szCs w:val="24"/>
          <w:lang w:eastAsia="zh-CN"/>
        </w:rPr>
        <w:t>中标人</w:t>
      </w:r>
      <w:r>
        <w:rPr>
          <w:rFonts w:hint="eastAsia" w:ascii="宋体" w:hAnsi="宋体" w:eastAsia="宋体" w:cs="宋体"/>
          <w:sz w:val="24"/>
          <w:szCs w:val="24"/>
        </w:rPr>
        <w:t>选定产品质量达不到设计要求（或效果要求）和预期质量目标时，采购人保留更换的权利，费用不增加。</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板材进场后，须由采购人进行检验，检验合格后经采购人确认后方可进场施工。</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rPr>
        <w:t>采购人提供的展品标本一旦移交至</w:t>
      </w:r>
      <w:r>
        <w:rPr>
          <w:rFonts w:hint="eastAsia" w:ascii="宋体" w:hAnsi="宋体" w:eastAsia="宋体" w:cs="宋体"/>
          <w:sz w:val="24"/>
          <w:szCs w:val="24"/>
          <w:lang w:eastAsia="zh-CN"/>
        </w:rPr>
        <w:t>中标人</w:t>
      </w:r>
      <w:r>
        <w:rPr>
          <w:rFonts w:hint="eastAsia" w:ascii="宋体" w:hAnsi="宋体" w:eastAsia="宋体" w:cs="宋体"/>
          <w:sz w:val="24"/>
          <w:szCs w:val="24"/>
        </w:rPr>
        <w:t>，</w:t>
      </w:r>
      <w:r>
        <w:rPr>
          <w:rFonts w:hint="eastAsia" w:ascii="宋体" w:hAnsi="宋体" w:eastAsia="宋体" w:cs="宋体"/>
          <w:sz w:val="24"/>
          <w:szCs w:val="24"/>
          <w:lang w:eastAsia="zh-CN"/>
        </w:rPr>
        <w:t>中标人</w:t>
      </w:r>
      <w:r>
        <w:rPr>
          <w:rFonts w:hint="eastAsia" w:ascii="宋体" w:hAnsi="宋体" w:eastAsia="宋体" w:cs="宋体"/>
          <w:sz w:val="24"/>
          <w:szCs w:val="24"/>
        </w:rPr>
        <w:t>需承担起相关的保管责任，并按采购人的要求分门别类的进行保管。</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7</w:t>
      </w:r>
      <w:r>
        <w:rPr>
          <w:rFonts w:hint="eastAsia" w:ascii="宋体" w:hAnsi="宋体" w:eastAsia="宋体" w:cs="宋体"/>
          <w:sz w:val="24"/>
          <w:szCs w:val="24"/>
          <w:lang w:eastAsia="zh-CN"/>
        </w:rPr>
        <w:t>）中标人</w:t>
      </w:r>
      <w:r>
        <w:rPr>
          <w:rFonts w:hint="eastAsia" w:ascii="宋体" w:hAnsi="宋体" w:eastAsia="宋体" w:cs="宋体"/>
          <w:sz w:val="24"/>
          <w:szCs w:val="24"/>
        </w:rPr>
        <w:t>完成的布展效果必须达到采购文件和展示方案设计要求，并通过验收，如不能达到，在采购人允许的一定时间内进行修改、完善，使其达到对效果的承诺，所涉及的费用由</w:t>
      </w:r>
      <w:r>
        <w:rPr>
          <w:rFonts w:hint="eastAsia" w:ascii="宋体" w:hAnsi="宋体" w:eastAsia="宋体" w:cs="宋体"/>
          <w:sz w:val="24"/>
          <w:szCs w:val="24"/>
          <w:lang w:eastAsia="zh-CN"/>
        </w:rPr>
        <w:t>中标人</w:t>
      </w:r>
      <w:r>
        <w:rPr>
          <w:rFonts w:hint="eastAsia" w:ascii="宋体" w:hAnsi="宋体" w:eastAsia="宋体" w:cs="宋体"/>
          <w:sz w:val="24"/>
          <w:szCs w:val="24"/>
        </w:rPr>
        <w:t>承担。</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布撤展中的垃圾清理与打扫。</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9）在展览期间由中标单位负责维护；在接到故障通知后半小时内做出反应，24小时内派技术人员到达现场，如不能解决问题，必须用同样的品牌、规格或更高的部件更换到位，以保证连续运行，费用由投标人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展陈内容</w:t>
      </w:r>
      <w:r>
        <w:rPr>
          <w:rFonts w:hint="eastAsia" w:ascii="宋体" w:hAnsi="宋体" w:eastAsia="宋体" w:cs="宋体"/>
          <w:sz w:val="24"/>
          <w:szCs w:val="24"/>
          <w:lang w:eastAsia="zh-CN"/>
        </w:rPr>
        <w:t>（布展大纲）</w:t>
      </w:r>
      <w:r>
        <w:rPr>
          <w:rFonts w:hint="eastAsia" w:ascii="宋体" w:hAnsi="宋体" w:eastAsia="宋体" w:cs="宋体"/>
          <w:sz w:val="24"/>
          <w:szCs w:val="24"/>
        </w:rPr>
        <w:t>：详见</w:t>
      </w:r>
      <w:r>
        <w:rPr>
          <w:rFonts w:hint="eastAsia" w:hAnsi="宋体" w:cs="宋体"/>
          <w:sz w:val="24"/>
          <w:szCs w:val="24"/>
          <w:lang w:eastAsia="zh-CN"/>
        </w:rPr>
        <w:t>招标公告</w:t>
      </w:r>
      <w:r>
        <w:rPr>
          <w:rFonts w:hint="eastAsia" w:ascii="宋体" w:hAnsi="宋体" w:eastAsia="宋体" w:cs="宋体"/>
          <w:sz w:val="24"/>
          <w:szCs w:val="24"/>
        </w:rPr>
        <w:t>附件</w:t>
      </w:r>
      <w:r>
        <w:rPr>
          <w:rFonts w:hint="eastAsia" w:hAnsi="宋体" w:cs="宋体"/>
          <w:sz w:val="24"/>
          <w:szCs w:val="24"/>
          <w:lang w:val="en-US" w:eastAsia="zh-CN"/>
        </w:rPr>
        <w:t>1</w:t>
      </w:r>
      <w:r>
        <w:rPr>
          <w:rFonts w:hint="eastAsia" w:ascii="宋体" w:hAnsi="宋体" w:eastAsia="宋体" w:cs="宋体"/>
          <w:sz w:val="24"/>
          <w:szCs w:val="24"/>
          <w:lang w:eastAsia="zh-CN"/>
        </w:rPr>
        <w:t>《临平记忆展》大纲</w:t>
      </w:r>
      <w:r>
        <w:rPr>
          <w:rFonts w:hint="eastAsia" w:ascii="宋体" w:hAnsi="宋体" w:eastAsia="宋体" w:cs="宋体"/>
          <w:sz w:val="24"/>
          <w:szCs w:val="24"/>
        </w:rPr>
        <w:t>(文本根据采购人要求可能会有个别调整)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4"/>
        </w:rPr>
      </w:pPr>
      <w:r>
        <w:rPr>
          <w:rFonts w:hint="eastAsia" w:ascii="宋体" w:hAnsi="宋体" w:eastAsia="宋体" w:cs="宋体"/>
          <w:b/>
          <w:bCs w:val="0"/>
          <w:sz w:val="24"/>
          <w:szCs w:val="24"/>
        </w:rPr>
        <w:t>●</w:t>
      </w:r>
      <w:r>
        <w:rPr>
          <w:rFonts w:hint="eastAsia" w:hAnsi="宋体" w:cs="宋体"/>
          <w:b/>
          <w:bCs/>
          <w:lang w:val="en-US" w:eastAsia="zh-CN"/>
        </w:rPr>
        <w:t>三</w:t>
      </w:r>
      <w:r>
        <w:rPr>
          <w:rFonts w:hint="eastAsia" w:ascii="宋体" w:hAnsi="宋体" w:eastAsia="宋体" w:cs="宋体"/>
          <w:b/>
          <w:bCs/>
          <w:lang w:val="en-US" w:eastAsia="zh-CN"/>
        </w:rPr>
        <w:t>、</w:t>
      </w:r>
      <w:r>
        <w:rPr>
          <w:rFonts w:hint="eastAsia" w:hAnsi="宋体" w:cs="宋体"/>
          <w:b/>
          <w:bCs/>
          <w:color w:val="auto"/>
          <w:sz w:val="24"/>
          <w:lang w:eastAsia="zh-CN"/>
        </w:rPr>
        <w:t>服务</w:t>
      </w:r>
      <w:r>
        <w:rPr>
          <w:rFonts w:hint="eastAsia" w:ascii="宋体" w:hAnsi="宋体" w:eastAsia="宋体" w:cs="宋体"/>
          <w:b/>
          <w:bCs/>
          <w:color w:val="auto"/>
          <w:sz w:val="24"/>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00" w:leftChars="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en-US" w:eastAsia="zh-CN"/>
        </w:rPr>
        <w:t>自合同签订之日起</w:t>
      </w:r>
      <w:r>
        <w:rPr>
          <w:rFonts w:hint="eastAsia" w:ascii="宋体" w:hAnsi="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天内；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00" w:leftChars="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本项目展览时间：</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个月，具体时间暂定2022年</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eastAsia="zh-CN"/>
        </w:rPr>
        <w:t>月</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日—202</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年</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月</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日。具体根据采购人要求，具体根据采购人安排；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00" w:lef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项目完成时间：</w:t>
      </w:r>
      <w:r>
        <w:rPr>
          <w:rFonts w:hint="eastAsia" w:ascii="宋体" w:hAnsi="宋体" w:eastAsia="宋体" w:cs="宋体"/>
          <w:b w:val="0"/>
          <w:bCs w:val="0"/>
          <w:sz w:val="24"/>
          <w:szCs w:val="24"/>
          <w:highlight w:val="none"/>
          <w:lang w:val="en-US" w:eastAsia="zh-CN"/>
        </w:rPr>
        <w:t>展览开展前</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四</w:t>
      </w:r>
      <w:r>
        <w:rPr>
          <w:rFonts w:hint="eastAsia" w:ascii="宋体" w:hAnsi="宋体" w:eastAsia="宋体" w:cs="宋体"/>
          <w:b/>
          <w:bCs/>
          <w:sz w:val="24"/>
          <w:szCs w:val="24"/>
          <w:highlight w:val="none"/>
          <w:lang w:eastAsia="zh-CN"/>
        </w:rPr>
        <w:t>、费用支付：</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合同签订生效以及具备实施条件后10个工作日内，采购人向中标方支付合同金额</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％的预付款</w:t>
      </w:r>
      <w:r>
        <w:rPr>
          <w:rFonts w:hint="eastAsia" w:ascii="宋体" w:hAnsi="宋体" w:cs="宋体"/>
          <w:color w:val="auto"/>
          <w:sz w:val="24"/>
          <w:highlight w:val="none"/>
          <w:lang w:eastAsia="zh-CN"/>
        </w:rPr>
        <w:t>（预付款为财政请款，到位后支付）</w:t>
      </w:r>
      <w:r>
        <w:rPr>
          <w:rFonts w:hint="eastAsia" w:ascii="宋体" w:hAnsi="宋体" w:cs="宋体"/>
          <w:color w:val="auto"/>
          <w:sz w:val="24"/>
          <w:highlight w:val="none"/>
        </w:rPr>
        <w:t>。</w:t>
      </w:r>
    </w:p>
    <w:p>
      <w:pPr>
        <w:spacing w:line="600" w:lineRule="exact"/>
        <w:ind w:firstLine="480" w:firstLineChars="200"/>
        <w:rPr>
          <w:rFonts w:hint="eastAsia" w:ascii="宋体" w:hAnsi="宋体" w:cs="宋体"/>
          <w:color w:val="auto"/>
          <w:sz w:val="24"/>
          <w:highlight w:val="magenta"/>
          <w:lang w:val="en-US" w:eastAsia="zh-CN"/>
        </w:rPr>
      </w:pPr>
      <w:r>
        <w:rPr>
          <w:rFonts w:hint="eastAsia" w:ascii="宋体" w:hAnsi="宋体" w:cs="宋体"/>
          <w:color w:val="auto"/>
          <w:sz w:val="24"/>
          <w:highlight w:val="none"/>
        </w:rPr>
        <w:t>在供应商根据合同规定将项目</w:t>
      </w:r>
      <w:r>
        <w:rPr>
          <w:rFonts w:hint="eastAsia" w:ascii="宋体" w:hAnsi="宋体" w:cs="宋体"/>
          <w:color w:val="auto"/>
          <w:sz w:val="24"/>
          <w:highlight w:val="none"/>
          <w:lang w:val="en-US" w:eastAsia="zh-CN"/>
        </w:rPr>
        <w:t>完工后，</w:t>
      </w:r>
      <w:r>
        <w:rPr>
          <w:rFonts w:hint="eastAsia" w:ascii="宋体" w:hAnsi="宋体" w:cs="宋体"/>
          <w:color w:val="auto"/>
          <w:sz w:val="24"/>
          <w:highlight w:val="none"/>
        </w:rPr>
        <w:t>采购人向中标方支付合同金额</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验收通过后待</w:t>
      </w:r>
      <w:r>
        <w:rPr>
          <w:rFonts w:hint="eastAsia" w:ascii="宋体" w:hAnsi="宋体" w:cs="宋体"/>
          <w:color w:val="auto"/>
          <w:sz w:val="24"/>
          <w:highlight w:val="none"/>
          <w:lang w:eastAsia="zh-CN"/>
        </w:rPr>
        <w:t>采购人确认无误</w:t>
      </w:r>
      <w:r>
        <w:rPr>
          <w:rFonts w:hint="eastAsia" w:ascii="宋体" w:hAnsi="宋体" w:cs="宋体"/>
          <w:color w:val="auto"/>
          <w:sz w:val="24"/>
          <w:highlight w:val="none"/>
        </w:rPr>
        <w:t>，供应商提供发票，采购人凭发票、确认单以及合同上报区财政，区财政审批下拨款到位后，立即支付</w:t>
      </w:r>
      <w:r>
        <w:rPr>
          <w:rFonts w:hint="eastAsia" w:ascii="宋体" w:hAnsi="宋体" w:cs="宋体"/>
          <w:color w:val="auto"/>
          <w:sz w:val="24"/>
          <w:highlight w:val="none"/>
          <w:lang w:eastAsia="zh-CN"/>
        </w:rPr>
        <w:t>至</w:t>
      </w:r>
      <w:r>
        <w:rPr>
          <w:rFonts w:hint="eastAsia" w:ascii="宋体" w:hAnsi="宋体" w:cs="宋体"/>
          <w:color w:val="auto"/>
          <w:sz w:val="24"/>
          <w:highlight w:val="none"/>
        </w:rPr>
        <w:t>货款</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100%。</w:t>
      </w:r>
    </w:p>
    <w:p>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rPr>
        <w:sectPr>
          <w:pgSz w:w="11905" w:h="16838"/>
          <w:pgMar w:top="1531" w:right="1304" w:bottom="1531" w:left="1361" w:header="851" w:footer="992" w:gutter="0"/>
          <w:cols w:space="720" w:num="1"/>
          <w:titlePg/>
          <w:rtlGutter w:val="0"/>
          <w:docGrid w:linePitch="1" w:charSpace="0"/>
        </w:sectPr>
      </w:pPr>
    </w:p>
    <w:p>
      <w:pPr>
        <w:spacing w:line="600" w:lineRule="exact"/>
        <w:jc w:val="center"/>
        <w:rPr>
          <w:rFonts w:ascii="宋体" w:hAnsi="宋体" w:cs="宋体"/>
          <w:b/>
          <w:bCs/>
          <w:color w:val="auto"/>
          <w:sz w:val="28"/>
          <w:szCs w:val="28"/>
          <w:highlight w:val="none"/>
        </w:rPr>
      </w:pPr>
      <w:r>
        <w:rPr>
          <w:rFonts w:hint="eastAsia" w:ascii="宋体" w:hAnsi="宋体" w:cs="宋体"/>
          <w:b/>
          <w:color w:val="auto"/>
          <w:sz w:val="28"/>
          <w:szCs w:val="28"/>
          <w:highlight w:val="none"/>
        </w:rPr>
        <w:t xml:space="preserve">第四部分   </w:t>
      </w:r>
      <w:bookmarkStart w:id="23" w:name="_Toc184310288"/>
      <w:bookmarkEnd w:id="23"/>
      <w:bookmarkStart w:id="24" w:name="_Toc184308036"/>
      <w:bookmarkEnd w:id="24"/>
      <w:bookmarkStart w:id="25" w:name="_Toc184312090"/>
      <w:bookmarkEnd w:id="25"/>
      <w:bookmarkStart w:id="26" w:name="_Toc184313284"/>
      <w:bookmarkEnd w:id="26"/>
      <w:bookmarkStart w:id="27" w:name="_Toc184313264"/>
      <w:bookmarkEnd w:id="27"/>
      <w:bookmarkStart w:id="28" w:name="_Toc184310272"/>
      <w:bookmarkEnd w:id="28"/>
      <w:bookmarkStart w:id="29" w:name="_Toc184314440"/>
      <w:bookmarkEnd w:id="29"/>
      <w:bookmarkStart w:id="30" w:name="_Toc184314431"/>
      <w:bookmarkEnd w:id="30"/>
      <w:bookmarkStart w:id="31" w:name="_Toc184310342"/>
      <w:bookmarkEnd w:id="31"/>
      <w:bookmarkStart w:id="32" w:name="_Toc184313300"/>
      <w:bookmarkEnd w:id="32"/>
      <w:bookmarkStart w:id="33" w:name="_Toc184314449"/>
      <w:bookmarkEnd w:id="33"/>
      <w:bookmarkStart w:id="34" w:name="_Toc184314479"/>
      <w:bookmarkEnd w:id="34"/>
      <w:bookmarkStart w:id="35" w:name="_Toc184308098"/>
      <w:bookmarkEnd w:id="35"/>
      <w:bookmarkStart w:id="36" w:name="_Toc184314418"/>
      <w:bookmarkEnd w:id="36"/>
      <w:bookmarkStart w:id="37" w:name="_Toc184314423"/>
      <w:bookmarkEnd w:id="37"/>
      <w:bookmarkStart w:id="38" w:name="_Toc184310317"/>
      <w:bookmarkEnd w:id="38"/>
      <w:bookmarkStart w:id="39" w:name="_Toc184312131"/>
      <w:bookmarkEnd w:id="39"/>
      <w:bookmarkStart w:id="40" w:name="_Toc184313276"/>
      <w:bookmarkEnd w:id="40"/>
      <w:bookmarkStart w:id="41" w:name="_Toc184312119"/>
      <w:bookmarkEnd w:id="41"/>
      <w:bookmarkStart w:id="42" w:name="_Toc184308073"/>
      <w:bookmarkEnd w:id="42"/>
      <w:bookmarkStart w:id="43" w:name="_Toc184314425"/>
      <w:bookmarkEnd w:id="43"/>
      <w:bookmarkStart w:id="44" w:name="_Toc184308049"/>
      <w:bookmarkEnd w:id="44"/>
      <w:bookmarkStart w:id="45" w:name="_Toc184312118"/>
      <w:bookmarkEnd w:id="45"/>
      <w:bookmarkStart w:id="46" w:name="_Toc184312070"/>
      <w:bookmarkEnd w:id="46"/>
      <w:bookmarkStart w:id="47" w:name="_Toc184308043"/>
      <w:bookmarkEnd w:id="47"/>
      <w:bookmarkStart w:id="48" w:name="_Toc184310281"/>
      <w:bookmarkEnd w:id="48"/>
      <w:bookmarkStart w:id="49" w:name="_Toc184312076"/>
      <w:bookmarkEnd w:id="49"/>
      <w:bookmarkStart w:id="50" w:name="_Toc184312137"/>
      <w:bookmarkEnd w:id="50"/>
      <w:bookmarkStart w:id="51" w:name="_Toc184312135"/>
      <w:bookmarkEnd w:id="51"/>
      <w:bookmarkStart w:id="52" w:name="_Toc184308063"/>
      <w:bookmarkEnd w:id="52"/>
      <w:bookmarkStart w:id="53" w:name="_Toc184313239"/>
      <w:bookmarkEnd w:id="53"/>
      <w:bookmarkStart w:id="54" w:name="_Toc184313310"/>
      <w:bookmarkEnd w:id="54"/>
      <w:bookmarkStart w:id="55" w:name="_Toc184313245"/>
      <w:bookmarkEnd w:id="55"/>
      <w:bookmarkStart w:id="56" w:name="_Toc184312125"/>
      <w:bookmarkEnd w:id="56"/>
      <w:bookmarkStart w:id="57" w:name="_Toc184314419"/>
      <w:bookmarkEnd w:id="57"/>
      <w:bookmarkStart w:id="58" w:name="_Toc184312107"/>
      <w:bookmarkEnd w:id="58"/>
      <w:bookmarkStart w:id="59" w:name="_Toc184313290"/>
      <w:bookmarkEnd w:id="59"/>
      <w:bookmarkStart w:id="60" w:name="_Toc184313291"/>
      <w:bookmarkEnd w:id="60"/>
      <w:bookmarkStart w:id="61" w:name="_Toc184308039"/>
      <w:bookmarkEnd w:id="61"/>
      <w:bookmarkStart w:id="62" w:name="_Toc184314462"/>
      <w:bookmarkEnd w:id="62"/>
      <w:bookmarkStart w:id="63" w:name="_Toc184308086"/>
      <w:bookmarkEnd w:id="63"/>
      <w:bookmarkStart w:id="64" w:name="_Toc184310310"/>
      <w:bookmarkEnd w:id="64"/>
      <w:bookmarkStart w:id="65" w:name="_Toc184312067"/>
      <w:bookmarkEnd w:id="65"/>
      <w:bookmarkStart w:id="66" w:name="_Toc184310332"/>
      <w:bookmarkEnd w:id="66"/>
      <w:bookmarkStart w:id="67" w:name="_Toc184312109"/>
      <w:bookmarkEnd w:id="67"/>
      <w:bookmarkStart w:id="68" w:name="_Toc184310323"/>
      <w:bookmarkEnd w:id="68"/>
      <w:bookmarkStart w:id="69" w:name="_Toc184314469"/>
      <w:bookmarkEnd w:id="69"/>
      <w:bookmarkStart w:id="70" w:name="_Toc184310326"/>
      <w:bookmarkEnd w:id="70"/>
      <w:bookmarkStart w:id="71" w:name="_Toc184314421"/>
      <w:bookmarkEnd w:id="71"/>
      <w:bookmarkStart w:id="72" w:name="_Toc184310289"/>
      <w:bookmarkEnd w:id="72"/>
      <w:bookmarkStart w:id="73" w:name="_Toc184310324"/>
      <w:bookmarkEnd w:id="73"/>
      <w:bookmarkStart w:id="74" w:name="_Toc184314445"/>
      <w:bookmarkEnd w:id="74"/>
      <w:bookmarkStart w:id="75" w:name="_Toc184312106"/>
      <w:bookmarkEnd w:id="75"/>
      <w:bookmarkStart w:id="76" w:name="_Toc184314438"/>
      <w:bookmarkEnd w:id="76"/>
      <w:bookmarkStart w:id="77" w:name="_Toc184312134"/>
      <w:bookmarkEnd w:id="77"/>
      <w:bookmarkStart w:id="78" w:name="_Toc184314468"/>
      <w:bookmarkEnd w:id="78"/>
      <w:bookmarkStart w:id="79" w:name="_Toc184310333"/>
      <w:bookmarkEnd w:id="79"/>
      <w:bookmarkStart w:id="80" w:name="_Toc184310341"/>
      <w:bookmarkEnd w:id="80"/>
      <w:bookmarkStart w:id="81" w:name="_Toc184312124"/>
      <w:bookmarkEnd w:id="81"/>
      <w:bookmarkStart w:id="82" w:name="_Toc184308093"/>
      <w:bookmarkEnd w:id="82"/>
      <w:bookmarkStart w:id="83" w:name="_Toc184313252"/>
      <w:bookmarkEnd w:id="83"/>
      <w:bookmarkStart w:id="84" w:name="_Toc184308065"/>
      <w:bookmarkEnd w:id="84"/>
      <w:bookmarkStart w:id="85" w:name="_Toc184310334"/>
      <w:bookmarkEnd w:id="85"/>
      <w:bookmarkStart w:id="86" w:name="_Toc184314416"/>
      <w:bookmarkEnd w:id="86"/>
      <w:bookmarkStart w:id="87" w:name="_Toc184314410"/>
      <w:bookmarkEnd w:id="87"/>
      <w:bookmarkStart w:id="88" w:name="_Toc184312126"/>
      <w:bookmarkEnd w:id="88"/>
      <w:bookmarkStart w:id="89" w:name="_Toc184314463"/>
      <w:bookmarkEnd w:id="89"/>
      <w:bookmarkStart w:id="90" w:name="_Toc184308047"/>
      <w:bookmarkEnd w:id="90"/>
      <w:bookmarkStart w:id="91" w:name="_Toc184310315"/>
      <w:bookmarkEnd w:id="91"/>
      <w:bookmarkStart w:id="92" w:name="_Toc184312128"/>
      <w:bookmarkEnd w:id="92"/>
      <w:bookmarkStart w:id="93" w:name="_Toc184312078"/>
      <w:bookmarkEnd w:id="93"/>
      <w:bookmarkStart w:id="94" w:name="_Toc184310329"/>
      <w:bookmarkEnd w:id="94"/>
      <w:bookmarkStart w:id="95" w:name="_Toc184310339"/>
      <w:bookmarkEnd w:id="95"/>
      <w:bookmarkStart w:id="96" w:name="_Toc184314437"/>
      <w:bookmarkEnd w:id="96"/>
      <w:bookmarkStart w:id="97" w:name="_Toc184314415"/>
      <w:bookmarkEnd w:id="97"/>
      <w:bookmarkStart w:id="98" w:name="_Toc184310287"/>
      <w:bookmarkEnd w:id="98"/>
      <w:bookmarkStart w:id="99" w:name="_Toc184310336"/>
      <w:bookmarkEnd w:id="99"/>
      <w:bookmarkStart w:id="100" w:name="_Toc184310307"/>
      <w:bookmarkEnd w:id="100"/>
      <w:bookmarkStart w:id="101" w:name="_Toc184314417"/>
      <w:bookmarkEnd w:id="101"/>
      <w:bookmarkStart w:id="102" w:name="_Toc184313307"/>
      <w:bookmarkEnd w:id="102"/>
      <w:bookmarkStart w:id="103" w:name="_Toc184312113"/>
      <w:bookmarkEnd w:id="103"/>
      <w:bookmarkStart w:id="104" w:name="_Toc184314467"/>
      <w:bookmarkEnd w:id="104"/>
      <w:bookmarkStart w:id="105" w:name="_Toc184314461"/>
      <w:bookmarkEnd w:id="105"/>
      <w:bookmarkStart w:id="106" w:name="_Toc184312075"/>
      <w:bookmarkEnd w:id="106"/>
      <w:bookmarkStart w:id="107" w:name="_Toc184312136"/>
      <w:bookmarkEnd w:id="107"/>
      <w:bookmarkStart w:id="108" w:name="_Toc184310340"/>
      <w:bookmarkEnd w:id="108"/>
      <w:bookmarkStart w:id="109" w:name="_Toc184312139"/>
      <w:bookmarkEnd w:id="109"/>
      <w:bookmarkStart w:id="110" w:name="_Toc184312081"/>
      <w:bookmarkEnd w:id="110"/>
      <w:bookmarkStart w:id="111" w:name="_Toc184313269"/>
      <w:bookmarkEnd w:id="111"/>
      <w:bookmarkStart w:id="112" w:name="_Toc184313242"/>
      <w:bookmarkEnd w:id="112"/>
      <w:bookmarkStart w:id="113" w:name="_Toc184314457"/>
      <w:bookmarkEnd w:id="113"/>
      <w:bookmarkStart w:id="114" w:name="_Toc184310301"/>
      <w:bookmarkEnd w:id="114"/>
      <w:bookmarkStart w:id="115" w:name="_Toc184312122"/>
      <w:bookmarkEnd w:id="115"/>
      <w:bookmarkStart w:id="116" w:name="_Toc184310294"/>
      <w:bookmarkEnd w:id="116"/>
      <w:bookmarkStart w:id="117" w:name="_Toc184312132"/>
      <w:bookmarkEnd w:id="117"/>
      <w:bookmarkStart w:id="118" w:name="_Toc184312123"/>
      <w:bookmarkEnd w:id="118"/>
      <w:bookmarkStart w:id="119" w:name="_Toc184314429"/>
      <w:bookmarkEnd w:id="119"/>
      <w:bookmarkStart w:id="120" w:name="_Toc184308094"/>
      <w:bookmarkEnd w:id="120"/>
      <w:bookmarkStart w:id="121" w:name="_Toc184308046"/>
      <w:bookmarkEnd w:id="121"/>
      <w:bookmarkStart w:id="122" w:name="_Toc184310343"/>
      <w:bookmarkEnd w:id="122"/>
      <w:bookmarkStart w:id="123" w:name="_Toc184310337"/>
      <w:bookmarkEnd w:id="123"/>
      <w:bookmarkStart w:id="124" w:name="_Toc184313282"/>
      <w:bookmarkEnd w:id="124"/>
      <w:bookmarkStart w:id="125" w:name="_Toc184314442"/>
      <w:bookmarkEnd w:id="125"/>
      <w:bookmarkStart w:id="126" w:name="_Toc184314466"/>
      <w:bookmarkEnd w:id="126"/>
      <w:bookmarkStart w:id="127" w:name="_Toc184310279"/>
      <w:bookmarkEnd w:id="127"/>
      <w:bookmarkStart w:id="128" w:name="_Toc184308090"/>
      <w:bookmarkEnd w:id="128"/>
      <w:bookmarkStart w:id="129" w:name="_Toc184313299"/>
      <w:bookmarkEnd w:id="129"/>
      <w:bookmarkStart w:id="130" w:name="_Toc184312080"/>
      <w:bookmarkEnd w:id="130"/>
      <w:bookmarkStart w:id="131" w:name="_Toc184313286"/>
      <w:bookmarkEnd w:id="131"/>
      <w:bookmarkStart w:id="132" w:name="_Toc184308079"/>
      <w:bookmarkEnd w:id="132"/>
      <w:bookmarkStart w:id="133" w:name="_Toc184314453"/>
      <w:bookmarkEnd w:id="133"/>
      <w:bookmarkStart w:id="134" w:name="_Toc184312072"/>
      <w:bookmarkEnd w:id="134"/>
      <w:bookmarkStart w:id="135" w:name="_Toc184314448"/>
      <w:bookmarkEnd w:id="135"/>
      <w:bookmarkStart w:id="136" w:name="_Toc184313288"/>
      <w:bookmarkEnd w:id="136"/>
      <w:bookmarkStart w:id="137" w:name="_Toc184308068"/>
      <w:bookmarkEnd w:id="137"/>
      <w:bookmarkStart w:id="138" w:name="_Toc184314411"/>
      <w:bookmarkEnd w:id="138"/>
      <w:bookmarkStart w:id="139" w:name="_Toc184308106"/>
      <w:bookmarkEnd w:id="139"/>
      <w:bookmarkStart w:id="140" w:name="_Toc184312085"/>
      <w:bookmarkEnd w:id="140"/>
      <w:bookmarkStart w:id="141" w:name="_Toc184310316"/>
      <w:bookmarkEnd w:id="141"/>
      <w:bookmarkStart w:id="142" w:name="_Toc184308078"/>
      <w:bookmarkEnd w:id="142"/>
      <w:bookmarkStart w:id="143" w:name="_Toc184308092"/>
      <w:bookmarkEnd w:id="143"/>
      <w:bookmarkStart w:id="144" w:name="_Toc184313258"/>
      <w:bookmarkEnd w:id="144"/>
      <w:bookmarkStart w:id="145" w:name="_Toc184312068"/>
      <w:bookmarkEnd w:id="145"/>
      <w:bookmarkStart w:id="146" w:name="_Toc184312097"/>
      <w:bookmarkEnd w:id="146"/>
      <w:bookmarkStart w:id="147" w:name="_Toc184308080"/>
      <w:bookmarkEnd w:id="147"/>
      <w:bookmarkStart w:id="148" w:name="_Toc184312086"/>
      <w:bookmarkEnd w:id="148"/>
      <w:bookmarkStart w:id="149" w:name="_Toc184313295"/>
      <w:bookmarkEnd w:id="149"/>
      <w:bookmarkStart w:id="150" w:name="_Toc184313238"/>
      <w:bookmarkEnd w:id="150"/>
      <w:bookmarkStart w:id="151" w:name="_Toc184310297"/>
      <w:bookmarkEnd w:id="151"/>
      <w:bookmarkStart w:id="152" w:name="_Toc184313261"/>
      <w:bookmarkEnd w:id="152"/>
      <w:bookmarkStart w:id="153" w:name="_Toc184313287"/>
      <w:bookmarkEnd w:id="153"/>
      <w:bookmarkStart w:id="154" w:name="_Toc184308077"/>
      <w:bookmarkEnd w:id="154"/>
      <w:bookmarkStart w:id="155" w:name="_Toc184308105"/>
      <w:bookmarkEnd w:id="155"/>
      <w:bookmarkStart w:id="156" w:name="_Toc184314420"/>
      <w:bookmarkEnd w:id="156"/>
      <w:bookmarkStart w:id="157" w:name="_Toc184310291"/>
      <w:bookmarkEnd w:id="157"/>
      <w:bookmarkStart w:id="158" w:name="_Toc184313292"/>
      <w:bookmarkEnd w:id="158"/>
      <w:bookmarkStart w:id="159" w:name="_Toc184313285"/>
      <w:bookmarkEnd w:id="159"/>
      <w:bookmarkStart w:id="160" w:name="_Toc184312094"/>
      <w:bookmarkEnd w:id="160"/>
      <w:bookmarkStart w:id="161" w:name="_Toc184313263"/>
      <w:bookmarkEnd w:id="161"/>
      <w:bookmarkStart w:id="162" w:name="_Toc184313257"/>
      <w:bookmarkEnd w:id="162"/>
      <w:bookmarkStart w:id="163" w:name="_Toc184313279"/>
      <w:bookmarkEnd w:id="163"/>
      <w:bookmarkStart w:id="164" w:name="_Toc184313248"/>
      <w:bookmarkEnd w:id="164"/>
      <w:bookmarkStart w:id="165" w:name="_Toc184310276"/>
      <w:bookmarkEnd w:id="165"/>
      <w:bookmarkStart w:id="166" w:name="_Toc184310283"/>
      <w:bookmarkEnd w:id="166"/>
      <w:bookmarkStart w:id="167" w:name="_Toc184312130"/>
      <w:bookmarkEnd w:id="167"/>
      <w:bookmarkStart w:id="168" w:name="_Toc184313303"/>
      <w:bookmarkEnd w:id="168"/>
      <w:bookmarkStart w:id="169" w:name="_Toc184312120"/>
      <w:bookmarkEnd w:id="169"/>
      <w:bookmarkStart w:id="170" w:name="_Toc184314460"/>
      <w:bookmarkEnd w:id="170"/>
      <w:bookmarkStart w:id="171" w:name="_Toc184313249"/>
      <w:bookmarkEnd w:id="171"/>
      <w:bookmarkStart w:id="172" w:name="_Toc184313270"/>
      <w:bookmarkEnd w:id="172"/>
      <w:bookmarkStart w:id="173" w:name="_Toc184314464"/>
      <w:bookmarkEnd w:id="173"/>
      <w:bookmarkStart w:id="174" w:name="_Toc184313272"/>
      <w:bookmarkEnd w:id="174"/>
      <w:bookmarkStart w:id="175" w:name="_Toc184313293"/>
      <w:bookmarkEnd w:id="175"/>
      <w:bookmarkStart w:id="176" w:name="_Toc184308057"/>
      <w:bookmarkEnd w:id="176"/>
      <w:bookmarkStart w:id="177" w:name="_Toc184308041"/>
      <w:bookmarkEnd w:id="177"/>
      <w:bookmarkStart w:id="178" w:name="_Toc184313298"/>
      <w:bookmarkEnd w:id="178"/>
      <w:bookmarkStart w:id="179" w:name="_Toc184312105"/>
      <w:bookmarkEnd w:id="179"/>
      <w:bookmarkStart w:id="180" w:name="_Toc184314458"/>
      <w:bookmarkEnd w:id="180"/>
      <w:bookmarkStart w:id="181" w:name="_Toc184310318"/>
      <w:bookmarkEnd w:id="181"/>
      <w:bookmarkStart w:id="182" w:name="_Toc184308037"/>
      <w:bookmarkEnd w:id="182"/>
      <w:bookmarkStart w:id="183" w:name="_Toc184314446"/>
      <w:bookmarkEnd w:id="183"/>
      <w:bookmarkStart w:id="184" w:name="_Toc184314452"/>
      <w:bookmarkEnd w:id="184"/>
      <w:bookmarkStart w:id="185" w:name="_Toc184312112"/>
      <w:bookmarkEnd w:id="185"/>
      <w:bookmarkStart w:id="186" w:name="_Toc184312138"/>
      <w:bookmarkEnd w:id="186"/>
      <w:bookmarkStart w:id="187" w:name="_Toc184312127"/>
      <w:bookmarkEnd w:id="187"/>
      <w:bookmarkStart w:id="188" w:name="_Toc184313306"/>
      <w:bookmarkEnd w:id="188"/>
      <w:bookmarkStart w:id="189" w:name="_Toc184313277"/>
      <w:bookmarkEnd w:id="189"/>
      <w:bookmarkStart w:id="190" w:name="_Toc184314433"/>
      <w:bookmarkEnd w:id="190"/>
      <w:bookmarkStart w:id="191" w:name="_Toc184312101"/>
      <w:bookmarkEnd w:id="191"/>
      <w:bookmarkStart w:id="192" w:name="_Toc184312103"/>
      <w:bookmarkEnd w:id="192"/>
      <w:bookmarkStart w:id="193" w:name="_Toc184312102"/>
      <w:bookmarkEnd w:id="193"/>
      <w:bookmarkStart w:id="194" w:name="_Toc184314451"/>
      <w:bookmarkEnd w:id="194"/>
      <w:bookmarkStart w:id="195" w:name="_Toc184314447"/>
      <w:bookmarkEnd w:id="195"/>
      <w:bookmarkStart w:id="196" w:name="_Toc184313240"/>
      <w:bookmarkEnd w:id="196"/>
      <w:bookmarkStart w:id="197" w:name="_Toc184314439"/>
      <w:bookmarkEnd w:id="197"/>
      <w:bookmarkStart w:id="198" w:name="_Toc184308066"/>
      <w:bookmarkEnd w:id="198"/>
      <w:bookmarkStart w:id="199" w:name="_Toc184310325"/>
      <w:bookmarkEnd w:id="199"/>
      <w:bookmarkStart w:id="200" w:name="_Toc184314443"/>
      <w:bookmarkEnd w:id="200"/>
      <w:bookmarkStart w:id="201" w:name="_Toc184314430"/>
      <w:bookmarkEnd w:id="201"/>
      <w:bookmarkStart w:id="202" w:name="_Toc184313296"/>
      <w:bookmarkEnd w:id="202"/>
      <w:bookmarkStart w:id="203" w:name="_Toc184310305"/>
      <w:bookmarkEnd w:id="203"/>
      <w:bookmarkStart w:id="204" w:name="_Toc184313289"/>
      <w:bookmarkEnd w:id="204"/>
      <w:bookmarkStart w:id="205" w:name="_Toc184312077"/>
      <w:bookmarkEnd w:id="205"/>
      <w:bookmarkStart w:id="206" w:name="_Toc184313309"/>
      <w:bookmarkEnd w:id="206"/>
      <w:bookmarkStart w:id="207" w:name="_Toc184313271"/>
      <w:bookmarkEnd w:id="207"/>
      <w:bookmarkStart w:id="208" w:name="_Toc184308097"/>
      <w:bookmarkEnd w:id="208"/>
      <w:bookmarkStart w:id="209" w:name="_Toc184313253"/>
      <w:bookmarkEnd w:id="209"/>
      <w:bookmarkStart w:id="210" w:name="_Toc184310302"/>
      <w:bookmarkEnd w:id="210"/>
      <w:bookmarkStart w:id="211" w:name="_Toc184310308"/>
      <w:bookmarkEnd w:id="211"/>
      <w:bookmarkStart w:id="212" w:name="_Toc184310338"/>
      <w:bookmarkEnd w:id="212"/>
      <w:bookmarkStart w:id="213" w:name="_Toc184310300"/>
      <w:bookmarkEnd w:id="213"/>
      <w:bookmarkStart w:id="214" w:name="_Toc184312116"/>
      <w:bookmarkEnd w:id="214"/>
      <w:bookmarkStart w:id="215" w:name="_Toc184313247"/>
      <w:bookmarkEnd w:id="215"/>
      <w:bookmarkStart w:id="216" w:name="_Toc184314441"/>
      <w:bookmarkEnd w:id="216"/>
      <w:bookmarkStart w:id="217" w:name="_Toc184310311"/>
      <w:bookmarkEnd w:id="217"/>
      <w:bookmarkStart w:id="218" w:name="_Toc184308069"/>
      <w:bookmarkEnd w:id="218"/>
      <w:bookmarkStart w:id="219" w:name="_Toc184312069"/>
      <w:bookmarkEnd w:id="219"/>
      <w:bookmarkStart w:id="220" w:name="_Toc184313260"/>
      <w:bookmarkEnd w:id="220"/>
      <w:bookmarkStart w:id="221" w:name="_Toc184310277"/>
      <w:bookmarkEnd w:id="221"/>
      <w:bookmarkStart w:id="222" w:name="_Toc184308067"/>
      <w:bookmarkEnd w:id="222"/>
      <w:bookmarkStart w:id="223" w:name="_Toc184308081"/>
      <w:bookmarkEnd w:id="223"/>
      <w:bookmarkStart w:id="224" w:name="_Toc184313254"/>
      <w:bookmarkEnd w:id="224"/>
      <w:bookmarkStart w:id="225" w:name="_Toc184313305"/>
      <w:bookmarkEnd w:id="225"/>
      <w:bookmarkStart w:id="226" w:name="_Toc184310321"/>
      <w:bookmarkEnd w:id="226"/>
      <w:bookmarkStart w:id="227" w:name="_Toc184312108"/>
      <w:bookmarkEnd w:id="227"/>
      <w:bookmarkStart w:id="228" w:name="_Toc184314480"/>
      <w:bookmarkEnd w:id="228"/>
      <w:bookmarkStart w:id="229" w:name="_Toc184312083"/>
      <w:bookmarkEnd w:id="229"/>
      <w:bookmarkStart w:id="230" w:name="_Toc184313304"/>
      <w:bookmarkEnd w:id="230"/>
      <w:bookmarkStart w:id="231" w:name="_Toc184314426"/>
      <w:bookmarkEnd w:id="231"/>
      <w:bookmarkStart w:id="232" w:name="_Toc184313281"/>
      <w:bookmarkEnd w:id="232"/>
      <w:bookmarkStart w:id="233" w:name="_Toc184313259"/>
      <w:bookmarkEnd w:id="233"/>
      <w:bookmarkStart w:id="234" w:name="_Toc184313262"/>
      <w:bookmarkEnd w:id="234"/>
      <w:bookmarkStart w:id="235" w:name="_Toc184313244"/>
      <w:bookmarkEnd w:id="235"/>
      <w:bookmarkStart w:id="236" w:name="_Toc184313301"/>
      <w:bookmarkEnd w:id="236"/>
      <w:bookmarkStart w:id="237" w:name="_Toc184312110"/>
      <w:bookmarkEnd w:id="237"/>
      <w:bookmarkStart w:id="238" w:name="_Toc184312099"/>
      <w:bookmarkEnd w:id="238"/>
      <w:bookmarkStart w:id="239" w:name="_Toc184308076"/>
      <w:bookmarkEnd w:id="239"/>
      <w:bookmarkStart w:id="240" w:name="_Toc184308059"/>
      <w:bookmarkEnd w:id="240"/>
      <w:bookmarkStart w:id="241" w:name="_Toc184308104"/>
      <w:bookmarkEnd w:id="241"/>
      <w:bookmarkStart w:id="242" w:name="_Toc184308095"/>
      <w:bookmarkEnd w:id="242"/>
      <w:bookmarkStart w:id="243" w:name="_Toc184313278"/>
      <w:bookmarkEnd w:id="243"/>
      <w:bookmarkStart w:id="244" w:name="_Toc184310295"/>
      <w:bookmarkEnd w:id="244"/>
      <w:bookmarkStart w:id="245" w:name="_Toc184308052"/>
      <w:bookmarkEnd w:id="245"/>
      <w:bookmarkStart w:id="246" w:name="_Toc184308082"/>
      <w:bookmarkEnd w:id="246"/>
      <w:bookmarkStart w:id="247" w:name="_Toc184308072"/>
      <w:bookmarkEnd w:id="247"/>
      <w:bookmarkStart w:id="248" w:name="_Toc184310299"/>
      <w:bookmarkEnd w:id="248"/>
      <w:bookmarkStart w:id="249" w:name="_Toc184312096"/>
      <w:bookmarkEnd w:id="249"/>
      <w:bookmarkStart w:id="250" w:name="_Toc184312121"/>
      <w:bookmarkEnd w:id="250"/>
      <w:bookmarkStart w:id="251" w:name="_Toc184310274"/>
      <w:bookmarkEnd w:id="251"/>
      <w:bookmarkStart w:id="252" w:name="_Toc184308070"/>
      <w:bookmarkEnd w:id="252"/>
      <w:bookmarkStart w:id="253" w:name="_Toc184313275"/>
      <w:bookmarkEnd w:id="253"/>
      <w:bookmarkStart w:id="254" w:name="_Toc184313246"/>
      <w:bookmarkEnd w:id="254"/>
      <w:bookmarkStart w:id="255" w:name="_Toc184310298"/>
      <w:bookmarkEnd w:id="255"/>
      <w:bookmarkStart w:id="256" w:name="_Toc184310344"/>
      <w:bookmarkEnd w:id="256"/>
      <w:bookmarkStart w:id="257" w:name="_Toc184314450"/>
      <w:bookmarkEnd w:id="257"/>
      <w:bookmarkStart w:id="258" w:name="_Toc184312092"/>
      <w:bookmarkEnd w:id="258"/>
      <w:bookmarkStart w:id="259" w:name="_Toc184308085"/>
      <w:bookmarkEnd w:id="259"/>
      <w:bookmarkStart w:id="260" w:name="_Toc184308088"/>
      <w:bookmarkEnd w:id="260"/>
      <w:bookmarkStart w:id="261" w:name="_Toc184310275"/>
      <w:bookmarkEnd w:id="261"/>
      <w:bookmarkStart w:id="262" w:name="_Toc184314471"/>
      <w:bookmarkEnd w:id="262"/>
      <w:bookmarkStart w:id="263" w:name="_Toc184314475"/>
      <w:bookmarkEnd w:id="263"/>
      <w:bookmarkStart w:id="264" w:name="_Toc184310286"/>
      <w:bookmarkEnd w:id="264"/>
      <w:bookmarkStart w:id="265" w:name="_Toc184312133"/>
      <w:bookmarkEnd w:id="265"/>
      <w:bookmarkStart w:id="266" w:name="_Toc184314427"/>
      <w:bookmarkEnd w:id="266"/>
      <w:bookmarkStart w:id="267" w:name="_Toc184313250"/>
      <w:bookmarkEnd w:id="267"/>
      <w:bookmarkStart w:id="268" w:name="_Toc184308060"/>
      <w:bookmarkEnd w:id="268"/>
      <w:bookmarkStart w:id="269" w:name="_Toc184310314"/>
      <w:bookmarkEnd w:id="269"/>
      <w:bookmarkStart w:id="270" w:name="_Toc184308099"/>
      <w:bookmarkEnd w:id="270"/>
      <w:bookmarkStart w:id="271" w:name="_Toc184313308"/>
      <w:bookmarkEnd w:id="271"/>
      <w:bookmarkStart w:id="272" w:name="_Toc184312073"/>
      <w:bookmarkEnd w:id="272"/>
      <w:bookmarkStart w:id="273" w:name="_Toc184312091"/>
      <w:bookmarkEnd w:id="273"/>
      <w:bookmarkStart w:id="274" w:name="_Toc184308042"/>
      <w:bookmarkEnd w:id="274"/>
      <w:bookmarkStart w:id="275" w:name="_Toc184308107"/>
      <w:bookmarkEnd w:id="275"/>
      <w:bookmarkStart w:id="276" w:name="_Toc184310319"/>
      <w:bookmarkEnd w:id="276"/>
      <w:bookmarkStart w:id="277" w:name="_Toc184314473"/>
      <w:bookmarkEnd w:id="277"/>
      <w:bookmarkStart w:id="278" w:name="_Toc184312071"/>
      <w:bookmarkEnd w:id="278"/>
      <w:bookmarkStart w:id="279" w:name="_Toc184314481"/>
      <w:bookmarkEnd w:id="279"/>
      <w:bookmarkStart w:id="280" w:name="_Toc184314432"/>
      <w:bookmarkEnd w:id="280"/>
      <w:bookmarkStart w:id="281" w:name="_Toc184308045"/>
      <w:bookmarkEnd w:id="281"/>
      <w:bookmarkStart w:id="282" w:name="_Toc184312084"/>
      <w:bookmarkEnd w:id="282"/>
      <w:bookmarkStart w:id="283" w:name="_Toc184312082"/>
      <w:bookmarkEnd w:id="283"/>
      <w:bookmarkStart w:id="284" w:name="_Toc184310313"/>
      <w:bookmarkEnd w:id="284"/>
      <w:bookmarkStart w:id="285" w:name="_Toc184313267"/>
      <w:bookmarkEnd w:id="285"/>
      <w:bookmarkStart w:id="286" w:name="_Toc184308061"/>
      <w:bookmarkEnd w:id="286"/>
      <w:bookmarkStart w:id="287" w:name="_Toc184313255"/>
      <w:bookmarkEnd w:id="287"/>
      <w:bookmarkStart w:id="288" w:name="_Toc184312074"/>
      <w:bookmarkEnd w:id="288"/>
      <w:bookmarkStart w:id="289" w:name="_Toc184310306"/>
      <w:bookmarkEnd w:id="289"/>
      <w:bookmarkStart w:id="290" w:name="_Toc184312114"/>
      <w:bookmarkEnd w:id="290"/>
      <w:bookmarkStart w:id="291" w:name="_Toc184313280"/>
      <w:bookmarkEnd w:id="291"/>
      <w:bookmarkStart w:id="292" w:name="_Toc184310296"/>
      <w:bookmarkEnd w:id="292"/>
      <w:bookmarkStart w:id="293" w:name="_Toc184314424"/>
      <w:bookmarkEnd w:id="293"/>
      <w:bookmarkStart w:id="294" w:name="_Toc184310335"/>
      <w:bookmarkEnd w:id="294"/>
      <w:bookmarkStart w:id="295" w:name="_Toc184310328"/>
      <w:bookmarkEnd w:id="295"/>
      <w:bookmarkStart w:id="296" w:name="_Toc184308040"/>
      <w:bookmarkEnd w:id="296"/>
      <w:bookmarkStart w:id="297" w:name="_Toc184313256"/>
      <w:bookmarkEnd w:id="297"/>
      <w:bookmarkStart w:id="298" w:name="_Toc184310285"/>
      <w:bookmarkEnd w:id="298"/>
      <w:bookmarkStart w:id="299" w:name="_Toc184312100"/>
      <w:bookmarkEnd w:id="299"/>
      <w:bookmarkStart w:id="300" w:name="_Toc184308091"/>
      <w:bookmarkEnd w:id="300"/>
      <w:bookmarkStart w:id="301" w:name="_Toc184308089"/>
      <w:bookmarkEnd w:id="301"/>
      <w:bookmarkStart w:id="302" w:name="_Toc184310284"/>
      <w:bookmarkEnd w:id="302"/>
      <w:bookmarkStart w:id="303" w:name="_Toc184314422"/>
      <w:bookmarkEnd w:id="303"/>
      <w:bookmarkStart w:id="304" w:name="_Toc184314455"/>
      <w:bookmarkEnd w:id="304"/>
      <w:bookmarkStart w:id="305" w:name="_Toc184313297"/>
      <w:bookmarkEnd w:id="305"/>
      <w:bookmarkStart w:id="306" w:name="_Toc184314465"/>
      <w:bookmarkEnd w:id="306"/>
      <w:bookmarkStart w:id="307" w:name="_Toc184308050"/>
      <w:bookmarkEnd w:id="307"/>
      <w:bookmarkStart w:id="308" w:name="_Toc184310293"/>
      <w:bookmarkEnd w:id="308"/>
      <w:bookmarkStart w:id="309" w:name="_Toc184310303"/>
      <w:bookmarkEnd w:id="309"/>
      <w:bookmarkStart w:id="310" w:name="_Toc184312098"/>
      <w:bookmarkEnd w:id="310"/>
      <w:bookmarkStart w:id="311" w:name="_Toc184313266"/>
      <w:bookmarkEnd w:id="311"/>
      <w:bookmarkStart w:id="312" w:name="_Toc184308055"/>
      <w:bookmarkEnd w:id="312"/>
      <w:bookmarkStart w:id="313" w:name="_Toc184312111"/>
      <w:bookmarkEnd w:id="313"/>
      <w:bookmarkStart w:id="314" w:name="_Toc184308044"/>
      <w:bookmarkEnd w:id="314"/>
      <w:bookmarkStart w:id="315" w:name="_Toc184308058"/>
      <w:bookmarkEnd w:id="315"/>
      <w:bookmarkStart w:id="316" w:name="_Toc184313268"/>
      <w:bookmarkEnd w:id="316"/>
      <w:bookmarkStart w:id="317" w:name="_Toc184312129"/>
      <w:bookmarkEnd w:id="317"/>
      <w:bookmarkStart w:id="318" w:name="_Toc184308108"/>
      <w:bookmarkEnd w:id="318"/>
      <w:bookmarkStart w:id="319" w:name="_Toc184312079"/>
      <w:bookmarkEnd w:id="319"/>
      <w:bookmarkStart w:id="320" w:name="_Toc184310322"/>
      <w:bookmarkEnd w:id="320"/>
      <w:bookmarkStart w:id="321" w:name="_Toc184310278"/>
      <w:bookmarkEnd w:id="321"/>
      <w:bookmarkStart w:id="322" w:name="_Toc184310327"/>
      <w:bookmarkEnd w:id="322"/>
      <w:bookmarkStart w:id="323" w:name="_Toc184310290"/>
      <w:bookmarkEnd w:id="323"/>
      <w:bookmarkStart w:id="324" w:name="_Toc184310273"/>
      <w:bookmarkEnd w:id="324"/>
      <w:bookmarkStart w:id="325" w:name="_Toc184310309"/>
      <w:bookmarkEnd w:id="325"/>
      <w:bookmarkStart w:id="326" w:name="_Toc184314435"/>
      <w:bookmarkEnd w:id="326"/>
      <w:bookmarkStart w:id="327" w:name="_Toc184308096"/>
      <w:bookmarkEnd w:id="327"/>
      <w:bookmarkStart w:id="328" w:name="_Toc184314459"/>
      <w:bookmarkEnd w:id="328"/>
      <w:bookmarkStart w:id="329" w:name="_Toc184308056"/>
      <w:bookmarkEnd w:id="329"/>
      <w:bookmarkStart w:id="330" w:name="_Toc184308054"/>
      <w:bookmarkEnd w:id="330"/>
      <w:bookmarkStart w:id="331" w:name="_Toc184312088"/>
      <w:bookmarkEnd w:id="331"/>
      <w:bookmarkStart w:id="332" w:name="_Toc184312104"/>
      <w:bookmarkEnd w:id="332"/>
      <w:bookmarkStart w:id="333" w:name="_Toc184308075"/>
      <w:bookmarkEnd w:id="333"/>
      <w:bookmarkStart w:id="334" w:name="_Toc184310330"/>
      <w:bookmarkEnd w:id="334"/>
      <w:bookmarkStart w:id="335" w:name="_Toc184313241"/>
      <w:bookmarkEnd w:id="335"/>
      <w:bookmarkStart w:id="336" w:name="_Toc184312115"/>
      <w:bookmarkEnd w:id="336"/>
      <w:bookmarkStart w:id="337" w:name="_Toc184312117"/>
      <w:bookmarkEnd w:id="337"/>
      <w:bookmarkStart w:id="338" w:name="_Toc184312095"/>
      <w:bookmarkEnd w:id="338"/>
      <w:bookmarkStart w:id="339" w:name="_Toc184312087"/>
      <w:bookmarkEnd w:id="339"/>
      <w:bookmarkStart w:id="340" w:name="_Toc184310282"/>
      <w:bookmarkEnd w:id="340"/>
      <w:bookmarkStart w:id="341" w:name="_Toc184308064"/>
      <w:bookmarkEnd w:id="341"/>
      <w:bookmarkStart w:id="342" w:name="_Toc184310312"/>
      <w:bookmarkEnd w:id="342"/>
      <w:bookmarkStart w:id="343" w:name="_Toc184314414"/>
      <w:bookmarkEnd w:id="343"/>
      <w:bookmarkStart w:id="344" w:name="_Toc184313302"/>
      <w:bookmarkEnd w:id="344"/>
      <w:bookmarkStart w:id="345" w:name="_Toc184310280"/>
      <w:bookmarkEnd w:id="345"/>
      <w:bookmarkStart w:id="346" w:name="_Toc184308084"/>
      <w:bookmarkEnd w:id="346"/>
      <w:bookmarkStart w:id="347" w:name="_Toc184314444"/>
      <w:bookmarkEnd w:id="347"/>
      <w:bookmarkStart w:id="348" w:name="_Toc184308100"/>
      <w:bookmarkEnd w:id="348"/>
      <w:bookmarkStart w:id="349" w:name="_Toc184310304"/>
      <w:bookmarkEnd w:id="349"/>
      <w:bookmarkStart w:id="350" w:name="_Toc184314456"/>
      <w:bookmarkEnd w:id="350"/>
      <w:bookmarkStart w:id="351" w:name="_Toc184313265"/>
      <w:bookmarkEnd w:id="351"/>
      <w:bookmarkStart w:id="352" w:name="_Toc184312093"/>
      <w:bookmarkEnd w:id="352"/>
      <w:bookmarkStart w:id="353" w:name="_Toc184313273"/>
      <w:bookmarkEnd w:id="353"/>
      <w:bookmarkStart w:id="354" w:name="_Toc184314472"/>
      <w:bookmarkEnd w:id="354"/>
      <w:bookmarkStart w:id="355" w:name="_Toc184314478"/>
      <w:bookmarkEnd w:id="355"/>
      <w:bookmarkStart w:id="356" w:name="_Toc184313274"/>
      <w:bookmarkEnd w:id="356"/>
      <w:bookmarkStart w:id="357" w:name="_Toc184314470"/>
      <w:bookmarkEnd w:id="357"/>
      <w:bookmarkStart w:id="358" w:name="_Toc184314474"/>
      <w:bookmarkEnd w:id="358"/>
      <w:bookmarkStart w:id="359" w:name="_Toc184312089"/>
      <w:bookmarkEnd w:id="359"/>
      <w:bookmarkStart w:id="360" w:name="_Toc184314412"/>
      <w:bookmarkEnd w:id="360"/>
      <w:bookmarkStart w:id="361" w:name="_Toc184308071"/>
      <w:bookmarkEnd w:id="361"/>
      <w:bookmarkStart w:id="362" w:name="_Toc184308053"/>
      <w:bookmarkEnd w:id="362"/>
      <w:bookmarkStart w:id="363" w:name="_Toc184314476"/>
      <w:bookmarkEnd w:id="363"/>
      <w:bookmarkStart w:id="364" w:name="_Toc184308087"/>
      <w:bookmarkEnd w:id="364"/>
      <w:bookmarkStart w:id="365" w:name="_Toc184308048"/>
      <w:bookmarkEnd w:id="365"/>
      <w:bookmarkStart w:id="366" w:name="_Toc184308103"/>
      <w:bookmarkEnd w:id="366"/>
      <w:bookmarkStart w:id="367" w:name="_Toc184310292"/>
      <w:bookmarkEnd w:id="367"/>
      <w:bookmarkStart w:id="368" w:name="_Toc184314436"/>
      <w:bookmarkEnd w:id="368"/>
      <w:bookmarkStart w:id="369" w:name="_Toc184308101"/>
      <w:bookmarkEnd w:id="369"/>
      <w:bookmarkStart w:id="370" w:name="_Toc184313283"/>
      <w:bookmarkEnd w:id="370"/>
      <w:bookmarkStart w:id="371" w:name="_Toc184308102"/>
      <w:bookmarkEnd w:id="371"/>
      <w:bookmarkStart w:id="372" w:name="_Toc184308083"/>
      <w:bookmarkEnd w:id="372"/>
      <w:bookmarkStart w:id="373" w:name="_Toc184308062"/>
      <w:bookmarkEnd w:id="373"/>
      <w:bookmarkStart w:id="374" w:name="_Toc184314482"/>
      <w:bookmarkEnd w:id="374"/>
      <w:bookmarkStart w:id="375" w:name="_Toc184308051"/>
      <w:bookmarkEnd w:id="375"/>
      <w:bookmarkStart w:id="376" w:name="_Toc184310331"/>
      <w:bookmarkEnd w:id="376"/>
      <w:bookmarkStart w:id="377" w:name="_Toc184310320"/>
      <w:bookmarkEnd w:id="377"/>
      <w:bookmarkStart w:id="378" w:name="_Toc184314413"/>
      <w:bookmarkEnd w:id="378"/>
      <w:bookmarkStart w:id="379" w:name="_Toc184314477"/>
      <w:bookmarkEnd w:id="379"/>
      <w:bookmarkStart w:id="380" w:name="_Toc184313243"/>
      <w:bookmarkEnd w:id="380"/>
      <w:bookmarkStart w:id="381" w:name="_Toc184308038"/>
      <w:bookmarkEnd w:id="381"/>
      <w:bookmarkStart w:id="382" w:name="_Toc184314454"/>
      <w:bookmarkEnd w:id="382"/>
      <w:bookmarkStart w:id="383" w:name="_Toc184313251"/>
      <w:bookmarkEnd w:id="383"/>
      <w:bookmarkStart w:id="384" w:name="_Toc184314428"/>
      <w:bookmarkEnd w:id="384"/>
      <w:bookmarkStart w:id="385" w:name="_Toc184308074"/>
      <w:bookmarkEnd w:id="385"/>
      <w:bookmarkStart w:id="386" w:name="_Toc184313294"/>
      <w:bookmarkEnd w:id="386"/>
      <w:bookmarkStart w:id="387" w:name="_Toc184314434"/>
      <w:bookmarkEnd w:id="387"/>
      <w:r>
        <w:rPr>
          <w:rFonts w:hint="eastAsia" w:ascii="宋体" w:hAnsi="宋体" w:cs="宋体"/>
          <w:b/>
          <w:color w:val="auto"/>
          <w:sz w:val="28"/>
          <w:szCs w:val="28"/>
          <w:highlight w:val="none"/>
        </w:rPr>
        <w:t>评标办法</w:t>
      </w:r>
    </w:p>
    <w:p>
      <w:pPr>
        <w:spacing w:line="6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评标办法前附表</w:t>
      </w:r>
    </w:p>
    <w:tbl>
      <w:tblPr>
        <w:tblStyle w:val="62"/>
        <w:tblpPr w:leftFromText="180" w:rightFromText="180" w:vertAnchor="text" w:horzAnchor="page" w:tblpX="1337" w:tblpY="126"/>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68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7684" w:type="dxa"/>
            <w:vAlign w:val="center"/>
          </w:tcPr>
          <w:p>
            <w:pPr>
              <w:widowControl w:val="0"/>
              <w:wordWrap/>
              <w:adjustRightInd w:val="0"/>
              <w:spacing w:line="600" w:lineRule="exact"/>
              <w:ind w:left="0" w:leftChars="0" w:right="0" w:firstLine="0" w:firstLineChars="0"/>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评标标准</w:t>
            </w:r>
          </w:p>
        </w:tc>
        <w:tc>
          <w:tcPr>
            <w:tcW w:w="85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1</w:t>
            </w:r>
          </w:p>
        </w:tc>
        <w:tc>
          <w:tcPr>
            <w:tcW w:w="7684" w:type="dxa"/>
            <w:vAlign w:val="center"/>
          </w:tcPr>
          <w:p>
            <w:pPr>
              <w:widowControl/>
              <w:spacing w:line="6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主题明确，文本策划理解：</w:t>
            </w:r>
          </w:p>
          <w:p>
            <w:pPr>
              <w:widowControl/>
              <w:spacing w:line="600" w:lineRule="exac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1）对展陈内容理解和体现正确、深刻，具有系统性，主题定位明确，构思理念新颖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完全符合得</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分，部分符</w:t>
            </w:r>
            <w:r>
              <w:rPr>
                <w:rFonts w:hint="eastAsia" w:ascii="宋体" w:hAnsi="宋体" w:cs="宋体"/>
                <w:color w:val="000000" w:themeColor="text1"/>
                <w:sz w:val="24"/>
                <w:highlight w:val="none"/>
                <w:lang w:val="en-US" w:eastAsia="zh-CN"/>
                <w14:textFill>
                  <w14:solidFill>
                    <w14:schemeClr w14:val="tx1"/>
                  </w14:solidFill>
                </w14:textFill>
              </w:rPr>
              <w:t>合得6分，基本符合得2分，不符合不得分；</w:t>
            </w:r>
          </w:p>
          <w:p>
            <w:pPr>
              <w:widowControl/>
              <w:spacing w:line="6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展示方案内容脉络清晰，主线、次线相辅相承，对主题时代把握到位，展示充分，重点突出</w:t>
            </w:r>
            <w:r>
              <w:rPr>
                <w:rFonts w:hint="eastAsia" w:ascii="宋体" w:hAnsi="宋体" w:cs="宋体"/>
                <w:color w:val="000000" w:themeColor="text1"/>
                <w:sz w:val="24"/>
                <w:highlight w:val="none"/>
                <w:lang w:eastAsia="zh-CN"/>
                <w14:textFill>
                  <w14:solidFill>
                    <w14:schemeClr w14:val="tx1"/>
                  </w14:solidFill>
                </w14:textFill>
              </w:rPr>
              <w:t>；完全符合得</w:t>
            </w:r>
            <w:r>
              <w:rPr>
                <w:rFonts w:hint="eastAsia" w:ascii="宋体" w:hAnsi="宋体" w:cs="宋体"/>
                <w:color w:val="000000" w:themeColor="text1"/>
                <w:sz w:val="24"/>
                <w:highlight w:val="none"/>
                <w:lang w:val="en-US" w:eastAsia="zh-CN"/>
                <w14:textFill>
                  <w14:solidFill>
                    <w14:schemeClr w14:val="tx1"/>
                  </w14:solidFill>
                </w14:textFill>
              </w:rPr>
              <w:t>10分，部分符合得6分，基本符合得2分，不符合不得分；</w:t>
            </w:r>
          </w:p>
          <w:p>
            <w:pPr>
              <w:widowControl/>
              <w:spacing w:line="600" w:lineRule="exact"/>
              <w:rPr>
                <w:rFonts w:hint="eastAsia" w:ascii="宋体" w:hAnsi="宋体" w:eastAsia="宋体" w:cs="宋体"/>
                <w:color w:val="auto"/>
                <w:sz w:val="24"/>
                <w:szCs w:val="24"/>
                <w:highlight w:val="none"/>
                <w:lang w:val="en-US" w:eastAsia="zh-CN"/>
              </w:rPr>
            </w:pPr>
            <w:r>
              <w:rPr>
                <w:rFonts w:hint="eastAsia" w:ascii="宋体" w:hAnsi="宋体" w:cs="宋体"/>
                <w:b/>
                <w:bCs/>
                <w:color w:val="000000" w:themeColor="text1"/>
                <w:sz w:val="24"/>
                <w:highlight w:val="none"/>
                <w14:textFill>
                  <w14:solidFill>
                    <w14:schemeClr w14:val="tx1"/>
                  </w14:solidFill>
                </w14:textFill>
              </w:rPr>
              <w:t>投标文件中提供效果图；</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w:t>
            </w:r>
          </w:p>
        </w:tc>
        <w:tc>
          <w:tcPr>
            <w:tcW w:w="7684" w:type="dxa"/>
            <w:vAlign w:val="center"/>
          </w:tcPr>
          <w:p>
            <w:pPr>
              <w:widowControl/>
              <w:spacing w:line="6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设计方案、展陈方式：</w:t>
            </w:r>
          </w:p>
          <w:p>
            <w:pPr>
              <w:widowControl/>
              <w:spacing w:line="6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1）设计方案设计达到内容主题的展示，设计理念先进，定位准确，分析合理，规划合理，功能设置、分区布置、满足功能需求、参观线路规划是否合理等</w:t>
            </w:r>
            <w:r>
              <w:rPr>
                <w:rFonts w:hint="eastAsia" w:ascii="宋体" w:hAnsi="宋体" w:cs="宋体"/>
                <w:color w:val="000000" w:themeColor="text1"/>
                <w:sz w:val="24"/>
                <w:highlight w:val="none"/>
                <w:lang w:eastAsia="zh-CN"/>
                <w14:textFill>
                  <w14:solidFill>
                    <w14:schemeClr w14:val="tx1"/>
                  </w14:solidFill>
                </w14:textFill>
              </w:rPr>
              <w:t>；完全符合得</w:t>
            </w:r>
            <w:r>
              <w:rPr>
                <w:rFonts w:hint="eastAsia" w:ascii="宋体" w:hAnsi="宋体" w:cs="宋体"/>
                <w:color w:val="000000" w:themeColor="text1"/>
                <w:sz w:val="24"/>
                <w:highlight w:val="none"/>
                <w:lang w:val="en-US" w:eastAsia="zh-CN"/>
                <w14:textFill>
                  <w14:solidFill>
                    <w14:schemeClr w14:val="tx1"/>
                  </w14:solidFill>
                </w14:textFill>
              </w:rPr>
              <w:t>10分，部分符合得6分，基本符合得2分，不符合不得分；</w:t>
            </w:r>
          </w:p>
          <w:p>
            <w:pPr>
              <w:widowControl/>
              <w:spacing w:line="600" w:lineRule="exact"/>
              <w:rPr>
                <w:rFonts w:hint="eastAsia" w:ascii="宋体" w:hAnsi="宋体" w:eastAsia="宋体" w:cs="宋体"/>
                <w:color w:val="auto"/>
                <w:kern w:val="21"/>
                <w:sz w:val="24"/>
                <w:szCs w:val="24"/>
                <w:highlight w:val="none"/>
                <w:lang w:eastAsia="zh-CN"/>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空间设计合理，色彩运用既体现美观性又突出主题。根据设计主题，设计风格，内容与形式的结合情况，是否反映陈列主题的特点、特色进行</w:t>
            </w:r>
            <w:r>
              <w:rPr>
                <w:rFonts w:hint="eastAsia" w:ascii="宋体" w:hAnsi="宋体" w:cs="宋体"/>
                <w:color w:val="000000" w:themeColor="text1"/>
                <w:sz w:val="24"/>
                <w:highlight w:val="none"/>
                <w:lang w:eastAsia="zh-CN"/>
                <w14:textFill>
                  <w14:solidFill>
                    <w14:schemeClr w14:val="tx1"/>
                  </w14:solidFill>
                </w14:textFill>
              </w:rPr>
              <w:t>；完全符合得</w:t>
            </w:r>
            <w:r>
              <w:rPr>
                <w:rFonts w:hint="eastAsia" w:ascii="宋体" w:hAnsi="宋体" w:cs="宋体"/>
                <w:color w:val="000000" w:themeColor="text1"/>
                <w:sz w:val="24"/>
                <w:highlight w:val="none"/>
                <w:lang w:val="en-US" w:eastAsia="zh-CN"/>
                <w14:textFill>
                  <w14:solidFill>
                    <w14:schemeClr w14:val="tx1"/>
                  </w14:solidFill>
                </w14:textFill>
              </w:rPr>
              <w:t>10分，部分符合得6分，基本符合得2分，不符合不得分；</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684" w:type="dxa"/>
            <w:vAlign w:val="center"/>
          </w:tcPr>
          <w:p>
            <w:pPr>
              <w:widowControl/>
              <w:spacing w:line="6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设计方案深化、亮点展项：</w:t>
            </w:r>
          </w:p>
          <w:p>
            <w:pPr>
              <w:widowControl/>
              <w:spacing w:line="6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1）设计功能分区合理，处理精致，单个区域主线明晰，突出主题。重点展项的设计及相关说明表达清楚</w:t>
            </w:r>
            <w:r>
              <w:rPr>
                <w:rFonts w:hint="eastAsia" w:ascii="宋体" w:hAnsi="宋体" w:cs="宋体"/>
                <w:color w:val="000000" w:themeColor="text1"/>
                <w:sz w:val="24"/>
                <w:highlight w:val="none"/>
                <w:lang w:eastAsia="zh-CN"/>
                <w14:textFill>
                  <w14:solidFill>
                    <w14:schemeClr w14:val="tx1"/>
                  </w14:solidFill>
                </w14:textFill>
              </w:rPr>
              <w:t>；完全符合得</w:t>
            </w:r>
            <w:r>
              <w:rPr>
                <w:rFonts w:hint="eastAsia" w:ascii="宋体" w:hAnsi="宋体" w:cs="宋体"/>
                <w:color w:val="000000" w:themeColor="text1"/>
                <w:sz w:val="24"/>
                <w:highlight w:val="none"/>
                <w:lang w:val="en-US" w:eastAsia="zh-CN"/>
                <w14:textFill>
                  <w14:solidFill>
                    <w14:schemeClr w14:val="tx1"/>
                  </w14:solidFill>
                </w14:textFill>
              </w:rPr>
              <w:t>6分，部分符合得4分，基本符合得2分，不符合不得分；</w:t>
            </w:r>
          </w:p>
          <w:p>
            <w:pPr>
              <w:widowControl/>
              <w:spacing w:line="6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2）展示内容图版版面划分合理，设计内容符合本项目实际要求，美工排版工整、协调，色彩搭配合理，设计元素运用符合实际需求</w:t>
            </w:r>
            <w:r>
              <w:rPr>
                <w:rFonts w:hint="eastAsia" w:ascii="宋体" w:hAnsi="宋体" w:cs="宋体"/>
                <w:color w:val="000000" w:themeColor="text1"/>
                <w:sz w:val="24"/>
                <w:highlight w:val="none"/>
                <w:lang w:eastAsia="zh-CN"/>
                <w14:textFill>
                  <w14:solidFill>
                    <w14:schemeClr w14:val="tx1"/>
                  </w14:solidFill>
                </w14:textFill>
              </w:rPr>
              <w:t>；完全符合得</w:t>
            </w:r>
            <w:r>
              <w:rPr>
                <w:rFonts w:hint="eastAsia" w:ascii="宋体" w:hAnsi="宋体" w:cs="宋体"/>
                <w:color w:val="000000" w:themeColor="text1"/>
                <w:sz w:val="24"/>
                <w:highlight w:val="none"/>
                <w:lang w:val="en-US" w:eastAsia="zh-CN"/>
                <w14:textFill>
                  <w14:solidFill>
                    <w14:schemeClr w14:val="tx1"/>
                  </w14:solidFill>
                </w14:textFill>
              </w:rPr>
              <w:t>6分，部分符合得4分，基本符合得2分，不符合不得分；</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widowControl/>
              <w:spacing w:line="600" w:lineRule="exact"/>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7684" w:type="dxa"/>
            <w:vAlign w:val="center"/>
          </w:tcPr>
          <w:p>
            <w:pPr>
              <w:widowControl/>
              <w:spacing w:line="600" w:lineRule="exact"/>
              <w:rPr>
                <w:rFonts w:hint="eastAsia" w:ascii="宋体" w:hAnsi="宋体" w:cs="宋体"/>
                <w:color w:val="000000" w:themeColor="text1"/>
                <w:sz w:val="24"/>
                <w:highlight w:val="none"/>
                <w:lang w:eastAsia="zh-CN"/>
                <w14:textFill>
                  <w14:solidFill>
                    <w14:schemeClr w14:val="tx1"/>
                  </w14:solidFill>
                </w14:textFill>
              </w:rPr>
            </w:pPr>
            <w:r>
              <w:rPr>
                <w:rFonts w:hint="eastAsia"/>
              </w:rPr>
              <w:t>主</w:t>
            </w:r>
            <w:r>
              <w:rPr>
                <w:rFonts w:hint="eastAsia" w:ascii="宋体" w:hAnsi="宋体" w:cs="宋体"/>
                <w:color w:val="000000" w:themeColor="text1"/>
                <w:sz w:val="24"/>
                <w:highlight w:val="none"/>
                <w14:textFill>
                  <w14:solidFill>
                    <w14:schemeClr w14:val="tx1"/>
                  </w14:solidFill>
                </w14:textFill>
              </w:rPr>
              <w:t>要材料</w:t>
            </w:r>
            <w:r>
              <w:rPr>
                <w:rFonts w:hint="eastAsia" w:ascii="宋体" w:hAnsi="宋体" w:cs="宋体"/>
                <w:color w:val="000000" w:themeColor="text1"/>
                <w:sz w:val="24"/>
                <w:highlight w:val="none"/>
                <w:lang w:eastAsia="zh-CN"/>
                <w14:textFill>
                  <w14:solidFill>
                    <w14:schemeClr w14:val="tx1"/>
                  </w14:solidFill>
                </w14:textFill>
              </w:rPr>
              <w:t>：</w:t>
            </w:r>
          </w:p>
          <w:p>
            <w:pPr>
              <w:widowControl/>
              <w:spacing w:line="60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根据投标方案中的主要</w:t>
            </w:r>
            <w:r>
              <w:rPr>
                <w:rFonts w:hint="eastAsia" w:ascii="宋体" w:hAnsi="宋体" w:cs="宋体"/>
                <w:color w:val="000000" w:themeColor="text1"/>
                <w:sz w:val="24"/>
                <w:highlight w:val="none"/>
                <w:lang w:val="en-US" w:eastAsia="zh-CN"/>
                <w14:textFill>
                  <w14:solidFill>
                    <w14:schemeClr w14:val="tx1"/>
                  </w14:solidFill>
                </w14:textFill>
              </w:rPr>
              <w:t>板材需为非密度板，环保要求E1以上的板材</w:t>
            </w:r>
            <w:r>
              <w:rPr>
                <w:rFonts w:hint="eastAsia" w:ascii="宋体" w:hAnsi="宋体" w:cs="宋体"/>
                <w:color w:val="000000" w:themeColor="text1"/>
                <w:sz w:val="24"/>
                <w:highlight w:val="none"/>
                <w:lang w:eastAsia="zh-CN"/>
                <w14:textFill>
                  <w14:solidFill>
                    <w14:schemeClr w14:val="tx1"/>
                  </w14:solidFill>
                </w14:textFill>
              </w:rPr>
              <w:t>；完全符合得</w:t>
            </w:r>
            <w:r>
              <w:rPr>
                <w:rFonts w:hint="eastAsia" w:ascii="宋体" w:hAnsi="宋体" w:cs="宋体"/>
                <w:color w:val="000000" w:themeColor="text1"/>
                <w:sz w:val="24"/>
                <w:highlight w:val="none"/>
                <w:lang w:val="en-US" w:eastAsia="zh-CN"/>
                <w14:textFill>
                  <w14:solidFill>
                    <w14:schemeClr w14:val="tx1"/>
                  </w14:solidFill>
                </w14:textFill>
              </w:rPr>
              <w:t>3分，部分符合得2分，基本符合得1分，不符合不得分；</w:t>
            </w:r>
          </w:p>
          <w:p>
            <w:pPr>
              <w:widowControl/>
              <w:spacing w:line="600" w:lineRule="exac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注：投标文件中未能提供检测报告复印件的</w:t>
            </w:r>
            <w:r>
              <w:rPr>
                <w:rFonts w:hint="eastAsia" w:ascii="宋体" w:hAnsi="宋体" w:cs="宋体"/>
                <w:color w:val="000000" w:themeColor="text1"/>
                <w:sz w:val="24"/>
                <w:highlight w:val="none"/>
                <w:lang w:eastAsia="zh-CN"/>
                <w14:textFill>
                  <w14:solidFill>
                    <w14:schemeClr w14:val="tx1"/>
                  </w14:solidFill>
                </w14:textFill>
              </w:rPr>
              <w:t>本项</w:t>
            </w:r>
            <w:r>
              <w:rPr>
                <w:rFonts w:hint="eastAsia" w:ascii="宋体" w:hAnsi="宋体" w:cs="宋体"/>
                <w:color w:val="000000" w:themeColor="text1"/>
                <w:sz w:val="24"/>
                <w:highlight w:val="none"/>
                <w14:textFill>
                  <w14:solidFill>
                    <w14:schemeClr w14:val="tx1"/>
                  </w14:solidFill>
                </w14:textFill>
              </w:rPr>
              <w:t>不得分</w:t>
            </w:r>
            <w:r>
              <w:rPr>
                <w:rFonts w:hint="eastAsia" w:ascii="宋体" w:hAnsi="宋体" w:cs="宋体"/>
                <w:color w:val="000000" w:themeColor="text1"/>
                <w:sz w:val="24"/>
                <w:highlight w:val="none"/>
                <w:lang w:eastAsia="zh-CN"/>
                <w14:textFill>
                  <w14:solidFill>
                    <w14:schemeClr w14:val="tx1"/>
                  </w14:solidFill>
                </w14:textFill>
              </w:rPr>
              <w:t>。</w:t>
            </w:r>
          </w:p>
          <w:p>
            <w:pPr>
              <w:widowControl/>
              <w:spacing w:line="600" w:lineRule="exact"/>
              <w:rPr>
                <w:rFonts w:hint="eastAsia"/>
                <w:lang w:eastAsia="zh-CN"/>
              </w:rPr>
            </w:pPr>
            <w:r>
              <w:rPr>
                <w:rFonts w:hint="eastAsia" w:ascii="宋体" w:hAnsi="宋体" w:cs="宋体"/>
                <w:b/>
                <w:bCs/>
                <w:color w:val="000000" w:themeColor="text1"/>
                <w:sz w:val="24"/>
                <w:highlight w:val="none"/>
                <w:lang w:val="en-US" w:eastAsia="zh-CN"/>
                <w14:textFill>
                  <w14:solidFill>
                    <w14:schemeClr w14:val="tx1"/>
                  </w14:solidFill>
                </w14:textFill>
              </w:rPr>
              <w:t>投标文件中提供检测报告复印件。</w:t>
            </w:r>
          </w:p>
        </w:tc>
        <w:tc>
          <w:tcPr>
            <w:tcW w:w="85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5</w:t>
            </w:r>
          </w:p>
        </w:tc>
        <w:tc>
          <w:tcPr>
            <w:tcW w:w="7684" w:type="dxa"/>
            <w:vAlign w:val="center"/>
          </w:tcPr>
          <w:p>
            <w:pPr>
              <w:keepNext w:val="0"/>
              <w:keepLines w:val="0"/>
              <w:pageBreakBefore w:val="0"/>
              <w:widowControl/>
              <w:kinsoku/>
              <w:wordWrap/>
              <w:overflowPunct/>
              <w:topLinePunct w:val="0"/>
              <w:autoSpaceDE/>
              <w:autoSpaceDN/>
              <w:bidi w:val="0"/>
              <w:adjustRightInd w:val="0"/>
              <w:snapToGrid/>
              <w:spacing w:line="600" w:lineRule="exact"/>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sz w:val="24"/>
                <w:szCs w:val="24"/>
                <w:lang w:eastAsia="zh-CN"/>
              </w:rPr>
              <w:t>根据</w:t>
            </w:r>
            <w:r>
              <w:rPr>
                <w:rFonts w:hint="eastAsia" w:ascii="宋体" w:hAnsi="宋体" w:eastAsia="宋体" w:cs="宋体"/>
                <w:color w:val="auto"/>
                <w:sz w:val="24"/>
                <w:szCs w:val="24"/>
              </w:rPr>
              <w:t>各施工方案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合理性及难点、关键环节的处置措施等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完全符合得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分，部分符合得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分，不符合不得分；</w:t>
            </w:r>
          </w:p>
        </w:tc>
        <w:tc>
          <w:tcPr>
            <w:tcW w:w="854" w:type="dxa"/>
            <w:vAlign w:val="center"/>
          </w:tcPr>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684" w:type="dxa"/>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根据投标人提供的展品安全、保护措施方案，施工进度计划及保证措施合理性、关键环节的处置措施等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完全符合得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分，部分符合得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分，不符合不得分；</w:t>
            </w:r>
          </w:p>
        </w:tc>
        <w:tc>
          <w:tcPr>
            <w:tcW w:w="854" w:type="dxa"/>
            <w:vAlign w:val="center"/>
          </w:tcPr>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7684" w:type="dxa"/>
            <w:vAlign w:val="center"/>
          </w:tcPr>
          <w:p>
            <w:pPr>
              <w:keepNext w:val="0"/>
              <w:keepLines w:val="0"/>
              <w:pageBreakBefore w:val="0"/>
              <w:kinsoku/>
              <w:wordWrap/>
              <w:overflowPunct/>
              <w:topLinePunct w:val="0"/>
              <w:autoSpaceDE/>
              <w:autoSpaceDN/>
              <w:bidi w:val="0"/>
              <w:adjustRightInd w:val="0"/>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sz w:val="24"/>
                <w:szCs w:val="24"/>
                <w14:textFill>
                  <w14:solidFill>
                    <w14:schemeClr w14:val="tx1"/>
                  </w14:solidFill>
                </w14:textFill>
              </w:rPr>
              <w:t>项目拟派人员充足、技术力量扎实、专业全面、劳动力安排计划、服务承诺、质量承诺、</w:t>
            </w:r>
            <w:r>
              <w:rPr>
                <w:rFonts w:hint="eastAsia" w:ascii="宋体" w:hAnsi="宋体" w:cs="宋体"/>
                <w:color w:val="000000" w:themeColor="text1"/>
                <w:sz w:val="24"/>
                <w:szCs w:val="24"/>
                <w:lang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期内的质量保证承诺等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完全符合得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分，部分符合得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分，基本符合得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分，不符合不得分；</w:t>
            </w:r>
          </w:p>
        </w:tc>
        <w:tc>
          <w:tcPr>
            <w:tcW w:w="854" w:type="dxa"/>
            <w:vAlign w:val="center"/>
          </w:tcPr>
          <w:p>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8</w:t>
            </w:r>
          </w:p>
        </w:tc>
        <w:tc>
          <w:tcPr>
            <w:tcW w:w="7684" w:type="dxa"/>
            <w:vAlign w:val="center"/>
          </w:tcPr>
          <w:p>
            <w:pPr>
              <w:pStyle w:val="90"/>
              <w:keepNext w:val="0"/>
              <w:keepLines w:val="0"/>
              <w:pageBreakBefore w:val="0"/>
              <w:widowControl/>
              <w:kinsoku/>
              <w:wordWrap/>
              <w:overflowPunct/>
              <w:topLinePunct w:val="0"/>
              <w:autoSpaceDE/>
              <w:autoSpaceDN/>
              <w:bidi w:val="0"/>
              <w:adjustRightInd/>
              <w:snapToGrid/>
              <w:spacing w:before="0" w:line="600" w:lineRule="exact"/>
              <w:ind w:firstLine="0" w:firstLineChars="0"/>
              <w:jc w:val="left"/>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相关认证证书（在有效期内的）：</w:t>
            </w:r>
          </w:p>
          <w:p>
            <w:pPr>
              <w:pStyle w:val="90"/>
              <w:keepNext w:val="0"/>
              <w:keepLines w:val="0"/>
              <w:pageBreakBefore w:val="0"/>
              <w:widowControl/>
              <w:numPr>
                <w:ilvl w:val="0"/>
                <w:numId w:val="2"/>
              </w:numPr>
              <w:kinsoku/>
              <w:wordWrap/>
              <w:overflowPunct/>
              <w:topLinePunct w:val="0"/>
              <w:autoSpaceDE/>
              <w:autoSpaceDN/>
              <w:bidi w:val="0"/>
              <w:adjustRightInd/>
              <w:snapToGrid/>
              <w:spacing w:before="0" w:line="600" w:lineRule="exact"/>
              <w:ind w:firstLine="0" w:firstLineChars="0"/>
              <w:jc w:val="left"/>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投标单位具有质量管理体系认证证书的得1分、具有售后服务认证证书且服务等级达到五星及以上的星级的3分；证书需在有效期内；没有不得分；</w:t>
            </w:r>
          </w:p>
          <w:p>
            <w:pPr>
              <w:pStyle w:val="90"/>
              <w:keepNext w:val="0"/>
              <w:keepLines w:val="0"/>
              <w:pageBreakBefore w:val="0"/>
              <w:widowControl/>
              <w:numPr>
                <w:ilvl w:val="0"/>
                <w:numId w:val="2"/>
              </w:numPr>
              <w:kinsoku/>
              <w:wordWrap/>
              <w:overflowPunct/>
              <w:topLinePunct w:val="0"/>
              <w:autoSpaceDE/>
              <w:autoSpaceDN/>
              <w:bidi w:val="0"/>
              <w:adjustRightInd/>
              <w:snapToGrid/>
              <w:spacing w:before="0" w:line="600" w:lineRule="exact"/>
              <w:ind w:firstLine="0" w:firstLineChars="0"/>
              <w:jc w:val="left"/>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具有第三方机构评定的3A级信用等级认证、3A级重合同守信用企业、3A级诚信经营示范单位、3A级质量诚信单位；证书需在有效期内，四证齐全得4分，没有不得分；</w:t>
            </w:r>
          </w:p>
          <w:p>
            <w:pPr>
              <w:pStyle w:val="90"/>
              <w:keepNext w:val="0"/>
              <w:keepLines w:val="0"/>
              <w:pageBreakBefore w:val="0"/>
              <w:widowControl/>
              <w:numPr>
                <w:ilvl w:val="0"/>
                <w:numId w:val="0"/>
              </w:numPr>
              <w:kinsoku/>
              <w:wordWrap/>
              <w:overflowPunct/>
              <w:topLinePunct w:val="0"/>
              <w:autoSpaceDE/>
              <w:autoSpaceDN/>
              <w:bidi w:val="0"/>
              <w:adjustRightInd/>
              <w:snapToGrid/>
              <w:spacing w:before="0" w:line="600" w:lineRule="exact"/>
              <w:jc w:val="left"/>
              <w:rPr>
                <w:rFonts w:hint="eastAsia" w:ascii="宋体" w:eastAsia="宋体" w:cs="仿宋"/>
                <w:color w:val="auto"/>
                <w:kern w:val="21"/>
                <w:sz w:val="24"/>
                <w:szCs w:val="24"/>
                <w:highlight w:val="none"/>
              </w:rPr>
            </w:pPr>
            <w:r>
              <w:rPr>
                <w:rFonts w:hint="eastAsia" w:ascii="宋体" w:hAnsi="宋体" w:cs="宋体"/>
                <w:b/>
                <w:color w:val="auto"/>
                <w:highlight w:val="none"/>
                <w:lang w:val="en-US" w:eastAsia="zh-CN"/>
              </w:rPr>
              <w:t>投标文件中提供证书复印件；</w:t>
            </w:r>
          </w:p>
        </w:tc>
        <w:tc>
          <w:tcPr>
            <w:tcW w:w="854" w:type="dxa"/>
            <w:vAlign w:val="center"/>
          </w:tcPr>
          <w:p>
            <w:pPr>
              <w:pStyle w:val="90"/>
              <w:keepNext w:val="0"/>
              <w:keepLines w:val="0"/>
              <w:pageBreakBefore w:val="0"/>
              <w:widowControl/>
              <w:kinsoku/>
              <w:wordWrap/>
              <w:overflowPunct/>
              <w:topLinePunct w:val="0"/>
              <w:autoSpaceDE/>
              <w:autoSpaceDN/>
              <w:bidi w:val="0"/>
              <w:adjustRightInd/>
              <w:snapToGrid/>
              <w:spacing w:before="0" w:line="600" w:lineRule="exact"/>
              <w:ind w:firstLine="0" w:firstLineChars="0"/>
              <w:jc w:val="center"/>
              <w:rPr>
                <w:rFonts w:hint="default" w:ascii="宋体" w:hAnsi="宋体" w:eastAsia="宋体" w:cs="宋体"/>
                <w:color w:val="auto"/>
                <w:sz w:val="24"/>
                <w:highlight w:val="none"/>
                <w:lang w:val="en-US" w:eastAsia="zh-CN"/>
              </w:rPr>
            </w:pPr>
            <w:r>
              <w:rPr>
                <w:rFonts w:hint="eastAsia" w:ascii="宋体" w:hAnsi="宋体" w:cs="宋体"/>
                <w:bCs/>
                <w:color w:val="auto"/>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7684" w:type="dxa"/>
            <w:vAlign w:val="center"/>
          </w:tcPr>
          <w:p>
            <w:pPr>
              <w:pStyle w:val="2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企业类似业绩：投标人自201</w:t>
            </w:r>
            <w:r>
              <w:rPr>
                <w:rFonts w:hint="eastAsia" w:cs="宋体"/>
                <w:sz w:val="24"/>
                <w:szCs w:val="24"/>
                <w:lang w:val="en-US" w:eastAsia="zh-CN"/>
              </w:rPr>
              <w:t>7</w:t>
            </w:r>
            <w:r>
              <w:rPr>
                <w:rFonts w:hint="eastAsia" w:ascii="宋体" w:hAnsi="宋体" w:eastAsia="宋体" w:cs="宋体"/>
                <w:sz w:val="24"/>
                <w:szCs w:val="24"/>
                <w:lang w:val="en-US" w:eastAsia="zh-CN"/>
              </w:rPr>
              <w:t>年1月1日（含）以来承担过</w:t>
            </w:r>
            <w:r>
              <w:rPr>
                <w:rFonts w:hint="eastAsia" w:ascii="宋体" w:hAnsi="宋体" w:eastAsia="宋体" w:cs="宋体"/>
                <w:sz w:val="24"/>
                <w:szCs w:val="24"/>
              </w:rPr>
              <w:t>（</w:t>
            </w:r>
            <w:r>
              <w:rPr>
                <w:rFonts w:hint="eastAsia" w:ascii="宋体" w:hAnsi="宋体" w:eastAsia="宋体" w:cs="宋体"/>
                <w:sz w:val="24"/>
                <w:szCs w:val="24"/>
                <w:highlight w:val="none"/>
                <w:lang w:eastAsia="zh-CN"/>
              </w:rPr>
              <w:t>时间以签订合同上的时间为准</w:t>
            </w:r>
            <w:r>
              <w:rPr>
                <w:rFonts w:hint="eastAsia" w:ascii="宋体" w:hAnsi="宋体" w:eastAsia="宋体" w:cs="宋体"/>
                <w:sz w:val="24"/>
                <w:szCs w:val="24"/>
                <w:highlight w:val="none"/>
              </w:rPr>
              <w:t>）</w:t>
            </w:r>
            <w:r>
              <w:rPr>
                <w:rFonts w:hint="eastAsia" w:ascii="宋体" w:hAnsi="宋体" w:eastAsia="宋体" w:cs="宋体"/>
                <w:sz w:val="24"/>
                <w:szCs w:val="24"/>
              </w:rPr>
              <w:t>承担类似项目</w:t>
            </w:r>
            <w:r>
              <w:rPr>
                <w:rFonts w:hint="eastAsia" w:ascii="宋体" w:hAnsi="宋体" w:eastAsia="宋体" w:cs="宋体"/>
                <w:sz w:val="24"/>
                <w:szCs w:val="24"/>
                <w:lang w:eastAsia="zh-CN"/>
              </w:rPr>
              <w:t>，</w:t>
            </w:r>
            <w:r>
              <w:rPr>
                <w:rFonts w:hint="eastAsia" w:ascii="宋体" w:hAnsi="宋体" w:eastAsia="宋体" w:cs="宋体"/>
                <w:sz w:val="24"/>
                <w:szCs w:val="24"/>
              </w:rPr>
              <w:t>每提供1个得1分，最</w:t>
            </w:r>
            <w:r>
              <w:rPr>
                <w:rFonts w:hint="eastAsia" w:ascii="宋体" w:hAnsi="宋体" w:eastAsia="宋体" w:cs="宋体"/>
                <w:sz w:val="24"/>
                <w:szCs w:val="24"/>
                <w:lang w:eastAsia="zh-CN"/>
              </w:rPr>
              <w:t>多</w:t>
            </w:r>
            <w:r>
              <w:rPr>
                <w:rFonts w:hint="eastAsia" w:ascii="宋体" w:hAnsi="宋体" w:eastAsia="宋体" w:cs="宋体"/>
                <w:sz w:val="24"/>
                <w:szCs w:val="24"/>
              </w:rPr>
              <w:t>得</w:t>
            </w:r>
            <w:r>
              <w:rPr>
                <w:rFonts w:hint="eastAsia"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2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sz w:val="24"/>
                <w:szCs w:val="24"/>
                <w:lang w:eastAsia="zh-CN"/>
              </w:rPr>
              <w:t>投标文件中</w:t>
            </w:r>
            <w:r>
              <w:rPr>
                <w:rFonts w:hint="eastAsia" w:ascii="宋体" w:hAnsi="宋体" w:eastAsia="宋体" w:cs="宋体"/>
                <w:b/>
                <w:bCs/>
                <w:sz w:val="24"/>
                <w:szCs w:val="24"/>
              </w:rPr>
              <w:t>提供</w:t>
            </w:r>
            <w:r>
              <w:rPr>
                <w:rFonts w:hint="eastAsia" w:ascii="宋体" w:hAnsi="宋体" w:cs="宋体"/>
                <w:b/>
                <w:bCs/>
                <w:sz w:val="24"/>
              </w:rPr>
              <w:t>该项目</w:t>
            </w:r>
            <w:r>
              <w:rPr>
                <w:rFonts w:hint="eastAsia" w:ascii="宋体" w:hAnsi="宋体" w:eastAsia="宋体" w:cs="宋体"/>
                <w:b/>
                <w:bCs/>
                <w:sz w:val="24"/>
                <w:lang w:eastAsia="zh-CN"/>
              </w:rPr>
              <w:t>的</w:t>
            </w:r>
            <w:r>
              <w:rPr>
                <w:rFonts w:hint="eastAsia" w:ascii="宋体" w:hAnsi="宋体" w:eastAsia="宋体" w:cs="宋体"/>
                <w:b/>
                <w:bCs/>
                <w:sz w:val="24"/>
                <w:szCs w:val="24"/>
              </w:rPr>
              <w:t>合同复印件</w:t>
            </w:r>
            <w:r>
              <w:rPr>
                <w:rFonts w:hint="eastAsia" w:ascii="宋体" w:hAnsi="宋体" w:eastAsia="宋体" w:cs="宋体"/>
                <w:b/>
                <w:bCs/>
                <w:sz w:val="24"/>
                <w:szCs w:val="24"/>
                <w:lang w:eastAsia="zh-CN"/>
              </w:rPr>
              <w:t>；</w:t>
            </w:r>
          </w:p>
        </w:tc>
        <w:tc>
          <w:tcPr>
            <w:tcW w:w="854" w:type="dxa"/>
            <w:vAlign w:val="center"/>
          </w:tcPr>
          <w:p>
            <w:pPr>
              <w:pStyle w:val="2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cs="宋体"/>
                <w:bCs/>
                <w:color w:val="auto"/>
                <w:highlight w:val="none"/>
                <w:lang w:val="en-US" w:eastAsia="zh-CN"/>
              </w:rPr>
            </w:pPr>
            <w:r>
              <w:rPr>
                <w:rFonts w:hint="eastAsia"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6"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684" w:type="dxa"/>
            <w:vAlign w:val="center"/>
          </w:tcPr>
          <w:p>
            <w:pPr>
              <w:keepNext w:val="0"/>
              <w:keepLines w:val="0"/>
              <w:pageBreakBefore w:val="0"/>
              <w:widowControl w:val="0"/>
              <w:kinsoku/>
              <w:wordWrap/>
              <w:overflowPunct/>
              <w:topLinePunct w:val="0"/>
              <w:autoSpaceDE/>
              <w:autoSpaceDN/>
              <w:bidi w:val="0"/>
              <w:adjustRightInd w:val="0"/>
              <w:spacing w:line="600" w:lineRule="exact"/>
              <w:ind w:left="0" w:leftChars="0" w:right="0" w:firstLine="0" w:firstLineChars="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］的计算公式计算。</w:t>
            </w:r>
          </w:p>
          <w:p>
            <w:pPr>
              <w:keepNext w:val="0"/>
              <w:keepLines w:val="0"/>
              <w:pageBreakBefore w:val="0"/>
              <w:widowControl w:val="0"/>
              <w:kinsoku/>
              <w:wordWrap/>
              <w:overflowPunct/>
              <w:topLinePunct w:val="0"/>
              <w:autoSpaceDE/>
              <w:autoSpaceDN/>
              <w:bidi w:val="0"/>
              <w:adjustRightInd w:val="0"/>
              <w:spacing w:line="600" w:lineRule="exact"/>
              <w:ind w:left="0" w:leftChars="0" w:right="0" w:firstLine="0" w:firstLineChars="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keepNext w:val="0"/>
              <w:keepLines w:val="0"/>
              <w:pageBreakBefore w:val="0"/>
              <w:widowControl w:val="0"/>
              <w:kinsoku/>
              <w:wordWrap/>
              <w:overflowPunct/>
              <w:topLinePunct w:val="0"/>
              <w:autoSpaceDE/>
              <w:autoSpaceDN/>
              <w:bidi w:val="0"/>
              <w:adjustRightInd w:val="0"/>
              <w:spacing w:line="600" w:lineRule="exact"/>
              <w:ind w:left="0" w:leftChars="0" w:right="0" w:firstLine="0" w:firstLineChars="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因落实政府采购政策需要进行价格调整的，以调整后的价格计算评标基准价和投标报价。</w:t>
            </w:r>
          </w:p>
        </w:tc>
        <w:tc>
          <w:tcPr>
            <w:tcW w:w="854" w:type="dxa"/>
            <w:vAlign w:val="center"/>
          </w:tcPr>
          <w:p>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20</w:t>
            </w:r>
          </w:p>
        </w:tc>
      </w:tr>
    </w:tbl>
    <w:p>
      <w:pPr>
        <w:numPr>
          <w:ilvl w:val="0"/>
          <w:numId w:val="0"/>
        </w:numPr>
        <w:snapToGrid w:val="0"/>
        <w:spacing w:line="600" w:lineRule="exact"/>
        <w:rPr>
          <w:rFonts w:hint="eastAsia" w:ascii="宋体" w:hAnsi="宋体" w:cs="宋体"/>
          <w:b/>
          <w:color w:val="auto"/>
          <w:sz w:val="28"/>
          <w:szCs w:val="28"/>
          <w:highlight w:val="none"/>
          <w:lang w:val="en-US" w:eastAsia="zh-CN"/>
        </w:rPr>
      </w:pPr>
    </w:p>
    <w:p>
      <w:pPr>
        <w:numPr>
          <w:ilvl w:val="0"/>
          <w:numId w:val="0"/>
        </w:numPr>
        <w:snapToGrid w:val="0"/>
        <w:spacing w:line="600" w:lineRule="exact"/>
        <w:rPr>
          <w:color w:val="auto"/>
        </w:rPr>
      </w:pPr>
      <w:r>
        <w:rPr>
          <w:rFonts w:hint="eastAsia" w:ascii="宋体" w:hAnsi="宋体" w:cs="宋体"/>
          <w:b/>
          <w:color w:val="auto"/>
          <w:sz w:val="28"/>
          <w:szCs w:val="28"/>
          <w:highlight w:val="none"/>
          <w:lang w:val="en-US" w:eastAsia="zh-CN"/>
        </w:rPr>
        <w:t>一、</w:t>
      </w:r>
      <w:r>
        <w:rPr>
          <w:rFonts w:hint="eastAsia" w:ascii="宋体" w:hAnsi="宋体" w:cs="宋体"/>
          <w:b/>
          <w:color w:val="auto"/>
          <w:sz w:val="28"/>
          <w:szCs w:val="28"/>
          <w:highlight w:val="none"/>
        </w:rPr>
        <w:t>评标方法</w:t>
      </w:r>
    </w:p>
    <w:p>
      <w:pPr>
        <w:adjustRightInd/>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600" w:lineRule="exact"/>
        <w:rPr>
          <w:rFonts w:ascii="宋体" w:hAnsi="宋体" w:cs="宋体"/>
          <w:color w:val="auto"/>
          <w:kern w:val="0"/>
          <w:sz w:val="28"/>
          <w:szCs w:val="28"/>
          <w:highlight w:val="none"/>
        </w:rPr>
      </w:pPr>
      <w:r>
        <w:rPr>
          <w:rFonts w:hint="eastAsia" w:ascii="宋体" w:hAnsi="宋体" w:cs="宋体"/>
          <w:b/>
          <w:color w:val="auto"/>
          <w:sz w:val="28"/>
          <w:szCs w:val="28"/>
          <w:highlight w:val="none"/>
        </w:rPr>
        <w:t>二、评标标准</w:t>
      </w:r>
    </w:p>
    <w:p>
      <w:pPr>
        <w:spacing w:line="60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600" w:lineRule="exact"/>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三、评标程序</w:t>
      </w:r>
    </w:p>
    <w:p>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60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spacing w:line="600" w:lineRule="exact"/>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3.4.1投标文件报价出现前后不一致的，按照下列规定修正：</w:t>
      </w:r>
    </w:p>
    <w:p>
      <w:pPr>
        <w:pStyle w:val="90"/>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90"/>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90"/>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90"/>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90"/>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90"/>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0"/>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60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600" w:lineRule="exact"/>
        <w:rPr>
          <w:rFonts w:ascii="宋体" w:hAnsi="宋体" w:cs="宋体"/>
          <w:b/>
          <w:color w:val="auto"/>
          <w:kern w:val="0"/>
          <w:sz w:val="24"/>
          <w:highlight w:val="none"/>
        </w:rPr>
      </w:pPr>
      <w:r>
        <w:rPr>
          <w:rFonts w:hint="eastAsia" w:ascii="宋体" w:hAnsi="宋体" w:cs="宋体"/>
          <w:color w:val="auto"/>
          <w:kern w:val="0"/>
          <w:sz w:val="24"/>
          <w:highlight w:val="none"/>
        </w:rPr>
        <w:t xml:space="preserve">    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600" w:lineRule="exact"/>
        <w:jc w:val="lef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pPr>
        <w:pStyle w:val="90"/>
        <w:spacing w:before="0" w:line="60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600" w:lineRule="exact"/>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有下列情况之一的，投标无效：</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60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60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4.2.12投标人仅提交备份投标文件，没有在电子交易平台传输递交投标文件的，投标无效；</w:t>
      </w:r>
    </w:p>
    <w:p>
      <w:pPr>
        <w:pStyle w:val="6"/>
        <w:spacing w:line="600" w:lineRule="exact"/>
        <w:ind w:left="0" w:firstLine="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    4.2.13 投标文件不满足招标文件的其它实质性要求的；</w:t>
      </w:r>
    </w:p>
    <w:p>
      <w:pPr>
        <w:spacing w:line="6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4.2.14法律、法规、规章（适用本市的）及省级以上规范性文件（适用本市的）规定的其他无效情形。</w:t>
      </w:r>
    </w:p>
    <w:p>
      <w:pPr>
        <w:pStyle w:val="26"/>
        <w:snapToGrid w:val="0"/>
        <w:spacing w:line="60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6"/>
        <w:snapToGrid w:val="0"/>
        <w:spacing w:line="600" w:lineRule="exact"/>
        <w:rPr>
          <w:rFonts w:cs="宋体"/>
          <w:color w:val="auto"/>
          <w:highlight w:val="none"/>
        </w:rPr>
      </w:pPr>
      <w:r>
        <w:rPr>
          <w:rFonts w:hint="eastAsia" w:cs="宋体"/>
          <w:color w:val="auto"/>
          <w:highlight w:val="none"/>
        </w:rPr>
        <w:t>5.1符合专业条件的供应商或者对招标文件作实质响应的供应商不足3家的；</w:t>
      </w:r>
    </w:p>
    <w:p>
      <w:pPr>
        <w:pStyle w:val="26"/>
        <w:snapToGrid w:val="0"/>
        <w:spacing w:line="600" w:lineRule="exact"/>
        <w:rPr>
          <w:rFonts w:cs="宋体"/>
          <w:color w:val="auto"/>
          <w:highlight w:val="none"/>
        </w:rPr>
      </w:pPr>
      <w:r>
        <w:rPr>
          <w:rFonts w:hint="eastAsia" w:cs="宋体"/>
          <w:color w:val="auto"/>
          <w:highlight w:val="none"/>
        </w:rPr>
        <w:t>5.2出现影响采购公正的违法、违规行为的；</w:t>
      </w:r>
    </w:p>
    <w:p>
      <w:pPr>
        <w:pStyle w:val="26"/>
        <w:snapToGrid w:val="0"/>
        <w:spacing w:line="600" w:lineRule="exact"/>
        <w:rPr>
          <w:rFonts w:cs="宋体"/>
          <w:color w:val="auto"/>
          <w:highlight w:val="none"/>
        </w:rPr>
      </w:pPr>
      <w:r>
        <w:rPr>
          <w:rFonts w:hint="eastAsia" w:cs="宋体"/>
          <w:color w:val="auto"/>
          <w:highlight w:val="none"/>
        </w:rPr>
        <w:t>5.3投标人的报价均超过了采购预算，采购人不能支付的；</w:t>
      </w:r>
    </w:p>
    <w:p>
      <w:pPr>
        <w:pStyle w:val="26"/>
        <w:snapToGrid w:val="0"/>
        <w:spacing w:line="600" w:lineRule="exact"/>
        <w:rPr>
          <w:rFonts w:cs="宋体"/>
          <w:color w:val="auto"/>
          <w:highlight w:val="none"/>
        </w:rPr>
      </w:pPr>
      <w:r>
        <w:rPr>
          <w:rFonts w:hint="eastAsia" w:cs="宋体"/>
          <w:color w:val="auto"/>
          <w:highlight w:val="none"/>
        </w:rPr>
        <w:t>5.4因重大变故，采购任务取消的。</w:t>
      </w:r>
    </w:p>
    <w:p>
      <w:pPr>
        <w:pStyle w:val="26"/>
        <w:snapToGrid w:val="0"/>
        <w:spacing w:line="600" w:lineRule="exact"/>
        <w:rPr>
          <w:rFonts w:cs="宋体"/>
          <w:color w:val="auto"/>
          <w:highlight w:val="none"/>
        </w:rPr>
      </w:pPr>
      <w:r>
        <w:rPr>
          <w:rFonts w:hint="eastAsia" w:cs="宋体"/>
          <w:color w:val="auto"/>
          <w:highlight w:val="none"/>
        </w:rPr>
        <w:t>废标后，采购机构应当将废标理由通知所有投标人。</w:t>
      </w:r>
    </w:p>
    <w:p>
      <w:pPr>
        <w:pStyle w:val="26"/>
        <w:snapToGrid w:val="0"/>
        <w:spacing w:line="600" w:lineRule="exact"/>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600" w:lineRule="exact"/>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pPr>
        <w:pStyle w:val="26"/>
        <w:snapToGrid w:val="0"/>
        <w:spacing w:line="600" w:lineRule="exact"/>
        <w:rPr>
          <w:rFonts w:cs="宋体"/>
          <w:color w:val="auto"/>
          <w:highlight w:val="none"/>
        </w:rPr>
      </w:pPr>
      <w:r>
        <w:rPr>
          <w:rFonts w:hint="eastAsia" w:cs="宋体"/>
          <w:color w:val="auto"/>
          <w:highlight w:val="none"/>
        </w:rPr>
        <w:t>7.1未确定中标或者中标人的，终止本次政府采购活动，重新开展政府采购活动。</w:t>
      </w:r>
    </w:p>
    <w:p>
      <w:pPr>
        <w:pStyle w:val="26"/>
        <w:snapToGrid w:val="0"/>
        <w:spacing w:line="600" w:lineRule="exact"/>
        <w:rPr>
          <w:rFonts w:cs="宋体"/>
          <w:color w:val="auto"/>
          <w:highlight w:val="none"/>
        </w:rPr>
      </w:pPr>
      <w:r>
        <w:rPr>
          <w:rFonts w:hint="eastAsia"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600" w:lineRule="exact"/>
        <w:rPr>
          <w:rFonts w:cs="宋体"/>
          <w:color w:val="auto"/>
          <w:highlight w:val="none"/>
        </w:rPr>
      </w:pPr>
      <w:r>
        <w:rPr>
          <w:rFonts w:hint="eastAsia"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600" w:lineRule="exact"/>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6"/>
        <w:snapToGrid w:val="0"/>
        <w:spacing w:line="600" w:lineRule="exact"/>
        <w:rPr>
          <w:rFonts w:cs="宋体"/>
          <w:color w:val="auto"/>
          <w:highlight w:val="none"/>
        </w:rPr>
      </w:pPr>
      <w:r>
        <w:rPr>
          <w:rFonts w:hint="eastAsia" w:cs="宋体"/>
          <w:color w:val="auto"/>
          <w:highlight w:val="none"/>
        </w:rPr>
        <w:t>7.5政府采购当事人有其他违反政府采购法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的行为，经改正后仍然影响或者可能影响中标、成交结果或者依法被认定为中标、成交无效的，依照7.1-7.4规定处理。</w:t>
      </w:r>
    </w:p>
    <w:p>
      <w:pPr>
        <w:pStyle w:val="26"/>
        <w:snapToGrid w:val="0"/>
        <w:spacing w:line="360" w:lineRule="auto"/>
        <w:ind w:firstLine="0" w:firstLineChars="0"/>
        <w:jc w:val="center"/>
        <w:rPr>
          <w:rFonts w:cs="宋体"/>
          <w:color w:val="auto"/>
          <w:highlight w:val="none"/>
        </w:rPr>
      </w:pPr>
    </w:p>
    <w:bookmarkEnd w:id="20"/>
    <w:p>
      <w:pPr>
        <w:spacing w:line="360" w:lineRule="auto"/>
        <w:ind w:left="720" w:leftChars="343" w:firstLine="1084" w:firstLineChars="300"/>
        <w:outlineLvl w:val="0"/>
        <w:rPr>
          <w:rFonts w:hint="eastAsia" w:ascii="宋体" w:hAnsi="宋体" w:eastAsia="宋体" w:cs="宋体"/>
          <w:b/>
          <w:color w:val="auto"/>
          <w:sz w:val="36"/>
          <w:szCs w:val="36"/>
          <w:highlight w:val="none"/>
        </w:rPr>
        <w:sectPr>
          <w:pgSz w:w="11905" w:h="16838"/>
          <w:pgMar w:top="1531" w:right="1304" w:bottom="1531" w:left="1361" w:header="851" w:footer="992" w:gutter="0"/>
          <w:cols w:space="720" w:num="1"/>
          <w:titlePg/>
          <w:rtlGutter w:val="0"/>
          <w:docGrid w:linePitch="1" w:charSpace="0"/>
        </w:sectPr>
      </w:pPr>
      <w:bookmarkStart w:id="388" w:name="第五部分"/>
      <w:bookmarkStart w:id="389" w:name="_Toc86217003"/>
    </w:p>
    <w:p>
      <w:pPr>
        <w:pStyle w:val="59"/>
        <w:rPr>
          <w:rFonts w:hint="eastAsia" w:ascii="宋体" w:hAnsi="宋体" w:eastAsia="宋体" w:cs="宋体"/>
          <w:color w:val="auto"/>
          <w:sz w:val="28"/>
          <w:highlight w:val="none"/>
        </w:rPr>
      </w:pPr>
      <w:r>
        <w:rPr>
          <w:rFonts w:hint="eastAsia" w:ascii="宋体" w:hAnsi="宋体" w:eastAsia="宋体" w:cs="宋体"/>
          <w:color w:val="auto"/>
          <w:sz w:val="28"/>
          <w:highlight w:val="none"/>
        </w:rPr>
        <w:t>第四部分  合同样本</w:t>
      </w:r>
    </w:p>
    <w:p>
      <w:pPr>
        <w:pStyle w:val="34"/>
        <w:snapToGrid w:val="0"/>
        <w:spacing w:line="600" w:lineRule="exact"/>
        <w:jc w:val="right"/>
        <w:rPr>
          <w:rFonts w:hAnsi="宋体" w:cs="宋体"/>
          <w:b/>
          <w:color w:val="000000"/>
          <w:sz w:val="28"/>
          <w:szCs w:val="28"/>
        </w:rPr>
      </w:pPr>
      <w:r>
        <w:rPr>
          <w:rFonts w:hint="eastAsia" w:hAnsi="宋体" w:cs="宋体"/>
          <w:color w:val="000000"/>
          <w:sz w:val="24"/>
          <w:szCs w:val="24"/>
        </w:rPr>
        <w:t xml:space="preserve">合同编号：            </w:t>
      </w:r>
    </w:p>
    <w:p>
      <w:pPr>
        <w:pStyle w:val="34"/>
        <w:snapToGrid w:val="0"/>
        <w:spacing w:line="600" w:lineRule="exact"/>
        <w:ind w:firstLine="480" w:firstLineChars="200"/>
        <w:rPr>
          <w:rFonts w:hint="eastAsia" w:hAnsi="宋体" w:eastAsia="宋体"/>
          <w:color w:val="000000"/>
          <w:sz w:val="24"/>
          <w:lang w:eastAsia="zh-CN"/>
        </w:rPr>
      </w:pPr>
      <w:r>
        <w:rPr>
          <w:rFonts w:hAnsi="宋体"/>
          <w:color w:val="000000"/>
          <w:sz w:val="24"/>
        </w:rPr>
        <w:t>项目名称：</w:t>
      </w:r>
      <w:r>
        <w:rPr>
          <w:rFonts w:hint="eastAsia" w:hAnsi="宋体"/>
          <w:color w:val="000000"/>
          <w:sz w:val="24"/>
          <w:lang w:eastAsia="zh-CN"/>
        </w:rPr>
        <w:t>“临平记忆”展陈设计及施工项目</w:t>
      </w:r>
    </w:p>
    <w:p>
      <w:pPr>
        <w:pStyle w:val="34"/>
        <w:snapToGrid w:val="0"/>
        <w:spacing w:line="600" w:lineRule="exact"/>
        <w:ind w:firstLine="480" w:firstLineChars="200"/>
        <w:rPr>
          <w:rFonts w:hAnsi="宋体"/>
          <w:color w:val="000000"/>
          <w:sz w:val="24"/>
          <w:szCs w:val="24"/>
        </w:rPr>
      </w:pPr>
      <w:r>
        <w:rPr>
          <w:rFonts w:hAnsi="宋体"/>
          <w:color w:val="000000"/>
          <w:sz w:val="24"/>
          <w:szCs w:val="24"/>
        </w:rPr>
        <w:t>招标编号：</w:t>
      </w:r>
    </w:p>
    <w:p>
      <w:pPr>
        <w:pStyle w:val="34"/>
        <w:snapToGrid w:val="0"/>
        <w:spacing w:line="600" w:lineRule="exact"/>
        <w:ind w:firstLine="480" w:firstLineChars="200"/>
        <w:rPr>
          <w:rFonts w:hAnsi="宋体"/>
          <w:color w:val="000000"/>
          <w:sz w:val="24"/>
          <w:szCs w:val="24"/>
        </w:rPr>
      </w:pPr>
      <w:r>
        <w:rPr>
          <w:rFonts w:hAnsi="宋体"/>
          <w:color w:val="000000"/>
          <w:sz w:val="24"/>
          <w:szCs w:val="24"/>
        </w:rPr>
        <w:t>甲方：</w:t>
      </w:r>
      <w:r>
        <w:rPr>
          <w:rFonts w:hint="eastAsia" w:hAnsi="宋体"/>
          <w:color w:val="000000"/>
          <w:sz w:val="24"/>
          <w:szCs w:val="24"/>
        </w:rPr>
        <w:t>杭州市临平博物馆</w:t>
      </w:r>
    </w:p>
    <w:p>
      <w:pPr>
        <w:snapToGrid w:val="0"/>
        <w:spacing w:line="600" w:lineRule="exact"/>
        <w:ind w:firstLine="480" w:firstLineChars="200"/>
        <w:jc w:val="left"/>
        <w:rPr>
          <w:rFonts w:ascii="宋体" w:hAnsi="宋体"/>
          <w:color w:val="000000"/>
          <w:sz w:val="24"/>
        </w:rPr>
      </w:pPr>
      <w:r>
        <w:rPr>
          <w:rFonts w:ascii="宋体" w:hAnsi="宋体"/>
          <w:color w:val="000000"/>
          <w:sz w:val="24"/>
        </w:rPr>
        <w:t>乙方：</w:t>
      </w:r>
    </w:p>
    <w:p>
      <w:pPr>
        <w:pStyle w:val="969"/>
        <w:snapToGrid w:val="0"/>
        <w:spacing w:line="600" w:lineRule="exact"/>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甲、乙双方根据</w:t>
      </w:r>
      <w:r>
        <w:rPr>
          <w:rFonts w:hint="eastAsia" w:ascii="宋体" w:hAnsi="宋体" w:eastAsia="宋体"/>
          <w:color w:val="000000"/>
          <w:sz w:val="24"/>
          <w:u w:val="single"/>
          <w:lang w:eastAsia="zh-CN"/>
        </w:rPr>
        <w:t>“临平记忆”展陈设计及施工项目</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969"/>
        <w:snapToGrid w:val="0"/>
        <w:spacing w:line="600" w:lineRule="exact"/>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snapToGrid w:val="0"/>
        <w:spacing w:line="600" w:lineRule="exact"/>
        <w:ind w:firstLine="480" w:firstLineChars="200"/>
        <w:rPr>
          <w:rFonts w:ascii="宋体" w:hAnsi="宋体"/>
          <w:sz w:val="24"/>
          <w:highlight w:val="none"/>
        </w:rPr>
      </w:pPr>
      <w:r>
        <w:rPr>
          <w:rFonts w:hint="eastAsia" w:ascii="宋体" w:hAnsi="宋体"/>
          <w:sz w:val="24"/>
          <w:lang w:eastAsia="zh-CN"/>
        </w:rPr>
        <w:t>“临平记忆”展陈设计及施工项目</w:t>
      </w:r>
      <w:r>
        <w:rPr>
          <w:rFonts w:hint="eastAsia" w:ascii="宋体" w:hAnsi="宋体"/>
          <w:sz w:val="24"/>
          <w:highlight w:val="none"/>
        </w:rPr>
        <w:t>，具体内容和相关要求详见招标文件“</w:t>
      </w:r>
      <w:r>
        <w:rPr>
          <w:rFonts w:hint="eastAsia" w:ascii="宋体" w:hAnsi="宋体" w:cs="宋体"/>
          <w:kern w:val="0"/>
          <w:sz w:val="24"/>
          <w:highlight w:val="none"/>
        </w:rPr>
        <w:t>第三部分——项目技术规范和服务要求”</w:t>
      </w:r>
    </w:p>
    <w:p>
      <w:pPr>
        <w:adjustRightInd/>
        <w:spacing w:line="600" w:lineRule="exact"/>
        <w:ind w:firstLine="482" w:firstLineChars="200"/>
        <w:rPr>
          <w:rFonts w:ascii="宋体" w:hAnsi="宋体" w:cs="宋体"/>
          <w:b/>
          <w:color w:val="000000"/>
          <w:sz w:val="24"/>
          <w:highlight w:val="none"/>
          <w:lang w:bidi="ar"/>
        </w:rPr>
      </w:pPr>
      <w:r>
        <w:rPr>
          <w:rFonts w:hint="eastAsia" w:ascii="宋体" w:hAnsi="宋体" w:cs="宋体"/>
          <w:b/>
          <w:sz w:val="24"/>
          <w:highlight w:val="none"/>
        </w:rPr>
        <w:t>二、设计内容及具体要求：</w:t>
      </w:r>
    </w:p>
    <w:p>
      <w:pPr>
        <w:pStyle w:val="2"/>
        <w:autoSpaceDE/>
        <w:autoSpaceDN/>
        <w:adjustRightInd/>
        <w:spacing w:line="600" w:lineRule="exact"/>
        <w:ind w:firstLine="480" w:firstLineChars="200"/>
        <w:rPr>
          <w:rFonts w:hAnsi="宋体" w:cs="宋体"/>
          <w:szCs w:val="24"/>
          <w:highlight w:val="none"/>
          <w:lang w:val="en-US"/>
        </w:rPr>
      </w:pPr>
      <w:r>
        <w:rPr>
          <w:rFonts w:hint="eastAsia" w:hAnsi="宋体" w:cs="宋体"/>
          <w:szCs w:val="24"/>
          <w:highlight w:val="none"/>
          <w:lang w:val="en-US"/>
        </w:rPr>
        <w:t>1、项目地点：中国江南水乡文化博物馆（临平博物馆）老馆临展厅</w:t>
      </w:r>
    </w:p>
    <w:p>
      <w:pPr>
        <w:snapToGrid w:val="0"/>
        <w:spacing w:line="600" w:lineRule="exact"/>
        <w:ind w:firstLine="480" w:firstLineChars="200"/>
        <w:rPr>
          <w:rFonts w:ascii="宋体" w:hAnsi="宋体"/>
          <w:sz w:val="24"/>
        </w:rPr>
      </w:pPr>
      <w:r>
        <w:rPr>
          <w:rFonts w:hint="eastAsia" w:ascii="宋体" w:hAnsi="宋体" w:cs="宋体"/>
          <w:sz w:val="24"/>
        </w:rPr>
        <w:t>2、</w:t>
      </w:r>
      <w:r>
        <w:rPr>
          <w:rFonts w:hint="eastAsia" w:ascii="宋体" w:hAnsi="宋体"/>
          <w:sz w:val="24"/>
        </w:rPr>
        <w:t>展览面积：</w:t>
      </w:r>
      <w:r>
        <w:rPr>
          <w:rFonts w:hint="eastAsia" w:ascii="宋体" w:hAnsi="宋体"/>
          <w:sz w:val="24"/>
          <w:lang w:val="en-US" w:eastAsia="zh-CN"/>
        </w:rPr>
        <w:t>50</w:t>
      </w:r>
      <w:r>
        <w:rPr>
          <w:rFonts w:hint="eastAsia" w:ascii="宋体" w:hAnsi="宋体"/>
          <w:sz w:val="24"/>
        </w:rPr>
        <w:t>0平方米。</w:t>
      </w:r>
    </w:p>
    <w:p>
      <w:pPr>
        <w:snapToGrid w:val="0"/>
        <w:spacing w:line="600" w:lineRule="exact"/>
        <w:ind w:firstLine="480" w:firstLineChars="200"/>
        <w:rPr>
          <w:rFonts w:ascii="宋体" w:hAnsi="宋体"/>
          <w:sz w:val="24"/>
        </w:rPr>
      </w:pPr>
      <w:r>
        <w:rPr>
          <w:rFonts w:hint="eastAsia" w:ascii="宋体" w:hAnsi="宋体" w:cs="宋体"/>
          <w:sz w:val="24"/>
        </w:rPr>
        <w:t>3、</w:t>
      </w:r>
      <w:r>
        <w:rPr>
          <w:rFonts w:hint="eastAsia" w:ascii="宋体" w:hAnsi="宋体"/>
          <w:sz w:val="24"/>
        </w:rPr>
        <w:t>展览时间：</w:t>
      </w:r>
      <w:r>
        <w:rPr>
          <w:rFonts w:hint="eastAsia" w:ascii="宋体" w:hAnsi="宋体"/>
          <w:sz w:val="24"/>
          <w:lang w:val="en-US" w:eastAsia="zh-CN"/>
        </w:rPr>
        <w:t>4</w:t>
      </w:r>
      <w:r>
        <w:rPr>
          <w:rFonts w:hint="eastAsia" w:ascii="宋体" w:hAnsi="宋体"/>
          <w:sz w:val="24"/>
        </w:rPr>
        <w:t>个月，具体时间暂定</w:t>
      </w:r>
      <w:r>
        <w:rPr>
          <w:rFonts w:hint="eastAsia" w:ascii="宋体" w:hAnsi="宋体" w:cs="宋体"/>
          <w:sz w:val="24"/>
          <w:lang w:bidi="ar"/>
        </w:rPr>
        <w:t>2022年</w:t>
      </w:r>
      <w:r>
        <w:rPr>
          <w:rFonts w:hint="eastAsia" w:ascii="宋体" w:hAnsi="宋体" w:cs="宋体"/>
          <w:sz w:val="24"/>
          <w:lang w:val="en-US" w:eastAsia="zh-CN" w:bidi="ar"/>
        </w:rPr>
        <w:t>10</w:t>
      </w:r>
      <w:r>
        <w:rPr>
          <w:rFonts w:hint="eastAsia" w:ascii="宋体" w:hAnsi="宋体" w:cs="宋体"/>
          <w:sz w:val="24"/>
          <w:lang w:bidi="ar"/>
        </w:rPr>
        <w:t>月</w:t>
      </w:r>
      <w:r>
        <w:rPr>
          <w:rFonts w:hint="eastAsia" w:ascii="宋体" w:hAnsi="宋体" w:cs="宋体"/>
          <w:sz w:val="24"/>
          <w:lang w:val="en-US" w:eastAsia="zh-CN" w:bidi="ar"/>
        </w:rPr>
        <w:t>1</w:t>
      </w:r>
      <w:r>
        <w:rPr>
          <w:rFonts w:hint="eastAsia" w:ascii="宋体" w:hAnsi="宋体" w:cs="宋体"/>
          <w:sz w:val="24"/>
          <w:lang w:bidi="ar"/>
        </w:rPr>
        <w:t>日—202</w:t>
      </w:r>
      <w:r>
        <w:rPr>
          <w:rFonts w:hint="eastAsia" w:ascii="宋体" w:hAnsi="宋体" w:cs="宋体"/>
          <w:sz w:val="24"/>
          <w:lang w:val="en-US" w:eastAsia="zh-CN" w:bidi="ar"/>
        </w:rPr>
        <w:t>3</w:t>
      </w:r>
      <w:r>
        <w:rPr>
          <w:rFonts w:hint="eastAsia" w:ascii="宋体" w:hAnsi="宋体" w:cs="宋体"/>
          <w:sz w:val="24"/>
          <w:lang w:bidi="ar"/>
        </w:rPr>
        <w:t>年</w:t>
      </w:r>
      <w:r>
        <w:rPr>
          <w:rFonts w:hint="eastAsia" w:ascii="宋体" w:hAnsi="宋体" w:cs="宋体"/>
          <w:sz w:val="24"/>
          <w:lang w:val="en-US" w:eastAsia="zh-CN" w:bidi="ar"/>
        </w:rPr>
        <w:t>2</w:t>
      </w:r>
      <w:r>
        <w:rPr>
          <w:rFonts w:hint="eastAsia" w:ascii="宋体" w:hAnsi="宋体" w:cs="宋体"/>
          <w:sz w:val="24"/>
          <w:lang w:bidi="ar"/>
        </w:rPr>
        <w:t>月</w:t>
      </w:r>
      <w:r>
        <w:rPr>
          <w:rFonts w:hint="eastAsia" w:ascii="宋体" w:hAnsi="宋体" w:cs="宋体"/>
          <w:sz w:val="24"/>
          <w:lang w:val="en-US" w:eastAsia="zh-CN" w:bidi="ar"/>
        </w:rPr>
        <w:t>1</w:t>
      </w:r>
      <w:r>
        <w:rPr>
          <w:rFonts w:hint="eastAsia" w:ascii="宋体" w:hAnsi="宋体" w:cs="宋体"/>
          <w:sz w:val="24"/>
          <w:lang w:bidi="ar"/>
        </w:rPr>
        <w:t>日</w:t>
      </w:r>
      <w:r>
        <w:rPr>
          <w:rFonts w:hint="eastAsia" w:ascii="宋体" w:hAnsi="宋体"/>
          <w:sz w:val="24"/>
        </w:rPr>
        <w:t>。具体根据采购人要求。</w:t>
      </w:r>
    </w:p>
    <w:p>
      <w:pPr>
        <w:snapToGrid w:val="0"/>
        <w:spacing w:line="600" w:lineRule="exact"/>
        <w:ind w:firstLine="480" w:firstLineChars="200"/>
        <w:rPr>
          <w:rFonts w:ascii="宋体" w:hAnsi="宋体"/>
          <w:sz w:val="24"/>
        </w:rPr>
      </w:pPr>
      <w:r>
        <w:rPr>
          <w:rFonts w:hint="eastAsia" w:ascii="宋体" w:hAnsi="宋体"/>
          <w:sz w:val="24"/>
        </w:rPr>
        <w:t>4、展陈内容：详见附件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ascii="宋体" w:hAnsi="宋体" w:eastAsia="宋体" w:cs="宋体"/>
          <w:color w:val="000000"/>
          <w:kern w:val="0"/>
          <w:sz w:val="24"/>
          <w:szCs w:val="24"/>
          <w:lang w:val="en-US" w:eastAsia="zh-CN" w:bidi="ar-SA"/>
        </w:rPr>
      </w:pPr>
      <w:r>
        <w:rPr>
          <w:rFonts w:hint="eastAsia" w:ascii="宋体" w:hAnsi="宋体"/>
          <w:sz w:val="24"/>
        </w:rPr>
        <w:t>5</w:t>
      </w:r>
      <w:r>
        <w:rPr>
          <w:rFonts w:hint="eastAsia" w:ascii="宋体" w:hAnsi="宋体" w:eastAsia="宋体" w:cs="宋体"/>
          <w:color w:val="000000"/>
          <w:kern w:val="0"/>
          <w:sz w:val="24"/>
          <w:szCs w:val="24"/>
          <w:lang w:val="en-US" w:eastAsia="zh-CN" w:bidi="ar-SA"/>
        </w:rPr>
        <w:t>、具体设计和制作内容：</w:t>
      </w:r>
    </w:p>
    <w:p>
      <w:pPr>
        <w:keepNext w:val="0"/>
        <w:keepLines w:val="0"/>
        <w:pageBreakBefore w:val="0"/>
        <w:widowControl w:val="0"/>
        <w:kinsoku/>
        <w:wordWrap/>
        <w:overflowPunct/>
        <w:topLinePunct w:val="0"/>
        <w:autoSpaceDE/>
        <w:autoSpaceDN/>
        <w:bidi w:val="0"/>
        <w:adjustRightInd w:val="0"/>
        <w:snapToGrid w:val="0"/>
        <w:spacing w:line="600" w:lineRule="exact"/>
        <w:ind w:firstLine="480"/>
        <w:textAlignment w:val="auto"/>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展陈空间规划；立面设计；相关模型及模拟场景制作，如720全景VR制作；展台、展墙、展示托架制作；图版排版制作；室外宣传招贴，以及与展览相关的宣传物料等（相关展示用照片使用权归官方所有）；展览布展、撤展（含展厅隔墙等的搭建、拆除、清运、卫生等，具体以用户要求为准）。</w:t>
      </w:r>
    </w:p>
    <w:p>
      <w:pPr>
        <w:pStyle w:val="6"/>
        <w:tabs>
          <w:tab w:val="left" w:pos="706"/>
          <w:tab w:val="left" w:pos="1110"/>
          <w:tab w:val="clear" w:pos="432"/>
        </w:tabs>
        <w:spacing w:before="120" w:after="120" w:line="600" w:lineRule="exact"/>
        <w:ind w:left="0" w:firstLine="482"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三、布展要求</w:t>
      </w:r>
    </w:p>
    <w:p>
      <w:pPr>
        <w:snapToGrid w:val="0"/>
        <w:spacing w:line="600" w:lineRule="exact"/>
        <w:ind w:firstLine="480" w:firstLineChars="200"/>
        <w:rPr>
          <w:rFonts w:hint="eastAsia" w:ascii="宋体" w:hAnsi="宋体" w:cs="宋体"/>
          <w:sz w:val="24"/>
          <w:highlight w:val="none"/>
        </w:rPr>
      </w:pPr>
      <w:r>
        <w:rPr>
          <w:rFonts w:hint="eastAsia" w:ascii="宋体" w:hAnsi="宋体" w:cs="宋体"/>
          <w:sz w:val="24"/>
          <w:highlight w:val="none"/>
        </w:rPr>
        <w:t>1、本次招标范围内的布展材料均由中标人根据本招标文件、施工设计图纸和国家有关规定的具体要求进行采购、运输、检验、保管。</w:t>
      </w:r>
    </w:p>
    <w:p>
      <w:pPr>
        <w:snapToGrid w:val="0"/>
        <w:spacing w:line="600" w:lineRule="exact"/>
        <w:ind w:firstLine="480" w:firstLineChars="200"/>
        <w:rPr>
          <w:rFonts w:ascii="宋体" w:hAnsi="宋体" w:cs="宋体"/>
          <w:sz w:val="24"/>
          <w:highlight w:val="none"/>
        </w:rPr>
      </w:pPr>
      <w:r>
        <w:rPr>
          <w:rFonts w:hint="eastAsia" w:ascii="宋体" w:hAnsi="宋体" w:cs="宋体"/>
          <w:sz w:val="24"/>
          <w:highlight w:val="none"/>
        </w:rPr>
        <w:t>2、由中标人采购的主要布展材料，当中标人选定产品质量达不到设计要求（或效果要求）和预期质量目标时，招标人保留更换的权利，费用不增加。</w:t>
      </w:r>
    </w:p>
    <w:p>
      <w:pPr>
        <w:snapToGrid w:val="0"/>
        <w:spacing w:line="600" w:lineRule="exact"/>
        <w:ind w:firstLine="480" w:firstLineChars="200"/>
        <w:rPr>
          <w:rFonts w:ascii="宋体" w:hAnsi="宋体" w:cs="宋体"/>
          <w:b/>
          <w:bCs/>
          <w:kern w:val="0"/>
          <w:sz w:val="24"/>
          <w:highlight w:val="none"/>
        </w:rPr>
      </w:pPr>
      <w:r>
        <w:rPr>
          <w:rFonts w:hint="eastAsia" w:ascii="宋体" w:hAnsi="宋体" w:cs="宋体"/>
          <w:sz w:val="24"/>
          <w:highlight w:val="none"/>
        </w:rPr>
        <w:t>3、招标人提供的展品标本一旦移交至中标人，中标人需承担起相关的保管责任，并按招标人的要求分门别类的进行保管。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4"/>
          <w:highlight w:val="none"/>
        </w:rPr>
      </w:pPr>
      <w:r>
        <w:rPr>
          <w:rFonts w:hint="eastAsia" w:hAnsi="宋体" w:cs="宋体"/>
          <w:b/>
          <w:bCs/>
          <w:highlight w:val="none"/>
          <w:lang w:val="en-US"/>
        </w:rPr>
        <w:t>四、</w:t>
      </w:r>
      <w:r>
        <w:rPr>
          <w:rFonts w:hint="eastAsia" w:hAnsi="宋体" w:cs="宋体"/>
          <w:b/>
          <w:bCs/>
          <w:color w:val="auto"/>
          <w:sz w:val="24"/>
          <w:highlight w:val="none"/>
          <w:lang w:eastAsia="zh-CN"/>
        </w:rPr>
        <w:t>服务</w:t>
      </w:r>
      <w:r>
        <w:rPr>
          <w:rFonts w:hint="eastAsia" w:ascii="宋体" w:hAnsi="宋体" w:eastAsia="宋体" w:cs="宋体"/>
          <w:b/>
          <w:bCs/>
          <w:color w:val="auto"/>
          <w:sz w:val="24"/>
          <w:highlight w:val="none"/>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00" w:leftChars="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1）设计施工时间：</w:t>
      </w:r>
      <w:r>
        <w:rPr>
          <w:rFonts w:hint="eastAsia" w:ascii="宋体" w:hAnsi="宋体" w:eastAsia="宋体" w:cs="宋体"/>
          <w:b w:val="0"/>
          <w:bCs w:val="0"/>
          <w:sz w:val="24"/>
          <w:szCs w:val="24"/>
          <w:highlight w:val="none"/>
          <w:lang w:val="en-US" w:eastAsia="zh-CN"/>
        </w:rPr>
        <w:t>自合同签订之日起</w:t>
      </w:r>
      <w:r>
        <w:rPr>
          <w:rFonts w:hint="eastAsia" w:ascii="宋体" w:hAnsi="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天内；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00" w:leftChars="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本项目展览时间：</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个月，具体时间暂定2022年</w:t>
      </w:r>
      <w:r>
        <w:rPr>
          <w:rFonts w:hint="eastAsia" w:ascii="宋体" w:hAnsi="宋体" w:cs="宋体"/>
          <w:b w:val="0"/>
          <w:bCs w:val="0"/>
          <w:sz w:val="24"/>
          <w:szCs w:val="24"/>
          <w:highlight w:val="none"/>
          <w:lang w:val="en-US" w:eastAsia="zh-CN"/>
        </w:rPr>
        <w:t>10</w:t>
      </w:r>
      <w:r>
        <w:rPr>
          <w:rFonts w:hint="eastAsia" w:ascii="宋体" w:hAnsi="宋体" w:eastAsia="宋体" w:cs="宋体"/>
          <w:b w:val="0"/>
          <w:bCs w:val="0"/>
          <w:sz w:val="24"/>
          <w:szCs w:val="24"/>
          <w:highlight w:val="none"/>
          <w:lang w:eastAsia="zh-CN"/>
        </w:rPr>
        <w:t>月</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日—202</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年</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月</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日。具体根据采购人要求，具体根据采购人安排；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00" w:lef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项目完成时间：</w:t>
      </w:r>
      <w:r>
        <w:rPr>
          <w:rFonts w:hint="eastAsia" w:ascii="宋体" w:hAnsi="宋体" w:eastAsia="宋体" w:cs="宋体"/>
          <w:b w:val="0"/>
          <w:bCs w:val="0"/>
          <w:sz w:val="24"/>
          <w:szCs w:val="24"/>
          <w:highlight w:val="none"/>
          <w:lang w:val="en-US" w:eastAsia="zh-CN"/>
        </w:rPr>
        <w:t>展览开展前</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lang w:eastAsia="zh-CN"/>
        </w:rPr>
      </w:pPr>
      <w:r>
        <w:rPr>
          <w:rFonts w:hint="eastAsia" w:ascii="宋体" w:hAnsi="宋体" w:cs="宋体"/>
          <w:b/>
          <w:sz w:val="24"/>
          <w:szCs w:val="24"/>
          <w:highlight w:val="none"/>
          <w:lang w:eastAsia="zh-CN"/>
        </w:rPr>
        <w:t>五</w:t>
      </w:r>
      <w:r>
        <w:rPr>
          <w:rFonts w:hint="eastAsia" w:ascii="宋体" w:hAnsi="宋体" w:eastAsia="宋体" w:cs="宋体"/>
          <w:b/>
          <w:bCs/>
          <w:sz w:val="24"/>
          <w:szCs w:val="24"/>
          <w:highlight w:val="none"/>
          <w:lang w:eastAsia="zh-CN"/>
        </w:rPr>
        <w:t>、费用支付：</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合同签订生效以及具备实施条件后10个工作日内，采购人向中标方支付合同金额</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％的预付款</w:t>
      </w:r>
      <w:r>
        <w:rPr>
          <w:rFonts w:hint="eastAsia" w:ascii="宋体" w:hAnsi="宋体" w:cs="宋体"/>
          <w:color w:val="auto"/>
          <w:sz w:val="24"/>
          <w:highlight w:val="none"/>
          <w:lang w:eastAsia="zh-CN"/>
        </w:rPr>
        <w:t>（预付款为财政请款，到位后支付）</w:t>
      </w:r>
      <w:r>
        <w:rPr>
          <w:rFonts w:hint="eastAsia" w:ascii="宋体" w:hAnsi="宋体" w:cs="宋体"/>
          <w:color w:val="auto"/>
          <w:sz w:val="24"/>
          <w:highlight w:val="none"/>
        </w:rPr>
        <w:t>。</w:t>
      </w:r>
    </w:p>
    <w:p>
      <w:pPr>
        <w:spacing w:line="600" w:lineRule="exact"/>
        <w:ind w:firstLine="480" w:firstLineChars="200"/>
        <w:rPr>
          <w:rFonts w:hint="eastAsia" w:ascii="宋体" w:hAnsi="宋体" w:cs="宋体"/>
          <w:color w:val="auto"/>
          <w:sz w:val="24"/>
          <w:highlight w:val="magenta"/>
          <w:lang w:val="en-US" w:eastAsia="zh-CN"/>
        </w:rPr>
      </w:pPr>
      <w:r>
        <w:rPr>
          <w:rFonts w:hint="eastAsia" w:ascii="宋体" w:hAnsi="宋体" w:cs="宋体"/>
          <w:color w:val="auto"/>
          <w:sz w:val="24"/>
          <w:highlight w:val="none"/>
        </w:rPr>
        <w:t>在供应商根据合同规定将项目</w:t>
      </w:r>
      <w:r>
        <w:rPr>
          <w:rFonts w:hint="eastAsia" w:ascii="宋体" w:hAnsi="宋体" w:cs="宋体"/>
          <w:color w:val="auto"/>
          <w:sz w:val="24"/>
          <w:highlight w:val="none"/>
          <w:lang w:val="en-US" w:eastAsia="zh-CN"/>
        </w:rPr>
        <w:t>完工后，</w:t>
      </w:r>
      <w:r>
        <w:rPr>
          <w:rFonts w:hint="eastAsia" w:ascii="宋体" w:hAnsi="宋体" w:cs="宋体"/>
          <w:color w:val="auto"/>
          <w:sz w:val="24"/>
          <w:highlight w:val="none"/>
        </w:rPr>
        <w:t>采购人向中标方支付合同金额</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验收通过后待</w:t>
      </w:r>
      <w:r>
        <w:rPr>
          <w:rFonts w:hint="eastAsia" w:ascii="宋体" w:hAnsi="宋体" w:cs="宋体"/>
          <w:color w:val="auto"/>
          <w:sz w:val="24"/>
          <w:highlight w:val="none"/>
          <w:lang w:eastAsia="zh-CN"/>
        </w:rPr>
        <w:t>采购人确认无误</w:t>
      </w:r>
      <w:r>
        <w:rPr>
          <w:rFonts w:hint="eastAsia" w:ascii="宋体" w:hAnsi="宋体" w:cs="宋体"/>
          <w:color w:val="auto"/>
          <w:sz w:val="24"/>
          <w:highlight w:val="none"/>
        </w:rPr>
        <w:t>，供应商提供发票，采购人凭发票、确认单以及合同上报区财政，区财政审批下拨款到位后，立即支付</w:t>
      </w:r>
      <w:r>
        <w:rPr>
          <w:rFonts w:hint="eastAsia" w:ascii="宋体" w:hAnsi="宋体" w:cs="宋体"/>
          <w:color w:val="auto"/>
          <w:sz w:val="24"/>
          <w:highlight w:val="none"/>
          <w:lang w:eastAsia="zh-CN"/>
        </w:rPr>
        <w:t>至</w:t>
      </w:r>
      <w:r>
        <w:rPr>
          <w:rFonts w:hint="eastAsia" w:ascii="宋体" w:hAnsi="宋体" w:cs="宋体"/>
          <w:color w:val="auto"/>
          <w:sz w:val="24"/>
          <w:highlight w:val="none"/>
        </w:rPr>
        <w:t>货款</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100%。</w:t>
      </w:r>
    </w:p>
    <w:p>
      <w:pPr>
        <w:pStyle w:val="969"/>
        <w:snapToGrid w:val="0"/>
        <w:spacing w:line="600" w:lineRule="exact"/>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六、知识产权</w:t>
      </w:r>
    </w:p>
    <w:p>
      <w:pPr>
        <w:pStyle w:val="969"/>
        <w:snapToGrid w:val="0"/>
        <w:spacing w:line="600" w:lineRule="exact"/>
        <w:ind w:firstLine="480" w:firstLineChars="200"/>
        <w:rPr>
          <w:rFonts w:ascii="宋体" w:hAnsi="宋体" w:eastAsia="宋体"/>
          <w:color w:val="000000"/>
          <w:sz w:val="24"/>
          <w:szCs w:val="24"/>
          <w:highlight w:val="none"/>
          <w:lang w:eastAsia="zh-CN"/>
        </w:rPr>
      </w:pPr>
      <w:r>
        <w:rPr>
          <w:rFonts w:hint="eastAsia" w:ascii="宋体" w:hAnsi="宋体" w:eastAsia="宋体"/>
          <w:color w:val="000000"/>
          <w:sz w:val="24"/>
          <w:szCs w:val="24"/>
          <w:highlight w:val="none"/>
          <w:lang w:eastAsia="zh-CN"/>
        </w:rPr>
        <w:t>乙方应保证提供服务过程中不会侵犯任何第三方的知识产权。</w:t>
      </w:r>
    </w:p>
    <w:p>
      <w:pPr>
        <w:pStyle w:val="969"/>
        <w:snapToGrid w:val="0"/>
        <w:spacing w:line="600" w:lineRule="exact"/>
        <w:rPr>
          <w:rFonts w:ascii="宋体" w:hAnsi="宋体" w:eastAsia="宋体"/>
          <w:b/>
          <w:color w:val="000000"/>
          <w:sz w:val="24"/>
          <w:szCs w:val="24"/>
          <w:highlight w:val="none"/>
          <w:lang w:eastAsia="zh-CN"/>
        </w:rPr>
      </w:pPr>
      <w:r>
        <w:rPr>
          <w:rFonts w:hint="eastAsia" w:ascii="宋体" w:hAnsi="宋体" w:eastAsia="宋体"/>
          <w:b/>
          <w:color w:val="000000"/>
          <w:sz w:val="24"/>
          <w:szCs w:val="24"/>
          <w:highlight w:val="none"/>
          <w:lang w:eastAsia="zh-CN"/>
        </w:rPr>
        <w:t>七、转包或分包</w:t>
      </w:r>
    </w:p>
    <w:p>
      <w:pPr>
        <w:pStyle w:val="969"/>
        <w:snapToGrid w:val="0"/>
        <w:spacing w:line="600" w:lineRule="exact"/>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969"/>
        <w:snapToGrid w:val="0"/>
        <w:spacing w:line="600" w:lineRule="exact"/>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adjustRightInd/>
        <w:spacing w:line="600" w:lineRule="exact"/>
        <w:ind w:firstLine="480" w:firstLineChars="200"/>
        <w:rPr>
          <w:rFonts w:ascii="宋体" w:hAnsi="宋体" w:cs="宋体"/>
          <w:sz w:val="24"/>
        </w:rPr>
      </w:pPr>
      <w:r>
        <w:rPr>
          <w:rFonts w:hint="eastAsia" w:ascii="宋体" w:hAnsi="宋体" w:cs="宋体"/>
          <w:color w:val="000000"/>
          <w:sz w:val="24"/>
        </w:rPr>
        <w:t>3、如有转让和未经甲方同意的分包行为，甲方有权解除合同，没收履约保证金并追</w:t>
      </w:r>
      <w:r>
        <w:rPr>
          <w:rFonts w:hint="eastAsia" w:ascii="宋体" w:hAnsi="宋体" w:cs="宋体"/>
          <w:sz w:val="24"/>
        </w:rPr>
        <w:t>究乙方的违约责任。</w:t>
      </w:r>
    </w:p>
    <w:p>
      <w:pPr>
        <w:autoSpaceDE w:val="0"/>
        <w:autoSpaceDN w:val="0"/>
        <w:snapToGrid w:val="0"/>
        <w:spacing w:line="600" w:lineRule="exact"/>
        <w:rPr>
          <w:rFonts w:ascii="宋体" w:hAnsi="宋体"/>
          <w:b/>
          <w:color w:val="000000"/>
          <w:sz w:val="24"/>
        </w:rPr>
      </w:pPr>
      <w:r>
        <w:rPr>
          <w:rFonts w:hint="eastAsia" w:ascii="宋体" w:hAnsi="宋体"/>
          <w:b/>
          <w:color w:val="000000"/>
          <w:sz w:val="24"/>
          <w:lang w:eastAsia="zh-CN"/>
        </w:rPr>
        <w:t>八</w:t>
      </w:r>
      <w:r>
        <w:rPr>
          <w:rFonts w:hint="eastAsia" w:ascii="宋体" w:hAnsi="宋体"/>
          <w:b/>
          <w:color w:val="000000"/>
          <w:sz w:val="24"/>
        </w:rPr>
        <w:t>、税费</w:t>
      </w:r>
    </w:p>
    <w:p>
      <w:pPr>
        <w:pStyle w:val="969"/>
        <w:snapToGrid w:val="0"/>
        <w:spacing w:line="600" w:lineRule="exact"/>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969"/>
        <w:snapToGrid w:val="0"/>
        <w:spacing w:line="600" w:lineRule="exact"/>
        <w:rPr>
          <w:rFonts w:ascii="宋体" w:hAnsi="宋体" w:eastAsia="宋体"/>
          <w:b/>
          <w:color w:val="000000"/>
          <w:sz w:val="24"/>
          <w:szCs w:val="24"/>
          <w:lang w:eastAsia="zh-CN"/>
        </w:rPr>
      </w:pPr>
      <w:r>
        <w:rPr>
          <w:rFonts w:hint="eastAsia" w:ascii="宋体" w:hAnsi="宋体" w:eastAsia="宋体"/>
          <w:b/>
          <w:color w:val="000000"/>
          <w:sz w:val="24"/>
          <w:szCs w:val="24"/>
          <w:lang w:eastAsia="zh-CN"/>
        </w:rPr>
        <w:t>九、违约责任</w:t>
      </w:r>
    </w:p>
    <w:p>
      <w:pPr>
        <w:pStyle w:val="969"/>
        <w:snapToGrid w:val="0"/>
        <w:spacing w:line="600" w:lineRule="exact"/>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969"/>
        <w:snapToGrid w:val="0"/>
        <w:spacing w:line="600" w:lineRule="exact"/>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969"/>
        <w:snapToGrid w:val="0"/>
        <w:spacing w:line="600" w:lineRule="exact"/>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969"/>
        <w:snapToGrid w:val="0"/>
        <w:spacing w:line="600" w:lineRule="exact"/>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十、不可抗力事件处理</w:t>
      </w:r>
    </w:p>
    <w:p>
      <w:pPr>
        <w:pStyle w:val="969"/>
        <w:snapToGrid w:val="0"/>
        <w:spacing w:line="600" w:lineRule="exact"/>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969"/>
        <w:snapToGrid w:val="0"/>
        <w:spacing w:line="600" w:lineRule="exact"/>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969"/>
        <w:snapToGrid w:val="0"/>
        <w:spacing w:line="600" w:lineRule="exact"/>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十一、诉讼</w:t>
      </w:r>
    </w:p>
    <w:p>
      <w:pPr>
        <w:pStyle w:val="969"/>
        <w:snapToGrid w:val="0"/>
        <w:spacing w:line="600" w:lineRule="exact"/>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969"/>
        <w:snapToGrid w:val="0"/>
        <w:spacing w:line="600" w:lineRule="exact"/>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十二、合同生效及其它</w:t>
      </w:r>
    </w:p>
    <w:p>
      <w:pPr>
        <w:pStyle w:val="969"/>
        <w:snapToGrid w:val="0"/>
        <w:spacing w:line="600" w:lineRule="exact"/>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、合同经双方法定代表人或授权代表签字并加盖单位公章后生效。</w:t>
      </w:r>
    </w:p>
    <w:p>
      <w:pPr>
        <w:pStyle w:val="969"/>
        <w:snapToGrid w:val="0"/>
        <w:spacing w:line="600" w:lineRule="exact"/>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3、招标文件、投标文件及评标过程中形成的文字资料、询标纪要均作为本合同的组成部分，具有同等效力。本合同未尽事宜，遵照《合同法》有关条文执行。</w:t>
      </w:r>
    </w:p>
    <w:p>
      <w:pPr>
        <w:pStyle w:val="34"/>
        <w:snapToGrid w:val="0"/>
        <w:spacing w:line="600" w:lineRule="exact"/>
        <w:ind w:firstLine="480" w:firstLineChars="200"/>
        <w:rPr>
          <w:rFonts w:hAnsi="宋体" w:cs="宋体"/>
          <w:color w:val="000000"/>
          <w:sz w:val="24"/>
          <w:szCs w:val="24"/>
        </w:rPr>
      </w:pPr>
      <w:r>
        <w:rPr>
          <w:rFonts w:hint="eastAsia" w:hAnsi="宋体" w:cs="宋体"/>
          <w:color w:val="000000"/>
          <w:sz w:val="24"/>
          <w:szCs w:val="24"/>
        </w:rPr>
        <w:t>4、本合同一式六份，甲方、乙方</w:t>
      </w:r>
      <w:r>
        <w:rPr>
          <w:rFonts w:hint="eastAsia" w:hAnsi="宋体" w:cs="宋体"/>
          <w:color w:val="000000"/>
          <w:sz w:val="24"/>
          <w:szCs w:val="24"/>
          <w:lang w:eastAsia="zh-CN"/>
        </w:rPr>
        <w:t>、</w:t>
      </w:r>
      <w:r>
        <w:rPr>
          <w:rFonts w:hint="eastAsia" w:hAnsi="宋体" w:cs="宋体"/>
          <w:color w:val="000000"/>
          <w:sz w:val="24"/>
          <w:szCs w:val="24"/>
        </w:rPr>
        <w:t xml:space="preserve"> 代理方各执</w:t>
      </w:r>
      <w:r>
        <w:rPr>
          <w:rFonts w:hint="eastAsia" w:hAnsi="宋体" w:cs="宋体"/>
          <w:color w:val="000000"/>
          <w:sz w:val="24"/>
          <w:szCs w:val="24"/>
          <w:lang w:val="en-US" w:eastAsia="zh-CN"/>
        </w:rPr>
        <w:t>二</w:t>
      </w:r>
      <w:r>
        <w:rPr>
          <w:rFonts w:hint="eastAsia" w:hAnsi="宋体" w:cs="宋体"/>
          <w:color w:val="000000"/>
          <w:sz w:val="24"/>
          <w:szCs w:val="24"/>
        </w:rPr>
        <w:t>份，具有同等法律效力。</w:t>
      </w:r>
    </w:p>
    <w:p>
      <w:pPr>
        <w:snapToGrid w:val="0"/>
        <w:spacing w:line="600" w:lineRule="exact"/>
        <w:ind w:firstLine="480" w:firstLineChars="200"/>
        <w:rPr>
          <w:rFonts w:ascii="宋体" w:hAnsi="宋体" w:cs="宋体"/>
          <w:color w:val="000000"/>
          <w:sz w:val="24"/>
        </w:rPr>
      </w:pP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甲方（盖章）：                            乙方（盖章）：        </w:t>
      </w:r>
    </w:p>
    <w:p>
      <w:pPr>
        <w:snapToGrid w:val="0"/>
        <w:spacing w:line="600" w:lineRule="exac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联系人：                                  联系人：</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地址：                                    地址：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电话：                                    电话：</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传真：                                    传真：</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开户银行：                                开户银行： </w:t>
      </w:r>
    </w:p>
    <w:p>
      <w:pPr>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帐号：                                    帐号：</w:t>
      </w:r>
    </w:p>
    <w:p>
      <w:pPr>
        <w:spacing w:line="600" w:lineRule="exact"/>
        <w:ind w:right="120"/>
        <w:jc w:val="right"/>
        <w:rPr>
          <w:rFonts w:ascii="宋体" w:hAnsi="宋体" w:cs="宋体"/>
          <w:sz w:val="24"/>
        </w:rPr>
      </w:pPr>
      <w:r>
        <w:rPr>
          <w:rFonts w:hint="eastAsia" w:ascii="宋体" w:hAnsi="宋体" w:cs="宋体"/>
          <w:sz w:val="24"/>
        </w:rPr>
        <w:t>签约时间：      年    月   日</w:t>
      </w:r>
    </w:p>
    <w:p>
      <w:pPr>
        <w:wordWrap w:val="0"/>
        <w:spacing w:line="600" w:lineRule="exact"/>
        <w:jc w:val="right"/>
        <w:rPr>
          <w:rFonts w:ascii="宋体" w:hAnsi="宋体" w:cs="宋体"/>
          <w:sz w:val="24"/>
        </w:rPr>
      </w:pPr>
      <w:r>
        <w:rPr>
          <w:rFonts w:hint="eastAsia" w:ascii="宋体" w:hAnsi="宋体" w:cs="宋体"/>
          <w:sz w:val="24"/>
        </w:rPr>
        <w:t xml:space="preserve">签约地点：                    </w:t>
      </w:r>
    </w:p>
    <w:p>
      <w:pPr>
        <w:keepNext w:val="0"/>
        <w:keepLines w:val="0"/>
        <w:pageBreakBefore w:val="0"/>
        <w:widowControl w:val="0"/>
        <w:kinsoku/>
        <w:wordWrap/>
        <w:overflowPunct/>
        <w:topLinePunct w:val="0"/>
        <w:bidi w:val="0"/>
        <w:spacing w:line="6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bidi w:val="0"/>
        <w:spacing w:line="600" w:lineRule="exact"/>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此仅为合同书样本，中标单位需根据实际情况和采购人签订相应的合同！</w:t>
      </w:r>
    </w:p>
    <w:p>
      <w:pPr>
        <w:keepNext w:val="0"/>
        <w:keepLines w:val="0"/>
        <w:pageBreakBefore w:val="0"/>
        <w:widowControl w:val="0"/>
        <w:tabs>
          <w:tab w:val="left" w:pos="1520"/>
        </w:tabs>
        <w:kinsoku/>
        <w:wordWrap/>
        <w:overflowPunct/>
        <w:topLinePunct w:val="0"/>
        <w:bidi w:val="0"/>
        <w:spacing w:line="600" w:lineRule="exact"/>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ab/>
      </w:r>
    </w:p>
    <w:p>
      <w:pPr>
        <w:pStyle w:val="2"/>
        <w:rPr>
          <w:rFonts w:hint="eastAsia"/>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8"/>
      <w:r>
        <w:rPr>
          <w:rFonts w:hint="eastAsia" w:ascii="宋体" w:hAnsi="宋体" w:cs="宋体"/>
          <w:b/>
          <w:color w:val="auto"/>
          <w:sz w:val="36"/>
          <w:szCs w:val="20"/>
          <w:highlight w:val="none"/>
        </w:rPr>
        <w:t xml:space="preserve"> </w:t>
      </w:r>
      <w:bookmarkEnd w:id="389"/>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28"/>
          <w:szCs w:val="28"/>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28"/>
          <w:szCs w:val="28"/>
          <w:highlight w:val="none"/>
        </w:rPr>
        <w:t>一、 符合参加政府采购活动应当具备的一般条件的承诺函</w:t>
      </w:r>
    </w:p>
    <w:p>
      <w:pPr>
        <w:snapToGrid w:val="0"/>
        <w:spacing w:line="600" w:lineRule="exact"/>
        <w:rPr>
          <w:rFonts w:ascii="宋体" w:hAnsi="宋体" w:cs="宋体"/>
          <w:color w:val="auto"/>
          <w:sz w:val="24"/>
          <w:highlight w:val="none"/>
        </w:rPr>
      </w:pPr>
      <w:r>
        <w:rPr>
          <w:rFonts w:hint="eastAsia" w:ascii="宋体" w:hAnsi="宋体" w:cs="宋体"/>
          <w:color w:val="auto"/>
          <w:sz w:val="24"/>
          <w:highlight w:val="none"/>
          <w:lang w:eastAsia="zh-CN"/>
        </w:rPr>
        <w:t>杭州市临平博物馆</w:t>
      </w:r>
      <w:r>
        <w:rPr>
          <w:rFonts w:hint="eastAsia" w:ascii="宋体" w:hAnsi="宋体" w:cs="宋体"/>
          <w:color w:val="auto"/>
          <w:sz w:val="24"/>
          <w:highlight w:val="none"/>
        </w:rPr>
        <w:t>、</w:t>
      </w:r>
      <w:r>
        <w:rPr>
          <w:rFonts w:hint="eastAsia" w:ascii="宋体" w:hAnsi="宋体" w:cs="宋体"/>
          <w:color w:val="auto"/>
          <w:sz w:val="24"/>
          <w:highlight w:val="none"/>
          <w:lang w:eastAsia="zh-CN"/>
        </w:rPr>
        <w:t>杭州亚辰工程咨询有限公司</w:t>
      </w:r>
      <w:r>
        <w:rPr>
          <w:rFonts w:hint="eastAsia" w:ascii="宋体" w:hAnsi="宋体" w:cs="宋体"/>
          <w:color w:val="auto"/>
          <w:sz w:val="24"/>
          <w:highlight w:val="none"/>
        </w:rPr>
        <w:t>：</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“临平记忆”展陈设计及施工项目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YCDL-2022-013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pPr>
        <w:snapToGrid w:val="0"/>
        <w:spacing w:line="6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600" w:lineRule="exact"/>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600" w:lineRule="exact"/>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28"/>
          <w:szCs w:val="28"/>
          <w:highlight w:val="none"/>
        </w:rPr>
        <w:t>二、落实政府采购政策需满足的资格要求</w:t>
      </w:r>
    </w:p>
    <w:p>
      <w:pPr>
        <w:spacing w:line="600" w:lineRule="exact"/>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line="600" w:lineRule="exact"/>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600" w:lineRule="exact"/>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color w:val="auto"/>
          <w:kern w:val="0"/>
          <w:sz w:val="32"/>
          <w:szCs w:val="32"/>
          <w:highlight w:val="none"/>
          <w:lang w:val="zh-CN"/>
        </w:rPr>
      </w:pPr>
      <w:r>
        <w:rPr>
          <w:rFonts w:hint="eastAsia" w:ascii="宋体" w:hAnsi="宋体" w:cs="宋体"/>
          <w:b/>
          <w:color w:val="auto"/>
          <w:sz w:val="24"/>
          <w:highlight w:val="none"/>
        </w:rPr>
        <w:t xml:space="preserve">    </w:t>
      </w:r>
      <w:r>
        <w:rPr>
          <w:rFonts w:hint="eastAsia" w:ascii="宋体" w:hAnsi="宋体" w:cs="宋体"/>
          <w:b/>
          <w:color w:val="auto"/>
          <w:kern w:val="0"/>
          <w:sz w:val="28"/>
          <w:szCs w:val="28"/>
          <w:highlight w:val="none"/>
          <w:lang w:val="zh-CN"/>
        </w:rPr>
        <w:t>联合协议</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600" w:lineRule="exact"/>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600" w:lineRule="exact"/>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600" w:lineRule="exact"/>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600" w:lineRule="exact"/>
        <w:rPr>
          <w:rFonts w:ascii="宋体" w:hAnsi="宋体" w:cs="宋体"/>
          <w:color w:val="auto"/>
          <w:sz w:val="24"/>
          <w:highlight w:val="none"/>
        </w:rPr>
      </w:pPr>
      <w:r>
        <w:rPr>
          <w:rFonts w:hint="eastAsia" w:ascii="宋体" w:hAnsi="宋体" w:cs="宋体"/>
          <w:color w:val="auto"/>
          <w:kern w:val="0"/>
          <w:sz w:val="24"/>
          <w:highlight w:val="none"/>
          <w:lang w:val="zh-CN"/>
        </w:rPr>
        <w:t xml:space="preserve">                                               日期：  年  月   日</w:t>
      </w:r>
    </w:p>
    <w:p>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before="50" w:after="50" w:line="360" w:lineRule="auto"/>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分包意向协议</w:t>
      </w:r>
    </w:p>
    <w:p>
      <w:pPr>
        <w:widowControl/>
        <w:spacing w:line="600" w:lineRule="exact"/>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spacing w:line="600" w:lineRule="exact"/>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600" w:lineRule="exact"/>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600" w:lineRule="exact"/>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600" w:lineRule="exact"/>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600" w:lineRule="exact"/>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600" w:lineRule="exact"/>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600" w:lineRule="exact"/>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600" w:lineRule="exact"/>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28"/>
          <w:szCs w:val="28"/>
          <w:highlight w:val="none"/>
          <w:lang w:val="zh-CN"/>
        </w:rPr>
        <w:t>三、本项目的特定资格要求</w:t>
      </w:r>
    </w:p>
    <w:p>
      <w:pPr>
        <w:spacing w:line="600" w:lineRule="exact"/>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4"/>
          <w:highlight w:val="none"/>
        </w:rPr>
      </w:pPr>
    </w:p>
    <w:p>
      <w:pPr>
        <w:snapToGrid w:val="0"/>
        <w:spacing w:line="360" w:lineRule="auto"/>
        <w:ind w:right="480"/>
        <w:jc w:val="center"/>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36"/>
          <w:szCs w:val="36"/>
          <w:highlight w:val="none"/>
        </w:rPr>
      </w:pPr>
    </w:p>
    <w:p>
      <w:pPr>
        <w:spacing w:line="360" w:lineRule="auto"/>
        <w:ind w:right="420"/>
        <w:jc w:val="center"/>
        <w:rPr>
          <w:rFonts w:ascii="宋体" w:hAnsi="宋体" w:cs="宋体"/>
          <w:b/>
          <w:color w:val="auto"/>
          <w:kern w:val="0"/>
          <w:sz w:val="36"/>
          <w:szCs w:val="36"/>
          <w:highlight w:val="none"/>
        </w:rPr>
      </w:pPr>
    </w:p>
    <w:p>
      <w:pPr>
        <w:pStyle w:val="5"/>
        <w:rPr>
          <w:rFonts w:ascii="宋体" w:hAnsi="宋体" w:cs="宋体"/>
          <w:color w:val="auto"/>
          <w:kern w:val="0"/>
          <w:sz w:val="36"/>
          <w:szCs w:val="36"/>
          <w:highlight w:val="none"/>
        </w:rPr>
      </w:pPr>
    </w:p>
    <w:p>
      <w:pPr>
        <w:rPr>
          <w:rFonts w:ascii="宋体" w:hAnsi="宋体" w:cs="宋体"/>
          <w:b/>
          <w:color w:val="auto"/>
          <w:kern w:val="0"/>
          <w:sz w:val="36"/>
          <w:szCs w:val="36"/>
          <w:highlight w:val="none"/>
        </w:rPr>
      </w:pPr>
    </w:p>
    <w:p>
      <w:pPr>
        <w:spacing w:line="360" w:lineRule="auto"/>
        <w:ind w:right="420"/>
        <w:jc w:val="center"/>
        <w:rPr>
          <w:rFonts w:hint="eastAsia" w:ascii="宋体" w:hAnsi="宋体" w:cs="宋体"/>
          <w:b/>
          <w:color w:val="auto"/>
          <w:kern w:val="0"/>
          <w:sz w:val="28"/>
          <w:szCs w:val="28"/>
          <w:highlight w:val="none"/>
          <w:lang w:val="zh-CN"/>
        </w:rPr>
      </w:pPr>
    </w:p>
    <w:p>
      <w:pPr>
        <w:pStyle w:val="79"/>
        <w:rPr>
          <w:rFonts w:hint="eastAsia" w:ascii="宋体" w:hAnsi="宋体" w:cs="宋体"/>
          <w:b/>
          <w:color w:val="auto"/>
          <w:kern w:val="0"/>
          <w:sz w:val="28"/>
          <w:szCs w:val="28"/>
          <w:highlight w:val="none"/>
          <w:lang w:val="zh-CN"/>
        </w:rPr>
      </w:pPr>
    </w:p>
    <w:p>
      <w:pPr>
        <w:pStyle w:val="79"/>
        <w:rPr>
          <w:rFonts w:hint="eastAsia" w:ascii="宋体" w:hAnsi="宋体" w:cs="宋体"/>
          <w:b/>
          <w:color w:val="auto"/>
          <w:kern w:val="0"/>
          <w:sz w:val="28"/>
          <w:szCs w:val="28"/>
          <w:highlight w:val="none"/>
          <w:lang w:val="zh-CN"/>
        </w:rPr>
      </w:pPr>
    </w:p>
    <w:p>
      <w:pPr>
        <w:pStyle w:val="79"/>
        <w:rPr>
          <w:rFonts w:hint="eastAsia" w:ascii="宋体" w:hAnsi="宋体" w:cs="宋体"/>
          <w:b/>
          <w:color w:val="auto"/>
          <w:kern w:val="0"/>
          <w:sz w:val="28"/>
          <w:szCs w:val="28"/>
          <w:highlight w:val="none"/>
          <w:lang w:val="zh-CN"/>
        </w:rPr>
      </w:pPr>
    </w:p>
    <w:p>
      <w:pPr>
        <w:pStyle w:val="79"/>
        <w:rPr>
          <w:rFonts w:hint="eastAsia" w:ascii="宋体" w:hAnsi="宋体" w:cs="宋体"/>
          <w:b/>
          <w:color w:val="auto"/>
          <w:kern w:val="0"/>
          <w:sz w:val="28"/>
          <w:szCs w:val="28"/>
          <w:highlight w:val="none"/>
          <w:lang w:val="zh-CN"/>
        </w:rPr>
      </w:pPr>
    </w:p>
    <w:p>
      <w:pPr>
        <w:spacing w:line="360" w:lineRule="auto"/>
        <w:ind w:right="420"/>
        <w:jc w:val="center"/>
        <w:rPr>
          <w:rFonts w:hint="eastAsia" w:ascii="宋体" w:hAnsi="宋体" w:cs="宋体"/>
          <w:b/>
          <w:color w:val="auto"/>
          <w:kern w:val="0"/>
          <w:sz w:val="28"/>
          <w:szCs w:val="28"/>
          <w:highlight w:val="none"/>
          <w:lang w:val="zh-CN"/>
        </w:rPr>
      </w:pPr>
    </w:p>
    <w:p>
      <w:pPr>
        <w:spacing w:line="360" w:lineRule="auto"/>
        <w:ind w:right="420"/>
        <w:jc w:val="center"/>
        <w:rPr>
          <w:rFonts w:hint="eastAsia" w:ascii="宋体" w:hAnsi="宋体" w:cs="宋体"/>
          <w:b/>
          <w:color w:val="auto"/>
          <w:kern w:val="0"/>
          <w:sz w:val="28"/>
          <w:szCs w:val="28"/>
          <w:highlight w:val="none"/>
          <w:lang w:val="zh-CN"/>
        </w:rPr>
      </w:pP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28"/>
          <w:szCs w:val="28"/>
          <w:highlight w:val="none"/>
          <w:lang w:val="zh-CN"/>
        </w:rPr>
        <w:t>商务技术文件部分</w:t>
      </w:r>
    </w:p>
    <w:p>
      <w:pPr>
        <w:spacing w:line="360" w:lineRule="auto"/>
        <w:jc w:val="center"/>
        <w:outlineLvl w:val="0"/>
        <w:rPr>
          <w:rFonts w:ascii="宋体" w:hAnsi="宋体" w:cs="宋体"/>
          <w:b/>
          <w:color w:val="auto"/>
          <w:kern w:val="0"/>
          <w:sz w:val="24"/>
          <w:highlight w:val="none"/>
        </w:rPr>
      </w:pPr>
    </w:p>
    <w:p>
      <w:pPr>
        <w:spacing w:line="360" w:lineRule="auto"/>
        <w:ind w:right="42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（3）联合协议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rPr>
        <w:t>（7）商务技术偏离表</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both"/>
        <w:outlineLvl w:val="0"/>
        <w:rPr>
          <w:rFonts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28"/>
          <w:szCs w:val="28"/>
          <w:highlight w:val="none"/>
          <w:lang w:val="zh-CN"/>
        </w:rPr>
      </w:pP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28"/>
          <w:szCs w:val="28"/>
          <w:highlight w:val="none"/>
          <w:lang w:val="zh-CN"/>
        </w:rPr>
        <w:t>一、投标函</w:t>
      </w:r>
    </w:p>
    <w:p>
      <w:pPr>
        <w:snapToGrid w:val="0"/>
        <w:spacing w:line="600" w:lineRule="exact"/>
        <w:rPr>
          <w:rFonts w:ascii="宋体" w:hAnsi="宋体" w:cs="宋体"/>
          <w:color w:val="auto"/>
          <w:sz w:val="24"/>
          <w:highlight w:val="none"/>
        </w:rPr>
      </w:pPr>
      <w:r>
        <w:rPr>
          <w:rFonts w:hint="eastAsia" w:ascii="宋体" w:hAnsi="宋体" w:cs="宋体"/>
          <w:color w:val="auto"/>
          <w:sz w:val="24"/>
          <w:highlight w:val="none"/>
          <w:lang w:eastAsia="zh-CN"/>
        </w:rPr>
        <w:t>杭州市临平博物馆</w:t>
      </w:r>
      <w:r>
        <w:rPr>
          <w:rFonts w:hint="eastAsia" w:ascii="宋体" w:hAnsi="宋体" w:cs="宋体"/>
          <w:color w:val="auto"/>
          <w:sz w:val="24"/>
          <w:highlight w:val="none"/>
        </w:rPr>
        <w:t>、</w:t>
      </w:r>
      <w:r>
        <w:rPr>
          <w:rFonts w:hint="eastAsia" w:ascii="宋体" w:hAnsi="宋体" w:cs="宋体"/>
          <w:color w:val="auto"/>
          <w:sz w:val="24"/>
          <w:highlight w:val="none"/>
          <w:lang w:eastAsia="zh-CN"/>
        </w:rPr>
        <w:t>杭州亚辰工程咨询有限公司</w:t>
      </w:r>
      <w:r>
        <w:rPr>
          <w:rFonts w:hint="eastAsia" w:ascii="宋体" w:hAnsi="宋体" w:cs="宋体"/>
          <w:color w:val="auto"/>
          <w:sz w:val="24"/>
          <w:highlight w:val="none"/>
        </w:rPr>
        <w:t>：</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“临平记忆”展陈设计及施工项目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YCDL-2022-013   </w:t>
      </w:r>
      <w:r>
        <w:rPr>
          <w:rFonts w:hint="eastAsia" w:ascii="宋体" w:hAnsi="宋体" w:cs="宋体"/>
          <w:color w:val="auto"/>
          <w:sz w:val="24"/>
          <w:highlight w:val="none"/>
        </w:rPr>
        <w:t>】招标的有关活动，并对此项目进行投标。为此：</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天（不少于90天），本投标文件在投标有效期满之前均具有约束力。</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 xml:space="preserve">      2.1资格文件：</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2.1.2落实政府采购政策需满足的资格要求（如果有）；</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2.1.3本项目的特定资格要求（如果有）。</w:t>
      </w:r>
    </w:p>
    <w:p>
      <w:pPr>
        <w:snapToGrid w:val="0"/>
        <w:spacing w:line="60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2.2.3联合协议（如果有）；</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2.2.4分包意向协议（如果有）；</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2.2.5符合性审查资料；</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2.2.6评标标准相应的商务技术资料；</w:t>
      </w:r>
    </w:p>
    <w:p>
      <w:pPr>
        <w:snapToGrid w:val="0"/>
        <w:spacing w:line="600" w:lineRule="exact"/>
        <w:ind w:left="420" w:leftChars="200"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rPr>
        <w:t>2.2.7商务技术偏离表；</w:t>
      </w:r>
    </w:p>
    <w:p>
      <w:pPr>
        <w:snapToGrid w:val="0"/>
        <w:spacing w:line="60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2.2.8</w:t>
      </w:r>
      <w:r>
        <w:rPr>
          <w:rFonts w:hint="eastAsia" w:ascii="宋体" w:hAnsi="宋体" w:cs="宋体"/>
          <w:color w:val="auto"/>
          <w:sz w:val="24"/>
          <w:highlight w:val="none"/>
          <w:lang w:val="zh-CN"/>
        </w:rPr>
        <w:t>采购需求实质性内容响应表；</w:t>
      </w:r>
    </w:p>
    <w:p>
      <w:pPr>
        <w:snapToGrid w:val="0"/>
        <w:spacing w:line="600" w:lineRule="exact"/>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2.2.9</w:t>
      </w:r>
      <w:r>
        <w:rPr>
          <w:rFonts w:hint="eastAsia" w:ascii="宋体" w:hAnsi="宋体" w:cs="宋体"/>
          <w:color w:val="auto"/>
          <w:sz w:val="24"/>
          <w:highlight w:val="none"/>
          <w:lang w:val="zh-CN"/>
        </w:rPr>
        <w:t>政府采购供应商廉洁自律承诺书；</w:t>
      </w:r>
    </w:p>
    <w:p>
      <w:pPr>
        <w:snapToGrid w:val="0"/>
        <w:spacing w:line="6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6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6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6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6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6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6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600" w:lineRule="exact"/>
        <w:ind w:firstLine="3600" w:firstLineChars="1500"/>
        <w:jc w:val="right"/>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600" w:lineRule="exact"/>
        <w:jc w:val="right"/>
        <w:rPr>
          <w:rFonts w:ascii="宋体" w:hAnsi="宋体" w:cs="宋体"/>
          <w:color w:val="auto"/>
          <w:sz w:val="24"/>
          <w:highlight w:val="none"/>
        </w:rPr>
      </w:pPr>
      <w:r>
        <w:rPr>
          <w:rFonts w:hint="eastAsia" w:ascii="宋体" w:hAnsi="宋体" w:cs="宋体"/>
          <w:color w:val="auto"/>
          <w:sz w:val="24"/>
          <w:highlight w:val="none"/>
        </w:rPr>
        <w:t>日期：  年   月   日</w:t>
      </w:r>
    </w:p>
    <w:p>
      <w:pPr>
        <w:snapToGrid w:val="0"/>
        <w:spacing w:line="360" w:lineRule="auto"/>
        <w:ind w:left="420" w:leftChars="200" w:firstLine="4200" w:firstLineChars="1750"/>
        <w:rPr>
          <w:rFonts w:ascii="宋体" w:hAnsi="宋体" w:cs="宋体"/>
          <w:color w:val="auto"/>
          <w:kern w:val="0"/>
          <w:sz w:val="24"/>
          <w:highlight w:val="none"/>
          <w:u w:val="singl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jc w:val="center"/>
        <w:rPr>
          <w:rFonts w:hint="eastAsia" w:ascii="宋体" w:hAnsi="宋体" w:cs="宋体"/>
          <w:b/>
          <w:color w:val="auto"/>
          <w:kern w:val="0"/>
          <w:sz w:val="28"/>
          <w:szCs w:val="28"/>
          <w:highlight w:val="none"/>
          <w:lang w:val="zh-CN"/>
        </w:rPr>
      </w:pPr>
    </w:p>
    <w:p>
      <w:pPr>
        <w:jc w:val="center"/>
        <w:rPr>
          <w:rFonts w:hint="eastAsia" w:ascii="宋体" w:hAnsi="宋体" w:cs="宋体"/>
          <w:b/>
          <w:color w:val="auto"/>
          <w:kern w:val="0"/>
          <w:sz w:val="28"/>
          <w:szCs w:val="28"/>
          <w:highlight w:val="none"/>
          <w:lang w:val="zh-CN"/>
        </w:rPr>
      </w:pPr>
    </w:p>
    <w:p>
      <w:pPr>
        <w:jc w:val="center"/>
        <w:rPr>
          <w:rFonts w:hint="eastAsia" w:ascii="宋体" w:hAnsi="宋体" w:cs="宋体"/>
          <w:b/>
          <w:color w:val="auto"/>
          <w:kern w:val="0"/>
          <w:sz w:val="28"/>
          <w:szCs w:val="28"/>
          <w:highlight w:val="none"/>
          <w:lang w:val="zh-CN"/>
        </w:rPr>
      </w:pPr>
    </w:p>
    <w:p>
      <w:pPr>
        <w:jc w:val="center"/>
        <w:rPr>
          <w:rFonts w:hint="eastAsia" w:ascii="宋体" w:hAnsi="宋体" w:cs="宋体"/>
          <w:b/>
          <w:color w:val="auto"/>
          <w:kern w:val="0"/>
          <w:sz w:val="28"/>
          <w:szCs w:val="28"/>
          <w:highlight w:val="none"/>
          <w:lang w:val="zh-CN"/>
        </w:rPr>
      </w:pPr>
    </w:p>
    <w:p>
      <w:pPr>
        <w:jc w:val="center"/>
        <w:rPr>
          <w:rFonts w:hint="eastAsia" w:ascii="宋体" w:hAnsi="宋体" w:cs="宋体"/>
          <w:b/>
          <w:color w:val="auto"/>
          <w:kern w:val="0"/>
          <w:sz w:val="28"/>
          <w:szCs w:val="28"/>
          <w:highlight w:val="none"/>
          <w:lang w:val="zh-CN"/>
        </w:rPr>
      </w:pPr>
    </w:p>
    <w:p>
      <w:pPr>
        <w:pStyle w:val="79"/>
        <w:rPr>
          <w:rFonts w:hint="eastAsia" w:ascii="宋体" w:hAnsi="宋体" w:cs="宋体"/>
          <w:b/>
          <w:color w:val="auto"/>
          <w:kern w:val="0"/>
          <w:sz w:val="28"/>
          <w:szCs w:val="28"/>
          <w:highlight w:val="none"/>
          <w:lang w:val="zh-CN"/>
        </w:rPr>
      </w:pPr>
    </w:p>
    <w:p>
      <w:pPr>
        <w:pStyle w:val="79"/>
        <w:rPr>
          <w:rFonts w:hint="eastAsia" w:ascii="宋体" w:hAnsi="宋体" w:cs="宋体"/>
          <w:b/>
          <w:color w:val="auto"/>
          <w:kern w:val="0"/>
          <w:sz w:val="28"/>
          <w:szCs w:val="28"/>
          <w:highlight w:val="none"/>
          <w:lang w:val="zh-CN"/>
        </w:rPr>
      </w:pPr>
    </w:p>
    <w:p>
      <w:pPr>
        <w:jc w:val="center"/>
        <w:rPr>
          <w:rFonts w:hint="eastAsia" w:ascii="宋体" w:hAnsi="宋体" w:cs="宋体"/>
          <w:b/>
          <w:color w:val="auto"/>
          <w:kern w:val="0"/>
          <w:sz w:val="28"/>
          <w:szCs w:val="28"/>
          <w:highlight w:val="none"/>
          <w:lang w:val="zh-CN"/>
        </w:rPr>
      </w:pPr>
    </w:p>
    <w:p>
      <w:pPr>
        <w:jc w:val="center"/>
        <w:rPr>
          <w:rFonts w:hint="eastAsia" w:ascii="宋体" w:hAnsi="宋体" w:cs="宋体"/>
          <w:b/>
          <w:color w:val="auto"/>
          <w:kern w:val="0"/>
          <w:sz w:val="28"/>
          <w:szCs w:val="28"/>
          <w:highlight w:val="none"/>
          <w:lang w:val="zh-CN"/>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28"/>
          <w:szCs w:val="28"/>
          <w:highlight w:val="none"/>
          <w:lang w:val="zh-CN"/>
        </w:rPr>
        <w:t>二、授权委托书或法定代表人（单位负责人、自然人本人）身份证</w:t>
      </w:r>
      <w:r>
        <w:rPr>
          <w:rFonts w:hint="eastAsia" w:ascii="宋体" w:hAnsi="宋体" w:cs="宋体"/>
          <w:b/>
          <w:color w:val="auto"/>
          <w:kern w:val="0"/>
          <w:sz w:val="32"/>
          <w:szCs w:val="32"/>
          <w:highlight w:val="none"/>
          <w:lang w:val="zh-CN"/>
        </w:rPr>
        <w:t>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513" w:firstLineChars="894"/>
        <w:rPr>
          <w:rFonts w:ascii="宋体" w:hAnsi="宋体" w:cs="宋体"/>
          <w:color w:val="auto"/>
          <w:highlight w:val="none"/>
        </w:rPr>
      </w:pPr>
      <w:r>
        <w:rPr>
          <w:rFonts w:hint="eastAsia" w:ascii="宋体" w:hAnsi="宋体" w:cs="宋体"/>
          <w:b/>
          <w:color w:val="auto"/>
          <w:kern w:val="0"/>
          <w:sz w:val="28"/>
          <w:szCs w:val="28"/>
          <w:highlight w:val="none"/>
          <w:lang w:val="zh-CN"/>
        </w:rPr>
        <w:t>授权委托书（适用于非联合体投标）</w:t>
      </w:r>
      <w:r>
        <w:rPr>
          <w:rFonts w:hint="eastAsia" w:ascii="宋体" w:hAnsi="宋体" w:cs="宋体"/>
          <w:color w:val="auto"/>
          <w:highlight w:val="none"/>
        </w:rPr>
        <w:t xml:space="preserve">                               </w:t>
      </w:r>
    </w:p>
    <w:p>
      <w:pPr>
        <w:snapToGrid w:val="0"/>
        <w:spacing w:line="600" w:lineRule="exact"/>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600" w:lineRule="exact"/>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6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6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600" w:lineRule="exact"/>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60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28"/>
          <w:szCs w:val="28"/>
          <w:highlight w:val="none"/>
          <w:lang w:val="zh-CN"/>
        </w:rPr>
        <w:t xml:space="preserve"> 授权委托书（适用于联合体投标）</w:t>
      </w:r>
    </w:p>
    <w:p>
      <w:pPr>
        <w:snapToGrid w:val="0"/>
        <w:spacing w:line="600" w:lineRule="exact"/>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600" w:lineRule="exact"/>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6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600" w:lineRule="exact"/>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600" w:lineRule="exact"/>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600" w:lineRule="exact"/>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600" w:lineRule="exact"/>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600" w:lineRule="exact"/>
        <w:rPr>
          <w:rFonts w:ascii="宋体" w:hAnsi="宋体" w:cs="宋体"/>
          <w:color w:val="auto"/>
          <w:highlight w:val="none"/>
          <w:lang w:val="zh-CN"/>
        </w:rPr>
      </w:pPr>
      <w:r>
        <w:rPr>
          <w:rFonts w:hint="eastAsia" w:ascii="宋体" w:hAnsi="宋体" w:cs="宋体"/>
          <w:color w:val="auto"/>
          <w:kern w:val="0"/>
          <w:sz w:val="24"/>
          <w:highlight w:val="none"/>
          <w:lang w:val="zh-CN"/>
        </w:rPr>
        <w:t xml:space="preserve">                                               日期：  年  月   日</w:t>
      </w:r>
    </w:p>
    <w:p>
      <w:pPr>
        <w:rPr>
          <w:rFonts w:ascii="宋体" w:hAnsi="宋体" w:cs="宋体"/>
          <w:color w:val="auto"/>
          <w:highlight w:val="none"/>
          <w:lang w:val="zh-CN"/>
        </w:rPr>
      </w:pPr>
    </w:p>
    <w:p>
      <w:pPr>
        <w:rPr>
          <w:color w:val="auto"/>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28"/>
          <w:szCs w:val="28"/>
          <w:highlight w:val="none"/>
          <w:lang w:val="zh-CN"/>
        </w:rPr>
        <w:t>法定代表人、单位负责人或自然人本人的身份证明（适用于法定代表人、单位负责人或者自然人本人代表投标人参加投标）</w:t>
      </w:r>
    </w:p>
    <w:p>
      <w:pPr>
        <w:pStyle w:val="9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92"/>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b/>
          <w:color w:val="auto"/>
          <w:kern w:val="0"/>
          <w:sz w:val="28"/>
          <w:szCs w:val="28"/>
          <w:highlight w:val="none"/>
        </w:rPr>
      </w:pPr>
    </w:p>
    <w:p>
      <w:pPr>
        <w:jc w:val="center"/>
        <w:rPr>
          <w:rFonts w:ascii="宋体" w:hAnsi="宋体" w:cs="宋体"/>
          <w:b/>
          <w:color w:val="auto"/>
          <w:kern w:val="0"/>
          <w:sz w:val="28"/>
          <w:szCs w:val="28"/>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28"/>
          <w:szCs w:val="28"/>
          <w:highlight w:val="none"/>
        </w:rPr>
        <w:t>三、</w:t>
      </w:r>
      <w:r>
        <w:rPr>
          <w:rFonts w:hint="eastAsia" w:ascii="宋体" w:hAnsi="宋体" w:cs="宋体"/>
          <w:b/>
          <w:color w:val="auto"/>
          <w:kern w:val="0"/>
          <w:sz w:val="28"/>
          <w:szCs w:val="28"/>
          <w:highlight w:val="none"/>
          <w:lang w:val="zh-CN"/>
        </w:rPr>
        <w:t>联合协议</w:t>
      </w:r>
    </w:p>
    <w:p>
      <w:pPr>
        <w:widowControl/>
        <w:spacing w:line="6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w:t>
      </w:r>
    </w:p>
    <w:p>
      <w:pPr>
        <w:snapToGrid w:val="0"/>
        <w:spacing w:line="600" w:lineRule="exact"/>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600" w:lineRule="exact"/>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600" w:lineRule="exact"/>
        <w:ind w:firstLine="5760" w:firstLineChars="2400"/>
        <w:rPr>
          <w:rFonts w:ascii="宋体" w:hAnsi="宋体" w:cs="宋体"/>
          <w:color w:val="auto"/>
          <w:sz w:val="24"/>
          <w:highlight w:val="none"/>
        </w:rPr>
      </w:pPr>
      <w:r>
        <w:rPr>
          <w:rFonts w:hint="eastAsia" w:ascii="宋体" w:hAnsi="宋体" w:cs="宋体"/>
          <w:color w:val="auto"/>
          <w:kern w:val="0"/>
          <w:sz w:val="24"/>
          <w:highlight w:val="none"/>
          <w:lang w:val="zh-CN"/>
        </w:rPr>
        <w:t>……</w:t>
      </w:r>
    </w:p>
    <w:p>
      <w:pPr>
        <w:snapToGrid w:val="0"/>
        <w:spacing w:line="60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600" w:lineRule="exact"/>
        <w:ind w:right="480"/>
        <w:rPr>
          <w:rFonts w:ascii="宋体" w:hAnsi="宋体" w:cs="宋体"/>
          <w:b/>
          <w:color w:val="auto"/>
          <w:kern w:val="0"/>
          <w:sz w:val="24"/>
          <w:highlight w:val="none"/>
          <w:lang w:val="zh-CN"/>
        </w:rPr>
        <w:sectPr>
          <w:pgSz w:w="11905" w:h="16838"/>
          <w:pgMar w:top="1531" w:right="1304" w:bottom="1531" w:left="1361" w:header="851" w:footer="992" w:gutter="0"/>
          <w:cols w:space="720" w:num="1"/>
          <w:titlePg/>
          <w:docGrid w:linePitch="312" w:charSpace="0"/>
        </w:sectPr>
      </w:pPr>
    </w:p>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四、分包意向协议</w:t>
      </w:r>
    </w:p>
    <w:p>
      <w:pPr>
        <w:widowControl/>
        <w:spacing w:line="600" w:lineRule="exact"/>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spacing w:line="600" w:lineRule="exact"/>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pPr>
        <w:snapToGrid w:val="0"/>
        <w:spacing w:line="600" w:lineRule="exact"/>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pPr>
        <w:snapToGrid w:val="0"/>
        <w:spacing w:line="600" w:lineRule="exact"/>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600" w:lineRule="exact"/>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60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pPr>
        <w:snapToGrid w:val="0"/>
        <w:spacing w:line="600" w:lineRule="exact"/>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60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pPr>
        <w:snapToGrid w:val="0"/>
        <w:spacing w:line="60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napToGrid w:val="0"/>
        <w:spacing w:line="600" w:lineRule="exact"/>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jc w:val="both"/>
        <w:rPr>
          <w:rFonts w:ascii="宋体" w:hAnsi="宋体" w:cs="宋体"/>
          <w:b/>
          <w:color w:val="auto"/>
          <w:kern w:val="0"/>
          <w:sz w:val="28"/>
          <w:szCs w:val="28"/>
          <w:highlight w:val="none"/>
        </w:rPr>
      </w:pPr>
    </w:p>
    <w:p>
      <w:pPr>
        <w:pStyle w:val="80"/>
        <w:rPr>
          <w:color w:val="auto"/>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28"/>
          <w:szCs w:val="28"/>
          <w:highlight w:val="none"/>
        </w:rPr>
        <w:t>五、符合性审查资料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pStyle w:val="6"/>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jc w:val="both"/>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28"/>
          <w:szCs w:val="28"/>
          <w:highlight w:val="none"/>
        </w:rPr>
        <w:t>六、评标标准相应的商务技术资料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pStyle w:val="80"/>
        <w:rPr>
          <w:rFonts w:ascii="宋体" w:hAnsi="宋体" w:cs="宋体"/>
          <w:b/>
          <w:color w:val="auto"/>
          <w:kern w:val="0"/>
          <w:sz w:val="32"/>
          <w:szCs w:val="32"/>
          <w:highlight w:val="none"/>
        </w:rPr>
      </w:pPr>
    </w:p>
    <w:p>
      <w:pPr>
        <w:jc w:val="both"/>
        <w:rPr>
          <w:rFonts w:ascii="宋体" w:hAnsi="宋体" w:cs="宋体"/>
          <w:b/>
          <w:color w:val="auto"/>
          <w:kern w:val="0"/>
          <w:sz w:val="32"/>
          <w:szCs w:val="32"/>
          <w:highlight w:val="none"/>
        </w:rPr>
      </w:pPr>
    </w:p>
    <w:p>
      <w:pPr>
        <w:pStyle w:val="80"/>
        <w:rPr>
          <w:color w:val="auto"/>
          <w:highlight w:val="none"/>
        </w:rPr>
      </w:pPr>
    </w:p>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276"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276" w:type="dxa"/>
            <w:vAlign w:val="center"/>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pPr>
              <w:jc w:val="center"/>
              <w:rPr>
                <w:rFonts w:ascii="宋体" w:hAnsi="宋体" w:cs="宋体"/>
                <w:b/>
                <w:color w:val="auto"/>
                <w:kern w:val="0"/>
                <w:sz w:val="32"/>
                <w:szCs w:val="32"/>
                <w:highlight w:val="none"/>
              </w:rPr>
            </w:pPr>
          </w:p>
        </w:tc>
        <w:tc>
          <w:tcPr>
            <w:tcW w:w="3546" w:type="dxa"/>
            <w:vAlign w:val="center"/>
          </w:tcPr>
          <w:p>
            <w:pPr>
              <w:jc w:val="center"/>
              <w:rPr>
                <w:rFonts w:ascii="宋体" w:hAnsi="宋体" w:cs="宋体"/>
                <w:b/>
                <w:color w:val="auto"/>
                <w:kern w:val="0"/>
                <w:sz w:val="32"/>
                <w:szCs w:val="32"/>
                <w:highlight w:val="none"/>
              </w:rPr>
            </w:pPr>
          </w:p>
        </w:tc>
        <w:tc>
          <w:tcPr>
            <w:tcW w:w="1276" w:type="dxa"/>
            <w:vAlign w:val="center"/>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4"/>
        <w:rPr>
          <w:rFonts w:ascii="宋体" w:hAnsi="宋体" w:cs="宋体"/>
          <w:b/>
          <w:color w:val="auto"/>
          <w:kern w:val="0"/>
          <w:sz w:val="32"/>
          <w:szCs w:val="32"/>
          <w:highlight w:val="none"/>
        </w:rPr>
      </w:pPr>
    </w:p>
    <w:p>
      <w:pPr>
        <w:snapToGrid w:val="0"/>
        <w:spacing w:line="600" w:lineRule="exact"/>
        <w:jc w:val="center"/>
        <w:outlineLvl w:val="2"/>
        <w:rPr>
          <w:rFonts w:ascii="宋体" w:hAnsi="宋体" w:cs="宋体"/>
          <w:b/>
          <w:color w:val="auto"/>
          <w:sz w:val="28"/>
          <w:szCs w:val="28"/>
          <w:highlight w:val="none"/>
        </w:rPr>
      </w:pPr>
    </w:p>
    <w:p>
      <w:pPr>
        <w:snapToGrid w:val="0"/>
        <w:spacing w:line="600" w:lineRule="exact"/>
        <w:jc w:val="center"/>
        <w:outlineLvl w:val="2"/>
        <w:rPr>
          <w:rFonts w:ascii="宋体" w:hAnsi="宋体" w:cs="宋体"/>
          <w:b/>
          <w:color w:val="auto"/>
          <w:sz w:val="28"/>
          <w:szCs w:val="28"/>
          <w:highlight w:val="none"/>
        </w:rPr>
      </w:pPr>
    </w:p>
    <w:p>
      <w:pPr>
        <w:snapToGrid w:val="0"/>
        <w:spacing w:line="600" w:lineRule="exact"/>
        <w:jc w:val="center"/>
        <w:outlineLvl w:val="2"/>
        <w:rPr>
          <w:rFonts w:ascii="宋体" w:hAnsi="宋体" w:cs="宋体"/>
          <w:b/>
          <w:color w:val="auto"/>
          <w:sz w:val="28"/>
          <w:szCs w:val="28"/>
          <w:highlight w:val="none"/>
        </w:rPr>
      </w:pPr>
    </w:p>
    <w:p>
      <w:pPr>
        <w:snapToGrid w:val="0"/>
        <w:spacing w:line="600" w:lineRule="exact"/>
        <w:jc w:val="center"/>
        <w:outlineLvl w:val="2"/>
        <w:rPr>
          <w:rFonts w:ascii="宋体" w:hAnsi="宋体" w:cs="宋体"/>
          <w:b/>
          <w:color w:val="auto"/>
          <w:sz w:val="28"/>
          <w:szCs w:val="28"/>
          <w:highlight w:val="none"/>
        </w:rPr>
      </w:pPr>
    </w:p>
    <w:p>
      <w:pPr>
        <w:snapToGrid w:val="0"/>
        <w:spacing w:line="600" w:lineRule="exact"/>
        <w:jc w:val="center"/>
        <w:outlineLvl w:val="2"/>
        <w:rPr>
          <w:rFonts w:ascii="宋体" w:hAnsi="宋体" w:cs="宋体"/>
          <w:b/>
          <w:color w:val="auto"/>
          <w:sz w:val="28"/>
          <w:szCs w:val="28"/>
          <w:highlight w:val="none"/>
        </w:rPr>
      </w:pPr>
    </w:p>
    <w:p>
      <w:pPr>
        <w:snapToGrid w:val="0"/>
        <w:spacing w:line="600" w:lineRule="exact"/>
        <w:jc w:val="center"/>
        <w:outlineLvl w:val="2"/>
        <w:rPr>
          <w:rFonts w:ascii="宋体" w:hAnsi="宋体" w:cs="宋体"/>
          <w:b/>
          <w:color w:val="auto"/>
          <w:sz w:val="28"/>
          <w:szCs w:val="28"/>
          <w:highlight w:val="none"/>
        </w:rPr>
      </w:pPr>
    </w:p>
    <w:p>
      <w:pPr>
        <w:snapToGrid w:val="0"/>
        <w:spacing w:line="600" w:lineRule="exact"/>
        <w:jc w:val="center"/>
        <w:outlineLvl w:val="2"/>
        <w:rPr>
          <w:rFonts w:ascii="宋体" w:hAnsi="宋体" w:cs="宋体"/>
          <w:b/>
          <w:color w:val="auto"/>
          <w:sz w:val="28"/>
          <w:szCs w:val="28"/>
          <w:highlight w:val="none"/>
        </w:rPr>
      </w:pPr>
    </w:p>
    <w:p>
      <w:pPr>
        <w:snapToGrid w:val="0"/>
        <w:spacing w:line="600" w:lineRule="exact"/>
        <w:jc w:val="center"/>
        <w:outlineLvl w:val="2"/>
        <w:rPr>
          <w:rFonts w:ascii="宋体" w:hAnsi="宋体" w:cs="宋体"/>
          <w:b/>
          <w:color w:val="auto"/>
          <w:sz w:val="28"/>
          <w:szCs w:val="28"/>
          <w:highlight w:val="none"/>
        </w:rPr>
      </w:pPr>
    </w:p>
    <w:p>
      <w:pPr>
        <w:snapToGrid w:val="0"/>
        <w:spacing w:line="600" w:lineRule="exact"/>
        <w:jc w:val="center"/>
        <w:outlineLvl w:val="2"/>
        <w:rPr>
          <w:rFonts w:ascii="宋体" w:hAnsi="宋体" w:cs="宋体"/>
          <w:b/>
          <w:color w:val="auto"/>
          <w:sz w:val="28"/>
          <w:szCs w:val="28"/>
          <w:highlight w:val="none"/>
        </w:rPr>
      </w:pPr>
    </w:p>
    <w:p>
      <w:pPr>
        <w:snapToGrid w:val="0"/>
        <w:spacing w:line="600" w:lineRule="exact"/>
        <w:jc w:val="both"/>
        <w:outlineLvl w:val="2"/>
        <w:rPr>
          <w:rFonts w:ascii="宋体" w:hAnsi="宋体" w:cs="宋体"/>
          <w:b/>
          <w:color w:val="auto"/>
          <w:sz w:val="28"/>
          <w:szCs w:val="28"/>
          <w:highlight w:val="none"/>
        </w:rPr>
      </w:pPr>
    </w:p>
    <w:p>
      <w:pPr>
        <w:pStyle w:val="80"/>
        <w:rPr>
          <w:rFonts w:ascii="宋体" w:hAnsi="宋体" w:cs="宋体"/>
          <w:b/>
          <w:color w:val="auto"/>
          <w:sz w:val="28"/>
          <w:szCs w:val="28"/>
          <w:highlight w:val="none"/>
        </w:rPr>
      </w:pPr>
    </w:p>
    <w:p>
      <w:pPr>
        <w:pStyle w:val="80"/>
        <w:rPr>
          <w:rFonts w:ascii="宋体" w:hAnsi="宋体" w:cs="宋体"/>
          <w:b/>
          <w:color w:val="auto"/>
          <w:sz w:val="28"/>
          <w:szCs w:val="28"/>
          <w:highlight w:val="none"/>
        </w:rPr>
      </w:pPr>
    </w:p>
    <w:p>
      <w:pPr>
        <w:pStyle w:val="80"/>
        <w:rPr>
          <w:rFonts w:ascii="宋体" w:hAnsi="宋体" w:cs="宋体"/>
          <w:b/>
          <w:color w:val="auto"/>
          <w:sz w:val="28"/>
          <w:szCs w:val="28"/>
          <w:highlight w:val="none"/>
        </w:rPr>
      </w:pPr>
    </w:p>
    <w:p>
      <w:pPr>
        <w:pStyle w:val="80"/>
        <w:rPr>
          <w:rFonts w:ascii="宋体" w:hAnsi="宋体" w:cs="宋体"/>
          <w:b/>
          <w:color w:val="auto"/>
          <w:sz w:val="28"/>
          <w:szCs w:val="28"/>
          <w:highlight w:val="none"/>
        </w:rPr>
      </w:pPr>
    </w:p>
    <w:p>
      <w:pPr>
        <w:pStyle w:val="80"/>
        <w:rPr>
          <w:rFonts w:ascii="宋体" w:hAnsi="宋体" w:cs="宋体"/>
          <w:b/>
          <w:color w:val="auto"/>
          <w:sz w:val="28"/>
          <w:szCs w:val="28"/>
          <w:highlight w:val="none"/>
        </w:rPr>
      </w:pPr>
    </w:p>
    <w:p>
      <w:pPr>
        <w:pStyle w:val="80"/>
        <w:rPr>
          <w:rFonts w:ascii="宋体" w:hAnsi="宋体" w:cs="宋体"/>
          <w:b/>
          <w:color w:val="auto"/>
          <w:sz w:val="28"/>
          <w:szCs w:val="28"/>
          <w:highlight w:val="none"/>
        </w:rPr>
      </w:pPr>
    </w:p>
    <w:p>
      <w:pPr>
        <w:ind w:firstLine="2232" w:firstLineChars="794"/>
        <w:rPr>
          <w:rFonts w:ascii="宋体" w:hAnsi="宋体" w:cs="宋体"/>
          <w:b/>
          <w:color w:val="auto"/>
          <w:kern w:val="0"/>
          <w:sz w:val="32"/>
          <w:szCs w:val="32"/>
          <w:highlight w:val="none"/>
        </w:rPr>
      </w:pPr>
      <w:r>
        <w:rPr>
          <w:rFonts w:hint="eastAsia" w:ascii="宋体" w:hAnsi="宋体" w:cs="宋体"/>
          <w:b/>
          <w:color w:val="auto"/>
          <w:sz w:val="28"/>
          <w:szCs w:val="28"/>
          <w:highlight w:val="none"/>
          <w:lang w:val="zh-CN"/>
        </w:rPr>
        <w:t>八</w:t>
      </w:r>
      <w:r>
        <w:rPr>
          <w:rFonts w:hint="eastAsia" w:ascii="宋体" w:hAnsi="宋体" w:eastAsia="宋体" w:cs="宋体"/>
          <w:b/>
          <w:color w:val="auto"/>
          <w:sz w:val="28"/>
          <w:szCs w:val="28"/>
          <w:highlight w:val="none"/>
          <w:lang w:val="zh-CN"/>
        </w:rPr>
        <w:t>、</w:t>
      </w:r>
      <w:r>
        <w:rPr>
          <w:rFonts w:hint="eastAsia" w:ascii="宋体" w:hAnsi="宋体" w:cs="宋体"/>
          <w:b/>
          <w:color w:val="auto"/>
          <w:kern w:val="0"/>
          <w:sz w:val="28"/>
          <w:szCs w:val="28"/>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600" w:lineRule="exact"/>
        <w:rPr>
          <w:rFonts w:ascii="宋体" w:hAnsi="宋体" w:cs="宋体"/>
          <w:color w:val="auto"/>
          <w:kern w:val="0"/>
          <w:sz w:val="24"/>
          <w:highlight w:val="none"/>
        </w:rPr>
      </w:pPr>
      <w:r>
        <w:rPr>
          <w:rFonts w:hint="eastAsia" w:ascii="宋体" w:hAnsi="宋体" w:cs="宋体"/>
          <w:color w:val="auto"/>
          <w:kern w:val="0"/>
          <w:sz w:val="24"/>
          <w:highlight w:val="none"/>
          <w:lang w:val="zh-CN"/>
        </w:rPr>
        <w:t>杭州市临平博物馆、杭州亚辰工程咨询有限公司：</w:t>
      </w:r>
    </w:p>
    <w:p>
      <w:pPr>
        <w:autoSpaceDE w:val="0"/>
        <w:autoSpaceDN w:val="0"/>
        <w:spacing w:line="600" w:lineRule="exact"/>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600" w:lineRule="exact"/>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600" w:lineRule="exact"/>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600" w:lineRule="exact"/>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600" w:lineRule="exact"/>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600" w:lineRule="exact"/>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600" w:lineRule="exact"/>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600" w:lineRule="exact"/>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600" w:lineRule="exact"/>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600" w:lineRule="exact"/>
        <w:ind w:left="2" w:leftChars="1" w:right="1120" w:firstLine="4560" w:firstLineChars="1900"/>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600" w:lineRule="exact"/>
        <w:ind w:left="4620" w:leftChars="2200"/>
        <w:jc w:val="right"/>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jc w:val="center"/>
        <w:rPr>
          <w:rFonts w:ascii="宋体" w:hAnsi="宋体" w:cs="宋体"/>
          <w:b/>
          <w:bCs/>
          <w:color w:val="auto"/>
          <w:sz w:val="24"/>
          <w:highlight w:val="none"/>
        </w:rPr>
        <w:sectPr>
          <w:headerReference r:id="rId8" w:type="first"/>
          <w:footerReference r:id="rId10" w:type="first"/>
          <w:headerReference r:id="rId7" w:type="default"/>
          <w:footerReference r:id="rId9" w:type="default"/>
          <w:pgSz w:w="11905" w:h="16838"/>
          <w:pgMar w:top="1531" w:right="1304" w:bottom="1531" w:left="1361"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）报价明细清单………………………………………………………………（页码）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81"/>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5" w:h="16838"/>
          <w:pgMar w:top="1531" w:right="1304" w:bottom="1531" w:left="1361" w:header="851" w:footer="992" w:gutter="0"/>
          <w:cols w:space="720" w:num="1"/>
          <w:titlePg/>
          <w:docGrid w:linePitch="312" w:charSpace="0"/>
        </w:sectPr>
      </w:pPr>
    </w:p>
    <w:p>
      <w:pPr>
        <w:pStyle w:val="381"/>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28"/>
          <w:szCs w:val="28"/>
          <w:highlight w:val="none"/>
        </w:rPr>
        <w:t>一、开标一览表（报价表）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482"/>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482" w:firstLineChars="200"/>
        <w:jc w:val="center"/>
        <w:textAlignment w:val="auto"/>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pPr w:leftFromText="180" w:rightFromText="180" w:vertAnchor="text" w:horzAnchor="page" w:tblpX="1385" w:tblpY="87"/>
        <w:tblOverlap w:val="never"/>
        <w:tblW w:w="923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02"/>
        <w:gridCol w:w="3573"/>
        <w:gridCol w:w="24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trPr>
        <w:tc>
          <w:tcPr>
            <w:tcW w:w="3202" w:type="dxa"/>
            <w:tcBorders>
              <w:right w:val="single" w:color="auto" w:sz="4" w:space="0"/>
            </w:tcBorders>
            <w:noWrap w:val="0"/>
            <w:vAlign w:val="center"/>
          </w:tcPr>
          <w:p>
            <w:pPr>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项目名称</w:t>
            </w:r>
          </w:p>
        </w:tc>
        <w:tc>
          <w:tcPr>
            <w:tcW w:w="3573"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GB" w:eastAsia="zh-CN"/>
              </w:rPr>
            </w:pPr>
            <w:r>
              <w:rPr>
                <w:rFonts w:hint="eastAsia" w:ascii="宋体" w:hAnsi="宋体" w:cs="宋体"/>
                <w:color w:val="auto"/>
                <w:sz w:val="24"/>
                <w:highlight w:val="none"/>
                <w:lang w:val="en-US" w:eastAsia="zh-CN"/>
              </w:rPr>
              <w:t>服务期限</w:t>
            </w:r>
          </w:p>
        </w:tc>
        <w:tc>
          <w:tcPr>
            <w:tcW w:w="2460"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合价（元）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3202" w:type="dxa"/>
            <w:tcBorders>
              <w:right w:val="single" w:color="auto" w:sz="4" w:space="0"/>
            </w:tcBorders>
            <w:noWrap w:val="0"/>
            <w:vAlign w:val="center"/>
          </w:tcPr>
          <w:p>
            <w:pPr>
              <w:jc w:val="center"/>
              <w:rPr>
                <w:rFonts w:hint="eastAsia" w:ascii="宋体" w:hAnsi="宋体" w:eastAsia="宋体" w:cs="宋体"/>
                <w:color w:val="auto"/>
                <w:sz w:val="24"/>
                <w:highlight w:val="none"/>
                <w:lang w:val="en-GB" w:eastAsia="zh-CN"/>
              </w:rPr>
            </w:pPr>
            <w:r>
              <w:rPr>
                <w:rFonts w:hint="eastAsia" w:ascii="宋体" w:hAnsi="宋体" w:cs="宋体"/>
                <w:color w:val="auto"/>
                <w:sz w:val="24"/>
                <w:highlight w:val="none"/>
                <w:lang w:val="en-GB" w:eastAsia="zh-CN"/>
              </w:rPr>
              <w:t>“临平记忆”展陈设计及施工项目</w:t>
            </w:r>
          </w:p>
        </w:tc>
        <w:tc>
          <w:tcPr>
            <w:tcW w:w="3573"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GB"/>
              </w:rPr>
            </w:pPr>
          </w:p>
        </w:tc>
        <w:tc>
          <w:tcPr>
            <w:tcW w:w="2460"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3202" w:type="dxa"/>
            <w:tcBorders>
              <w:right w:val="single" w:color="auto" w:sz="4" w:space="0"/>
            </w:tcBorders>
            <w:noWrap w:val="0"/>
            <w:vAlign w:val="center"/>
          </w:tcPr>
          <w:p>
            <w:pPr>
              <w:jc w:val="center"/>
              <w:rPr>
                <w:rFonts w:hint="eastAsia" w:ascii="宋体" w:hAnsi="宋体" w:eastAsia="宋体" w:cs="宋体"/>
                <w:color w:val="auto"/>
                <w:sz w:val="24"/>
                <w:highlight w:val="none"/>
                <w:lang w:val="en-GB" w:eastAsia="zh-CN"/>
              </w:rPr>
            </w:pPr>
            <w:r>
              <w:rPr>
                <w:rFonts w:hint="eastAsia" w:ascii="宋体" w:hAnsi="宋体" w:eastAsia="宋体" w:cs="宋体"/>
                <w:color w:val="auto"/>
                <w:sz w:val="24"/>
                <w:highlight w:val="none"/>
                <w:lang w:val="en-GB"/>
              </w:rPr>
              <w:t>投标总报价</w:t>
            </w:r>
          </w:p>
        </w:tc>
        <w:tc>
          <w:tcPr>
            <w:tcW w:w="3573" w:type="dxa"/>
            <w:tcBorders>
              <w:left w:val="single" w:color="auto" w:sz="4" w:space="0"/>
              <w:right w:val="single" w:color="auto" w:sz="4" w:space="0"/>
            </w:tcBorders>
            <w:noWrap w:val="0"/>
            <w:vAlign w:val="center"/>
          </w:tcPr>
          <w:p>
            <w:pPr>
              <w:jc w:val="both"/>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（小写）</w:t>
            </w:r>
          </w:p>
          <w:p>
            <w:pPr>
              <w:jc w:val="both"/>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zh-CN" w:eastAsia="zh-CN"/>
              </w:rPr>
              <w:t>（大写）</w:t>
            </w:r>
          </w:p>
        </w:tc>
        <w:tc>
          <w:tcPr>
            <w:tcW w:w="2460" w:type="dxa"/>
            <w:tcBorders>
              <w:left w:val="single" w:color="auto" w:sz="4" w:space="0"/>
            </w:tcBorders>
            <w:noWrap w:val="0"/>
            <w:vAlign w:val="center"/>
          </w:tcPr>
          <w:p>
            <w:pPr>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说明：报价四舍五入到元.</w:t>
            </w:r>
          </w:p>
        </w:tc>
      </w:tr>
    </w:tbl>
    <w:p>
      <w:pPr>
        <w:widowControl w:val="0"/>
        <w:wordWrap/>
        <w:adjustRightInd w:val="0"/>
        <w:snapToGrid w:val="0"/>
        <w:spacing w:line="440" w:lineRule="exact"/>
        <w:ind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1、投标人需按本表格式填写，不得自行更改。</w:t>
      </w:r>
    </w:p>
    <w:p>
      <w:pPr>
        <w:widowControl w:val="0"/>
        <w:wordWrap/>
        <w:adjustRightInd w:val="0"/>
        <w:snapToGrid w:val="0"/>
        <w:spacing w:line="440" w:lineRule="exact"/>
        <w:ind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keepLines w:val="0"/>
        <w:widowControl w:val="0"/>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cs="宋体"/>
          <w:color w:val="auto"/>
          <w:kern w:val="0"/>
          <w:sz w:val="24"/>
          <w:highlight w:val="none"/>
          <w:lang w:val="zh-CN"/>
        </w:rPr>
      </w:pPr>
      <w:r>
        <w:rPr>
          <w:rFonts w:hint="eastAsia" w:ascii="宋体" w:hAnsi="宋体" w:cs="宋体"/>
          <w:color w:val="000000"/>
          <w:kern w:val="0"/>
          <w:sz w:val="24"/>
          <w:highlight w:val="none"/>
          <w:lang w:val="en-US" w:eastAsia="zh-CN"/>
        </w:rPr>
        <w:t>3</w:t>
      </w:r>
      <w:r>
        <w:rPr>
          <w:rFonts w:hint="eastAsia" w:ascii="宋体" w:hAnsi="宋体" w:eastAsia="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color="auto" w:fill="FFFFFF"/>
        <w:snapToGrid w:val="0"/>
        <w:spacing w:line="360" w:lineRule="auto"/>
        <w:ind w:firstLine="480" w:firstLineChars="200"/>
        <w:jc w:val="right"/>
        <w:rPr>
          <w:rFonts w:hint="eastAsia" w:ascii="宋体" w:hAnsi="宋体" w:cs="宋体"/>
          <w:b w:val="0"/>
          <w:bCs w:val="0"/>
          <w:color w:val="auto"/>
          <w:sz w:val="24"/>
          <w:highlight w:val="none"/>
        </w:rPr>
      </w:pPr>
    </w:p>
    <w:p>
      <w:pPr>
        <w:shd w:val="clear" w:color="auto" w:fill="FFFFFF"/>
        <w:snapToGrid w:val="0"/>
        <w:spacing w:line="360" w:lineRule="auto"/>
        <w:ind w:firstLine="480" w:firstLineChars="200"/>
        <w:jc w:val="right"/>
        <w:rPr>
          <w:rFonts w:hint="eastAsia" w:ascii="宋体" w:hAnsi="宋体" w:cs="宋体"/>
          <w:b w:val="0"/>
          <w:bCs w:val="0"/>
          <w:color w:val="auto"/>
          <w:sz w:val="24"/>
          <w:highlight w:val="none"/>
        </w:rPr>
      </w:pPr>
    </w:p>
    <w:p>
      <w:pPr>
        <w:shd w:val="clear" w:color="auto" w:fill="FFFFFF"/>
        <w:snapToGrid w:val="0"/>
        <w:spacing w:line="360" w:lineRule="auto"/>
        <w:ind w:firstLine="480" w:firstLineChars="200"/>
        <w:jc w:val="righ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投标人名称(公章)：</w:t>
      </w:r>
    </w:p>
    <w:p>
      <w:pPr>
        <w:shd w:val="clear" w:color="auto" w:fill="FFFFFF"/>
        <w:snapToGrid w:val="0"/>
        <w:spacing w:line="360" w:lineRule="auto"/>
        <w:ind w:firstLine="480" w:firstLineChars="200"/>
        <w:jc w:val="right"/>
        <w:rPr>
          <w:rFonts w:hint="eastAsia" w:ascii="宋体" w:hAnsi="宋体" w:eastAsia="宋体" w:cs="宋体"/>
          <w:b w:val="0"/>
          <w:bCs w:val="0"/>
          <w:color w:val="auto"/>
          <w:sz w:val="24"/>
          <w:highlight w:val="none"/>
          <w:lang w:val="zh-CN"/>
        </w:rPr>
      </w:pPr>
      <w:r>
        <w:rPr>
          <w:rFonts w:hint="eastAsia" w:ascii="宋体" w:hAnsi="宋体" w:cs="宋体"/>
          <w:b w:val="0"/>
          <w:bCs w:val="0"/>
          <w:color w:val="auto"/>
          <w:kern w:val="0"/>
          <w:sz w:val="24"/>
          <w:highlight w:val="none"/>
          <w:lang w:val="zh-CN"/>
        </w:rPr>
        <w:t>法定（授权）代表人（</w:t>
      </w:r>
      <w:r>
        <w:rPr>
          <w:rFonts w:hint="eastAsia" w:ascii="宋体" w:hAnsi="宋体" w:cs="宋体"/>
          <w:b w:val="0"/>
          <w:bCs w:val="0"/>
          <w:color w:val="auto"/>
          <w:kern w:val="0"/>
          <w:sz w:val="24"/>
          <w:highlight w:val="none"/>
        </w:rPr>
        <w:t>盖</w:t>
      </w:r>
      <w:r>
        <w:rPr>
          <w:rFonts w:hint="eastAsia" w:ascii="宋体" w:hAnsi="宋体" w:eastAsia="宋体" w:cs="宋体"/>
          <w:b w:val="0"/>
          <w:bCs w:val="0"/>
          <w:color w:val="auto"/>
          <w:sz w:val="24"/>
          <w:highlight w:val="none"/>
        </w:rPr>
        <w:t>章或签字</w:t>
      </w:r>
      <w:r>
        <w:rPr>
          <w:rFonts w:hint="eastAsia" w:ascii="宋体" w:hAnsi="宋体" w:eastAsia="宋体" w:cs="宋体"/>
          <w:b w:val="0"/>
          <w:bCs w:val="0"/>
          <w:color w:val="auto"/>
          <w:sz w:val="24"/>
          <w:highlight w:val="none"/>
          <w:lang w:val="zh-CN"/>
        </w:rPr>
        <w:t>）：</w:t>
      </w:r>
    </w:p>
    <w:p>
      <w:pPr>
        <w:pStyle w:val="6"/>
        <w:jc w:val="right"/>
        <w:rPr>
          <w:b w:val="0"/>
          <w:bCs w:val="0"/>
          <w:color w:val="auto"/>
          <w:highlight w:val="none"/>
        </w:rPr>
      </w:pPr>
      <w:r>
        <w:rPr>
          <w:rFonts w:hint="eastAsia" w:ascii="宋体" w:hAnsi="宋体" w:eastAsia="宋体" w:cs="宋体"/>
          <w:b w:val="0"/>
          <w:bCs w:val="0"/>
          <w:color w:val="auto"/>
          <w:sz w:val="24"/>
          <w:highlight w:val="none"/>
          <w:lang w:val="zh-CN"/>
        </w:rPr>
        <w:t xml:space="preserve">日期：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zh-CN"/>
        </w:rPr>
        <w:t>年</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zh-CN"/>
        </w:rPr>
        <w:t>月</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zh-CN"/>
        </w:rPr>
        <w:t>日</w:t>
      </w:r>
    </w:p>
    <w:p>
      <w:pPr>
        <w:pageBreakBefore/>
        <w:shd w:val="clear" w:color="auto" w:fill="FFFFFF"/>
        <w:snapToGrid w:val="0"/>
        <w:spacing w:line="600" w:lineRule="exact"/>
        <w:ind w:firstLine="560" w:firstLineChars="200"/>
        <w:jc w:val="center"/>
        <w:outlineLvl w:val="2"/>
        <w:rPr>
          <w:rFonts w:hint="eastAsia" w:ascii="宋体" w:hAnsi="宋体" w:cs="宋体"/>
          <w:b/>
          <w:color w:val="000000"/>
          <w:sz w:val="24"/>
          <w:highlight w:val="none"/>
        </w:rPr>
      </w:pPr>
      <w:r>
        <w:rPr>
          <w:rFonts w:hint="eastAsia" w:ascii="宋体" w:hAnsi="宋体" w:eastAsia="宋体" w:cs="宋体"/>
          <w:color w:val="auto"/>
          <w:kern w:val="2"/>
          <w:sz w:val="28"/>
          <w:szCs w:val="28"/>
          <w:highlight w:val="none"/>
          <w:lang w:eastAsia="zh-CN"/>
        </w:rPr>
        <w:t>二、</w:t>
      </w:r>
      <w:r>
        <w:rPr>
          <w:rFonts w:hint="eastAsia" w:ascii="宋体" w:hAnsi="宋体" w:cs="宋体"/>
          <w:b/>
          <w:bCs/>
          <w:color w:val="000000"/>
          <w:sz w:val="28"/>
          <w:szCs w:val="28"/>
          <w:highlight w:val="none"/>
        </w:rPr>
        <w:t>报价明细清单</w:t>
      </w:r>
    </w:p>
    <w:p>
      <w:pPr>
        <w:snapToGrid w:val="0"/>
        <w:spacing w:line="600" w:lineRule="exact"/>
        <w:rPr>
          <w:rFonts w:hint="eastAsia" w:ascii="宋体" w:hAnsi="宋体" w:cs="宋体"/>
          <w:color w:val="000000"/>
          <w:sz w:val="24"/>
          <w:highlight w:val="none"/>
        </w:rPr>
      </w:pPr>
    </w:p>
    <w:tbl>
      <w:tblPr>
        <w:tblStyle w:val="62"/>
        <w:tblW w:w="9414"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75"/>
        <w:gridCol w:w="881"/>
        <w:gridCol w:w="1552"/>
        <w:gridCol w:w="1166"/>
        <w:gridCol w:w="1214"/>
        <w:gridCol w:w="1118"/>
        <w:gridCol w:w="1254"/>
        <w:gridCol w:w="125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21" w:hRule="atLeast"/>
          <w:jc w:val="center"/>
        </w:trPr>
        <w:tc>
          <w:tcPr>
            <w:tcW w:w="975" w:type="dxa"/>
            <w:tcBorders>
              <w:top w:val="single" w:color="auto" w:sz="8" w:space="0"/>
              <w:left w:val="single" w:color="auto" w:sz="8" w:space="0"/>
              <w:bottom w:val="single" w:color="auto" w:sz="2"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433" w:type="dxa"/>
            <w:gridSpan w:val="2"/>
            <w:tcBorders>
              <w:top w:val="single" w:color="auto" w:sz="8" w:space="0"/>
              <w:left w:val="single" w:color="auto" w:sz="2" w:space="0"/>
              <w:bottom w:val="single" w:color="auto" w:sz="2"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166" w:type="dxa"/>
            <w:tcBorders>
              <w:top w:val="single" w:color="auto" w:sz="8" w:space="0"/>
              <w:left w:val="single" w:color="auto" w:sz="2" w:space="0"/>
              <w:bottom w:val="single" w:color="auto" w:sz="2"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数量</w:t>
            </w:r>
          </w:p>
        </w:tc>
        <w:tc>
          <w:tcPr>
            <w:tcW w:w="1214" w:type="dxa"/>
            <w:tcBorders>
              <w:top w:val="single" w:color="auto" w:sz="8" w:space="0"/>
              <w:left w:val="single" w:color="auto" w:sz="4" w:space="0"/>
              <w:bottom w:val="single" w:color="auto" w:sz="2"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单价</w:t>
            </w:r>
          </w:p>
        </w:tc>
        <w:tc>
          <w:tcPr>
            <w:tcW w:w="1118" w:type="dxa"/>
            <w:tcBorders>
              <w:top w:val="single" w:color="auto" w:sz="8" w:space="0"/>
              <w:left w:val="single" w:color="auto" w:sz="4" w:space="0"/>
              <w:bottom w:val="single" w:color="auto" w:sz="2"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合价</w:t>
            </w:r>
          </w:p>
        </w:tc>
        <w:tc>
          <w:tcPr>
            <w:tcW w:w="1254" w:type="dxa"/>
            <w:tcBorders>
              <w:top w:val="single" w:color="auto" w:sz="8" w:space="0"/>
              <w:left w:val="single" w:color="auto" w:sz="4" w:space="0"/>
              <w:bottom w:val="single" w:color="auto" w:sz="2"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品牌</w:t>
            </w:r>
          </w:p>
        </w:tc>
        <w:tc>
          <w:tcPr>
            <w:tcW w:w="1254" w:type="dxa"/>
            <w:tcBorders>
              <w:top w:val="single" w:color="auto" w:sz="8" w:space="0"/>
              <w:left w:val="single" w:color="auto" w:sz="4" w:space="0"/>
              <w:bottom w:val="single" w:color="auto" w:sz="2" w:space="0"/>
              <w:right w:val="single" w:color="auto" w:sz="8" w:space="0"/>
            </w:tcBorders>
            <w:noWrap w:val="0"/>
            <w:vAlign w:val="center"/>
          </w:tcPr>
          <w:p>
            <w:pPr>
              <w:snapToGrid/>
              <w:spacing w:line="240" w:lineRule="auto"/>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规格</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06" w:hRule="atLeast"/>
          <w:jc w:val="center"/>
        </w:trPr>
        <w:tc>
          <w:tcPr>
            <w:tcW w:w="975" w:type="dxa"/>
            <w:tcBorders>
              <w:top w:val="single" w:color="auto" w:sz="2" w:space="0"/>
              <w:left w:val="single" w:color="auto" w:sz="8" w:space="0"/>
              <w:bottom w:val="single" w:color="auto" w:sz="4"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433" w:type="dxa"/>
            <w:gridSpan w:val="2"/>
            <w:tcBorders>
              <w:top w:val="single" w:color="auto" w:sz="2" w:space="0"/>
              <w:left w:val="single" w:color="auto" w:sz="2" w:space="0"/>
              <w:bottom w:val="single" w:color="auto" w:sz="4" w:space="0"/>
              <w:right w:val="single" w:color="auto" w:sz="2" w:space="0"/>
            </w:tcBorders>
            <w:noWrap w:val="0"/>
            <w:vAlign w:val="center"/>
          </w:tcPr>
          <w:p>
            <w:pPr>
              <w:snapToGrid/>
              <w:spacing w:line="240" w:lineRule="auto"/>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val="en-US" w:eastAsia="zh-CN"/>
              </w:rPr>
              <w:t xml:space="preserve"> </w:t>
            </w:r>
          </w:p>
        </w:tc>
        <w:tc>
          <w:tcPr>
            <w:tcW w:w="1166" w:type="dxa"/>
            <w:tcBorders>
              <w:top w:val="single" w:color="auto" w:sz="2" w:space="0"/>
              <w:left w:val="single" w:color="auto" w:sz="2"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p>
        </w:tc>
        <w:tc>
          <w:tcPr>
            <w:tcW w:w="1214" w:type="dxa"/>
            <w:tcBorders>
              <w:top w:val="single" w:color="auto" w:sz="2" w:space="0"/>
              <w:left w:val="single" w:color="auto" w:sz="4"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118" w:type="dxa"/>
            <w:tcBorders>
              <w:top w:val="single" w:color="auto" w:sz="2" w:space="0"/>
              <w:left w:val="single" w:color="auto" w:sz="4"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254" w:type="dxa"/>
            <w:tcBorders>
              <w:top w:val="single" w:color="auto" w:sz="2" w:space="0"/>
              <w:left w:val="single" w:color="auto" w:sz="4" w:space="0"/>
              <w:bottom w:val="single" w:color="auto" w:sz="4"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254" w:type="dxa"/>
            <w:tcBorders>
              <w:top w:val="single" w:color="auto" w:sz="2" w:space="0"/>
              <w:left w:val="single" w:color="auto" w:sz="4" w:space="0"/>
              <w:bottom w:val="single" w:color="auto" w:sz="4"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1" w:hRule="atLeast"/>
          <w:jc w:val="center"/>
        </w:trPr>
        <w:tc>
          <w:tcPr>
            <w:tcW w:w="975" w:type="dxa"/>
            <w:tcBorders>
              <w:top w:val="single" w:color="auto" w:sz="4" w:space="0"/>
              <w:left w:val="single" w:color="auto" w:sz="8" w:space="0"/>
              <w:bottom w:val="single" w:color="auto" w:sz="4"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433" w:type="dxa"/>
            <w:gridSpan w:val="2"/>
            <w:tcBorders>
              <w:top w:val="single" w:color="auto" w:sz="4" w:space="0"/>
              <w:left w:val="single" w:color="auto" w:sz="2" w:space="0"/>
              <w:bottom w:val="single" w:color="auto" w:sz="4"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p>
        </w:tc>
        <w:tc>
          <w:tcPr>
            <w:tcW w:w="1166" w:type="dxa"/>
            <w:tcBorders>
              <w:top w:val="single" w:color="auto" w:sz="4" w:space="0"/>
              <w:left w:val="single" w:color="auto" w:sz="2"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254" w:type="dxa"/>
            <w:tcBorders>
              <w:top w:val="single" w:color="auto" w:sz="4" w:space="0"/>
              <w:left w:val="single" w:color="auto" w:sz="4" w:space="0"/>
              <w:bottom w:val="single" w:color="auto" w:sz="4"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p>
        </w:tc>
        <w:tc>
          <w:tcPr>
            <w:tcW w:w="1254" w:type="dxa"/>
            <w:tcBorders>
              <w:top w:val="single" w:color="auto" w:sz="4" w:space="0"/>
              <w:left w:val="single" w:color="auto" w:sz="4" w:space="0"/>
              <w:bottom w:val="single" w:color="auto" w:sz="4"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1" w:hRule="atLeast"/>
          <w:jc w:val="center"/>
        </w:trPr>
        <w:tc>
          <w:tcPr>
            <w:tcW w:w="975" w:type="dxa"/>
            <w:tcBorders>
              <w:top w:val="single" w:color="auto" w:sz="4" w:space="0"/>
              <w:left w:val="single" w:color="auto" w:sz="8" w:space="0"/>
              <w:bottom w:val="single" w:color="auto" w:sz="4"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433" w:type="dxa"/>
            <w:gridSpan w:val="2"/>
            <w:tcBorders>
              <w:top w:val="single" w:color="auto" w:sz="4" w:space="0"/>
              <w:left w:val="single" w:color="auto" w:sz="2" w:space="0"/>
              <w:bottom w:val="single" w:color="auto" w:sz="4"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p>
        </w:tc>
        <w:tc>
          <w:tcPr>
            <w:tcW w:w="1166" w:type="dxa"/>
            <w:tcBorders>
              <w:top w:val="single" w:color="auto" w:sz="4" w:space="0"/>
              <w:left w:val="single" w:color="auto" w:sz="2"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254" w:type="dxa"/>
            <w:tcBorders>
              <w:top w:val="single" w:color="auto" w:sz="4" w:space="0"/>
              <w:left w:val="single" w:color="auto" w:sz="4" w:space="0"/>
              <w:bottom w:val="single" w:color="auto" w:sz="4"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p>
        </w:tc>
        <w:tc>
          <w:tcPr>
            <w:tcW w:w="1254" w:type="dxa"/>
            <w:tcBorders>
              <w:top w:val="single" w:color="auto" w:sz="4" w:space="0"/>
              <w:left w:val="single" w:color="auto" w:sz="4" w:space="0"/>
              <w:bottom w:val="single" w:color="auto" w:sz="4"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1" w:hRule="atLeast"/>
          <w:jc w:val="center"/>
        </w:trPr>
        <w:tc>
          <w:tcPr>
            <w:tcW w:w="975" w:type="dxa"/>
            <w:tcBorders>
              <w:top w:val="single" w:color="auto" w:sz="4" w:space="0"/>
              <w:left w:val="single" w:color="auto" w:sz="8"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2433" w:type="dxa"/>
            <w:gridSpan w:val="2"/>
            <w:tcBorders>
              <w:top w:val="single" w:color="auto" w:sz="4" w:space="0"/>
              <w:left w:val="single" w:color="auto" w:sz="2" w:space="0"/>
              <w:bottom w:val="single" w:color="auto" w:sz="4"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166" w:type="dxa"/>
            <w:tcBorders>
              <w:top w:val="single" w:color="auto" w:sz="4" w:space="0"/>
              <w:left w:val="single" w:color="auto" w:sz="2"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254" w:type="dxa"/>
            <w:tcBorders>
              <w:top w:val="single" w:color="auto" w:sz="4" w:space="0"/>
              <w:left w:val="single" w:color="auto" w:sz="4" w:space="0"/>
              <w:bottom w:val="single" w:color="auto" w:sz="4"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rPr>
            </w:pPr>
          </w:p>
        </w:tc>
        <w:tc>
          <w:tcPr>
            <w:tcW w:w="1254" w:type="dxa"/>
            <w:tcBorders>
              <w:top w:val="single" w:color="auto" w:sz="4" w:space="0"/>
              <w:left w:val="single" w:color="auto" w:sz="4" w:space="0"/>
              <w:bottom w:val="single" w:color="auto" w:sz="4"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11" w:hRule="atLeast"/>
          <w:jc w:val="center"/>
        </w:trPr>
        <w:tc>
          <w:tcPr>
            <w:tcW w:w="1856"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总计</w:t>
            </w:r>
          </w:p>
        </w:tc>
        <w:tc>
          <w:tcPr>
            <w:tcW w:w="1552" w:type="dxa"/>
            <w:tcBorders>
              <w:top w:val="single" w:color="auto" w:sz="2" w:space="0"/>
              <w:left w:val="single" w:color="auto" w:sz="4" w:space="0"/>
              <w:bottom w:val="single" w:color="auto" w:sz="2"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大写</w:t>
            </w:r>
          </w:p>
        </w:tc>
        <w:tc>
          <w:tcPr>
            <w:tcW w:w="6006" w:type="dxa"/>
            <w:gridSpan w:val="5"/>
            <w:tcBorders>
              <w:top w:val="single" w:color="auto" w:sz="2" w:space="0"/>
              <w:left w:val="single" w:color="auto" w:sz="4" w:space="0"/>
              <w:bottom w:val="single" w:color="auto" w:sz="2"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41" w:hRule="atLeast"/>
          <w:jc w:val="center"/>
        </w:trPr>
        <w:tc>
          <w:tcPr>
            <w:tcW w:w="1856"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spacing w:line="240" w:lineRule="auto"/>
              <w:jc w:val="center"/>
              <w:rPr>
                <w:rFonts w:hint="eastAsia" w:ascii="宋体" w:hAnsi="宋体" w:eastAsia="宋体" w:cs="宋体"/>
                <w:sz w:val="21"/>
                <w:szCs w:val="21"/>
                <w:highlight w:val="none"/>
              </w:rPr>
            </w:pPr>
          </w:p>
        </w:tc>
        <w:tc>
          <w:tcPr>
            <w:tcW w:w="1552" w:type="dxa"/>
            <w:tcBorders>
              <w:top w:val="single" w:color="auto" w:sz="2" w:space="0"/>
              <w:left w:val="single" w:color="auto" w:sz="4" w:space="0"/>
              <w:bottom w:val="single" w:color="auto" w:sz="8" w:space="0"/>
              <w:right w:val="single" w:color="auto" w:sz="2" w:space="0"/>
            </w:tcBorders>
            <w:noWrap w:val="0"/>
            <w:vAlign w:val="center"/>
          </w:tcPr>
          <w:p>
            <w:pPr>
              <w:snapToGrid/>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小写</w:t>
            </w:r>
          </w:p>
        </w:tc>
        <w:tc>
          <w:tcPr>
            <w:tcW w:w="6006" w:type="dxa"/>
            <w:gridSpan w:val="5"/>
            <w:tcBorders>
              <w:top w:val="single" w:color="auto" w:sz="2" w:space="0"/>
              <w:left w:val="single" w:color="auto" w:sz="4" w:space="0"/>
              <w:bottom w:val="single" w:color="auto" w:sz="8" w:space="0"/>
              <w:right w:val="single" w:color="auto" w:sz="8" w:space="0"/>
            </w:tcBorders>
            <w:noWrap w:val="0"/>
            <w:vAlign w:val="center"/>
          </w:tcPr>
          <w:p>
            <w:pPr>
              <w:snapToGrid/>
              <w:spacing w:line="240" w:lineRule="auto"/>
              <w:jc w:val="center"/>
              <w:rPr>
                <w:rFonts w:hint="eastAsia" w:ascii="宋体" w:hAnsi="宋体" w:eastAsia="宋体" w:cs="宋体"/>
                <w:sz w:val="21"/>
                <w:szCs w:val="21"/>
                <w:highlight w:val="none"/>
              </w:rPr>
            </w:pPr>
          </w:p>
        </w:tc>
      </w:tr>
    </w:tbl>
    <w:p>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2、分项报价表中合计总价应与开标一览表中的各项相应报价相一致。</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 xml:space="preserve">3、漏报视作包含在投标总价内。 </w:t>
      </w:r>
    </w:p>
    <w:p>
      <w:pPr>
        <w:shd w:val="clear" w:color="auto" w:fill="FFFFFF"/>
        <w:snapToGrid w:val="0"/>
        <w:spacing w:line="360"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投标人名称(公章)：</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lang w:val="zh-CN"/>
        </w:rPr>
      </w:pPr>
      <w:r>
        <w:rPr>
          <w:rFonts w:hint="eastAsia" w:ascii="宋体" w:hAnsi="宋体" w:cs="宋体"/>
          <w:color w:val="auto"/>
          <w:kern w:val="0"/>
          <w:sz w:val="24"/>
          <w:highlight w:val="none"/>
          <w:lang w:val="zh-CN"/>
        </w:rPr>
        <w:t>法定（授权）代表人（</w:t>
      </w:r>
      <w:r>
        <w:rPr>
          <w:rFonts w:hint="eastAsia" w:ascii="宋体" w:hAnsi="宋体" w:cs="宋体"/>
          <w:color w:val="auto"/>
          <w:kern w:val="0"/>
          <w:sz w:val="24"/>
          <w:highlight w:val="none"/>
        </w:rPr>
        <w:t>盖</w:t>
      </w:r>
      <w:r>
        <w:rPr>
          <w:rFonts w:hint="eastAsia" w:ascii="宋体" w:hAnsi="宋体" w:eastAsia="宋体" w:cs="宋体"/>
          <w:color w:val="auto"/>
          <w:sz w:val="24"/>
          <w:highlight w:val="none"/>
        </w:rPr>
        <w:t>章或签字</w:t>
      </w:r>
      <w:r>
        <w:rPr>
          <w:rFonts w:hint="eastAsia" w:ascii="宋体" w:hAnsi="宋体" w:eastAsia="宋体" w:cs="宋体"/>
          <w:color w:val="auto"/>
          <w:sz w:val="24"/>
          <w:highlight w:val="none"/>
          <w:lang w:val="zh-CN"/>
        </w:rPr>
        <w:t>）：</w:t>
      </w:r>
    </w:p>
    <w:p>
      <w:pPr>
        <w:shd w:val="clear" w:color="auto" w:fill="FFFFFF"/>
        <w:snapToGrid w:val="0"/>
        <w:spacing w:line="360" w:lineRule="auto"/>
        <w:ind w:firstLine="480" w:firstLineChars="200"/>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日期：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日</w:t>
      </w:r>
    </w:p>
    <w:p>
      <w:pPr>
        <w:pStyle w:val="381"/>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28"/>
          <w:szCs w:val="28"/>
          <w:highlight w:val="none"/>
          <w:lang w:eastAsia="zh-CN"/>
        </w:rPr>
        <w:t>三</w:t>
      </w:r>
      <w:r>
        <w:rPr>
          <w:rFonts w:hint="eastAsia" w:ascii="宋体" w:hAnsi="宋体" w:eastAsia="宋体" w:cs="宋体"/>
          <w:color w:val="auto"/>
          <w:kern w:val="2"/>
          <w:sz w:val="28"/>
          <w:szCs w:val="28"/>
          <w:highlight w:val="none"/>
        </w:rPr>
        <w:t>、</w:t>
      </w:r>
      <w:r>
        <w:rPr>
          <w:rFonts w:hint="eastAsia" w:ascii="宋体" w:hAnsi="宋体" w:eastAsia="宋体" w:cs="宋体"/>
          <w:color w:val="auto"/>
          <w:sz w:val="28"/>
          <w:szCs w:val="28"/>
          <w:highlight w:val="none"/>
        </w:rPr>
        <w:t>中小企业声明函</w:t>
      </w:r>
    </w:p>
    <w:p>
      <w:pPr>
        <w:widowControl/>
        <w:spacing w:line="600" w:lineRule="exact"/>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ascii="宋体" w:hAnsi="宋体" w:cs="宋体"/>
          <w:b/>
          <w:color w:val="auto"/>
          <w:kern w:val="0"/>
          <w:sz w:val="36"/>
          <w:szCs w:val="36"/>
          <w:highlight w:val="none"/>
        </w:rPr>
      </w:pPr>
    </w:p>
    <w:p>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6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60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pStyle w:val="6"/>
        <w:spacing w:line="600" w:lineRule="exact"/>
        <w:ind w:left="0"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6"/>
        <w:spacing w:line="600" w:lineRule="exact"/>
        <w:ind w:left="0"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highlight w:val="none"/>
        </w:rPr>
      </w:pPr>
    </w:p>
    <w:p>
      <w:pPr>
        <w:pStyle w:val="5"/>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390" w:name="_Toc465665161"/>
      <w:r>
        <w:rPr>
          <w:rFonts w:hint="eastAsia" w:ascii="宋体" w:hAnsi="宋体" w:cs="宋体"/>
          <w:color w:val="auto"/>
          <w:highlight w:val="none"/>
        </w:rPr>
        <w:t>附件</w:t>
      </w:r>
      <w:bookmarkEnd w:id="390"/>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1" w:name="OLE_LINK13"/>
      <w:bookmarkStart w:id="392" w:name="OLE_LINK14"/>
      <w:r>
        <w:rPr>
          <w:rFonts w:hint="eastAsia" w:ascii="宋体" w:hAnsi="宋体" w:cs="宋体"/>
          <w:b/>
          <w:color w:val="auto"/>
          <w:spacing w:val="6"/>
          <w:sz w:val="32"/>
          <w:szCs w:val="32"/>
          <w:highlight w:val="none"/>
        </w:rPr>
        <w:t>残疾人福利性单位声明函</w:t>
      </w:r>
    </w:p>
    <w:bookmarkEnd w:id="391"/>
    <w:bookmarkEnd w:id="392"/>
    <w:p>
      <w:pPr>
        <w:spacing w:line="600" w:lineRule="exact"/>
        <w:rPr>
          <w:rFonts w:ascii="宋体" w:hAnsi="宋体" w:cs="宋体"/>
          <w:b/>
          <w:color w:val="auto"/>
          <w:spacing w:val="6"/>
          <w:sz w:val="30"/>
          <w:szCs w:val="30"/>
          <w:highlight w:val="none"/>
        </w:rPr>
      </w:pP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600" w:lineRule="exact"/>
        <w:ind w:firstLine="480" w:firstLineChars="200"/>
        <w:rPr>
          <w:rFonts w:ascii="宋体" w:hAnsi="宋体" w:cs="宋体"/>
          <w:color w:val="auto"/>
          <w:sz w:val="24"/>
          <w:highlight w:val="none"/>
        </w:rPr>
      </w:pPr>
    </w:p>
    <w:p>
      <w:pPr>
        <w:spacing w:line="600" w:lineRule="exact"/>
        <w:ind w:firstLine="480" w:firstLineChars="200"/>
        <w:rPr>
          <w:rFonts w:ascii="宋体" w:hAnsi="宋体" w:cs="宋体"/>
          <w:color w:val="auto"/>
          <w:sz w:val="24"/>
          <w:highlight w:val="none"/>
        </w:rPr>
      </w:pPr>
    </w:p>
    <w:p>
      <w:pPr>
        <w:tabs>
          <w:tab w:val="left" w:pos="4860"/>
        </w:tabs>
        <w:spacing w:line="600"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600"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600" w:lineRule="exact"/>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5"/>
        <w:rPr>
          <w:rFonts w:ascii="宋体" w:hAnsi="宋体" w:cs="宋体"/>
          <w:color w:val="auto"/>
          <w:spacing w:val="6"/>
          <w:sz w:val="32"/>
          <w:szCs w:val="32"/>
          <w:highlight w:val="none"/>
        </w:rPr>
      </w:pPr>
    </w:p>
    <w:p>
      <w:pPr>
        <w:pStyle w:val="5"/>
        <w:spacing w:line="240" w:lineRule="auto"/>
        <w:ind w:left="0" w:firstLine="0"/>
        <w:rPr>
          <w:rFonts w:ascii="宋体" w:hAnsi="宋体" w:cs="宋体"/>
          <w:color w:val="auto"/>
          <w:highlight w:val="none"/>
        </w:rPr>
      </w:pPr>
    </w:p>
    <w:p>
      <w:pPr>
        <w:rPr>
          <w:rFonts w:ascii="宋体" w:hAnsi="宋体" w:cs="宋体"/>
          <w:color w:val="auto"/>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pPr>
        <w:spacing w:line="360" w:lineRule="auto"/>
        <w:rPr>
          <w:rFonts w:ascii="宋体" w:hAnsi="宋体" w:cs="宋体"/>
          <w:color w:val="auto"/>
          <w:highlight w:val="none"/>
        </w:rPr>
      </w:pP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16" w:type="first"/>
      <w:footerReference r:id="rId19" w:type="first"/>
      <w:headerReference r:id="rId15" w:type="default"/>
      <w:footerReference r:id="rId17" w:type="default"/>
      <w:footerReference r:id="rId18" w:type="even"/>
      <w:pgSz w:w="11905" w:h="16838"/>
      <w:pgMar w:top="1531" w:right="1304" w:bottom="153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bookmarkStart w:id="393" w:name="_Toc131845147"/>
    <w:bookmarkStart w:id="394" w:name="_Toc164085800"/>
    <w:bookmarkStart w:id="395" w:name="_Toc91899912"/>
    <w:bookmarkStart w:id="396" w:name="_Toc36110187"/>
    <w:r>
      <w:rPr>
        <w:rFonts w:hint="eastAsia" w:ascii="仿宋_GB2312" w:eastAsia="仿宋_GB2312"/>
        <w:kern w:val="0"/>
        <w:szCs w:val="21"/>
      </w:rPr>
      <w:t xml:space="preserve"> 页</w:t>
    </w:r>
    <w:bookmarkEnd w:id="393"/>
    <w:bookmarkEnd w:id="394"/>
    <w:bookmarkEnd w:id="395"/>
    <w:bookmarkEnd w:id="39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6CCC9"/>
    <w:multiLevelType w:val="singleLevel"/>
    <w:tmpl w:val="06E6CCC9"/>
    <w:lvl w:ilvl="0" w:tentative="0">
      <w:start w:val="1"/>
      <w:numFmt w:val="decimal"/>
      <w:suff w:val="nothing"/>
      <w:lvlText w:val="%1）"/>
      <w:lvlJc w:val="left"/>
    </w:lvl>
  </w:abstractNum>
  <w:abstractNum w:abstractNumId="1">
    <w:nsid w:val="6C40BFAE"/>
    <w:multiLevelType w:val="singleLevel"/>
    <w:tmpl w:val="6C40BFA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YWQxNzZiNGM0ODZlYWExY2YyMzQ3NDg5OWUwZ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6FC7"/>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767"/>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47"/>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42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3EA"/>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B4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9C"/>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59"/>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AC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D02"/>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B"/>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C7"/>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7C"/>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D5D"/>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916"/>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56696"/>
    <w:rsid w:val="015D2A36"/>
    <w:rsid w:val="019F7441"/>
    <w:rsid w:val="01B37585"/>
    <w:rsid w:val="01BA1319"/>
    <w:rsid w:val="01CF66E6"/>
    <w:rsid w:val="01D55165"/>
    <w:rsid w:val="01DF6BF8"/>
    <w:rsid w:val="01EC2C57"/>
    <w:rsid w:val="026B2E25"/>
    <w:rsid w:val="02824D4D"/>
    <w:rsid w:val="02C7409E"/>
    <w:rsid w:val="02DC4B10"/>
    <w:rsid w:val="02DD76CE"/>
    <w:rsid w:val="02E6005A"/>
    <w:rsid w:val="02F36323"/>
    <w:rsid w:val="02F5619C"/>
    <w:rsid w:val="0326446A"/>
    <w:rsid w:val="032D5555"/>
    <w:rsid w:val="035E4B97"/>
    <w:rsid w:val="036634D2"/>
    <w:rsid w:val="03DD35E4"/>
    <w:rsid w:val="04076900"/>
    <w:rsid w:val="041A5A3B"/>
    <w:rsid w:val="042311BA"/>
    <w:rsid w:val="042B157A"/>
    <w:rsid w:val="048F763B"/>
    <w:rsid w:val="04905C77"/>
    <w:rsid w:val="049F1A1F"/>
    <w:rsid w:val="049F330E"/>
    <w:rsid w:val="04AA775C"/>
    <w:rsid w:val="04AF1889"/>
    <w:rsid w:val="04F66F48"/>
    <w:rsid w:val="05251E14"/>
    <w:rsid w:val="05A16594"/>
    <w:rsid w:val="05A7762D"/>
    <w:rsid w:val="05FA70D2"/>
    <w:rsid w:val="060E5941"/>
    <w:rsid w:val="06110FAF"/>
    <w:rsid w:val="06493CA7"/>
    <w:rsid w:val="065A6178"/>
    <w:rsid w:val="066F1CF3"/>
    <w:rsid w:val="06930BB8"/>
    <w:rsid w:val="06933D53"/>
    <w:rsid w:val="06D06DE3"/>
    <w:rsid w:val="07245D42"/>
    <w:rsid w:val="07264C62"/>
    <w:rsid w:val="076874D4"/>
    <w:rsid w:val="076B125A"/>
    <w:rsid w:val="0779354C"/>
    <w:rsid w:val="08061376"/>
    <w:rsid w:val="08452D77"/>
    <w:rsid w:val="086401F8"/>
    <w:rsid w:val="08751CAA"/>
    <w:rsid w:val="087E4C40"/>
    <w:rsid w:val="08D66AD6"/>
    <w:rsid w:val="08DA33A3"/>
    <w:rsid w:val="08E80F13"/>
    <w:rsid w:val="09335624"/>
    <w:rsid w:val="0944690F"/>
    <w:rsid w:val="09464C79"/>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D0598"/>
    <w:rsid w:val="0B482C80"/>
    <w:rsid w:val="0B4C6C14"/>
    <w:rsid w:val="0B631A88"/>
    <w:rsid w:val="0B683D45"/>
    <w:rsid w:val="0B7F3F11"/>
    <w:rsid w:val="0B884417"/>
    <w:rsid w:val="0BDC3980"/>
    <w:rsid w:val="0BF6188C"/>
    <w:rsid w:val="0BF73C91"/>
    <w:rsid w:val="0C136C39"/>
    <w:rsid w:val="0C170175"/>
    <w:rsid w:val="0C1901D3"/>
    <w:rsid w:val="0C1A702C"/>
    <w:rsid w:val="0C571A41"/>
    <w:rsid w:val="0C5C1171"/>
    <w:rsid w:val="0C5E1CBC"/>
    <w:rsid w:val="0C615B50"/>
    <w:rsid w:val="0C8445DA"/>
    <w:rsid w:val="0C87121B"/>
    <w:rsid w:val="0CC007F7"/>
    <w:rsid w:val="0CD10852"/>
    <w:rsid w:val="0CFE707A"/>
    <w:rsid w:val="0D063BDA"/>
    <w:rsid w:val="0D08375F"/>
    <w:rsid w:val="0D184CFB"/>
    <w:rsid w:val="0D4A7419"/>
    <w:rsid w:val="0D6771E5"/>
    <w:rsid w:val="0D827401"/>
    <w:rsid w:val="0D84094E"/>
    <w:rsid w:val="0D8A00E9"/>
    <w:rsid w:val="0D8D589E"/>
    <w:rsid w:val="0DA01C73"/>
    <w:rsid w:val="0DD63300"/>
    <w:rsid w:val="0DF50604"/>
    <w:rsid w:val="0DF702FE"/>
    <w:rsid w:val="0E060E51"/>
    <w:rsid w:val="0E5604B2"/>
    <w:rsid w:val="0E6D5D79"/>
    <w:rsid w:val="0E832BBA"/>
    <w:rsid w:val="0E84595A"/>
    <w:rsid w:val="0E9D0089"/>
    <w:rsid w:val="0EA448B4"/>
    <w:rsid w:val="0EB803EE"/>
    <w:rsid w:val="0EF94D4B"/>
    <w:rsid w:val="0F2F5983"/>
    <w:rsid w:val="0F361DC2"/>
    <w:rsid w:val="0F4958DC"/>
    <w:rsid w:val="0F515DF7"/>
    <w:rsid w:val="0F596BA8"/>
    <w:rsid w:val="0F6248D2"/>
    <w:rsid w:val="0F693536"/>
    <w:rsid w:val="0F7B0511"/>
    <w:rsid w:val="0F7B76D9"/>
    <w:rsid w:val="0F816ACD"/>
    <w:rsid w:val="0F8B0E7B"/>
    <w:rsid w:val="0F9832DB"/>
    <w:rsid w:val="0FBF3FD2"/>
    <w:rsid w:val="0FBF7FF3"/>
    <w:rsid w:val="10646583"/>
    <w:rsid w:val="107D4B15"/>
    <w:rsid w:val="107F6B40"/>
    <w:rsid w:val="108A3C80"/>
    <w:rsid w:val="1097230C"/>
    <w:rsid w:val="10C26171"/>
    <w:rsid w:val="10F33360"/>
    <w:rsid w:val="10FC16EA"/>
    <w:rsid w:val="10FC4644"/>
    <w:rsid w:val="110F1D40"/>
    <w:rsid w:val="11266F33"/>
    <w:rsid w:val="1130427C"/>
    <w:rsid w:val="116A3642"/>
    <w:rsid w:val="118963A1"/>
    <w:rsid w:val="11C6522A"/>
    <w:rsid w:val="11E104CC"/>
    <w:rsid w:val="11E20309"/>
    <w:rsid w:val="11E21816"/>
    <w:rsid w:val="12255233"/>
    <w:rsid w:val="12530213"/>
    <w:rsid w:val="127723A9"/>
    <w:rsid w:val="12862074"/>
    <w:rsid w:val="12883966"/>
    <w:rsid w:val="129E45B4"/>
    <w:rsid w:val="12D81596"/>
    <w:rsid w:val="13072A44"/>
    <w:rsid w:val="135E2802"/>
    <w:rsid w:val="135F4BE2"/>
    <w:rsid w:val="139B1A0A"/>
    <w:rsid w:val="139D25C7"/>
    <w:rsid w:val="13BF3CE4"/>
    <w:rsid w:val="13C866DD"/>
    <w:rsid w:val="13D40C0B"/>
    <w:rsid w:val="141008D8"/>
    <w:rsid w:val="14125FE6"/>
    <w:rsid w:val="141E5095"/>
    <w:rsid w:val="142F1747"/>
    <w:rsid w:val="146D271E"/>
    <w:rsid w:val="14982588"/>
    <w:rsid w:val="149A5AD9"/>
    <w:rsid w:val="14A7619D"/>
    <w:rsid w:val="150536C3"/>
    <w:rsid w:val="150C1963"/>
    <w:rsid w:val="151447A0"/>
    <w:rsid w:val="151930B4"/>
    <w:rsid w:val="154A6454"/>
    <w:rsid w:val="15762120"/>
    <w:rsid w:val="15F76B65"/>
    <w:rsid w:val="16390F1E"/>
    <w:rsid w:val="167E7006"/>
    <w:rsid w:val="16A8729C"/>
    <w:rsid w:val="16B33777"/>
    <w:rsid w:val="16BC70A7"/>
    <w:rsid w:val="16C6339E"/>
    <w:rsid w:val="172F2D79"/>
    <w:rsid w:val="17557BEF"/>
    <w:rsid w:val="17576AB6"/>
    <w:rsid w:val="178533B6"/>
    <w:rsid w:val="17BF5F86"/>
    <w:rsid w:val="17D349C1"/>
    <w:rsid w:val="18140BEB"/>
    <w:rsid w:val="18301B92"/>
    <w:rsid w:val="1830729E"/>
    <w:rsid w:val="1870062C"/>
    <w:rsid w:val="18817102"/>
    <w:rsid w:val="18830A15"/>
    <w:rsid w:val="18852B28"/>
    <w:rsid w:val="188B5321"/>
    <w:rsid w:val="188C387F"/>
    <w:rsid w:val="18B813F3"/>
    <w:rsid w:val="18FF22A3"/>
    <w:rsid w:val="19932372"/>
    <w:rsid w:val="19A20DD5"/>
    <w:rsid w:val="19AE03F1"/>
    <w:rsid w:val="19C94EA4"/>
    <w:rsid w:val="19F83EC4"/>
    <w:rsid w:val="1A071A03"/>
    <w:rsid w:val="1A1F16AE"/>
    <w:rsid w:val="1A3B5C77"/>
    <w:rsid w:val="1A984BAD"/>
    <w:rsid w:val="1AB64BE3"/>
    <w:rsid w:val="1AB8220E"/>
    <w:rsid w:val="1ABF0FF7"/>
    <w:rsid w:val="1ACF70DD"/>
    <w:rsid w:val="1AE4166C"/>
    <w:rsid w:val="1AF06CFB"/>
    <w:rsid w:val="1AF11B8D"/>
    <w:rsid w:val="1B11359C"/>
    <w:rsid w:val="1B2A271F"/>
    <w:rsid w:val="1B530544"/>
    <w:rsid w:val="1B713184"/>
    <w:rsid w:val="1BA209CF"/>
    <w:rsid w:val="1BA350A1"/>
    <w:rsid w:val="1BB2773E"/>
    <w:rsid w:val="1BB4777D"/>
    <w:rsid w:val="1BD75AB8"/>
    <w:rsid w:val="1BF87504"/>
    <w:rsid w:val="1C0459C2"/>
    <w:rsid w:val="1C1B3B4A"/>
    <w:rsid w:val="1C844F99"/>
    <w:rsid w:val="1C88086E"/>
    <w:rsid w:val="1D266CE1"/>
    <w:rsid w:val="1D3963AF"/>
    <w:rsid w:val="1D6A673C"/>
    <w:rsid w:val="1D9247AE"/>
    <w:rsid w:val="1DB567EC"/>
    <w:rsid w:val="1DCF0496"/>
    <w:rsid w:val="1DF51A98"/>
    <w:rsid w:val="1E325C65"/>
    <w:rsid w:val="1E3D060F"/>
    <w:rsid w:val="1E3F7D2E"/>
    <w:rsid w:val="1E4134E4"/>
    <w:rsid w:val="1E5062B3"/>
    <w:rsid w:val="1E523514"/>
    <w:rsid w:val="1E714A66"/>
    <w:rsid w:val="1E802593"/>
    <w:rsid w:val="1EA703CC"/>
    <w:rsid w:val="1EB7330C"/>
    <w:rsid w:val="1F0A0FF3"/>
    <w:rsid w:val="1F5771FF"/>
    <w:rsid w:val="1F8564A0"/>
    <w:rsid w:val="1FDB15ED"/>
    <w:rsid w:val="1FE868A9"/>
    <w:rsid w:val="20034907"/>
    <w:rsid w:val="20173E4B"/>
    <w:rsid w:val="204131A1"/>
    <w:rsid w:val="204E48BC"/>
    <w:rsid w:val="208921B3"/>
    <w:rsid w:val="20973DEB"/>
    <w:rsid w:val="20B26522"/>
    <w:rsid w:val="20B44310"/>
    <w:rsid w:val="20E44E40"/>
    <w:rsid w:val="211116EB"/>
    <w:rsid w:val="216133FC"/>
    <w:rsid w:val="21D56769"/>
    <w:rsid w:val="21E52EF3"/>
    <w:rsid w:val="21FB022D"/>
    <w:rsid w:val="21FB5D7B"/>
    <w:rsid w:val="220B1C3D"/>
    <w:rsid w:val="221D1D20"/>
    <w:rsid w:val="22334A87"/>
    <w:rsid w:val="22BE6801"/>
    <w:rsid w:val="233500BF"/>
    <w:rsid w:val="23377FF7"/>
    <w:rsid w:val="236B425F"/>
    <w:rsid w:val="23836192"/>
    <w:rsid w:val="23901F29"/>
    <w:rsid w:val="23992CC8"/>
    <w:rsid w:val="239C0061"/>
    <w:rsid w:val="23B908A4"/>
    <w:rsid w:val="23E95BEF"/>
    <w:rsid w:val="23FD0064"/>
    <w:rsid w:val="245375B0"/>
    <w:rsid w:val="245423E3"/>
    <w:rsid w:val="24642C0A"/>
    <w:rsid w:val="24B22173"/>
    <w:rsid w:val="24B95AD9"/>
    <w:rsid w:val="24BE24DA"/>
    <w:rsid w:val="24CF5825"/>
    <w:rsid w:val="24D663E6"/>
    <w:rsid w:val="24D77F2B"/>
    <w:rsid w:val="250937B0"/>
    <w:rsid w:val="257E10E5"/>
    <w:rsid w:val="258B00E2"/>
    <w:rsid w:val="25A917A6"/>
    <w:rsid w:val="25BE27CC"/>
    <w:rsid w:val="25F74A5C"/>
    <w:rsid w:val="2628662C"/>
    <w:rsid w:val="262D45DE"/>
    <w:rsid w:val="265672BA"/>
    <w:rsid w:val="266B541C"/>
    <w:rsid w:val="26864BE7"/>
    <w:rsid w:val="26A53EF9"/>
    <w:rsid w:val="26A94201"/>
    <w:rsid w:val="26AC274F"/>
    <w:rsid w:val="26B90404"/>
    <w:rsid w:val="26D00B73"/>
    <w:rsid w:val="27044A29"/>
    <w:rsid w:val="271D34C8"/>
    <w:rsid w:val="276142BF"/>
    <w:rsid w:val="27783712"/>
    <w:rsid w:val="277B349E"/>
    <w:rsid w:val="277D71B5"/>
    <w:rsid w:val="27907362"/>
    <w:rsid w:val="281B6ECB"/>
    <w:rsid w:val="28333E1D"/>
    <w:rsid w:val="28454BD6"/>
    <w:rsid w:val="28455253"/>
    <w:rsid w:val="28551971"/>
    <w:rsid w:val="285B1C53"/>
    <w:rsid w:val="28690E5B"/>
    <w:rsid w:val="289F7086"/>
    <w:rsid w:val="28C32028"/>
    <w:rsid w:val="28C500B0"/>
    <w:rsid w:val="28CC490F"/>
    <w:rsid w:val="28DE40AA"/>
    <w:rsid w:val="292D3A45"/>
    <w:rsid w:val="29345E77"/>
    <w:rsid w:val="294C65AD"/>
    <w:rsid w:val="29806583"/>
    <w:rsid w:val="298B3C4C"/>
    <w:rsid w:val="29F26D24"/>
    <w:rsid w:val="2A15033F"/>
    <w:rsid w:val="2A1662C1"/>
    <w:rsid w:val="2A1C7367"/>
    <w:rsid w:val="2A2815FA"/>
    <w:rsid w:val="2A6D6092"/>
    <w:rsid w:val="2A7D76B4"/>
    <w:rsid w:val="2B3F2A75"/>
    <w:rsid w:val="2B437463"/>
    <w:rsid w:val="2B5727E3"/>
    <w:rsid w:val="2B5B5EB8"/>
    <w:rsid w:val="2B7807EE"/>
    <w:rsid w:val="2BBF00EC"/>
    <w:rsid w:val="2BC37CFD"/>
    <w:rsid w:val="2BD5237F"/>
    <w:rsid w:val="2BE536CE"/>
    <w:rsid w:val="2BE758D9"/>
    <w:rsid w:val="2C09049E"/>
    <w:rsid w:val="2C0A653C"/>
    <w:rsid w:val="2C191F85"/>
    <w:rsid w:val="2C3C32FA"/>
    <w:rsid w:val="2C4402A1"/>
    <w:rsid w:val="2C5F228C"/>
    <w:rsid w:val="2C6738F3"/>
    <w:rsid w:val="2CE82D6F"/>
    <w:rsid w:val="2D325F3C"/>
    <w:rsid w:val="2D343236"/>
    <w:rsid w:val="2DD15014"/>
    <w:rsid w:val="2DE927D1"/>
    <w:rsid w:val="2DF72DE4"/>
    <w:rsid w:val="2E0220AF"/>
    <w:rsid w:val="2E092D17"/>
    <w:rsid w:val="2E4B082A"/>
    <w:rsid w:val="2E5D4E86"/>
    <w:rsid w:val="2E5D790B"/>
    <w:rsid w:val="2E9A3C18"/>
    <w:rsid w:val="2EBB0FEE"/>
    <w:rsid w:val="2EC63002"/>
    <w:rsid w:val="2F0A6B38"/>
    <w:rsid w:val="2F8512FC"/>
    <w:rsid w:val="2F946CCB"/>
    <w:rsid w:val="2FD25781"/>
    <w:rsid w:val="2FFD7934"/>
    <w:rsid w:val="303B5831"/>
    <w:rsid w:val="30733ACD"/>
    <w:rsid w:val="308C3862"/>
    <w:rsid w:val="309379D8"/>
    <w:rsid w:val="30A270F7"/>
    <w:rsid w:val="30B55C11"/>
    <w:rsid w:val="30D1550A"/>
    <w:rsid w:val="30DF1478"/>
    <w:rsid w:val="30EC586F"/>
    <w:rsid w:val="319C6071"/>
    <w:rsid w:val="31AC537E"/>
    <w:rsid w:val="31E3679B"/>
    <w:rsid w:val="31E732FD"/>
    <w:rsid w:val="32517576"/>
    <w:rsid w:val="32BE5C2C"/>
    <w:rsid w:val="32D93C7B"/>
    <w:rsid w:val="32FB6478"/>
    <w:rsid w:val="33263B3F"/>
    <w:rsid w:val="3340363E"/>
    <w:rsid w:val="336963EB"/>
    <w:rsid w:val="33816EEB"/>
    <w:rsid w:val="33EB55CD"/>
    <w:rsid w:val="33EC4C02"/>
    <w:rsid w:val="340D2360"/>
    <w:rsid w:val="3410665D"/>
    <w:rsid w:val="34211214"/>
    <w:rsid w:val="342E63AB"/>
    <w:rsid w:val="34950E68"/>
    <w:rsid w:val="34986E94"/>
    <w:rsid w:val="34AF62C9"/>
    <w:rsid w:val="34CB4388"/>
    <w:rsid w:val="34D32474"/>
    <w:rsid w:val="34FA6E12"/>
    <w:rsid w:val="354B2BF3"/>
    <w:rsid w:val="358D5588"/>
    <w:rsid w:val="35E608CB"/>
    <w:rsid w:val="363A3B40"/>
    <w:rsid w:val="365302AE"/>
    <w:rsid w:val="36607A0A"/>
    <w:rsid w:val="366E227C"/>
    <w:rsid w:val="366F2E0D"/>
    <w:rsid w:val="366F7C87"/>
    <w:rsid w:val="367B6A5C"/>
    <w:rsid w:val="36A74ADA"/>
    <w:rsid w:val="36AD60D5"/>
    <w:rsid w:val="36B224F9"/>
    <w:rsid w:val="36EC0CC9"/>
    <w:rsid w:val="371C0362"/>
    <w:rsid w:val="373E1B52"/>
    <w:rsid w:val="373F410B"/>
    <w:rsid w:val="37571160"/>
    <w:rsid w:val="37763BFC"/>
    <w:rsid w:val="37905D43"/>
    <w:rsid w:val="37EE7094"/>
    <w:rsid w:val="38296C89"/>
    <w:rsid w:val="383002EB"/>
    <w:rsid w:val="38586797"/>
    <w:rsid w:val="38965357"/>
    <w:rsid w:val="38BC0149"/>
    <w:rsid w:val="38D87D1C"/>
    <w:rsid w:val="39636459"/>
    <w:rsid w:val="396B7F6C"/>
    <w:rsid w:val="39B34CB8"/>
    <w:rsid w:val="39B417A9"/>
    <w:rsid w:val="39FC5695"/>
    <w:rsid w:val="3A006D8E"/>
    <w:rsid w:val="3A3651E5"/>
    <w:rsid w:val="3A634D1A"/>
    <w:rsid w:val="3A744481"/>
    <w:rsid w:val="3A8C7BEF"/>
    <w:rsid w:val="3A906246"/>
    <w:rsid w:val="3B2349B7"/>
    <w:rsid w:val="3B324F99"/>
    <w:rsid w:val="3B616CFF"/>
    <w:rsid w:val="3B6259F6"/>
    <w:rsid w:val="3B6B726D"/>
    <w:rsid w:val="3B712735"/>
    <w:rsid w:val="3B976654"/>
    <w:rsid w:val="3BC01EFC"/>
    <w:rsid w:val="3BCA786A"/>
    <w:rsid w:val="3BD31E2F"/>
    <w:rsid w:val="3BF15831"/>
    <w:rsid w:val="3C105946"/>
    <w:rsid w:val="3C3318A7"/>
    <w:rsid w:val="3C471448"/>
    <w:rsid w:val="3C5F759A"/>
    <w:rsid w:val="3C6C525A"/>
    <w:rsid w:val="3C9E4374"/>
    <w:rsid w:val="3CBA5508"/>
    <w:rsid w:val="3CCE23CB"/>
    <w:rsid w:val="3CD17D17"/>
    <w:rsid w:val="3D3C7F39"/>
    <w:rsid w:val="3D440F09"/>
    <w:rsid w:val="3D4504A0"/>
    <w:rsid w:val="3D8734BB"/>
    <w:rsid w:val="3D9A11D4"/>
    <w:rsid w:val="3DA16D89"/>
    <w:rsid w:val="3DA364BE"/>
    <w:rsid w:val="3DE041CB"/>
    <w:rsid w:val="3DE77818"/>
    <w:rsid w:val="3E065A2B"/>
    <w:rsid w:val="3E0D48F6"/>
    <w:rsid w:val="3E1868B4"/>
    <w:rsid w:val="3E377251"/>
    <w:rsid w:val="3E42664B"/>
    <w:rsid w:val="3E4A31DC"/>
    <w:rsid w:val="3E5A7334"/>
    <w:rsid w:val="3E5C4FE6"/>
    <w:rsid w:val="3E7B5D6B"/>
    <w:rsid w:val="3E843E66"/>
    <w:rsid w:val="3E8F51FE"/>
    <w:rsid w:val="3E926F87"/>
    <w:rsid w:val="3E9A59DE"/>
    <w:rsid w:val="3EAA2D30"/>
    <w:rsid w:val="3EAF4836"/>
    <w:rsid w:val="3EC33DFA"/>
    <w:rsid w:val="3F060E16"/>
    <w:rsid w:val="3F1D1096"/>
    <w:rsid w:val="3F2F0234"/>
    <w:rsid w:val="3F5743AE"/>
    <w:rsid w:val="3F6363FE"/>
    <w:rsid w:val="3F756B8F"/>
    <w:rsid w:val="3F95482B"/>
    <w:rsid w:val="4019356B"/>
    <w:rsid w:val="40241FAA"/>
    <w:rsid w:val="40592157"/>
    <w:rsid w:val="406E1CAE"/>
    <w:rsid w:val="409525B7"/>
    <w:rsid w:val="40A0133A"/>
    <w:rsid w:val="40BD3A12"/>
    <w:rsid w:val="40C2248F"/>
    <w:rsid w:val="40C31A53"/>
    <w:rsid w:val="40F3190F"/>
    <w:rsid w:val="40FF545D"/>
    <w:rsid w:val="410067C8"/>
    <w:rsid w:val="413B6C9C"/>
    <w:rsid w:val="4166684C"/>
    <w:rsid w:val="418F0D2A"/>
    <w:rsid w:val="41D01505"/>
    <w:rsid w:val="42474939"/>
    <w:rsid w:val="424C3C57"/>
    <w:rsid w:val="4260079A"/>
    <w:rsid w:val="42613FF3"/>
    <w:rsid w:val="42660D96"/>
    <w:rsid w:val="428667D2"/>
    <w:rsid w:val="42A2126F"/>
    <w:rsid w:val="42CB256E"/>
    <w:rsid w:val="42CD1CE0"/>
    <w:rsid w:val="42E1381E"/>
    <w:rsid w:val="42ED6459"/>
    <w:rsid w:val="42FE58DD"/>
    <w:rsid w:val="43174B3D"/>
    <w:rsid w:val="432D7889"/>
    <w:rsid w:val="434B790E"/>
    <w:rsid w:val="4360274F"/>
    <w:rsid w:val="43977AB6"/>
    <w:rsid w:val="43A3342B"/>
    <w:rsid w:val="43C77C27"/>
    <w:rsid w:val="43DE09EE"/>
    <w:rsid w:val="44002FAD"/>
    <w:rsid w:val="44450924"/>
    <w:rsid w:val="449101DD"/>
    <w:rsid w:val="44DE1391"/>
    <w:rsid w:val="45157F3F"/>
    <w:rsid w:val="451B225C"/>
    <w:rsid w:val="452410C9"/>
    <w:rsid w:val="45317DFB"/>
    <w:rsid w:val="456162D8"/>
    <w:rsid w:val="456D3CE4"/>
    <w:rsid w:val="4579042C"/>
    <w:rsid w:val="457F0571"/>
    <w:rsid w:val="45851176"/>
    <w:rsid w:val="45C26C18"/>
    <w:rsid w:val="45C63B94"/>
    <w:rsid w:val="45DB084F"/>
    <w:rsid w:val="460E7DA5"/>
    <w:rsid w:val="46422483"/>
    <w:rsid w:val="4659254A"/>
    <w:rsid w:val="465B0637"/>
    <w:rsid w:val="465E3F0D"/>
    <w:rsid w:val="466A16E6"/>
    <w:rsid w:val="46893F2B"/>
    <w:rsid w:val="46C4686E"/>
    <w:rsid w:val="46D0467C"/>
    <w:rsid w:val="46F25145"/>
    <w:rsid w:val="477B778F"/>
    <w:rsid w:val="478203EC"/>
    <w:rsid w:val="47A34923"/>
    <w:rsid w:val="47B025FA"/>
    <w:rsid w:val="4809698F"/>
    <w:rsid w:val="4811697D"/>
    <w:rsid w:val="487A3E25"/>
    <w:rsid w:val="488B5503"/>
    <w:rsid w:val="48937E21"/>
    <w:rsid w:val="489A0361"/>
    <w:rsid w:val="48B94FF3"/>
    <w:rsid w:val="48D87125"/>
    <w:rsid w:val="48E37AAB"/>
    <w:rsid w:val="48FD4B4C"/>
    <w:rsid w:val="490A68E0"/>
    <w:rsid w:val="491055FE"/>
    <w:rsid w:val="495F5B3E"/>
    <w:rsid w:val="496F77D7"/>
    <w:rsid w:val="497654FD"/>
    <w:rsid w:val="498129B6"/>
    <w:rsid w:val="49A10605"/>
    <w:rsid w:val="49B64211"/>
    <w:rsid w:val="49C70D9C"/>
    <w:rsid w:val="49F6167F"/>
    <w:rsid w:val="4A064FA0"/>
    <w:rsid w:val="4A0F1452"/>
    <w:rsid w:val="4A16615C"/>
    <w:rsid w:val="4A2B6EBA"/>
    <w:rsid w:val="4A4424D7"/>
    <w:rsid w:val="4AB82D0F"/>
    <w:rsid w:val="4AEB7664"/>
    <w:rsid w:val="4AF127D6"/>
    <w:rsid w:val="4AFD7C19"/>
    <w:rsid w:val="4B0567D1"/>
    <w:rsid w:val="4B236AAE"/>
    <w:rsid w:val="4B275D32"/>
    <w:rsid w:val="4B506042"/>
    <w:rsid w:val="4B6D5F6B"/>
    <w:rsid w:val="4B707271"/>
    <w:rsid w:val="4B764485"/>
    <w:rsid w:val="4B9739F7"/>
    <w:rsid w:val="4BC62629"/>
    <w:rsid w:val="4BEE2503"/>
    <w:rsid w:val="4C245A30"/>
    <w:rsid w:val="4C347834"/>
    <w:rsid w:val="4C680153"/>
    <w:rsid w:val="4C716A38"/>
    <w:rsid w:val="4C87000A"/>
    <w:rsid w:val="4CB6685F"/>
    <w:rsid w:val="4CC367FE"/>
    <w:rsid w:val="4D077F3C"/>
    <w:rsid w:val="4D123355"/>
    <w:rsid w:val="4D1A664D"/>
    <w:rsid w:val="4D22443C"/>
    <w:rsid w:val="4D2A3B31"/>
    <w:rsid w:val="4D312C52"/>
    <w:rsid w:val="4D905305"/>
    <w:rsid w:val="4D964A72"/>
    <w:rsid w:val="4D9C1254"/>
    <w:rsid w:val="4DA8648A"/>
    <w:rsid w:val="4E3425AE"/>
    <w:rsid w:val="4E793892"/>
    <w:rsid w:val="4E800872"/>
    <w:rsid w:val="4EA84268"/>
    <w:rsid w:val="4EC569ED"/>
    <w:rsid w:val="4ED50EA1"/>
    <w:rsid w:val="4EEC050C"/>
    <w:rsid w:val="4F104EC3"/>
    <w:rsid w:val="4F47354A"/>
    <w:rsid w:val="4F475357"/>
    <w:rsid w:val="4F911C54"/>
    <w:rsid w:val="4F92037D"/>
    <w:rsid w:val="4FE625E0"/>
    <w:rsid w:val="500A342C"/>
    <w:rsid w:val="5021480F"/>
    <w:rsid w:val="50305C8B"/>
    <w:rsid w:val="50750E8F"/>
    <w:rsid w:val="50962ECB"/>
    <w:rsid w:val="50A42E38"/>
    <w:rsid w:val="50A4577F"/>
    <w:rsid w:val="50B73D1F"/>
    <w:rsid w:val="50BD5BC9"/>
    <w:rsid w:val="50C11EEE"/>
    <w:rsid w:val="50C13FAD"/>
    <w:rsid w:val="50D9108F"/>
    <w:rsid w:val="50E034C4"/>
    <w:rsid w:val="50E97CFC"/>
    <w:rsid w:val="50FA4028"/>
    <w:rsid w:val="510D65B7"/>
    <w:rsid w:val="511157AB"/>
    <w:rsid w:val="5142540C"/>
    <w:rsid w:val="518832C8"/>
    <w:rsid w:val="51A0432A"/>
    <w:rsid w:val="51A86090"/>
    <w:rsid w:val="51B7396D"/>
    <w:rsid w:val="522E4CC3"/>
    <w:rsid w:val="524160EE"/>
    <w:rsid w:val="5244713B"/>
    <w:rsid w:val="52554957"/>
    <w:rsid w:val="52615633"/>
    <w:rsid w:val="52965954"/>
    <w:rsid w:val="52977FD4"/>
    <w:rsid w:val="52A25790"/>
    <w:rsid w:val="52A96B6F"/>
    <w:rsid w:val="52B45975"/>
    <w:rsid w:val="52D94AA4"/>
    <w:rsid w:val="52EA3A62"/>
    <w:rsid w:val="52F50BB8"/>
    <w:rsid w:val="53087B23"/>
    <w:rsid w:val="53097272"/>
    <w:rsid w:val="53544462"/>
    <w:rsid w:val="538E7ED0"/>
    <w:rsid w:val="5397158E"/>
    <w:rsid w:val="539C11AC"/>
    <w:rsid w:val="539E4EE8"/>
    <w:rsid w:val="54013861"/>
    <w:rsid w:val="54487265"/>
    <w:rsid w:val="544D6070"/>
    <w:rsid w:val="54605E1E"/>
    <w:rsid w:val="54694D27"/>
    <w:rsid w:val="54B3506A"/>
    <w:rsid w:val="54CA0D16"/>
    <w:rsid w:val="54D40874"/>
    <w:rsid w:val="54DD4057"/>
    <w:rsid w:val="54E7490F"/>
    <w:rsid w:val="550764A4"/>
    <w:rsid w:val="550B2BF6"/>
    <w:rsid w:val="55214EB5"/>
    <w:rsid w:val="55364EFD"/>
    <w:rsid w:val="555D4828"/>
    <w:rsid w:val="557A4C8B"/>
    <w:rsid w:val="558931E1"/>
    <w:rsid w:val="55923347"/>
    <w:rsid w:val="55925180"/>
    <w:rsid w:val="55983B1B"/>
    <w:rsid w:val="559F570C"/>
    <w:rsid w:val="55A8376B"/>
    <w:rsid w:val="55D50038"/>
    <w:rsid w:val="55DC29B6"/>
    <w:rsid w:val="55DD4241"/>
    <w:rsid w:val="55F50092"/>
    <w:rsid w:val="56305360"/>
    <w:rsid w:val="566B6D1E"/>
    <w:rsid w:val="567261A7"/>
    <w:rsid w:val="56F12444"/>
    <w:rsid w:val="57032A2C"/>
    <w:rsid w:val="570F5219"/>
    <w:rsid w:val="574902F8"/>
    <w:rsid w:val="575D12B5"/>
    <w:rsid w:val="57610A87"/>
    <w:rsid w:val="577B1140"/>
    <w:rsid w:val="577B7F21"/>
    <w:rsid w:val="577F181B"/>
    <w:rsid w:val="57921984"/>
    <w:rsid w:val="579737F0"/>
    <w:rsid w:val="57AB7B30"/>
    <w:rsid w:val="57AE0B41"/>
    <w:rsid w:val="57AF5251"/>
    <w:rsid w:val="57B26373"/>
    <w:rsid w:val="57B63F04"/>
    <w:rsid w:val="57CD20C2"/>
    <w:rsid w:val="57D675AB"/>
    <w:rsid w:val="57D95FDD"/>
    <w:rsid w:val="585C5AEE"/>
    <w:rsid w:val="587358E6"/>
    <w:rsid w:val="58770F5A"/>
    <w:rsid w:val="58823D7B"/>
    <w:rsid w:val="58917D2F"/>
    <w:rsid w:val="58931AE5"/>
    <w:rsid w:val="5894085C"/>
    <w:rsid w:val="589C2E0A"/>
    <w:rsid w:val="58AC5D8F"/>
    <w:rsid w:val="58AE4F0C"/>
    <w:rsid w:val="58B85899"/>
    <w:rsid w:val="58E363A9"/>
    <w:rsid w:val="595E1678"/>
    <w:rsid w:val="596D5BD4"/>
    <w:rsid w:val="597E3DD8"/>
    <w:rsid w:val="597F7E2F"/>
    <w:rsid w:val="59F80043"/>
    <w:rsid w:val="5A09252F"/>
    <w:rsid w:val="5A0B2778"/>
    <w:rsid w:val="5A114A1E"/>
    <w:rsid w:val="5A2A7C7B"/>
    <w:rsid w:val="5A3E2560"/>
    <w:rsid w:val="5A412ED2"/>
    <w:rsid w:val="5A537155"/>
    <w:rsid w:val="5A5D3B6E"/>
    <w:rsid w:val="5A637A76"/>
    <w:rsid w:val="5A6D33BA"/>
    <w:rsid w:val="5A792B1F"/>
    <w:rsid w:val="5A874767"/>
    <w:rsid w:val="5AA916B2"/>
    <w:rsid w:val="5AAD6F28"/>
    <w:rsid w:val="5AD50114"/>
    <w:rsid w:val="5AD63A24"/>
    <w:rsid w:val="5AE5681E"/>
    <w:rsid w:val="5AFF77BE"/>
    <w:rsid w:val="5B2E1A1D"/>
    <w:rsid w:val="5B4D473E"/>
    <w:rsid w:val="5B834051"/>
    <w:rsid w:val="5B843A1C"/>
    <w:rsid w:val="5B873E3F"/>
    <w:rsid w:val="5BDF04A3"/>
    <w:rsid w:val="5BE21B25"/>
    <w:rsid w:val="5C02690E"/>
    <w:rsid w:val="5C196DA7"/>
    <w:rsid w:val="5C2A048C"/>
    <w:rsid w:val="5C80234E"/>
    <w:rsid w:val="5C8A680C"/>
    <w:rsid w:val="5C9F4EFC"/>
    <w:rsid w:val="5CAB0919"/>
    <w:rsid w:val="5D0C4701"/>
    <w:rsid w:val="5D0F0395"/>
    <w:rsid w:val="5D221076"/>
    <w:rsid w:val="5D397964"/>
    <w:rsid w:val="5D5A391C"/>
    <w:rsid w:val="5D5F10C0"/>
    <w:rsid w:val="5D8518DD"/>
    <w:rsid w:val="5D891B7B"/>
    <w:rsid w:val="5DAD38EE"/>
    <w:rsid w:val="5E006862"/>
    <w:rsid w:val="5E0207B9"/>
    <w:rsid w:val="5E1834A1"/>
    <w:rsid w:val="5E261785"/>
    <w:rsid w:val="5E4A7017"/>
    <w:rsid w:val="5E552BBA"/>
    <w:rsid w:val="5E611C10"/>
    <w:rsid w:val="5E623C6F"/>
    <w:rsid w:val="5E7A69F0"/>
    <w:rsid w:val="5EF51215"/>
    <w:rsid w:val="5EFC7377"/>
    <w:rsid w:val="5F06174D"/>
    <w:rsid w:val="5F3A3602"/>
    <w:rsid w:val="5F6277C6"/>
    <w:rsid w:val="5F6D0B1D"/>
    <w:rsid w:val="5F8D0B82"/>
    <w:rsid w:val="5FCC5339"/>
    <w:rsid w:val="5FE34A5B"/>
    <w:rsid w:val="5FFE1E36"/>
    <w:rsid w:val="60191D7C"/>
    <w:rsid w:val="60232584"/>
    <w:rsid w:val="607330CE"/>
    <w:rsid w:val="60825176"/>
    <w:rsid w:val="60866989"/>
    <w:rsid w:val="609F2AC4"/>
    <w:rsid w:val="60FA2EE8"/>
    <w:rsid w:val="61054A27"/>
    <w:rsid w:val="610A52BC"/>
    <w:rsid w:val="611D2366"/>
    <w:rsid w:val="61421856"/>
    <w:rsid w:val="614C4F26"/>
    <w:rsid w:val="615227C4"/>
    <w:rsid w:val="61654E3F"/>
    <w:rsid w:val="6182292A"/>
    <w:rsid w:val="619F7F92"/>
    <w:rsid w:val="61F45747"/>
    <w:rsid w:val="61F94C26"/>
    <w:rsid w:val="62000E56"/>
    <w:rsid w:val="620152D8"/>
    <w:rsid w:val="624709AB"/>
    <w:rsid w:val="624F3E49"/>
    <w:rsid w:val="62632286"/>
    <w:rsid w:val="62885958"/>
    <w:rsid w:val="629977B9"/>
    <w:rsid w:val="62B47883"/>
    <w:rsid w:val="62F40B65"/>
    <w:rsid w:val="62FC2CFE"/>
    <w:rsid w:val="63024505"/>
    <w:rsid w:val="63514288"/>
    <w:rsid w:val="635B1DB5"/>
    <w:rsid w:val="63711FED"/>
    <w:rsid w:val="63880DDC"/>
    <w:rsid w:val="638B5F87"/>
    <w:rsid w:val="638D750D"/>
    <w:rsid w:val="63991151"/>
    <w:rsid w:val="63AC6CC0"/>
    <w:rsid w:val="64055776"/>
    <w:rsid w:val="64240056"/>
    <w:rsid w:val="643E143A"/>
    <w:rsid w:val="646115F9"/>
    <w:rsid w:val="648B6EEF"/>
    <w:rsid w:val="64C158BF"/>
    <w:rsid w:val="64CE2EAA"/>
    <w:rsid w:val="653C3090"/>
    <w:rsid w:val="65854376"/>
    <w:rsid w:val="658767BE"/>
    <w:rsid w:val="65892531"/>
    <w:rsid w:val="66195831"/>
    <w:rsid w:val="662E75B1"/>
    <w:rsid w:val="66342C2E"/>
    <w:rsid w:val="663E784C"/>
    <w:rsid w:val="668B6A45"/>
    <w:rsid w:val="66A75972"/>
    <w:rsid w:val="66D32B9C"/>
    <w:rsid w:val="672F3F24"/>
    <w:rsid w:val="673D3298"/>
    <w:rsid w:val="673E055F"/>
    <w:rsid w:val="67551CE3"/>
    <w:rsid w:val="677B7EF3"/>
    <w:rsid w:val="67A22552"/>
    <w:rsid w:val="67B22DCC"/>
    <w:rsid w:val="67BE71AA"/>
    <w:rsid w:val="67CB129B"/>
    <w:rsid w:val="67D90273"/>
    <w:rsid w:val="67DE5875"/>
    <w:rsid w:val="67E55852"/>
    <w:rsid w:val="67EB1AB4"/>
    <w:rsid w:val="67FA1285"/>
    <w:rsid w:val="68551F4F"/>
    <w:rsid w:val="68554D7F"/>
    <w:rsid w:val="687C10C9"/>
    <w:rsid w:val="68840C16"/>
    <w:rsid w:val="68876EFB"/>
    <w:rsid w:val="68884654"/>
    <w:rsid w:val="689F444F"/>
    <w:rsid w:val="68B96DBB"/>
    <w:rsid w:val="68CA2805"/>
    <w:rsid w:val="68DB3462"/>
    <w:rsid w:val="68E937A3"/>
    <w:rsid w:val="693764BC"/>
    <w:rsid w:val="693E15D3"/>
    <w:rsid w:val="69627681"/>
    <w:rsid w:val="6977531D"/>
    <w:rsid w:val="69CC2BFF"/>
    <w:rsid w:val="69FD55B8"/>
    <w:rsid w:val="6A0B1C62"/>
    <w:rsid w:val="6A2406C8"/>
    <w:rsid w:val="6A3B6FCF"/>
    <w:rsid w:val="6ADE0BD1"/>
    <w:rsid w:val="6AE96859"/>
    <w:rsid w:val="6B0B0EB2"/>
    <w:rsid w:val="6B147746"/>
    <w:rsid w:val="6B24787C"/>
    <w:rsid w:val="6B2F2C83"/>
    <w:rsid w:val="6B573233"/>
    <w:rsid w:val="6B5B6274"/>
    <w:rsid w:val="6B60699B"/>
    <w:rsid w:val="6B7C573E"/>
    <w:rsid w:val="6B935D53"/>
    <w:rsid w:val="6BE56725"/>
    <w:rsid w:val="6BEC2F93"/>
    <w:rsid w:val="6C196F71"/>
    <w:rsid w:val="6C226FCB"/>
    <w:rsid w:val="6C31226F"/>
    <w:rsid w:val="6C552F0B"/>
    <w:rsid w:val="6C8C67B7"/>
    <w:rsid w:val="6C953C00"/>
    <w:rsid w:val="6C996E12"/>
    <w:rsid w:val="6C9D744C"/>
    <w:rsid w:val="6D167928"/>
    <w:rsid w:val="6D26299B"/>
    <w:rsid w:val="6D282CEC"/>
    <w:rsid w:val="6D4772EC"/>
    <w:rsid w:val="6D7F289C"/>
    <w:rsid w:val="6D9078AF"/>
    <w:rsid w:val="6DAA3FEF"/>
    <w:rsid w:val="6DC0172B"/>
    <w:rsid w:val="6DC83D93"/>
    <w:rsid w:val="6DCB690C"/>
    <w:rsid w:val="6DD41A5B"/>
    <w:rsid w:val="6DF3778F"/>
    <w:rsid w:val="6DF43C2E"/>
    <w:rsid w:val="6DF51CA3"/>
    <w:rsid w:val="6E8335BD"/>
    <w:rsid w:val="6E8351DC"/>
    <w:rsid w:val="6E8E12EF"/>
    <w:rsid w:val="6E901ECA"/>
    <w:rsid w:val="6E972936"/>
    <w:rsid w:val="6EAB2C19"/>
    <w:rsid w:val="6EBF55CE"/>
    <w:rsid w:val="6ED446C5"/>
    <w:rsid w:val="6F1060C3"/>
    <w:rsid w:val="6F2A7D94"/>
    <w:rsid w:val="6F8331F1"/>
    <w:rsid w:val="6F854425"/>
    <w:rsid w:val="6FAE1A09"/>
    <w:rsid w:val="6FD75BF8"/>
    <w:rsid w:val="70215C7E"/>
    <w:rsid w:val="707356D3"/>
    <w:rsid w:val="707723D0"/>
    <w:rsid w:val="70ED4BFF"/>
    <w:rsid w:val="70F5661B"/>
    <w:rsid w:val="71360107"/>
    <w:rsid w:val="713B688E"/>
    <w:rsid w:val="714840D2"/>
    <w:rsid w:val="71A9776D"/>
    <w:rsid w:val="71CF7F01"/>
    <w:rsid w:val="71D43752"/>
    <w:rsid w:val="71F1796A"/>
    <w:rsid w:val="72154626"/>
    <w:rsid w:val="72262B5D"/>
    <w:rsid w:val="72283FF7"/>
    <w:rsid w:val="722E7212"/>
    <w:rsid w:val="723A0474"/>
    <w:rsid w:val="725923E4"/>
    <w:rsid w:val="72864BF7"/>
    <w:rsid w:val="729023FC"/>
    <w:rsid w:val="72B37F7D"/>
    <w:rsid w:val="72CE5B7A"/>
    <w:rsid w:val="730662BC"/>
    <w:rsid w:val="73173300"/>
    <w:rsid w:val="73B83B1F"/>
    <w:rsid w:val="73C0646E"/>
    <w:rsid w:val="73FA1330"/>
    <w:rsid w:val="742222F5"/>
    <w:rsid w:val="74382F6B"/>
    <w:rsid w:val="74476126"/>
    <w:rsid w:val="74706664"/>
    <w:rsid w:val="747F3682"/>
    <w:rsid w:val="747F4E5B"/>
    <w:rsid w:val="749C4185"/>
    <w:rsid w:val="74C652C4"/>
    <w:rsid w:val="75067759"/>
    <w:rsid w:val="752E6DCD"/>
    <w:rsid w:val="7551380D"/>
    <w:rsid w:val="75600BE5"/>
    <w:rsid w:val="7564475C"/>
    <w:rsid w:val="756701D2"/>
    <w:rsid w:val="7583797F"/>
    <w:rsid w:val="75D20F1D"/>
    <w:rsid w:val="75DA2C18"/>
    <w:rsid w:val="75F54412"/>
    <w:rsid w:val="75F927B5"/>
    <w:rsid w:val="76040F2B"/>
    <w:rsid w:val="761D08E0"/>
    <w:rsid w:val="765D347C"/>
    <w:rsid w:val="76826699"/>
    <w:rsid w:val="76C87133"/>
    <w:rsid w:val="76CD08D5"/>
    <w:rsid w:val="76DB4B92"/>
    <w:rsid w:val="76EC4986"/>
    <w:rsid w:val="76F60A60"/>
    <w:rsid w:val="77052AA4"/>
    <w:rsid w:val="77136511"/>
    <w:rsid w:val="77340A39"/>
    <w:rsid w:val="77351FD0"/>
    <w:rsid w:val="77472422"/>
    <w:rsid w:val="777F31F2"/>
    <w:rsid w:val="77D1700D"/>
    <w:rsid w:val="77EC04CC"/>
    <w:rsid w:val="784D7F55"/>
    <w:rsid w:val="785773F5"/>
    <w:rsid w:val="78775729"/>
    <w:rsid w:val="78A42DB0"/>
    <w:rsid w:val="78A656AB"/>
    <w:rsid w:val="78B2245C"/>
    <w:rsid w:val="78CB02FE"/>
    <w:rsid w:val="78E172CC"/>
    <w:rsid w:val="78EA1D1F"/>
    <w:rsid w:val="7904172F"/>
    <w:rsid w:val="790F7E27"/>
    <w:rsid w:val="792A231A"/>
    <w:rsid w:val="79316829"/>
    <w:rsid w:val="79570BE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97792"/>
    <w:rsid w:val="7BEE0103"/>
    <w:rsid w:val="7C0A0FE4"/>
    <w:rsid w:val="7C254906"/>
    <w:rsid w:val="7C590818"/>
    <w:rsid w:val="7C7C10F6"/>
    <w:rsid w:val="7C853BEA"/>
    <w:rsid w:val="7C881368"/>
    <w:rsid w:val="7CE27788"/>
    <w:rsid w:val="7CFC2747"/>
    <w:rsid w:val="7D0C32F1"/>
    <w:rsid w:val="7D0F408D"/>
    <w:rsid w:val="7D491C6C"/>
    <w:rsid w:val="7D5429C0"/>
    <w:rsid w:val="7D6E6D43"/>
    <w:rsid w:val="7DB57A34"/>
    <w:rsid w:val="7DE60973"/>
    <w:rsid w:val="7DEF0916"/>
    <w:rsid w:val="7DFD449F"/>
    <w:rsid w:val="7E1E5218"/>
    <w:rsid w:val="7E836BED"/>
    <w:rsid w:val="7E9A4E1F"/>
    <w:rsid w:val="7EA7723A"/>
    <w:rsid w:val="7EA96017"/>
    <w:rsid w:val="7ED4054B"/>
    <w:rsid w:val="7EF56FBB"/>
    <w:rsid w:val="7F0768EB"/>
    <w:rsid w:val="7F143BEC"/>
    <w:rsid w:val="7F715AF2"/>
    <w:rsid w:val="7F886E69"/>
    <w:rsid w:val="7FB362DB"/>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5"/>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837"/>
    <w:qFormat/>
    <w:uiPriority w:val="0"/>
    <w:pPr>
      <w:ind w:firstLine="420"/>
    </w:pPr>
    <w:rPr>
      <w:rFonts w:hAnsi="Calibri" w:cs="Times New Roman"/>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75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30"/>
    <w:qFormat/>
    <w:uiPriority w:val="0"/>
    <w:pPr>
      <w:shd w:val="clear" w:color="auto" w:fill="000080"/>
    </w:pPr>
  </w:style>
  <w:style w:type="paragraph" w:styleId="22">
    <w:name w:val="annotation text"/>
    <w:basedOn w:val="1"/>
    <w:link w:val="858"/>
    <w:qFormat/>
    <w:uiPriority w:val="99"/>
    <w:pPr>
      <w:jc w:val="left"/>
    </w:pPr>
  </w:style>
  <w:style w:type="paragraph" w:styleId="23">
    <w:name w:val="Salutation"/>
    <w:basedOn w:val="1"/>
    <w:next w:val="1"/>
    <w:link w:val="818"/>
    <w:qFormat/>
    <w:uiPriority w:val="0"/>
    <w:rPr>
      <w:rFonts w:ascii="仿宋_GB2312" w:eastAsia="仿宋_GB2312"/>
      <w:sz w:val="28"/>
      <w:szCs w:val="20"/>
    </w:rPr>
  </w:style>
  <w:style w:type="paragraph" w:styleId="24">
    <w:name w:val="Body Text 3"/>
    <w:basedOn w:val="1"/>
    <w:link w:val="846"/>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78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2"/>
    <w:qFormat/>
    <w:uiPriority w:val="0"/>
    <w:pPr>
      <w:ind w:left="100" w:leftChars="2500"/>
    </w:pPr>
    <w:rPr>
      <w:rFonts w:ascii="宋体"/>
      <w:sz w:val="24"/>
      <w:szCs w:val="21"/>
      <w:lang w:val="zh-CN"/>
    </w:rPr>
  </w:style>
  <w:style w:type="paragraph" w:styleId="38">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9">
    <w:name w:val="endnote text"/>
    <w:basedOn w:val="1"/>
    <w:link w:val="943"/>
    <w:qFormat/>
    <w:uiPriority w:val="0"/>
    <w:rPr>
      <w:lang w:val="zh-CN"/>
    </w:rPr>
  </w:style>
  <w:style w:type="paragraph" w:styleId="40">
    <w:name w:val="Balloon Text"/>
    <w:basedOn w:val="1"/>
    <w:link w:val="719"/>
    <w:qFormat/>
    <w:uiPriority w:val="0"/>
    <w:rPr>
      <w:sz w:val="18"/>
      <w:szCs w:val="18"/>
    </w:rPr>
  </w:style>
  <w:style w:type="paragraph" w:styleId="41">
    <w:name w:val="footer"/>
    <w:basedOn w:val="1"/>
    <w:link w:val="894"/>
    <w:qFormat/>
    <w:uiPriority w:val="99"/>
    <w:pPr>
      <w:tabs>
        <w:tab w:val="center" w:pos="4153"/>
        <w:tab w:val="right" w:pos="8306"/>
      </w:tabs>
      <w:snapToGrid w:val="0"/>
      <w:jc w:val="left"/>
    </w:pPr>
    <w:rPr>
      <w:sz w:val="18"/>
      <w:szCs w:val="18"/>
    </w:rPr>
  </w:style>
  <w:style w:type="paragraph" w:styleId="42">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828"/>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2"/>
    <w:qFormat/>
    <w:uiPriority w:val="0"/>
    <w:pPr>
      <w:spacing w:after="120" w:line="480" w:lineRule="auto"/>
    </w:pPr>
  </w:style>
  <w:style w:type="paragraph" w:styleId="57">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2"/>
    <w:next w:val="22"/>
    <w:link w:val="635"/>
    <w:qFormat/>
    <w:uiPriority w:val="0"/>
    <w:rPr>
      <w:b/>
      <w:bCs/>
    </w:rPr>
  </w:style>
  <w:style w:type="paragraph" w:styleId="61">
    <w:name w:val="Body Text First Indent 2"/>
    <w:basedOn w:val="26"/>
    <w:link w:val="65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BodyText1I2"/>
    <w:basedOn w:val="8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81">
    <w:name w:val="BodyTextIndent"/>
    <w:basedOn w:val="1"/>
    <w:qFormat/>
    <w:uiPriority w:val="0"/>
    <w:pPr>
      <w:spacing w:line="480" w:lineRule="auto"/>
      <w:ind w:firstLine="600"/>
      <w:jc w:val="both"/>
      <w:textAlignment w:val="baseline"/>
    </w:pPr>
    <w:rPr>
      <w:kern w:val="2"/>
      <w:sz w:val="28"/>
      <w:lang w:val="en-US" w:eastAsia="zh-CN" w:bidi="ar-SA"/>
    </w:rPr>
  </w:style>
  <w:style w:type="paragraph" w:customStyle="1" w:styleId="82">
    <w:name w:val="正文文本首行缩进 2"/>
    <w:basedOn w:val="26"/>
    <w:qFormat/>
    <w:uiPriority w:val="99"/>
    <w:pPr>
      <w:spacing w:line="200" w:lineRule="atLeast"/>
      <w:ind w:firstLine="420"/>
    </w:pPr>
    <w:rPr>
      <w:rFonts w:ascii="宋体" w:hAnsi="Courier New"/>
      <w:spacing w:val="-4"/>
      <w:sz w:val="18"/>
    </w:rPr>
  </w:style>
  <w:style w:type="paragraph" w:customStyle="1" w:styleId="83">
    <w:name w:val="正文首行缩进 21"/>
    <w:basedOn w:val="84"/>
    <w:qFormat/>
    <w:uiPriority w:val="0"/>
    <w:pPr>
      <w:ind w:firstLine="420"/>
    </w:pPr>
  </w:style>
  <w:style w:type="paragraph" w:customStyle="1" w:styleId="84">
    <w:name w:val="Body Text Indent1"/>
    <w:basedOn w:val="1"/>
    <w:next w:val="1"/>
    <w:qFormat/>
    <w:uiPriority w:val="0"/>
    <w:pPr>
      <w:spacing w:after="120"/>
      <w:ind w:left="420" w:leftChars="200"/>
    </w:pPr>
    <w:rPr>
      <w:color w:val="000000"/>
      <w:szCs w:val="21"/>
    </w:rPr>
  </w:style>
  <w:style w:type="paragraph" w:customStyle="1" w:styleId="85">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7"/>
    <w:qFormat/>
    <w:uiPriority w:val="0"/>
    <w:pPr>
      <w:spacing w:before="156" w:line="360" w:lineRule="auto"/>
      <w:ind w:firstLine="510" w:firstLineChars="200"/>
    </w:pPr>
    <w:rPr>
      <w:sz w:val="24"/>
      <w:szCs w:val="20"/>
    </w:rPr>
  </w:style>
  <w:style w:type="paragraph" w:customStyle="1" w:styleId="91">
    <w:name w:val="无间隔1"/>
    <w:link w:val="675"/>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3"/>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6"/>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8"/>
    <w:qFormat/>
    <w:uiPriority w:val="0"/>
    <w:pPr>
      <w:ind w:left="0" w:right="466" w:firstLine="288"/>
    </w:pPr>
    <w:rPr>
      <w:rFonts w:hAnsi="宋体"/>
    </w:rPr>
  </w:style>
  <w:style w:type="paragraph" w:customStyle="1" w:styleId="98">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8"/>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0"/>
    <w:qFormat/>
    <w:uiPriority w:val="0"/>
    <w:pPr>
      <w:adjustRightInd/>
      <w:spacing w:line="360" w:lineRule="auto"/>
      <w:ind w:firstLine="480" w:firstLineChars="200"/>
    </w:pPr>
    <w:rPr>
      <w:kern w:val="0"/>
      <w:sz w:val="24"/>
    </w:rPr>
  </w:style>
  <w:style w:type="paragraph" w:customStyle="1" w:styleId="103">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1"/>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3"/>
    <w:qFormat/>
    <w:uiPriority w:val="0"/>
    <w:pPr>
      <w:tabs>
        <w:tab w:val="left" w:pos="2356"/>
      </w:tabs>
    </w:pPr>
  </w:style>
  <w:style w:type="paragraph" w:customStyle="1" w:styleId="108">
    <w:name w:val="样式 标题 4h4H4Fab-4T5Ref Heading 1rh1Heading sqlsect 1.2.3...."/>
    <w:basedOn w:val="8"/>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6"/>
    <w:qFormat/>
    <w:uiPriority w:val="0"/>
    <w:pPr>
      <w:adjustRightInd/>
    </w:pPr>
    <w:rPr>
      <w:rFonts w:ascii="宋体" w:hAnsi="Courier New"/>
      <w:kern w:val="0"/>
      <w:sz w:val="20"/>
      <w:szCs w:val="20"/>
    </w:rPr>
  </w:style>
  <w:style w:type="paragraph" w:customStyle="1" w:styleId="111">
    <w:name w:val="正文说明"/>
    <w:basedOn w:val="1"/>
    <w:link w:val="848"/>
    <w:qFormat/>
    <w:uiPriority w:val="0"/>
    <w:pPr>
      <w:adjustRightInd/>
      <w:spacing w:line="360" w:lineRule="auto"/>
    </w:pPr>
    <w:rPr>
      <w:kern w:val="0"/>
      <w:sz w:val="24"/>
    </w:rPr>
  </w:style>
  <w:style w:type="paragraph" w:customStyle="1" w:styleId="112">
    <w:name w:val="Table Text"/>
    <w:basedOn w:val="1"/>
    <w:link w:val="854"/>
    <w:qFormat/>
    <w:uiPriority w:val="0"/>
    <w:pPr>
      <w:widowControl/>
      <w:spacing w:before="60" w:after="60"/>
      <w:jc w:val="left"/>
    </w:pPr>
    <w:rPr>
      <w:kern w:val="0"/>
      <w:sz w:val="24"/>
    </w:rPr>
  </w:style>
  <w:style w:type="paragraph" w:customStyle="1" w:styleId="113">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8"/>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8"/>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4"/>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7"/>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9"/>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7"/>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8"/>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156"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6"/>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5"/>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156"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0" w:beforeLines="0" w:after="0" w:afterLines="0"/>
      <w:ind w:left="1680"/>
      <w:outlineLvl w:val="2"/>
    </w:pPr>
  </w:style>
  <w:style w:type="paragraph" w:customStyle="1" w:styleId="346">
    <w:name w:val="章标题"/>
    <w:next w:val="32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8"/>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8"/>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7"/>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8"/>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2"/>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1"/>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0"/>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6"/>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7"/>
    <w:qFormat/>
    <w:uiPriority w:val="0"/>
    <w:rPr>
      <w:b w:val="0"/>
      <w:sz w:val="20"/>
    </w:rPr>
  </w:style>
  <w:style w:type="paragraph" w:customStyle="1" w:styleId="582">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qFormat/>
    <w:uiPriority w:val="0"/>
    <w:pPr>
      <w:tabs>
        <w:tab w:val="left" w:pos="1080"/>
        <w:tab w:val="clear" w:pos="1008"/>
      </w:tabs>
      <w:ind w:left="1080" w:hanging="1080"/>
    </w:pPr>
  </w:style>
  <w:style w:type="paragraph" w:customStyle="1" w:styleId="585">
    <w:name w:val="数字标题1"/>
    <w:basedOn w:val="5"/>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1"/>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0"/>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11">
    <w:name w:val="_Style 947"/>
    <w:basedOn w:val="1"/>
    <w:next w:val="105"/>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List Paragraph"/>
    <w:basedOn w:val="1"/>
    <w:qFormat/>
    <w:uiPriority w:val="1"/>
    <w:pPr>
      <w:ind w:firstLine="420" w:firstLineChars="200"/>
    </w:pPr>
    <w:rPr>
      <w:rFonts w:ascii="Times New Roman" w:hAnsi="Times New Roman" w:eastAsia="宋体" w:cs="Times New Roman"/>
      <w:szCs w:val="20"/>
    </w:rPr>
  </w:style>
  <w:style w:type="character" w:customStyle="1" w:styleId="624">
    <w:name w:val="表格非标题文字 Char"/>
    <w:link w:val="85"/>
    <w:qFormat/>
    <w:uiPriority w:val="0"/>
    <w:rPr>
      <w:rFonts w:ascii="Futura Bk" w:hAnsi="Futura Bk"/>
      <w:kern w:val="2"/>
      <w:sz w:val="18"/>
      <w:szCs w:val="21"/>
      <w:lang w:val="en-US" w:eastAsia="zh-CN" w:bidi="ar-SA"/>
    </w:rPr>
  </w:style>
  <w:style w:type="character" w:customStyle="1" w:styleId="625">
    <w:name w:val="*正文 Char"/>
    <w:link w:val="86"/>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7"/>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60"/>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8"/>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9"/>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61"/>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69"/>
    <w:qFormat/>
    <w:uiPriority w:val="0"/>
    <w:rPr>
      <w:rFonts w:ascii="Arial" w:hAnsi="Arial" w:eastAsia="黑体" w:cs="Arial"/>
      <w:snapToGrid w:val="0"/>
      <w:kern w:val="0"/>
      <w:szCs w:val="21"/>
    </w:rPr>
  </w:style>
  <w:style w:type="character" w:customStyle="1" w:styleId="66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90"/>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8"/>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91"/>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10"/>
    <w:qFormat/>
    <w:uiPriority w:val="0"/>
    <w:rPr>
      <w:rFonts w:ascii="Arial" w:hAnsi="Arial" w:eastAsia="黑体"/>
      <w:b/>
      <w:bCs/>
      <w:kern w:val="2"/>
      <w:sz w:val="24"/>
      <w:szCs w:val="24"/>
    </w:rPr>
  </w:style>
  <w:style w:type="character" w:customStyle="1" w:styleId="683">
    <w:name w:val="纯文本 Char_0"/>
    <w:link w:val="92"/>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4"/>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5"/>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7"/>
    <w:qFormat/>
    <w:uiPriority w:val="0"/>
    <w:rPr>
      <w:rFonts w:ascii="宋体"/>
      <w:kern w:val="2"/>
      <w:sz w:val="24"/>
      <w:szCs w:val="21"/>
      <w:lang w:val="zh-CN"/>
    </w:rPr>
  </w:style>
  <w:style w:type="character" w:customStyle="1" w:styleId="713">
    <w:name w:val="标题 9 Char"/>
    <w:link w:val="13"/>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99"/>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40"/>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6"/>
    <w:qFormat/>
    <w:locked/>
    <w:uiPriority w:val="0"/>
    <w:rPr>
      <w:rFonts w:ascii="Tahoma" w:hAnsi="Tahoma"/>
      <w:sz w:val="24"/>
      <w:szCs w:val="24"/>
    </w:rPr>
  </w:style>
  <w:style w:type="character" w:customStyle="1" w:styleId="723">
    <w:name w:val="正文缩进 Char2"/>
    <w:link w:val="18"/>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7"/>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21"/>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9"/>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31"/>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9"/>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100"/>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9"/>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101"/>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2"/>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3"/>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4"/>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6"/>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6"/>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5"/>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59"/>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9"/>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3"/>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7"/>
    <w:qFormat/>
    <w:uiPriority w:val="0"/>
    <w:rPr>
      <w:rFonts w:ascii="黑体" w:hAnsi="Courier New" w:eastAsia="黑体"/>
    </w:rPr>
  </w:style>
  <w:style w:type="character" w:customStyle="1" w:styleId="822">
    <w:name w:val="正文文本 2 Char1"/>
    <w:link w:val="56"/>
    <w:qFormat/>
    <w:uiPriority w:val="0"/>
    <w:rPr>
      <w:kern w:val="2"/>
      <w:sz w:val="21"/>
      <w:szCs w:val="24"/>
    </w:rPr>
  </w:style>
  <w:style w:type="character" w:customStyle="1" w:styleId="823">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11"/>
    <w:qFormat/>
    <w:uiPriority w:val="0"/>
    <w:rPr>
      <w:b/>
      <w:bCs/>
      <w:kern w:val="2"/>
      <w:sz w:val="24"/>
      <w:szCs w:val="24"/>
    </w:rPr>
  </w:style>
  <w:style w:type="character" w:customStyle="1" w:styleId="826">
    <w:name w:val="正文文本缩进 2 Char"/>
    <w:link w:val="38"/>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1"/>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9"/>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0"/>
    <w:qFormat/>
    <w:uiPriority w:val="0"/>
    <w:rPr>
      <w:rFonts w:ascii="宋体" w:hAnsi="Courier New"/>
    </w:rPr>
  </w:style>
  <w:style w:type="character" w:customStyle="1" w:styleId="837">
    <w:name w:val="正文首行缩进 Char"/>
    <w:link w:val="3"/>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8"/>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4"/>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1"/>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2"/>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22"/>
    <w:qFormat/>
    <w:uiPriority w:val="0"/>
    <w:rPr>
      <w:kern w:val="2"/>
      <w:sz w:val="21"/>
      <w:szCs w:val="24"/>
    </w:rPr>
  </w:style>
  <w:style w:type="character" w:customStyle="1" w:styleId="859">
    <w:name w:val="签名 Char"/>
    <w:link w:val="43"/>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3"/>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4"/>
    <w:qFormat/>
    <w:uiPriority w:val="0"/>
    <w:rPr>
      <w:rFonts w:ascii="宋体"/>
    </w:rPr>
  </w:style>
  <w:style w:type="character" w:customStyle="1" w:styleId="870">
    <w:name w:val="标题 8 Char"/>
    <w:link w:val="12"/>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3"/>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5"/>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1"/>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6"/>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2"/>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7"/>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8"/>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9"/>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0"/>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9"/>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1"/>
    <w:qFormat/>
    <w:uiPriority w:val="0"/>
    <w:rPr>
      <w:rFonts w:cs="宋体"/>
      <w:kern w:val="2"/>
      <w:sz w:val="24"/>
    </w:rPr>
  </w:style>
  <w:style w:type="character" w:customStyle="1" w:styleId="935">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39"/>
    <w:qFormat/>
    <w:uiPriority w:val="0"/>
    <w:rPr>
      <w:kern w:val="2"/>
      <w:sz w:val="21"/>
      <w:szCs w:val="24"/>
      <w:lang w:val="zh-CN"/>
    </w:rPr>
  </w:style>
  <w:style w:type="character" w:customStyle="1" w:styleId="944">
    <w:name w:val="无间隔 Char"/>
    <w:link w:val="171"/>
    <w:qFormat/>
    <w:uiPriority w:val="99"/>
    <w:rPr>
      <w:kern w:val="2"/>
      <w:sz w:val="21"/>
      <w:szCs w:val="22"/>
    </w:rPr>
  </w:style>
  <w:style w:type="character" w:customStyle="1" w:styleId="945">
    <w:name w:val="标准文本 Char Char"/>
    <w:link w:val="610"/>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9">
    <w:name w:val="无间隔3"/>
    <w:qFormat/>
    <w:uiPriority w:val="0"/>
    <w:rPr>
      <w:rFonts w:ascii="Calibri" w:hAnsi="Calibri"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29886</Words>
  <Characters>31463</Characters>
  <Lines>370</Lines>
  <Paragraphs>104</Paragraphs>
  <TotalTime>1</TotalTime>
  <ScaleCrop>false</ScaleCrop>
  <LinksUpToDate>false</LinksUpToDate>
  <CharactersWithSpaces>36487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2022-01-14T08:22:00Z</dcterms:created>
  <dc:creator>玥</dc:creator>
  <cp:lastModifiedBy>倪锋</cp:lastModifiedBy>
  <cp:lastPrinted>2022-03-30T08:04:00Z</cp:lastPrinted>
  <dcterms:modified xsi:type="dcterms:W3CDTF">2022-08-24T02:08:44Z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B172AD57077243AE91D7D69E3B7834D4</vt:lpwstr>
  </property>
</Properties>
</file>