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2024年护校安园及交通疏导项目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val="en-US" w:eastAsia="zh-CN"/>
        </w:rPr>
        <w:t>HTF</w:t>
      </w:r>
      <w:r>
        <w:rPr>
          <w:rFonts w:hint="eastAsia" w:ascii="仿宋" w:hAnsi="仿宋" w:eastAsia="仿宋" w:cs="仿宋_GB2312"/>
          <w:b/>
          <w:sz w:val="32"/>
          <w:szCs w:val="32"/>
          <w:lang w:eastAsia="zh-CN"/>
        </w:rPr>
        <w:t>ZFCG2024-00</w:t>
      </w:r>
      <w:r>
        <w:rPr>
          <w:rFonts w:hint="eastAsia" w:ascii="仿宋" w:hAnsi="仿宋" w:eastAsia="仿宋" w:cs="仿宋_GB2312"/>
          <w:b/>
          <w:sz w:val="32"/>
          <w:szCs w:val="32"/>
          <w:lang w:val="en-US" w:eastAsia="zh-CN"/>
        </w:rPr>
        <w:t>1</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杭州市临平区塘栖镇人民政府</w:t>
      </w:r>
      <w:r>
        <w:rPr>
          <w:rFonts w:hint="eastAsia" w:ascii="仿宋" w:hAnsi="仿宋" w:eastAsia="仿宋" w:cs="仿宋_GB2312"/>
          <w:sz w:val="32"/>
          <w:szCs w:val="32"/>
        </w:rPr>
        <w:t xml:space="preserve"> </w:t>
      </w:r>
    </w:p>
    <w:p>
      <w:pPr>
        <w:snapToGrid w:val="0"/>
        <w:spacing w:line="360" w:lineRule="auto"/>
        <w:jc w:val="center"/>
        <w:rPr>
          <w:rFonts w:hint="default" w:ascii="仿宋" w:hAnsi="仿宋" w:eastAsia="仿宋" w:cs="仿宋_GB2312"/>
          <w:bCs/>
          <w:sz w:val="32"/>
          <w:szCs w:val="32"/>
          <w:lang w:val="en-US"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val="en-US" w:eastAsia="zh-CN"/>
        </w:rPr>
        <w:t>杭州合太丰科技有限公司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三</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 xml:space="preserve">  </w:t>
      </w:r>
      <w:r>
        <w:rPr>
          <w:rFonts w:hint="eastAsia" w:ascii="仿宋" w:hAnsi="仿宋" w:eastAsia="仿宋" w:cs="仿宋_GB2312"/>
          <w:bCs/>
          <w:sz w:val="32"/>
          <w:szCs w:val="32"/>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2024年护校安园及交通疏导项目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https://www.zcygov.cn/）获取（下载）招标文件，并于2024年</w:t>
      </w:r>
      <w:r>
        <w:rPr>
          <w:rStyle w:val="76"/>
          <w:rFonts w:hint="eastAsia" w:ascii="仿宋" w:hAnsi="仿宋" w:eastAsia="仿宋" w:cs="宋体"/>
          <w:color w:val="auto"/>
          <w:kern w:val="2"/>
          <w:sz w:val="24"/>
          <w:szCs w:val="24"/>
          <w:lang w:val="en-US" w:eastAsia="zh-CN"/>
        </w:rPr>
        <w:t>4</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8</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eastAsia="zh-CN"/>
        </w:rPr>
        <w:t>14点00分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HTFZFCG2024-001</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2024年护校安园及交通疏导项目</w:t>
      </w:r>
    </w:p>
    <w:p>
      <w:pPr>
        <w:spacing w:line="360" w:lineRule="auto"/>
        <w:rPr>
          <w:rFonts w:hint="default" w:ascii="仿宋" w:hAnsi="仿宋" w:eastAsia="仿宋" w:cs="宋体"/>
          <w:sz w:val="24"/>
          <w:lang w:val="en-US" w:eastAsia="zh-CN"/>
        </w:rPr>
      </w:pPr>
      <w:r>
        <w:rPr>
          <w:rFonts w:hint="eastAsia" w:ascii="仿宋" w:hAnsi="仿宋" w:eastAsia="仿宋" w:cs="宋体"/>
          <w:b/>
          <w:sz w:val="24"/>
        </w:rPr>
        <w:t>预算金额（元）：</w:t>
      </w:r>
      <w:r>
        <w:rPr>
          <w:rFonts w:hint="eastAsia" w:ascii="仿宋" w:hAnsi="仿宋" w:eastAsia="仿宋"/>
          <w:b/>
          <w:sz w:val="24"/>
          <w:lang w:val="en-US" w:eastAsia="zh-CN"/>
        </w:rPr>
        <w:t>7000000</w:t>
      </w:r>
    </w:p>
    <w:p>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b/>
          <w:sz w:val="24"/>
          <w:lang w:val="en-US" w:eastAsia="zh-CN"/>
        </w:rPr>
        <w:t>7000000</w:t>
      </w:r>
    </w:p>
    <w:p>
      <w:pPr>
        <w:pStyle w:val="7"/>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 w:val="0"/>
          <w:bCs/>
          <w:color w:val="auto"/>
          <w:sz w:val="24"/>
        </w:rPr>
        <w:t>为持续做好护校安园及交通疏导工作，对“2024年护校安园及交通疏导项目”进行服务外包。（一年）</w:t>
      </w:r>
      <w:r>
        <w:rPr>
          <w:rFonts w:hint="eastAsia" w:ascii="仿宋" w:hAnsi="仿宋" w:eastAsia="仿宋" w:cs="宋体"/>
          <w:b w:val="0"/>
          <w:bCs/>
          <w:color w:val="auto"/>
          <w:sz w:val="24"/>
          <w:lang w:eastAsia="zh-CN"/>
        </w:rPr>
        <w:t>。</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6"/>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7"/>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2024年</w:t>
      </w:r>
      <w:r>
        <w:rPr>
          <w:rFonts w:hint="eastAsia" w:ascii="仿宋" w:hAnsi="仿宋" w:eastAsia="仿宋" w:cs="宋体"/>
          <w:sz w:val="24"/>
          <w:u w:val="single"/>
          <w:lang w:val="en-US" w:eastAsia="zh-CN"/>
        </w:rPr>
        <w:t>4</w:t>
      </w:r>
      <w:r>
        <w:rPr>
          <w:rFonts w:hint="eastAsia" w:ascii="仿宋" w:hAnsi="仿宋" w:eastAsia="仿宋" w:cs="宋体"/>
          <w:sz w:val="24"/>
          <w:u w:val="single"/>
        </w:rPr>
        <w:t>月</w:t>
      </w:r>
      <w:r>
        <w:rPr>
          <w:rFonts w:hint="eastAsia" w:ascii="仿宋" w:hAnsi="仿宋" w:eastAsia="仿宋" w:cs="宋体"/>
          <w:sz w:val="24"/>
          <w:u w:val="single"/>
          <w:lang w:val="en-US" w:eastAsia="zh-CN"/>
        </w:rPr>
        <w:t>8</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2024年</w:t>
      </w:r>
      <w:r>
        <w:rPr>
          <w:rFonts w:hint="eastAsia" w:ascii="仿宋" w:hAnsi="仿宋" w:eastAsia="仿宋" w:cs="宋体"/>
          <w:sz w:val="24"/>
          <w:u w:val="single"/>
          <w:lang w:val="en-US" w:eastAsia="zh-CN"/>
        </w:rPr>
        <w:t>4</w:t>
      </w:r>
      <w:r>
        <w:rPr>
          <w:rFonts w:hint="eastAsia" w:ascii="仿宋" w:hAnsi="仿宋" w:eastAsia="仿宋" w:cs="宋体"/>
          <w:sz w:val="24"/>
          <w:u w:val="single"/>
        </w:rPr>
        <w:t>月</w:t>
      </w:r>
      <w:r>
        <w:rPr>
          <w:rFonts w:hint="eastAsia" w:ascii="仿宋" w:hAnsi="仿宋" w:eastAsia="仿宋" w:cs="宋体"/>
          <w:sz w:val="24"/>
          <w:u w:val="single"/>
          <w:lang w:val="en-US" w:eastAsia="zh-CN"/>
        </w:rPr>
        <w:t>8</w:t>
      </w:r>
      <w:r>
        <w:rPr>
          <w:rFonts w:hint="eastAsia" w:ascii="仿宋" w:hAnsi="仿宋" w:eastAsia="仿宋" w:cs="宋体"/>
          <w:sz w:val="24"/>
          <w:u w:val="single"/>
        </w:rPr>
        <w:t>日</w:t>
      </w:r>
      <w:r>
        <w:rPr>
          <w:rFonts w:hint="eastAsia" w:ascii="仿宋" w:hAnsi="仿宋" w:eastAsia="仿宋" w:cs="宋体"/>
          <w:sz w:val="24"/>
          <w:u w:val="single"/>
          <w:lang w:eastAsia="zh-CN"/>
        </w:rPr>
        <w:t>14点00分</w:t>
      </w:r>
      <w:r>
        <w:rPr>
          <w:rFonts w:hint="eastAsia" w:ascii="仿宋" w:hAnsi="仿宋" w:eastAsia="仿宋" w:cs="宋体"/>
          <w:sz w:val="24"/>
          <w:u w:val="single"/>
        </w:rPr>
        <w:t>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2024年</w:t>
      </w:r>
      <w:r>
        <w:rPr>
          <w:rFonts w:hint="eastAsia" w:ascii="仿宋" w:hAnsi="仿宋" w:eastAsia="仿宋" w:cs="宋体"/>
          <w:sz w:val="24"/>
          <w:u w:val="single"/>
          <w:lang w:val="en-US" w:eastAsia="zh-CN"/>
        </w:rPr>
        <w:t>4</w:t>
      </w:r>
      <w:r>
        <w:rPr>
          <w:rFonts w:hint="eastAsia" w:ascii="仿宋" w:hAnsi="仿宋" w:eastAsia="仿宋" w:cs="宋体"/>
          <w:sz w:val="24"/>
          <w:u w:val="single"/>
        </w:rPr>
        <w:t>月</w:t>
      </w:r>
      <w:r>
        <w:rPr>
          <w:rFonts w:hint="eastAsia" w:ascii="仿宋" w:hAnsi="仿宋" w:eastAsia="仿宋" w:cs="宋体"/>
          <w:sz w:val="24"/>
          <w:u w:val="single"/>
          <w:lang w:val="en-US" w:eastAsia="zh-CN"/>
        </w:rPr>
        <w:t>8</w:t>
      </w:r>
      <w:bookmarkStart w:id="520" w:name="_GoBack"/>
      <w:bookmarkEnd w:id="520"/>
      <w:r>
        <w:rPr>
          <w:rFonts w:hint="eastAsia" w:ascii="仿宋" w:hAnsi="仿宋" w:eastAsia="仿宋" w:cs="宋体"/>
          <w:sz w:val="24"/>
          <w:u w:val="single"/>
        </w:rPr>
        <w:t>日</w:t>
      </w:r>
      <w:r>
        <w:rPr>
          <w:rFonts w:hint="eastAsia" w:ascii="仿宋" w:hAnsi="仿宋" w:eastAsia="仿宋" w:cs="宋体"/>
          <w:sz w:val="24"/>
          <w:u w:val="single"/>
          <w:lang w:eastAsia="zh-CN"/>
        </w:rPr>
        <w:t>14点00分</w:t>
      </w:r>
      <w:r>
        <w:rPr>
          <w:rFonts w:hint="eastAsia" w:ascii="仿宋" w:hAnsi="仿宋" w:eastAsia="仿宋" w:cs="宋体"/>
          <w:sz w:val="24"/>
          <w:u w:val="single"/>
        </w:rPr>
        <w:t>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b/>
          <w:sz w:val="24"/>
        </w:rPr>
      </w:pPr>
      <w:r>
        <w:rPr>
          <w:rFonts w:hint="eastAsia" w:ascii="仿宋" w:hAnsi="仿宋" w:eastAsia="仿宋" w:cs="宋体"/>
          <w:b/>
          <w:sz w:val="24"/>
        </w:rPr>
        <w:t>五、采购意向公开链接：</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https://zfcg.czt.zj.gov.cn/luban/detail?parentId=600007&amp;articleId=NLSpIHGwQNgQ/v1lRScgZg==&amp;utm=app-announcement-front.7cd522fb.0.0.6110f630c32211ee8953bdc5cb760e5d</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杭州市临平区塘栖镇人民政府</w:t>
      </w:r>
    </w:p>
    <w:p>
      <w:pPr>
        <w:spacing w:line="360" w:lineRule="auto"/>
        <w:rPr>
          <w:rFonts w:ascii="仿宋" w:hAnsi="仿宋" w:eastAsia="仿宋" w:cs="宋体"/>
          <w:sz w:val="24"/>
        </w:rPr>
      </w:pPr>
      <w:r>
        <w:rPr>
          <w:rFonts w:hint="eastAsia" w:ascii="仿宋" w:hAnsi="仿宋" w:eastAsia="仿宋" w:cs="宋体"/>
          <w:sz w:val="24"/>
        </w:rPr>
        <w:t xml:space="preserve">    地    址：杭州市临平区</w:t>
      </w:r>
      <w:r>
        <w:rPr>
          <w:rFonts w:hint="eastAsia" w:ascii="仿宋" w:hAnsi="仿宋" w:eastAsia="仿宋" w:cs="宋体"/>
          <w:sz w:val="24"/>
          <w:lang w:val="en-US" w:eastAsia="zh-CN"/>
        </w:rPr>
        <w:t>塘栖镇人民路300号</w:t>
      </w:r>
      <w:r>
        <w:rPr>
          <w:rFonts w:hint="eastAsia" w:ascii="仿宋" w:hAnsi="仿宋" w:eastAsia="仿宋" w:cs="宋体"/>
          <w:sz w:val="24"/>
        </w:rPr>
        <w:t xml:space="preserve">      </w:t>
      </w:r>
    </w:p>
    <w:p>
      <w:pPr>
        <w:spacing w:line="360" w:lineRule="auto"/>
        <w:ind w:firstLine="480"/>
        <w:rPr>
          <w:rFonts w:ascii="仿宋" w:hAnsi="仿宋" w:eastAsia="仿宋" w:cs="宋体"/>
          <w:sz w:val="24"/>
        </w:rPr>
      </w:pPr>
      <w:r>
        <w:rPr>
          <w:rFonts w:hint="eastAsia" w:ascii="仿宋" w:hAnsi="仿宋" w:eastAsia="仿宋" w:cs="宋体"/>
          <w:sz w:val="24"/>
        </w:rPr>
        <w:t>传    真：/</w:t>
      </w:r>
    </w:p>
    <w:p>
      <w:pPr>
        <w:spacing w:line="360" w:lineRule="auto"/>
        <w:ind w:firstLine="480"/>
        <w:rPr>
          <w:rFonts w:ascii="仿宋" w:hAnsi="仿宋" w:eastAsia="仿宋" w:cs="宋体"/>
          <w:sz w:val="24"/>
        </w:rPr>
      </w:pPr>
      <w:r>
        <w:rPr>
          <w:rFonts w:hint="eastAsia" w:ascii="仿宋" w:hAnsi="仿宋" w:eastAsia="仿宋" w:cs="宋体"/>
          <w:sz w:val="24"/>
        </w:rPr>
        <w:t>项目联系人（询问）：</w:t>
      </w:r>
      <w:r>
        <w:rPr>
          <w:rFonts w:hint="eastAsia" w:ascii="仿宋" w:hAnsi="仿宋" w:eastAsia="仿宋" w:cs="仿宋"/>
          <w:color w:val="auto"/>
          <w:sz w:val="24"/>
          <w:highlight w:val="none"/>
          <w:lang w:eastAsia="zh-CN"/>
        </w:rPr>
        <w:t>邓攀</w:t>
      </w:r>
      <w:r>
        <w:rPr>
          <w:rFonts w:hint="eastAsia" w:ascii="仿宋" w:hAnsi="仿宋" w:eastAsia="仿宋" w:cs="宋体"/>
          <w:sz w:val="24"/>
          <w:lang w:val="en-US" w:eastAsia="zh-CN"/>
        </w:rPr>
        <w:t xml:space="preserve"> </w:t>
      </w:r>
      <w:r>
        <w:rPr>
          <w:rFonts w:hint="eastAsia" w:ascii="仿宋" w:hAnsi="仿宋" w:eastAsia="仿宋" w:cs="宋体"/>
          <w:sz w:val="24"/>
        </w:rPr>
        <w:t xml:space="preserve">  </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项目联系方式（询问）：</w:t>
      </w:r>
      <w:r>
        <w:rPr>
          <w:rFonts w:hint="eastAsia" w:ascii="仿宋" w:hAnsi="仿宋" w:eastAsia="仿宋" w:cs="仿宋"/>
          <w:color w:val="auto"/>
          <w:sz w:val="24"/>
          <w:highlight w:val="none"/>
          <w:lang w:val="en-US" w:eastAsia="zh-CN"/>
        </w:rPr>
        <w:t>0571-86375035</w:t>
      </w:r>
      <w:r>
        <w:rPr>
          <w:rFonts w:hint="eastAsia" w:ascii="仿宋" w:hAnsi="仿宋" w:eastAsia="仿宋" w:cs="宋体"/>
          <w:sz w:val="24"/>
          <w:lang w:val="en-US" w:eastAsia="zh-CN"/>
        </w:rPr>
        <w:t xml:space="preserve"> </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cs="仿宋"/>
          <w:color w:val="auto"/>
          <w:sz w:val="24"/>
          <w:highlight w:val="none"/>
          <w:lang w:val="en-US" w:eastAsia="zh-CN"/>
        </w:rPr>
        <w:t>徐衡</w:t>
      </w:r>
      <w:r>
        <w:rPr>
          <w:rFonts w:hint="eastAsia" w:ascii="仿宋" w:hAnsi="仿宋" w:eastAsia="仿宋" w:cs="宋体"/>
          <w:sz w:val="24"/>
          <w:lang w:val="en-US" w:eastAsia="zh-CN"/>
        </w:rPr>
        <w:t xml:space="preserve"> </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质疑联系方式：</w:t>
      </w:r>
      <w:r>
        <w:rPr>
          <w:rFonts w:hint="eastAsia" w:ascii="宋体"/>
          <w:sz w:val="24"/>
          <w:highlight w:val="none"/>
          <w:lang w:val="en-US" w:eastAsia="zh-CN"/>
        </w:rPr>
        <w:t>0571-</w:t>
      </w:r>
      <w:r>
        <w:rPr>
          <w:rFonts w:hint="eastAsia" w:ascii="宋体"/>
          <w:sz w:val="24"/>
          <w:highlight w:val="none"/>
        </w:rPr>
        <w:t>86375000</w:t>
      </w:r>
      <w:r>
        <w:rPr>
          <w:rFonts w:hint="eastAsia" w:ascii="仿宋" w:hAnsi="仿宋" w:eastAsia="仿宋" w:cs="宋体"/>
          <w:sz w:val="24"/>
          <w:lang w:val="en-US" w:eastAsia="zh-CN"/>
        </w:rPr>
        <w:t xml:space="preserve"> </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杭州合太丰科技有限公司</w:t>
      </w:r>
    </w:p>
    <w:p>
      <w:pPr>
        <w:spacing w:line="360" w:lineRule="auto"/>
        <w:ind w:firstLine="480"/>
        <w:rPr>
          <w:rFonts w:hint="default" w:ascii="仿宋" w:hAnsi="仿宋" w:eastAsia="仿宋" w:cs="宋体"/>
          <w:sz w:val="24"/>
          <w:lang w:val="en-US" w:eastAsia="zh-CN"/>
        </w:rPr>
      </w:pPr>
      <w:r>
        <w:rPr>
          <w:rFonts w:hint="eastAsia" w:ascii="仿宋" w:hAnsi="仿宋" w:eastAsia="仿宋" w:cs="宋体"/>
          <w:sz w:val="24"/>
        </w:rPr>
        <w:t>地    址：</w:t>
      </w:r>
      <w:r>
        <w:rPr>
          <w:rFonts w:hint="eastAsia" w:ascii="仿宋" w:hAnsi="仿宋" w:eastAsia="仿宋"/>
          <w:sz w:val="24"/>
        </w:rPr>
        <w:t>杭州市临平区</w:t>
      </w:r>
      <w:r>
        <w:rPr>
          <w:rFonts w:hint="eastAsia" w:ascii="仿宋" w:hAnsi="仿宋" w:eastAsia="仿宋"/>
          <w:sz w:val="24"/>
          <w:lang w:val="en-US" w:eastAsia="zh-CN"/>
        </w:rPr>
        <w:t>塘栖镇广济路206-9号</w:t>
      </w:r>
    </w:p>
    <w:p>
      <w:pPr>
        <w:spacing w:line="360" w:lineRule="auto"/>
        <w:ind w:firstLine="480"/>
        <w:rPr>
          <w:rFonts w:hint="eastAsia" w:ascii="仿宋" w:hAnsi="仿宋" w:eastAsia="仿宋" w:cs="宋体"/>
          <w:sz w:val="24"/>
        </w:rPr>
      </w:pPr>
      <w:r>
        <w:rPr>
          <w:rFonts w:hint="eastAsia" w:ascii="仿宋" w:hAnsi="仿宋" w:eastAsia="仿宋" w:cs="宋体"/>
          <w:sz w:val="24"/>
        </w:rPr>
        <w:t>传    真：</w:t>
      </w:r>
    </w:p>
    <w:p>
      <w:pPr>
        <w:spacing w:line="360" w:lineRule="auto"/>
        <w:ind w:firstLine="480"/>
        <w:rPr>
          <w:rFonts w:hint="eastAsia" w:ascii="仿宋" w:hAnsi="仿宋" w:eastAsia="仿宋" w:cs="宋体"/>
          <w:sz w:val="24"/>
          <w:lang w:eastAsia="zh-CN"/>
        </w:rPr>
      </w:pPr>
      <w:r>
        <w:rPr>
          <w:rFonts w:hint="eastAsia" w:ascii="仿宋" w:hAnsi="仿宋" w:eastAsia="仿宋" w:cs="宋体"/>
          <w:sz w:val="24"/>
        </w:rPr>
        <w:t>项目联系人（询问）：</w:t>
      </w:r>
      <w:r>
        <w:rPr>
          <w:rFonts w:hint="eastAsia" w:ascii="仿宋" w:hAnsi="仿宋" w:eastAsia="仿宋" w:cs="宋体"/>
          <w:sz w:val="24"/>
          <w:lang w:val="en-US" w:eastAsia="zh-CN"/>
        </w:rPr>
        <w:t>胡新明</w:t>
      </w:r>
    </w:p>
    <w:p>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项目联系方式（询问）：</w:t>
      </w:r>
      <w:r>
        <w:rPr>
          <w:rFonts w:hint="eastAsia" w:ascii="仿宋" w:hAnsi="仿宋" w:eastAsia="仿宋"/>
          <w:sz w:val="24"/>
          <w:lang w:val="en-US" w:eastAsia="zh-CN"/>
        </w:rPr>
        <w:t>18368815112</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王凯</w:t>
      </w:r>
    </w:p>
    <w:p>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cs="宋体"/>
          <w:sz w:val="24"/>
          <w:lang w:val="en-US" w:eastAsia="zh-CN"/>
        </w:rPr>
        <w:t>15858130364</w:t>
      </w:r>
    </w:p>
    <w:p>
      <w:pPr>
        <w:spacing w:line="360" w:lineRule="auto"/>
        <w:ind w:firstLine="360" w:firstLineChars="150"/>
        <w:rPr>
          <w:rFonts w:ascii="仿宋" w:hAnsi="仿宋" w:eastAsia="仿宋" w:cs="宋体"/>
          <w:sz w:val="24"/>
        </w:rPr>
      </w:pPr>
      <w:r>
        <w:rPr>
          <w:rFonts w:hint="eastAsia" w:ascii="仿宋" w:hAnsi="仿宋" w:eastAsia="仿宋" w:cs="宋体"/>
          <w:sz w:val="24"/>
        </w:rPr>
        <w:t>3.同级政府采购监督管理部门</w:t>
      </w:r>
    </w:p>
    <w:p>
      <w:pPr>
        <w:spacing w:line="360" w:lineRule="auto"/>
        <w:rPr>
          <w:rFonts w:ascii="仿宋" w:hAnsi="仿宋" w:eastAsia="仿宋" w:cs="宋体"/>
          <w:sz w:val="24"/>
        </w:rPr>
      </w:pPr>
      <w:r>
        <w:rPr>
          <w:rFonts w:hint="eastAsia" w:ascii="仿宋" w:hAnsi="仿宋" w:eastAsia="仿宋" w:cs="宋体"/>
          <w:sz w:val="24"/>
        </w:rPr>
        <w:t xml:space="preserve">   名</w:t>
      </w:r>
      <w:r>
        <w:rPr>
          <w:rFonts w:hint="eastAsia" w:ascii="仿宋" w:hAnsi="仿宋" w:eastAsia="仿宋" w:cs="宋体"/>
          <w:sz w:val="24"/>
          <w:lang w:val="en-US" w:eastAsia="zh-CN"/>
        </w:rPr>
        <w:t xml:space="preserve">    </w:t>
      </w:r>
      <w:r>
        <w:rPr>
          <w:rFonts w:hint="eastAsia" w:ascii="仿宋" w:hAnsi="仿宋" w:eastAsia="仿宋" w:cs="宋体"/>
          <w:sz w:val="24"/>
        </w:rPr>
        <w:t>称：杭州市临平区财政局、浙江省政府采购行政裁决服务中心（杭州）</w:t>
      </w:r>
    </w:p>
    <w:p>
      <w:pPr>
        <w:spacing w:line="360" w:lineRule="auto"/>
        <w:rPr>
          <w:rFonts w:ascii="仿宋" w:hAnsi="仿宋" w:eastAsia="仿宋" w:cs="宋体"/>
          <w:sz w:val="24"/>
        </w:rPr>
      </w:pPr>
      <w:r>
        <w:rPr>
          <w:rFonts w:hint="eastAsia" w:ascii="仿宋" w:hAnsi="仿宋" w:eastAsia="仿宋" w:cs="宋体"/>
          <w:sz w:val="24"/>
        </w:rPr>
        <w:t xml:space="preserve">   地</w:t>
      </w:r>
      <w:r>
        <w:rPr>
          <w:rFonts w:hint="eastAsia" w:ascii="仿宋" w:hAnsi="仿宋" w:eastAsia="仿宋" w:cs="宋体"/>
          <w:sz w:val="24"/>
          <w:lang w:val="en-US" w:eastAsia="zh-CN"/>
        </w:rPr>
        <w:t xml:space="preserve">    </w:t>
      </w:r>
      <w:r>
        <w:rPr>
          <w:rFonts w:hint="eastAsia" w:ascii="仿宋" w:hAnsi="仿宋" w:eastAsia="仿宋" w:cs="宋体"/>
          <w:sz w:val="24"/>
        </w:rPr>
        <w:t>址：杭州市上城区四季青街道新业路市民之家G03办公室（快递仅限ems或顺丰）</w:t>
      </w:r>
    </w:p>
    <w:p>
      <w:pPr>
        <w:spacing w:line="360" w:lineRule="auto"/>
        <w:rPr>
          <w:rFonts w:ascii="仿宋" w:hAnsi="仿宋" w:eastAsia="仿宋" w:cs="宋体"/>
          <w:sz w:val="24"/>
        </w:rPr>
      </w:pPr>
      <w:r>
        <w:rPr>
          <w:rFonts w:hint="eastAsia" w:ascii="仿宋" w:hAnsi="仿宋" w:eastAsia="仿宋" w:cs="宋体"/>
          <w:sz w:val="24"/>
        </w:rPr>
        <w:t xml:space="preserve">   传    真：/</w:t>
      </w:r>
    </w:p>
    <w:p>
      <w:pPr>
        <w:spacing w:line="360" w:lineRule="auto"/>
        <w:rPr>
          <w:rFonts w:ascii="仿宋" w:hAnsi="仿宋" w:eastAsia="仿宋" w:cs="宋体"/>
          <w:sz w:val="24"/>
        </w:rPr>
      </w:pPr>
      <w:r>
        <w:rPr>
          <w:rFonts w:hint="eastAsia" w:ascii="仿宋" w:hAnsi="仿宋" w:eastAsia="仿宋" w:cs="宋体"/>
          <w:sz w:val="24"/>
        </w:rPr>
        <w:t xml:space="preserve">   联 系 人：朱女士、王女士</w:t>
      </w:r>
    </w:p>
    <w:p>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w:t>
            </w:r>
            <w:r>
              <w:rPr>
                <w:rFonts w:hint="eastAsia" w:ascii="仿宋" w:hAnsi="仿宋" w:eastAsia="仿宋" w:cs="宋体"/>
                <w:b/>
                <w:kern w:val="0"/>
                <w:sz w:val="24"/>
                <w:lang w:eastAsia="zh-CN"/>
              </w:rPr>
              <w:t>租</w:t>
            </w:r>
            <w:r>
              <w:rPr>
                <w:rFonts w:hint="eastAsia" w:ascii="仿宋" w:hAnsi="仿宋" w:eastAsia="仿宋" w:cs="宋体"/>
                <w:b/>
                <w:kern w:val="0"/>
                <w:sz w:val="24"/>
              </w:rPr>
              <w:t>赁和商务行业</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5"/>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w:t>
            </w:r>
            <w:r>
              <w:rPr>
                <w:rFonts w:hint="eastAsia" w:ascii="仿宋" w:hAnsi="仿宋" w:eastAsia="仿宋" w:cs="宋体"/>
                <w:b/>
                <w:kern w:val="28"/>
                <w:sz w:val="24"/>
                <w:lang w:val="en-US" w:eastAsia="zh-CN"/>
              </w:rPr>
              <w:t>塘栖镇广济路206-9号</w:t>
            </w:r>
            <w:r>
              <w:rPr>
                <w:rFonts w:hint="eastAsia" w:ascii="仿宋" w:hAnsi="仿宋" w:eastAsia="仿宋" w:cs="宋体"/>
                <w:b/>
                <w:kern w:val="28"/>
                <w:sz w:val="24"/>
              </w:rPr>
              <w:t>；备份投标文件签收人员联系电话：</w:t>
            </w:r>
            <w:r>
              <w:rPr>
                <w:rFonts w:hint="eastAsia" w:ascii="仿宋" w:hAnsi="仿宋" w:eastAsia="仿宋" w:cs="宋体"/>
                <w:b/>
                <w:kern w:val="28"/>
                <w:sz w:val="24"/>
                <w:lang w:val="en-US" w:eastAsia="zh-CN"/>
              </w:rPr>
              <w:t>胡新明</w:t>
            </w:r>
            <w:r>
              <w:rPr>
                <w:rFonts w:hint="eastAsia" w:ascii="仿宋" w:hAnsi="仿宋" w:eastAsia="仿宋" w:cs="宋体"/>
                <w:b/>
                <w:kern w:val="28"/>
                <w:sz w:val="24"/>
              </w:rPr>
              <w:t xml:space="preserve">  </w:t>
            </w:r>
            <w:r>
              <w:rPr>
                <w:rFonts w:hint="eastAsia" w:ascii="仿宋" w:hAnsi="仿宋" w:eastAsia="仿宋" w:cs="宋体"/>
                <w:b/>
                <w:kern w:val="28"/>
                <w:sz w:val="24"/>
                <w:lang w:val="en-US" w:eastAsia="zh-CN"/>
              </w:rPr>
              <w:t>18368815112</w:t>
            </w:r>
            <w:r>
              <w:rPr>
                <w:rFonts w:hint="eastAsia" w:ascii="仿宋" w:hAnsi="仿宋" w:eastAsia="仿宋" w:cs="宋体"/>
                <w:b/>
                <w:kern w:val="28"/>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pPr>
              <w:spacing w:line="360" w:lineRule="auto"/>
              <w:rPr>
                <w:rFonts w:ascii="仿宋" w:hAnsi="仿宋" w:eastAsia="仿宋"/>
                <w:b/>
                <w:snapToGrid w:val="0"/>
                <w:kern w:val="28"/>
                <w:sz w:val="24"/>
              </w:rPr>
            </w:pPr>
            <w:r>
              <w:rPr>
                <w:rFonts w:hint="eastAsia" w:ascii="仿宋" w:hAnsi="仿宋" w:eastAsia="仿宋"/>
                <w:b/>
                <w:snapToGrid w:val="0"/>
                <w:kern w:val="28"/>
                <w:sz w:val="24"/>
              </w:rPr>
              <w:t>中标人在领取中标通知书时需向招标代理机构支付人民币</w:t>
            </w:r>
            <w:r>
              <w:rPr>
                <w:rFonts w:hint="eastAsia" w:ascii="仿宋" w:hAnsi="仿宋" w:eastAsia="仿宋"/>
                <w:b/>
                <w:snapToGrid w:val="0"/>
                <w:kern w:val="28"/>
                <w:sz w:val="24"/>
                <w:lang w:val="en-US" w:eastAsia="zh-CN"/>
              </w:rPr>
              <w:t>56000</w:t>
            </w:r>
            <w:r>
              <w:rPr>
                <w:rFonts w:hint="eastAsia" w:ascii="仿宋" w:hAnsi="仿宋" w:eastAsia="仿宋"/>
                <w:b/>
                <w:snapToGrid w:val="0"/>
                <w:kern w:val="28"/>
                <w:sz w:val="24"/>
              </w:rPr>
              <w:t>元中标服务费</w:t>
            </w:r>
            <w:r>
              <w:rPr>
                <w:rFonts w:hint="eastAsia" w:ascii="仿宋" w:hAnsi="仿宋" w:eastAsia="仿宋"/>
                <w:b/>
                <w:snapToGrid w:val="0"/>
                <w:kern w:val="28"/>
                <w:sz w:val="24"/>
                <w:lang w:eastAsia="zh-CN"/>
              </w:rPr>
              <w:t>，</w:t>
            </w:r>
            <w:r>
              <w:rPr>
                <w:rFonts w:hint="eastAsia" w:ascii="仿宋" w:hAnsi="仿宋" w:eastAsia="仿宋"/>
                <w:b/>
                <w:snapToGrid w:val="0"/>
                <w:kern w:val="28"/>
                <w:sz w:val="24"/>
                <w:lang w:val="en-US" w:eastAsia="zh-CN"/>
              </w:rPr>
              <w:t>专家费按实计取</w:t>
            </w:r>
            <w:r>
              <w:rPr>
                <w:rFonts w:hint="eastAsia" w:ascii="仿宋" w:hAnsi="仿宋" w:eastAsia="仿宋"/>
                <w:b/>
                <w:snapToGrid w:val="0"/>
                <w:kern w:val="28"/>
                <w:sz w:val="24"/>
              </w:rPr>
              <w:t>，费用包含在总报价中，不单独列项报价。</w:t>
            </w:r>
          </w:p>
          <w:p>
            <w:pPr>
              <w:spacing w:line="360" w:lineRule="auto"/>
              <w:rPr>
                <w:rFonts w:ascii="仿宋" w:hAnsi="仿宋" w:eastAsia="仿宋" w:cs="宋体"/>
                <w:b/>
                <w:sz w:val="32"/>
                <w:szCs w:val="20"/>
              </w:rPr>
            </w:pPr>
            <w:r>
              <w:rPr>
                <w:rFonts w:hint="eastAsia" w:ascii="仿宋" w:hAnsi="仿宋" w:eastAsia="仿宋"/>
                <w:b/>
                <w:snapToGrid w:val="0"/>
                <w:kern w:val="28"/>
                <w:sz w:val="24"/>
              </w:rPr>
              <w:t>中标服务费的交纳方式：以转帐或支票的形式支付，开户名：杭州合太丰科技有限公司；开户行名称：浙江杭州余杭农村商业银行股份有限公司塘栖支行 ； 帐号：201000219570357</w:t>
            </w:r>
            <w:r>
              <w:rPr>
                <w:rFonts w:hint="eastAsia" w:ascii="仿宋" w:hAnsi="仿宋" w:eastAsia="仿宋"/>
                <w:b/>
                <w:snapToGrid w:val="0"/>
                <w:kern w:val="28"/>
                <w:sz w:val="24"/>
                <w:lang w:eastAsia="zh-CN"/>
              </w:rPr>
              <w:t>；</w:t>
            </w:r>
            <w:r>
              <w:rPr>
                <w:rFonts w:hint="eastAsia" w:ascii="仿宋" w:hAnsi="仿宋" w:eastAsia="仿宋"/>
                <w:b/>
                <w:snapToGrid w:val="0"/>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w:t>
            </w:r>
            <w:r>
              <w:rPr>
                <w:rFonts w:hint="eastAsia" w:ascii="仿宋" w:hAnsi="仿宋" w:eastAsia="仿宋"/>
                <w:b/>
                <w:snapToGrid w:val="0"/>
                <w:kern w:val="28"/>
                <w:sz w:val="24"/>
                <w:lang w:val="en-US" w:eastAsia="zh-CN"/>
              </w:rPr>
              <w:t>四</w:t>
            </w:r>
            <w:r>
              <w:rPr>
                <w:rFonts w:hint="eastAsia" w:ascii="仿宋" w:hAnsi="仿宋" w:eastAsia="仿宋"/>
                <w:b/>
                <w:snapToGrid w:val="0"/>
                <w:kern w:val="28"/>
                <w:sz w:val="24"/>
              </w:rPr>
              <w:t>份（正本一份，副本</w:t>
            </w:r>
            <w:r>
              <w:rPr>
                <w:rFonts w:hint="eastAsia" w:ascii="仿宋" w:hAnsi="仿宋" w:eastAsia="仿宋"/>
                <w:b/>
                <w:snapToGrid w:val="0"/>
                <w:kern w:val="28"/>
                <w:sz w:val="24"/>
                <w:lang w:val="en-US" w:eastAsia="zh-CN"/>
              </w:rPr>
              <w:t>三</w:t>
            </w:r>
            <w:r>
              <w:rPr>
                <w:rFonts w:hint="eastAsia" w:ascii="仿宋" w:hAnsi="仿宋" w:eastAsia="仿宋"/>
                <w:b/>
                <w:snapToGrid w:val="0"/>
                <w:kern w:val="28"/>
                <w:sz w:val="24"/>
              </w:rPr>
              <w:t>份）并提供电子投标文件与纸质投标文件内容一致承诺书（格式自拟）</w:t>
            </w:r>
            <w:r>
              <w:rPr>
                <w:rFonts w:hint="eastAsia" w:ascii="仿宋" w:hAnsi="仿宋" w:eastAsia="仿宋"/>
                <w:b/>
                <w:snapToGrid w:val="0"/>
                <w:kern w:val="28"/>
                <w:sz w:val="24"/>
                <w:lang w:val="en-US" w:eastAsia="zh-CN"/>
              </w:rPr>
              <w:t>四</w:t>
            </w:r>
            <w:r>
              <w:rPr>
                <w:rFonts w:hint="eastAsia" w:ascii="仿宋" w:hAnsi="仿宋" w:eastAsia="仿宋"/>
                <w:b/>
                <w:snapToGrid w:val="0"/>
                <w:kern w:val="28"/>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pStyle w:val="79"/>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572"/>
        <w:shd w:val="clear" w:color="auto" w:fill="FFFFFF"/>
        <w:snapToGrid w:val="0"/>
        <w:spacing w:after="240" w:afterAutospacing="0" w:line="360" w:lineRule="auto"/>
        <w:ind w:firstLine="400"/>
        <w:contextualSpacing/>
        <w:rPr>
          <w:rFonts w:ascii="仿宋" w:hAnsi="仿宋" w:eastAsia="仿宋"/>
        </w:rPr>
      </w:pPr>
    </w:p>
    <w:p>
      <w:pPr>
        <w:pStyle w:val="86"/>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6"/>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6"/>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7"/>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6"/>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6"/>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6"/>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6"/>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6"/>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6"/>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6"/>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6"/>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6"/>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6"/>
        <w:spacing w:before="0"/>
        <w:ind w:firstLine="643"/>
        <w:rPr>
          <w:rFonts w:ascii="仿宋" w:hAnsi="仿宋" w:eastAsia="仿宋" w:cs="宋体"/>
          <w:b/>
          <w:sz w:val="32"/>
        </w:rPr>
      </w:pPr>
    </w:p>
    <w:p>
      <w:pPr>
        <w:pStyle w:val="86"/>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6"/>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6"/>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6"/>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6"/>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6"/>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6"/>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6"/>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86"/>
        <w:snapToGrid w:val="0"/>
        <w:spacing w:before="0" w:after="120"/>
        <w:ind w:firstLine="480"/>
        <w:rPr>
          <w:rFonts w:hint="eastAsia" w:ascii="仿宋" w:hAnsi="仿宋" w:eastAsia="仿宋" w:cs="宋体"/>
        </w:rPr>
      </w:pPr>
      <w:r>
        <w:rPr>
          <w:rFonts w:hint="eastAsia" w:ascii="仿宋" w:hAnsi="仿宋" w:eastAsia="仿宋" w:cs="宋体"/>
          <w:lang w:val="en-US" w:eastAsia="zh-CN"/>
        </w:rPr>
        <w:t>25.6合同签订依据为相关法律法规文件、招标文件、乙方投标文件等，合同条款有与前者冲突的，以前者为准。</w:t>
      </w:r>
    </w:p>
    <w:p>
      <w:pPr>
        <w:pStyle w:val="2"/>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拟签订的合同文本要求中标供应商提交履约保证金的，供应商应当以金融机构、担保机构出具的保函等形式提交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5"/>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2990"/>
      <w:bookmarkEnd w:id="15"/>
      <w:bookmarkStart w:id="16" w:name="_Hlt75236290"/>
      <w:bookmarkEnd w:id="16"/>
      <w:bookmarkStart w:id="17" w:name="_Hlt68057669"/>
      <w:bookmarkEnd w:id="17"/>
      <w:bookmarkStart w:id="18" w:name="_Hlt74707468"/>
      <w:bookmarkEnd w:id="18"/>
      <w:bookmarkStart w:id="19" w:name="_Hlt75236011"/>
      <w:bookmarkEnd w:id="19"/>
      <w:bookmarkStart w:id="20" w:name="_Hlt68403820"/>
      <w:bookmarkEnd w:id="20"/>
      <w:bookmarkStart w:id="21" w:name="_Hlt74729768"/>
      <w:bookmarkEnd w:id="21"/>
      <w:bookmarkStart w:id="22" w:name="_Hlt68072998"/>
      <w:bookmarkEnd w:id="22"/>
      <w:bookmarkStart w:id="23" w:name="_Hlt74730295"/>
      <w:bookmarkEnd w:id="23"/>
      <w:bookmarkStart w:id="24" w:name="_Hlt68073093"/>
      <w:bookmarkEnd w:id="24"/>
      <w:bookmarkStart w:id="25" w:name="_Hlt74714665"/>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pStyle w:val="3"/>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一、项目概述：</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本项目采购内容加强护校安园安全护卫、 为深入贯彻落实省领导和市领导关于校园安全工作的一系列重要指示批示精神，进一步强化中小学、幼儿园安全防范工作，维护校园持续安全稳定、结合重大活动安保工作总体部署，在各级党委、政府的领导下，坚持标本兼治、重在治本，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校园及周边持续安全稳定；</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交钥匙”项目，采购内容包括按提供符合采购人要求提供合格的公共安全服务。投标报价包括所有护校安园人员的工资、社保、加班费、培训费、通讯设备、服装费、低值易耗品、工具及相关设备费、临时性杂项服务费、政策性文件规定及合同包含的所有风险、责任、税费、合理利润等各项全部费用。</w:t>
      </w:r>
    </w:p>
    <w:p>
      <w:pPr>
        <w:pStyle w:val="3"/>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二、具体服务内容、要求等：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823" w:type="dxa"/>
            <w:vAlign w:val="center"/>
          </w:tcPr>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保安队员素质要求</w:t>
            </w:r>
          </w:p>
        </w:tc>
        <w:tc>
          <w:tcPr>
            <w:tcW w:w="7823" w:type="dxa"/>
            <w:vAlign w:val="center"/>
          </w:tcPr>
          <w:p>
            <w:pPr>
              <w:pStyle w:val="3"/>
              <w:numPr>
                <w:ilvl w:val="0"/>
                <w:numId w:val="0"/>
              </w:numPr>
              <w:ind w:firstLine="480" w:firstLineChars="20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w:t>
            </w:r>
            <w:r>
              <w:rPr>
                <w:rFonts w:hint="eastAsia" w:ascii="仿宋" w:hAnsi="仿宋" w:eastAsia="仿宋" w:cs="仿宋"/>
                <w:color w:val="auto"/>
                <w:sz w:val="24"/>
                <w:szCs w:val="24"/>
                <w:highlight w:val="none"/>
                <w:lang w:eastAsia="zh-CN"/>
              </w:rPr>
              <w:t>员</w:t>
            </w:r>
            <w:r>
              <w:rPr>
                <w:rFonts w:hint="default" w:ascii="仿宋" w:hAnsi="仿宋" w:eastAsia="仿宋" w:cs="仿宋"/>
                <w:color w:val="auto"/>
                <w:sz w:val="24"/>
                <w:szCs w:val="24"/>
                <w:highlight w:val="none"/>
              </w:rPr>
              <w:t>：</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要求：</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本次招标为</w:t>
            </w:r>
            <w:r>
              <w:rPr>
                <w:rFonts w:hint="eastAsia" w:ascii="仿宋" w:hAnsi="仿宋" w:eastAsia="仿宋" w:cs="仿宋"/>
                <w:color w:val="auto"/>
                <w:sz w:val="24"/>
                <w:szCs w:val="24"/>
                <w:highlight w:val="none"/>
                <w:lang w:val="en-US" w:eastAsia="zh-CN"/>
              </w:rPr>
              <w:t>镇街</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w:t>
            </w:r>
            <w:r>
              <w:rPr>
                <w:rFonts w:hint="eastAsia" w:ascii="仿宋" w:hAnsi="仿宋" w:eastAsia="仿宋" w:cs="仿宋"/>
                <w:color w:val="auto"/>
                <w:sz w:val="24"/>
                <w:szCs w:val="24"/>
                <w:highlight w:val="none"/>
                <w:lang w:eastAsia="zh-CN"/>
              </w:rPr>
              <w:t>员</w:t>
            </w:r>
            <w:r>
              <w:rPr>
                <w:rFonts w:hint="eastAsia" w:ascii="仿宋" w:hAnsi="仿宋" w:eastAsia="仿宋" w:cs="仿宋"/>
                <w:color w:val="auto"/>
                <w:sz w:val="24"/>
                <w:szCs w:val="24"/>
                <w:highlight w:val="none"/>
                <w:lang w:val="en-US" w:eastAsia="zh-CN"/>
              </w:rPr>
              <w:t>，年龄要求45周岁及以下，每个校园不少于2名治安管理队员；</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本项目的所有</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上岗时必须持有公安机关颁发的《保安员证》，持证上岗，统一着装，进场服务前由采购人统一审核；</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素质要求：</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应当政治素质好、工作积极、热爱</w:t>
            </w:r>
            <w:r>
              <w:rPr>
                <w:rFonts w:hint="eastAsia" w:ascii="仿宋" w:hAnsi="仿宋" w:eastAsia="仿宋" w:cs="仿宋"/>
                <w:color w:val="auto"/>
                <w:sz w:val="24"/>
                <w:szCs w:val="24"/>
                <w:highlight w:val="none"/>
                <w:lang w:eastAsia="zh-CN"/>
              </w:rPr>
              <w:t>治</w:t>
            </w:r>
            <w:r>
              <w:rPr>
                <w:rFonts w:hint="eastAsia" w:ascii="仿宋" w:hAnsi="仿宋" w:eastAsia="仿宋" w:cs="仿宋"/>
                <w:color w:val="auto"/>
                <w:sz w:val="24"/>
                <w:szCs w:val="24"/>
                <w:highlight w:val="none"/>
              </w:rPr>
              <w:t>安工作，负责所指定区域、部位、物品、人员的安全防范和安全处理工作。</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中女性比例应控制在总</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的10%以内；</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进驻采购人</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执勤后，必须服从采购人的安排和管理，严格遵守采购人有关规章制度并接受采购人的监督，遵纪守法、着装整洁、礼貌待客、认真负责；</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在执勤时，必须按规定着装，佩戴标志，做到文明执勤，礼貌待人；</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的仪容仪表和执勤规范：</w:t>
            </w:r>
            <w:r>
              <w:rPr>
                <w:rFonts w:hint="eastAsia" w:ascii="仿宋" w:hAnsi="仿宋" w:eastAsia="仿宋" w:cs="仿宋"/>
                <w:color w:val="auto"/>
                <w:sz w:val="24"/>
                <w:szCs w:val="24"/>
                <w:highlight w:val="none"/>
                <w:lang w:eastAsia="zh-CN"/>
              </w:rPr>
              <w:t>所有</w:t>
            </w:r>
            <w:r>
              <w:rPr>
                <w:rFonts w:hint="eastAsia" w:ascii="仿宋" w:hAnsi="仿宋" w:eastAsia="仿宋" w:cs="仿宋"/>
                <w:color w:val="auto"/>
                <w:sz w:val="24"/>
                <w:szCs w:val="24"/>
                <w:highlight w:val="none"/>
              </w:rPr>
              <w:t>人员应衣冠整洁，胸佩工作卡；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pStyle w:val="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二、交通管理队员：</w:t>
            </w:r>
          </w:p>
          <w:p>
            <w:pPr>
              <w:pStyle w:val="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1）管理要求：</w:t>
            </w:r>
          </w:p>
          <w:p>
            <w:pPr>
              <w:pStyle w:val="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2.1 </w:t>
            </w:r>
            <w:r>
              <w:rPr>
                <w:rFonts w:hint="eastAsia" w:ascii="仿宋" w:hAnsi="仿宋" w:eastAsia="仿宋" w:cs="仿宋"/>
                <w:color w:val="auto"/>
                <w:sz w:val="24"/>
                <w:szCs w:val="24"/>
                <w:highlight w:val="none"/>
                <w:lang w:eastAsia="zh-CN"/>
              </w:rPr>
              <w:t>本次招标为交通管理员</w:t>
            </w:r>
            <w:r>
              <w:rPr>
                <w:rFonts w:hint="eastAsia" w:ascii="仿宋" w:hAnsi="仿宋" w:eastAsia="仿宋" w:cs="仿宋"/>
                <w:color w:val="auto"/>
                <w:sz w:val="24"/>
                <w:szCs w:val="24"/>
                <w:highlight w:val="none"/>
                <w:lang w:val="en-US" w:eastAsia="zh-CN"/>
              </w:rPr>
              <w:t>，年龄要求45周岁以下。</w:t>
            </w:r>
          </w:p>
          <w:p>
            <w:pPr>
              <w:pStyle w:val="3"/>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 交通管理队员</w:t>
            </w:r>
            <w:r>
              <w:rPr>
                <w:rFonts w:hint="eastAsia" w:ascii="仿宋" w:hAnsi="仿宋" w:eastAsia="仿宋" w:cs="仿宋"/>
                <w:color w:val="auto"/>
                <w:sz w:val="24"/>
                <w:szCs w:val="24"/>
                <w:highlight w:val="none"/>
              </w:rPr>
              <w:t>素质要求：</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应当政治素质好、工作积极、热爱</w:t>
            </w:r>
            <w:r>
              <w:rPr>
                <w:rFonts w:hint="eastAsia" w:ascii="仿宋" w:hAnsi="仿宋" w:eastAsia="仿宋" w:cs="仿宋"/>
                <w:color w:val="auto"/>
                <w:sz w:val="24"/>
                <w:szCs w:val="24"/>
                <w:highlight w:val="none"/>
                <w:lang w:eastAsia="zh-CN"/>
              </w:rPr>
              <w:t>交通管理</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并懂交通相关法律法规</w:t>
            </w:r>
            <w:r>
              <w:rPr>
                <w:rFonts w:hint="eastAsia" w:ascii="仿宋" w:hAnsi="仿宋" w:eastAsia="仿宋" w:cs="仿宋"/>
                <w:color w:val="auto"/>
                <w:sz w:val="24"/>
                <w:szCs w:val="24"/>
                <w:highlight w:val="none"/>
              </w:rPr>
              <w:t>，负责所指定区域、部位</w:t>
            </w:r>
            <w:r>
              <w:rPr>
                <w:rFonts w:hint="eastAsia" w:ascii="仿宋" w:hAnsi="仿宋" w:eastAsia="仿宋" w:cs="仿宋"/>
                <w:color w:val="auto"/>
                <w:sz w:val="24"/>
                <w:szCs w:val="24"/>
                <w:highlight w:val="none"/>
                <w:lang w:eastAsia="zh-CN"/>
              </w:rPr>
              <w:t>交通进行管理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中女性比例应控制在总</w:t>
            </w:r>
            <w:r>
              <w:rPr>
                <w:rFonts w:hint="eastAsia" w:ascii="仿宋" w:hAnsi="仿宋" w:eastAsia="仿宋" w:cs="仿宋"/>
                <w:color w:val="auto"/>
                <w:sz w:val="24"/>
                <w:szCs w:val="24"/>
                <w:highlight w:val="none"/>
                <w:lang w:eastAsia="zh-CN"/>
              </w:rPr>
              <w:t>治</w:t>
            </w:r>
            <w:r>
              <w:rPr>
                <w:rFonts w:hint="eastAsia" w:ascii="仿宋" w:hAnsi="仿宋" w:eastAsia="仿宋" w:cs="仿宋"/>
                <w:color w:val="auto"/>
                <w:sz w:val="24"/>
                <w:szCs w:val="24"/>
                <w:highlight w:val="none"/>
              </w:rPr>
              <w:t>安人数的10%以内；</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进驻采购人</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后，必须服从采购人安排和管理，严格遵守采购人有关规章制度并接受采购人的监督，遵纪守法、着装整洁、礼貌待客、认真负责；</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在执勤时，必须按规定着装，佩戴标志，做到文明执勤，礼貌待人</w:t>
            </w:r>
            <w:r>
              <w:rPr>
                <w:rFonts w:hint="eastAsia" w:ascii="仿宋" w:hAnsi="仿宋" w:eastAsia="仿宋" w:cs="仿宋"/>
                <w:color w:val="auto"/>
                <w:sz w:val="24"/>
                <w:szCs w:val="24"/>
                <w:highlight w:val="none"/>
                <w:lang w:eastAsia="zh-CN"/>
              </w:rPr>
              <w:t>。</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的仪容仪表和执勤规范：</w:t>
            </w:r>
            <w:r>
              <w:rPr>
                <w:rFonts w:hint="eastAsia" w:ascii="仿宋" w:hAnsi="仿宋" w:eastAsia="仿宋" w:cs="仿宋"/>
                <w:color w:val="auto"/>
                <w:sz w:val="24"/>
                <w:szCs w:val="24"/>
                <w:highlight w:val="none"/>
                <w:lang w:eastAsia="zh-CN"/>
              </w:rPr>
              <w:t>所有</w:t>
            </w:r>
            <w:r>
              <w:rPr>
                <w:rFonts w:hint="eastAsia" w:ascii="仿宋" w:hAnsi="仿宋" w:eastAsia="仿宋" w:cs="仿宋"/>
                <w:color w:val="auto"/>
                <w:sz w:val="24"/>
                <w:szCs w:val="24"/>
                <w:highlight w:val="none"/>
              </w:rPr>
              <w:t>人员应衣冠整洁，胸佩工作卡；坚守工作岗位，提高警惕，严防犯罪分子从事破坏活动，保证</w:t>
            </w:r>
            <w:r>
              <w:rPr>
                <w:rFonts w:hint="eastAsia" w:ascii="仿宋" w:hAnsi="仿宋" w:eastAsia="仿宋" w:cs="仿宋"/>
                <w:color w:val="auto"/>
                <w:sz w:val="24"/>
                <w:szCs w:val="24"/>
                <w:highlight w:val="none"/>
                <w:lang w:eastAsia="zh-CN"/>
              </w:rPr>
              <w:t>学校老师、学生出行安全</w:t>
            </w:r>
            <w:r>
              <w:rPr>
                <w:rFonts w:hint="eastAsia" w:ascii="仿宋" w:hAnsi="仿宋" w:eastAsia="仿宋" w:cs="仿宋"/>
                <w:color w:val="auto"/>
                <w:sz w:val="24"/>
                <w:szCs w:val="24"/>
                <w:highlight w:val="none"/>
              </w:rPr>
              <w:t>，发现不安全因素立即查明原因，尽快排除险情并及时向采购人汇报；认真做好各类台账记录，严格履行交接班制度。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pStyle w:val="3"/>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项目总负责人要求</w:t>
            </w:r>
          </w:p>
        </w:tc>
        <w:tc>
          <w:tcPr>
            <w:tcW w:w="7823" w:type="dxa"/>
            <w:vAlign w:val="center"/>
          </w:tcPr>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科学历和管理经验、保安管理经验（保安员职业资格等级证书</w:t>
            </w:r>
            <w:r>
              <w:rPr>
                <w:rFonts w:hint="eastAsia" w:ascii="仿宋" w:hAnsi="仿宋" w:eastAsia="仿宋" w:cs="仿宋"/>
                <w:color w:val="auto"/>
                <w:sz w:val="24"/>
                <w:szCs w:val="24"/>
                <w:highlight w:val="none"/>
                <w:lang w:eastAsia="zh-CN"/>
              </w:rPr>
              <w:t>及一定的职称</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工作职责</w:t>
            </w:r>
          </w:p>
        </w:tc>
        <w:tc>
          <w:tcPr>
            <w:tcW w:w="7823" w:type="dxa"/>
            <w:vAlign w:val="center"/>
          </w:tcPr>
          <w:p>
            <w:pPr>
              <w:pStyle w:val="3"/>
              <w:numPr>
                <w:ilvl w:val="0"/>
                <w:numId w:val="0"/>
              </w:numPr>
              <w:ind w:firstLine="480" w:firstLineChars="20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治安管理队员</w:t>
            </w:r>
            <w:r>
              <w:rPr>
                <w:rFonts w:hint="default" w:ascii="仿宋" w:hAnsi="仿宋" w:eastAsia="仿宋" w:cs="仿宋"/>
                <w:color w:val="auto"/>
                <w:sz w:val="24"/>
                <w:szCs w:val="24"/>
                <w:highlight w:val="none"/>
              </w:rPr>
              <w:t>：</w:t>
            </w:r>
          </w:p>
          <w:p>
            <w:pPr>
              <w:pStyle w:val="3"/>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服务范围及工作要求</w:t>
            </w:r>
            <w:r>
              <w:rPr>
                <w:rFonts w:hint="eastAsia" w:ascii="仿宋" w:hAnsi="仿宋" w:eastAsia="仿宋" w:cs="仿宋"/>
                <w:color w:val="auto"/>
                <w:sz w:val="24"/>
                <w:szCs w:val="24"/>
                <w:highlight w:val="none"/>
                <w:lang w:eastAsia="zh-CN"/>
              </w:rPr>
              <w:t>：</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、负责协助相关政府部门对学校周边区域200米范围内的餐饮店、食杂店等安全检查工作；</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、负责协助相关政府部门对学校周边区域200米范围内的网吧、歌厅等文化经营场所以及各类出版物的安全检查工作；</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、负责协助相关政府部门加强学校周边区域安全巡逻守护；</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、负责协助相关政府部门对学校周边区域200米范围内的无证流动摊点的安全管理工作；</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、负责协助相关政府部门做好其他治安管理类相关工作。</w:t>
            </w:r>
          </w:p>
          <w:p>
            <w:pPr>
              <w:pStyle w:val="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二、交通管理队员：</w:t>
            </w:r>
          </w:p>
          <w:p>
            <w:pPr>
              <w:pStyle w:val="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服务范围及工作要求</w:t>
            </w:r>
            <w:r>
              <w:rPr>
                <w:rFonts w:hint="eastAsia" w:ascii="仿宋" w:hAnsi="仿宋" w:eastAsia="仿宋" w:cs="仿宋"/>
                <w:color w:val="auto"/>
                <w:sz w:val="24"/>
                <w:szCs w:val="24"/>
                <w:highlight w:val="none"/>
                <w:lang w:eastAsia="zh-CN"/>
              </w:rPr>
              <w:t>：</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下辖</w:t>
            </w:r>
            <w:r>
              <w:rPr>
                <w:rFonts w:hint="eastAsia" w:ascii="仿宋" w:hAnsi="仿宋" w:eastAsia="仿宋" w:cs="仿宋"/>
                <w:color w:val="auto"/>
                <w:sz w:val="24"/>
                <w:szCs w:val="24"/>
                <w:highlight w:val="none"/>
              </w:rPr>
              <w:t>学校范围内的学校上下学时段或重大活动时段校园出入口的安全秩序维护；</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、负责协助相关政府部门对学校周边区域部分路段的交通秩序维护；</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、负责协助相关政府部门对沿街店家出店占道经营和500米范围内的机动车违法停放（做好指导学生接送车辆有序临时停放工作）、非法营运的安全管理工作；</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、负责协助相关政府部门每月做好校门口交通安全隐患排查；</w:t>
            </w:r>
          </w:p>
          <w:p>
            <w:pPr>
              <w:pStyle w:val="3"/>
              <w:numPr>
                <w:ilvl w:val="0"/>
                <w:numId w:val="0"/>
              </w:num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、负责协助相关政府部门做好其他交通管理类相关工作。</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、其他相关服务要求：</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务时间为每周五天，每天不超过八个小时。若遇采购人需要延长服务时间的，中标单位应当配合；认真履行职责，服从流动式服务的要求，勤走勤问勤反馈，不得擅自离职，因事请假，须得到批准，待安排好人员后方可离岗。</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、其他相关费用说明：</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如遇特殊情况，须按采购人需求进行加班，加班费在投标报价中自行考虑，中标后不作调整。</w:t>
            </w: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2、本项目服务中</w:t>
            </w:r>
            <w:r>
              <w:rPr>
                <w:rFonts w:hint="eastAsia" w:ascii="仿宋" w:hAnsi="仿宋" w:eastAsia="仿宋" w:cs="仿宋"/>
                <w:color w:val="auto"/>
                <w:sz w:val="24"/>
                <w:szCs w:val="24"/>
                <w:highlight w:val="none"/>
              </w:rPr>
              <w:t>使用对讲通讯、巡视等设备</w:t>
            </w:r>
            <w:r>
              <w:rPr>
                <w:rFonts w:hint="eastAsia" w:ascii="仿宋" w:hAnsi="仿宋" w:eastAsia="仿宋" w:cs="仿宋"/>
                <w:color w:val="auto"/>
                <w:sz w:val="24"/>
                <w:szCs w:val="24"/>
                <w:highlight w:val="none"/>
                <w:lang w:val="en-US" w:eastAsia="zh-CN"/>
              </w:rPr>
              <w:t>及车辆</w:t>
            </w:r>
            <w:r>
              <w:rPr>
                <w:rFonts w:hint="eastAsia" w:ascii="仿宋" w:hAnsi="仿宋" w:eastAsia="仿宋" w:cs="仿宋"/>
                <w:color w:val="auto"/>
                <w:sz w:val="24"/>
                <w:szCs w:val="24"/>
                <w:highlight w:val="none"/>
              </w:rPr>
              <w:t>均由中标单位自理，服务管理中所需的物品（如低值易耗品、工具及相关设备）包含在中标价中。</w:t>
            </w:r>
          </w:p>
        </w:tc>
      </w:tr>
    </w:tbl>
    <w:p>
      <w:pPr>
        <w:pStyle w:val="3"/>
        <w:numPr>
          <w:ilvl w:val="0"/>
          <w:numId w:val="0"/>
        </w:numPr>
        <w:ind w:firstLine="480" w:firstLineChars="200"/>
        <w:rPr>
          <w:rFonts w:hint="eastAsia" w:ascii="仿宋" w:hAnsi="仿宋" w:eastAsia="仿宋" w:cs="仿宋"/>
          <w:color w:val="auto"/>
          <w:sz w:val="24"/>
          <w:szCs w:val="24"/>
          <w:highlight w:val="none"/>
        </w:rPr>
      </w:pPr>
    </w:p>
    <w:p>
      <w:pPr>
        <w:pStyle w:val="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pStyle w:val="3"/>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本合同期限一年。合同签订依据为相关法律法规文件、招标文件、乙方投标文件等，合同条款有与前者冲突的，以前者为准。</w:t>
      </w:r>
    </w:p>
    <w:p>
      <w:pPr>
        <w:pStyle w:val="3"/>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考核要求及制度：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1、考核要求：服务人员持证上岗，政治素质好、工作积极、热爱工作。服务人员的年龄不得超过</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2、甲方制定考核办法，对乙方进行考核（考核办法另行商定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、培训要求：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队员需</w:t>
      </w:r>
      <w:r>
        <w:rPr>
          <w:rFonts w:hint="eastAsia" w:ascii="仿宋" w:hAnsi="仿宋" w:eastAsia="仿宋" w:cs="仿宋"/>
          <w:color w:val="auto"/>
          <w:sz w:val="24"/>
          <w:highlight w:val="none"/>
        </w:rPr>
        <w:t>进行完善的培训后方可上岗，有详细的培训计划、内容、方案、时间等。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、费用支付：</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预付款比例为合同价金额的70%。中标供应商可放弃预付款，最终以经塘栖镇财办根据政府采购法等相关规定审核通过的合同相应条款为准。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的事件发生。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在运营中发生的劳资纠纷、工伤纠纷、人身意外伤亡等事件，由</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自行承担，如因此造成</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被第三方索赔，</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有权向</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进行追偿。</w:t>
      </w: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08097"/>
      <w:bookmarkEnd w:id="27"/>
      <w:bookmarkStart w:id="28" w:name="_Toc184312123"/>
      <w:bookmarkEnd w:id="28"/>
      <w:bookmarkStart w:id="29" w:name="_Toc184310288"/>
      <w:bookmarkEnd w:id="29"/>
      <w:bookmarkStart w:id="30" w:name="_Toc184310284"/>
      <w:bookmarkEnd w:id="30"/>
      <w:bookmarkStart w:id="31" w:name="_Toc184314463"/>
      <w:bookmarkEnd w:id="31"/>
      <w:bookmarkStart w:id="32" w:name="_Toc184308052"/>
      <w:bookmarkEnd w:id="32"/>
      <w:bookmarkStart w:id="33" w:name="_Toc184314437"/>
      <w:bookmarkEnd w:id="33"/>
      <w:bookmarkStart w:id="34" w:name="_Toc184314429"/>
      <w:bookmarkEnd w:id="34"/>
      <w:bookmarkStart w:id="35" w:name="_Toc184313262"/>
      <w:bookmarkEnd w:id="35"/>
      <w:bookmarkStart w:id="36" w:name="_Toc184310341"/>
      <w:bookmarkEnd w:id="36"/>
      <w:bookmarkStart w:id="37" w:name="_Toc184313244"/>
      <w:bookmarkEnd w:id="37"/>
      <w:bookmarkStart w:id="38" w:name="_Toc184308101"/>
      <w:bookmarkEnd w:id="38"/>
      <w:bookmarkStart w:id="39" w:name="_Toc184314416"/>
      <w:bookmarkEnd w:id="39"/>
      <w:bookmarkStart w:id="40" w:name="_Toc184312072"/>
      <w:bookmarkEnd w:id="40"/>
      <w:bookmarkStart w:id="41" w:name="_Toc184314422"/>
      <w:bookmarkEnd w:id="41"/>
      <w:bookmarkStart w:id="42" w:name="_Toc184308068"/>
      <w:bookmarkEnd w:id="42"/>
      <w:bookmarkStart w:id="43" w:name="_Toc184312093"/>
      <w:bookmarkEnd w:id="43"/>
      <w:bookmarkStart w:id="44" w:name="_Toc184314446"/>
      <w:bookmarkEnd w:id="44"/>
      <w:bookmarkStart w:id="45" w:name="_Toc184312089"/>
      <w:bookmarkEnd w:id="45"/>
      <w:bookmarkStart w:id="46" w:name="_Toc184314417"/>
      <w:bookmarkEnd w:id="46"/>
      <w:bookmarkStart w:id="47" w:name="_Toc184310342"/>
      <w:bookmarkEnd w:id="47"/>
      <w:bookmarkStart w:id="48" w:name="_Toc184314418"/>
      <w:bookmarkEnd w:id="48"/>
      <w:bookmarkStart w:id="49" w:name="_Toc184313272"/>
      <w:bookmarkEnd w:id="49"/>
      <w:bookmarkStart w:id="50" w:name="_Toc184313256"/>
      <w:bookmarkEnd w:id="50"/>
      <w:bookmarkStart w:id="51" w:name="_Toc184312139"/>
      <w:bookmarkEnd w:id="51"/>
      <w:bookmarkStart w:id="52" w:name="_Toc184310276"/>
      <w:bookmarkEnd w:id="52"/>
      <w:bookmarkStart w:id="53" w:name="_Toc184308053"/>
      <w:bookmarkEnd w:id="53"/>
      <w:bookmarkStart w:id="54" w:name="_Toc184312085"/>
      <w:bookmarkEnd w:id="54"/>
      <w:bookmarkStart w:id="55" w:name="_Toc184310316"/>
      <w:bookmarkEnd w:id="55"/>
      <w:bookmarkStart w:id="56" w:name="_Toc184308098"/>
      <w:bookmarkEnd w:id="56"/>
      <w:bookmarkStart w:id="57" w:name="_Toc184312071"/>
      <w:bookmarkEnd w:id="57"/>
      <w:bookmarkStart w:id="58" w:name="_Toc184310321"/>
      <w:bookmarkEnd w:id="58"/>
      <w:bookmarkStart w:id="59" w:name="_Toc184310338"/>
      <w:bookmarkEnd w:id="59"/>
      <w:bookmarkStart w:id="60" w:name="_Toc184310305"/>
      <w:bookmarkEnd w:id="60"/>
      <w:bookmarkStart w:id="61" w:name="_Toc184310335"/>
      <w:bookmarkEnd w:id="61"/>
      <w:bookmarkStart w:id="62" w:name="_Toc184312096"/>
      <w:bookmarkEnd w:id="62"/>
      <w:bookmarkStart w:id="63" w:name="_Toc184313248"/>
      <w:bookmarkEnd w:id="63"/>
      <w:bookmarkStart w:id="64" w:name="_Toc184314451"/>
      <w:bookmarkEnd w:id="64"/>
      <w:bookmarkStart w:id="65" w:name="_Toc184310320"/>
      <w:bookmarkEnd w:id="65"/>
      <w:bookmarkStart w:id="66" w:name="_Toc184310307"/>
      <w:bookmarkEnd w:id="66"/>
      <w:bookmarkStart w:id="67" w:name="_Toc184308073"/>
      <w:bookmarkEnd w:id="67"/>
      <w:bookmarkStart w:id="68" w:name="_Toc184310315"/>
      <w:bookmarkEnd w:id="68"/>
      <w:bookmarkStart w:id="69" w:name="_Toc184313271"/>
      <w:bookmarkEnd w:id="69"/>
      <w:bookmarkStart w:id="70" w:name="_Toc184314415"/>
      <w:bookmarkEnd w:id="70"/>
      <w:bookmarkStart w:id="71" w:name="_Toc184313305"/>
      <w:bookmarkEnd w:id="71"/>
      <w:bookmarkStart w:id="72" w:name="_Toc184312119"/>
      <w:bookmarkEnd w:id="72"/>
      <w:bookmarkStart w:id="73" w:name="_Toc184310309"/>
      <w:bookmarkEnd w:id="73"/>
      <w:bookmarkStart w:id="74" w:name="_Toc184313243"/>
      <w:bookmarkEnd w:id="74"/>
      <w:bookmarkStart w:id="75" w:name="_Toc184312138"/>
      <w:bookmarkEnd w:id="75"/>
      <w:bookmarkStart w:id="76" w:name="_Toc184313306"/>
      <w:bookmarkEnd w:id="76"/>
      <w:bookmarkStart w:id="77" w:name="_Toc184310304"/>
      <w:bookmarkEnd w:id="77"/>
      <w:bookmarkStart w:id="78" w:name="_Toc184308076"/>
      <w:bookmarkEnd w:id="78"/>
      <w:bookmarkStart w:id="79" w:name="_Toc184310312"/>
      <w:bookmarkEnd w:id="79"/>
      <w:bookmarkStart w:id="80" w:name="_Toc184308066"/>
      <w:bookmarkEnd w:id="80"/>
      <w:bookmarkStart w:id="81" w:name="_Toc184312112"/>
      <w:bookmarkEnd w:id="81"/>
      <w:bookmarkStart w:id="82" w:name="_Toc184314458"/>
      <w:bookmarkEnd w:id="82"/>
      <w:bookmarkStart w:id="83" w:name="_Toc184314482"/>
      <w:bookmarkEnd w:id="83"/>
      <w:bookmarkStart w:id="84" w:name="_Toc184314432"/>
      <w:bookmarkEnd w:id="84"/>
      <w:bookmarkStart w:id="85" w:name="_Toc184312125"/>
      <w:bookmarkEnd w:id="85"/>
      <w:bookmarkStart w:id="86" w:name="_Toc184314478"/>
      <w:bookmarkEnd w:id="86"/>
      <w:bookmarkStart w:id="87" w:name="_Toc184310291"/>
      <w:bookmarkEnd w:id="87"/>
      <w:bookmarkStart w:id="88" w:name="_Toc184308072"/>
      <w:bookmarkEnd w:id="88"/>
      <w:bookmarkStart w:id="89" w:name="_Toc184308056"/>
      <w:bookmarkEnd w:id="89"/>
      <w:bookmarkStart w:id="90" w:name="_Toc184310293"/>
      <w:bookmarkEnd w:id="90"/>
      <w:bookmarkStart w:id="91" w:name="_Toc184313304"/>
      <w:bookmarkEnd w:id="91"/>
      <w:bookmarkStart w:id="92" w:name="_Toc184314428"/>
      <w:bookmarkEnd w:id="92"/>
      <w:bookmarkStart w:id="93" w:name="_Toc184314457"/>
      <w:bookmarkEnd w:id="93"/>
      <w:bookmarkStart w:id="94" w:name="_Toc184314474"/>
      <w:bookmarkEnd w:id="94"/>
      <w:bookmarkStart w:id="95" w:name="_Toc184312114"/>
      <w:bookmarkEnd w:id="95"/>
      <w:bookmarkStart w:id="96" w:name="_Toc184314445"/>
      <w:bookmarkEnd w:id="96"/>
      <w:bookmarkStart w:id="97" w:name="_Toc184312104"/>
      <w:bookmarkEnd w:id="97"/>
      <w:bookmarkStart w:id="98" w:name="_Toc184314456"/>
      <w:bookmarkEnd w:id="98"/>
      <w:bookmarkStart w:id="99" w:name="_Toc184312068"/>
      <w:bookmarkEnd w:id="99"/>
      <w:bookmarkStart w:id="100" w:name="_Toc184308090"/>
      <w:bookmarkEnd w:id="100"/>
      <w:bookmarkStart w:id="101" w:name="_Toc184313269"/>
      <w:bookmarkEnd w:id="101"/>
      <w:bookmarkStart w:id="102" w:name="_Toc184313252"/>
      <w:bookmarkEnd w:id="102"/>
      <w:bookmarkStart w:id="103" w:name="_Toc184310274"/>
      <w:bookmarkEnd w:id="103"/>
      <w:bookmarkStart w:id="104" w:name="_Toc184308108"/>
      <w:bookmarkEnd w:id="104"/>
      <w:bookmarkStart w:id="105" w:name="_Toc184313294"/>
      <w:bookmarkEnd w:id="105"/>
      <w:bookmarkStart w:id="106" w:name="_Toc184314433"/>
      <w:bookmarkEnd w:id="106"/>
      <w:bookmarkStart w:id="107" w:name="_Toc184314475"/>
      <w:bookmarkEnd w:id="107"/>
      <w:bookmarkStart w:id="108" w:name="_Toc184310273"/>
      <w:bookmarkEnd w:id="108"/>
      <w:bookmarkStart w:id="109" w:name="_Toc184312091"/>
      <w:bookmarkEnd w:id="109"/>
      <w:bookmarkStart w:id="110" w:name="_Toc184310285"/>
      <w:bookmarkEnd w:id="110"/>
      <w:bookmarkStart w:id="111" w:name="_Toc184308058"/>
      <w:bookmarkEnd w:id="111"/>
      <w:bookmarkStart w:id="112" w:name="_Toc184313276"/>
      <w:bookmarkEnd w:id="112"/>
      <w:bookmarkStart w:id="113" w:name="_Toc184308086"/>
      <w:bookmarkEnd w:id="113"/>
      <w:bookmarkStart w:id="114" w:name="_Toc184312088"/>
      <w:bookmarkEnd w:id="114"/>
      <w:bookmarkStart w:id="115" w:name="_Toc184313241"/>
      <w:bookmarkEnd w:id="115"/>
      <w:bookmarkStart w:id="116" w:name="_Toc184313278"/>
      <w:bookmarkEnd w:id="116"/>
      <w:bookmarkStart w:id="117" w:name="_Toc184314465"/>
      <w:bookmarkEnd w:id="117"/>
      <w:bookmarkStart w:id="118" w:name="_Toc184313259"/>
      <w:bookmarkEnd w:id="118"/>
      <w:bookmarkStart w:id="119" w:name="_Toc184314442"/>
      <w:bookmarkEnd w:id="119"/>
      <w:bookmarkStart w:id="120" w:name="_Toc184314453"/>
      <w:bookmarkEnd w:id="120"/>
      <w:bookmarkStart w:id="121" w:name="_Toc184313274"/>
      <w:bookmarkEnd w:id="121"/>
      <w:bookmarkStart w:id="122" w:name="_Toc184312086"/>
      <w:bookmarkEnd w:id="122"/>
      <w:bookmarkStart w:id="123" w:name="_Toc184312134"/>
      <w:bookmarkEnd w:id="123"/>
      <w:bookmarkStart w:id="124" w:name="_Toc184310295"/>
      <w:bookmarkEnd w:id="124"/>
      <w:bookmarkStart w:id="125" w:name="_Toc184308042"/>
      <w:bookmarkEnd w:id="125"/>
      <w:bookmarkStart w:id="126" w:name="_Toc184308078"/>
      <w:bookmarkEnd w:id="126"/>
      <w:bookmarkStart w:id="127" w:name="_Toc184313270"/>
      <w:bookmarkEnd w:id="127"/>
      <w:bookmarkStart w:id="128" w:name="_Toc184308071"/>
      <w:bookmarkEnd w:id="128"/>
      <w:bookmarkStart w:id="129" w:name="_Toc184312094"/>
      <w:bookmarkEnd w:id="129"/>
      <w:bookmarkStart w:id="130" w:name="_Toc184310344"/>
      <w:bookmarkEnd w:id="130"/>
      <w:bookmarkStart w:id="131" w:name="_Toc184313245"/>
      <w:bookmarkEnd w:id="131"/>
      <w:bookmarkStart w:id="132" w:name="_Toc184313310"/>
      <w:bookmarkEnd w:id="132"/>
      <w:bookmarkStart w:id="133" w:name="_Toc184313249"/>
      <w:bookmarkEnd w:id="133"/>
      <w:bookmarkStart w:id="134" w:name="_Toc184308043"/>
      <w:bookmarkEnd w:id="134"/>
      <w:bookmarkStart w:id="135" w:name="_Toc184312087"/>
      <w:bookmarkEnd w:id="135"/>
      <w:bookmarkStart w:id="136" w:name="_Toc184310322"/>
      <w:bookmarkEnd w:id="136"/>
      <w:bookmarkStart w:id="137" w:name="_Toc184308074"/>
      <w:bookmarkEnd w:id="137"/>
      <w:bookmarkStart w:id="138" w:name="_Toc184313246"/>
      <w:bookmarkEnd w:id="138"/>
      <w:bookmarkStart w:id="139" w:name="_Toc184312116"/>
      <w:bookmarkEnd w:id="139"/>
      <w:bookmarkStart w:id="140" w:name="_Toc184310336"/>
      <w:bookmarkEnd w:id="140"/>
      <w:bookmarkStart w:id="141" w:name="_Toc184313254"/>
      <w:bookmarkEnd w:id="141"/>
      <w:bookmarkStart w:id="142" w:name="_Toc184312082"/>
      <w:bookmarkEnd w:id="142"/>
      <w:bookmarkStart w:id="143" w:name="_Toc184314472"/>
      <w:bookmarkEnd w:id="143"/>
      <w:bookmarkStart w:id="144" w:name="_Toc184312074"/>
      <w:bookmarkEnd w:id="144"/>
      <w:bookmarkStart w:id="145" w:name="_Toc184308096"/>
      <w:bookmarkEnd w:id="145"/>
      <w:bookmarkStart w:id="146" w:name="_Toc184308036"/>
      <w:bookmarkEnd w:id="146"/>
      <w:bookmarkStart w:id="147" w:name="_Toc184308062"/>
      <w:bookmarkEnd w:id="147"/>
      <w:bookmarkStart w:id="148" w:name="_Toc184313273"/>
      <w:bookmarkEnd w:id="148"/>
      <w:bookmarkStart w:id="149" w:name="_Toc184312069"/>
      <w:bookmarkEnd w:id="149"/>
      <w:bookmarkStart w:id="150" w:name="_Toc184314424"/>
      <w:bookmarkEnd w:id="150"/>
      <w:bookmarkStart w:id="151" w:name="_Toc184313267"/>
      <w:bookmarkEnd w:id="151"/>
      <w:bookmarkStart w:id="152" w:name="_Toc184310333"/>
      <w:bookmarkEnd w:id="152"/>
      <w:bookmarkStart w:id="153" w:name="_Toc184313247"/>
      <w:bookmarkEnd w:id="153"/>
      <w:bookmarkStart w:id="154" w:name="_Toc184313301"/>
      <w:bookmarkEnd w:id="154"/>
      <w:bookmarkStart w:id="155" w:name="_Toc184312120"/>
      <w:bookmarkEnd w:id="155"/>
      <w:bookmarkStart w:id="156" w:name="_Toc184308103"/>
      <w:bookmarkEnd w:id="156"/>
      <w:bookmarkStart w:id="157" w:name="_Toc184313287"/>
      <w:bookmarkEnd w:id="157"/>
      <w:bookmarkStart w:id="158" w:name="_Toc184310297"/>
      <w:bookmarkEnd w:id="158"/>
      <w:bookmarkStart w:id="159" w:name="_Toc184312077"/>
      <w:bookmarkEnd w:id="159"/>
      <w:bookmarkStart w:id="160" w:name="_Toc184312081"/>
      <w:bookmarkEnd w:id="160"/>
      <w:bookmarkStart w:id="161" w:name="_Toc184312080"/>
      <w:bookmarkEnd w:id="161"/>
      <w:bookmarkStart w:id="162" w:name="_Toc184312092"/>
      <w:bookmarkEnd w:id="162"/>
      <w:bookmarkStart w:id="163" w:name="_Toc184312137"/>
      <w:bookmarkEnd w:id="163"/>
      <w:bookmarkStart w:id="164" w:name="_Toc184314480"/>
      <w:bookmarkEnd w:id="164"/>
      <w:bookmarkStart w:id="165" w:name="_Toc184314411"/>
      <w:bookmarkEnd w:id="165"/>
      <w:bookmarkStart w:id="166" w:name="_Toc184308088"/>
      <w:bookmarkEnd w:id="166"/>
      <w:bookmarkStart w:id="167" w:name="_Toc184310308"/>
      <w:bookmarkEnd w:id="167"/>
      <w:bookmarkStart w:id="168" w:name="_Toc184310289"/>
      <w:bookmarkEnd w:id="168"/>
      <w:bookmarkStart w:id="169" w:name="_Toc184312122"/>
      <w:bookmarkEnd w:id="169"/>
      <w:bookmarkStart w:id="170" w:name="_Toc184312097"/>
      <w:bookmarkEnd w:id="170"/>
      <w:bookmarkStart w:id="171" w:name="_Toc184310292"/>
      <w:bookmarkEnd w:id="171"/>
      <w:bookmarkStart w:id="172" w:name="_Toc184308100"/>
      <w:bookmarkEnd w:id="172"/>
      <w:bookmarkStart w:id="173" w:name="_Toc184310290"/>
      <w:bookmarkEnd w:id="173"/>
      <w:bookmarkStart w:id="174" w:name="_Toc184308040"/>
      <w:bookmarkEnd w:id="174"/>
      <w:bookmarkStart w:id="175" w:name="_Toc184314410"/>
      <w:bookmarkEnd w:id="175"/>
      <w:bookmarkStart w:id="176" w:name="_Toc184310327"/>
      <w:bookmarkEnd w:id="176"/>
      <w:bookmarkStart w:id="177" w:name="_Toc184313255"/>
      <w:bookmarkEnd w:id="177"/>
      <w:bookmarkStart w:id="178" w:name="_Toc184310303"/>
      <w:bookmarkEnd w:id="178"/>
      <w:bookmarkStart w:id="179" w:name="_Toc184310326"/>
      <w:bookmarkEnd w:id="179"/>
      <w:bookmarkStart w:id="180" w:name="_Toc184313291"/>
      <w:bookmarkEnd w:id="180"/>
      <w:bookmarkStart w:id="181" w:name="_Toc184308057"/>
      <w:bookmarkEnd w:id="181"/>
      <w:bookmarkStart w:id="182" w:name="_Toc184314464"/>
      <w:bookmarkEnd w:id="182"/>
      <w:bookmarkStart w:id="183" w:name="_Toc184308050"/>
      <w:bookmarkEnd w:id="183"/>
      <w:bookmarkStart w:id="184" w:name="_Toc184314420"/>
      <w:bookmarkEnd w:id="184"/>
      <w:bookmarkStart w:id="185" w:name="_Toc184308091"/>
      <w:bookmarkEnd w:id="185"/>
      <w:bookmarkStart w:id="186" w:name="_Toc184312117"/>
      <w:bookmarkEnd w:id="186"/>
      <w:bookmarkStart w:id="187" w:name="_Toc184313251"/>
      <w:bookmarkEnd w:id="187"/>
      <w:bookmarkStart w:id="188" w:name="_Toc184313253"/>
      <w:bookmarkEnd w:id="188"/>
      <w:bookmarkStart w:id="189" w:name="_Toc184310313"/>
      <w:bookmarkEnd w:id="189"/>
      <w:bookmarkStart w:id="190" w:name="_Toc184308092"/>
      <w:bookmarkEnd w:id="190"/>
      <w:bookmarkStart w:id="191" w:name="_Toc184310298"/>
      <w:bookmarkEnd w:id="191"/>
      <w:bookmarkStart w:id="192" w:name="_Toc184308044"/>
      <w:bookmarkEnd w:id="192"/>
      <w:bookmarkStart w:id="193" w:name="_Toc184314413"/>
      <w:bookmarkEnd w:id="193"/>
      <w:bookmarkStart w:id="194" w:name="_Toc184313303"/>
      <w:bookmarkEnd w:id="194"/>
      <w:bookmarkStart w:id="195" w:name="_Toc184313298"/>
      <w:bookmarkEnd w:id="195"/>
      <w:bookmarkStart w:id="196" w:name="_Toc184314434"/>
      <w:bookmarkEnd w:id="196"/>
      <w:bookmarkStart w:id="197" w:name="_Toc184308084"/>
      <w:bookmarkEnd w:id="197"/>
      <w:bookmarkStart w:id="198" w:name="_Toc184310334"/>
      <w:bookmarkEnd w:id="198"/>
      <w:bookmarkStart w:id="199" w:name="_Toc184308047"/>
      <w:bookmarkEnd w:id="199"/>
      <w:bookmarkStart w:id="200" w:name="_Toc184313263"/>
      <w:bookmarkEnd w:id="200"/>
      <w:bookmarkStart w:id="201" w:name="_Toc184313293"/>
      <w:bookmarkEnd w:id="201"/>
      <w:bookmarkStart w:id="202" w:name="_Toc184314473"/>
      <w:bookmarkEnd w:id="202"/>
      <w:bookmarkStart w:id="203" w:name="_Toc184308065"/>
      <w:bookmarkEnd w:id="203"/>
      <w:bookmarkStart w:id="204" w:name="_Toc184313299"/>
      <w:bookmarkEnd w:id="204"/>
      <w:bookmarkStart w:id="205" w:name="_Toc184313281"/>
      <w:bookmarkEnd w:id="205"/>
      <w:bookmarkStart w:id="206" w:name="_Toc184314443"/>
      <w:bookmarkEnd w:id="206"/>
      <w:bookmarkStart w:id="207" w:name="_Toc184308051"/>
      <w:bookmarkEnd w:id="207"/>
      <w:bookmarkStart w:id="208" w:name="_Toc184308106"/>
      <w:bookmarkEnd w:id="208"/>
      <w:bookmarkStart w:id="209" w:name="_Toc184310287"/>
      <w:bookmarkEnd w:id="209"/>
      <w:bookmarkStart w:id="210" w:name="_Toc184310300"/>
      <w:bookmarkEnd w:id="210"/>
      <w:bookmarkStart w:id="211" w:name="_Toc184313289"/>
      <w:bookmarkEnd w:id="211"/>
      <w:bookmarkStart w:id="212" w:name="_Toc184308099"/>
      <w:bookmarkEnd w:id="212"/>
      <w:bookmarkStart w:id="213" w:name="_Toc184310325"/>
      <w:bookmarkEnd w:id="213"/>
      <w:bookmarkStart w:id="214" w:name="_Toc184310340"/>
      <w:bookmarkEnd w:id="214"/>
      <w:bookmarkStart w:id="215" w:name="_Toc184313297"/>
      <w:bookmarkEnd w:id="215"/>
      <w:bookmarkStart w:id="216" w:name="_Toc184312128"/>
      <w:bookmarkEnd w:id="216"/>
      <w:bookmarkStart w:id="217" w:name="_Toc184312078"/>
      <w:bookmarkEnd w:id="217"/>
      <w:bookmarkStart w:id="218" w:name="_Toc184313295"/>
      <w:bookmarkEnd w:id="218"/>
      <w:bookmarkStart w:id="219" w:name="_Toc184310314"/>
      <w:bookmarkEnd w:id="219"/>
      <w:bookmarkStart w:id="220" w:name="_Toc184310318"/>
      <w:bookmarkEnd w:id="220"/>
      <w:bookmarkStart w:id="221" w:name="_Toc184310281"/>
      <w:bookmarkEnd w:id="221"/>
      <w:bookmarkStart w:id="222" w:name="_Toc184308055"/>
      <w:bookmarkEnd w:id="222"/>
      <w:bookmarkStart w:id="223" w:name="_Toc184314469"/>
      <w:bookmarkEnd w:id="223"/>
      <w:bookmarkStart w:id="224" w:name="_Toc184308038"/>
      <w:bookmarkEnd w:id="224"/>
      <w:bookmarkStart w:id="225" w:name="_Toc184310277"/>
      <w:bookmarkEnd w:id="225"/>
      <w:bookmarkStart w:id="226" w:name="_Toc184310301"/>
      <w:bookmarkEnd w:id="226"/>
      <w:bookmarkStart w:id="227" w:name="_Toc184314423"/>
      <w:bookmarkEnd w:id="227"/>
      <w:bookmarkStart w:id="228" w:name="_Toc184310337"/>
      <w:bookmarkEnd w:id="228"/>
      <w:bookmarkStart w:id="229" w:name="_Toc184314470"/>
      <w:bookmarkEnd w:id="229"/>
      <w:bookmarkStart w:id="230" w:name="_Toc184314454"/>
      <w:bookmarkEnd w:id="230"/>
      <w:bookmarkStart w:id="231" w:name="_Toc184314468"/>
      <w:bookmarkEnd w:id="231"/>
      <w:bookmarkStart w:id="232" w:name="_Toc184314440"/>
      <w:bookmarkEnd w:id="232"/>
      <w:bookmarkStart w:id="233" w:name="_Toc184310329"/>
      <w:bookmarkEnd w:id="233"/>
      <w:bookmarkStart w:id="234" w:name="_Toc184314430"/>
      <w:bookmarkEnd w:id="234"/>
      <w:bookmarkStart w:id="235" w:name="_Toc184312127"/>
      <w:bookmarkEnd w:id="235"/>
      <w:bookmarkStart w:id="236" w:name="_Toc184308080"/>
      <w:bookmarkEnd w:id="236"/>
      <w:bookmarkStart w:id="237" w:name="_Toc184310296"/>
      <w:bookmarkEnd w:id="237"/>
      <w:bookmarkStart w:id="238" w:name="_Toc184310294"/>
      <w:bookmarkEnd w:id="238"/>
      <w:bookmarkStart w:id="239" w:name="_Toc184310302"/>
      <w:bookmarkEnd w:id="239"/>
      <w:bookmarkStart w:id="240" w:name="_Toc184314412"/>
      <w:bookmarkEnd w:id="240"/>
      <w:bookmarkStart w:id="241" w:name="_Toc184312076"/>
      <w:bookmarkEnd w:id="241"/>
      <w:bookmarkStart w:id="242" w:name="_Toc184310328"/>
      <w:bookmarkEnd w:id="242"/>
      <w:bookmarkStart w:id="243" w:name="_Toc184310317"/>
      <w:bookmarkEnd w:id="243"/>
      <w:bookmarkStart w:id="244" w:name="_Toc184312108"/>
      <w:bookmarkEnd w:id="244"/>
      <w:bookmarkStart w:id="245" w:name="_Toc184310283"/>
      <w:bookmarkEnd w:id="245"/>
      <w:bookmarkStart w:id="246" w:name="_Toc184312124"/>
      <w:bookmarkEnd w:id="246"/>
      <w:bookmarkStart w:id="247" w:name="_Toc184314447"/>
      <w:bookmarkEnd w:id="247"/>
      <w:bookmarkStart w:id="248" w:name="_Toc184314448"/>
      <w:bookmarkEnd w:id="248"/>
      <w:bookmarkStart w:id="249" w:name="_Toc184313266"/>
      <w:bookmarkEnd w:id="249"/>
      <w:bookmarkStart w:id="250" w:name="_Toc184310323"/>
      <w:bookmarkEnd w:id="250"/>
      <w:bookmarkStart w:id="251" w:name="_Toc184314427"/>
      <w:bookmarkEnd w:id="251"/>
      <w:bookmarkStart w:id="252" w:name="_Toc184313250"/>
      <w:bookmarkEnd w:id="252"/>
      <w:bookmarkStart w:id="253" w:name="_Toc184313261"/>
      <w:bookmarkEnd w:id="253"/>
      <w:bookmarkStart w:id="254" w:name="_Toc184308102"/>
      <w:bookmarkEnd w:id="254"/>
      <w:bookmarkStart w:id="255" w:name="_Toc184308085"/>
      <w:bookmarkEnd w:id="255"/>
      <w:bookmarkStart w:id="256" w:name="_Toc184313279"/>
      <w:bookmarkEnd w:id="256"/>
      <w:bookmarkStart w:id="257" w:name="_Toc184312067"/>
      <w:bookmarkEnd w:id="257"/>
      <w:bookmarkStart w:id="258" w:name="_Toc184312073"/>
      <w:bookmarkEnd w:id="258"/>
      <w:bookmarkStart w:id="259" w:name="_Toc184308045"/>
      <w:bookmarkEnd w:id="259"/>
      <w:bookmarkStart w:id="260" w:name="_Toc184314449"/>
      <w:bookmarkEnd w:id="260"/>
      <w:bookmarkStart w:id="261" w:name="_Toc184312132"/>
      <w:bookmarkEnd w:id="261"/>
      <w:bookmarkStart w:id="262" w:name="_Toc184312084"/>
      <w:bookmarkEnd w:id="262"/>
      <w:bookmarkStart w:id="263" w:name="_Toc184308059"/>
      <w:bookmarkEnd w:id="263"/>
      <w:bookmarkStart w:id="264" w:name="_Toc184312115"/>
      <w:bookmarkEnd w:id="264"/>
      <w:bookmarkStart w:id="265" w:name="_Toc184308041"/>
      <w:bookmarkEnd w:id="265"/>
      <w:bookmarkStart w:id="266" w:name="_Toc184314476"/>
      <w:bookmarkEnd w:id="266"/>
      <w:bookmarkStart w:id="267" w:name="_Toc184312103"/>
      <w:bookmarkEnd w:id="267"/>
      <w:bookmarkStart w:id="268" w:name="_Toc184313282"/>
      <w:bookmarkEnd w:id="268"/>
      <w:bookmarkStart w:id="269" w:name="_Toc184313275"/>
      <w:bookmarkEnd w:id="269"/>
      <w:bookmarkStart w:id="270" w:name="_Toc184310343"/>
      <w:bookmarkEnd w:id="270"/>
      <w:bookmarkStart w:id="271" w:name="_Toc184313258"/>
      <w:bookmarkEnd w:id="271"/>
      <w:bookmarkStart w:id="272" w:name="_Toc184313307"/>
      <w:bookmarkEnd w:id="272"/>
      <w:bookmarkStart w:id="273" w:name="_Toc184314414"/>
      <w:bookmarkEnd w:id="273"/>
      <w:bookmarkStart w:id="274" w:name="_Toc184313264"/>
      <w:bookmarkEnd w:id="274"/>
      <w:bookmarkStart w:id="275" w:name="_Toc184314455"/>
      <w:bookmarkEnd w:id="275"/>
      <w:bookmarkStart w:id="276" w:name="_Toc184312130"/>
      <w:bookmarkEnd w:id="276"/>
      <w:bookmarkStart w:id="277" w:name="_Toc184313292"/>
      <w:bookmarkEnd w:id="277"/>
      <w:bookmarkStart w:id="278" w:name="_Toc184308064"/>
      <w:bookmarkEnd w:id="278"/>
      <w:bookmarkStart w:id="279" w:name="_Toc184312110"/>
      <w:bookmarkEnd w:id="279"/>
      <w:bookmarkStart w:id="280" w:name="_Toc184312107"/>
      <w:bookmarkEnd w:id="280"/>
      <w:bookmarkStart w:id="281" w:name="_Toc184312102"/>
      <w:bookmarkEnd w:id="281"/>
      <w:bookmarkStart w:id="282" w:name="_Toc184308070"/>
      <w:bookmarkEnd w:id="282"/>
      <w:bookmarkStart w:id="283" w:name="_Toc184308093"/>
      <w:bookmarkEnd w:id="283"/>
      <w:bookmarkStart w:id="284" w:name="_Toc184308069"/>
      <w:bookmarkEnd w:id="284"/>
      <w:bookmarkStart w:id="285" w:name="_Toc184314481"/>
      <w:bookmarkEnd w:id="285"/>
      <w:bookmarkStart w:id="286" w:name="_Toc184313238"/>
      <w:bookmarkEnd w:id="286"/>
      <w:bookmarkStart w:id="287" w:name="_Toc184312095"/>
      <w:bookmarkEnd w:id="287"/>
      <w:bookmarkStart w:id="288" w:name="_Toc184312113"/>
      <w:bookmarkEnd w:id="288"/>
      <w:bookmarkStart w:id="289" w:name="_Toc184313302"/>
      <w:bookmarkEnd w:id="289"/>
      <w:bookmarkStart w:id="290" w:name="_Toc184312099"/>
      <w:bookmarkEnd w:id="290"/>
      <w:bookmarkStart w:id="291" w:name="_Toc184314450"/>
      <w:bookmarkEnd w:id="291"/>
      <w:bookmarkStart w:id="292" w:name="_Toc184314421"/>
      <w:bookmarkEnd w:id="292"/>
      <w:bookmarkStart w:id="293" w:name="_Toc184308082"/>
      <w:bookmarkEnd w:id="293"/>
      <w:bookmarkStart w:id="294" w:name="_Toc184313309"/>
      <w:bookmarkEnd w:id="294"/>
      <w:bookmarkStart w:id="295" w:name="_Toc184308077"/>
      <w:bookmarkEnd w:id="295"/>
      <w:bookmarkStart w:id="296" w:name="_Toc184313239"/>
      <w:bookmarkEnd w:id="296"/>
      <w:bookmarkStart w:id="297" w:name="_Toc184314431"/>
      <w:bookmarkEnd w:id="297"/>
      <w:bookmarkStart w:id="298" w:name="_Toc184312090"/>
      <w:bookmarkEnd w:id="298"/>
      <w:bookmarkStart w:id="299" w:name="_Toc184312105"/>
      <w:bookmarkEnd w:id="299"/>
      <w:bookmarkStart w:id="300" w:name="_Toc184314435"/>
      <w:bookmarkEnd w:id="300"/>
      <w:bookmarkStart w:id="301" w:name="_Toc184314467"/>
      <w:bookmarkEnd w:id="301"/>
      <w:bookmarkStart w:id="302" w:name="_Toc184308075"/>
      <w:bookmarkEnd w:id="302"/>
      <w:bookmarkStart w:id="303" w:name="_Toc184314477"/>
      <w:bookmarkEnd w:id="303"/>
      <w:bookmarkStart w:id="304" w:name="_Toc184314462"/>
      <w:bookmarkEnd w:id="304"/>
      <w:bookmarkStart w:id="305" w:name="_Toc184310332"/>
      <w:bookmarkEnd w:id="305"/>
      <w:bookmarkStart w:id="306" w:name="_Toc184313268"/>
      <w:bookmarkEnd w:id="306"/>
      <w:bookmarkStart w:id="307" w:name="_Toc184313265"/>
      <w:bookmarkEnd w:id="307"/>
      <w:bookmarkStart w:id="308" w:name="_Toc184313285"/>
      <w:bookmarkEnd w:id="308"/>
      <w:bookmarkStart w:id="309" w:name="_Toc184313277"/>
      <w:bookmarkEnd w:id="309"/>
      <w:bookmarkStart w:id="310" w:name="_Toc184313257"/>
      <w:bookmarkEnd w:id="310"/>
      <w:bookmarkStart w:id="311" w:name="_Toc184314419"/>
      <w:bookmarkEnd w:id="311"/>
      <w:bookmarkStart w:id="312" w:name="_Toc184312070"/>
      <w:bookmarkEnd w:id="312"/>
      <w:bookmarkStart w:id="313" w:name="_Toc184313296"/>
      <w:bookmarkEnd w:id="313"/>
      <w:bookmarkStart w:id="314" w:name="_Toc184314479"/>
      <w:bookmarkEnd w:id="314"/>
      <w:bookmarkStart w:id="315" w:name="_Toc184314438"/>
      <w:bookmarkEnd w:id="315"/>
      <w:bookmarkStart w:id="316" w:name="_Toc184308063"/>
      <w:bookmarkEnd w:id="316"/>
      <w:bookmarkStart w:id="317" w:name="_Toc184308104"/>
      <w:bookmarkEnd w:id="317"/>
      <w:bookmarkStart w:id="318" w:name="_Toc184312131"/>
      <w:bookmarkEnd w:id="318"/>
      <w:bookmarkStart w:id="319" w:name="_Toc184314436"/>
      <w:bookmarkEnd w:id="319"/>
      <w:bookmarkStart w:id="320" w:name="_Toc184312136"/>
      <w:bookmarkEnd w:id="320"/>
      <w:bookmarkStart w:id="321" w:name="_Toc184313280"/>
      <w:bookmarkEnd w:id="321"/>
      <w:bookmarkStart w:id="322" w:name="_Toc184308089"/>
      <w:bookmarkEnd w:id="322"/>
      <w:bookmarkStart w:id="323" w:name="_Toc184312079"/>
      <w:bookmarkEnd w:id="323"/>
      <w:bookmarkStart w:id="324" w:name="_Toc184308087"/>
      <w:bookmarkEnd w:id="324"/>
      <w:bookmarkStart w:id="325" w:name="_Toc184312118"/>
      <w:bookmarkEnd w:id="325"/>
      <w:bookmarkStart w:id="326" w:name="_Toc184308081"/>
      <w:bookmarkEnd w:id="326"/>
      <w:bookmarkStart w:id="327" w:name="_Toc184308067"/>
      <w:bookmarkEnd w:id="327"/>
      <w:bookmarkStart w:id="328" w:name="_Toc184312109"/>
      <w:bookmarkEnd w:id="328"/>
      <w:bookmarkStart w:id="329" w:name="_Toc184310286"/>
      <w:bookmarkEnd w:id="329"/>
      <w:bookmarkStart w:id="330" w:name="_Toc184313288"/>
      <w:bookmarkEnd w:id="330"/>
      <w:bookmarkStart w:id="331" w:name="_Toc184314444"/>
      <w:bookmarkEnd w:id="331"/>
      <w:bookmarkStart w:id="332" w:name="_Toc184308083"/>
      <w:bookmarkEnd w:id="332"/>
      <w:bookmarkStart w:id="333" w:name="_Toc184312135"/>
      <w:bookmarkEnd w:id="333"/>
      <w:bookmarkStart w:id="334" w:name="_Toc184313290"/>
      <w:bookmarkEnd w:id="334"/>
      <w:bookmarkStart w:id="335" w:name="_Toc184312111"/>
      <w:bookmarkEnd w:id="335"/>
      <w:bookmarkStart w:id="336" w:name="_Toc184308105"/>
      <w:bookmarkEnd w:id="336"/>
      <w:bookmarkStart w:id="337" w:name="_Toc184310275"/>
      <w:bookmarkEnd w:id="337"/>
      <w:bookmarkStart w:id="338" w:name="_Toc184314461"/>
      <w:bookmarkEnd w:id="338"/>
      <w:bookmarkStart w:id="339" w:name="_Toc184308039"/>
      <w:bookmarkEnd w:id="339"/>
      <w:bookmarkStart w:id="340" w:name="_Toc184314441"/>
      <w:bookmarkEnd w:id="340"/>
      <w:bookmarkStart w:id="341" w:name="_Toc184314439"/>
      <w:bookmarkEnd w:id="341"/>
      <w:bookmarkStart w:id="342" w:name="_Toc184308037"/>
      <w:bookmarkEnd w:id="342"/>
      <w:bookmarkStart w:id="343" w:name="_Toc184312098"/>
      <w:bookmarkEnd w:id="343"/>
      <w:bookmarkStart w:id="344" w:name="_Toc184308107"/>
      <w:bookmarkEnd w:id="344"/>
      <w:bookmarkStart w:id="345" w:name="_Toc184310272"/>
      <w:bookmarkEnd w:id="345"/>
      <w:bookmarkStart w:id="346" w:name="_Toc184310310"/>
      <w:bookmarkEnd w:id="346"/>
      <w:bookmarkStart w:id="347" w:name="_Toc184310279"/>
      <w:bookmarkEnd w:id="347"/>
      <w:bookmarkStart w:id="348" w:name="_Toc184312101"/>
      <w:bookmarkEnd w:id="348"/>
      <w:bookmarkStart w:id="349" w:name="_Toc184313286"/>
      <w:bookmarkEnd w:id="349"/>
      <w:bookmarkStart w:id="350" w:name="_Toc184312133"/>
      <w:bookmarkEnd w:id="350"/>
      <w:bookmarkStart w:id="351" w:name="_Toc184313308"/>
      <w:bookmarkEnd w:id="351"/>
      <w:bookmarkStart w:id="352" w:name="_Toc184314460"/>
      <w:bookmarkEnd w:id="352"/>
      <w:bookmarkStart w:id="353" w:name="_Toc184312106"/>
      <w:bookmarkEnd w:id="353"/>
      <w:bookmarkStart w:id="354" w:name="_Toc184310319"/>
      <w:bookmarkEnd w:id="354"/>
      <w:bookmarkStart w:id="355" w:name="_Toc184312100"/>
      <w:bookmarkEnd w:id="355"/>
      <w:bookmarkStart w:id="356" w:name="_Toc184310299"/>
      <w:bookmarkEnd w:id="356"/>
      <w:bookmarkStart w:id="357" w:name="_Toc184312075"/>
      <w:bookmarkEnd w:id="357"/>
      <w:bookmarkStart w:id="358" w:name="_Toc184308054"/>
      <w:bookmarkEnd w:id="358"/>
      <w:bookmarkStart w:id="359" w:name="_Toc184308061"/>
      <w:bookmarkEnd w:id="359"/>
      <w:bookmarkStart w:id="360" w:name="_Toc184312121"/>
      <w:bookmarkEnd w:id="360"/>
      <w:bookmarkStart w:id="361" w:name="_Toc184310278"/>
      <w:bookmarkEnd w:id="361"/>
      <w:bookmarkStart w:id="362" w:name="_Toc184308060"/>
      <w:bookmarkEnd w:id="362"/>
      <w:bookmarkStart w:id="363" w:name="_Toc184308094"/>
      <w:bookmarkEnd w:id="363"/>
      <w:bookmarkStart w:id="364" w:name="_Toc184313284"/>
      <w:bookmarkEnd w:id="364"/>
      <w:bookmarkStart w:id="365" w:name="_Toc184310282"/>
      <w:bookmarkEnd w:id="365"/>
      <w:bookmarkStart w:id="366" w:name="_Toc184314452"/>
      <w:bookmarkEnd w:id="366"/>
      <w:bookmarkStart w:id="367" w:name="_Toc184314459"/>
      <w:bookmarkEnd w:id="367"/>
      <w:bookmarkStart w:id="368" w:name="_Toc184310306"/>
      <w:bookmarkEnd w:id="368"/>
      <w:bookmarkStart w:id="369" w:name="_Toc184310324"/>
      <w:bookmarkEnd w:id="369"/>
      <w:bookmarkStart w:id="370" w:name="_Toc184312129"/>
      <w:bookmarkEnd w:id="370"/>
      <w:bookmarkStart w:id="371" w:name="_Toc184312126"/>
      <w:bookmarkEnd w:id="371"/>
      <w:bookmarkStart w:id="372" w:name="_Toc184310280"/>
      <w:bookmarkEnd w:id="372"/>
      <w:bookmarkStart w:id="373" w:name="_Toc184308048"/>
      <w:bookmarkEnd w:id="373"/>
      <w:bookmarkStart w:id="374" w:name="_Toc184310331"/>
      <w:bookmarkEnd w:id="374"/>
      <w:bookmarkStart w:id="375" w:name="_Toc184312083"/>
      <w:bookmarkEnd w:id="375"/>
      <w:bookmarkStart w:id="376" w:name="_Toc184313283"/>
      <w:bookmarkEnd w:id="376"/>
      <w:bookmarkStart w:id="377" w:name="_Toc184313260"/>
      <w:bookmarkEnd w:id="377"/>
      <w:bookmarkStart w:id="378" w:name="_Toc184308046"/>
      <w:bookmarkEnd w:id="378"/>
      <w:bookmarkStart w:id="379" w:name="_Toc184310339"/>
      <w:bookmarkEnd w:id="379"/>
      <w:bookmarkStart w:id="380" w:name="_Toc184314471"/>
      <w:bookmarkEnd w:id="380"/>
      <w:bookmarkStart w:id="381" w:name="_Toc184310330"/>
      <w:bookmarkEnd w:id="381"/>
      <w:bookmarkStart w:id="382" w:name="_Toc184308049"/>
      <w:bookmarkEnd w:id="382"/>
      <w:bookmarkStart w:id="383" w:name="_Toc184310311"/>
      <w:bookmarkEnd w:id="383"/>
      <w:bookmarkStart w:id="384" w:name="_Toc184313240"/>
      <w:bookmarkEnd w:id="384"/>
      <w:bookmarkStart w:id="385" w:name="_Toc184314426"/>
      <w:bookmarkEnd w:id="385"/>
      <w:bookmarkStart w:id="386" w:name="_Toc184308095"/>
      <w:bookmarkEnd w:id="386"/>
      <w:bookmarkStart w:id="387" w:name="_Toc184314425"/>
      <w:bookmarkEnd w:id="387"/>
      <w:bookmarkStart w:id="388" w:name="_Toc184314466"/>
      <w:bookmarkEnd w:id="388"/>
      <w:bookmarkStart w:id="389" w:name="_Toc184308079"/>
      <w:bookmarkEnd w:id="389"/>
      <w:bookmarkStart w:id="390" w:name="_Toc184313242"/>
      <w:bookmarkEnd w:id="390"/>
      <w:bookmarkStart w:id="391" w:name="_Toc184313300"/>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p>
      <w:pPr>
        <w:pStyle w:val="86"/>
        <w:spacing w:before="0"/>
        <w:ind w:firstLine="602" w:firstLineChars="25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1、本次评标采用综合评分法，总分为100分。</w:t>
      </w:r>
      <w:r>
        <w:rPr>
          <w:rFonts w:hint="eastAsia" w:ascii="仿宋" w:hAnsi="仿宋" w:eastAsia="仿宋" w:cs="仿宋"/>
          <w:color w:val="00000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86"/>
        <w:spacing w:before="0"/>
        <w:ind w:firstLine="600" w:firstLineChars="25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各投标人的综合得分为：投标价格得分+技术商务得分之和，总和为100分，其中：投标价格得分10分，商务技术得分90分。</w:t>
      </w:r>
    </w:p>
    <w:p>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商务技术评标细则（90分）</w:t>
      </w:r>
    </w:p>
    <w:p>
      <w:pPr>
        <w:spacing w:line="60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评标标准如下：</w:t>
      </w:r>
    </w:p>
    <w:p>
      <w:pPr>
        <w:spacing w:line="6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技术部分</w:t>
      </w:r>
      <w:r>
        <w:rPr>
          <w:rFonts w:hint="eastAsia" w:ascii="仿宋" w:hAnsi="仿宋" w:eastAsia="仿宋" w:cs="仿宋"/>
          <w:b/>
          <w:bCs/>
          <w:sz w:val="24"/>
          <w:szCs w:val="24"/>
          <w:highlight w:val="none"/>
          <w:lang w:val="en-US" w:eastAsia="zh-CN"/>
        </w:rPr>
        <w:t>45</w:t>
      </w:r>
      <w:r>
        <w:rPr>
          <w:rFonts w:hint="eastAsia" w:ascii="仿宋" w:hAnsi="仿宋" w:eastAsia="仿宋" w:cs="仿宋"/>
          <w:b/>
          <w:bCs/>
          <w:sz w:val="24"/>
          <w:szCs w:val="24"/>
          <w:highlight w:val="none"/>
        </w:rPr>
        <w:t>分</w:t>
      </w:r>
    </w:p>
    <w:tbl>
      <w:tblPr>
        <w:tblStyle w:val="62"/>
        <w:tblpPr w:leftFromText="180" w:rightFromText="180" w:vertAnchor="text" w:horzAnchor="page" w:tblpX="1009" w:tblpY="617"/>
        <w:tblOverlap w:val="never"/>
        <w:tblW w:w="984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6949"/>
        <w:gridCol w:w="777"/>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6949"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评分内容</w:t>
            </w:r>
          </w:p>
        </w:tc>
        <w:tc>
          <w:tcPr>
            <w:tcW w:w="777" w:type="dxa"/>
            <w:noWrap w:val="0"/>
            <w:vAlign w:val="center"/>
          </w:tcPr>
          <w:p>
            <w:pPr>
              <w:jc w:val="center"/>
              <w:rPr>
                <w:rFonts w:hint="eastAsia" w:ascii="宋体" w:hAnsi="宋体" w:cs="宋体"/>
                <w:sz w:val="24"/>
                <w:highlight w:val="none"/>
              </w:rPr>
            </w:pPr>
            <w:r>
              <w:rPr>
                <w:rFonts w:hint="eastAsia" w:ascii="宋体" w:hAnsi="宋体" w:cs="宋体"/>
                <w:sz w:val="24"/>
              </w:rPr>
              <w:t>主观分/客观分属性</w:t>
            </w:r>
          </w:p>
        </w:tc>
        <w:tc>
          <w:tcPr>
            <w:tcW w:w="90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3"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、针对本项目的保安服务理念、定位、目标</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sz w:val="24"/>
              </w:rPr>
              <w:t>针对本项目的服务理念、定位、目标：根据本项目服务特点提出合理的管理服务理念，提出服务定位、目标，投标人的管理模式能够切合实际且可行（完全符合本项目要求的得</w:t>
            </w:r>
            <w:r>
              <w:rPr>
                <w:rFonts w:hint="eastAsia" w:ascii="宋体" w:hAnsi="宋体" w:cs="宋体"/>
                <w:sz w:val="24"/>
                <w:lang w:val="en-US" w:eastAsia="zh-CN"/>
              </w:rPr>
              <w:t>3</w:t>
            </w:r>
            <w:r>
              <w:rPr>
                <w:rFonts w:hint="eastAsia" w:ascii="宋体" w:hAnsi="宋体" w:cs="宋体"/>
                <w:sz w:val="24"/>
              </w:rPr>
              <w:t>分，基本符合得</w:t>
            </w:r>
            <w:r>
              <w:rPr>
                <w:rFonts w:hint="eastAsia" w:ascii="宋体" w:hAnsi="宋体" w:cs="宋体"/>
                <w:sz w:val="24"/>
                <w:lang w:val="en-US" w:eastAsia="zh-CN"/>
              </w:rPr>
              <w:t>2</w:t>
            </w:r>
            <w:r>
              <w:rPr>
                <w:rFonts w:hint="eastAsia" w:ascii="宋体" w:hAnsi="宋体" w:cs="宋体"/>
                <w:sz w:val="24"/>
              </w:rPr>
              <w:t>分，部分符合的得</w:t>
            </w:r>
            <w:r>
              <w:rPr>
                <w:rFonts w:hint="eastAsia" w:ascii="宋体" w:hAnsi="宋体" w:cs="宋体"/>
                <w:sz w:val="24"/>
                <w:lang w:val="en-US" w:eastAsia="zh-CN"/>
              </w:rPr>
              <w:t>1</w:t>
            </w:r>
            <w:r>
              <w:rPr>
                <w:rFonts w:hint="eastAsia" w:ascii="宋体" w:hAnsi="宋体" w:cs="宋体"/>
                <w:sz w:val="24"/>
              </w:rPr>
              <w:t>分，不符合或不提供不得分。）</w:t>
            </w:r>
          </w:p>
          <w:p>
            <w:pPr>
              <w:rPr>
                <w:rFonts w:hint="eastAsia" w:ascii="宋体" w:hAnsi="宋体" w:cs="宋体"/>
                <w:sz w:val="24"/>
                <w:highlight w:val="none"/>
              </w:rPr>
            </w:pPr>
            <w:r>
              <w:rPr>
                <w:rFonts w:hint="eastAsia" w:ascii="宋体" w:hAnsi="宋体" w:cs="宋体"/>
                <w:sz w:val="24"/>
                <w:highlight w:val="none"/>
              </w:rPr>
              <w:t>②遵循安全可行，保密性、安全性、文明服务作出服务目标</w:t>
            </w:r>
            <w:r>
              <w:rPr>
                <w:rFonts w:hint="eastAsia" w:ascii="宋体" w:hAnsi="宋体" w:cs="宋体"/>
                <w:sz w:val="24"/>
              </w:rPr>
              <w:t>（完全符合本项目要求的得</w:t>
            </w:r>
            <w:r>
              <w:rPr>
                <w:rFonts w:hint="eastAsia" w:ascii="宋体" w:hAnsi="宋体" w:cs="宋体"/>
                <w:sz w:val="24"/>
                <w:lang w:val="en-US" w:eastAsia="zh-CN"/>
              </w:rPr>
              <w:t>3</w:t>
            </w:r>
            <w:r>
              <w:rPr>
                <w:rFonts w:hint="eastAsia" w:ascii="宋体" w:hAnsi="宋体" w:cs="宋体"/>
                <w:sz w:val="24"/>
              </w:rPr>
              <w:t>分，基本符合得</w:t>
            </w:r>
            <w:r>
              <w:rPr>
                <w:rFonts w:hint="eastAsia" w:ascii="宋体" w:hAnsi="宋体" w:cs="宋体"/>
                <w:sz w:val="24"/>
                <w:lang w:val="en-US" w:eastAsia="zh-CN"/>
              </w:rPr>
              <w:t>2</w:t>
            </w:r>
            <w:r>
              <w:rPr>
                <w:rFonts w:hint="eastAsia" w:ascii="宋体" w:hAnsi="宋体" w:cs="宋体"/>
                <w:sz w:val="24"/>
              </w:rPr>
              <w:t>分，部分符合的得</w:t>
            </w:r>
            <w:r>
              <w:rPr>
                <w:rFonts w:hint="eastAsia" w:ascii="宋体" w:hAnsi="宋体" w:cs="宋体"/>
                <w:sz w:val="24"/>
                <w:lang w:val="en-US" w:eastAsia="zh-CN"/>
              </w:rPr>
              <w:t>1</w:t>
            </w:r>
            <w:r>
              <w:rPr>
                <w:rFonts w:hint="eastAsia" w:ascii="宋体" w:hAnsi="宋体" w:cs="宋体"/>
                <w:sz w:val="24"/>
              </w:rPr>
              <w:t>分，不符合或不提供不得分。）</w:t>
            </w:r>
          </w:p>
        </w:tc>
        <w:tc>
          <w:tcPr>
            <w:tcW w:w="777" w:type="dxa"/>
            <w:noWrap w:val="0"/>
            <w:vAlign w:val="center"/>
          </w:tcPr>
          <w:p>
            <w:pPr>
              <w:jc w:val="center"/>
              <w:rPr>
                <w:rFonts w:hint="eastAsia" w:ascii="宋体" w:hAnsi="宋体" w:cs="宋体"/>
                <w:sz w:val="24"/>
                <w:highlight w:val="none"/>
              </w:rPr>
            </w:pPr>
            <w:r>
              <w:rPr>
                <w:rFonts w:hint="eastAsia" w:ascii="宋体" w:hAnsi="宋体" w:cs="宋体"/>
                <w:sz w:val="24"/>
              </w:rPr>
              <w:t>主观分</w:t>
            </w:r>
          </w:p>
        </w:tc>
        <w:tc>
          <w:tcPr>
            <w:tcW w:w="90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2、针对本项目的组织架构、管理机制及质量标准措施</w:t>
            </w:r>
          </w:p>
        </w:tc>
        <w:tc>
          <w:tcPr>
            <w:tcW w:w="6949" w:type="dxa"/>
            <w:noWrap w:val="0"/>
            <w:vAlign w:val="center"/>
          </w:tcPr>
          <w:p>
            <w:pPr>
              <w:rPr>
                <w:rFonts w:hint="eastAsia" w:ascii="宋体" w:hAnsi="宋体" w:cs="宋体"/>
                <w:sz w:val="24"/>
                <w:highlight w:val="none"/>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针对本项目的组织架构、管理机制：有比较完善的组织架构，清晰简练地列出主要管理流程，包括对运作流程图、激励机制、监督机制、自我约束机制、信息反馈渠道及处理机制（完全符合本项目要求的得</w:t>
            </w:r>
            <w:r>
              <w:rPr>
                <w:rFonts w:hint="eastAsia" w:ascii="宋体" w:hAnsi="宋体" w:cs="宋体"/>
                <w:sz w:val="24"/>
                <w:lang w:val="en-US" w:eastAsia="zh-CN"/>
              </w:rPr>
              <w:t>9</w:t>
            </w:r>
            <w:r>
              <w:rPr>
                <w:rFonts w:hint="eastAsia" w:ascii="宋体" w:hAnsi="宋体" w:cs="宋体"/>
                <w:sz w:val="24"/>
              </w:rPr>
              <w:t>分，基本符合得</w:t>
            </w:r>
            <w:r>
              <w:rPr>
                <w:rFonts w:hint="eastAsia" w:ascii="宋体" w:hAnsi="宋体" w:cs="宋体"/>
                <w:sz w:val="24"/>
                <w:lang w:val="en-US" w:eastAsia="zh-CN"/>
              </w:rPr>
              <w:t>6</w:t>
            </w:r>
            <w:r>
              <w:rPr>
                <w:rFonts w:hint="eastAsia" w:ascii="宋体" w:hAnsi="宋体" w:cs="宋体"/>
                <w:sz w:val="24"/>
              </w:rPr>
              <w:t>分，部分符合的得</w:t>
            </w:r>
            <w:r>
              <w:rPr>
                <w:rFonts w:hint="eastAsia" w:ascii="宋体" w:hAnsi="宋体" w:cs="宋体"/>
                <w:sz w:val="24"/>
                <w:lang w:val="en-US" w:eastAsia="zh-CN"/>
              </w:rPr>
              <w:t>3</w:t>
            </w:r>
            <w:r>
              <w:rPr>
                <w:rFonts w:hint="eastAsia" w:ascii="宋体" w:hAnsi="宋体" w:cs="宋体"/>
                <w:sz w:val="24"/>
              </w:rPr>
              <w:t>分，不符合或不提供不得分。）</w:t>
            </w:r>
          </w:p>
        </w:tc>
        <w:tc>
          <w:tcPr>
            <w:tcW w:w="777"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3、针对本项目的各项管理制度</w:t>
            </w:r>
          </w:p>
        </w:tc>
        <w:tc>
          <w:tcPr>
            <w:tcW w:w="6949" w:type="dxa"/>
            <w:noWrap w:val="0"/>
            <w:vAlign w:val="center"/>
          </w:tcPr>
          <w:p>
            <w:pPr>
              <w:rPr>
                <w:rFonts w:hint="eastAsia" w:ascii="宋体" w:hAnsi="宋体" w:cs="宋体"/>
                <w:sz w:val="24"/>
                <w:highlight w:val="none"/>
              </w:rPr>
            </w:pPr>
            <w:r>
              <w:rPr>
                <w:rFonts w:hint="eastAsia" w:ascii="宋体" w:hAnsi="宋体" w:cs="宋体"/>
                <w:sz w:val="24"/>
              </w:rPr>
              <w:t>保安服务质量措施方案，文明安全保证体系和安全保证措施方案切合本项目采购需求，针对性、操作性强，计划安排科学合理，制定工作方案，并建立完善的考核机制（完全符合本项目要求的得</w:t>
            </w:r>
            <w:r>
              <w:rPr>
                <w:rFonts w:hint="eastAsia" w:ascii="宋体" w:hAnsi="宋体" w:cs="宋体"/>
                <w:sz w:val="24"/>
                <w:lang w:val="en-US" w:eastAsia="zh-CN"/>
              </w:rPr>
              <w:t>6</w:t>
            </w:r>
            <w:r>
              <w:rPr>
                <w:rFonts w:hint="eastAsia" w:ascii="宋体" w:hAnsi="宋体" w:cs="宋体"/>
                <w:sz w:val="24"/>
              </w:rPr>
              <w:t>分，基本符合得</w:t>
            </w:r>
            <w:r>
              <w:rPr>
                <w:rFonts w:hint="eastAsia" w:ascii="宋体" w:hAnsi="宋体" w:cs="宋体"/>
                <w:sz w:val="24"/>
                <w:lang w:val="en-US" w:eastAsia="zh-CN"/>
              </w:rPr>
              <w:t>4</w:t>
            </w:r>
            <w:r>
              <w:rPr>
                <w:rFonts w:hint="eastAsia" w:ascii="宋体" w:hAnsi="宋体" w:cs="宋体"/>
                <w:sz w:val="24"/>
              </w:rPr>
              <w:t>分，部分符合的得</w:t>
            </w:r>
            <w:r>
              <w:rPr>
                <w:rFonts w:hint="eastAsia" w:ascii="宋体" w:hAnsi="宋体" w:cs="宋体"/>
                <w:sz w:val="24"/>
                <w:lang w:val="en-US" w:eastAsia="zh-CN"/>
              </w:rPr>
              <w:t>2</w:t>
            </w:r>
            <w:r>
              <w:rPr>
                <w:rFonts w:hint="eastAsia" w:ascii="宋体" w:hAnsi="宋体" w:cs="宋体"/>
                <w:sz w:val="24"/>
              </w:rPr>
              <w:t>分，不符合或不提供不得分。）</w:t>
            </w:r>
          </w:p>
        </w:tc>
        <w:tc>
          <w:tcPr>
            <w:tcW w:w="777"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4、保安管理与服务方案</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对保安管理与服务方案的方案完整且可操作性进行打分</w:t>
            </w:r>
            <w:r>
              <w:rPr>
                <w:rFonts w:hint="eastAsia" w:ascii="宋体" w:hAnsi="宋体" w:cs="宋体"/>
                <w:sz w:val="24"/>
              </w:rPr>
              <w:t>（完全符合本项目要求的得</w:t>
            </w:r>
            <w:r>
              <w:rPr>
                <w:rFonts w:hint="eastAsia" w:ascii="宋体" w:hAnsi="宋体" w:cs="宋体"/>
                <w:sz w:val="24"/>
                <w:lang w:val="en-US" w:eastAsia="zh-CN"/>
              </w:rPr>
              <w:t>6</w:t>
            </w:r>
            <w:r>
              <w:rPr>
                <w:rFonts w:hint="eastAsia" w:ascii="宋体" w:hAnsi="宋体" w:cs="宋体"/>
                <w:sz w:val="24"/>
              </w:rPr>
              <w:t>分，基本符合得</w:t>
            </w:r>
            <w:r>
              <w:rPr>
                <w:rFonts w:hint="eastAsia" w:ascii="宋体" w:hAnsi="宋体" w:cs="宋体"/>
                <w:sz w:val="24"/>
                <w:lang w:val="en-US" w:eastAsia="zh-CN"/>
              </w:rPr>
              <w:t>4</w:t>
            </w:r>
            <w:r>
              <w:rPr>
                <w:rFonts w:hint="eastAsia" w:ascii="宋体" w:hAnsi="宋体" w:cs="宋体"/>
                <w:sz w:val="24"/>
              </w:rPr>
              <w:t>分，部分符合的得</w:t>
            </w:r>
            <w:r>
              <w:rPr>
                <w:rFonts w:hint="eastAsia" w:ascii="宋体" w:hAnsi="宋体" w:cs="宋体"/>
                <w:sz w:val="24"/>
                <w:lang w:val="en-US" w:eastAsia="zh-CN"/>
              </w:rPr>
              <w:t>2</w:t>
            </w:r>
            <w:r>
              <w:rPr>
                <w:rFonts w:hint="eastAsia" w:ascii="宋体" w:hAnsi="宋体" w:cs="宋体"/>
                <w:sz w:val="24"/>
              </w:rPr>
              <w:t>分，不符合或不提供不得分。）</w:t>
            </w:r>
          </w:p>
        </w:tc>
        <w:tc>
          <w:tcPr>
            <w:tcW w:w="777"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5、突发事件的应急措施、应急响应能力</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①提供处理突发事件的应急预案的合理性，可操作性</w:t>
            </w:r>
            <w:r>
              <w:rPr>
                <w:rFonts w:hint="eastAsia" w:ascii="宋体" w:hAnsi="宋体" w:cs="宋体"/>
                <w:sz w:val="24"/>
              </w:rPr>
              <w:t>（完全</w:t>
            </w:r>
            <w:r>
              <w:rPr>
                <w:rFonts w:hint="eastAsia" w:ascii="宋体" w:hAnsi="宋体" w:cs="宋体"/>
                <w:sz w:val="24"/>
                <w:lang w:val="en-US" w:eastAsia="zh-CN"/>
              </w:rPr>
              <w:t>合理、可操作性强</w:t>
            </w:r>
            <w:r>
              <w:rPr>
                <w:rFonts w:hint="eastAsia" w:ascii="宋体" w:hAnsi="宋体" w:cs="宋体"/>
                <w:sz w:val="24"/>
              </w:rPr>
              <w:t>得</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sz w:val="24"/>
                <w:lang w:val="en-US" w:eastAsia="zh-CN"/>
              </w:rPr>
              <w:t>较合理、可操作性较强</w:t>
            </w:r>
            <w:r>
              <w:rPr>
                <w:rFonts w:hint="eastAsia" w:ascii="宋体" w:hAnsi="宋体" w:cs="宋体"/>
                <w:sz w:val="24"/>
              </w:rPr>
              <w:t>得</w:t>
            </w:r>
            <w:r>
              <w:rPr>
                <w:rFonts w:hint="eastAsia" w:ascii="宋体" w:hAnsi="宋体" w:cs="宋体"/>
                <w:sz w:val="24"/>
                <w:lang w:val="en-US" w:eastAsia="zh-CN"/>
              </w:rPr>
              <w:t>6</w:t>
            </w:r>
            <w:r>
              <w:rPr>
                <w:rFonts w:hint="eastAsia" w:ascii="宋体" w:hAnsi="宋体" w:cs="宋体"/>
                <w:sz w:val="24"/>
              </w:rPr>
              <w:t>分得</w:t>
            </w:r>
            <w:r>
              <w:rPr>
                <w:rFonts w:hint="eastAsia" w:ascii="宋体" w:hAnsi="宋体" w:cs="宋体"/>
                <w:sz w:val="24"/>
                <w:lang w:val="en-US" w:eastAsia="zh-CN"/>
              </w:rPr>
              <w:t>4</w:t>
            </w:r>
            <w:r>
              <w:rPr>
                <w:rFonts w:hint="eastAsia" w:ascii="宋体" w:hAnsi="宋体" w:cs="宋体"/>
                <w:sz w:val="24"/>
              </w:rPr>
              <w:t>分，部分</w:t>
            </w:r>
            <w:r>
              <w:rPr>
                <w:rFonts w:hint="eastAsia" w:ascii="宋体" w:hAnsi="宋体" w:cs="宋体"/>
                <w:sz w:val="24"/>
                <w:lang w:val="en-US" w:eastAsia="zh-CN"/>
              </w:rPr>
              <w:t>合理、可操作性一般</w:t>
            </w:r>
            <w:r>
              <w:rPr>
                <w:rFonts w:hint="eastAsia" w:ascii="宋体" w:hAnsi="宋体" w:cs="宋体"/>
                <w:sz w:val="24"/>
              </w:rPr>
              <w:t>的得</w:t>
            </w:r>
            <w:r>
              <w:rPr>
                <w:rFonts w:hint="eastAsia" w:ascii="宋体" w:hAnsi="宋体" w:cs="宋体"/>
                <w:sz w:val="24"/>
                <w:lang w:val="en-US" w:eastAsia="zh-CN"/>
              </w:rPr>
              <w:t>2</w:t>
            </w:r>
            <w:r>
              <w:rPr>
                <w:rFonts w:hint="eastAsia" w:ascii="宋体" w:hAnsi="宋体" w:cs="宋体"/>
                <w:sz w:val="24"/>
              </w:rPr>
              <w:t>分，不</w:t>
            </w:r>
            <w:r>
              <w:rPr>
                <w:rFonts w:hint="eastAsia" w:ascii="宋体" w:hAnsi="宋体" w:cs="宋体"/>
                <w:sz w:val="24"/>
                <w:lang w:val="en-US" w:eastAsia="zh-CN"/>
              </w:rPr>
              <w:t>合理</w:t>
            </w:r>
            <w:r>
              <w:rPr>
                <w:rFonts w:hint="eastAsia" w:ascii="宋体" w:hAnsi="宋体" w:cs="宋体"/>
                <w:sz w:val="24"/>
              </w:rPr>
              <w:t>或不提供不得分。）</w:t>
            </w:r>
          </w:p>
          <w:p>
            <w:pPr>
              <w:rPr>
                <w:rFonts w:hint="default" w:ascii="宋体" w:hAnsi="宋体" w:eastAsia="宋体" w:cs="宋体"/>
                <w:sz w:val="24"/>
                <w:highlight w:val="none"/>
                <w:lang w:val="en-US" w:eastAsia="zh-CN"/>
              </w:rPr>
            </w:pPr>
            <w:r>
              <w:rPr>
                <w:rFonts w:hint="eastAsia" w:ascii="宋体" w:hAnsi="宋体" w:cs="宋体"/>
                <w:sz w:val="24"/>
                <w:highlight w:val="none"/>
              </w:rPr>
              <w:t>②具有专业的区域报警响应能力</w:t>
            </w:r>
            <w:r>
              <w:rPr>
                <w:rFonts w:hint="eastAsia" w:ascii="宋体" w:hAnsi="宋体" w:cs="宋体"/>
                <w:sz w:val="24"/>
                <w:highlight w:val="none"/>
                <w:lang w:eastAsia="zh-CN"/>
              </w:rPr>
              <w:t>。（</w:t>
            </w:r>
            <w:r>
              <w:rPr>
                <w:rFonts w:hint="eastAsia" w:ascii="宋体" w:hAnsi="宋体" w:cs="宋体"/>
                <w:sz w:val="24"/>
                <w:highlight w:val="none"/>
                <w:lang w:val="en-US" w:eastAsia="zh-CN"/>
              </w:rPr>
              <w:t>响应时间快得2分，较快得1分，慢得0.5分，不提供不得分。）</w:t>
            </w:r>
          </w:p>
        </w:tc>
        <w:tc>
          <w:tcPr>
            <w:tcW w:w="777"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本项目的管理机构设置</w:t>
            </w:r>
          </w:p>
        </w:tc>
        <w:tc>
          <w:tcPr>
            <w:tcW w:w="6949" w:type="dxa"/>
            <w:noWrap w:val="0"/>
            <w:vAlign w:val="center"/>
          </w:tcPr>
          <w:p>
            <w:pPr>
              <w:rPr>
                <w:rFonts w:hint="eastAsia" w:ascii="宋体" w:hAnsi="宋体" w:cs="宋体"/>
                <w:kern w:val="0"/>
                <w:sz w:val="24"/>
                <w:highlight w:val="none"/>
              </w:rPr>
            </w:pPr>
            <w:r>
              <w:rPr>
                <w:rFonts w:hint="eastAsia" w:ascii="宋体" w:hAnsi="宋体" w:cs="宋体"/>
                <w:kern w:val="0"/>
                <w:sz w:val="24"/>
                <w:highlight w:val="none"/>
              </w:rPr>
              <w:t>针对本项目的管理机构设置：根据机构设置情况的合理性等</w:t>
            </w:r>
            <w:r>
              <w:rPr>
                <w:rFonts w:hint="eastAsia" w:ascii="宋体" w:hAnsi="宋体" w:cs="宋体"/>
                <w:kern w:val="0"/>
                <w:sz w:val="24"/>
                <w:highlight w:val="none"/>
                <w:lang w:val="en-US" w:eastAsia="zh-CN"/>
              </w:rPr>
              <w:t>进行</w:t>
            </w:r>
            <w:r>
              <w:rPr>
                <w:rFonts w:hint="eastAsia" w:ascii="宋体" w:hAnsi="宋体" w:cs="宋体"/>
                <w:kern w:val="0"/>
                <w:sz w:val="24"/>
                <w:highlight w:val="none"/>
              </w:rPr>
              <w:t>打分（</w:t>
            </w:r>
            <w:r>
              <w:rPr>
                <w:rFonts w:hint="eastAsia" w:ascii="宋体" w:hAnsi="宋体" w:cs="宋体"/>
                <w:kern w:val="0"/>
                <w:sz w:val="24"/>
                <w:highlight w:val="none"/>
                <w:lang w:val="en-US" w:eastAsia="zh-CN"/>
              </w:rPr>
              <w:t>完全符合本项目要求的得5分，基本符合得3分，部分符合的得1分，不符合或不提供不得分。</w:t>
            </w:r>
            <w:r>
              <w:rPr>
                <w:rFonts w:hint="eastAsia" w:ascii="宋体" w:hAnsi="宋体" w:cs="宋体"/>
                <w:kern w:val="0"/>
                <w:sz w:val="24"/>
                <w:highlight w:val="none"/>
              </w:rPr>
              <w:t>）</w:t>
            </w:r>
          </w:p>
        </w:tc>
        <w:tc>
          <w:tcPr>
            <w:tcW w:w="777" w:type="dxa"/>
            <w:noWrap w:val="0"/>
            <w:vAlign w:val="center"/>
          </w:tcPr>
          <w:p>
            <w:pPr>
              <w:jc w:val="center"/>
              <w:rPr>
                <w:rFonts w:hint="eastAsia" w:ascii="宋体" w:hAnsi="宋体" w:cs="宋体"/>
                <w:sz w:val="24"/>
                <w:highlight w:val="none"/>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7</w:t>
            </w:r>
            <w:r>
              <w:rPr>
                <w:rFonts w:hint="eastAsia" w:ascii="宋体" w:hAnsi="宋体" w:cs="宋体"/>
                <w:sz w:val="24"/>
                <w:highlight w:val="none"/>
              </w:rPr>
              <w:t>、服务承诺和特色服务情况</w:t>
            </w:r>
          </w:p>
        </w:tc>
        <w:tc>
          <w:tcPr>
            <w:tcW w:w="6949" w:type="dxa"/>
            <w:noWrap w:val="0"/>
            <w:vAlign w:val="center"/>
          </w:tcPr>
          <w:p>
            <w:pPr>
              <w:rPr>
                <w:rFonts w:hint="eastAsia" w:ascii="宋体" w:hAnsi="宋体" w:eastAsia="宋体" w:cs="宋体"/>
                <w:kern w:val="0"/>
                <w:sz w:val="24"/>
                <w:szCs w:val="24"/>
                <w:highlight w:val="none"/>
                <w:lang w:val="en-US" w:eastAsia="zh-CN" w:bidi="ar-SA"/>
              </w:rPr>
            </w:pPr>
            <w:r>
              <w:rPr>
                <w:rFonts w:hint="eastAsia" w:ascii="宋体" w:hAnsi="宋体" w:cs="宋体"/>
                <w:sz w:val="24"/>
              </w:rPr>
              <w:t>投标人提供的服务承诺、特色服务切合本项目采购需求，针对性、操作性强、新颖实用（完全符合本项目要求的得5分，基本符合得3分，部分符合的得1分，不符合或不提供不得分。）</w:t>
            </w:r>
          </w:p>
        </w:tc>
        <w:tc>
          <w:tcPr>
            <w:tcW w:w="777"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主观分</w:t>
            </w:r>
          </w:p>
        </w:tc>
        <w:tc>
          <w:tcPr>
            <w:tcW w:w="900"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5</w:t>
            </w:r>
          </w:p>
        </w:tc>
      </w:tr>
    </w:tbl>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2、商务分</w:t>
      </w:r>
      <w:r>
        <w:rPr>
          <w:rFonts w:hint="eastAsia" w:ascii="仿宋" w:hAnsi="仿宋" w:eastAsia="仿宋" w:cs="仿宋"/>
          <w:b/>
          <w:bCs/>
          <w:sz w:val="24"/>
          <w:szCs w:val="24"/>
          <w:highlight w:val="none"/>
          <w:lang w:val="en-US" w:eastAsia="zh-CN"/>
        </w:rPr>
        <w:t>45</w:t>
      </w:r>
      <w:r>
        <w:rPr>
          <w:rFonts w:hint="eastAsia" w:ascii="仿宋" w:hAnsi="仿宋" w:eastAsia="仿宋" w:cs="仿宋"/>
          <w:b/>
          <w:bCs/>
          <w:sz w:val="24"/>
          <w:szCs w:val="24"/>
          <w:highlight w:val="none"/>
        </w:rPr>
        <w:t>分</w:t>
      </w:r>
    </w:p>
    <w:p>
      <w:pPr>
        <w:numPr>
          <w:ilvl w:val="0"/>
          <w:numId w:val="2"/>
        </w:numPr>
        <w:rPr>
          <w:rFonts w:hint="eastAsia" w:ascii="仿宋" w:hAnsi="仿宋" w:eastAsia="仿宋" w:cs="仿宋"/>
          <w:vanish/>
          <w:sz w:val="24"/>
          <w:szCs w:val="24"/>
          <w:highlight w:val="none"/>
        </w:rPr>
      </w:pPr>
    </w:p>
    <w:tbl>
      <w:tblPr>
        <w:tblStyle w:val="62"/>
        <w:tblpPr w:leftFromText="180" w:rightFromText="180" w:vertAnchor="text" w:horzAnchor="page" w:tblpX="1009" w:tblpY="549"/>
        <w:tblOverlap w:val="never"/>
        <w:tblW w:w="98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6950"/>
        <w:gridCol w:w="761"/>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695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评分内容</w:t>
            </w:r>
          </w:p>
        </w:tc>
        <w:tc>
          <w:tcPr>
            <w:tcW w:w="761" w:type="dxa"/>
            <w:noWrap w:val="0"/>
            <w:vAlign w:val="center"/>
          </w:tcPr>
          <w:p>
            <w:pPr>
              <w:jc w:val="center"/>
              <w:rPr>
                <w:rFonts w:hint="eastAsia" w:ascii="宋体" w:hAnsi="宋体" w:cs="宋体"/>
                <w:sz w:val="24"/>
                <w:highlight w:val="none"/>
              </w:rPr>
            </w:pPr>
            <w:r>
              <w:rPr>
                <w:rFonts w:hint="eastAsia" w:ascii="宋体" w:hAnsi="宋体" w:cs="宋体"/>
                <w:sz w:val="24"/>
              </w:rPr>
              <w:t>主观分/客观分属性</w:t>
            </w:r>
          </w:p>
        </w:tc>
        <w:tc>
          <w:tcPr>
            <w:tcW w:w="9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1、企业综合实力</w:t>
            </w:r>
          </w:p>
        </w:tc>
        <w:tc>
          <w:tcPr>
            <w:tcW w:w="6950" w:type="dxa"/>
            <w:tcBorders>
              <w:bottom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投标人自20</w:t>
            </w:r>
            <w:r>
              <w:rPr>
                <w:rFonts w:hint="eastAsia" w:ascii="宋体" w:hAnsi="宋体" w:cs="宋体"/>
                <w:sz w:val="24"/>
                <w:highlight w:val="none"/>
                <w:lang w:val="en-US" w:eastAsia="zh-CN"/>
              </w:rPr>
              <w:t>21</w:t>
            </w:r>
            <w:r>
              <w:rPr>
                <w:rFonts w:hint="eastAsia" w:ascii="宋体" w:hAnsi="宋体" w:cs="宋体"/>
                <w:sz w:val="24"/>
                <w:highlight w:val="none"/>
              </w:rPr>
              <w:t>年1月1日以来单独实施的类似服务项目，每提供一个得</w:t>
            </w:r>
            <w:r>
              <w:rPr>
                <w:rFonts w:hint="eastAsia" w:ascii="宋体" w:hAnsi="宋体" w:cs="宋体"/>
                <w:sz w:val="24"/>
                <w:highlight w:val="none"/>
                <w:lang w:val="en-US" w:eastAsia="zh-CN"/>
              </w:rPr>
              <w:t>0.5</w:t>
            </w:r>
            <w:r>
              <w:rPr>
                <w:rFonts w:hint="eastAsia" w:ascii="宋体" w:hAnsi="宋体" w:cs="宋体"/>
                <w:sz w:val="24"/>
                <w:highlight w:val="none"/>
              </w:rPr>
              <w:t>分，最多得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提供中标通知书</w:t>
            </w:r>
            <w:r>
              <w:rPr>
                <w:rFonts w:hint="eastAsia" w:ascii="宋体" w:hAnsi="宋体" w:cs="宋体"/>
                <w:sz w:val="24"/>
                <w:highlight w:val="none"/>
                <w:lang w:eastAsia="zh-CN"/>
              </w:rPr>
              <w:t>、合同</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r>
              <w:rPr>
                <w:rFonts w:hint="eastAsia" w:ascii="宋体" w:hAnsi="宋体" w:cs="宋体"/>
                <w:sz w:val="24"/>
                <w:highlight w:val="none"/>
                <w:lang w:eastAsia="zh-CN"/>
              </w:rPr>
              <w:t>）</w:t>
            </w:r>
          </w:p>
        </w:tc>
        <w:tc>
          <w:tcPr>
            <w:tcW w:w="761" w:type="dxa"/>
            <w:tcBorders>
              <w:bottom w:val="single" w:color="auto" w:sz="4" w:space="0"/>
            </w:tcBorders>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客观分</w:t>
            </w:r>
          </w:p>
        </w:tc>
        <w:tc>
          <w:tcPr>
            <w:tcW w:w="925" w:type="dxa"/>
            <w:tcBorders>
              <w:bottom w:val="single" w:color="auto" w:sz="4" w:space="0"/>
            </w:tcBorders>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tcBorders>
              <w:top w:val="single" w:color="auto" w:sz="4" w:space="0"/>
              <w:bottom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①投标人具有商品售后服务认证证书AAAAA级的得5分，AAAA级的得4分，AAA级的得3分，AA级的得2分，A级的得1分，没有不得分,证书需在有效期内； </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②投标人具有通过质量管理体系认证证书、环境管理体系认证证书、职业健康安全管理体系认证证书、证书且在有效期内的有1个得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分，没有不得分，本项最多得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分，没有不得分,证书需在有效期内；</w:t>
            </w:r>
          </w:p>
          <w:p>
            <w:pPr>
              <w:rPr>
                <w:rFonts w:hint="eastAsia" w:ascii="宋体" w:hAnsi="宋体" w:cs="宋体"/>
                <w:sz w:val="24"/>
                <w:highlight w:val="none"/>
              </w:rPr>
            </w:pPr>
            <w:r>
              <w:rPr>
                <w:rFonts w:hint="eastAsia" w:ascii="宋体" w:hAnsi="宋体" w:cs="宋体"/>
                <w:sz w:val="24"/>
                <w:highlight w:val="none"/>
              </w:rPr>
              <w:t>（须提供认证证书的扫描件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tcBorders>
              <w:top w:val="single" w:color="auto" w:sz="4" w:space="0"/>
              <w:bottom w:val="single" w:color="auto" w:sz="4" w:space="0"/>
            </w:tcBorders>
            <w:noWrap w:val="0"/>
            <w:vAlign w:val="center"/>
          </w:tcPr>
          <w:p>
            <w:pPr>
              <w:spacing w:line="600" w:lineRule="exact"/>
              <w:rPr>
                <w:rFonts w:hint="eastAsia" w:ascii="宋体" w:hAnsi="宋体" w:cs="宋体"/>
                <w:sz w:val="24"/>
                <w:highlight w:val="none"/>
                <w:lang w:val="en-US" w:eastAsia="zh-CN"/>
              </w:rPr>
            </w:pPr>
            <w:r>
              <w:rPr>
                <w:rFonts w:hint="eastAsia" w:ascii="宋体" w:hAnsi="宋体" w:cs="宋体"/>
                <w:sz w:val="24"/>
              </w:rPr>
              <w:t>客观分</w:t>
            </w:r>
          </w:p>
        </w:tc>
        <w:tc>
          <w:tcPr>
            <w:tcW w:w="925" w:type="dxa"/>
            <w:tcBorders>
              <w:top w:val="single" w:color="auto" w:sz="4" w:space="0"/>
              <w:bottom w:val="single" w:color="auto" w:sz="4" w:space="0"/>
            </w:tcBorders>
            <w:noWrap w:val="0"/>
            <w:vAlign w:val="center"/>
          </w:tcPr>
          <w:p>
            <w:pPr>
              <w:spacing w:line="6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tcBorders>
              <w:top w:val="single" w:color="auto" w:sz="4" w:space="0"/>
            </w:tcBorders>
            <w:noWrap w:val="0"/>
            <w:vAlign w:val="top"/>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供应商自202</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年以来（时间以获奖文件或证书为准）获得：省级及以上政府部门颁发的相关荣誉得5分，市级政府部门颁发的相关荣誉得3分，区级政府部门颁发的相关荣誉得1分；只计取供应商获得的最高荣誉，不重复累计计取。 </w:t>
            </w:r>
          </w:p>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（须提供认证证书的扫描件</w:t>
            </w:r>
            <w:r>
              <w:rPr>
                <w:rFonts w:hint="eastAsia" w:ascii="宋体" w:hAnsi="宋体" w:cs="宋体"/>
                <w:sz w:val="24"/>
                <w:highlight w:val="none"/>
                <w:lang w:val="en-US" w:eastAsia="zh-CN"/>
              </w:rPr>
              <w:t>并加盖公章</w:t>
            </w:r>
            <w:r>
              <w:rPr>
                <w:rFonts w:hint="eastAsia" w:ascii="宋体" w:hAnsi="宋体" w:cs="宋体"/>
                <w:color w:val="auto"/>
                <w:sz w:val="24"/>
                <w:highlight w:val="none"/>
              </w:rPr>
              <w:t>，否则不得分</w:t>
            </w:r>
            <w:r>
              <w:rPr>
                <w:rFonts w:hint="eastAsia" w:ascii="宋体" w:hAnsi="宋体" w:eastAsia="宋体" w:cs="宋体"/>
                <w:color w:val="auto"/>
                <w:kern w:val="2"/>
                <w:sz w:val="24"/>
                <w:szCs w:val="24"/>
                <w:highlight w:val="none"/>
                <w:lang w:val="en-US" w:eastAsia="zh-CN" w:bidi="ar-SA"/>
              </w:rPr>
              <w:t>）</w:t>
            </w:r>
          </w:p>
        </w:tc>
        <w:tc>
          <w:tcPr>
            <w:tcW w:w="761" w:type="dxa"/>
            <w:tcBorders>
              <w:top w:val="single" w:color="auto" w:sz="4" w:space="0"/>
              <w:bottom w:val="single" w:color="auto" w:sz="4" w:space="0"/>
            </w:tcBorders>
            <w:noWrap w:val="0"/>
            <w:vAlign w:val="top"/>
          </w:tcPr>
          <w:p>
            <w:pPr>
              <w:pStyle w:val="86"/>
              <w:spacing w:before="0" w:line="420" w:lineRule="exact"/>
              <w:ind w:left="0" w:leftChars="0" w:firstLine="0" w:firstLineChars="0"/>
              <w:rPr>
                <w:rFonts w:hint="eastAsia" w:ascii="宋体" w:hAnsi="宋体" w:cs="宋体"/>
                <w:sz w:val="24"/>
              </w:rPr>
            </w:pPr>
          </w:p>
          <w:p>
            <w:pPr>
              <w:pStyle w:val="86"/>
              <w:spacing w:before="0" w:line="420" w:lineRule="exact"/>
              <w:ind w:left="0" w:leftChars="0" w:firstLine="0" w:firstLineChars="0"/>
              <w:rPr>
                <w:rFonts w:hint="eastAsia" w:ascii="宋体" w:hAnsi="宋体" w:cs="宋体"/>
                <w:sz w:val="24"/>
              </w:rPr>
            </w:pPr>
          </w:p>
          <w:p>
            <w:pPr>
              <w:pStyle w:val="86"/>
              <w:spacing w:before="0" w:line="420" w:lineRule="exact"/>
              <w:ind w:left="0" w:leftChars="0" w:firstLine="0" w:firstLineChars="0"/>
              <w:rPr>
                <w:rFonts w:hint="eastAsia" w:ascii="宋体" w:hAnsi="宋体" w:cs="宋体"/>
                <w:color w:val="auto"/>
                <w:szCs w:val="24"/>
                <w:highlight w:val="none"/>
                <w:lang w:val="en-US" w:eastAsia="zh-CN"/>
              </w:rPr>
            </w:pPr>
            <w:r>
              <w:rPr>
                <w:rFonts w:hint="eastAsia" w:ascii="宋体" w:hAnsi="宋体" w:cs="宋体"/>
                <w:sz w:val="24"/>
              </w:rPr>
              <w:t>客观分</w:t>
            </w:r>
          </w:p>
        </w:tc>
        <w:tc>
          <w:tcPr>
            <w:tcW w:w="925" w:type="dxa"/>
            <w:tcBorders>
              <w:top w:val="single" w:color="auto" w:sz="4" w:space="0"/>
              <w:bottom w:val="single" w:color="auto" w:sz="4" w:space="0"/>
            </w:tcBorders>
            <w:noWrap w:val="0"/>
            <w:vAlign w:val="top"/>
          </w:tcPr>
          <w:p>
            <w:pPr>
              <w:pStyle w:val="86"/>
              <w:spacing w:before="0" w:line="420" w:lineRule="exact"/>
              <w:ind w:firstLine="0" w:firstLineChars="0"/>
              <w:rPr>
                <w:rFonts w:hint="eastAsia" w:ascii="宋体" w:hAnsi="宋体" w:cs="宋体"/>
                <w:color w:val="auto"/>
                <w:szCs w:val="24"/>
                <w:highlight w:val="none"/>
              </w:rPr>
            </w:pPr>
          </w:p>
          <w:p>
            <w:pPr>
              <w:pStyle w:val="86"/>
              <w:spacing w:before="0" w:line="420" w:lineRule="exact"/>
              <w:ind w:firstLine="0" w:firstLineChars="0"/>
              <w:rPr>
                <w:rFonts w:hint="eastAsia" w:ascii="宋体" w:hAnsi="宋体" w:cs="宋体"/>
                <w:color w:val="auto"/>
                <w:szCs w:val="24"/>
                <w:highlight w:val="none"/>
              </w:rPr>
            </w:pPr>
          </w:p>
          <w:p>
            <w:pPr>
              <w:pStyle w:val="86"/>
              <w:spacing w:before="0" w:line="420" w:lineRule="exact"/>
              <w:ind w:left="0" w:leftChars="0" w:firstLine="0" w:firstLineChars="0"/>
              <w:jc w:val="center"/>
              <w:rPr>
                <w:rFonts w:hint="eastAsia" w:ascii="宋体" w:hAnsi="宋体" w:cs="宋体"/>
                <w:color w:val="auto"/>
                <w:sz w:val="24"/>
                <w:highlight w:val="none"/>
              </w:rPr>
            </w:pPr>
            <w:r>
              <w:rPr>
                <w:rFonts w:hint="eastAsia" w:ascii="宋体" w:hAnsi="宋体" w:cs="宋体"/>
                <w:color w:val="auto"/>
                <w:szCs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noWrap w:val="0"/>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6"/>
                <w:tab w:val="clear" w:pos="432"/>
              </w:tabs>
              <w:spacing w:before="0" w:beforeAutospacing="0" w:after="0" w:afterAutospacing="0"/>
              <w:ind w:right="0" w:rightChars="0"/>
              <w:jc w:val="left"/>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1、投标人具有省公安机关保安服务企业信用评价</w:t>
            </w:r>
            <w:r>
              <w:rPr>
                <w:rFonts w:hint="eastAsia" w:ascii="宋体" w:hAnsi="宋体" w:eastAsia="宋体" w:cs="Times New Roman"/>
                <w:b w:val="0"/>
                <w:bCs w:val="0"/>
                <w:color w:val="auto"/>
                <w:kern w:val="2"/>
                <w:sz w:val="24"/>
                <w:szCs w:val="22"/>
                <w:highlight w:val="none"/>
                <w:lang w:val="zh-CN" w:eastAsia="zh-CN" w:bidi="ar-SA"/>
              </w:rPr>
              <w:t>：</w:t>
            </w:r>
            <w:r>
              <w:rPr>
                <w:rFonts w:hint="eastAsia" w:ascii="宋体" w:hAnsi="宋体" w:eastAsia="宋体" w:cs="Times New Roman"/>
                <w:b w:val="0"/>
                <w:bCs w:val="0"/>
                <w:color w:val="auto"/>
                <w:kern w:val="2"/>
                <w:sz w:val="24"/>
                <w:szCs w:val="22"/>
                <w:highlight w:val="none"/>
                <w:lang w:val="en-US" w:eastAsia="zh-CN" w:bidi="ar-SA"/>
              </w:rPr>
              <w:t>A级得3分；B级得1分；其他不得分。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6"/>
                <w:tab w:val="clear" w:pos="432"/>
              </w:tabs>
              <w:spacing w:before="0" w:beforeAutospacing="0" w:after="0" w:afterAutospacing="0"/>
              <w:ind w:right="0" w:rightChars="0"/>
              <w:jc w:val="left"/>
              <w:rPr>
                <w:rFonts w:hint="default"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2、投投标人具有有效的“企业信用等级证书”AAA的得3分，AA的得2分，A的得1分，最多得3分。</w:t>
            </w:r>
          </w:p>
          <w:p>
            <w:pPr>
              <w:pStyle w:val="86"/>
              <w:spacing w:before="0" w:line="420" w:lineRule="exact"/>
              <w:ind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（须提供相关证明材料的扫描件</w:t>
            </w:r>
            <w:r>
              <w:rPr>
                <w:rFonts w:hint="eastAsia" w:ascii="宋体" w:hAnsi="宋体" w:cs="宋体"/>
                <w:sz w:val="24"/>
                <w:highlight w:val="none"/>
                <w:lang w:val="en-US" w:eastAsia="zh-CN"/>
              </w:rPr>
              <w:t>并加盖公章</w:t>
            </w:r>
            <w:r>
              <w:rPr>
                <w:rFonts w:hint="eastAsia" w:ascii="宋体" w:hAnsi="宋体" w:eastAsia="宋体" w:cs="宋体"/>
                <w:color w:val="auto"/>
                <w:kern w:val="2"/>
                <w:sz w:val="24"/>
                <w:szCs w:val="24"/>
                <w:highlight w:val="none"/>
                <w:lang w:val="en-US" w:eastAsia="zh-CN" w:bidi="ar-SA"/>
              </w:rPr>
              <w:t xml:space="preserve">，否则不得分）  </w:t>
            </w:r>
            <w:r>
              <w:rPr>
                <w:rFonts w:hint="eastAsia" w:ascii="宋体" w:hAnsi="宋体" w:cs="宋体"/>
                <w:b/>
                <w:bCs/>
                <w:color w:val="auto"/>
                <w:szCs w:val="24"/>
                <w:highlight w:val="none"/>
              </w:rPr>
              <w:t xml:space="preserve">                     </w:t>
            </w:r>
          </w:p>
        </w:tc>
        <w:tc>
          <w:tcPr>
            <w:tcW w:w="761" w:type="dxa"/>
            <w:tcBorders>
              <w:top w:val="single" w:color="auto" w:sz="4" w:space="0"/>
              <w:bottom w:val="single" w:color="auto" w:sz="4" w:space="0"/>
            </w:tcBorders>
            <w:noWrap w:val="0"/>
            <w:vAlign w:val="center"/>
          </w:tcPr>
          <w:p>
            <w:pPr>
              <w:spacing w:line="420" w:lineRule="exact"/>
              <w:jc w:val="left"/>
              <w:rPr>
                <w:rFonts w:hint="eastAsia" w:ascii="宋体" w:hAnsi="宋体" w:cs="宋体"/>
                <w:color w:val="auto"/>
                <w:sz w:val="24"/>
                <w:highlight w:val="none"/>
                <w:lang w:val="en-US" w:eastAsia="zh-CN"/>
              </w:rPr>
            </w:pPr>
            <w:r>
              <w:rPr>
                <w:rFonts w:hint="eastAsia" w:ascii="宋体" w:hAnsi="宋体" w:cs="宋体"/>
                <w:sz w:val="24"/>
              </w:rPr>
              <w:t>客观分</w:t>
            </w:r>
          </w:p>
        </w:tc>
        <w:tc>
          <w:tcPr>
            <w:tcW w:w="925" w:type="dxa"/>
            <w:tcBorders>
              <w:top w:val="single" w:color="auto" w:sz="4" w:space="0"/>
              <w:bottom w:val="single" w:color="auto" w:sz="4" w:space="0"/>
            </w:tcBorders>
            <w:noWrap w:val="0"/>
            <w:vAlign w:val="center"/>
          </w:tcPr>
          <w:p>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noWrap w:val="0"/>
            <w:vAlign w:val="center"/>
          </w:tcPr>
          <w:p>
            <w:pPr>
              <w:pStyle w:val="86"/>
              <w:spacing w:before="0" w:line="42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投标人具有劳务派遣资质的得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pPr>
              <w:pStyle w:val="86"/>
              <w:spacing w:before="0" w:line="420" w:lineRule="exact"/>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（须提供认证证书的扫描件</w:t>
            </w:r>
            <w:r>
              <w:rPr>
                <w:rFonts w:hint="eastAsia" w:ascii="宋体" w:hAnsi="宋体" w:cs="宋体"/>
                <w:sz w:val="24"/>
                <w:highlight w:val="none"/>
                <w:lang w:val="en-US" w:eastAsia="zh-CN"/>
              </w:rPr>
              <w:t>并加盖公章</w:t>
            </w:r>
            <w:r>
              <w:rPr>
                <w:rFonts w:hint="eastAsia" w:ascii="宋体" w:hAnsi="宋体" w:eastAsia="宋体" w:cs="宋体"/>
                <w:color w:val="auto"/>
                <w:kern w:val="2"/>
                <w:sz w:val="24"/>
                <w:szCs w:val="24"/>
                <w:highlight w:val="none"/>
                <w:lang w:val="en-US" w:eastAsia="zh-CN" w:bidi="ar-SA"/>
              </w:rPr>
              <w:t xml:space="preserve">，否则不得分）  </w:t>
            </w:r>
          </w:p>
        </w:tc>
        <w:tc>
          <w:tcPr>
            <w:tcW w:w="761" w:type="dxa"/>
            <w:tcBorders>
              <w:top w:val="single" w:color="auto" w:sz="4" w:space="0"/>
              <w:bottom w:val="single" w:color="auto" w:sz="4" w:space="0"/>
            </w:tcBorders>
            <w:noWrap w:val="0"/>
            <w:vAlign w:val="center"/>
          </w:tcPr>
          <w:p>
            <w:pPr>
              <w:spacing w:line="420" w:lineRule="exact"/>
              <w:jc w:val="left"/>
              <w:rPr>
                <w:rFonts w:hint="eastAsia" w:ascii="宋体" w:hAnsi="宋体" w:cs="宋体"/>
                <w:color w:val="auto"/>
                <w:sz w:val="24"/>
                <w:highlight w:val="none"/>
                <w:lang w:val="en-US" w:eastAsia="zh-CN"/>
              </w:rPr>
            </w:pPr>
            <w:r>
              <w:rPr>
                <w:rFonts w:hint="eastAsia" w:ascii="宋体" w:hAnsi="宋体" w:cs="宋体"/>
                <w:sz w:val="24"/>
              </w:rPr>
              <w:t>客观分</w:t>
            </w:r>
          </w:p>
        </w:tc>
        <w:tc>
          <w:tcPr>
            <w:tcW w:w="925" w:type="dxa"/>
            <w:tcBorders>
              <w:top w:val="single" w:color="auto" w:sz="4" w:space="0"/>
              <w:bottom w:val="single" w:color="auto" w:sz="4" w:space="0"/>
            </w:tcBorders>
            <w:noWrap w:val="0"/>
            <w:vAlign w:val="center"/>
          </w:tcPr>
          <w:p>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2、项目人员配置比较</w:t>
            </w:r>
          </w:p>
        </w:tc>
        <w:tc>
          <w:tcPr>
            <w:tcW w:w="6950" w:type="dxa"/>
            <w:noWrap w:val="0"/>
            <w:vAlign w:val="center"/>
          </w:tcPr>
          <w:p>
            <w:pP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除项目经理、队长、主管的其他人员</w:t>
            </w:r>
          </w:p>
          <w:p>
            <w:pPr>
              <w:rPr>
                <w:rFonts w:hint="eastAsia" w:ascii="宋体" w:hAnsi="宋体" w:cs="宋体"/>
                <w:sz w:val="24"/>
                <w:highlight w:val="none"/>
              </w:rPr>
            </w:pPr>
            <w:r>
              <w:rPr>
                <w:rFonts w:hint="eastAsia" w:ascii="宋体" w:hAnsi="宋体" w:cs="宋体"/>
                <w:sz w:val="24"/>
                <w:highlight w:val="none"/>
              </w:rPr>
              <w:t>①具有高级保安管理师（保安员一级）证书，每</w:t>
            </w:r>
            <w:r>
              <w:rPr>
                <w:rFonts w:hint="eastAsia" w:ascii="宋体" w:hAnsi="宋体" w:cs="宋体"/>
                <w:sz w:val="24"/>
                <w:highlight w:val="none"/>
                <w:lang w:val="en-US" w:eastAsia="zh-CN"/>
              </w:rPr>
              <w:t>2</w:t>
            </w:r>
            <w:r>
              <w:rPr>
                <w:rFonts w:hint="eastAsia" w:ascii="宋体" w:hAnsi="宋体" w:cs="宋体"/>
                <w:sz w:val="24"/>
                <w:highlight w:val="none"/>
              </w:rPr>
              <w:t>人得1分，本条满分4分</w:t>
            </w:r>
            <w:r>
              <w:rPr>
                <w:rFonts w:hint="eastAsia" w:ascii="宋体" w:hAnsi="宋体" w:cs="宋体"/>
                <w:sz w:val="24"/>
                <w:highlight w:val="none"/>
                <w:lang w:eastAsia="zh-CN"/>
              </w:rPr>
              <w:t>；</w:t>
            </w:r>
            <w:r>
              <w:rPr>
                <w:rFonts w:hint="eastAsia" w:ascii="宋体" w:hAnsi="宋体" w:cs="宋体"/>
                <w:sz w:val="24"/>
                <w:highlight w:val="none"/>
              </w:rPr>
              <w:t>（须提供</w:t>
            </w:r>
            <w:r>
              <w:rPr>
                <w:rFonts w:hint="eastAsia" w:ascii="宋体" w:hAnsi="宋体" w:cs="宋体"/>
                <w:sz w:val="24"/>
                <w:highlight w:val="none"/>
                <w:lang w:val="en-US" w:eastAsia="zh-CN"/>
              </w:rPr>
              <w:t>开标之日前1</w:t>
            </w:r>
            <w:r>
              <w:rPr>
                <w:rFonts w:hint="eastAsia" w:ascii="宋体" w:hAnsi="宋体" w:cs="宋体"/>
                <w:sz w:val="24"/>
                <w:highlight w:val="none"/>
              </w:rPr>
              <w:t>个月及以上社保缴纳证明</w:t>
            </w:r>
            <w:r>
              <w:rPr>
                <w:rFonts w:hint="eastAsia" w:ascii="宋体" w:hAnsi="宋体" w:cs="宋体"/>
                <w:sz w:val="24"/>
                <w:highlight w:val="none"/>
                <w:lang w:eastAsia="zh-CN"/>
              </w:rPr>
              <w:t>、及证书</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lang w:eastAsia="zh-CN"/>
              </w:rPr>
              <w:t>）</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②具有保安管理师（保安员二级）证书的每3人得1分，本条满分</w:t>
            </w:r>
            <w:r>
              <w:rPr>
                <w:rFonts w:hint="eastAsia" w:ascii="宋体" w:hAnsi="宋体" w:cs="宋体"/>
                <w:sz w:val="24"/>
                <w:highlight w:val="none"/>
                <w:lang w:val="en-US" w:eastAsia="zh-CN"/>
              </w:rPr>
              <w:t>5</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注：必须承诺中标后配置人员不少于</w:t>
            </w:r>
            <w:r>
              <w:rPr>
                <w:rFonts w:hint="eastAsia" w:ascii="宋体" w:hAnsi="宋体" w:cs="宋体"/>
                <w:sz w:val="24"/>
                <w:highlight w:val="none"/>
                <w:lang w:val="en-US" w:eastAsia="zh-CN"/>
              </w:rPr>
              <w:t>5</w:t>
            </w:r>
            <w:r>
              <w:rPr>
                <w:rFonts w:hint="eastAsia" w:ascii="宋体" w:hAnsi="宋体" w:cs="宋体"/>
                <w:sz w:val="24"/>
                <w:highlight w:val="none"/>
              </w:rPr>
              <w:t>0人，否则本项</w:t>
            </w:r>
            <w:r>
              <w:rPr>
                <w:rFonts w:hint="eastAsia" w:ascii="宋体" w:hAnsi="宋体" w:cs="宋体"/>
                <w:sz w:val="24"/>
                <w:highlight w:val="none"/>
                <w:lang w:val="en-US" w:eastAsia="zh-CN"/>
              </w:rPr>
              <w:t>不得</w:t>
            </w:r>
            <w:r>
              <w:rPr>
                <w:rFonts w:hint="eastAsia" w:ascii="宋体" w:hAnsi="宋体" w:cs="宋体"/>
                <w:sz w:val="24"/>
                <w:highlight w:val="none"/>
              </w:rPr>
              <w:t>分。</w:t>
            </w:r>
          </w:p>
          <w:p>
            <w:pPr>
              <w:rPr>
                <w:rFonts w:hint="eastAsia" w:ascii="宋体" w:hAnsi="宋体" w:cs="宋体"/>
                <w:b/>
                <w:sz w:val="24"/>
                <w:highlight w:val="none"/>
              </w:rPr>
            </w:pPr>
            <w:r>
              <w:rPr>
                <w:rFonts w:hint="eastAsia" w:ascii="宋体" w:hAnsi="宋体" w:cs="宋体"/>
                <w:sz w:val="24"/>
                <w:highlight w:val="none"/>
              </w:rPr>
              <w:t>（须提供</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个月及以上社保缴纳证明及保安员证扫描件</w:t>
            </w:r>
            <w:r>
              <w:rPr>
                <w:rFonts w:hint="eastAsia" w:ascii="宋体" w:hAnsi="宋体" w:cs="宋体"/>
                <w:sz w:val="24"/>
                <w:highlight w:val="none"/>
                <w:lang w:val="en-US" w:eastAsia="zh-CN"/>
              </w:rPr>
              <w:t>并加盖公章</w:t>
            </w:r>
            <w:r>
              <w:rPr>
                <w:rFonts w:hint="eastAsia" w:ascii="宋体" w:hAnsi="宋体" w:cs="宋体"/>
                <w:sz w:val="24"/>
                <w:highlight w:val="none"/>
                <w:lang w:eastAsia="zh-CN"/>
              </w:rPr>
              <w:t>，</w:t>
            </w:r>
            <w:r>
              <w:rPr>
                <w:rFonts w:hint="eastAsia" w:ascii="宋体" w:hAnsi="宋体" w:eastAsia="宋体" w:cs="宋体"/>
                <w:color w:val="auto"/>
                <w:kern w:val="2"/>
                <w:sz w:val="24"/>
                <w:szCs w:val="24"/>
                <w:highlight w:val="none"/>
                <w:lang w:val="en-US" w:eastAsia="zh-CN" w:bidi="ar-SA"/>
              </w:rPr>
              <w:t>否则不得分</w:t>
            </w:r>
            <w:r>
              <w:rPr>
                <w:rFonts w:hint="eastAsia" w:ascii="宋体" w:hAnsi="宋体" w:cs="宋体"/>
                <w:sz w:val="24"/>
                <w:highlight w:val="none"/>
              </w:rPr>
              <w:t>。)</w:t>
            </w:r>
          </w:p>
        </w:tc>
        <w:tc>
          <w:tcPr>
            <w:tcW w:w="761" w:type="dxa"/>
            <w:tcBorders>
              <w:top w:val="single" w:color="auto" w:sz="4" w:space="0"/>
            </w:tcBorders>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客观分</w:t>
            </w:r>
          </w:p>
        </w:tc>
        <w:tc>
          <w:tcPr>
            <w:tcW w:w="925" w:type="dxa"/>
            <w:tcBorders>
              <w:top w:val="single" w:color="auto" w:sz="4" w:space="0"/>
            </w:tcBorders>
            <w:noWrap w:val="0"/>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3、项目经理素质</w:t>
            </w: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rPr>
              <w:t>项目经理：</w:t>
            </w:r>
          </w:p>
          <w:p>
            <w:pPr>
              <w:rPr>
                <w:rFonts w:hint="eastAsia" w:ascii="宋体" w:hAnsi="宋体" w:cs="宋体"/>
                <w:sz w:val="24"/>
                <w:highlight w:val="none"/>
              </w:rPr>
            </w:pPr>
            <w:r>
              <w:rPr>
                <w:rFonts w:hint="eastAsia" w:ascii="宋体" w:hAnsi="宋体" w:cs="宋体"/>
                <w:sz w:val="24"/>
                <w:highlight w:val="none"/>
              </w:rPr>
              <w:t>①具有高级职称得</w:t>
            </w:r>
            <w:r>
              <w:rPr>
                <w:rFonts w:hint="eastAsia" w:ascii="宋体" w:hAnsi="宋体" w:cs="宋体"/>
                <w:sz w:val="24"/>
                <w:highlight w:val="none"/>
                <w:lang w:val="en-US" w:eastAsia="zh-CN"/>
              </w:rPr>
              <w:t>4</w:t>
            </w:r>
            <w:r>
              <w:rPr>
                <w:rFonts w:hint="eastAsia" w:ascii="宋体" w:hAnsi="宋体" w:cs="宋体"/>
                <w:sz w:val="24"/>
                <w:highlight w:val="none"/>
              </w:rPr>
              <w:t>分，中级职称得2分，初级职称得1分，本条满分</w:t>
            </w:r>
            <w:r>
              <w:rPr>
                <w:rFonts w:hint="eastAsia" w:ascii="宋体" w:hAnsi="宋体" w:cs="宋体"/>
                <w:sz w:val="24"/>
                <w:highlight w:val="none"/>
                <w:lang w:val="en-US" w:eastAsia="zh-CN"/>
              </w:rPr>
              <w:t>4</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②具有</w:t>
            </w:r>
            <w:r>
              <w:rPr>
                <w:rFonts w:hint="eastAsia" w:ascii="宋体" w:hAnsi="宋体" w:cs="宋体"/>
                <w:sz w:val="24"/>
                <w:highlight w:val="none"/>
                <w:lang w:val="en-US" w:eastAsia="zh-CN"/>
              </w:rPr>
              <w:t>高级技</w:t>
            </w:r>
            <w:r>
              <w:rPr>
                <w:rFonts w:hint="eastAsia" w:ascii="宋体" w:hAnsi="宋体" w:cs="宋体"/>
                <w:sz w:val="24"/>
                <w:highlight w:val="none"/>
              </w:rPr>
              <w:t>师（</w:t>
            </w:r>
            <w:r>
              <w:rPr>
                <w:rFonts w:hint="eastAsia" w:ascii="宋体" w:hAnsi="宋体" w:cs="宋体"/>
                <w:sz w:val="24"/>
                <w:highlight w:val="none"/>
                <w:lang w:val="en-US" w:eastAsia="zh-CN"/>
              </w:rPr>
              <w:t>一</w:t>
            </w:r>
            <w:r>
              <w:rPr>
                <w:rFonts w:hint="eastAsia" w:ascii="宋体" w:hAnsi="宋体" w:cs="宋体"/>
                <w:sz w:val="24"/>
                <w:highlight w:val="none"/>
              </w:rPr>
              <w:t>级保安员）证书的得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val="en-US" w:eastAsia="zh-CN"/>
              </w:rPr>
              <w:t>技师（二级保安员）证书的得1分，</w:t>
            </w:r>
            <w:r>
              <w:rPr>
                <w:rFonts w:hint="eastAsia" w:ascii="宋体" w:hAnsi="宋体" w:cs="宋体"/>
                <w:sz w:val="24"/>
                <w:highlight w:val="none"/>
              </w:rPr>
              <w:t>本条满分</w:t>
            </w:r>
            <w:r>
              <w:rPr>
                <w:rFonts w:hint="eastAsia" w:ascii="宋体" w:hAnsi="宋体" w:cs="宋体"/>
                <w:sz w:val="24"/>
                <w:highlight w:val="none"/>
                <w:lang w:val="en-US" w:eastAsia="zh-CN"/>
              </w:rPr>
              <w:t>2</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客观分</w:t>
            </w:r>
          </w:p>
        </w:tc>
        <w:tc>
          <w:tcPr>
            <w:tcW w:w="925"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4、拟派</w:t>
            </w:r>
            <w:r>
              <w:rPr>
                <w:rFonts w:hint="eastAsia" w:ascii="宋体" w:hAnsi="宋体" w:cs="宋体"/>
                <w:sz w:val="24"/>
                <w:highlight w:val="none"/>
                <w:lang w:val="en-US" w:eastAsia="zh-CN"/>
              </w:rPr>
              <w:t>队长、主管</w:t>
            </w:r>
            <w:r>
              <w:rPr>
                <w:rFonts w:hint="eastAsia" w:ascii="宋体" w:hAnsi="宋体" w:cs="宋体"/>
                <w:sz w:val="24"/>
                <w:highlight w:val="none"/>
              </w:rPr>
              <w:t>要求</w:t>
            </w: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rPr>
              <w:t>保安</w:t>
            </w:r>
            <w:r>
              <w:rPr>
                <w:rFonts w:hint="eastAsia" w:ascii="宋体" w:hAnsi="宋体" w:cs="宋体"/>
                <w:sz w:val="24"/>
                <w:highlight w:val="none"/>
                <w:lang w:val="en-US" w:eastAsia="zh-CN"/>
              </w:rPr>
              <w:t>队长</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①具有大专及以上学历并持有建构筑物消防员证得1分，本条满分1分。</w:t>
            </w:r>
          </w:p>
          <w:p>
            <w:pPr>
              <w:rPr>
                <w:rFonts w:hint="eastAsia" w:ascii="宋体" w:hAnsi="宋体" w:cs="宋体"/>
                <w:sz w:val="24"/>
                <w:highlight w:val="none"/>
              </w:rPr>
            </w:pPr>
            <w:r>
              <w:rPr>
                <w:rFonts w:hint="eastAsia" w:ascii="宋体" w:hAnsi="宋体" w:cs="宋体"/>
                <w:sz w:val="24"/>
                <w:highlight w:val="none"/>
              </w:rPr>
              <w:t>②具有公安机关颁发的荣誉证书每个得0.5分，本条满分2分。</w:t>
            </w:r>
          </w:p>
          <w:p>
            <w:pPr>
              <w:rPr>
                <w:rFonts w:hint="eastAsia" w:ascii="宋体" w:hAnsi="宋体" w:cs="宋体"/>
                <w:sz w:val="24"/>
                <w:highlight w:val="none"/>
              </w:rPr>
            </w:pPr>
            <w:r>
              <w:rPr>
                <w:rFonts w:hint="eastAsia" w:ascii="宋体" w:hAnsi="宋体" w:cs="宋体"/>
                <w:sz w:val="24"/>
                <w:highlight w:val="none"/>
              </w:rPr>
              <w:t>③具有</w:t>
            </w:r>
            <w:r>
              <w:rPr>
                <w:rFonts w:hint="eastAsia" w:ascii="宋体" w:hAnsi="宋体" w:cs="宋体"/>
                <w:sz w:val="24"/>
                <w:highlight w:val="none"/>
                <w:lang w:val="en-US" w:eastAsia="zh-CN"/>
              </w:rPr>
              <w:t>高级技</w:t>
            </w:r>
            <w:r>
              <w:rPr>
                <w:rFonts w:hint="eastAsia" w:ascii="宋体" w:hAnsi="宋体" w:cs="宋体"/>
                <w:sz w:val="24"/>
                <w:highlight w:val="none"/>
              </w:rPr>
              <w:t>师（</w:t>
            </w:r>
            <w:r>
              <w:rPr>
                <w:rFonts w:hint="eastAsia" w:ascii="宋体" w:hAnsi="宋体" w:cs="宋体"/>
                <w:sz w:val="24"/>
                <w:highlight w:val="none"/>
                <w:lang w:val="en-US" w:eastAsia="zh-CN"/>
              </w:rPr>
              <w:t>一</w:t>
            </w:r>
            <w:r>
              <w:rPr>
                <w:rFonts w:hint="eastAsia" w:ascii="宋体" w:hAnsi="宋体" w:cs="宋体"/>
                <w:sz w:val="24"/>
                <w:highlight w:val="none"/>
              </w:rPr>
              <w:t>级保安员）证书的得</w:t>
            </w:r>
            <w:r>
              <w:rPr>
                <w:rFonts w:hint="eastAsia" w:ascii="宋体" w:hAnsi="宋体" w:cs="宋体"/>
                <w:sz w:val="24"/>
                <w:highlight w:val="none"/>
                <w:lang w:val="en-US" w:eastAsia="zh-CN"/>
              </w:rPr>
              <w:t>2</w:t>
            </w:r>
            <w:r>
              <w:rPr>
                <w:rFonts w:hint="eastAsia" w:ascii="宋体" w:hAnsi="宋体" w:cs="宋体"/>
                <w:sz w:val="24"/>
                <w:highlight w:val="none"/>
              </w:rPr>
              <w:t>分，本条满分</w:t>
            </w:r>
            <w:r>
              <w:rPr>
                <w:rFonts w:hint="eastAsia" w:ascii="宋体" w:hAnsi="宋体" w:cs="宋体"/>
                <w:sz w:val="24"/>
                <w:highlight w:val="none"/>
                <w:lang w:val="en-US" w:eastAsia="zh-CN"/>
              </w:rPr>
              <w:t>2</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本项最高得</w:t>
            </w:r>
            <w:r>
              <w:rPr>
                <w:rFonts w:hint="eastAsia" w:ascii="宋体" w:hAnsi="宋体" w:cs="宋体"/>
                <w:sz w:val="24"/>
                <w:highlight w:val="none"/>
                <w:lang w:val="en-US" w:eastAsia="zh-CN"/>
              </w:rPr>
              <w:t>5</w:t>
            </w:r>
            <w:r>
              <w:rPr>
                <w:rFonts w:hint="eastAsia" w:ascii="宋体" w:hAnsi="宋体" w:cs="宋体"/>
                <w:sz w:val="24"/>
                <w:highlight w:val="none"/>
              </w:rPr>
              <w:t>分。</w:t>
            </w:r>
          </w:p>
          <w:p>
            <w:pP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noWrap w:val="0"/>
            <w:vAlign w:val="center"/>
          </w:tcPr>
          <w:p>
            <w:pPr>
              <w:jc w:val="center"/>
              <w:rPr>
                <w:rFonts w:hint="eastAsia" w:ascii="宋体" w:hAnsi="宋体" w:cs="宋体"/>
                <w:sz w:val="24"/>
                <w:highlight w:val="none"/>
              </w:rPr>
            </w:pPr>
            <w:r>
              <w:rPr>
                <w:rFonts w:hint="eastAsia" w:ascii="宋体" w:hAnsi="宋体" w:cs="宋体"/>
                <w:sz w:val="24"/>
              </w:rPr>
              <w:t>客观分</w:t>
            </w:r>
          </w:p>
        </w:tc>
        <w:tc>
          <w:tcPr>
            <w:tcW w:w="925"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vMerge w:val="continue"/>
            <w:noWrap w:val="0"/>
            <w:vAlign w:val="center"/>
          </w:tcPr>
          <w:p>
            <w:pPr>
              <w:jc w:val="center"/>
              <w:rPr>
                <w:rFonts w:hint="eastAsia" w:ascii="宋体" w:hAnsi="宋体" w:cs="宋体"/>
                <w:sz w:val="24"/>
                <w:highlight w:val="none"/>
              </w:rPr>
            </w:pP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lang w:val="en-US" w:eastAsia="zh-CN"/>
              </w:rPr>
              <w:t>保安主管</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①具有大学本科学历及退伍军人的得1分，本条满分1分。</w:t>
            </w:r>
          </w:p>
          <w:p>
            <w:pPr>
              <w:rPr>
                <w:rFonts w:hint="eastAsia" w:ascii="宋体" w:hAnsi="宋体" w:cs="宋体"/>
                <w:sz w:val="24"/>
                <w:highlight w:val="none"/>
              </w:rPr>
            </w:pPr>
            <w:r>
              <w:rPr>
                <w:rFonts w:hint="eastAsia" w:ascii="宋体" w:hAnsi="宋体" w:cs="宋体"/>
                <w:sz w:val="24"/>
                <w:highlight w:val="none"/>
              </w:rPr>
              <w:t>②具有保安管理师（二级保安员）证书的得1分，本条满分1分。</w:t>
            </w:r>
          </w:p>
          <w:p>
            <w:pPr>
              <w:rPr>
                <w:rFonts w:hint="eastAsia" w:ascii="宋体" w:hAnsi="宋体" w:cs="宋体"/>
                <w:sz w:val="24"/>
                <w:highlight w:val="none"/>
              </w:rPr>
            </w:pPr>
            <w:r>
              <w:rPr>
                <w:rFonts w:hint="eastAsia" w:ascii="宋体" w:hAnsi="宋体" w:cs="宋体"/>
                <w:sz w:val="24"/>
                <w:highlight w:val="none"/>
                <w:lang w:val="en-US" w:eastAsia="zh-CN"/>
              </w:rPr>
              <w:t>③</w:t>
            </w:r>
            <w:r>
              <w:rPr>
                <w:rFonts w:hint="eastAsia" w:ascii="宋体" w:hAnsi="宋体" w:cs="宋体"/>
                <w:sz w:val="24"/>
                <w:highlight w:val="none"/>
              </w:rPr>
              <w:t>具有公安机关颁发的</w:t>
            </w:r>
            <w:r>
              <w:rPr>
                <w:rFonts w:hint="eastAsia" w:ascii="宋体" w:hAnsi="宋体" w:cs="宋体"/>
                <w:sz w:val="24"/>
                <w:highlight w:val="none"/>
                <w:lang w:eastAsia="zh-CN"/>
              </w:rPr>
              <w:t>：</w:t>
            </w:r>
            <w:r>
              <w:rPr>
                <w:rFonts w:hint="eastAsia" w:ascii="宋体" w:hAnsi="宋体" w:cs="宋体"/>
                <w:sz w:val="24"/>
                <w:highlight w:val="none"/>
                <w:lang w:val="en-US" w:eastAsia="zh-CN"/>
              </w:rPr>
              <w:t>省</w:t>
            </w:r>
            <w:r>
              <w:rPr>
                <w:rFonts w:hint="eastAsia" w:ascii="宋体" w:hAnsi="宋体" w:cs="宋体"/>
                <w:sz w:val="24"/>
                <w:highlight w:val="none"/>
              </w:rPr>
              <w:t>级及以上荣誉证书得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val="en-US" w:eastAsia="zh-CN"/>
              </w:rPr>
              <w:t>市级荣誉的得1分，</w:t>
            </w:r>
            <w:r>
              <w:rPr>
                <w:rFonts w:hint="eastAsia" w:ascii="宋体" w:hAnsi="宋体" w:cs="宋体"/>
                <w:sz w:val="24"/>
                <w:highlight w:val="none"/>
              </w:rPr>
              <w:t>本条满分</w:t>
            </w:r>
            <w:r>
              <w:rPr>
                <w:rFonts w:hint="eastAsia" w:ascii="宋体" w:hAnsi="宋体" w:cs="宋体"/>
                <w:sz w:val="24"/>
                <w:highlight w:val="none"/>
                <w:lang w:val="en-US" w:eastAsia="zh-CN"/>
              </w:rPr>
              <w:t>2</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noWrap w:val="0"/>
            <w:vAlign w:val="center"/>
          </w:tcPr>
          <w:p>
            <w:pPr>
              <w:jc w:val="center"/>
              <w:rPr>
                <w:rFonts w:hint="eastAsia" w:ascii="宋体" w:hAnsi="宋体" w:cs="宋体"/>
                <w:sz w:val="24"/>
                <w:highlight w:val="none"/>
                <w:lang w:val="en-US" w:eastAsia="zh-CN"/>
              </w:rPr>
            </w:pPr>
            <w:r>
              <w:rPr>
                <w:rFonts w:hint="eastAsia" w:ascii="宋体" w:hAnsi="宋体" w:cs="宋体"/>
                <w:sz w:val="24"/>
              </w:rPr>
              <w:t>客观分</w:t>
            </w:r>
          </w:p>
        </w:tc>
        <w:tc>
          <w:tcPr>
            <w:tcW w:w="925"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bl>
    <w:p>
      <w:pPr>
        <w:spacing w:line="360" w:lineRule="auto"/>
        <w:rPr>
          <w:rFonts w:ascii="仿宋" w:hAnsi="仿宋" w:eastAsia="仿宋"/>
        </w:rPr>
      </w:pPr>
    </w:p>
    <w:p>
      <w:pPr>
        <w:snapToGrid w:val="0"/>
        <w:spacing w:line="360" w:lineRule="auto"/>
        <w:rPr>
          <w:rFonts w:hint="eastAsia" w:ascii="宋体" w:hAnsi="宋体" w:eastAsia="仿宋" w:cs="宋体"/>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3、商务分+技术分=评标委员会所有成员评分合计数/评标委员会组成人员数（精确到小数点后二位）；</w:t>
      </w:r>
    </w:p>
    <w:p>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4、价格分（10分）</w:t>
      </w:r>
      <w:r>
        <w:rPr>
          <w:rFonts w:hint="eastAsia" w:ascii="仿宋" w:hAnsi="仿宋" w:eastAsia="仿宋" w:cs="仿宋"/>
          <w:color w:val="000000"/>
          <w:sz w:val="24"/>
          <w:szCs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价格分=（评标基准价/投标报价）×10%×100（精确到小数点后二位）；</w:t>
      </w:r>
    </w:p>
    <w:p>
      <w:pPr>
        <w:snapToGrid w:val="0"/>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5、投标人评标综合得分=价格分+商务分+技术分（精确到小数点后二位）；</w:t>
      </w:r>
    </w:p>
    <w:p>
      <w:pPr>
        <w:pStyle w:val="965"/>
        <w:snapToGrid w:val="0"/>
        <w:ind w:left="480"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报价是中标的一个重要因素，但最低报价不是中标的唯一依据。</w:t>
      </w:r>
    </w:p>
    <w:p>
      <w:pPr>
        <w:snapToGrid w:val="0"/>
        <w:spacing w:line="360" w:lineRule="auto"/>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5"/>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5"/>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2"/>
        <w:spacing w:before="120"/>
        <w:rPr>
          <w:rFonts w:ascii="仿宋" w:hAnsi="仿宋" w:eastAsia="仿宋" w:cs="宋体"/>
          <w:szCs w:val="24"/>
        </w:rPr>
      </w:pPr>
    </w:p>
    <w:p>
      <w:pPr>
        <w:pStyle w:val="282"/>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hint="eastAsia" w:ascii="仿宋" w:hAnsi="仿宋" w:eastAsia="仿宋" w:cs="Times New Roman"/>
          <w:sz w:val="24"/>
        </w:rPr>
      </w:pPr>
      <w:bookmarkStart w:id="394" w:name="_Toc28855"/>
      <w:bookmarkStart w:id="395" w:name="_Toc15367"/>
      <w:bookmarkStart w:id="396" w:name="_Toc19273"/>
      <w:bookmarkStart w:id="397" w:name="_Toc20421"/>
      <w:bookmarkStart w:id="398" w:name="_Toc22967"/>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 xml:space="preserve">年 </w:t>
      </w:r>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月</w:t>
      </w:r>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日</w:t>
      </w:r>
      <w:r>
        <w:rPr>
          <w:rFonts w:hint="eastAsia" w:ascii="仿宋" w:hAnsi="仿宋" w:eastAsia="仿宋" w:cs="Times New Roman"/>
          <w:sz w:val="24"/>
        </w:rPr>
        <w:t>，</w:t>
      </w:r>
      <w:r>
        <w:rPr>
          <w:rFonts w:hint="eastAsia" w:ascii="仿宋" w:hAnsi="仿宋" w:eastAsia="仿宋" w:cs="Times New Roman"/>
          <w:sz w:val="24"/>
          <w:u w:val="single"/>
        </w:rPr>
        <w:t xml:space="preserve">   （采购人）  </w:t>
      </w:r>
      <w:r>
        <w:rPr>
          <w:rFonts w:hint="eastAsia" w:ascii="仿宋" w:hAnsi="仿宋" w:eastAsia="仿宋" w:cs="Times New Roman"/>
          <w:sz w:val="24"/>
        </w:rPr>
        <w:t xml:space="preserve"> 以</w:t>
      </w:r>
      <w:r>
        <w:rPr>
          <w:rFonts w:hint="eastAsia" w:ascii="仿宋" w:hAnsi="仿宋" w:eastAsia="仿宋" w:cs="Times New Roman"/>
          <w:sz w:val="24"/>
          <w:u w:val="single"/>
        </w:rPr>
        <w:t xml:space="preserve">   （政府采购方式） </w:t>
      </w:r>
      <w:r>
        <w:rPr>
          <w:rFonts w:hint="eastAsia" w:ascii="仿宋" w:hAnsi="仿宋" w:eastAsia="仿宋" w:cs="Times New Roman"/>
          <w:sz w:val="24"/>
        </w:rPr>
        <w:t xml:space="preserve"> 对 </w:t>
      </w:r>
      <w:r>
        <w:rPr>
          <w:rFonts w:hint="eastAsia" w:ascii="仿宋" w:hAnsi="仿宋" w:eastAsia="仿宋" w:cs="Times New Roman"/>
          <w:sz w:val="24"/>
          <w:u w:val="single"/>
        </w:rPr>
        <w:t xml:space="preserve"> </w:t>
      </w:r>
      <w:r>
        <w:rPr>
          <w:rFonts w:hint="eastAsia" w:ascii="仿宋" w:hAnsi="仿宋" w:eastAsia="仿宋" w:cs="Times New Roman"/>
          <w:sz w:val="24"/>
          <w:u w:val="single"/>
          <w:lang w:eastAsia="zh-CN"/>
        </w:rPr>
        <w:t>（</w:t>
      </w:r>
      <w:r>
        <w:rPr>
          <w:rFonts w:hint="eastAsia" w:ascii="仿宋" w:hAnsi="仿宋" w:eastAsia="仿宋" w:cs="Times New Roman"/>
          <w:sz w:val="24"/>
          <w:u w:val="single"/>
          <w:lang w:val="en-US" w:eastAsia="zh-CN"/>
        </w:rPr>
        <w:t>项目名称</w:t>
      </w:r>
      <w:r>
        <w:rPr>
          <w:rFonts w:hint="eastAsia" w:ascii="仿宋" w:hAnsi="仿宋" w:eastAsia="仿宋" w:cs="Times New Roman"/>
          <w:sz w:val="24"/>
          <w:u w:val="single"/>
          <w:lang w:eastAsia="zh-CN"/>
        </w:rPr>
        <w:t>）</w:t>
      </w:r>
      <w:r>
        <w:rPr>
          <w:rFonts w:hint="eastAsia" w:ascii="仿宋" w:hAnsi="仿宋" w:eastAsia="仿宋" w:cs="Times New Roman"/>
          <w:sz w:val="24"/>
          <w:u w:val="single"/>
        </w:rPr>
        <w:t xml:space="preserve">   </w:t>
      </w:r>
      <w:r>
        <w:rPr>
          <w:rFonts w:hint="eastAsia" w:ascii="仿宋" w:hAnsi="仿宋" w:eastAsia="仿宋" w:cs="Times New Roman"/>
          <w:sz w:val="24"/>
        </w:rPr>
        <w:t xml:space="preserve"> 项目进行了采购。经 </w:t>
      </w:r>
      <w:r>
        <w:rPr>
          <w:rFonts w:hint="eastAsia" w:ascii="仿宋" w:hAnsi="仿宋" w:eastAsia="仿宋" w:cs="Times New Roman"/>
          <w:sz w:val="24"/>
          <w:u w:val="single"/>
        </w:rPr>
        <w:t xml:space="preserve">  （相关评定主体名称）  </w:t>
      </w:r>
      <w:r>
        <w:rPr>
          <w:rFonts w:hint="eastAsia" w:ascii="仿宋" w:hAnsi="仿宋" w:eastAsia="仿宋" w:cs="Times New Roman"/>
          <w:sz w:val="24"/>
        </w:rPr>
        <w:t xml:space="preserve"> 评定， </w:t>
      </w:r>
      <w:r>
        <w:rPr>
          <w:rFonts w:hint="eastAsia" w:ascii="仿宋" w:hAnsi="仿宋" w:eastAsia="仿宋" w:cs="Times New Roman"/>
          <w:sz w:val="24"/>
          <w:u w:val="single"/>
        </w:rPr>
        <w:t xml:space="preserve">  （中标或者成交供应商名称） </w:t>
      </w:r>
      <w:r>
        <w:rPr>
          <w:rFonts w:hint="eastAsia" w:ascii="仿宋" w:hAnsi="仿宋" w:eastAsia="仿宋" w:cs="Times New Roman"/>
          <w:sz w:val="24"/>
        </w:rPr>
        <w:t>为该项目中标或者成交供应商。现于中标或者成交通知书发出之日起10个工作日内，按照采购文件确定的事项签订本合同。合同签订依据为相关法律法规文件、招标文件、乙方投标文件等，合同条款有与前者冲突的，以前者为准。</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zh-CN"/>
        </w:rPr>
        <w:t>根据《中华人民共和国民法典》《中华人民共和国政府采购法》等相关法律法规之规定，按照平等、自愿、公平和诚实信用的原则，经</w:t>
      </w:r>
      <w:r>
        <w:rPr>
          <w:rFonts w:hint="eastAsia" w:ascii="仿宋" w:hAnsi="仿宋" w:eastAsia="仿宋" w:cs="Times New Roman"/>
          <w:sz w:val="24"/>
        </w:rPr>
        <w:t xml:space="preserve"> </w:t>
      </w:r>
      <w:r>
        <w:rPr>
          <w:rFonts w:hint="eastAsia" w:ascii="仿宋" w:hAnsi="仿宋" w:eastAsia="仿宋" w:cs="Times New Roman"/>
          <w:sz w:val="24"/>
          <w:u w:val="single"/>
        </w:rPr>
        <w:t xml:space="preserve">  （采购人）   </w:t>
      </w:r>
      <w:r>
        <w:rPr>
          <w:rFonts w:hint="eastAsia" w:ascii="仿宋" w:hAnsi="仿宋" w:eastAsia="仿宋" w:cs="Times New Roman"/>
          <w:sz w:val="24"/>
          <w:lang w:val="zh-CN"/>
        </w:rPr>
        <w:t>(以下简称：甲方)和</w:t>
      </w:r>
      <w:r>
        <w:rPr>
          <w:rFonts w:hint="eastAsia" w:ascii="仿宋" w:hAnsi="仿宋" w:eastAsia="仿宋" w:cs="Times New Roman"/>
          <w:sz w:val="24"/>
        </w:rPr>
        <w:t xml:space="preserve">   </w:t>
      </w:r>
      <w:r>
        <w:rPr>
          <w:rFonts w:hint="eastAsia" w:ascii="仿宋" w:hAnsi="仿宋" w:eastAsia="仿宋" w:cs="Times New Roman"/>
          <w:sz w:val="24"/>
          <w:u w:val="single"/>
        </w:rPr>
        <w:t>（中或者成交标供应商名称）</w:t>
      </w:r>
      <w:r>
        <w:rPr>
          <w:rFonts w:hint="eastAsia" w:ascii="仿宋" w:hAnsi="仿宋" w:eastAsia="仿宋" w:cs="Times New Roman"/>
          <w:sz w:val="24"/>
        </w:rPr>
        <w:t xml:space="preserve">   </w:t>
      </w:r>
      <w:r>
        <w:rPr>
          <w:rFonts w:hint="eastAsia" w:ascii="仿宋" w:hAnsi="仿宋" w:eastAsia="仿宋" w:cs="Times New Roman"/>
          <w:sz w:val="24"/>
          <w:lang w:val="zh-CN"/>
        </w:rPr>
        <w:t>(以下简称：乙方)协商一致，约定以下合同</w:t>
      </w:r>
      <w:r>
        <w:rPr>
          <w:rFonts w:hint="eastAsia" w:ascii="仿宋" w:hAnsi="仿宋" w:eastAsia="仿宋" w:cs="Times New Roman"/>
          <w:sz w:val="24"/>
        </w:rPr>
        <w:t>条款，以兹共同遵守、全面履行。</w:t>
      </w:r>
    </w:p>
    <w:p>
      <w:pPr>
        <w:spacing w:line="360" w:lineRule="auto"/>
        <w:ind w:firstLine="482" w:firstLineChars="200"/>
        <w:outlineLvl w:val="0"/>
        <w:rPr>
          <w:rFonts w:ascii="仿宋" w:hAnsi="仿宋" w:eastAsia="仿宋"/>
          <w:sz w:val="24"/>
        </w:rPr>
      </w:pPr>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399" w:name="_Toc2918"/>
      <w:bookmarkStart w:id="400" w:name="_Toc6311"/>
      <w:bookmarkStart w:id="401" w:name="_Toc6773"/>
      <w:bookmarkStart w:id="402" w:name="_Toc22185"/>
      <w:bookmarkStart w:id="403" w:name="_Toc18585"/>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pPr>
        <w:spacing w:line="360" w:lineRule="auto"/>
        <w:ind w:firstLine="480" w:firstLineChars="200"/>
        <w:rPr>
          <w:rFonts w:hint="eastAsia" w:ascii="仿宋" w:hAnsi="仿宋" w:eastAsia="仿宋"/>
          <w:sz w:val="24"/>
        </w:rPr>
      </w:pPr>
      <w:r>
        <w:rPr>
          <w:rFonts w:hint="eastAsia" w:ascii="仿宋" w:hAnsi="仿宋" w:eastAsia="仿宋"/>
          <w:sz w:val="24"/>
        </w:rPr>
        <w:t>1.2.1 服务内容：</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hint="eastAsia" w:ascii="仿宋" w:hAnsi="仿宋" w:eastAsia="仿宋"/>
          <w:sz w:val="24"/>
        </w:rPr>
      </w:pPr>
      <w:r>
        <w:rPr>
          <w:rFonts w:hint="eastAsia" w:ascii="仿宋" w:hAnsi="仿宋" w:eastAsia="仿宋"/>
          <w:sz w:val="24"/>
        </w:rPr>
        <w:t>1.2.2 服务标准：</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hint="eastAsia" w:ascii="仿宋" w:hAnsi="仿宋" w:eastAsia="仿宋"/>
          <w:sz w:val="24"/>
        </w:rPr>
      </w:pPr>
      <w:r>
        <w:rPr>
          <w:rFonts w:hint="eastAsia" w:ascii="仿宋" w:hAnsi="仿宋" w:eastAsia="仿宋"/>
          <w:sz w:val="24"/>
        </w:rPr>
        <w:t>1.2.3 技术保障：</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hint="eastAsia" w:ascii="仿宋" w:hAnsi="仿宋" w:eastAsia="仿宋"/>
          <w:sz w:val="24"/>
        </w:rPr>
      </w:pPr>
      <w:r>
        <w:rPr>
          <w:rFonts w:hint="eastAsia" w:ascii="仿宋" w:hAnsi="仿宋" w:eastAsia="仿宋"/>
          <w:sz w:val="24"/>
        </w:rPr>
        <w:t>1.2.4 服务人员组成：</w:t>
      </w:r>
      <w:r>
        <w:rPr>
          <w:rFonts w:hint="eastAsia" w:ascii="仿宋" w:hAnsi="仿宋" w:eastAsia="仿宋"/>
          <w:sz w:val="24"/>
          <w:u w:val="single"/>
        </w:rPr>
        <w:t xml:space="preserve">　　             　     </w:t>
      </w:r>
      <w:r>
        <w:rPr>
          <w:rFonts w:hint="eastAsia" w:ascii="仿宋" w:hAnsi="仿宋" w:eastAsia="仿宋"/>
          <w:sz w:val="24"/>
        </w:rPr>
        <w:t xml:space="preserve"> ；</w:t>
      </w:r>
    </w:p>
    <w:p>
      <w:pPr>
        <w:pStyle w:val="61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否）涉及货物。若涉及货物的的，则：</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sz w:val="24"/>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2" w:firstLineChars="200"/>
        <w:outlineLvl w:val="0"/>
        <w:rPr>
          <w:rFonts w:ascii="仿宋" w:hAnsi="仿宋" w:eastAsia="仿宋"/>
          <w:b/>
          <w:sz w:val="24"/>
        </w:rPr>
      </w:pPr>
      <w:bookmarkStart w:id="404" w:name="_Toc21124"/>
      <w:bookmarkStart w:id="405" w:name="_Toc1386"/>
      <w:bookmarkStart w:id="406" w:name="_Toc4929"/>
      <w:bookmarkStart w:id="407" w:name="_Toc13918"/>
      <w:bookmarkStart w:id="408" w:name="_Toc5635"/>
      <w:r>
        <w:rPr>
          <w:rFonts w:ascii="仿宋" w:hAnsi="仿宋" w:eastAsia="仿宋"/>
          <w:b/>
          <w:sz w:val="24"/>
        </w:rPr>
        <w:t>1.3 价款</w:t>
      </w:r>
      <w:bookmarkEnd w:id="404"/>
      <w:bookmarkEnd w:id="405"/>
      <w:bookmarkEnd w:id="406"/>
      <w:bookmarkEnd w:id="407"/>
      <w:bookmarkEnd w:id="408"/>
    </w:p>
    <w:p>
      <w:pPr>
        <w:spacing w:line="560" w:lineRule="exact"/>
        <w:ind w:firstLine="480" w:firstLineChars="200"/>
        <w:rPr>
          <w:rFonts w:hint="eastAsia" w:ascii="仿宋" w:hAnsi="仿宋" w:eastAsia="仿宋" w:cs="仿宋"/>
          <w:color w:val="auto"/>
          <w:sz w:val="24"/>
          <w:highlight w:val="none"/>
        </w:rPr>
      </w:pPr>
      <w:bookmarkStart w:id="409" w:name="_Toc14993"/>
      <w:bookmarkStart w:id="410" w:name="_Toc30506"/>
      <w:bookmarkStart w:id="411" w:name="_Toc3654"/>
      <w:bookmarkStart w:id="412" w:name="_Toc26916"/>
      <w:bookmarkStart w:id="413" w:name="_Toc30158"/>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10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10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106"/>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5"/>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9"/>
    <w:bookmarkEnd w:id="410"/>
    <w:bookmarkEnd w:id="411"/>
    <w:bookmarkEnd w:id="412"/>
    <w:bookmarkEnd w:id="413"/>
    <w:p>
      <w:pPr>
        <w:pStyle w:val="617"/>
        <w:spacing w:before="0" w:beforeAutospacing="0" w:after="0" w:afterAutospacing="0" w:line="360" w:lineRule="auto"/>
        <w:ind w:firstLine="480"/>
        <w:rPr>
          <w:rFonts w:hint="eastAsia" w:ascii="仿宋" w:hAnsi="仿宋" w:eastAsia="仿宋" w:cs="仿宋"/>
          <w:b/>
          <w:color w:val="auto"/>
          <w:highlight w:val="none"/>
        </w:rPr>
      </w:pPr>
      <w:bookmarkStart w:id="414" w:name="_Toc10340"/>
      <w:bookmarkStart w:id="415" w:name="_Toc22618"/>
      <w:bookmarkStart w:id="416" w:name="_Toc1814"/>
      <w:bookmarkStart w:id="417" w:name="_Toc31421"/>
      <w:bookmarkStart w:id="418" w:name="_Toc3625"/>
      <w:bookmarkStart w:id="419" w:name="_Toc4760"/>
      <w:bookmarkStart w:id="420" w:name="_Toc8772"/>
      <w:bookmarkStart w:id="421" w:name="_Toc11108"/>
      <w:r>
        <w:rPr>
          <w:rFonts w:hint="eastAsia" w:ascii="仿宋" w:hAnsi="仿宋" w:eastAsia="仿宋" w:cs="仿宋"/>
          <w:b/>
          <w:color w:val="auto"/>
          <w:highlight w:val="none"/>
        </w:rPr>
        <w:t>1.4履约保证金</w:t>
      </w:r>
    </w:p>
    <w:p>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5"/>
        <w:tabs>
          <w:tab w:val="left" w:pos="0"/>
        </w:tabs>
        <w:spacing w:line="560" w:lineRule="exact"/>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pPr>
        <w:spacing w:line="56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4"/>
      <w:bookmarkEnd w:id="415"/>
      <w:bookmarkEnd w:id="416"/>
      <w:r>
        <w:rPr>
          <w:rFonts w:hint="eastAsia" w:ascii="仿宋" w:hAnsi="仿宋" w:eastAsia="仿宋" w:cs="仿宋"/>
          <w:b/>
          <w:color w:val="auto"/>
          <w:sz w:val="24"/>
          <w:szCs w:val="24"/>
          <w:highlight w:val="none"/>
        </w:rPr>
        <w:t>预付款</w:t>
      </w:r>
    </w:p>
    <w:p>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否）需要支付预付款。若需要支付预付款的，则：</w:t>
      </w:r>
    </w:p>
    <w:p>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617"/>
        <w:spacing w:before="0" w:beforeAutospacing="0" w:after="0" w:afterAutospacing="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617"/>
        <w:spacing w:before="0" w:beforeAutospacing="0" w:after="0" w:afterAutospacing="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以经塘栖镇根据政府采购法等相关规定审核通过的合同相应条款为准。</w:t>
      </w:r>
    </w:p>
    <w:p>
      <w:pPr>
        <w:spacing w:line="56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7"/>
      <w:bookmarkEnd w:id="418"/>
      <w:bookmarkEnd w:id="419"/>
      <w:bookmarkEnd w:id="420"/>
      <w:bookmarkEnd w:id="421"/>
    </w:p>
    <w:p>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0" w:firstLineChars="200"/>
        <w:outlineLvl w:val="0"/>
        <w:rPr>
          <w:rFonts w:hint="eastAsia" w:ascii="仿宋" w:hAnsi="仿宋" w:eastAsia="仿宋" w:cs="仿宋"/>
          <w:bCs/>
          <w:color w:val="auto"/>
          <w:sz w:val="24"/>
          <w:szCs w:val="24"/>
          <w:highlight w:val="none"/>
        </w:rPr>
      </w:pPr>
      <w:bookmarkStart w:id="422" w:name="_Toc24662"/>
      <w:bookmarkStart w:id="423" w:name="_Toc3079"/>
      <w:bookmarkStart w:id="424" w:name="_Toc8586"/>
      <w:bookmarkStart w:id="425" w:name="_Toc5698"/>
      <w:bookmarkStart w:id="426" w:name="_Toc2375"/>
      <w:r>
        <w:rPr>
          <w:rFonts w:hint="eastAsia" w:ascii="仿宋" w:hAnsi="仿宋" w:eastAsia="仿宋" w:cs="仿宋"/>
          <w:bCs/>
          <w:color w:val="auto"/>
          <w:sz w:val="24"/>
          <w:szCs w:val="24"/>
          <w:highlight w:val="none"/>
        </w:rPr>
        <w:t>1.7.4若服务涉及货物的，则货物的：</w:t>
      </w:r>
    </w:p>
    <w:p>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560" w:lineRule="exact"/>
        <w:ind w:firstLine="482" w:firstLineChars="200"/>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2"/>
      <w:bookmarkEnd w:id="423"/>
      <w:bookmarkEnd w:id="424"/>
      <w:bookmarkEnd w:id="425"/>
      <w:bookmarkEnd w:id="426"/>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pPr>
        <w:pStyle w:val="5"/>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szCs w:val="24"/>
          <w:highlight w:val="none"/>
        </w:rPr>
      </w:pPr>
      <w:bookmarkStart w:id="427" w:name="_Toc32454"/>
      <w:bookmarkStart w:id="428" w:name="_Toc9497"/>
      <w:bookmarkStart w:id="429" w:name="_Toc30329"/>
      <w:bookmarkStart w:id="430" w:name="_Toc18683"/>
      <w:bookmarkStart w:id="431" w:name="_Toc26807"/>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7"/>
    <w:bookmarkEnd w:id="428"/>
    <w:bookmarkEnd w:id="429"/>
    <w:bookmarkEnd w:id="430"/>
    <w:bookmarkEnd w:id="431"/>
    <w:p>
      <w:pPr>
        <w:spacing w:line="560" w:lineRule="exact"/>
        <w:ind w:firstLine="482" w:firstLineChars="200"/>
        <w:outlineLvl w:val="0"/>
        <w:rPr>
          <w:rFonts w:hint="eastAsia" w:ascii="仿宋" w:hAnsi="仿宋" w:eastAsia="仿宋" w:cs="仿宋"/>
          <w:b/>
          <w:color w:val="auto"/>
          <w:sz w:val="24"/>
          <w:szCs w:val="24"/>
          <w:highlight w:val="none"/>
        </w:rPr>
      </w:pPr>
      <w:bookmarkStart w:id="432" w:name="_Toc28375"/>
      <w:bookmarkStart w:id="433" w:name="_Toc15583"/>
      <w:bookmarkStart w:id="434" w:name="_Toc16021"/>
      <w:r>
        <w:rPr>
          <w:rFonts w:hint="eastAsia" w:ascii="仿宋" w:hAnsi="仿宋" w:eastAsia="仿宋" w:cs="仿宋"/>
          <w:b/>
          <w:color w:val="auto"/>
          <w:sz w:val="24"/>
          <w:szCs w:val="24"/>
          <w:highlight w:val="none"/>
        </w:rPr>
        <w:t>1.9合同争议的解决</w:t>
      </w:r>
      <w:bookmarkEnd w:id="432"/>
      <w:bookmarkEnd w:id="433"/>
      <w:bookmarkEnd w:id="434"/>
    </w:p>
    <w:p>
      <w:pPr>
        <w:spacing w:line="560" w:lineRule="exact"/>
        <w:ind w:left="-61" w:leftChars="-29" w:right="-420" w:rightChars="-2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pPr>
        <w:spacing w:line="560" w:lineRule="exact"/>
        <w:ind w:firstLine="482" w:firstLineChars="200"/>
        <w:outlineLvl w:val="0"/>
        <w:rPr>
          <w:rFonts w:hint="eastAsia" w:ascii="仿宋" w:hAnsi="仿宋" w:eastAsia="仿宋" w:cs="仿宋"/>
          <w:b/>
          <w:color w:val="auto"/>
          <w:sz w:val="24"/>
          <w:szCs w:val="24"/>
          <w:highlight w:val="none"/>
        </w:rPr>
      </w:pPr>
      <w:bookmarkStart w:id="435" w:name="_Toc15322"/>
      <w:bookmarkStart w:id="436" w:name="_Toc11173"/>
      <w:bookmarkStart w:id="437" w:name="_Toc7245"/>
      <w:r>
        <w:rPr>
          <w:rFonts w:hint="eastAsia" w:ascii="仿宋" w:hAnsi="仿宋" w:eastAsia="仿宋" w:cs="仿宋"/>
          <w:b/>
          <w:color w:val="auto"/>
          <w:sz w:val="24"/>
          <w:szCs w:val="24"/>
          <w:highlight w:val="none"/>
        </w:rPr>
        <w:t>2.0 合同生效</w:t>
      </w:r>
      <w:bookmarkEnd w:id="435"/>
      <w:bookmarkEnd w:id="436"/>
      <w:bookmarkEnd w:id="437"/>
    </w:p>
    <w:p>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pPr>
        <w:autoSpaceDE w:val="0"/>
        <w:autoSpaceDN w:val="0"/>
        <w:spacing w:line="560" w:lineRule="exact"/>
        <w:rPr>
          <w:rFonts w:hint="eastAsia" w:ascii="仿宋" w:hAnsi="仿宋" w:eastAsia="仿宋" w:cs="仿宋"/>
          <w:color w:val="auto"/>
          <w:sz w:val="24"/>
          <w:szCs w:val="24"/>
          <w:highlight w:val="none"/>
          <w:lang w:val="zh-CN"/>
        </w:rPr>
      </w:pP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szCs w:val="24"/>
          <w:highlight w:val="none"/>
          <w:lang w:val="zh-CN"/>
        </w:rPr>
      </w:pP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385"/>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8" w:name="_Toc19680"/>
      <w:bookmarkStart w:id="439" w:name="_Toc14021"/>
      <w:bookmarkStart w:id="440" w:name="_Toc31297"/>
      <w:bookmarkStart w:id="441" w:name="_Toc5228"/>
      <w:bookmarkStart w:id="442" w:name="_Toc25079"/>
      <w:r>
        <w:rPr>
          <w:rFonts w:ascii="仿宋" w:hAnsi="仿宋" w:eastAsia="仿宋"/>
          <w:b/>
          <w:sz w:val="24"/>
        </w:rPr>
        <w:t>2.1 定义</w:t>
      </w:r>
      <w:bookmarkEnd w:id="438"/>
      <w:bookmarkEnd w:id="439"/>
      <w:bookmarkEnd w:id="440"/>
      <w:bookmarkEnd w:id="441"/>
      <w:bookmarkEnd w:id="442"/>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43" w:name="_Toc3769"/>
      <w:bookmarkStart w:id="444" w:name="_Toc19539"/>
      <w:bookmarkStart w:id="445" w:name="_Toc23289"/>
      <w:bookmarkStart w:id="446" w:name="_Toc31402"/>
      <w:bookmarkStart w:id="447" w:name="_Toc16752"/>
      <w:r>
        <w:rPr>
          <w:rFonts w:ascii="仿宋" w:hAnsi="仿宋" w:eastAsia="仿宋"/>
          <w:b/>
          <w:sz w:val="24"/>
        </w:rPr>
        <w:t>2.2 技术规范</w:t>
      </w:r>
      <w:bookmarkEnd w:id="443"/>
      <w:bookmarkEnd w:id="444"/>
      <w:bookmarkEnd w:id="445"/>
      <w:bookmarkEnd w:id="446"/>
      <w:bookmarkEnd w:id="447"/>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8" w:name="_Toc12412"/>
      <w:bookmarkStart w:id="449" w:name="_Toc27945"/>
      <w:bookmarkStart w:id="450" w:name="_Toc9161"/>
      <w:bookmarkStart w:id="451" w:name="_Toc4133"/>
      <w:bookmarkStart w:id="452" w:name="_Toc13673"/>
      <w:r>
        <w:rPr>
          <w:rFonts w:ascii="仿宋" w:hAnsi="仿宋" w:eastAsia="仿宋"/>
          <w:b/>
          <w:sz w:val="24"/>
        </w:rPr>
        <w:t>2.3 知识产权</w:t>
      </w:r>
      <w:bookmarkEnd w:id="448"/>
      <w:bookmarkEnd w:id="449"/>
      <w:bookmarkEnd w:id="450"/>
      <w:bookmarkEnd w:id="451"/>
      <w:bookmarkEnd w:id="452"/>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53" w:name="_Toc32670"/>
      <w:bookmarkStart w:id="454" w:name="_Toc31233"/>
      <w:bookmarkStart w:id="455" w:name="_Toc15447"/>
      <w:bookmarkStart w:id="456" w:name="_Toc22011"/>
      <w:bookmarkStart w:id="457" w:name="_Toc26555"/>
      <w:r>
        <w:rPr>
          <w:rFonts w:ascii="仿宋" w:hAnsi="仿宋" w:eastAsia="仿宋"/>
          <w:b/>
          <w:sz w:val="24"/>
        </w:rPr>
        <w:t>2.5 结算方式和付款条件</w:t>
      </w:r>
      <w:bookmarkEnd w:id="453"/>
      <w:bookmarkEnd w:id="454"/>
      <w:bookmarkEnd w:id="455"/>
      <w:bookmarkEnd w:id="456"/>
      <w:bookmarkEnd w:id="457"/>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8" w:name="_Toc13154"/>
      <w:bookmarkStart w:id="459" w:name="_Toc16163"/>
      <w:bookmarkStart w:id="460" w:name="_Toc13467"/>
      <w:bookmarkStart w:id="461" w:name="_Toc18990"/>
      <w:bookmarkStart w:id="462" w:name="_Toc30507"/>
      <w:r>
        <w:rPr>
          <w:rFonts w:ascii="仿宋" w:hAnsi="仿宋" w:eastAsia="仿宋"/>
          <w:b/>
          <w:sz w:val="24"/>
        </w:rPr>
        <w:t>2.6 技术资料和保密义务</w:t>
      </w:r>
      <w:bookmarkEnd w:id="458"/>
      <w:bookmarkEnd w:id="459"/>
      <w:bookmarkEnd w:id="460"/>
      <w:bookmarkEnd w:id="461"/>
      <w:bookmarkEnd w:id="462"/>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63" w:name="_Toc19069"/>
      <w:r>
        <w:rPr>
          <w:rFonts w:ascii="仿宋" w:hAnsi="仿宋" w:eastAsia="仿宋"/>
          <w:b/>
          <w:sz w:val="24"/>
        </w:rPr>
        <w:t xml:space="preserve">2.7 </w:t>
      </w:r>
      <w:r>
        <w:rPr>
          <w:rFonts w:hint="eastAsia" w:ascii="仿宋" w:hAnsi="仿宋" w:eastAsia="仿宋"/>
          <w:b/>
          <w:sz w:val="24"/>
        </w:rPr>
        <w:t>质量保证</w:t>
      </w:r>
      <w:bookmarkEnd w:id="463"/>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4" w:name="_Toc22267"/>
      <w:r>
        <w:rPr>
          <w:rFonts w:ascii="仿宋" w:hAnsi="仿宋" w:eastAsia="仿宋"/>
          <w:b/>
          <w:sz w:val="24"/>
        </w:rPr>
        <w:t xml:space="preserve">2.8 </w:t>
      </w:r>
      <w:r>
        <w:rPr>
          <w:rFonts w:hint="eastAsia" w:ascii="仿宋" w:hAnsi="仿宋" w:eastAsia="仿宋"/>
          <w:b/>
          <w:sz w:val="24"/>
        </w:rPr>
        <w:t>延迟履行</w:t>
      </w:r>
      <w:bookmarkEnd w:id="464"/>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5" w:name="_Toc10611"/>
      <w:r>
        <w:rPr>
          <w:rFonts w:ascii="仿宋" w:hAnsi="仿宋" w:eastAsia="仿宋"/>
          <w:b/>
          <w:sz w:val="24"/>
        </w:rPr>
        <w:t xml:space="preserve">2.9 </w:t>
      </w:r>
      <w:r>
        <w:rPr>
          <w:rFonts w:hint="eastAsia" w:ascii="仿宋" w:hAnsi="仿宋" w:eastAsia="仿宋"/>
          <w:b/>
          <w:sz w:val="24"/>
        </w:rPr>
        <w:t>合同变更</w:t>
      </w:r>
      <w:bookmarkEnd w:id="465"/>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6" w:name="_Toc42"/>
      <w:bookmarkStart w:id="467" w:name="_Toc21830"/>
      <w:bookmarkStart w:id="468" w:name="_Toc26689"/>
      <w:bookmarkStart w:id="469" w:name="_Toc10663"/>
      <w:bookmarkStart w:id="470" w:name="_Toc23368"/>
      <w:r>
        <w:rPr>
          <w:rFonts w:ascii="仿宋" w:hAnsi="仿宋" w:eastAsia="仿宋"/>
          <w:b/>
          <w:sz w:val="24"/>
        </w:rPr>
        <w:t>2.10 合同转让和分包</w:t>
      </w:r>
      <w:bookmarkEnd w:id="466"/>
      <w:bookmarkEnd w:id="467"/>
      <w:bookmarkEnd w:id="468"/>
      <w:bookmarkEnd w:id="469"/>
      <w:bookmarkEnd w:id="470"/>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71" w:name="_Toc14371"/>
      <w:bookmarkStart w:id="472" w:name="_Toc25571"/>
      <w:bookmarkStart w:id="473" w:name="_Toc32494"/>
      <w:bookmarkStart w:id="474" w:name="_Toc4720"/>
      <w:bookmarkStart w:id="475" w:name="_Toc26633"/>
      <w:r>
        <w:rPr>
          <w:rFonts w:ascii="仿宋" w:hAnsi="仿宋" w:eastAsia="仿宋"/>
          <w:b/>
          <w:sz w:val="24"/>
        </w:rPr>
        <w:t>2.11 不可抗力</w:t>
      </w:r>
      <w:bookmarkEnd w:id="471"/>
      <w:bookmarkEnd w:id="472"/>
      <w:bookmarkEnd w:id="473"/>
      <w:bookmarkEnd w:id="474"/>
      <w:bookmarkEnd w:id="475"/>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6" w:name="_Toc24465"/>
      <w:bookmarkStart w:id="477" w:name="_Toc3638"/>
      <w:bookmarkStart w:id="478" w:name="_Toc23854"/>
      <w:bookmarkStart w:id="479" w:name="_Toc14115"/>
      <w:bookmarkStart w:id="480" w:name="_Toc25783"/>
      <w:r>
        <w:rPr>
          <w:rFonts w:ascii="仿宋" w:hAnsi="仿宋" w:eastAsia="仿宋"/>
          <w:b/>
          <w:sz w:val="24"/>
        </w:rPr>
        <w:t>2.12 税费</w:t>
      </w:r>
      <w:bookmarkEnd w:id="476"/>
      <w:bookmarkEnd w:id="477"/>
      <w:bookmarkEnd w:id="478"/>
      <w:bookmarkEnd w:id="479"/>
      <w:bookmarkEnd w:id="480"/>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81" w:name="_Toc25525"/>
      <w:bookmarkStart w:id="482" w:name="_Toc7315"/>
      <w:bookmarkStart w:id="483" w:name="_Toc14814"/>
      <w:bookmarkStart w:id="484" w:name="_Toc26883"/>
      <w:bookmarkStart w:id="485" w:name="_Toc30105"/>
      <w:r>
        <w:rPr>
          <w:rFonts w:ascii="仿宋" w:hAnsi="仿宋" w:eastAsia="仿宋"/>
          <w:b/>
          <w:sz w:val="24"/>
        </w:rPr>
        <w:t>2.13 乙方破产</w:t>
      </w:r>
      <w:bookmarkEnd w:id="481"/>
      <w:bookmarkEnd w:id="482"/>
      <w:bookmarkEnd w:id="483"/>
      <w:bookmarkEnd w:id="484"/>
      <w:bookmarkEnd w:id="485"/>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6" w:name="_Toc23323"/>
      <w:bookmarkStart w:id="487" w:name="_Toc1123"/>
      <w:bookmarkStart w:id="488" w:name="_Toc2016"/>
      <w:r>
        <w:rPr>
          <w:rFonts w:ascii="仿宋" w:hAnsi="仿宋" w:eastAsia="仿宋"/>
          <w:b/>
          <w:sz w:val="24"/>
        </w:rPr>
        <w:t>2.14 合同中止、终止</w:t>
      </w:r>
      <w:bookmarkEnd w:id="486"/>
      <w:bookmarkEnd w:id="487"/>
      <w:bookmarkEnd w:id="488"/>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89" w:name="_Toc17363"/>
      <w:bookmarkStart w:id="490" w:name="_Toc14525"/>
      <w:bookmarkStart w:id="491" w:name="_Toc1969"/>
      <w:r>
        <w:rPr>
          <w:rFonts w:ascii="仿宋" w:hAnsi="仿宋" w:eastAsia="仿宋"/>
          <w:b/>
          <w:sz w:val="24"/>
        </w:rPr>
        <w:t>2.15 检验和验收</w:t>
      </w:r>
      <w:bookmarkEnd w:id="489"/>
      <w:bookmarkEnd w:id="490"/>
      <w:bookmarkEnd w:id="491"/>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92" w:name="_Toc2308"/>
      <w:bookmarkStart w:id="493" w:name="_Toc31892"/>
      <w:bookmarkStart w:id="494" w:name="_Toc9808"/>
      <w:bookmarkStart w:id="495" w:name="_Toc12666"/>
      <w:bookmarkStart w:id="496" w:name="_Toc25198"/>
      <w:r>
        <w:rPr>
          <w:rFonts w:ascii="仿宋" w:hAnsi="仿宋" w:eastAsia="仿宋"/>
          <w:b/>
          <w:sz w:val="24"/>
        </w:rPr>
        <w:t>2.16 通知和送达</w:t>
      </w:r>
      <w:bookmarkEnd w:id="492"/>
      <w:bookmarkEnd w:id="493"/>
      <w:bookmarkEnd w:id="494"/>
      <w:bookmarkEnd w:id="495"/>
      <w:bookmarkEnd w:id="496"/>
    </w:p>
    <w:p>
      <w:pPr>
        <w:spacing w:line="360" w:lineRule="auto"/>
        <w:ind w:firstLine="480" w:firstLineChars="200"/>
        <w:rPr>
          <w:rFonts w:ascii="仿宋" w:hAnsi="仿宋" w:eastAsia="仿宋"/>
          <w:sz w:val="24"/>
        </w:rPr>
      </w:pPr>
      <w:bookmarkStart w:id="497" w:name="_Toc27674"/>
      <w:bookmarkStart w:id="498"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7"/>
      <w:bookmarkEnd w:id="498"/>
    </w:p>
    <w:p>
      <w:pPr>
        <w:spacing w:line="360" w:lineRule="auto"/>
        <w:ind w:firstLine="482" w:firstLineChars="200"/>
        <w:outlineLvl w:val="0"/>
        <w:rPr>
          <w:rFonts w:ascii="仿宋" w:hAnsi="仿宋" w:eastAsia="仿宋"/>
          <w:b/>
          <w:sz w:val="24"/>
        </w:rPr>
      </w:pPr>
      <w:bookmarkStart w:id="499" w:name="_Toc28906"/>
      <w:bookmarkStart w:id="500" w:name="_Toc20808"/>
      <w:bookmarkStart w:id="501" w:name="_Toc12254"/>
      <w:bookmarkStart w:id="502" w:name="_Toc27644"/>
      <w:bookmarkStart w:id="503" w:name="_Toc5063"/>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9"/>
      <w:bookmarkEnd w:id="500"/>
      <w:bookmarkEnd w:id="501"/>
      <w:bookmarkEnd w:id="502"/>
      <w:bookmarkEnd w:id="503"/>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4" w:name="_Toc27403"/>
      <w:bookmarkStart w:id="505" w:name="_Toc1492"/>
      <w:bookmarkStart w:id="506" w:name="_Toc22266"/>
      <w:bookmarkStart w:id="507" w:name="_Toc30096"/>
      <w:bookmarkStart w:id="508" w:name="_Toc27127"/>
      <w:r>
        <w:rPr>
          <w:rFonts w:ascii="仿宋" w:hAnsi="仿宋" w:eastAsia="仿宋"/>
          <w:b/>
          <w:sz w:val="24"/>
        </w:rPr>
        <w:t>2.18 履约保证金</w:t>
      </w:r>
      <w:bookmarkEnd w:id="504"/>
      <w:bookmarkEnd w:id="505"/>
      <w:bookmarkEnd w:id="506"/>
      <w:bookmarkEnd w:id="507"/>
      <w:bookmarkEnd w:id="508"/>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约定的方式，以金融机构、担保机构出具的保函等形式，提交不超过合同金额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9" w:name="_Toc331685784"/>
      <w:bookmarkEnd w:id="509"/>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7558" w:type="dxa"/>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rPr>
          <w:rFonts w:ascii="仿宋" w:hAnsi="仿宋" w:eastAsia="仿宋" w:cs="宋体"/>
          <w:b/>
          <w:sz w:val="36"/>
          <w:szCs w:val="20"/>
        </w:rPr>
      </w:pPr>
      <w:r>
        <w:rPr>
          <w:rFonts w:ascii="仿宋" w:hAnsi="仿宋" w:eastAsia="仿宋" w:cs="宋体"/>
          <w:b/>
          <w:sz w:val="36"/>
          <w:szCs w:val="20"/>
        </w:rPr>
        <w:br w:type="page"/>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sz w:val="24"/>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0" w:name="_Hlk101257010"/>
      <w:r>
        <w:rPr>
          <w:rFonts w:hint="eastAsia" w:ascii="仿宋" w:hAnsi="仿宋" w:eastAsia="仿宋" w:cs="宋体"/>
          <w:sz w:val="24"/>
        </w:rPr>
        <w:t>（如果有)</w:t>
      </w:r>
      <w:bookmarkEnd w:id="510"/>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8"/>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8"/>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9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51"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5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267"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591"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rPr>
            </w:pPr>
          </w:p>
        </w:tc>
        <w:tc>
          <w:tcPr>
            <w:tcW w:w="591"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437" w:type="dxa"/>
            <w:vAlign w:val="center"/>
          </w:tcPr>
          <w:p>
            <w:pPr>
              <w:snapToGrid w:val="0"/>
              <w:spacing w:line="360" w:lineRule="auto"/>
              <w:jc w:val="center"/>
              <w:rPr>
                <w:rFonts w:hint="eastAsia" w:ascii="仿宋" w:hAnsi="仿宋" w:eastAsia="仿宋" w:cs="仿宋"/>
                <w:sz w:val="24"/>
              </w:rPr>
            </w:pPr>
          </w:p>
        </w:tc>
        <w:tc>
          <w:tcPr>
            <w:tcW w:w="1351" w:type="dxa"/>
            <w:vAlign w:val="center"/>
          </w:tcPr>
          <w:p>
            <w:pPr>
              <w:snapToGrid w:val="0"/>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c>
          <w:tcPr>
            <w:tcW w:w="1268" w:type="dxa"/>
          </w:tcPr>
          <w:p>
            <w:pPr>
              <w:spacing w:line="360" w:lineRule="auto"/>
              <w:jc w:val="center"/>
              <w:rPr>
                <w:rFonts w:hint="eastAsia" w:ascii="仿宋" w:hAnsi="仿宋" w:eastAsia="仿宋" w:cs="仿宋"/>
                <w:sz w:val="24"/>
              </w:rPr>
            </w:pPr>
          </w:p>
        </w:tc>
        <w:tc>
          <w:tcPr>
            <w:tcW w:w="12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4"/>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11" w:name="OLE_LINK13"/>
      <w:bookmarkStart w:id="512" w:name="OLE_LINK14"/>
      <w:r>
        <w:rPr>
          <w:rFonts w:hint="eastAsia" w:ascii="仿宋" w:hAnsi="仿宋" w:eastAsia="仿宋" w:cs="宋体"/>
          <w:b/>
          <w:spacing w:val="6"/>
          <w:sz w:val="32"/>
          <w:szCs w:val="32"/>
        </w:rPr>
        <w:t>残疾人福利性单位声明函</w:t>
      </w:r>
    </w:p>
    <w:bookmarkEnd w:id="511"/>
    <w:bookmarkEnd w:id="512"/>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3"/>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5"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2024年护校安园及交通疏导项目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（租赁和商务服务业）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万元，资产总额为万元属于</w:t>
      </w:r>
      <w:r>
        <w:rPr>
          <w:rFonts w:hint="eastAsia" w:ascii="仿宋" w:hAnsi="仿宋" w:eastAsia="仿宋" w:cs="宋体"/>
          <w:sz w:val="24"/>
          <w:u w:val="single"/>
        </w:rPr>
        <w:t xml:space="preserve">（中型企业、小型企业、微型企业）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2024年护校安园及交通疏导项目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（租赁和商务服务业）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万元，资产总额为万元属于</w:t>
      </w:r>
      <w:r>
        <w:rPr>
          <w:rFonts w:hint="eastAsia" w:ascii="仿宋" w:hAnsi="仿宋" w:eastAsia="仿宋" w:cs="宋体"/>
          <w:sz w:val="24"/>
          <w:u w:val="single"/>
        </w:rPr>
        <w:t xml:space="preserve">（中型企业、小型企业、微型企业）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26"/>
        <w:ind w:firstLine="0"/>
        <w:rPr>
          <w:rFonts w:ascii="仿宋" w:hAnsi="仿宋" w:eastAsia="仿宋" w:cs="宋体"/>
          <w:b/>
          <w:szCs w:val="21"/>
          <w:lang w:val="en-US"/>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pStyle w:val="26"/>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r>
        <w:rPr>
          <w:rFonts w:hint="eastAsia" w:ascii="仿宋" w:hAnsi="仿宋" w:eastAsia="仿宋" w:cs="宋体"/>
          <w:b/>
          <w:sz w:val="36"/>
          <w:lang w:val="en-US"/>
        </w:rPr>
        <w:t>附件8：</w:t>
      </w:r>
    </w:p>
    <w:p>
      <w:pPr>
        <w:pStyle w:val="26"/>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6"/>
        <w:ind w:firstLine="480"/>
        <w:rPr>
          <w:rFonts w:ascii="仿宋" w:hAnsi="仿宋" w:eastAsia="仿宋"/>
        </w:rPr>
      </w:pPr>
    </w:p>
    <w:p>
      <w:pPr>
        <w:pStyle w:val="396"/>
        <w:ind w:firstLine="480"/>
        <w:rPr>
          <w:rFonts w:ascii="仿宋" w:hAnsi="仿宋" w:eastAsia="仿宋"/>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p>
    <w:p>
      <w:pPr>
        <w:pStyle w:val="26"/>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5"/>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hint="eastAsia" w:ascii="仿宋" w:hAnsi="仿宋" w:eastAsia="仿宋"/>
          <w:szCs w:val="21"/>
          <w:lang w:eastAsia="zh-CN"/>
        </w:rPr>
        <w:t>杭州合太丰科技有限公司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492729696</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6"/>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6" w:name="_Toc164085800"/>
    <w:bookmarkStart w:id="517" w:name="_Toc131845147"/>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272B1B2"/>
    <w:multiLevelType w:val="singleLevel"/>
    <w:tmpl w:val="6272B1B2"/>
    <w:lvl w:ilvl="0" w:tentative="0">
      <w:start w:val="1"/>
      <w:numFmt w:val="chineseCounting"/>
      <w:suff w:val="nothing"/>
      <w:lvlText w:val="%1、"/>
      <w:lvlJc w:val="left"/>
      <w:rPr>
        <w:rFonts w:hint="eastAsia"/>
      </w:rPr>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dmMWVlNGQ3NTJjMDcyNTAyMTg5NDc2ZjY5MWZ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1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864"/>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A3D"/>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A3D"/>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6EED"/>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2E9"/>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90C"/>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1A"/>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63"/>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740"/>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8A"/>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5AFC"/>
    <w:rsid w:val="0025631F"/>
    <w:rsid w:val="00256986"/>
    <w:rsid w:val="00256D61"/>
    <w:rsid w:val="00256E23"/>
    <w:rsid w:val="00257246"/>
    <w:rsid w:val="00257438"/>
    <w:rsid w:val="0026119C"/>
    <w:rsid w:val="00261AFE"/>
    <w:rsid w:val="00261E58"/>
    <w:rsid w:val="002620F4"/>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77B"/>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CFE"/>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D01"/>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64B"/>
    <w:rsid w:val="003F7425"/>
    <w:rsid w:val="003F765B"/>
    <w:rsid w:val="003F7CB8"/>
    <w:rsid w:val="00400CB4"/>
    <w:rsid w:val="00401386"/>
    <w:rsid w:val="004013E6"/>
    <w:rsid w:val="00401E31"/>
    <w:rsid w:val="00402BBA"/>
    <w:rsid w:val="004035D0"/>
    <w:rsid w:val="0040361D"/>
    <w:rsid w:val="00403795"/>
    <w:rsid w:val="00403A54"/>
    <w:rsid w:val="00403EC3"/>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569"/>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063"/>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846"/>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F4"/>
    <w:rsid w:val="00540BBA"/>
    <w:rsid w:val="00540D47"/>
    <w:rsid w:val="00540D4E"/>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364"/>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AD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3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AB8"/>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9B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E7B"/>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520"/>
    <w:rsid w:val="006B35A3"/>
    <w:rsid w:val="006B3669"/>
    <w:rsid w:val="006B36E5"/>
    <w:rsid w:val="006B3D00"/>
    <w:rsid w:val="006B3DBF"/>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57A9"/>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495"/>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45F"/>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B42"/>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499C"/>
    <w:rsid w:val="00825441"/>
    <w:rsid w:val="00825894"/>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6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F9C"/>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EEF"/>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18"/>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AE1"/>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2F9C"/>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A5A"/>
    <w:rsid w:val="00A31F05"/>
    <w:rsid w:val="00A31FD2"/>
    <w:rsid w:val="00A3404D"/>
    <w:rsid w:val="00A341AB"/>
    <w:rsid w:val="00A34290"/>
    <w:rsid w:val="00A351F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0E5"/>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DC8"/>
    <w:rsid w:val="00B1767E"/>
    <w:rsid w:val="00B20760"/>
    <w:rsid w:val="00B2125C"/>
    <w:rsid w:val="00B21405"/>
    <w:rsid w:val="00B21676"/>
    <w:rsid w:val="00B217FD"/>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4B4D"/>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F4"/>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5B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35F"/>
    <w:rsid w:val="00C72588"/>
    <w:rsid w:val="00C72681"/>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5AF4"/>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C0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3DF1"/>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3BD4"/>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D70"/>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228"/>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750"/>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7D4"/>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88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F6A"/>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51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DFD"/>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40261"/>
    <w:rsid w:val="08A871D0"/>
    <w:rsid w:val="08D66AD6"/>
    <w:rsid w:val="08DA33A3"/>
    <w:rsid w:val="08E779EE"/>
    <w:rsid w:val="08E80F13"/>
    <w:rsid w:val="09335624"/>
    <w:rsid w:val="0944690F"/>
    <w:rsid w:val="09510A7C"/>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A5C6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00B37"/>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3C4B9C"/>
    <w:rsid w:val="1A984BAD"/>
    <w:rsid w:val="1AB8220E"/>
    <w:rsid w:val="1AE4166C"/>
    <w:rsid w:val="1AF06CFB"/>
    <w:rsid w:val="1AF11B8D"/>
    <w:rsid w:val="1B11359C"/>
    <w:rsid w:val="1B2A271F"/>
    <w:rsid w:val="1B530544"/>
    <w:rsid w:val="1B713184"/>
    <w:rsid w:val="1BA209CF"/>
    <w:rsid w:val="1BB4777D"/>
    <w:rsid w:val="1BD75AB8"/>
    <w:rsid w:val="1BF27B13"/>
    <w:rsid w:val="1C0459C2"/>
    <w:rsid w:val="1C1B3B4A"/>
    <w:rsid w:val="1C88086E"/>
    <w:rsid w:val="1C9828A7"/>
    <w:rsid w:val="1CEA00EF"/>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00D6A"/>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CE18BA"/>
    <w:rsid w:val="28DE40AA"/>
    <w:rsid w:val="29345E77"/>
    <w:rsid w:val="294C65AD"/>
    <w:rsid w:val="295C2FA9"/>
    <w:rsid w:val="29804D3A"/>
    <w:rsid w:val="29806583"/>
    <w:rsid w:val="298B3C4C"/>
    <w:rsid w:val="29DD7592"/>
    <w:rsid w:val="29F26D24"/>
    <w:rsid w:val="2A15033F"/>
    <w:rsid w:val="2A1662C1"/>
    <w:rsid w:val="2A1C7367"/>
    <w:rsid w:val="2A2815FA"/>
    <w:rsid w:val="2A6D6092"/>
    <w:rsid w:val="2A7D76B4"/>
    <w:rsid w:val="2A9B0112"/>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ED5618D"/>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4188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B56F9"/>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74978"/>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D01F03"/>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C2FF1"/>
    <w:rsid w:val="4D7D0142"/>
    <w:rsid w:val="4D905305"/>
    <w:rsid w:val="4D964A72"/>
    <w:rsid w:val="4D9C1254"/>
    <w:rsid w:val="4E793892"/>
    <w:rsid w:val="4E800872"/>
    <w:rsid w:val="4EC569ED"/>
    <w:rsid w:val="4ED50EA1"/>
    <w:rsid w:val="4EEC050C"/>
    <w:rsid w:val="4F104EC3"/>
    <w:rsid w:val="4F47354A"/>
    <w:rsid w:val="4F911C54"/>
    <w:rsid w:val="4F97681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203D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319F4"/>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B029B"/>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80F80"/>
    <w:rsid w:val="69CC2BFF"/>
    <w:rsid w:val="69FD55B8"/>
    <w:rsid w:val="6A0B1C62"/>
    <w:rsid w:val="6A2406C8"/>
    <w:rsid w:val="6A4A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34A54"/>
    <w:rsid w:val="7A3E5150"/>
    <w:rsid w:val="7A4670D6"/>
    <w:rsid w:val="7A534B63"/>
    <w:rsid w:val="7A615382"/>
    <w:rsid w:val="7A67303B"/>
    <w:rsid w:val="7AAB1D04"/>
    <w:rsid w:val="7ABA4368"/>
    <w:rsid w:val="7AD05746"/>
    <w:rsid w:val="7B235352"/>
    <w:rsid w:val="7B257FFD"/>
    <w:rsid w:val="7B343476"/>
    <w:rsid w:val="7B5A2978"/>
    <w:rsid w:val="7B5A7E4C"/>
    <w:rsid w:val="7B667AF9"/>
    <w:rsid w:val="7B7468F8"/>
    <w:rsid w:val="7BEE0103"/>
    <w:rsid w:val="7C0A0FE4"/>
    <w:rsid w:val="7C254906"/>
    <w:rsid w:val="7C590818"/>
    <w:rsid w:val="7C652847"/>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2"/>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654"/>
    <w:autoRedefine/>
    <w:qFormat/>
    <w:uiPriority w:val="0"/>
    <w:pPr>
      <w:adjustRightInd/>
      <w:spacing w:after="120" w:line="240" w:lineRule="auto"/>
      <w:ind w:left="420" w:leftChars="200" w:firstLine="210"/>
    </w:pPr>
    <w:rPr>
      <w:sz w:val="21"/>
    </w:rPr>
  </w:style>
  <w:style w:type="paragraph" w:styleId="7">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6"/>
    <w:autoRedefine/>
    <w:qFormat/>
    <w:uiPriority w:val="0"/>
    <w:pPr>
      <w:shd w:val="clear" w:color="auto" w:fill="000080"/>
    </w:pPr>
  </w:style>
  <w:style w:type="paragraph" w:styleId="21">
    <w:name w:val="annotation text"/>
    <w:basedOn w:val="1"/>
    <w:link w:val="854"/>
    <w:autoRedefine/>
    <w:qFormat/>
    <w:uiPriority w:val="99"/>
    <w:pPr>
      <w:jc w:val="left"/>
    </w:pPr>
  </w:style>
  <w:style w:type="paragraph" w:styleId="22">
    <w:name w:val="Salutation"/>
    <w:basedOn w:val="1"/>
    <w:next w:val="1"/>
    <w:link w:val="814"/>
    <w:autoRedefine/>
    <w:qFormat/>
    <w:uiPriority w:val="0"/>
    <w:rPr>
      <w:rFonts w:ascii="仿宋_GB2312" w:eastAsia="仿宋_GB2312"/>
      <w:sz w:val="28"/>
      <w:szCs w:val="20"/>
    </w:rPr>
  </w:style>
  <w:style w:type="paragraph" w:styleId="23">
    <w:name w:val="Body Text 3"/>
    <w:basedOn w:val="1"/>
    <w:link w:val="84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3"/>
    <w:autoRedefine/>
    <w:qFormat/>
    <w:uiPriority w:val="0"/>
    <w:pPr>
      <w:ind w:firstLine="420"/>
    </w:pPr>
    <w:rPr>
      <w:rFonts w:hAnsi="Calibri" w:cs="Times New Roman"/>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8"/>
    <w:autoRedefine/>
    <w:qFormat/>
    <w:uiPriority w:val="0"/>
    <w:pPr>
      <w:ind w:left="100" w:leftChars="2500"/>
    </w:pPr>
    <w:rPr>
      <w:rFonts w:ascii="宋体"/>
      <w:sz w:val="24"/>
      <w:szCs w:val="21"/>
      <w:lang w:val="zh-CN"/>
    </w:rPr>
  </w:style>
  <w:style w:type="paragraph" w:styleId="38">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9"/>
    <w:autoRedefine/>
    <w:qFormat/>
    <w:uiPriority w:val="0"/>
    <w:rPr>
      <w:lang w:val="zh-CN"/>
    </w:rPr>
  </w:style>
  <w:style w:type="paragraph" w:styleId="40">
    <w:name w:val="Balloon Text"/>
    <w:basedOn w:val="1"/>
    <w:link w:val="715"/>
    <w:autoRedefine/>
    <w:qFormat/>
    <w:uiPriority w:val="0"/>
    <w:rPr>
      <w:sz w:val="18"/>
      <w:szCs w:val="18"/>
    </w:rPr>
  </w:style>
  <w:style w:type="paragraph" w:styleId="41">
    <w:name w:val="footer"/>
    <w:basedOn w:val="1"/>
    <w:link w:val="890"/>
    <w:autoRedefine/>
    <w:qFormat/>
    <w:uiPriority w:val="99"/>
    <w:pPr>
      <w:tabs>
        <w:tab w:val="center" w:pos="4153"/>
        <w:tab w:val="right" w:pos="8306"/>
      </w:tabs>
      <w:snapToGrid w:val="0"/>
      <w:jc w:val="left"/>
    </w:pPr>
    <w:rPr>
      <w:sz w:val="18"/>
      <w:szCs w:val="18"/>
    </w:rPr>
  </w:style>
  <w:style w:type="paragraph" w:styleId="42">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824"/>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8"/>
    <w:autoRedefine/>
    <w:qFormat/>
    <w:uiPriority w:val="0"/>
    <w:pPr>
      <w:spacing w:after="120" w:line="480" w:lineRule="auto"/>
    </w:pPr>
  </w:style>
  <w:style w:type="paragraph" w:styleId="58">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0">
    <w:name w:val="正文文本首行缩进 2"/>
    <w:basedOn w:val="2"/>
    <w:autoRedefine/>
    <w:qFormat/>
    <w:uiPriority w:val="99"/>
    <w:pPr>
      <w:spacing w:line="200" w:lineRule="atLeast"/>
      <w:ind w:firstLine="420"/>
    </w:pPr>
    <w:rPr>
      <w:rFonts w:ascii="宋体" w:hAnsi="Courier New"/>
      <w:spacing w:val="-4"/>
      <w:sz w:val="18"/>
    </w:rPr>
  </w:style>
  <w:style w:type="paragraph" w:customStyle="1" w:styleId="81">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autoRedefine/>
    <w:qFormat/>
    <w:uiPriority w:val="0"/>
    <w:pPr>
      <w:spacing w:before="156" w:line="360" w:lineRule="auto"/>
      <w:ind w:firstLine="510" w:firstLineChars="200"/>
    </w:pPr>
    <w:rPr>
      <w:sz w:val="24"/>
      <w:szCs w:val="20"/>
    </w:rPr>
  </w:style>
  <w:style w:type="paragraph" w:customStyle="1" w:styleId="87">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autoRedefine/>
    <w:qFormat/>
    <w:uiPriority w:val="0"/>
    <w:pPr>
      <w:ind w:left="0" w:right="466" w:firstLine="288"/>
    </w:pPr>
    <w:rPr>
      <w:rFonts w:hAnsi="宋体"/>
    </w:rPr>
  </w:style>
  <w:style w:type="paragraph" w:customStyle="1" w:styleId="94">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autoRedefine/>
    <w:qFormat/>
    <w:uiPriority w:val="0"/>
    <w:pPr>
      <w:adjustRightInd/>
      <w:spacing w:line="360" w:lineRule="auto"/>
      <w:ind w:firstLine="480" w:firstLineChars="200"/>
    </w:pPr>
    <w:rPr>
      <w:kern w:val="0"/>
      <w:sz w:val="24"/>
    </w:rPr>
  </w:style>
  <w:style w:type="paragraph" w:customStyle="1" w:styleId="99">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autoRedefine/>
    <w:qFormat/>
    <w:uiPriority w:val="0"/>
    <w:pPr>
      <w:tabs>
        <w:tab w:val="left" w:pos="2356"/>
      </w:tabs>
    </w:pPr>
  </w:style>
  <w:style w:type="paragraph" w:customStyle="1" w:styleId="104">
    <w:name w:val="样式 标题 4h4H4Fab-4T5Ref Heading 1rh1Heading sqlsect 1.2.3...."/>
    <w:basedOn w:val="8"/>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autoRedefine/>
    <w:qFormat/>
    <w:uiPriority w:val="0"/>
    <w:pPr>
      <w:adjustRightInd/>
    </w:pPr>
    <w:rPr>
      <w:rFonts w:ascii="宋体" w:hAnsi="Courier New"/>
      <w:kern w:val="0"/>
      <w:sz w:val="20"/>
      <w:szCs w:val="20"/>
    </w:rPr>
  </w:style>
  <w:style w:type="paragraph" w:customStyle="1" w:styleId="107">
    <w:name w:val="正文说明"/>
    <w:basedOn w:val="1"/>
    <w:link w:val="844"/>
    <w:autoRedefine/>
    <w:qFormat/>
    <w:uiPriority w:val="0"/>
    <w:pPr>
      <w:adjustRightInd/>
      <w:spacing w:line="360" w:lineRule="auto"/>
    </w:pPr>
    <w:rPr>
      <w:kern w:val="0"/>
      <w:sz w:val="24"/>
    </w:rPr>
  </w:style>
  <w:style w:type="paragraph" w:customStyle="1" w:styleId="108">
    <w:name w:val="Table Text"/>
    <w:basedOn w:val="1"/>
    <w:link w:val="850"/>
    <w:autoRedefine/>
    <w:qFormat/>
    <w:uiPriority w:val="0"/>
    <w:pPr>
      <w:widowControl/>
      <w:spacing w:before="60" w:after="60"/>
      <w:jc w:val="left"/>
    </w:pPr>
    <w:rPr>
      <w:kern w:val="0"/>
      <w:sz w:val="24"/>
    </w:rPr>
  </w:style>
  <w:style w:type="paragraph" w:customStyle="1" w:styleId="109">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outlineLvl w:val="5"/>
    </w:pPr>
  </w:style>
  <w:style w:type="paragraph" w:customStyle="1" w:styleId="158">
    <w:name w:val="5级标题"/>
    <w:basedOn w:val="15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6"/>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9"/>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4"/>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Lines="0" w:afterLines="0"/>
      <w:ind w:left="1680"/>
      <w:outlineLvl w:val="2"/>
    </w:pPr>
  </w:style>
  <w:style w:type="paragraph" w:customStyle="1" w:styleId="341">
    <w:name w:val="章标题"/>
    <w:next w:val="32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autoRedefine/>
    <w:qFormat/>
    <w:uiPriority w:val="0"/>
    <w:pPr>
      <w:snapToGrid w:val="0"/>
      <w:ind w:firstLine="480" w:firstLineChars="200"/>
    </w:pPr>
    <w:rPr>
      <w:rFonts w:ascii="Times New Roman"/>
      <w:szCs w:val="24"/>
      <w:lang w:val="en-US"/>
    </w:rPr>
  </w:style>
  <w:style w:type="paragraph" w:customStyle="1" w:styleId="45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20"/>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autoRedefine/>
    <w:qFormat/>
    <w:uiPriority w:val="0"/>
    <w:pPr>
      <w:tabs>
        <w:tab w:val="left" w:pos="1080"/>
        <w:tab w:val="clear" w:pos="1008"/>
      </w:tabs>
      <w:ind w:left="1080" w:hanging="1080"/>
    </w:pPr>
  </w:style>
  <w:style w:type="paragraph" w:customStyle="1" w:styleId="580">
    <w:name w:val="数字标题1"/>
    <w:basedOn w:val="4"/>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7"/>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1"/>
    <w:autoRedefine/>
    <w:qFormat/>
    <w:uiPriority w:val="0"/>
    <w:rPr>
      <w:rFonts w:ascii="Futura Bk" w:hAnsi="Futura Bk"/>
      <w:kern w:val="2"/>
      <w:sz w:val="18"/>
      <w:szCs w:val="21"/>
      <w:lang w:val="en-US" w:eastAsia="zh-CN" w:bidi="ar-SA"/>
    </w:rPr>
  </w:style>
  <w:style w:type="character" w:customStyle="1" w:styleId="621">
    <w:name w:val="*正文 Char"/>
    <w:link w:val="82"/>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3"/>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61"/>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5"/>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3"/>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6"/>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8"/>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7"/>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10"/>
    <w:autoRedefine/>
    <w:qFormat/>
    <w:uiPriority w:val="0"/>
    <w:rPr>
      <w:rFonts w:ascii="Arial" w:hAnsi="Arial" w:eastAsia="黑体"/>
      <w:b/>
      <w:bCs/>
      <w:kern w:val="2"/>
      <w:sz w:val="24"/>
      <w:szCs w:val="24"/>
    </w:rPr>
  </w:style>
  <w:style w:type="character" w:customStyle="1" w:styleId="679">
    <w:name w:val="纯文本 Char_0"/>
    <w:link w:val="88"/>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90"/>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7"/>
    <w:autoRedefine/>
    <w:qFormat/>
    <w:uiPriority w:val="0"/>
    <w:rPr>
      <w:rFonts w:ascii="宋体"/>
      <w:kern w:val="2"/>
      <w:sz w:val="24"/>
      <w:szCs w:val="21"/>
      <w:lang w:val="zh-CN"/>
    </w:rPr>
  </w:style>
  <w:style w:type="character" w:customStyle="1" w:styleId="709">
    <w:name w:val="标题 9 Char"/>
    <w:link w:val="13"/>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40"/>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2"/>
    <w:autoRedefine/>
    <w:qFormat/>
    <w:locked/>
    <w:uiPriority w:val="0"/>
    <w:rPr>
      <w:rFonts w:ascii="Tahoma" w:hAnsi="Tahoma"/>
      <w:sz w:val="24"/>
      <w:szCs w:val="24"/>
    </w:rPr>
  </w:style>
  <w:style w:type="character" w:customStyle="1" w:styleId="719">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20"/>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31"/>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5"/>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6"/>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8"/>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8"/>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9"/>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100"/>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2"/>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4"/>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60"/>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9"/>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2"/>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8"/>
    <w:autoRedefine/>
    <w:qFormat/>
    <w:uiPriority w:val="0"/>
    <w:rPr>
      <w:rFonts w:ascii="黑体" w:hAnsi="Courier New" w:eastAsia="黑体"/>
    </w:rPr>
  </w:style>
  <w:style w:type="character" w:customStyle="1" w:styleId="818">
    <w:name w:val="正文文本 2 Char1"/>
    <w:link w:val="57"/>
    <w:autoRedefine/>
    <w:qFormat/>
    <w:uiPriority w:val="0"/>
    <w:rPr>
      <w:kern w:val="2"/>
      <w:sz w:val="21"/>
      <w:szCs w:val="24"/>
    </w:rPr>
  </w:style>
  <w:style w:type="character" w:customStyle="1" w:styleId="819">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11"/>
    <w:autoRedefine/>
    <w:qFormat/>
    <w:uiPriority w:val="0"/>
    <w:rPr>
      <w:b/>
      <w:bCs/>
      <w:kern w:val="2"/>
      <w:sz w:val="24"/>
      <w:szCs w:val="24"/>
    </w:rPr>
  </w:style>
  <w:style w:type="character" w:customStyle="1" w:styleId="822">
    <w:name w:val="正文文本缩进 2 Char"/>
    <w:link w:val="38"/>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51"/>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5"/>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6"/>
    <w:autoRedefine/>
    <w:qFormat/>
    <w:uiPriority w:val="0"/>
    <w:rPr>
      <w:rFonts w:ascii="宋体" w:hAnsi="Courier New"/>
    </w:rPr>
  </w:style>
  <w:style w:type="character" w:customStyle="1" w:styleId="833">
    <w:name w:val="正文首行缩进 Char"/>
    <w:link w:val="26"/>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8"/>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3"/>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7"/>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8"/>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autoRedefine/>
    <w:qFormat/>
    <w:uiPriority w:val="99"/>
    <w:rPr>
      <w:kern w:val="2"/>
      <w:sz w:val="21"/>
      <w:szCs w:val="24"/>
    </w:rPr>
  </w:style>
  <w:style w:type="character" w:customStyle="1" w:styleId="855">
    <w:name w:val="签名 Char"/>
    <w:link w:val="43"/>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9"/>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10"/>
    <w:autoRedefine/>
    <w:qFormat/>
    <w:uiPriority w:val="0"/>
    <w:rPr>
      <w:rFonts w:ascii="宋体"/>
    </w:rPr>
  </w:style>
  <w:style w:type="character" w:customStyle="1" w:styleId="866">
    <w:name w:val="标题 8 Char"/>
    <w:link w:val="12"/>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4"/>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1"/>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1"/>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2"/>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2"/>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3"/>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5"/>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6"/>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7"/>
    <w:autoRedefine/>
    <w:qFormat/>
    <w:uiPriority w:val="0"/>
    <w:rPr>
      <w:rFonts w:cs="宋体"/>
      <w:kern w:val="2"/>
      <w:sz w:val="24"/>
    </w:rPr>
  </w:style>
  <w:style w:type="character" w:customStyle="1" w:styleId="9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9"/>
    <w:autoRedefine/>
    <w:qFormat/>
    <w:uiPriority w:val="0"/>
    <w:rPr>
      <w:kern w:val="2"/>
      <w:sz w:val="21"/>
      <w:szCs w:val="24"/>
      <w:lang w:val="zh-CN"/>
    </w:rPr>
  </w:style>
  <w:style w:type="character" w:customStyle="1" w:styleId="940">
    <w:name w:val="无间隔 Char"/>
    <w:link w:val="167"/>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5">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7856</Words>
  <Characters>44785</Characters>
  <Lines>373</Lines>
  <Paragraphs>105</Paragraphs>
  <TotalTime>146</TotalTime>
  <ScaleCrop>false</ScaleCrop>
  <LinksUpToDate>false</LinksUpToDate>
  <CharactersWithSpaces>52536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exm</cp:lastModifiedBy>
  <cp:lastPrinted>2024-03-04T04:29:00Z</cp:lastPrinted>
  <dcterms:modified xsi:type="dcterms:W3CDTF">2024-03-15T00:58:32Z</dcterms:modified>
  <dc:title>杭州市市民卡扩大发卡工程</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