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ascii="宋体" w:hAnsi="宋体" w:cs="宋体"/>
          <w:b/>
          <w:color w:val="auto"/>
          <w:sz w:val="24"/>
          <w:highlight w:val="none"/>
        </w:rPr>
      </w:pPr>
    </w:p>
    <w:p w14:paraId="7DAE5A3B">
      <w:pPr>
        <w:spacing w:line="360" w:lineRule="auto"/>
        <w:jc w:val="center"/>
        <w:rPr>
          <w:rFonts w:ascii="宋体" w:hAnsi="宋体" w:cs="宋体"/>
          <w:b/>
          <w:color w:val="auto"/>
          <w:sz w:val="24"/>
          <w:highlight w:val="none"/>
        </w:rPr>
      </w:pPr>
    </w:p>
    <w:p w14:paraId="05A08422">
      <w:pPr>
        <w:adjustRightInd/>
        <w:spacing w:line="360" w:lineRule="auto"/>
        <w:jc w:val="center"/>
        <w:rPr>
          <w:rFonts w:ascii="宋体" w:hAnsi="宋体" w:cs="宋体"/>
          <w:b/>
          <w:color w:val="auto"/>
          <w:sz w:val="44"/>
          <w:szCs w:val="44"/>
          <w:highlight w:val="none"/>
        </w:rPr>
      </w:pPr>
    </w:p>
    <w:p w14:paraId="70E3459B">
      <w:pPr>
        <w:spacing w:line="360" w:lineRule="auto"/>
        <w:jc w:val="center"/>
        <w:rPr>
          <w:rFonts w:ascii="宋体" w:hAnsi="宋体" w:cs="宋体"/>
          <w:b/>
          <w:color w:val="auto"/>
          <w:sz w:val="44"/>
          <w:szCs w:val="44"/>
          <w:highlight w:val="none"/>
        </w:rPr>
      </w:pPr>
    </w:p>
    <w:p w14:paraId="3DB2C170">
      <w:pPr>
        <w:adjustRightInd/>
        <w:spacing w:line="360" w:lineRule="auto"/>
        <w:jc w:val="center"/>
        <w:rPr>
          <w:rFonts w:ascii="宋体" w:hAnsi="宋体" w:cs="宋体"/>
          <w:b/>
          <w:color w:val="auto"/>
          <w:sz w:val="48"/>
          <w:szCs w:val="48"/>
          <w:highlight w:val="none"/>
        </w:rPr>
      </w:pPr>
    </w:p>
    <w:p w14:paraId="4379D870">
      <w:pPr>
        <w:adjustRightInd/>
        <w:spacing w:line="360" w:lineRule="auto"/>
        <w:jc w:val="center"/>
        <w:rPr>
          <w:rFonts w:hint="eastAsia" w:ascii="宋体" w:hAnsi="宋体" w:cs="宋体"/>
          <w:sz w:val="48"/>
          <w:szCs w:val="48"/>
        </w:rPr>
      </w:pPr>
      <w:r>
        <w:rPr>
          <w:rFonts w:hint="eastAsia" w:ascii="宋体" w:hAnsi="宋体" w:cs="宋体"/>
          <w:sz w:val="48"/>
          <w:szCs w:val="48"/>
          <w:lang w:eastAsia="zh-CN"/>
        </w:rPr>
        <w:t>杭州市</w:t>
      </w:r>
      <w:r>
        <w:rPr>
          <w:rFonts w:hint="eastAsia" w:ascii="宋体" w:hAnsi="宋体" w:cs="宋体"/>
          <w:sz w:val="48"/>
          <w:szCs w:val="48"/>
        </w:rPr>
        <w:t>临安区中医院</w:t>
      </w:r>
      <w:r>
        <w:rPr>
          <w:rFonts w:hint="eastAsia" w:ascii="宋体" w:hAnsi="宋体" w:cs="宋体"/>
          <w:sz w:val="48"/>
          <w:szCs w:val="48"/>
          <w:highlight w:val="none"/>
        </w:rPr>
        <w:t>服务器</w:t>
      </w:r>
      <w:r>
        <w:rPr>
          <w:rFonts w:hint="eastAsia" w:ascii="宋体" w:hAnsi="宋体" w:cs="宋体"/>
          <w:sz w:val="48"/>
          <w:szCs w:val="48"/>
          <w:highlight w:val="none"/>
          <w:lang w:eastAsia="zh-CN"/>
        </w:rPr>
        <w:t>等设备</w:t>
      </w:r>
      <w:r>
        <w:rPr>
          <w:rFonts w:hint="eastAsia" w:ascii="宋体" w:hAnsi="宋体" w:cs="宋体"/>
          <w:sz w:val="48"/>
          <w:szCs w:val="48"/>
          <w:highlight w:val="none"/>
        </w:rPr>
        <w:t>采购</w:t>
      </w:r>
      <w:r>
        <w:rPr>
          <w:rFonts w:hint="eastAsia" w:ascii="宋体" w:hAnsi="宋体" w:cs="宋体"/>
          <w:sz w:val="48"/>
          <w:szCs w:val="48"/>
        </w:rPr>
        <w:t>项目</w:t>
      </w:r>
    </w:p>
    <w:p w14:paraId="58000AB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CDDB4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DD27BE0">
      <w:pPr>
        <w:snapToGrid w:val="0"/>
        <w:spacing w:line="360" w:lineRule="auto"/>
        <w:jc w:val="center"/>
        <w:rPr>
          <w:rFonts w:ascii="宋体" w:hAnsi="宋体" w:cs="宋体"/>
          <w:color w:val="auto"/>
          <w:sz w:val="30"/>
          <w:szCs w:val="30"/>
          <w:highlight w:val="yellow"/>
        </w:rPr>
      </w:pPr>
      <w:r>
        <w:rPr>
          <w:rFonts w:hint="eastAsia" w:ascii="宋体" w:hAnsi="宋体" w:cs="宋体"/>
          <w:color w:val="auto"/>
          <w:sz w:val="30"/>
          <w:szCs w:val="30"/>
          <w:highlight w:val="none"/>
        </w:rPr>
        <w:t>编号:（LZC-GK-临[2025]677号）</w:t>
      </w:r>
    </w:p>
    <w:p w14:paraId="6EE686F4">
      <w:pPr>
        <w:adjustRightInd/>
        <w:spacing w:line="360" w:lineRule="auto"/>
        <w:rPr>
          <w:rFonts w:ascii="宋体" w:hAnsi="宋体" w:cs="宋体"/>
          <w:color w:val="auto"/>
          <w:sz w:val="28"/>
          <w:szCs w:val="20"/>
          <w:highlight w:val="none"/>
        </w:rPr>
      </w:pPr>
    </w:p>
    <w:p w14:paraId="0BD3EB4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18FBAD">
      <w:pPr>
        <w:spacing w:line="360" w:lineRule="auto"/>
        <w:jc w:val="center"/>
        <w:rPr>
          <w:rFonts w:ascii="宋体" w:hAnsi="宋体" w:cs="宋体"/>
          <w:b/>
          <w:color w:val="auto"/>
          <w:sz w:val="44"/>
          <w:szCs w:val="44"/>
          <w:highlight w:val="none"/>
        </w:rPr>
      </w:pPr>
    </w:p>
    <w:p w14:paraId="131791BC">
      <w:pPr>
        <w:spacing w:line="360" w:lineRule="auto"/>
        <w:jc w:val="center"/>
        <w:rPr>
          <w:rFonts w:ascii="宋体" w:hAnsi="宋体" w:cs="宋体"/>
          <w:color w:val="auto"/>
          <w:sz w:val="24"/>
          <w:highlight w:val="none"/>
        </w:rPr>
      </w:pPr>
    </w:p>
    <w:p w14:paraId="6D673583">
      <w:pPr>
        <w:spacing w:line="360" w:lineRule="auto"/>
        <w:jc w:val="center"/>
        <w:rPr>
          <w:rFonts w:ascii="宋体" w:hAnsi="宋体" w:cs="宋体"/>
          <w:color w:val="auto"/>
          <w:sz w:val="24"/>
          <w:highlight w:val="none"/>
        </w:rPr>
      </w:pPr>
    </w:p>
    <w:p w14:paraId="352208B2">
      <w:pPr>
        <w:spacing w:line="360" w:lineRule="auto"/>
        <w:rPr>
          <w:rFonts w:ascii="宋体" w:hAnsi="宋体" w:cs="宋体"/>
          <w:color w:val="auto"/>
          <w:sz w:val="32"/>
          <w:szCs w:val="32"/>
          <w:highlight w:val="none"/>
        </w:rPr>
      </w:pPr>
    </w:p>
    <w:p w14:paraId="18177712">
      <w:pPr>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杭州市临安区中医院</w:t>
      </w:r>
    </w:p>
    <w:p w14:paraId="7CD2867D">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sz w:val="32"/>
          <w:szCs w:val="32"/>
          <w:lang w:eastAsia="zh-CN"/>
        </w:rPr>
        <w:t>杭州市公共资</w:t>
      </w:r>
      <w:r>
        <w:rPr>
          <w:rFonts w:hint="eastAsia" w:ascii="宋体" w:hAnsi="宋体" w:cs="宋体"/>
          <w:bCs/>
          <w:color w:val="auto"/>
          <w:sz w:val="32"/>
          <w:szCs w:val="32"/>
          <w:lang w:eastAsia="zh-CN"/>
        </w:rPr>
        <w:t>源交易</w:t>
      </w:r>
      <w:r>
        <w:rPr>
          <w:rFonts w:hint="eastAsia" w:ascii="宋体" w:hAnsi="宋体" w:cs="宋体"/>
          <w:bCs/>
          <w:color w:val="auto"/>
          <w:sz w:val="32"/>
          <w:szCs w:val="32"/>
          <w:highlight w:val="none"/>
          <w:lang w:eastAsia="zh-CN"/>
        </w:rPr>
        <w:t>中心临安分中心</w:t>
      </w:r>
    </w:p>
    <w:p w14:paraId="2128249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十一</w:t>
      </w:r>
      <w:r>
        <w:rPr>
          <w:rFonts w:hint="eastAsia" w:ascii="宋体" w:hAnsi="宋体" w:cs="宋体"/>
          <w:bCs/>
          <w:color w:val="auto"/>
          <w:sz w:val="32"/>
          <w:szCs w:val="32"/>
          <w:highlight w:val="none"/>
        </w:rPr>
        <w:t>日</w:t>
      </w:r>
    </w:p>
    <w:p w14:paraId="74548D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F9C2E21">
      <w:pPr>
        <w:spacing w:line="360" w:lineRule="auto"/>
        <w:jc w:val="center"/>
        <w:rPr>
          <w:rFonts w:ascii="宋体" w:hAnsi="宋体" w:cs="宋体"/>
          <w:color w:val="auto"/>
          <w:sz w:val="24"/>
          <w:highlight w:val="none"/>
        </w:rPr>
      </w:pPr>
    </w:p>
    <w:p w14:paraId="6B8A515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9A9BD0">
      <w:pPr>
        <w:spacing w:line="360" w:lineRule="auto"/>
        <w:rPr>
          <w:rFonts w:ascii="宋体" w:hAnsi="宋体" w:cs="宋体"/>
          <w:color w:val="auto"/>
          <w:sz w:val="32"/>
          <w:szCs w:val="32"/>
          <w:highlight w:val="none"/>
        </w:rPr>
      </w:pPr>
    </w:p>
    <w:p w14:paraId="39310043">
      <w:pPr>
        <w:spacing w:line="360" w:lineRule="auto"/>
        <w:rPr>
          <w:rFonts w:ascii="宋体" w:hAnsi="宋体" w:cs="宋体"/>
          <w:color w:val="auto"/>
          <w:sz w:val="32"/>
          <w:szCs w:val="32"/>
          <w:highlight w:val="none"/>
        </w:rPr>
      </w:pPr>
    </w:p>
    <w:p w14:paraId="3E1E25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1E1D4E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05F3E8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6CA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C804E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65806D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96C02C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ascii="宋体" w:hAnsi="宋体" w:cs="宋体"/>
          <w:color w:val="auto"/>
          <w:sz w:val="24"/>
          <w:highlight w:val="none"/>
        </w:rPr>
      </w:pPr>
    </w:p>
    <w:p w14:paraId="62671EFF">
      <w:pPr>
        <w:spacing w:line="360" w:lineRule="auto"/>
        <w:ind w:firstLine="549" w:firstLineChars="229"/>
        <w:rPr>
          <w:rFonts w:ascii="宋体" w:hAnsi="宋体" w:cs="宋体"/>
          <w:color w:val="auto"/>
          <w:sz w:val="24"/>
          <w:highlight w:val="none"/>
        </w:rPr>
      </w:pPr>
    </w:p>
    <w:p w14:paraId="73672AC6">
      <w:pPr>
        <w:spacing w:line="360" w:lineRule="auto"/>
        <w:ind w:firstLine="549" w:firstLineChars="229"/>
        <w:rPr>
          <w:rFonts w:ascii="宋体" w:hAnsi="宋体" w:cs="宋体"/>
          <w:color w:val="auto"/>
          <w:sz w:val="24"/>
          <w:highlight w:val="none"/>
        </w:rPr>
      </w:pPr>
    </w:p>
    <w:p w14:paraId="075E3567">
      <w:pPr>
        <w:spacing w:line="360" w:lineRule="auto"/>
        <w:ind w:firstLine="549" w:firstLineChars="229"/>
        <w:rPr>
          <w:rFonts w:ascii="宋体" w:hAnsi="宋体" w:cs="宋体"/>
          <w:color w:val="auto"/>
          <w:sz w:val="24"/>
          <w:highlight w:val="none"/>
        </w:rPr>
      </w:pPr>
    </w:p>
    <w:p w14:paraId="00CAD937">
      <w:pPr>
        <w:spacing w:line="360" w:lineRule="auto"/>
        <w:ind w:firstLine="549" w:firstLineChars="229"/>
        <w:rPr>
          <w:rFonts w:ascii="宋体" w:hAnsi="宋体" w:cs="宋体"/>
          <w:color w:val="auto"/>
          <w:sz w:val="24"/>
          <w:highlight w:val="none"/>
        </w:rPr>
      </w:pPr>
    </w:p>
    <w:p w14:paraId="3E95B8A5">
      <w:pPr>
        <w:spacing w:line="360" w:lineRule="auto"/>
        <w:ind w:firstLine="549" w:firstLineChars="229"/>
        <w:rPr>
          <w:rFonts w:ascii="宋体" w:hAnsi="宋体" w:cs="宋体"/>
          <w:color w:val="auto"/>
          <w:sz w:val="24"/>
          <w:highlight w:val="none"/>
        </w:rPr>
      </w:pPr>
    </w:p>
    <w:p w14:paraId="50070A86">
      <w:pPr>
        <w:spacing w:line="360" w:lineRule="auto"/>
        <w:ind w:firstLine="549" w:firstLineChars="229"/>
        <w:rPr>
          <w:rFonts w:ascii="宋体" w:hAnsi="宋体" w:cs="宋体"/>
          <w:color w:val="auto"/>
          <w:sz w:val="24"/>
          <w:highlight w:val="none"/>
        </w:rPr>
      </w:pPr>
    </w:p>
    <w:p w14:paraId="74012B10">
      <w:pPr>
        <w:spacing w:line="360" w:lineRule="auto"/>
        <w:ind w:firstLine="549" w:firstLineChars="229"/>
        <w:rPr>
          <w:rFonts w:ascii="宋体" w:hAnsi="宋体" w:cs="宋体"/>
          <w:color w:val="auto"/>
          <w:sz w:val="24"/>
          <w:highlight w:val="none"/>
        </w:rPr>
      </w:pPr>
    </w:p>
    <w:p w14:paraId="7897C8E2">
      <w:pPr>
        <w:spacing w:line="360" w:lineRule="auto"/>
        <w:ind w:firstLine="549" w:firstLineChars="229"/>
        <w:rPr>
          <w:rFonts w:ascii="宋体" w:hAnsi="宋体" w:cs="宋体"/>
          <w:color w:val="auto"/>
          <w:sz w:val="24"/>
          <w:highlight w:val="none"/>
        </w:rPr>
      </w:pPr>
    </w:p>
    <w:p w14:paraId="1C9D0826">
      <w:pPr>
        <w:spacing w:line="360" w:lineRule="auto"/>
        <w:ind w:firstLine="549" w:firstLineChars="229"/>
        <w:rPr>
          <w:rFonts w:ascii="宋体" w:hAnsi="宋体" w:cs="宋体"/>
          <w:color w:val="auto"/>
          <w:sz w:val="24"/>
          <w:highlight w:val="none"/>
        </w:rPr>
      </w:pPr>
    </w:p>
    <w:p w14:paraId="24943F00">
      <w:pPr>
        <w:spacing w:line="360" w:lineRule="auto"/>
        <w:ind w:firstLine="549" w:firstLineChars="229"/>
        <w:rPr>
          <w:rFonts w:ascii="宋体" w:hAnsi="宋体" w:cs="宋体"/>
          <w:color w:val="auto"/>
          <w:sz w:val="24"/>
          <w:highlight w:val="none"/>
        </w:rPr>
      </w:pPr>
    </w:p>
    <w:p w14:paraId="77D3AFFF">
      <w:pPr>
        <w:spacing w:line="360" w:lineRule="auto"/>
        <w:ind w:firstLine="549" w:firstLineChars="229"/>
        <w:rPr>
          <w:rFonts w:ascii="宋体" w:hAnsi="宋体" w:cs="宋体"/>
          <w:color w:val="auto"/>
          <w:sz w:val="24"/>
          <w:highlight w:val="none"/>
        </w:rPr>
      </w:pPr>
    </w:p>
    <w:p w14:paraId="0DC7F39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杭州市临安区中医院服务器等设备采购项目</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463AF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175D3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LZC-GK-临[2025]677号</w:t>
      </w:r>
    </w:p>
    <w:p w14:paraId="1FC497A5">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杭州市临安区中医院服务器等设备采购项目</w:t>
      </w:r>
    </w:p>
    <w:p w14:paraId="6492238D">
      <w:pPr>
        <w:spacing w:line="360" w:lineRule="auto"/>
        <w:ind w:firstLine="48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3000000</w:t>
      </w:r>
    </w:p>
    <w:p w14:paraId="664174EC">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3000000</w:t>
      </w:r>
    </w:p>
    <w:p w14:paraId="5B41C99A">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杭州市临安区中医院服务器等设备采购</w:t>
      </w:r>
      <w:r>
        <w:rPr>
          <w:rFonts w:hint="eastAsia" w:hAnsi="宋体" w:cs="宋体"/>
          <w:b w:val="0"/>
          <w:bCs/>
          <w:color w:val="auto"/>
          <w:sz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合同签订后90日历天完成设备采购并安装调试运行完成。</w:t>
      </w:r>
    </w:p>
    <w:p w14:paraId="43F20924">
      <w:pPr>
        <w:pStyle w:val="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B29313F">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9FFA4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C20149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C79E10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526CE6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货物全部由符合政策要求的中小企业制造，提供中小企业声明函；</w:t>
      </w:r>
    </w:p>
    <w:p w14:paraId="6687E6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231444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1913C3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02667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A40C3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1126F1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C9124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8C6DE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24038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13933A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1157A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6659827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1469AE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A443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89C3C7F">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4BA9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FCBC5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AC7D9E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02B9C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称：杭州市临安区中医院</w:t>
      </w:r>
    </w:p>
    <w:p w14:paraId="318A7FB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杭州市临安区锦北街道溪水北路288号</w:t>
      </w:r>
      <w:r>
        <w:rPr>
          <w:rFonts w:hint="eastAsia" w:ascii="宋体" w:hAnsi="宋体" w:cs="宋体"/>
          <w:color w:val="auto"/>
          <w:sz w:val="24"/>
          <w:highlight w:val="none"/>
        </w:rPr>
        <w:t xml:space="preserve">       </w:t>
      </w:r>
    </w:p>
    <w:p w14:paraId="0487E72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AF24D80">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高林君</w:t>
      </w:r>
    </w:p>
    <w:p w14:paraId="28BBA0C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0571-61068129</w:t>
      </w:r>
    </w:p>
    <w:p w14:paraId="498F510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蔡湘军</w:t>
      </w:r>
    </w:p>
    <w:p w14:paraId="236BD12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0571-63819897</w:t>
      </w:r>
    </w:p>
    <w:p w14:paraId="4B01A9BA">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6E9428A5">
      <w:pPr>
        <w:spacing w:line="360" w:lineRule="auto"/>
        <w:ind w:firstLine="480" w:firstLineChars="200"/>
        <w:rPr>
          <w:rFonts w:hint="eastAsia" w:ascii="宋体" w:hAnsi="宋体" w:cs="宋体"/>
          <w:sz w:val="24"/>
        </w:rPr>
      </w:pPr>
      <w:r>
        <w:rPr>
          <w:rFonts w:hint="eastAsia" w:ascii="宋体" w:hAnsi="宋体" w:cs="宋体"/>
          <w:sz w:val="24"/>
        </w:rPr>
        <w:t>名    称：杭州市公共资源交易中心</w:t>
      </w:r>
      <w:r>
        <w:rPr>
          <w:rFonts w:hint="eastAsia" w:ascii="宋体" w:hAnsi="宋体" w:cs="宋体"/>
          <w:sz w:val="24"/>
          <w:lang w:eastAsia="zh-CN"/>
        </w:rPr>
        <w:t>临安分中心</w:t>
      </w:r>
    </w:p>
    <w:p w14:paraId="65AD3E8D">
      <w:pPr>
        <w:spacing w:line="360" w:lineRule="auto"/>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lang w:eastAsia="zh-CN"/>
        </w:rPr>
        <w:t>浙江省杭州市临安区锦北街道科技大道</w:t>
      </w:r>
      <w:r>
        <w:rPr>
          <w:rFonts w:hint="eastAsia" w:ascii="宋体" w:hAnsi="宋体" w:cs="宋体"/>
          <w:sz w:val="24"/>
          <w:lang w:val="en-US" w:eastAsia="zh-CN"/>
        </w:rPr>
        <w:t>4398号市民中心4楼</w:t>
      </w:r>
    </w:p>
    <w:p w14:paraId="1E675EEE">
      <w:pPr>
        <w:spacing w:line="360" w:lineRule="auto"/>
        <w:rPr>
          <w:rFonts w:hint="eastAsia" w:ascii="宋体" w:hAnsi="宋体" w:cs="宋体"/>
          <w:sz w:val="24"/>
        </w:rPr>
      </w:pPr>
      <w:r>
        <w:rPr>
          <w:rFonts w:hint="eastAsia" w:ascii="宋体" w:hAnsi="宋体" w:cs="宋体"/>
          <w:sz w:val="24"/>
        </w:rPr>
        <w:t xml:space="preserve">    传    真：</w:t>
      </w:r>
      <w:r>
        <w:rPr>
          <w:rFonts w:hint="eastAsia" w:ascii="宋体" w:hAnsi="宋体" w:cs="宋体"/>
          <w:sz w:val="24"/>
          <w:lang w:val="en-US" w:eastAsia="zh-CN"/>
        </w:rPr>
        <w:t>0571-23616016</w:t>
      </w:r>
      <w:r>
        <w:rPr>
          <w:rFonts w:hint="eastAsia" w:ascii="宋体" w:hAnsi="宋体" w:cs="宋体"/>
          <w:sz w:val="24"/>
        </w:rPr>
        <w:t xml:space="preserve">             </w:t>
      </w:r>
    </w:p>
    <w:p w14:paraId="5B174B1D">
      <w:pPr>
        <w:spacing w:line="360" w:lineRule="auto"/>
        <w:rPr>
          <w:rFonts w:hint="eastAsia" w:ascii="宋体" w:hAnsi="宋体" w:cs="宋体"/>
          <w:sz w:val="24"/>
          <w:highlight w:val="none"/>
        </w:rPr>
      </w:pPr>
      <w:r>
        <w:rPr>
          <w:rFonts w:hint="eastAsia" w:ascii="宋体" w:hAnsi="宋体" w:cs="宋体"/>
          <w:sz w:val="24"/>
        </w:rPr>
        <w:t xml:space="preserve">   </w:t>
      </w:r>
      <w:r>
        <w:rPr>
          <w:rFonts w:hint="eastAsia" w:ascii="宋体" w:hAnsi="宋体" w:cs="宋体"/>
          <w:sz w:val="24"/>
          <w:highlight w:val="none"/>
        </w:rPr>
        <w:t xml:space="preserve"> 项目联系人（询问）：</w:t>
      </w:r>
      <w:r>
        <w:rPr>
          <w:rFonts w:hint="eastAsia" w:ascii="宋体" w:hAnsi="宋体" w:cs="宋体"/>
          <w:sz w:val="24"/>
          <w:highlight w:val="none"/>
          <w:lang w:eastAsia="zh-CN"/>
        </w:rPr>
        <w:t>邵旭峰</w:t>
      </w:r>
      <w:r>
        <w:rPr>
          <w:rFonts w:hint="eastAsia" w:ascii="宋体" w:hAnsi="宋体" w:cs="宋体"/>
          <w:sz w:val="24"/>
          <w:highlight w:val="none"/>
        </w:rPr>
        <w:t xml:space="preserve">         </w:t>
      </w:r>
    </w:p>
    <w:p w14:paraId="0CCB1EA4">
      <w:pPr>
        <w:spacing w:line="360" w:lineRule="auto"/>
        <w:ind w:firstLine="480"/>
        <w:rPr>
          <w:rFonts w:hint="eastAsia"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0571-89540588</w:t>
      </w:r>
    </w:p>
    <w:p w14:paraId="4B1BBB16">
      <w:pPr>
        <w:spacing w:line="360" w:lineRule="auto"/>
        <w:ind w:firstLine="480"/>
        <w:rPr>
          <w:rFonts w:hint="eastAsia"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eastAsia="zh-CN"/>
        </w:rPr>
        <w:t>杨颖</w:t>
      </w:r>
      <w:r>
        <w:rPr>
          <w:rFonts w:hint="eastAsia" w:ascii="宋体" w:hAnsi="宋体" w:cs="宋体"/>
          <w:sz w:val="24"/>
          <w:highlight w:val="none"/>
        </w:rPr>
        <w:t xml:space="preserve">             </w:t>
      </w:r>
    </w:p>
    <w:p w14:paraId="059DE784">
      <w:pPr>
        <w:spacing w:line="360" w:lineRule="auto"/>
        <w:ind w:firstLine="480"/>
        <w:rPr>
          <w:rFonts w:hint="default" w:ascii="宋体" w:hAnsi="宋体" w:cs="宋体"/>
          <w:sz w:val="24"/>
          <w:highlight w:val="none"/>
          <w:lang w:val="en-US" w:eastAsia="zh-CN"/>
        </w:rPr>
      </w:pPr>
      <w:r>
        <w:rPr>
          <w:rFonts w:hint="eastAsia" w:ascii="宋体" w:hAnsi="宋体" w:cs="宋体"/>
          <w:sz w:val="24"/>
          <w:highlight w:val="none"/>
        </w:rPr>
        <w:t>质疑联系方式：0571-</w:t>
      </w:r>
      <w:r>
        <w:rPr>
          <w:rFonts w:hint="eastAsia" w:ascii="宋体" w:hAnsi="宋体" w:cs="宋体"/>
          <w:sz w:val="24"/>
          <w:highlight w:val="none"/>
          <w:lang w:val="en-US" w:eastAsia="zh-CN"/>
        </w:rPr>
        <w:t>89540611</w:t>
      </w:r>
    </w:p>
    <w:p w14:paraId="077F98D5">
      <w:pPr>
        <w:spacing w:line="360" w:lineRule="auto"/>
        <w:ind w:firstLine="480"/>
        <w:rPr>
          <w:rFonts w:ascii="宋体" w:hAnsi="宋体" w:cs="宋体"/>
          <w:sz w:val="24"/>
          <w:highlight w:val="none"/>
        </w:rPr>
      </w:pPr>
      <w:r>
        <w:rPr>
          <w:rFonts w:hint="eastAsia" w:ascii="宋体" w:hAnsi="宋体" w:cs="宋体"/>
          <w:sz w:val="24"/>
          <w:highlight w:val="none"/>
        </w:rPr>
        <w:t xml:space="preserve">3.同级政府采购监督管理部门            </w:t>
      </w:r>
    </w:p>
    <w:p w14:paraId="1E0DEEDD">
      <w:pPr>
        <w:spacing w:line="360" w:lineRule="auto"/>
        <w:ind w:firstLine="480"/>
        <w:rPr>
          <w:rFonts w:hint="eastAsia" w:ascii="宋体" w:hAnsi="宋体" w:cs="宋体"/>
          <w:sz w:val="24"/>
          <w:highlight w:val="none"/>
        </w:rPr>
      </w:pPr>
      <w:r>
        <w:rPr>
          <w:rFonts w:hint="eastAsia" w:ascii="宋体" w:hAnsi="宋体" w:cs="宋体"/>
          <w:sz w:val="24"/>
          <w:highlight w:val="none"/>
        </w:rPr>
        <w:t>名 称：杭州市临安区财政局政府采购监管科、浙江省政府采购行政裁决服务中心（杭州）</w:t>
      </w:r>
    </w:p>
    <w:p w14:paraId="16CA7ACE">
      <w:pPr>
        <w:spacing w:line="360" w:lineRule="auto"/>
        <w:ind w:firstLine="480"/>
        <w:rPr>
          <w:rFonts w:hint="eastAsia" w:ascii="宋体" w:hAnsi="宋体" w:cs="宋体"/>
          <w:sz w:val="24"/>
          <w:highlight w:val="none"/>
        </w:rPr>
      </w:pPr>
      <w:r>
        <w:rPr>
          <w:rFonts w:hint="eastAsia" w:ascii="宋体" w:hAnsi="宋体" w:cs="宋体"/>
          <w:sz w:val="24"/>
          <w:highlight w:val="none"/>
        </w:rPr>
        <w:t>地</w:t>
      </w:r>
      <w:r>
        <w:rPr>
          <w:rFonts w:hint="eastAsia" w:ascii="宋体" w:hAnsi="宋体" w:cs="宋体"/>
          <w:sz w:val="24"/>
          <w:highlight w:val="none"/>
          <w:lang w:val="en-US" w:eastAsia="zh-CN"/>
        </w:rPr>
        <w:t xml:space="preserve">    </w:t>
      </w:r>
      <w:r>
        <w:rPr>
          <w:rFonts w:hint="eastAsia" w:ascii="宋体" w:hAnsi="宋体" w:cs="宋体"/>
          <w:sz w:val="24"/>
          <w:highlight w:val="none"/>
        </w:rPr>
        <w:t>址：杭州市上城区清泰街549号城建综合大楼11楼（快递仅限ems或顺丰）</w:t>
      </w:r>
    </w:p>
    <w:p w14:paraId="1118269C">
      <w:pPr>
        <w:spacing w:line="360" w:lineRule="auto"/>
        <w:ind w:firstLine="480"/>
        <w:rPr>
          <w:rFonts w:hint="eastAsia" w:ascii="宋体" w:hAnsi="宋体" w:cs="宋体"/>
          <w:sz w:val="24"/>
          <w:highlight w:val="none"/>
        </w:rPr>
      </w:pPr>
      <w:r>
        <w:rPr>
          <w:rFonts w:hint="eastAsia" w:ascii="宋体" w:hAnsi="宋体" w:cs="宋体"/>
          <w:sz w:val="24"/>
          <w:highlight w:val="none"/>
        </w:rPr>
        <w:t>传</w:t>
      </w:r>
      <w:r>
        <w:rPr>
          <w:rFonts w:hint="eastAsia" w:ascii="宋体" w:hAnsi="宋体" w:cs="宋体"/>
          <w:sz w:val="24"/>
          <w:highlight w:val="none"/>
          <w:lang w:val="en-US" w:eastAsia="zh-CN"/>
        </w:rPr>
        <w:t xml:space="preserve">    </w:t>
      </w:r>
      <w:r>
        <w:rPr>
          <w:rFonts w:hint="eastAsia" w:ascii="宋体" w:hAnsi="宋体" w:cs="宋体"/>
          <w:sz w:val="24"/>
          <w:highlight w:val="none"/>
        </w:rPr>
        <w:t>真：</w:t>
      </w:r>
      <w:r>
        <w:rPr>
          <w:rFonts w:hint="eastAsia" w:ascii="宋体" w:hAnsi="宋体" w:cs="宋体"/>
          <w:color w:val="auto"/>
          <w:sz w:val="24"/>
          <w:highlight w:val="none"/>
        </w:rPr>
        <w:t>/</w:t>
      </w:r>
    </w:p>
    <w:p w14:paraId="77AAE027">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联</w:t>
      </w:r>
      <w:r>
        <w:rPr>
          <w:rFonts w:hint="eastAsia" w:ascii="宋体" w:hAnsi="宋体" w:cs="宋体"/>
          <w:sz w:val="24"/>
          <w:highlight w:val="none"/>
          <w:lang w:val="en-US" w:eastAsia="zh-CN"/>
        </w:rPr>
        <w:t xml:space="preserve"> </w:t>
      </w:r>
      <w:r>
        <w:rPr>
          <w:rFonts w:hint="eastAsia" w:ascii="宋体" w:hAnsi="宋体" w:cs="宋体"/>
          <w:sz w:val="24"/>
          <w:highlight w:val="none"/>
        </w:rPr>
        <w:t>系</w:t>
      </w:r>
      <w:r>
        <w:rPr>
          <w:rFonts w:hint="eastAsia" w:ascii="宋体" w:hAnsi="宋体" w:cs="宋体"/>
          <w:sz w:val="24"/>
          <w:highlight w:val="none"/>
          <w:lang w:val="en-US" w:eastAsia="zh-CN"/>
        </w:rPr>
        <w:t xml:space="preserve"> </w:t>
      </w:r>
      <w:r>
        <w:rPr>
          <w:rFonts w:hint="eastAsia" w:ascii="宋体" w:hAnsi="宋体" w:cs="宋体"/>
          <w:sz w:val="24"/>
          <w:highlight w:val="none"/>
        </w:rPr>
        <w:t>人 ：朱</w:t>
      </w:r>
      <w:r>
        <w:rPr>
          <w:rFonts w:hint="eastAsia" w:ascii="宋体" w:hAnsi="宋体" w:cs="宋体"/>
          <w:sz w:val="24"/>
          <w:highlight w:val="none"/>
          <w:lang w:eastAsia="zh-CN"/>
        </w:rPr>
        <w:t>老师</w:t>
      </w:r>
    </w:p>
    <w:p w14:paraId="41973DD4">
      <w:pPr>
        <w:spacing w:line="360" w:lineRule="auto"/>
        <w:ind w:firstLine="480"/>
        <w:rPr>
          <w:rFonts w:ascii="宋体" w:hAnsi="宋体" w:cs="宋体"/>
          <w:color w:val="auto"/>
          <w:sz w:val="24"/>
          <w:highlight w:val="none"/>
        </w:rPr>
      </w:pPr>
      <w:r>
        <w:rPr>
          <w:rFonts w:hint="eastAsia" w:ascii="宋体" w:hAnsi="宋体" w:cs="宋体"/>
          <w:sz w:val="24"/>
          <w:highlight w:val="none"/>
        </w:rPr>
        <w:t>监督投诉电话：0571-87800218</w:t>
      </w:r>
      <w:r>
        <w:rPr>
          <w:rFonts w:hint="eastAsia" w:ascii="宋体" w:hAnsi="宋体" w:cs="宋体"/>
          <w:color w:val="auto"/>
          <w:sz w:val="24"/>
          <w:highlight w:val="none"/>
        </w:rPr>
        <w:t xml:space="preserve">    </w:t>
      </w:r>
    </w:p>
    <w:p w14:paraId="6B1BC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A4EE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6BE3253">
      <w:pPr>
        <w:pStyle w:val="36"/>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5DD6328D">
      <w:pPr>
        <w:pStyle w:val="4"/>
        <w:rPr>
          <w:rFonts w:ascii="宋体"/>
          <w:snapToGrid w:val="0"/>
          <w:color w:val="auto"/>
          <w:highlight w:val="none"/>
        </w:rPr>
      </w:pPr>
      <w:r>
        <w:rPr>
          <w:color w:val="auto"/>
          <w:highlight w:val="none"/>
        </w:rPr>
        <w:br w:type="page"/>
      </w:r>
    </w:p>
    <w:p w14:paraId="7AE1587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ascii="宋体" w:hAnsi="宋体" w:cs="宋体"/>
                <w:color w:val="auto"/>
                <w:sz w:val="24"/>
                <w:highlight w:val="none"/>
              </w:rPr>
            </w:pPr>
          </w:p>
          <w:p w14:paraId="350B68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38B51D">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lang w:eastAsia="zh-CN"/>
              </w:rPr>
              <w:t>超融合服务器</w:t>
            </w:r>
            <w:r>
              <w:rPr>
                <w:rFonts w:hint="eastAsia" w:ascii="宋体" w:hAnsi="宋体" w:cs="宋体"/>
                <w:color w:val="auto"/>
                <w:sz w:val="24"/>
                <w:highlight w:val="none"/>
              </w:rPr>
              <w:t>。</w:t>
            </w: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ascii="宋体" w:hAnsi="宋体" w:cs="宋体"/>
                <w:color w:val="auto"/>
                <w:sz w:val="24"/>
                <w:highlight w:val="none"/>
              </w:rPr>
            </w:pPr>
          </w:p>
          <w:p w14:paraId="308E231E">
            <w:pPr>
              <w:snapToGrid w:val="0"/>
              <w:spacing w:line="360" w:lineRule="auto"/>
              <w:jc w:val="center"/>
              <w:rPr>
                <w:rFonts w:hint="eastAsia" w:ascii="宋体" w:hAnsi="宋体" w:cs="宋体"/>
                <w:color w:val="auto"/>
                <w:sz w:val="24"/>
                <w:highlight w:val="none"/>
              </w:rPr>
            </w:pPr>
          </w:p>
          <w:p w14:paraId="5C072986">
            <w:pPr>
              <w:snapToGrid w:val="0"/>
              <w:spacing w:line="360" w:lineRule="auto"/>
              <w:jc w:val="center"/>
              <w:rPr>
                <w:rFonts w:hint="eastAsia" w:ascii="宋体" w:hAnsi="宋体" w:cs="宋体"/>
                <w:color w:val="auto"/>
                <w:sz w:val="24"/>
                <w:highlight w:val="none"/>
              </w:rPr>
            </w:pPr>
          </w:p>
          <w:p w14:paraId="5A84F2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超融合服务器、NAS存储、数据库审计、日志审计、防统方、数据库、中间件</w:t>
            </w:r>
            <w:r>
              <w:rPr>
                <w:rFonts w:hint="eastAsia" w:ascii="宋体" w:hAnsi="宋体" w:cs="宋体"/>
                <w:color w:val="auto"/>
                <w:kern w:val="0"/>
                <w:sz w:val="24"/>
                <w:highlight w:val="none"/>
              </w:rPr>
              <w:t>，属于</w:t>
            </w:r>
            <w:r>
              <w:rPr>
                <w:rFonts w:hint="eastAsia" w:ascii="宋体" w:hAnsi="宋体" w:cs="宋体"/>
                <w:b/>
                <w:bCs/>
                <w:color w:val="auto"/>
                <w:kern w:val="0"/>
                <w:sz w:val="24"/>
                <w:highlight w:val="none"/>
                <w:u w:val="single"/>
                <w:lang w:eastAsia="zh-CN"/>
              </w:rPr>
              <w:t>工业</w:t>
            </w:r>
            <w:r>
              <w:rPr>
                <w:rFonts w:hint="eastAsia" w:ascii="宋体" w:hAnsi="宋体" w:cs="宋体"/>
                <w:color w:val="auto"/>
                <w:kern w:val="0"/>
                <w:sz w:val="24"/>
                <w:highlight w:val="none"/>
              </w:rPr>
              <w:t>行业；</w:t>
            </w:r>
          </w:p>
          <w:p w14:paraId="1994D902">
            <w:pPr>
              <w:pStyle w:val="4"/>
              <w:ind w:left="0" w:leftChars="0" w:firstLine="0" w:firstLineChars="0"/>
              <w:rPr>
                <w:rFonts w:hint="eastAsia" w:ascii="宋体" w:hAnsi="宋体" w:eastAsia="仿宋_GB2312" w:cs="宋体"/>
                <w:color w:val="auto"/>
                <w:highlight w:val="none"/>
                <w:lang w:val="en-US" w:eastAsia="zh-CN"/>
              </w:rPr>
            </w:pPr>
            <w:r>
              <w:rPr>
                <w:rFonts w:hint="eastAsia" w:ascii="宋体" w:hAnsi="宋体" w:cs="宋体"/>
                <w:b w:val="0"/>
                <w:bCs w:val="0"/>
                <w:color w:val="auto"/>
                <w:kern w:val="0"/>
                <w:sz w:val="24"/>
                <w:szCs w:val="24"/>
                <w:highlight w:val="none"/>
                <w:lang w:val="en-US" w:eastAsia="zh-CN" w:bidi="ar-SA"/>
              </w:rPr>
              <w:t>注</w:t>
            </w:r>
            <w:r>
              <w:rPr>
                <w:rFonts w:hint="eastAsia" w:ascii="宋体" w:hAnsi="宋体" w:eastAsia="宋体" w:cs="宋体"/>
                <w:b w:val="0"/>
                <w:bCs w:val="0"/>
                <w:color w:val="auto"/>
                <w:kern w:val="0"/>
                <w:sz w:val="24"/>
                <w:szCs w:val="24"/>
                <w:highlight w:val="none"/>
                <w:lang w:val="en-US" w:eastAsia="zh-CN" w:bidi="ar-SA"/>
              </w:rPr>
              <w:t>：中小企业划型标准详见附件</w:t>
            </w:r>
            <w:r>
              <w:rPr>
                <w:rFonts w:hint="eastAsia" w:ascii="宋体" w:hAnsi="宋体" w:cs="宋体"/>
                <w:b w:val="0"/>
                <w:bCs w:val="0"/>
                <w:color w:val="auto"/>
                <w:kern w:val="0"/>
                <w:sz w:val="24"/>
                <w:szCs w:val="24"/>
                <w:highlight w:val="none"/>
                <w:lang w:val="en-US" w:eastAsia="zh-CN" w:bidi="ar-SA"/>
              </w:rPr>
              <w:t>8</w:t>
            </w:r>
            <w:r>
              <w:rPr>
                <w:rFonts w:hint="eastAsia" w:ascii="宋体" w:hAnsi="宋体" w:eastAsia="宋体" w:cs="宋体"/>
                <w:b w:val="0"/>
                <w:bCs w:val="0"/>
                <w:color w:val="auto"/>
                <w:kern w:val="0"/>
                <w:sz w:val="24"/>
                <w:szCs w:val="24"/>
                <w:highlight w:val="none"/>
                <w:lang w:val="en-US" w:eastAsia="zh-CN" w:bidi="ar-SA"/>
              </w:rPr>
              <w:t>。</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ascii="宋体" w:hAnsi="宋体" w:cs="宋体"/>
                <w:color w:val="auto"/>
                <w:sz w:val="24"/>
                <w:highlight w:val="none"/>
              </w:rPr>
            </w:pPr>
          </w:p>
          <w:p w14:paraId="20C143AE">
            <w:pPr>
              <w:snapToGrid w:val="0"/>
              <w:spacing w:line="360" w:lineRule="auto"/>
              <w:jc w:val="center"/>
              <w:rPr>
                <w:rFonts w:ascii="宋体" w:hAnsi="宋体" w:cs="宋体"/>
                <w:color w:val="auto"/>
                <w:sz w:val="24"/>
                <w:highlight w:val="none"/>
              </w:rPr>
            </w:pPr>
          </w:p>
          <w:p w14:paraId="497936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AC14EB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运输、安装</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6DA644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ascii="宋体" w:hAnsi="宋体" w:cs="宋体"/>
                <w:color w:val="auto"/>
                <w:sz w:val="24"/>
                <w:highlight w:val="none"/>
              </w:rPr>
            </w:pPr>
          </w:p>
          <w:p w14:paraId="0DF1FFC4">
            <w:pPr>
              <w:snapToGrid w:val="0"/>
              <w:spacing w:line="360" w:lineRule="auto"/>
              <w:jc w:val="center"/>
              <w:rPr>
                <w:rFonts w:ascii="宋体" w:hAnsi="宋体" w:cs="宋体"/>
                <w:color w:val="auto"/>
                <w:sz w:val="24"/>
                <w:highlight w:val="none"/>
              </w:rPr>
            </w:pPr>
          </w:p>
          <w:p w14:paraId="6E05F3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color w:val="auto"/>
                <w:sz w:val="24"/>
                <w:szCs w:val="32"/>
                <w:highlight w:val="none"/>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680BDFC">
            <w:pPr>
              <w:spacing w:line="360" w:lineRule="auto"/>
              <w:rPr>
                <w:rFonts w:hint="eastAsia"/>
                <w:color w:val="auto"/>
                <w:sz w:val="24"/>
                <w:szCs w:val="32"/>
                <w:highlight w:val="none"/>
              </w:rPr>
            </w:pPr>
            <w:sdt>
              <w:sdtPr>
                <w:rPr>
                  <w:rFonts w:hint="eastAsia"/>
                  <w:color w:val="auto"/>
                  <w:sz w:val="24"/>
                  <w:szCs w:val="32"/>
                  <w:highlight w:val="none"/>
                </w:rPr>
                <w:id w:val="238790731"/>
                <w14:checkbox>
                  <w14:checked w14:val="0"/>
                  <w14:checkedState w14:val="00FE" w14:font="Wingdings"/>
                  <w14:uncheckedState w14:val="2610" w14:font="MS Gothic"/>
                </w14:checkbox>
              </w:sdtPr>
              <w:sdtEndPr>
                <w:rPr>
                  <w:rFonts w:hint="eastAsia"/>
                  <w:color w:val="auto"/>
                  <w:sz w:val="24"/>
                  <w:szCs w:val="32"/>
                  <w:highlight w:val="none"/>
                </w:rPr>
              </w:sdtEndPr>
              <w:sdtContent>
                <w:r>
                  <w:rPr>
                    <w:rFonts w:hint="eastAsia"/>
                    <w:color w:val="auto"/>
                    <w:sz w:val="24"/>
                    <w:szCs w:val="32"/>
                    <w:highlight w:val="none"/>
                  </w:rPr>
                  <w:t>☐</w:t>
                </w:r>
              </w:sdtContent>
            </w:sdt>
            <w:r>
              <w:rPr>
                <w:rFonts w:hint="eastAsia"/>
                <w:color w:val="auto"/>
                <w:sz w:val="24"/>
                <w:szCs w:val="32"/>
                <w:highlight w:val="none"/>
              </w:rPr>
              <w:t>B组织，时间：      ,地点：      ，联系人：      ，联系方式：      。</w:t>
            </w:r>
          </w:p>
          <w:p w14:paraId="478D25F3">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ascii="宋体" w:hAnsi="宋体" w:cs="宋体"/>
                <w:color w:val="auto"/>
                <w:sz w:val="24"/>
                <w:highlight w:val="none"/>
              </w:rPr>
            </w:pPr>
          </w:p>
          <w:p w14:paraId="4E416ADF">
            <w:pPr>
              <w:snapToGrid w:val="0"/>
              <w:spacing w:line="360" w:lineRule="auto"/>
              <w:jc w:val="center"/>
              <w:rPr>
                <w:rFonts w:ascii="宋体" w:hAnsi="宋体" w:cs="宋体"/>
                <w:color w:val="auto"/>
                <w:sz w:val="24"/>
                <w:highlight w:val="none"/>
              </w:rPr>
            </w:pPr>
          </w:p>
          <w:p w14:paraId="7407F42E">
            <w:pPr>
              <w:snapToGrid w:val="0"/>
              <w:spacing w:line="360" w:lineRule="auto"/>
              <w:jc w:val="center"/>
              <w:rPr>
                <w:rFonts w:ascii="宋体" w:hAnsi="宋体" w:cs="宋体"/>
                <w:color w:val="auto"/>
                <w:sz w:val="24"/>
                <w:highlight w:val="none"/>
              </w:rPr>
            </w:pPr>
          </w:p>
          <w:p w14:paraId="0733AC2A">
            <w:pPr>
              <w:snapToGrid w:val="0"/>
              <w:spacing w:line="360" w:lineRule="auto"/>
              <w:jc w:val="center"/>
              <w:rPr>
                <w:rFonts w:ascii="宋体" w:hAnsi="宋体" w:cs="宋体"/>
                <w:color w:val="auto"/>
                <w:sz w:val="24"/>
                <w:highlight w:val="none"/>
              </w:rPr>
            </w:pPr>
          </w:p>
          <w:p w14:paraId="49982C6B">
            <w:pPr>
              <w:snapToGrid w:val="0"/>
              <w:spacing w:line="360" w:lineRule="auto"/>
              <w:jc w:val="center"/>
              <w:rPr>
                <w:rFonts w:ascii="宋体" w:hAnsi="宋体" w:cs="宋体"/>
                <w:color w:val="auto"/>
                <w:sz w:val="24"/>
                <w:highlight w:val="none"/>
              </w:rPr>
            </w:pPr>
          </w:p>
          <w:p w14:paraId="1F292D77">
            <w:pPr>
              <w:snapToGrid w:val="0"/>
              <w:spacing w:line="360" w:lineRule="auto"/>
              <w:jc w:val="center"/>
              <w:rPr>
                <w:rFonts w:ascii="宋体" w:hAnsi="宋体" w:cs="宋体"/>
                <w:color w:val="auto"/>
                <w:sz w:val="24"/>
                <w:highlight w:val="none"/>
              </w:rPr>
            </w:pPr>
          </w:p>
          <w:p w14:paraId="306BA2FE">
            <w:pPr>
              <w:snapToGrid w:val="0"/>
              <w:spacing w:line="360" w:lineRule="auto"/>
              <w:jc w:val="center"/>
              <w:rPr>
                <w:rFonts w:ascii="宋体" w:hAnsi="宋体" w:cs="宋体"/>
                <w:color w:val="auto"/>
                <w:sz w:val="24"/>
                <w:highlight w:val="none"/>
              </w:rPr>
            </w:pPr>
          </w:p>
          <w:p w14:paraId="79F258EB">
            <w:pPr>
              <w:snapToGrid w:val="0"/>
              <w:spacing w:line="360" w:lineRule="auto"/>
              <w:jc w:val="center"/>
              <w:rPr>
                <w:rFonts w:ascii="宋体" w:hAnsi="宋体" w:cs="宋体"/>
                <w:color w:val="auto"/>
                <w:sz w:val="24"/>
                <w:highlight w:val="none"/>
              </w:rPr>
            </w:pPr>
          </w:p>
          <w:p w14:paraId="6525D4D6">
            <w:pPr>
              <w:snapToGrid w:val="0"/>
              <w:spacing w:line="360" w:lineRule="auto"/>
              <w:jc w:val="center"/>
              <w:rPr>
                <w:rFonts w:ascii="宋体" w:hAnsi="宋体" w:cs="宋体"/>
                <w:color w:val="auto"/>
                <w:sz w:val="24"/>
                <w:highlight w:val="none"/>
              </w:rPr>
            </w:pPr>
          </w:p>
          <w:p w14:paraId="5FBF99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C289767">
            <w:pPr>
              <w:spacing w:line="360" w:lineRule="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p w14:paraId="0FD770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070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4729C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color w:val="auto"/>
                <w:kern w:val="0"/>
                <w:sz w:val="24"/>
                <w:highlight w:val="none"/>
              </w:rPr>
              <w:t>；</w:t>
            </w:r>
          </w:p>
          <w:p w14:paraId="45A227F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sz w:val="24"/>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sz w:val="24"/>
                <w:u w:val="singl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D99AFD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至</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kern w:val="28"/>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08B8E9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ascii="宋体" w:hAnsi="宋体" w:cs="宋体"/>
                <w:color w:val="auto"/>
                <w:sz w:val="24"/>
                <w:highlight w:val="none"/>
              </w:rPr>
            </w:pPr>
          </w:p>
          <w:p w14:paraId="309AC3D1">
            <w:pPr>
              <w:snapToGrid w:val="0"/>
              <w:spacing w:line="360" w:lineRule="auto"/>
              <w:jc w:val="center"/>
              <w:rPr>
                <w:rFonts w:ascii="宋体" w:hAnsi="宋体" w:cs="宋体"/>
                <w:color w:val="auto"/>
                <w:sz w:val="24"/>
                <w:highlight w:val="none"/>
              </w:rPr>
            </w:pPr>
          </w:p>
          <w:p w14:paraId="3EA5D7C8">
            <w:pPr>
              <w:snapToGrid w:val="0"/>
              <w:spacing w:line="360" w:lineRule="auto"/>
              <w:jc w:val="center"/>
              <w:rPr>
                <w:rFonts w:ascii="宋体" w:hAnsi="宋体" w:cs="宋体"/>
                <w:color w:val="auto"/>
                <w:sz w:val="24"/>
                <w:highlight w:val="none"/>
              </w:rPr>
            </w:pPr>
          </w:p>
          <w:p w14:paraId="26622736">
            <w:pPr>
              <w:snapToGrid w:val="0"/>
              <w:spacing w:line="360" w:lineRule="auto"/>
              <w:jc w:val="center"/>
              <w:rPr>
                <w:rFonts w:ascii="宋体" w:hAnsi="宋体" w:cs="宋体"/>
                <w:color w:val="auto"/>
                <w:sz w:val="24"/>
                <w:highlight w:val="none"/>
              </w:rPr>
            </w:pPr>
          </w:p>
          <w:p w14:paraId="56ABDF4F">
            <w:pPr>
              <w:snapToGrid w:val="0"/>
              <w:spacing w:line="360" w:lineRule="auto"/>
              <w:jc w:val="center"/>
              <w:rPr>
                <w:rFonts w:ascii="宋体" w:hAnsi="宋体" w:cs="宋体"/>
                <w:color w:val="auto"/>
                <w:sz w:val="24"/>
                <w:highlight w:val="none"/>
              </w:rPr>
            </w:pPr>
          </w:p>
          <w:p w14:paraId="43992E49">
            <w:pPr>
              <w:snapToGrid w:val="0"/>
              <w:spacing w:line="360" w:lineRule="auto"/>
              <w:jc w:val="center"/>
              <w:rPr>
                <w:rFonts w:ascii="宋体" w:hAnsi="宋体" w:cs="宋体"/>
                <w:color w:val="auto"/>
                <w:sz w:val="24"/>
                <w:highlight w:val="none"/>
              </w:rPr>
            </w:pPr>
          </w:p>
          <w:p w14:paraId="06C2578F">
            <w:pPr>
              <w:snapToGrid w:val="0"/>
              <w:spacing w:line="360" w:lineRule="auto"/>
              <w:jc w:val="center"/>
              <w:rPr>
                <w:rFonts w:ascii="宋体" w:hAnsi="宋体" w:cs="宋体"/>
                <w:color w:val="auto"/>
                <w:sz w:val="24"/>
                <w:highlight w:val="none"/>
              </w:rPr>
            </w:pPr>
          </w:p>
          <w:p w14:paraId="7704412C">
            <w:pPr>
              <w:snapToGrid w:val="0"/>
              <w:spacing w:line="360" w:lineRule="auto"/>
              <w:jc w:val="center"/>
              <w:rPr>
                <w:rFonts w:ascii="宋体" w:hAnsi="宋体" w:cs="宋体"/>
                <w:color w:val="auto"/>
                <w:sz w:val="24"/>
                <w:highlight w:val="none"/>
              </w:rPr>
            </w:pPr>
          </w:p>
          <w:p w14:paraId="1854E99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B6FF7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1417E52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20 </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rPr>
              <w:t>人。讲解演示结束后按要求解答评标委员会提问。</w:t>
            </w:r>
          </w:p>
          <w:p w14:paraId="559670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DC166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2EAE3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b/>
                <w:bCs/>
                <w:color w:val="auto"/>
                <w:kern w:val="0"/>
                <w:sz w:val="24"/>
                <w:u w:val="single"/>
              </w:rPr>
              <w:t>浙江省杭州市临安区锦北街道科技大道4398号市民中心1号楼B座4楼询标室B436</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ascii="宋体" w:hAnsi="宋体" w:cs="宋体"/>
                <w:color w:val="auto"/>
                <w:sz w:val="24"/>
                <w:highlight w:val="none"/>
              </w:rPr>
            </w:pPr>
          </w:p>
          <w:p w14:paraId="3BD3287F">
            <w:pPr>
              <w:snapToGrid w:val="0"/>
              <w:spacing w:line="360" w:lineRule="auto"/>
              <w:jc w:val="center"/>
              <w:rPr>
                <w:rFonts w:ascii="宋体" w:hAnsi="宋体" w:cs="宋体"/>
                <w:color w:val="auto"/>
                <w:sz w:val="24"/>
                <w:highlight w:val="none"/>
              </w:rPr>
            </w:pPr>
          </w:p>
          <w:p w14:paraId="5F9F6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DEEB6D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ascii="宋体" w:hAnsi="宋体" w:cs="宋体"/>
                <w:color w:val="auto"/>
                <w:sz w:val="24"/>
                <w:highlight w:val="none"/>
              </w:rPr>
            </w:pPr>
          </w:p>
          <w:p w14:paraId="1172DCF3">
            <w:pPr>
              <w:snapToGrid w:val="0"/>
              <w:spacing w:line="360" w:lineRule="auto"/>
              <w:jc w:val="center"/>
              <w:rPr>
                <w:rFonts w:ascii="宋体" w:hAnsi="宋体" w:cs="宋体"/>
                <w:color w:val="auto"/>
                <w:sz w:val="24"/>
                <w:highlight w:val="none"/>
              </w:rPr>
            </w:pPr>
          </w:p>
          <w:p w14:paraId="2BFACA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294ECC9">
            <w:pPr>
              <w:snapToGrid w:val="0"/>
              <w:spacing w:line="360" w:lineRule="auto"/>
              <w:rPr>
                <w:rFonts w:hint="eastAsia" w:eastAsia="宋体"/>
                <w:color w:val="auto"/>
                <w:sz w:val="24"/>
                <w:szCs w:val="24"/>
                <w:highlight w:val="none"/>
                <w:u w:val="singl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ascii="MS Gothic" w:hAnsi="MS Gothic" w:eastAsia="宋体" w:cs="Times New Roman"/>
                    <w:color w:val="auto"/>
                    <w:kern w:val="2"/>
                    <w:sz w:val="24"/>
                    <w:szCs w:val="24"/>
                    <w:highlight w:val="none"/>
                    <w:lang w:val="en-US" w:eastAsia="zh-CN" w:bidi="ar-SA"/>
                  </w:rPr>
                  <w:t>☐</w:t>
                </w:r>
              </w:sdtContent>
            </w:sdt>
            <w:r>
              <w:rPr>
                <w:rFonts w:hint="eastAsia" w:eastAsia="宋体"/>
                <w:color w:val="auto"/>
                <w:sz w:val="24"/>
                <w:szCs w:val="24"/>
                <w:highlight w:val="none"/>
                <w:lang w:eastAsia="zh-CN"/>
              </w:rPr>
              <w:t>强制采购节能采购。产品：</w:t>
            </w:r>
          </w:p>
          <w:p w14:paraId="775907AD">
            <w:pPr>
              <w:snapToGrid w:val="0"/>
              <w:spacing w:line="360" w:lineRule="auto"/>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优先采购节能产品。产品：</w:t>
            </w:r>
          </w:p>
          <w:p w14:paraId="76782679">
            <w:pPr>
              <w:snapToGrid w:val="0"/>
              <w:spacing w:line="360" w:lineRule="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优先采购环保产品。产品：</w:t>
            </w:r>
          </w:p>
          <w:p w14:paraId="328AE59B">
            <w:pPr>
              <w:snapToGrid w:val="0"/>
              <w:spacing w:line="360" w:lineRule="auto"/>
              <w:rPr>
                <w:rFonts w:hint="eastAsia" w:ascii="宋体" w:hAnsi="宋体" w:cs="宋体"/>
                <w:color w:val="auto"/>
                <w:kern w:val="0"/>
                <w:sz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ascii="宋体" w:hAnsi="宋体" w:cs="宋体"/>
                <w:color w:val="auto"/>
                <w:sz w:val="24"/>
                <w:highlight w:val="none"/>
              </w:rPr>
            </w:pPr>
          </w:p>
          <w:p w14:paraId="102D3E49">
            <w:pPr>
              <w:snapToGrid w:val="0"/>
              <w:spacing w:line="360" w:lineRule="auto"/>
              <w:jc w:val="center"/>
              <w:rPr>
                <w:rFonts w:ascii="宋体" w:hAnsi="宋体" w:cs="宋体"/>
                <w:color w:val="auto"/>
                <w:sz w:val="24"/>
                <w:highlight w:val="none"/>
              </w:rPr>
            </w:pPr>
          </w:p>
          <w:p w14:paraId="608E02A7">
            <w:pPr>
              <w:snapToGrid w:val="0"/>
              <w:spacing w:line="360" w:lineRule="auto"/>
              <w:jc w:val="center"/>
              <w:rPr>
                <w:rFonts w:ascii="宋体" w:hAnsi="宋体" w:cs="宋体"/>
                <w:color w:val="auto"/>
                <w:sz w:val="24"/>
                <w:highlight w:val="none"/>
              </w:rPr>
            </w:pPr>
          </w:p>
          <w:p w14:paraId="4C1F8313">
            <w:pPr>
              <w:snapToGrid w:val="0"/>
              <w:spacing w:line="360" w:lineRule="auto"/>
              <w:jc w:val="center"/>
              <w:rPr>
                <w:rFonts w:ascii="宋体" w:hAnsi="宋体" w:cs="宋体"/>
                <w:color w:val="auto"/>
                <w:sz w:val="24"/>
                <w:highlight w:val="none"/>
              </w:rPr>
            </w:pPr>
          </w:p>
          <w:p w14:paraId="711081F9">
            <w:pPr>
              <w:snapToGrid w:val="0"/>
              <w:spacing w:line="360" w:lineRule="auto"/>
              <w:jc w:val="center"/>
              <w:rPr>
                <w:rFonts w:ascii="宋体" w:hAnsi="宋体" w:cs="宋体"/>
                <w:color w:val="auto"/>
                <w:sz w:val="24"/>
                <w:highlight w:val="none"/>
              </w:rPr>
            </w:pPr>
          </w:p>
          <w:p w14:paraId="5986CF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42341A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ascii="宋体" w:hAnsi="宋体" w:cs="宋体"/>
                <w:color w:val="auto"/>
                <w:sz w:val="24"/>
                <w:highlight w:val="none"/>
              </w:rPr>
            </w:pPr>
          </w:p>
          <w:p w14:paraId="244FEF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kern w:val="28"/>
                <w:sz w:val="24"/>
                <w:szCs w:val="24"/>
                <w:u w:val="single"/>
              </w:rPr>
              <w:t>杭州市</w:t>
            </w:r>
            <w:r>
              <w:rPr>
                <w:rFonts w:hint="eastAsia" w:hAnsi="宋体" w:cs="宋体"/>
                <w:kern w:val="28"/>
                <w:sz w:val="24"/>
                <w:szCs w:val="24"/>
                <w:u w:val="single"/>
                <w:lang w:eastAsia="zh-CN"/>
              </w:rPr>
              <w:t>临安区锦北街道科技大道</w:t>
            </w:r>
            <w:r>
              <w:rPr>
                <w:rFonts w:hint="eastAsia" w:hAnsi="宋体" w:cs="宋体"/>
                <w:kern w:val="28"/>
                <w:sz w:val="24"/>
                <w:szCs w:val="24"/>
                <w:u w:val="single"/>
                <w:lang w:val="en-US" w:eastAsia="zh-CN"/>
              </w:rPr>
              <w:t>4398号市民中心B座B448室</w:t>
            </w:r>
            <w:r>
              <w:rPr>
                <w:rFonts w:hint="eastAsia" w:hAnsi="宋体" w:cs="宋体"/>
                <w:kern w:val="28"/>
                <w:sz w:val="24"/>
                <w:szCs w:val="24"/>
                <w:u w:val="single"/>
              </w:rPr>
              <w:t>（杭州市公共资源交易中心</w:t>
            </w:r>
            <w:r>
              <w:rPr>
                <w:rFonts w:hint="eastAsia" w:hAnsi="宋体" w:cs="宋体"/>
                <w:kern w:val="28"/>
                <w:sz w:val="24"/>
                <w:szCs w:val="24"/>
                <w:u w:val="single"/>
                <w:lang w:eastAsia="zh-CN"/>
              </w:rPr>
              <w:t>临安分中心</w:t>
            </w:r>
            <w:r>
              <w:rPr>
                <w:rFonts w:hint="eastAsia" w:hAnsi="宋体" w:cs="宋体"/>
                <w:kern w:val="28"/>
                <w:sz w:val="24"/>
                <w:szCs w:val="24"/>
                <w:u w:val="single"/>
              </w:rPr>
              <w:t>政府采购</w:t>
            </w:r>
            <w:r>
              <w:rPr>
                <w:rFonts w:hint="eastAsia" w:hAnsi="宋体" w:cs="宋体"/>
                <w:kern w:val="28"/>
                <w:sz w:val="24"/>
                <w:szCs w:val="24"/>
                <w:u w:val="single"/>
                <w:lang w:eastAsia="zh-CN"/>
              </w:rPr>
              <w:t>科</w:t>
            </w:r>
            <w:r>
              <w:rPr>
                <w:rFonts w:hint="eastAsia" w:hAnsi="宋体" w:cs="宋体"/>
                <w:kern w:val="28"/>
                <w:sz w:val="24"/>
                <w:szCs w:val="24"/>
                <w:u w:val="single"/>
              </w:rPr>
              <w:t>）</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kern w:val="28"/>
                <w:sz w:val="24"/>
                <w:szCs w:val="24"/>
                <w:u w:val="single"/>
              </w:rPr>
              <w:t>0571-</w:t>
            </w:r>
            <w:r>
              <w:rPr>
                <w:rFonts w:hint="eastAsia" w:hAnsi="宋体" w:cs="宋体"/>
                <w:kern w:val="28"/>
                <w:sz w:val="24"/>
                <w:szCs w:val="24"/>
                <w:u w:val="single"/>
                <w:lang w:val="en-US" w:eastAsia="zh-CN"/>
              </w:rPr>
              <w:t>89540588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bookmarkStart w:id="13" w:name="_Toc164416483"/>
            <w:bookmarkStart w:id="14" w:name="第三部分"/>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lang w:val="en" w:eastAsia="zh-CN"/>
              </w:rPr>
              <w:t>。</w:t>
            </w:r>
          </w:p>
        </w:tc>
      </w:tr>
      <w:bookmarkEnd w:id="10"/>
    </w:tbl>
    <w:p w14:paraId="7F2CD11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3C8993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082BB9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9EABD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06F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E0A5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43784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98254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5741C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41EA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6C4759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D5487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E62B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6036F3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DBF1B27">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28C2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8068007">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4137EF2">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3874D25">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5B8D9F1">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ABDF08">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5A0BF1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B76A334">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5EC498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B4CB82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99C5A5">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收件人：朱女士，电话：</w:t>
      </w:r>
      <w:r>
        <w:rPr>
          <w:rFonts w:hint="eastAsia" w:ascii="宋体" w:hAnsi="宋体" w:eastAsia="宋体" w:cs="宋体"/>
          <w:i w:val="0"/>
          <w:caps w:val="0"/>
          <w:color w:val="auto"/>
          <w:spacing w:val="0"/>
          <w:sz w:val="24"/>
          <w:szCs w:val="24"/>
          <w:highlight w:val="none"/>
          <w:lang w:val="en-US" w:eastAsia="zh-CN"/>
        </w:rPr>
        <w:t>0571-87800218</w:t>
      </w:r>
    </w:p>
    <w:p w14:paraId="64CB47A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92B0A4F">
      <w:pPr>
        <w:pStyle w:val="131"/>
        <w:snapToGrid w:val="0"/>
        <w:spacing w:before="0"/>
        <w:ind w:firstLine="360"/>
        <w:rPr>
          <w:rFonts w:ascii="宋体" w:hAnsi="宋体" w:cs="宋体"/>
          <w:color w:val="auto"/>
          <w:sz w:val="18"/>
          <w:szCs w:val="18"/>
          <w:highlight w:val="none"/>
        </w:rPr>
      </w:pPr>
    </w:p>
    <w:p w14:paraId="1A9A488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9F9E09">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1AF93C4">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E30BDD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73E2A4C">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939F94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56E69A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F2B43F">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547734B">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E9D9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4F1ED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B0491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C5502D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4363B83">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67B5DC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2794C8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4248BC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97CCA56">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D6D5BFB">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2D1559">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5144025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06D963">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57D615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F8A05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753FEF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A3B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EAE8B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A7D64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AD86B2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D2DF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628A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C358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C9BB2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779C7E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981EC9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15B66280">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B2F70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935B9C8">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91A42A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37DE75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A7C4C96">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46C6C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565B193">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AA246D">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F4FA8A2">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18CFC34">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6E8FAB">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03ABA9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9385DC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F54A5E9">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8857F02">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ascii="宋体" w:hAnsi="宋体" w:cs="宋体"/>
          <w:b/>
          <w:color w:val="auto"/>
          <w:sz w:val="32"/>
          <w:highlight w:val="none"/>
        </w:rPr>
      </w:pPr>
    </w:p>
    <w:p w14:paraId="3FC344E9">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5A39951">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749B2E4">
      <w:pPr>
        <w:pStyle w:val="557"/>
        <w:spacing w:before="0" w:line="360" w:lineRule="auto"/>
        <w:ind w:left="0" w:firstLine="482" w:firstLineChars="200"/>
        <w:contextualSpacing/>
        <w:rPr>
          <w:rFonts w:hint="eastAsia" w:ascii="宋体" w:hAnsi="宋体" w:cs="宋体"/>
          <w:b/>
          <w:color w:val="auto"/>
          <w:sz w:val="24"/>
          <w:highlight w:val="none"/>
        </w:rPr>
      </w:pPr>
      <w:r>
        <w:rPr>
          <w:rFonts w:hint="eastAsia" w:ascii="宋体" w:hAnsi="宋体" w:cs="宋体"/>
          <w:b/>
          <w:sz w:val="24"/>
          <w:highlight w:val="none"/>
          <w:lang w:val="en-US" w:eastAsia="zh-CN"/>
        </w:rPr>
        <w:t>18.4开标记录开启后，请将附件9《政府采购活动现场确认声明书》填写完整发送至邮箱：3692652350@qq.com。</w:t>
      </w:r>
    </w:p>
    <w:p w14:paraId="2C713F2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7534FA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采购人依据法律法规和招标文件的规定，对投标人的资格进行审查。</w:t>
      </w:r>
    </w:p>
    <w:p w14:paraId="55780E59">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7740D0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6204D5C">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AEFAA21">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406D409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D84EBD2">
      <w:pPr>
        <w:pStyle w:val="131"/>
        <w:spacing w:before="0"/>
        <w:ind w:firstLine="0" w:firstLineChars="0"/>
        <w:rPr>
          <w:rFonts w:ascii="宋体" w:hAnsi="宋体" w:cs="宋体"/>
          <w:color w:val="auto"/>
          <w:kern w:val="0"/>
          <w:szCs w:val="24"/>
          <w:highlight w:val="none"/>
        </w:rPr>
      </w:pPr>
    </w:p>
    <w:p w14:paraId="276C656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9134EA1">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A5CC671">
      <w:pPr>
        <w:spacing w:line="360" w:lineRule="auto"/>
        <w:rPr>
          <w:rFonts w:ascii="宋体" w:hAnsi="宋体" w:cs="宋体"/>
          <w:b/>
          <w:color w:val="auto"/>
          <w:sz w:val="24"/>
          <w:highlight w:val="none"/>
        </w:rPr>
      </w:pPr>
    </w:p>
    <w:p w14:paraId="1129FEF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7F8CCB">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5199F6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4A8B3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4B4B3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1C8692B">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348C08A">
      <w:pPr>
        <w:pStyle w:val="80"/>
        <w:rPr>
          <w:color w:val="auto"/>
          <w:highlight w:val="none"/>
        </w:rPr>
      </w:pPr>
    </w:p>
    <w:p w14:paraId="3F892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54262E3">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74AEA59">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4C922F5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5DE1F11">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076C145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DD28227">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33A3201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6E0BC2DC">
      <w:pPr>
        <w:rPr>
          <w:color w:val="auto"/>
          <w:highlight w:val="none"/>
        </w:rPr>
      </w:pPr>
    </w:p>
    <w:p w14:paraId="37B51C06">
      <w:pPr>
        <w:snapToGrid w:val="0"/>
        <w:spacing w:line="360" w:lineRule="auto"/>
        <w:ind w:firstLine="3357" w:firstLineChars="1045"/>
        <w:rPr>
          <w:rFonts w:ascii="宋体" w:hAnsi="宋体" w:cs="宋体"/>
          <w:b/>
          <w:color w:val="auto"/>
          <w:sz w:val="32"/>
          <w:highlight w:val="none"/>
        </w:rPr>
      </w:pPr>
    </w:p>
    <w:p w14:paraId="481E8A9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3E8DF1F">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45A1E2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06C958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7711D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61EE8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03BC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942080B">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ascii="宋体" w:hAnsi="宋体" w:cs="宋体"/>
          <w:color w:val="auto"/>
          <w:sz w:val="24"/>
          <w:highlight w:val="none"/>
        </w:rPr>
      </w:pPr>
    </w:p>
    <w:p w14:paraId="73AA185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FF2944E">
      <w:pPr>
        <w:pStyle w:val="27"/>
        <w:spacing w:line="360" w:lineRule="auto"/>
        <w:ind w:firstLine="0" w:firstLineChars="0"/>
        <w:rPr>
          <w:rFonts w:cs="宋体"/>
          <w:b/>
          <w:color w:val="auto"/>
          <w:highlight w:val="none"/>
        </w:rPr>
      </w:pPr>
      <w:r>
        <w:rPr>
          <w:rFonts w:hint="eastAsia" w:cs="宋体"/>
          <w:b/>
          <w:color w:val="auto"/>
          <w:highlight w:val="none"/>
        </w:rPr>
        <w:t>30.验收</w:t>
      </w:r>
    </w:p>
    <w:p w14:paraId="0574A86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2998"/>
      <w:bookmarkEnd w:id="19"/>
      <w:bookmarkStart w:id="20" w:name="_Hlt68057669"/>
      <w:bookmarkEnd w:id="20"/>
      <w:bookmarkStart w:id="21" w:name="_Hlt75236290"/>
      <w:bookmarkEnd w:id="21"/>
      <w:bookmarkStart w:id="22" w:name="_Hlt75236101"/>
      <w:bookmarkEnd w:id="22"/>
      <w:bookmarkStart w:id="23" w:name="_Hlt74714665"/>
      <w:bookmarkEnd w:id="23"/>
      <w:bookmarkStart w:id="24" w:name="_Hlt68072990"/>
      <w:bookmarkEnd w:id="24"/>
      <w:bookmarkStart w:id="25" w:name="_Hlt74730295"/>
      <w:bookmarkEnd w:id="25"/>
      <w:bookmarkStart w:id="26" w:name="_Hlt74729768"/>
      <w:bookmarkEnd w:id="26"/>
      <w:bookmarkStart w:id="27" w:name="_Hlt74707468"/>
      <w:bookmarkEnd w:id="27"/>
      <w:bookmarkStart w:id="28" w:name="_Hlt68073093"/>
      <w:bookmarkEnd w:id="28"/>
      <w:bookmarkStart w:id="29" w:name="_Hlt75236011"/>
      <w:bookmarkEnd w:id="29"/>
      <w:bookmarkStart w:id="30" w:name="_Hlt68403820"/>
      <w:bookmarkEnd w:id="30"/>
    </w:p>
    <w:p w14:paraId="6708D7E0">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089A99B">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14:paraId="75C644A7">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6E3B7F91">
      <w:pPr>
        <w:tabs>
          <w:tab w:val="left" w:pos="0"/>
        </w:tabs>
        <w:spacing w:line="360" w:lineRule="auto"/>
        <w:ind w:firstLine="480"/>
        <w:rPr>
          <w:rFonts w:hint="eastAsia" w:asciiTheme="minorEastAsia" w:hAnsiTheme="minorEastAsia" w:eastAsiaTheme="minorEastAsia" w:cstheme="minorEastAsia"/>
          <w:b/>
          <w:bCs/>
          <w:sz w:val="24"/>
          <w:highlight w:val="none"/>
        </w:rPr>
      </w:pPr>
      <w:r>
        <w:rPr>
          <w:rFonts w:hint="eastAsia"/>
          <w:b/>
          <w:bCs/>
        </w:rPr>
        <w:t>“▲” 系指实质性要求条款</w:t>
      </w:r>
      <w:r>
        <w:rPr>
          <w:rFonts w:hint="eastAsia"/>
          <w:b/>
          <w:bCs/>
          <w:lang w:eastAsia="zh-CN"/>
        </w:rPr>
        <w:t>，不满足或未响应招标文件的实质性要求的，投标无效。</w:t>
      </w:r>
      <w:r>
        <w:rPr>
          <w:rFonts w:hint="eastAsia"/>
          <w:b/>
          <w:bCs/>
          <w:lang w:val="zh-CN" w:eastAsia="zh-CN"/>
        </w:rPr>
        <w:t>“★”系产品采购项目中单一产品或核心产品。</w:t>
      </w:r>
    </w:p>
    <w:p w14:paraId="0B59BE0F">
      <w:pPr>
        <w:tabs>
          <w:tab w:val="left" w:pos="0"/>
        </w:tabs>
        <w:spacing w:line="360" w:lineRule="auto"/>
        <w:ind w:firstLine="480"/>
        <w:rPr>
          <w:rFonts w:hint="eastAsia" w:ascii="宋体" w:hAnsi="宋体" w:eastAsia="宋体" w:cs="宋体"/>
          <w:kern w:val="0"/>
          <w:sz w:val="24"/>
          <w:highlight w:val="none"/>
          <w:lang w:val="en-US" w:eastAsia="zh-CN"/>
        </w:rPr>
      </w:pPr>
      <w:r>
        <w:rPr>
          <w:rFonts w:hint="eastAsia" w:asciiTheme="minorEastAsia" w:hAnsiTheme="minorEastAsia" w:eastAsiaTheme="minorEastAsia" w:cstheme="minorEastAsia"/>
          <w:b/>
          <w:bCs/>
          <w:sz w:val="24"/>
          <w:highlight w:val="none"/>
        </w:rPr>
        <w:t>一、</w:t>
      </w:r>
      <w:bookmarkStart w:id="32" w:name="_Hlk91519282"/>
      <w:r>
        <w:rPr>
          <w:rFonts w:hint="eastAsia" w:asciiTheme="minorEastAsia" w:hAnsiTheme="minorEastAsia" w:eastAsiaTheme="minorEastAsia" w:cstheme="minorEastAsia"/>
          <w:b/>
          <w:bCs/>
          <w:sz w:val="24"/>
          <w:highlight w:val="none"/>
          <w:lang w:eastAsia="zh-CN"/>
        </w:rPr>
        <w:t>采购清单</w:t>
      </w:r>
      <w:bookmarkEnd w:id="32"/>
    </w:p>
    <w:tbl>
      <w:tblPr>
        <w:tblStyle w:val="62"/>
        <w:tblpPr w:leftFromText="180" w:rightFromText="180" w:vertAnchor="text" w:horzAnchor="page" w:tblpX="1758" w:tblpY="87"/>
        <w:tblOverlap w:val="never"/>
        <w:tblW w:w="463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2260"/>
        <w:gridCol w:w="2487"/>
        <w:gridCol w:w="1215"/>
        <w:gridCol w:w="1064"/>
        <w:gridCol w:w="820"/>
      </w:tblGrid>
      <w:tr w14:paraId="5682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B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9A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A6C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技术参数</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B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7C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A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38BC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9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41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b/>
                <w:bCs/>
                <w:lang w:val="zh-CN" w:eastAsia="zh-CN"/>
              </w:rPr>
              <w:t>★</w:t>
            </w:r>
            <w:r>
              <w:rPr>
                <w:rFonts w:hint="eastAsia" w:asciiTheme="minorEastAsia" w:hAnsiTheme="minorEastAsia" w:eastAsiaTheme="minorEastAsia" w:cstheme="minorEastAsia"/>
                <w:i w:val="0"/>
                <w:iCs w:val="0"/>
                <w:color w:val="000000"/>
                <w:kern w:val="0"/>
                <w:sz w:val="24"/>
                <w:szCs w:val="24"/>
                <w:u w:val="none"/>
                <w:lang w:val="en-US" w:eastAsia="zh-CN" w:bidi="ar"/>
              </w:rPr>
              <w:t>超融合服务器</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29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1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E620">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824C">
            <w:pPr>
              <w:jc w:val="center"/>
              <w:rPr>
                <w:rFonts w:hint="eastAsia" w:asciiTheme="minorEastAsia" w:hAnsiTheme="minorEastAsia" w:eastAsiaTheme="minorEastAsia" w:cstheme="minorEastAsia"/>
                <w:i w:val="0"/>
                <w:iCs w:val="0"/>
                <w:color w:val="000000"/>
                <w:sz w:val="24"/>
                <w:szCs w:val="24"/>
                <w:u w:val="none"/>
              </w:rPr>
            </w:pPr>
          </w:p>
        </w:tc>
      </w:tr>
      <w:tr w14:paraId="4174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A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25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NAS存储</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5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1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DD45A">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0EAD">
            <w:pPr>
              <w:jc w:val="center"/>
              <w:rPr>
                <w:rFonts w:hint="eastAsia" w:asciiTheme="minorEastAsia" w:hAnsiTheme="minorEastAsia" w:eastAsiaTheme="minorEastAsia" w:cstheme="minorEastAsia"/>
                <w:i w:val="0"/>
                <w:iCs w:val="0"/>
                <w:color w:val="000000"/>
                <w:sz w:val="24"/>
                <w:szCs w:val="24"/>
                <w:u w:val="none"/>
              </w:rPr>
            </w:pPr>
          </w:p>
        </w:tc>
      </w:tr>
      <w:tr w14:paraId="56FD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DB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B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数据库审计</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3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53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27462">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7DF7">
            <w:pPr>
              <w:jc w:val="center"/>
              <w:rPr>
                <w:rFonts w:hint="eastAsia" w:asciiTheme="minorEastAsia" w:hAnsiTheme="minorEastAsia" w:eastAsiaTheme="minorEastAsia" w:cstheme="minorEastAsia"/>
                <w:i w:val="0"/>
                <w:iCs w:val="0"/>
                <w:color w:val="000000"/>
                <w:sz w:val="24"/>
                <w:szCs w:val="24"/>
                <w:u w:val="none"/>
              </w:rPr>
            </w:pPr>
          </w:p>
        </w:tc>
      </w:tr>
      <w:tr w14:paraId="42A5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6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E3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日志审计</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BF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C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C130">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3F41">
            <w:pPr>
              <w:jc w:val="center"/>
              <w:rPr>
                <w:rFonts w:hint="eastAsia" w:asciiTheme="minorEastAsia" w:hAnsiTheme="minorEastAsia" w:eastAsiaTheme="minorEastAsia" w:cstheme="minorEastAsia"/>
                <w:i w:val="0"/>
                <w:iCs w:val="0"/>
                <w:color w:val="000000"/>
                <w:sz w:val="24"/>
                <w:szCs w:val="24"/>
                <w:u w:val="none"/>
              </w:rPr>
            </w:pPr>
          </w:p>
        </w:tc>
      </w:tr>
      <w:tr w14:paraId="5F6B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5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5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防统方</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6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33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752F">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台</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D8BC">
            <w:pPr>
              <w:jc w:val="center"/>
              <w:rPr>
                <w:rFonts w:hint="eastAsia" w:asciiTheme="minorEastAsia" w:hAnsiTheme="minorEastAsia" w:eastAsiaTheme="minorEastAsia" w:cstheme="minorEastAsia"/>
                <w:i w:val="0"/>
                <w:iCs w:val="0"/>
                <w:color w:val="000000"/>
                <w:sz w:val="24"/>
                <w:szCs w:val="24"/>
                <w:u w:val="none"/>
              </w:rPr>
            </w:pPr>
          </w:p>
        </w:tc>
      </w:tr>
      <w:tr w14:paraId="40C9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0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CA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数据库</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5D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3BF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F3B9">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5A04">
            <w:pPr>
              <w:jc w:val="center"/>
              <w:rPr>
                <w:rFonts w:hint="eastAsia" w:asciiTheme="minorEastAsia" w:hAnsiTheme="minorEastAsia" w:eastAsiaTheme="minorEastAsia" w:cstheme="minorEastAsia"/>
                <w:i w:val="0"/>
                <w:iCs w:val="0"/>
                <w:color w:val="000000"/>
                <w:sz w:val="24"/>
                <w:szCs w:val="24"/>
                <w:u w:val="none"/>
              </w:rPr>
            </w:pPr>
          </w:p>
        </w:tc>
      </w:tr>
      <w:tr w14:paraId="451B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6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6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中间件</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F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F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611D">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30D61">
            <w:pPr>
              <w:jc w:val="center"/>
              <w:rPr>
                <w:rFonts w:hint="eastAsia" w:asciiTheme="minorEastAsia" w:hAnsiTheme="minorEastAsia" w:eastAsiaTheme="minorEastAsia" w:cstheme="minorEastAsia"/>
                <w:i w:val="0"/>
                <w:iCs w:val="0"/>
                <w:color w:val="000000"/>
                <w:sz w:val="24"/>
                <w:szCs w:val="24"/>
                <w:u w:val="none"/>
              </w:rPr>
            </w:pPr>
          </w:p>
        </w:tc>
      </w:tr>
      <w:tr w14:paraId="7AA99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9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3A29">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辅材</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7CD7">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C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E9BA">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批</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98FC">
            <w:pPr>
              <w:jc w:val="center"/>
              <w:rPr>
                <w:rFonts w:hint="eastAsia" w:asciiTheme="minorEastAsia" w:hAnsiTheme="minorEastAsia" w:eastAsiaTheme="minorEastAsia" w:cstheme="minorEastAsia"/>
                <w:i w:val="0"/>
                <w:iCs w:val="0"/>
                <w:color w:val="000000"/>
                <w:sz w:val="24"/>
                <w:szCs w:val="24"/>
                <w:u w:val="none"/>
              </w:rPr>
            </w:pPr>
          </w:p>
        </w:tc>
      </w:tr>
      <w:tr w14:paraId="5773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84F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76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系统集成</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AB3E">
            <w:pPr>
              <w:bidi w:val="0"/>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详见附件</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57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E7C4">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项</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A77F">
            <w:pPr>
              <w:jc w:val="center"/>
              <w:rPr>
                <w:rFonts w:hint="eastAsia" w:asciiTheme="minorEastAsia" w:hAnsiTheme="minorEastAsia" w:eastAsiaTheme="minorEastAsia" w:cstheme="minorEastAsia"/>
                <w:i w:val="0"/>
                <w:iCs w:val="0"/>
                <w:color w:val="000000"/>
                <w:sz w:val="24"/>
                <w:szCs w:val="24"/>
                <w:u w:val="none"/>
              </w:rPr>
            </w:pPr>
          </w:p>
        </w:tc>
      </w:tr>
    </w:tbl>
    <w:p w14:paraId="140C678D">
      <w:pPr>
        <w:rPr>
          <w:rFonts w:hint="eastAsia"/>
          <w:lang w:val="en-US" w:eastAsia="zh-CN"/>
        </w:rPr>
      </w:pPr>
    </w:p>
    <w:p w14:paraId="2B0A53F2">
      <w:pPr>
        <w:rPr>
          <w:rFonts w:hint="eastAsia"/>
          <w:lang w:val="en-US" w:eastAsia="zh-CN"/>
        </w:rPr>
      </w:pPr>
    </w:p>
    <w:p w14:paraId="0511EFA9">
      <w:pPr>
        <w:tabs>
          <w:tab w:val="left" w:pos="0"/>
        </w:tabs>
        <w:spacing w:line="360" w:lineRule="auto"/>
        <w:ind w:firstLine="480"/>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sz w:val="24"/>
          <w:highlight w:val="none"/>
          <w:lang w:val="en-US" w:eastAsia="zh-CN"/>
        </w:rPr>
        <w:t>二、技术参数</w:t>
      </w:r>
    </w:p>
    <w:p w14:paraId="03166850">
      <w:pPr>
        <w:rPr>
          <w:rFonts w:hint="eastAsia"/>
          <w:lang w:val="en-US" w:eastAsia="zh-CN"/>
        </w:rPr>
      </w:pPr>
      <w:r>
        <w:rPr>
          <w:rFonts w:hint="eastAsia" w:asciiTheme="minorEastAsia" w:hAnsiTheme="minorEastAsia" w:eastAsiaTheme="minorEastAsia" w:cstheme="minorEastAsia"/>
          <w:sz w:val="24"/>
          <w:szCs w:val="24"/>
          <w:lang w:val="en-US" w:eastAsia="zh-CN"/>
        </w:rPr>
        <w:t>1.超融合服务器</w:t>
      </w:r>
      <w:r>
        <w:rPr>
          <w:rFonts w:hint="eastAsia"/>
          <w:lang w:val="en-US" w:eastAsia="zh-CN"/>
        </w:rPr>
        <w:t>：</w:t>
      </w:r>
    </w:p>
    <w:p w14:paraId="392ADC8E">
      <w:pPr>
        <w:rPr>
          <w:rFonts w:hint="eastAsia"/>
          <w:lang w:val="en-US" w:eastAsia="zh-CN"/>
        </w:rPr>
      </w:pPr>
    </w:p>
    <w:tbl>
      <w:tblPr>
        <w:tblStyle w:val="62"/>
        <w:tblW w:w="8619"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7534"/>
      </w:tblGrid>
      <w:tr w14:paraId="59D5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085" w:type="dxa"/>
            <w:shd w:val="clear" w:color="000000" w:fill="FFFFFF"/>
            <w:vAlign w:val="center"/>
          </w:tcPr>
          <w:p w14:paraId="0691F412">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指标项</w:t>
            </w:r>
          </w:p>
        </w:tc>
        <w:tc>
          <w:tcPr>
            <w:tcW w:w="7534" w:type="dxa"/>
            <w:shd w:val="clear" w:color="000000" w:fill="FFFFFF"/>
            <w:vAlign w:val="center"/>
          </w:tcPr>
          <w:p w14:paraId="75C4F018">
            <w:pPr>
              <w:widowControl/>
              <w:jc w:val="center"/>
              <w:rPr>
                <w:rFonts w:ascii="Times New Roman" w:hAnsi="Times New Roman" w:eastAsia="宋体" w:cs="Times New Roman"/>
                <w:b/>
                <w:bCs/>
                <w:color w:val="000000"/>
                <w:kern w:val="0"/>
                <w:szCs w:val="21"/>
              </w:rPr>
            </w:pPr>
            <w:r>
              <w:rPr>
                <w:rFonts w:hint="eastAsia" w:cs="Times New Roman"/>
                <w:b/>
                <w:kern w:val="0"/>
                <w:szCs w:val="21"/>
                <w:lang w:val="en-US" w:eastAsia="zh-CN"/>
              </w:rPr>
              <w:t>技术</w:t>
            </w:r>
            <w:r>
              <w:rPr>
                <w:rFonts w:ascii="Times New Roman" w:hAnsi="Times New Roman" w:eastAsia="宋体" w:cs="Times New Roman"/>
                <w:b/>
                <w:kern w:val="0"/>
                <w:szCs w:val="21"/>
              </w:rPr>
              <w:t>参数要求</w:t>
            </w:r>
          </w:p>
        </w:tc>
      </w:tr>
      <w:tr w14:paraId="2F27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085" w:type="dxa"/>
            <w:shd w:val="clear" w:color="000000" w:fill="FFFFFF"/>
            <w:vAlign w:val="center"/>
          </w:tcPr>
          <w:p w14:paraId="3961608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超融合硬件节点</w:t>
            </w:r>
          </w:p>
        </w:tc>
        <w:tc>
          <w:tcPr>
            <w:tcW w:w="7534" w:type="dxa"/>
            <w:shd w:val="clear" w:color="000000" w:fill="FFFFFF"/>
            <w:vAlign w:val="center"/>
          </w:tcPr>
          <w:p w14:paraId="00F1CEA0">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1)硬件设备采用2U机架式设备；</w:t>
            </w:r>
          </w:p>
          <w:p w14:paraId="FBA18C56">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2)处理器：每节点配置≥2颗</w:t>
            </w:r>
            <w:r>
              <w:rPr>
                <w:rFonts w:hint="eastAsia" w:ascii="Times New Roman" w:hAnsi="Times New Roman" w:eastAsia="宋体" w:cs="Times New Roman"/>
                <w:color w:val="000000"/>
                <w:kern w:val="0"/>
                <w:szCs w:val="21"/>
              </w:rPr>
              <w:t>C</w:t>
            </w:r>
            <w:r>
              <w:rPr>
                <w:rFonts w:ascii="Times New Roman" w:hAnsi="Times New Roman" w:eastAsia="宋体" w:cs="Times New Roman"/>
                <w:color w:val="000000"/>
                <w:kern w:val="0"/>
                <w:szCs w:val="21"/>
              </w:rPr>
              <w:t>86处理器，符合安全可靠测评标准，CPU核数≥32C，主频≥2. 2GHz</w:t>
            </w:r>
          </w:p>
          <w:p w14:paraId="D7819B9B">
            <w:pPr>
              <w:widowControl/>
              <w:jc w:val="left"/>
              <w:rPr>
                <w:rFonts w:ascii="Times New Roman" w:hAnsi="Times New Roman" w:eastAsia="宋体" w:cs="Times New Roman"/>
                <w:color w:val="000000"/>
                <w:kern w:val="0"/>
                <w:szCs w:val="21"/>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rPr>
              <w:t>3)内存：每节点配置≥768G内存；</w:t>
            </w:r>
          </w:p>
          <w:p w14:paraId="E1CDD09B">
            <w:pPr>
              <w:widowControl/>
              <w:jc w:val="left"/>
              <w:rPr>
                <w:rFonts w:ascii="Times New Roman" w:hAnsi="Times New Roman" w:eastAsia="宋体" w:cs="Times New Roman"/>
                <w:b/>
                <w:bCs/>
                <w:color w:val="000000"/>
                <w:kern w:val="0"/>
                <w:szCs w:val="21"/>
              </w:rPr>
            </w:pPr>
            <w:r>
              <w:rPr>
                <w:rFonts w:hint="eastAsia" w:ascii="Segoe UI Symbol" w:hAnsi="Segoe UI Symbol" w:eastAsia="宋体" w:cs="Segoe UI Symbol"/>
                <w:b/>
                <w:bCs/>
                <w:color w:val="000000"/>
                <w:kern w:val="0"/>
                <w:szCs w:val="21"/>
                <w:highlight w:val="none"/>
              </w:rPr>
              <w:t>☆</w:t>
            </w:r>
            <w:r>
              <w:rPr>
                <w:rFonts w:ascii="Times New Roman" w:hAnsi="Times New Roman" w:eastAsia="宋体" w:cs="Times New Roman"/>
                <w:b/>
                <w:bCs/>
                <w:color w:val="000000"/>
                <w:kern w:val="0"/>
                <w:szCs w:val="21"/>
              </w:rPr>
              <w:t>4)硬盘：每节点配置不低于8块7.68TB NVME SSD硬盘；每节点配置2块不低于480GB SSD（raid 1）系统盘；</w:t>
            </w:r>
          </w:p>
          <w:p w14:paraId="9FFB0DCD">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5)每节点配置：</w:t>
            </w:r>
            <w:r>
              <w:rPr>
                <w:rFonts w:hint="eastAsia" w:ascii="Times New Roman" w:hAnsi="Times New Roman" w:eastAsia="宋体" w:cs="Times New Roman"/>
                <w:color w:val="000000"/>
                <w:kern w:val="0"/>
                <w:szCs w:val="21"/>
              </w:rPr>
              <w:t>配置不低于</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块双口</w:t>
            </w:r>
            <w:r>
              <w:rPr>
                <w:rFonts w:ascii="Times New Roman" w:hAnsi="Times New Roman" w:eastAsia="宋体" w:cs="Times New Roman"/>
                <w:color w:val="000000"/>
                <w:kern w:val="0"/>
                <w:szCs w:val="21"/>
              </w:rPr>
              <w:t>10G</w:t>
            </w:r>
            <w:r>
              <w:rPr>
                <w:rFonts w:hint="eastAsia" w:ascii="Times New Roman" w:hAnsi="Times New Roman" w:eastAsia="宋体" w:cs="Times New Roman"/>
                <w:color w:val="000000"/>
                <w:kern w:val="0"/>
                <w:szCs w:val="21"/>
              </w:rPr>
              <w:t>网卡</w:t>
            </w:r>
            <w:r>
              <w:rPr>
                <w:rFonts w:ascii="Times New Roman" w:hAnsi="Times New Roman" w:eastAsia="宋体" w:cs="Times New Roman"/>
                <w:color w:val="000000"/>
                <w:kern w:val="0"/>
                <w:szCs w:val="21"/>
              </w:rPr>
              <w:t>（含多模光模块）</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块双口</w:t>
            </w:r>
            <w:r>
              <w:rPr>
                <w:rFonts w:ascii="Times New Roman" w:hAnsi="Times New Roman" w:eastAsia="宋体" w:cs="Times New Roman"/>
                <w:color w:val="000000"/>
                <w:kern w:val="0"/>
                <w:szCs w:val="21"/>
              </w:rPr>
              <w:t>10G</w:t>
            </w:r>
            <w:r>
              <w:rPr>
                <w:rFonts w:hint="eastAsia" w:ascii="Times New Roman" w:hAnsi="Times New Roman" w:eastAsia="宋体" w:cs="Times New Roman"/>
                <w:color w:val="000000"/>
                <w:kern w:val="0"/>
                <w:szCs w:val="21"/>
              </w:rPr>
              <w:t>网卡</w:t>
            </w:r>
            <w:r>
              <w:rPr>
                <w:rFonts w:ascii="Times New Roman" w:hAnsi="Times New Roman" w:eastAsia="宋体" w:cs="Times New Roman"/>
                <w:color w:val="000000"/>
                <w:kern w:val="0"/>
                <w:szCs w:val="21"/>
              </w:rPr>
              <w:t>（含多模光模块），</w:t>
            </w:r>
            <w:r>
              <w:rPr>
                <w:rFonts w:hint="eastAsia" w:ascii="Times New Roman" w:hAnsi="Times New Roman" w:eastAsia="宋体" w:cs="Times New Roman"/>
                <w:color w:val="000000"/>
                <w:kern w:val="0"/>
                <w:szCs w:val="21"/>
              </w:rPr>
              <w:t>1块双口</w:t>
            </w:r>
            <w:r>
              <w:rPr>
                <w:rFonts w:ascii="Times New Roman" w:hAnsi="Times New Roman" w:eastAsia="宋体" w:cs="Times New Roman"/>
                <w:color w:val="000000"/>
                <w:kern w:val="0"/>
                <w:szCs w:val="21"/>
              </w:rPr>
              <w:t xml:space="preserve">千兆网卡； </w:t>
            </w:r>
          </w:p>
          <w:p w14:paraId="050ED383">
            <w:pPr>
              <w:widowControl/>
              <w:jc w:val="left"/>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6)冗余电源风扇模块</w:t>
            </w:r>
            <w:r>
              <w:rPr>
                <w:rFonts w:hint="eastAsia" w:ascii="Times New Roman" w:hAnsi="Times New Roman" w:cs="Times New Roman"/>
                <w:color w:val="000000"/>
                <w:kern w:val="0"/>
                <w:szCs w:val="21"/>
                <w:lang w:eastAsia="zh-CN"/>
              </w:rPr>
              <w:t>。</w:t>
            </w:r>
          </w:p>
        </w:tc>
      </w:tr>
      <w:tr w14:paraId="2DCE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1085" w:type="dxa"/>
            <w:shd w:val="clear" w:color="000000" w:fill="FFFFFF"/>
            <w:vAlign w:val="center"/>
          </w:tcPr>
          <w:p w14:paraId="3CE95D2E">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管理平台</w:t>
            </w:r>
          </w:p>
        </w:tc>
        <w:tc>
          <w:tcPr>
            <w:tcW w:w="7534" w:type="dxa"/>
            <w:shd w:val="clear" w:color="000000" w:fill="FFFFFF"/>
            <w:vAlign w:val="center"/>
          </w:tcPr>
          <w:p w14:paraId="6CA808E9">
            <w:pPr>
              <w:widowControl/>
              <w:jc w:val="left"/>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1)超融合是软、硬件一体化产品，平台具备将计算、存储、网络、负载均衡进行融合管理的能力，具备灾难恢复的能力，是一个不可分割的整体</w:t>
            </w:r>
            <w:r>
              <w:rPr>
                <w:rFonts w:ascii="Times New Roman" w:hAnsi="Times New Roman" w:eastAsia="宋体" w:cs="Times New Roman"/>
                <w:color w:val="000000"/>
                <w:kern w:val="0"/>
                <w:szCs w:val="21"/>
                <w:highlight w:val="none"/>
                <w:lang w:val="en-US"/>
              </w:rPr>
              <w:t>;</w:t>
            </w:r>
          </w:p>
          <w:p w14:paraId="D4C662E8">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支持虚拟机和裸金属服务器统一管理，支持对裸金属服务器远程电源管理、挂载安装ISO镜像等操作，可将虚拟机镜像部署为裸金属服务器操作系统，可查看裸金属服务器电源状态、CPU、内存、硬盘等硬件信息，支持打开裸金属服务器控制台进行运维操作</w:t>
            </w:r>
            <w:r>
              <w:rPr>
                <w:rFonts w:ascii="Times New Roman" w:hAnsi="Times New Roman" w:eastAsia="宋体" w:cs="Times New Roman"/>
                <w:b/>
                <w:bCs/>
                <w:color w:val="000000"/>
                <w:kern w:val="0"/>
                <w:szCs w:val="21"/>
              </w:rPr>
              <w:t>（提供产品功能截图）</w:t>
            </w:r>
            <w:r>
              <w:rPr>
                <w:rFonts w:ascii="Times New Roman" w:hAnsi="Times New Roman" w:eastAsia="宋体" w:cs="Times New Roman"/>
                <w:color w:val="000000"/>
                <w:kern w:val="0"/>
                <w:szCs w:val="21"/>
              </w:rPr>
              <w:t>；</w:t>
            </w:r>
          </w:p>
          <w:p w14:paraId="B751C899">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3)支持在线双向跨云迁移功能，在管理界面内将源站点的虚拟机不中断的迁移到目标站点平台内，跨云迁移的站点包括但不限于vSphere、投标品牌虚拟化平台等，</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ascii="Times New Roman" w:hAnsi="Times New Roman" w:eastAsia="宋体" w:cs="Times New Roman"/>
                <w:color w:val="000000"/>
                <w:kern w:val="0"/>
                <w:szCs w:val="21"/>
              </w:rPr>
              <w:t>；</w:t>
            </w:r>
          </w:p>
          <w:p w14:paraId="6BBA4129">
            <w:pPr>
              <w:widowControl/>
              <w:jc w:val="left"/>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4)支持主机、硬盘、网卡定位功能以快速寻找机房部件，提升运维效率，通过服务器主机的UID指示灯状态可以快速定位识别到目标主机位置</w:t>
            </w:r>
            <w:r>
              <w:rPr>
                <w:rFonts w:hint="eastAsia" w:ascii="Times New Roman" w:hAnsi="Times New Roman" w:cs="Times New Roman"/>
                <w:color w:val="000000"/>
                <w:kern w:val="0"/>
                <w:szCs w:val="21"/>
                <w:lang w:eastAsia="zh-CN"/>
              </w:rPr>
              <w:t>；</w:t>
            </w:r>
          </w:p>
          <w:p w14:paraId="135F177C">
            <w:pPr>
              <w:widowControl/>
              <w:jc w:val="left"/>
              <w:rPr>
                <w:rFonts w:hint="eastAsia" w:ascii="Times New Roman" w:hAnsi="Times New Roman" w:cs="Times New Roman"/>
                <w:color w:val="000000"/>
                <w:kern w:val="0"/>
                <w:szCs w:val="21"/>
                <w:lang w:eastAsia="zh-CN"/>
              </w:rPr>
            </w:pPr>
            <w:r>
              <w:rPr>
                <w:rFonts w:ascii="Times New Roman" w:hAnsi="Times New Roman" w:eastAsia="宋体" w:cs="Times New Roman"/>
                <w:color w:val="000000"/>
                <w:kern w:val="0"/>
                <w:szCs w:val="21"/>
              </w:rPr>
              <w:t>5）支持云网融合一体化图形管理界面，超融合管理平台支持纳管、配置和监控物理交换机设备，超融合管理平台界面支持设置物理交换机环路检测、端口速率、端口聚合等；支持在超融合管理界面查看物理交换机各个端口信号灯状态</w:t>
            </w:r>
            <w:r>
              <w:rPr>
                <w:rFonts w:hint="eastAsia" w:ascii="Times New Roman" w:hAnsi="Times New Roman" w:cs="Times New Roman"/>
                <w:color w:val="000000"/>
                <w:kern w:val="0"/>
                <w:szCs w:val="21"/>
                <w:lang w:eastAsia="zh-CN"/>
              </w:rPr>
              <w:t>；</w:t>
            </w:r>
          </w:p>
          <w:p w14:paraId="F7CC5A72">
            <w:pPr>
              <w:widowControl/>
              <w:jc w:val="left"/>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6）</w:t>
            </w:r>
            <w:r>
              <w:rPr>
                <w:rFonts w:hint="eastAsia" w:ascii="Times New Roman" w:hAnsi="Times New Roman" w:eastAsia="宋体" w:cs="Times New Roman"/>
                <w:color w:val="000000"/>
                <w:kern w:val="0"/>
                <w:szCs w:val="21"/>
              </w:rPr>
              <w:t>为方便运维人员操作，提供</w:t>
            </w:r>
            <w:r>
              <w:rPr>
                <w:rFonts w:ascii="Times New Roman" w:hAnsi="Times New Roman" w:eastAsia="宋体" w:cs="Times New Roman"/>
                <w:color w:val="000000"/>
                <w:kern w:val="0"/>
                <w:szCs w:val="21"/>
              </w:rPr>
              <w:t>B/S和C/S两种虚拟机控制台使用方式，C/S客户端无授权限制</w:t>
            </w:r>
            <w:r>
              <w:rPr>
                <w:rFonts w:hint="eastAsia" w:ascii="Times New Roman" w:hAnsi="Times New Roman" w:cs="Times New Roman"/>
                <w:color w:val="000000"/>
                <w:kern w:val="0"/>
                <w:szCs w:val="21"/>
                <w:lang w:eastAsia="zh-CN"/>
              </w:rPr>
              <w:t>；</w:t>
            </w:r>
          </w:p>
          <w:p w14:paraId="379DFAAF">
            <w:pPr>
              <w:widowControl/>
              <w:jc w:val="left"/>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7）支持系统环境一键巡检，包括不限于资源使用、物理设备、存储空间、网络使用与IP冲突等状况，支持按照每日、每周、每月设置巡检周期，支持设置巡检报告最大保留份数记录，支持自动发送检测报告到指定邮箱</w:t>
            </w:r>
            <w:r>
              <w:rPr>
                <w:rFonts w:hint="eastAsia" w:ascii="Times New Roman" w:hAnsi="Times New Roman" w:cs="Times New Roman"/>
                <w:color w:val="000000"/>
                <w:kern w:val="0"/>
                <w:szCs w:val="21"/>
                <w:lang w:eastAsia="zh-CN"/>
              </w:rPr>
              <w:t>。</w:t>
            </w:r>
          </w:p>
        </w:tc>
      </w:tr>
      <w:tr w14:paraId="1DBE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7" w:hRule="atLeast"/>
        </w:trPr>
        <w:tc>
          <w:tcPr>
            <w:tcW w:w="1085" w:type="dxa"/>
            <w:vAlign w:val="center"/>
          </w:tcPr>
          <w:p w14:paraId="E1588CC4">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计算虚拟化</w:t>
            </w:r>
          </w:p>
        </w:tc>
        <w:tc>
          <w:tcPr>
            <w:tcW w:w="7534" w:type="dxa"/>
            <w:shd w:val="clear" w:color="000000" w:fill="FFFFFF"/>
            <w:vAlign w:val="center"/>
          </w:tcPr>
          <w:p w14:paraId="FDE29638">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1)计算虚拟化软件兼容</w:t>
            </w:r>
            <w:r>
              <w:rPr>
                <w:rFonts w:hint="eastAsia" w:ascii="Times New Roman" w:hAnsi="Times New Roman" w:eastAsia="宋体" w:cs="Times New Roman"/>
                <w:color w:val="000000"/>
                <w:kern w:val="0"/>
                <w:szCs w:val="21"/>
              </w:rPr>
              <w:t>X</w:t>
            </w:r>
            <w:r>
              <w:rPr>
                <w:rFonts w:ascii="Times New Roman" w:hAnsi="Times New Roman" w:eastAsia="宋体" w:cs="Times New Roman"/>
                <w:color w:val="000000"/>
                <w:kern w:val="0"/>
                <w:szCs w:val="21"/>
              </w:rPr>
              <w:t>86、</w:t>
            </w:r>
            <w:r>
              <w:rPr>
                <w:rFonts w:hint="eastAsia" w:ascii="Times New Roman" w:hAnsi="Times New Roman" w:eastAsia="宋体" w:cs="Times New Roman"/>
                <w:color w:val="000000"/>
                <w:kern w:val="0"/>
                <w:szCs w:val="21"/>
              </w:rPr>
              <w:t>C</w:t>
            </w:r>
            <w:r>
              <w:rPr>
                <w:rFonts w:ascii="Times New Roman" w:hAnsi="Times New Roman" w:eastAsia="宋体" w:cs="Times New Roman"/>
                <w:color w:val="000000"/>
                <w:kern w:val="0"/>
                <w:szCs w:val="21"/>
              </w:rPr>
              <w:t>86海光、鲲鹏、飞腾等主流国产芯片，</w:t>
            </w:r>
            <w:r>
              <w:rPr>
                <w:rFonts w:hint="eastAsia" w:ascii="Times New Roman" w:hAnsi="Times New Roman" w:eastAsia="宋体" w:cs="Times New Roman"/>
                <w:color w:val="000000"/>
                <w:kern w:val="0"/>
                <w:szCs w:val="21"/>
              </w:rPr>
              <w:t>支持一云多芯，支持一套管理平台纳管不同</w:t>
            </w:r>
            <w:r>
              <w:rPr>
                <w:rFonts w:ascii="Times New Roman" w:hAnsi="Times New Roman" w:eastAsia="宋体" w:cs="Times New Roman"/>
                <w:color w:val="000000"/>
                <w:kern w:val="0"/>
                <w:szCs w:val="21"/>
              </w:rPr>
              <w:t>CPU架构（至少3种）的主机集群；</w:t>
            </w:r>
          </w:p>
          <w:p w14:paraId="F4B8062D">
            <w:pPr>
              <w:keepNext w:val="0"/>
              <w:keepLines w:val="0"/>
              <w:pageBreakBefore w:val="0"/>
              <w:widowControl/>
              <w:kinsoku/>
              <w:wordWrap/>
              <w:overflowPunct/>
              <w:topLinePunct w:val="0"/>
              <w:autoSpaceDE/>
              <w:autoSpaceDN/>
              <w:bidi w:val="0"/>
              <w:adjustRightInd w:val="0"/>
              <w:snapToGrid/>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2)支持主流的X86架构的操作系统，包括Windows Server 2003/2008/2012/2016/2019/2022， 以及Oracle、Redhat等，支持国产红旗、银河麒麟、统信、凝思等操作系统；</w:t>
            </w:r>
          </w:p>
          <w:p w14:paraId="6BA6D8C1">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3)支持DPM动态电源调度，支持虚拟机故障HA功能，可配置HA接入控制策略，HA最大尝试次数，且支持HA故障切换主机设置，达到故障隔离的效果，并支持配置虚拟机自启动策略和启动优先级；</w:t>
            </w:r>
          </w:p>
          <w:p w14:paraId="B139CA6A">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4)支持大内存页和DPDK加速功能，虚拟化界面可配置内存页大小和页数，支持虚拟机NUMA感知功能，保证虚拟机OS的NUMA与主机的NUMA拓扑保持一致，并显示大内存页的使用量和可用内存，</w:t>
            </w:r>
            <w:r>
              <w:rPr>
                <w:rFonts w:ascii="Times New Roman" w:hAnsi="Times New Roman" w:eastAsia="宋体" w:cs="Times New Roman"/>
                <w:b/>
                <w:bCs/>
                <w:color w:val="000000"/>
                <w:kern w:val="0"/>
                <w:szCs w:val="21"/>
              </w:rPr>
              <w:t>提供截图证明</w:t>
            </w:r>
            <w:r>
              <w:rPr>
                <w:rFonts w:ascii="Times New Roman" w:hAnsi="Times New Roman" w:eastAsia="宋体" w:cs="Times New Roman"/>
                <w:color w:val="000000"/>
                <w:kern w:val="0"/>
                <w:szCs w:val="21"/>
              </w:rPr>
              <w:t>；</w:t>
            </w:r>
          </w:p>
          <w:p w14:paraId="F4696CB9">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5)支持精细化的虚拟机迁移控制和独享迁移网络，可配置虚拟机迁移速度和虚拟机迁移带宽百分比，可指定专用独享迁移网络，隔离迁移网络流量与管理网流量，保障用户业务正常运行；</w:t>
            </w:r>
          </w:p>
          <w:p w14:paraId="5B785E8A">
            <w:pPr>
              <w:widowControl/>
              <w:jc w:val="left"/>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6)支持一键开启和关闭数据中心内、集群内的所有虚拟机，并设置虚拟机跟随主机启动策略以及虚拟机启动优先级策略，方便机房搬迁或关电运维场景使用</w:t>
            </w:r>
            <w:r>
              <w:rPr>
                <w:rFonts w:hint="eastAsia" w:ascii="Times New Roman" w:hAnsi="Times New Roman" w:cs="Times New Roman"/>
                <w:color w:val="000000"/>
                <w:kern w:val="0"/>
                <w:szCs w:val="21"/>
                <w:lang w:eastAsia="zh-CN"/>
              </w:rPr>
              <w:t>；</w:t>
            </w:r>
          </w:p>
          <w:p w14:paraId="AE06DE28">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7)为满足日益增长的容器资源需求，要求同一个超融合节点支持同时运行虚拟机和容器计算资源，非虚拟机内嵌套部署容器方式；容器与虚拟机使用相同的SDN网络、数据存储，</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ascii="Times New Roman" w:hAnsi="Times New Roman" w:eastAsia="宋体" w:cs="Times New Roman"/>
                <w:color w:val="000000"/>
                <w:kern w:val="0"/>
                <w:szCs w:val="21"/>
              </w:rPr>
              <w:t>；</w:t>
            </w:r>
          </w:p>
          <w:p w14:paraId="14631ED6">
            <w:pPr>
              <w:widowControl/>
              <w:jc w:val="left"/>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8）支持GPU组功能，支持多块GPU透传给一个虚拟机使用，支持vGPU功能</w:t>
            </w:r>
            <w:r>
              <w:rPr>
                <w:rFonts w:hint="eastAsia" w:ascii="Times New Roman" w:hAnsi="Times New Roman" w:cs="Times New Roman"/>
                <w:color w:val="000000"/>
                <w:kern w:val="0"/>
                <w:szCs w:val="21"/>
                <w:lang w:eastAsia="zh-CN"/>
              </w:rPr>
              <w:t>。</w:t>
            </w:r>
          </w:p>
        </w:tc>
      </w:tr>
      <w:tr w14:paraId="DD85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dxa"/>
            <w:vAlign w:val="center"/>
          </w:tcPr>
          <w:p w14:paraId="C45F2383">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存储虚拟化</w:t>
            </w:r>
          </w:p>
        </w:tc>
        <w:tc>
          <w:tcPr>
            <w:tcW w:w="7534" w:type="dxa"/>
            <w:shd w:val="clear" w:color="000000" w:fill="FFFFFF"/>
            <w:vAlign w:val="center"/>
          </w:tcPr>
          <w:p w14:paraId="65A54D9D">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元数据采用分布式保护机制，分布在不同节点，在节点意外掉电、断网、宕机情况下，系统数据不会丢失，不会影响业务系统正常运行，并且不需要额外硬件对内存中元数据提供保护，产品交付时可接受磁盘（SSD、HDD）、网络、节点故障场景测试；</w:t>
            </w:r>
          </w:p>
          <w:p w14:paraId="1EF33426">
            <w:pPr>
              <w:keepNext w:val="0"/>
              <w:keepLines w:val="0"/>
              <w:pageBreakBefore w:val="0"/>
              <w:widowControl/>
              <w:kinsoku/>
              <w:wordWrap/>
              <w:overflowPunct/>
              <w:topLinePunct w:val="0"/>
              <w:autoSpaceDE/>
              <w:autoSpaceDN/>
              <w:bidi w:val="0"/>
              <w:adjustRightInd w:val="0"/>
              <w:snapToGrid/>
              <w:jc w:val="both"/>
              <w:textAlignment w:val="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2)超融合支持同时对接本地分布式存储池和外挂阵列存储资源池，支持通过ISCSI、iSER、NVMe over RoCE协议对接超融合本地分布式存储池，支持通过ISCSI、iSER、NVMe over RoCE、FC、FC-NVMe协议对接外挂阵列存储资源池</w:t>
            </w:r>
            <w:r>
              <w:rPr>
                <w:rFonts w:hint="eastAsia" w:ascii="Times New Roman" w:hAnsi="Times New Roman" w:cs="Times New Roman"/>
                <w:color w:val="000000"/>
                <w:kern w:val="0"/>
                <w:szCs w:val="21"/>
                <w:lang w:eastAsia="zh-CN"/>
              </w:rPr>
              <w:t>；</w:t>
            </w:r>
          </w:p>
          <w:p w14:paraId="E36F8BEC">
            <w:pPr>
              <w:keepNext w:val="0"/>
              <w:keepLines w:val="0"/>
              <w:pageBreakBefore w:val="0"/>
              <w:widowControl/>
              <w:kinsoku/>
              <w:wordWrap/>
              <w:overflowPunct/>
              <w:topLinePunct w:val="0"/>
              <w:autoSpaceDE/>
              <w:autoSpaceDN/>
              <w:bidi w:val="0"/>
              <w:adjustRightInd w:val="0"/>
              <w:snapToGrid/>
              <w:jc w:val="both"/>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3)支持显示SSD物理磁盘磨损度寿命，运维用户可根据提示及时更换硬盘，避免导致系统故障，界面支持点亮/熄灭硬盘指示灯，便于运维人员对指定磁盘进行维护更换；</w:t>
            </w:r>
          </w:p>
          <w:p w14:paraId="B2A09EA3">
            <w:pPr>
              <w:keepNext w:val="0"/>
              <w:keepLines w:val="0"/>
              <w:pageBreakBefore w:val="0"/>
              <w:widowControl/>
              <w:kinsoku/>
              <w:wordWrap/>
              <w:overflowPunct/>
              <w:topLinePunct w:val="0"/>
              <w:autoSpaceDE/>
              <w:autoSpaceDN/>
              <w:bidi w:val="0"/>
              <w:adjustRightInd w:val="0"/>
              <w:snapToGrid/>
              <w:jc w:val="both"/>
              <w:textAlignment w:val="auto"/>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4)数据本地化，本地节点上的虚拟机数据访问在本地节点，随着虚拟机的迁移（手动迁移、故障HA迁移等），数据也随VM自动迁移至其他节点。VM虚拟磁盘有一个完整的副本保存在本地节点，从而实现数据本地化访问提高虚拟机性能，所有数据I/O优先访问本地节点并降低虚拟机跨节点数据读写带来的网络负载</w:t>
            </w:r>
            <w:r>
              <w:rPr>
                <w:rFonts w:hint="eastAsia" w:ascii="Times New Roman" w:hAnsi="Times New Roman" w:cs="Times New Roman"/>
                <w:color w:val="000000"/>
                <w:kern w:val="0"/>
                <w:szCs w:val="21"/>
                <w:lang w:eastAsia="zh-CN"/>
              </w:rPr>
              <w:t>；</w:t>
            </w:r>
          </w:p>
          <w:p w14:paraId="F041FACA">
            <w:pPr>
              <w:widowControl/>
              <w:jc w:val="left"/>
              <w:rPr>
                <w:rFonts w:ascii="Times New Roman" w:hAnsi="Times New Roman" w:eastAsia="宋体" w:cs="Times New Roman"/>
                <w:b/>
                <w:bCs/>
                <w:color w:val="000000"/>
                <w:kern w:val="0"/>
                <w:szCs w:val="21"/>
              </w:rPr>
            </w:pPr>
            <w:r>
              <w:rPr>
                <w:rFonts w:ascii="Times New Roman" w:hAnsi="Times New Roman" w:eastAsia="宋体" w:cs="Times New Roman"/>
                <w:color w:val="000000"/>
                <w:kern w:val="0"/>
                <w:szCs w:val="21"/>
              </w:rPr>
              <w:t>5)支持磁盘漫游功能，同一超融合节点内支持任意个存储磁盘交换位置，以防止主机维护时的运维人员误操作,</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ascii="Times New Roman" w:hAnsi="Times New Roman" w:eastAsia="宋体" w:cs="Times New Roman"/>
                <w:color w:val="000000"/>
                <w:kern w:val="0"/>
                <w:szCs w:val="21"/>
              </w:rPr>
              <w:t>；</w:t>
            </w:r>
          </w:p>
          <w:p w14:paraId="5EAF1289">
            <w:pPr>
              <w:widowControl/>
              <w:jc w:val="left"/>
              <w:rPr>
                <w:rFonts w:ascii="Times New Roman" w:hAnsi="Times New Roman" w:eastAsia="宋体" w:cs="Times New Roman"/>
                <w:b/>
                <w:bCs/>
                <w:color w:val="000000"/>
                <w:kern w:val="0"/>
                <w:szCs w:val="21"/>
              </w:rPr>
            </w:pPr>
            <w:r>
              <w:rPr>
                <w:rFonts w:ascii="Times New Roman" w:hAnsi="Times New Roman" w:eastAsia="宋体" w:cs="Times New Roman"/>
                <w:color w:val="000000"/>
                <w:kern w:val="0"/>
                <w:szCs w:val="21"/>
              </w:rPr>
              <w:t>6)支持磁盘坏块扫描功能，发现坏块后主动修复坏块区域数据并告警，屏蔽坏快区域，及时维护分布式存储数据冗余性；当坏快数量过多，系统自动进行坏盘隔离，将用户数据自动迁移到健康的硬盘上,</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ascii="Times New Roman" w:hAnsi="Times New Roman" w:eastAsia="宋体" w:cs="Times New Roman"/>
                <w:color w:val="000000"/>
                <w:kern w:val="0"/>
                <w:szCs w:val="21"/>
              </w:rPr>
              <w:t>；</w:t>
            </w:r>
          </w:p>
          <w:p w14:paraId="C227DB1D">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7)支持裸LUN池化管理，无需登陆集中式SAN存储阵列或分布式存储界面即可划分存储空间，方便运维；</w:t>
            </w:r>
          </w:p>
          <w:p w14:paraId="2789B8D6">
            <w:pPr>
              <w:widowControl/>
              <w:jc w:val="left"/>
              <w:rPr>
                <w:rFonts w:hint="eastAsia" w:ascii="Times New Roman" w:hAnsi="Times New Roman" w:eastAsia="宋体" w:cs="Times New Roman"/>
                <w:color w:val="000000"/>
                <w:kern w:val="0"/>
                <w:szCs w:val="21"/>
                <w:lang w:eastAsia="zh-CN"/>
              </w:rPr>
            </w:pPr>
            <w:r>
              <w:rPr>
                <w:rFonts w:hint="eastAsia" w:ascii="Segoe UI Symbol" w:hAnsi="Segoe UI Symbol" w:eastAsia="宋体" w:cs="Segoe UI Symbol"/>
                <w:b/>
                <w:bCs/>
                <w:color w:val="000000"/>
                <w:kern w:val="0"/>
                <w:szCs w:val="21"/>
                <w:highlight w:val="none"/>
              </w:rPr>
              <w:t>☆</w:t>
            </w:r>
            <w:r>
              <w:rPr>
                <w:rFonts w:hint="eastAsia" w:ascii="Times New Roman" w:hAnsi="Times New Roman" w:eastAsia="宋体" w:cs="Times New Roman"/>
                <w:b/>
                <w:bCs/>
                <w:color w:val="000000"/>
                <w:kern w:val="0"/>
                <w:szCs w:val="21"/>
              </w:rPr>
              <w:t>8）为保证业务系统的运行流畅度，超融合集群需能够提供超高性能，超融合在</w:t>
            </w:r>
            <w:r>
              <w:rPr>
                <w:rFonts w:ascii="Times New Roman" w:hAnsi="Times New Roman" w:eastAsia="宋体" w:cs="Times New Roman"/>
                <w:b/>
                <w:bCs/>
                <w:color w:val="000000"/>
                <w:kern w:val="0"/>
                <w:szCs w:val="21"/>
              </w:rPr>
              <w:t>NVMe混闪、集群多虚拟机配置下，三个物理节点能够提供的随机IOPS性能≥100万</w:t>
            </w:r>
            <w:r>
              <w:rPr>
                <w:rFonts w:hint="eastAsia" w:ascii="Times New Roman" w:hAnsi="Times New Roman" w:eastAsia="宋体" w:cs="Times New Roman"/>
                <w:b/>
                <w:bCs/>
                <w:color w:val="000000"/>
                <w:kern w:val="0"/>
                <w:szCs w:val="21"/>
                <w:lang w:eastAsia="zh-CN"/>
              </w:rPr>
              <w:t>，</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ascii="Times New Roman" w:hAnsi="Times New Roman" w:eastAsia="宋体" w:cs="Times New Roman"/>
                <w:color w:val="000000"/>
                <w:kern w:val="0"/>
                <w:szCs w:val="21"/>
              </w:rPr>
              <w:t>；</w:t>
            </w:r>
          </w:p>
          <w:p w14:paraId="95D73246">
            <w:pPr>
              <w:widowControl/>
              <w:jc w:val="left"/>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rPr>
              <w:t>9）支持机架感知，可提供基于服务器机架拓扑的存储副本智能分布功能，在超融合平台可以灵活编辑机架和主机拓扑，分布式存储根据拓扑结构自动调整数据副本分布策略，保证数据智能、均衡存储，避免出现由于单一机架的电源或网络故障造成的存储不可用和业务中断。</w:t>
            </w:r>
          </w:p>
        </w:tc>
      </w:tr>
      <w:tr w14:paraId="D5B7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085" w:type="dxa"/>
            <w:vAlign w:val="center"/>
          </w:tcPr>
          <w:p w14:paraId="EAC08A65">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网络虚拟化</w:t>
            </w:r>
          </w:p>
        </w:tc>
        <w:tc>
          <w:tcPr>
            <w:tcW w:w="7534" w:type="dxa"/>
            <w:shd w:val="clear" w:color="000000" w:fill="FFFFFF"/>
            <w:vAlign w:val="center"/>
          </w:tcPr>
          <w:p w14:paraId="8959A718">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1)提供无授权限制的全局分布式SDN功能，以避免SDN控制节点故障，提供分布式SDN硬件加速能力，可提供更高转发性能，SDN支持VLAN/VXLAN模式；</w:t>
            </w:r>
          </w:p>
          <w:p w14:paraId="5AC2B93B">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2)支持全局分布式SDN智能加速，卸载分布式SDN网络的数据平面到硬件网卡，通过对东西向Overlay网络流量和南北向流量卸载，大幅提高网络转发性能并节省主机资源；</w:t>
            </w:r>
          </w:p>
          <w:p w14:paraId="511149E9">
            <w:pPr>
              <w:widowControl/>
              <w:jc w:val="left"/>
              <w:rPr>
                <w:rFonts w:ascii="Times New Roman" w:hAnsi="Times New Roman" w:eastAsia="宋体" w:cs="Times New Roman"/>
                <w:b/>
                <w:bCs/>
                <w:color w:val="000000"/>
                <w:kern w:val="0"/>
                <w:szCs w:val="21"/>
              </w:rPr>
            </w:pPr>
            <w:r>
              <w:rPr>
                <w:rFonts w:ascii="Times New Roman" w:hAnsi="Times New Roman" w:eastAsia="宋体" w:cs="Times New Roman"/>
                <w:color w:val="000000"/>
                <w:kern w:val="0"/>
                <w:szCs w:val="21"/>
              </w:rPr>
              <w:t>3)同时支持网络sFlow和netFlow功能，配合第三方流量分析工具进行流量监控，支持组播转发、广播抑制、DHCP防护等功能，支持本地端口镜像、本地业务网络镜像、远程端口镜像等多种端口镜像模式，支持分布式DNS服务功能，</w:t>
            </w:r>
            <w:r>
              <w:rPr>
                <w:rFonts w:ascii="Times New Roman" w:hAnsi="Times New Roman" w:eastAsia="宋体" w:cs="Times New Roman"/>
                <w:b/>
                <w:bCs/>
                <w:color w:val="000000"/>
                <w:kern w:val="0"/>
                <w:szCs w:val="21"/>
              </w:rPr>
              <w:t>提供截图证明；</w:t>
            </w:r>
          </w:p>
          <w:p w14:paraId="120CACED">
            <w:pPr>
              <w:widowControl/>
              <w:jc w:val="left"/>
              <w:rPr>
                <w:rFonts w:hint="eastAsia" w:ascii="Times New Roman" w:hAnsi="Times New Roman" w:eastAsia="宋体" w:cs="Times New Roman"/>
                <w:b/>
                <w:bCs/>
                <w:color w:val="000000"/>
                <w:kern w:val="0"/>
                <w:szCs w:val="21"/>
                <w:lang w:eastAsia="zh-CN"/>
              </w:rPr>
            </w:pPr>
            <w:r>
              <w:rPr>
                <w:rFonts w:ascii="Times New Roman" w:hAnsi="Times New Roman" w:eastAsia="宋体" w:cs="Times New Roman"/>
                <w:color w:val="000000"/>
                <w:kern w:val="0"/>
                <w:szCs w:val="21"/>
              </w:rPr>
              <w:t>4）为方便运维操作，支持网络图形化编排，编辑网络拓扑及拖拽网元即可完成网络拓扑的创建、变更、属性编辑，</w:t>
            </w:r>
            <w:r>
              <w:rPr>
                <w:rFonts w:ascii="Times New Roman" w:hAnsi="Times New Roman" w:eastAsia="宋体" w:cs="Times New Roman"/>
                <w:b/>
                <w:bCs/>
                <w:color w:val="000000"/>
                <w:kern w:val="0"/>
                <w:szCs w:val="21"/>
              </w:rPr>
              <w:t>提供截图证明</w:t>
            </w:r>
            <w:r>
              <w:rPr>
                <w:rFonts w:hint="eastAsia" w:ascii="Times New Roman" w:hAnsi="Times New Roman" w:eastAsia="宋体" w:cs="Times New Roman"/>
                <w:b/>
                <w:bCs/>
                <w:color w:val="000000"/>
                <w:kern w:val="0"/>
                <w:szCs w:val="21"/>
                <w:lang w:eastAsia="zh-CN"/>
              </w:rPr>
              <w:t>；</w:t>
            </w:r>
          </w:p>
        </w:tc>
      </w:tr>
      <w:tr w14:paraId="7B42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85" w:type="dxa"/>
            <w:vAlign w:val="center"/>
          </w:tcPr>
          <w:p w14:paraId="015A01C8">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备份容灾</w:t>
            </w:r>
          </w:p>
        </w:tc>
        <w:tc>
          <w:tcPr>
            <w:tcW w:w="7534" w:type="dxa"/>
            <w:shd w:val="clear" w:color="000000" w:fill="FFFFFF"/>
            <w:vAlign w:val="center"/>
          </w:tcPr>
          <w:p w14:paraId="8A9B1026">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1)提供无授权限制的备份功能，支持虚拟机全量备份、增量备份，周期性备份，备份策略可细化到分钟级；</w:t>
            </w:r>
          </w:p>
          <w:p w14:paraId="DFF9F261">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2)支持批量备份，可设置备份时限速值，可设置保留最近N次备份点；可选择任意备份文件恢复为原虚拟机或新虚拟机，支持恢复过程中对虚拟机进行配置；</w:t>
            </w:r>
          </w:p>
          <w:p w14:paraId="2BD83599">
            <w:pPr>
              <w:widowControl/>
              <w:jc w:val="left"/>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3)支持利用磁盘阵列进行容灾，不依赖分布式存储多副本技术，超融合支持异构不同品牌存储容灾功能，可利旧存储设备与超融合建立容灾或双活存储池，当分布式存储全局损坏时，不影响业务连续性；</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 xml:space="preserve">的第三方测试机构的证明材料或技术白皮书详细说明； </w:t>
            </w:r>
            <w:r>
              <w:rPr>
                <w:rFonts w:ascii="Times New Roman" w:hAnsi="Times New Roman" w:eastAsia="宋体" w:cs="Times New Roman"/>
                <w:b/>
                <w:bCs/>
                <w:color w:val="000000"/>
                <w:kern w:val="0"/>
                <w:szCs w:val="21"/>
              </w:rPr>
              <w:br w:type="textWrapping"/>
            </w:r>
            <w:r>
              <w:rPr>
                <w:rFonts w:ascii="Times New Roman" w:hAnsi="Times New Roman" w:eastAsia="宋体" w:cs="Times New Roman"/>
                <w:color w:val="000000"/>
                <w:kern w:val="0"/>
                <w:szCs w:val="21"/>
              </w:rPr>
              <w:t>4)提供不少于100个虚拟机数量的的CDP功能授权，通过点击对应时间戳，虚拟机可恢复到任意I/O，交付时提供验证</w:t>
            </w:r>
            <w:r>
              <w:rPr>
                <w:rFonts w:hint="eastAsia" w:ascii="Times New Roman" w:hAnsi="Times New Roman" w:cs="Times New Roman"/>
                <w:color w:val="000000"/>
                <w:kern w:val="0"/>
                <w:szCs w:val="21"/>
                <w:lang w:eastAsia="zh-CN"/>
              </w:rPr>
              <w:t>。</w:t>
            </w:r>
          </w:p>
        </w:tc>
      </w:tr>
      <w:tr w14:paraId="77A8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085" w:type="dxa"/>
            <w:vAlign w:val="center"/>
          </w:tcPr>
          <w:p w14:paraId="A56CDCB6">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color w:val="000000"/>
                <w:kern w:val="0"/>
                <w:szCs w:val="21"/>
              </w:rPr>
              <w:t>认证</w:t>
            </w:r>
            <w:r>
              <w:rPr>
                <w:rFonts w:ascii="Times New Roman" w:hAnsi="Times New Roman" w:eastAsia="宋体" w:cs="Times New Roman"/>
                <w:kern w:val="0"/>
                <w:szCs w:val="21"/>
                <w:lang w:val="zh-TW"/>
              </w:rPr>
              <w:t>材料</w:t>
            </w:r>
          </w:p>
        </w:tc>
        <w:tc>
          <w:tcPr>
            <w:tcW w:w="7534" w:type="dxa"/>
            <w:shd w:val="clear" w:color="000000" w:fill="FFFFFF"/>
            <w:vAlign w:val="center"/>
          </w:tcPr>
          <w:p w14:paraId="3122CA20">
            <w:pPr>
              <w:widowControl/>
              <w:jc w:val="left"/>
              <w:rPr>
                <w:rFonts w:ascii="Times New Roman" w:hAnsi="Times New Roman" w:eastAsia="宋体" w:cs="Times New Roman"/>
                <w:b/>
                <w:bCs/>
                <w:color w:val="000000"/>
                <w:kern w:val="0"/>
                <w:szCs w:val="21"/>
                <w:highlight w:val="none"/>
              </w:rPr>
            </w:pPr>
            <w:r>
              <w:rPr>
                <w:rFonts w:ascii="Times New Roman" w:hAnsi="Times New Roman" w:eastAsia="宋体" w:cs="Times New Roman"/>
                <w:b/>
                <w:bCs/>
                <w:color w:val="000000"/>
                <w:kern w:val="0"/>
                <w:szCs w:val="21"/>
                <w:highlight w:val="none"/>
              </w:rPr>
              <w:t>1)提供国家版权局颁发的《计算机软件著作权登记证书》证明；</w:t>
            </w:r>
          </w:p>
          <w:p w14:paraId="587274DF">
            <w:pPr>
              <w:widowControl/>
              <w:jc w:val="left"/>
              <w:rPr>
                <w:rFonts w:hint="eastAsia" w:ascii="Times New Roman" w:hAnsi="Times New Roman" w:eastAsia="宋体" w:cs="Times New Roman"/>
                <w:color w:val="000000"/>
                <w:kern w:val="0"/>
                <w:szCs w:val="21"/>
                <w:lang w:eastAsia="zh-CN"/>
              </w:rPr>
            </w:pPr>
            <w:r>
              <w:rPr>
                <w:rFonts w:ascii="Times New Roman" w:hAnsi="Times New Roman" w:eastAsia="宋体" w:cs="Times New Roman"/>
                <w:b/>
                <w:bCs/>
                <w:color w:val="000000"/>
                <w:kern w:val="0"/>
                <w:szCs w:val="21"/>
                <w:highlight w:val="none"/>
              </w:rPr>
              <w:t>2)</w:t>
            </w:r>
            <w:r>
              <w:rPr>
                <w:rFonts w:hint="eastAsia" w:ascii="Times New Roman" w:hAnsi="Times New Roman" w:eastAsia="宋体" w:cs="Times New Roman"/>
                <w:b/>
                <w:bCs/>
                <w:color w:val="000000"/>
                <w:kern w:val="0"/>
                <w:szCs w:val="21"/>
                <w:highlight w:val="none"/>
              </w:rPr>
              <w:t>为支持安全可靠需求，需具备</w:t>
            </w:r>
            <w:r>
              <w:rPr>
                <w:rFonts w:hint="eastAsia" w:cs="Times New Roman"/>
                <w:b/>
                <w:bCs/>
                <w:color w:val="000000"/>
                <w:kern w:val="0"/>
                <w:szCs w:val="21"/>
                <w:highlight w:val="none"/>
                <w:lang w:val="en-US" w:eastAsia="zh-CN"/>
              </w:rPr>
              <w:t>5</w:t>
            </w:r>
            <w:r>
              <w:rPr>
                <w:rFonts w:ascii="Times New Roman" w:hAnsi="Times New Roman" w:eastAsia="宋体" w:cs="Times New Roman"/>
                <w:b/>
                <w:bCs/>
                <w:color w:val="000000"/>
                <w:kern w:val="0"/>
                <w:szCs w:val="21"/>
                <w:highlight w:val="none"/>
              </w:rPr>
              <w:t>家（含）以上国产化OS厂商兼容性认证，提供兼容性互认证证书</w:t>
            </w:r>
            <w:r>
              <w:rPr>
                <w:rFonts w:hint="eastAsia" w:ascii="Times New Roman" w:hAnsi="Times New Roman" w:cs="Times New Roman"/>
                <w:b/>
                <w:bCs/>
                <w:color w:val="000000"/>
                <w:kern w:val="0"/>
                <w:szCs w:val="21"/>
                <w:highlight w:val="none"/>
                <w:lang w:eastAsia="zh-CN"/>
              </w:rPr>
              <w:t>。</w:t>
            </w:r>
          </w:p>
        </w:tc>
      </w:tr>
      <w:tr w14:paraId="2A6C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085" w:type="dxa"/>
            <w:vAlign w:val="center"/>
          </w:tcPr>
          <w:p w14:paraId="A1EA6BC4">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操作系统</w:t>
            </w:r>
          </w:p>
        </w:tc>
        <w:tc>
          <w:tcPr>
            <w:tcW w:w="7534" w:type="dxa"/>
            <w:shd w:val="clear" w:color="000000" w:fill="FFFFFF"/>
            <w:vAlign w:val="center"/>
          </w:tcPr>
          <w:p w14:paraId="CA46E483">
            <w:pPr>
              <w:widowControl/>
              <w:jc w:val="left"/>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rPr>
              <w:t>满足客户业务的国产操作系统</w:t>
            </w:r>
            <w:r>
              <w:rPr>
                <w:rFonts w:hint="eastAsia" w:cs="Times New Roman"/>
                <w:color w:val="000000"/>
                <w:kern w:val="0"/>
                <w:szCs w:val="21"/>
                <w:lang w:eastAsia="zh-CN"/>
              </w:rPr>
              <w:t>（</w:t>
            </w:r>
            <w:r>
              <w:rPr>
                <w:rFonts w:hint="eastAsia" w:cs="Times New Roman"/>
                <w:color w:val="000000"/>
                <w:kern w:val="0"/>
                <w:szCs w:val="21"/>
                <w:lang w:val="en-US" w:eastAsia="zh-CN"/>
              </w:rPr>
              <w:t>不少于虚机39套操作系统</w:t>
            </w:r>
            <w:r>
              <w:rPr>
                <w:rFonts w:hint="eastAsia" w:cs="Times New Roman"/>
                <w:color w:val="000000"/>
                <w:kern w:val="0"/>
                <w:szCs w:val="21"/>
                <w:lang w:eastAsia="zh-CN"/>
              </w:rPr>
              <w:t>）</w:t>
            </w:r>
          </w:p>
        </w:tc>
      </w:tr>
      <w:tr w14:paraId="F84F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85" w:type="dxa"/>
            <w:vAlign w:val="center"/>
          </w:tcPr>
          <w:p w14:paraId="E021EB6E">
            <w:pPr>
              <w:widowControl/>
              <w:jc w:val="center"/>
              <w:rPr>
                <w:rFonts w:ascii="Times New Roman" w:hAnsi="Times New Roman" w:eastAsia="宋体" w:cs="Times New Roman"/>
                <w:kern w:val="0"/>
                <w:szCs w:val="21"/>
                <w:lang w:val="zh-TW" w:eastAsia="zh-TW"/>
              </w:rPr>
            </w:pPr>
            <w:r>
              <w:rPr>
                <w:rFonts w:ascii="Times New Roman" w:hAnsi="Times New Roman" w:eastAsia="宋体" w:cs="Times New Roman"/>
                <w:kern w:val="0"/>
                <w:szCs w:val="21"/>
                <w:lang w:val="zh-TW" w:eastAsia="zh-TW"/>
              </w:rPr>
              <w:t>质保期</w:t>
            </w:r>
          </w:p>
        </w:tc>
        <w:tc>
          <w:tcPr>
            <w:tcW w:w="7534" w:type="dxa"/>
            <w:shd w:val="clear" w:color="000000" w:fill="FFFFFF"/>
            <w:vAlign w:val="center"/>
          </w:tcPr>
          <w:p w14:paraId="2C26C086">
            <w:pPr>
              <w:widowControl/>
              <w:jc w:val="left"/>
              <w:rPr>
                <w:rFonts w:ascii="Times New Roman" w:hAnsi="Times New Roman" w:eastAsia="宋体" w:cs="Times New Roman"/>
                <w:b/>
                <w:bCs/>
                <w:kern w:val="0"/>
                <w:szCs w:val="21"/>
              </w:rPr>
            </w:pPr>
            <w:r>
              <w:rPr>
                <w:rFonts w:hint="eastAsia" w:ascii="Times New Roman" w:hAnsi="Times New Roman" w:eastAsia="宋体" w:cs="Times New Roman"/>
                <w:kern w:val="0"/>
                <w:szCs w:val="21"/>
              </w:rPr>
              <w:t>3</w:t>
            </w:r>
            <w:r>
              <w:rPr>
                <w:rFonts w:ascii="Times New Roman" w:hAnsi="Times New Roman" w:eastAsia="宋体" w:cs="Times New Roman"/>
                <w:kern w:val="0"/>
                <w:szCs w:val="21"/>
              </w:rPr>
              <w:t>年</w:t>
            </w:r>
            <w:r>
              <w:rPr>
                <w:rFonts w:hint="eastAsia" w:ascii="Times New Roman" w:hAnsi="Times New Roman" w:eastAsia="宋体" w:cs="Times New Roman"/>
                <w:kern w:val="0"/>
                <w:szCs w:val="21"/>
              </w:rPr>
              <w:t>原厂硬件质保服务，软件一年升级服务</w:t>
            </w:r>
            <w:r>
              <w:rPr>
                <w:rFonts w:ascii="Times New Roman" w:hAnsi="Times New Roman" w:eastAsia="宋体" w:cs="Times New Roman"/>
                <w:kern w:val="0"/>
                <w:szCs w:val="21"/>
              </w:rPr>
              <w:t>；中标后</w:t>
            </w:r>
            <w:r>
              <w:rPr>
                <w:rFonts w:hint="eastAsia" w:ascii="Times New Roman" w:hAnsi="Times New Roman" w:eastAsia="宋体" w:cs="Times New Roman"/>
                <w:kern w:val="0"/>
                <w:szCs w:val="21"/>
              </w:rPr>
              <w:t>签订合同前</w:t>
            </w:r>
            <w:r>
              <w:rPr>
                <w:rFonts w:ascii="Times New Roman" w:hAnsi="Times New Roman" w:eastAsia="宋体" w:cs="Times New Roman"/>
                <w:kern w:val="0"/>
                <w:szCs w:val="21"/>
              </w:rPr>
              <w:t>提供</w:t>
            </w:r>
            <w:r>
              <w:rPr>
                <w:rFonts w:hint="eastAsia" w:ascii="Times New Roman" w:hAnsi="Times New Roman" w:eastAsia="宋体" w:cs="Times New Roman"/>
                <w:kern w:val="0"/>
                <w:szCs w:val="21"/>
              </w:rPr>
              <w:t>制造商</w:t>
            </w:r>
            <w:r>
              <w:rPr>
                <w:rFonts w:ascii="Times New Roman" w:hAnsi="Times New Roman" w:eastAsia="宋体" w:cs="Times New Roman"/>
                <w:kern w:val="0"/>
                <w:szCs w:val="21"/>
              </w:rPr>
              <w:t>售后服务承诺函</w:t>
            </w:r>
          </w:p>
        </w:tc>
      </w:tr>
    </w:tbl>
    <w:p w14:paraId="0654BF80">
      <w:pPr>
        <w:rPr>
          <w:rFonts w:ascii="Times New Roman" w:hAnsi="Times New Roman" w:eastAsia="宋体" w:cs="Times New Roman"/>
          <w:szCs w:val="21"/>
        </w:rPr>
      </w:pPr>
    </w:p>
    <w:p w14:paraId="07A37BD9">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2.NAS存储：</w:t>
      </w:r>
    </w:p>
    <w:tbl>
      <w:tblPr>
        <w:tblStyle w:val="62"/>
        <w:tblW w:w="8580" w:type="dxa"/>
        <w:tblInd w:w="346" w:type="dxa"/>
        <w:tblLayout w:type="fixed"/>
        <w:tblCellMar>
          <w:top w:w="0" w:type="dxa"/>
          <w:left w:w="108" w:type="dxa"/>
          <w:bottom w:w="0" w:type="dxa"/>
          <w:right w:w="108" w:type="dxa"/>
        </w:tblCellMar>
      </w:tblPr>
      <w:tblGrid>
        <w:gridCol w:w="1085"/>
        <w:gridCol w:w="7495"/>
      </w:tblGrid>
      <w:tr w14:paraId="41C58DE1">
        <w:tblPrEx>
          <w:tblCellMar>
            <w:top w:w="0" w:type="dxa"/>
            <w:left w:w="108" w:type="dxa"/>
            <w:bottom w:w="0" w:type="dxa"/>
            <w:right w:w="108" w:type="dxa"/>
          </w:tblCellMar>
        </w:tblPrEx>
        <w:trPr>
          <w:trHeight w:val="280" w:hRule="atLeast"/>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F2F49CC8">
            <w:pPr>
              <w:widowControl/>
              <w:jc w:val="center"/>
              <w:rPr>
                <w:rFonts w:ascii="Times New Roman" w:hAnsi="Times New Roman" w:eastAsia="等线" w:cs="Times New Roman"/>
                <w:b/>
                <w:bCs/>
                <w:color w:val="000000"/>
                <w:kern w:val="0"/>
                <w:szCs w:val="21"/>
              </w:rPr>
            </w:pPr>
            <w:r>
              <w:rPr>
                <w:rFonts w:hint="eastAsia" w:ascii="宋体" w:hAnsi="宋体" w:eastAsia="宋体" w:cs="Times New Roman"/>
                <w:b/>
                <w:bCs/>
                <w:color w:val="000000"/>
                <w:kern w:val="0"/>
                <w:szCs w:val="21"/>
              </w:rPr>
              <w:t>指标项</w:t>
            </w:r>
          </w:p>
        </w:tc>
        <w:tc>
          <w:tcPr>
            <w:tcW w:w="7495" w:type="dxa"/>
            <w:tcBorders>
              <w:top w:val="single" w:color="auto" w:sz="4" w:space="0"/>
              <w:left w:val="nil"/>
              <w:bottom w:val="single" w:color="auto" w:sz="4" w:space="0"/>
              <w:right w:val="single" w:color="auto" w:sz="4" w:space="0"/>
            </w:tcBorders>
            <w:shd w:val="clear" w:color="auto" w:fill="auto"/>
            <w:noWrap/>
            <w:vAlign w:val="center"/>
          </w:tcPr>
          <w:p w14:paraId="A8C44B34">
            <w:pPr>
              <w:widowControl/>
              <w:jc w:val="center"/>
              <w:rPr>
                <w:rFonts w:ascii="Times New Roman" w:hAnsi="Times New Roman" w:eastAsia="等线" w:cs="Times New Roman"/>
                <w:b/>
                <w:bCs/>
                <w:color w:val="000000"/>
                <w:kern w:val="0"/>
                <w:szCs w:val="21"/>
              </w:rPr>
            </w:pPr>
            <w:r>
              <w:rPr>
                <w:rFonts w:hint="eastAsia" w:ascii="宋体" w:hAnsi="宋体" w:eastAsia="宋体" w:cs="Times New Roman"/>
                <w:b/>
                <w:bCs/>
                <w:color w:val="000000"/>
                <w:kern w:val="0"/>
                <w:szCs w:val="21"/>
              </w:rPr>
              <w:t>技术</w:t>
            </w:r>
            <w:r>
              <w:rPr>
                <w:rFonts w:hint="eastAsia" w:ascii="宋体" w:hAnsi="宋体" w:cs="Times New Roman"/>
                <w:b/>
                <w:bCs/>
                <w:color w:val="000000"/>
                <w:kern w:val="0"/>
                <w:szCs w:val="21"/>
                <w:lang w:val="en-US" w:eastAsia="zh-CN"/>
              </w:rPr>
              <w:t>参数</w:t>
            </w:r>
            <w:r>
              <w:rPr>
                <w:rFonts w:hint="eastAsia" w:ascii="宋体" w:hAnsi="宋体" w:eastAsia="宋体" w:cs="Times New Roman"/>
                <w:b/>
                <w:bCs/>
                <w:color w:val="000000"/>
                <w:kern w:val="0"/>
                <w:szCs w:val="21"/>
              </w:rPr>
              <w:t>要求</w:t>
            </w:r>
          </w:p>
        </w:tc>
      </w:tr>
      <w:tr w14:paraId="44DA4260">
        <w:tblPrEx>
          <w:tblCellMar>
            <w:top w:w="0" w:type="dxa"/>
            <w:left w:w="108" w:type="dxa"/>
            <w:bottom w:w="0" w:type="dxa"/>
            <w:right w:w="108" w:type="dxa"/>
          </w:tblCellMar>
        </w:tblPrEx>
        <w:trPr>
          <w:trHeight w:val="55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3F7EB9F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基本要求</w:t>
            </w:r>
          </w:p>
        </w:tc>
        <w:tc>
          <w:tcPr>
            <w:tcW w:w="7495" w:type="dxa"/>
            <w:tcBorders>
              <w:top w:val="nil"/>
              <w:left w:val="nil"/>
              <w:bottom w:val="single" w:color="auto" w:sz="4" w:space="0"/>
              <w:right w:val="single" w:color="auto" w:sz="4" w:space="0"/>
            </w:tcBorders>
            <w:shd w:val="clear" w:color="auto" w:fill="auto"/>
            <w:noWrap/>
            <w:vAlign w:val="center"/>
          </w:tcPr>
          <w:p w14:paraId="ABC8C6D3">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存储产品为软硬一体</w:t>
            </w:r>
          </w:p>
        </w:tc>
      </w:tr>
      <w:tr w14:paraId="132CDA45">
        <w:tblPrEx>
          <w:tblCellMar>
            <w:top w:w="0" w:type="dxa"/>
            <w:left w:w="108" w:type="dxa"/>
            <w:bottom w:w="0" w:type="dxa"/>
            <w:right w:w="108" w:type="dxa"/>
          </w:tblCellMar>
        </w:tblPrEx>
        <w:trPr>
          <w:trHeight w:val="81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AFB582B4">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体系架构</w:t>
            </w:r>
          </w:p>
        </w:tc>
        <w:tc>
          <w:tcPr>
            <w:tcW w:w="7495" w:type="dxa"/>
            <w:tcBorders>
              <w:top w:val="nil"/>
              <w:left w:val="nil"/>
              <w:bottom w:val="single" w:color="auto" w:sz="4" w:space="0"/>
              <w:right w:val="single" w:color="auto" w:sz="4" w:space="0"/>
            </w:tcBorders>
            <w:shd w:val="clear" w:color="auto" w:fill="auto"/>
            <w:noWrap/>
            <w:vAlign w:val="center"/>
          </w:tcPr>
          <w:p w14:paraId="3CFF8F0C">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采用全对称分布式架构，元数据和数据的融合部署到存储节点上，不需要专门的管理节点（元数据节点或索引节点）；元数据、数据均采用集群方式部署，满足任何一个节点出现故障，不影响数据的正常访问功能</w:t>
            </w:r>
          </w:p>
        </w:tc>
      </w:tr>
      <w:tr w14:paraId="97016B60">
        <w:tblPrEx>
          <w:tblCellMar>
            <w:top w:w="0" w:type="dxa"/>
            <w:left w:w="108" w:type="dxa"/>
            <w:bottom w:w="0" w:type="dxa"/>
            <w:right w:w="108" w:type="dxa"/>
          </w:tblCellMar>
        </w:tblPrEx>
        <w:trPr>
          <w:trHeight w:val="83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9CA46F3E">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存储服务</w:t>
            </w:r>
          </w:p>
        </w:tc>
        <w:tc>
          <w:tcPr>
            <w:tcW w:w="7495" w:type="dxa"/>
            <w:tcBorders>
              <w:top w:val="nil"/>
              <w:left w:val="nil"/>
              <w:bottom w:val="single" w:color="auto" w:sz="4" w:space="0"/>
              <w:right w:val="single" w:color="auto" w:sz="4" w:space="0"/>
            </w:tcBorders>
            <w:shd w:val="clear" w:color="auto" w:fill="auto"/>
            <w:noWrap/>
            <w:vAlign w:val="center"/>
          </w:tcPr>
          <w:p w14:paraId="C010A091">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所投产品组成的集群可同时提供块存储、文件存储、对象以及</w:t>
            </w:r>
            <w:r>
              <w:rPr>
                <w:rFonts w:ascii="Times New Roman" w:hAnsi="Times New Roman" w:eastAsia="等线" w:cs="Times New Roman"/>
                <w:color w:val="000000"/>
                <w:kern w:val="0"/>
                <w:szCs w:val="21"/>
              </w:rPr>
              <w:t>HDFS</w:t>
            </w:r>
            <w:r>
              <w:rPr>
                <w:rFonts w:hint="eastAsia" w:ascii="宋体" w:hAnsi="宋体" w:eastAsia="宋体" w:cs="Times New Roman"/>
                <w:color w:val="000000"/>
                <w:kern w:val="0"/>
                <w:szCs w:val="21"/>
              </w:rPr>
              <w:t>存储服务，本次配置不限容量的块、文件、对象存储服务授权许可。</w:t>
            </w:r>
          </w:p>
        </w:tc>
      </w:tr>
      <w:tr w14:paraId="52D03A61">
        <w:tblPrEx>
          <w:tblCellMar>
            <w:top w:w="0" w:type="dxa"/>
            <w:left w:w="108" w:type="dxa"/>
            <w:bottom w:w="0" w:type="dxa"/>
            <w:right w:w="108" w:type="dxa"/>
          </w:tblCellMar>
        </w:tblPrEx>
        <w:trPr>
          <w:trHeight w:val="83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7588336C">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扩展性</w:t>
            </w:r>
          </w:p>
        </w:tc>
        <w:tc>
          <w:tcPr>
            <w:tcW w:w="7495" w:type="dxa"/>
            <w:tcBorders>
              <w:top w:val="nil"/>
              <w:left w:val="nil"/>
              <w:bottom w:val="single" w:color="auto" w:sz="4" w:space="0"/>
              <w:right w:val="single" w:color="auto" w:sz="4" w:space="0"/>
            </w:tcBorders>
            <w:shd w:val="clear" w:color="auto" w:fill="auto"/>
            <w:noWrap/>
            <w:vAlign w:val="center"/>
          </w:tcPr>
          <w:p w14:paraId="58854791">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支持在不停机情况下，通过向存储系统中增加存储节点的方式实现业务不中断情况下扩充容量和性能，扩容一个节点的时间不大于</w:t>
            </w:r>
            <w:r>
              <w:rPr>
                <w:rFonts w:ascii="Times New Roman" w:hAnsi="Times New Roman" w:eastAsia="等线" w:cs="Times New Roman"/>
                <w:color w:val="000000"/>
                <w:kern w:val="0"/>
                <w:szCs w:val="21"/>
              </w:rPr>
              <w:t>1</w:t>
            </w:r>
            <w:r>
              <w:rPr>
                <w:rFonts w:hint="eastAsia" w:ascii="宋体" w:hAnsi="宋体" w:eastAsia="宋体" w:cs="Times New Roman"/>
                <w:color w:val="000000"/>
                <w:kern w:val="0"/>
                <w:szCs w:val="21"/>
              </w:rPr>
              <w:t>分钟。</w:t>
            </w:r>
            <w:r>
              <w:rPr>
                <w:rFonts w:hint="eastAsia" w:ascii="宋体" w:hAnsi="宋体" w:eastAsia="宋体" w:cs="Times New Roman"/>
                <w:color w:val="000000"/>
                <w:kern w:val="0"/>
                <w:szCs w:val="21"/>
              </w:rPr>
              <w:br w:type="textWrapping"/>
            </w:r>
            <w:r>
              <w:rPr>
                <w:rFonts w:hint="eastAsia" w:ascii="宋体" w:hAnsi="宋体" w:eastAsia="宋体" w:cs="Times New Roman"/>
                <w:color w:val="000000"/>
                <w:kern w:val="0"/>
                <w:szCs w:val="21"/>
              </w:rPr>
              <w:t>存储节点支持扩展节点不小于</w:t>
            </w:r>
            <w:r>
              <w:rPr>
                <w:rFonts w:ascii="Times New Roman" w:hAnsi="Times New Roman" w:eastAsia="等线" w:cs="Times New Roman"/>
                <w:color w:val="000000"/>
                <w:kern w:val="0"/>
                <w:szCs w:val="21"/>
              </w:rPr>
              <w:t>4096</w:t>
            </w:r>
            <w:r>
              <w:rPr>
                <w:rFonts w:hint="eastAsia" w:ascii="宋体" w:hAnsi="宋体" w:eastAsia="宋体" w:cs="Times New Roman"/>
                <w:color w:val="000000"/>
                <w:kern w:val="0"/>
                <w:szCs w:val="21"/>
              </w:rPr>
              <w:t>节点；存储总容量空间不小于</w:t>
            </w:r>
            <w:r>
              <w:rPr>
                <w:rFonts w:ascii="Times New Roman" w:hAnsi="Times New Roman" w:eastAsia="等线" w:cs="Times New Roman"/>
                <w:color w:val="000000"/>
                <w:kern w:val="0"/>
                <w:szCs w:val="21"/>
              </w:rPr>
              <w:t>1024PB</w:t>
            </w:r>
            <w:r>
              <w:rPr>
                <w:rFonts w:hint="eastAsia" w:ascii="宋体" w:hAnsi="宋体" w:eastAsia="宋体" w:cs="Times New Roman"/>
                <w:color w:val="000000"/>
                <w:kern w:val="0"/>
                <w:szCs w:val="21"/>
              </w:rPr>
              <w:t>；</w:t>
            </w:r>
          </w:p>
        </w:tc>
      </w:tr>
      <w:tr w14:paraId="042D0612">
        <w:tblPrEx>
          <w:tblCellMar>
            <w:top w:w="0" w:type="dxa"/>
            <w:left w:w="108" w:type="dxa"/>
            <w:bottom w:w="0" w:type="dxa"/>
            <w:right w:w="108" w:type="dxa"/>
          </w:tblCellMar>
        </w:tblPrEx>
        <w:trPr>
          <w:trHeight w:val="55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ED716883">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数据冗余保护</w:t>
            </w:r>
          </w:p>
        </w:tc>
        <w:tc>
          <w:tcPr>
            <w:tcW w:w="7495" w:type="dxa"/>
            <w:tcBorders>
              <w:top w:val="nil"/>
              <w:left w:val="nil"/>
              <w:bottom w:val="single" w:color="auto" w:sz="4" w:space="0"/>
              <w:right w:val="single" w:color="auto" w:sz="4" w:space="0"/>
            </w:tcBorders>
            <w:shd w:val="clear" w:color="auto" w:fill="auto"/>
            <w:noWrap/>
            <w:vAlign w:val="center"/>
          </w:tcPr>
          <w:p w14:paraId="CED4A5B3">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支持数据副本和纠删码</w:t>
            </w:r>
            <w:r>
              <w:rPr>
                <w:rFonts w:ascii="Times New Roman" w:hAnsi="Times New Roman" w:eastAsia="等线" w:cs="Times New Roman"/>
                <w:color w:val="000000"/>
                <w:kern w:val="0"/>
                <w:szCs w:val="21"/>
              </w:rPr>
              <w:t>K+M:B</w:t>
            </w:r>
            <w:r>
              <w:rPr>
                <w:rFonts w:hint="eastAsia" w:ascii="宋体" w:hAnsi="宋体" w:eastAsia="宋体" w:cs="Times New Roman"/>
                <w:color w:val="000000"/>
                <w:kern w:val="0"/>
                <w:szCs w:val="21"/>
              </w:rPr>
              <w:t>方式的冗余保护机制，可根据数据不同的保护级别在同一系统内同时设置数据副本模式和纠删码模式；</w:t>
            </w:r>
            <w:r>
              <w:rPr>
                <w:rFonts w:ascii="Times New Roman" w:hAnsi="Times New Roman" w:eastAsia="等线" w:cs="Times New Roman"/>
                <w:color w:val="000000"/>
                <w:kern w:val="0"/>
                <w:szCs w:val="21"/>
              </w:rPr>
              <w:t xml:space="preserve"> </w:t>
            </w:r>
          </w:p>
        </w:tc>
      </w:tr>
      <w:tr w14:paraId="954391A6">
        <w:tblPrEx>
          <w:tblCellMar>
            <w:top w:w="0" w:type="dxa"/>
            <w:left w:w="108" w:type="dxa"/>
            <w:bottom w:w="0" w:type="dxa"/>
            <w:right w:w="108" w:type="dxa"/>
          </w:tblCellMar>
        </w:tblPrEx>
        <w:trPr>
          <w:trHeight w:val="5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3E4A14E9">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存储节点数</w:t>
            </w:r>
          </w:p>
        </w:tc>
        <w:tc>
          <w:tcPr>
            <w:tcW w:w="7495" w:type="dxa"/>
            <w:tcBorders>
              <w:top w:val="nil"/>
              <w:left w:val="nil"/>
              <w:bottom w:val="single" w:color="auto" w:sz="4" w:space="0"/>
              <w:right w:val="single" w:color="auto" w:sz="4" w:space="0"/>
            </w:tcBorders>
            <w:shd w:val="clear" w:color="auto" w:fill="auto"/>
            <w:noWrap/>
            <w:vAlign w:val="center"/>
          </w:tcPr>
          <w:p w14:paraId="4BA0D8A2">
            <w:pPr>
              <w:widowControl/>
              <w:rPr>
                <w:rFonts w:ascii="Times New Roman" w:hAnsi="Times New Roman" w:eastAsia="等线" w:cs="Times New Roman"/>
                <w:b/>
                <w:bCs/>
                <w:color w:val="000000"/>
                <w:kern w:val="0"/>
                <w:szCs w:val="21"/>
              </w:rPr>
            </w:pPr>
            <w:r>
              <w:rPr>
                <w:rFonts w:hint="eastAsia" w:ascii="Segoe UI Symbol" w:hAnsi="Segoe UI Symbol" w:eastAsia="宋体" w:cs="Segoe UI Symbol"/>
                <w:b/>
                <w:bCs/>
                <w:color w:val="000000"/>
                <w:kern w:val="0"/>
                <w:szCs w:val="21"/>
                <w:highlight w:val="none"/>
              </w:rPr>
              <w:t>☆</w:t>
            </w:r>
            <w:r>
              <w:rPr>
                <w:rFonts w:hint="eastAsia" w:ascii="宋体" w:hAnsi="宋体" w:eastAsia="宋体" w:cs="Times New Roman"/>
                <w:b/>
                <w:bCs/>
                <w:color w:val="000000"/>
                <w:kern w:val="0"/>
                <w:szCs w:val="21"/>
              </w:rPr>
              <w:t>本次配置</w:t>
            </w:r>
            <w:r>
              <w:rPr>
                <w:rFonts w:ascii="宋体" w:hAnsi="宋体" w:eastAsia="宋体" w:cs="Times New Roman"/>
                <w:b/>
                <w:bCs/>
                <w:color w:val="000000"/>
                <w:kern w:val="0"/>
                <w:szCs w:val="21"/>
              </w:rPr>
              <w:t>3</w:t>
            </w:r>
            <w:r>
              <w:rPr>
                <w:rFonts w:hint="eastAsia" w:ascii="宋体" w:hAnsi="宋体" w:eastAsia="宋体" w:cs="Times New Roman"/>
                <w:b/>
                <w:bCs/>
                <w:color w:val="000000"/>
                <w:kern w:val="0"/>
                <w:szCs w:val="21"/>
              </w:rPr>
              <w:t>个存储节点；每个存储节点配置</w:t>
            </w:r>
            <w:r>
              <w:rPr>
                <w:rFonts w:ascii="宋体" w:hAnsi="宋体" w:eastAsia="宋体" w:cs="Times New Roman"/>
                <w:b/>
                <w:bCs/>
                <w:color w:val="000000"/>
                <w:kern w:val="0"/>
                <w:szCs w:val="21"/>
              </w:rPr>
              <w:t>2</w:t>
            </w:r>
            <w:r>
              <w:rPr>
                <w:rFonts w:hint="eastAsia" w:ascii="宋体" w:hAnsi="宋体" w:eastAsia="宋体" w:cs="Times New Roman"/>
                <w:b/>
                <w:bCs/>
                <w:color w:val="000000"/>
                <w:kern w:val="0"/>
                <w:szCs w:val="21"/>
              </w:rPr>
              <w:t>颗处理器(</w:t>
            </w:r>
            <w:r>
              <w:rPr>
                <w:rFonts w:ascii="宋体" w:hAnsi="宋体" w:eastAsia="宋体" w:cs="Times New Roman"/>
                <w:b/>
                <w:bCs/>
                <w:color w:val="000000"/>
                <w:kern w:val="0"/>
                <w:szCs w:val="21"/>
              </w:rPr>
              <w:t>核数</w:t>
            </w:r>
            <w:r>
              <w:rPr>
                <w:rFonts w:hint="eastAsia" w:ascii="宋体" w:hAnsi="宋体" w:eastAsia="宋体" w:cs="Times New Roman"/>
                <w:b/>
                <w:bCs/>
                <w:color w:val="000000"/>
                <w:kern w:val="0"/>
                <w:szCs w:val="21"/>
              </w:rPr>
              <w:t>≥</w:t>
            </w:r>
            <w:r>
              <w:rPr>
                <w:rFonts w:ascii="宋体" w:hAnsi="宋体" w:eastAsia="宋体" w:cs="Times New Roman"/>
                <w:b/>
                <w:bCs/>
                <w:color w:val="000000"/>
                <w:kern w:val="0"/>
                <w:szCs w:val="21"/>
              </w:rPr>
              <w:t>12，主频</w:t>
            </w:r>
            <w:r>
              <w:rPr>
                <w:rFonts w:hint="eastAsia" w:ascii="宋体" w:hAnsi="宋体" w:eastAsia="宋体" w:cs="Times New Roman"/>
                <w:b/>
                <w:bCs/>
                <w:color w:val="000000"/>
                <w:kern w:val="0"/>
                <w:szCs w:val="21"/>
              </w:rPr>
              <w:t>≥</w:t>
            </w:r>
            <w:r>
              <w:rPr>
                <w:rFonts w:ascii="宋体" w:hAnsi="宋体" w:eastAsia="宋体" w:cs="Times New Roman"/>
                <w:b/>
                <w:bCs/>
                <w:color w:val="000000"/>
                <w:kern w:val="0"/>
                <w:szCs w:val="21"/>
              </w:rPr>
              <w:t>2.1GHz)</w:t>
            </w:r>
            <w:r>
              <w:rPr>
                <w:rFonts w:hint="eastAsia" w:ascii="宋体" w:hAnsi="宋体" w:eastAsia="宋体" w:cs="Times New Roman"/>
                <w:b/>
                <w:bCs/>
                <w:color w:val="000000"/>
                <w:kern w:val="0"/>
                <w:szCs w:val="21"/>
              </w:rPr>
              <w:t>，内存≥</w:t>
            </w:r>
            <w:r>
              <w:rPr>
                <w:rFonts w:ascii="宋体" w:hAnsi="宋体" w:eastAsia="宋体" w:cs="Times New Roman"/>
                <w:b/>
                <w:bCs/>
                <w:color w:val="000000"/>
                <w:kern w:val="0"/>
                <w:szCs w:val="21"/>
              </w:rPr>
              <w:t>128GB</w:t>
            </w:r>
          </w:p>
        </w:tc>
      </w:tr>
      <w:tr w14:paraId="2B927DC4">
        <w:tblPrEx>
          <w:tblCellMar>
            <w:top w:w="0" w:type="dxa"/>
            <w:left w:w="108" w:type="dxa"/>
            <w:bottom w:w="0" w:type="dxa"/>
            <w:right w:w="108" w:type="dxa"/>
          </w:tblCellMar>
        </w:tblPrEx>
        <w:trPr>
          <w:trHeight w:val="280" w:hRule="atLeast"/>
        </w:trPr>
        <w:tc>
          <w:tcPr>
            <w:tcW w:w="1085" w:type="dxa"/>
            <w:vMerge w:val="restart"/>
            <w:tcBorders>
              <w:top w:val="nil"/>
              <w:left w:val="single" w:color="auto" w:sz="4" w:space="0"/>
              <w:bottom w:val="single" w:color="auto" w:sz="4" w:space="0"/>
              <w:right w:val="single" w:color="auto" w:sz="4" w:space="0"/>
            </w:tcBorders>
            <w:shd w:val="clear" w:color="auto" w:fill="auto"/>
            <w:vAlign w:val="center"/>
          </w:tcPr>
          <w:p w14:paraId="2653ED13">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硬盘</w:t>
            </w:r>
          </w:p>
        </w:tc>
        <w:tc>
          <w:tcPr>
            <w:tcW w:w="7495" w:type="dxa"/>
            <w:tcBorders>
              <w:top w:val="nil"/>
              <w:left w:val="nil"/>
              <w:bottom w:val="single" w:color="auto" w:sz="4" w:space="0"/>
              <w:right w:val="single" w:color="auto" w:sz="4" w:space="0"/>
            </w:tcBorders>
            <w:shd w:val="clear" w:color="auto" w:fill="auto"/>
            <w:noWrap/>
            <w:vAlign w:val="center"/>
          </w:tcPr>
          <w:p w14:paraId="229D8CFC">
            <w:pPr>
              <w:widowControl/>
              <w:rPr>
                <w:rFonts w:ascii="Times New Roman" w:hAnsi="Times New Roman" w:eastAsia="等线" w:cs="Times New Roman"/>
                <w:b/>
                <w:bCs/>
                <w:color w:val="000000"/>
                <w:kern w:val="0"/>
                <w:szCs w:val="21"/>
              </w:rPr>
            </w:pPr>
            <w:r>
              <w:rPr>
                <w:rFonts w:hint="eastAsia" w:ascii="Segoe UI Symbol" w:hAnsi="Segoe UI Symbol" w:eastAsia="宋体" w:cs="Segoe UI Symbol"/>
                <w:b/>
                <w:bCs/>
                <w:color w:val="000000"/>
                <w:kern w:val="0"/>
                <w:szCs w:val="21"/>
                <w:highlight w:val="none"/>
              </w:rPr>
              <w:t>☆</w:t>
            </w:r>
            <w:r>
              <w:rPr>
                <w:rFonts w:hint="eastAsia" w:ascii="宋体" w:hAnsi="宋体" w:eastAsia="宋体" w:cs="Times New Roman"/>
                <w:b/>
                <w:bCs/>
                <w:color w:val="000000"/>
                <w:kern w:val="0"/>
                <w:szCs w:val="21"/>
              </w:rPr>
              <w:t>每个节点配置</w:t>
            </w:r>
            <w:r>
              <w:rPr>
                <w:rFonts w:ascii="Times New Roman" w:hAnsi="Times New Roman" w:eastAsia="等线" w:cs="Times New Roman"/>
                <w:b/>
                <w:bCs/>
                <w:color w:val="000000"/>
                <w:kern w:val="0"/>
                <w:szCs w:val="21"/>
              </w:rPr>
              <w:t>2</w:t>
            </w:r>
            <w:r>
              <w:rPr>
                <w:rFonts w:hint="eastAsia" w:ascii="宋体" w:hAnsi="宋体" w:eastAsia="宋体" w:cs="Times New Roman"/>
                <w:b/>
                <w:bCs/>
                <w:color w:val="000000"/>
                <w:kern w:val="0"/>
                <w:szCs w:val="21"/>
              </w:rPr>
              <w:t>块</w:t>
            </w:r>
            <w:r>
              <w:rPr>
                <w:rFonts w:ascii="Times New Roman" w:hAnsi="Times New Roman" w:eastAsia="等线" w:cs="Times New Roman"/>
                <w:b/>
                <w:bCs/>
                <w:color w:val="000000"/>
                <w:kern w:val="0"/>
                <w:szCs w:val="21"/>
              </w:rPr>
              <w:t>≥480GB SSD 2.5</w:t>
            </w:r>
            <w:r>
              <w:rPr>
                <w:rFonts w:hint="eastAsia" w:ascii="宋体" w:hAnsi="宋体" w:eastAsia="宋体" w:cs="Times New Roman"/>
                <w:b/>
                <w:bCs/>
                <w:color w:val="000000"/>
                <w:kern w:val="0"/>
                <w:szCs w:val="21"/>
              </w:rPr>
              <w:t>寸硬盘</w:t>
            </w:r>
          </w:p>
        </w:tc>
      </w:tr>
      <w:tr w14:paraId="CB4E43A0">
        <w:tblPrEx>
          <w:tblCellMar>
            <w:top w:w="0" w:type="dxa"/>
            <w:left w:w="108" w:type="dxa"/>
            <w:bottom w:w="0" w:type="dxa"/>
            <w:right w:w="108" w:type="dxa"/>
          </w:tblCellMar>
        </w:tblPrEx>
        <w:trPr>
          <w:trHeight w:val="280" w:hRule="atLeast"/>
        </w:trPr>
        <w:tc>
          <w:tcPr>
            <w:tcW w:w="1085" w:type="dxa"/>
            <w:vMerge w:val="continue"/>
            <w:tcBorders>
              <w:top w:val="nil"/>
              <w:left w:val="single" w:color="auto" w:sz="4" w:space="0"/>
              <w:bottom w:val="single" w:color="auto" w:sz="4" w:space="0"/>
              <w:right w:val="single" w:color="auto" w:sz="4" w:space="0"/>
            </w:tcBorders>
            <w:vAlign w:val="center"/>
          </w:tcPr>
          <w:p w14:paraId="99858466">
            <w:pPr>
              <w:widowControl/>
              <w:jc w:val="left"/>
              <w:rPr>
                <w:rFonts w:ascii="Times New Roman" w:hAnsi="Times New Roman" w:eastAsia="等线" w:cs="Times New Roman"/>
                <w:color w:val="000000"/>
                <w:kern w:val="0"/>
                <w:szCs w:val="21"/>
              </w:rPr>
            </w:pPr>
          </w:p>
        </w:tc>
        <w:tc>
          <w:tcPr>
            <w:tcW w:w="7495" w:type="dxa"/>
            <w:tcBorders>
              <w:top w:val="nil"/>
              <w:left w:val="nil"/>
              <w:bottom w:val="single" w:color="auto" w:sz="4" w:space="0"/>
              <w:right w:val="single" w:color="auto" w:sz="4" w:space="0"/>
            </w:tcBorders>
            <w:shd w:val="clear" w:color="auto" w:fill="auto"/>
            <w:noWrap/>
            <w:vAlign w:val="center"/>
          </w:tcPr>
          <w:p w14:paraId="1B095F37">
            <w:pPr>
              <w:widowControl/>
              <w:rPr>
                <w:rFonts w:ascii="Times New Roman" w:hAnsi="Times New Roman" w:eastAsia="等线" w:cs="Times New Roman"/>
                <w:b/>
                <w:bCs/>
                <w:color w:val="000000"/>
                <w:kern w:val="0"/>
                <w:szCs w:val="21"/>
              </w:rPr>
            </w:pPr>
            <w:r>
              <w:rPr>
                <w:rFonts w:hint="eastAsia" w:ascii="Segoe UI Symbol" w:hAnsi="Segoe UI Symbol" w:eastAsia="宋体" w:cs="Segoe UI Symbol"/>
                <w:b/>
                <w:bCs/>
                <w:color w:val="000000"/>
                <w:kern w:val="0"/>
                <w:szCs w:val="21"/>
                <w:highlight w:val="none"/>
              </w:rPr>
              <w:t>☆</w:t>
            </w:r>
            <w:r>
              <w:rPr>
                <w:rFonts w:hint="eastAsia" w:ascii="宋体" w:hAnsi="宋体" w:eastAsia="宋体" w:cs="Times New Roman"/>
                <w:b/>
                <w:bCs/>
                <w:color w:val="000000"/>
                <w:kern w:val="0"/>
                <w:szCs w:val="21"/>
              </w:rPr>
              <w:t>每个节点配置</w:t>
            </w:r>
            <w:r>
              <w:rPr>
                <w:rFonts w:ascii="Times New Roman" w:hAnsi="Times New Roman" w:eastAsia="等线" w:cs="Times New Roman"/>
                <w:b/>
                <w:bCs/>
                <w:color w:val="000000"/>
                <w:kern w:val="0"/>
                <w:szCs w:val="21"/>
              </w:rPr>
              <w:t>2</w:t>
            </w:r>
            <w:r>
              <w:rPr>
                <w:rFonts w:hint="eastAsia" w:ascii="宋体" w:hAnsi="宋体" w:eastAsia="宋体" w:cs="Times New Roman"/>
                <w:b/>
                <w:bCs/>
                <w:color w:val="000000"/>
                <w:kern w:val="0"/>
                <w:szCs w:val="21"/>
              </w:rPr>
              <w:t>块≥</w:t>
            </w:r>
            <w:r>
              <w:rPr>
                <w:rFonts w:ascii="Times New Roman" w:hAnsi="Times New Roman" w:eastAsia="等线" w:cs="Times New Roman"/>
                <w:b/>
                <w:bCs/>
                <w:color w:val="000000"/>
                <w:kern w:val="0"/>
                <w:szCs w:val="21"/>
              </w:rPr>
              <w:t>1.92T NVME SSD</w:t>
            </w:r>
            <w:r>
              <w:rPr>
                <w:rFonts w:hint="eastAsia" w:ascii="宋体" w:hAnsi="宋体" w:eastAsia="宋体" w:cs="Times New Roman"/>
                <w:b/>
                <w:bCs/>
                <w:color w:val="000000"/>
                <w:kern w:val="0"/>
                <w:szCs w:val="21"/>
              </w:rPr>
              <w:t>硬盘</w:t>
            </w:r>
          </w:p>
        </w:tc>
      </w:tr>
      <w:tr w14:paraId="9233BEE0">
        <w:tblPrEx>
          <w:tblCellMar>
            <w:top w:w="0" w:type="dxa"/>
            <w:left w:w="108" w:type="dxa"/>
            <w:bottom w:w="0" w:type="dxa"/>
            <w:right w:w="108" w:type="dxa"/>
          </w:tblCellMar>
        </w:tblPrEx>
        <w:trPr>
          <w:trHeight w:val="280" w:hRule="atLeast"/>
        </w:trPr>
        <w:tc>
          <w:tcPr>
            <w:tcW w:w="1085" w:type="dxa"/>
            <w:vMerge w:val="continue"/>
            <w:tcBorders>
              <w:top w:val="nil"/>
              <w:left w:val="single" w:color="auto" w:sz="4" w:space="0"/>
              <w:bottom w:val="single" w:color="auto" w:sz="4" w:space="0"/>
              <w:right w:val="single" w:color="auto" w:sz="4" w:space="0"/>
            </w:tcBorders>
            <w:vAlign w:val="center"/>
          </w:tcPr>
          <w:p w14:paraId="CFBAD9DE">
            <w:pPr>
              <w:widowControl/>
              <w:jc w:val="left"/>
              <w:rPr>
                <w:rFonts w:ascii="Times New Roman" w:hAnsi="Times New Roman" w:eastAsia="等线" w:cs="Times New Roman"/>
                <w:color w:val="000000"/>
                <w:kern w:val="0"/>
                <w:szCs w:val="21"/>
              </w:rPr>
            </w:pPr>
          </w:p>
        </w:tc>
        <w:tc>
          <w:tcPr>
            <w:tcW w:w="7495" w:type="dxa"/>
            <w:tcBorders>
              <w:top w:val="nil"/>
              <w:left w:val="nil"/>
              <w:bottom w:val="single" w:color="auto" w:sz="4" w:space="0"/>
              <w:right w:val="single" w:color="auto" w:sz="4" w:space="0"/>
            </w:tcBorders>
            <w:shd w:val="clear" w:color="auto" w:fill="auto"/>
            <w:noWrap/>
            <w:vAlign w:val="center"/>
          </w:tcPr>
          <w:p w14:paraId="1465400A">
            <w:pPr>
              <w:widowControl/>
              <w:rPr>
                <w:rFonts w:ascii="Times New Roman" w:hAnsi="Times New Roman" w:eastAsia="等线" w:cs="Times New Roman"/>
                <w:b/>
                <w:bCs/>
                <w:color w:val="000000"/>
                <w:kern w:val="0"/>
                <w:szCs w:val="21"/>
              </w:rPr>
            </w:pPr>
            <w:r>
              <w:rPr>
                <w:rFonts w:hint="eastAsia" w:ascii="Segoe UI Symbol" w:hAnsi="Segoe UI Symbol" w:eastAsia="宋体" w:cs="Segoe UI Symbol"/>
                <w:b/>
                <w:bCs/>
                <w:color w:val="000000"/>
                <w:kern w:val="0"/>
                <w:szCs w:val="21"/>
                <w:highlight w:val="none"/>
              </w:rPr>
              <w:t>☆</w:t>
            </w:r>
            <w:r>
              <w:rPr>
                <w:rFonts w:hint="eastAsia" w:ascii="宋体" w:hAnsi="宋体" w:eastAsia="宋体" w:cs="Times New Roman"/>
                <w:b/>
                <w:bCs/>
                <w:color w:val="000000"/>
                <w:kern w:val="0"/>
                <w:szCs w:val="21"/>
              </w:rPr>
              <w:t>每个节点配置</w:t>
            </w:r>
            <w:r>
              <w:rPr>
                <w:rFonts w:ascii="Times New Roman" w:hAnsi="Times New Roman" w:eastAsia="等线" w:cs="Times New Roman"/>
                <w:b/>
                <w:bCs/>
                <w:color w:val="000000"/>
                <w:kern w:val="0"/>
                <w:szCs w:val="21"/>
              </w:rPr>
              <w:t>8</w:t>
            </w:r>
            <w:r>
              <w:rPr>
                <w:rFonts w:hint="eastAsia" w:ascii="宋体" w:hAnsi="宋体" w:eastAsia="宋体" w:cs="Times New Roman"/>
                <w:b/>
                <w:bCs/>
                <w:color w:val="000000"/>
                <w:kern w:val="0"/>
                <w:szCs w:val="21"/>
              </w:rPr>
              <w:t>块≥</w:t>
            </w:r>
            <w:r>
              <w:rPr>
                <w:rFonts w:ascii="Times New Roman" w:hAnsi="Times New Roman" w:eastAsia="等线" w:cs="Times New Roman"/>
                <w:b/>
                <w:bCs/>
                <w:color w:val="000000"/>
                <w:kern w:val="0"/>
                <w:szCs w:val="21"/>
              </w:rPr>
              <w:t>8TB</w:t>
            </w:r>
            <w:r>
              <w:rPr>
                <w:rFonts w:hint="eastAsia" w:ascii="宋体" w:hAnsi="宋体" w:eastAsia="宋体" w:cs="Times New Roman"/>
                <w:b/>
                <w:bCs/>
                <w:color w:val="000000"/>
                <w:kern w:val="0"/>
                <w:szCs w:val="21"/>
              </w:rPr>
              <w:t>硬盘</w:t>
            </w:r>
          </w:p>
        </w:tc>
      </w:tr>
      <w:tr w14:paraId="ED635BB3">
        <w:tblPrEx>
          <w:tblCellMar>
            <w:top w:w="0" w:type="dxa"/>
            <w:left w:w="108" w:type="dxa"/>
            <w:bottom w:w="0" w:type="dxa"/>
            <w:right w:w="108" w:type="dxa"/>
          </w:tblCellMar>
        </w:tblPrEx>
        <w:trPr>
          <w:trHeight w:val="55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38F80DDB">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接口</w:t>
            </w:r>
          </w:p>
        </w:tc>
        <w:tc>
          <w:tcPr>
            <w:tcW w:w="7495" w:type="dxa"/>
            <w:tcBorders>
              <w:top w:val="nil"/>
              <w:left w:val="nil"/>
              <w:bottom w:val="single" w:color="auto" w:sz="4" w:space="0"/>
              <w:right w:val="single" w:color="auto" w:sz="4" w:space="0"/>
            </w:tcBorders>
            <w:shd w:val="clear" w:color="auto" w:fill="auto"/>
            <w:noWrap/>
            <w:vAlign w:val="center"/>
          </w:tcPr>
          <w:p w14:paraId="1CF513A6">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每个存储节点配置≥</w:t>
            </w:r>
            <w:r>
              <w:rPr>
                <w:rFonts w:ascii="Times New Roman" w:hAnsi="Times New Roman" w:eastAsia="等线" w:cs="Times New Roman"/>
                <w:color w:val="000000"/>
                <w:kern w:val="0"/>
                <w:szCs w:val="21"/>
              </w:rPr>
              <w:t>4</w:t>
            </w:r>
            <w:r>
              <w:rPr>
                <w:rFonts w:hint="eastAsia" w:ascii="宋体" w:hAnsi="宋体" w:eastAsia="宋体" w:cs="Times New Roman"/>
                <w:color w:val="000000"/>
                <w:kern w:val="0"/>
                <w:szCs w:val="21"/>
              </w:rPr>
              <w:t>个</w:t>
            </w:r>
            <w:r>
              <w:rPr>
                <w:rFonts w:ascii="Times New Roman" w:hAnsi="Times New Roman" w:eastAsia="等线" w:cs="Times New Roman"/>
                <w:color w:val="000000"/>
                <w:kern w:val="0"/>
                <w:szCs w:val="21"/>
              </w:rPr>
              <w:t>10G</w:t>
            </w:r>
            <w:r>
              <w:rPr>
                <w:rFonts w:hint="eastAsia" w:ascii="宋体" w:hAnsi="宋体" w:eastAsia="宋体" w:cs="Times New Roman"/>
                <w:color w:val="000000"/>
                <w:kern w:val="0"/>
                <w:szCs w:val="21"/>
              </w:rPr>
              <w:t>光口（含光模块）</w:t>
            </w:r>
            <w:r>
              <w:rPr>
                <w:rFonts w:ascii="Times New Roman" w:hAnsi="Times New Roman" w:eastAsia="等线" w:cs="Times New Roman"/>
                <w:color w:val="000000"/>
                <w:kern w:val="0"/>
                <w:szCs w:val="21"/>
              </w:rPr>
              <w:t>+2个</w:t>
            </w:r>
            <w:r>
              <w:rPr>
                <w:rFonts w:hint="eastAsia" w:ascii="宋体" w:hAnsi="宋体" w:eastAsia="宋体" w:cs="Times New Roman"/>
                <w:color w:val="000000"/>
                <w:kern w:val="0"/>
                <w:szCs w:val="21"/>
              </w:rPr>
              <w:t>千兆电口，用于前端业务主机对存储系统进行数据读写操作及存储数据节点的交换</w:t>
            </w:r>
          </w:p>
        </w:tc>
      </w:tr>
      <w:tr w14:paraId="7C4A65DA">
        <w:tblPrEx>
          <w:tblCellMar>
            <w:top w:w="0" w:type="dxa"/>
            <w:left w:w="108" w:type="dxa"/>
            <w:bottom w:w="0" w:type="dxa"/>
            <w:right w:w="108" w:type="dxa"/>
          </w:tblCellMar>
        </w:tblPrEx>
        <w:trPr>
          <w:trHeight w:val="56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65EAACB2">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数据均衡</w:t>
            </w:r>
          </w:p>
        </w:tc>
        <w:tc>
          <w:tcPr>
            <w:tcW w:w="7495" w:type="dxa"/>
            <w:tcBorders>
              <w:top w:val="nil"/>
              <w:left w:val="nil"/>
              <w:bottom w:val="single" w:color="auto" w:sz="4" w:space="0"/>
              <w:right w:val="single" w:color="auto" w:sz="4" w:space="0"/>
            </w:tcBorders>
            <w:shd w:val="clear" w:color="auto" w:fill="auto"/>
            <w:noWrap/>
            <w:vAlign w:val="center"/>
          </w:tcPr>
          <w:p w14:paraId="3ED12274">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所投产品存储系统数据落盘进行深度的均衡优化，集群可写水位达</w:t>
            </w:r>
            <w:r>
              <w:rPr>
                <w:rFonts w:ascii="Times New Roman" w:hAnsi="Times New Roman" w:eastAsia="等线" w:cs="Times New Roman"/>
                <w:color w:val="000000"/>
                <w:kern w:val="0"/>
                <w:szCs w:val="21"/>
              </w:rPr>
              <w:t>99%</w:t>
            </w:r>
            <w:r>
              <w:rPr>
                <w:rFonts w:hint="eastAsia" w:ascii="宋体" w:hAnsi="宋体" w:eastAsia="宋体" w:cs="Times New Roman"/>
                <w:color w:val="000000"/>
                <w:kern w:val="0"/>
                <w:szCs w:val="21"/>
              </w:rPr>
              <w:t>，</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ascii="Times New Roman" w:hAnsi="Times New Roman" w:eastAsia="宋体" w:cs="Times New Roman"/>
                <w:color w:val="000000"/>
                <w:kern w:val="0"/>
                <w:szCs w:val="21"/>
              </w:rPr>
              <w:t>；</w:t>
            </w:r>
          </w:p>
        </w:tc>
      </w:tr>
      <w:tr w14:paraId="3B8117A2">
        <w:tblPrEx>
          <w:tblCellMar>
            <w:top w:w="0" w:type="dxa"/>
            <w:left w:w="108" w:type="dxa"/>
            <w:bottom w:w="0" w:type="dxa"/>
            <w:right w:w="108" w:type="dxa"/>
          </w:tblCellMar>
        </w:tblPrEx>
        <w:trPr>
          <w:trHeight w:val="83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8A06898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海量小文件全局聚合</w:t>
            </w:r>
          </w:p>
        </w:tc>
        <w:tc>
          <w:tcPr>
            <w:tcW w:w="7495" w:type="dxa"/>
            <w:tcBorders>
              <w:top w:val="nil"/>
              <w:left w:val="nil"/>
              <w:bottom w:val="single" w:color="auto" w:sz="4" w:space="0"/>
              <w:right w:val="single" w:color="auto" w:sz="4" w:space="0"/>
            </w:tcBorders>
            <w:shd w:val="clear" w:color="auto" w:fill="auto"/>
            <w:noWrap/>
            <w:vAlign w:val="center"/>
          </w:tcPr>
          <w:p w14:paraId="E5777E75">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配置海量小文件全局聚合（全局聚合策略将多个小文件（＜</w:t>
            </w:r>
            <w:r>
              <w:rPr>
                <w:rFonts w:ascii="Times New Roman" w:hAnsi="Times New Roman" w:eastAsia="等线" w:cs="Times New Roman"/>
                <w:color w:val="000000"/>
                <w:kern w:val="0"/>
                <w:szCs w:val="21"/>
              </w:rPr>
              <w:t>1M</w:t>
            </w:r>
            <w:r>
              <w:rPr>
                <w:rFonts w:hint="eastAsia" w:ascii="宋体" w:hAnsi="宋体" w:eastAsia="宋体" w:cs="Times New Roman"/>
                <w:color w:val="000000"/>
                <w:kern w:val="0"/>
                <w:szCs w:val="21"/>
              </w:rPr>
              <w:t>）写入后聚合成一个文件），减少数据写入硬盘次数，显著提高小文件读写性能。</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ascii="Times New Roman" w:hAnsi="Times New Roman" w:eastAsia="宋体" w:cs="Times New Roman"/>
                <w:color w:val="000000"/>
                <w:kern w:val="0"/>
                <w:szCs w:val="21"/>
              </w:rPr>
              <w:t>；</w:t>
            </w:r>
          </w:p>
        </w:tc>
      </w:tr>
      <w:tr w14:paraId="3D0FB227">
        <w:tblPrEx>
          <w:tblCellMar>
            <w:top w:w="0" w:type="dxa"/>
            <w:left w:w="108" w:type="dxa"/>
            <w:bottom w:w="0" w:type="dxa"/>
            <w:right w:w="108" w:type="dxa"/>
          </w:tblCellMar>
        </w:tblPrEx>
        <w:trPr>
          <w:trHeight w:val="5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7D221892">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文件数目支持</w:t>
            </w:r>
          </w:p>
        </w:tc>
        <w:tc>
          <w:tcPr>
            <w:tcW w:w="7495" w:type="dxa"/>
            <w:tcBorders>
              <w:top w:val="nil"/>
              <w:left w:val="nil"/>
              <w:bottom w:val="single" w:color="auto" w:sz="4" w:space="0"/>
              <w:right w:val="single" w:color="auto" w:sz="4" w:space="0"/>
            </w:tcBorders>
            <w:shd w:val="clear" w:color="auto" w:fill="auto"/>
            <w:noWrap/>
            <w:vAlign w:val="center"/>
          </w:tcPr>
          <w:p w14:paraId="5AEFCCF1">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单一目录支持</w:t>
            </w:r>
            <w:r>
              <w:rPr>
                <w:rFonts w:ascii="Times New Roman" w:hAnsi="Times New Roman" w:eastAsia="等线" w:cs="Times New Roman"/>
                <w:color w:val="000000"/>
                <w:kern w:val="0"/>
                <w:szCs w:val="21"/>
              </w:rPr>
              <w:t>1000</w:t>
            </w:r>
            <w:r>
              <w:rPr>
                <w:rFonts w:hint="eastAsia" w:ascii="宋体" w:hAnsi="宋体" w:eastAsia="宋体" w:cs="Times New Roman"/>
                <w:color w:val="000000"/>
                <w:kern w:val="0"/>
                <w:szCs w:val="21"/>
              </w:rPr>
              <w:t>万文件，文件系统支持千亿级文件</w:t>
            </w:r>
            <w:r>
              <w:rPr>
                <w:rFonts w:ascii="Times New Roman" w:hAnsi="Times New Roman" w:eastAsia="等线" w:cs="Times New Roman"/>
                <w:color w:val="000000"/>
                <w:kern w:val="0"/>
                <w:szCs w:val="21"/>
              </w:rPr>
              <w:t xml:space="preserve"> </w:t>
            </w:r>
          </w:p>
        </w:tc>
      </w:tr>
      <w:tr w14:paraId="25BA7BDD">
        <w:tblPrEx>
          <w:tblCellMar>
            <w:top w:w="0" w:type="dxa"/>
            <w:left w:w="108" w:type="dxa"/>
            <w:bottom w:w="0" w:type="dxa"/>
            <w:right w:w="108" w:type="dxa"/>
          </w:tblCellMar>
        </w:tblPrEx>
        <w:trPr>
          <w:trHeight w:val="82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7157755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回收站功能</w:t>
            </w:r>
          </w:p>
        </w:tc>
        <w:tc>
          <w:tcPr>
            <w:tcW w:w="7495" w:type="dxa"/>
            <w:tcBorders>
              <w:top w:val="nil"/>
              <w:left w:val="nil"/>
              <w:bottom w:val="single" w:color="auto" w:sz="4" w:space="0"/>
              <w:right w:val="single" w:color="auto" w:sz="4" w:space="0"/>
            </w:tcBorders>
            <w:shd w:val="clear" w:color="auto" w:fill="auto"/>
            <w:noWrap/>
            <w:vAlign w:val="center"/>
          </w:tcPr>
          <w:p w14:paraId="CC73E364">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所投产品支持文件回收站功能，文件删除后自动保存一段时间，在文件过期前可以找回被删除数据，在文件过期后数据自动删除</w:t>
            </w:r>
            <w:r>
              <w:rPr>
                <w:rFonts w:ascii="Times New Roman" w:hAnsi="Times New Roman" w:eastAsia="宋体" w:cs="Times New Roman"/>
                <w:color w:val="000000"/>
                <w:kern w:val="0"/>
                <w:szCs w:val="21"/>
              </w:rPr>
              <w:t>；</w:t>
            </w:r>
          </w:p>
        </w:tc>
      </w:tr>
      <w:tr w14:paraId="2ADFCDA4">
        <w:tblPrEx>
          <w:tblCellMar>
            <w:top w:w="0" w:type="dxa"/>
            <w:left w:w="108" w:type="dxa"/>
            <w:bottom w:w="0" w:type="dxa"/>
            <w:right w:w="108" w:type="dxa"/>
          </w:tblCellMar>
        </w:tblPrEx>
        <w:trPr>
          <w:trHeight w:val="5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35766101">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定时快照</w:t>
            </w:r>
          </w:p>
        </w:tc>
        <w:tc>
          <w:tcPr>
            <w:tcW w:w="7495" w:type="dxa"/>
            <w:tcBorders>
              <w:top w:val="nil"/>
              <w:left w:val="nil"/>
              <w:bottom w:val="single" w:color="auto" w:sz="4" w:space="0"/>
              <w:right w:val="single" w:color="auto" w:sz="4" w:space="0"/>
            </w:tcBorders>
            <w:shd w:val="clear" w:color="auto" w:fill="auto"/>
            <w:noWrap/>
            <w:vAlign w:val="center"/>
          </w:tcPr>
          <w:p w14:paraId="F9BD73DD">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配置定时快照功能，可按策略生效，可支持分钟粒度的间隔策略，每日策略，每周策略，每月策略，且支持多种策略混合部署</w:t>
            </w:r>
          </w:p>
        </w:tc>
      </w:tr>
      <w:tr w14:paraId="34AC3848">
        <w:tblPrEx>
          <w:tblCellMar>
            <w:top w:w="0" w:type="dxa"/>
            <w:left w:w="108" w:type="dxa"/>
            <w:bottom w:w="0" w:type="dxa"/>
            <w:right w:w="108" w:type="dxa"/>
          </w:tblCellMar>
        </w:tblPrEx>
        <w:trPr>
          <w:trHeight w:val="28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454F12EF">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海量删除</w:t>
            </w:r>
          </w:p>
        </w:tc>
        <w:tc>
          <w:tcPr>
            <w:tcW w:w="7495" w:type="dxa"/>
            <w:tcBorders>
              <w:top w:val="nil"/>
              <w:left w:val="nil"/>
              <w:bottom w:val="single" w:color="auto" w:sz="4" w:space="0"/>
              <w:right w:val="single" w:color="auto" w:sz="4" w:space="0"/>
            </w:tcBorders>
            <w:shd w:val="clear" w:color="auto" w:fill="auto"/>
            <w:noWrap/>
            <w:vAlign w:val="center"/>
          </w:tcPr>
          <w:p w14:paraId="B11D234E">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所投产品支持海量快速删除功能，删除</w:t>
            </w:r>
            <w:r>
              <w:rPr>
                <w:rFonts w:ascii="Times New Roman" w:hAnsi="Times New Roman" w:eastAsia="等线" w:cs="Times New Roman"/>
                <w:color w:val="000000"/>
                <w:kern w:val="0"/>
                <w:szCs w:val="21"/>
              </w:rPr>
              <w:t>100w</w:t>
            </w:r>
            <w:r>
              <w:rPr>
                <w:rFonts w:hint="eastAsia" w:ascii="宋体" w:hAnsi="宋体" w:eastAsia="宋体" w:cs="Times New Roman"/>
                <w:color w:val="000000"/>
                <w:kern w:val="0"/>
                <w:szCs w:val="21"/>
              </w:rPr>
              <w:t>文件在</w:t>
            </w:r>
            <w:r>
              <w:rPr>
                <w:rFonts w:ascii="Times New Roman" w:hAnsi="Times New Roman" w:eastAsia="等线" w:cs="Times New Roman"/>
                <w:color w:val="000000"/>
                <w:kern w:val="0"/>
                <w:szCs w:val="21"/>
              </w:rPr>
              <w:t>1s</w:t>
            </w:r>
            <w:r>
              <w:rPr>
                <w:rFonts w:hint="eastAsia" w:ascii="宋体" w:hAnsi="宋体" w:eastAsia="宋体" w:cs="Times New Roman"/>
                <w:color w:val="000000"/>
                <w:kern w:val="0"/>
                <w:szCs w:val="21"/>
              </w:rPr>
              <w:t>内返回</w:t>
            </w:r>
            <w:r>
              <w:rPr>
                <w:rFonts w:ascii="Times New Roman" w:hAnsi="Times New Roman" w:eastAsia="等线" w:cs="Times New Roman"/>
                <w:color w:val="000000"/>
                <w:kern w:val="0"/>
                <w:szCs w:val="21"/>
              </w:rPr>
              <w:t xml:space="preserve"> </w:t>
            </w:r>
          </w:p>
        </w:tc>
      </w:tr>
      <w:tr w14:paraId="3B2C1361">
        <w:tblPrEx>
          <w:tblCellMar>
            <w:top w:w="0" w:type="dxa"/>
            <w:left w:w="108" w:type="dxa"/>
            <w:bottom w:w="0" w:type="dxa"/>
            <w:right w:w="108" w:type="dxa"/>
          </w:tblCellMar>
        </w:tblPrEx>
        <w:trPr>
          <w:trHeight w:val="8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B8D1A5EF">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软拷贝</w:t>
            </w:r>
          </w:p>
        </w:tc>
        <w:tc>
          <w:tcPr>
            <w:tcW w:w="7495" w:type="dxa"/>
            <w:tcBorders>
              <w:top w:val="nil"/>
              <w:left w:val="nil"/>
              <w:bottom w:val="single" w:color="auto" w:sz="4" w:space="0"/>
              <w:right w:val="single" w:color="auto" w:sz="4" w:space="0"/>
            </w:tcBorders>
            <w:shd w:val="clear" w:color="auto" w:fill="auto"/>
            <w:noWrap/>
            <w:vAlign w:val="center"/>
          </w:tcPr>
          <w:p w14:paraId="663B9C26">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所投产品支持文件软拷贝功能，</w:t>
            </w:r>
            <w:r>
              <w:rPr>
                <w:rFonts w:ascii="Times New Roman" w:hAnsi="Times New Roman" w:eastAsia="等线" w:cs="Times New Roman"/>
                <w:color w:val="000000"/>
                <w:kern w:val="0"/>
                <w:szCs w:val="21"/>
              </w:rPr>
              <w:t xml:space="preserve"> </w:t>
            </w:r>
            <w:r>
              <w:rPr>
                <w:rFonts w:hint="eastAsia" w:ascii="宋体" w:hAnsi="宋体" w:eastAsia="宋体" w:cs="Times New Roman"/>
                <w:color w:val="000000"/>
                <w:kern w:val="0"/>
                <w:szCs w:val="21"/>
              </w:rPr>
              <w:t>支持对文件进行软拷贝，软拷贝文件可读可写，且其读、写、重命名等操作与源文件独立。实现对大文件的软拷贝时长小于</w:t>
            </w:r>
            <w:r>
              <w:rPr>
                <w:rFonts w:ascii="Times New Roman" w:hAnsi="Times New Roman" w:eastAsia="等线" w:cs="Times New Roman"/>
                <w:color w:val="000000"/>
                <w:kern w:val="0"/>
                <w:szCs w:val="21"/>
              </w:rPr>
              <w:t>1S</w:t>
            </w:r>
            <w:r>
              <w:rPr>
                <w:rFonts w:hint="eastAsia" w:ascii="宋体" w:hAnsi="宋体" w:eastAsia="宋体" w:cs="Times New Roman"/>
                <w:color w:val="000000"/>
                <w:kern w:val="0"/>
                <w:szCs w:val="21"/>
              </w:rPr>
              <w:t>，且拷贝时对性能无影响，所占用空间容量低于源文件容量的</w:t>
            </w:r>
            <w:r>
              <w:rPr>
                <w:rFonts w:ascii="Times New Roman" w:hAnsi="Times New Roman" w:eastAsia="等线" w:cs="Times New Roman"/>
                <w:color w:val="000000"/>
                <w:kern w:val="0"/>
                <w:szCs w:val="21"/>
              </w:rPr>
              <w:t>1%</w:t>
            </w:r>
          </w:p>
        </w:tc>
      </w:tr>
      <w:tr w14:paraId="998EAC97">
        <w:tblPrEx>
          <w:tblCellMar>
            <w:top w:w="0" w:type="dxa"/>
            <w:left w:w="108" w:type="dxa"/>
            <w:bottom w:w="0" w:type="dxa"/>
            <w:right w:w="108" w:type="dxa"/>
          </w:tblCellMar>
        </w:tblPrEx>
        <w:trPr>
          <w:trHeight w:val="81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80DD8179">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分级存储</w:t>
            </w:r>
          </w:p>
        </w:tc>
        <w:tc>
          <w:tcPr>
            <w:tcW w:w="7495" w:type="dxa"/>
            <w:tcBorders>
              <w:top w:val="nil"/>
              <w:left w:val="nil"/>
              <w:bottom w:val="single" w:color="auto" w:sz="4" w:space="0"/>
              <w:right w:val="single" w:color="auto" w:sz="4" w:space="0"/>
            </w:tcBorders>
            <w:shd w:val="clear" w:color="auto" w:fill="auto"/>
            <w:noWrap/>
            <w:vAlign w:val="center"/>
          </w:tcPr>
          <w:p w14:paraId="1C8247B3">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支持文件分级存储功能，可将文件按照设定的文件大小、类型分别存储在高性能存储介质和相对低性能的存储介质中，合理利用存储空间。支持创建文件写入策略和数据迁移策略。</w:t>
            </w:r>
          </w:p>
        </w:tc>
      </w:tr>
      <w:tr w14:paraId="630E6A5B">
        <w:tblPrEx>
          <w:tblCellMar>
            <w:top w:w="0" w:type="dxa"/>
            <w:left w:w="108" w:type="dxa"/>
            <w:bottom w:w="0" w:type="dxa"/>
            <w:right w:w="108" w:type="dxa"/>
          </w:tblCellMar>
        </w:tblPrEx>
        <w:trPr>
          <w:trHeight w:val="83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4EA46945">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WORM</w:t>
            </w:r>
            <w:r>
              <w:rPr>
                <w:rFonts w:hint="eastAsia" w:ascii="宋体" w:hAnsi="宋体" w:eastAsia="宋体" w:cs="Times New Roman"/>
                <w:color w:val="000000"/>
                <w:kern w:val="0"/>
                <w:szCs w:val="21"/>
              </w:rPr>
              <w:t>功能</w:t>
            </w:r>
          </w:p>
        </w:tc>
        <w:tc>
          <w:tcPr>
            <w:tcW w:w="7495" w:type="dxa"/>
            <w:tcBorders>
              <w:top w:val="nil"/>
              <w:left w:val="nil"/>
              <w:bottom w:val="single" w:color="auto" w:sz="4" w:space="0"/>
              <w:right w:val="single" w:color="auto" w:sz="4" w:space="0"/>
            </w:tcBorders>
            <w:shd w:val="clear" w:color="auto" w:fill="auto"/>
            <w:noWrap/>
            <w:vAlign w:val="center"/>
          </w:tcPr>
          <w:p w14:paraId="5F8314E3">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配置文件</w:t>
            </w:r>
            <w:r>
              <w:rPr>
                <w:rFonts w:ascii="Times New Roman" w:hAnsi="Times New Roman" w:eastAsia="等线" w:cs="Times New Roman"/>
                <w:color w:val="000000"/>
                <w:kern w:val="0"/>
                <w:szCs w:val="21"/>
              </w:rPr>
              <w:t>WORM</w:t>
            </w:r>
            <w:r>
              <w:rPr>
                <w:rFonts w:hint="eastAsia" w:ascii="宋体" w:hAnsi="宋体" w:eastAsia="宋体" w:cs="Times New Roman"/>
                <w:color w:val="000000"/>
                <w:kern w:val="0"/>
                <w:szCs w:val="21"/>
              </w:rPr>
              <w:t>功能，可实现用户对目录设置宽限期和保护期，当该目录下的文件进入保护期后，使文件在保护期内只能被读取，可防止文件中的数据被修改或删除，支持对象桶的</w:t>
            </w:r>
            <w:r>
              <w:rPr>
                <w:rFonts w:ascii="Times New Roman" w:hAnsi="Times New Roman" w:eastAsia="等线" w:cs="Times New Roman"/>
                <w:color w:val="000000"/>
                <w:kern w:val="0"/>
                <w:szCs w:val="21"/>
              </w:rPr>
              <w:t>WORM</w:t>
            </w:r>
            <w:r>
              <w:rPr>
                <w:rFonts w:hint="eastAsia" w:ascii="宋体" w:hAnsi="宋体" w:eastAsia="宋体" w:cs="Times New Roman"/>
                <w:color w:val="000000"/>
                <w:kern w:val="0"/>
                <w:szCs w:val="21"/>
              </w:rPr>
              <w:t>功能</w:t>
            </w:r>
          </w:p>
        </w:tc>
      </w:tr>
      <w:tr w14:paraId="25733222">
        <w:tblPrEx>
          <w:tblCellMar>
            <w:top w:w="0" w:type="dxa"/>
            <w:left w:w="108" w:type="dxa"/>
            <w:bottom w:w="0" w:type="dxa"/>
            <w:right w:w="108" w:type="dxa"/>
          </w:tblCellMar>
        </w:tblPrEx>
        <w:trPr>
          <w:trHeight w:val="56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D45699A4">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配额管理</w:t>
            </w:r>
          </w:p>
        </w:tc>
        <w:tc>
          <w:tcPr>
            <w:tcW w:w="7495" w:type="dxa"/>
            <w:tcBorders>
              <w:top w:val="nil"/>
              <w:left w:val="nil"/>
              <w:bottom w:val="single" w:color="auto" w:sz="4" w:space="0"/>
              <w:right w:val="single" w:color="auto" w:sz="4" w:space="0"/>
            </w:tcBorders>
            <w:shd w:val="clear" w:color="auto" w:fill="auto"/>
            <w:noWrap/>
            <w:vAlign w:val="center"/>
          </w:tcPr>
          <w:p w14:paraId="D2255230">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配置配额管理功能，支持目录配额功能，可以为不同的目录设置配额；支持用户</w:t>
            </w:r>
            <w:r>
              <w:rPr>
                <w:rFonts w:ascii="Times New Roman" w:hAnsi="Times New Roman" w:eastAsia="等线" w:cs="Times New Roman"/>
                <w:color w:val="000000"/>
                <w:kern w:val="0"/>
                <w:szCs w:val="21"/>
              </w:rPr>
              <w:t>/</w:t>
            </w:r>
            <w:r>
              <w:rPr>
                <w:rFonts w:hint="eastAsia" w:ascii="宋体" w:hAnsi="宋体" w:eastAsia="宋体" w:cs="Times New Roman"/>
                <w:color w:val="000000"/>
                <w:kern w:val="0"/>
                <w:szCs w:val="21"/>
              </w:rPr>
              <w:t>用户组配额，可以为某个用户</w:t>
            </w:r>
            <w:r>
              <w:rPr>
                <w:rFonts w:ascii="Times New Roman" w:hAnsi="Times New Roman" w:eastAsia="等线" w:cs="Times New Roman"/>
                <w:color w:val="000000"/>
                <w:kern w:val="0"/>
                <w:szCs w:val="21"/>
              </w:rPr>
              <w:t>/</w:t>
            </w:r>
            <w:r>
              <w:rPr>
                <w:rFonts w:hint="eastAsia" w:ascii="宋体" w:hAnsi="宋体" w:eastAsia="宋体" w:cs="Times New Roman"/>
                <w:color w:val="000000"/>
                <w:kern w:val="0"/>
                <w:szCs w:val="21"/>
              </w:rPr>
              <w:t>用户组自定义用户或组配额。</w:t>
            </w:r>
          </w:p>
        </w:tc>
      </w:tr>
      <w:tr w14:paraId="18296365">
        <w:tblPrEx>
          <w:tblCellMar>
            <w:top w:w="0" w:type="dxa"/>
            <w:left w:w="108" w:type="dxa"/>
            <w:bottom w:w="0" w:type="dxa"/>
            <w:right w:w="108" w:type="dxa"/>
          </w:tblCellMar>
        </w:tblPrEx>
        <w:trPr>
          <w:trHeight w:val="55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D36BA370">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全局命名空间</w:t>
            </w:r>
          </w:p>
        </w:tc>
        <w:tc>
          <w:tcPr>
            <w:tcW w:w="7495" w:type="dxa"/>
            <w:tcBorders>
              <w:top w:val="nil"/>
              <w:left w:val="nil"/>
              <w:bottom w:val="single" w:color="auto" w:sz="4" w:space="0"/>
              <w:right w:val="single" w:color="auto" w:sz="4" w:space="0"/>
            </w:tcBorders>
            <w:shd w:val="clear" w:color="auto" w:fill="auto"/>
            <w:noWrap/>
            <w:vAlign w:val="center"/>
          </w:tcPr>
          <w:p w14:paraId="A44D5533">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所投产品支持全局命名空间功能，单一文件系统所有节点可整合成一个大的虚拟存储池，并向外提供统一的域名访问或</w:t>
            </w:r>
            <w:r>
              <w:rPr>
                <w:rFonts w:ascii="Times New Roman" w:hAnsi="Times New Roman" w:eastAsia="等线" w:cs="Times New Roman"/>
                <w:color w:val="000000"/>
                <w:kern w:val="0"/>
                <w:szCs w:val="21"/>
              </w:rPr>
              <w:t>IP</w:t>
            </w:r>
            <w:r>
              <w:rPr>
                <w:rFonts w:hint="eastAsia" w:ascii="宋体" w:hAnsi="宋体" w:eastAsia="宋体" w:cs="Times New Roman"/>
                <w:color w:val="000000"/>
                <w:kern w:val="0"/>
                <w:szCs w:val="21"/>
              </w:rPr>
              <w:t>地址访问</w:t>
            </w:r>
          </w:p>
        </w:tc>
      </w:tr>
      <w:tr w14:paraId="FC0C17D4">
        <w:tblPrEx>
          <w:tblCellMar>
            <w:top w:w="0" w:type="dxa"/>
            <w:left w:w="108" w:type="dxa"/>
            <w:bottom w:w="0" w:type="dxa"/>
            <w:right w:w="108" w:type="dxa"/>
          </w:tblCellMar>
        </w:tblPrEx>
        <w:trPr>
          <w:trHeight w:val="28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79D8B0DF">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多租户</w:t>
            </w:r>
          </w:p>
        </w:tc>
        <w:tc>
          <w:tcPr>
            <w:tcW w:w="7495" w:type="dxa"/>
            <w:tcBorders>
              <w:top w:val="nil"/>
              <w:left w:val="nil"/>
              <w:bottom w:val="single" w:color="auto" w:sz="4" w:space="0"/>
              <w:right w:val="single" w:color="auto" w:sz="4" w:space="0"/>
            </w:tcBorders>
            <w:shd w:val="clear" w:color="auto" w:fill="auto"/>
            <w:noWrap/>
            <w:vAlign w:val="center"/>
          </w:tcPr>
          <w:p w14:paraId="2091ADD2">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对象存储支持提供多租户服务，同一套系统为不同用户和应用提供存储服务</w:t>
            </w:r>
          </w:p>
        </w:tc>
      </w:tr>
      <w:tr w14:paraId="A4B7F4F4">
        <w:tblPrEx>
          <w:tblCellMar>
            <w:top w:w="0" w:type="dxa"/>
            <w:left w:w="108" w:type="dxa"/>
            <w:bottom w:w="0" w:type="dxa"/>
            <w:right w:w="108" w:type="dxa"/>
          </w:tblCellMar>
        </w:tblPrEx>
        <w:trPr>
          <w:trHeight w:val="56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A0C0D83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QoS</w:t>
            </w:r>
          </w:p>
        </w:tc>
        <w:tc>
          <w:tcPr>
            <w:tcW w:w="7495" w:type="dxa"/>
            <w:tcBorders>
              <w:top w:val="nil"/>
              <w:left w:val="nil"/>
              <w:bottom w:val="single" w:color="auto" w:sz="4" w:space="0"/>
              <w:right w:val="single" w:color="auto" w:sz="4" w:space="0"/>
            </w:tcBorders>
            <w:shd w:val="clear" w:color="auto" w:fill="auto"/>
            <w:noWrap/>
            <w:vAlign w:val="center"/>
          </w:tcPr>
          <w:p w14:paraId="ACC9A7FF">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保证关键业务不受影响，要求所投产品支持</w:t>
            </w:r>
            <w:r>
              <w:rPr>
                <w:rFonts w:ascii="Times New Roman" w:hAnsi="Times New Roman" w:eastAsia="等线" w:cs="Times New Roman"/>
                <w:color w:val="000000"/>
                <w:kern w:val="0"/>
                <w:szCs w:val="21"/>
              </w:rPr>
              <w:t>QoS</w:t>
            </w:r>
            <w:r>
              <w:rPr>
                <w:rFonts w:hint="eastAsia" w:ascii="宋体" w:hAnsi="宋体" w:eastAsia="宋体" w:cs="Times New Roman"/>
                <w:color w:val="000000"/>
                <w:kern w:val="0"/>
                <w:szCs w:val="21"/>
              </w:rPr>
              <w:t>功能，可设置承载的最大带宽及</w:t>
            </w:r>
            <w:r>
              <w:rPr>
                <w:rFonts w:ascii="Times New Roman" w:hAnsi="Times New Roman" w:eastAsia="等线" w:cs="Times New Roman"/>
                <w:color w:val="000000"/>
                <w:kern w:val="0"/>
                <w:szCs w:val="21"/>
              </w:rPr>
              <w:t>TPS</w:t>
            </w:r>
            <w:r>
              <w:rPr>
                <w:rFonts w:hint="eastAsia" w:ascii="宋体" w:hAnsi="宋体" w:eastAsia="宋体" w:cs="Times New Roman"/>
                <w:color w:val="000000"/>
                <w:kern w:val="0"/>
                <w:szCs w:val="21"/>
              </w:rPr>
              <w:t>；支持卷</w:t>
            </w:r>
            <w:r>
              <w:rPr>
                <w:rFonts w:ascii="Times New Roman" w:hAnsi="Times New Roman" w:eastAsia="等线" w:cs="Times New Roman"/>
                <w:color w:val="000000"/>
                <w:kern w:val="0"/>
                <w:szCs w:val="21"/>
              </w:rPr>
              <w:t>QoS</w:t>
            </w:r>
            <w:r>
              <w:rPr>
                <w:rFonts w:hint="eastAsia" w:ascii="宋体" w:hAnsi="宋体" w:eastAsia="宋体" w:cs="Times New Roman"/>
                <w:color w:val="000000"/>
                <w:kern w:val="0"/>
                <w:szCs w:val="21"/>
              </w:rPr>
              <w:t>功能，可设置卷承载的最大带宽及</w:t>
            </w:r>
            <w:r>
              <w:rPr>
                <w:rFonts w:ascii="Times New Roman" w:hAnsi="Times New Roman" w:eastAsia="等线" w:cs="Times New Roman"/>
                <w:color w:val="000000"/>
                <w:kern w:val="0"/>
                <w:szCs w:val="21"/>
              </w:rPr>
              <w:t>IOPS</w:t>
            </w:r>
          </w:p>
        </w:tc>
      </w:tr>
      <w:tr w14:paraId="A208AE46">
        <w:tblPrEx>
          <w:tblCellMar>
            <w:top w:w="0" w:type="dxa"/>
            <w:left w:w="108" w:type="dxa"/>
            <w:bottom w:w="0" w:type="dxa"/>
            <w:right w:w="108" w:type="dxa"/>
          </w:tblCellMar>
        </w:tblPrEx>
        <w:trPr>
          <w:trHeight w:val="83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121013D7">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权限管理</w:t>
            </w:r>
          </w:p>
        </w:tc>
        <w:tc>
          <w:tcPr>
            <w:tcW w:w="7495" w:type="dxa"/>
            <w:tcBorders>
              <w:top w:val="nil"/>
              <w:left w:val="nil"/>
              <w:bottom w:val="single" w:color="auto" w:sz="4" w:space="0"/>
              <w:right w:val="single" w:color="auto" w:sz="4" w:space="0"/>
            </w:tcBorders>
            <w:shd w:val="clear" w:color="auto" w:fill="auto"/>
            <w:noWrap/>
            <w:vAlign w:val="center"/>
          </w:tcPr>
          <w:p w14:paraId="11426B1D">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配置权限管理功能，支持增强型</w:t>
            </w:r>
            <w:r>
              <w:rPr>
                <w:rFonts w:ascii="Times New Roman" w:hAnsi="Times New Roman" w:eastAsia="等线" w:cs="Times New Roman"/>
                <w:color w:val="000000"/>
                <w:kern w:val="0"/>
                <w:szCs w:val="21"/>
              </w:rPr>
              <w:t>ACL</w:t>
            </w:r>
            <w:r>
              <w:rPr>
                <w:rFonts w:hint="eastAsia" w:ascii="宋体" w:hAnsi="宋体" w:eastAsia="宋体" w:cs="Times New Roman"/>
                <w:color w:val="000000"/>
                <w:kern w:val="0"/>
                <w:szCs w:val="21"/>
              </w:rPr>
              <w:t>，支持</w:t>
            </w:r>
            <w:r>
              <w:rPr>
                <w:rFonts w:ascii="Times New Roman" w:hAnsi="Times New Roman" w:eastAsia="等线" w:cs="Times New Roman"/>
                <w:color w:val="000000"/>
                <w:kern w:val="0"/>
                <w:szCs w:val="21"/>
              </w:rPr>
              <w:t>r</w:t>
            </w:r>
            <w:r>
              <w:rPr>
                <w:rFonts w:hint="eastAsia" w:ascii="宋体" w:hAnsi="宋体" w:eastAsia="宋体" w:cs="Times New Roman"/>
                <w:color w:val="000000"/>
                <w:kern w:val="0"/>
                <w:szCs w:val="21"/>
              </w:rPr>
              <w:t>（读）、</w:t>
            </w:r>
            <w:r>
              <w:rPr>
                <w:rFonts w:ascii="Times New Roman" w:hAnsi="Times New Roman" w:eastAsia="等线" w:cs="Times New Roman"/>
                <w:color w:val="000000"/>
                <w:kern w:val="0"/>
                <w:szCs w:val="21"/>
              </w:rPr>
              <w:t>w</w:t>
            </w:r>
            <w:r>
              <w:rPr>
                <w:rFonts w:hint="eastAsia" w:ascii="宋体" w:hAnsi="宋体" w:eastAsia="宋体" w:cs="Times New Roman"/>
                <w:color w:val="000000"/>
                <w:kern w:val="0"/>
                <w:szCs w:val="21"/>
              </w:rPr>
              <w:t>（写）、</w:t>
            </w:r>
            <w:r>
              <w:rPr>
                <w:rFonts w:ascii="Times New Roman" w:hAnsi="Times New Roman" w:eastAsia="等线" w:cs="Times New Roman"/>
                <w:color w:val="000000"/>
                <w:kern w:val="0"/>
                <w:szCs w:val="21"/>
              </w:rPr>
              <w:t>x</w:t>
            </w:r>
            <w:r>
              <w:rPr>
                <w:rFonts w:hint="eastAsia" w:ascii="宋体" w:hAnsi="宋体" w:eastAsia="宋体" w:cs="Times New Roman"/>
                <w:color w:val="000000"/>
                <w:kern w:val="0"/>
                <w:szCs w:val="21"/>
              </w:rPr>
              <w:t>（执行）、</w:t>
            </w:r>
            <w:r>
              <w:rPr>
                <w:rFonts w:ascii="Times New Roman" w:hAnsi="Times New Roman" w:eastAsia="等线" w:cs="Times New Roman"/>
                <w:color w:val="000000"/>
                <w:kern w:val="0"/>
                <w:szCs w:val="21"/>
              </w:rPr>
              <w:t>d</w:t>
            </w:r>
            <w:r>
              <w:rPr>
                <w:rFonts w:hint="eastAsia" w:ascii="宋体" w:hAnsi="宋体" w:eastAsia="宋体" w:cs="Times New Roman"/>
                <w:color w:val="000000"/>
                <w:kern w:val="0"/>
                <w:szCs w:val="21"/>
              </w:rPr>
              <w:t>（删除）、</w:t>
            </w:r>
            <w:r>
              <w:rPr>
                <w:rFonts w:ascii="Times New Roman" w:hAnsi="Times New Roman" w:eastAsia="等线" w:cs="Times New Roman"/>
                <w:color w:val="000000"/>
                <w:kern w:val="0"/>
                <w:szCs w:val="21"/>
              </w:rPr>
              <w:t>v</w:t>
            </w:r>
            <w:r>
              <w:rPr>
                <w:rFonts w:hint="eastAsia" w:ascii="宋体" w:hAnsi="宋体" w:eastAsia="宋体" w:cs="Times New Roman"/>
                <w:color w:val="000000"/>
                <w:kern w:val="0"/>
                <w:szCs w:val="21"/>
              </w:rPr>
              <w:t>（可视）五种权限，确保资源不被非授权用户操作写、读、删等动作，以免数据被恶意窃取或破坏，</w:t>
            </w:r>
          </w:p>
        </w:tc>
      </w:tr>
      <w:tr w14:paraId="9A1168F4">
        <w:tblPrEx>
          <w:tblCellMar>
            <w:top w:w="0" w:type="dxa"/>
            <w:left w:w="108" w:type="dxa"/>
            <w:bottom w:w="0" w:type="dxa"/>
            <w:right w:w="108" w:type="dxa"/>
          </w:tblCellMar>
        </w:tblPrEx>
        <w:trPr>
          <w:trHeight w:val="5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E59AD563">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快照功能</w:t>
            </w:r>
          </w:p>
        </w:tc>
        <w:tc>
          <w:tcPr>
            <w:tcW w:w="7495" w:type="dxa"/>
            <w:tcBorders>
              <w:top w:val="nil"/>
              <w:left w:val="nil"/>
              <w:bottom w:val="single" w:color="auto" w:sz="4" w:space="0"/>
              <w:right w:val="single" w:color="auto" w:sz="4" w:space="0"/>
            </w:tcBorders>
            <w:shd w:val="clear" w:color="auto" w:fill="auto"/>
            <w:noWrap/>
            <w:vAlign w:val="center"/>
          </w:tcPr>
          <w:p w14:paraId="17AD7C99">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配置文件快照功能，所投产品支持定时快照功能可按策略生效，可支持分钟粒度的间隔策略，每日策略，每周策略，每月策略，且支持多种策略混合部署</w:t>
            </w:r>
          </w:p>
        </w:tc>
      </w:tr>
      <w:tr w14:paraId="C93E34D7">
        <w:tblPrEx>
          <w:tblCellMar>
            <w:top w:w="0" w:type="dxa"/>
            <w:left w:w="108" w:type="dxa"/>
            <w:bottom w:w="0" w:type="dxa"/>
            <w:right w:w="108" w:type="dxa"/>
          </w:tblCellMar>
        </w:tblPrEx>
        <w:trPr>
          <w:trHeight w:val="5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C3A7ADEE">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重删压缩</w:t>
            </w:r>
          </w:p>
        </w:tc>
        <w:tc>
          <w:tcPr>
            <w:tcW w:w="7495" w:type="dxa"/>
            <w:tcBorders>
              <w:top w:val="nil"/>
              <w:left w:val="nil"/>
              <w:bottom w:val="single" w:color="auto" w:sz="4" w:space="0"/>
              <w:right w:val="single" w:color="auto" w:sz="4" w:space="0"/>
            </w:tcBorders>
            <w:shd w:val="clear" w:color="auto" w:fill="auto"/>
            <w:noWrap/>
            <w:vAlign w:val="center"/>
          </w:tcPr>
          <w:p w14:paraId="AAAD3553">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支持对象存储重复数据删除特性；支持两种及以上压缩算法，开启压缩后，文件上传速度显著提升</w:t>
            </w:r>
          </w:p>
        </w:tc>
      </w:tr>
      <w:tr w14:paraId="FEC0CA94">
        <w:tblPrEx>
          <w:tblCellMar>
            <w:top w:w="0" w:type="dxa"/>
            <w:left w:w="108" w:type="dxa"/>
            <w:bottom w:w="0" w:type="dxa"/>
            <w:right w:w="108" w:type="dxa"/>
          </w:tblCellMar>
        </w:tblPrEx>
        <w:trPr>
          <w:trHeight w:val="5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02163A6E">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故障隔离</w:t>
            </w:r>
          </w:p>
        </w:tc>
        <w:tc>
          <w:tcPr>
            <w:tcW w:w="7495" w:type="dxa"/>
            <w:tcBorders>
              <w:top w:val="nil"/>
              <w:left w:val="nil"/>
              <w:bottom w:val="single" w:color="auto" w:sz="4" w:space="0"/>
              <w:right w:val="single" w:color="auto" w:sz="4" w:space="0"/>
            </w:tcBorders>
            <w:shd w:val="clear" w:color="auto" w:fill="auto"/>
            <w:noWrap/>
            <w:vAlign w:val="center"/>
          </w:tcPr>
          <w:p w14:paraId="E523CCF6">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支持基于机架或节点的故障域设置，同一分条数据不能存储到同一个故障域中，支持创建节点级别的物理隔离保护域（节点池）</w:t>
            </w:r>
          </w:p>
        </w:tc>
      </w:tr>
      <w:tr w14:paraId="7B0B54E0">
        <w:tblPrEx>
          <w:tblCellMar>
            <w:top w:w="0" w:type="dxa"/>
            <w:left w:w="108" w:type="dxa"/>
            <w:bottom w:w="0" w:type="dxa"/>
            <w:right w:w="108" w:type="dxa"/>
          </w:tblCellMar>
        </w:tblPrEx>
        <w:trPr>
          <w:trHeight w:val="5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8BD0A025">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亚健康检测</w:t>
            </w:r>
          </w:p>
        </w:tc>
        <w:tc>
          <w:tcPr>
            <w:tcW w:w="7495" w:type="dxa"/>
            <w:tcBorders>
              <w:top w:val="nil"/>
              <w:left w:val="nil"/>
              <w:bottom w:val="single" w:color="auto" w:sz="4" w:space="0"/>
              <w:right w:val="single" w:color="auto" w:sz="4" w:space="0"/>
            </w:tcBorders>
            <w:shd w:val="clear" w:color="auto" w:fill="auto"/>
            <w:noWrap/>
            <w:vAlign w:val="center"/>
          </w:tcPr>
          <w:p w14:paraId="3A5D7702">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保障集群性能稳定，要求所投产品能自动检测出集群中的慢盘和网络亚健康异常网口，并进行告警</w:t>
            </w:r>
          </w:p>
        </w:tc>
      </w:tr>
      <w:tr w14:paraId="FF5A8B1B">
        <w:tblPrEx>
          <w:tblCellMar>
            <w:top w:w="0" w:type="dxa"/>
            <w:left w:w="108" w:type="dxa"/>
            <w:bottom w:w="0" w:type="dxa"/>
            <w:right w:w="108" w:type="dxa"/>
          </w:tblCellMar>
        </w:tblPrEx>
        <w:trPr>
          <w:trHeight w:val="5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1A2EE290">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数据重构</w:t>
            </w:r>
            <w:r>
              <w:rPr>
                <w:rFonts w:ascii="Times New Roman" w:hAnsi="Times New Roman" w:eastAsia="等线" w:cs="Times New Roman"/>
                <w:color w:val="000000"/>
                <w:kern w:val="0"/>
                <w:szCs w:val="21"/>
              </w:rPr>
              <w:t>QoS</w:t>
            </w:r>
          </w:p>
        </w:tc>
        <w:tc>
          <w:tcPr>
            <w:tcW w:w="7495" w:type="dxa"/>
            <w:tcBorders>
              <w:top w:val="nil"/>
              <w:left w:val="nil"/>
              <w:bottom w:val="single" w:color="auto" w:sz="4" w:space="0"/>
              <w:right w:val="single" w:color="auto" w:sz="4" w:space="0"/>
            </w:tcBorders>
            <w:shd w:val="clear" w:color="auto" w:fill="auto"/>
            <w:noWrap/>
            <w:vAlign w:val="center"/>
          </w:tcPr>
          <w:p w14:paraId="2FDC1F0D">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产品支持存储集群重构</w:t>
            </w:r>
            <w:r>
              <w:rPr>
                <w:rFonts w:ascii="Times New Roman" w:hAnsi="Times New Roman" w:eastAsia="等线" w:cs="Times New Roman"/>
                <w:color w:val="000000"/>
                <w:kern w:val="0"/>
                <w:szCs w:val="21"/>
              </w:rPr>
              <w:t>QoS</w:t>
            </w:r>
            <w:r>
              <w:rPr>
                <w:rFonts w:hint="eastAsia" w:ascii="宋体" w:hAnsi="宋体" w:eastAsia="宋体" w:cs="Times New Roman"/>
                <w:color w:val="000000"/>
                <w:kern w:val="0"/>
                <w:szCs w:val="21"/>
              </w:rPr>
              <w:t>，可设置不同的重构策略，调整故障重构的优先级</w:t>
            </w:r>
          </w:p>
        </w:tc>
      </w:tr>
      <w:tr w14:paraId="2BDF64F4">
        <w:tblPrEx>
          <w:tblCellMar>
            <w:top w:w="0" w:type="dxa"/>
            <w:left w:w="108" w:type="dxa"/>
            <w:bottom w:w="0" w:type="dxa"/>
            <w:right w:w="108" w:type="dxa"/>
          </w:tblCellMar>
        </w:tblPrEx>
        <w:trPr>
          <w:trHeight w:val="5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3C382F6C">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厚置备卷</w:t>
            </w:r>
          </w:p>
        </w:tc>
        <w:tc>
          <w:tcPr>
            <w:tcW w:w="7495" w:type="dxa"/>
            <w:tcBorders>
              <w:top w:val="nil"/>
              <w:left w:val="nil"/>
              <w:bottom w:val="single" w:color="auto" w:sz="4" w:space="0"/>
              <w:right w:val="single" w:color="auto" w:sz="4" w:space="0"/>
            </w:tcBorders>
            <w:shd w:val="clear" w:color="auto" w:fill="auto"/>
            <w:noWrap/>
            <w:vAlign w:val="center"/>
          </w:tcPr>
          <w:p w14:paraId="72960EE0">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所投产品支持厚置备卷功能，用户可以根据业务需求分配固定的物理存储空间，保障关键业务有充足的存储空间，</w:t>
            </w:r>
            <w:r>
              <w:rPr>
                <w:rFonts w:hint="eastAsia" w:ascii="宋体" w:hAnsi="宋体" w:eastAsia="宋体" w:cs="Times New Roman"/>
                <w:b/>
                <w:bCs/>
                <w:color w:val="000000"/>
                <w:kern w:val="0"/>
                <w:szCs w:val="21"/>
              </w:rPr>
              <w:t>提供产品功能截图</w:t>
            </w:r>
          </w:p>
        </w:tc>
      </w:tr>
      <w:tr w14:paraId="42241B2B">
        <w:tblPrEx>
          <w:tblCellMar>
            <w:top w:w="0" w:type="dxa"/>
            <w:left w:w="108" w:type="dxa"/>
            <w:bottom w:w="0" w:type="dxa"/>
            <w:right w:w="108" w:type="dxa"/>
          </w:tblCellMar>
        </w:tblPrEx>
        <w:trPr>
          <w:trHeight w:val="55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38FB086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重构性能</w:t>
            </w:r>
          </w:p>
        </w:tc>
        <w:tc>
          <w:tcPr>
            <w:tcW w:w="7495" w:type="dxa"/>
            <w:tcBorders>
              <w:top w:val="nil"/>
              <w:left w:val="nil"/>
              <w:bottom w:val="single" w:color="auto" w:sz="4" w:space="0"/>
              <w:right w:val="single" w:color="auto" w:sz="4" w:space="0"/>
            </w:tcBorders>
            <w:shd w:val="clear" w:color="auto" w:fill="auto"/>
            <w:noWrap/>
            <w:vAlign w:val="center"/>
          </w:tcPr>
          <w:p w14:paraId="95A3A8DE">
            <w:pPr>
              <w:widowControl/>
              <w:rPr>
                <w:rFonts w:ascii="Times New Roman" w:hAnsi="Times New Roman" w:eastAsia="等线" w:cs="Times New Roman"/>
                <w:color w:val="000000"/>
                <w:kern w:val="0"/>
                <w:szCs w:val="21"/>
              </w:rPr>
            </w:pPr>
            <w:r>
              <w:rPr>
                <w:rFonts w:hint="eastAsia" w:ascii="Segoe UI Symbol" w:hAnsi="Segoe UI Symbol" w:eastAsia="宋体" w:cs="Segoe UI Symbol"/>
                <w:b/>
                <w:bCs/>
                <w:color w:val="000000"/>
                <w:kern w:val="0"/>
                <w:szCs w:val="21"/>
                <w:highlight w:val="none"/>
              </w:rPr>
              <w:t>☆</w:t>
            </w:r>
            <w:r>
              <w:rPr>
                <w:rFonts w:hint="eastAsia" w:ascii="宋体" w:hAnsi="宋体" w:eastAsia="宋体" w:cs="Times New Roman"/>
                <w:b/>
                <w:bCs/>
                <w:color w:val="000000"/>
                <w:kern w:val="0"/>
                <w:szCs w:val="21"/>
              </w:rPr>
              <w:t>每</w:t>
            </w:r>
            <w:r>
              <w:rPr>
                <w:rFonts w:ascii="Times New Roman" w:hAnsi="Times New Roman" w:eastAsia="等线" w:cs="Times New Roman"/>
                <w:b/>
                <w:bCs/>
                <w:color w:val="000000"/>
                <w:kern w:val="0"/>
                <w:szCs w:val="21"/>
              </w:rPr>
              <w:t>TB</w:t>
            </w:r>
            <w:r>
              <w:rPr>
                <w:rFonts w:hint="eastAsia" w:ascii="宋体" w:hAnsi="宋体" w:eastAsia="宋体" w:cs="Times New Roman"/>
                <w:b/>
                <w:bCs/>
                <w:color w:val="000000"/>
                <w:kern w:val="0"/>
                <w:szCs w:val="21"/>
              </w:rPr>
              <w:t>数据重构恢复时间</w:t>
            </w:r>
            <w:r>
              <w:rPr>
                <w:rFonts w:ascii="Times New Roman" w:hAnsi="Times New Roman" w:eastAsia="等线" w:cs="Times New Roman"/>
                <w:b/>
                <w:bCs/>
                <w:color w:val="000000"/>
                <w:kern w:val="0"/>
                <w:szCs w:val="21"/>
              </w:rPr>
              <w:t>≤15</w:t>
            </w:r>
            <w:r>
              <w:rPr>
                <w:rFonts w:hint="eastAsia" w:ascii="宋体" w:hAnsi="宋体" w:eastAsia="宋体" w:cs="Times New Roman"/>
                <w:b/>
                <w:bCs/>
                <w:color w:val="000000"/>
                <w:kern w:val="0"/>
                <w:szCs w:val="21"/>
              </w:rPr>
              <w:t>分钟</w:t>
            </w:r>
            <w:r>
              <w:rPr>
                <w:rFonts w:ascii="Times New Roman" w:hAnsi="Times New Roman" w:eastAsia="等线" w:cs="Times New Roman"/>
                <w:b/>
                <w:bCs/>
                <w:color w:val="000000"/>
                <w:kern w:val="0"/>
                <w:szCs w:val="21"/>
              </w:rPr>
              <w:t xml:space="preserve"> </w:t>
            </w:r>
          </w:p>
        </w:tc>
      </w:tr>
      <w:tr w14:paraId="964986F8">
        <w:tblPrEx>
          <w:tblCellMar>
            <w:top w:w="0" w:type="dxa"/>
            <w:left w:w="108" w:type="dxa"/>
            <w:bottom w:w="0" w:type="dxa"/>
            <w:right w:w="108" w:type="dxa"/>
          </w:tblCellMar>
        </w:tblPrEx>
        <w:trPr>
          <w:trHeight w:val="54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A3E4A516">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智能预测</w:t>
            </w:r>
          </w:p>
        </w:tc>
        <w:tc>
          <w:tcPr>
            <w:tcW w:w="7495" w:type="dxa"/>
            <w:tcBorders>
              <w:top w:val="nil"/>
              <w:left w:val="nil"/>
              <w:bottom w:val="single" w:color="auto" w:sz="4" w:space="0"/>
              <w:right w:val="single" w:color="auto" w:sz="4" w:space="0"/>
            </w:tcBorders>
            <w:shd w:val="clear" w:color="auto" w:fill="auto"/>
            <w:noWrap/>
            <w:vAlign w:val="center"/>
          </w:tcPr>
          <w:p w14:paraId="A1B2EEBD">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所投产品支持硬盘故障检测，提前感知硬盘故障风险；支持对存储容量增长趋势和系统性能增长进行预测</w:t>
            </w:r>
          </w:p>
        </w:tc>
      </w:tr>
      <w:tr w14:paraId="09F2F8EC">
        <w:tblPrEx>
          <w:tblCellMar>
            <w:top w:w="0" w:type="dxa"/>
            <w:left w:w="108" w:type="dxa"/>
            <w:bottom w:w="0" w:type="dxa"/>
            <w:right w:w="108" w:type="dxa"/>
          </w:tblCellMar>
        </w:tblPrEx>
        <w:trPr>
          <w:trHeight w:val="56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DABAF431">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性能监控</w:t>
            </w:r>
          </w:p>
        </w:tc>
        <w:tc>
          <w:tcPr>
            <w:tcW w:w="7495" w:type="dxa"/>
            <w:tcBorders>
              <w:top w:val="nil"/>
              <w:left w:val="nil"/>
              <w:bottom w:val="single" w:color="auto" w:sz="4" w:space="0"/>
              <w:right w:val="single" w:color="auto" w:sz="4" w:space="0"/>
            </w:tcBorders>
            <w:shd w:val="clear" w:color="auto" w:fill="auto"/>
            <w:noWrap/>
            <w:vAlign w:val="center"/>
          </w:tcPr>
          <w:p w14:paraId="0BBDFF9A">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所投产品支持存储卷性能监控，包括</w:t>
            </w:r>
            <w:r>
              <w:rPr>
                <w:rFonts w:ascii="Times New Roman" w:hAnsi="Times New Roman" w:eastAsia="等线" w:cs="Times New Roman"/>
                <w:color w:val="000000"/>
                <w:kern w:val="0"/>
                <w:szCs w:val="21"/>
              </w:rPr>
              <w:t>IOPS</w:t>
            </w:r>
            <w:r>
              <w:rPr>
                <w:rFonts w:hint="eastAsia" w:ascii="宋体" w:hAnsi="宋体" w:eastAsia="宋体" w:cs="Times New Roman"/>
                <w:color w:val="000000"/>
                <w:kern w:val="0"/>
                <w:szCs w:val="21"/>
              </w:rPr>
              <w:t>、带宽、时延、平均</w:t>
            </w:r>
            <w:r>
              <w:rPr>
                <w:rFonts w:ascii="Times New Roman" w:hAnsi="Times New Roman" w:eastAsia="等线" w:cs="Times New Roman"/>
                <w:color w:val="000000"/>
                <w:kern w:val="0"/>
                <w:szCs w:val="21"/>
              </w:rPr>
              <w:t>I/O</w:t>
            </w:r>
            <w:r>
              <w:rPr>
                <w:rFonts w:hint="eastAsia" w:ascii="宋体" w:hAnsi="宋体" w:eastAsia="宋体" w:cs="Times New Roman"/>
                <w:color w:val="000000"/>
                <w:kern w:val="0"/>
                <w:szCs w:val="21"/>
              </w:rPr>
              <w:t>大小等，管理界面可查看集群和存储池的</w:t>
            </w:r>
            <w:r>
              <w:rPr>
                <w:rFonts w:ascii="Times New Roman" w:hAnsi="Times New Roman" w:eastAsia="等线" w:cs="Times New Roman"/>
                <w:color w:val="000000"/>
                <w:kern w:val="0"/>
                <w:szCs w:val="21"/>
              </w:rPr>
              <w:t>IOPS/</w:t>
            </w:r>
            <w:r>
              <w:rPr>
                <w:rFonts w:hint="eastAsia" w:ascii="宋体" w:hAnsi="宋体" w:eastAsia="宋体" w:cs="Times New Roman"/>
                <w:color w:val="000000"/>
                <w:kern w:val="0"/>
                <w:szCs w:val="21"/>
              </w:rPr>
              <w:t>带宽，可查看大于等于</w:t>
            </w:r>
            <w:r>
              <w:rPr>
                <w:rFonts w:ascii="Times New Roman" w:hAnsi="Times New Roman" w:eastAsia="等线" w:cs="Times New Roman"/>
                <w:color w:val="000000"/>
                <w:kern w:val="0"/>
                <w:szCs w:val="21"/>
              </w:rPr>
              <w:t>7</w:t>
            </w:r>
            <w:r>
              <w:rPr>
                <w:rFonts w:hint="eastAsia" w:ascii="宋体" w:hAnsi="宋体" w:eastAsia="宋体" w:cs="Times New Roman"/>
                <w:color w:val="000000"/>
                <w:kern w:val="0"/>
                <w:szCs w:val="21"/>
              </w:rPr>
              <w:t>天的性能监控数据</w:t>
            </w:r>
          </w:p>
        </w:tc>
      </w:tr>
      <w:tr w14:paraId="509A5058">
        <w:tblPrEx>
          <w:tblCellMar>
            <w:top w:w="0" w:type="dxa"/>
            <w:left w:w="108" w:type="dxa"/>
            <w:bottom w:w="0" w:type="dxa"/>
            <w:right w:w="108" w:type="dxa"/>
          </w:tblCellMar>
        </w:tblPrEx>
        <w:trPr>
          <w:trHeight w:val="55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FA6B1408">
            <w:pPr>
              <w:widowControl/>
              <w:jc w:val="center"/>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告警</w:t>
            </w:r>
          </w:p>
        </w:tc>
        <w:tc>
          <w:tcPr>
            <w:tcW w:w="7495" w:type="dxa"/>
            <w:tcBorders>
              <w:top w:val="nil"/>
              <w:left w:val="nil"/>
              <w:bottom w:val="single" w:color="auto" w:sz="4" w:space="0"/>
              <w:right w:val="single" w:color="auto" w:sz="4" w:space="0"/>
            </w:tcBorders>
            <w:shd w:val="clear" w:color="auto" w:fill="auto"/>
            <w:noWrap/>
            <w:vAlign w:val="center"/>
          </w:tcPr>
          <w:p w14:paraId="C6F7942F">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所投产品支持通过</w:t>
            </w:r>
            <w:r>
              <w:rPr>
                <w:rFonts w:ascii="Times New Roman" w:hAnsi="Times New Roman" w:eastAsia="等线" w:cs="Times New Roman"/>
                <w:color w:val="000000"/>
                <w:kern w:val="0"/>
                <w:szCs w:val="21"/>
              </w:rPr>
              <w:t>SNMP</w:t>
            </w:r>
            <w:r>
              <w:rPr>
                <w:rFonts w:hint="eastAsia" w:ascii="宋体" w:hAnsi="宋体" w:eastAsia="宋体" w:cs="Times New Roman"/>
                <w:color w:val="000000"/>
                <w:kern w:val="0"/>
                <w:szCs w:val="21"/>
              </w:rPr>
              <w:t>协议，以短信、邮件等形式发送告警信息，以便集群出现异常时第一时间通知相关责任人</w:t>
            </w:r>
          </w:p>
        </w:tc>
      </w:tr>
      <w:tr w14:paraId="50702F6E">
        <w:tblPrEx>
          <w:tblCellMar>
            <w:top w:w="0" w:type="dxa"/>
            <w:left w:w="108" w:type="dxa"/>
            <w:bottom w:w="0" w:type="dxa"/>
            <w:right w:w="108" w:type="dxa"/>
          </w:tblCellMar>
        </w:tblPrEx>
        <w:trPr>
          <w:trHeight w:val="280" w:hRule="atLeast"/>
        </w:trPr>
        <w:tc>
          <w:tcPr>
            <w:tcW w:w="1085" w:type="dxa"/>
            <w:tcBorders>
              <w:top w:val="nil"/>
              <w:left w:val="single" w:color="auto" w:sz="4" w:space="0"/>
              <w:bottom w:val="single" w:color="auto" w:sz="4" w:space="0"/>
              <w:right w:val="single" w:color="auto" w:sz="4" w:space="0"/>
            </w:tcBorders>
            <w:shd w:val="clear" w:color="auto" w:fill="auto"/>
            <w:vAlign w:val="center"/>
          </w:tcPr>
          <w:p w14:paraId="EACF50C0">
            <w:pPr>
              <w:widowControl/>
              <w:rPr>
                <w:rFonts w:ascii="Times New Roman" w:hAnsi="Times New Roman" w:eastAsia="等线" w:cs="Times New Roman"/>
                <w:color w:val="000000"/>
                <w:kern w:val="0"/>
                <w:szCs w:val="21"/>
              </w:rPr>
            </w:pPr>
            <w:r>
              <w:rPr>
                <w:rFonts w:hint="eastAsia" w:ascii="宋体" w:hAnsi="宋体" w:eastAsia="宋体" w:cs="Times New Roman"/>
                <w:color w:val="000000"/>
                <w:kern w:val="0"/>
                <w:szCs w:val="21"/>
              </w:rPr>
              <w:t>质保要求</w:t>
            </w:r>
          </w:p>
        </w:tc>
        <w:tc>
          <w:tcPr>
            <w:tcW w:w="7495" w:type="dxa"/>
            <w:tcBorders>
              <w:top w:val="nil"/>
              <w:left w:val="nil"/>
              <w:bottom w:val="single" w:color="auto" w:sz="4" w:space="0"/>
              <w:right w:val="single" w:color="auto" w:sz="4" w:space="0"/>
            </w:tcBorders>
            <w:shd w:val="clear" w:color="auto" w:fill="auto"/>
            <w:noWrap/>
            <w:vAlign w:val="center"/>
          </w:tcPr>
          <w:p w14:paraId="0F27593F">
            <w:pPr>
              <w:widowControl/>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三年原厂质保，</w:t>
            </w:r>
            <w:r>
              <w:rPr>
                <w:rFonts w:ascii="Times New Roman" w:hAnsi="Times New Roman" w:eastAsia="宋体" w:cs="Times New Roman"/>
                <w:kern w:val="0"/>
                <w:szCs w:val="21"/>
              </w:rPr>
              <w:t>中标后</w:t>
            </w:r>
            <w:r>
              <w:rPr>
                <w:rFonts w:hint="eastAsia" w:ascii="Times New Roman" w:hAnsi="Times New Roman" w:eastAsia="宋体" w:cs="Times New Roman"/>
                <w:kern w:val="0"/>
                <w:szCs w:val="21"/>
              </w:rPr>
              <w:t>签订合同前</w:t>
            </w:r>
            <w:r>
              <w:rPr>
                <w:rFonts w:ascii="Times New Roman" w:hAnsi="Times New Roman" w:eastAsia="宋体" w:cs="Times New Roman"/>
                <w:kern w:val="0"/>
                <w:szCs w:val="21"/>
              </w:rPr>
              <w:t>提供</w:t>
            </w:r>
            <w:r>
              <w:rPr>
                <w:rFonts w:hint="eastAsia" w:ascii="Times New Roman" w:hAnsi="Times New Roman" w:eastAsia="宋体" w:cs="Times New Roman"/>
                <w:kern w:val="0"/>
                <w:szCs w:val="21"/>
              </w:rPr>
              <w:t>制造商</w:t>
            </w:r>
            <w:r>
              <w:rPr>
                <w:rFonts w:ascii="Times New Roman" w:hAnsi="Times New Roman" w:eastAsia="宋体" w:cs="Times New Roman"/>
                <w:kern w:val="0"/>
                <w:szCs w:val="21"/>
              </w:rPr>
              <w:t>售后服务承诺函</w:t>
            </w:r>
            <w:r>
              <w:rPr>
                <w:rFonts w:hint="eastAsia" w:cs="Times New Roman"/>
                <w:kern w:val="0"/>
                <w:szCs w:val="21"/>
                <w:lang w:eastAsia="zh-CN"/>
              </w:rPr>
              <w:t>。</w:t>
            </w:r>
          </w:p>
        </w:tc>
      </w:tr>
    </w:tbl>
    <w:p w14:paraId="000B8E80">
      <w:pPr>
        <w:rPr>
          <w:rFonts w:hint="eastAsia" w:asciiTheme="minorEastAsia" w:hAnsiTheme="minorEastAsia" w:eastAsiaTheme="minorEastAsia" w:cstheme="minorEastAsia"/>
          <w:b/>
          <w:bCs/>
          <w:sz w:val="24"/>
          <w:szCs w:val="24"/>
          <w:lang w:val="en-US" w:eastAsia="zh-CN"/>
        </w:rPr>
      </w:pPr>
    </w:p>
    <w:p w14:paraId="66399A45">
      <w:pPr>
        <w:ind w:firstLine="482"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3.数据库审计</w:t>
      </w:r>
      <w:r>
        <w:rPr>
          <w:rFonts w:hint="eastAsia" w:asciiTheme="minorEastAsia" w:hAnsiTheme="minorEastAsia" w:eastAsiaTheme="minorEastAsia" w:cstheme="minorEastAsia"/>
          <w:b/>
          <w:bCs/>
          <w:sz w:val="24"/>
          <w:szCs w:val="24"/>
          <w:lang w:eastAsia="zh-CN"/>
        </w:rPr>
        <w:t>：</w:t>
      </w:r>
    </w:p>
    <w:tbl>
      <w:tblPr>
        <w:tblStyle w:val="62"/>
        <w:tblW w:w="46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7501"/>
      </w:tblGrid>
      <w:tr w14:paraId="6DEE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shd w:val="clear" w:color="auto" w:fill="auto"/>
            <w:vAlign w:val="center"/>
          </w:tcPr>
          <w:p w14:paraId="27389AB7">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指标项</w:t>
            </w:r>
          </w:p>
        </w:tc>
        <w:tc>
          <w:tcPr>
            <w:tcW w:w="4321" w:type="pct"/>
            <w:shd w:val="clear" w:color="auto" w:fill="auto"/>
            <w:vAlign w:val="center"/>
          </w:tcPr>
          <w:p w14:paraId="41943626">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技术参数</w:t>
            </w:r>
            <w:r>
              <w:rPr>
                <w:rFonts w:hint="eastAsia" w:ascii="宋体" w:hAnsi="宋体" w:cs="宋体"/>
                <w:b/>
                <w:bCs/>
                <w:kern w:val="0"/>
                <w:sz w:val="21"/>
                <w:szCs w:val="21"/>
                <w:lang w:val="en-US" w:eastAsia="zh-CN"/>
              </w:rPr>
              <w:t>要求</w:t>
            </w:r>
          </w:p>
        </w:tc>
      </w:tr>
      <w:tr w14:paraId="7006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shd w:val="clear" w:color="auto" w:fill="auto"/>
            <w:vAlign w:val="center"/>
          </w:tcPr>
          <w:p w14:paraId="61FD506D">
            <w:pPr>
              <w:widowControl/>
              <w:jc w:val="center"/>
              <w:rPr>
                <w:rFonts w:hint="eastAsia" w:ascii="宋体" w:hAnsi="宋体" w:eastAsia="宋体" w:cs="宋体"/>
                <w:bCs/>
                <w:kern w:val="0"/>
                <w:sz w:val="21"/>
                <w:szCs w:val="21"/>
              </w:rPr>
            </w:pPr>
            <w:r>
              <w:rPr>
                <w:rFonts w:ascii="宋体" w:hAnsi="宋体" w:eastAsia="宋体"/>
                <w:bCs/>
                <w:kern w:val="0"/>
                <w:sz w:val="21"/>
                <w:szCs w:val="21"/>
              </w:rPr>
              <w:t>性能要求</w:t>
            </w:r>
          </w:p>
        </w:tc>
        <w:tc>
          <w:tcPr>
            <w:tcW w:w="4321" w:type="pct"/>
            <w:shd w:val="clear" w:color="auto" w:fill="auto"/>
            <w:vAlign w:val="center"/>
          </w:tcPr>
          <w:p w14:paraId="1A477DC3">
            <w:pPr>
              <w:widowControl/>
              <w:snapToGrid w:val="0"/>
              <w:spacing w:before="62" w:beforeLines="20" w:after="62" w:afterLines="20"/>
              <w:contextualSpacing/>
              <w:rPr>
                <w:rFonts w:asciiTheme="minorEastAsia" w:hAnsiTheme="minorEastAsia"/>
                <w:bCs/>
                <w:kern w:val="0"/>
                <w:sz w:val="21"/>
                <w:szCs w:val="21"/>
              </w:rPr>
            </w:pPr>
            <w:r>
              <w:rPr>
                <w:rFonts w:hint="eastAsia" w:asciiTheme="minorEastAsia" w:hAnsiTheme="minorEastAsia"/>
                <w:bCs/>
                <w:kern w:val="0"/>
                <w:sz w:val="21"/>
                <w:szCs w:val="21"/>
              </w:rPr>
              <w:t>支持的数据库实例个数：20；</w:t>
            </w:r>
          </w:p>
          <w:p w14:paraId="43B06833">
            <w:pPr>
              <w:widowControl/>
              <w:snapToGrid w:val="0"/>
              <w:spacing w:before="62" w:beforeLines="20" w:after="62" w:afterLines="20"/>
              <w:contextualSpacing/>
              <w:rPr>
                <w:rFonts w:hint="eastAsia" w:asciiTheme="minorEastAsia" w:hAnsiTheme="minorEastAsia"/>
                <w:b/>
                <w:bCs/>
                <w:kern w:val="0"/>
                <w:sz w:val="21"/>
                <w:szCs w:val="21"/>
              </w:rPr>
            </w:pPr>
            <w:r>
              <w:rPr>
                <w:rFonts w:hint="eastAsia" w:ascii="Segoe UI Symbol" w:hAnsi="Segoe UI Symbol" w:eastAsia="宋体" w:cs="Segoe UI Symbol"/>
                <w:b/>
                <w:bCs/>
                <w:color w:val="000000"/>
                <w:kern w:val="0"/>
                <w:szCs w:val="21"/>
                <w:highlight w:val="none"/>
              </w:rPr>
              <w:t>☆</w:t>
            </w:r>
            <w:r>
              <w:rPr>
                <w:rFonts w:hint="eastAsia" w:asciiTheme="minorEastAsia" w:hAnsiTheme="minorEastAsia"/>
                <w:b/>
                <w:bCs/>
                <w:kern w:val="0"/>
                <w:sz w:val="21"/>
                <w:szCs w:val="21"/>
              </w:rPr>
              <w:t>审计性能：峰值SQL处理能力≥30000条/秒；</w:t>
            </w:r>
          </w:p>
          <w:p w14:paraId="619A3581">
            <w:pPr>
              <w:widowControl/>
              <w:snapToGrid w:val="0"/>
              <w:spacing w:before="62" w:beforeLines="20" w:after="62" w:afterLines="20"/>
              <w:contextualSpacing/>
              <w:rPr>
                <w:rFonts w:hint="eastAsia" w:asciiTheme="minorEastAsia" w:hAnsiTheme="minorEastAsia"/>
                <w:bCs/>
                <w:kern w:val="0"/>
                <w:sz w:val="21"/>
                <w:szCs w:val="21"/>
              </w:rPr>
            </w:pPr>
            <w:r>
              <w:rPr>
                <w:rFonts w:hint="eastAsia" w:asciiTheme="minorEastAsia" w:hAnsiTheme="minorEastAsia"/>
                <w:bCs/>
                <w:kern w:val="0"/>
                <w:sz w:val="21"/>
                <w:szCs w:val="21"/>
              </w:rPr>
              <w:t>硬件最大吞吐量3Gbps；</w:t>
            </w:r>
          </w:p>
          <w:p w14:paraId="740392EA">
            <w:pPr>
              <w:widowControl/>
              <w:snapToGrid w:val="0"/>
              <w:spacing w:before="62" w:beforeLines="20" w:after="62" w:afterLines="20"/>
              <w:contextualSpacing/>
              <w:rPr>
                <w:rFonts w:hint="eastAsia" w:asciiTheme="minorEastAsia" w:hAnsiTheme="minorEastAsia"/>
                <w:bCs/>
                <w:kern w:val="0"/>
                <w:sz w:val="21"/>
                <w:szCs w:val="21"/>
              </w:rPr>
            </w:pPr>
            <w:r>
              <w:rPr>
                <w:rFonts w:hint="eastAsia" w:asciiTheme="minorEastAsia" w:hAnsiTheme="minorEastAsia"/>
                <w:bCs/>
                <w:kern w:val="0"/>
                <w:sz w:val="21"/>
                <w:szCs w:val="21"/>
              </w:rPr>
              <w:t>双向审计数据库流量300Mbps；</w:t>
            </w:r>
          </w:p>
          <w:p w14:paraId="48282147">
            <w:pPr>
              <w:widowControl/>
              <w:snapToGrid w:val="0"/>
              <w:spacing w:before="62" w:beforeLines="20" w:after="62" w:afterLines="20"/>
              <w:contextualSpacing/>
              <w:rPr>
                <w:rFonts w:hint="eastAsia" w:asciiTheme="minorEastAsia" w:hAnsiTheme="minorEastAsia"/>
                <w:bCs/>
                <w:kern w:val="0"/>
                <w:sz w:val="21"/>
                <w:szCs w:val="21"/>
              </w:rPr>
            </w:pPr>
            <w:r>
              <w:rPr>
                <w:rFonts w:hint="eastAsia" w:asciiTheme="minorEastAsia" w:hAnsiTheme="minorEastAsia"/>
                <w:bCs/>
                <w:kern w:val="0"/>
                <w:sz w:val="21"/>
                <w:szCs w:val="21"/>
              </w:rPr>
              <w:t>标配日志存储数40亿条；</w:t>
            </w:r>
          </w:p>
          <w:p w14:paraId="4E034F52">
            <w:pPr>
              <w:widowControl/>
              <w:snapToGrid w:val="0"/>
              <w:spacing w:before="62" w:beforeLines="20" w:after="62" w:afterLines="20"/>
              <w:contextualSpacing/>
              <w:rPr>
                <w:rFonts w:hint="eastAsia" w:asciiTheme="minorEastAsia" w:hAnsiTheme="minorEastAsia"/>
                <w:bCs/>
                <w:kern w:val="0"/>
                <w:sz w:val="21"/>
                <w:szCs w:val="21"/>
              </w:rPr>
            </w:pPr>
            <w:r>
              <w:rPr>
                <w:rFonts w:hint="eastAsia" w:asciiTheme="minorEastAsia" w:hAnsiTheme="minorEastAsia"/>
                <w:bCs/>
                <w:kern w:val="0"/>
                <w:sz w:val="21"/>
                <w:szCs w:val="21"/>
              </w:rPr>
              <w:t>审计日志检索能力≥1500万条/秒。</w:t>
            </w:r>
          </w:p>
        </w:tc>
      </w:tr>
      <w:tr w14:paraId="42B6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shd w:val="clear" w:color="auto" w:fill="auto"/>
            <w:vAlign w:val="center"/>
          </w:tcPr>
          <w:p w14:paraId="5316BCA2">
            <w:pPr>
              <w:widowControl/>
              <w:jc w:val="center"/>
              <w:rPr>
                <w:rFonts w:hint="eastAsia" w:ascii="宋体" w:hAnsi="宋体" w:eastAsia="宋体" w:cs="宋体"/>
                <w:bCs/>
                <w:kern w:val="0"/>
                <w:sz w:val="21"/>
                <w:szCs w:val="21"/>
              </w:rPr>
            </w:pPr>
            <w:r>
              <w:rPr>
                <w:rFonts w:hint="eastAsia" w:asciiTheme="minorEastAsia" w:hAnsiTheme="minorEastAsia"/>
                <w:bCs/>
                <w:kern w:val="0"/>
                <w:sz w:val="21"/>
                <w:szCs w:val="21"/>
              </w:rPr>
              <w:t>硬件要求</w:t>
            </w:r>
          </w:p>
        </w:tc>
        <w:tc>
          <w:tcPr>
            <w:tcW w:w="4321" w:type="pct"/>
            <w:shd w:val="clear" w:color="auto" w:fill="auto"/>
            <w:vAlign w:val="center"/>
          </w:tcPr>
          <w:p w14:paraId="66A7C0E8">
            <w:pPr>
              <w:widowControl/>
              <w:jc w:val="left"/>
              <w:rPr>
                <w:rFonts w:ascii="宋体" w:hAnsi="宋体" w:eastAsia="宋体" w:cs="宋体"/>
                <w:sz w:val="21"/>
                <w:szCs w:val="21"/>
              </w:rPr>
            </w:pPr>
            <w:r>
              <w:rPr>
                <w:rFonts w:hint="eastAsia" w:ascii="宋体" w:hAnsi="宋体" w:eastAsia="宋体" w:cs="宋体"/>
                <w:sz w:val="21"/>
                <w:szCs w:val="21"/>
              </w:rPr>
              <w:t>2U机架式；</w:t>
            </w:r>
          </w:p>
          <w:p w14:paraId="4CA064A3">
            <w:pPr>
              <w:widowControl/>
              <w:jc w:val="left"/>
              <w:rPr>
                <w:rFonts w:hint="eastAsia" w:ascii="宋体" w:hAnsi="宋体" w:eastAsia="宋体" w:cs="宋体"/>
                <w:sz w:val="21"/>
                <w:szCs w:val="21"/>
              </w:rPr>
            </w:pPr>
            <w:r>
              <w:rPr>
                <w:rFonts w:hint="eastAsia" w:ascii="宋体" w:hAnsi="宋体" w:eastAsia="宋体" w:cs="宋体"/>
                <w:sz w:val="21"/>
                <w:szCs w:val="21"/>
              </w:rPr>
              <w:t>内置交流双电源；</w:t>
            </w:r>
          </w:p>
          <w:p w14:paraId="4041B1AF">
            <w:pPr>
              <w:widowControl/>
              <w:jc w:val="left"/>
              <w:rPr>
                <w:rFonts w:hint="eastAsia" w:ascii="宋体" w:hAnsi="宋体" w:eastAsia="宋体" w:cs="宋体"/>
                <w:sz w:val="21"/>
                <w:szCs w:val="21"/>
              </w:rPr>
            </w:pPr>
            <w:r>
              <w:rPr>
                <w:rFonts w:hint="eastAsia" w:ascii="宋体" w:hAnsi="宋体" w:eastAsia="宋体" w:cs="宋体"/>
                <w:sz w:val="21"/>
                <w:szCs w:val="21"/>
              </w:rPr>
              <w:t>处理器8核16线程；</w:t>
            </w:r>
          </w:p>
          <w:p w14:paraId="334A52B4">
            <w:pPr>
              <w:widowControl/>
              <w:jc w:val="left"/>
              <w:rPr>
                <w:rFonts w:hint="eastAsia" w:ascii="宋体" w:hAnsi="宋体" w:eastAsia="宋体" w:cs="宋体"/>
                <w:sz w:val="21"/>
                <w:szCs w:val="21"/>
              </w:rPr>
            </w:pPr>
            <w:r>
              <w:rPr>
                <w:rFonts w:hint="eastAsia" w:ascii="宋体" w:hAnsi="宋体" w:eastAsia="宋体" w:cs="宋体"/>
                <w:sz w:val="21"/>
                <w:szCs w:val="21"/>
              </w:rPr>
              <w:t>系统采用统信UOS V20；</w:t>
            </w:r>
          </w:p>
          <w:p w14:paraId="45538BD9">
            <w:pPr>
              <w:widowControl/>
              <w:jc w:val="left"/>
              <w:rPr>
                <w:rFonts w:hint="eastAsia" w:ascii="宋体" w:hAnsi="宋体" w:eastAsia="宋体" w:cs="宋体"/>
                <w:sz w:val="21"/>
                <w:szCs w:val="21"/>
              </w:rPr>
            </w:pPr>
            <w:r>
              <w:rPr>
                <w:rFonts w:hint="eastAsia" w:ascii="宋体" w:hAnsi="宋体" w:eastAsia="宋体" w:cs="宋体"/>
                <w:sz w:val="21"/>
                <w:szCs w:val="21"/>
              </w:rPr>
              <w:t>内存≥16GB，硬盘≥4TB；</w:t>
            </w:r>
          </w:p>
          <w:p w14:paraId="3128D01C">
            <w:pPr>
              <w:widowControl/>
              <w:jc w:val="left"/>
              <w:rPr>
                <w:rFonts w:hint="eastAsia" w:ascii="宋体" w:hAnsi="宋体" w:eastAsia="宋体" w:cs="宋体"/>
                <w:sz w:val="21"/>
                <w:szCs w:val="21"/>
              </w:rPr>
            </w:pPr>
            <w:r>
              <w:rPr>
                <w:rFonts w:hint="eastAsia" w:ascii="宋体" w:hAnsi="宋体" w:eastAsia="宋体" w:cs="宋体"/>
                <w:sz w:val="21"/>
                <w:szCs w:val="21"/>
              </w:rPr>
              <w:t>支持4TB、6TB、8TB、12TB硬盘；</w:t>
            </w:r>
          </w:p>
          <w:p w14:paraId="05C49891">
            <w:pPr>
              <w:widowControl/>
              <w:jc w:val="left"/>
              <w:rPr>
                <w:rFonts w:hint="eastAsia" w:ascii="宋体" w:hAnsi="宋体" w:eastAsia="宋体" w:cs="宋体"/>
                <w:sz w:val="21"/>
                <w:szCs w:val="21"/>
              </w:rPr>
            </w:pPr>
            <w:r>
              <w:rPr>
                <w:rFonts w:hint="eastAsia" w:ascii="宋体" w:hAnsi="宋体" w:eastAsia="宋体" w:cs="宋体"/>
                <w:sz w:val="21"/>
                <w:szCs w:val="21"/>
              </w:rPr>
              <w:t>管理网口：千兆电口*2（管理口*1，HA口*1）</w:t>
            </w:r>
          </w:p>
          <w:p w14:paraId="2A4F63DA">
            <w:pPr>
              <w:widowControl/>
              <w:jc w:val="left"/>
              <w:rPr>
                <w:rFonts w:hint="eastAsia" w:ascii="宋体" w:hAnsi="宋体" w:eastAsia="宋体" w:cs="宋体"/>
                <w:sz w:val="21"/>
                <w:szCs w:val="21"/>
              </w:rPr>
            </w:pPr>
            <w:r>
              <w:rPr>
                <w:rFonts w:hint="eastAsia" w:ascii="宋体" w:hAnsi="宋体" w:eastAsia="宋体" w:cs="宋体"/>
                <w:sz w:val="21"/>
                <w:szCs w:val="21"/>
              </w:rPr>
              <w:t>工作网口：千兆电口*4，千兆光口*4；</w:t>
            </w:r>
          </w:p>
        </w:tc>
      </w:tr>
      <w:tr w14:paraId="1863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restart"/>
            <w:shd w:val="clear" w:color="auto" w:fill="auto"/>
            <w:vAlign w:val="center"/>
          </w:tcPr>
          <w:p w14:paraId="6A09C1BF">
            <w:pPr>
              <w:widowControl/>
              <w:jc w:val="center"/>
              <w:rPr>
                <w:rFonts w:hint="eastAsia" w:ascii="宋体" w:hAnsi="宋体" w:eastAsia="宋体" w:cs="宋体"/>
                <w:bCs/>
                <w:kern w:val="0"/>
                <w:sz w:val="21"/>
                <w:szCs w:val="21"/>
              </w:rPr>
            </w:pPr>
            <w:r>
              <w:rPr>
                <w:rFonts w:hint="eastAsia" w:ascii="宋体" w:hAnsi="宋体" w:eastAsia="宋体"/>
                <w:kern w:val="0"/>
                <w:sz w:val="21"/>
                <w:szCs w:val="21"/>
              </w:rPr>
              <w:t>部署方式</w:t>
            </w:r>
          </w:p>
        </w:tc>
        <w:tc>
          <w:tcPr>
            <w:tcW w:w="4321" w:type="pct"/>
            <w:shd w:val="clear" w:color="auto" w:fill="auto"/>
            <w:vAlign w:val="center"/>
          </w:tcPr>
          <w:p w14:paraId="135AAB22">
            <w:pPr>
              <w:widowControl/>
              <w:jc w:val="left"/>
              <w:rPr>
                <w:rFonts w:hint="eastAsia" w:ascii="宋体" w:hAnsi="宋体" w:eastAsia="宋体" w:cs="宋体"/>
                <w:sz w:val="21"/>
                <w:szCs w:val="21"/>
              </w:rPr>
            </w:pPr>
            <w:r>
              <w:rPr>
                <w:rFonts w:hint="eastAsia" w:ascii="宋体" w:hAnsi="宋体" w:eastAsia="宋体" w:cs="Cambria"/>
                <w:sz w:val="21"/>
                <w:szCs w:val="21"/>
              </w:rPr>
              <w:t>可在云环境操作系统中安装软件代理；</w:t>
            </w:r>
            <w:r>
              <w:rPr>
                <w:rFonts w:hint="eastAsia" w:ascii="宋体" w:hAnsi="宋体" w:eastAsia="宋体" w:cs="Cambria"/>
                <w:b/>
                <w:bCs/>
                <w:color w:val="auto"/>
                <w:sz w:val="21"/>
                <w:szCs w:val="21"/>
              </w:rPr>
              <w:t>（</w:t>
            </w:r>
            <w:r>
              <w:rPr>
                <w:rFonts w:hint="eastAsia" w:ascii="宋体" w:hAnsi="宋体" w:eastAsia="宋体"/>
                <w:b/>
                <w:bCs/>
                <w:color w:val="auto"/>
                <w:sz w:val="21"/>
                <w:szCs w:val="21"/>
              </w:rPr>
              <w:t>提供CNAS或CMA认证的第三方测试机构的证明材料）。</w:t>
            </w:r>
          </w:p>
        </w:tc>
      </w:tr>
      <w:tr w14:paraId="6D45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continue"/>
            <w:shd w:val="clear" w:color="auto" w:fill="auto"/>
            <w:vAlign w:val="center"/>
          </w:tcPr>
          <w:p w14:paraId="4EE0B9E8">
            <w:pPr>
              <w:widowControl/>
              <w:jc w:val="center"/>
              <w:rPr>
                <w:rFonts w:hint="eastAsia" w:ascii="宋体" w:hAnsi="宋体" w:eastAsia="宋体" w:cs="宋体"/>
                <w:bCs/>
                <w:kern w:val="0"/>
                <w:sz w:val="21"/>
                <w:szCs w:val="21"/>
              </w:rPr>
            </w:pPr>
          </w:p>
        </w:tc>
        <w:tc>
          <w:tcPr>
            <w:tcW w:w="4321" w:type="pct"/>
            <w:shd w:val="clear" w:color="auto" w:fill="auto"/>
            <w:vAlign w:val="center"/>
          </w:tcPr>
          <w:p w14:paraId="1E48E34F">
            <w:pPr>
              <w:widowControl/>
              <w:jc w:val="left"/>
              <w:rPr>
                <w:rFonts w:hint="eastAsia" w:ascii="宋体" w:hAnsi="宋体" w:eastAsia="宋体" w:cs="宋体"/>
                <w:kern w:val="0"/>
                <w:sz w:val="21"/>
                <w:szCs w:val="21"/>
              </w:rPr>
            </w:pPr>
            <w:r>
              <w:rPr>
                <w:rFonts w:hint="eastAsia" w:cs="Times New Roman"/>
                <w:sz w:val="21"/>
                <w:szCs w:val="21"/>
              </w:rPr>
              <w:t>支持在阿里云RDS数据库中采集日志，无需在应用侧安装agent即可实现审计：支持通过SLS日志服务拉取原始日志；</w:t>
            </w:r>
            <w:r>
              <w:rPr>
                <w:rFonts w:hint="eastAsia"/>
                <w:b/>
                <w:bCs/>
                <w:color w:val="auto"/>
                <w:sz w:val="21"/>
                <w:szCs w:val="21"/>
              </w:rPr>
              <w:t>（须提供此功能截图证明）</w:t>
            </w:r>
          </w:p>
        </w:tc>
      </w:tr>
      <w:tr w14:paraId="19D2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restart"/>
            <w:shd w:val="clear" w:color="auto" w:fill="auto"/>
            <w:vAlign w:val="center"/>
          </w:tcPr>
          <w:p w14:paraId="0B6A8B9A">
            <w:pPr>
              <w:widowControl/>
              <w:jc w:val="center"/>
              <w:rPr>
                <w:rFonts w:hint="eastAsia" w:ascii="宋体" w:hAnsi="宋体" w:eastAsia="宋体" w:cs="宋体"/>
                <w:sz w:val="21"/>
                <w:szCs w:val="21"/>
              </w:rPr>
            </w:pPr>
            <w:r>
              <w:rPr>
                <w:rFonts w:hint="eastAsia" w:ascii="宋体" w:hAnsi="宋体" w:eastAsia="宋体"/>
                <w:kern w:val="0"/>
                <w:sz w:val="21"/>
                <w:szCs w:val="21"/>
              </w:rPr>
              <w:t>协议支持</w:t>
            </w:r>
          </w:p>
        </w:tc>
        <w:tc>
          <w:tcPr>
            <w:tcW w:w="4321" w:type="pct"/>
            <w:shd w:val="clear" w:color="auto" w:fill="auto"/>
            <w:vAlign w:val="center"/>
          </w:tcPr>
          <w:p w14:paraId="117A3F15">
            <w:pPr>
              <w:widowControl/>
              <w:jc w:val="left"/>
              <w:rPr>
                <w:rFonts w:hint="eastAsia" w:ascii="宋体" w:hAnsi="宋体" w:eastAsia="宋体" w:cs="宋体"/>
                <w:kern w:val="0"/>
                <w:sz w:val="21"/>
                <w:szCs w:val="21"/>
              </w:rPr>
            </w:pPr>
            <w:r>
              <w:rPr>
                <w:rFonts w:hint="eastAsia" w:cs="Times New Roman"/>
                <w:sz w:val="21"/>
                <w:szCs w:val="21"/>
              </w:rPr>
              <w:t xml:space="preserve">可以通过导入证书的方式实现MySQL </w:t>
            </w:r>
            <w:r>
              <w:rPr>
                <w:rFonts w:cs="Times New Roman"/>
                <w:sz w:val="21"/>
                <w:szCs w:val="21"/>
              </w:rPr>
              <w:t>5.7</w:t>
            </w:r>
            <w:r>
              <w:rPr>
                <w:rFonts w:hint="eastAsia" w:cs="Times New Roman"/>
                <w:sz w:val="21"/>
                <w:szCs w:val="21"/>
              </w:rPr>
              <w:t>及其他版本采用了加密协议通讯的审计；</w:t>
            </w:r>
          </w:p>
        </w:tc>
      </w:tr>
      <w:tr w14:paraId="316A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continue"/>
            <w:shd w:val="clear" w:color="auto" w:fill="auto"/>
            <w:vAlign w:val="center"/>
          </w:tcPr>
          <w:p w14:paraId="44730A63">
            <w:pPr>
              <w:widowControl/>
              <w:jc w:val="center"/>
              <w:rPr>
                <w:rFonts w:hint="eastAsia" w:ascii="宋体" w:hAnsi="宋体" w:eastAsia="宋体" w:cs="宋体"/>
                <w:sz w:val="21"/>
                <w:szCs w:val="21"/>
              </w:rPr>
            </w:pPr>
          </w:p>
        </w:tc>
        <w:tc>
          <w:tcPr>
            <w:tcW w:w="4321" w:type="pct"/>
            <w:shd w:val="clear" w:color="auto" w:fill="auto"/>
            <w:vAlign w:val="center"/>
          </w:tcPr>
          <w:p w14:paraId="0C6247D8">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支持MongoDB、HBase、Hive、Redis、Elasticsearch、Cassandra、HDFS、Impala、Graphbase、Greenplum、Spark SQL、SSDB、ArangoDB、Neo4j、OrientDB 等数据库的审计；</w:t>
            </w:r>
          </w:p>
        </w:tc>
      </w:tr>
      <w:tr w14:paraId="4AB3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shd w:val="clear" w:color="auto" w:fill="auto"/>
            <w:vAlign w:val="center"/>
          </w:tcPr>
          <w:p w14:paraId="6988DA28">
            <w:pPr>
              <w:widowControl/>
              <w:jc w:val="center"/>
              <w:rPr>
                <w:rFonts w:hint="eastAsia" w:ascii="宋体" w:hAnsi="宋体" w:eastAsia="宋体" w:cs="宋体"/>
                <w:sz w:val="21"/>
                <w:szCs w:val="21"/>
              </w:rPr>
            </w:pPr>
            <w:r>
              <w:rPr>
                <w:rFonts w:hint="eastAsia" w:ascii="宋体" w:hAnsi="宋体" w:eastAsia="宋体"/>
                <w:kern w:val="0"/>
                <w:sz w:val="21"/>
                <w:szCs w:val="21"/>
              </w:rPr>
              <w:t>数据可见性</w:t>
            </w:r>
          </w:p>
        </w:tc>
        <w:tc>
          <w:tcPr>
            <w:tcW w:w="4321" w:type="pct"/>
            <w:shd w:val="clear" w:color="auto" w:fill="auto"/>
            <w:vAlign w:val="center"/>
          </w:tcPr>
          <w:p w14:paraId="422619A8">
            <w:pPr>
              <w:widowControl/>
              <w:jc w:val="left"/>
              <w:rPr>
                <w:rFonts w:hint="eastAsia" w:ascii="宋体" w:hAnsi="宋体" w:eastAsia="宋体" w:cs="宋体"/>
                <w:kern w:val="0"/>
                <w:sz w:val="21"/>
                <w:szCs w:val="21"/>
                <w:lang w:bidi="ar"/>
              </w:rPr>
            </w:pPr>
            <w:r>
              <w:rPr>
                <w:rFonts w:hint="eastAsia" w:cs="Cambria"/>
                <w:sz w:val="21"/>
                <w:szCs w:val="21"/>
              </w:rPr>
              <w:t>具备表分析功能，能够统计并且可视化各资产、库、表的被访问频率，能够针对活跃程度不同的资产、库、表、字段进行分析，从审计数量以及影响行数两个维度进行数据流动趋势的可视化分析</w:t>
            </w:r>
          </w:p>
        </w:tc>
      </w:tr>
      <w:tr w14:paraId="1B1A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restart"/>
            <w:shd w:val="clear" w:color="auto" w:fill="auto"/>
            <w:vAlign w:val="center"/>
          </w:tcPr>
          <w:p w14:paraId="53583628">
            <w:pPr>
              <w:widowControl/>
              <w:jc w:val="center"/>
              <w:rPr>
                <w:rFonts w:hint="eastAsia" w:ascii="宋体" w:hAnsi="宋体" w:eastAsia="宋体" w:cs="宋体"/>
                <w:sz w:val="21"/>
                <w:szCs w:val="21"/>
              </w:rPr>
            </w:pPr>
            <w:r>
              <w:rPr>
                <w:rFonts w:hint="eastAsia" w:ascii="宋体" w:hAnsi="宋体" w:eastAsia="宋体"/>
                <w:kern w:val="0"/>
                <w:sz w:val="21"/>
                <w:szCs w:val="21"/>
              </w:rPr>
              <w:t>审计功能</w:t>
            </w:r>
          </w:p>
        </w:tc>
        <w:tc>
          <w:tcPr>
            <w:tcW w:w="4321" w:type="pct"/>
            <w:shd w:val="clear" w:color="auto" w:fill="auto"/>
            <w:vAlign w:val="center"/>
          </w:tcPr>
          <w:p w14:paraId="7A2290D1">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审计信息能够记录执行时长、影响行数、执行结果描述、返回结果集，提供功能截图；</w:t>
            </w:r>
            <w:r>
              <w:rPr>
                <w:rFonts w:hint="eastAsia" w:ascii="宋体" w:hAnsi="宋体" w:eastAsia="宋体" w:cs="Cambria"/>
                <w:b/>
                <w:bCs/>
                <w:color w:val="auto"/>
                <w:sz w:val="21"/>
                <w:szCs w:val="21"/>
              </w:rPr>
              <w:t>（</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hint="eastAsia" w:ascii="宋体" w:hAnsi="宋体" w:eastAsia="宋体"/>
                <w:b/>
                <w:bCs/>
                <w:color w:val="auto"/>
                <w:sz w:val="21"/>
                <w:szCs w:val="21"/>
              </w:rPr>
              <w:t>）。</w:t>
            </w:r>
          </w:p>
        </w:tc>
      </w:tr>
      <w:tr w14:paraId="2986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continue"/>
            <w:shd w:val="clear" w:color="auto" w:fill="auto"/>
            <w:vAlign w:val="center"/>
          </w:tcPr>
          <w:p w14:paraId="6740A3F1">
            <w:pPr>
              <w:widowControl/>
              <w:jc w:val="center"/>
              <w:rPr>
                <w:rFonts w:hint="eastAsia" w:ascii="宋体" w:hAnsi="宋体" w:eastAsia="宋体" w:cs="宋体"/>
                <w:kern w:val="0"/>
                <w:sz w:val="21"/>
                <w:szCs w:val="21"/>
                <w:lang w:bidi="ar"/>
              </w:rPr>
            </w:pPr>
          </w:p>
        </w:tc>
        <w:tc>
          <w:tcPr>
            <w:tcW w:w="4321" w:type="pct"/>
            <w:shd w:val="clear" w:color="auto" w:fill="auto"/>
            <w:vAlign w:val="center"/>
          </w:tcPr>
          <w:p w14:paraId="35DE3AE7">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支持超长SQL语句（最长4M）审计；</w:t>
            </w:r>
          </w:p>
        </w:tc>
      </w:tr>
      <w:tr w14:paraId="30CE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restart"/>
            <w:shd w:val="clear" w:color="auto" w:fill="auto"/>
            <w:vAlign w:val="center"/>
          </w:tcPr>
          <w:p w14:paraId="2A11E122">
            <w:pPr>
              <w:widowControl/>
              <w:jc w:val="center"/>
              <w:rPr>
                <w:rFonts w:hint="eastAsia" w:ascii="宋体" w:hAnsi="宋体" w:eastAsia="宋体" w:cs="宋体"/>
                <w:sz w:val="21"/>
                <w:szCs w:val="21"/>
              </w:rPr>
            </w:pPr>
            <w:r>
              <w:rPr>
                <w:rFonts w:hint="eastAsia" w:ascii="宋体" w:hAnsi="宋体" w:eastAsia="宋体"/>
                <w:kern w:val="0"/>
                <w:sz w:val="21"/>
                <w:szCs w:val="21"/>
              </w:rPr>
              <w:t>安全审计</w:t>
            </w:r>
          </w:p>
        </w:tc>
        <w:tc>
          <w:tcPr>
            <w:tcW w:w="4321" w:type="pct"/>
            <w:shd w:val="clear" w:color="auto" w:fill="auto"/>
            <w:vAlign w:val="center"/>
          </w:tcPr>
          <w:p w14:paraId="0AF6956B">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支持安全规则遍历匹配，针对某个操作，将全部安全规则进行匹配，并返回所有匹配的告警结果；</w:t>
            </w:r>
          </w:p>
        </w:tc>
      </w:tr>
      <w:tr w14:paraId="02B4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continue"/>
            <w:shd w:val="clear" w:color="auto" w:fill="auto"/>
            <w:vAlign w:val="center"/>
          </w:tcPr>
          <w:p w14:paraId="0CCBFCF6">
            <w:pPr>
              <w:widowControl/>
              <w:jc w:val="center"/>
              <w:rPr>
                <w:rFonts w:hint="eastAsia" w:ascii="宋体" w:hAnsi="宋体" w:eastAsia="宋体" w:cs="宋体"/>
                <w:sz w:val="21"/>
                <w:szCs w:val="21"/>
              </w:rPr>
            </w:pPr>
          </w:p>
        </w:tc>
        <w:tc>
          <w:tcPr>
            <w:tcW w:w="4321" w:type="pct"/>
            <w:shd w:val="clear" w:color="auto" w:fill="auto"/>
            <w:vAlign w:val="center"/>
          </w:tcPr>
          <w:p w14:paraId="08B429CF">
            <w:pPr>
              <w:widowControl/>
              <w:jc w:val="left"/>
              <w:rPr>
                <w:rFonts w:hint="eastAsia" w:ascii="宋体" w:hAnsi="宋体" w:eastAsia="宋体" w:cs="宋体"/>
                <w:kern w:val="0"/>
                <w:sz w:val="21"/>
                <w:szCs w:val="21"/>
                <w:lang w:bidi="ar"/>
              </w:rPr>
            </w:pPr>
            <w:r>
              <w:rPr>
                <w:rFonts w:hint="eastAsia" w:ascii="宋体" w:hAnsi="宋体" w:eastAsia="宋体" w:cs="Cambria"/>
                <w:sz w:val="21"/>
                <w:szCs w:val="21"/>
              </w:rPr>
              <w:t>产品具有内置规则，规则类型有</w:t>
            </w:r>
            <w:r>
              <w:rPr>
                <w:rFonts w:ascii="宋体" w:hAnsi="宋体" w:eastAsia="宋体" w:cs="Cambria"/>
                <w:sz w:val="21"/>
                <w:szCs w:val="21"/>
              </w:rPr>
              <w:t>SQL</w:t>
            </w:r>
            <w:r>
              <w:rPr>
                <w:rFonts w:hint="eastAsia" w:ascii="宋体" w:hAnsi="宋体" w:eastAsia="宋体" w:cs="Cambria"/>
                <w:sz w:val="21"/>
                <w:szCs w:val="21"/>
              </w:rPr>
              <w:t>注入、账号安全、数据泄露和违规操作等，并可依据规则</w:t>
            </w:r>
            <w:r>
              <w:rPr>
                <w:rFonts w:hint="eastAsia" w:ascii="宋体" w:hAnsi="宋体" w:eastAsia="宋体" w:cs="Times New Roman"/>
                <w:sz w:val="21"/>
                <w:szCs w:val="21"/>
              </w:rPr>
              <w:t>进行邮件告警</w:t>
            </w:r>
            <w:r>
              <w:rPr>
                <w:rFonts w:hint="eastAsia" w:ascii="宋体" w:hAnsi="宋体" w:eastAsia="宋体"/>
                <w:b/>
                <w:bCs/>
                <w:color w:val="auto"/>
                <w:sz w:val="21"/>
                <w:szCs w:val="21"/>
              </w:rPr>
              <w:t>。</w:t>
            </w:r>
          </w:p>
        </w:tc>
      </w:tr>
      <w:tr w14:paraId="74AC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restart"/>
            <w:shd w:val="clear" w:color="auto" w:fill="auto"/>
            <w:vAlign w:val="center"/>
          </w:tcPr>
          <w:p w14:paraId="6748398D">
            <w:pPr>
              <w:widowControl/>
              <w:jc w:val="center"/>
              <w:rPr>
                <w:rFonts w:hint="eastAsia" w:ascii="宋体" w:hAnsi="宋体" w:eastAsia="宋体" w:cs="宋体"/>
                <w:kern w:val="0"/>
                <w:sz w:val="21"/>
                <w:szCs w:val="21"/>
                <w:lang w:bidi="ar"/>
              </w:rPr>
            </w:pPr>
            <w:r>
              <w:rPr>
                <w:rFonts w:hint="eastAsia" w:ascii="宋体" w:hAnsi="宋体" w:eastAsia="宋体"/>
                <w:kern w:val="0"/>
                <w:sz w:val="21"/>
                <w:szCs w:val="21"/>
              </w:rPr>
              <w:t>查询分析</w:t>
            </w:r>
          </w:p>
        </w:tc>
        <w:tc>
          <w:tcPr>
            <w:tcW w:w="4321" w:type="pct"/>
            <w:shd w:val="clear" w:color="auto" w:fill="auto"/>
            <w:vAlign w:val="center"/>
          </w:tcPr>
          <w:p w14:paraId="58D4BEE6">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支持在审计日志中一键添加过滤规则，支持在告警规则中一键添加信任规则或规则白名单；</w:t>
            </w:r>
          </w:p>
        </w:tc>
      </w:tr>
      <w:tr w14:paraId="57BE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continue"/>
            <w:shd w:val="clear" w:color="auto" w:fill="auto"/>
            <w:vAlign w:val="center"/>
          </w:tcPr>
          <w:p w14:paraId="14A6F816">
            <w:pPr>
              <w:widowControl/>
              <w:jc w:val="center"/>
              <w:rPr>
                <w:rFonts w:hint="eastAsia" w:ascii="宋体" w:hAnsi="宋体" w:eastAsia="宋体" w:cs="宋体"/>
                <w:sz w:val="21"/>
                <w:szCs w:val="21"/>
              </w:rPr>
            </w:pPr>
          </w:p>
        </w:tc>
        <w:tc>
          <w:tcPr>
            <w:tcW w:w="4321" w:type="pct"/>
            <w:shd w:val="clear" w:color="auto" w:fill="auto"/>
            <w:vAlign w:val="center"/>
          </w:tcPr>
          <w:p w14:paraId="648830A4">
            <w:pPr>
              <w:widowControl/>
              <w:jc w:val="left"/>
              <w:rPr>
                <w:rFonts w:hint="eastAsia" w:ascii="宋体" w:hAnsi="宋体" w:eastAsia="宋体" w:cs="宋体"/>
                <w:kern w:val="0"/>
                <w:sz w:val="21"/>
                <w:szCs w:val="21"/>
                <w:lang w:bidi="ar"/>
              </w:rPr>
            </w:pPr>
            <w:r>
              <w:rPr>
                <w:rFonts w:hint="eastAsia" w:ascii="宋体" w:hAnsi="宋体" w:eastAsia="宋体" w:cs="Cambria"/>
                <w:sz w:val="21"/>
                <w:szCs w:val="21"/>
              </w:rPr>
              <w:t>设置日志检索条件时，检索条件可根据历史信息自动弹出，即输入检索条件时支持智能联想；</w:t>
            </w:r>
          </w:p>
        </w:tc>
      </w:tr>
      <w:tr w14:paraId="12FB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continue"/>
            <w:shd w:val="clear" w:color="auto" w:fill="auto"/>
            <w:vAlign w:val="center"/>
          </w:tcPr>
          <w:p w14:paraId="54F58D5B">
            <w:pPr>
              <w:widowControl/>
              <w:jc w:val="center"/>
              <w:rPr>
                <w:rFonts w:hint="eastAsia" w:ascii="宋体" w:hAnsi="宋体" w:eastAsia="宋体" w:cs="宋体"/>
                <w:sz w:val="21"/>
                <w:szCs w:val="21"/>
              </w:rPr>
            </w:pPr>
          </w:p>
        </w:tc>
        <w:tc>
          <w:tcPr>
            <w:tcW w:w="4321" w:type="pct"/>
            <w:shd w:val="clear" w:color="auto" w:fill="auto"/>
            <w:vAlign w:val="center"/>
          </w:tcPr>
          <w:p w14:paraId="6B3CB512">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支持告警分析功能，告警分析支持按照“客户端IP+数据库账号”的组合对SQL模板维度进行排行，支持在页面一键添加到白名单、一键添加到信任规则</w:t>
            </w:r>
          </w:p>
        </w:tc>
      </w:tr>
      <w:tr w14:paraId="7F31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vMerge w:val="continue"/>
            <w:shd w:val="clear" w:color="auto" w:fill="auto"/>
            <w:vAlign w:val="center"/>
          </w:tcPr>
          <w:p w14:paraId="525D9FBD">
            <w:pPr>
              <w:widowControl/>
              <w:jc w:val="center"/>
              <w:rPr>
                <w:rFonts w:hint="eastAsia" w:ascii="宋体" w:hAnsi="宋体" w:eastAsia="宋体" w:cs="宋体"/>
                <w:kern w:val="0"/>
                <w:sz w:val="21"/>
                <w:szCs w:val="21"/>
                <w:lang w:bidi="ar"/>
              </w:rPr>
            </w:pPr>
          </w:p>
        </w:tc>
        <w:tc>
          <w:tcPr>
            <w:tcW w:w="4321" w:type="pct"/>
            <w:shd w:val="clear" w:color="auto" w:fill="auto"/>
            <w:vAlign w:val="center"/>
          </w:tcPr>
          <w:p w14:paraId="6CC5E6BB">
            <w:pPr>
              <w:widowControl/>
              <w:jc w:val="left"/>
              <w:rPr>
                <w:rFonts w:hint="eastAsia" w:ascii="宋体" w:hAnsi="宋体" w:eastAsia="宋体" w:cs="宋体"/>
                <w:kern w:val="0"/>
                <w:sz w:val="21"/>
                <w:szCs w:val="21"/>
                <w:lang w:bidi="ar"/>
              </w:rPr>
            </w:pPr>
            <w:r>
              <w:rPr>
                <w:rFonts w:hint="eastAsia" w:ascii="宋体" w:hAnsi="宋体" w:eastAsia="宋体" w:cs="Cambria"/>
                <w:sz w:val="21"/>
                <w:szCs w:val="21"/>
              </w:rPr>
              <w:t>历史会话中的审计记录支持直接导出，支持通过“查询分析”按钮跳转至审计日志页面进行进一步的分析筛选</w:t>
            </w:r>
            <w:r>
              <w:rPr>
                <w:rFonts w:hint="eastAsia" w:ascii="宋体" w:hAnsi="宋体" w:eastAsia="宋体"/>
                <w:b/>
                <w:bCs/>
                <w:color w:val="auto"/>
                <w:sz w:val="21"/>
                <w:szCs w:val="21"/>
              </w:rPr>
              <w:t>（须提供此功能截图证明）</w:t>
            </w:r>
            <w:r>
              <w:rPr>
                <w:rFonts w:hint="eastAsia" w:ascii="宋体" w:hAnsi="宋体" w:eastAsia="宋体" w:cs="Cambria"/>
                <w:b/>
                <w:bCs/>
                <w:color w:val="auto"/>
                <w:sz w:val="21"/>
                <w:szCs w:val="21"/>
              </w:rPr>
              <w:t>；</w:t>
            </w:r>
          </w:p>
        </w:tc>
      </w:tr>
      <w:tr w14:paraId="231E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shd w:val="clear" w:color="auto" w:fill="auto"/>
            <w:vAlign w:val="center"/>
          </w:tcPr>
          <w:p w14:paraId="70C3954B">
            <w:pPr>
              <w:widowControl/>
              <w:jc w:val="center"/>
              <w:rPr>
                <w:rFonts w:hint="eastAsia" w:ascii="宋体" w:hAnsi="宋体" w:eastAsia="宋体" w:cs="宋体"/>
                <w:kern w:val="0"/>
                <w:sz w:val="21"/>
                <w:szCs w:val="21"/>
                <w:lang w:bidi="ar"/>
              </w:rPr>
            </w:pPr>
            <w:r>
              <w:rPr>
                <w:rFonts w:hint="eastAsia" w:ascii="宋体" w:hAnsi="宋体" w:eastAsia="宋体"/>
                <w:kern w:val="0"/>
                <w:sz w:val="21"/>
                <w:szCs w:val="21"/>
              </w:rPr>
              <w:t>统计报表</w:t>
            </w:r>
          </w:p>
        </w:tc>
        <w:tc>
          <w:tcPr>
            <w:tcW w:w="4321" w:type="pct"/>
            <w:shd w:val="clear" w:color="auto" w:fill="auto"/>
            <w:vAlign w:val="center"/>
          </w:tcPr>
          <w:p w14:paraId="1A434E44">
            <w:pPr>
              <w:widowControl/>
              <w:jc w:val="left"/>
              <w:rPr>
                <w:rFonts w:hint="eastAsia" w:ascii="宋体" w:hAnsi="宋体" w:eastAsia="宋体" w:cs="Cambria"/>
                <w:sz w:val="21"/>
                <w:szCs w:val="21"/>
              </w:rPr>
            </w:pPr>
            <w:r>
              <w:rPr>
                <w:rFonts w:hint="eastAsia" w:ascii="宋体" w:hAnsi="宋体" w:eastAsia="宋体" w:cs="Times New Roman"/>
                <w:sz w:val="21"/>
                <w:szCs w:val="21"/>
              </w:rPr>
              <w:t>支持自定义报表，自定义报表支持告警名称、告警等级、操作类型、操作系统用户名、数据库名/实例名、主机名、数据库账号、客户端IP、客户端工具、数据库类型、客户端端口11种统计维度，支持来自审计日志、告警日志、会话日志的29种统计指标，根据以上条件进行灵活选择后生成报表；</w:t>
            </w:r>
          </w:p>
        </w:tc>
      </w:tr>
      <w:tr w14:paraId="49C8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shd w:val="clear" w:color="auto" w:fill="auto"/>
            <w:vAlign w:val="center"/>
          </w:tcPr>
          <w:p w14:paraId="1DC7D306">
            <w:pPr>
              <w:widowControl/>
              <w:jc w:val="center"/>
              <w:rPr>
                <w:rFonts w:hint="eastAsia" w:ascii="宋体" w:hAnsi="宋体" w:eastAsia="宋体"/>
                <w:kern w:val="0"/>
                <w:sz w:val="21"/>
                <w:szCs w:val="21"/>
              </w:rPr>
            </w:pPr>
            <w:r>
              <w:rPr>
                <w:rFonts w:hint="eastAsia" w:ascii="宋体" w:hAnsi="宋体" w:eastAsia="宋体"/>
                <w:kern w:val="0"/>
                <w:sz w:val="21"/>
                <w:szCs w:val="21"/>
              </w:rPr>
              <w:t>模型分析</w:t>
            </w:r>
          </w:p>
        </w:tc>
        <w:tc>
          <w:tcPr>
            <w:tcW w:w="4321" w:type="pct"/>
            <w:shd w:val="clear" w:color="auto" w:fill="auto"/>
            <w:vAlign w:val="center"/>
          </w:tcPr>
          <w:p w14:paraId="15F742C2">
            <w:pPr>
              <w:widowControl/>
              <w:jc w:val="left"/>
              <w:rPr>
                <w:rFonts w:hint="eastAsia" w:ascii="宋体" w:hAnsi="宋体" w:eastAsia="宋体" w:cs="Times New Roman"/>
                <w:sz w:val="21"/>
                <w:szCs w:val="21"/>
              </w:rPr>
            </w:pPr>
            <w:r>
              <w:rPr>
                <w:rFonts w:hint="eastAsia" w:ascii="宋体" w:hAnsi="宋体" w:eastAsia="宋体" w:cs="Times New Roman"/>
                <w:sz w:val="21"/>
                <w:szCs w:val="21"/>
              </w:rPr>
              <w:t>可依据客户端工具名、数据库用户名、客户端IP、操作系统用户名、客户端主机名、数据库名、操作类型、服务器IP等配置行为模型，并可查看相应告警日志</w:t>
            </w:r>
            <w:r>
              <w:rPr>
                <w:rFonts w:hint="eastAsia" w:ascii="宋体" w:hAnsi="宋体" w:eastAsia="宋体" w:cs="Cambria"/>
                <w:sz w:val="21"/>
                <w:szCs w:val="21"/>
              </w:rPr>
              <w:t>；</w:t>
            </w:r>
          </w:p>
        </w:tc>
      </w:tr>
      <w:tr w14:paraId="4B3C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8" w:type="pct"/>
            <w:shd w:val="clear" w:color="auto" w:fill="auto"/>
            <w:vAlign w:val="center"/>
          </w:tcPr>
          <w:p w14:paraId="2310BCED">
            <w:pPr>
              <w:widowControl/>
              <w:jc w:val="center"/>
              <w:rPr>
                <w:rFonts w:hint="eastAsia" w:ascii="宋体" w:hAnsi="宋体" w:eastAsia="宋体"/>
                <w:kern w:val="0"/>
                <w:sz w:val="21"/>
                <w:szCs w:val="21"/>
              </w:rPr>
            </w:pPr>
            <w:r>
              <w:rPr>
                <w:rFonts w:hint="eastAsia" w:ascii="宋体" w:hAnsi="宋体" w:eastAsia="宋体"/>
                <w:kern w:val="0"/>
                <w:sz w:val="21"/>
                <w:szCs w:val="21"/>
              </w:rPr>
              <w:t>A</w:t>
            </w:r>
            <w:r>
              <w:rPr>
                <w:rFonts w:ascii="宋体" w:hAnsi="宋体" w:eastAsia="宋体"/>
                <w:kern w:val="0"/>
                <w:sz w:val="21"/>
                <w:szCs w:val="21"/>
              </w:rPr>
              <w:t>gent管理</w:t>
            </w:r>
          </w:p>
        </w:tc>
        <w:tc>
          <w:tcPr>
            <w:tcW w:w="4321" w:type="pct"/>
            <w:shd w:val="clear" w:color="auto" w:fill="auto"/>
            <w:vAlign w:val="center"/>
          </w:tcPr>
          <w:p w14:paraId="542C86CB">
            <w:pPr>
              <w:widowControl/>
              <w:jc w:val="left"/>
              <w:rPr>
                <w:rFonts w:hint="eastAsia" w:ascii="宋体" w:hAnsi="宋体" w:eastAsia="宋体" w:cs="Times New Roman"/>
                <w:sz w:val="21"/>
                <w:szCs w:val="21"/>
              </w:rPr>
            </w:pPr>
            <w:r>
              <w:rPr>
                <w:rFonts w:hint="eastAsia" w:ascii="宋体" w:hAnsi="宋体" w:eastAsia="宋体" w:cs="Times New Roman"/>
                <w:sz w:val="21"/>
                <w:szCs w:val="21"/>
              </w:rPr>
              <w:t>可监控Agent的转发速率，以及Agent所在数据库服务器的CP</w:t>
            </w:r>
            <w:r>
              <w:rPr>
                <w:rFonts w:ascii="宋体" w:hAnsi="宋体" w:eastAsia="宋体" w:cs="Times New Roman"/>
                <w:sz w:val="21"/>
                <w:szCs w:val="21"/>
              </w:rPr>
              <w:t>U</w:t>
            </w:r>
            <w:r>
              <w:rPr>
                <w:rFonts w:hint="eastAsia" w:ascii="宋体" w:hAnsi="宋体" w:eastAsia="宋体" w:cs="Times New Roman"/>
                <w:sz w:val="21"/>
                <w:szCs w:val="21"/>
              </w:rPr>
              <w:t>、内存利用率，并可设置CPU、内存利用率的上限阈值，超阈值时Agent将自动停止转发数据</w:t>
            </w:r>
            <w:r>
              <w:rPr>
                <w:rFonts w:hint="eastAsia" w:ascii="宋体" w:hAnsi="宋体" w:eastAsia="宋体" w:cs="Cambria"/>
                <w:b/>
                <w:bCs/>
                <w:color w:val="auto"/>
                <w:sz w:val="21"/>
                <w:szCs w:val="21"/>
              </w:rPr>
              <w:t>（</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hint="eastAsia" w:ascii="宋体" w:hAnsi="宋体" w:eastAsia="宋体"/>
                <w:b/>
                <w:bCs/>
                <w:color w:val="auto"/>
                <w:sz w:val="21"/>
                <w:szCs w:val="21"/>
              </w:rPr>
              <w:t>）。</w:t>
            </w:r>
          </w:p>
        </w:tc>
      </w:tr>
    </w:tbl>
    <w:p w14:paraId="200E43E3">
      <w:pPr>
        <w:rPr>
          <w:rFonts w:ascii="Times New Roman" w:hAnsi="Times New Roman" w:eastAsia="宋体" w:cs="Times New Roman"/>
          <w:szCs w:val="21"/>
        </w:rPr>
      </w:pPr>
    </w:p>
    <w:p w14:paraId="7192286D">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日志审计</w:t>
      </w:r>
      <w:r>
        <w:rPr>
          <w:rFonts w:hint="eastAsia" w:asciiTheme="minorEastAsia" w:hAnsiTheme="minorEastAsia" w:eastAsiaTheme="minorEastAsia" w:cstheme="minorEastAsia"/>
          <w:b/>
          <w:bCs/>
          <w:sz w:val="24"/>
          <w:szCs w:val="24"/>
          <w:lang w:eastAsia="zh-CN"/>
        </w:rPr>
        <w:t>：</w:t>
      </w:r>
    </w:p>
    <w:tbl>
      <w:tblPr>
        <w:tblStyle w:val="62"/>
        <w:tblW w:w="8517"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352"/>
      </w:tblGrid>
      <w:tr w14:paraId="4370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65" w:type="dxa"/>
            <w:shd w:val="clear" w:color="auto" w:fill="auto"/>
            <w:noWrap/>
            <w:vAlign w:val="center"/>
          </w:tcPr>
          <w:p w14:paraId="0AB8D3CF">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指标项</w:t>
            </w:r>
          </w:p>
        </w:tc>
        <w:tc>
          <w:tcPr>
            <w:tcW w:w="7352" w:type="dxa"/>
            <w:shd w:val="clear" w:color="auto" w:fill="auto"/>
            <w:noWrap/>
            <w:vAlign w:val="center"/>
          </w:tcPr>
          <w:p w14:paraId="6FA26105">
            <w:pPr>
              <w:widowControl/>
              <w:jc w:val="center"/>
              <w:rPr>
                <w:rFonts w:hint="eastAsia" w:ascii="宋体" w:hAnsi="宋体" w:eastAsia="宋体" w:cs="宋体"/>
                <w:b/>
                <w:bCs/>
                <w:kern w:val="0"/>
                <w:sz w:val="21"/>
                <w:szCs w:val="21"/>
              </w:rPr>
            </w:pPr>
            <w:r>
              <w:rPr>
                <w:rFonts w:hint="eastAsia" w:ascii="宋体" w:hAnsi="宋体" w:cs="宋体"/>
                <w:b/>
                <w:bCs/>
                <w:kern w:val="0"/>
                <w:sz w:val="21"/>
                <w:szCs w:val="21"/>
                <w:lang w:val="en-US" w:eastAsia="zh-CN"/>
              </w:rPr>
              <w:t>技术参数</w:t>
            </w:r>
            <w:r>
              <w:rPr>
                <w:rFonts w:hint="eastAsia" w:ascii="宋体" w:hAnsi="宋体" w:eastAsia="宋体" w:cs="宋体"/>
                <w:b/>
                <w:bCs/>
                <w:kern w:val="0"/>
                <w:sz w:val="21"/>
                <w:szCs w:val="21"/>
              </w:rPr>
              <w:t>要求</w:t>
            </w:r>
          </w:p>
        </w:tc>
      </w:tr>
      <w:tr w14:paraId="26AC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shd w:val="clear" w:color="auto" w:fill="auto"/>
            <w:vAlign w:val="center"/>
          </w:tcPr>
          <w:p w14:paraId="555D5C63">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硬件要求</w:t>
            </w:r>
          </w:p>
        </w:tc>
        <w:tc>
          <w:tcPr>
            <w:tcW w:w="7352" w:type="dxa"/>
            <w:shd w:val="clear" w:color="auto" w:fill="auto"/>
            <w:vAlign w:val="center"/>
          </w:tcPr>
          <w:p w14:paraId="7B88855D">
            <w:pPr>
              <w:rPr>
                <w:rFonts w:asciiTheme="minorEastAsia" w:hAnsiTheme="minorEastAsia"/>
                <w:sz w:val="21"/>
                <w:szCs w:val="21"/>
              </w:rPr>
            </w:pPr>
            <w:r>
              <w:rPr>
                <w:rFonts w:hint="eastAsia" w:asciiTheme="minorEastAsia" w:hAnsiTheme="minorEastAsia"/>
                <w:sz w:val="21"/>
                <w:szCs w:val="21"/>
              </w:rPr>
              <w:t>支持</w:t>
            </w:r>
            <w:r>
              <w:rPr>
                <w:rFonts w:asciiTheme="minorEastAsia" w:hAnsiTheme="minorEastAsia"/>
                <w:sz w:val="21"/>
                <w:szCs w:val="21"/>
              </w:rPr>
              <w:t>350</w:t>
            </w:r>
            <w:r>
              <w:rPr>
                <w:rFonts w:hint="eastAsia" w:asciiTheme="minorEastAsia" w:hAnsiTheme="minorEastAsia"/>
                <w:sz w:val="21"/>
                <w:szCs w:val="21"/>
              </w:rPr>
              <w:t>个日志源；</w:t>
            </w:r>
          </w:p>
          <w:p w14:paraId="79AE16C8">
            <w:pPr>
              <w:rPr>
                <w:rFonts w:hint="eastAsia" w:asciiTheme="minorEastAsia" w:hAnsiTheme="minorEastAsia"/>
                <w:sz w:val="21"/>
                <w:szCs w:val="21"/>
              </w:rPr>
            </w:pPr>
            <w:r>
              <w:rPr>
                <w:rFonts w:hint="eastAsia" w:ascii="Segoe UI Symbol" w:hAnsi="Segoe UI Symbol" w:eastAsia="宋体" w:cs="Segoe UI Symbol"/>
                <w:b/>
                <w:bCs/>
                <w:color w:val="000000"/>
                <w:kern w:val="0"/>
                <w:szCs w:val="21"/>
                <w:highlight w:val="none"/>
              </w:rPr>
              <w:t>☆</w:t>
            </w:r>
            <w:r>
              <w:rPr>
                <w:rFonts w:hint="eastAsia" w:asciiTheme="minorEastAsia" w:hAnsiTheme="minorEastAsia"/>
                <w:b/>
                <w:bCs/>
                <w:sz w:val="21"/>
                <w:szCs w:val="21"/>
              </w:rPr>
              <w:t>日志处理能力</w:t>
            </w:r>
            <w:r>
              <w:rPr>
                <w:rFonts w:asciiTheme="minorEastAsia" w:hAnsiTheme="minorEastAsia"/>
                <w:b/>
                <w:bCs/>
                <w:sz w:val="21"/>
                <w:szCs w:val="21"/>
              </w:rPr>
              <w:t>EPS</w:t>
            </w:r>
            <w:r>
              <w:rPr>
                <w:rFonts w:hint="eastAsia" w:asciiTheme="minorEastAsia" w:hAnsiTheme="minorEastAsia"/>
                <w:b/>
                <w:bCs/>
                <w:sz w:val="21"/>
                <w:szCs w:val="21"/>
              </w:rPr>
              <w:t>：</w:t>
            </w:r>
            <w:r>
              <w:rPr>
                <w:rFonts w:asciiTheme="minorEastAsia" w:hAnsiTheme="minorEastAsia"/>
                <w:b/>
                <w:bCs/>
                <w:sz w:val="21"/>
                <w:szCs w:val="21"/>
              </w:rPr>
              <w:t>5500</w:t>
            </w:r>
            <w:r>
              <w:rPr>
                <w:rFonts w:hint="eastAsia" w:asciiTheme="minorEastAsia" w:hAnsiTheme="minorEastAsia"/>
                <w:b/>
                <w:bCs/>
                <w:sz w:val="21"/>
                <w:szCs w:val="21"/>
              </w:rPr>
              <w:t>条</w:t>
            </w:r>
            <w:r>
              <w:rPr>
                <w:rFonts w:asciiTheme="minorEastAsia" w:hAnsiTheme="minorEastAsia"/>
                <w:b/>
                <w:bCs/>
                <w:sz w:val="21"/>
                <w:szCs w:val="21"/>
              </w:rPr>
              <w:t>/</w:t>
            </w:r>
            <w:r>
              <w:rPr>
                <w:rFonts w:hint="eastAsia" w:asciiTheme="minorEastAsia" w:hAnsiTheme="minorEastAsia"/>
                <w:b/>
                <w:bCs/>
                <w:sz w:val="21"/>
                <w:szCs w:val="21"/>
              </w:rPr>
              <w:t>秒；</w:t>
            </w:r>
          </w:p>
        </w:tc>
      </w:tr>
      <w:tr w14:paraId="3B32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shd w:val="clear" w:color="auto" w:fill="auto"/>
            <w:vAlign w:val="center"/>
          </w:tcPr>
          <w:p w14:paraId="0F71B0E0">
            <w:pPr>
              <w:widowControl/>
              <w:jc w:val="left"/>
              <w:textAlignment w:val="center"/>
              <w:rPr>
                <w:rFonts w:hint="eastAsia" w:ascii="宋体" w:hAnsi="宋体" w:eastAsia="宋体" w:cs="宋体"/>
                <w:sz w:val="21"/>
                <w:szCs w:val="21"/>
              </w:rPr>
            </w:pPr>
            <w:r>
              <w:rPr>
                <w:rFonts w:hint="eastAsia" w:ascii="宋体" w:hAnsi="宋体" w:eastAsia="宋体"/>
                <w:sz w:val="21"/>
                <w:szCs w:val="21"/>
              </w:rPr>
              <w:t>性能要求</w:t>
            </w:r>
          </w:p>
        </w:tc>
        <w:tc>
          <w:tcPr>
            <w:tcW w:w="7352" w:type="dxa"/>
            <w:shd w:val="clear" w:color="auto" w:fill="auto"/>
            <w:vAlign w:val="center"/>
          </w:tcPr>
          <w:p w14:paraId="104510B7">
            <w:pPr>
              <w:rPr>
                <w:rFonts w:asciiTheme="minorEastAsia" w:hAnsiTheme="minorEastAsia"/>
                <w:sz w:val="21"/>
                <w:szCs w:val="21"/>
              </w:rPr>
            </w:pPr>
            <w:r>
              <w:rPr>
                <w:rFonts w:hint="eastAsia" w:asciiTheme="minorEastAsia" w:hAnsiTheme="minorEastAsia"/>
                <w:sz w:val="21"/>
                <w:szCs w:val="21"/>
              </w:rPr>
              <w:t>标准</w:t>
            </w:r>
            <w:r>
              <w:rPr>
                <w:rFonts w:asciiTheme="minorEastAsia" w:hAnsiTheme="minorEastAsia"/>
                <w:sz w:val="21"/>
                <w:szCs w:val="21"/>
              </w:rPr>
              <w:t>2U</w:t>
            </w:r>
            <w:r>
              <w:rPr>
                <w:rFonts w:hint="eastAsia" w:asciiTheme="minorEastAsia" w:hAnsiTheme="minorEastAsia"/>
                <w:sz w:val="21"/>
                <w:szCs w:val="21"/>
              </w:rPr>
              <w:t>硬件</w:t>
            </w:r>
            <w:r>
              <w:rPr>
                <w:rFonts w:asciiTheme="minorEastAsia" w:hAnsiTheme="minorEastAsia"/>
                <w:sz w:val="21"/>
                <w:szCs w:val="21"/>
              </w:rPr>
              <w:t xml:space="preserve"> 1</w:t>
            </w:r>
            <w:r>
              <w:rPr>
                <w:rFonts w:hint="eastAsia" w:asciiTheme="minorEastAsia" w:hAnsiTheme="minorEastAsia"/>
                <w:sz w:val="21"/>
                <w:szCs w:val="21"/>
              </w:rPr>
              <w:t>个</w:t>
            </w:r>
            <w:r>
              <w:rPr>
                <w:rFonts w:asciiTheme="minorEastAsia" w:hAnsiTheme="minorEastAsia"/>
                <w:sz w:val="21"/>
                <w:szCs w:val="21"/>
              </w:rPr>
              <w:t>Console</w:t>
            </w:r>
            <w:r>
              <w:rPr>
                <w:rFonts w:hint="eastAsia" w:asciiTheme="minorEastAsia" w:hAnsiTheme="minorEastAsia"/>
                <w:sz w:val="21"/>
                <w:szCs w:val="21"/>
              </w:rPr>
              <w:t>口</w:t>
            </w:r>
          </w:p>
          <w:p w14:paraId="449EF74D">
            <w:pPr>
              <w:rPr>
                <w:rFonts w:asciiTheme="minorEastAsia" w:hAnsiTheme="minorEastAsia"/>
                <w:sz w:val="21"/>
                <w:szCs w:val="21"/>
              </w:rPr>
            </w:pPr>
            <w:r>
              <w:rPr>
                <w:rFonts w:hint="eastAsia" w:asciiTheme="minorEastAsia" w:hAnsiTheme="minorEastAsia"/>
                <w:sz w:val="21"/>
                <w:szCs w:val="21"/>
              </w:rPr>
              <w:t>国产化芯片和操作系统；</w:t>
            </w:r>
          </w:p>
          <w:p w14:paraId="21820F01">
            <w:pPr>
              <w:rPr>
                <w:rFonts w:asciiTheme="minorEastAsia" w:hAnsiTheme="minorEastAsia"/>
                <w:sz w:val="21"/>
                <w:szCs w:val="21"/>
              </w:rPr>
            </w:pPr>
            <w:r>
              <w:rPr>
                <w:rFonts w:hint="eastAsia" w:asciiTheme="minorEastAsia" w:hAnsiTheme="minorEastAsia"/>
                <w:sz w:val="21"/>
                <w:szCs w:val="21"/>
              </w:rPr>
              <w:t>网口：千兆电口</w:t>
            </w:r>
            <w:r>
              <w:rPr>
                <w:rFonts w:asciiTheme="minorEastAsia" w:hAnsiTheme="minorEastAsia"/>
                <w:sz w:val="21"/>
                <w:szCs w:val="21"/>
              </w:rPr>
              <w:t>*8+</w:t>
            </w:r>
            <w:r>
              <w:rPr>
                <w:rFonts w:hint="eastAsia" w:asciiTheme="minorEastAsia" w:hAnsiTheme="minorEastAsia"/>
                <w:sz w:val="21"/>
                <w:szCs w:val="21"/>
              </w:rPr>
              <w:t>千兆光口</w:t>
            </w:r>
            <w:r>
              <w:rPr>
                <w:rFonts w:asciiTheme="minorEastAsia" w:hAnsiTheme="minorEastAsia"/>
                <w:sz w:val="21"/>
                <w:szCs w:val="21"/>
              </w:rPr>
              <w:t>*4</w:t>
            </w:r>
            <w:r>
              <w:rPr>
                <w:rFonts w:hint="eastAsia" w:asciiTheme="minorEastAsia" w:hAnsiTheme="minorEastAsia"/>
                <w:sz w:val="21"/>
                <w:szCs w:val="21"/>
              </w:rPr>
              <w:t>；</w:t>
            </w:r>
          </w:p>
          <w:p w14:paraId="15865E86">
            <w:pPr>
              <w:rPr>
                <w:rFonts w:asciiTheme="minorEastAsia" w:hAnsiTheme="minorEastAsia"/>
                <w:sz w:val="21"/>
                <w:szCs w:val="21"/>
              </w:rPr>
            </w:pPr>
            <w:r>
              <w:rPr>
                <w:rFonts w:asciiTheme="minorEastAsia" w:hAnsiTheme="minorEastAsia"/>
                <w:sz w:val="21"/>
                <w:szCs w:val="21"/>
              </w:rPr>
              <w:t>USB</w:t>
            </w:r>
            <w:r>
              <w:rPr>
                <w:rFonts w:hint="eastAsia" w:asciiTheme="minorEastAsia" w:hAnsiTheme="minorEastAsia"/>
                <w:sz w:val="21"/>
                <w:szCs w:val="21"/>
              </w:rPr>
              <w:t>口：</w:t>
            </w:r>
            <w:r>
              <w:rPr>
                <w:rFonts w:asciiTheme="minorEastAsia" w:hAnsiTheme="minorEastAsia"/>
                <w:sz w:val="21"/>
                <w:szCs w:val="21"/>
              </w:rPr>
              <w:t xml:space="preserve"> USB2.0*3</w:t>
            </w:r>
          </w:p>
          <w:p w14:paraId="5EE50741">
            <w:pPr>
              <w:rPr>
                <w:rFonts w:asciiTheme="minorEastAsia" w:hAnsiTheme="minorEastAsia"/>
                <w:sz w:val="21"/>
                <w:szCs w:val="21"/>
              </w:rPr>
            </w:pPr>
            <w:r>
              <w:rPr>
                <w:rFonts w:hint="eastAsia" w:asciiTheme="minorEastAsia" w:hAnsiTheme="minorEastAsia"/>
                <w:sz w:val="21"/>
                <w:szCs w:val="21"/>
              </w:rPr>
              <w:t>内存：</w:t>
            </w:r>
            <w:r>
              <w:rPr>
                <w:rFonts w:asciiTheme="minorEastAsia" w:hAnsiTheme="minorEastAsia"/>
                <w:sz w:val="21"/>
                <w:szCs w:val="21"/>
              </w:rPr>
              <w:t>16G</w:t>
            </w:r>
            <w:r>
              <w:rPr>
                <w:rFonts w:hint="eastAsia" w:asciiTheme="minorEastAsia" w:hAnsiTheme="minorEastAsia"/>
                <w:sz w:val="21"/>
                <w:szCs w:val="21"/>
              </w:rPr>
              <w:t>（</w:t>
            </w:r>
            <w:r>
              <w:rPr>
                <w:rFonts w:asciiTheme="minorEastAsia" w:hAnsiTheme="minorEastAsia"/>
                <w:sz w:val="21"/>
                <w:szCs w:val="21"/>
              </w:rPr>
              <w:t>8G*2</w:t>
            </w:r>
            <w:r>
              <w:rPr>
                <w:rFonts w:hint="eastAsia" w:asciiTheme="minorEastAsia" w:hAnsiTheme="minorEastAsia"/>
                <w:sz w:val="21"/>
                <w:szCs w:val="21"/>
              </w:rPr>
              <w:t>）</w:t>
            </w:r>
          </w:p>
          <w:p w14:paraId="13543AE2">
            <w:pPr>
              <w:rPr>
                <w:rFonts w:asciiTheme="minorEastAsia" w:hAnsiTheme="minorEastAsia"/>
                <w:sz w:val="21"/>
                <w:szCs w:val="21"/>
              </w:rPr>
            </w:pPr>
            <w:r>
              <w:rPr>
                <w:rFonts w:hint="eastAsia" w:asciiTheme="minorEastAsia" w:hAnsiTheme="minorEastAsia"/>
                <w:sz w:val="21"/>
                <w:szCs w:val="21"/>
              </w:rPr>
              <w:t>硬盘：</w:t>
            </w:r>
            <w:r>
              <w:rPr>
                <w:rFonts w:asciiTheme="minorEastAsia" w:hAnsiTheme="minorEastAsia"/>
                <w:sz w:val="21"/>
                <w:szCs w:val="21"/>
              </w:rPr>
              <w:t>500G(SSD)+6T</w:t>
            </w:r>
            <w:r>
              <w:rPr>
                <w:rFonts w:hint="eastAsia" w:asciiTheme="minorEastAsia" w:hAnsiTheme="minorEastAsia"/>
                <w:sz w:val="21"/>
                <w:szCs w:val="21"/>
              </w:rPr>
              <w:t>机械硬盘</w:t>
            </w:r>
            <w:r>
              <w:rPr>
                <w:rFonts w:asciiTheme="minorEastAsia" w:hAnsiTheme="minorEastAsia"/>
                <w:sz w:val="21"/>
                <w:szCs w:val="21"/>
              </w:rPr>
              <w:t xml:space="preserve">  </w:t>
            </w:r>
          </w:p>
          <w:p w14:paraId="179B4856">
            <w:pPr>
              <w:rPr>
                <w:rFonts w:hint="eastAsia" w:asciiTheme="minorEastAsia" w:hAnsiTheme="minorEastAsia"/>
                <w:sz w:val="21"/>
                <w:szCs w:val="21"/>
              </w:rPr>
            </w:pPr>
            <w:r>
              <w:rPr>
                <w:rFonts w:hint="eastAsia" w:asciiTheme="minorEastAsia" w:hAnsiTheme="minorEastAsia"/>
                <w:sz w:val="21"/>
                <w:szCs w:val="21"/>
              </w:rPr>
              <w:t>电源：双电源；</w:t>
            </w:r>
          </w:p>
        </w:tc>
      </w:tr>
      <w:tr w14:paraId="7062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vMerge w:val="restart"/>
            <w:shd w:val="clear" w:color="auto" w:fill="auto"/>
            <w:vAlign w:val="center"/>
          </w:tcPr>
          <w:p w14:paraId="00B8487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日志收集</w:t>
            </w:r>
          </w:p>
        </w:tc>
        <w:tc>
          <w:tcPr>
            <w:tcW w:w="7352" w:type="dxa"/>
            <w:shd w:val="clear" w:color="auto" w:fill="auto"/>
            <w:vAlign w:val="center"/>
          </w:tcPr>
          <w:p w14:paraId="38C172EC">
            <w:pPr>
              <w:widowControl/>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支持</w:t>
            </w:r>
            <w:bookmarkStart w:id="33" w:name="OLE_LINK2"/>
            <w:r>
              <w:rPr>
                <w:rFonts w:ascii="宋体" w:hAnsi="宋体" w:eastAsia="宋体" w:cs="宋体"/>
                <w:kern w:val="0"/>
                <w:sz w:val="21"/>
                <w:szCs w:val="21"/>
                <w:lang w:bidi="ar"/>
              </w:rPr>
              <w:t>Syslog</w:t>
            </w:r>
            <w:r>
              <w:rPr>
                <w:rFonts w:hint="eastAsia" w:ascii="宋体" w:hAnsi="宋体" w:eastAsia="宋体" w:cs="宋体"/>
                <w:kern w:val="0"/>
                <w:sz w:val="21"/>
                <w:szCs w:val="21"/>
                <w:lang w:bidi="ar"/>
              </w:rPr>
              <w:t>、</w:t>
            </w:r>
            <w:r>
              <w:rPr>
                <w:rFonts w:ascii="宋体" w:hAnsi="宋体" w:eastAsia="宋体" w:cs="宋体"/>
                <w:kern w:val="0"/>
                <w:sz w:val="21"/>
                <w:szCs w:val="21"/>
                <w:lang w:bidi="ar"/>
              </w:rPr>
              <w:t>SNMP Trap</w:t>
            </w:r>
            <w:r>
              <w:rPr>
                <w:rFonts w:hint="eastAsia" w:ascii="宋体" w:hAnsi="宋体" w:eastAsia="宋体" w:cs="宋体"/>
                <w:kern w:val="0"/>
                <w:sz w:val="21"/>
                <w:szCs w:val="21"/>
                <w:lang w:bidi="ar"/>
              </w:rPr>
              <w:t>、</w:t>
            </w:r>
            <w:r>
              <w:rPr>
                <w:rFonts w:ascii="宋体" w:hAnsi="宋体" w:eastAsia="宋体" w:cs="宋体"/>
                <w:kern w:val="0"/>
                <w:sz w:val="21"/>
                <w:szCs w:val="21"/>
                <w:lang w:bidi="ar"/>
              </w:rPr>
              <w:t>HTTP</w:t>
            </w:r>
            <w:r>
              <w:rPr>
                <w:rFonts w:hint="eastAsia" w:ascii="宋体" w:hAnsi="宋体" w:eastAsia="宋体" w:cs="宋体"/>
                <w:kern w:val="0"/>
                <w:sz w:val="21"/>
                <w:szCs w:val="21"/>
                <w:lang w:bidi="ar"/>
              </w:rPr>
              <w:t>、</w:t>
            </w:r>
            <w:r>
              <w:rPr>
                <w:rFonts w:ascii="宋体" w:hAnsi="宋体" w:eastAsia="宋体" w:cs="宋体"/>
                <w:kern w:val="0"/>
                <w:sz w:val="21"/>
                <w:szCs w:val="21"/>
                <w:lang w:bidi="ar"/>
              </w:rPr>
              <w:t>ODBC/JDBC</w:t>
            </w:r>
            <w:r>
              <w:rPr>
                <w:rFonts w:hint="eastAsia" w:ascii="宋体" w:hAnsi="宋体" w:eastAsia="宋体" w:cs="宋体"/>
                <w:kern w:val="0"/>
                <w:sz w:val="21"/>
                <w:szCs w:val="21"/>
                <w:lang w:bidi="ar"/>
              </w:rPr>
              <w:t>、</w:t>
            </w:r>
            <w:r>
              <w:rPr>
                <w:rFonts w:ascii="宋体" w:hAnsi="宋体" w:eastAsia="宋体" w:cs="宋体"/>
                <w:kern w:val="0"/>
                <w:sz w:val="21"/>
                <w:szCs w:val="21"/>
                <w:lang w:bidi="ar"/>
              </w:rPr>
              <w:t>WMI</w:t>
            </w:r>
            <w:r>
              <w:rPr>
                <w:rFonts w:hint="eastAsia" w:ascii="宋体" w:hAnsi="宋体" w:eastAsia="宋体" w:cs="宋体"/>
                <w:kern w:val="0"/>
                <w:sz w:val="21"/>
                <w:szCs w:val="21"/>
                <w:lang w:bidi="ar"/>
              </w:rPr>
              <w:t>、</w:t>
            </w:r>
            <w:r>
              <w:rPr>
                <w:rFonts w:ascii="宋体" w:hAnsi="宋体" w:eastAsia="宋体" w:cs="宋体"/>
                <w:kern w:val="0"/>
                <w:sz w:val="21"/>
                <w:szCs w:val="21"/>
                <w:lang w:bidi="ar"/>
              </w:rPr>
              <w:t>FTP</w:t>
            </w:r>
            <w:r>
              <w:rPr>
                <w:rFonts w:hint="eastAsia" w:ascii="宋体" w:hAnsi="宋体" w:eastAsia="宋体" w:cs="宋体"/>
                <w:kern w:val="0"/>
                <w:sz w:val="21"/>
                <w:szCs w:val="21"/>
                <w:lang w:bidi="ar"/>
              </w:rPr>
              <w:t>、</w:t>
            </w:r>
            <w:r>
              <w:rPr>
                <w:rFonts w:ascii="宋体" w:hAnsi="宋体" w:eastAsia="宋体" w:cs="宋体"/>
                <w:kern w:val="0"/>
                <w:sz w:val="21"/>
                <w:szCs w:val="21"/>
                <w:lang w:bidi="ar"/>
              </w:rPr>
              <w:t>SFTP</w:t>
            </w:r>
            <w:r>
              <w:rPr>
                <w:rFonts w:hint="eastAsia" w:ascii="宋体" w:hAnsi="宋体" w:eastAsia="宋体" w:cs="宋体"/>
                <w:kern w:val="0"/>
                <w:sz w:val="21"/>
                <w:szCs w:val="21"/>
                <w:lang w:bidi="ar"/>
              </w:rPr>
              <w:t>协议日志收集</w:t>
            </w:r>
            <w:bookmarkEnd w:id="33"/>
            <w:r>
              <w:rPr>
                <w:rFonts w:hint="eastAsia" w:ascii="宋体" w:hAnsi="宋体" w:eastAsia="宋体" w:cs="宋体"/>
                <w:kern w:val="0"/>
                <w:sz w:val="21"/>
                <w:szCs w:val="21"/>
                <w:lang w:bidi="ar"/>
              </w:rPr>
              <w:t>；支持阿里云</w:t>
            </w:r>
            <w:r>
              <w:rPr>
                <w:rFonts w:ascii="宋体" w:hAnsi="宋体" w:eastAsia="宋体" w:cs="宋体"/>
                <w:kern w:val="0"/>
                <w:sz w:val="21"/>
                <w:szCs w:val="21"/>
                <w:lang w:bidi="ar"/>
              </w:rPr>
              <w:t>SLS</w:t>
            </w:r>
            <w:r>
              <w:rPr>
                <w:rFonts w:hint="eastAsia" w:ascii="宋体" w:hAnsi="宋体" w:eastAsia="宋体" w:cs="宋体"/>
                <w:kern w:val="0"/>
                <w:sz w:val="21"/>
                <w:szCs w:val="21"/>
                <w:lang w:bidi="ar"/>
              </w:rPr>
              <w:t>日志的采集。</w:t>
            </w:r>
          </w:p>
        </w:tc>
      </w:tr>
      <w:tr w14:paraId="6A7D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vMerge w:val="continue"/>
            <w:shd w:val="clear" w:color="auto" w:fill="auto"/>
            <w:vAlign w:val="center"/>
          </w:tcPr>
          <w:p w14:paraId="10901C0E">
            <w:pPr>
              <w:widowControl/>
              <w:jc w:val="left"/>
              <w:textAlignment w:val="center"/>
              <w:rPr>
                <w:rFonts w:hint="eastAsia" w:ascii="宋体" w:hAnsi="宋体" w:eastAsia="宋体" w:cs="宋体"/>
                <w:sz w:val="21"/>
                <w:szCs w:val="21"/>
              </w:rPr>
            </w:pPr>
          </w:p>
        </w:tc>
        <w:tc>
          <w:tcPr>
            <w:tcW w:w="7352" w:type="dxa"/>
            <w:shd w:val="clear" w:color="auto" w:fill="auto"/>
            <w:vAlign w:val="center"/>
          </w:tcPr>
          <w:p w14:paraId="0390F113">
            <w:pPr>
              <w:widowControl/>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支持对</w:t>
            </w:r>
            <w:r>
              <w:rPr>
                <w:rFonts w:ascii="宋体" w:hAnsi="宋体" w:eastAsia="宋体" w:cs="宋体"/>
                <w:kern w:val="0"/>
                <w:sz w:val="21"/>
                <w:szCs w:val="21"/>
                <w:lang w:bidi="ar"/>
              </w:rPr>
              <w:t>Agent</w:t>
            </w:r>
            <w:r>
              <w:rPr>
                <w:rFonts w:hint="eastAsia" w:ascii="宋体" w:hAnsi="宋体" w:eastAsia="宋体" w:cs="宋体"/>
                <w:kern w:val="0"/>
                <w:sz w:val="21"/>
                <w:szCs w:val="21"/>
                <w:lang w:bidi="ar"/>
              </w:rPr>
              <w:t>进行统一管控，包括卸载、升级、启动及停止操作，支持将日志收集策略统一分发。</w:t>
            </w:r>
          </w:p>
        </w:tc>
      </w:tr>
      <w:tr w14:paraId="20DD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vMerge w:val="restart"/>
            <w:shd w:val="clear" w:color="auto" w:fill="auto"/>
            <w:vAlign w:val="center"/>
          </w:tcPr>
          <w:p w14:paraId="5A18A8DE">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日志分析</w:t>
            </w:r>
          </w:p>
        </w:tc>
        <w:tc>
          <w:tcPr>
            <w:tcW w:w="7352" w:type="dxa"/>
            <w:shd w:val="clear" w:color="auto" w:fill="auto"/>
            <w:vAlign w:val="center"/>
          </w:tcPr>
          <w:p w14:paraId="7F134222">
            <w:pPr>
              <w:widowControl/>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对日志样例可进行划词辅助解析，一键生成正则表达式。</w:t>
            </w:r>
          </w:p>
        </w:tc>
      </w:tr>
      <w:tr w14:paraId="55AF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vMerge w:val="continue"/>
            <w:shd w:val="clear" w:color="auto" w:fill="auto"/>
            <w:vAlign w:val="center"/>
          </w:tcPr>
          <w:p w14:paraId="5B09AFBF">
            <w:pPr>
              <w:widowControl/>
              <w:jc w:val="left"/>
              <w:textAlignment w:val="center"/>
              <w:rPr>
                <w:rFonts w:hint="eastAsia" w:ascii="宋体" w:hAnsi="宋体" w:eastAsia="宋体" w:cs="宋体"/>
                <w:sz w:val="21"/>
                <w:szCs w:val="21"/>
              </w:rPr>
            </w:pPr>
          </w:p>
        </w:tc>
        <w:tc>
          <w:tcPr>
            <w:tcW w:w="7352" w:type="dxa"/>
            <w:shd w:val="clear" w:color="auto" w:fill="auto"/>
            <w:vAlign w:val="center"/>
          </w:tcPr>
          <w:p w14:paraId="1DA81EBC">
            <w:pPr>
              <w:widowControl/>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支持解析规则性能以界面列表形式显示，可了解解析耗时、解析成功或失败次数等信息。</w:t>
            </w:r>
          </w:p>
        </w:tc>
      </w:tr>
      <w:tr w14:paraId="6CE1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vMerge w:val="continue"/>
            <w:shd w:val="clear" w:color="auto" w:fill="auto"/>
            <w:vAlign w:val="center"/>
          </w:tcPr>
          <w:p w14:paraId="57032368">
            <w:pPr>
              <w:widowControl/>
              <w:jc w:val="left"/>
              <w:textAlignment w:val="center"/>
              <w:rPr>
                <w:rFonts w:hint="eastAsia" w:ascii="宋体" w:hAnsi="宋体" w:eastAsia="宋体" w:cs="宋体"/>
                <w:sz w:val="21"/>
                <w:szCs w:val="21"/>
              </w:rPr>
            </w:pPr>
          </w:p>
        </w:tc>
        <w:tc>
          <w:tcPr>
            <w:tcW w:w="7352" w:type="dxa"/>
            <w:shd w:val="clear" w:color="auto" w:fill="auto"/>
            <w:vAlign w:val="center"/>
          </w:tcPr>
          <w:p w14:paraId="2E722AD1">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w:t>
            </w:r>
            <w:r>
              <w:rPr>
                <w:rFonts w:hint="eastAsia" w:ascii="宋体" w:hAnsi="宋体" w:eastAsia="宋体"/>
                <w:b/>
                <w:bCs/>
                <w:color w:val="auto"/>
                <w:sz w:val="21"/>
                <w:szCs w:val="21"/>
              </w:rPr>
              <w:t>（须提供此功能截图证明）</w:t>
            </w:r>
            <w:r>
              <w:rPr>
                <w:rFonts w:ascii="宋体" w:hAnsi="宋体" w:eastAsia="宋体" w:cs="Times New Roman Regular"/>
                <w:b/>
                <w:bCs/>
                <w:color w:val="auto"/>
                <w:kern w:val="0"/>
                <w:sz w:val="21"/>
                <w:szCs w:val="21"/>
              </w:rPr>
              <w:t>；</w:t>
            </w:r>
          </w:p>
        </w:tc>
      </w:tr>
      <w:tr w14:paraId="77A1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vMerge w:val="continue"/>
            <w:shd w:val="clear" w:color="auto" w:fill="auto"/>
            <w:vAlign w:val="center"/>
          </w:tcPr>
          <w:p w14:paraId="1F006C98">
            <w:pPr>
              <w:widowControl/>
              <w:jc w:val="left"/>
              <w:textAlignment w:val="center"/>
              <w:rPr>
                <w:rFonts w:hint="eastAsia" w:ascii="宋体" w:hAnsi="宋体" w:eastAsia="宋体" w:cs="宋体"/>
                <w:sz w:val="21"/>
                <w:szCs w:val="21"/>
              </w:rPr>
            </w:pPr>
          </w:p>
        </w:tc>
        <w:tc>
          <w:tcPr>
            <w:tcW w:w="7352" w:type="dxa"/>
            <w:shd w:val="clear" w:color="auto" w:fill="auto"/>
            <w:vAlign w:val="center"/>
          </w:tcPr>
          <w:p w14:paraId="6E52C022">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三维关联分析；支持通过资产、安全知识库、弱点库三个维度分析事件是否存在威胁，并形成关联事件</w:t>
            </w:r>
            <w:r>
              <w:rPr>
                <w:rFonts w:hint="eastAsia" w:ascii="宋体" w:hAnsi="宋体" w:eastAsia="宋体" w:cs="Cambria"/>
                <w:b/>
                <w:bCs/>
                <w:color w:val="auto"/>
                <w:sz w:val="21"/>
                <w:szCs w:val="21"/>
              </w:rPr>
              <w:t>（</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hint="eastAsia" w:ascii="宋体" w:hAnsi="宋体" w:eastAsia="宋体"/>
                <w:b/>
                <w:bCs/>
                <w:color w:val="auto"/>
                <w:sz w:val="21"/>
                <w:szCs w:val="21"/>
              </w:rPr>
              <w:t>）；</w:t>
            </w:r>
          </w:p>
        </w:tc>
      </w:tr>
      <w:tr w14:paraId="1BC9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shd w:val="clear" w:color="auto" w:fill="auto"/>
            <w:vAlign w:val="center"/>
          </w:tcPr>
          <w:p w14:paraId="151D86D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日志备份</w:t>
            </w:r>
          </w:p>
        </w:tc>
        <w:tc>
          <w:tcPr>
            <w:tcW w:w="7352" w:type="dxa"/>
            <w:shd w:val="clear" w:color="auto" w:fill="auto"/>
            <w:vAlign w:val="center"/>
          </w:tcPr>
          <w:p w14:paraId="28CB56B4">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支持</w:t>
            </w:r>
            <w:r>
              <w:rPr>
                <w:rFonts w:ascii="宋体" w:hAnsi="宋体" w:eastAsia="宋体" w:cs="宋体"/>
                <w:sz w:val="21"/>
                <w:szCs w:val="21"/>
              </w:rPr>
              <w:t>FTP</w:t>
            </w:r>
            <w:r>
              <w:rPr>
                <w:rFonts w:hint="eastAsia" w:ascii="宋体" w:hAnsi="宋体" w:eastAsia="宋体" w:cs="宋体"/>
                <w:sz w:val="21"/>
                <w:szCs w:val="21"/>
              </w:rPr>
              <w:t>、</w:t>
            </w:r>
            <w:r>
              <w:rPr>
                <w:rFonts w:ascii="宋体" w:hAnsi="宋体" w:eastAsia="宋体" w:cs="宋体"/>
                <w:sz w:val="21"/>
                <w:szCs w:val="21"/>
              </w:rPr>
              <w:t>SAMBA</w:t>
            </w:r>
            <w:r>
              <w:rPr>
                <w:rFonts w:hint="eastAsia" w:ascii="宋体" w:hAnsi="宋体" w:eastAsia="宋体" w:cs="宋体"/>
                <w:sz w:val="21"/>
                <w:szCs w:val="21"/>
              </w:rPr>
              <w:t>、</w:t>
            </w:r>
            <w:r>
              <w:rPr>
                <w:rFonts w:ascii="宋体" w:hAnsi="宋体" w:eastAsia="宋体" w:cs="宋体"/>
                <w:sz w:val="21"/>
                <w:szCs w:val="21"/>
              </w:rPr>
              <w:t>NFS</w:t>
            </w:r>
            <w:r>
              <w:rPr>
                <w:rFonts w:hint="eastAsia" w:ascii="宋体" w:hAnsi="宋体" w:eastAsia="宋体" w:cs="宋体"/>
                <w:sz w:val="21"/>
                <w:szCs w:val="21"/>
              </w:rPr>
              <w:t>和</w:t>
            </w:r>
            <w:r>
              <w:rPr>
                <w:rFonts w:ascii="宋体" w:hAnsi="宋体" w:eastAsia="宋体" w:cs="宋体"/>
                <w:sz w:val="21"/>
                <w:szCs w:val="21"/>
              </w:rPr>
              <w:t>FILE</w:t>
            </w: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种方式的远程服务器；</w:t>
            </w:r>
          </w:p>
        </w:tc>
      </w:tr>
      <w:tr w14:paraId="4072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shd w:val="clear" w:color="auto" w:fill="auto"/>
            <w:vAlign w:val="center"/>
          </w:tcPr>
          <w:p w14:paraId="2DB127E6">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日志查询</w:t>
            </w:r>
          </w:p>
        </w:tc>
        <w:tc>
          <w:tcPr>
            <w:tcW w:w="7352" w:type="dxa"/>
            <w:shd w:val="clear" w:color="auto" w:fill="auto"/>
            <w:vAlign w:val="center"/>
          </w:tcPr>
          <w:p w14:paraId="0054634C">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支持亿级的日志里根据做任意的关键字及其它的检索条件，在秒级里返回查询结果。</w:t>
            </w:r>
          </w:p>
        </w:tc>
      </w:tr>
      <w:tr w14:paraId="5F94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shd w:val="clear" w:color="auto" w:fill="auto"/>
            <w:vAlign w:val="center"/>
          </w:tcPr>
          <w:p w14:paraId="723737CD">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应用性能监控</w:t>
            </w:r>
          </w:p>
          <w:p w14:paraId="4B64AC08">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APM</w:t>
            </w:r>
            <w:r>
              <w:rPr>
                <w:rFonts w:hint="eastAsia" w:ascii="宋体" w:hAnsi="宋体" w:eastAsia="宋体" w:cs="宋体"/>
                <w:sz w:val="21"/>
                <w:szCs w:val="21"/>
              </w:rPr>
              <w:t>）</w:t>
            </w:r>
          </w:p>
        </w:tc>
        <w:tc>
          <w:tcPr>
            <w:tcW w:w="7352" w:type="dxa"/>
            <w:shd w:val="clear" w:color="auto" w:fill="auto"/>
            <w:vAlign w:val="center"/>
          </w:tcPr>
          <w:p w14:paraId="702892C8">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通过在目标主机上安装</w:t>
            </w:r>
            <w:r>
              <w:rPr>
                <w:rFonts w:ascii="宋体" w:hAnsi="宋体" w:eastAsia="宋体" w:cs="宋体"/>
                <w:sz w:val="21"/>
                <w:szCs w:val="21"/>
              </w:rPr>
              <w:t>Agent</w:t>
            </w:r>
            <w:r>
              <w:rPr>
                <w:rFonts w:hint="eastAsia" w:ascii="宋体" w:hAnsi="宋体" w:eastAsia="宋体" w:cs="宋体"/>
                <w:sz w:val="21"/>
                <w:szCs w:val="21"/>
              </w:rPr>
              <w:t>程序，支持监测目标主机的</w:t>
            </w:r>
            <w:r>
              <w:rPr>
                <w:rFonts w:ascii="宋体" w:hAnsi="宋体" w:eastAsia="宋体" w:cs="宋体"/>
                <w:sz w:val="21"/>
                <w:szCs w:val="21"/>
              </w:rPr>
              <w:t>CPU</w:t>
            </w:r>
            <w:r>
              <w:rPr>
                <w:rFonts w:hint="eastAsia" w:ascii="宋体" w:hAnsi="宋体" w:eastAsia="宋体" w:cs="宋体"/>
                <w:sz w:val="21"/>
                <w:szCs w:val="21"/>
              </w:rPr>
              <w:t>利用率、内存使用率、硬盘使用率、硬盘使用情况、流量等信息</w:t>
            </w:r>
            <w:r>
              <w:rPr>
                <w:rFonts w:hint="eastAsia" w:ascii="宋体" w:hAnsi="宋体" w:eastAsia="宋体" w:cs="宋体"/>
                <w:b/>
                <w:bCs/>
                <w:color w:val="auto"/>
                <w:sz w:val="21"/>
                <w:szCs w:val="21"/>
              </w:rPr>
              <w:t>（</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hint="eastAsia" w:ascii="宋体" w:hAnsi="宋体" w:eastAsia="宋体"/>
                <w:b/>
                <w:bCs/>
                <w:color w:val="auto"/>
                <w:sz w:val="21"/>
                <w:szCs w:val="21"/>
              </w:rPr>
              <w:t>）；</w:t>
            </w:r>
          </w:p>
        </w:tc>
      </w:tr>
      <w:tr w14:paraId="5801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shd w:val="clear" w:color="auto" w:fill="auto"/>
            <w:vAlign w:val="center"/>
          </w:tcPr>
          <w:p w14:paraId="4CF95B30">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脆弱性管理</w:t>
            </w:r>
          </w:p>
        </w:tc>
        <w:tc>
          <w:tcPr>
            <w:tcW w:w="7352" w:type="dxa"/>
            <w:shd w:val="clear" w:color="auto" w:fill="auto"/>
            <w:vAlign w:val="center"/>
          </w:tcPr>
          <w:p w14:paraId="152C1A81">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内置</w:t>
            </w:r>
            <w:r>
              <w:rPr>
                <w:rFonts w:ascii="宋体" w:hAnsi="宋体" w:eastAsia="宋体" w:cs="宋体"/>
                <w:sz w:val="21"/>
                <w:szCs w:val="21"/>
              </w:rPr>
              <w:t>73000+</w:t>
            </w:r>
            <w:r>
              <w:rPr>
                <w:rFonts w:hint="eastAsia" w:ascii="宋体" w:hAnsi="宋体" w:eastAsia="宋体" w:cs="宋体"/>
                <w:sz w:val="21"/>
                <w:szCs w:val="21"/>
              </w:rPr>
              <w:t>条</w:t>
            </w:r>
            <w:r>
              <w:rPr>
                <w:rFonts w:ascii="宋体" w:hAnsi="宋体" w:eastAsia="宋体" w:cs="宋体"/>
                <w:sz w:val="21"/>
                <w:szCs w:val="21"/>
              </w:rPr>
              <w:t>CVE</w:t>
            </w:r>
            <w:r>
              <w:rPr>
                <w:rFonts w:hint="eastAsia" w:ascii="宋体" w:hAnsi="宋体" w:eastAsia="宋体" w:cs="宋体"/>
                <w:sz w:val="21"/>
                <w:szCs w:val="21"/>
              </w:rPr>
              <w:t>漏洞数据知识库。</w:t>
            </w:r>
          </w:p>
        </w:tc>
      </w:tr>
      <w:tr w14:paraId="502A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vMerge w:val="restart"/>
            <w:shd w:val="clear" w:color="auto" w:fill="auto"/>
            <w:vAlign w:val="center"/>
          </w:tcPr>
          <w:p w14:paraId="4DA7D74B">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功能扩展</w:t>
            </w:r>
          </w:p>
        </w:tc>
        <w:tc>
          <w:tcPr>
            <w:tcW w:w="7352" w:type="dxa"/>
            <w:shd w:val="clear" w:color="auto" w:fill="auto"/>
            <w:vAlign w:val="center"/>
          </w:tcPr>
          <w:p w14:paraId="3AFB2799">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采用解决方案包上传对产品进行功能扩展，无需代码开发。</w:t>
            </w:r>
          </w:p>
        </w:tc>
      </w:tr>
      <w:tr w14:paraId="1659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vMerge w:val="continue"/>
            <w:shd w:val="clear" w:color="auto" w:fill="auto"/>
            <w:vAlign w:val="center"/>
          </w:tcPr>
          <w:p w14:paraId="16F13575">
            <w:pPr>
              <w:widowControl/>
              <w:jc w:val="left"/>
              <w:textAlignment w:val="center"/>
              <w:rPr>
                <w:rFonts w:hint="eastAsia" w:ascii="宋体" w:hAnsi="宋体" w:eastAsia="宋体" w:cs="宋体"/>
                <w:sz w:val="21"/>
                <w:szCs w:val="21"/>
              </w:rPr>
            </w:pPr>
          </w:p>
        </w:tc>
        <w:tc>
          <w:tcPr>
            <w:tcW w:w="7352" w:type="dxa"/>
            <w:shd w:val="clear" w:color="auto" w:fill="auto"/>
            <w:vAlign w:val="center"/>
          </w:tcPr>
          <w:p w14:paraId="3E9C89A5">
            <w:pPr>
              <w:widowControl/>
              <w:jc w:val="left"/>
              <w:textAlignment w:val="center"/>
              <w:rPr>
                <w:rFonts w:hint="eastAsia" w:ascii="宋体" w:hAnsi="宋体" w:eastAsia="宋体" w:cs="宋体"/>
                <w:sz w:val="21"/>
                <w:szCs w:val="21"/>
              </w:rPr>
            </w:pPr>
            <w:r>
              <w:rPr>
                <w:rFonts w:hint="eastAsia" w:ascii="宋体" w:hAnsi="宋体" w:eastAsia="宋体" w:cs="宋体"/>
                <w:sz w:val="21"/>
                <w:szCs w:val="21"/>
              </w:rPr>
              <w:t>支持</w:t>
            </w:r>
            <w:r>
              <w:rPr>
                <w:rFonts w:ascii="宋体" w:hAnsi="宋体" w:eastAsia="宋体" w:cs="宋体"/>
                <w:sz w:val="21"/>
                <w:szCs w:val="21"/>
              </w:rPr>
              <w:t>kafka</w:t>
            </w:r>
            <w:r>
              <w:rPr>
                <w:rFonts w:hint="eastAsia" w:ascii="宋体" w:hAnsi="宋体" w:eastAsia="宋体" w:cs="宋体"/>
                <w:sz w:val="21"/>
                <w:szCs w:val="21"/>
              </w:rPr>
              <w:t>日志接收转发、大数据安全域同步、</w:t>
            </w:r>
            <w:r>
              <w:rPr>
                <w:rFonts w:ascii="宋体" w:hAnsi="宋体" w:eastAsia="宋体" w:cs="宋体"/>
                <w:sz w:val="21"/>
                <w:szCs w:val="21"/>
              </w:rPr>
              <w:t>APT</w:t>
            </w:r>
            <w:r>
              <w:rPr>
                <w:rFonts w:hint="eastAsia" w:ascii="宋体" w:hAnsi="宋体" w:eastAsia="宋体" w:cs="宋体"/>
                <w:sz w:val="21"/>
                <w:szCs w:val="21"/>
              </w:rPr>
              <w:t>沙箱报告转发等大数据联调功能。</w:t>
            </w:r>
            <w:r>
              <w:rPr>
                <w:rFonts w:ascii="宋体" w:hAnsi="宋体" w:eastAsia="宋体" w:cs="宋体"/>
                <w:sz w:val="21"/>
                <w:szCs w:val="21"/>
              </w:rPr>
              <w:t>Kafka</w:t>
            </w:r>
            <w:r>
              <w:rPr>
                <w:rFonts w:hint="eastAsia" w:ascii="宋体" w:hAnsi="宋体" w:eastAsia="宋体" w:cs="宋体"/>
                <w:sz w:val="21"/>
                <w:szCs w:val="21"/>
              </w:rPr>
              <w:t>收发支持</w:t>
            </w:r>
            <w:r>
              <w:rPr>
                <w:rFonts w:ascii="宋体" w:hAnsi="宋体" w:eastAsia="宋体" w:cs="宋体"/>
                <w:sz w:val="21"/>
                <w:szCs w:val="21"/>
              </w:rPr>
              <w:t>SSL</w:t>
            </w:r>
            <w:r>
              <w:rPr>
                <w:rFonts w:hint="eastAsia" w:ascii="宋体" w:hAnsi="宋体" w:eastAsia="宋体" w:cs="宋体"/>
                <w:sz w:val="21"/>
                <w:szCs w:val="21"/>
              </w:rPr>
              <w:t>加密</w:t>
            </w:r>
            <w:r>
              <w:rPr>
                <w:rFonts w:hint="eastAsia" w:ascii="宋体" w:hAnsi="宋体" w:eastAsia="宋体"/>
                <w:color w:val="FF0000"/>
                <w:sz w:val="21"/>
                <w:szCs w:val="21"/>
              </w:rPr>
              <w:t>；</w:t>
            </w:r>
          </w:p>
        </w:tc>
      </w:tr>
      <w:tr w14:paraId="396D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shd w:val="clear" w:color="auto" w:fill="auto"/>
            <w:vAlign w:val="center"/>
          </w:tcPr>
          <w:p w14:paraId="79B8E478">
            <w:pPr>
              <w:widowControl/>
              <w:jc w:val="left"/>
              <w:textAlignment w:val="center"/>
              <w:rPr>
                <w:rFonts w:hint="eastAsia" w:ascii="宋体" w:hAnsi="宋体" w:eastAsia="宋体" w:cs="宋体"/>
                <w:sz w:val="21"/>
                <w:szCs w:val="21"/>
              </w:rPr>
            </w:pPr>
            <w:r>
              <w:rPr>
                <w:rFonts w:hint="eastAsia" w:ascii="宋体" w:hAnsi="宋体" w:eastAsia="宋体"/>
                <w:bCs/>
                <w:color w:val="000000"/>
                <w:kern w:val="0"/>
                <w:sz w:val="21"/>
                <w:szCs w:val="21"/>
              </w:rPr>
              <w:t>地理</w:t>
            </w:r>
            <w:r>
              <w:rPr>
                <w:rFonts w:hint="eastAsia" w:ascii="宋体" w:hAnsi="宋体" w:eastAsia="宋体"/>
                <w:sz w:val="21"/>
                <w:szCs w:val="21"/>
              </w:rPr>
              <w:t>安全系统</w:t>
            </w:r>
          </w:p>
        </w:tc>
        <w:tc>
          <w:tcPr>
            <w:tcW w:w="7352" w:type="dxa"/>
            <w:shd w:val="clear" w:color="auto" w:fill="auto"/>
            <w:vAlign w:val="center"/>
          </w:tcPr>
          <w:p w14:paraId="4521B6C5">
            <w:pPr>
              <w:widowControl/>
              <w:jc w:val="left"/>
              <w:textAlignment w:val="center"/>
              <w:rPr>
                <w:rFonts w:hint="eastAsia" w:ascii="宋体" w:hAnsi="宋体" w:eastAsia="宋体" w:cs="宋体"/>
                <w:sz w:val="21"/>
                <w:szCs w:val="21"/>
              </w:rPr>
            </w:pPr>
            <w:r>
              <w:rPr>
                <w:rFonts w:hint="eastAsia" w:ascii="宋体" w:hAnsi="宋体" w:eastAsia="宋体"/>
                <w:sz w:val="21"/>
                <w:szCs w:val="21"/>
              </w:rPr>
              <w:t>内置艾文地理安全子系统，内置世界以及中国安全</w:t>
            </w:r>
            <w:r>
              <w:rPr>
                <w:rFonts w:ascii="宋体" w:hAnsi="宋体" w:eastAsia="宋体"/>
                <w:sz w:val="21"/>
                <w:szCs w:val="21"/>
              </w:rPr>
              <w:t>GIS</w:t>
            </w:r>
            <w:r>
              <w:rPr>
                <w:rFonts w:hint="eastAsia" w:ascii="宋体" w:hAnsi="宋体" w:eastAsia="宋体"/>
                <w:sz w:val="21"/>
                <w:szCs w:val="21"/>
              </w:rPr>
              <w:t>地图。目前更新到艾文地理库</w:t>
            </w:r>
          </w:p>
        </w:tc>
      </w:tr>
      <w:tr w14:paraId="087D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shd w:val="clear" w:color="auto" w:fill="auto"/>
            <w:vAlign w:val="center"/>
          </w:tcPr>
          <w:p w14:paraId="39230870">
            <w:pPr>
              <w:widowControl/>
              <w:jc w:val="left"/>
              <w:textAlignment w:val="center"/>
              <w:rPr>
                <w:rFonts w:hint="eastAsia" w:ascii="宋体" w:hAnsi="宋体" w:eastAsia="宋体"/>
                <w:bCs/>
                <w:color w:val="000000"/>
                <w:kern w:val="0"/>
                <w:sz w:val="21"/>
                <w:szCs w:val="21"/>
              </w:rPr>
            </w:pPr>
            <w:r>
              <w:rPr>
                <w:rFonts w:hint="eastAsia" w:ascii="宋体" w:hAnsi="宋体" w:eastAsia="宋体"/>
                <w:bCs/>
                <w:color w:val="000000"/>
                <w:kern w:val="0"/>
                <w:sz w:val="21"/>
                <w:szCs w:val="21"/>
              </w:rPr>
              <w:t>告警功能</w:t>
            </w:r>
          </w:p>
        </w:tc>
        <w:tc>
          <w:tcPr>
            <w:tcW w:w="7352" w:type="dxa"/>
            <w:shd w:val="clear" w:color="auto" w:fill="auto"/>
            <w:vAlign w:val="center"/>
          </w:tcPr>
          <w:p w14:paraId="100770C1">
            <w:pPr>
              <w:widowControl/>
              <w:jc w:val="left"/>
              <w:textAlignment w:val="center"/>
              <w:rPr>
                <w:rFonts w:hint="eastAsia" w:ascii="宋体" w:hAnsi="宋体" w:eastAsia="宋体"/>
                <w:sz w:val="21"/>
                <w:szCs w:val="21"/>
              </w:rPr>
            </w:pPr>
            <w:r>
              <w:rPr>
                <w:rFonts w:hint="eastAsia" w:ascii="宋体" w:hAnsi="宋体" w:eastAsia="宋体"/>
                <w:sz w:val="21"/>
                <w:szCs w:val="21"/>
              </w:rPr>
              <w:t>支持硬盘空间阈值告警，当硬盘使用率达到设定的阈值时可产生并外发告警；</w:t>
            </w:r>
          </w:p>
        </w:tc>
      </w:tr>
      <w:tr w14:paraId="1377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vMerge w:val="restart"/>
            <w:shd w:val="clear" w:color="auto" w:fill="auto"/>
            <w:vAlign w:val="center"/>
          </w:tcPr>
          <w:p w14:paraId="4C20B17B">
            <w:pPr>
              <w:widowControl/>
              <w:jc w:val="left"/>
              <w:textAlignment w:val="center"/>
              <w:rPr>
                <w:rFonts w:hint="eastAsia" w:ascii="宋体" w:hAnsi="宋体" w:eastAsia="宋体"/>
                <w:bCs/>
                <w:color w:val="000000"/>
                <w:kern w:val="0"/>
                <w:sz w:val="21"/>
                <w:szCs w:val="21"/>
              </w:rPr>
            </w:pPr>
            <w:r>
              <w:rPr>
                <w:rFonts w:hint="eastAsia" w:ascii="宋体" w:hAnsi="宋体" w:eastAsia="宋体"/>
                <w:bCs/>
                <w:color w:val="000000"/>
                <w:kern w:val="0"/>
                <w:sz w:val="21"/>
                <w:szCs w:val="21"/>
              </w:rPr>
              <w:t>综合查询及报表管理</w:t>
            </w:r>
          </w:p>
        </w:tc>
        <w:tc>
          <w:tcPr>
            <w:tcW w:w="7352" w:type="dxa"/>
            <w:shd w:val="clear" w:color="auto" w:fill="auto"/>
            <w:vAlign w:val="center"/>
          </w:tcPr>
          <w:p w14:paraId="1D45A27D">
            <w:pPr>
              <w:widowControl/>
              <w:jc w:val="left"/>
              <w:textAlignment w:val="center"/>
              <w:rPr>
                <w:rFonts w:hint="eastAsia" w:ascii="宋体" w:hAnsi="宋体" w:eastAsia="宋体"/>
                <w:sz w:val="21"/>
                <w:szCs w:val="21"/>
              </w:rPr>
            </w:pPr>
            <w:r>
              <w:rPr>
                <w:rFonts w:hint="eastAsia" w:ascii="宋体" w:hAnsi="宋体" w:eastAsia="宋体"/>
                <w:sz w:val="21"/>
                <w:szCs w:val="21"/>
              </w:rPr>
              <w:t>内置</w:t>
            </w:r>
            <w:r>
              <w:rPr>
                <w:rFonts w:ascii="宋体" w:hAnsi="宋体" w:eastAsia="宋体"/>
                <w:sz w:val="21"/>
                <w:szCs w:val="21"/>
              </w:rPr>
              <w:t>SOX</w:t>
            </w:r>
            <w:r>
              <w:rPr>
                <w:rFonts w:hint="eastAsia" w:ascii="宋体" w:hAnsi="宋体" w:eastAsia="宋体"/>
                <w:sz w:val="21"/>
                <w:szCs w:val="21"/>
              </w:rPr>
              <w:t>、</w:t>
            </w:r>
            <w:r>
              <w:rPr>
                <w:rFonts w:ascii="宋体" w:hAnsi="宋体" w:eastAsia="宋体"/>
                <w:sz w:val="21"/>
                <w:szCs w:val="21"/>
              </w:rPr>
              <w:t>ISO27001</w:t>
            </w:r>
            <w:r>
              <w:rPr>
                <w:rFonts w:hint="eastAsia" w:ascii="宋体" w:hAnsi="宋体" w:eastAsia="宋体"/>
                <w:sz w:val="21"/>
                <w:szCs w:val="21"/>
              </w:rPr>
              <w:t>、</w:t>
            </w:r>
            <w:r>
              <w:rPr>
                <w:rFonts w:ascii="宋体" w:hAnsi="宋体" w:eastAsia="宋体"/>
                <w:sz w:val="21"/>
                <w:szCs w:val="21"/>
              </w:rPr>
              <w:t>WEB</w:t>
            </w:r>
            <w:r>
              <w:rPr>
                <w:rFonts w:hint="eastAsia" w:ascii="宋体" w:hAnsi="宋体" w:eastAsia="宋体"/>
                <w:sz w:val="21"/>
                <w:szCs w:val="21"/>
              </w:rPr>
              <w:t>安全等解决方案包。</w:t>
            </w:r>
          </w:p>
        </w:tc>
      </w:tr>
      <w:tr w14:paraId="03BD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65" w:type="dxa"/>
            <w:vMerge w:val="continue"/>
            <w:shd w:val="clear" w:color="auto" w:fill="auto"/>
            <w:vAlign w:val="center"/>
          </w:tcPr>
          <w:p w14:paraId="636A702B">
            <w:pPr>
              <w:widowControl/>
              <w:jc w:val="left"/>
              <w:textAlignment w:val="center"/>
              <w:rPr>
                <w:rFonts w:hint="eastAsia" w:ascii="宋体" w:hAnsi="宋体" w:eastAsia="宋体"/>
                <w:bCs/>
                <w:color w:val="000000"/>
                <w:kern w:val="0"/>
                <w:sz w:val="21"/>
                <w:szCs w:val="21"/>
              </w:rPr>
            </w:pPr>
          </w:p>
        </w:tc>
        <w:tc>
          <w:tcPr>
            <w:tcW w:w="7352" w:type="dxa"/>
            <w:shd w:val="clear" w:color="auto" w:fill="auto"/>
            <w:vAlign w:val="center"/>
          </w:tcPr>
          <w:p w14:paraId="055E0A4D">
            <w:pPr>
              <w:widowControl/>
              <w:jc w:val="left"/>
              <w:textAlignment w:val="center"/>
              <w:rPr>
                <w:rFonts w:hint="eastAsia" w:ascii="宋体" w:hAnsi="宋体" w:eastAsia="宋体"/>
                <w:sz w:val="21"/>
                <w:szCs w:val="21"/>
              </w:rPr>
            </w:pPr>
            <w:r>
              <w:rPr>
                <w:rFonts w:hint="eastAsia" w:ascii="宋体" w:hAnsi="宋体" w:eastAsia="宋体"/>
                <w:sz w:val="21"/>
                <w:szCs w:val="21"/>
              </w:rPr>
              <w:t>内置完善的等级保护合规报表</w:t>
            </w:r>
          </w:p>
        </w:tc>
      </w:tr>
      <w:tr w14:paraId="2C61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shd w:val="clear" w:color="auto" w:fill="auto"/>
            <w:vAlign w:val="center"/>
          </w:tcPr>
          <w:p w14:paraId="24C500E0">
            <w:pPr>
              <w:widowControl/>
              <w:jc w:val="left"/>
              <w:textAlignment w:val="center"/>
              <w:rPr>
                <w:rFonts w:hint="eastAsia" w:ascii="宋体" w:hAnsi="宋体" w:eastAsia="宋体"/>
                <w:bCs/>
                <w:color w:val="000000"/>
                <w:kern w:val="0"/>
                <w:sz w:val="21"/>
                <w:szCs w:val="21"/>
              </w:rPr>
            </w:pPr>
            <w:r>
              <w:rPr>
                <w:rFonts w:hint="eastAsia" w:ascii="宋体" w:hAnsi="宋体" w:eastAsia="宋体"/>
                <w:bCs/>
                <w:color w:val="000000"/>
                <w:kern w:val="0"/>
                <w:sz w:val="21"/>
                <w:szCs w:val="21"/>
              </w:rPr>
              <w:t>资产管理</w:t>
            </w:r>
          </w:p>
        </w:tc>
        <w:tc>
          <w:tcPr>
            <w:tcW w:w="7352" w:type="dxa"/>
            <w:shd w:val="clear" w:color="auto" w:fill="auto"/>
            <w:vAlign w:val="center"/>
          </w:tcPr>
          <w:p w14:paraId="34BF5D0E">
            <w:pPr>
              <w:widowControl/>
              <w:jc w:val="left"/>
              <w:textAlignment w:val="center"/>
              <w:rPr>
                <w:rFonts w:hint="eastAsia" w:ascii="宋体" w:hAnsi="宋体" w:eastAsia="宋体"/>
                <w:sz w:val="21"/>
                <w:szCs w:val="21"/>
              </w:rPr>
            </w:pPr>
            <w:r>
              <w:rPr>
                <w:rFonts w:hint="eastAsia" w:ascii="宋体" w:hAnsi="宋体" w:eastAsia="宋体"/>
                <w:sz w:val="21"/>
                <w:szCs w:val="21"/>
              </w:rPr>
              <w:t>资产拓扑支持按照实际的用户环境进行编辑发布并可以和资产进行绑定，拓扑可以显示资产采集的事件数量被采集资产的状态等信息</w:t>
            </w:r>
            <w:r>
              <w:rPr>
                <w:rFonts w:hint="eastAsia" w:ascii="宋体" w:hAnsi="宋体" w:eastAsia="宋体" w:cs="宋体"/>
                <w:b/>
                <w:bCs/>
                <w:color w:val="auto"/>
                <w:sz w:val="21"/>
                <w:szCs w:val="21"/>
              </w:rPr>
              <w:t>（</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hint="eastAsia" w:ascii="宋体" w:hAnsi="宋体" w:eastAsia="宋体"/>
                <w:b/>
                <w:bCs/>
                <w:color w:val="auto"/>
                <w:sz w:val="21"/>
                <w:szCs w:val="21"/>
              </w:rPr>
              <w:t>）；</w:t>
            </w:r>
          </w:p>
        </w:tc>
      </w:tr>
      <w:tr w14:paraId="7A5E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5" w:type="dxa"/>
            <w:shd w:val="clear" w:color="auto" w:fill="auto"/>
            <w:vAlign w:val="center"/>
          </w:tcPr>
          <w:p w14:paraId="395428B9">
            <w:pPr>
              <w:widowControl/>
              <w:jc w:val="left"/>
              <w:textAlignment w:val="center"/>
              <w:rPr>
                <w:rFonts w:hint="eastAsia" w:ascii="宋体" w:hAnsi="宋体" w:eastAsia="宋体"/>
                <w:bCs/>
                <w:color w:val="000000"/>
                <w:kern w:val="0"/>
                <w:sz w:val="21"/>
                <w:szCs w:val="21"/>
              </w:rPr>
            </w:pPr>
            <w:r>
              <w:rPr>
                <w:rFonts w:hint="eastAsia" w:ascii="宋体" w:hAnsi="宋体" w:eastAsia="宋体"/>
                <w:bCs/>
                <w:color w:val="000000"/>
                <w:kern w:val="0"/>
                <w:sz w:val="21"/>
                <w:szCs w:val="21"/>
              </w:rPr>
              <w:t>用户管理</w:t>
            </w:r>
          </w:p>
        </w:tc>
        <w:tc>
          <w:tcPr>
            <w:tcW w:w="7352" w:type="dxa"/>
            <w:shd w:val="clear" w:color="auto" w:fill="auto"/>
            <w:vAlign w:val="center"/>
          </w:tcPr>
          <w:p w14:paraId="6CAB1559">
            <w:pPr>
              <w:widowControl/>
              <w:jc w:val="left"/>
              <w:textAlignment w:val="center"/>
              <w:rPr>
                <w:rFonts w:hint="eastAsia" w:ascii="宋体" w:hAnsi="宋体" w:eastAsia="宋体"/>
                <w:sz w:val="21"/>
                <w:szCs w:val="21"/>
              </w:rPr>
            </w:pPr>
            <w:r>
              <w:rPr>
                <w:rFonts w:hint="eastAsia" w:ascii="宋体" w:hAnsi="宋体" w:eastAsia="宋体"/>
                <w:sz w:val="21"/>
                <w:szCs w:val="21"/>
              </w:rPr>
              <w:t>用户支持双因子认证登录，双因子认证令牌支持绑定至具体用户。</w:t>
            </w:r>
          </w:p>
        </w:tc>
      </w:tr>
    </w:tbl>
    <w:p w14:paraId="68485D6F">
      <w:pPr>
        <w:pStyle w:val="27"/>
        <w:rPr>
          <w:rFonts w:hint="default"/>
          <w:lang w:val="en-US" w:eastAsia="zh-CN"/>
        </w:rPr>
      </w:pPr>
    </w:p>
    <w:p w14:paraId="5E7D0D33">
      <w:pPr>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防统方</w:t>
      </w:r>
      <w:r>
        <w:rPr>
          <w:rFonts w:hint="eastAsia" w:asciiTheme="minorEastAsia" w:hAnsiTheme="minorEastAsia" w:eastAsiaTheme="minorEastAsia" w:cstheme="minorEastAsia"/>
          <w:b/>
          <w:bCs/>
          <w:sz w:val="24"/>
          <w:szCs w:val="24"/>
          <w:lang w:eastAsia="zh-CN"/>
        </w:rPr>
        <w:t>：</w:t>
      </w:r>
    </w:p>
    <w:tbl>
      <w:tblPr>
        <w:tblStyle w:val="62"/>
        <w:tblW w:w="47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534"/>
      </w:tblGrid>
      <w:tr w14:paraId="3F7B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59C671A0">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指标项</w:t>
            </w:r>
          </w:p>
        </w:tc>
        <w:tc>
          <w:tcPr>
            <w:tcW w:w="4313" w:type="pct"/>
            <w:shd w:val="clear" w:color="auto" w:fill="auto"/>
            <w:vAlign w:val="center"/>
          </w:tcPr>
          <w:p w14:paraId="2D01F75E">
            <w:pPr>
              <w:widowControl/>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rPr>
              <w:t>技术参数</w:t>
            </w:r>
            <w:r>
              <w:rPr>
                <w:rFonts w:hint="eastAsia" w:ascii="宋体" w:hAnsi="宋体" w:cs="宋体"/>
                <w:b/>
                <w:bCs/>
                <w:kern w:val="0"/>
                <w:sz w:val="21"/>
                <w:szCs w:val="21"/>
                <w:lang w:val="en-US" w:eastAsia="zh-CN"/>
              </w:rPr>
              <w:t>要求</w:t>
            </w:r>
          </w:p>
        </w:tc>
      </w:tr>
      <w:tr w14:paraId="5552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06EB371F">
            <w:pPr>
              <w:widowControl/>
              <w:jc w:val="center"/>
              <w:rPr>
                <w:rFonts w:hint="eastAsia" w:ascii="宋体" w:hAnsi="宋体" w:eastAsia="宋体" w:cs="宋体"/>
                <w:bCs/>
                <w:kern w:val="0"/>
                <w:sz w:val="21"/>
                <w:szCs w:val="21"/>
              </w:rPr>
            </w:pPr>
            <w:r>
              <w:rPr>
                <w:rFonts w:ascii="宋体" w:hAnsi="宋体" w:eastAsia="宋体"/>
                <w:bCs/>
                <w:kern w:val="0"/>
                <w:sz w:val="21"/>
                <w:szCs w:val="21"/>
              </w:rPr>
              <w:t>性能要求</w:t>
            </w:r>
          </w:p>
        </w:tc>
        <w:tc>
          <w:tcPr>
            <w:tcW w:w="4313" w:type="pct"/>
            <w:shd w:val="clear" w:color="auto" w:fill="auto"/>
            <w:vAlign w:val="center"/>
          </w:tcPr>
          <w:p w14:paraId="1D78A714">
            <w:pPr>
              <w:widowControl/>
              <w:snapToGrid w:val="0"/>
              <w:spacing w:before="62" w:beforeLines="20" w:after="62" w:afterLines="20"/>
              <w:contextualSpacing/>
              <w:rPr>
                <w:rFonts w:asciiTheme="minorEastAsia" w:hAnsiTheme="minorEastAsia"/>
                <w:bCs/>
                <w:kern w:val="0"/>
                <w:sz w:val="21"/>
                <w:szCs w:val="21"/>
              </w:rPr>
            </w:pPr>
            <w:r>
              <w:rPr>
                <w:rFonts w:hint="eastAsia" w:asciiTheme="minorEastAsia" w:hAnsiTheme="minorEastAsia"/>
                <w:bCs/>
                <w:kern w:val="0"/>
                <w:sz w:val="21"/>
                <w:szCs w:val="21"/>
              </w:rPr>
              <w:t>支持的数据库实例个数：20；</w:t>
            </w:r>
          </w:p>
          <w:p w14:paraId="38AE6D54">
            <w:pPr>
              <w:widowControl/>
              <w:snapToGrid w:val="0"/>
              <w:spacing w:before="62" w:beforeLines="20" w:after="62" w:afterLines="20"/>
              <w:contextualSpacing/>
              <w:rPr>
                <w:rFonts w:hint="eastAsia" w:asciiTheme="minorEastAsia" w:hAnsiTheme="minorEastAsia"/>
                <w:b/>
                <w:bCs/>
                <w:kern w:val="0"/>
                <w:sz w:val="21"/>
                <w:szCs w:val="21"/>
              </w:rPr>
            </w:pPr>
            <w:r>
              <w:rPr>
                <w:rFonts w:hint="eastAsia" w:ascii="Segoe UI Symbol" w:hAnsi="Segoe UI Symbol" w:eastAsia="宋体" w:cs="Segoe UI Symbol"/>
                <w:b/>
                <w:bCs/>
                <w:color w:val="000000"/>
                <w:kern w:val="0"/>
                <w:szCs w:val="21"/>
                <w:highlight w:val="none"/>
              </w:rPr>
              <w:t>☆</w:t>
            </w:r>
            <w:r>
              <w:rPr>
                <w:rFonts w:hint="eastAsia" w:asciiTheme="minorEastAsia" w:hAnsiTheme="minorEastAsia"/>
                <w:b/>
                <w:bCs/>
                <w:kern w:val="0"/>
                <w:sz w:val="21"/>
                <w:szCs w:val="21"/>
              </w:rPr>
              <w:t>审计性能：峰值SQL处理能力≥30000条/秒；</w:t>
            </w:r>
          </w:p>
          <w:p w14:paraId="16A4F8CC">
            <w:pPr>
              <w:widowControl/>
              <w:snapToGrid w:val="0"/>
              <w:spacing w:before="62" w:beforeLines="20" w:after="62" w:afterLines="20"/>
              <w:contextualSpacing/>
              <w:rPr>
                <w:rFonts w:hint="eastAsia" w:asciiTheme="minorEastAsia" w:hAnsiTheme="minorEastAsia"/>
                <w:bCs/>
                <w:kern w:val="0"/>
                <w:sz w:val="21"/>
                <w:szCs w:val="21"/>
              </w:rPr>
            </w:pPr>
            <w:r>
              <w:rPr>
                <w:rFonts w:hint="eastAsia" w:asciiTheme="minorEastAsia" w:hAnsiTheme="minorEastAsia"/>
                <w:bCs/>
                <w:kern w:val="0"/>
                <w:sz w:val="21"/>
                <w:szCs w:val="21"/>
              </w:rPr>
              <w:t>硬件最大吞吐量3Gbps；</w:t>
            </w:r>
          </w:p>
          <w:p w14:paraId="51E97650">
            <w:pPr>
              <w:widowControl/>
              <w:snapToGrid w:val="0"/>
              <w:spacing w:before="62" w:beforeLines="20" w:after="62" w:afterLines="20"/>
              <w:contextualSpacing/>
              <w:rPr>
                <w:rFonts w:hint="eastAsia" w:asciiTheme="minorEastAsia" w:hAnsiTheme="minorEastAsia"/>
                <w:bCs/>
                <w:kern w:val="0"/>
                <w:sz w:val="21"/>
                <w:szCs w:val="21"/>
              </w:rPr>
            </w:pPr>
            <w:r>
              <w:rPr>
                <w:rFonts w:hint="eastAsia" w:asciiTheme="minorEastAsia" w:hAnsiTheme="minorEastAsia"/>
                <w:bCs/>
                <w:kern w:val="0"/>
                <w:sz w:val="21"/>
                <w:szCs w:val="21"/>
              </w:rPr>
              <w:t>双向审计数据库流量300Mbps；</w:t>
            </w:r>
          </w:p>
          <w:p w14:paraId="046CAA7E">
            <w:pPr>
              <w:widowControl/>
              <w:snapToGrid w:val="0"/>
              <w:spacing w:before="62" w:beforeLines="20" w:after="62" w:afterLines="20"/>
              <w:contextualSpacing/>
              <w:rPr>
                <w:rFonts w:hint="eastAsia" w:asciiTheme="minorEastAsia" w:hAnsiTheme="minorEastAsia"/>
                <w:bCs/>
                <w:kern w:val="0"/>
                <w:sz w:val="21"/>
                <w:szCs w:val="21"/>
              </w:rPr>
            </w:pPr>
            <w:r>
              <w:rPr>
                <w:rFonts w:hint="eastAsia" w:asciiTheme="minorEastAsia" w:hAnsiTheme="minorEastAsia"/>
                <w:bCs/>
                <w:kern w:val="0"/>
                <w:sz w:val="21"/>
                <w:szCs w:val="21"/>
              </w:rPr>
              <w:t>标配日志存储数40亿条；</w:t>
            </w:r>
          </w:p>
          <w:p w14:paraId="0D5A1E8E">
            <w:pPr>
              <w:widowControl/>
              <w:jc w:val="left"/>
              <w:rPr>
                <w:rFonts w:hint="eastAsia" w:cs="宋体" w:asciiTheme="minorEastAsia" w:hAnsiTheme="minorEastAsia"/>
                <w:b/>
                <w:kern w:val="0"/>
                <w:sz w:val="21"/>
                <w:szCs w:val="21"/>
              </w:rPr>
            </w:pPr>
            <w:r>
              <w:rPr>
                <w:rFonts w:hint="eastAsia" w:asciiTheme="minorEastAsia" w:hAnsiTheme="minorEastAsia"/>
                <w:bCs/>
                <w:kern w:val="0"/>
                <w:sz w:val="21"/>
                <w:szCs w:val="21"/>
              </w:rPr>
              <w:t>审计日志检索能力≥1500万条/秒。</w:t>
            </w:r>
          </w:p>
        </w:tc>
      </w:tr>
      <w:tr w14:paraId="396E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65690D50">
            <w:pPr>
              <w:widowControl/>
              <w:jc w:val="center"/>
              <w:rPr>
                <w:rFonts w:hint="eastAsia" w:ascii="宋体" w:hAnsi="宋体" w:eastAsia="宋体" w:cs="宋体"/>
                <w:bCs/>
                <w:kern w:val="0"/>
                <w:sz w:val="21"/>
                <w:szCs w:val="21"/>
              </w:rPr>
            </w:pPr>
            <w:r>
              <w:rPr>
                <w:rFonts w:hint="eastAsia" w:asciiTheme="minorEastAsia" w:hAnsiTheme="minorEastAsia"/>
                <w:bCs/>
                <w:kern w:val="0"/>
                <w:sz w:val="21"/>
                <w:szCs w:val="21"/>
              </w:rPr>
              <w:t>硬件要求</w:t>
            </w:r>
          </w:p>
        </w:tc>
        <w:tc>
          <w:tcPr>
            <w:tcW w:w="4313" w:type="pct"/>
            <w:shd w:val="clear" w:color="auto" w:fill="auto"/>
            <w:vAlign w:val="center"/>
          </w:tcPr>
          <w:p w14:paraId="2BDAA272">
            <w:pPr>
              <w:widowControl/>
              <w:jc w:val="left"/>
              <w:rPr>
                <w:rFonts w:ascii="宋体" w:hAnsi="宋体" w:eastAsia="宋体" w:cs="宋体"/>
                <w:sz w:val="21"/>
                <w:szCs w:val="21"/>
              </w:rPr>
            </w:pPr>
            <w:r>
              <w:rPr>
                <w:rFonts w:hint="eastAsia" w:ascii="宋体" w:hAnsi="宋体" w:eastAsia="宋体" w:cs="宋体"/>
                <w:sz w:val="21"/>
                <w:szCs w:val="21"/>
              </w:rPr>
              <w:t>2U机架式；</w:t>
            </w:r>
          </w:p>
          <w:p w14:paraId="7D96AFED">
            <w:pPr>
              <w:widowControl/>
              <w:jc w:val="left"/>
              <w:rPr>
                <w:rFonts w:hint="eastAsia" w:ascii="宋体" w:hAnsi="宋体" w:eastAsia="宋体" w:cs="宋体"/>
                <w:sz w:val="21"/>
                <w:szCs w:val="21"/>
              </w:rPr>
            </w:pPr>
            <w:r>
              <w:rPr>
                <w:rFonts w:hint="eastAsia" w:ascii="宋体" w:hAnsi="宋体" w:eastAsia="宋体" w:cs="宋体"/>
                <w:sz w:val="21"/>
                <w:szCs w:val="21"/>
              </w:rPr>
              <w:t>内置交流双电源；</w:t>
            </w:r>
          </w:p>
          <w:p w14:paraId="18E80000">
            <w:pPr>
              <w:widowControl/>
              <w:jc w:val="left"/>
              <w:rPr>
                <w:rFonts w:hint="eastAsia" w:ascii="宋体" w:hAnsi="宋体" w:eastAsia="宋体" w:cs="宋体"/>
                <w:sz w:val="21"/>
                <w:szCs w:val="21"/>
              </w:rPr>
            </w:pPr>
            <w:r>
              <w:rPr>
                <w:rFonts w:hint="eastAsia" w:ascii="宋体" w:hAnsi="宋体" w:eastAsia="宋体" w:cs="宋体"/>
                <w:sz w:val="21"/>
                <w:szCs w:val="21"/>
              </w:rPr>
              <w:t>处理器8核16线程；</w:t>
            </w:r>
          </w:p>
          <w:p w14:paraId="1754BEDE">
            <w:pPr>
              <w:widowControl/>
              <w:jc w:val="left"/>
              <w:rPr>
                <w:rFonts w:hint="eastAsia" w:ascii="宋体" w:hAnsi="宋体" w:eastAsia="宋体" w:cs="宋体"/>
                <w:sz w:val="21"/>
                <w:szCs w:val="21"/>
              </w:rPr>
            </w:pPr>
            <w:r>
              <w:rPr>
                <w:rFonts w:hint="eastAsia" w:ascii="宋体" w:hAnsi="宋体" w:eastAsia="宋体" w:cs="宋体"/>
                <w:sz w:val="21"/>
                <w:szCs w:val="21"/>
              </w:rPr>
              <w:t>系统采用统信UOS V20；</w:t>
            </w:r>
          </w:p>
          <w:p w14:paraId="292B0D56">
            <w:pPr>
              <w:widowControl/>
              <w:jc w:val="left"/>
              <w:rPr>
                <w:rFonts w:hint="eastAsia" w:ascii="宋体" w:hAnsi="宋体" w:eastAsia="宋体" w:cs="宋体"/>
                <w:sz w:val="21"/>
                <w:szCs w:val="21"/>
              </w:rPr>
            </w:pPr>
            <w:r>
              <w:rPr>
                <w:rFonts w:hint="eastAsia" w:ascii="宋体" w:hAnsi="宋体" w:eastAsia="宋体" w:cs="宋体"/>
                <w:sz w:val="21"/>
                <w:szCs w:val="21"/>
              </w:rPr>
              <w:t>内存≥16GB，硬盘≥4TB；</w:t>
            </w:r>
          </w:p>
          <w:p w14:paraId="73AB690A">
            <w:pPr>
              <w:widowControl/>
              <w:jc w:val="left"/>
              <w:rPr>
                <w:rFonts w:hint="eastAsia" w:ascii="宋体" w:hAnsi="宋体" w:eastAsia="宋体" w:cs="宋体"/>
                <w:sz w:val="21"/>
                <w:szCs w:val="21"/>
              </w:rPr>
            </w:pPr>
            <w:r>
              <w:rPr>
                <w:rFonts w:hint="eastAsia" w:ascii="宋体" w:hAnsi="宋体" w:eastAsia="宋体" w:cs="宋体"/>
                <w:sz w:val="21"/>
                <w:szCs w:val="21"/>
              </w:rPr>
              <w:t>支持4TB、6TB、8TB、12TB硬盘；</w:t>
            </w:r>
          </w:p>
          <w:p w14:paraId="11E9ABCE">
            <w:pPr>
              <w:widowControl/>
              <w:jc w:val="left"/>
              <w:rPr>
                <w:rFonts w:hint="eastAsia" w:ascii="宋体" w:hAnsi="宋体" w:eastAsia="宋体" w:cs="宋体"/>
                <w:sz w:val="21"/>
                <w:szCs w:val="21"/>
              </w:rPr>
            </w:pPr>
            <w:r>
              <w:rPr>
                <w:rFonts w:hint="eastAsia" w:ascii="宋体" w:hAnsi="宋体" w:eastAsia="宋体" w:cs="宋体"/>
                <w:sz w:val="21"/>
                <w:szCs w:val="21"/>
              </w:rPr>
              <w:t>管理网口：千兆电口*2（管理口*1，HA口*1）</w:t>
            </w:r>
          </w:p>
          <w:p w14:paraId="3587E527">
            <w:pPr>
              <w:widowControl/>
              <w:jc w:val="left"/>
              <w:rPr>
                <w:rFonts w:hint="eastAsia" w:ascii="宋体" w:hAnsi="宋体" w:eastAsia="宋体" w:cs="宋体"/>
                <w:sz w:val="21"/>
                <w:szCs w:val="21"/>
              </w:rPr>
            </w:pPr>
            <w:r>
              <w:rPr>
                <w:rFonts w:hint="eastAsia" w:ascii="宋体" w:hAnsi="宋体" w:eastAsia="宋体" w:cs="宋体"/>
                <w:sz w:val="21"/>
                <w:szCs w:val="21"/>
              </w:rPr>
              <w:t>工作网口：千兆电口*4，千兆光口*4；</w:t>
            </w:r>
          </w:p>
        </w:tc>
      </w:tr>
      <w:tr w14:paraId="6735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2349CF83">
            <w:pPr>
              <w:widowControl/>
              <w:jc w:val="center"/>
              <w:rPr>
                <w:rFonts w:hint="eastAsia" w:asciiTheme="minorEastAsia" w:hAnsiTheme="minorEastAsia"/>
                <w:bCs/>
                <w:kern w:val="0"/>
                <w:sz w:val="21"/>
                <w:szCs w:val="21"/>
              </w:rPr>
            </w:pPr>
            <w:r>
              <w:rPr>
                <w:rFonts w:hint="eastAsia" w:asciiTheme="minorEastAsia" w:hAnsiTheme="minorEastAsia"/>
                <w:kern w:val="0"/>
                <w:sz w:val="21"/>
                <w:szCs w:val="21"/>
              </w:rPr>
              <w:t>防统方功能</w:t>
            </w:r>
          </w:p>
        </w:tc>
        <w:tc>
          <w:tcPr>
            <w:tcW w:w="4313" w:type="pct"/>
            <w:shd w:val="clear" w:color="auto" w:fill="auto"/>
            <w:vAlign w:val="center"/>
          </w:tcPr>
          <w:p w14:paraId="61AA8ECF">
            <w:pPr>
              <w:widowControl/>
              <w:jc w:val="left"/>
              <w:rPr>
                <w:rFonts w:hint="eastAsia" w:ascii="宋体" w:hAnsi="宋体" w:eastAsia="宋体" w:cs="宋体"/>
                <w:sz w:val="21"/>
                <w:szCs w:val="21"/>
              </w:rPr>
            </w:pPr>
            <w:r>
              <w:rPr>
                <w:rFonts w:hint="eastAsia" w:cs="Cambria" w:asciiTheme="minorEastAsia" w:hAnsiTheme="minorEastAsia"/>
                <w:sz w:val="21"/>
                <w:szCs w:val="21"/>
              </w:rPr>
              <w:t>产品需要有医疗防统方专版，且支持与通用版本的切换；</w:t>
            </w:r>
            <w:r>
              <w:rPr>
                <w:rFonts w:hint="eastAsia"/>
                <w:b/>
                <w:bCs/>
                <w:color w:val="auto"/>
                <w:sz w:val="21"/>
                <w:szCs w:val="21"/>
              </w:rPr>
              <w:t>（须提供此功能截图证明）</w:t>
            </w:r>
            <w:r>
              <w:rPr>
                <w:rFonts w:hint="eastAsia" w:ascii="宋体" w:hAnsi="宋体" w:eastAsia="宋体" w:cs="宋体"/>
                <w:b/>
                <w:bCs/>
                <w:color w:val="auto"/>
                <w:sz w:val="21"/>
                <w:szCs w:val="21"/>
              </w:rPr>
              <w:t xml:space="preserve"> </w:t>
            </w:r>
          </w:p>
        </w:tc>
      </w:tr>
      <w:tr w14:paraId="31E2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72804FEB">
            <w:pPr>
              <w:widowControl/>
              <w:jc w:val="center"/>
              <w:rPr>
                <w:rFonts w:hint="eastAsia" w:ascii="宋体" w:hAnsi="宋体" w:eastAsia="宋体" w:cs="宋体"/>
                <w:sz w:val="21"/>
                <w:szCs w:val="21"/>
              </w:rPr>
            </w:pPr>
            <w:r>
              <w:rPr>
                <w:rFonts w:hint="eastAsia" w:asciiTheme="minorEastAsia" w:hAnsiTheme="minorEastAsia"/>
                <w:kern w:val="0"/>
                <w:sz w:val="21"/>
                <w:szCs w:val="21"/>
              </w:rPr>
              <w:t>内置HIS系统</w:t>
            </w:r>
          </w:p>
        </w:tc>
        <w:tc>
          <w:tcPr>
            <w:tcW w:w="4313" w:type="pct"/>
            <w:shd w:val="clear" w:color="auto" w:fill="auto"/>
            <w:vAlign w:val="center"/>
          </w:tcPr>
          <w:p w14:paraId="3F86CFE6">
            <w:pPr>
              <w:widowControl/>
              <w:jc w:val="left"/>
              <w:rPr>
                <w:rFonts w:hint="eastAsia" w:ascii="宋体" w:hAnsi="宋体" w:eastAsia="宋体" w:cs="宋体"/>
                <w:kern w:val="0"/>
                <w:sz w:val="21"/>
                <w:szCs w:val="21"/>
                <w:lang w:bidi="ar"/>
              </w:rPr>
            </w:pPr>
            <w:r>
              <w:rPr>
                <w:rFonts w:hint="eastAsia" w:cs="Cambria" w:asciiTheme="minorEastAsia" w:hAnsiTheme="minorEastAsia"/>
                <w:sz w:val="21"/>
                <w:szCs w:val="21"/>
              </w:rPr>
              <w:t>内置的HIS系统厂商信息包括方正国际、天津天健、东联、联众、创业、军卫、联想、金仕达卫宁、东软、东华等；</w:t>
            </w:r>
          </w:p>
        </w:tc>
      </w:tr>
      <w:tr w14:paraId="3A6B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49D80335">
            <w:pPr>
              <w:widowControl/>
              <w:jc w:val="center"/>
              <w:rPr>
                <w:rFonts w:hint="eastAsia" w:ascii="宋体" w:hAnsi="宋体" w:eastAsia="宋体" w:cs="宋体"/>
                <w:sz w:val="21"/>
                <w:szCs w:val="21"/>
              </w:rPr>
            </w:pPr>
            <w:r>
              <w:rPr>
                <w:rFonts w:hint="eastAsia" w:asciiTheme="minorEastAsia" w:hAnsiTheme="minorEastAsia"/>
                <w:kern w:val="0"/>
                <w:sz w:val="21"/>
                <w:szCs w:val="21"/>
              </w:rPr>
              <w:t>IP关联</w:t>
            </w:r>
          </w:p>
        </w:tc>
        <w:tc>
          <w:tcPr>
            <w:tcW w:w="4313" w:type="pct"/>
            <w:shd w:val="clear" w:color="auto" w:fill="auto"/>
            <w:vAlign w:val="center"/>
          </w:tcPr>
          <w:p w14:paraId="7EFFE7C9">
            <w:pPr>
              <w:widowControl/>
              <w:jc w:val="left"/>
              <w:rPr>
                <w:rFonts w:hint="eastAsia" w:ascii="宋体" w:hAnsi="宋体" w:eastAsia="宋体" w:cs="宋体"/>
                <w:kern w:val="0"/>
                <w:sz w:val="21"/>
                <w:szCs w:val="21"/>
                <w:lang w:bidi="ar"/>
              </w:rPr>
            </w:pPr>
            <w:r>
              <w:rPr>
                <w:rFonts w:hint="eastAsia" w:cs="Cambria" w:asciiTheme="minorEastAsia" w:hAnsiTheme="minorEastAsia"/>
                <w:sz w:val="21"/>
                <w:szCs w:val="21"/>
              </w:rPr>
              <w:t>支持通过IP地址关联人员的工号、姓名、手机、科室、房间、主机名、Mac地址等信息</w:t>
            </w:r>
            <w:r>
              <w:rPr>
                <w:rFonts w:hint="eastAsia"/>
                <w:b/>
                <w:bCs/>
                <w:color w:val="auto"/>
                <w:sz w:val="21"/>
                <w:szCs w:val="21"/>
              </w:rPr>
              <w:t>（须提供此功能截图证明）</w:t>
            </w:r>
          </w:p>
        </w:tc>
      </w:tr>
      <w:tr w14:paraId="2866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2680501E">
            <w:pPr>
              <w:widowControl/>
              <w:jc w:val="center"/>
              <w:rPr>
                <w:rFonts w:hint="eastAsia" w:ascii="宋体" w:hAnsi="宋体" w:eastAsia="宋体" w:cs="宋体"/>
                <w:sz w:val="21"/>
                <w:szCs w:val="21"/>
              </w:rPr>
            </w:pPr>
            <w:r>
              <w:rPr>
                <w:rFonts w:hint="eastAsia" w:asciiTheme="minorEastAsia" w:hAnsiTheme="minorEastAsia"/>
                <w:kern w:val="0"/>
                <w:sz w:val="21"/>
                <w:szCs w:val="21"/>
              </w:rPr>
              <w:t>统方告警统计</w:t>
            </w:r>
          </w:p>
        </w:tc>
        <w:tc>
          <w:tcPr>
            <w:tcW w:w="4313" w:type="pct"/>
            <w:shd w:val="clear" w:color="auto" w:fill="auto"/>
            <w:vAlign w:val="center"/>
          </w:tcPr>
          <w:p w14:paraId="238E6285">
            <w:pPr>
              <w:widowControl/>
              <w:jc w:val="left"/>
              <w:rPr>
                <w:rFonts w:hint="eastAsia" w:ascii="宋体" w:hAnsi="宋体" w:eastAsia="宋体" w:cs="宋体"/>
                <w:kern w:val="0"/>
                <w:sz w:val="21"/>
                <w:szCs w:val="21"/>
                <w:lang w:bidi="ar"/>
              </w:rPr>
            </w:pPr>
            <w:r>
              <w:rPr>
                <w:rFonts w:hint="eastAsia" w:cs="Cambria" w:asciiTheme="minorEastAsia" w:hAnsiTheme="minorEastAsia"/>
                <w:sz w:val="21"/>
                <w:szCs w:val="21"/>
              </w:rPr>
              <w:t>首页支持通过曲线图方式直观展示每小时统方告警数量，支持首页显示统方告警名称的TOP5和BOTTOM5；</w:t>
            </w:r>
          </w:p>
        </w:tc>
      </w:tr>
      <w:tr w14:paraId="2081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755BC68C">
            <w:pPr>
              <w:widowControl/>
              <w:jc w:val="center"/>
              <w:rPr>
                <w:rFonts w:hint="eastAsia" w:ascii="宋体" w:hAnsi="宋体" w:eastAsia="宋体" w:cs="宋体"/>
                <w:sz w:val="21"/>
                <w:szCs w:val="21"/>
              </w:rPr>
            </w:pPr>
            <w:r>
              <w:rPr>
                <w:rFonts w:hint="eastAsia" w:asciiTheme="minorEastAsia" w:hAnsiTheme="minorEastAsia"/>
                <w:kern w:val="0"/>
                <w:sz w:val="21"/>
                <w:szCs w:val="21"/>
              </w:rPr>
              <w:t>告警语句SQL模板统计</w:t>
            </w:r>
          </w:p>
        </w:tc>
        <w:tc>
          <w:tcPr>
            <w:tcW w:w="4313" w:type="pct"/>
            <w:shd w:val="clear" w:color="auto" w:fill="auto"/>
            <w:vAlign w:val="center"/>
          </w:tcPr>
          <w:p w14:paraId="5CDCDFC5">
            <w:pPr>
              <w:widowControl/>
              <w:jc w:val="left"/>
              <w:rPr>
                <w:rFonts w:hint="eastAsia" w:ascii="宋体" w:hAnsi="宋体" w:eastAsia="宋体" w:cs="宋体"/>
                <w:kern w:val="0"/>
                <w:sz w:val="21"/>
                <w:szCs w:val="21"/>
                <w:lang w:bidi="ar"/>
              </w:rPr>
            </w:pPr>
            <w:r>
              <w:rPr>
                <w:rFonts w:hint="eastAsia" w:cs="Cambria" w:asciiTheme="minorEastAsia" w:hAnsiTheme="minorEastAsia"/>
                <w:sz w:val="21"/>
                <w:szCs w:val="21"/>
              </w:rPr>
              <w:t xml:space="preserve">支持首页展示TOP20的统方告警语句的SQL模板 </w:t>
            </w:r>
          </w:p>
        </w:tc>
      </w:tr>
      <w:tr w14:paraId="487B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481DAC1A">
            <w:pPr>
              <w:widowControl/>
              <w:jc w:val="center"/>
              <w:rPr>
                <w:rFonts w:hint="eastAsia" w:ascii="宋体" w:hAnsi="宋体" w:eastAsia="宋体" w:cs="宋体"/>
                <w:sz w:val="21"/>
                <w:szCs w:val="21"/>
              </w:rPr>
            </w:pPr>
            <w:r>
              <w:rPr>
                <w:rFonts w:hint="eastAsia" w:ascii="宋体" w:hAnsi="宋体" w:eastAsia="宋体"/>
                <w:kern w:val="0"/>
                <w:sz w:val="21"/>
                <w:szCs w:val="21"/>
              </w:rPr>
              <w:t>数据可见性</w:t>
            </w:r>
          </w:p>
        </w:tc>
        <w:tc>
          <w:tcPr>
            <w:tcW w:w="4313" w:type="pct"/>
            <w:shd w:val="clear" w:color="auto" w:fill="auto"/>
            <w:vAlign w:val="center"/>
          </w:tcPr>
          <w:p w14:paraId="35603FC8">
            <w:pPr>
              <w:widowControl/>
              <w:jc w:val="left"/>
              <w:rPr>
                <w:rFonts w:hint="eastAsia" w:ascii="宋体" w:hAnsi="宋体" w:eastAsia="宋体" w:cs="宋体"/>
                <w:kern w:val="0"/>
                <w:sz w:val="21"/>
                <w:szCs w:val="21"/>
                <w:lang w:bidi="ar"/>
              </w:rPr>
            </w:pPr>
            <w:r>
              <w:rPr>
                <w:rFonts w:hint="eastAsia" w:cs="Cambria"/>
                <w:sz w:val="21"/>
                <w:szCs w:val="21"/>
              </w:rPr>
              <w:t>具备表分析功能，能够统计并且可视化各资产、库、表的被访问频率，能够针对活跃程度不同的资产、库、表、字段进行分析，从审计数量以及影响行数两个维度进行数据流动趋势的可视化分析</w:t>
            </w:r>
          </w:p>
        </w:tc>
      </w:tr>
      <w:tr w14:paraId="5F11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vMerge w:val="restart"/>
            <w:shd w:val="clear" w:color="auto" w:fill="auto"/>
            <w:vAlign w:val="center"/>
          </w:tcPr>
          <w:p w14:paraId="4B1FCFA1">
            <w:pPr>
              <w:widowControl/>
              <w:jc w:val="center"/>
              <w:rPr>
                <w:rFonts w:hint="eastAsia" w:ascii="宋体" w:hAnsi="宋体" w:eastAsia="宋体" w:cs="宋体"/>
                <w:sz w:val="21"/>
                <w:szCs w:val="21"/>
              </w:rPr>
            </w:pPr>
            <w:r>
              <w:rPr>
                <w:rFonts w:hint="eastAsia" w:ascii="宋体" w:hAnsi="宋体" w:eastAsia="宋体"/>
                <w:kern w:val="0"/>
                <w:sz w:val="21"/>
                <w:szCs w:val="21"/>
              </w:rPr>
              <w:t>审计功能</w:t>
            </w:r>
          </w:p>
        </w:tc>
        <w:tc>
          <w:tcPr>
            <w:tcW w:w="4313" w:type="pct"/>
            <w:shd w:val="clear" w:color="auto" w:fill="auto"/>
            <w:vAlign w:val="center"/>
          </w:tcPr>
          <w:p w14:paraId="1E6D3832">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审计信息能够记录执行时长、影响行数、执行结果描述、返回结果集，</w:t>
            </w:r>
            <w:r>
              <w:rPr>
                <w:rFonts w:hint="eastAsia" w:ascii="宋体" w:hAnsi="宋体" w:eastAsia="宋体" w:cs="Times New Roman"/>
                <w:sz w:val="21"/>
                <w:szCs w:val="21"/>
                <w:highlight w:val="none"/>
              </w:rPr>
              <w:t>提供功能截图</w:t>
            </w:r>
            <w:r>
              <w:rPr>
                <w:rFonts w:hint="eastAsia" w:ascii="宋体" w:hAnsi="宋体" w:eastAsia="宋体"/>
                <w:b/>
                <w:bCs/>
                <w:color w:val="auto"/>
                <w:sz w:val="21"/>
                <w:szCs w:val="21"/>
                <w:highlight w:val="none"/>
              </w:rPr>
              <w:t>。</w:t>
            </w:r>
          </w:p>
        </w:tc>
      </w:tr>
      <w:tr w14:paraId="5A4D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vMerge w:val="continue"/>
            <w:shd w:val="clear" w:color="auto" w:fill="auto"/>
            <w:vAlign w:val="center"/>
          </w:tcPr>
          <w:p w14:paraId="3F9221F9">
            <w:pPr>
              <w:widowControl/>
              <w:jc w:val="center"/>
              <w:rPr>
                <w:rFonts w:hint="eastAsia" w:ascii="宋体" w:hAnsi="宋体" w:eastAsia="宋体" w:cs="宋体"/>
                <w:kern w:val="0"/>
                <w:sz w:val="21"/>
                <w:szCs w:val="21"/>
                <w:lang w:bidi="ar"/>
              </w:rPr>
            </w:pPr>
          </w:p>
        </w:tc>
        <w:tc>
          <w:tcPr>
            <w:tcW w:w="4313" w:type="pct"/>
            <w:shd w:val="clear" w:color="auto" w:fill="auto"/>
            <w:vAlign w:val="center"/>
          </w:tcPr>
          <w:p w14:paraId="642E2BA4">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支持超长SQL语句（最长4M）审计；</w:t>
            </w:r>
          </w:p>
        </w:tc>
      </w:tr>
      <w:tr w14:paraId="2BC2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vMerge w:val="restart"/>
            <w:shd w:val="clear" w:color="auto" w:fill="auto"/>
            <w:vAlign w:val="center"/>
          </w:tcPr>
          <w:p w14:paraId="5ABC8134">
            <w:pPr>
              <w:widowControl/>
              <w:jc w:val="center"/>
              <w:rPr>
                <w:rFonts w:hint="eastAsia" w:ascii="宋体" w:hAnsi="宋体" w:eastAsia="宋体" w:cs="宋体"/>
                <w:sz w:val="21"/>
                <w:szCs w:val="21"/>
              </w:rPr>
            </w:pPr>
            <w:r>
              <w:rPr>
                <w:rFonts w:hint="eastAsia" w:ascii="宋体" w:hAnsi="宋体" w:eastAsia="宋体"/>
                <w:kern w:val="0"/>
                <w:sz w:val="21"/>
                <w:szCs w:val="21"/>
              </w:rPr>
              <w:t>安全审计</w:t>
            </w:r>
          </w:p>
        </w:tc>
        <w:tc>
          <w:tcPr>
            <w:tcW w:w="4313" w:type="pct"/>
            <w:shd w:val="clear" w:color="auto" w:fill="auto"/>
            <w:vAlign w:val="center"/>
          </w:tcPr>
          <w:p w14:paraId="0CB58BD9">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支持安全规则遍历匹配，针对某个操作，将全部安全规则进行匹配，并返回所有匹配的告警结果；</w:t>
            </w:r>
          </w:p>
        </w:tc>
      </w:tr>
      <w:tr w14:paraId="2367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vMerge w:val="continue"/>
            <w:shd w:val="clear" w:color="auto" w:fill="auto"/>
            <w:vAlign w:val="center"/>
          </w:tcPr>
          <w:p w14:paraId="69C54EEF">
            <w:pPr>
              <w:widowControl/>
              <w:jc w:val="center"/>
              <w:rPr>
                <w:rFonts w:hint="eastAsia" w:ascii="宋体" w:hAnsi="宋体" w:eastAsia="宋体" w:cs="宋体"/>
                <w:sz w:val="21"/>
                <w:szCs w:val="21"/>
              </w:rPr>
            </w:pPr>
          </w:p>
        </w:tc>
        <w:tc>
          <w:tcPr>
            <w:tcW w:w="4313" w:type="pct"/>
            <w:shd w:val="clear" w:color="auto" w:fill="auto"/>
            <w:vAlign w:val="center"/>
          </w:tcPr>
          <w:p w14:paraId="517227A0">
            <w:pPr>
              <w:widowControl/>
              <w:jc w:val="left"/>
              <w:rPr>
                <w:rFonts w:hint="eastAsia" w:ascii="宋体" w:hAnsi="宋体" w:eastAsia="宋体" w:cs="宋体"/>
                <w:kern w:val="0"/>
                <w:sz w:val="21"/>
                <w:szCs w:val="21"/>
                <w:lang w:bidi="ar"/>
              </w:rPr>
            </w:pPr>
            <w:r>
              <w:rPr>
                <w:rFonts w:hint="eastAsia" w:ascii="宋体" w:hAnsi="宋体" w:eastAsia="宋体" w:cs="Cambria"/>
                <w:sz w:val="21"/>
                <w:szCs w:val="21"/>
              </w:rPr>
              <w:t>产品具有内置规则，规则类型有</w:t>
            </w:r>
            <w:r>
              <w:rPr>
                <w:rFonts w:ascii="宋体" w:hAnsi="宋体" w:eastAsia="宋体" w:cs="Cambria"/>
                <w:sz w:val="21"/>
                <w:szCs w:val="21"/>
              </w:rPr>
              <w:t>SQL</w:t>
            </w:r>
            <w:r>
              <w:rPr>
                <w:rFonts w:hint="eastAsia" w:ascii="宋体" w:hAnsi="宋体" w:eastAsia="宋体" w:cs="Cambria"/>
                <w:sz w:val="21"/>
                <w:szCs w:val="21"/>
              </w:rPr>
              <w:t>注入、账号安全、数据泄露和违规操作等，并可依据规则</w:t>
            </w:r>
            <w:r>
              <w:rPr>
                <w:rFonts w:hint="eastAsia" w:ascii="宋体" w:hAnsi="宋体" w:eastAsia="宋体" w:cs="Times New Roman"/>
                <w:sz w:val="21"/>
                <w:szCs w:val="21"/>
              </w:rPr>
              <w:t>进行邮件告警</w:t>
            </w:r>
            <w:r>
              <w:rPr>
                <w:rFonts w:hint="eastAsia" w:ascii="宋体" w:hAnsi="宋体" w:eastAsia="宋体" w:cs="Cambria"/>
                <w:b/>
                <w:bCs/>
                <w:color w:val="auto"/>
                <w:sz w:val="21"/>
                <w:szCs w:val="21"/>
              </w:rPr>
              <w:t>（</w:t>
            </w:r>
            <w:r>
              <w:rPr>
                <w:rFonts w:ascii="Times New Roman" w:hAnsi="Times New Roman" w:eastAsia="宋体" w:cs="Times New Roman"/>
                <w:b/>
                <w:bCs/>
                <w:color w:val="000000"/>
                <w:kern w:val="0"/>
                <w:szCs w:val="21"/>
              </w:rPr>
              <w:t>提供CNAS或CMA</w:t>
            </w:r>
            <w:r>
              <w:rPr>
                <w:rFonts w:hint="eastAsia" w:cs="Times New Roman"/>
                <w:b/>
                <w:bCs/>
                <w:color w:val="000000"/>
                <w:kern w:val="0"/>
                <w:szCs w:val="21"/>
                <w:lang w:val="en-US" w:eastAsia="zh-CN"/>
              </w:rPr>
              <w:t>认证</w:t>
            </w:r>
            <w:r>
              <w:rPr>
                <w:rFonts w:ascii="Times New Roman" w:hAnsi="Times New Roman" w:eastAsia="宋体" w:cs="Times New Roman"/>
                <w:b/>
                <w:bCs/>
                <w:color w:val="000000"/>
                <w:kern w:val="0"/>
                <w:szCs w:val="21"/>
              </w:rPr>
              <w:t>的第三方测试机构的证明材料</w:t>
            </w:r>
            <w:r>
              <w:rPr>
                <w:rFonts w:hint="eastAsia" w:ascii="宋体" w:hAnsi="宋体" w:eastAsia="宋体"/>
                <w:b/>
                <w:bCs/>
                <w:color w:val="auto"/>
                <w:sz w:val="21"/>
                <w:szCs w:val="21"/>
              </w:rPr>
              <w:t>）。</w:t>
            </w:r>
          </w:p>
        </w:tc>
      </w:tr>
      <w:tr w14:paraId="4DA0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vMerge w:val="restart"/>
            <w:shd w:val="clear" w:color="auto" w:fill="auto"/>
            <w:vAlign w:val="center"/>
          </w:tcPr>
          <w:p w14:paraId="42B1AB7F">
            <w:pPr>
              <w:widowControl/>
              <w:jc w:val="center"/>
              <w:rPr>
                <w:rFonts w:hint="eastAsia" w:ascii="宋体" w:hAnsi="宋体" w:eastAsia="宋体" w:cs="宋体"/>
                <w:kern w:val="0"/>
                <w:sz w:val="21"/>
                <w:szCs w:val="21"/>
                <w:lang w:bidi="ar"/>
              </w:rPr>
            </w:pPr>
            <w:r>
              <w:rPr>
                <w:rFonts w:hint="eastAsia" w:ascii="宋体" w:hAnsi="宋体" w:eastAsia="宋体"/>
                <w:kern w:val="0"/>
                <w:sz w:val="21"/>
                <w:szCs w:val="21"/>
              </w:rPr>
              <w:t>查询分析</w:t>
            </w:r>
          </w:p>
        </w:tc>
        <w:tc>
          <w:tcPr>
            <w:tcW w:w="4313" w:type="pct"/>
            <w:shd w:val="clear" w:color="auto" w:fill="auto"/>
            <w:vAlign w:val="center"/>
          </w:tcPr>
          <w:p w14:paraId="350CF85C">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支持在审计日志中一键添加过滤规则，支持在告警规则中一键添加信任规则或规则白名单；</w:t>
            </w:r>
          </w:p>
        </w:tc>
      </w:tr>
      <w:tr w14:paraId="3D55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vMerge w:val="continue"/>
            <w:shd w:val="clear" w:color="auto" w:fill="auto"/>
            <w:vAlign w:val="center"/>
          </w:tcPr>
          <w:p w14:paraId="29A751BD">
            <w:pPr>
              <w:widowControl/>
              <w:jc w:val="center"/>
              <w:rPr>
                <w:rFonts w:hint="eastAsia" w:ascii="宋体" w:hAnsi="宋体" w:eastAsia="宋体" w:cs="宋体"/>
                <w:sz w:val="21"/>
                <w:szCs w:val="21"/>
              </w:rPr>
            </w:pPr>
          </w:p>
        </w:tc>
        <w:tc>
          <w:tcPr>
            <w:tcW w:w="4313" w:type="pct"/>
            <w:shd w:val="clear" w:color="auto" w:fill="auto"/>
            <w:vAlign w:val="center"/>
          </w:tcPr>
          <w:p w14:paraId="12F7892B">
            <w:pPr>
              <w:widowControl/>
              <w:jc w:val="left"/>
              <w:rPr>
                <w:rFonts w:hint="eastAsia" w:ascii="宋体" w:hAnsi="宋体" w:eastAsia="宋体" w:cs="宋体"/>
                <w:kern w:val="0"/>
                <w:sz w:val="21"/>
                <w:szCs w:val="21"/>
                <w:lang w:bidi="ar"/>
              </w:rPr>
            </w:pPr>
            <w:r>
              <w:rPr>
                <w:rFonts w:hint="eastAsia" w:ascii="宋体" w:hAnsi="宋体" w:eastAsia="宋体" w:cs="Cambria"/>
                <w:sz w:val="21"/>
                <w:szCs w:val="21"/>
              </w:rPr>
              <w:t>设置日志检索条件时，检索条件可根据历史信息自动弹出，即输入检索条件时支持智能联想；</w:t>
            </w:r>
          </w:p>
        </w:tc>
      </w:tr>
      <w:tr w14:paraId="0643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vMerge w:val="continue"/>
            <w:shd w:val="clear" w:color="auto" w:fill="auto"/>
            <w:vAlign w:val="center"/>
          </w:tcPr>
          <w:p w14:paraId="25196636">
            <w:pPr>
              <w:widowControl/>
              <w:jc w:val="center"/>
              <w:rPr>
                <w:rFonts w:hint="eastAsia" w:ascii="宋体" w:hAnsi="宋体" w:eastAsia="宋体" w:cs="宋体"/>
                <w:sz w:val="21"/>
                <w:szCs w:val="21"/>
              </w:rPr>
            </w:pPr>
          </w:p>
        </w:tc>
        <w:tc>
          <w:tcPr>
            <w:tcW w:w="4313" w:type="pct"/>
            <w:shd w:val="clear" w:color="auto" w:fill="auto"/>
            <w:vAlign w:val="center"/>
          </w:tcPr>
          <w:p w14:paraId="5A72EEE5">
            <w:pPr>
              <w:widowControl/>
              <w:jc w:val="left"/>
              <w:rPr>
                <w:rFonts w:hint="eastAsia" w:ascii="宋体" w:hAnsi="宋体" w:eastAsia="宋体" w:cs="宋体"/>
                <w:kern w:val="0"/>
                <w:sz w:val="21"/>
                <w:szCs w:val="21"/>
                <w:lang w:bidi="ar"/>
              </w:rPr>
            </w:pPr>
            <w:r>
              <w:rPr>
                <w:rFonts w:hint="eastAsia" w:ascii="宋体" w:hAnsi="宋体" w:eastAsia="宋体" w:cs="Times New Roman"/>
                <w:sz w:val="21"/>
                <w:szCs w:val="21"/>
              </w:rPr>
              <w:t>支持告警分析功能，告警分析支持按照“客户端IP+数据库账号”的组合对SQL模板维度进行排行，支持在页面一键添加到白名单、一键添加到信任规则</w:t>
            </w:r>
          </w:p>
        </w:tc>
      </w:tr>
      <w:tr w14:paraId="2545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vMerge w:val="continue"/>
            <w:shd w:val="clear" w:color="auto" w:fill="auto"/>
            <w:vAlign w:val="center"/>
          </w:tcPr>
          <w:p w14:paraId="6F3A16E6">
            <w:pPr>
              <w:widowControl/>
              <w:jc w:val="center"/>
              <w:rPr>
                <w:rFonts w:hint="eastAsia" w:ascii="宋体" w:hAnsi="宋体" w:eastAsia="宋体" w:cs="宋体"/>
                <w:kern w:val="0"/>
                <w:sz w:val="21"/>
                <w:szCs w:val="21"/>
                <w:lang w:bidi="ar"/>
              </w:rPr>
            </w:pPr>
          </w:p>
        </w:tc>
        <w:tc>
          <w:tcPr>
            <w:tcW w:w="4313" w:type="pct"/>
            <w:shd w:val="clear" w:color="auto" w:fill="auto"/>
            <w:vAlign w:val="center"/>
          </w:tcPr>
          <w:p w14:paraId="228D6413">
            <w:pPr>
              <w:widowControl/>
              <w:jc w:val="left"/>
              <w:rPr>
                <w:rFonts w:hint="eastAsia" w:ascii="宋体" w:hAnsi="宋体" w:eastAsia="宋体" w:cs="宋体"/>
                <w:kern w:val="0"/>
                <w:sz w:val="21"/>
                <w:szCs w:val="21"/>
                <w:lang w:bidi="ar"/>
              </w:rPr>
            </w:pPr>
            <w:r>
              <w:rPr>
                <w:rFonts w:hint="eastAsia" w:ascii="宋体" w:hAnsi="宋体" w:eastAsia="宋体" w:cs="Cambria"/>
                <w:sz w:val="21"/>
                <w:szCs w:val="21"/>
              </w:rPr>
              <w:t>历史会话中的审计记录支持直接导出，支持通过“查询分析”按钮跳转至审计日志页面进行进一步的分析筛选</w:t>
            </w:r>
            <w:r>
              <w:rPr>
                <w:rFonts w:hint="eastAsia" w:ascii="宋体" w:hAnsi="宋体" w:eastAsia="宋体"/>
                <w:b/>
                <w:bCs/>
                <w:color w:val="auto"/>
                <w:sz w:val="21"/>
                <w:szCs w:val="21"/>
              </w:rPr>
              <w:t>（须提供此功能截图证明）</w:t>
            </w:r>
            <w:r>
              <w:rPr>
                <w:rFonts w:hint="eastAsia" w:ascii="宋体" w:hAnsi="宋体" w:eastAsia="宋体" w:cs="Cambria"/>
                <w:b/>
                <w:bCs/>
                <w:color w:val="auto"/>
                <w:sz w:val="21"/>
                <w:szCs w:val="21"/>
              </w:rPr>
              <w:t>；</w:t>
            </w:r>
          </w:p>
        </w:tc>
      </w:tr>
      <w:tr w14:paraId="7078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63AD7DDE">
            <w:pPr>
              <w:widowControl/>
              <w:jc w:val="center"/>
              <w:rPr>
                <w:rFonts w:hint="eastAsia" w:ascii="宋体" w:hAnsi="宋体" w:eastAsia="宋体" w:cs="宋体"/>
                <w:kern w:val="0"/>
                <w:sz w:val="21"/>
                <w:szCs w:val="21"/>
                <w:lang w:bidi="ar"/>
              </w:rPr>
            </w:pPr>
            <w:r>
              <w:rPr>
                <w:rFonts w:hint="eastAsia" w:ascii="宋体" w:hAnsi="宋体" w:eastAsia="宋体"/>
                <w:kern w:val="0"/>
                <w:sz w:val="21"/>
                <w:szCs w:val="21"/>
              </w:rPr>
              <w:t>统计报表</w:t>
            </w:r>
          </w:p>
        </w:tc>
        <w:tc>
          <w:tcPr>
            <w:tcW w:w="4313" w:type="pct"/>
            <w:shd w:val="clear" w:color="auto" w:fill="auto"/>
            <w:vAlign w:val="center"/>
          </w:tcPr>
          <w:p w14:paraId="11C2926E">
            <w:pPr>
              <w:widowControl/>
              <w:jc w:val="left"/>
              <w:rPr>
                <w:rFonts w:hint="eastAsia" w:ascii="宋体" w:hAnsi="宋体" w:eastAsia="宋体" w:cs="Cambria"/>
                <w:sz w:val="21"/>
                <w:szCs w:val="21"/>
              </w:rPr>
            </w:pPr>
            <w:r>
              <w:rPr>
                <w:rFonts w:hint="eastAsia" w:ascii="宋体" w:hAnsi="宋体" w:eastAsia="宋体" w:cs="Times New Roman"/>
                <w:sz w:val="21"/>
                <w:szCs w:val="21"/>
              </w:rPr>
              <w:t>支持自定义报表，自定义报表支持告警名称、告警等级、操作类型、操作系统用户名、数据库名/实例名、主机名、数据库账号、客户端IP、客户端工具、数据库类型、客户端端口11种统计维度，支持来自审计日志、告警日志、会话日志的29种统计指标，根据以上条件进行灵活选择后生成报表；</w:t>
            </w:r>
          </w:p>
        </w:tc>
      </w:tr>
      <w:tr w14:paraId="1285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6" w:type="pct"/>
            <w:shd w:val="clear" w:color="auto" w:fill="auto"/>
            <w:vAlign w:val="center"/>
          </w:tcPr>
          <w:p w14:paraId="51039B0E">
            <w:pPr>
              <w:widowControl/>
              <w:jc w:val="center"/>
              <w:rPr>
                <w:rFonts w:hint="eastAsia" w:ascii="宋体" w:hAnsi="宋体" w:eastAsia="宋体"/>
                <w:kern w:val="0"/>
                <w:sz w:val="21"/>
                <w:szCs w:val="21"/>
              </w:rPr>
            </w:pPr>
            <w:r>
              <w:rPr>
                <w:rFonts w:hint="eastAsia" w:ascii="宋体" w:hAnsi="宋体" w:eastAsia="宋体"/>
                <w:kern w:val="0"/>
                <w:sz w:val="21"/>
                <w:szCs w:val="21"/>
              </w:rPr>
              <w:t>模型分析</w:t>
            </w:r>
          </w:p>
        </w:tc>
        <w:tc>
          <w:tcPr>
            <w:tcW w:w="4313" w:type="pct"/>
            <w:shd w:val="clear" w:color="auto" w:fill="auto"/>
            <w:vAlign w:val="center"/>
          </w:tcPr>
          <w:p w14:paraId="126046B9">
            <w:pPr>
              <w:widowControl/>
              <w:jc w:val="left"/>
              <w:rPr>
                <w:rFonts w:hint="eastAsia" w:ascii="宋体" w:hAnsi="宋体" w:eastAsia="宋体" w:cs="Times New Roman"/>
                <w:sz w:val="21"/>
                <w:szCs w:val="21"/>
              </w:rPr>
            </w:pPr>
            <w:r>
              <w:rPr>
                <w:rFonts w:hint="eastAsia" w:ascii="宋体" w:hAnsi="宋体" w:eastAsia="宋体" w:cs="Times New Roman"/>
                <w:sz w:val="21"/>
                <w:szCs w:val="21"/>
              </w:rPr>
              <w:t>可依据客户端工具名、数据库用户名、客户端IP、操作系统用户名、客户端主机名、数据库名、操作类型、服务器IP等配置行为模型，并可查看相应告警日志</w:t>
            </w:r>
            <w:r>
              <w:rPr>
                <w:rFonts w:hint="eastAsia" w:ascii="宋体" w:hAnsi="宋体" w:eastAsia="宋体" w:cs="Cambria"/>
                <w:sz w:val="21"/>
                <w:szCs w:val="21"/>
              </w:rPr>
              <w:t>；</w:t>
            </w:r>
          </w:p>
        </w:tc>
      </w:tr>
    </w:tbl>
    <w:p w14:paraId="63F3ED59">
      <w:pPr>
        <w:rPr>
          <w:rFonts w:ascii="Times New Roman" w:hAnsi="Times New Roman" w:eastAsia="宋体" w:cs="Times New Roman"/>
          <w:szCs w:val="21"/>
        </w:rPr>
      </w:pPr>
    </w:p>
    <w:p w14:paraId="296260B8">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数据库</w:t>
      </w:r>
      <w:r>
        <w:rPr>
          <w:rFonts w:hint="eastAsia" w:asciiTheme="minorEastAsia" w:hAnsiTheme="minorEastAsia" w:eastAsiaTheme="minorEastAsia" w:cstheme="minorEastAsia"/>
          <w:b/>
          <w:bCs/>
          <w:sz w:val="24"/>
          <w:szCs w:val="24"/>
          <w:lang w:val="en-US" w:eastAsia="zh-CN"/>
        </w:rPr>
        <w:t>：</w:t>
      </w:r>
    </w:p>
    <w:tbl>
      <w:tblPr>
        <w:tblStyle w:val="62"/>
        <w:tblpPr w:leftFromText="180" w:rightFromText="180" w:vertAnchor="text" w:horzAnchor="page" w:tblpX="1672" w:tblpY="501"/>
        <w:tblOverlap w:val="never"/>
        <w:tblW w:w="4714" w:type="pct"/>
        <w:tblInd w:w="0" w:type="dxa"/>
        <w:tblLayout w:type="fixed"/>
        <w:tblCellMar>
          <w:top w:w="0" w:type="dxa"/>
          <w:left w:w="108" w:type="dxa"/>
          <w:bottom w:w="0" w:type="dxa"/>
          <w:right w:w="108" w:type="dxa"/>
        </w:tblCellMar>
      </w:tblPr>
      <w:tblGrid>
        <w:gridCol w:w="946"/>
        <w:gridCol w:w="7812"/>
      </w:tblGrid>
      <w:tr w14:paraId="24B16557">
        <w:tblPrEx>
          <w:tblCellMar>
            <w:top w:w="0" w:type="dxa"/>
            <w:left w:w="108" w:type="dxa"/>
            <w:bottom w:w="0" w:type="dxa"/>
            <w:right w:w="108" w:type="dxa"/>
          </w:tblCellMar>
        </w:tblPrEx>
        <w:trPr>
          <w:trHeight w:val="332" w:hRule="atLeast"/>
        </w:trPr>
        <w:tc>
          <w:tcPr>
            <w:tcW w:w="540" w:type="pct"/>
            <w:tcBorders>
              <w:top w:val="single" w:color="000000" w:sz="4" w:space="0"/>
              <w:left w:val="single" w:color="000000" w:sz="4" w:space="0"/>
              <w:bottom w:val="single" w:color="000000" w:sz="4" w:space="0"/>
              <w:right w:val="single" w:color="000000" w:sz="4" w:space="0"/>
            </w:tcBorders>
            <w:noWrap w:val="0"/>
            <w:vAlign w:val="center"/>
          </w:tcPr>
          <w:p w14:paraId="6FC28F6B">
            <w:pPr>
              <w:pStyle w:val="258"/>
              <w:spacing w:line="360" w:lineRule="auto"/>
              <w:ind w:left="0" w:leftChars="0" w:firstLine="0" w:firstLineChars="0"/>
              <w:jc w:val="both"/>
              <w:textAlignment w:val="center"/>
              <w:rPr>
                <w:rFonts w:ascii="宋体" w:hAnsi="宋体" w:eastAsia="宋体"/>
                <w:b/>
                <w:kern w:val="2"/>
                <w:sz w:val="21"/>
                <w:szCs w:val="21"/>
                <w:lang w:val="en-US" w:eastAsia="zh-CN" w:bidi="ar-SA"/>
              </w:rPr>
            </w:pPr>
            <w:r>
              <w:rPr>
                <w:rFonts w:hint="eastAsia" w:ascii="宋体" w:hAnsi="宋体" w:eastAsia="宋体"/>
                <w:b/>
                <w:kern w:val="2"/>
                <w:sz w:val="21"/>
                <w:szCs w:val="21"/>
                <w:lang w:val="en-US" w:eastAsia="zh-CN" w:bidi="ar-SA"/>
              </w:rPr>
              <w:t>指标项</w:t>
            </w:r>
          </w:p>
        </w:tc>
        <w:tc>
          <w:tcPr>
            <w:tcW w:w="4459" w:type="pct"/>
            <w:tcBorders>
              <w:top w:val="single" w:color="000000" w:sz="4" w:space="0"/>
              <w:left w:val="single" w:color="000000" w:sz="4" w:space="0"/>
              <w:bottom w:val="single" w:color="000000" w:sz="4" w:space="0"/>
              <w:right w:val="single" w:color="000000" w:sz="4" w:space="0"/>
            </w:tcBorders>
            <w:noWrap w:val="0"/>
            <w:vAlign w:val="center"/>
          </w:tcPr>
          <w:p w14:paraId="4D758781">
            <w:pPr>
              <w:pStyle w:val="258"/>
              <w:spacing w:line="360" w:lineRule="auto"/>
              <w:ind w:left="0" w:firstLine="422" w:firstLineChars="200"/>
              <w:jc w:val="center"/>
              <w:textAlignment w:val="center"/>
              <w:rPr>
                <w:rFonts w:ascii="宋体" w:hAnsi="宋体" w:eastAsia="宋体"/>
                <w:b/>
                <w:kern w:val="2"/>
                <w:sz w:val="21"/>
                <w:szCs w:val="21"/>
                <w:lang w:val="en-US" w:eastAsia="zh-CN" w:bidi="ar-SA"/>
              </w:rPr>
            </w:pPr>
            <w:r>
              <w:rPr>
                <w:rFonts w:hint="eastAsia" w:ascii="宋体" w:hAnsi="宋体" w:eastAsia="宋体"/>
                <w:b/>
                <w:kern w:val="2"/>
                <w:sz w:val="21"/>
                <w:szCs w:val="21"/>
                <w:lang w:val="en-US" w:eastAsia="zh-CN" w:bidi="ar-SA"/>
              </w:rPr>
              <w:t>技术参数要求</w:t>
            </w:r>
          </w:p>
        </w:tc>
      </w:tr>
      <w:tr w14:paraId="26F7F636">
        <w:tblPrEx>
          <w:tblCellMar>
            <w:top w:w="0" w:type="dxa"/>
            <w:left w:w="108" w:type="dxa"/>
            <w:bottom w:w="0" w:type="dxa"/>
            <w:right w:w="108" w:type="dxa"/>
          </w:tblCellMar>
        </w:tblPrEx>
        <w:trPr>
          <w:trHeight w:val="308" w:hRule="atLeast"/>
        </w:trPr>
        <w:tc>
          <w:tcPr>
            <w:tcW w:w="540" w:type="pct"/>
            <w:tcBorders>
              <w:top w:val="single" w:color="000000" w:sz="4" w:space="0"/>
              <w:left w:val="single" w:color="000000" w:sz="4" w:space="0"/>
              <w:bottom w:val="single" w:color="000000" w:sz="4" w:space="0"/>
              <w:right w:val="single" w:color="000000" w:sz="4" w:space="0"/>
            </w:tcBorders>
            <w:noWrap w:val="0"/>
            <w:vAlign w:val="center"/>
          </w:tcPr>
          <w:p w14:paraId="39A7792F">
            <w:pPr>
              <w:pStyle w:val="258"/>
              <w:spacing w:line="360" w:lineRule="auto"/>
              <w:ind w:left="0" w:leftChars="0" w:firstLine="0" w:firstLineChars="0"/>
              <w:jc w:val="both"/>
              <w:textAlignment w:val="center"/>
              <w:rPr>
                <w:rFonts w:ascii="宋体" w:hAnsi="宋体" w:eastAsia="宋体"/>
                <w:kern w:val="2"/>
                <w:sz w:val="21"/>
                <w:szCs w:val="21"/>
                <w:lang w:val="en-US" w:eastAsia="zh-CN" w:bidi="ar-SA"/>
              </w:rPr>
            </w:pPr>
            <w:r>
              <w:rPr>
                <w:rFonts w:hint="eastAsia" w:ascii="宋体" w:hAnsi="宋体" w:eastAsia="宋体"/>
                <w:kern w:val="2"/>
                <w:sz w:val="21"/>
                <w:szCs w:val="21"/>
                <w:lang w:val="en-US" w:eastAsia="zh-CN" w:bidi="ar-SA"/>
              </w:rPr>
              <w:t>数据库指标</w:t>
            </w:r>
          </w:p>
        </w:tc>
        <w:tc>
          <w:tcPr>
            <w:tcW w:w="4459" w:type="pct"/>
            <w:tcBorders>
              <w:top w:val="single" w:color="000000" w:sz="4" w:space="0"/>
              <w:left w:val="single" w:color="000000" w:sz="4" w:space="0"/>
              <w:bottom w:val="single" w:color="000000" w:sz="4" w:space="0"/>
              <w:right w:val="single" w:color="000000" w:sz="4" w:space="0"/>
            </w:tcBorders>
            <w:noWrap w:val="0"/>
            <w:vAlign w:val="center"/>
          </w:tcPr>
          <w:p w14:paraId="3C022881">
            <w:pPr>
              <w:pStyle w:val="258"/>
              <w:keepNext w:val="0"/>
              <w:keepLines w:val="0"/>
              <w:pageBreakBefore w:val="0"/>
              <w:widowControl w:val="0"/>
              <w:kinsoku/>
              <w:wordWrap/>
              <w:overflowPunct/>
              <w:topLinePunct w:val="0"/>
              <w:autoSpaceDE/>
              <w:autoSpaceDN/>
              <w:bidi w:val="0"/>
              <w:adjustRightInd w:val="0"/>
              <w:snapToGrid/>
              <w:spacing w:line="240" w:lineRule="auto"/>
              <w:ind w:left="0" w:firstLine="0" w:firstLineChars="0"/>
              <w:textAlignment w:val="center"/>
              <w:rPr>
                <w:rFonts w:hint="eastAsia" w:ascii="宋体" w:hAnsi="宋体" w:eastAsia="宋体"/>
                <w:kern w:val="2"/>
                <w:sz w:val="21"/>
                <w:szCs w:val="21"/>
                <w:lang w:val="en-US" w:eastAsia="zh-CN" w:bidi="ar-SA"/>
              </w:rPr>
            </w:pPr>
            <w:r>
              <w:rPr>
                <w:rFonts w:hint="eastAsia" w:ascii="宋体" w:hAnsi="宋体" w:eastAsia="宋体"/>
                <w:kern w:val="2"/>
                <w:sz w:val="21"/>
                <w:szCs w:val="21"/>
                <w:lang w:val="en-US" w:eastAsia="zh-CN" w:bidi="ar-SA"/>
              </w:rPr>
              <w:t>1)数据库须通过中国信息安全测评中心安全可靠测评，安全可靠等级需≥Ⅰ级。</w:t>
            </w:r>
          </w:p>
          <w:p w14:paraId="48CA8348">
            <w:pPr>
              <w:pStyle w:val="258"/>
              <w:keepNext w:val="0"/>
              <w:keepLines w:val="0"/>
              <w:pageBreakBefore w:val="0"/>
              <w:widowControl w:val="0"/>
              <w:kinsoku/>
              <w:wordWrap/>
              <w:overflowPunct/>
              <w:topLinePunct w:val="0"/>
              <w:autoSpaceDE/>
              <w:autoSpaceDN/>
              <w:bidi w:val="0"/>
              <w:adjustRightInd w:val="0"/>
              <w:snapToGrid/>
              <w:spacing w:line="240" w:lineRule="auto"/>
              <w:ind w:left="0" w:firstLine="0" w:firstLineChars="0"/>
              <w:textAlignment w:val="center"/>
              <w:rPr>
                <w:rFonts w:hint="eastAsia" w:ascii="宋体" w:hAnsi="宋体" w:eastAsia="宋体"/>
                <w:kern w:val="2"/>
                <w:sz w:val="21"/>
                <w:szCs w:val="21"/>
                <w:lang w:val="en-US" w:eastAsia="zh-CN" w:bidi="ar-SA"/>
              </w:rPr>
            </w:pPr>
            <w:r>
              <w:rPr>
                <w:rFonts w:hint="eastAsia" w:ascii="宋体" w:hAnsi="宋体"/>
                <w:kern w:val="2"/>
                <w:sz w:val="21"/>
                <w:szCs w:val="21"/>
                <w:lang w:val="en-US" w:eastAsia="zh-CN" w:bidi="ar-SA"/>
              </w:rPr>
              <w:t>2</w:t>
            </w:r>
            <w:r>
              <w:rPr>
                <w:rFonts w:hint="eastAsia" w:ascii="宋体" w:hAnsi="宋体" w:eastAsia="宋体"/>
                <w:kern w:val="2"/>
                <w:sz w:val="21"/>
                <w:szCs w:val="21"/>
                <w:lang w:val="en-US" w:eastAsia="zh-CN" w:bidi="ar-SA"/>
              </w:rPr>
              <w:t>)支持多种索引，包括 B 树索引、聚集索引、唯一索引、非唯一索引、函数索引、分区索引（包括本地分区索引和全局分区索引）、位图索引、位图连接索引、空间索引、数组索引；支持创建索引时指定表空间；支持设置索引可见和不可见；支持设置索引失效；支持重建索引；支持索引监控。</w:t>
            </w:r>
          </w:p>
          <w:p w14:paraId="0294038C">
            <w:pPr>
              <w:pStyle w:val="258"/>
              <w:keepNext w:val="0"/>
              <w:keepLines w:val="0"/>
              <w:pageBreakBefore w:val="0"/>
              <w:widowControl w:val="0"/>
              <w:kinsoku/>
              <w:wordWrap/>
              <w:overflowPunct/>
              <w:topLinePunct w:val="0"/>
              <w:autoSpaceDE/>
              <w:autoSpaceDN/>
              <w:bidi w:val="0"/>
              <w:adjustRightInd w:val="0"/>
              <w:snapToGrid/>
              <w:spacing w:line="240" w:lineRule="auto"/>
              <w:ind w:left="0" w:firstLine="0" w:firstLineChars="0"/>
              <w:textAlignment w:val="center"/>
              <w:rPr>
                <w:rFonts w:hint="eastAsia" w:ascii="宋体" w:hAnsi="宋体" w:eastAsia="宋体"/>
                <w:b/>
                <w:bCs/>
                <w:kern w:val="2"/>
                <w:sz w:val="21"/>
                <w:szCs w:val="21"/>
                <w:lang w:val="en-US" w:eastAsia="zh-CN" w:bidi="ar-SA"/>
              </w:rPr>
            </w:pPr>
            <w:r>
              <w:rPr>
                <w:rFonts w:hint="eastAsia" w:ascii="宋体" w:hAnsi="宋体"/>
                <w:kern w:val="2"/>
                <w:sz w:val="21"/>
                <w:szCs w:val="21"/>
                <w:lang w:val="en-US" w:eastAsia="zh-CN" w:bidi="ar-SA"/>
              </w:rPr>
              <w:t>3</w:t>
            </w:r>
            <w:r>
              <w:rPr>
                <w:rFonts w:hint="eastAsia" w:ascii="宋体" w:hAnsi="宋体" w:eastAsia="宋体"/>
                <w:kern w:val="2"/>
                <w:sz w:val="21"/>
                <w:szCs w:val="21"/>
                <w:lang w:val="en-US" w:eastAsia="zh-CN" w:bidi="ar-SA"/>
              </w:rPr>
              <w:t>)单表支持创建2048列；支持单表分区数量为65535个；支持分区键包含多列，列数最多达到16列。</w:t>
            </w:r>
          </w:p>
          <w:p w14:paraId="0D3A3ACD">
            <w:pPr>
              <w:pStyle w:val="258"/>
              <w:keepNext w:val="0"/>
              <w:keepLines w:val="0"/>
              <w:pageBreakBefore w:val="0"/>
              <w:widowControl w:val="0"/>
              <w:kinsoku/>
              <w:wordWrap/>
              <w:overflowPunct/>
              <w:topLinePunct w:val="0"/>
              <w:autoSpaceDE/>
              <w:autoSpaceDN/>
              <w:bidi w:val="0"/>
              <w:adjustRightInd w:val="0"/>
              <w:snapToGrid/>
              <w:spacing w:line="240" w:lineRule="auto"/>
              <w:ind w:left="0" w:firstLine="0" w:firstLineChars="0"/>
              <w:textAlignment w:val="center"/>
              <w:rPr>
                <w:rFonts w:hint="eastAsia" w:ascii="宋体" w:hAnsi="宋体" w:eastAsia="宋体"/>
                <w:kern w:val="2"/>
                <w:sz w:val="21"/>
                <w:szCs w:val="21"/>
                <w:lang w:val="en-US" w:eastAsia="zh-CN" w:bidi="ar-SA"/>
              </w:rPr>
            </w:pPr>
            <w:r>
              <w:rPr>
                <w:rFonts w:hint="eastAsia" w:ascii="宋体" w:hAnsi="宋体"/>
                <w:kern w:val="2"/>
                <w:sz w:val="21"/>
                <w:szCs w:val="21"/>
                <w:lang w:val="en-US" w:eastAsia="zh-CN" w:bidi="ar-SA"/>
              </w:rPr>
              <w:t>4</w:t>
            </w:r>
            <w:r>
              <w:rPr>
                <w:rFonts w:hint="eastAsia" w:ascii="宋体" w:hAnsi="宋体" w:eastAsia="宋体"/>
                <w:kern w:val="2"/>
                <w:sz w:val="21"/>
                <w:szCs w:val="21"/>
                <w:lang w:val="en-US" w:eastAsia="zh-CN" w:bidi="ar-SA"/>
              </w:rPr>
              <w:t>)单表插入100万数据小于1.3秒，平均存储性能可达到80万条/秒以上；单库单表导入 200万行数据小于3秒，批量导入性能可达到70万条/秒以上，</w:t>
            </w:r>
            <w:r>
              <w:rPr>
                <w:rFonts w:hint="eastAsia" w:ascii="宋体" w:hAnsi="宋体" w:eastAsia="宋体"/>
                <w:b/>
                <w:bCs/>
                <w:kern w:val="2"/>
                <w:sz w:val="21"/>
                <w:szCs w:val="21"/>
                <w:lang w:val="en-US" w:eastAsia="zh-CN" w:bidi="ar-SA"/>
              </w:rPr>
              <w:t>提供CNAS或CMA认证的第三方测试机构的证明材料</w:t>
            </w:r>
            <w:r>
              <w:rPr>
                <w:rFonts w:hint="eastAsia" w:ascii="宋体" w:hAnsi="宋体" w:eastAsia="宋体"/>
                <w:kern w:val="2"/>
                <w:sz w:val="21"/>
                <w:szCs w:val="21"/>
                <w:lang w:val="en-US" w:eastAsia="zh-CN" w:bidi="ar-SA"/>
              </w:rPr>
              <w:t>。</w:t>
            </w:r>
          </w:p>
          <w:p w14:paraId="26602B2D">
            <w:pPr>
              <w:pStyle w:val="258"/>
              <w:keepNext w:val="0"/>
              <w:keepLines w:val="0"/>
              <w:pageBreakBefore w:val="0"/>
              <w:widowControl w:val="0"/>
              <w:kinsoku/>
              <w:wordWrap/>
              <w:overflowPunct/>
              <w:topLinePunct w:val="0"/>
              <w:autoSpaceDE/>
              <w:autoSpaceDN/>
              <w:bidi w:val="0"/>
              <w:adjustRightInd w:val="0"/>
              <w:snapToGrid/>
              <w:spacing w:line="240" w:lineRule="auto"/>
              <w:ind w:left="0" w:firstLine="0" w:firstLineChars="0"/>
              <w:textAlignment w:val="center"/>
              <w:rPr>
                <w:rFonts w:hint="eastAsia" w:ascii="宋体" w:hAnsi="宋体" w:eastAsia="宋体"/>
                <w:kern w:val="2"/>
                <w:sz w:val="21"/>
                <w:szCs w:val="21"/>
                <w:lang w:val="en-US" w:eastAsia="zh-CN" w:bidi="ar-SA"/>
              </w:rPr>
            </w:pPr>
            <w:r>
              <w:rPr>
                <w:rFonts w:hint="eastAsia" w:ascii="宋体" w:hAnsi="宋体"/>
                <w:kern w:val="2"/>
                <w:sz w:val="21"/>
                <w:szCs w:val="21"/>
                <w:lang w:val="en-US" w:eastAsia="zh-CN" w:bidi="ar-SA"/>
              </w:rPr>
              <w:t>5</w:t>
            </w:r>
            <w:r>
              <w:rPr>
                <w:rFonts w:hint="eastAsia" w:ascii="宋体" w:hAnsi="宋体" w:eastAsia="宋体"/>
                <w:kern w:val="2"/>
                <w:sz w:val="21"/>
                <w:szCs w:val="21"/>
                <w:lang w:val="en-US" w:eastAsia="zh-CN" w:bidi="ar-SA"/>
              </w:rPr>
              <w:t>)具备智能数据库自治优化技术，支持基于代价的查询优化器；支持表及索引的统计信息；支持通过分析对象统计信息来生成最优（代价最小）的执行计划；支持数据库动态配置调整，支持数据库内存及执行计划智能配置。</w:t>
            </w:r>
          </w:p>
          <w:p w14:paraId="134071E6">
            <w:pPr>
              <w:pStyle w:val="258"/>
              <w:keepNext w:val="0"/>
              <w:keepLines w:val="0"/>
              <w:pageBreakBefore w:val="0"/>
              <w:widowControl w:val="0"/>
              <w:kinsoku/>
              <w:wordWrap/>
              <w:overflowPunct/>
              <w:topLinePunct w:val="0"/>
              <w:autoSpaceDE/>
              <w:autoSpaceDN/>
              <w:bidi w:val="0"/>
              <w:adjustRightInd w:val="0"/>
              <w:snapToGrid/>
              <w:spacing w:line="240" w:lineRule="auto"/>
              <w:ind w:left="0" w:firstLine="0" w:firstLineChars="0"/>
              <w:textAlignment w:val="center"/>
              <w:rPr>
                <w:rFonts w:hint="eastAsia" w:ascii="宋体" w:hAnsi="宋体" w:eastAsia="宋体"/>
                <w:kern w:val="2"/>
                <w:sz w:val="21"/>
                <w:szCs w:val="21"/>
                <w:lang w:val="en-US" w:eastAsia="zh-CN" w:bidi="ar-SA"/>
              </w:rPr>
            </w:pPr>
            <w:r>
              <w:rPr>
                <w:rFonts w:hint="eastAsia" w:ascii="宋体" w:hAnsi="宋体"/>
                <w:kern w:val="2"/>
                <w:sz w:val="21"/>
                <w:szCs w:val="21"/>
                <w:lang w:val="en-US" w:eastAsia="zh-CN" w:bidi="ar-SA"/>
              </w:rPr>
              <w:t>6</w:t>
            </w:r>
            <w:r>
              <w:rPr>
                <w:rFonts w:hint="eastAsia" w:ascii="宋体" w:hAnsi="宋体" w:eastAsia="宋体"/>
                <w:kern w:val="2"/>
                <w:sz w:val="21"/>
                <w:szCs w:val="21"/>
                <w:lang w:val="en-US" w:eastAsia="zh-CN" w:bidi="ar-SA"/>
              </w:rPr>
              <w:t>) 支持数据加密存储，支持国密算法加密，支持全面加密，数据文件，日志文件，备份文件，导入导出文件等均支持透明加密。支持数据库级、表级、列级等不同级别加密，支持不同用户、不同列设置不同密钥。</w:t>
            </w:r>
            <w:r>
              <w:rPr>
                <w:rFonts w:hint="eastAsia" w:ascii="宋体" w:hAnsi="宋体" w:eastAsia="宋体"/>
                <w:b/>
                <w:bCs/>
                <w:kern w:val="2"/>
                <w:sz w:val="21"/>
                <w:szCs w:val="21"/>
                <w:lang w:val="en-US" w:eastAsia="zh-CN" w:bidi="ar-SA"/>
              </w:rPr>
              <w:t>提供CNAS或CMA认证的第三方测试机构的证明材料。</w:t>
            </w:r>
          </w:p>
          <w:p w14:paraId="27727AD3">
            <w:pPr>
              <w:pStyle w:val="258"/>
              <w:keepNext w:val="0"/>
              <w:keepLines w:val="0"/>
              <w:pageBreakBefore w:val="0"/>
              <w:widowControl w:val="0"/>
              <w:kinsoku/>
              <w:wordWrap/>
              <w:overflowPunct/>
              <w:topLinePunct w:val="0"/>
              <w:autoSpaceDE/>
              <w:autoSpaceDN/>
              <w:bidi w:val="0"/>
              <w:adjustRightInd w:val="0"/>
              <w:snapToGrid/>
              <w:spacing w:line="240" w:lineRule="auto"/>
              <w:ind w:left="0" w:firstLine="0" w:firstLineChars="0"/>
              <w:textAlignment w:val="center"/>
              <w:rPr>
                <w:rFonts w:hint="default" w:ascii="宋体" w:hAnsi="宋体" w:eastAsia="宋体"/>
                <w:kern w:val="2"/>
                <w:sz w:val="21"/>
                <w:szCs w:val="21"/>
                <w:lang w:val="en-US" w:eastAsia="zh-CN" w:bidi="ar-SA"/>
              </w:rPr>
            </w:pPr>
            <w:r>
              <w:rPr>
                <w:rFonts w:hint="eastAsia" w:ascii="宋体" w:hAnsi="宋体" w:eastAsia="宋体"/>
                <w:kern w:val="2"/>
                <w:sz w:val="21"/>
                <w:szCs w:val="21"/>
                <w:lang w:val="en-US" w:eastAsia="zh-CN" w:bidi="ar-SA"/>
              </w:rPr>
              <w:t>7)支持统一的集中式 Web 图形化数据库运维管理工具，可对不同硬件平台和版本的数据库进行集中管理；支持跨平台迁移，支持Web图形化数据库迁移评估系统；提供在线 SQL 语言使用、系统管理员、安装等相关手册和联机帮助。</w:t>
            </w:r>
          </w:p>
        </w:tc>
      </w:tr>
    </w:tbl>
    <w:p w14:paraId="0C267D3F">
      <w:pPr>
        <w:rPr>
          <w:rFonts w:ascii="Times New Roman" w:hAnsi="Times New Roman" w:eastAsia="宋体" w:cs="Times New Roman"/>
          <w:szCs w:val="21"/>
        </w:rPr>
      </w:pPr>
    </w:p>
    <w:p w14:paraId="03F16A1A">
      <w:pPr>
        <w:rPr>
          <w:rFonts w:hint="eastAsia" w:asciiTheme="minorEastAsia" w:hAnsiTheme="minorEastAsia" w:eastAsiaTheme="minorEastAsia" w:cstheme="minorEastAsia"/>
          <w:b/>
          <w:bCs/>
          <w:sz w:val="24"/>
          <w:szCs w:val="24"/>
          <w:lang w:val="en-US" w:eastAsia="zh-CN"/>
        </w:rPr>
      </w:pPr>
    </w:p>
    <w:p w14:paraId="5EED0D0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rPr>
        <w:t>中间件</w:t>
      </w:r>
      <w:r>
        <w:rPr>
          <w:rFonts w:hint="eastAsia" w:asciiTheme="minorEastAsia" w:hAnsiTheme="minorEastAsia" w:eastAsiaTheme="minorEastAsia" w:cstheme="minorEastAsia"/>
          <w:b/>
          <w:bCs/>
          <w:sz w:val="24"/>
          <w:szCs w:val="24"/>
          <w:lang w:val="en-US" w:eastAsia="zh-CN"/>
        </w:rPr>
        <w:t>：</w:t>
      </w:r>
    </w:p>
    <w:tbl>
      <w:tblPr>
        <w:tblStyle w:val="62"/>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6"/>
        <w:gridCol w:w="7736"/>
      </w:tblGrid>
      <w:tr w14:paraId="692B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759" w:type="pct"/>
            <w:noWrap/>
            <w:tcMar>
              <w:top w:w="15" w:type="dxa"/>
              <w:left w:w="15" w:type="dxa"/>
              <w:right w:w="15" w:type="dxa"/>
            </w:tcMar>
            <w:vAlign w:val="top"/>
          </w:tcPr>
          <w:p w14:paraId="476A62CA">
            <w:pPr>
              <w:pStyle w:val="25"/>
              <w:tabs>
                <w:tab w:val="left" w:pos="780"/>
              </w:tabs>
              <w:ind w:firstLine="0"/>
              <w:jc w:val="center"/>
              <w:rPr>
                <w:rFonts w:hint="eastAsia" w:ascii="宋体" w:hAnsi="宋体" w:eastAsia="宋体" w:cs="宋体"/>
                <w:b/>
                <w:bCs w:val="0"/>
                <w:sz w:val="21"/>
                <w:szCs w:val="21"/>
                <w:lang w:bidi="zh-CN"/>
              </w:rPr>
            </w:pPr>
            <w:r>
              <w:rPr>
                <w:rFonts w:hint="eastAsia" w:ascii="宋体" w:hAnsi="宋体" w:eastAsia="宋体" w:cs="宋体"/>
                <w:b/>
                <w:bCs w:val="0"/>
                <w:sz w:val="21"/>
                <w:szCs w:val="21"/>
                <w:lang w:bidi="zh-CN"/>
              </w:rPr>
              <w:t>指标项</w:t>
            </w:r>
          </w:p>
        </w:tc>
        <w:tc>
          <w:tcPr>
            <w:tcW w:w="4240" w:type="pct"/>
            <w:noWrap w:val="0"/>
            <w:vAlign w:val="top"/>
          </w:tcPr>
          <w:p w14:paraId="14C55AB3">
            <w:pPr>
              <w:pStyle w:val="25"/>
              <w:tabs>
                <w:tab w:val="left" w:pos="780"/>
              </w:tabs>
              <w:ind w:firstLine="0"/>
              <w:jc w:val="center"/>
              <w:rPr>
                <w:rFonts w:hint="eastAsia" w:ascii="宋体" w:hAnsi="宋体" w:eastAsia="宋体" w:cs="宋体"/>
                <w:b/>
                <w:bCs w:val="0"/>
                <w:sz w:val="21"/>
                <w:szCs w:val="21"/>
                <w:lang w:val="en-US" w:eastAsia="zh-CN" w:bidi="zh-CN"/>
              </w:rPr>
            </w:pPr>
            <w:r>
              <w:rPr>
                <w:rFonts w:hint="eastAsia" w:ascii="宋体" w:hAnsi="宋体" w:eastAsia="宋体" w:cs="宋体"/>
                <w:b/>
                <w:bCs w:val="0"/>
                <w:sz w:val="21"/>
                <w:szCs w:val="21"/>
                <w:lang w:val="en-US"/>
              </w:rPr>
              <w:t>技术参数</w:t>
            </w:r>
            <w:r>
              <w:rPr>
                <w:rFonts w:hint="eastAsia" w:ascii="宋体" w:hAnsi="宋体" w:eastAsia="宋体" w:cs="宋体"/>
                <w:b/>
                <w:bCs w:val="0"/>
                <w:sz w:val="21"/>
                <w:szCs w:val="21"/>
                <w:lang w:val="en-US" w:eastAsia="zh-CN"/>
              </w:rPr>
              <w:t>要求</w:t>
            </w:r>
          </w:p>
        </w:tc>
      </w:tr>
      <w:tr w14:paraId="71A2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59" w:type="pct"/>
            <w:vMerge w:val="restart"/>
            <w:noWrap/>
            <w:tcMar>
              <w:top w:w="15" w:type="dxa"/>
              <w:left w:w="15" w:type="dxa"/>
              <w:right w:w="15" w:type="dxa"/>
            </w:tcMar>
            <w:vAlign w:val="center"/>
          </w:tcPr>
          <w:p w14:paraId="3D84DD10">
            <w:pPr>
              <w:pStyle w:val="25"/>
              <w:tabs>
                <w:tab w:val="left" w:pos="780"/>
              </w:tabs>
              <w:ind w:firstLine="0"/>
              <w:jc w:val="center"/>
              <w:rPr>
                <w:rFonts w:hint="eastAsia" w:ascii="宋体" w:hAnsi="宋体" w:eastAsia="宋体" w:cs="宋体"/>
                <w:bCs/>
                <w:kern w:val="2"/>
                <w:sz w:val="21"/>
                <w:szCs w:val="21"/>
                <w:lang w:bidi="zh-CN"/>
              </w:rPr>
            </w:pPr>
            <w:r>
              <w:rPr>
                <w:rFonts w:hint="eastAsia" w:ascii="宋体" w:hAnsi="宋体" w:eastAsia="宋体" w:cs="宋体"/>
                <w:bCs/>
                <w:kern w:val="2"/>
                <w:sz w:val="21"/>
                <w:szCs w:val="21"/>
                <w:lang w:bidi="zh-CN"/>
              </w:rPr>
              <w:t>规范与标准情况</w:t>
            </w:r>
          </w:p>
        </w:tc>
        <w:tc>
          <w:tcPr>
            <w:tcW w:w="4240" w:type="pct"/>
            <w:noWrap w:val="0"/>
            <w:vAlign w:val="top"/>
          </w:tcPr>
          <w:p w14:paraId="540A183D">
            <w:pPr>
              <w:pStyle w:val="25"/>
              <w:tabs>
                <w:tab w:val="left" w:pos="780"/>
              </w:tabs>
              <w:ind w:firstLine="0"/>
              <w:jc w:val="left"/>
              <w:rPr>
                <w:rFonts w:hint="eastAsia" w:ascii="宋体" w:hAnsi="宋体" w:eastAsia="宋体" w:cs="宋体"/>
                <w:bCs/>
                <w:kern w:val="2"/>
                <w:sz w:val="21"/>
                <w:szCs w:val="21"/>
                <w:lang w:bidi="zh-CN"/>
              </w:rPr>
            </w:pPr>
            <w:r>
              <w:rPr>
                <w:rFonts w:hint="eastAsia" w:ascii="宋体" w:hAnsi="宋体" w:eastAsia="宋体" w:cs="宋体"/>
                <w:bCs/>
                <w:kern w:val="2"/>
                <w:sz w:val="21"/>
                <w:szCs w:val="21"/>
                <w:lang w:bidi="zh-CN"/>
              </w:rPr>
              <w:t>通过JavaEE5.0、JavaEE6.0认证、JavaEE7.0认证，并获得JavaEE平台授权许可。</w:t>
            </w:r>
          </w:p>
        </w:tc>
      </w:tr>
      <w:tr w14:paraId="2393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759" w:type="pct"/>
            <w:vMerge w:val="continue"/>
            <w:noWrap/>
            <w:tcMar>
              <w:top w:w="15" w:type="dxa"/>
              <w:left w:w="15" w:type="dxa"/>
              <w:right w:w="15" w:type="dxa"/>
            </w:tcMar>
            <w:vAlign w:val="center"/>
          </w:tcPr>
          <w:p w14:paraId="600A1FB8">
            <w:pPr>
              <w:pStyle w:val="25"/>
              <w:tabs>
                <w:tab w:val="left" w:pos="780"/>
              </w:tabs>
              <w:ind w:firstLine="0"/>
              <w:jc w:val="center"/>
              <w:rPr>
                <w:rFonts w:hint="eastAsia" w:ascii="宋体" w:hAnsi="宋体" w:eastAsia="宋体" w:cs="宋体"/>
                <w:bCs/>
                <w:kern w:val="2"/>
                <w:sz w:val="21"/>
                <w:szCs w:val="21"/>
                <w:lang w:bidi="zh-CN"/>
              </w:rPr>
            </w:pPr>
          </w:p>
        </w:tc>
        <w:tc>
          <w:tcPr>
            <w:tcW w:w="4240" w:type="pct"/>
            <w:noWrap w:val="0"/>
            <w:vAlign w:val="top"/>
          </w:tcPr>
          <w:p w14:paraId="38E91078">
            <w:pPr>
              <w:pStyle w:val="25"/>
              <w:tabs>
                <w:tab w:val="left" w:pos="780"/>
              </w:tabs>
              <w:ind w:firstLine="0"/>
              <w:jc w:val="left"/>
              <w:rPr>
                <w:rFonts w:hint="eastAsia" w:ascii="宋体" w:hAnsi="宋体" w:eastAsia="宋体" w:cs="宋体"/>
                <w:bCs/>
                <w:kern w:val="2"/>
                <w:sz w:val="21"/>
                <w:szCs w:val="21"/>
                <w:lang w:bidi="zh-CN"/>
              </w:rPr>
            </w:pPr>
            <w:r>
              <w:rPr>
                <w:rFonts w:hint="eastAsia" w:ascii="宋体" w:hAnsi="宋体" w:eastAsia="宋体" w:cs="宋体"/>
                <w:bCs/>
                <w:kern w:val="2"/>
                <w:sz w:val="21"/>
                <w:szCs w:val="21"/>
                <w:lang w:bidi="zh-CN"/>
              </w:rPr>
              <w:t>Web产品同时通过JavaEE和JakartaEE权威技术双认证</w:t>
            </w:r>
          </w:p>
        </w:tc>
      </w:tr>
      <w:tr w14:paraId="461A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759" w:type="pct"/>
            <w:vMerge w:val="continue"/>
            <w:noWrap/>
            <w:tcMar>
              <w:top w:w="15" w:type="dxa"/>
              <w:left w:w="15" w:type="dxa"/>
              <w:right w:w="15" w:type="dxa"/>
            </w:tcMar>
            <w:vAlign w:val="center"/>
          </w:tcPr>
          <w:p w14:paraId="7E8E2BBA">
            <w:pPr>
              <w:pStyle w:val="25"/>
              <w:tabs>
                <w:tab w:val="left" w:pos="780"/>
              </w:tabs>
              <w:ind w:firstLine="0"/>
              <w:jc w:val="center"/>
              <w:rPr>
                <w:rFonts w:hint="eastAsia" w:ascii="宋体" w:hAnsi="宋体" w:eastAsia="宋体" w:cs="宋体"/>
                <w:bCs/>
                <w:kern w:val="2"/>
                <w:sz w:val="21"/>
                <w:szCs w:val="21"/>
                <w:lang w:bidi="zh-CN"/>
              </w:rPr>
            </w:pPr>
          </w:p>
        </w:tc>
        <w:tc>
          <w:tcPr>
            <w:tcW w:w="4240" w:type="pct"/>
            <w:noWrap w:val="0"/>
            <w:vAlign w:val="top"/>
          </w:tcPr>
          <w:p w14:paraId="0EBC498A">
            <w:pPr>
              <w:pStyle w:val="25"/>
              <w:tabs>
                <w:tab w:val="left" w:pos="780"/>
              </w:tabs>
              <w:ind w:firstLine="0"/>
              <w:jc w:val="left"/>
              <w:rPr>
                <w:rFonts w:hint="eastAsia" w:ascii="宋体" w:hAnsi="宋体" w:eastAsia="宋体" w:cs="宋体"/>
                <w:bCs/>
                <w:kern w:val="2"/>
                <w:sz w:val="21"/>
                <w:szCs w:val="21"/>
                <w:lang w:bidi="zh-CN"/>
              </w:rPr>
            </w:pPr>
            <w:r>
              <w:rPr>
                <w:rFonts w:hint="eastAsia" w:ascii="宋体" w:hAnsi="宋体" w:eastAsia="宋体" w:cs="宋体"/>
                <w:bCs/>
                <w:kern w:val="2"/>
                <w:sz w:val="21"/>
                <w:szCs w:val="21"/>
                <w:lang w:bidi="zh-CN"/>
              </w:rPr>
              <w:t>为响应国家IPv6战略规划要求，产品必须支持IPv6。</w:t>
            </w:r>
          </w:p>
        </w:tc>
      </w:tr>
      <w:tr w14:paraId="0EC3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59" w:type="pct"/>
            <w:vMerge w:val="continue"/>
            <w:noWrap/>
            <w:tcMar>
              <w:top w:w="15" w:type="dxa"/>
              <w:left w:w="15" w:type="dxa"/>
              <w:right w:w="15" w:type="dxa"/>
            </w:tcMar>
            <w:vAlign w:val="center"/>
          </w:tcPr>
          <w:p w14:paraId="0A632175">
            <w:pPr>
              <w:pStyle w:val="25"/>
              <w:tabs>
                <w:tab w:val="left" w:pos="780"/>
              </w:tabs>
              <w:ind w:firstLine="0"/>
              <w:jc w:val="center"/>
              <w:rPr>
                <w:rFonts w:hint="eastAsia" w:ascii="宋体" w:hAnsi="宋体" w:eastAsia="宋体" w:cs="宋体"/>
                <w:bCs/>
                <w:kern w:val="2"/>
                <w:sz w:val="21"/>
                <w:szCs w:val="21"/>
                <w:lang w:bidi="zh-CN"/>
              </w:rPr>
            </w:pPr>
          </w:p>
        </w:tc>
        <w:tc>
          <w:tcPr>
            <w:tcW w:w="4240" w:type="pct"/>
            <w:noWrap w:val="0"/>
            <w:vAlign w:val="top"/>
          </w:tcPr>
          <w:p w14:paraId="496D9E32">
            <w:pPr>
              <w:pStyle w:val="25"/>
              <w:tabs>
                <w:tab w:val="left" w:pos="780"/>
              </w:tabs>
              <w:ind w:firstLine="0"/>
              <w:jc w:val="left"/>
              <w:rPr>
                <w:rFonts w:hint="eastAsia" w:ascii="宋体" w:hAnsi="宋体" w:eastAsia="宋体" w:cs="宋体"/>
                <w:bCs/>
                <w:kern w:val="2"/>
                <w:sz w:val="21"/>
                <w:szCs w:val="21"/>
                <w:lang w:bidi="zh-CN"/>
              </w:rPr>
            </w:pPr>
            <w:r>
              <w:rPr>
                <w:rFonts w:hint="eastAsia" w:ascii="宋体" w:hAnsi="宋体" w:eastAsia="宋体" w:cs="宋体"/>
                <w:bCs/>
                <w:kern w:val="2"/>
                <w:sz w:val="21"/>
                <w:szCs w:val="21"/>
                <w:lang w:bidi="zh-CN"/>
              </w:rPr>
              <w:t>提供内置的JMS服务，支持将TongLink/Q等第三方消息中间件作为消息服务代理。</w:t>
            </w:r>
          </w:p>
        </w:tc>
      </w:tr>
      <w:tr w14:paraId="3194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9" w:type="pct"/>
            <w:vMerge w:val="restart"/>
            <w:noWrap/>
            <w:tcMar>
              <w:top w:w="15" w:type="dxa"/>
              <w:left w:w="15" w:type="dxa"/>
              <w:right w:w="15" w:type="dxa"/>
            </w:tcMar>
            <w:vAlign w:val="center"/>
          </w:tcPr>
          <w:p w14:paraId="27FDB574">
            <w:pPr>
              <w:pStyle w:val="25"/>
              <w:tabs>
                <w:tab w:val="left" w:pos="780"/>
              </w:tabs>
              <w:ind w:firstLine="0"/>
              <w:jc w:val="center"/>
              <w:rPr>
                <w:rFonts w:hint="eastAsia" w:ascii="宋体" w:hAnsi="宋体" w:eastAsia="宋体" w:cs="宋体"/>
                <w:bCs/>
                <w:kern w:val="2"/>
                <w:sz w:val="21"/>
                <w:szCs w:val="21"/>
                <w:lang w:bidi="zh-CN"/>
              </w:rPr>
            </w:pPr>
            <w:r>
              <w:rPr>
                <w:rFonts w:hint="eastAsia" w:ascii="宋体" w:hAnsi="宋体" w:eastAsia="宋体" w:cs="宋体"/>
                <w:bCs/>
                <w:kern w:val="2"/>
                <w:sz w:val="21"/>
                <w:szCs w:val="21"/>
                <w:lang w:bidi="zh-CN"/>
              </w:rPr>
              <w:t>性能</w:t>
            </w:r>
          </w:p>
        </w:tc>
        <w:tc>
          <w:tcPr>
            <w:tcW w:w="4240" w:type="pct"/>
            <w:noWrap w:val="0"/>
            <w:vAlign w:val="top"/>
          </w:tcPr>
          <w:p w14:paraId="0A6DE5E5">
            <w:pPr>
              <w:pStyle w:val="25"/>
              <w:tabs>
                <w:tab w:val="left" w:pos="780"/>
              </w:tabs>
              <w:ind w:firstLine="0"/>
              <w:jc w:val="left"/>
              <w:rPr>
                <w:rFonts w:hint="eastAsia" w:ascii="宋体" w:hAnsi="宋体" w:eastAsia="宋体" w:cs="宋体"/>
                <w:bCs/>
                <w:kern w:val="2"/>
                <w:sz w:val="21"/>
                <w:szCs w:val="21"/>
                <w:lang w:bidi="zh-CN"/>
              </w:rPr>
            </w:pPr>
            <w:r>
              <w:rPr>
                <w:rFonts w:hint="eastAsia" w:ascii="宋体" w:hAnsi="宋体" w:eastAsia="宋体" w:cs="宋体"/>
                <w:bCs/>
                <w:kern w:val="2"/>
                <w:sz w:val="21"/>
                <w:szCs w:val="21"/>
                <w:lang w:bidi="zh-CN"/>
              </w:rPr>
              <w:t>具备Web应用、EJB应用、虚拟主机、应用服务器集群、身份验证、日志审计等基本工作，提供类库管理、集成环境管理、图形化监控、JVM配置、垃圾回收配置等工具，支持实例部署、数据库连接服务，为业务系统提供运行环境。</w:t>
            </w:r>
          </w:p>
        </w:tc>
      </w:tr>
      <w:tr w14:paraId="5FD4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9" w:type="pct"/>
            <w:vMerge w:val="continue"/>
            <w:noWrap/>
            <w:tcMar>
              <w:top w:w="15" w:type="dxa"/>
              <w:left w:w="15" w:type="dxa"/>
              <w:right w:w="15" w:type="dxa"/>
            </w:tcMar>
            <w:vAlign w:val="center"/>
          </w:tcPr>
          <w:p w14:paraId="6DC50DBC">
            <w:pPr>
              <w:pStyle w:val="25"/>
              <w:tabs>
                <w:tab w:val="left" w:pos="780"/>
              </w:tabs>
              <w:ind w:firstLine="0"/>
              <w:jc w:val="center"/>
              <w:rPr>
                <w:rFonts w:hint="eastAsia" w:ascii="宋体" w:hAnsi="宋体" w:eastAsia="宋体" w:cs="宋体"/>
                <w:bCs/>
                <w:kern w:val="2"/>
                <w:sz w:val="21"/>
                <w:szCs w:val="21"/>
                <w:lang w:bidi="zh-CN"/>
              </w:rPr>
            </w:pPr>
          </w:p>
        </w:tc>
        <w:tc>
          <w:tcPr>
            <w:tcW w:w="4240" w:type="pct"/>
            <w:noWrap w:val="0"/>
            <w:vAlign w:val="top"/>
          </w:tcPr>
          <w:p w14:paraId="010D6EBE">
            <w:pPr>
              <w:pStyle w:val="25"/>
              <w:tabs>
                <w:tab w:val="left" w:pos="780"/>
              </w:tabs>
              <w:ind w:firstLine="0"/>
              <w:jc w:val="left"/>
              <w:rPr>
                <w:rFonts w:hint="eastAsia" w:ascii="宋体" w:hAnsi="宋体" w:eastAsia="宋体" w:cs="宋体"/>
                <w:bCs/>
                <w:kern w:val="2"/>
                <w:sz w:val="21"/>
                <w:szCs w:val="21"/>
                <w:lang w:bidi="zh-CN"/>
              </w:rPr>
            </w:pPr>
            <w:r>
              <w:rPr>
                <w:rFonts w:hint="eastAsia" w:ascii="宋体" w:hAnsi="宋体" w:eastAsia="宋体" w:cs="宋体"/>
                <w:bCs/>
                <w:kern w:val="2"/>
                <w:sz w:val="21"/>
                <w:szCs w:val="21"/>
                <w:lang w:bidi="zh-CN"/>
              </w:rPr>
              <w:t>提供高可用性，不依赖固定HA软件，支持WebServer的双机状况监控与备份切换，避免均衡负载器的单点故障。</w:t>
            </w:r>
          </w:p>
        </w:tc>
      </w:tr>
      <w:tr w14:paraId="7722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59" w:type="pct"/>
            <w:vMerge w:val="continue"/>
            <w:noWrap/>
            <w:tcMar>
              <w:top w:w="15" w:type="dxa"/>
              <w:left w:w="15" w:type="dxa"/>
              <w:right w:w="15" w:type="dxa"/>
            </w:tcMar>
            <w:vAlign w:val="top"/>
          </w:tcPr>
          <w:p w14:paraId="64B3C774">
            <w:pPr>
              <w:pStyle w:val="25"/>
              <w:tabs>
                <w:tab w:val="left" w:pos="780"/>
              </w:tabs>
              <w:ind w:firstLine="0"/>
              <w:jc w:val="center"/>
              <w:rPr>
                <w:rFonts w:hint="eastAsia" w:ascii="宋体" w:hAnsi="宋体" w:eastAsia="宋体" w:cs="宋体"/>
                <w:bCs/>
                <w:kern w:val="2"/>
                <w:sz w:val="21"/>
                <w:szCs w:val="21"/>
                <w:lang w:bidi="zh-CN"/>
              </w:rPr>
            </w:pPr>
          </w:p>
        </w:tc>
        <w:tc>
          <w:tcPr>
            <w:tcW w:w="4240" w:type="pct"/>
            <w:noWrap w:val="0"/>
            <w:vAlign w:val="top"/>
          </w:tcPr>
          <w:p w14:paraId="00C1D6E3">
            <w:pPr>
              <w:pStyle w:val="25"/>
              <w:tabs>
                <w:tab w:val="left" w:pos="780"/>
              </w:tabs>
              <w:ind w:firstLine="0"/>
              <w:jc w:val="left"/>
              <w:rPr>
                <w:rFonts w:hint="eastAsia" w:ascii="宋体" w:hAnsi="宋体" w:eastAsia="宋体" w:cs="宋体"/>
                <w:bCs/>
                <w:kern w:val="2"/>
                <w:sz w:val="21"/>
                <w:szCs w:val="21"/>
                <w:lang w:bidi="zh-CN"/>
              </w:rPr>
            </w:pPr>
            <w:r>
              <w:rPr>
                <w:rFonts w:hint="eastAsia" w:ascii="宋体" w:hAnsi="宋体" w:eastAsia="宋体" w:cs="宋体"/>
                <w:bCs/>
                <w:kern w:val="2"/>
                <w:sz w:val="21"/>
                <w:szCs w:val="21"/>
                <w:lang w:bidi="zh-CN"/>
              </w:rPr>
              <w:t>提供访问过滤配置功能，能够拒绝某IP或IP段的机器访问Web应用，达到防攻击效果。</w:t>
            </w:r>
          </w:p>
        </w:tc>
      </w:tr>
    </w:tbl>
    <w:p w14:paraId="4BF47040">
      <w:pPr>
        <w:bidi w:val="0"/>
        <w:rPr>
          <w:rFonts w:hint="eastAsia"/>
          <w:lang w:val="en-US" w:eastAsia="zh-CN"/>
        </w:rPr>
      </w:pPr>
    </w:p>
    <w:p w14:paraId="22F692A4">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8.系统集成：</w:t>
      </w:r>
    </w:p>
    <w:tbl>
      <w:tblPr>
        <w:tblStyle w:val="62"/>
        <w:tblW w:w="4925" w:type="pct"/>
        <w:tblInd w:w="81" w:type="dxa"/>
        <w:tblLayout w:type="autofit"/>
        <w:tblCellMar>
          <w:top w:w="0" w:type="dxa"/>
          <w:left w:w="108" w:type="dxa"/>
          <w:bottom w:w="0" w:type="dxa"/>
          <w:right w:w="108" w:type="dxa"/>
        </w:tblCellMar>
      </w:tblPr>
      <w:tblGrid>
        <w:gridCol w:w="1382"/>
        <w:gridCol w:w="7768"/>
      </w:tblGrid>
      <w:tr w14:paraId="25AC242D">
        <w:tblPrEx>
          <w:tblCellMar>
            <w:top w:w="0" w:type="dxa"/>
            <w:left w:w="108" w:type="dxa"/>
            <w:bottom w:w="0" w:type="dxa"/>
            <w:right w:w="108" w:type="dxa"/>
          </w:tblCellMar>
        </w:tblPrEx>
        <w:trPr>
          <w:trHeight w:val="285" w:hRule="atLeast"/>
        </w:trPr>
        <w:tc>
          <w:tcPr>
            <w:tcW w:w="755" w:type="pct"/>
            <w:tcBorders>
              <w:top w:val="single" w:color="auto" w:sz="4" w:space="0"/>
              <w:left w:val="single" w:color="auto" w:sz="4" w:space="0"/>
              <w:bottom w:val="single" w:color="auto" w:sz="4" w:space="0"/>
              <w:right w:val="single" w:color="auto" w:sz="4" w:space="0"/>
            </w:tcBorders>
            <w:shd w:val="clear" w:color="auto" w:fill="auto"/>
            <w:noWrap w:val="0"/>
            <w:vAlign w:val="bottom"/>
          </w:tcPr>
          <w:p w14:paraId="3E618571">
            <w:pPr>
              <w:widowControl/>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名称</w:t>
            </w:r>
          </w:p>
        </w:tc>
        <w:tc>
          <w:tcPr>
            <w:tcW w:w="4244" w:type="pct"/>
            <w:tcBorders>
              <w:top w:val="single" w:color="auto" w:sz="4" w:space="0"/>
              <w:left w:val="nil"/>
              <w:bottom w:val="single" w:color="auto" w:sz="4" w:space="0"/>
              <w:right w:val="single" w:color="auto" w:sz="4" w:space="0"/>
            </w:tcBorders>
            <w:shd w:val="clear" w:color="000000" w:fill="FFFFFF"/>
            <w:noWrap w:val="0"/>
            <w:vAlign w:val="center"/>
          </w:tcPr>
          <w:p w14:paraId="4DE38964">
            <w:pPr>
              <w:widowControl/>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技术参数要求</w:t>
            </w:r>
          </w:p>
        </w:tc>
      </w:tr>
      <w:tr w14:paraId="083B0542">
        <w:tblPrEx>
          <w:tblCellMar>
            <w:top w:w="0" w:type="dxa"/>
            <w:left w:w="108" w:type="dxa"/>
            <w:bottom w:w="0" w:type="dxa"/>
            <w:right w:w="108" w:type="dxa"/>
          </w:tblCellMar>
        </w:tblPrEx>
        <w:trPr>
          <w:trHeight w:val="285" w:hRule="atLeast"/>
        </w:trPr>
        <w:tc>
          <w:tcPr>
            <w:tcW w:w="755"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11CA85">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系统集成</w:t>
            </w:r>
          </w:p>
        </w:tc>
        <w:tc>
          <w:tcPr>
            <w:tcW w:w="4244" w:type="pct"/>
            <w:tcBorders>
              <w:top w:val="single" w:color="auto" w:sz="4" w:space="0"/>
              <w:left w:val="nil"/>
              <w:bottom w:val="single" w:color="auto" w:sz="4" w:space="0"/>
              <w:right w:val="single" w:color="auto" w:sz="4" w:space="0"/>
            </w:tcBorders>
            <w:shd w:val="clear" w:color="000000" w:fill="FFFFFF"/>
            <w:noWrap w:val="0"/>
            <w:vAlign w:val="center"/>
          </w:tcPr>
          <w:p w14:paraId="26E4B502">
            <w:pPr>
              <w:bidi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rPr>
              <w:t>硬件平台集成要求</w:t>
            </w:r>
          </w:p>
          <w:p w14:paraId="50622FA0">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（1）所有相关服务器、存储、软件平台的软硬件安装、调试及其新系统环境集成；</w:t>
            </w:r>
          </w:p>
          <w:p w14:paraId="4F80EA38">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cs="宋体"/>
                <w:b w:val="0"/>
                <w:bCs w:val="0"/>
                <w:sz w:val="21"/>
                <w:szCs w:val="21"/>
                <w:lang w:val="en-US" w:eastAsia="zh-CN"/>
              </w:rPr>
              <w:t>操作</w:t>
            </w:r>
            <w:r>
              <w:rPr>
                <w:rFonts w:hint="eastAsia" w:ascii="宋体" w:hAnsi="宋体" w:eastAsia="宋体" w:cs="宋体"/>
                <w:b w:val="0"/>
                <w:bCs w:val="0"/>
                <w:sz w:val="21"/>
                <w:szCs w:val="21"/>
              </w:rPr>
              <w:t>系统软件的安装、调试和维护；</w:t>
            </w:r>
          </w:p>
          <w:p w14:paraId="3FD89C6C">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cs="宋体"/>
                <w:b w:val="0"/>
                <w:bCs w:val="0"/>
                <w:sz w:val="21"/>
                <w:szCs w:val="21"/>
                <w:lang w:val="en-US" w:eastAsia="zh-CN"/>
              </w:rPr>
              <w:t>数据库</w:t>
            </w:r>
            <w:r>
              <w:rPr>
                <w:rFonts w:hint="eastAsia" w:ascii="宋体" w:hAnsi="宋体" w:eastAsia="宋体" w:cs="宋体"/>
                <w:b w:val="0"/>
                <w:bCs w:val="0"/>
                <w:sz w:val="21"/>
                <w:szCs w:val="21"/>
              </w:rPr>
              <w:t>安装、调试和维护；</w:t>
            </w:r>
          </w:p>
          <w:p w14:paraId="04F6C4BF">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cs="宋体"/>
                <w:b w:val="0"/>
                <w:bCs w:val="0"/>
                <w:sz w:val="21"/>
                <w:szCs w:val="21"/>
                <w:lang w:val="en-US" w:eastAsia="zh-CN"/>
              </w:rPr>
              <w:t>安全策略部署</w:t>
            </w:r>
            <w:r>
              <w:rPr>
                <w:rFonts w:hint="eastAsia" w:ascii="宋体" w:hAnsi="宋体" w:eastAsia="宋体" w:cs="宋体"/>
                <w:b w:val="0"/>
                <w:bCs w:val="0"/>
                <w:sz w:val="21"/>
                <w:szCs w:val="21"/>
              </w:rPr>
              <w:t>、调试和维护。</w:t>
            </w:r>
          </w:p>
          <w:p w14:paraId="59B3313D">
            <w:pPr>
              <w:bidi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rPr>
              <w:t>虚拟化平台迁移要求</w:t>
            </w:r>
          </w:p>
          <w:p w14:paraId="67C69686">
            <w:pPr>
              <w:spacing w:line="360"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rPr>
              <w:t>（1）根据实际应用需求，提供虚拟化系统迁移</w:t>
            </w:r>
            <w:r>
              <w:rPr>
                <w:rFonts w:hint="eastAsia" w:ascii="宋体" w:hAnsi="宋体" w:cs="宋体"/>
                <w:b w:val="0"/>
                <w:bCs w:val="0"/>
                <w:sz w:val="21"/>
                <w:szCs w:val="21"/>
                <w:lang w:eastAsia="zh-CN"/>
              </w:rPr>
              <w:t>，</w:t>
            </w:r>
            <w:r>
              <w:rPr>
                <w:rFonts w:hint="eastAsia" w:ascii="宋体" w:hAnsi="宋体" w:cs="宋体"/>
                <w:b w:val="0"/>
                <w:bCs w:val="0"/>
                <w:sz w:val="21"/>
                <w:szCs w:val="21"/>
                <w:highlight w:val="none"/>
                <w:lang w:eastAsia="zh-CN"/>
              </w:rPr>
              <w:t>需和杭州市临安区卫健局现有机房互联互通。</w:t>
            </w:r>
          </w:p>
          <w:p w14:paraId="6BE3DCE2">
            <w:pPr>
              <w:spacing w:line="360" w:lineRule="auto"/>
              <w:rPr>
                <w:rFonts w:hint="default" w:ascii="宋体" w:hAnsi="宋体" w:eastAsia="宋体" w:cs="宋体"/>
                <w:b w:val="0"/>
                <w:bCs w:val="0"/>
                <w:kern w:val="0"/>
                <w:sz w:val="21"/>
                <w:szCs w:val="21"/>
                <w:lang w:val="en-US" w:eastAsia="zh-CN"/>
              </w:rPr>
            </w:pPr>
            <w:r>
              <w:rPr>
                <w:rFonts w:hint="eastAsia" w:ascii="宋体" w:hAnsi="宋体" w:eastAsia="宋体" w:cs="宋体"/>
                <w:b w:val="0"/>
                <w:bCs w:val="0"/>
                <w:sz w:val="21"/>
                <w:szCs w:val="21"/>
              </w:rPr>
              <w:t>（2）业务连续性保障：所有单机业务虚拟化部署，通过迁移工具在线迁移到虚拟化平台上来，原有的物理机不关机，只是断开网络连接，把虚拟机接入到业务网络中去，业务上线测试检查（所有虚拟机测试都是放在晚上业务系统使用频率低的时段进行）。测试无误后，原有物理机开机跑一个星期，无误后再利旧他用 ；如果虚拟机上的业务系统上线测试有问题，迅速关闭虚拟机，把原有物理机接入业务网络中，保证在最短时间恢复业务运行。</w:t>
            </w:r>
          </w:p>
        </w:tc>
      </w:tr>
    </w:tbl>
    <w:p w14:paraId="7E58F519">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三</w:t>
      </w:r>
      <w:r>
        <w:rPr>
          <w:rFonts w:hint="eastAsia" w:asciiTheme="minorEastAsia" w:hAnsiTheme="minorEastAsia" w:eastAsiaTheme="minorEastAsia" w:cstheme="minorEastAsia"/>
          <w:b/>
          <w:bCs/>
          <w:kern w:val="0"/>
          <w:sz w:val="24"/>
          <w:szCs w:val="24"/>
        </w:rPr>
        <w:t>、现场踏勘</w:t>
      </w:r>
    </w:p>
    <w:p w14:paraId="55DB32AE">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1、投标人可以自行对项目现场和周围环境进行考察，现场考察的费用由投标人自负。</w:t>
      </w:r>
    </w:p>
    <w:p w14:paraId="397AD954">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2、现场考察过程中，投标人如发生人身伤亡、财产或其他损失，不论何种原因造成，招标人概不负责。</w:t>
      </w:r>
    </w:p>
    <w:p w14:paraId="4B76FFFC">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四、项目实施时间及质保期</w:t>
      </w:r>
    </w:p>
    <w:p w14:paraId="523575D7">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1、实施时间：合同签订后90日历天完成设备采购并安装调试运行完成。</w:t>
      </w:r>
    </w:p>
    <w:p w14:paraId="4CF3AD7C">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2、质保期：3年。</w:t>
      </w:r>
    </w:p>
    <w:p w14:paraId="62AC660E">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（1）质保期内上门维修，必须出具维修服务单，服务单应包括：用户姓名、联系方式、报修时间、上门时间、完成维修时间、报修设备信息、维修情况等内容，并由用户签字。</w:t>
      </w:r>
    </w:p>
    <w:p w14:paraId="66BEB8F5">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（2）提供24小时技术支持热线，30分钟内电话响应，1小时之内上门维修，12小时内解决问题；不能当场修复的，必须采取提供备品、备件或备机等措施，以保证采购单位的正常使用。</w:t>
      </w:r>
    </w:p>
    <w:p w14:paraId="507D6000">
      <w:pPr>
        <w:keepNext w:val="0"/>
        <w:keepLines w:val="0"/>
        <w:pageBreakBefore w:val="0"/>
        <w:widowControl w:val="0"/>
        <w:kinsoku/>
        <w:wordWrap/>
        <w:overflowPunct/>
        <w:topLinePunct w:val="0"/>
        <w:bidi w:val="0"/>
        <w:snapToGrid w:val="0"/>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、技术培训</w:t>
      </w:r>
    </w:p>
    <w:p w14:paraId="387E23C4">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1、中标人须在采购人处提供设备操作及维修培训。</w:t>
      </w:r>
    </w:p>
    <w:p w14:paraId="694FAE28">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2、中标人提供的负责培训的人员应具备丰富的维修经验。培训内容包括但不限于设备工作原理、操作使用及日常维护保养。</w:t>
      </w:r>
    </w:p>
    <w:p w14:paraId="74131C3E">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、技术培训费用应包含在投标总价中。</w:t>
      </w:r>
    </w:p>
    <w:p w14:paraId="76649F3A">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六</w:t>
      </w:r>
      <w:r>
        <w:rPr>
          <w:rFonts w:hint="eastAsia" w:asciiTheme="minorEastAsia" w:hAnsiTheme="minorEastAsia" w:eastAsiaTheme="minorEastAsia" w:cstheme="minorEastAsia"/>
          <w:b/>
          <w:bCs/>
          <w:kern w:val="0"/>
          <w:sz w:val="24"/>
          <w:szCs w:val="24"/>
        </w:rPr>
        <w:t>、调试和验收</w:t>
      </w:r>
    </w:p>
    <w:p w14:paraId="4FCAD504">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1、依据《临安区政府采购合同履约和验收管理暂行办法》、采购文件要求、响应文件承诺和国家有关质量标准进行验收。设备试机，设备正常运行。</w:t>
      </w:r>
    </w:p>
    <w:p w14:paraId="414AC4BB">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2、中标人应按照采购方要求组织验收，验收时中标人须在现场，验收合格后填写验收单。验收费用由中标人负责。</w:t>
      </w:r>
    </w:p>
    <w:p w14:paraId="23A59EE0">
      <w:pPr>
        <w:pStyle w:val="36"/>
        <w:keepNext w:val="0"/>
        <w:keepLines w:val="0"/>
        <w:pageBreakBefore w:val="0"/>
        <w:widowControl w:val="0"/>
        <w:kinsoku/>
        <w:wordWrap/>
        <w:overflowPunct/>
        <w:topLinePunct w:val="0"/>
        <w:bidi w:val="0"/>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七、付款方式</w:t>
      </w:r>
    </w:p>
    <w:p w14:paraId="6DC23333">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highlight w:val="yellow"/>
        </w:rPr>
      </w:pPr>
      <w:r>
        <w:rPr>
          <w:rFonts w:hint="eastAsia" w:asciiTheme="minorEastAsia" w:hAnsiTheme="minorEastAsia" w:eastAsiaTheme="minorEastAsia" w:cstheme="minorEastAsia"/>
          <w:kern w:val="0"/>
          <w:sz w:val="24"/>
          <w:szCs w:val="24"/>
          <w:highlight w:val="none"/>
        </w:rPr>
        <w:t>1、合同生效以及具备实施条件后</w:t>
      </w: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rPr>
        <w:t>个工作日内，甲方支付合同总价40%的预付款；</w:t>
      </w:r>
    </w:p>
    <w:p w14:paraId="336F75B2">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s="宋体"/>
          <w:b/>
          <w:sz w:val="36"/>
          <w:szCs w:val="36"/>
        </w:rPr>
      </w:pPr>
      <w:r>
        <w:rPr>
          <w:rFonts w:hint="eastAsia" w:asciiTheme="minorEastAsia" w:hAnsiTheme="minorEastAsia" w:eastAsiaTheme="minorEastAsia" w:cstheme="minorEastAsia"/>
          <w:kern w:val="0"/>
          <w:sz w:val="24"/>
          <w:szCs w:val="24"/>
        </w:rPr>
        <w:t>2、设备安装调试完毕，且甲方验收合格后的</w:t>
      </w:r>
      <w:r>
        <w:rPr>
          <w:rFonts w:hint="eastAsia" w:asciiTheme="minorEastAsia" w:hAnsiTheme="minorEastAsia" w:eastAsiaTheme="minorEastAsia" w:cstheme="minorEastAsia"/>
          <w:kern w:val="0"/>
          <w:sz w:val="24"/>
          <w:szCs w:val="24"/>
          <w:lang w:val="en-US" w:eastAsia="zh-CN"/>
        </w:rPr>
        <w:t>30个工作日内，</w:t>
      </w:r>
      <w:r>
        <w:rPr>
          <w:rFonts w:hint="eastAsia" w:asciiTheme="minorEastAsia" w:hAnsiTheme="minorEastAsia" w:eastAsiaTheme="minorEastAsia" w:cstheme="minorEastAsia"/>
          <w:kern w:val="0"/>
          <w:sz w:val="24"/>
          <w:szCs w:val="24"/>
        </w:rPr>
        <w:t>支付合同总价60% 。</w:t>
      </w:r>
    </w:p>
    <w:p w14:paraId="49C60B59">
      <w:pPr>
        <w:keepNext w:val="0"/>
        <w:keepLines w:val="0"/>
        <w:pageBreakBefore w:val="0"/>
        <w:widowControl w:val="0"/>
        <w:kinsoku/>
        <w:wordWrap/>
        <w:overflowPunct/>
        <w:topLinePunct w:val="0"/>
        <w:autoSpaceDE w:val="0"/>
        <w:autoSpaceDN w:val="0"/>
        <w:bidi w:val="0"/>
        <w:adjustRightInd w:val="0"/>
        <w:spacing w:line="440" w:lineRule="exact"/>
        <w:ind w:firstLine="482" w:firstLineChars="200"/>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八、其他</w:t>
      </w:r>
    </w:p>
    <w:p w14:paraId="242B42E6">
      <w:pPr>
        <w:keepNext w:val="0"/>
        <w:keepLines w:val="0"/>
        <w:pageBreakBefore w:val="0"/>
        <w:widowControl w:val="0"/>
        <w:kinsoku/>
        <w:wordWrap/>
        <w:overflowPunct/>
        <w:topLinePunct w:val="0"/>
        <w:autoSpaceDE w:val="0"/>
        <w:autoSpaceDN w:val="0"/>
        <w:bidi w:val="0"/>
        <w:adjustRightInd w:val="0"/>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投标人保证其提供的所有货物、软件及服务等，不会侵犯任何第三方的知识产权和其它权益。如因此发生任何针对甲方的争议、索赔、诉讼等，产生的一切法律责任与费用均由投标人承担。</w:t>
      </w:r>
    </w:p>
    <w:p w14:paraId="64EB0AE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ascii="宋体" w:hAnsi="宋体" w:cs="宋体"/>
          <w:snapToGrid w:val="0"/>
          <w:color w:val="auto"/>
          <w:kern w:val="0"/>
          <w:sz w:val="24"/>
          <w:highlight w:val="none"/>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服务内容清单中的货物供货、安装调试、相关费用、税金等服务内容清单中未提到，但在实际安装过程中需要配置的配件均计入投标报价中，不得额外收费。本项目包含系统工程量包括但不仅限于以上清单，乙方应根据自己的工程经验和项目内容完善系统所需设备清单，包括与现有系统集成所需的软件、硬件等，以保证整个系统的完整性；因乙方经验不足或工作失误导致设备未列入报价清单，从而为完善系统增加的设备和费用均由乙方负责。</w:t>
      </w:r>
    </w:p>
    <w:p w14:paraId="19F2FA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4" w:name="_Toc184313283"/>
      <w:bookmarkEnd w:id="34"/>
      <w:bookmarkStart w:id="35" w:name="_Toc184313250"/>
      <w:bookmarkEnd w:id="35"/>
      <w:bookmarkStart w:id="36" w:name="_Toc184312091"/>
      <w:bookmarkEnd w:id="36"/>
      <w:bookmarkStart w:id="37" w:name="_Toc184308072"/>
      <w:bookmarkEnd w:id="37"/>
      <w:bookmarkStart w:id="38" w:name="_Toc184308104"/>
      <w:bookmarkEnd w:id="38"/>
      <w:bookmarkStart w:id="39" w:name="_Toc184314426"/>
      <w:bookmarkEnd w:id="39"/>
      <w:bookmarkStart w:id="40" w:name="_Toc184308071"/>
      <w:bookmarkEnd w:id="40"/>
      <w:bookmarkStart w:id="41" w:name="_Toc184314414"/>
      <w:bookmarkEnd w:id="41"/>
      <w:bookmarkStart w:id="42" w:name="_Toc184310307"/>
      <w:bookmarkEnd w:id="42"/>
      <w:bookmarkStart w:id="43" w:name="_Toc184310273"/>
      <w:bookmarkEnd w:id="43"/>
      <w:bookmarkStart w:id="44" w:name="_Toc184314450"/>
      <w:bookmarkEnd w:id="44"/>
      <w:bookmarkStart w:id="45" w:name="_Toc184314427"/>
      <w:bookmarkEnd w:id="45"/>
      <w:bookmarkStart w:id="46" w:name="_Toc184312085"/>
      <w:bookmarkEnd w:id="46"/>
      <w:bookmarkStart w:id="47" w:name="_Toc184312089"/>
      <w:bookmarkEnd w:id="47"/>
      <w:bookmarkStart w:id="48" w:name="_Toc184310297"/>
      <w:bookmarkEnd w:id="48"/>
      <w:bookmarkStart w:id="49" w:name="_Toc184313273"/>
      <w:bookmarkEnd w:id="49"/>
      <w:bookmarkStart w:id="50" w:name="_Toc184314437"/>
      <w:bookmarkEnd w:id="50"/>
      <w:bookmarkStart w:id="51" w:name="_Toc184314481"/>
      <w:bookmarkEnd w:id="51"/>
      <w:bookmarkStart w:id="52" w:name="_Toc184312112"/>
      <w:bookmarkEnd w:id="52"/>
      <w:bookmarkStart w:id="53" w:name="_Toc184314418"/>
      <w:bookmarkEnd w:id="53"/>
      <w:bookmarkStart w:id="54" w:name="_Toc184308045"/>
      <w:bookmarkEnd w:id="54"/>
      <w:bookmarkStart w:id="55" w:name="_Toc184313240"/>
      <w:bookmarkEnd w:id="55"/>
      <w:bookmarkStart w:id="56" w:name="_Toc184312099"/>
      <w:bookmarkEnd w:id="56"/>
      <w:bookmarkStart w:id="57" w:name="_Toc184312123"/>
      <w:bookmarkEnd w:id="57"/>
      <w:bookmarkStart w:id="58" w:name="_Toc184313278"/>
      <w:bookmarkEnd w:id="58"/>
      <w:bookmarkStart w:id="59" w:name="_Toc184310304"/>
      <w:bookmarkEnd w:id="59"/>
      <w:bookmarkStart w:id="60" w:name="_Toc184310338"/>
      <w:bookmarkEnd w:id="60"/>
      <w:bookmarkStart w:id="61" w:name="_Toc184308085"/>
      <w:bookmarkEnd w:id="61"/>
      <w:bookmarkStart w:id="62" w:name="_Toc184312070"/>
      <w:bookmarkEnd w:id="62"/>
      <w:bookmarkStart w:id="63" w:name="_Toc184313246"/>
      <w:bookmarkEnd w:id="63"/>
      <w:bookmarkStart w:id="64" w:name="_Toc184314428"/>
      <w:bookmarkEnd w:id="64"/>
      <w:bookmarkStart w:id="65" w:name="_Toc184310299"/>
      <w:bookmarkEnd w:id="65"/>
      <w:bookmarkStart w:id="66" w:name="_Toc184314410"/>
      <w:bookmarkEnd w:id="66"/>
      <w:bookmarkStart w:id="67" w:name="_Toc184313288"/>
      <w:bookmarkEnd w:id="67"/>
      <w:bookmarkStart w:id="68" w:name="_Toc184312118"/>
      <w:bookmarkEnd w:id="68"/>
      <w:bookmarkStart w:id="69" w:name="_Toc184308068"/>
      <w:bookmarkEnd w:id="69"/>
      <w:bookmarkStart w:id="70" w:name="_Toc184312114"/>
      <w:bookmarkEnd w:id="70"/>
      <w:bookmarkStart w:id="71" w:name="_Toc184314475"/>
      <w:bookmarkEnd w:id="71"/>
      <w:bookmarkStart w:id="72" w:name="_Toc184313276"/>
      <w:bookmarkEnd w:id="72"/>
      <w:bookmarkStart w:id="73" w:name="_Toc184312094"/>
      <w:bookmarkEnd w:id="73"/>
      <w:bookmarkStart w:id="74" w:name="_Toc184308095"/>
      <w:bookmarkEnd w:id="74"/>
      <w:bookmarkStart w:id="75" w:name="_Toc184313301"/>
      <w:bookmarkEnd w:id="75"/>
      <w:bookmarkStart w:id="76" w:name="_Toc184314472"/>
      <w:bookmarkEnd w:id="76"/>
      <w:bookmarkStart w:id="77" w:name="_Toc184314424"/>
      <w:bookmarkEnd w:id="77"/>
      <w:bookmarkStart w:id="78" w:name="_Toc184314447"/>
      <w:bookmarkEnd w:id="78"/>
      <w:bookmarkStart w:id="79" w:name="_Toc184313239"/>
      <w:bookmarkEnd w:id="79"/>
      <w:bookmarkStart w:id="80" w:name="_Toc184313261"/>
      <w:bookmarkEnd w:id="80"/>
      <w:bookmarkStart w:id="81" w:name="_Toc184308078"/>
      <w:bookmarkEnd w:id="81"/>
      <w:bookmarkStart w:id="82" w:name="_Toc184314430"/>
      <w:bookmarkEnd w:id="82"/>
      <w:bookmarkStart w:id="83" w:name="_Toc184312087"/>
      <w:bookmarkEnd w:id="83"/>
      <w:bookmarkStart w:id="84" w:name="_Toc184308092"/>
      <w:bookmarkEnd w:id="84"/>
      <w:bookmarkStart w:id="85" w:name="_Toc184308105"/>
      <w:bookmarkEnd w:id="85"/>
      <w:bookmarkStart w:id="86" w:name="_Toc184308082"/>
      <w:bookmarkEnd w:id="86"/>
      <w:bookmarkStart w:id="87" w:name="_Toc184312075"/>
      <w:bookmarkEnd w:id="87"/>
      <w:bookmarkStart w:id="88" w:name="_Toc184313241"/>
      <w:bookmarkEnd w:id="88"/>
      <w:bookmarkStart w:id="89" w:name="_Toc184310301"/>
      <w:bookmarkEnd w:id="89"/>
      <w:bookmarkStart w:id="90" w:name="_Toc184314441"/>
      <w:bookmarkEnd w:id="90"/>
      <w:bookmarkStart w:id="91" w:name="_Toc184314445"/>
      <w:bookmarkEnd w:id="91"/>
      <w:bookmarkStart w:id="92" w:name="_Toc184314446"/>
      <w:bookmarkEnd w:id="92"/>
      <w:bookmarkStart w:id="93" w:name="_Toc184313285"/>
      <w:bookmarkEnd w:id="93"/>
      <w:bookmarkStart w:id="94" w:name="_Toc184312069"/>
      <w:bookmarkEnd w:id="94"/>
      <w:bookmarkStart w:id="95" w:name="_Toc184312078"/>
      <w:bookmarkEnd w:id="95"/>
      <w:bookmarkStart w:id="96" w:name="_Toc184308047"/>
      <w:bookmarkEnd w:id="96"/>
      <w:bookmarkStart w:id="97" w:name="_Toc184310311"/>
      <w:bookmarkEnd w:id="97"/>
      <w:bookmarkStart w:id="98" w:name="_Toc184314436"/>
      <w:bookmarkEnd w:id="98"/>
      <w:bookmarkStart w:id="99" w:name="_Toc184312101"/>
      <w:bookmarkEnd w:id="99"/>
      <w:bookmarkStart w:id="100" w:name="_Toc184314476"/>
      <w:bookmarkEnd w:id="100"/>
      <w:bookmarkStart w:id="101" w:name="_Toc184312076"/>
      <w:bookmarkEnd w:id="101"/>
      <w:bookmarkStart w:id="102" w:name="_Toc184312124"/>
      <w:bookmarkEnd w:id="102"/>
      <w:bookmarkStart w:id="103" w:name="_Toc184312116"/>
      <w:bookmarkEnd w:id="103"/>
      <w:bookmarkStart w:id="104" w:name="_Toc184313305"/>
      <w:bookmarkEnd w:id="104"/>
      <w:bookmarkStart w:id="105" w:name="_Toc184314465"/>
      <w:bookmarkEnd w:id="105"/>
      <w:bookmarkStart w:id="106" w:name="_Toc184310272"/>
      <w:bookmarkEnd w:id="106"/>
      <w:bookmarkStart w:id="107" w:name="_Toc184310276"/>
      <w:bookmarkEnd w:id="107"/>
      <w:bookmarkStart w:id="108" w:name="_Toc184308065"/>
      <w:bookmarkEnd w:id="108"/>
      <w:bookmarkStart w:id="109" w:name="_Toc184308079"/>
      <w:bookmarkEnd w:id="109"/>
      <w:bookmarkStart w:id="110" w:name="_Toc184314455"/>
      <w:bookmarkEnd w:id="110"/>
      <w:bookmarkStart w:id="111" w:name="_Toc184310308"/>
      <w:bookmarkEnd w:id="111"/>
      <w:bookmarkStart w:id="112" w:name="_Toc184313255"/>
      <w:bookmarkEnd w:id="112"/>
      <w:bookmarkStart w:id="113" w:name="_Toc184310325"/>
      <w:bookmarkEnd w:id="113"/>
      <w:bookmarkStart w:id="114" w:name="_Toc184312105"/>
      <w:bookmarkEnd w:id="114"/>
      <w:bookmarkStart w:id="115" w:name="_Toc184312084"/>
      <w:bookmarkEnd w:id="115"/>
      <w:bookmarkStart w:id="116" w:name="_Toc184312115"/>
      <w:bookmarkEnd w:id="116"/>
      <w:bookmarkStart w:id="117" w:name="_Toc184312136"/>
      <w:bookmarkEnd w:id="117"/>
      <w:bookmarkStart w:id="118" w:name="_Toc184310280"/>
      <w:bookmarkEnd w:id="118"/>
      <w:bookmarkStart w:id="119" w:name="_Toc184312086"/>
      <w:bookmarkEnd w:id="119"/>
      <w:bookmarkStart w:id="120" w:name="_Toc184312127"/>
      <w:bookmarkEnd w:id="120"/>
      <w:bookmarkStart w:id="121" w:name="_Toc184308086"/>
      <w:bookmarkEnd w:id="121"/>
      <w:bookmarkStart w:id="122" w:name="_Toc184312110"/>
      <w:bookmarkEnd w:id="122"/>
      <w:bookmarkStart w:id="123" w:name="_Toc184313270"/>
      <w:bookmarkEnd w:id="123"/>
      <w:bookmarkStart w:id="124" w:name="_Toc184313253"/>
      <w:bookmarkEnd w:id="124"/>
      <w:bookmarkStart w:id="125" w:name="_Toc184314419"/>
      <w:bookmarkEnd w:id="125"/>
      <w:bookmarkStart w:id="126" w:name="_Toc184312132"/>
      <w:bookmarkEnd w:id="126"/>
      <w:bookmarkStart w:id="127" w:name="_Toc184308049"/>
      <w:bookmarkEnd w:id="127"/>
      <w:bookmarkStart w:id="128" w:name="_Toc184313247"/>
      <w:bookmarkEnd w:id="128"/>
      <w:bookmarkStart w:id="129" w:name="_Toc184313245"/>
      <w:bookmarkEnd w:id="129"/>
      <w:bookmarkStart w:id="130" w:name="_Toc184312133"/>
      <w:bookmarkEnd w:id="130"/>
      <w:bookmarkStart w:id="131" w:name="_Toc184308063"/>
      <w:bookmarkEnd w:id="131"/>
      <w:bookmarkStart w:id="132" w:name="_Toc184312096"/>
      <w:bookmarkEnd w:id="132"/>
      <w:bookmarkStart w:id="133" w:name="_Toc184312080"/>
      <w:bookmarkEnd w:id="133"/>
      <w:bookmarkStart w:id="134" w:name="_Toc184314425"/>
      <w:bookmarkEnd w:id="134"/>
      <w:bookmarkStart w:id="135" w:name="_Toc184312074"/>
      <w:bookmarkEnd w:id="135"/>
      <w:bookmarkStart w:id="136" w:name="_Toc184308075"/>
      <w:bookmarkEnd w:id="136"/>
      <w:bookmarkStart w:id="137" w:name="_Toc184313310"/>
      <w:bookmarkEnd w:id="137"/>
      <w:bookmarkStart w:id="138" w:name="_Toc184314458"/>
      <w:bookmarkEnd w:id="138"/>
      <w:bookmarkStart w:id="139" w:name="_Toc184312131"/>
      <w:bookmarkEnd w:id="139"/>
      <w:bookmarkStart w:id="140" w:name="_Toc184312098"/>
      <w:bookmarkEnd w:id="140"/>
      <w:bookmarkStart w:id="141" w:name="_Toc184308076"/>
      <w:bookmarkEnd w:id="141"/>
      <w:bookmarkStart w:id="142" w:name="_Toc184312077"/>
      <w:bookmarkEnd w:id="142"/>
      <w:bookmarkStart w:id="143" w:name="_Toc184313289"/>
      <w:bookmarkEnd w:id="143"/>
      <w:bookmarkStart w:id="144" w:name="_Toc184313263"/>
      <w:bookmarkEnd w:id="144"/>
      <w:bookmarkStart w:id="145" w:name="_Toc184310336"/>
      <w:bookmarkEnd w:id="145"/>
      <w:bookmarkStart w:id="146" w:name="_Toc184313287"/>
      <w:bookmarkEnd w:id="146"/>
      <w:bookmarkStart w:id="147" w:name="_Toc184310327"/>
      <w:bookmarkEnd w:id="147"/>
      <w:bookmarkStart w:id="148" w:name="_Toc184308050"/>
      <w:bookmarkEnd w:id="148"/>
      <w:bookmarkStart w:id="149" w:name="_Toc184312071"/>
      <w:bookmarkEnd w:id="149"/>
      <w:bookmarkStart w:id="150" w:name="_Toc184310326"/>
      <w:bookmarkEnd w:id="150"/>
      <w:bookmarkStart w:id="151" w:name="_Toc184314479"/>
      <w:bookmarkEnd w:id="151"/>
      <w:bookmarkStart w:id="152" w:name="_Toc184308080"/>
      <w:bookmarkEnd w:id="152"/>
      <w:bookmarkStart w:id="153" w:name="_Toc184313300"/>
      <w:bookmarkEnd w:id="153"/>
      <w:bookmarkStart w:id="154" w:name="_Toc184314420"/>
      <w:bookmarkEnd w:id="154"/>
      <w:bookmarkStart w:id="155" w:name="_Toc184308081"/>
      <w:bookmarkEnd w:id="155"/>
      <w:bookmarkStart w:id="156" w:name="_Toc184314470"/>
      <w:bookmarkEnd w:id="156"/>
      <w:bookmarkStart w:id="157" w:name="_Toc184314434"/>
      <w:bookmarkEnd w:id="157"/>
      <w:bookmarkStart w:id="158" w:name="_Toc184313258"/>
      <w:bookmarkEnd w:id="158"/>
      <w:bookmarkStart w:id="159" w:name="_Toc184310318"/>
      <w:bookmarkEnd w:id="159"/>
      <w:bookmarkStart w:id="160" w:name="_Toc184308091"/>
      <w:bookmarkEnd w:id="160"/>
      <w:bookmarkStart w:id="161" w:name="_Toc184308054"/>
      <w:bookmarkEnd w:id="161"/>
      <w:bookmarkStart w:id="162" w:name="_Toc184310315"/>
      <w:bookmarkEnd w:id="162"/>
      <w:bookmarkStart w:id="163" w:name="_Toc184314423"/>
      <w:bookmarkEnd w:id="163"/>
      <w:bookmarkStart w:id="164" w:name="_Toc184310341"/>
      <w:bookmarkEnd w:id="164"/>
      <w:bookmarkStart w:id="165" w:name="_Toc184314451"/>
      <w:bookmarkEnd w:id="165"/>
      <w:bookmarkStart w:id="166" w:name="_Toc184308089"/>
      <w:bookmarkEnd w:id="166"/>
      <w:bookmarkStart w:id="167" w:name="_Toc184308061"/>
      <w:bookmarkEnd w:id="167"/>
      <w:bookmarkStart w:id="168" w:name="_Toc184308056"/>
      <w:bookmarkEnd w:id="168"/>
      <w:bookmarkStart w:id="169" w:name="_Toc184310274"/>
      <w:bookmarkEnd w:id="169"/>
      <w:bookmarkStart w:id="170" w:name="_Toc184310323"/>
      <w:bookmarkEnd w:id="170"/>
      <w:bookmarkStart w:id="171" w:name="_Toc184310309"/>
      <w:bookmarkEnd w:id="171"/>
      <w:bookmarkStart w:id="172" w:name="_Toc184308101"/>
      <w:bookmarkEnd w:id="172"/>
      <w:bookmarkStart w:id="173" w:name="_Toc184310335"/>
      <w:bookmarkEnd w:id="173"/>
      <w:bookmarkStart w:id="174" w:name="_Toc184313266"/>
      <w:bookmarkEnd w:id="174"/>
      <w:bookmarkStart w:id="175" w:name="_Toc184314468"/>
      <w:bookmarkEnd w:id="175"/>
      <w:bookmarkStart w:id="176" w:name="_Toc184312093"/>
      <w:bookmarkEnd w:id="176"/>
      <w:bookmarkStart w:id="177" w:name="_Toc184314452"/>
      <w:bookmarkEnd w:id="177"/>
      <w:bookmarkStart w:id="178" w:name="_Toc184308057"/>
      <w:bookmarkEnd w:id="178"/>
      <w:bookmarkStart w:id="179" w:name="_Toc184314461"/>
      <w:bookmarkEnd w:id="179"/>
      <w:bookmarkStart w:id="180" w:name="_Toc184312134"/>
      <w:bookmarkEnd w:id="180"/>
      <w:bookmarkStart w:id="181" w:name="_Toc184313295"/>
      <w:bookmarkEnd w:id="181"/>
      <w:bookmarkStart w:id="182" w:name="_Toc184314467"/>
      <w:bookmarkEnd w:id="182"/>
      <w:bookmarkStart w:id="183" w:name="_Toc184308108"/>
      <w:bookmarkEnd w:id="183"/>
      <w:bookmarkStart w:id="184" w:name="_Toc184310302"/>
      <w:bookmarkEnd w:id="184"/>
      <w:bookmarkStart w:id="185" w:name="_Toc184310288"/>
      <w:bookmarkEnd w:id="185"/>
      <w:bookmarkStart w:id="186" w:name="_Toc184313268"/>
      <w:bookmarkEnd w:id="186"/>
      <w:bookmarkStart w:id="187" w:name="_Toc184310305"/>
      <w:bookmarkEnd w:id="187"/>
      <w:bookmarkStart w:id="188" w:name="_Toc184314448"/>
      <w:bookmarkEnd w:id="188"/>
      <w:bookmarkStart w:id="189" w:name="_Toc184314444"/>
      <w:bookmarkEnd w:id="189"/>
      <w:bookmarkStart w:id="190" w:name="_Toc184314466"/>
      <w:bookmarkEnd w:id="190"/>
      <w:bookmarkStart w:id="191" w:name="_Toc184312137"/>
      <w:bookmarkEnd w:id="191"/>
      <w:bookmarkStart w:id="192" w:name="_Toc184313249"/>
      <w:bookmarkEnd w:id="192"/>
      <w:bookmarkStart w:id="193" w:name="_Toc184308044"/>
      <w:bookmarkEnd w:id="193"/>
      <w:bookmarkStart w:id="194" w:name="_Toc184308058"/>
      <w:bookmarkEnd w:id="194"/>
      <w:bookmarkStart w:id="195" w:name="_Toc184312129"/>
      <w:bookmarkEnd w:id="195"/>
      <w:bookmarkStart w:id="196" w:name="_Toc184308059"/>
      <w:bookmarkEnd w:id="196"/>
      <w:bookmarkStart w:id="197" w:name="_Toc184310292"/>
      <w:bookmarkEnd w:id="197"/>
      <w:bookmarkStart w:id="198" w:name="_Toc184314474"/>
      <w:bookmarkEnd w:id="198"/>
      <w:bookmarkStart w:id="199" w:name="_Toc184308100"/>
      <w:bookmarkEnd w:id="199"/>
      <w:bookmarkStart w:id="200" w:name="_Toc184308046"/>
      <w:bookmarkEnd w:id="200"/>
      <w:bookmarkStart w:id="201" w:name="_Toc184308087"/>
      <w:bookmarkEnd w:id="201"/>
      <w:bookmarkStart w:id="202" w:name="_Toc184310289"/>
      <w:bookmarkEnd w:id="202"/>
      <w:bookmarkStart w:id="203" w:name="_Toc184308041"/>
      <w:bookmarkEnd w:id="203"/>
      <w:bookmarkStart w:id="204" w:name="_Toc184314416"/>
      <w:bookmarkEnd w:id="204"/>
      <w:bookmarkStart w:id="205" w:name="_Toc184310298"/>
      <w:bookmarkEnd w:id="205"/>
      <w:bookmarkStart w:id="206" w:name="_Toc184308073"/>
      <w:bookmarkEnd w:id="206"/>
      <w:bookmarkStart w:id="207" w:name="_Toc184312081"/>
      <w:bookmarkEnd w:id="207"/>
      <w:bookmarkStart w:id="208" w:name="_Toc184314473"/>
      <w:bookmarkEnd w:id="208"/>
      <w:bookmarkStart w:id="209" w:name="_Toc184313303"/>
      <w:bookmarkEnd w:id="209"/>
      <w:bookmarkStart w:id="210" w:name="_Toc184314435"/>
      <w:bookmarkEnd w:id="210"/>
      <w:bookmarkStart w:id="211" w:name="_Toc184312113"/>
      <w:bookmarkEnd w:id="211"/>
      <w:bookmarkStart w:id="212" w:name="_Toc184313242"/>
      <w:bookmarkEnd w:id="212"/>
      <w:bookmarkStart w:id="213" w:name="_Toc184313274"/>
      <w:bookmarkEnd w:id="213"/>
      <w:bookmarkStart w:id="214" w:name="_Toc184308043"/>
      <w:bookmarkEnd w:id="214"/>
      <w:bookmarkStart w:id="215" w:name="_Toc184310320"/>
      <w:bookmarkEnd w:id="215"/>
      <w:bookmarkStart w:id="216" w:name="_Toc184310278"/>
      <w:bookmarkEnd w:id="216"/>
      <w:bookmarkStart w:id="217" w:name="_Toc184312103"/>
      <w:bookmarkEnd w:id="217"/>
      <w:bookmarkStart w:id="218" w:name="_Toc184313265"/>
      <w:bookmarkEnd w:id="218"/>
      <w:bookmarkStart w:id="219" w:name="_Toc184313257"/>
      <w:bookmarkEnd w:id="219"/>
      <w:bookmarkStart w:id="220" w:name="_Toc184312122"/>
      <w:bookmarkEnd w:id="220"/>
      <w:bookmarkStart w:id="221" w:name="_Toc184313298"/>
      <w:bookmarkEnd w:id="221"/>
      <w:bookmarkStart w:id="222" w:name="_Toc184314429"/>
      <w:bookmarkEnd w:id="222"/>
      <w:bookmarkStart w:id="223" w:name="_Toc184313291"/>
      <w:bookmarkEnd w:id="223"/>
      <w:bookmarkStart w:id="224" w:name="_Toc184310282"/>
      <w:bookmarkEnd w:id="224"/>
      <w:bookmarkStart w:id="225" w:name="_Toc184310279"/>
      <w:bookmarkEnd w:id="225"/>
      <w:bookmarkStart w:id="226" w:name="_Toc184314413"/>
      <w:bookmarkEnd w:id="226"/>
      <w:bookmarkStart w:id="227" w:name="_Toc184314464"/>
      <w:bookmarkEnd w:id="227"/>
      <w:bookmarkStart w:id="228" w:name="_Toc184313254"/>
      <w:bookmarkEnd w:id="228"/>
      <w:bookmarkStart w:id="229" w:name="_Toc184314477"/>
      <w:bookmarkEnd w:id="229"/>
      <w:bookmarkStart w:id="230" w:name="_Toc184313309"/>
      <w:bookmarkEnd w:id="230"/>
      <w:bookmarkStart w:id="231" w:name="_Toc184308060"/>
      <w:bookmarkEnd w:id="231"/>
      <w:bookmarkStart w:id="232" w:name="_Toc184313277"/>
      <w:bookmarkEnd w:id="232"/>
      <w:bookmarkStart w:id="233" w:name="_Toc184312128"/>
      <w:bookmarkEnd w:id="233"/>
      <w:bookmarkStart w:id="234" w:name="_Toc184312082"/>
      <w:bookmarkEnd w:id="234"/>
      <w:bookmarkStart w:id="235" w:name="_Toc184314432"/>
      <w:bookmarkEnd w:id="235"/>
      <w:bookmarkStart w:id="236" w:name="_Toc184312073"/>
      <w:bookmarkEnd w:id="236"/>
      <w:bookmarkStart w:id="237" w:name="_Toc184310285"/>
      <w:bookmarkEnd w:id="237"/>
      <w:bookmarkStart w:id="238" w:name="_Toc184312117"/>
      <w:bookmarkEnd w:id="238"/>
      <w:bookmarkStart w:id="239" w:name="_Toc184314440"/>
      <w:bookmarkEnd w:id="239"/>
      <w:bookmarkStart w:id="240" w:name="_Toc184308093"/>
      <w:bookmarkEnd w:id="240"/>
      <w:bookmarkStart w:id="241" w:name="_Toc184313260"/>
      <w:bookmarkEnd w:id="241"/>
      <w:bookmarkStart w:id="242" w:name="_Toc184314417"/>
      <w:bookmarkEnd w:id="242"/>
      <w:bookmarkStart w:id="243" w:name="_Toc184310343"/>
      <w:bookmarkEnd w:id="243"/>
      <w:bookmarkStart w:id="244" w:name="_Toc184310334"/>
      <w:bookmarkEnd w:id="244"/>
      <w:bookmarkStart w:id="245" w:name="_Toc184308048"/>
      <w:bookmarkEnd w:id="245"/>
      <w:bookmarkStart w:id="246" w:name="_Toc184313269"/>
      <w:bookmarkEnd w:id="246"/>
      <w:bookmarkStart w:id="247" w:name="_Toc184312067"/>
      <w:bookmarkEnd w:id="247"/>
      <w:bookmarkStart w:id="248" w:name="_Toc184308042"/>
      <w:bookmarkEnd w:id="248"/>
      <w:bookmarkStart w:id="249" w:name="_Toc184313279"/>
      <w:bookmarkEnd w:id="249"/>
      <w:bookmarkStart w:id="250" w:name="_Toc184308039"/>
      <w:bookmarkEnd w:id="250"/>
      <w:bookmarkStart w:id="251" w:name="_Toc184313294"/>
      <w:bookmarkEnd w:id="251"/>
      <w:bookmarkStart w:id="252" w:name="_Toc184310306"/>
      <w:bookmarkEnd w:id="252"/>
      <w:bookmarkStart w:id="253" w:name="_Toc184310286"/>
      <w:bookmarkEnd w:id="253"/>
      <w:bookmarkStart w:id="254" w:name="_Toc184310332"/>
      <w:bookmarkEnd w:id="254"/>
      <w:bookmarkStart w:id="255" w:name="_Toc184314449"/>
      <w:bookmarkEnd w:id="255"/>
      <w:bookmarkStart w:id="256" w:name="_Toc184310321"/>
      <w:bookmarkEnd w:id="256"/>
      <w:bookmarkStart w:id="257" w:name="_Toc184314442"/>
      <w:bookmarkEnd w:id="257"/>
      <w:bookmarkStart w:id="258" w:name="_Toc184310287"/>
      <w:bookmarkEnd w:id="258"/>
      <w:bookmarkStart w:id="259" w:name="_Toc184310293"/>
      <w:bookmarkEnd w:id="259"/>
      <w:bookmarkStart w:id="260" w:name="_Toc184312121"/>
      <w:bookmarkEnd w:id="260"/>
      <w:bookmarkStart w:id="261" w:name="_Toc184308084"/>
      <w:bookmarkEnd w:id="261"/>
      <w:bookmarkStart w:id="262" w:name="_Toc184313286"/>
      <w:bookmarkEnd w:id="262"/>
      <w:bookmarkStart w:id="263" w:name="_Toc184313259"/>
      <w:bookmarkEnd w:id="263"/>
      <w:bookmarkStart w:id="264" w:name="_Toc184308062"/>
      <w:bookmarkEnd w:id="264"/>
      <w:bookmarkStart w:id="265" w:name="_Toc184310316"/>
      <w:bookmarkEnd w:id="265"/>
      <w:bookmarkStart w:id="266" w:name="_Toc184308083"/>
      <w:bookmarkEnd w:id="266"/>
      <w:bookmarkStart w:id="267" w:name="_Toc184308098"/>
      <w:bookmarkEnd w:id="267"/>
      <w:bookmarkStart w:id="268" w:name="_Toc184308037"/>
      <w:bookmarkEnd w:id="268"/>
      <w:bookmarkStart w:id="269" w:name="_Toc184310290"/>
      <w:bookmarkEnd w:id="269"/>
      <w:bookmarkStart w:id="270" w:name="_Toc184308074"/>
      <w:bookmarkEnd w:id="270"/>
      <w:bookmarkStart w:id="271" w:name="_Toc184308088"/>
      <w:bookmarkEnd w:id="271"/>
      <w:bookmarkStart w:id="272" w:name="_Toc184310330"/>
      <w:bookmarkEnd w:id="272"/>
      <w:bookmarkStart w:id="273" w:name="_Toc184314431"/>
      <w:bookmarkEnd w:id="273"/>
      <w:bookmarkStart w:id="274" w:name="_Toc184308097"/>
      <w:bookmarkEnd w:id="274"/>
      <w:bookmarkStart w:id="275" w:name="_Toc184312138"/>
      <w:bookmarkEnd w:id="275"/>
      <w:bookmarkStart w:id="276" w:name="_Toc184314422"/>
      <w:bookmarkEnd w:id="276"/>
      <w:bookmarkStart w:id="277" w:name="_Toc184313271"/>
      <w:bookmarkEnd w:id="277"/>
      <w:bookmarkStart w:id="278" w:name="_Toc184308040"/>
      <w:bookmarkEnd w:id="278"/>
      <w:bookmarkStart w:id="279" w:name="_Toc184308064"/>
      <w:bookmarkEnd w:id="279"/>
      <w:bookmarkStart w:id="280" w:name="_Toc184313296"/>
      <w:bookmarkEnd w:id="280"/>
      <w:bookmarkStart w:id="281" w:name="_Toc184312139"/>
      <w:bookmarkEnd w:id="281"/>
      <w:bookmarkStart w:id="282" w:name="_Toc184312088"/>
      <w:bookmarkEnd w:id="282"/>
      <w:bookmarkStart w:id="283" w:name="_Toc184313290"/>
      <w:bookmarkEnd w:id="283"/>
      <w:bookmarkStart w:id="284" w:name="_Toc184312107"/>
      <w:bookmarkEnd w:id="284"/>
      <w:bookmarkStart w:id="285" w:name="_Toc184314415"/>
      <w:bookmarkEnd w:id="285"/>
      <w:bookmarkStart w:id="286" w:name="_Toc184310275"/>
      <w:bookmarkEnd w:id="286"/>
      <w:bookmarkStart w:id="287" w:name="_Toc184313293"/>
      <w:bookmarkEnd w:id="287"/>
      <w:bookmarkStart w:id="288" w:name="_Toc184310322"/>
      <w:bookmarkEnd w:id="288"/>
      <w:bookmarkStart w:id="289" w:name="_Toc184312120"/>
      <w:bookmarkEnd w:id="289"/>
      <w:bookmarkStart w:id="290" w:name="_Toc184314421"/>
      <w:bookmarkEnd w:id="290"/>
      <w:bookmarkStart w:id="291" w:name="_Toc184313244"/>
      <w:bookmarkEnd w:id="291"/>
      <w:bookmarkStart w:id="292" w:name="_Toc184308069"/>
      <w:bookmarkEnd w:id="292"/>
      <w:bookmarkStart w:id="293" w:name="_Toc184314443"/>
      <w:bookmarkEnd w:id="293"/>
      <w:bookmarkStart w:id="294" w:name="_Toc184313252"/>
      <w:bookmarkEnd w:id="294"/>
      <w:bookmarkStart w:id="295" w:name="_Toc184312126"/>
      <w:bookmarkEnd w:id="295"/>
      <w:bookmarkStart w:id="296" w:name="_Toc184310284"/>
      <w:bookmarkEnd w:id="296"/>
      <w:bookmarkStart w:id="297" w:name="_Toc184312090"/>
      <w:bookmarkEnd w:id="297"/>
      <w:bookmarkStart w:id="298" w:name="_Toc184312083"/>
      <w:bookmarkEnd w:id="298"/>
      <w:bookmarkStart w:id="299" w:name="_Toc184313272"/>
      <w:bookmarkEnd w:id="299"/>
      <w:bookmarkStart w:id="300" w:name="_Toc184312102"/>
      <w:bookmarkEnd w:id="300"/>
      <w:bookmarkStart w:id="301" w:name="_Toc184310277"/>
      <w:bookmarkEnd w:id="301"/>
      <w:bookmarkStart w:id="302" w:name="_Toc184313302"/>
      <w:bookmarkEnd w:id="302"/>
      <w:bookmarkStart w:id="303" w:name="_Toc184312108"/>
      <w:bookmarkEnd w:id="303"/>
      <w:bookmarkStart w:id="304" w:name="_Toc184308067"/>
      <w:bookmarkEnd w:id="304"/>
      <w:bookmarkStart w:id="305" w:name="_Toc184314412"/>
      <w:bookmarkEnd w:id="305"/>
      <w:bookmarkStart w:id="306" w:name="_Toc184314457"/>
      <w:bookmarkEnd w:id="306"/>
      <w:bookmarkStart w:id="307" w:name="_Toc184308052"/>
      <w:bookmarkEnd w:id="307"/>
      <w:bookmarkStart w:id="308" w:name="_Toc184314456"/>
      <w:bookmarkEnd w:id="308"/>
      <w:bookmarkStart w:id="309" w:name="_Toc184314480"/>
      <w:bookmarkEnd w:id="309"/>
      <w:bookmarkStart w:id="310" w:name="_Toc184308102"/>
      <w:bookmarkEnd w:id="310"/>
      <w:bookmarkStart w:id="311" w:name="_Toc184308053"/>
      <w:bookmarkEnd w:id="311"/>
      <w:bookmarkStart w:id="312" w:name="_Toc184312095"/>
      <w:bookmarkEnd w:id="312"/>
      <w:bookmarkStart w:id="313" w:name="_Toc184312106"/>
      <w:bookmarkEnd w:id="313"/>
      <w:bookmarkStart w:id="314" w:name="_Toc184308094"/>
      <w:bookmarkEnd w:id="314"/>
      <w:bookmarkStart w:id="315" w:name="_Toc184312079"/>
      <w:bookmarkEnd w:id="315"/>
      <w:bookmarkStart w:id="316" w:name="_Toc184310333"/>
      <w:bookmarkEnd w:id="316"/>
      <w:bookmarkStart w:id="317" w:name="_Toc184314462"/>
      <w:bookmarkEnd w:id="317"/>
      <w:bookmarkStart w:id="318" w:name="_Toc184310339"/>
      <w:bookmarkEnd w:id="318"/>
      <w:bookmarkStart w:id="319" w:name="_Toc184312135"/>
      <w:bookmarkEnd w:id="319"/>
      <w:bookmarkStart w:id="320" w:name="_Toc184308066"/>
      <w:bookmarkEnd w:id="320"/>
      <w:bookmarkStart w:id="321" w:name="_Toc184314459"/>
      <w:bookmarkEnd w:id="321"/>
      <w:bookmarkStart w:id="322" w:name="_Toc184312104"/>
      <w:bookmarkEnd w:id="322"/>
      <w:bookmarkStart w:id="323" w:name="_Toc184308051"/>
      <w:bookmarkEnd w:id="323"/>
      <w:bookmarkStart w:id="324" w:name="_Toc184308070"/>
      <w:bookmarkEnd w:id="324"/>
      <w:bookmarkStart w:id="325" w:name="_Toc184310283"/>
      <w:bookmarkEnd w:id="325"/>
      <w:bookmarkStart w:id="326" w:name="_Toc184313238"/>
      <w:bookmarkEnd w:id="326"/>
      <w:bookmarkStart w:id="327" w:name="_Toc184310303"/>
      <w:bookmarkEnd w:id="327"/>
      <w:bookmarkStart w:id="328" w:name="_Toc184310294"/>
      <w:bookmarkEnd w:id="328"/>
      <w:bookmarkStart w:id="329" w:name="_Toc184308107"/>
      <w:bookmarkEnd w:id="329"/>
      <w:bookmarkStart w:id="330" w:name="_Toc184314433"/>
      <w:bookmarkEnd w:id="330"/>
      <w:bookmarkStart w:id="331" w:name="_Toc184313308"/>
      <w:bookmarkEnd w:id="331"/>
      <w:bookmarkStart w:id="332" w:name="_Toc184308103"/>
      <w:bookmarkEnd w:id="332"/>
      <w:bookmarkStart w:id="333" w:name="_Toc184313297"/>
      <w:bookmarkEnd w:id="333"/>
      <w:bookmarkStart w:id="334" w:name="_Toc184313292"/>
      <w:bookmarkEnd w:id="334"/>
      <w:bookmarkStart w:id="335" w:name="_Toc184313282"/>
      <w:bookmarkEnd w:id="335"/>
      <w:bookmarkStart w:id="336" w:name="_Toc184313264"/>
      <w:bookmarkEnd w:id="336"/>
      <w:bookmarkStart w:id="337" w:name="_Toc184312097"/>
      <w:bookmarkEnd w:id="337"/>
      <w:bookmarkStart w:id="338" w:name="_Toc184310342"/>
      <w:bookmarkEnd w:id="338"/>
      <w:bookmarkStart w:id="339" w:name="_Toc184310295"/>
      <w:bookmarkEnd w:id="339"/>
      <w:bookmarkStart w:id="340" w:name="_Toc184313243"/>
      <w:bookmarkEnd w:id="340"/>
      <w:bookmarkStart w:id="341" w:name="_Toc184310340"/>
      <w:bookmarkEnd w:id="341"/>
      <w:bookmarkStart w:id="342" w:name="_Toc184308090"/>
      <w:bookmarkEnd w:id="342"/>
      <w:bookmarkStart w:id="343" w:name="_Toc184308055"/>
      <w:bookmarkEnd w:id="343"/>
      <w:bookmarkStart w:id="344" w:name="_Toc184312125"/>
      <w:bookmarkEnd w:id="344"/>
      <w:bookmarkStart w:id="345" w:name="_Toc184312068"/>
      <w:bookmarkEnd w:id="345"/>
      <w:bookmarkStart w:id="346" w:name="_Toc184313262"/>
      <w:bookmarkEnd w:id="346"/>
      <w:bookmarkStart w:id="347" w:name="_Toc184314439"/>
      <w:bookmarkEnd w:id="347"/>
      <w:bookmarkStart w:id="348" w:name="_Toc184313299"/>
      <w:bookmarkEnd w:id="348"/>
      <w:bookmarkStart w:id="349" w:name="_Toc184313280"/>
      <w:bookmarkEnd w:id="349"/>
      <w:bookmarkStart w:id="350" w:name="_Toc184310310"/>
      <w:bookmarkEnd w:id="350"/>
      <w:bookmarkStart w:id="351" w:name="_Toc184310329"/>
      <w:bookmarkEnd w:id="351"/>
      <w:bookmarkStart w:id="352" w:name="_Toc184313284"/>
      <w:bookmarkEnd w:id="352"/>
      <w:bookmarkStart w:id="353" w:name="_Toc184310337"/>
      <w:bookmarkEnd w:id="353"/>
      <w:bookmarkStart w:id="354" w:name="_Toc184308106"/>
      <w:bookmarkEnd w:id="354"/>
      <w:bookmarkStart w:id="355" w:name="_Toc184314463"/>
      <w:bookmarkEnd w:id="355"/>
      <w:bookmarkStart w:id="356" w:name="_Toc184310317"/>
      <w:bookmarkEnd w:id="356"/>
      <w:bookmarkStart w:id="357" w:name="_Toc184313251"/>
      <w:bookmarkEnd w:id="357"/>
      <w:bookmarkStart w:id="358" w:name="_Toc184314460"/>
      <w:bookmarkEnd w:id="358"/>
      <w:bookmarkStart w:id="359" w:name="_Toc184310319"/>
      <w:bookmarkEnd w:id="359"/>
      <w:bookmarkStart w:id="360" w:name="_Toc184310324"/>
      <w:bookmarkEnd w:id="360"/>
      <w:bookmarkStart w:id="361" w:name="_Toc184314482"/>
      <w:bookmarkEnd w:id="361"/>
      <w:bookmarkStart w:id="362" w:name="_Toc184313306"/>
      <w:bookmarkEnd w:id="362"/>
      <w:bookmarkStart w:id="363" w:name="_Toc184314411"/>
      <w:bookmarkEnd w:id="363"/>
      <w:bookmarkStart w:id="364" w:name="_Toc184308038"/>
      <w:bookmarkEnd w:id="364"/>
      <w:bookmarkStart w:id="365" w:name="_Toc184310312"/>
      <w:bookmarkEnd w:id="365"/>
      <w:bookmarkStart w:id="366" w:name="_Toc184314478"/>
      <w:bookmarkEnd w:id="366"/>
      <w:bookmarkStart w:id="367" w:name="_Toc184310314"/>
      <w:bookmarkEnd w:id="367"/>
      <w:bookmarkStart w:id="368" w:name="_Toc184313275"/>
      <w:bookmarkEnd w:id="368"/>
      <w:bookmarkStart w:id="369" w:name="_Toc184310313"/>
      <w:bookmarkEnd w:id="369"/>
      <w:bookmarkStart w:id="370" w:name="_Toc184312072"/>
      <w:bookmarkEnd w:id="370"/>
      <w:bookmarkStart w:id="371" w:name="_Toc184308099"/>
      <w:bookmarkEnd w:id="371"/>
      <w:bookmarkStart w:id="372" w:name="_Toc184313267"/>
      <w:bookmarkEnd w:id="372"/>
      <w:bookmarkStart w:id="373" w:name="_Toc184313281"/>
      <w:bookmarkEnd w:id="373"/>
      <w:bookmarkStart w:id="374" w:name="_Toc184314453"/>
      <w:bookmarkEnd w:id="374"/>
      <w:bookmarkStart w:id="375" w:name="_Toc184312109"/>
      <w:bookmarkEnd w:id="375"/>
      <w:bookmarkStart w:id="376" w:name="_Toc184312111"/>
      <w:bookmarkEnd w:id="376"/>
      <w:bookmarkStart w:id="377" w:name="_Toc184310328"/>
      <w:bookmarkEnd w:id="377"/>
      <w:bookmarkStart w:id="378" w:name="_Toc184313307"/>
      <w:bookmarkEnd w:id="378"/>
      <w:bookmarkStart w:id="379" w:name="_Toc184313256"/>
      <w:bookmarkEnd w:id="379"/>
      <w:bookmarkStart w:id="380" w:name="_Toc184308036"/>
      <w:bookmarkEnd w:id="380"/>
      <w:bookmarkStart w:id="381" w:name="_Toc184312130"/>
      <w:bookmarkEnd w:id="381"/>
      <w:bookmarkStart w:id="382" w:name="_Toc184312092"/>
      <w:bookmarkEnd w:id="382"/>
      <w:bookmarkStart w:id="383" w:name="_Toc184310331"/>
      <w:bookmarkEnd w:id="383"/>
      <w:bookmarkStart w:id="384" w:name="_Toc184310281"/>
      <w:bookmarkEnd w:id="384"/>
      <w:bookmarkStart w:id="385" w:name="_Toc184312100"/>
      <w:bookmarkEnd w:id="385"/>
      <w:bookmarkStart w:id="386" w:name="_Toc184308096"/>
      <w:bookmarkEnd w:id="386"/>
      <w:bookmarkStart w:id="387" w:name="_Toc184310300"/>
      <w:bookmarkEnd w:id="387"/>
      <w:bookmarkStart w:id="388" w:name="_Toc184310296"/>
      <w:bookmarkEnd w:id="388"/>
      <w:bookmarkStart w:id="389" w:name="_Toc184310291"/>
      <w:bookmarkEnd w:id="389"/>
      <w:bookmarkStart w:id="390" w:name="_Toc184314438"/>
      <w:bookmarkEnd w:id="390"/>
      <w:bookmarkStart w:id="391" w:name="_Toc184313304"/>
      <w:bookmarkEnd w:id="391"/>
      <w:bookmarkStart w:id="392" w:name="_Toc184314469"/>
      <w:bookmarkEnd w:id="392"/>
      <w:bookmarkStart w:id="393" w:name="_Toc184314454"/>
      <w:bookmarkEnd w:id="393"/>
      <w:bookmarkStart w:id="394" w:name="_Toc184310344"/>
      <w:bookmarkEnd w:id="394"/>
      <w:bookmarkStart w:id="395" w:name="_Toc184314471"/>
      <w:bookmarkEnd w:id="395"/>
      <w:bookmarkStart w:id="396" w:name="_Toc184312119"/>
      <w:bookmarkEnd w:id="396"/>
      <w:bookmarkStart w:id="397" w:name="_Toc184308077"/>
      <w:bookmarkEnd w:id="397"/>
      <w:bookmarkStart w:id="398" w:name="_Toc184313248"/>
      <w:bookmarkEnd w:id="398"/>
      <w:r>
        <w:rPr>
          <w:rFonts w:hint="eastAsia" w:ascii="宋体" w:hAnsi="宋体" w:cs="宋体"/>
          <w:b/>
          <w:color w:val="auto"/>
          <w:sz w:val="36"/>
          <w:szCs w:val="36"/>
          <w:highlight w:val="none"/>
        </w:rPr>
        <w:t>评标办法</w:t>
      </w:r>
    </w:p>
    <w:p w14:paraId="3852D31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3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8"/>
        <w:gridCol w:w="5252"/>
        <w:gridCol w:w="887"/>
        <w:gridCol w:w="1039"/>
        <w:gridCol w:w="2068"/>
      </w:tblGrid>
      <w:tr w14:paraId="5213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0BD3DA58">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2624" w:type="pct"/>
            <w:shd w:val="clear" w:color="auto" w:fill="auto"/>
            <w:vAlign w:val="center"/>
          </w:tcPr>
          <w:p w14:paraId="66398C54">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443" w:type="pct"/>
            <w:shd w:val="clear" w:color="auto" w:fill="auto"/>
            <w:vAlign w:val="center"/>
          </w:tcPr>
          <w:p w14:paraId="652F12F5">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519" w:type="pct"/>
            <w:shd w:val="clear" w:color="auto" w:fill="auto"/>
            <w:vAlign w:val="center"/>
          </w:tcPr>
          <w:p w14:paraId="53C31955">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033" w:type="pct"/>
            <w:shd w:val="clear" w:color="auto" w:fill="auto"/>
          </w:tcPr>
          <w:p w14:paraId="33D07345">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7B71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519BA3D6">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eastAsia="zh-CN"/>
              </w:rPr>
            </w:pPr>
            <w:bookmarkStart w:id="561" w:name="_GoBack" w:colFirst="1" w:colLast="4"/>
            <w:r>
              <w:rPr>
                <w:rFonts w:hint="eastAsia" w:cs="仿宋_GB2312" w:asciiTheme="minorEastAsia" w:hAnsiTheme="minorEastAsia" w:eastAsiaTheme="minorEastAsia"/>
                <w:color w:val="auto"/>
                <w:sz w:val="24"/>
                <w:highlight w:val="none"/>
                <w:lang w:val="en-US" w:eastAsia="zh-CN"/>
              </w:rPr>
              <w:t>1</w:t>
            </w:r>
          </w:p>
        </w:tc>
        <w:tc>
          <w:tcPr>
            <w:tcW w:w="2624" w:type="pct"/>
            <w:shd w:val="clear" w:color="auto" w:fill="auto"/>
            <w:vAlign w:val="center"/>
          </w:tcPr>
          <w:p w14:paraId="060AEBC0">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产品的技术指标的吻合程度和偏差情况（包括所投标产品的规格型号、详细配置、主要技术参数、随机软件、证明材料、产品售后等），满足采购文件技术指标的得基准分30分，标“☆”参数每负偏离一项扣减2分，对其他参数或功能要求负偏离或未响应的每项扣1分。扣完为止，共30分。</w:t>
            </w:r>
          </w:p>
          <w:p w14:paraId="47718138">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注：如果要求提供测试报告复印件、截图、证书复印件等证明材料而未提供视作一项负偏离。</w:t>
            </w:r>
          </w:p>
        </w:tc>
        <w:tc>
          <w:tcPr>
            <w:tcW w:w="443" w:type="pct"/>
            <w:shd w:val="clear" w:color="auto" w:fill="auto"/>
            <w:vAlign w:val="center"/>
          </w:tcPr>
          <w:p w14:paraId="2EE15714">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30</w:t>
            </w:r>
          </w:p>
        </w:tc>
        <w:tc>
          <w:tcPr>
            <w:tcW w:w="519" w:type="pct"/>
            <w:shd w:val="clear" w:color="auto" w:fill="auto"/>
            <w:vAlign w:val="center"/>
          </w:tcPr>
          <w:p w14:paraId="32C10F02">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1033" w:type="pct"/>
            <w:shd w:val="clear" w:color="auto" w:fill="auto"/>
            <w:vAlign w:val="center"/>
          </w:tcPr>
          <w:p w14:paraId="3C45705A">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投标产品情况</w:t>
            </w:r>
          </w:p>
        </w:tc>
      </w:tr>
      <w:tr w14:paraId="2683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7FD57911">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2624" w:type="pct"/>
            <w:shd w:val="clear" w:color="auto" w:fill="auto"/>
            <w:vAlign w:val="center"/>
          </w:tcPr>
          <w:p w14:paraId="5D40A229">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投标人针对本项目的现状、建设需求，结合本项目建设目标，提供详细的设备集成完整</w:t>
            </w:r>
            <w:r>
              <w:rPr>
                <w:rFonts w:hint="eastAsia" w:asciiTheme="minorEastAsia" w:hAnsiTheme="minorEastAsia" w:eastAsiaTheme="minorEastAsia" w:cstheme="minorEastAsia"/>
                <w:color w:val="auto"/>
                <w:sz w:val="24"/>
                <w:szCs w:val="24"/>
                <w:highlight w:val="none"/>
                <w:lang w:val="en-US" w:eastAsia="zh-CN"/>
              </w:rPr>
              <w:t>项目技术方案。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方案全面详实，针对性强，完全满足采购项目实施的视为符合。全部符合得3分，基本符合得2分，部分符合得1分，不符合或未提供不得分。共3分。</w:t>
            </w:r>
          </w:p>
        </w:tc>
        <w:tc>
          <w:tcPr>
            <w:tcW w:w="443" w:type="pct"/>
            <w:shd w:val="clear" w:color="auto" w:fill="auto"/>
            <w:vAlign w:val="center"/>
          </w:tcPr>
          <w:p w14:paraId="7AEDF0CC">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19" w:type="pct"/>
            <w:shd w:val="clear" w:color="auto" w:fill="auto"/>
            <w:vAlign w:val="center"/>
          </w:tcPr>
          <w:p w14:paraId="34A81863">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1033" w:type="pct"/>
            <w:shd w:val="clear" w:color="auto" w:fill="auto"/>
            <w:vAlign w:val="center"/>
          </w:tcPr>
          <w:p w14:paraId="52838AF6">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项目技术方案</w:t>
            </w:r>
          </w:p>
        </w:tc>
      </w:tr>
      <w:tr w14:paraId="4785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330E3D0D">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2624" w:type="pct"/>
            <w:shd w:val="clear" w:color="auto" w:fill="auto"/>
            <w:vAlign w:val="center"/>
          </w:tcPr>
          <w:p w14:paraId="70BE7A0B">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投标人承诺：本次采购的超融合服务器网络需和临安区卫健局一体化数据中心网络互联互通。提供相应承诺的得2分，未提供不得分。共2分。</w:t>
            </w:r>
          </w:p>
        </w:tc>
        <w:tc>
          <w:tcPr>
            <w:tcW w:w="443" w:type="pct"/>
            <w:shd w:val="clear" w:color="auto" w:fill="auto"/>
            <w:vAlign w:val="center"/>
          </w:tcPr>
          <w:p w14:paraId="226447A9">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519" w:type="pct"/>
            <w:shd w:val="clear" w:color="auto" w:fill="auto"/>
            <w:vAlign w:val="center"/>
          </w:tcPr>
          <w:p w14:paraId="5FC7BB4D">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1033" w:type="pct"/>
            <w:shd w:val="clear" w:color="auto" w:fill="auto"/>
            <w:vAlign w:val="center"/>
          </w:tcPr>
          <w:p w14:paraId="049E2B41">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相关承诺</w:t>
            </w:r>
          </w:p>
        </w:tc>
      </w:tr>
      <w:tr w14:paraId="6433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48134DA9">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2624" w:type="pct"/>
            <w:shd w:val="clear" w:color="auto" w:fill="auto"/>
            <w:vAlign w:val="center"/>
          </w:tcPr>
          <w:p w14:paraId="3C403EA2">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系统演示：</w:t>
            </w:r>
          </w:p>
          <w:p w14:paraId="6C95A66D">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一、超融合服务器的管理平台演示如下功能（5分）：</w:t>
            </w:r>
          </w:p>
          <w:p w14:paraId="58374516">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1、可指定专用独享迁移网络，隔离迁移网络流量与管理网流量，保障用户业务正常运行。（完整演示且满足的得2分，不满足或没有演示的不得分）</w:t>
            </w:r>
          </w:p>
          <w:p w14:paraId="7855F829">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2、支持纳管、配置和监控物理交换机设备，超融合管理平台界面支持设置物理交换机环路检测、端口速率、LLDP功能开关、端口聚合等；支持在超融合管理界面查看物理交换机各个端口信号灯状态、VLAN ID、连接状态、速率、带宽利用率、对端连接设备、光模块类型和匹配状态等信息。（完整演示且满足的得1分，不满足或没有演示的不得分）</w:t>
            </w:r>
          </w:p>
          <w:p w14:paraId="7CB99DE8">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3、支持多租户管理，根据需要对用户进行不同授权。提供B/S和C/S两种虚拟机控制台使用方式，C/S客户端无任何授权限制。（完整演示且满足的得1分，不满足或没有演示的不得分）</w:t>
            </w:r>
          </w:p>
          <w:p w14:paraId="3C0195C6">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4、支持一云多芯，支持一套管理平台纳管不同CPU架构（至少3种）的主机集群。（完整演示且满足的得1分，不满足或没有演示的不得分）</w:t>
            </w:r>
          </w:p>
          <w:p w14:paraId="1C3EBC01">
            <w:pPr>
              <w:spacing w:line="360" w:lineRule="auto"/>
              <w:ind w:left="0" w:leftChars="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w:t>
            </w:r>
            <w:r>
              <w:rPr>
                <w:rFonts w:hint="eastAsia" w:ascii="宋体" w:hAnsi="宋体" w:cs="宋体"/>
                <w:color w:val="auto"/>
                <w:sz w:val="24"/>
                <w:highlight w:val="none"/>
                <w:lang w:val="en-US" w:eastAsia="zh-CN"/>
              </w:rPr>
              <w:t>数据库审计功能</w:t>
            </w:r>
            <w:r>
              <w:rPr>
                <w:rFonts w:hint="eastAsia" w:ascii="宋体" w:hAnsi="宋体" w:eastAsia="宋体" w:cs="宋体"/>
                <w:color w:val="auto"/>
                <w:sz w:val="24"/>
                <w:highlight w:val="none"/>
                <w:lang w:val="en-US" w:eastAsia="zh-CN"/>
              </w:rPr>
              <w:t>演示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p w14:paraId="648603D3">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sz w:val="24"/>
                <w:szCs w:val="24"/>
                <w:highlight w:val="none"/>
              </w:rPr>
              <w:t>支持安全规则遍历匹配，针对某个操作，将全部安全规则进行匹配，并返回所有匹配的告警结果</w:t>
            </w:r>
            <w:r>
              <w:rPr>
                <w:rFonts w:hint="eastAsia" w:ascii="宋体" w:hAnsi="宋体" w:cs="宋体"/>
                <w:color w:val="auto"/>
                <w:sz w:val="24"/>
                <w:highlight w:val="none"/>
              </w:rPr>
              <w:t>。（完整演示且满足的得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分，不满足或没有演示的不得分）</w:t>
            </w:r>
          </w:p>
          <w:p w14:paraId="345986C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sz w:val="24"/>
                <w:szCs w:val="24"/>
                <w:highlight w:val="none"/>
              </w:rPr>
              <w:t>支持内置安全规则通过规则包进行单独升级</w:t>
            </w:r>
            <w:r>
              <w:rPr>
                <w:rFonts w:hint="eastAsia" w:ascii="宋体" w:hAnsi="宋体" w:cs="宋体"/>
                <w:color w:val="auto"/>
                <w:sz w:val="24"/>
                <w:highlight w:val="none"/>
                <w:lang w:eastAsia="zh-CN"/>
              </w:rPr>
              <w:t>。</w:t>
            </w:r>
            <w:r>
              <w:rPr>
                <w:rFonts w:hint="eastAsia" w:ascii="宋体" w:hAnsi="宋体" w:cs="宋体"/>
                <w:color w:val="auto"/>
                <w:sz w:val="24"/>
                <w:highlight w:val="none"/>
              </w:rPr>
              <w:t>（完整演示且满足的得</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分，不满足或没有演示的不得分）</w:t>
            </w:r>
          </w:p>
          <w:p w14:paraId="026B8D0C">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sz w:val="24"/>
                <w:szCs w:val="24"/>
                <w:highlight w:val="none"/>
              </w:rPr>
              <w:t>支持在审计日志中一键添加过滤规则，支持在告警规则中一键添加信任规则或规则白名单</w:t>
            </w:r>
            <w:r>
              <w:rPr>
                <w:rFonts w:hint="eastAsia" w:ascii="宋体" w:hAnsi="宋体" w:cs="宋体"/>
                <w:color w:val="auto"/>
                <w:sz w:val="24"/>
                <w:highlight w:val="none"/>
              </w:rPr>
              <w:t>。（完整演示且满足的得</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rPr>
              <w:t>分，不满足或没有演示的不得分）</w:t>
            </w:r>
          </w:p>
          <w:p w14:paraId="35E05F5E">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sz w:val="24"/>
                <w:szCs w:val="24"/>
                <w:highlight w:val="none"/>
              </w:rPr>
              <w:t>历史会话中的审计记录支持直接导出，支持通过“查询分析”按钮跳转至审计日志页面进行进一步的分析筛选</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（完整演示且满足的得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分，不满足或没有演示的不得分）</w:t>
            </w:r>
          </w:p>
        </w:tc>
        <w:tc>
          <w:tcPr>
            <w:tcW w:w="443" w:type="pct"/>
            <w:shd w:val="clear" w:color="auto" w:fill="auto"/>
            <w:vAlign w:val="center"/>
          </w:tcPr>
          <w:p w14:paraId="70A5089D">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519" w:type="pct"/>
            <w:shd w:val="clear" w:color="auto" w:fill="auto"/>
            <w:vAlign w:val="center"/>
          </w:tcPr>
          <w:p w14:paraId="05E08AAA">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1033" w:type="pct"/>
            <w:shd w:val="clear" w:color="auto" w:fill="auto"/>
            <w:vAlign w:val="center"/>
          </w:tcPr>
          <w:p w14:paraId="6B4B76EF">
            <w:pPr>
              <w:keepNext w:val="0"/>
              <w:keepLines w:val="0"/>
              <w:pageBreakBefore w:val="0"/>
              <w:kinsoku/>
              <w:wordWrap/>
              <w:overflowPunct/>
              <w:topLinePunct w:val="0"/>
              <w:autoSpaceDE/>
              <w:autoSpaceDN/>
              <w:bidi w:val="0"/>
              <w:snapToGrid w:val="0"/>
              <w:spacing w:line="360" w:lineRule="auto"/>
              <w:jc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系统演示</w:t>
            </w:r>
          </w:p>
        </w:tc>
      </w:tr>
      <w:tr w14:paraId="6D4F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1C18C13D">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2624" w:type="pct"/>
            <w:shd w:val="clear" w:color="auto" w:fill="auto"/>
            <w:vAlign w:val="center"/>
          </w:tcPr>
          <w:p w14:paraId="385E4E1A">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项目实施方案: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应根据采购需求中工作内容提供一份完整的项目进度计划，以确定各阶段的主要工作内容、成果及其进度。进度安排合理，能确保项目的顺利完成的视为符合，符合得3分，基本符合得2分，部分符合得1分，其余不得分，共3分。</w:t>
            </w:r>
          </w:p>
        </w:tc>
        <w:tc>
          <w:tcPr>
            <w:tcW w:w="443" w:type="pct"/>
            <w:shd w:val="clear" w:color="auto" w:fill="auto"/>
            <w:vAlign w:val="center"/>
          </w:tcPr>
          <w:p w14:paraId="356AB32D">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19" w:type="pct"/>
            <w:shd w:val="clear" w:color="auto" w:fill="auto"/>
            <w:vAlign w:val="center"/>
          </w:tcPr>
          <w:p w14:paraId="27FD7F5F">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1033" w:type="pct"/>
            <w:shd w:val="clear" w:color="auto" w:fill="auto"/>
            <w:vAlign w:val="center"/>
          </w:tcPr>
          <w:p w14:paraId="14E3F429">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项目实施方案</w:t>
            </w:r>
          </w:p>
        </w:tc>
      </w:tr>
      <w:tr w14:paraId="7050D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3B5F9C53">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2624" w:type="pct"/>
            <w:shd w:val="clear" w:color="auto" w:fill="auto"/>
            <w:vAlign w:val="center"/>
          </w:tcPr>
          <w:p w14:paraId="4C87DC54">
            <w:pPr>
              <w:keepNext w:val="0"/>
              <w:keepLines w:val="0"/>
              <w:pageBreakBefore w:val="0"/>
              <w:widowControl/>
              <w:kinsoku/>
              <w:wordWrap/>
              <w:overflowPunct/>
              <w:topLinePunct w:val="0"/>
              <w:autoSpaceDE/>
              <w:autoSpaceDN/>
              <w:bidi w:val="0"/>
              <w:spacing w:line="360" w:lineRule="auto"/>
              <w:textAlignment w:val="center"/>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本项目拟派项目经理：</w:t>
            </w:r>
            <w:r>
              <w:rPr>
                <w:rFonts w:hint="eastAsia" w:asciiTheme="minorEastAsia" w:hAnsiTheme="minorEastAsia" w:eastAsiaTheme="minorEastAsia" w:cstheme="minorEastAsia"/>
                <w:b w:val="0"/>
                <w:bCs w:val="0"/>
                <w:color w:val="auto"/>
                <w:kern w:val="2"/>
                <w:sz w:val="24"/>
                <w:szCs w:val="24"/>
                <w:highlight w:val="none"/>
                <w:lang w:val="zh-CN" w:eastAsia="zh-CN" w:bidi="ar-SA"/>
              </w:rPr>
              <w:t>具有</w:t>
            </w:r>
            <w:r>
              <w:rPr>
                <w:rFonts w:hint="eastAsia" w:asciiTheme="minorEastAsia" w:hAnsiTheme="minorEastAsia" w:eastAsiaTheme="minorEastAsia" w:cstheme="minorEastAsia"/>
                <w:b w:val="0"/>
                <w:bCs w:val="0"/>
                <w:color w:val="auto"/>
                <w:kern w:val="2"/>
                <w:sz w:val="24"/>
                <w:szCs w:val="24"/>
                <w:highlight w:val="none"/>
                <w:lang w:val="en-US" w:eastAsia="zh-CN" w:bidi="ar-SA"/>
              </w:rPr>
              <w:t>中国信息安全测评中心颁发的注册信息安全专业人员证书</w:t>
            </w:r>
            <w:r>
              <w:rPr>
                <w:rFonts w:hint="eastAsia" w:asciiTheme="minorEastAsia" w:hAnsiTheme="minorEastAsia" w:eastAsiaTheme="minorEastAsia" w:cstheme="minorEastAsia"/>
                <w:b w:val="0"/>
                <w:bCs w:val="0"/>
                <w:color w:val="auto"/>
                <w:kern w:val="2"/>
                <w:sz w:val="24"/>
                <w:szCs w:val="24"/>
                <w:highlight w:val="none"/>
                <w:lang w:val="zh-CN" w:eastAsia="zh-CN" w:bidi="ar-SA"/>
              </w:rPr>
              <w:t>的得</w:t>
            </w:r>
            <w:r>
              <w:rPr>
                <w:rFonts w:hint="eastAsia" w:asciiTheme="minorEastAsia" w:hAnsiTheme="minorEastAsia" w:eastAsiaTheme="minorEastAsia" w:cstheme="minorEastAsia"/>
                <w:b w:val="0"/>
                <w:bCs w:val="0"/>
                <w:color w:val="auto"/>
                <w:kern w:val="2"/>
                <w:sz w:val="24"/>
                <w:szCs w:val="24"/>
                <w:highlight w:val="none"/>
                <w:lang w:val="en-US" w:eastAsia="zh-CN" w:bidi="ar-SA"/>
              </w:rPr>
              <w:t>2</w:t>
            </w:r>
            <w:r>
              <w:rPr>
                <w:rFonts w:hint="eastAsia" w:asciiTheme="minorEastAsia" w:hAnsiTheme="minorEastAsia" w:eastAsiaTheme="minorEastAsia" w:cstheme="minorEastAsia"/>
                <w:b w:val="0"/>
                <w:bCs w:val="0"/>
                <w:color w:val="auto"/>
                <w:kern w:val="2"/>
                <w:sz w:val="24"/>
                <w:szCs w:val="24"/>
                <w:highlight w:val="none"/>
                <w:lang w:val="zh-CN" w:eastAsia="zh-CN" w:bidi="ar-SA"/>
              </w:rPr>
              <w:t>分。</w:t>
            </w:r>
          </w:p>
          <w:p w14:paraId="71FF0FDB">
            <w:pPr>
              <w:keepNext w:val="0"/>
              <w:keepLines w:val="0"/>
              <w:pageBreakBefore w:val="0"/>
              <w:widowControl/>
              <w:kinsoku/>
              <w:wordWrap/>
              <w:overflowPunct/>
              <w:topLinePunct w:val="0"/>
              <w:autoSpaceDE/>
              <w:autoSpaceDN/>
              <w:bidi w:val="0"/>
              <w:spacing w:line="360" w:lineRule="auto"/>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证明材料：提供拟派人员清单（包括但不限于：姓名、身份证、项目职责）、近3个月社保证明、相关证书，证明材料不全或不满足要求的不得分。</w:t>
            </w:r>
          </w:p>
        </w:tc>
        <w:tc>
          <w:tcPr>
            <w:tcW w:w="443" w:type="pct"/>
            <w:shd w:val="clear" w:color="auto" w:fill="auto"/>
            <w:vAlign w:val="center"/>
          </w:tcPr>
          <w:p w14:paraId="50DFA790">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19" w:type="pct"/>
            <w:shd w:val="clear" w:color="auto" w:fill="auto"/>
            <w:vAlign w:val="center"/>
          </w:tcPr>
          <w:p w14:paraId="751F8195">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1033" w:type="pct"/>
            <w:shd w:val="clear" w:color="auto" w:fill="auto"/>
            <w:vAlign w:val="center"/>
          </w:tcPr>
          <w:p w14:paraId="15ABACDF">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项目组成员情况</w:t>
            </w:r>
          </w:p>
        </w:tc>
      </w:tr>
      <w:tr w14:paraId="10DD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554AB902">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2624" w:type="pct"/>
            <w:shd w:val="clear" w:color="auto" w:fill="auto"/>
            <w:vAlign w:val="center"/>
          </w:tcPr>
          <w:p w14:paraId="0BC7A0A2">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品控管理方案。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对产品品质有管理管控过程。交货前，需对交货前产品进行检查以满足本项目要求。方案内容完整、满足采购需求视为符合，全部符合得3分，基本符合得2分，部分符合得1分，不符合或未提供不得分。共3分。</w:t>
            </w:r>
          </w:p>
        </w:tc>
        <w:tc>
          <w:tcPr>
            <w:tcW w:w="443" w:type="pct"/>
            <w:shd w:val="clear" w:color="auto" w:fill="auto"/>
            <w:vAlign w:val="center"/>
          </w:tcPr>
          <w:p w14:paraId="6030F70D">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19" w:type="pct"/>
            <w:shd w:val="clear" w:color="auto" w:fill="auto"/>
            <w:vAlign w:val="center"/>
          </w:tcPr>
          <w:p w14:paraId="1E5115E8">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1033" w:type="pct"/>
            <w:shd w:val="clear" w:color="auto" w:fill="auto"/>
            <w:vAlign w:val="center"/>
          </w:tcPr>
          <w:p w14:paraId="076A586A">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品控管理方案</w:t>
            </w:r>
          </w:p>
        </w:tc>
      </w:tr>
      <w:tr w14:paraId="3B8D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0C83C79A">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2624" w:type="pct"/>
            <w:shd w:val="clear" w:color="auto" w:fill="auto"/>
            <w:vAlign w:val="center"/>
          </w:tcPr>
          <w:p w14:paraId="32BFF146">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售后服务措施和方案。</w:t>
            </w: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提出合理的售后服务措施和方案，包括①售后服务保障能力；②售后服务措施；③售后服务机构。方案内容详细完整、保障性强，满足采购需求视为符合，全部符合得3分，基本符合得2分，部分符合得1分，不符合或未提供不得分。共3分。</w:t>
            </w:r>
          </w:p>
        </w:tc>
        <w:tc>
          <w:tcPr>
            <w:tcW w:w="443" w:type="pct"/>
            <w:shd w:val="clear" w:color="auto" w:fill="auto"/>
            <w:vAlign w:val="center"/>
          </w:tcPr>
          <w:p w14:paraId="6197E1BC">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19" w:type="pct"/>
            <w:shd w:val="clear" w:color="auto" w:fill="auto"/>
            <w:vAlign w:val="center"/>
          </w:tcPr>
          <w:p w14:paraId="5E35BFAC">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1033" w:type="pct"/>
            <w:vMerge w:val="restart"/>
            <w:shd w:val="clear" w:color="auto" w:fill="auto"/>
            <w:vAlign w:val="center"/>
          </w:tcPr>
          <w:p w14:paraId="4BFC7ABE">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仿宋"/>
                <w:sz w:val="24"/>
                <w:highlight w:val="none"/>
              </w:rPr>
              <w:t>售后服务措施和方案</w:t>
            </w:r>
          </w:p>
        </w:tc>
      </w:tr>
      <w:tr w14:paraId="3B10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08E8679A">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2624" w:type="pct"/>
            <w:shd w:val="clear" w:color="auto" w:fill="auto"/>
            <w:vAlign w:val="center"/>
          </w:tcPr>
          <w:p w14:paraId="5B47D5D6">
            <w:pPr>
              <w:keepNext w:val="0"/>
              <w:keepLines w:val="0"/>
              <w:pageBreakBefore w:val="0"/>
              <w:widowControl/>
              <w:kinsoku/>
              <w:wordWrap/>
              <w:overflowPunct/>
              <w:topLinePunct w:val="0"/>
              <w:autoSpaceDE/>
              <w:autoSpaceDN/>
              <w:bidi w:val="0"/>
              <w:spacing w:line="360" w:lineRule="auto"/>
              <w:jc w:val="left"/>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投标人提供满足项目需要的备品备件（易损件），并制定更换与使用计划。备品备件清单内容完整、价格明确、规格产地清楚，且与本项目设施设备相匹配，计划安排科学合理，保证项目正常运行的视为符合，全部</w:t>
            </w:r>
            <w:r>
              <w:rPr>
                <w:rFonts w:hint="eastAsia" w:asciiTheme="minorEastAsia" w:hAnsiTheme="minorEastAsia" w:eastAsiaTheme="minorEastAsia" w:cstheme="minorEastAsia"/>
                <w:color w:val="auto"/>
                <w:kern w:val="2"/>
                <w:sz w:val="24"/>
                <w:szCs w:val="24"/>
                <w:highlight w:val="none"/>
                <w:lang w:val="en-US" w:eastAsia="zh-CN" w:bidi="ar-SA"/>
              </w:rPr>
              <w:t>符合得3分，基本符合得2分，部分符合得1分，方案未提供或不合理的不得分，共3分。</w:t>
            </w:r>
          </w:p>
        </w:tc>
        <w:tc>
          <w:tcPr>
            <w:tcW w:w="443" w:type="pct"/>
            <w:shd w:val="clear" w:color="auto" w:fill="auto"/>
            <w:vAlign w:val="center"/>
          </w:tcPr>
          <w:p w14:paraId="05CB0125">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519" w:type="pct"/>
            <w:shd w:val="clear" w:color="auto" w:fill="auto"/>
            <w:vAlign w:val="center"/>
          </w:tcPr>
          <w:p w14:paraId="64C95568">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1033" w:type="pct"/>
            <w:vMerge w:val="continue"/>
            <w:shd w:val="clear" w:color="auto" w:fill="auto"/>
            <w:vAlign w:val="center"/>
          </w:tcPr>
          <w:p w14:paraId="570B1999">
            <w:pPr>
              <w:keepNext w:val="0"/>
              <w:keepLines w:val="0"/>
              <w:pageBreakBefore w:val="0"/>
              <w:kinsoku/>
              <w:wordWrap/>
              <w:overflowPunct/>
              <w:topLinePunct w:val="0"/>
              <w:autoSpaceDE/>
              <w:autoSpaceDN/>
              <w:bidi w:val="0"/>
              <w:snapToGrid w:val="0"/>
              <w:spacing w:line="360" w:lineRule="auto"/>
              <w:jc w:val="center"/>
              <w:rPr>
                <w:rFonts w:hint="eastAsia" w:ascii="宋体" w:hAnsi="宋体" w:cs="仿宋"/>
                <w:sz w:val="24"/>
                <w:highlight w:val="none"/>
              </w:rPr>
            </w:pPr>
          </w:p>
        </w:tc>
      </w:tr>
      <w:tr w14:paraId="405A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0CB4E2C9">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2624" w:type="pct"/>
            <w:shd w:val="clear" w:color="auto" w:fill="auto"/>
            <w:vAlign w:val="center"/>
          </w:tcPr>
          <w:p w14:paraId="51DB4D03">
            <w:pPr>
              <w:keepNext w:val="0"/>
              <w:keepLines w:val="0"/>
              <w:pageBreakBefore w:val="0"/>
              <w:kinsoku/>
              <w:wordWrap/>
              <w:overflowPunct/>
              <w:topLinePunct w:val="0"/>
              <w:autoSpaceDE/>
              <w:autoSpaceDN/>
              <w:bidi w:val="0"/>
              <w:spacing w:line="360" w:lineRule="auto"/>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承诺：①质保期内上门维修，必须出具维修服务单，服务单应包括：用户姓名、联系方式、报修时间、上门时间、完成维修时间、报修设备信息、维修情况等内容，并由用户签字。②质保期内，提供24小时技术支持热线，30分钟内电话响应，1小时之内上门维修，12小时内解决问题；不能当场修复的，必须采取提供备品、备件或备机等措施，以保证采购单位的正常使用。需提供相关承诺，每项符合的得1分，不满足或未提供不得分。共2分。</w:t>
            </w:r>
          </w:p>
        </w:tc>
        <w:tc>
          <w:tcPr>
            <w:tcW w:w="443" w:type="pct"/>
            <w:shd w:val="clear" w:color="auto" w:fill="auto"/>
            <w:vAlign w:val="center"/>
          </w:tcPr>
          <w:p w14:paraId="776D1036">
            <w:pPr>
              <w:keepNext w:val="0"/>
              <w:keepLines w:val="0"/>
              <w:pageBreakBefore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519" w:type="pct"/>
            <w:shd w:val="clear" w:color="auto" w:fill="auto"/>
            <w:vAlign w:val="center"/>
          </w:tcPr>
          <w:p w14:paraId="3610B02E">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1033" w:type="pct"/>
            <w:vMerge w:val="continue"/>
            <w:shd w:val="clear" w:color="auto" w:fill="auto"/>
            <w:vAlign w:val="center"/>
          </w:tcPr>
          <w:p w14:paraId="2AD92567">
            <w:pPr>
              <w:keepNext w:val="0"/>
              <w:keepLines w:val="0"/>
              <w:pageBreakBefore w:val="0"/>
              <w:kinsoku/>
              <w:wordWrap/>
              <w:overflowPunct/>
              <w:topLinePunct w:val="0"/>
              <w:autoSpaceDE/>
              <w:autoSpaceDN/>
              <w:bidi w:val="0"/>
              <w:snapToGrid w:val="0"/>
              <w:spacing w:line="360" w:lineRule="auto"/>
              <w:jc w:val="center"/>
              <w:rPr>
                <w:rFonts w:hint="eastAsia" w:ascii="宋体" w:hAnsi="宋体" w:cs="仿宋"/>
                <w:sz w:val="24"/>
                <w:highlight w:val="none"/>
              </w:rPr>
            </w:pPr>
          </w:p>
        </w:tc>
      </w:tr>
      <w:tr w14:paraId="2E1F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4047BAF9">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2624" w:type="pct"/>
            <w:shd w:val="clear" w:color="auto" w:fill="auto"/>
            <w:vAlign w:val="center"/>
          </w:tcPr>
          <w:p w14:paraId="7899232C">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根据采购需求制定相关操作培训方案，培训方案包括：包括培训内容、培训计划、培训管理、培训质量控制等；根据培训方案内容进行评分，方案科学合理，利于实际操作，能有效达到培训目的的视为符合，全部符合得3分，基本符合得2分，部分符合得1分，方案未提供或不合理的不得分，共3分。</w:t>
            </w:r>
          </w:p>
        </w:tc>
        <w:tc>
          <w:tcPr>
            <w:tcW w:w="443" w:type="pct"/>
            <w:shd w:val="clear" w:color="auto" w:fill="auto"/>
            <w:vAlign w:val="center"/>
          </w:tcPr>
          <w:p w14:paraId="092946A5">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519" w:type="pct"/>
            <w:shd w:val="clear" w:color="auto" w:fill="auto"/>
            <w:vAlign w:val="center"/>
          </w:tcPr>
          <w:p w14:paraId="6911ACCE">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主观分</w:t>
            </w:r>
          </w:p>
        </w:tc>
        <w:tc>
          <w:tcPr>
            <w:tcW w:w="1033" w:type="pct"/>
            <w:shd w:val="clear" w:color="auto" w:fill="auto"/>
            <w:vAlign w:val="center"/>
          </w:tcPr>
          <w:p w14:paraId="6D97A306">
            <w:pPr>
              <w:keepNext w:val="0"/>
              <w:keepLines w:val="0"/>
              <w:pageBreakBefore w:val="0"/>
              <w:kinsoku/>
              <w:wordWrap/>
              <w:overflowPunct/>
              <w:topLinePunct w:val="0"/>
              <w:autoSpaceDE/>
              <w:autoSpaceDN/>
              <w:bidi w:val="0"/>
              <w:snapToGrid w:val="0"/>
              <w:spacing w:line="360" w:lineRule="auto"/>
              <w:jc w:val="center"/>
              <w:rPr>
                <w:rFonts w:cs="仿宋_GB2312" w:asciiTheme="minorEastAsia" w:hAnsiTheme="minorEastAsia" w:eastAsiaTheme="minorEastAsia"/>
                <w:color w:val="auto"/>
                <w:sz w:val="24"/>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技术培训方案</w:t>
            </w:r>
          </w:p>
        </w:tc>
      </w:tr>
      <w:tr w14:paraId="6961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1360189C">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12</w:t>
            </w:r>
          </w:p>
        </w:tc>
        <w:tc>
          <w:tcPr>
            <w:tcW w:w="2624" w:type="pct"/>
            <w:shd w:val="clear" w:color="auto" w:fill="auto"/>
            <w:vAlign w:val="center"/>
          </w:tcPr>
          <w:p w14:paraId="0FB82693">
            <w:pPr>
              <w:pStyle w:val="258"/>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rPr>
              <w:t>具有质量管理体系认证</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信息技术服务管理体系认证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信息安全管理体系认证</w:t>
            </w:r>
            <w:r>
              <w:rPr>
                <w:rFonts w:hint="eastAsia" w:asciiTheme="minorEastAsia" w:hAnsiTheme="minorEastAsia" w:eastAsiaTheme="minorEastAsia" w:cstheme="minorEastAsia"/>
                <w:b w:val="0"/>
                <w:bCs w:val="0"/>
                <w:color w:val="auto"/>
                <w:sz w:val="24"/>
                <w:szCs w:val="24"/>
                <w:highlight w:val="none"/>
                <w:lang w:eastAsia="zh-CN"/>
              </w:rPr>
              <w:t>，提供相关有效证书，每项得</w:t>
            </w:r>
            <w:r>
              <w:rPr>
                <w:rFonts w:hint="eastAsia" w:asciiTheme="minorEastAsia" w:hAnsiTheme="minorEastAsia" w:eastAsiaTheme="minorEastAsia" w:cstheme="minorEastAsia"/>
                <w:b w:val="0"/>
                <w:bCs w:val="0"/>
                <w:color w:val="auto"/>
                <w:sz w:val="24"/>
                <w:szCs w:val="24"/>
                <w:highlight w:val="none"/>
                <w:lang w:val="en-US" w:eastAsia="zh-CN"/>
              </w:rPr>
              <w:t>1分，共3分。</w:t>
            </w:r>
          </w:p>
        </w:tc>
        <w:tc>
          <w:tcPr>
            <w:tcW w:w="443" w:type="pct"/>
            <w:shd w:val="clear" w:color="auto" w:fill="auto"/>
            <w:vAlign w:val="center"/>
          </w:tcPr>
          <w:p w14:paraId="7507AA90">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rPr>
              <w:t>3</w:t>
            </w:r>
          </w:p>
        </w:tc>
        <w:tc>
          <w:tcPr>
            <w:tcW w:w="519" w:type="pct"/>
            <w:shd w:val="clear" w:color="auto" w:fill="auto"/>
            <w:vAlign w:val="center"/>
          </w:tcPr>
          <w:p w14:paraId="734A965A">
            <w:pPr>
              <w:keepNext w:val="0"/>
              <w:keepLines w:val="0"/>
              <w:pageBreakBefore w:val="0"/>
              <w:widowControl/>
              <w:kinsoku/>
              <w:wordWrap/>
              <w:overflowPunct/>
              <w:topLinePunct w:val="0"/>
              <w:autoSpaceDE/>
              <w:autoSpaceDN/>
              <w:bidi w:val="0"/>
              <w:spacing w:line="360" w:lineRule="auto"/>
              <w:jc w:val="center"/>
              <w:textAlignment w:val="center"/>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1033" w:type="pct"/>
            <w:shd w:val="clear" w:color="auto" w:fill="auto"/>
            <w:vAlign w:val="center"/>
          </w:tcPr>
          <w:p w14:paraId="570923C2">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投标人资信</w:t>
            </w:r>
          </w:p>
        </w:tc>
      </w:tr>
      <w:tr w14:paraId="518F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246A29BA">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13</w:t>
            </w:r>
          </w:p>
        </w:tc>
        <w:tc>
          <w:tcPr>
            <w:tcW w:w="2624" w:type="pct"/>
            <w:shd w:val="clear" w:color="auto" w:fill="auto"/>
            <w:vAlign w:val="center"/>
          </w:tcPr>
          <w:p w14:paraId="38FC0F30">
            <w:pPr>
              <w:keepNext w:val="0"/>
              <w:keepLines w:val="0"/>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投标人自2020年1月1日至开标时间止（以合同签订时间为准）具有同类项目（服务器或网络安全设备项目），需提供合同，每提供一个得1分，共3分。</w:t>
            </w:r>
          </w:p>
        </w:tc>
        <w:tc>
          <w:tcPr>
            <w:tcW w:w="443" w:type="pct"/>
            <w:shd w:val="clear" w:color="auto" w:fill="auto"/>
            <w:vAlign w:val="center"/>
          </w:tcPr>
          <w:p w14:paraId="2AC3D02C">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3</w:t>
            </w:r>
          </w:p>
        </w:tc>
        <w:tc>
          <w:tcPr>
            <w:tcW w:w="519" w:type="pct"/>
            <w:shd w:val="clear" w:color="auto" w:fill="auto"/>
            <w:vAlign w:val="center"/>
          </w:tcPr>
          <w:p w14:paraId="13ADF198">
            <w:pPr>
              <w:keepNext w:val="0"/>
              <w:keepLines w:val="0"/>
              <w:pageBreakBefore w:val="0"/>
              <w:kinsoku/>
              <w:wordWrap/>
              <w:overflowPunct/>
              <w:topLinePunct w:val="0"/>
              <w:autoSpaceDE/>
              <w:autoSpaceDN/>
              <w:bidi w:val="0"/>
              <w:spacing w:line="360" w:lineRule="auto"/>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客观分</w:t>
            </w:r>
          </w:p>
        </w:tc>
        <w:tc>
          <w:tcPr>
            <w:tcW w:w="1033" w:type="pct"/>
            <w:shd w:val="clear" w:color="auto" w:fill="auto"/>
            <w:vAlign w:val="center"/>
          </w:tcPr>
          <w:p w14:paraId="19EBF267">
            <w:pPr>
              <w:keepNext w:val="0"/>
              <w:keepLines w:val="0"/>
              <w:pageBreakBefore w:val="0"/>
              <w:kinsoku/>
              <w:wordWrap/>
              <w:overflowPunct/>
              <w:topLinePunct w:val="0"/>
              <w:autoSpaceDE/>
              <w:autoSpaceDN/>
              <w:bidi w:val="0"/>
              <w:snapToGrid w:val="0"/>
              <w:spacing w:line="360" w:lineRule="auto"/>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eastAsia="zh-CN"/>
              </w:rPr>
              <w:t>同类</w:t>
            </w:r>
            <w:r>
              <w:rPr>
                <w:rFonts w:hint="eastAsia" w:cs="仿宋_GB2312" w:asciiTheme="minorEastAsia" w:hAnsiTheme="minorEastAsia" w:eastAsiaTheme="minorEastAsia"/>
                <w:color w:val="auto"/>
                <w:sz w:val="24"/>
                <w:highlight w:val="none"/>
              </w:rPr>
              <w:t>项目情况</w:t>
            </w:r>
          </w:p>
        </w:tc>
      </w:tr>
      <w:tr w14:paraId="31DB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79" w:type="pct"/>
            <w:shd w:val="clear" w:color="auto" w:fill="auto"/>
            <w:vAlign w:val="center"/>
          </w:tcPr>
          <w:p w14:paraId="40D01002">
            <w:pPr>
              <w:keepNext w:val="0"/>
              <w:keepLines w:val="0"/>
              <w:pageBreakBefore w:val="0"/>
              <w:kinsoku/>
              <w:wordWrap/>
              <w:overflowPunct/>
              <w:topLinePunct w:val="0"/>
              <w:autoSpaceDE/>
              <w:autoSpaceDN/>
              <w:bidi w:val="0"/>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2624" w:type="pct"/>
            <w:shd w:val="clear" w:color="auto" w:fill="auto"/>
          </w:tcPr>
          <w:p w14:paraId="600E6E23">
            <w:pPr>
              <w:keepNext w:val="0"/>
              <w:keepLines w:val="0"/>
              <w:pageBreakBefore w:val="0"/>
              <w:kinsoku/>
              <w:wordWrap/>
              <w:overflowPunct/>
              <w:topLinePunct w:val="0"/>
              <w:autoSpaceDE/>
              <w:autoSpaceDN/>
              <w:bidi w:val="0"/>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30</w:t>
            </w:r>
            <w:r>
              <w:rPr>
                <w:rFonts w:cs="仿宋_GB2312" w:asciiTheme="minorEastAsia" w:hAnsiTheme="minorEastAsia" w:eastAsiaTheme="minorEastAsia"/>
                <w:color w:val="auto"/>
                <w:sz w:val="24"/>
                <w:highlight w:val="none"/>
              </w:rPr>
              <w:t>］的计算公式计算。</w:t>
            </w:r>
          </w:p>
          <w:p w14:paraId="5D9E0CF2">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0ADE7F32">
            <w:pPr>
              <w:keepNext w:val="0"/>
              <w:keepLines w:val="0"/>
              <w:pageBreakBefore w:val="0"/>
              <w:widowControl/>
              <w:shd w:val="clear" w:color="auto" w:fill="FFFFFF"/>
              <w:kinsoku/>
              <w:wordWrap/>
              <w:overflowPunct/>
              <w:topLinePunct w:val="0"/>
              <w:autoSpaceDE/>
              <w:autoSpaceDN/>
              <w:bidi w:val="0"/>
              <w:adjustRightInd/>
              <w:spacing w:after="225" w:line="360" w:lineRule="auto"/>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b/>
                <w:bCs/>
                <w:color w:val="auto"/>
                <w:sz w:val="24"/>
                <w:highlight w:val="none"/>
                <w:lang w:val="en-US" w:eastAsia="zh-CN"/>
              </w:rPr>
              <w:t>10</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b/>
                <w:bCs/>
                <w:color w:val="auto"/>
                <w:sz w:val="24"/>
                <w:highlight w:val="none"/>
                <w:lang w:val="en-US" w:eastAsia="zh-CN"/>
              </w:rPr>
              <w:t>4</w:t>
            </w:r>
            <w:r>
              <w:rPr>
                <w:rFonts w:hint="eastAsia" w:cs="仿宋_GB2312" w:asciiTheme="minorEastAsia" w:hAnsiTheme="minorEastAsia" w:eastAsiaTheme="minorEastAsia"/>
                <w:b/>
                <w:bCs/>
                <w:color w:val="auto"/>
                <w:sz w:val="24"/>
                <w:highlight w:val="none"/>
              </w:rPr>
              <w:t>%</w:t>
            </w:r>
            <w:r>
              <w:rPr>
                <w:rFonts w:hint="eastAsia" w:cs="仿宋_GB2312" w:asciiTheme="minorEastAsia" w:hAnsiTheme="minorEastAsia" w:eastAsiaTheme="minorEastAsia"/>
                <w:color w:val="auto"/>
                <w:sz w:val="24"/>
                <w:highlight w:val="none"/>
              </w:rPr>
              <w:t>的扣除，用扣除后的价格参加评审。</w:t>
            </w:r>
          </w:p>
        </w:tc>
        <w:tc>
          <w:tcPr>
            <w:tcW w:w="443" w:type="pct"/>
            <w:shd w:val="clear" w:color="auto" w:fill="auto"/>
            <w:vAlign w:val="center"/>
          </w:tcPr>
          <w:p w14:paraId="320C9D0C">
            <w:pPr>
              <w:keepNext w:val="0"/>
              <w:keepLines w:val="0"/>
              <w:pageBreakBefore w:val="0"/>
              <w:kinsoku/>
              <w:wordWrap/>
              <w:overflowPunct/>
              <w:topLinePunct w:val="0"/>
              <w:autoSpaceDE/>
              <w:autoSpaceDN/>
              <w:bidi w:val="0"/>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30</w:t>
            </w:r>
          </w:p>
        </w:tc>
        <w:tc>
          <w:tcPr>
            <w:tcW w:w="519" w:type="pct"/>
            <w:shd w:val="clear" w:color="auto" w:fill="auto"/>
            <w:vAlign w:val="center"/>
          </w:tcPr>
          <w:p w14:paraId="13F959C0">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c>
          <w:tcPr>
            <w:tcW w:w="1033" w:type="pct"/>
            <w:shd w:val="clear" w:color="auto" w:fill="auto"/>
            <w:vAlign w:val="center"/>
          </w:tcPr>
          <w:p w14:paraId="4EF96BEE">
            <w:pPr>
              <w:keepNext w:val="0"/>
              <w:keepLines w:val="0"/>
              <w:pageBreakBefore w:val="0"/>
              <w:kinsoku/>
              <w:wordWrap/>
              <w:overflowPunct/>
              <w:topLinePunct w:val="0"/>
              <w:autoSpaceDE/>
              <w:autoSpaceDN/>
              <w:bidi w:val="0"/>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bookmarkEnd w:id="561"/>
    </w:tbl>
    <w:p w14:paraId="6750B0B9">
      <w:pPr>
        <w:rPr>
          <w:color w:val="auto"/>
          <w:highlight w:val="none"/>
        </w:rPr>
      </w:pPr>
    </w:p>
    <w:p w14:paraId="4A626B1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2C72B7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941C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7586F9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BE35F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0FAF29A">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535C7A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B9590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67BE07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4C0F083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6D0A81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171BF8C">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5AFFF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71AA0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3BE89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69FCD7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4035C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143D4D9E">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8901B3C">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5706347">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57C910">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5DE39949">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DFEF37">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3FF7C98D">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FAB6630">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15FEB146">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68F5AF">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45217E">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E00B229">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7"/>
        <w:snapToGrid w:val="0"/>
        <w:spacing w:line="360" w:lineRule="auto"/>
        <w:ind w:firstLine="0" w:firstLineChars="0"/>
        <w:rPr>
          <w:rFonts w:cs="宋体"/>
          <w:color w:val="auto"/>
          <w:highlight w:val="none"/>
        </w:rPr>
      </w:pPr>
    </w:p>
    <w:bookmarkEnd w:id="31"/>
    <w:p w14:paraId="4723A345">
      <w:pPr>
        <w:spacing w:line="360" w:lineRule="auto"/>
        <w:ind w:left="720" w:leftChars="343" w:firstLine="1084" w:firstLineChars="300"/>
        <w:outlineLvl w:val="0"/>
        <w:rPr>
          <w:rFonts w:ascii="宋体" w:hAnsi="宋体" w:cs="宋体"/>
          <w:b/>
          <w:color w:val="auto"/>
          <w:sz w:val="36"/>
          <w:szCs w:val="36"/>
          <w:highlight w:val="none"/>
        </w:rPr>
      </w:pPr>
      <w:bookmarkStart w:id="399" w:name="第五部分"/>
      <w:bookmarkStart w:id="400" w:name="_Toc86217003"/>
    </w:p>
    <w:p w14:paraId="2ABB40F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42CB77E">
      <w:pPr>
        <w:rPr>
          <w:rFonts w:ascii="宋体" w:hAnsi="宋体" w:cs="宋体"/>
          <w:b/>
          <w:color w:val="auto"/>
          <w:sz w:val="36"/>
          <w:szCs w:val="36"/>
          <w:highlight w:val="none"/>
        </w:rPr>
      </w:pPr>
      <w:r>
        <w:rPr>
          <w:rFonts w:ascii="宋体" w:hAnsi="宋体" w:cs="宋体"/>
          <w:b/>
          <w:color w:val="auto"/>
          <w:sz w:val="36"/>
          <w:szCs w:val="36"/>
          <w:highlight w:val="none"/>
        </w:rPr>
        <w:br w:type="page"/>
      </w:r>
    </w:p>
    <w:p w14:paraId="3AD9468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1CFF94D">
      <w:pPr>
        <w:rPr>
          <w:rFonts w:ascii="宋体" w:hAnsi="宋体" w:cs="宋体"/>
          <w:sz w:val="24"/>
          <w:u w:val="single"/>
          <w:shd w:val="clear" w:color="auto" w:fill="auto"/>
        </w:rPr>
      </w:pPr>
      <w:r>
        <w:rPr>
          <w:rFonts w:hint="eastAsia" w:ascii="宋体" w:hAnsi="宋体" w:cs="宋体"/>
          <w:sz w:val="24"/>
          <w:shd w:val="clear" w:color="auto" w:fill="auto"/>
        </w:rPr>
        <w:t>合同编号：</w:t>
      </w:r>
      <w:r>
        <w:rPr>
          <w:rFonts w:hint="eastAsia" w:ascii="宋体" w:hAnsi="宋体" w:cs="宋体"/>
          <w:sz w:val="24"/>
          <w:u w:val="single"/>
          <w:shd w:val="clear" w:color="auto" w:fill="auto"/>
        </w:rPr>
        <w:t xml:space="preserve">           </w:t>
      </w:r>
    </w:p>
    <w:p w14:paraId="6356AFDA">
      <w:pPr>
        <w:spacing w:line="480" w:lineRule="auto"/>
        <w:jc w:val="center"/>
        <w:rPr>
          <w:rFonts w:ascii="宋体" w:hAnsi="宋体" w:cs="宋体"/>
          <w:b/>
          <w:sz w:val="28"/>
          <w:szCs w:val="28"/>
          <w:shd w:val="clear" w:color="auto" w:fill="auto"/>
        </w:rPr>
      </w:pPr>
    </w:p>
    <w:p w14:paraId="43650851">
      <w:pPr>
        <w:spacing w:line="480" w:lineRule="auto"/>
        <w:jc w:val="center"/>
        <w:rPr>
          <w:rFonts w:ascii="宋体" w:hAnsi="宋体" w:cs="宋体"/>
          <w:b/>
          <w:sz w:val="24"/>
          <w:shd w:val="clear" w:color="auto" w:fill="auto"/>
        </w:rPr>
      </w:pPr>
    </w:p>
    <w:p w14:paraId="1F7E04D7">
      <w:pPr>
        <w:spacing w:line="480" w:lineRule="auto"/>
        <w:jc w:val="center"/>
        <w:rPr>
          <w:rFonts w:ascii="宋体" w:hAnsi="宋体" w:cs="宋体"/>
          <w:b/>
          <w:sz w:val="24"/>
          <w:shd w:val="clear" w:color="auto" w:fill="auto"/>
        </w:rPr>
      </w:pPr>
    </w:p>
    <w:p w14:paraId="1EE1384A">
      <w:pPr>
        <w:spacing w:line="480" w:lineRule="auto"/>
        <w:jc w:val="center"/>
        <w:rPr>
          <w:rFonts w:ascii="宋体" w:hAnsi="宋体" w:cs="宋体"/>
          <w:b/>
          <w:sz w:val="36"/>
          <w:szCs w:val="36"/>
          <w:shd w:val="clear" w:color="auto" w:fill="auto"/>
        </w:rPr>
      </w:pPr>
      <w:r>
        <w:rPr>
          <w:rFonts w:hint="eastAsia" w:ascii="宋体" w:hAnsi="宋体" w:cs="宋体"/>
          <w:b/>
          <w:sz w:val="36"/>
          <w:szCs w:val="36"/>
          <w:shd w:val="clear" w:color="auto" w:fill="auto"/>
        </w:rPr>
        <w:t>政府采购合同参考范本</w:t>
      </w:r>
    </w:p>
    <w:p w14:paraId="35B392AD">
      <w:pPr>
        <w:spacing w:line="480" w:lineRule="auto"/>
        <w:jc w:val="center"/>
        <w:rPr>
          <w:rFonts w:ascii="宋体" w:hAnsi="宋体" w:cs="宋体"/>
          <w:b/>
          <w:sz w:val="36"/>
          <w:szCs w:val="36"/>
          <w:shd w:val="clear" w:color="auto" w:fill="auto"/>
        </w:rPr>
      </w:pPr>
      <w:r>
        <w:rPr>
          <w:rFonts w:hint="eastAsia" w:ascii="宋体" w:hAnsi="宋体" w:cs="宋体"/>
          <w:b/>
          <w:sz w:val="36"/>
          <w:szCs w:val="36"/>
          <w:shd w:val="clear" w:color="auto" w:fill="auto"/>
        </w:rPr>
        <w:t>（货物类）</w:t>
      </w:r>
    </w:p>
    <w:p w14:paraId="4BE0B786">
      <w:pPr>
        <w:pStyle w:val="702"/>
        <w:rPr>
          <w:rFonts w:ascii="宋体" w:hAnsi="宋体" w:cs="宋体"/>
          <w:szCs w:val="24"/>
          <w:shd w:val="clear" w:color="auto" w:fill="auto"/>
        </w:rPr>
      </w:pPr>
    </w:p>
    <w:p w14:paraId="12209860">
      <w:pPr>
        <w:pStyle w:val="702"/>
        <w:rPr>
          <w:rFonts w:ascii="宋体" w:hAnsi="宋体" w:cs="宋体"/>
          <w:szCs w:val="24"/>
          <w:shd w:val="clear" w:color="auto" w:fill="auto"/>
        </w:rPr>
      </w:pPr>
    </w:p>
    <w:p w14:paraId="63B8565E">
      <w:pPr>
        <w:pStyle w:val="702"/>
        <w:jc w:val="center"/>
        <w:rPr>
          <w:rFonts w:ascii="宋体" w:hAnsi="宋体" w:cs="宋体"/>
          <w:szCs w:val="24"/>
          <w:shd w:val="clear" w:color="auto" w:fill="auto"/>
        </w:rPr>
      </w:pPr>
    </w:p>
    <w:p w14:paraId="26294331">
      <w:pPr>
        <w:pStyle w:val="702"/>
        <w:ind w:firstLine="2843" w:firstLineChars="1180"/>
        <w:rPr>
          <w:rFonts w:ascii="宋体" w:hAnsi="宋体" w:cs="宋体"/>
          <w:b/>
          <w:szCs w:val="24"/>
          <w:shd w:val="clear" w:color="auto" w:fill="auto"/>
        </w:rPr>
      </w:pPr>
      <w:r>
        <w:rPr>
          <w:rFonts w:hint="eastAsia" w:ascii="宋体" w:hAnsi="宋体" w:cs="宋体"/>
          <w:b/>
          <w:szCs w:val="24"/>
          <w:shd w:val="clear" w:color="auto" w:fill="auto"/>
        </w:rPr>
        <w:t>第一部分 合同书</w:t>
      </w:r>
    </w:p>
    <w:p w14:paraId="552041C5">
      <w:pPr>
        <w:pStyle w:val="702"/>
        <w:rPr>
          <w:rFonts w:ascii="宋体" w:hAnsi="宋体" w:cs="宋体"/>
          <w:szCs w:val="24"/>
          <w:shd w:val="clear" w:color="auto" w:fill="auto"/>
        </w:rPr>
      </w:pPr>
    </w:p>
    <w:p w14:paraId="6DDCE375">
      <w:pPr>
        <w:pStyle w:val="702"/>
        <w:rPr>
          <w:rFonts w:ascii="宋体" w:hAnsi="宋体" w:cs="宋体"/>
          <w:szCs w:val="24"/>
          <w:shd w:val="clear" w:color="auto" w:fill="auto"/>
        </w:rPr>
      </w:pPr>
    </w:p>
    <w:p w14:paraId="3C500AA0">
      <w:pPr>
        <w:spacing w:before="120" w:line="22" w:lineRule="atLeast"/>
        <w:rPr>
          <w:rFonts w:ascii="宋体" w:hAnsi="宋体" w:cs="宋体"/>
          <w:sz w:val="24"/>
          <w:shd w:val="clear" w:color="auto" w:fill="auto"/>
        </w:rPr>
      </w:pPr>
    </w:p>
    <w:p w14:paraId="14C4E546">
      <w:pPr>
        <w:spacing w:before="120" w:line="22" w:lineRule="atLeast"/>
        <w:ind w:left="960"/>
        <w:rPr>
          <w:rFonts w:ascii="宋体" w:hAnsi="宋体" w:cs="宋体"/>
          <w:sz w:val="24"/>
          <w:shd w:val="clear" w:color="auto" w:fill="auto"/>
        </w:rPr>
      </w:pPr>
      <w:r>
        <w:rPr>
          <w:rFonts w:hint="eastAsia" w:ascii="宋体" w:hAnsi="宋体" w:cs="宋体"/>
          <w:sz w:val="24"/>
          <w:shd w:val="clear" w:color="auto" w:fill="auto"/>
        </w:rPr>
        <w:t>项目名称：</w:t>
      </w:r>
      <w:r>
        <w:rPr>
          <w:rFonts w:hint="eastAsia" w:ascii="宋体" w:hAnsi="宋体" w:cs="宋体"/>
          <w:sz w:val="24"/>
          <w:u w:val="single"/>
          <w:shd w:val="clear" w:color="auto" w:fill="auto"/>
        </w:rPr>
        <w:t xml:space="preserve">                                   </w:t>
      </w:r>
    </w:p>
    <w:p w14:paraId="679D9044">
      <w:pPr>
        <w:pStyle w:val="599"/>
        <w:spacing w:before="120" w:line="22" w:lineRule="atLeast"/>
        <w:rPr>
          <w:rFonts w:ascii="宋体" w:hAnsi="宋体" w:eastAsia="宋体" w:cs="宋体"/>
          <w:szCs w:val="24"/>
          <w:shd w:val="clear" w:color="auto" w:fill="auto"/>
        </w:rPr>
      </w:pPr>
    </w:p>
    <w:p w14:paraId="0665FC63">
      <w:pPr>
        <w:pStyle w:val="599"/>
        <w:spacing w:before="120" w:line="22" w:lineRule="atLeast"/>
        <w:rPr>
          <w:rFonts w:ascii="宋体" w:hAnsi="宋体" w:eastAsia="宋体" w:cs="宋体"/>
          <w:szCs w:val="24"/>
          <w:shd w:val="clear" w:color="auto" w:fill="auto"/>
        </w:rPr>
      </w:pPr>
    </w:p>
    <w:p w14:paraId="368394EE">
      <w:pPr>
        <w:rPr>
          <w:rFonts w:ascii="宋体" w:hAnsi="宋体" w:cs="宋体"/>
          <w:sz w:val="24"/>
          <w:shd w:val="clear" w:color="auto" w:fill="auto"/>
        </w:rPr>
      </w:pPr>
    </w:p>
    <w:p w14:paraId="5899A8F7">
      <w:pPr>
        <w:spacing w:before="120" w:line="22" w:lineRule="atLeast"/>
        <w:ind w:left="960"/>
        <w:rPr>
          <w:rFonts w:ascii="宋体" w:hAnsi="宋体" w:cs="宋体"/>
          <w:sz w:val="24"/>
          <w:u w:val="single"/>
          <w:shd w:val="clear" w:color="auto" w:fill="auto"/>
        </w:rPr>
      </w:pPr>
      <w:r>
        <w:rPr>
          <w:rFonts w:hint="eastAsia" w:ascii="宋体" w:hAnsi="宋体" w:cs="宋体"/>
          <w:sz w:val="24"/>
          <w:shd w:val="clear" w:color="auto" w:fill="auto"/>
        </w:rPr>
        <w:t>甲方：</w:t>
      </w:r>
      <w:r>
        <w:rPr>
          <w:rFonts w:hint="eastAsia" w:ascii="宋体" w:hAnsi="宋体" w:cs="宋体"/>
          <w:sz w:val="24"/>
          <w:u w:val="single"/>
          <w:shd w:val="clear" w:color="auto" w:fill="auto"/>
        </w:rPr>
        <w:t xml:space="preserve">                                       </w:t>
      </w:r>
    </w:p>
    <w:p w14:paraId="51CD1187">
      <w:pPr>
        <w:spacing w:before="120" w:line="22" w:lineRule="atLeast"/>
        <w:rPr>
          <w:rFonts w:ascii="宋体" w:hAnsi="宋体" w:cs="宋体"/>
          <w:sz w:val="24"/>
          <w:shd w:val="clear" w:color="auto" w:fill="auto"/>
        </w:rPr>
      </w:pPr>
    </w:p>
    <w:p w14:paraId="11119A5B">
      <w:pPr>
        <w:spacing w:before="120" w:line="22" w:lineRule="atLeast"/>
        <w:ind w:left="960"/>
        <w:rPr>
          <w:rFonts w:ascii="宋体" w:hAnsi="宋体" w:cs="宋体"/>
          <w:sz w:val="24"/>
          <w:u w:val="single"/>
          <w:shd w:val="clear" w:color="auto" w:fill="auto"/>
        </w:rPr>
      </w:pPr>
      <w:r>
        <w:rPr>
          <w:rFonts w:hint="eastAsia" w:ascii="宋体" w:hAnsi="宋体" w:cs="宋体"/>
          <w:sz w:val="24"/>
          <w:shd w:val="clear" w:color="auto" w:fill="auto"/>
        </w:rPr>
        <w:t>乙方：</w:t>
      </w:r>
      <w:r>
        <w:rPr>
          <w:rFonts w:hint="eastAsia" w:ascii="宋体" w:hAnsi="宋体" w:cs="宋体"/>
          <w:sz w:val="24"/>
          <w:u w:val="single"/>
          <w:shd w:val="clear" w:color="auto" w:fill="auto"/>
        </w:rPr>
        <w:t xml:space="preserve">                                       </w:t>
      </w:r>
    </w:p>
    <w:p w14:paraId="6922EE37">
      <w:pPr>
        <w:spacing w:before="120" w:line="22" w:lineRule="atLeast"/>
        <w:rPr>
          <w:rFonts w:ascii="宋体" w:hAnsi="宋体" w:cs="宋体"/>
          <w:sz w:val="24"/>
          <w:shd w:val="clear" w:color="auto" w:fill="auto"/>
        </w:rPr>
      </w:pPr>
    </w:p>
    <w:p w14:paraId="0CFB36F1">
      <w:pPr>
        <w:spacing w:before="120" w:line="22" w:lineRule="atLeast"/>
        <w:ind w:firstLine="960" w:firstLineChars="400"/>
        <w:rPr>
          <w:rFonts w:ascii="宋体" w:hAnsi="宋体" w:cs="宋体"/>
          <w:sz w:val="24"/>
          <w:u w:val="single"/>
          <w:shd w:val="clear" w:color="auto" w:fill="auto"/>
        </w:rPr>
      </w:pPr>
      <w:r>
        <w:rPr>
          <w:rFonts w:hint="eastAsia" w:ascii="宋体" w:hAnsi="宋体" w:cs="宋体"/>
          <w:sz w:val="24"/>
          <w:shd w:val="clear" w:color="auto" w:fill="auto"/>
        </w:rPr>
        <w:t>签订地：</w:t>
      </w:r>
      <w:r>
        <w:rPr>
          <w:rFonts w:hint="eastAsia" w:ascii="宋体" w:hAnsi="宋体" w:cs="宋体"/>
          <w:sz w:val="24"/>
          <w:u w:val="single"/>
          <w:shd w:val="clear" w:color="auto" w:fill="auto"/>
        </w:rPr>
        <w:t xml:space="preserve">                                     </w:t>
      </w:r>
    </w:p>
    <w:p w14:paraId="1C9EC730">
      <w:pPr>
        <w:spacing w:before="120" w:line="22" w:lineRule="atLeast"/>
        <w:rPr>
          <w:rFonts w:ascii="宋体" w:hAnsi="宋体" w:cs="宋体"/>
          <w:sz w:val="24"/>
          <w:shd w:val="clear" w:color="auto" w:fill="auto"/>
        </w:rPr>
      </w:pPr>
    </w:p>
    <w:p w14:paraId="4A926DD7">
      <w:pPr>
        <w:spacing w:before="120" w:line="22" w:lineRule="atLeast"/>
        <w:ind w:firstLine="960" w:firstLineChars="400"/>
        <w:rPr>
          <w:rFonts w:ascii="宋体" w:hAnsi="宋体" w:cs="宋体"/>
          <w:sz w:val="24"/>
          <w:u w:val="single"/>
          <w:shd w:val="clear" w:color="auto" w:fill="auto"/>
        </w:rPr>
      </w:pPr>
      <w:r>
        <w:rPr>
          <w:rFonts w:hint="eastAsia" w:ascii="宋体" w:hAnsi="宋体" w:cs="宋体"/>
          <w:sz w:val="24"/>
          <w:shd w:val="clear" w:color="auto" w:fill="auto"/>
        </w:rPr>
        <w:t>签订日期：</w:t>
      </w:r>
      <w:r>
        <w:rPr>
          <w:rFonts w:hint="eastAsia" w:ascii="宋体" w:hAnsi="宋体" w:cs="宋体"/>
          <w:sz w:val="24"/>
          <w:u w:val="single"/>
          <w:shd w:val="clear" w:color="auto" w:fill="auto"/>
        </w:rPr>
        <w:t xml:space="preserve">               </w:t>
      </w:r>
      <w:r>
        <w:rPr>
          <w:rFonts w:hint="eastAsia" w:ascii="宋体" w:hAnsi="宋体" w:cs="宋体"/>
          <w:sz w:val="24"/>
          <w:shd w:val="clear" w:color="auto" w:fill="auto"/>
        </w:rPr>
        <w:t>年</w:t>
      </w:r>
      <w:r>
        <w:rPr>
          <w:rFonts w:hint="eastAsia" w:ascii="宋体" w:hAnsi="宋体" w:cs="宋体"/>
          <w:sz w:val="24"/>
          <w:u w:val="single"/>
          <w:shd w:val="clear" w:color="auto" w:fill="auto"/>
        </w:rPr>
        <w:t xml:space="preserve">       </w:t>
      </w:r>
      <w:r>
        <w:rPr>
          <w:rFonts w:hint="eastAsia" w:ascii="宋体" w:hAnsi="宋体" w:cs="宋体"/>
          <w:sz w:val="24"/>
          <w:shd w:val="clear" w:color="auto" w:fill="auto"/>
        </w:rPr>
        <w:t>月</w:t>
      </w:r>
      <w:r>
        <w:rPr>
          <w:rFonts w:hint="eastAsia" w:ascii="宋体" w:hAnsi="宋体" w:cs="宋体"/>
          <w:sz w:val="24"/>
          <w:u w:val="single"/>
          <w:shd w:val="clear" w:color="auto" w:fill="auto"/>
        </w:rPr>
        <w:t xml:space="preserve">       </w:t>
      </w:r>
      <w:r>
        <w:rPr>
          <w:rFonts w:hint="eastAsia" w:ascii="宋体" w:hAnsi="宋体" w:cs="宋体"/>
          <w:sz w:val="24"/>
          <w:shd w:val="clear" w:color="auto" w:fill="auto"/>
        </w:rPr>
        <w:t>日</w:t>
      </w:r>
    </w:p>
    <w:p w14:paraId="3F0FE7B1">
      <w:pPr>
        <w:widowControl/>
        <w:jc w:val="left"/>
        <w:rPr>
          <w:rFonts w:ascii="宋体" w:hAnsi="宋体" w:cs="宋体"/>
          <w:kern w:val="0"/>
          <w:sz w:val="24"/>
          <w:shd w:val="clear" w:color="auto" w:fill="auto"/>
        </w:rPr>
        <w:sectPr>
          <w:pgSz w:w="11907" w:h="16840"/>
          <w:pgMar w:top="680" w:right="1417" w:bottom="471" w:left="1417" w:header="851" w:footer="851" w:gutter="0"/>
          <w:pgBorders>
            <w:top w:val="none" w:sz="0" w:space="0"/>
            <w:left w:val="none" w:sz="0" w:space="0"/>
            <w:bottom w:val="none" w:sz="0" w:space="0"/>
            <w:right w:val="none" w:sz="0" w:space="0"/>
          </w:pgBorders>
          <w:cols w:space="720" w:num="1"/>
        </w:sectPr>
      </w:pPr>
    </w:p>
    <w:p w14:paraId="65E8D2BE">
      <w:pPr>
        <w:spacing w:line="560" w:lineRule="exact"/>
        <w:ind w:firstLine="480" w:firstLineChars="200"/>
        <w:rPr>
          <w:rFonts w:ascii="宋体" w:hAnsi="宋体" w:cs="宋体"/>
          <w:sz w:val="24"/>
          <w:shd w:val="clear" w:color="auto" w:fill="auto"/>
        </w:rPr>
      </w:pPr>
      <w:r>
        <w:rPr>
          <w:rFonts w:hint="eastAsia" w:ascii="宋体" w:hAnsi="宋体" w:cs="宋体"/>
          <w:sz w:val="24"/>
          <w:u w:val="single"/>
          <w:shd w:val="clear" w:color="auto" w:fill="auto"/>
          <w:lang w:val="zh-CN"/>
        </w:rPr>
        <w:t xml:space="preserve">        </w:t>
      </w:r>
      <w:r>
        <w:rPr>
          <w:rFonts w:hint="eastAsia" w:ascii="宋体" w:hAnsi="宋体" w:cs="宋体"/>
          <w:sz w:val="24"/>
          <w:shd w:val="clear" w:color="auto" w:fill="auto"/>
          <w:lang w:val="zh-CN"/>
        </w:rPr>
        <w:t>年</w:t>
      </w:r>
      <w:r>
        <w:rPr>
          <w:rFonts w:hint="eastAsia" w:ascii="宋体" w:hAnsi="宋体" w:cs="宋体"/>
          <w:sz w:val="24"/>
          <w:u w:val="single"/>
          <w:shd w:val="clear" w:color="auto" w:fill="auto"/>
          <w:lang w:val="zh-CN"/>
        </w:rPr>
        <w:t xml:space="preserve">    </w:t>
      </w:r>
      <w:r>
        <w:rPr>
          <w:rFonts w:hint="eastAsia" w:ascii="宋体" w:hAnsi="宋体" w:cs="宋体"/>
          <w:sz w:val="24"/>
          <w:shd w:val="clear" w:color="auto" w:fill="auto"/>
          <w:lang w:val="zh-CN"/>
        </w:rPr>
        <w:t>月</w:t>
      </w:r>
      <w:r>
        <w:rPr>
          <w:rFonts w:hint="eastAsia" w:ascii="宋体" w:hAnsi="宋体" w:cs="宋体"/>
          <w:sz w:val="24"/>
          <w:u w:val="single"/>
          <w:shd w:val="clear" w:color="auto" w:fill="auto"/>
          <w:lang w:val="zh-CN"/>
        </w:rPr>
        <w:t xml:space="preserve">  </w:t>
      </w:r>
      <w:r>
        <w:rPr>
          <w:rFonts w:hint="eastAsia" w:ascii="宋体" w:hAnsi="宋体" w:cs="宋体"/>
          <w:color w:val="auto"/>
          <w:sz w:val="24"/>
          <w:u w:val="single"/>
          <w:shd w:val="clear" w:color="auto" w:fill="auto"/>
          <w:lang w:val="zh-CN"/>
        </w:rPr>
        <w:t xml:space="preserve">  </w:t>
      </w:r>
      <w:r>
        <w:rPr>
          <w:rFonts w:hint="eastAsia" w:ascii="宋体" w:hAnsi="宋体" w:cs="宋体"/>
          <w:color w:val="auto"/>
          <w:sz w:val="24"/>
          <w:shd w:val="clear" w:color="auto" w:fill="auto"/>
          <w:lang w:val="zh-CN"/>
        </w:rPr>
        <w:t>日</w:t>
      </w:r>
      <w:r>
        <w:rPr>
          <w:rFonts w:hint="eastAsia" w:ascii="宋体" w:hAnsi="宋体" w:cs="宋体"/>
          <w:color w:val="auto"/>
          <w:sz w:val="24"/>
          <w:shd w:val="clear" w:color="auto" w:fill="auto"/>
        </w:rPr>
        <w:t>，</w:t>
      </w:r>
      <w:r>
        <w:rPr>
          <w:rFonts w:hint="eastAsia" w:ascii="宋体" w:hAnsi="宋体" w:cs="宋体"/>
          <w:color w:val="auto"/>
          <w:sz w:val="24"/>
          <w:u w:val="single"/>
          <w:shd w:val="clear" w:color="auto" w:fill="auto"/>
        </w:rPr>
        <w:t xml:space="preserve">   （采购人）   </w:t>
      </w:r>
      <w:r>
        <w:rPr>
          <w:rFonts w:hint="eastAsia" w:ascii="宋体" w:hAnsi="宋体" w:cs="宋体"/>
          <w:color w:val="auto"/>
          <w:sz w:val="24"/>
          <w:shd w:val="clear" w:color="auto" w:fill="auto"/>
        </w:rPr>
        <w:t>以</w:t>
      </w:r>
      <w:r>
        <w:rPr>
          <w:rFonts w:hint="eastAsia" w:ascii="宋体" w:hAnsi="宋体" w:cs="宋体"/>
          <w:color w:val="auto"/>
          <w:sz w:val="24"/>
          <w:u w:val="single"/>
          <w:shd w:val="clear" w:color="auto" w:fill="auto"/>
        </w:rPr>
        <w:t xml:space="preserve">   （政府采购方式）  </w:t>
      </w:r>
      <w:r>
        <w:rPr>
          <w:rFonts w:hint="eastAsia" w:ascii="宋体" w:hAnsi="宋体" w:cs="宋体"/>
          <w:color w:val="auto"/>
          <w:sz w:val="24"/>
          <w:shd w:val="clear" w:color="auto" w:fill="auto"/>
        </w:rPr>
        <w:t>对</w:t>
      </w:r>
      <w:r>
        <w:rPr>
          <w:rFonts w:hint="eastAsia" w:ascii="宋体" w:hAnsi="宋体" w:cs="宋体"/>
          <w:color w:val="auto"/>
          <w:sz w:val="24"/>
          <w:u w:val="single"/>
          <w:shd w:val="clear" w:color="auto" w:fill="auto"/>
        </w:rPr>
        <w:t xml:space="preserve">   （项目名称、编号）   </w:t>
      </w:r>
      <w:r>
        <w:rPr>
          <w:rFonts w:hint="eastAsia" w:ascii="宋体" w:hAnsi="宋体" w:cs="宋体"/>
          <w:color w:val="auto"/>
          <w:sz w:val="24"/>
          <w:shd w:val="clear" w:color="auto" w:fill="auto"/>
        </w:rPr>
        <w:t>项目进行了采购。经</w:t>
      </w:r>
      <w:r>
        <w:rPr>
          <w:rFonts w:hint="eastAsia" w:ascii="宋体" w:hAnsi="宋体" w:cs="宋体"/>
          <w:color w:val="auto"/>
          <w:sz w:val="24"/>
          <w:u w:val="single"/>
          <w:shd w:val="clear" w:color="auto" w:fill="auto"/>
        </w:rPr>
        <w:t xml:space="preserve">   （相关评定主体名称）   </w:t>
      </w:r>
      <w:r>
        <w:rPr>
          <w:rFonts w:hint="eastAsia" w:ascii="宋体" w:hAnsi="宋体" w:cs="宋体"/>
          <w:color w:val="auto"/>
          <w:sz w:val="24"/>
          <w:shd w:val="clear" w:color="auto" w:fill="auto"/>
        </w:rPr>
        <w:t>评定，</w:t>
      </w:r>
      <w:r>
        <w:rPr>
          <w:rFonts w:hint="eastAsia" w:ascii="宋体" w:hAnsi="宋体" w:cs="宋体"/>
          <w:color w:val="auto"/>
          <w:sz w:val="24"/>
          <w:u w:val="single"/>
          <w:shd w:val="clear" w:color="auto" w:fill="auto"/>
        </w:rPr>
        <w:t xml:space="preserve">   （中标或者成交供应商名称）</w:t>
      </w:r>
      <w:r>
        <w:rPr>
          <w:rFonts w:hint="eastAsia" w:ascii="宋体" w:hAnsi="宋体" w:cs="宋体"/>
          <w:color w:val="auto"/>
          <w:sz w:val="24"/>
          <w:shd w:val="clear" w:color="auto" w:fill="auto"/>
        </w:rPr>
        <w:t>为该项目</w:t>
      </w:r>
      <w:r>
        <w:rPr>
          <w:rFonts w:hint="eastAsia" w:ascii="宋体" w:hAnsi="宋体" w:cs="宋体"/>
          <w:sz w:val="24"/>
          <w:shd w:val="clear" w:color="auto" w:fill="auto"/>
        </w:rPr>
        <w:t>中标或者成交供应商。现于中标或者成交通知书发出之日起10个工作日内，按照采购文件等确定的事项签订本合同。</w:t>
      </w:r>
    </w:p>
    <w:p w14:paraId="331852B3">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shd w:val="clear" w:color="auto" w:fill="auto"/>
        </w:rPr>
        <w:t xml:space="preserve">   （采购人）   </w:t>
      </w:r>
      <w:r>
        <w:rPr>
          <w:rFonts w:hint="eastAsia" w:ascii="宋体" w:hAnsi="宋体" w:cs="宋体"/>
          <w:sz w:val="24"/>
          <w:shd w:val="clear" w:color="auto" w:fill="auto"/>
          <w:lang w:val="zh-CN"/>
        </w:rPr>
        <w:t>(以下简称：甲方)和</w:t>
      </w:r>
      <w:r>
        <w:rPr>
          <w:rFonts w:hint="eastAsia" w:ascii="宋体" w:hAnsi="宋体" w:cs="宋体"/>
          <w:sz w:val="24"/>
          <w:u w:val="single"/>
          <w:shd w:val="clear" w:color="auto" w:fill="auto"/>
        </w:rPr>
        <w:t xml:space="preserve">   （中标或者成交供应商名称）   </w:t>
      </w:r>
      <w:r>
        <w:rPr>
          <w:rFonts w:hint="eastAsia" w:ascii="宋体" w:hAnsi="宋体" w:cs="宋体"/>
          <w:sz w:val="24"/>
          <w:shd w:val="clear" w:color="auto" w:fill="auto"/>
          <w:lang w:val="zh-CN"/>
        </w:rPr>
        <w:t>(以下简称：乙方)协商一致，约定以下合同</w:t>
      </w:r>
      <w:r>
        <w:rPr>
          <w:rFonts w:hint="eastAsia" w:ascii="宋体" w:hAnsi="宋体" w:cs="宋体"/>
          <w:sz w:val="24"/>
          <w:shd w:val="clear" w:color="auto" w:fill="auto"/>
        </w:rPr>
        <w:t>条款，以兹共同遵守、全面履行。</w:t>
      </w:r>
    </w:p>
    <w:p w14:paraId="15D228A8">
      <w:pPr>
        <w:spacing w:line="560" w:lineRule="exact"/>
        <w:ind w:firstLine="482" w:firstLineChars="200"/>
        <w:outlineLvl w:val="0"/>
        <w:rPr>
          <w:rFonts w:ascii="宋体" w:hAnsi="宋体" w:cs="宋体"/>
          <w:b/>
          <w:sz w:val="24"/>
          <w:shd w:val="clear" w:color="auto" w:fill="auto"/>
        </w:rPr>
      </w:pPr>
      <w:bookmarkStart w:id="401" w:name="_Toc2232"/>
      <w:bookmarkStart w:id="402" w:name="_Toc3029"/>
      <w:bookmarkStart w:id="403" w:name="_Toc24059"/>
      <w:r>
        <w:rPr>
          <w:rFonts w:hint="eastAsia" w:ascii="宋体" w:hAnsi="宋体" w:cs="宋体"/>
          <w:b/>
          <w:sz w:val="24"/>
          <w:shd w:val="clear" w:color="auto" w:fill="auto"/>
        </w:rPr>
        <w:t>1.1 合同组成部分</w:t>
      </w:r>
      <w:bookmarkEnd w:id="401"/>
      <w:bookmarkEnd w:id="402"/>
      <w:bookmarkEnd w:id="403"/>
    </w:p>
    <w:p w14:paraId="7B04F8F4">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C5995AB">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1.1.1 本合同及其补充合同、变更协议；</w:t>
      </w:r>
    </w:p>
    <w:p w14:paraId="003ED418">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1.1.2 中标或者成交通知书；</w:t>
      </w:r>
    </w:p>
    <w:p w14:paraId="700AE683">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1.1.3 投标或者响应文件（含澄清或者说明文件）；</w:t>
      </w:r>
    </w:p>
    <w:p w14:paraId="1C41B3C6">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1.1.4 采购文件（含澄清或者修改文件）；</w:t>
      </w:r>
    </w:p>
    <w:p w14:paraId="7E8241B8">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1.1.5 其他相关采购文件。</w:t>
      </w:r>
    </w:p>
    <w:p w14:paraId="1B2119BD">
      <w:pPr>
        <w:spacing w:line="560" w:lineRule="exact"/>
        <w:ind w:firstLine="482" w:firstLineChars="200"/>
        <w:outlineLvl w:val="0"/>
        <w:rPr>
          <w:rFonts w:ascii="宋体" w:hAnsi="宋体" w:cs="宋体"/>
          <w:b/>
          <w:sz w:val="24"/>
          <w:shd w:val="clear" w:color="auto" w:fill="auto"/>
        </w:rPr>
      </w:pPr>
      <w:bookmarkStart w:id="404" w:name="_Toc24300"/>
      <w:bookmarkStart w:id="405" w:name="_Toc21295"/>
      <w:bookmarkStart w:id="406" w:name="_Toc27126"/>
      <w:r>
        <w:rPr>
          <w:rFonts w:hint="eastAsia" w:ascii="宋体" w:hAnsi="宋体" w:cs="宋体"/>
          <w:b/>
          <w:sz w:val="24"/>
          <w:shd w:val="clear" w:color="auto" w:fill="auto"/>
        </w:rPr>
        <w:t>1.2 货物</w:t>
      </w:r>
      <w:bookmarkEnd w:id="404"/>
      <w:bookmarkEnd w:id="405"/>
      <w:bookmarkEnd w:id="406"/>
    </w:p>
    <w:p w14:paraId="1D59FBC7">
      <w:pPr>
        <w:spacing w:line="560" w:lineRule="exact"/>
        <w:ind w:firstLine="480" w:firstLineChars="200"/>
        <w:rPr>
          <w:rFonts w:ascii="宋体" w:hAnsi="宋体" w:cs="宋体"/>
          <w:sz w:val="24"/>
          <w:u w:val="single"/>
          <w:shd w:val="clear" w:color="auto" w:fill="auto"/>
        </w:rPr>
      </w:pPr>
      <w:r>
        <w:rPr>
          <w:rFonts w:hint="eastAsia" w:ascii="宋体" w:hAnsi="宋体" w:cs="宋体"/>
          <w:sz w:val="24"/>
          <w:shd w:val="clear" w:color="auto" w:fill="auto"/>
        </w:rPr>
        <w:t>1.2.1 货物名称、品牌、规格型号、花色：</w:t>
      </w:r>
      <w:r>
        <w:rPr>
          <w:rFonts w:hint="eastAsia" w:ascii="宋体" w:hAnsi="宋体" w:cs="宋体"/>
          <w:sz w:val="24"/>
          <w:u w:val="single"/>
          <w:shd w:val="clear" w:color="auto" w:fill="auto"/>
        </w:rPr>
        <w:t xml:space="preserve">                             </w:t>
      </w:r>
      <w:r>
        <w:rPr>
          <w:rFonts w:hint="eastAsia" w:ascii="宋体" w:hAnsi="宋体" w:cs="宋体"/>
          <w:sz w:val="24"/>
          <w:shd w:val="clear" w:color="auto" w:fill="auto"/>
        </w:rPr>
        <w:t>；</w:t>
      </w:r>
    </w:p>
    <w:p w14:paraId="3163237C">
      <w:pPr>
        <w:spacing w:line="560" w:lineRule="exact"/>
        <w:ind w:firstLine="480" w:firstLineChars="200"/>
        <w:rPr>
          <w:rFonts w:ascii="宋体" w:hAnsi="宋体" w:cs="宋体"/>
          <w:sz w:val="24"/>
          <w:u w:val="single"/>
          <w:shd w:val="clear" w:color="auto" w:fill="auto"/>
        </w:rPr>
      </w:pPr>
      <w:r>
        <w:rPr>
          <w:rFonts w:hint="eastAsia" w:ascii="宋体" w:hAnsi="宋体" w:cs="宋体"/>
          <w:sz w:val="24"/>
          <w:shd w:val="clear" w:color="auto" w:fill="auto"/>
        </w:rPr>
        <w:t>1.2.2 货物数量：</w:t>
      </w:r>
      <w:r>
        <w:rPr>
          <w:rFonts w:hint="eastAsia" w:ascii="宋体" w:hAnsi="宋体" w:cs="宋体"/>
          <w:sz w:val="24"/>
          <w:u w:val="single"/>
          <w:shd w:val="clear" w:color="auto" w:fill="auto"/>
        </w:rPr>
        <w:t xml:space="preserve">                                                </w:t>
      </w:r>
      <w:r>
        <w:rPr>
          <w:rFonts w:hint="eastAsia" w:ascii="宋体" w:hAnsi="宋体" w:cs="宋体"/>
          <w:sz w:val="24"/>
          <w:shd w:val="clear" w:color="auto" w:fill="auto"/>
        </w:rPr>
        <w:t>；</w:t>
      </w:r>
    </w:p>
    <w:p w14:paraId="2B6C4740">
      <w:pPr>
        <w:spacing w:line="560" w:lineRule="exact"/>
        <w:ind w:firstLine="480" w:firstLineChars="200"/>
        <w:rPr>
          <w:rFonts w:ascii="宋体" w:hAnsi="宋体" w:cs="宋体"/>
          <w:sz w:val="24"/>
          <w:u w:val="single"/>
          <w:shd w:val="clear" w:color="auto" w:fill="auto"/>
        </w:rPr>
      </w:pPr>
      <w:r>
        <w:rPr>
          <w:rFonts w:hint="eastAsia" w:ascii="宋体" w:hAnsi="宋体" w:cs="宋体"/>
          <w:sz w:val="24"/>
          <w:shd w:val="clear" w:color="auto" w:fill="auto"/>
        </w:rPr>
        <w:t>1.2.3 货物质量：</w:t>
      </w:r>
      <w:r>
        <w:rPr>
          <w:rFonts w:hint="eastAsia" w:ascii="宋体" w:hAnsi="宋体" w:cs="宋体"/>
          <w:sz w:val="24"/>
          <w:u w:val="single"/>
          <w:shd w:val="clear" w:color="auto" w:fill="auto"/>
        </w:rPr>
        <w:t>　　　　　　　　　                      　      ；</w:t>
      </w:r>
    </w:p>
    <w:p w14:paraId="5DF8EE44">
      <w:pPr>
        <w:spacing w:line="560" w:lineRule="exact"/>
        <w:ind w:firstLine="482" w:firstLineChars="200"/>
        <w:outlineLvl w:val="0"/>
        <w:rPr>
          <w:rFonts w:ascii="宋体" w:hAnsi="宋体" w:cs="宋体"/>
          <w:b/>
          <w:sz w:val="24"/>
          <w:shd w:val="clear" w:color="auto" w:fill="auto"/>
        </w:rPr>
      </w:pPr>
      <w:bookmarkStart w:id="407" w:name="_Toc21631"/>
      <w:bookmarkStart w:id="408" w:name="_Toc21551"/>
      <w:bookmarkStart w:id="409" w:name="_Toc23292"/>
      <w:r>
        <w:rPr>
          <w:rFonts w:hint="eastAsia" w:ascii="宋体" w:hAnsi="宋体" w:cs="宋体"/>
          <w:b/>
          <w:sz w:val="24"/>
          <w:shd w:val="clear" w:color="auto" w:fill="auto"/>
        </w:rPr>
        <w:t>1.3 价款</w:t>
      </w:r>
      <w:bookmarkEnd w:id="407"/>
      <w:bookmarkEnd w:id="408"/>
      <w:bookmarkEnd w:id="409"/>
    </w:p>
    <w:p w14:paraId="3F355146">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本合同总价（含税）为：￥</w:t>
      </w:r>
      <w:r>
        <w:rPr>
          <w:rFonts w:hint="eastAsia" w:ascii="宋体" w:hAnsi="宋体" w:cs="宋体"/>
          <w:sz w:val="24"/>
          <w:u w:val="single"/>
          <w:shd w:val="clear" w:color="auto" w:fill="auto"/>
        </w:rPr>
        <w:t xml:space="preserve">           </w:t>
      </w:r>
      <w:r>
        <w:rPr>
          <w:rFonts w:hint="eastAsia" w:ascii="宋体" w:hAnsi="宋体" w:cs="宋体"/>
          <w:sz w:val="24"/>
          <w:shd w:val="clear" w:color="auto" w:fill="auto"/>
        </w:rPr>
        <w:t>元（大写：</w:t>
      </w:r>
      <w:r>
        <w:rPr>
          <w:rFonts w:hint="eastAsia" w:ascii="宋体" w:hAnsi="宋体" w:cs="宋体"/>
          <w:sz w:val="24"/>
          <w:u w:val="single"/>
          <w:shd w:val="clear" w:color="auto" w:fill="auto"/>
        </w:rPr>
        <w:t xml:space="preserve">                 </w:t>
      </w:r>
      <w:r>
        <w:rPr>
          <w:rFonts w:hint="eastAsia" w:ascii="宋体" w:hAnsi="宋体" w:cs="宋体"/>
          <w:sz w:val="24"/>
          <w:shd w:val="clear" w:color="auto" w:fill="auto"/>
        </w:rPr>
        <w:t>元人民币）。</w:t>
      </w:r>
    </w:p>
    <w:p w14:paraId="7EDB508D">
      <w:pPr>
        <w:spacing w:line="560" w:lineRule="exact"/>
        <w:ind w:firstLine="480" w:firstLineChars="200"/>
        <w:rPr>
          <w:rFonts w:ascii="宋体" w:hAnsi="宋体" w:cs="宋体"/>
          <w:sz w:val="24"/>
          <w:u w:val="single"/>
          <w:shd w:val="clear" w:color="auto" w:fill="auto"/>
        </w:rPr>
      </w:pPr>
      <w:r>
        <w:rPr>
          <w:rFonts w:hint="eastAsia" w:ascii="宋体" w:hAnsi="宋体" w:cs="宋体"/>
          <w:sz w:val="24"/>
          <w:shd w:val="clear" w:color="auto" w:fill="auto"/>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A0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09221D0">
            <w:pPr>
              <w:pStyle w:val="320"/>
              <w:spacing w:line="560" w:lineRule="exact"/>
              <w:jc w:val="center"/>
              <w:rPr>
                <w:rFonts w:hAnsi="宋体" w:cs="宋体"/>
                <w:sz w:val="24"/>
                <w:szCs w:val="24"/>
                <w:shd w:val="clear" w:color="auto" w:fill="auto"/>
              </w:rPr>
            </w:pPr>
            <w:r>
              <w:rPr>
                <w:rFonts w:hint="eastAsia" w:hAnsi="宋体" w:cs="宋体"/>
                <w:sz w:val="24"/>
                <w:szCs w:val="24"/>
                <w:shd w:val="clear" w:color="auto" w:fill="auto"/>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95F101F">
            <w:pPr>
              <w:pStyle w:val="320"/>
              <w:spacing w:line="560" w:lineRule="exact"/>
              <w:ind w:firstLine="200"/>
              <w:jc w:val="center"/>
              <w:rPr>
                <w:rFonts w:hAnsi="宋体" w:cs="宋体"/>
                <w:sz w:val="24"/>
                <w:szCs w:val="24"/>
                <w:shd w:val="clear" w:color="auto" w:fill="auto"/>
              </w:rPr>
            </w:pPr>
            <w:r>
              <w:rPr>
                <w:rFonts w:hint="eastAsia" w:hAnsi="宋体" w:cs="宋体"/>
                <w:sz w:val="24"/>
                <w:szCs w:val="24"/>
                <w:shd w:val="clear" w:color="auto" w:fill="auto"/>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3B2D904">
            <w:pPr>
              <w:pStyle w:val="320"/>
              <w:spacing w:line="560" w:lineRule="exact"/>
              <w:jc w:val="center"/>
              <w:rPr>
                <w:rFonts w:hAnsi="宋体" w:cs="宋体"/>
                <w:sz w:val="24"/>
                <w:szCs w:val="24"/>
                <w:shd w:val="clear" w:color="auto" w:fill="auto"/>
              </w:rPr>
            </w:pPr>
            <w:r>
              <w:rPr>
                <w:rFonts w:hint="eastAsia" w:hAnsi="宋体" w:cs="宋体"/>
                <w:sz w:val="24"/>
                <w:szCs w:val="24"/>
                <w:shd w:val="clear" w:color="auto" w:fill="auto"/>
              </w:rPr>
              <w:t>分项价格</w:t>
            </w:r>
          </w:p>
        </w:tc>
      </w:tr>
      <w:tr w14:paraId="3306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585632">
            <w:pPr>
              <w:pStyle w:val="320"/>
              <w:spacing w:line="560" w:lineRule="exact"/>
              <w:ind w:firstLine="200"/>
              <w:jc w:val="center"/>
              <w:rPr>
                <w:rFonts w:hAnsi="宋体" w:cs="宋体"/>
                <w:sz w:val="24"/>
                <w:szCs w:val="24"/>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3E3AF773">
            <w:pPr>
              <w:pStyle w:val="320"/>
              <w:spacing w:line="560" w:lineRule="exact"/>
              <w:ind w:firstLine="200"/>
              <w:jc w:val="center"/>
              <w:rPr>
                <w:rFonts w:hAnsi="宋体" w:cs="宋体"/>
                <w:sz w:val="24"/>
                <w:szCs w:val="24"/>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4A9BE96D">
            <w:pPr>
              <w:pStyle w:val="320"/>
              <w:spacing w:line="560" w:lineRule="exact"/>
              <w:ind w:firstLine="200"/>
              <w:jc w:val="center"/>
              <w:rPr>
                <w:rFonts w:hAnsi="宋体" w:cs="宋体"/>
                <w:sz w:val="24"/>
                <w:szCs w:val="24"/>
                <w:shd w:val="clear" w:color="auto" w:fill="auto"/>
              </w:rPr>
            </w:pPr>
          </w:p>
        </w:tc>
      </w:tr>
      <w:tr w14:paraId="34EA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4FA49C">
            <w:pPr>
              <w:pStyle w:val="320"/>
              <w:spacing w:line="560" w:lineRule="exact"/>
              <w:ind w:firstLine="200"/>
              <w:jc w:val="center"/>
              <w:rPr>
                <w:rFonts w:hAnsi="宋体" w:cs="宋体"/>
                <w:sz w:val="24"/>
                <w:szCs w:val="24"/>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38F54B39">
            <w:pPr>
              <w:pStyle w:val="320"/>
              <w:spacing w:line="560" w:lineRule="exact"/>
              <w:ind w:firstLine="200"/>
              <w:jc w:val="center"/>
              <w:rPr>
                <w:rFonts w:hAnsi="宋体" w:cs="宋体"/>
                <w:sz w:val="24"/>
                <w:szCs w:val="24"/>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3C4C8EBD">
            <w:pPr>
              <w:pStyle w:val="320"/>
              <w:spacing w:line="560" w:lineRule="exact"/>
              <w:ind w:firstLine="200"/>
              <w:jc w:val="center"/>
              <w:rPr>
                <w:rFonts w:hAnsi="宋体" w:cs="宋体"/>
                <w:sz w:val="24"/>
                <w:szCs w:val="24"/>
                <w:shd w:val="clear" w:color="auto" w:fill="auto"/>
              </w:rPr>
            </w:pPr>
          </w:p>
        </w:tc>
      </w:tr>
      <w:tr w14:paraId="7741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8CD10BA">
            <w:pPr>
              <w:pStyle w:val="320"/>
              <w:spacing w:line="560" w:lineRule="exact"/>
              <w:ind w:firstLine="200"/>
              <w:jc w:val="center"/>
              <w:rPr>
                <w:rFonts w:hAnsi="宋体" w:cs="宋体"/>
                <w:sz w:val="24"/>
                <w:szCs w:val="24"/>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5F6D0D01">
            <w:pPr>
              <w:pStyle w:val="320"/>
              <w:spacing w:line="560" w:lineRule="exact"/>
              <w:ind w:firstLine="200"/>
              <w:jc w:val="center"/>
              <w:rPr>
                <w:rFonts w:hAnsi="宋体" w:cs="宋体"/>
                <w:sz w:val="24"/>
                <w:szCs w:val="24"/>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258D74C3">
            <w:pPr>
              <w:pStyle w:val="320"/>
              <w:spacing w:line="560" w:lineRule="exact"/>
              <w:ind w:firstLine="200"/>
              <w:jc w:val="center"/>
              <w:rPr>
                <w:rFonts w:hAnsi="宋体" w:cs="宋体"/>
                <w:sz w:val="24"/>
                <w:szCs w:val="24"/>
                <w:shd w:val="clear" w:color="auto" w:fill="auto"/>
              </w:rPr>
            </w:pPr>
          </w:p>
        </w:tc>
      </w:tr>
      <w:tr w14:paraId="1CED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7473AED">
            <w:pPr>
              <w:pStyle w:val="320"/>
              <w:spacing w:line="560" w:lineRule="exact"/>
              <w:ind w:firstLine="200"/>
              <w:jc w:val="center"/>
              <w:rPr>
                <w:rFonts w:hAnsi="宋体" w:cs="宋体"/>
                <w:sz w:val="24"/>
                <w:szCs w:val="24"/>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3AA289DB">
            <w:pPr>
              <w:pStyle w:val="320"/>
              <w:spacing w:line="560" w:lineRule="exact"/>
              <w:ind w:firstLine="200"/>
              <w:jc w:val="center"/>
              <w:rPr>
                <w:rFonts w:hAnsi="宋体" w:cs="宋体"/>
                <w:sz w:val="24"/>
                <w:szCs w:val="24"/>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1282DA2F">
            <w:pPr>
              <w:pStyle w:val="320"/>
              <w:spacing w:line="560" w:lineRule="exact"/>
              <w:ind w:firstLine="200"/>
              <w:jc w:val="center"/>
              <w:rPr>
                <w:rFonts w:hAnsi="宋体" w:cs="宋体"/>
                <w:sz w:val="24"/>
                <w:szCs w:val="24"/>
                <w:shd w:val="clear" w:color="auto" w:fill="auto"/>
              </w:rPr>
            </w:pPr>
          </w:p>
        </w:tc>
      </w:tr>
      <w:tr w14:paraId="4E3E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0E86A49">
            <w:pPr>
              <w:pStyle w:val="320"/>
              <w:spacing w:line="560" w:lineRule="exact"/>
              <w:ind w:firstLine="200"/>
              <w:jc w:val="center"/>
              <w:rPr>
                <w:rFonts w:hAnsi="宋体" w:cs="宋体"/>
                <w:sz w:val="24"/>
                <w:szCs w:val="24"/>
                <w:shd w:val="clear" w:color="auto" w:fill="auto"/>
              </w:rPr>
            </w:pPr>
            <w:r>
              <w:rPr>
                <w:rFonts w:hint="eastAsia" w:hAnsi="宋体" w:cs="宋体"/>
                <w:sz w:val="24"/>
                <w:szCs w:val="24"/>
                <w:shd w:val="clear" w:color="auto" w:fill="auto"/>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2FF0AF">
            <w:pPr>
              <w:pStyle w:val="320"/>
              <w:spacing w:line="560" w:lineRule="exact"/>
              <w:ind w:firstLine="200"/>
              <w:jc w:val="center"/>
              <w:rPr>
                <w:rFonts w:hAnsi="宋体" w:cs="宋体"/>
                <w:sz w:val="24"/>
                <w:szCs w:val="24"/>
                <w:shd w:val="clear" w:color="auto" w:fill="auto"/>
              </w:rPr>
            </w:pPr>
          </w:p>
        </w:tc>
      </w:tr>
    </w:tbl>
    <w:p w14:paraId="588F867B">
      <w:pPr>
        <w:pStyle w:val="960"/>
        <w:spacing w:before="0" w:beforeAutospacing="0" w:after="0" w:afterAutospacing="0" w:line="360" w:lineRule="auto"/>
        <w:ind w:firstLine="480"/>
        <w:rPr>
          <w:b/>
          <w:shd w:val="clear" w:color="auto" w:fill="auto"/>
        </w:rPr>
      </w:pPr>
      <w:bookmarkStart w:id="410" w:name="_Toc1814"/>
      <w:bookmarkStart w:id="411" w:name="_Toc10340"/>
      <w:bookmarkStart w:id="412" w:name="_Toc22618"/>
      <w:r>
        <w:rPr>
          <w:rFonts w:hint="eastAsia"/>
          <w:b/>
          <w:shd w:val="clear" w:color="auto" w:fill="auto"/>
        </w:rPr>
        <w:t>1.4履约保证金</w:t>
      </w:r>
    </w:p>
    <w:p w14:paraId="2A4BD49F">
      <w:pPr>
        <w:pStyle w:val="960"/>
        <w:spacing w:before="0" w:beforeAutospacing="0" w:after="0" w:afterAutospacing="0" w:line="360" w:lineRule="auto"/>
        <w:ind w:firstLine="480"/>
        <w:rPr>
          <w:highlight w:val="none"/>
          <w:shd w:val="clear" w:color="auto" w:fill="auto"/>
        </w:rPr>
      </w:pPr>
      <w:r>
        <w:rPr>
          <w:rFonts w:hint="eastAsia"/>
          <w:highlight w:val="none"/>
          <w:shd w:val="clear" w:color="auto" w:fill="auto"/>
        </w:rPr>
        <w:t>乙方</w:t>
      </w:r>
      <w:r>
        <w:rPr>
          <w:rFonts w:hint="eastAsia"/>
          <w:highlight w:val="none"/>
          <w:u w:val="single"/>
          <w:shd w:val="clear" w:color="auto" w:fill="auto"/>
        </w:rPr>
        <w:t xml:space="preserve">  </w:t>
      </w:r>
      <w:r>
        <w:rPr>
          <w:rFonts w:hint="eastAsia"/>
          <w:highlight w:val="none"/>
          <w:shd w:val="clear" w:color="auto" w:fill="auto"/>
        </w:rPr>
        <w:t>否</w:t>
      </w:r>
      <w:r>
        <w:rPr>
          <w:rFonts w:hint="eastAsia"/>
          <w:highlight w:val="none"/>
          <w:u w:val="single"/>
          <w:shd w:val="clear" w:color="auto" w:fill="auto"/>
        </w:rPr>
        <w:t xml:space="preserve"> </w:t>
      </w:r>
      <w:r>
        <w:rPr>
          <w:rFonts w:hint="eastAsia"/>
          <w:highlight w:val="none"/>
          <w:shd w:val="clear" w:color="auto" w:fill="auto"/>
        </w:rPr>
        <w:t>（是</w:t>
      </w:r>
      <w:r>
        <w:rPr>
          <w:rFonts w:hint="eastAsia" w:ascii="仿宋" w:hAnsi="仿宋" w:eastAsia="仿宋" w:cs="仿宋"/>
          <w:highlight w:val="none"/>
          <w:shd w:val="clear" w:color="auto" w:fill="auto"/>
        </w:rPr>
        <w:t>/</w:t>
      </w:r>
      <w:r>
        <w:rPr>
          <w:rFonts w:hint="eastAsia"/>
          <w:highlight w:val="none"/>
          <w:shd w:val="clear" w:color="auto" w:fill="auto"/>
        </w:rPr>
        <w:t>否）需要支付履约保证金。若需要支付履约保证金的，则：</w:t>
      </w:r>
    </w:p>
    <w:p w14:paraId="06AD2429">
      <w:pPr>
        <w:spacing w:line="560" w:lineRule="exact"/>
        <w:ind w:firstLine="480" w:firstLineChars="200"/>
        <w:outlineLvl w:val="0"/>
        <w:rPr>
          <w:rFonts w:ascii="宋体" w:hAnsi="宋体" w:cs="宋体"/>
          <w:kern w:val="0"/>
          <w:sz w:val="24"/>
          <w:highlight w:val="none"/>
          <w:shd w:val="clear" w:color="auto" w:fill="auto"/>
        </w:rPr>
      </w:pPr>
      <w:r>
        <w:rPr>
          <w:rFonts w:hint="eastAsia" w:ascii="宋体" w:hAnsi="宋体" w:cs="宋体"/>
          <w:kern w:val="0"/>
          <w:sz w:val="24"/>
          <w:highlight w:val="none"/>
          <w:shd w:val="clear" w:color="auto" w:fill="auto"/>
        </w:rPr>
        <w:t>1.4.1履约保证金的比例为合同金额的</w:t>
      </w:r>
      <w:r>
        <w:rPr>
          <w:rFonts w:hint="eastAsia" w:ascii="宋体" w:hAnsi="宋体" w:cs="宋体"/>
          <w:kern w:val="0"/>
          <w:sz w:val="24"/>
          <w:highlight w:val="none"/>
          <w:u w:val="single"/>
          <w:shd w:val="clear" w:color="auto" w:fill="auto"/>
        </w:rPr>
        <w:t xml:space="preserve">  </w:t>
      </w:r>
      <w:r>
        <w:rPr>
          <w:rFonts w:hint="eastAsia" w:ascii="宋体" w:hAnsi="宋体" w:cs="宋体"/>
          <w:kern w:val="0"/>
          <w:sz w:val="24"/>
          <w:highlight w:val="none"/>
          <w:u w:val="single"/>
          <w:shd w:val="clear" w:color="auto" w:fill="auto"/>
          <w:lang w:val="en-US" w:eastAsia="zh-CN"/>
        </w:rPr>
        <w:t>/</w:t>
      </w:r>
      <w:r>
        <w:rPr>
          <w:rFonts w:hint="eastAsia" w:ascii="宋体" w:hAnsi="宋体" w:cs="宋体"/>
          <w:kern w:val="0"/>
          <w:sz w:val="24"/>
          <w:highlight w:val="none"/>
          <w:u w:val="single"/>
          <w:shd w:val="clear" w:color="auto" w:fill="auto"/>
        </w:rPr>
        <w:t xml:space="preserve">  </w:t>
      </w:r>
      <w:r>
        <w:rPr>
          <w:rFonts w:hint="eastAsia" w:ascii="宋体" w:hAnsi="宋体" w:cs="宋体"/>
          <w:kern w:val="0"/>
          <w:sz w:val="24"/>
          <w:highlight w:val="none"/>
          <w:shd w:val="clear" w:color="auto" w:fill="auto"/>
        </w:rPr>
        <w:t>%；</w:t>
      </w:r>
    </w:p>
    <w:p w14:paraId="610DAB43">
      <w:pPr>
        <w:spacing w:line="560" w:lineRule="exact"/>
        <w:ind w:firstLine="480" w:firstLineChars="200"/>
        <w:outlineLvl w:val="0"/>
        <w:rPr>
          <w:rFonts w:ascii="宋体" w:hAnsi="宋体" w:cs="宋体"/>
          <w:kern w:val="0"/>
          <w:sz w:val="24"/>
          <w:shd w:val="clear" w:color="auto" w:fill="auto"/>
        </w:rPr>
      </w:pPr>
      <w:r>
        <w:rPr>
          <w:rFonts w:hint="eastAsia" w:ascii="宋体" w:hAnsi="宋体" w:cs="宋体"/>
          <w:kern w:val="0"/>
          <w:sz w:val="24"/>
          <w:highlight w:val="none"/>
          <w:shd w:val="clear" w:color="auto" w:fill="auto"/>
        </w:rPr>
        <w:t>1.4.2履约保证金支付方式详见</w:t>
      </w:r>
      <w:r>
        <w:rPr>
          <w:rFonts w:hint="eastAsia" w:ascii="宋体" w:hAnsi="宋体" w:cs="宋体"/>
          <w:kern w:val="0"/>
          <w:sz w:val="24"/>
          <w:highlight w:val="none"/>
          <w:u w:val="single"/>
          <w:shd w:val="clear" w:color="auto" w:fill="auto"/>
        </w:rPr>
        <w:t xml:space="preserve">    </w:t>
      </w:r>
      <w:r>
        <w:rPr>
          <w:rFonts w:hint="eastAsia" w:ascii="宋体" w:hAnsi="宋体" w:cs="宋体"/>
          <w:b/>
          <w:i/>
          <w:sz w:val="24"/>
          <w:highlight w:val="none"/>
          <w:u w:val="single"/>
          <w:shd w:val="clear" w:color="auto" w:fill="auto"/>
        </w:rPr>
        <w:t>合同专用条款</w:t>
      </w:r>
      <w:r>
        <w:rPr>
          <w:rFonts w:hint="eastAsia" w:ascii="宋体" w:hAnsi="宋体" w:cs="宋体"/>
          <w:kern w:val="0"/>
          <w:sz w:val="24"/>
          <w:highlight w:val="none"/>
          <w:u w:val="single"/>
          <w:shd w:val="clear" w:color="auto" w:fill="auto"/>
        </w:rPr>
        <w:t xml:space="preserve"> </w:t>
      </w:r>
      <w:r>
        <w:rPr>
          <w:rFonts w:hint="eastAsia" w:ascii="宋体" w:hAnsi="宋体" w:cs="宋体"/>
          <w:kern w:val="0"/>
          <w:sz w:val="24"/>
          <w:u w:val="single"/>
          <w:shd w:val="clear" w:color="auto" w:fill="auto"/>
        </w:rPr>
        <w:t xml:space="preserve">          </w:t>
      </w:r>
      <w:r>
        <w:rPr>
          <w:rFonts w:hint="eastAsia" w:ascii="宋体" w:hAnsi="宋体" w:cs="宋体"/>
          <w:kern w:val="0"/>
          <w:sz w:val="24"/>
          <w:shd w:val="clear" w:color="auto" w:fill="auto"/>
        </w:rPr>
        <w:t>；</w:t>
      </w:r>
    </w:p>
    <w:p w14:paraId="2819E343">
      <w:pPr>
        <w:pStyle w:val="4"/>
        <w:tabs>
          <w:tab w:val="left" w:pos="0"/>
          <w:tab w:val="clear" w:pos="432"/>
        </w:tabs>
        <w:spacing w:line="560" w:lineRule="exact"/>
        <w:ind w:left="0" w:firstLine="480" w:firstLineChars="200"/>
        <w:rPr>
          <w:rFonts w:eastAsia="宋体"/>
          <w:shd w:val="clear" w:color="auto" w:fill="auto"/>
          <w:lang w:val="en-US"/>
        </w:rPr>
      </w:pPr>
      <w:r>
        <w:rPr>
          <w:rFonts w:hint="eastAsia" w:ascii="宋体" w:hAnsi="宋体" w:eastAsia="宋体" w:cs="宋体"/>
          <w:b w:val="0"/>
          <w:bCs w:val="0"/>
          <w:kern w:val="0"/>
          <w:sz w:val="24"/>
          <w:szCs w:val="24"/>
          <w:shd w:val="clear" w:color="auto" w:fill="auto"/>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25CAC3">
      <w:pPr>
        <w:spacing w:line="560" w:lineRule="exact"/>
        <w:ind w:firstLine="480" w:firstLineChars="200"/>
        <w:outlineLvl w:val="0"/>
        <w:rPr>
          <w:shd w:val="clear" w:color="auto" w:fill="auto"/>
        </w:rPr>
      </w:pPr>
      <w:r>
        <w:rPr>
          <w:rFonts w:hint="eastAsia" w:ascii="宋体" w:hAnsi="宋体" w:cs="宋体"/>
          <w:kern w:val="0"/>
          <w:sz w:val="24"/>
          <w:shd w:val="clear" w:color="auto" w:fill="auto"/>
        </w:rPr>
        <w:t>1.4.4 甲方在项目验收结束后及时退还履约保证金。甲方在项目通过验收之日起</w:t>
      </w:r>
      <w:r>
        <w:rPr>
          <w:rFonts w:hint="eastAsia" w:ascii="宋体" w:hAnsi="宋体" w:cs="宋体"/>
          <w:kern w:val="0"/>
          <w:sz w:val="24"/>
          <w:u w:val="single"/>
          <w:shd w:val="clear" w:color="auto" w:fill="auto"/>
        </w:rPr>
        <w:t xml:space="preserve">       </w:t>
      </w:r>
      <w:r>
        <w:rPr>
          <w:rFonts w:hint="eastAsia" w:ascii="宋体" w:hAnsi="宋体" w:cs="宋体"/>
          <w:kern w:val="0"/>
          <w:sz w:val="24"/>
          <w:shd w:val="clear" w:color="auto" w:fill="auto"/>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shd w:val="clear" w:color="auto" w:fill="auto"/>
        </w:rPr>
        <w:t xml:space="preserve">  0.05（可根据情况修改）</w:t>
      </w:r>
      <w:r>
        <w:rPr>
          <w:rFonts w:hint="eastAsia" w:ascii="宋体" w:hAnsi="宋体" w:cs="宋体"/>
          <w:sz w:val="24"/>
          <w:u w:val="single"/>
          <w:shd w:val="clear" w:color="auto" w:fill="auto"/>
        </w:rPr>
        <w:t xml:space="preserve"> </w:t>
      </w:r>
      <w:r>
        <w:rPr>
          <w:rFonts w:hint="eastAsia" w:ascii="宋体" w:hAnsi="宋体" w:cs="宋体"/>
          <w:kern w:val="0"/>
          <w:sz w:val="24"/>
          <w:u w:val="single"/>
          <w:shd w:val="clear" w:color="auto" w:fill="auto"/>
        </w:rPr>
        <w:t xml:space="preserve">  </w:t>
      </w:r>
      <w:r>
        <w:rPr>
          <w:rFonts w:hint="eastAsia" w:ascii="宋体" w:hAnsi="宋体" w:cs="宋体"/>
          <w:kern w:val="0"/>
          <w:sz w:val="24"/>
          <w:shd w:val="clear" w:color="auto" w:fill="auto"/>
        </w:rPr>
        <w:t>%计算，最高限额为本合同履约保证金的</w:t>
      </w:r>
      <w:r>
        <w:rPr>
          <w:rFonts w:hint="eastAsia" w:ascii="宋体" w:hAnsi="宋体" w:cs="宋体"/>
          <w:kern w:val="0"/>
          <w:sz w:val="24"/>
          <w:u w:val="single"/>
          <w:shd w:val="clear" w:color="auto" w:fill="auto"/>
        </w:rPr>
        <w:t xml:space="preserve">  20  </w:t>
      </w:r>
      <w:r>
        <w:rPr>
          <w:rFonts w:hint="eastAsia" w:ascii="宋体" w:hAnsi="宋体" w:cs="宋体"/>
          <w:kern w:val="0"/>
          <w:sz w:val="24"/>
          <w:shd w:val="clear" w:color="auto" w:fill="auto"/>
        </w:rPr>
        <w:t xml:space="preserve"> %。</w:t>
      </w:r>
    </w:p>
    <w:p w14:paraId="2DA970C8">
      <w:pPr>
        <w:spacing w:line="560" w:lineRule="exact"/>
        <w:ind w:firstLine="482" w:firstLineChars="200"/>
        <w:outlineLvl w:val="0"/>
        <w:rPr>
          <w:rFonts w:ascii="宋体" w:hAnsi="宋体" w:cs="宋体"/>
          <w:b/>
          <w:sz w:val="24"/>
          <w:shd w:val="clear" w:color="auto" w:fill="auto"/>
        </w:rPr>
      </w:pPr>
      <w:r>
        <w:rPr>
          <w:rFonts w:hint="eastAsia" w:ascii="宋体" w:hAnsi="宋体" w:cs="宋体"/>
          <w:b/>
          <w:sz w:val="24"/>
          <w:shd w:val="clear" w:color="auto" w:fill="auto"/>
        </w:rPr>
        <w:t>1.5</w:t>
      </w:r>
      <w:bookmarkEnd w:id="410"/>
      <w:bookmarkEnd w:id="411"/>
      <w:bookmarkEnd w:id="412"/>
      <w:r>
        <w:rPr>
          <w:rFonts w:hint="eastAsia" w:ascii="宋体" w:hAnsi="宋体" w:cs="宋体"/>
          <w:b/>
          <w:sz w:val="24"/>
          <w:shd w:val="clear" w:color="auto" w:fill="auto"/>
        </w:rPr>
        <w:t>预付款</w:t>
      </w:r>
    </w:p>
    <w:p w14:paraId="525D186E">
      <w:pPr>
        <w:pStyle w:val="960"/>
        <w:spacing w:before="0" w:beforeAutospacing="0" w:after="0" w:afterAutospacing="0" w:line="360" w:lineRule="auto"/>
        <w:ind w:firstLine="480"/>
        <w:rPr>
          <w:shd w:val="clear" w:color="auto" w:fill="auto"/>
        </w:rPr>
      </w:pPr>
      <w:r>
        <w:rPr>
          <w:rFonts w:hint="eastAsia"/>
          <w:shd w:val="clear" w:color="auto" w:fill="auto"/>
        </w:rPr>
        <w:t>甲方</w:t>
      </w:r>
      <w:r>
        <w:rPr>
          <w:rFonts w:hint="eastAsia"/>
          <w:u w:val="single"/>
          <w:shd w:val="clear" w:color="auto" w:fill="auto"/>
        </w:rPr>
        <w:t xml:space="preserve"> </w:t>
      </w:r>
      <w:r>
        <w:rPr>
          <w:rFonts w:hint="eastAsia"/>
          <w:u w:val="single"/>
          <w:shd w:val="clear" w:color="auto" w:fill="auto"/>
          <w:lang w:eastAsia="zh-CN"/>
        </w:rPr>
        <w:t>是</w:t>
      </w:r>
      <w:r>
        <w:rPr>
          <w:rFonts w:hint="eastAsia"/>
          <w:shd w:val="clear" w:color="auto" w:fill="auto"/>
        </w:rPr>
        <w:t>（是</w:t>
      </w:r>
      <w:r>
        <w:rPr>
          <w:rFonts w:hint="eastAsia" w:ascii="仿宋" w:hAnsi="仿宋" w:eastAsia="仿宋" w:cs="仿宋"/>
          <w:shd w:val="clear" w:color="auto" w:fill="auto"/>
        </w:rPr>
        <w:t>/</w:t>
      </w:r>
      <w:r>
        <w:rPr>
          <w:rFonts w:hint="eastAsia"/>
          <w:shd w:val="clear" w:color="auto" w:fill="auto"/>
        </w:rPr>
        <w:t>否）需要支付预付款。若需要支付预付款的，则：</w:t>
      </w:r>
    </w:p>
    <w:p w14:paraId="3F7B034D">
      <w:pPr>
        <w:spacing w:line="560" w:lineRule="exact"/>
        <w:ind w:firstLine="480" w:firstLineChars="200"/>
        <w:rPr>
          <w:rFonts w:ascii="宋体" w:hAnsi="宋体" w:cs="宋体"/>
          <w:kern w:val="0"/>
          <w:sz w:val="24"/>
          <w:shd w:val="clear" w:color="auto" w:fill="auto"/>
        </w:rPr>
      </w:pPr>
      <w:r>
        <w:rPr>
          <w:rFonts w:hint="eastAsia" w:ascii="宋体" w:hAnsi="宋体" w:cs="宋体"/>
          <w:kern w:val="0"/>
          <w:sz w:val="24"/>
          <w:shd w:val="clear" w:color="auto" w:fill="auto"/>
        </w:rPr>
        <w:t>1.5.1预付款比例、支付方式、时间详见</w:t>
      </w:r>
      <w:r>
        <w:rPr>
          <w:rFonts w:hint="eastAsia" w:ascii="宋体" w:hAnsi="宋体" w:cs="宋体"/>
          <w:kern w:val="0"/>
          <w:sz w:val="24"/>
          <w:u w:val="single"/>
          <w:shd w:val="clear" w:color="auto" w:fill="auto"/>
        </w:rPr>
        <w:t xml:space="preserve">    </w:t>
      </w:r>
      <w:r>
        <w:rPr>
          <w:rFonts w:hint="eastAsia" w:ascii="宋体" w:hAnsi="宋体" w:cs="宋体"/>
          <w:b/>
          <w:i/>
          <w:sz w:val="24"/>
          <w:u w:val="single"/>
          <w:shd w:val="clear" w:color="auto" w:fill="auto"/>
        </w:rPr>
        <w:t>合同专用条款</w:t>
      </w:r>
      <w:r>
        <w:rPr>
          <w:rFonts w:hint="eastAsia" w:ascii="宋体" w:hAnsi="宋体" w:cs="宋体"/>
          <w:kern w:val="0"/>
          <w:sz w:val="24"/>
          <w:u w:val="single"/>
          <w:shd w:val="clear" w:color="auto" w:fill="auto"/>
        </w:rPr>
        <w:t xml:space="preserve">           </w:t>
      </w:r>
      <w:r>
        <w:rPr>
          <w:rFonts w:hint="eastAsia" w:ascii="宋体" w:hAnsi="宋体" w:cs="宋体"/>
          <w:kern w:val="0"/>
          <w:sz w:val="24"/>
          <w:shd w:val="clear" w:color="auto" w:fill="auto"/>
        </w:rPr>
        <w:t>；</w:t>
      </w:r>
    </w:p>
    <w:p w14:paraId="016C6607">
      <w:pPr>
        <w:pStyle w:val="960"/>
        <w:spacing w:before="0" w:beforeAutospacing="0" w:after="0" w:afterAutospacing="0" w:line="360" w:lineRule="auto"/>
        <w:ind w:firstLine="480"/>
        <w:rPr>
          <w:shd w:val="clear" w:color="auto" w:fill="auto"/>
        </w:rPr>
      </w:pPr>
      <w:r>
        <w:rPr>
          <w:rFonts w:hint="eastAsia"/>
          <w:shd w:val="clear" w:color="auto" w:fill="auto"/>
        </w:rPr>
        <w:t>1.5.2预付款的扣回方式详见</w:t>
      </w:r>
      <w:r>
        <w:rPr>
          <w:rFonts w:hint="eastAsia"/>
          <w:u w:val="single"/>
          <w:shd w:val="clear" w:color="auto" w:fill="auto"/>
        </w:rPr>
        <w:t xml:space="preserve">    </w:t>
      </w:r>
      <w:r>
        <w:rPr>
          <w:rFonts w:hint="eastAsia"/>
          <w:b/>
          <w:i/>
          <w:u w:val="single"/>
          <w:shd w:val="clear" w:color="auto" w:fill="auto"/>
        </w:rPr>
        <w:t>合同专用条款</w:t>
      </w:r>
      <w:r>
        <w:rPr>
          <w:rFonts w:hint="eastAsia"/>
          <w:u w:val="single"/>
          <w:shd w:val="clear" w:color="auto" w:fill="auto"/>
        </w:rPr>
        <w:t xml:space="preserve">           </w:t>
      </w:r>
      <w:r>
        <w:rPr>
          <w:rFonts w:hint="eastAsia"/>
          <w:shd w:val="clear" w:color="auto" w:fill="auto"/>
        </w:rPr>
        <w:t>；</w:t>
      </w:r>
    </w:p>
    <w:p w14:paraId="14E9D093">
      <w:pPr>
        <w:pStyle w:val="960"/>
        <w:spacing w:before="0" w:beforeAutospacing="0" w:after="0" w:afterAutospacing="0" w:line="360" w:lineRule="auto"/>
        <w:ind w:firstLine="480"/>
        <w:rPr>
          <w:u w:val="single"/>
          <w:shd w:val="clear" w:color="auto" w:fill="auto"/>
        </w:rPr>
      </w:pPr>
      <w:r>
        <w:rPr>
          <w:rFonts w:hint="eastAsia"/>
          <w:shd w:val="clear" w:color="auto" w:fill="auto"/>
        </w:rPr>
        <w:t>1.5.3预付款的担保措施详见</w:t>
      </w:r>
      <w:r>
        <w:rPr>
          <w:rFonts w:hint="eastAsia"/>
          <w:u w:val="single"/>
          <w:shd w:val="clear" w:color="auto" w:fill="auto"/>
        </w:rPr>
        <w:t xml:space="preserve">    </w:t>
      </w:r>
      <w:r>
        <w:rPr>
          <w:rFonts w:hint="eastAsia"/>
          <w:b/>
          <w:i/>
          <w:u w:val="single"/>
          <w:shd w:val="clear" w:color="auto" w:fill="auto"/>
        </w:rPr>
        <w:t>合同专用条款</w:t>
      </w:r>
      <w:r>
        <w:rPr>
          <w:rFonts w:hint="eastAsia"/>
          <w:u w:val="single"/>
          <w:shd w:val="clear" w:color="auto" w:fill="auto"/>
        </w:rPr>
        <w:t xml:space="preserve">          </w:t>
      </w:r>
      <w:r>
        <w:rPr>
          <w:rFonts w:hint="eastAsia"/>
          <w:shd w:val="clear" w:color="auto" w:fill="auto"/>
        </w:rPr>
        <w:t>。</w:t>
      </w:r>
    </w:p>
    <w:p w14:paraId="64405301">
      <w:pPr>
        <w:pStyle w:val="960"/>
        <w:spacing w:before="0" w:beforeAutospacing="0" w:after="0" w:afterAutospacing="0" w:line="360" w:lineRule="auto"/>
        <w:ind w:firstLine="480"/>
        <w:rPr>
          <w:b/>
          <w:bCs/>
          <w:shd w:val="clear" w:color="auto" w:fill="auto"/>
        </w:rPr>
      </w:pPr>
      <w:r>
        <w:rPr>
          <w:rFonts w:hint="eastAsia"/>
          <w:b/>
          <w:bCs/>
          <w:shd w:val="clear" w:color="auto" w:fill="auto"/>
        </w:rPr>
        <w:t>1.6资金支付</w:t>
      </w:r>
    </w:p>
    <w:p w14:paraId="25536782">
      <w:pPr>
        <w:pStyle w:val="960"/>
        <w:spacing w:before="0" w:beforeAutospacing="0" w:after="0" w:afterAutospacing="0" w:line="360" w:lineRule="auto"/>
        <w:ind w:firstLine="480"/>
        <w:rPr>
          <w:shd w:val="clear" w:color="auto" w:fill="auto"/>
        </w:rPr>
      </w:pPr>
      <w:r>
        <w:rPr>
          <w:rFonts w:hint="eastAsia"/>
          <w:shd w:val="clear" w:color="auto" w:fil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13596A9">
      <w:pPr>
        <w:spacing w:line="560" w:lineRule="exact"/>
        <w:ind w:firstLine="480" w:firstLineChars="200"/>
        <w:outlineLvl w:val="0"/>
        <w:rPr>
          <w:rFonts w:ascii="宋体" w:hAnsi="宋体" w:cs="宋体"/>
          <w:sz w:val="24"/>
          <w:shd w:val="clear" w:color="auto" w:fill="auto"/>
        </w:rPr>
      </w:pPr>
      <w:r>
        <w:rPr>
          <w:rFonts w:hint="eastAsia" w:ascii="宋体" w:hAnsi="宋体" w:cs="宋体"/>
          <w:sz w:val="24"/>
          <w:shd w:val="clear" w:color="auto" w:fill="auto"/>
        </w:rPr>
        <w:t>1.6.2资金支付的方式、时间和条件详见</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w:t>
      </w:r>
    </w:p>
    <w:p w14:paraId="657B64E4">
      <w:pPr>
        <w:spacing w:line="560" w:lineRule="exact"/>
        <w:ind w:firstLine="482" w:firstLineChars="200"/>
        <w:outlineLvl w:val="0"/>
        <w:rPr>
          <w:rFonts w:ascii="宋体" w:hAnsi="宋体" w:cs="宋体"/>
          <w:b/>
          <w:sz w:val="24"/>
          <w:shd w:val="clear" w:color="auto" w:fill="auto"/>
        </w:rPr>
      </w:pPr>
      <w:bookmarkStart w:id="413" w:name="_Toc19304"/>
      <w:bookmarkStart w:id="414" w:name="_Toc2846"/>
      <w:bookmarkStart w:id="415" w:name="_Toc32071"/>
      <w:r>
        <w:rPr>
          <w:rFonts w:hint="eastAsia" w:ascii="宋体" w:hAnsi="宋体" w:cs="宋体"/>
          <w:b/>
          <w:sz w:val="24"/>
          <w:shd w:val="clear" w:color="auto" w:fill="auto"/>
        </w:rPr>
        <w:t>1.7货物交付期限、地点和方式</w:t>
      </w:r>
      <w:bookmarkEnd w:id="413"/>
      <w:bookmarkEnd w:id="414"/>
      <w:bookmarkEnd w:id="415"/>
    </w:p>
    <w:p w14:paraId="5E17C3E5">
      <w:pPr>
        <w:spacing w:line="560" w:lineRule="exact"/>
        <w:ind w:firstLine="480" w:firstLineChars="200"/>
        <w:rPr>
          <w:rFonts w:ascii="宋体" w:hAnsi="宋体" w:cs="宋体"/>
          <w:sz w:val="24"/>
          <w:u w:val="single"/>
          <w:shd w:val="clear" w:color="auto" w:fill="auto"/>
        </w:rPr>
      </w:pPr>
      <w:r>
        <w:rPr>
          <w:rFonts w:hint="eastAsia" w:ascii="宋体" w:hAnsi="宋体" w:cs="宋体"/>
          <w:sz w:val="24"/>
          <w:shd w:val="clear" w:color="auto" w:fill="auto"/>
        </w:rPr>
        <w:t>1.7.1 交付期限：详见</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w:t>
      </w:r>
    </w:p>
    <w:p w14:paraId="4DAA9E2F">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1.7.2 交付地点：</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w:t>
      </w:r>
    </w:p>
    <w:p w14:paraId="5FCB0E8C">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1.7.3 交付方式：</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w:t>
      </w:r>
    </w:p>
    <w:p w14:paraId="7E3E02DB">
      <w:pPr>
        <w:spacing w:line="560" w:lineRule="exact"/>
        <w:ind w:firstLine="482" w:firstLineChars="200"/>
        <w:outlineLvl w:val="0"/>
        <w:rPr>
          <w:rFonts w:ascii="宋体" w:hAnsi="宋体" w:cs="宋体"/>
          <w:b/>
          <w:sz w:val="24"/>
          <w:shd w:val="clear" w:color="auto" w:fill="auto"/>
        </w:rPr>
      </w:pPr>
      <w:bookmarkStart w:id="416" w:name="_Toc27250"/>
      <w:bookmarkStart w:id="417" w:name="_Toc19554"/>
      <w:bookmarkStart w:id="418" w:name="_Toc21423"/>
      <w:r>
        <w:rPr>
          <w:rFonts w:hint="eastAsia" w:ascii="宋体" w:hAnsi="宋体" w:cs="宋体"/>
          <w:b/>
          <w:sz w:val="24"/>
          <w:shd w:val="clear" w:color="auto" w:fill="auto"/>
        </w:rPr>
        <w:t>1.8违约责任</w:t>
      </w:r>
      <w:bookmarkEnd w:id="416"/>
      <w:bookmarkEnd w:id="417"/>
      <w:bookmarkEnd w:id="418"/>
    </w:p>
    <w:p w14:paraId="612D03CB">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shd w:val="clear" w:color="auto" w:fill="auto"/>
        </w:rPr>
        <w:t xml:space="preserve">  0.05</w:t>
      </w:r>
      <w:r>
        <w:rPr>
          <w:rFonts w:hint="eastAsia" w:ascii="宋体" w:hAnsi="宋体" w:cs="宋体"/>
          <w:kern w:val="0"/>
          <w:sz w:val="24"/>
          <w:u w:val="single"/>
          <w:shd w:val="clear" w:color="auto" w:fill="auto"/>
        </w:rPr>
        <w:t>（可根据情况修改）</w:t>
      </w:r>
      <w:r>
        <w:rPr>
          <w:rFonts w:hint="eastAsia" w:ascii="宋体" w:hAnsi="宋体" w:cs="宋体"/>
          <w:sz w:val="24"/>
          <w:u w:val="single"/>
          <w:shd w:val="clear" w:color="auto" w:fill="auto"/>
        </w:rPr>
        <w:t xml:space="preserve">    </w:t>
      </w:r>
      <w:r>
        <w:rPr>
          <w:rFonts w:hint="eastAsia" w:ascii="宋体" w:hAnsi="宋体" w:cs="宋体"/>
          <w:sz w:val="24"/>
          <w:shd w:val="clear" w:color="auto" w:fill="auto"/>
        </w:rPr>
        <w:t>%计算，最高限额为本合同总价的</w:t>
      </w:r>
      <w:r>
        <w:rPr>
          <w:rFonts w:hint="eastAsia" w:ascii="宋体" w:hAnsi="宋体" w:cs="宋体"/>
          <w:sz w:val="24"/>
          <w:u w:val="single"/>
          <w:shd w:val="clear" w:color="auto" w:fill="auto"/>
        </w:rPr>
        <w:t xml:space="preserve"> 20   </w:t>
      </w:r>
      <w:r>
        <w:rPr>
          <w:rFonts w:hint="eastAsia" w:ascii="宋体" w:hAnsi="宋体" w:cs="宋体"/>
          <w:sz w:val="24"/>
          <w:shd w:val="clear" w:color="auto" w:fill="auto"/>
        </w:rPr>
        <w:t>%；迟延交付货物的违约金计算数额达到前述最高限额之日起，甲方有权在要求乙方支付违约金的同时，书面通知乙方解除本合同；</w:t>
      </w:r>
    </w:p>
    <w:p w14:paraId="035FCE6F">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shd w:val="clear" w:color="auto" w:fill="auto"/>
        </w:rPr>
        <w:t xml:space="preserve"> 0.05</w:t>
      </w:r>
      <w:r>
        <w:rPr>
          <w:rFonts w:hint="eastAsia" w:ascii="宋体" w:hAnsi="宋体" w:cs="宋体"/>
          <w:kern w:val="0"/>
          <w:sz w:val="24"/>
          <w:u w:val="single"/>
          <w:shd w:val="clear" w:color="auto" w:fill="auto"/>
        </w:rPr>
        <w:t>（可根据情况修改）</w:t>
      </w:r>
      <w:r>
        <w:rPr>
          <w:rFonts w:hint="eastAsia" w:ascii="宋体" w:hAnsi="宋体" w:cs="宋体"/>
          <w:sz w:val="24"/>
          <w:u w:val="single"/>
          <w:shd w:val="clear" w:color="auto" w:fill="auto"/>
        </w:rPr>
        <w:t xml:space="preserve">      </w:t>
      </w:r>
      <w:r>
        <w:rPr>
          <w:rFonts w:hint="eastAsia" w:ascii="宋体" w:hAnsi="宋体" w:cs="宋体"/>
          <w:sz w:val="24"/>
          <w:shd w:val="clear" w:color="auto" w:fill="auto"/>
        </w:rPr>
        <w:t>%计算，最高限额为本合同总价的</w:t>
      </w:r>
      <w:r>
        <w:rPr>
          <w:rFonts w:hint="eastAsia" w:ascii="宋体" w:hAnsi="宋体" w:cs="宋体"/>
          <w:sz w:val="24"/>
          <w:u w:val="single"/>
          <w:shd w:val="clear" w:color="auto" w:fill="auto"/>
        </w:rPr>
        <w:t xml:space="preserve">   20   </w:t>
      </w:r>
      <w:r>
        <w:rPr>
          <w:rFonts w:hint="eastAsia" w:ascii="宋体" w:hAnsi="宋体" w:cs="宋体"/>
          <w:sz w:val="24"/>
          <w:shd w:val="clear" w:color="auto" w:fill="auto"/>
        </w:rPr>
        <w:t>%；迟延付款的违约金计算数额达到前述最高限额之日起，乙方有权在要求甲方支付违约金的同时，书面通知甲方解除本合同；</w:t>
      </w:r>
    </w:p>
    <w:p w14:paraId="0F7FCE03">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A7F645">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BBF1324">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1.8.5如果出现政府采购监督管理部门在处理投诉事项期间，书面通知甲方暂停采购活动的情形，或者询问或质疑事项可能影响中标或者成交结果的，导致甲方中止履行合同的情形，均不视为甲方违约。</w:t>
      </w:r>
    </w:p>
    <w:p w14:paraId="2C5C8C80">
      <w:pPr>
        <w:spacing w:line="560" w:lineRule="exact"/>
        <w:ind w:left="-420" w:leftChars="-200" w:right="-420" w:rightChars="-200" w:firstLine="960" w:firstLineChars="400"/>
        <w:rPr>
          <w:rFonts w:ascii="宋体" w:hAnsi="宋体" w:cs="宋体"/>
          <w:shd w:val="clear" w:color="auto" w:fill="auto"/>
        </w:rPr>
      </w:pPr>
      <w:r>
        <w:rPr>
          <w:rFonts w:hint="eastAsia" w:ascii="宋体" w:hAnsi="宋体" w:cs="宋体"/>
          <w:sz w:val="24"/>
          <w:shd w:val="clear" w:color="auto" w:fill="auto"/>
        </w:rPr>
        <w:t>1.8.6违约责任</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另有约定的，从其约定。</w:t>
      </w:r>
    </w:p>
    <w:p w14:paraId="6932BB04">
      <w:pPr>
        <w:spacing w:line="560" w:lineRule="exact"/>
        <w:ind w:firstLine="482" w:firstLineChars="200"/>
        <w:outlineLvl w:val="0"/>
        <w:rPr>
          <w:rFonts w:ascii="宋体" w:hAnsi="宋体" w:cs="宋体"/>
          <w:b/>
          <w:sz w:val="24"/>
          <w:shd w:val="clear" w:color="auto" w:fill="auto"/>
        </w:rPr>
      </w:pPr>
      <w:bookmarkStart w:id="419" w:name="_Toc15583"/>
      <w:bookmarkStart w:id="420" w:name="_Toc16021"/>
      <w:bookmarkStart w:id="421" w:name="_Toc28375"/>
      <w:r>
        <w:rPr>
          <w:rFonts w:hint="eastAsia" w:ascii="宋体" w:hAnsi="宋体" w:cs="宋体"/>
          <w:b/>
          <w:sz w:val="24"/>
          <w:shd w:val="clear" w:color="auto" w:fill="auto"/>
        </w:rPr>
        <w:t>1.9合同争议的解决</w:t>
      </w:r>
      <w:bookmarkEnd w:id="419"/>
      <w:bookmarkEnd w:id="420"/>
      <w:bookmarkEnd w:id="421"/>
    </w:p>
    <w:p w14:paraId="562E83F9">
      <w:pPr>
        <w:spacing w:line="560" w:lineRule="exact"/>
        <w:ind w:left="-61" w:leftChars="-29" w:right="-420" w:rightChars="-200" w:firstLine="240" w:firstLineChars="100"/>
        <w:rPr>
          <w:rFonts w:ascii="宋体" w:hAnsi="宋体" w:cs="宋体"/>
          <w:sz w:val="24"/>
          <w:shd w:val="clear" w:color="auto" w:fill="auto"/>
        </w:rPr>
      </w:pPr>
      <w:r>
        <w:rPr>
          <w:rFonts w:hint="eastAsia" w:ascii="宋体" w:hAnsi="宋体" w:cs="宋体"/>
          <w:sz w:val="24"/>
          <w:shd w:val="clear" w:color="auto" w:fill="auto"/>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shd w:val="clear" w:color="auto" w:fill="auto"/>
        </w:rPr>
        <w:t xml:space="preserve">      </w:t>
      </w:r>
      <w:r>
        <w:rPr>
          <w:rFonts w:hint="eastAsia" w:ascii="宋体" w:hAnsi="宋体" w:cs="宋体"/>
          <w:sz w:val="24"/>
          <w:shd w:val="clear" w:color="auto" w:fill="auto"/>
        </w:rPr>
        <w:t>条款规定的方式解决：</w:t>
      </w:r>
    </w:p>
    <w:p w14:paraId="0F3EEF62">
      <w:pPr>
        <w:spacing w:line="560" w:lineRule="exact"/>
        <w:ind w:left="-420" w:leftChars="-200" w:right="-420" w:rightChars="-200" w:firstLine="840" w:firstLineChars="350"/>
        <w:rPr>
          <w:rFonts w:ascii="宋体" w:hAnsi="宋体" w:cs="宋体"/>
          <w:sz w:val="24"/>
          <w:shd w:val="clear" w:color="auto" w:fill="auto"/>
        </w:rPr>
      </w:pPr>
      <w:r>
        <w:rPr>
          <w:rFonts w:hint="eastAsia" w:ascii="宋体" w:hAnsi="宋体" w:cs="宋体"/>
          <w:sz w:val="24"/>
          <w:shd w:val="clear" w:color="auto" w:fill="auto"/>
        </w:rPr>
        <w:t>1.9.1 将争议提交</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仲裁委员会依申请仲裁时其现行有效的仲裁规则裁决；</w:t>
      </w:r>
    </w:p>
    <w:p w14:paraId="06DE3410">
      <w:pPr>
        <w:spacing w:line="560" w:lineRule="exact"/>
        <w:ind w:left="-420" w:leftChars="-200" w:right="-420" w:rightChars="-200" w:firstLine="840" w:firstLineChars="350"/>
        <w:rPr>
          <w:rFonts w:ascii="宋体" w:hAnsi="宋体" w:cs="宋体"/>
          <w:sz w:val="24"/>
          <w:shd w:val="clear" w:color="auto" w:fill="auto"/>
        </w:rPr>
      </w:pPr>
      <w:r>
        <w:rPr>
          <w:rFonts w:hint="eastAsia" w:ascii="宋体" w:hAnsi="宋体" w:cs="宋体"/>
          <w:sz w:val="24"/>
          <w:shd w:val="clear" w:color="auto" w:fill="auto"/>
        </w:rPr>
        <w:t>1.9.2 向</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人民法院起诉。</w:t>
      </w:r>
    </w:p>
    <w:p w14:paraId="4660CD65">
      <w:pPr>
        <w:spacing w:line="560" w:lineRule="exact"/>
        <w:ind w:firstLine="482" w:firstLineChars="200"/>
        <w:outlineLvl w:val="0"/>
        <w:rPr>
          <w:rFonts w:ascii="宋体" w:hAnsi="宋体" w:cs="宋体"/>
          <w:b/>
          <w:sz w:val="24"/>
          <w:shd w:val="clear" w:color="auto" w:fill="auto"/>
        </w:rPr>
      </w:pPr>
      <w:bookmarkStart w:id="422" w:name="_Toc11173"/>
      <w:bookmarkStart w:id="423" w:name="_Toc15322"/>
      <w:bookmarkStart w:id="424" w:name="_Toc7245"/>
      <w:r>
        <w:rPr>
          <w:rFonts w:hint="eastAsia" w:ascii="宋体" w:hAnsi="宋体" w:cs="宋体"/>
          <w:b/>
          <w:sz w:val="24"/>
          <w:shd w:val="clear" w:color="auto" w:fill="auto"/>
        </w:rPr>
        <w:t>2.0 合同生效</w:t>
      </w:r>
      <w:bookmarkEnd w:id="422"/>
      <w:bookmarkEnd w:id="423"/>
      <w:bookmarkEnd w:id="424"/>
    </w:p>
    <w:p w14:paraId="10D4F696">
      <w:pPr>
        <w:spacing w:line="560" w:lineRule="exact"/>
        <w:ind w:firstLine="480" w:firstLineChars="200"/>
        <w:rPr>
          <w:rFonts w:ascii="宋体" w:hAnsi="宋体" w:cs="宋体"/>
          <w:b/>
          <w:sz w:val="24"/>
          <w:shd w:val="clear" w:color="auto" w:fill="auto"/>
        </w:rPr>
      </w:pPr>
      <w:r>
        <w:rPr>
          <w:rFonts w:hint="eastAsia" w:ascii="宋体" w:hAnsi="宋体" w:cs="宋体"/>
          <w:sz w:val="24"/>
          <w:shd w:val="clear" w:color="auto" w:fill="auto"/>
        </w:rPr>
        <w:t>本合同自双方当事人盖章签字时生效。</w:t>
      </w:r>
    </w:p>
    <w:p w14:paraId="18859317">
      <w:pPr>
        <w:autoSpaceDE w:val="0"/>
        <w:autoSpaceDN w:val="0"/>
        <w:spacing w:line="560" w:lineRule="exact"/>
        <w:rPr>
          <w:rFonts w:ascii="宋体" w:hAnsi="宋体" w:cs="宋体"/>
          <w:sz w:val="24"/>
          <w:shd w:val="clear" w:color="auto" w:fill="auto"/>
          <w:lang w:val="zh-CN"/>
        </w:rPr>
      </w:pPr>
    </w:p>
    <w:p w14:paraId="19684C44">
      <w:pPr>
        <w:autoSpaceDE w:val="0"/>
        <w:autoSpaceDN w:val="0"/>
        <w:spacing w:line="560" w:lineRule="exact"/>
        <w:rPr>
          <w:rFonts w:ascii="宋体" w:hAnsi="宋体" w:cs="宋体"/>
          <w:sz w:val="24"/>
          <w:shd w:val="clear" w:color="auto" w:fill="auto"/>
          <w:lang w:val="zh-CN"/>
        </w:rPr>
      </w:pPr>
      <w:r>
        <w:rPr>
          <w:rFonts w:hint="eastAsia" w:ascii="宋体" w:hAnsi="宋体" w:cs="宋体"/>
          <w:b/>
          <w:sz w:val="24"/>
          <w:shd w:val="clear" w:color="auto" w:fill="auto"/>
          <w:lang w:val="zh-CN"/>
        </w:rPr>
        <w:t>甲方</w:t>
      </w:r>
      <w:r>
        <w:rPr>
          <w:rFonts w:hint="eastAsia" w:ascii="宋体" w:hAnsi="宋体" w:cs="宋体"/>
          <w:sz w:val="24"/>
          <w:shd w:val="clear" w:color="auto" w:fill="auto"/>
          <w:lang w:val="zh-CN"/>
        </w:rPr>
        <w:t xml:space="preserve">：                             </w:t>
      </w:r>
      <w:r>
        <w:rPr>
          <w:rFonts w:hint="eastAsia" w:ascii="宋体" w:hAnsi="宋体" w:cs="宋体"/>
          <w:b/>
          <w:sz w:val="24"/>
          <w:shd w:val="clear" w:color="auto" w:fill="auto"/>
          <w:lang w:val="zh-CN"/>
        </w:rPr>
        <w:t xml:space="preserve">      乙方</w:t>
      </w:r>
      <w:r>
        <w:rPr>
          <w:rFonts w:hint="eastAsia" w:ascii="宋体" w:hAnsi="宋体" w:cs="宋体"/>
          <w:sz w:val="24"/>
          <w:shd w:val="clear" w:color="auto" w:fill="auto"/>
          <w:lang w:val="zh-CN"/>
        </w:rPr>
        <w:t>：</w:t>
      </w:r>
    </w:p>
    <w:p w14:paraId="47F1172B">
      <w:pPr>
        <w:autoSpaceDE w:val="0"/>
        <w:autoSpaceDN w:val="0"/>
        <w:spacing w:line="560" w:lineRule="exact"/>
        <w:rPr>
          <w:rFonts w:ascii="宋体" w:hAnsi="宋体" w:cs="宋体"/>
          <w:sz w:val="24"/>
          <w:shd w:val="clear" w:color="auto" w:fill="auto"/>
          <w:lang w:val="zh-CN"/>
        </w:rPr>
      </w:pPr>
      <w:r>
        <w:rPr>
          <w:rFonts w:hint="eastAsia" w:ascii="宋体" w:hAnsi="宋体" w:cs="宋体"/>
          <w:sz w:val="24"/>
          <w:shd w:val="clear" w:color="auto" w:fill="auto"/>
          <w:lang w:val="zh-CN"/>
        </w:rPr>
        <w:t>统一社会信用代码：                        统一社会信用代码或身份证号码：</w:t>
      </w:r>
    </w:p>
    <w:p w14:paraId="15FFDBC7">
      <w:pPr>
        <w:autoSpaceDE w:val="0"/>
        <w:autoSpaceDN w:val="0"/>
        <w:spacing w:line="560" w:lineRule="exact"/>
        <w:rPr>
          <w:rFonts w:ascii="宋体" w:hAnsi="宋体" w:cs="宋体"/>
          <w:sz w:val="24"/>
          <w:shd w:val="clear" w:color="auto" w:fill="auto"/>
          <w:lang w:val="zh-CN"/>
        </w:rPr>
      </w:pPr>
    </w:p>
    <w:p w14:paraId="0FF2AB05">
      <w:pPr>
        <w:autoSpaceDE w:val="0"/>
        <w:autoSpaceDN w:val="0"/>
        <w:spacing w:line="560" w:lineRule="exact"/>
        <w:rPr>
          <w:rFonts w:ascii="宋体" w:hAnsi="宋体" w:cs="宋体"/>
          <w:sz w:val="24"/>
          <w:shd w:val="clear" w:color="auto" w:fill="auto"/>
          <w:lang w:val="zh-CN"/>
        </w:rPr>
      </w:pPr>
      <w:r>
        <w:rPr>
          <w:rFonts w:hint="eastAsia" w:ascii="宋体" w:hAnsi="宋体" w:cs="宋体"/>
          <w:sz w:val="24"/>
          <w:shd w:val="clear" w:color="auto" w:fill="auto"/>
          <w:lang w:val="zh-CN"/>
        </w:rPr>
        <w:t>住所：                                   住所：</w:t>
      </w:r>
    </w:p>
    <w:p w14:paraId="79E77DF4">
      <w:pPr>
        <w:autoSpaceDE w:val="0"/>
        <w:autoSpaceDN w:val="0"/>
        <w:spacing w:line="560" w:lineRule="exact"/>
        <w:rPr>
          <w:rFonts w:ascii="宋体" w:hAnsi="宋体" w:cs="宋体"/>
          <w:sz w:val="24"/>
          <w:shd w:val="clear" w:color="auto" w:fill="auto"/>
          <w:lang w:val="zh-CN"/>
        </w:rPr>
      </w:pPr>
      <w:r>
        <w:rPr>
          <w:rFonts w:hint="eastAsia" w:ascii="宋体" w:hAnsi="宋体" w:cs="宋体"/>
          <w:sz w:val="24"/>
          <w:shd w:val="clear" w:color="auto" w:fill="auto"/>
          <w:lang w:val="zh-CN"/>
        </w:rPr>
        <w:t>法定代表人或                             法定代表人</w:t>
      </w:r>
    </w:p>
    <w:p w14:paraId="13DC8CF9">
      <w:pPr>
        <w:autoSpaceDE w:val="0"/>
        <w:autoSpaceDN w:val="0"/>
        <w:spacing w:line="560" w:lineRule="exact"/>
        <w:rPr>
          <w:rFonts w:ascii="宋体" w:hAnsi="宋体" w:cs="宋体"/>
          <w:sz w:val="24"/>
          <w:shd w:val="clear" w:color="auto" w:fill="auto"/>
          <w:lang w:val="zh-CN"/>
        </w:rPr>
      </w:pPr>
      <w:r>
        <w:rPr>
          <w:rFonts w:hint="eastAsia" w:ascii="宋体" w:hAnsi="宋体" w:cs="宋体"/>
          <w:sz w:val="24"/>
          <w:shd w:val="clear" w:color="auto" w:fill="auto"/>
          <w:lang w:val="zh-CN"/>
        </w:rPr>
        <w:t xml:space="preserve">授权代表（签字）：                        或授权代表（签字）: </w:t>
      </w:r>
    </w:p>
    <w:p w14:paraId="4E210FEB">
      <w:pPr>
        <w:autoSpaceDE w:val="0"/>
        <w:autoSpaceDN w:val="0"/>
        <w:spacing w:line="560" w:lineRule="exact"/>
        <w:rPr>
          <w:rFonts w:ascii="宋体" w:hAnsi="宋体" w:cs="宋体"/>
          <w:sz w:val="24"/>
          <w:shd w:val="clear" w:color="auto" w:fill="auto"/>
          <w:lang w:val="zh-CN"/>
        </w:rPr>
      </w:pPr>
      <w:r>
        <w:rPr>
          <w:rFonts w:hint="eastAsia" w:ascii="宋体" w:hAnsi="宋体" w:cs="宋体"/>
          <w:sz w:val="24"/>
          <w:shd w:val="clear" w:color="auto" w:fill="auto"/>
          <w:lang w:val="zh-CN"/>
        </w:rPr>
        <w:t>联系人：                                 联系人：</w:t>
      </w:r>
    </w:p>
    <w:p w14:paraId="086FCC29">
      <w:pPr>
        <w:autoSpaceDE w:val="0"/>
        <w:autoSpaceDN w:val="0"/>
        <w:spacing w:line="560" w:lineRule="exact"/>
        <w:rPr>
          <w:rFonts w:ascii="宋体" w:hAnsi="宋体" w:cs="宋体"/>
          <w:sz w:val="24"/>
          <w:shd w:val="clear" w:color="auto" w:fill="auto"/>
          <w:lang w:val="zh-CN"/>
        </w:rPr>
      </w:pPr>
      <w:r>
        <w:rPr>
          <w:rFonts w:hint="eastAsia" w:ascii="宋体" w:hAnsi="宋体" w:cs="宋体"/>
          <w:sz w:val="24"/>
          <w:shd w:val="clear" w:color="auto" w:fill="auto"/>
          <w:lang w:val="zh-CN"/>
        </w:rPr>
        <w:t>约定送达地址：                           约定送达地址：</w:t>
      </w:r>
    </w:p>
    <w:p w14:paraId="22FCADF1">
      <w:pPr>
        <w:autoSpaceDE w:val="0"/>
        <w:autoSpaceDN w:val="0"/>
        <w:spacing w:line="560" w:lineRule="exact"/>
        <w:rPr>
          <w:rFonts w:ascii="宋体" w:hAnsi="宋体" w:cs="宋体"/>
          <w:sz w:val="24"/>
          <w:shd w:val="clear" w:color="auto" w:fill="auto"/>
          <w:lang w:val="zh-CN"/>
        </w:rPr>
      </w:pPr>
      <w:r>
        <w:rPr>
          <w:rFonts w:hint="eastAsia" w:ascii="宋体" w:hAnsi="宋体" w:cs="宋体"/>
          <w:sz w:val="24"/>
          <w:shd w:val="clear" w:color="auto" w:fill="auto"/>
          <w:lang w:val="zh-CN"/>
        </w:rPr>
        <w:t>邮政编码：                               邮政编码：</w:t>
      </w:r>
    </w:p>
    <w:p w14:paraId="3DD3E321">
      <w:pPr>
        <w:autoSpaceDE w:val="0"/>
        <w:autoSpaceDN w:val="0"/>
        <w:spacing w:line="560" w:lineRule="exact"/>
        <w:rPr>
          <w:rFonts w:ascii="宋体" w:hAnsi="宋体" w:cs="宋体"/>
          <w:sz w:val="24"/>
          <w:shd w:val="clear" w:color="auto" w:fill="auto"/>
          <w:lang w:val="zh-CN"/>
        </w:rPr>
      </w:pPr>
      <w:r>
        <w:rPr>
          <w:rFonts w:hint="eastAsia" w:ascii="宋体" w:hAnsi="宋体" w:cs="宋体"/>
          <w:sz w:val="24"/>
          <w:shd w:val="clear" w:color="auto" w:fill="auto"/>
          <w:lang w:val="zh-CN"/>
        </w:rPr>
        <w:t xml:space="preserve">电话:                                    电话: </w:t>
      </w:r>
    </w:p>
    <w:p w14:paraId="6011D222">
      <w:pPr>
        <w:autoSpaceDE w:val="0"/>
        <w:autoSpaceDN w:val="0"/>
        <w:spacing w:line="560" w:lineRule="exact"/>
        <w:rPr>
          <w:rFonts w:ascii="宋体" w:hAnsi="宋体" w:cs="宋体"/>
          <w:sz w:val="24"/>
          <w:shd w:val="clear" w:color="auto" w:fill="auto"/>
          <w:lang w:val="zh-CN"/>
        </w:rPr>
      </w:pPr>
      <w:r>
        <w:rPr>
          <w:rFonts w:hint="eastAsia" w:ascii="宋体" w:hAnsi="宋体" w:cs="宋体"/>
          <w:sz w:val="24"/>
          <w:shd w:val="clear" w:color="auto" w:fill="auto"/>
          <w:lang w:val="zh-CN"/>
        </w:rPr>
        <w:t>传真:                                    传真:</w:t>
      </w:r>
    </w:p>
    <w:p w14:paraId="79705D16">
      <w:pPr>
        <w:autoSpaceDE w:val="0"/>
        <w:autoSpaceDN w:val="0"/>
        <w:spacing w:line="560" w:lineRule="exact"/>
        <w:rPr>
          <w:rFonts w:ascii="宋体" w:hAnsi="宋体" w:cs="宋体"/>
          <w:sz w:val="24"/>
          <w:shd w:val="clear" w:color="auto" w:fill="auto"/>
        </w:rPr>
      </w:pPr>
      <w:r>
        <w:rPr>
          <w:rFonts w:hint="eastAsia" w:ascii="宋体" w:hAnsi="宋体" w:cs="宋体"/>
          <w:sz w:val="24"/>
          <w:shd w:val="clear" w:color="auto" w:fill="auto"/>
          <w:lang w:val="zh-CN"/>
        </w:rPr>
        <w:t>电子邮箱：                               电子邮箱：</w:t>
      </w:r>
    </w:p>
    <w:p w14:paraId="59DFD441">
      <w:pPr>
        <w:autoSpaceDE w:val="0"/>
        <w:autoSpaceDN w:val="0"/>
        <w:spacing w:line="560" w:lineRule="exact"/>
        <w:rPr>
          <w:rFonts w:ascii="宋体" w:hAnsi="宋体" w:cs="宋体"/>
          <w:sz w:val="24"/>
          <w:shd w:val="clear" w:color="auto" w:fill="auto"/>
        </w:rPr>
      </w:pPr>
      <w:r>
        <w:rPr>
          <w:rFonts w:hint="eastAsia" w:ascii="宋体" w:hAnsi="宋体" w:cs="宋体"/>
          <w:sz w:val="24"/>
          <w:shd w:val="clear" w:color="auto" w:fill="auto"/>
        </w:rPr>
        <w:t xml:space="preserve">开户银行：                               开户银行： </w:t>
      </w:r>
    </w:p>
    <w:p w14:paraId="123166EE">
      <w:pPr>
        <w:autoSpaceDE w:val="0"/>
        <w:autoSpaceDN w:val="0"/>
        <w:spacing w:line="560" w:lineRule="exact"/>
        <w:rPr>
          <w:rFonts w:ascii="宋体" w:hAnsi="宋体" w:cs="宋体"/>
          <w:sz w:val="24"/>
          <w:shd w:val="clear" w:color="auto" w:fill="auto"/>
        </w:rPr>
      </w:pPr>
      <w:r>
        <w:rPr>
          <w:rFonts w:hint="eastAsia" w:ascii="宋体" w:hAnsi="宋体" w:cs="宋体"/>
          <w:sz w:val="24"/>
          <w:shd w:val="clear" w:color="auto" w:fill="auto"/>
        </w:rPr>
        <w:t xml:space="preserve">开户名称：                               开户名称： </w:t>
      </w:r>
    </w:p>
    <w:p w14:paraId="4CF79820">
      <w:pPr>
        <w:autoSpaceDE w:val="0"/>
        <w:autoSpaceDN w:val="0"/>
        <w:spacing w:line="560" w:lineRule="exact"/>
        <w:rPr>
          <w:rFonts w:ascii="宋体" w:hAnsi="宋体" w:cs="宋体"/>
          <w:sz w:val="24"/>
          <w:shd w:val="clear" w:color="auto" w:fill="auto"/>
        </w:rPr>
      </w:pPr>
      <w:r>
        <w:rPr>
          <w:rFonts w:hint="eastAsia" w:ascii="宋体" w:hAnsi="宋体" w:cs="宋体"/>
          <w:sz w:val="24"/>
          <w:shd w:val="clear" w:color="auto" w:fill="auto"/>
        </w:rPr>
        <w:t>开户账号：</w:t>
      </w:r>
      <w:r>
        <w:rPr>
          <w:rFonts w:hint="eastAsia" w:ascii="宋体" w:hAnsi="宋体" w:cs="宋体"/>
          <w:sz w:val="24"/>
          <w:shd w:val="clear" w:color="auto" w:fill="auto"/>
          <w:lang w:val="zh-CN"/>
        </w:rPr>
        <w:t xml:space="preserve">                               </w:t>
      </w:r>
      <w:r>
        <w:rPr>
          <w:rFonts w:hint="eastAsia" w:ascii="宋体" w:hAnsi="宋体" w:cs="宋体"/>
          <w:sz w:val="24"/>
          <w:shd w:val="clear" w:color="auto" w:fill="auto"/>
        </w:rPr>
        <w:t>开户账号：</w:t>
      </w:r>
    </w:p>
    <w:p w14:paraId="51A26E7E">
      <w:pPr>
        <w:pStyle w:val="4"/>
        <w:rPr>
          <w:rFonts w:ascii="宋体" w:hAnsi="宋体" w:cs="宋体"/>
          <w:sz w:val="24"/>
          <w:shd w:val="clear" w:color="auto" w:fill="auto"/>
        </w:rPr>
      </w:pPr>
    </w:p>
    <w:p w14:paraId="4A9E9E46">
      <w:pPr>
        <w:rPr>
          <w:rFonts w:ascii="宋体" w:hAnsi="宋体" w:cs="宋体"/>
          <w:sz w:val="24"/>
          <w:shd w:val="clear" w:color="auto" w:fill="auto"/>
        </w:rPr>
      </w:pPr>
    </w:p>
    <w:p w14:paraId="55A6AEC1">
      <w:pPr>
        <w:pStyle w:val="4"/>
        <w:rPr>
          <w:rFonts w:ascii="宋体" w:hAnsi="宋体" w:cs="宋体"/>
          <w:sz w:val="24"/>
          <w:shd w:val="clear" w:color="auto" w:fill="auto"/>
        </w:rPr>
      </w:pPr>
    </w:p>
    <w:p w14:paraId="7AFBFED8">
      <w:pPr>
        <w:rPr>
          <w:rFonts w:ascii="宋体" w:hAnsi="宋体" w:cs="宋体"/>
          <w:sz w:val="24"/>
          <w:shd w:val="clear" w:color="auto" w:fill="auto"/>
        </w:rPr>
      </w:pPr>
    </w:p>
    <w:p w14:paraId="3E661583">
      <w:pPr>
        <w:pStyle w:val="4"/>
        <w:rPr>
          <w:rFonts w:ascii="宋体" w:hAnsi="宋体" w:cs="宋体"/>
          <w:sz w:val="24"/>
          <w:shd w:val="clear" w:color="auto" w:fill="auto"/>
        </w:rPr>
      </w:pPr>
    </w:p>
    <w:p w14:paraId="31101196">
      <w:pPr>
        <w:rPr>
          <w:rFonts w:ascii="宋体" w:hAnsi="宋体" w:cs="宋体"/>
          <w:sz w:val="24"/>
          <w:shd w:val="clear" w:color="auto" w:fill="auto"/>
        </w:rPr>
      </w:pPr>
    </w:p>
    <w:p w14:paraId="7351F3DE">
      <w:pPr>
        <w:pStyle w:val="702"/>
        <w:spacing w:line="560" w:lineRule="exact"/>
        <w:ind w:firstLine="482"/>
        <w:jc w:val="center"/>
        <w:rPr>
          <w:rFonts w:ascii="宋体" w:hAnsi="宋体" w:cs="宋体"/>
          <w:b/>
          <w:szCs w:val="24"/>
          <w:shd w:val="clear" w:color="auto" w:fill="auto"/>
        </w:rPr>
      </w:pPr>
      <w:r>
        <w:rPr>
          <w:rFonts w:hint="eastAsia" w:ascii="宋体" w:hAnsi="宋体" w:cs="宋体"/>
          <w:b/>
          <w:szCs w:val="24"/>
          <w:shd w:val="clear" w:color="auto" w:fill="auto"/>
        </w:rPr>
        <w:t>第二部分 合同一般条款</w:t>
      </w:r>
    </w:p>
    <w:p w14:paraId="311516D5">
      <w:pPr>
        <w:spacing w:line="560" w:lineRule="exact"/>
        <w:ind w:firstLine="482" w:firstLineChars="200"/>
        <w:outlineLvl w:val="0"/>
        <w:rPr>
          <w:rFonts w:ascii="宋体" w:hAnsi="宋体" w:cs="宋体"/>
          <w:b/>
          <w:sz w:val="24"/>
          <w:shd w:val="clear" w:color="auto" w:fill="auto"/>
        </w:rPr>
      </w:pPr>
      <w:bookmarkStart w:id="425" w:name="_Ref467379214"/>
      <w:bookmarkStart w:id="426" w:name="_Ref467378499"/>
      <w:bookmarkStart w:id="427" w:name="_Ref467378463"/>
      <w:bookmarkStart w:id="428" w:name="_Toc16917"/>
      <w:bookmarkStart w:id="429" w:name="_Ref467378404"/>
      <w:bookmarkStart w:id="430" w:name="_Ref467379101"/>
      <w:bookmarkStart w:id="431" w:name="_Toc259093669"/>
      <w:bookmarkStart w:id="432" w:name="_Ref467379225"/>
      <w:bookmarkStart w:id="433" w:name="_Toc487900349"/>
      <w:bookmarkStart w:id="434" w:name="_Ref467379205"/>
      <w:bookmarkStart w:id="435" w:name="_Toc28763"/>
      <w:bookmarkStart w:id="436" w:name="_Toc279701240"/>
      <w:bookmarkStart w:id="437" w:name="_Toc19614"/>
      <w:bookmarkStart w:id="438" w:name="_Ref467379094"/>
      <w:bookmarkStart w:id="439" w:name="_Ref467379109"/>
      <w:bookmarkStart w:id="440" w:name="_Ref467379195"/>
      <w:r>
        <w:rPr>
          <w:rFonts w:hint="eastAsia" w:ascii="宋体" w:hAnsi="宋体" w:cs="宋体"/>
          <w:b/>
          <w:sz w:val="24"/>
          <w:shd w:val="clear" w:color="auto" w:fill="auto"/>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1CAA2D7">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本合同中的下列词语应按以下内容进行解释：</w:t>
      </w:r>
    </w:p>
    <w:p w14:paraId="3BDFEBC6">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2.1.1 “合同”系指采购人和中标或成交供应商签订的载明双方当事人所达成的协议，并包括所有的附件、附录和构成合同的其他文件。</w:t>
      </w:r>
    </w:p>
    <w:p w14:paraId="73660884">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2.1.2 “合同价”系指根据合同约定，中标或成交供应商在完全履行合同义务后，采购人应支付给中标或成交供应商的价格。</w:t>
      </w:r>
    </w:p>
    <w:p w14:paraId="79BA9FCB">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2.1.3 “货物”系指中标或成交供应商根据合同约定应向采购人交付的一切各种形态和种类的物品，包括原材料、燃料、设备、机械、仪表、备件、计算机软件、产品等，并包括工具、手册等其他相关资料。</w:t>
      </w:r>
    </w:p>
    <w:p w14:paraId="3575BCCF">
      <w:pPr>
        <w:spacing w:line="560" w:lineRule="exact"/>
        <w:ind w:firstLine="480" w:firstLineChars="200"/>
        <w:rPr>
          <w:rFonts w:ascii="宋体" w:hAnsi="宋体" w:cs="宋体"/>
          <w:sz w:val="24"/>
          <w:shd w:val="clear" w:color="auto" w:fill="auto"/>
        </w:rPr>
      </w:pPr>
      <w:bookmarkStart w:id="441" w:name="_Ref467378840"/>
      <w:r>
        <w:rPr>
          <w:rFonts w:hint="eastAsia" w:ascii="宋体" w:hAnsi="宋体" w:cs="宋体"/>
          <w:sz w:val="24"/>
          <w:shd w:val="clear" w:color="auto" w:fill="auto"/>
        </w:rPr>
        <w:t>2.1.4 “甲方”系指与中标或成交供应商签署合同的采购人</w:t>
      </w:r>
      <w:bookmarkEnd w:id="441"/>
      <w:r>
        <w:rPr>
          <w:rFonts w:hint="eastAsia" w:ascii="宋体" w:hAnsi="宋体" w:cs="宋体"/>
          <w:sz w:val="24"/>
          <w:shd w:val="clear" w:color="auto" w:fill="auto"/>
        </w:rPr>
        <w:t>；采购人委托采购代理机构代表其与乙方签订合同的，采购人的授权委托书作为合同附件。</w:t>
      </w:r>
    </w:p>
    <w:p w14:paraId="17127A43">
      <w:pPr>
        <w:spacing w:line="560" w:lineRule="exact"/>
        <w:ind w:firstLine="480" w:firstLineChars="200"/>
        <w:rPr>
          <w:rFonts w:ascii="宋体" w:hAnsi="宋体" w:cs="宋体"/>
          <w:sz w:val="24"/>
          <w:shd w:val="clear" w:color="auto" w:fill="auto"/>
        </w:rPr>
      </w:pPr>
      <w:bookmarkStart w:id="442" w:name="_Ref467379400"/>
      <w:r>
        <w:rPr>
          <w:rFonts w:hint="eastAsia" w:ascii="宋体" w:hAnsi="宋体" w:cs="宋体"/>
          <w:sz w:val="24"/>
          <w:shd w:val="clear" w:color="auto" w:fill="auto"/>
        </w:rPr>
        <w:t>2.1.5 “乙方”系指根据合同约定交付货物的中标或成交供应商</w:t>
      </w:r>
      <w:bookmarkEnd w:id="442"/>
      <w:r>
        <w:rPr>
          <w:rFonts w:hint="eastAsia" w:ascii="宋体" w:hAnsi="宋体" w:cs="宋体"/>
          <w:sz w:val="24"/>
          <w:shd w:val="clear" w:color="auto" w:fill="auto"/>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0BBC9B6">
      <w:pPr>
        <w:spacing w:line="560" w:lineRule="exact"/>
        <w:ind w:firstLine="480" w:firstLineChars="200"/>
        <w:rPr>
          <w:rFonts w:ascii="宋体" w:hAnsi="宋体" w:cs="宋体"/>
          <w:sz w:val="24"/>
          <w:shd w:val="clear" w:color="auto" w:fill="auto"/>
        </w:rPr>
      </w:pPr>
      <w:bookmarkStart w:id="443" w:name="_Ref467379436"/>
      <w:r>
        <w:rPr>
          <w:rFonts w:hint="eastAsia" w:ascii="宋体" w:hAnsi="宋体" w:cs="宋体"/>
          <w:sz w:val="24"/>
          <w:shd w:val="clear" w:color="auto" w:fill="auto"/>
        </w:rPr>
        <w:t>2.1.6 “现场”系指合同约定货物将要运至或者安装的地点。</w:t>
      </w:r>
      <w:bookmarkEnd w:id="443"/>
    </w:p>
    <w:p w14:paraId="4296E751">
      <w:pPr>
        <w:spacing w:line="560" w:lineRule="exact"/>
        <w:ind w:firstLine="482" w:firstLineChars="200"/>
        <w:outlineLvl w:val="0"/>
        <w:rPr>
          <w:rFonts w:ascii="宋体" w:hAnsi="宋体" w:cs="宋体"/>
          <w:b/>
          <w:sz w:val="24"/>
          <w:shd w:val="clear" w:color="auto" w:fill="auto"/>
        </w:rPr>
      </w:pPr>
      <w:bookmarkStart w:id="444" w:name="_Toc13336"/>
      <w:bookmarkStart w:id="445" w:name="_Toc27635"/>
      <w:bookmarkStart w:id="446" w:name="_Toc32504"/>
      <w:bookmarkStart w:id="447" w:name="_Toc259093670"/>
      <w:bookmarkStart w:id="448" w:name="_Toc487900350"/>
      <w:bookmarkStart w:id="449" w:name="_Toc279701241"/>
      <w:r>
        <w:rPr>
          <w:rFonts w:hint="eastAsia" w:ascii="宋体" w:hAnsi="宋体" w:cs="宋体"/>
          <w:b/>
          <w:sz w:val="24"/>
          <w:shd w:val="clear" w:color="auto" w:fill="auto"/>
        </w:rPr>
        <w:t>2.2 技术规范</w:t>
      </w:r>
      <w:bookmarkEnd w:id="444"/>
      <w:bookmarkEnd w:id="445"/>
      <w:bookmarkEnd w:id="446"/>
      <w:bookmarkEnd w:id="447"/>
      <w:bookmarkEnd w:id="448"/>
      <w:bookmarkEnd w:id="449"/>
    </w:p>
    <w:p w14:paraId="302C2BB7">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8E6D5A8">
      <w:pPr>
        <w:spacing w:line="560" w:lineRule="exact"/>
        <w:ind w:firstLine="482" w:firstLineChars="200"/>
        <w:outlineLvl w:val="0"/>
        <w:rPr>
          <w:rFonts w:ascii="宋体" w:hAnsi="宋体" w:cs="宋体"/>
          <w:b/>
          <w:sz w:val="24"/>
          <w:shd w:val="clear" w:color="auto" w:fill="auto"/>
        </w:rPr>
      </w:pPr>
      <w:bookmarkStart w:id="450" w:name="_Toc27853"/>
      <w:bookmarkStart w:id="451" w:name="_Toc487900351"/>
      <w:bookmarkStart w:id="452" w:name="_Toc259093671"/>
      <w:bookmarkStart w:id="453" w:name="_Toc279701242"/>
      <w:bookmarkStart w:id="454" w:name="_Toc9829"/>
      <w:bookmarkStart w:id="455" w:name="_Toc31634"/>
      <w:r>
        <w:rPr>
          <w:rFonts w:hint="eastAsia" w:ascii="宋体" w:hAnsi="宋体" w:cs="宋体"/>
          <w:b/>
          <w:sz w:val="24"/>
          <w:shd w:val="clear" w:color="auto" w:fill="auto"/>
        </w:rPr>
        <w:t>2.3 知识产权</w:t>
      </w:r>
      <w:bookmarkEnd w:id="450"/>
      <w:bookmarkEnd w:id="451"/>
      <w:bookmarkEnd w:id="452"/>
      <w:bookmarkEnd w:id="453"/>
      <w:bookmarkEnd w:id="454"/>
      <w:bookmarkEnd w:id="455"/>
    </w:p>
    <w:p w14:paraId="40074B00">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shd w:val="clear" w:color="auto" w:fill="auto"/>
        </w:rPr>
        <w:t>乙方还应及时澄清相关信息，使甲方声誉免受损害，甲方保留追责的权利。</w:t>
      </w:r>
    </w:p>
    <w:p w14:paraId="61B1A124">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2.3.2具有知识产权的计算机软件等货物的知识产权归属，详见</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w:t>
      </w:r>
    </w:p>
    <w:p w14:paraId="6CE330D6">
      <w:pPr>
        <w:spacing w:line="560" w:lineRule="exact"/>
        <w:ind w:firstLine="482" w:firstLineChars="200"/>
        <w:outlineLvl w:val="0"/>
        <w:rPr>
          <w:rFonts w:ascii="宋体" w:hAnsi="宋体" w:cs="宋体"/>
          <w:b/>
          <w:sz w:val="24"/>
          <w:shd w:val="clear" w:color="auto" w:fill="auto"/>
        </w:rPr>
      </w:pPr>
      <w:bookmarkStart w:id="456" w:name="_Toc4194"/>
      <w:bookmarkStart w:id="457" w:name="_Toc11932"/>
      <w:bookmarkStart w:id="458" w:name="_Toc29149"/>
      <w:r>
        <w:rPr>
          <w:rFonts w:hint="eastAsia" w:ascii="宋体" w:hAnsi="宋体" w:cs="宋体"/>
          <w:b/>
          <w:sz w:val="24"/>
          <w:shd w:val="clear" w:color="auto" w:fill="auto"/>
        </w:rPr>
        <w:t>2.4 包装和装运</w:t>
      </w:r>
      <w:bookmarkEnd w:id="456"/>
      <w:bookmarkEnd w:id="457"/>
      <w:bookmarkEnd w:id="458"/>
    </w:p>
    <w:p w14:paraId="71690DF3">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2.4.1除</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8B64A44">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28763E8">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2.4.3 装运货物的要求和通知，详见</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w:t>
      </w:r>
    </w:p>
    <w:p w14:paraId="6B05C692">
      <w:pPr>
        <w:spacing w:line="560" w:lineRule="exact"/>
        <w:ind w:firstLine="482" w:firstLineChars="200"/>
        <w:outlineLvl w:val="0"/>
        <w:rPr>
          <w:rFonts w:ascii="宋体" w:hAnsi="宋体" w:cs="宋体"/>
          <w:b/>
          <w:sz w:val="24"/>
          <w:shd w:val="clear" w:color="auto" w:fill="auto"/>
        </w:rPr>
      </w:pPr>
      <w:bookmarkStart w:id="459" w:name="_Ref467378541"/>
      <w:bookmarkStart w:id="460" w:name="_Toc487900354"/>
      <w:bookmarkStart w:id="461" w:name="_Ref467378591"/>
      <w:bookmarkStart w:id="462" w:name="_Toc259093674"/>
      <w:bookmarkStart w:id="463" w:name="_Ref467379542"/>
      <w:bookmarkStart w:id="464" w:name="_Toc279701245"/>
      <w:bookmarkStart w:id="465" w:name="_Ref467379527"/>
      <w:bookmarkStart w:id="466" w:name="_Ref467379536"/>
      <w:bookmarkStart w:id="467" w:name="_Toc26182"/>
      <w:bookmarkStart w:id="468" w:name="_Toc19074"/>
      <w:bookmarkStart w:id="469" w:name="_Toc30272"/>
      <w:r>
        <w:rPr>
          <w:rFonts w:hint="eastAsia" w:ascii="宋体" w:hAnsi="宋体" w:cs="宋体"/>
          <w:b/>
          <w:sz w:val="24"/>
          <w:shd w:val="clear" w:color="auto" w:fill="auto"/>
        </w:rPr>
        <w:t>2.</w:t>
      </w:r>
      <w:bookmarkEnd w:id="459"/>
      <w:bookmarkEnd w:id="460"/>
      <w:bookmarkEnd w:id="461"/>
      <w:bookmarkEnd w:id="462"/>
      <w:bookmarkEnd w:id="463"/>
      <w:bookmarkEnd w:id="464"/>
      <w:bookmarkEnd w:id="465"/>
      <w:bookmarkEnd w:id="466"/>
      <w:r>
        <w:rPr>
          <w:rFonts w:hint="eastAsia" w:ascii="宋体" w:hAnsi="宋体" w:cs="宋体"/>
          <w:b/>
          <w:sz w:val="24"/>
          <w:shd w:val="clear" w:color="auto" w:fill="auto"/>
        </w:rPr>
        <w:t>5 履约检查和问题反馈</w:t>
      </w:r>
      <w:bookmarkEnd w:id="467"/>
      <w:bookmarkEnd w:id="468"/>
      <w:bookmarkEnd w:id="469"/>
    </w:p>
    <w:p w14:paraId="30CA8BA2">
      <w:pPr>
        <w:spacing w:line="560" w:lineRule="exact"/>
        <w:ind w:firstLine="480" w:firstLineChars="200"/>
        <w:rPr>
          <w:rFonts w:ascii="宋体" w:hAnsi="宋体" w:cs="宋体"/>
          <w:sz w:val="24"/>
          <w:shd w:val="clear" w:color="auto" w:fill="auto"/>
        </w:rPr>
      </w:pPr>
      <w:bookmarkStart w:id="470" w:name="_Ref467379657"/>
      <w:r>
        <w:rPr>
          <w:rFonts w:hint="eastAsia" w:ascii="宋体" w:hAnsi="宋体" w:cs="宋体"/>
          <w:sz w:val="24"/>
          <w:shd w:val="clear" w:color="auto" w:fill="auto"/>
        </w:rPr>
        <w:t>2.5.1</w:t>
      </w:r>
      <w:bookmarkEnd w:id="470"/>
      <w:bookmarkStart w:id="471" w:name="_Toc186431854"/>
      <w:bookmarkStart w:id="472" w:name="_Toc259093676"/>
      <w:bookmarkStart w:id="473" w:name="_Ref467379807"/>
      <w:bookmarkStart w:id="474" w:name="_Toc487900357"/>
      <w:bookmarkStart w:id="475" w:name="_Ref467379793"/>
      <w:bookmarkStart w:id="476" w:name="_Toc279701247"/>
      <w:r>
        <w:rPr>
          <w:rFonts w:hint="eastAsia" w:ascii="宋体" w:hAnsi="宋体" w:cs="宋体"/>
          <w:sz w:val="24"/>
          <w:shd w:val="clear" w:color="auto" w:fill="auto"/>
        </w:rPr>
        <w:t>甲方有权在其认为必要时，对乙方是否能够按照合同约定交付货物进行履约检查，以确保乙方所交付的货物能够依约满足甲方之项目需求，但不得因履约检查妨碍乙方的正常工作，乙方应予积极配合；</w:t>
      </w:r>
    </w:p>
    <w:p w14:paraId="443FC2D6">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2.5.2 合同履行期间，甲方有权将履行过程中出现的问题反馈给乙方，双方当事人应以书面形式约定需要完善和改进的内容</w:t>
      </w:r>
      <w:bookmarkEnd w:id="471"/>
      <w:bookmarkStart w:id="477" w:name="_Toc186431855"/>
      <w:r>
        <w:rPr>
          <w:rFonts w:hint="eastAsia" w:ascii="宋体" w:hAnsi="宋体" w:cs="宋体"/>
          <w:sz w:val="24"/>
          <w:shd w:val="clear" w:color="auto" w:fill="auto"/>
        </w:rPr>
        <w:t>。</w:t>
      </w:r>
    </w:p>
    <w:bookmarkEnd w:id="472"/>
    <w:bookmarkEnd w:id="473"/>
    <w:bookmarkEnd w:id="474"/>
    <w:bookmarkEnd w:id="475"/>
    <w:bookmarkEnd w:id="476"/>
    <w:bookmarkEnd w:id="477"/>
    <w:p w14:paraId="127F789B">
      <w:pPr>
        <w:spacing w:line="560" w:lineRule="exact"/>
        <w:ind w:firstLine="482" w:firstLineChars="200"/>
        <w:outlineLvl w:val="0"/>
        <w:rPr>
          <w:rFonts w:ascii="宋体" w:hAnsi="宋体" w:cs="宋体"/>
          <w:b/>
          <w:sz w:val="24"/>
          <w:shd w:val="clear" w:color="auto" w:fill="auto"/>
        </w:rPr>
      </w:pPr>
      <w:bookmarkStart w:id="478" w:name="_Toc279701248"/>
      <w:bookmarkStart w:id="479" w:name="_Toc259093677"/>
      <w:bookmarkStart w:id="480" w:name="_Ref467379923"/>
      <w:bookmarkStart w:id="481" w:name="_Toc487900358"/>
      <w:bookmarkStart w:id="482" w:name="_Ref467379852"/>
      <w:bookmarkStart w:id="483" w:name="_Ref467379863"/>
      <w:bookmarkStart w:id="484" w:name="_Toc774"/>
      <w:bookmarkStart w:id="485" w:name="_Toc16110"/>
      <w:bookmarkStart w:id="486" w:name="_Toc3225"/>
      <w:r>
        <w:rPr>
          <w:rFonts w:hint="eastAsia" w:ascii="宋体" w:hAnsi="宋体" w:cs="宋体"/>
          <w:b/>
          <w:sz w:val="24"/>
          <w:shd w:val="clear" w:color="auto" w:fill="auto"/>
        </w:rPr>
        <w:t>2.6 技术资料</w:t>
      </w:r>
      <w:bookmarkEnd w:id="478"/>
      <w:bookmarkEnd w:id="479"/>
      <w:bookmarkEnd w:id="480"/>
      <w:bookmarkEnd w:id="481"/>
      <w:bookmarkEnd w:id="482"/>
      <w:bookmarkEnd w:id="483"/>
      <w:r>
        <w:rPr>
          <w:rFonts w:hint="eastAsia" w:ascii="宋体" w:hAnsi="宋体" w:cs="宋体"/>
          <w:b/>
          <w:sz w:val="24"/>
          <w:shd w:val="clear" w:color="auto" w:fill="auto"/>
        </w:rPr>
        <w:t>和保密义务</w:t>
      </w:r>
      <w:bookmarkEnd w:id="484"/>
      <w:bookmarkEnd w:id="485"/>
      <w:bookmarkEnd w:id="486"/>
    </w:p>
    <w:p w14:paraId="5A2A6E40">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2.6.1 乙方有权依据合同约定和项目需要，向甲方了解有关情况，调阅有关资料等，甲方应予积极配合；</w:t>
      </w:r>
    </w:p>
    <w:p w14:paraId="01D46BFD">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2.6.2 乙方有义务妥善保管和保护由甲方提供的前款信息和资料等；</w:t>
      </w:r>
    </w:p>
    <w:p w14:paraId="50F85B6D">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E6C1015">
      <w:pPr>
        <w:spacing w:line="560" w:lineRule="exact"/>
        <w:ind w:firstLine="482" w:firstLineChars="200"/>
        <w:outlineLvl w:val="0"/>
        <w:rPr>
          <w:rFonts w:ascii="宋体" w:hAnsi="宋体" w:cs="宋体"/>
          <w:b/>
          <w:sz w:val="24"/>
          <w:shd w:val="clear" w:color="auto" w:fill="auto"/>
        </w:rPr>
      </w:pPr>
      <w:bookmarkStart w:id="487" w:name="_Toc7860"/>
      <w:r>
        <w:rPr>
          <w:rFonts w:hint="eastAsia" w:ascii="宋体" w:hAnsi="宋体" w:cs="宋体"/>
          <w:b/>
          <w:sz w:val="24"/>
          <w:shd w:val="clear" w:color="auto" w:fill="auto"/>
        </w:rPr>
        <w:t>2.7 质量保证</w:t>
      </w:r>
      <w:bookmarkEnd w:id="487"/>
    </w:p>
    <w:p w14:paraId="3BBD02A6">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2.7.1 乙方应建立和完善履行合同的内部质量保证体系，并提供相关内部规章制度给甲方，以便甲方进行监督检查；</w:t>
      </w:r>
    </w:p>
    <w:p w14:paraId="7EFE2D04">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2.7.2 乙方应保证履行合同的人员数量和素质、软件和硬件设备的配置、场地、环境和设施等满足全面履行合同的要求，并应接受甲方的监督检查。</w:t>
      </w:r>
    </w:p>
    <w:p w14:paraId="793E0031">
      <w:pPr>
        <w:spacing w:line="560" w:lineRule="exact"/>
        <w:ind w:firstLine="482" w:firstLineChars="200"/>
        <w:outlineLvl w:val="0"/>
        <w:rPr>
          <w:rFonts w:ascii="宋体" w:hAnsi="宋体" w:cs="宋体"/>
          <w:b/>
          <w:sz w:val="24"/>
          <w:shd w:val="clear" w:color="auto" w:fill="auto"/>
        </w:rPr>
      </w:pPr>
      <w:bookmarkStart w:id="488" w:name="_Toc17244"/>
      <w:bookmarkStart w:id="489" w:name="_Toc259093681"/>
      <w:bookmarkStart w:id="490" w:name="_Toc487900362"/>
      <w:bookmarkStart w:id="491" w:name="_Toc279701252"/>
      <w:r>
        <w:rPr>
          <w:rFonts w:hint="eastAsia" w:ascii="宋体" w:hAnsi="宋体" w:cs="宋体"/>
          <w:b/>
          <w:sz w:val="24"/>
          <w:shd w:val="clear" w:color="auto" w:fill="auto"/>
        </w:rPr>
        <w:t>2.8 货物的风险负担</w:t>
      </w:r>
      <w:bookmarkEnd w:id="488"/>
    </w:p>
    <w:p w14:paraId="5C7F450B">
      <w:pPr>
        <w:spacing w:line="560" w:lineRule="exact"/>
        <w:ind w:firstLine="480" w:firstLineChars="200"/>
        <w:rPr>
          <w:rFonts w:ascii="宋体" w:hAnsi="宋体" w:cs="宋体"/>
          <w:b/>
          <w:sz w:val="24"/>
          <w:shd w:val="clear" w:color="auto" w:fill="auto"/>
        </w:rPr>
      </w:pPr>
      <w:r>
        <w:rPr>
          <w:rFonts w:hint="eastAsia" w:ascii="宋体" w:hAnsi="宋体" w:cs="宋体"/>
          <w:sz w:val="24"/>
          <w:shd w:val="clear" w:color="auto" w:fill="auto"/>
        </w:rPr>
        <w:t>货物或者在途货物或者交付给第一承运人后的货物毁损、灭失的风险负担详见</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w:t>
      </w:r>
    </w:p>
    <w:p w14:paraId="799783AA">
      <w:pPr>
        <w:spacing w:line="560" w:lineRule="exact"/>
        <w:ind w:firstLine="482" w:firstLineChars="200"/>
        <w:outlineLvl w:val="0"/>
        <w:rPr>
          <w:rFonts w:ascii="宋体" w:hAnsi="宋体" w:cs="宋体"/>
          <w:b/>
          <w:sz w:val="24"/>
          <w:shd w:val="clear" w:color="auto" w:fill="auto"/>
        </w:rPr>
      </w:pPr>
      <w:bookmarkStart w:id="492" w:name="_Toc14055"/>
      <w:r>
        <w:rPr>
          <w:rFonts w:hint="eastAsia" w:ascii="宋体" w:hAnsi="宋体" w:cs="宋体"/>
          <w:b/>
          <w:sz w:val="24"/>
          <w:shd w:val="clear" w:color="auto" w:fill="auto"/>
        </w:rPr>
        <w:t>2.9 延迟交货</w:t>
      </w:r>
      <w:bookmarkEnd w:id="489"/>
      <w:bookmarkEnd w:id="490"/>
      <w:bookmarkEnd w:id="491"/>
      <w:bookmarkEnd w:id="492"/>
    </w:p>
    <w:p w14:paraId="071B83AA">
      <w:pPr>
        <w:spacing w:line="560" w:lineRule="exact"/>
        <w:ind w:firstLine="480" w:firstLineChars="200"/>
        <w:rPr>
          <w:rFonts w:ascii="宋体" w:hAnsi="宋体" w:cs="宋体"/>
          <w:sz w:val="24"/>
          <w:shd w:val="clear" w:color="auto" w:fill="auto"/>
        </w:rPr>
      </w:pPr>
      <w:r>
        <w:rPr>
          <w:rFonts w:hint="eastAsia" w:ascii="宋体" w:hAnsi="宋体"/>
          <w:sz w:val="24"/>
          <w:shd w:val="clear" w:color="auto" w:fill="auto"/>
        </w:rPr>
        <w:t>甲乙双方签订合同后，乙方应按照合同约定履行合同义务，除不可抗力外，乙方不得延迟交货。</w:t>
      </w:r>
      <w:r>
        <w:rPr>
          <w:rFonts w:hint="eastAsia" w:ascii="宋体" w:hAnsi="宋体" w:cs="宋体"/>
          <w:sz w:val="24"/>
          <w:shd w:val="clear" w:color="auto" w:fill="auto"/>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28073FB">
      <w:pPr>
        <w:spacing w:line="560" w:lineRule="exact"/>
        <w:ind w:firstLine="482" w:firstLineChars="200"/>
        <w:outlineLvl w:val="0"/>
        <w:rPr>
          <w:rFonts w:ascii="宋体" w:hAnsi="宋体" w:cs="宋体"/>
          <w:b/>
          <w:sz w:val="24"/>
          <w:shd w:val="clear" w:color="auto" w:fill="auto"/>
        </w:rPr>
      </w:pPr>
      <w:bookmarkStart w:id="493" w:name="_Toc7502"/>
      <w:bookmarkStart w:id="494" w:name="_Toc487900364"/>
      <w:bookmarkStart w:id="495" w:name="_Toc259093683"/>
      <w:bookmarkStart w:id="496" w:name="_Toc279701254"/>
      <w:bookmarkStart w:id="497" w:name="_Ref467378121"/>
      <w:r>
        <w:rPr>
          <w:rFonts w:hint="eastAsia" w:ascii="宋体" w:hAnsi="宋体" w:cs="宋体"/>
          <w:b/>
          <w:sz w:val="24"/>
          <w:shd w:val="clear" w:color="auto" w:fill="auto"/>
        </w:rPr>
        <w:t>2.10 合同变更</w:t>
      </w:r>
      <w:bookmarkEnd w:id="493"/>
    </w:p>
    <w:p w14:paraId="2A554C79">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合同继续履行将损害国家利益和社会公共利益的，双方当事人应当以书面形式变更合同。有过错的一方应当承担赔偿责任，双方当事人都有过错的，各自承担相应的责任。</w:t>
      </w:r>
      <w:bookmarkStart w:id="498" w:name="_Toc259093688"/>
      <w:bookmarkStart w:id="499" w:name="_Toc279701259"/>
      <w:bookmarkStart w:id="500" w:name="_Toc487900369"/>
    </w:p>
    <w:p w14:paraId="2DE76712">
      <w:pPr>
        <w:spacing w:line="560" w:lineRule="exact"/>
        <w:ind w:firstLine="482" w:firstLineChars="200"/>
        <w:outlineLvl w:val="0"/>
        <w:rPr>
          <w:rFonts w:ascii="宋体" w:hAnsi="宋体" w:cs="宋体"/>
          <w:b/>
          <w:sz w:val="24"/>
          <w:shd w:val="clear" w:color="auto" w:fill="auto"/>
        </w:rPr>
      </w:pPr>
      <w:bookmarkStart w:id="501" w:name="_Toc15237"/>
      <w:bookmarkStart w:id="502" w:name="_Toc22955"/>
      <w:bookmarkStart w:id="503" w:name="_Toc10366"/>
      <w:r>
        <w:rPr>
          <w:rFonts w:hint="eastAsia" w:ascii="宋体" w:hAnsi="宋体" w:cs="宋体"/>
          <w:b/>
          <w:sz w:val="24"/>
          <w:shd w:val="clear" w:color="auto" w:fill="auto"/>
        </w:rPr>
        <w:t>2.11 合同转让</w:t>
      </w:r>
      <w:bookmarkEnd w:id="498"/>
      <w:bookmarkEnd w:id="499"/>
      <w:bookmarkEnd w:id="500"/>
      <w:r>
        <w:rPr>
          <w:rFonts w:hint="eastAsia" w:ascii="宋体" w:hAnsi="宋体" w:cs="宋体"/>
          <w:b/>
          <w:sz w:val="24"/>
          <w:shd w:val="clear" w:color="auto" w:fill="auto"/>
        </w:rPr>
        <w:t>和分包</w:t>
      </w:r>
      <w:bookmarkEnd w:id="501"/>
      <w:bookmarkEnd w:id="502"/>
      <w:bookmarkEnd w:id="503"/>
    </w:p>
    <w:p w14:paraId="473260E4">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F40DD01">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2.11.2乙方采取分包方式履行合同的，甲方可直接向分包供应商支付款项。</w:t>
      </w:r>
    </w:p>
    <w:p w14:paraId="55B0A6B7">
      <w:pPr>
        <w:spacing w:line="560" w:lineRule="exact"/>
        <w:ind w:firstLine="482" w:firstLineChars="200"/>
        <w:outlineLvl w:val="0"/>
        <w:rPr>
          <w:rFonts w:ascii="宋体" w:hAnsi="宋体" w:cs="宋体"/>
          <w:b/>
          <w:sz w:val="24"/>
          <w:shd w:val="clear" w:color="auto" w:fill="auto"/>
        </w:rPr>
      </w:pPr>
      <w:bookmarkStart w:id="504" w:name="_Toc14066"/>
      <w:bookmarkStart w:id="505" w:name="_Toc13566"/>
      <w:bookmarkStart w:id="506" w:name="_Toc16508"/>
      <w:r>
        <w:rPr>
          <w:rFonts w:hint="eastAsia" w:ascii="宋体" w:hAnsi="宋体" w:cs="宋体"/>
          <w:b/>
          <w:sz w:val="24"/>
          <w:shd w:val="clear" w:color="auto" w:fill="auto"/>
        </w:rPr>
        <w:t>2.12 不可抗力</w:t>
      </w:r>
      <w:bookmarkEnd w:id="504"/>
      <w:bookmarkEnd w:id="505"/>
      <w:bookmarkEnd w:id="506"/>
    </w:p>
    <w:p w14:paraId="325BC026">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2.12.1如果任何一方遭遇法律规定的不可抗力，致使合同履行受阻时，履行合同的期限应予延长，延长的期限应相当于不可抗力所影响的时间；</w:t>
      </w:r>
    </w:p>
    <w:p w14:paraId="1F415882">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2.12.2 因不可抗力致使不能实现合同目的的，当事人可以解除合同；</w:t>
      </w:r>
    </w:p>
    <w:p w14:paraId="30924F25">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2.12.3 因不可抗力致使合同有变更必要的，双方当事人应在</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约定时间内以书面形式变更合同；</w:t>
      </w:r>
    </w:p>
    <w:p w14:paraId="3FB690C0">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2.12.4受不可抗力影响的一方在不可抗力发生后，应在</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约定时间内以书面形式通知对方当事人，并在</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约定时间内，将有关部门出具的证明文件送达对方当事人。</w:t>
      </w:r>
    </w:p>
    <w:p w14:paraId="0A6C7CCC">
      <w:pPr>
        <w:spacing w:line="560" w:lineRule="exact"/>
        <w:ind w:firstLine="482" w:firstLineChars="200"/>
        <w:outlineLvl w:val="0"/>
        <w:rPr>
          <w:rFonts w:ascii="宋体" w:hAnsi="宋体" w:cs="宋体"/>
          <w:b/>
          <w:sz w:val="24"/>
          <w:shd w:val="clear" w:color="auto" w:fill="auto"/>
        </w:rPr>
      </w:pPr>
      <w:bookmarkStart w:id="507" w:name="_Toc6969"/>
      <w:bookmarkStart w:id="508" w:name="_Toc689"/>
      <w:bookmarkStart w:id="509" w:name="_Toc279701255"/>
      <w:bookmarkStart w:id="510" w:name="_Toc259093684"/>
      <w:bookmarkStart w:id="511" w:name="_Toc487900365"/>
      <w:bookmarkStart w:id="512" w:name="_Toc30676"/>
      <w:r>
        <w:rPr>
          <w:rFonts w:hint="eastAsia" w:ascii="宋体" w:hAnsi="宋体" w:cs="宋体"/>
          <w:b/>
          <w:sz w:val="24"/>
          <w:shd w:val="clear" w:color="auto" w:fill="auto"/>
        </w:rPr>
        <w:t>2.13 税费</w:t>
      </w:r>
      <w:bookmarkEnd w:id="507"/>
      <w:bookmarkEnd w:id="508"/>
      <w:bookmarkEnd w:id="509"/>
      <w:bookmarkEnd w:id="510"/>
      <w:bookmarkEnd w:id="511"/>
      <w:bookmarkEnd w:id="512"/>
    </w:p>
    <w:p w14:paraId="3B3087CC">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与合同有关的一切税费，均按照中华人民共和国法律的相关规定。</w:t>
      </w:r>
    </w:p>
    <w:p w14:paraId="26D75B22">
      <w:pPr>
        <w:spacing w:line="560" w:lineRule="exact"/>
        <w:ind w:firstLine="482" w:firstLineChars="200"/>
        <w:outlineLvl w:val="0"/>
        <w:rPr>
          <w:rFonts w:ascii="宋体" w:hAnsi="宋体" w:cs="宋体"/>
          <w:b/>
          <w:sz w:val="24"/>
          <w:shd w:val="clear" w:color="auto" w:fill="auto"/>
        </w:rPr>
      </w:pPr>
      <w:bookmarkStart w:id="513" w:name="_Toc487900368"/>
      <w:bookmarkStart w:id="514" w:name="_Toc259093687"/>
      <w:bookmarkStart w:id="515" w:name="_Toc16959"/>
      <w:bookmarkStart w:id="516" w:name="_Toc7102"/>
      <w:bookmarkStart w:id="517" w:name="_Toc279701258"/>
      <w:bookmarkStart w:id="518" w:name="_Toc8298"/>
      <w:r>
        <w:rPr>
          <w:rFonts w:hint="eastAsia" w:ascii="宋体" w:hAnsi="宋体" w:cs="宋体"/>
          <w:b/>
          <w:sz w:val="24"/>
          <w:shd w:val="clear" w:color="auto" w:fill="auto"/>
        </w:rPr>
        <w:t>2.14乙方破产</w:t>
      </w:r>
      <w:bookmarkEnd w:id="513"/>
      <w:bookmarkEnd w:id="514"/>
      <w:bookmarkEnd w:id="515"/>
      <w:bookmarkEnd w:id="516"/>
      <w:bookmarkEnd w:id="517"/>
      <w:bookmarkEnd w:id="518"/>
    </w:p>
    <w:p w14:paraId="5101176C">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D0931E5">
      <w:pPr>
        <w:spacing w:line="560" w:lineRule="exact"/>
        <w:ind w:firstLine="482" w:firstLineChars="200"/>
        <w:outlineLvl w:val="0"/>
        <w:rPr>
          <w:rFonts w:ascii="宋体" w:hAnsi="宋体" w:cs="宋体"/>
          <w:b/>
          <w:sz w:val="24"/>
          <w:shd w:val="clear" w:color="auto" w:fill="auto"/>
        </w:rPr>
      </w:pPr>
      <w:bookmarkStart w:id="519" w:name="_Toc29333"/>
      <w:bookmarkStart w:id="520" w:name="_Toc6134"/>
      <w:bookmarkStart w:id="521" w:name="_Toc15387"/>
      <w:r>
        <w:rPr>
          <w:rFonts w:hint="eastAsia" w:ascii="宋体" w:hAnsi="宋体" w:cs="宋体"/>
          <w:b/>
          <w:sz w:val="24"/>
          <w:shd w:val="clear" w:color="auto" w:fill="auto"/>
        </w:rPr>
        <w:t>2.15 合同中止、终止</w:t>
      </w:r>
      <w:bookmarkEnd w:id="519"/>
      <w:bookmarkEnd w:id="520"/>
      <w:bookmarkEnd w:id="521"/>
    </w:p>
    <w:p w14:paraId="48864CDB">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2.15.1 双方当事人不得擅自中止或者终止合同；</w:t>
      </w:r>
    </w:p>
    <w:p w14:paraId="2C60D192">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2.15.2合同继续履行将损害国家利益和社会公共利益的，双方当事人应当中止或者终止合同。有过错的一方应当承担赔偿责任，双方当事人都有过错的，各自承担相应的责任。</w:t>
      </w:r>
    </w:p>
    <w:p w14:paraId="523D6F3E">
      <w:pPr>
        <w:spacing w:line="560" w:lineRule="exact"/>
        <w:ind w:firstLine="482" w:firstLineChars="200"/>
        <w:outlineLvl w:val="0"/>
        <w:rPr>
          <w:rFonts w:ascii="宋体" w:hAnsi="宋体" w:cs="宋体"/>
          <w:b/>
          <w:sz w:val="24"/>
          <w:shd w:val="clear" w:color="auto" w:fill="auto"/>
        </w:rPr>
      </w:pPr>
      <w:bookmarkStart w:id="522" w:name="_Toc1125"/>
      <w:bookmarkStart w:id="523" w:name="_Toc14563"/>
      <w:bookmarkStart w:id="524" w:name="_Toc6596"/>
      <w:r>
        <w:rPr>
          <w:rFonts w:hint="eastAsia" w:ascii="宋体" w:hAnsi="宋体" w:cs="宋体"/>
          <w:b/>
          <w:sz w:val="24"/>
          <w:shd w:val="clear" w:color="auto" w:fill="auto"/>
        </w:rPr>
        <w:t>2.16检验和验收</w:t>
      </w:r>
      <w:bookmarkEnd w:id="522"/>
      <w:bookmarkEnd w:id="523"/>
      <w:bookmarkEnd w:id="524"/>
    </w:p>
    <w:p w14:paraId="769B8BBF">
      <w:pPr>
        <w:tabs>
          <w:tab w:val="left" w:pos="360"/>
          <w:tab w:val="left" w:pos="540"/>
          <w:tab w:val="left" w:pos="1080"/>
        </w:tabs>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约定时间内组织验收，并可依法邀请相关方参加，验收应出具验收书。</w:t>
      </w:r>
    </w:p>
    <w:p w14:paraId="53862B96">
      <w:pPr>
        <w:tabs>
          <w:tab w:val="left" w:pos="360"/>
          <w:tab w:val="left" w:pos="540"/>
          <w:tab w:val="left" w:pos="1080"/>
        </w:tabs>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E15992">
      <w:pPr>
        <w:tabs>
          <w:tab w:val="left" w:pos="360"/>
          <w:tab w:val="left" w:pos="540"/>
          <w:tab w:val="left" w:pos="1080"/>
        </w:tabs>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2.16.3 检验和验收标准、程序等具体内容以及前述验收书的效力详见</w:t>
      </w:r>
      <w:r>
        <w:rPr>
          <w:rFonts w:hint="eastAsia" w:ascii="宋体" w:hAnsi="宋体" w:cs="宋体"/>
          <w:b/>
          <w:i/>
          <w:sz w:val="24"/>
          <w:u w:val="single"/>
          <w:shd w:val="clear" w:color="auto" w:fill="auto"/>
        </w:rPr>
        <w:t>合同专用条款</w:t>
      </w:r>
      <w:r>
        <w:rPr>
          <w:rFonts w:hint="eastAsia" w:ascii="宋体" w:hAnsi="宋体" w:cs="宋体"/>
          <w:i/>
          <w:sz w:val="24"/>
          <w:shd w:val="clear" w:color="auto" w:fill="auto"/>
        </w:rPr>
        <w:t>。</w:t>
      </w:r>
    </w:p>
    <w:bookmarkEnd w:id="494"/>
    <w:bookmarkEnd w:id="495"/>
    <w:bookmarkEnd w:id="496"/>
    <w:bookmarkEnd w:id="497"/>
    <w:p w14:paraId="4BDCA336">
      <w:pPr>
        <w:spacing w:line="560" w:lineRule="exact"/>
        <w:ind w:firstLine="482" w:firstLineChars="200"/>
        <w:outlineLvl w:val="0"/>
        <w:rPr>
          <w:rFonts w:ascii="宋体" w:hAnsi="宋体" w:cs="宋体"/>
          <w:b/>
          <w:sz w:val="24"/>
          <w:shd w:val="clear" w:color="auto" w:fill="auto"/>
        </w:rPr>
      </w:pPr>
      <w:bookmarkStart w:id="525" w:name="_Toc487900371"/>
      <w:bookmarkStart w:id="526" w:name="_Toc259093690"/>
      <w:bookmarkStart w:id="527" w:name="_Toc279701261"/>
      <w:bookmarkStart w:id="528" w:name="_Toc19604"/>
      <w:bookmarkStart w:id="529" w:name="_Toc25182"/>
      <w:bookmarkStart w:id="530" w:name="_Toc11284"/>
      <w:r>
        <w:rPr>
          <w:rFonts w:hint="eastAsia" w:ascii="宋体" w:hAnsi="宋体" w:cs="宋体"/>
          <w:b/>
          <w:sz w:val="24"/>
          <w:shd w:val="clear" w:color="auto" w:fill="auto"/>
        </w:rPr>
        <w:t>2.17 通知</w:t>
      </w:r>
      <w:bookmarkEnd w:id="525"/>
      <w:bookmarkEnd w:id="526"/>
      <w:bookmarkEnd w:id="527"/>
      <w:r>
        <w:rPr>
          <w:rFonts w:hint="eastAsia" w:ascii="宋体" w:hAnsi="宋体" w:cs="宋体"/>
          <w:b/>
          <w:sz w:val="24"/>
          <w:shd w:val="clear" w:color="auto" w:fill="auto"/>
        </w:rPr>
        <w:t>和送达</w:t>
      </w:r>
      <w:bookmarkEnd w:id="528"/>
      <w:bookmarkEnd w:id="529"/>
      <w:bookmarkEnd w:id="530"/>
    </w:p>
    <w:p w14:paraId="74284A21">
      <w:pPr>
        <w:spacing w:line="560" w:lineRule="exact"/>
        <w:ind w:firstLine="480" w:firstLineChars="200"/>
        <w:rPr>
          <w:rFonts w:ascii="宋体" w:hAnsi="宋体" w:cs="宋体"/>
          <w:sz w:val="24"/>
          <w:shd w:val="clear" w:color="auto" w:fill="auto"/>
        </w:rPr>
      </w:pPr>
      <w:bookmarkStart w:id="531" w:name="_Toc3135"/>
      <w:bookmarkStart w:id="532" w:name="_Toc6698"/>
      <w:bookmarkStart w:id="533" w:name="_Toc259093691"/>
      <w:bookmarkStart w:id="534" w:name="_Toc279701262"/>
      <w:bookmarkStart w:id="535" w:name="_Toc487900372"/>
      <w:r>
        <w:rPr>
          <w:rFonts w:hint="eastAsia" w:ascii="宋体" w:hAnsi="宋体" w:cs="宋体"/>
          <w:sz w:val="24"/>
          <w:shd w:val="clear" w:color="auto" w:fill="auto"/>
        </w:rPr>
        <w:t xml:space="preserve">2.17.1任何一方因履行合同而以合同第一部分尾部所列明的传真或电子邮件 </w:t>
      </w:r>
      <w:r>
        <w:rPr>
          <w:rFonts w:hint="eastAsia" w:ascii="宋体" w:hAnsi="宋体" w:cs="宋体"/>
          <w:sz w:val="24"/>
          <w:u w:val="single"/>
          <w:shd w:val="clear" w:color="auto" w:fill="auto"/>
        </w:rPr>
        <w:t xml:space="preserve">       </w:t>
      </w:r>
      <w:r>
        <w:rPr>
          <w:rFonts w:hint="eastAsia" w:ascii="宋体" w:hAnsi="宋体" w:cs="宋体"/>
          <w:sz w:val="24"/>
          <w:shd w:val="clear" w:color="auto" w:fill="auto"/>
        </w:rPr>
        <w:t>发出的所有通知、文件、材料，均视为已向对方当事人送达；任何一方变更上述送达方式或者地址的，应于</w:t>
      </w:r>
      <w:r>
        <w:rPr>
          <w:rFonts w:hint="eastAsia" w:ascii="宋体" w:hAnsi="宋体" w:cs="宋体"/>
          <w:sz w:val="24"/>
          <w:u w:val="single"/>
          <w:shd w:val="clear" w:color="auto" w:fill="auto"/>
        </w:rPr>
        <w:t>3</w:t>
      </w:r>
      <w:r>
        <w:rPr>
          <w:rFonts w:hint="eastAsia" w:ascii="宋体" w:hAnsi="宋体" w:cs="宋体"/>
          <w:sz w:val="24"/>
          <w:shd w:val="clear" w:color="auto" w:fill="auto"/>
        </w:rPr>
        <w:t>个工作日内书面通知对方当事人，在对方当事人收到有关变更通知之前，变更前的约定送达方式或者地址仍视为有效。</w:t>
      </w:r>
      <w:bookmarkEnd w:id="531"/>
      <w:bookmarkEnd w:id="532"/>
    </w:p>
    <w:p w14:paraId="04A189A9">
      <w:pPr>
        <w:spacing w:line="560" w:lineRule="exact"/>
        <w:ind w:firstLine="480" w:firstLineChars="200"/>
        <w:rPr>
          <w:rFonts w:ascii="宋体" w:hAnsi="宋体" w:cs="宋体"/>
          <w:sz w:val="24"/>
          <w:shd w:val="clear" w:color="auto" w:fill="auto"/>
        </w:rPr>
      </w:pPr>
      <w:bookmarkStart w:id="536" w:name="_Toc23128"/>
      <w:bookmarkStart w:id="537" w:name="_Toc23294"/>
      <w:r>
        <w:rPr>
          <w:rFonts w:hint="eastAsia" w:ascii="宋体" w:hAnsi="宋体" w:cs="宋体"/>
          <w:sz w:val="24"/>
          <w:shd w:val="clear" w:color="auto" w:fill="auto"/>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14:paraId="14FDDE6F">
      <w:pPr>
        <w:spacing w:line="560" w:lineRule="exact"/>
        <w:ind w:firstLine="482" w:firstLineChars="200"/>
        <w:outlineLvl w:val="0"/>
        <w:rPr>
          <w:rFonts w:ascii="宋体" w:hAnsi="宋体" w:cs="宋体"/>
          <w:b/>
          <w:sz w:val="24"/>
          <w:shd w:val="clear" w:color="auto" w:fill="auto"/>
        </w:rPr>
      </w:pPr>
      <w:bookmarkStart w:id="538" w:name="_Toc18540"/>
      <w:bookmarkStart w:id="539" w:name="_Toc4355"/>
      <w:bookmarkStart w:id="540" w:name="_Toc30599"/>
      <w:r>
        <w:rPr>
          <w:rFonts w:hint="eastAsia" w:ascii="宋体" w:hAnsi="宋体" w:cs="宋体"/>
          <w:b/>
          <w:sz w:val="24"/>
          <w:shd w:val="clear" w:color="auto" w:fill="auto"/>
        </w:rPr>
        <w:t>2.18 计量单位</w:t>
      </w:r>
      <w:bookmarkEnd w:id="533"/>
      <w:bookmarkEnd w:id="534"/>
      <w:bookmarkEnd w:id="535"/>
      <w:bookmarkEnd w:id="538"/>
      <w:bookmarkEnd w:id="539"/>
      <w:bookmarkEnd w:id="540"/>
    </w:p>
    <w:p w14:paraId="36B24C89">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除技术规范中另有规定外,合同的计量单位均使用国家法定计量单位。</w:t>
      </w:r>
    </w:p>
    <w:p w14:paraId="2E65ACBB">
      <w:pPr>
        <w:spacing w:line="560" w:lineRule="exact"/>
        <w:ind w:firstLine="482" w:firstLineChars="200"/>
        <w:outlineLvl w:val="0"/>
        <w:rPr>
          <w:rFonts w:ascii="宋体" w:hAnsi="宋体" w:cs="宋体"/>
          <w:b/>
          <w:sz w:val="24"/>
          <w:shd w:val="clear" w:color="auto" w:fill="auto"/>
        </w:rPr>
      </w:pPr>
      <w:bookmarkStart w:id="541" w:name="_Toc259093692"/>
      <w:bookmarkStart w:id="542" w:name="_Toc18567"/>
      <w:bookmarkStart w:id="543" w:name="_Toc10330"/>
      <w:bookmarkStart w:id="544" w:name="_Toc12773"/>
      <w:bookmarkStart w:id="545" w:name="_Toc279701263"/>
      <w:bookmarkStart w:id="546" w:name="_Toc487900373"/>
      <w:r>
        <w:rPr>
          <w:rFonts w:hint="eastAsia" w:ascii="宋体" w:hAnsi="宋体" w:cs="宋体"/>
          <w:b/>
          <w:sz w:val="24"/>
          <w:shd w:val="clear" w:color="auto" w:fill="auto"/>
        </w:rPr>
        <w:t>2.19 合同使用的文字和适用的法律</w:t>
      </w:r>
      <w:bookmarkEnd w:id="541"/>
      <w:bookmarkEnd w:id="542"/>
      <w:bookmarkEnd w:id="543"/>
      <w:bookmarkEnd w:id="544"/>
      <w:bookmarkEnd w:id="545"/>
      <w:bookmarkEnd w:id="546"/>
    </w:p>
    <w:p w14:paraId="0CBE2DF7">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2.19.1 合同使用汉语书就、变更和解释；</w:t>
      </w:r>
    </w:p>
    <w:p w14:paraId="12D932BA">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2.19.2 合同适用中华人民共和国法律。</w:t>
      </w:r>
    </w:p>
    <w:p w14:paraId="656252CC">
      <w:pPr>
        <w:spacing w:line="560" w:lineRule="exact"/>
        <w:ind w:firstLine="482" w:firstLineChars="200"/>
        <w:outlineLvl w:val="0"/>
        <w:rPr>
          <w:rFonts w:ascii="宋体" w:hAnsi="宋体" w:cs="宋体"/>
          <w:b/>
          <w:sz w:val="24"/>
          <w:shd w:val="clear" w:color="auto" w:fill="auto"/>
        </w:rPr>
      </w:pPr>
      <w:bookmarkStart w:id="547" w:name="_Toc14001"/>
      <w:bookmarkStart w:id="548" w:name="_Toc19890"/>
      <w:bookmarkStart w:id="549" w:name="_Toc6885"/>
      <w:r>
        <w:rPr>
          <w:rFonts w:hint="eastAsia" w:ascii="宋体" w:hAnsi="宋体" w:cs="宋体"/>
          <w:b/>
          <w:sz w:val="24"/>
          <w:shd w:val="clear" w:color="auto" w:fill="auto"/>
        </w:rPr>
        <w:t>2.20 合同份数</w:t>
      </w:r>
      <w:bookmarkEnd w:id="547"/>
      <w:bookmarkEnd w:id="548"/>
      <w:bookmarkEnd w:id="549"/>
    </w:p>
    <w:p w14:paraId="2E8B3F47">
      <w:pPr>
        <w:spacing w:line="560" w:lineRule="exact"/>
        <w:ind w:firstLine="480" w:firstLineChars="200"/>
        <w:rPr>
          <w:rFonts w:ascii="宋体" w:hAnsi="宋体" w:cs="宋体"/>
          <w:sz w:val="24"/>
          <w:shd w:val="clear" w:color="auto" w:fill="auto"/>
        </w:rPr>
      </w:pPr>
      <w:r>
        <w:rPr>
          <w:rFonts w:hint="eastAsia" w:ascii="宋体" w:hAnsi="宋体" w:cs="宋体"/>
          <w:sz w:val="24"/>
          <w:shd w:val="clear" w:color="auto" w:fill="auto"/>
        </w:rPr>
        <w:t>合同份数按</w:t>
      </w:r>
      <w:r>
        <w:rPr>
          <w:rFonts w:hint="eastAsia" w:ascii="宋体" w:hAnsi="宋体" w:cs="宋体"/>
          <w:b/>
          <w:i/>
          <w:sz w:val="24"/>
          <w:u w:val="single"/>
          <w:shd w:val="clear" w:color="auto" w:fill="auto"/>
        </w:rPr>
        <w:t>合同专用条款</w:t>
      </w:r>
      <w:r>
        <w:rPr>
          <w:rFonts w:hint="eastAsia" w:ascii="宋体" w:hAnsi="宋体" w:cs="宋体"/>
          <w:sz w:val="24"/>
          <w:shd w:val="clear" w:color="auto" w:fill="auto"/>
        </w:rPr>
        <w:t>规定，每份均具有同等法律效力。</w:t>
      </w:r>
    </w:p>
    <w:p w14:paraId="7C18EDF9">
      <w:pPr>
        <w:adjustRightInd/>
        <w:spacing w:line="360" w:lineRule="auto"/>
        <w:ind w:firstLine="2513" w:firstLineChars="1197"/>
        <w:outlineLvl w:val="0"/>
        <w:rPr>
          <w:rFonts w:ascii="宋体" w:hAnsi="宋体" w:cs="宋体"/>
          <w:b/>
          <w:shd w:val="clear" w:color="auto" w:fill="auto"/>
        </w:rPr>
      </w:pPr>
      <w:r>
        <w:rPr>
          <w:rFonts w:hint="eastAsia" w:ascii="宋体" w:hAnsi="宋体" w:cs="宋体"/>
          <w:kern w:val="0"/>
          <w:shd w:val="clear" w:color="auto" w:fill="auto"/>
        </w:rPr>
        <w:br w:type="page"/>
      </w:r>
      <w:r>
        <w:rPr>
          <w:rFonts w:hint="eastAsia" w:ascii="宋体" w:hAnsi="宋体" w:cs="宋体"/>
          <w:b/>
          <w:sz w:val="32"/>
          <w:szCs w:val="20"/>
          <w:shd w:val="clear" w:color="auto" w:fill="auto"/>
        </w:rPr>
        <w:t xml:space="preserve"> 第三部分  合同专用条款</w:t>
      </w:r>
    </w:p>
    <w:p w14:paraId="60241DB1">
      <w:pPr>
        <w:spacing w:line="560" w:lineRule="exact"/>
        <w:ind w:left="-420" w:leftChars="-200" w:right="-420" w:rightChars="-200" w:firstLine="480" w:firstLineChars="200"/>
        <w:rPr>
          <w:rFonts w:ascii="宋体" w:hAnsi="宋体" w:cs="宋体"/>
          <w:shd w:val="clear" w:color="auto" w:fill="auto"/>
        </w:rPr>
      </w:pPr>
      <w:r>
        <w:rPr>
          <w:rFonts w:hint="eastAsia" w:ascii="宋体" w:hAnsi="宋体" w:cs="宋体"/>
          <w:sz w:val="24"/>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45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14:paraId="49339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65" w:type="pct"/>
            <w:tcBorders>
              <w:left w:val="single" w:color="auto" w:sz="4" w:space="0"/>
            </w:tcBorders>
            <w:vAlign w:val="center"/>
          </w:tcPr>
          <w:p w14:paraId="69D6B9B9">
            <w:pPr>
              <w:spacing w:line="360" w:lineRule="auto"/>
              <w:jc w:val="center"/>
              <w:rPr>
                <w:rFonts w:ascii="宋体" w:hAnsi="宋体" w:cs="宋体"/>
                <w:b/>
                <w:sz w:val="24"/>
                <w:highlight w:val="none"/>
                <w:shd w:val="clear" w:color="auto" w:fill="auto"/>
              </w:rPr>
            </w:pPr>
            <w:r>
              <w:rPr>
                <w:rFonts w:hint="eastAsia" w:ascii="宋体" w:hAnsi="宋体" w:cs="宋体"/>
                <w:b/>
                <w:sz w:val="24"/>
                <w:highlight w:val="none"/>
                <w:shd w:val="clear" w:color="auto" w:fill="auto"/>
              </w:rPr>
              <w:t>条款号</w:t>
            </w:r>
          </w:p>
        </w:tc>
        <w:tc>
          <w:tcPr>
            <w:tcW w:w="4534" w:type="pct"/>
            <w:vAlign w:val="center"/>
          </w:tcPr>
          <w:p w14:paraId="19269836">
            <w:pPr>
              <w:spacing w:line="360" w:lineRule="auto"/>
              <w:jc w:val="center"/>
              <w:rPr>
                <w:rFonts w:ascii="宋体" w:hAnsi="宋体" w:cs="宋体"/>
                <w:b/>
                <w:sz w:val="24"/>
                <w:highlight w:val="none"/>
                <w:shd w:val="clear" w:color="auto" w:fill="auto"/>
              </w:rPr>
            </w:pPr>
            <w:r>
              <w:rPr>
                <w:rFonts w:hint="eastAsia" w:ascii="宋体" w:hAnsi="宋体" w:cs="宋体"/>
                <w:b/>
                <w:sz w:val="24"/>
                <w:highlight w:val="none"/>
                <w:shd w:val="clear" w:color="auto" w:fill="auto"/>
              </w:rPr>
              <w:t>约定内容</w:t>
            </w:r>
          </w:p>
        </w:tc>
      </w:tr>
      <w:tr w14:paraId="6BB89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1E6E0B7">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1.4.2</w:t>
            </w:r>
          </w:p>
        </w:tc>
        <w:tc>
          <w:tcPr>
            <w:tcW w:w="4534" w:type="pct"/>
            <w:vAlign w:val="center"/>
          </w:tcPr>
          <w:p w14:paraId="30E1E14E">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sz w:val="24"/>
                <w:highlight w:val="none"/>
                <w:shd w:val="clear" w:color="auto" w:fill="auto"/>
                <w:lang w:eastAsia="zh-CN"/>
              </w:rPr>
              <w:t>。</w:t>
            </w:r>
          </w:p>
        </w:tc>
      </w:tr>
      <w:tr w14:paraId="0F150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76BAEC3">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1.5.1</w:t>
            </w:r>
          </w:p>
        </w:tc>
        <w:tc>
          <w:tcPr>
            <w:tcW w:w="4534" w:type="pct"/>
            <w:vAlign w:val="center"/>
          </w:tcPr>
          <w:p w14:paraId="488FF905">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Theme="minorEastAsia" w:hAnsiTheme="minorEastAsia" w:eastAsiaTheme="minorEastAsia" w:cstheme="minorEastAsia"/>
                <w:kern w:val="0"/>
                <w:sz w:val="24"/>
                <w:szCs w:val="24"/>
                <w:highlight w:val="yellow"/>
              </w:rPr>
            </w:pPr>
            <w:r>
              <w:rPr>
                <w:rFonts w:hint="eastAsia" w:asciiTheme="minorEastAsia" w:hAnsiTheme="minorEastAsia" w:eastAsiaTheme="minorEastAsia" w:cstheme="minorEastAsia"/>
                <w:kern w:val="0"/>
                <w:sz w:val="24"/>
                <w:szCs w:val="24"/>
                <w:highlight w:val="none"/>
              </w:rPr>
              <w:t>1、合同生效以及具备实施条件后</w:t>
            </w: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rPr>
              <w:t>个工作日内，甲方支付合同总价40%的预付款；</w:t>
            </w:r>
          </w:p>
          <w:p w14:paraId="45DEECF4">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eastAsia="宋体" w:cs="宋体"/>
                <w:kern w:val="2"/>
                <w:sz w:val="24"/>
                <w:szCs w:val="24"/>
                <w:highlight w:val="none"/>
                <w:shd w:val="clear" w:color="auto" w:fill="auto"/>
                <w:lang w:val="en-US" w:eastAsia="zh-CN" w:bidi="ar-SA"/>
              </w:rPr>
            </w:pPr>
            <w:r>
              <w:rPr>
                <w:rFonts w:hint="eastAsia" w:asciiTheme="minorEastAsia" w:hAnsiTheme="minorEastAsia" w:eastAsiaTheme="minorEastAsia" w:cstheme="minorEastAsia"/>
                <w:kern w:val="0"/>
                <w:sz w:val="24"/>
                <w:szCs w:val="24"/>
              </w:rPr>
              <w:t>2、设备安装调试完毕，且甲方验收合格后的</w:t>
            </w:r>
            <w:r>
              <w:rPr>
                <w:rFonts w:hint="eastAsia" w:asciiTheme="minorEastAsia" w:hAnsiTheme="minorEastAsia" w:eastAsiaTheme="minorEastAsia" w:cstheme="minorEastAsia"/>
                <w:kern w:val="0"/>
                <w:sz w:val="24"/>
                <w:szCs w:val="24"/>
                <w:lang w:val="en-US" w:eastAsia="zh-CN"/>
              </w:rPr>
              <w:t>30个工作日内，</w:t>
            </w:r>
            <w:r>
              <w:rPr>
                <w:rFonts w:hint="eastAsia" w:asciiTheme="minorEastAsia" w:hAnsiTheme="minorEastAsia" w:eastAsiaTheme="minorEastAsia" w:cstheme="minorEastAsia"/>
                <w:kern w:val="0"/>
                <w:sz w:val="24"/>
                <w:szCs w:val="24"/>
              </w:rPr>
              <w:t>支付合同总价60% 。</w:t>
            </w:r>
          </w:p>
        </w:tc>
      </w:tr>
      <w:tr w14:paraId="5E728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8F6C3C3">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 xml:space="preserve">1.5.2 </w:t>
            </w:r>
          </w:p>
        </w:tc>
        <w:tc>
          <w:tcPr>
            <w:tcW w:w="4534" w:type="pct"/>
            <w:vAlign w:val="center"/>
          </w:tcPr>
          <w:p w14:paraId="4B2409E9">
            <w:pPr>
              <w:spacing w:line="360" w:lineRule="auto"/>
              <w:rPr>
                <w:rFonts w:hint="eastAsia" w:ascii="宋体" w:hAnsi="宋体" w:eastAsia="宋体" w:cs="宋体"/>
                <w:kern w:val="2"/>
                <w:sz w:val="24"/>
                <w:szCs w:val="24"/>
                <w:highlight w:val="none"/>
                <w:shd w:val="clear" w:color="auto" w:fill="auto"/>
                <w:lang w:val="en-US" w:eastAsia="zh-CN" w:bidi="ar-SA"/>
              </w:rPr>
            </w:pPr>
            <w:r>
              <w:rPr>
                <w:rFonts w:hint="eastAsia" w:ascii="宋体" w:hAnsi="宋体" w:cs="宋体"/>
                <w:sz w:val="24"/>
                <w:highlight w:val="none"/>
                <w:shd w:val="clear" w:color="auto" w:fill="auto"/>
                <w:lang w:val="en-US" w:eastAsia="zh-CN"/>
              </w:rPr>
              <w:t>/</w:t>
            </w:r>
          </w:p>
        </w:tc>
      </w:tr>
      <w:tr w14:paraId="00F2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3D1E61F0">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1.5.3</w:t>
            </w:r>
          </w:p>
        </w:tc>
        <w:tc>
          <w:tcPr>
            <w:tcW w:w="4534" w:type="pct"/>
            <w:vAlign w:val="center"/>
          </w:tcPr>
          <w:p w14:paraId="7CB424DD">
            <w:pPr>
              <w:spacing w:line="360" w:lineRule="auto"/>
              <w:rPr>
                <w:rFonts w:hint="default" w:ascii="宋体" w:hAnsi="宋体" w:eastAsia="宋体" w:cs="宋体"/>
                <w:kern w:val="2"/>
                <w:sz w:val="24"/>
                <w:szCs w:val="24"/>
                <w:highlight w:val="none"/>
                <w:shd w:val="clear" w:color="auto" w:fill="auto"/>
                <w:lang w:val="en-US" w:eastAsia="zh-CN" w:bidi="ar-SA"/>
              </w:rPr>
            </w:pPr>
            <w:r>
              <w:rPr>
                <w:rFonts w:hint="eastAsia" w:ascii="宋体" w:hAnsi="宋体" w:cs="宋体"/>
                <w:sz w:val="24"/>
                <w:highlight w:val="none"/>
                <w:shd w:val="clear" w:color="auto" w:fill="auto"/>
                <w:lang w:val="en-US" w:eastAsia="zh-CN"/>
              </w:rPr>
              <w:t>/</w:t>
            </w:r>
          </w:p>
        </w:tc>
      </w:tr>
      <w:tr w14:paraId="2860C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47AFD4CA">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1.6.2</w:t>
            </w:r>
          </w:p>
        </w:tc>
        <w:tc>
          <w:tcPr>
            <w:tcW w:w="4534" w:type="pct"/>
            <w:vAlign w:val="center"/>
          </w:tcPr>
          <w:p w14:paraId="75E29C2F">
            <w:pPr>
              <w:keepNext w:val="0"/>
              <w:keepLines w:val="0"/>
              <w:pageBreakBefore w:val="0"/>
              <w:widowControl w:val="0"/>
              <w:kinsoku/>
              <w:wordWrap/>
              <w:overflowPunct/>
              <w:topLinePunct w:val="0"/>
              <w:autoSpaceDE w:val="0"/>
              <w:autoSpaceDN w:val="0"/>
              <w:bidi w:val="0"/>
              <w:adjustRightInd w:val="0"/>
              <w:spacing w:line="440" w:lineRule="exact"/>
              <w:textAlignment w:val="auto"/>
              <w:rPr>
                <w:rFonts w:hint="eastAsia" w:asciiTheme="minorEastAsia" w:hAnsiTheme="minorEastAsia" w:eastAsiaTheme="minorEastAsia" w:cstheme="minorEastAsia"/>
                <w:kern w:val="0"/>
                <w:sz w:val="24"/>
                <w:szCs w:val="24"/>
                <w:highlight w:val="yellow"/>
              </w:rPr>
            </w:pPr>
            <w:r>
              <w:rPr>
                <w:rFonts w:hint="eastAsia" w:asciiTheme="minorEastAsia" w:hAnsiTheme="minorEastAsia" w:eastAsiaTheme="minorEastAsia" w:cstheme="minorEastAsia"/>
                <w:kern w:val="0"/>
                <w:sz w:val="24"/>
                <w:szCs w:val="24"/>
                <w:highlight w:val="none"/>
              </w:rPr>
              <w:t>1、合同生效以及具备实施条件后</w:t>
            </w: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rPr>
              <w:t>个工作日内，甲方支付合同总价40%的预付款；</w:t>
            </w:r>
          </w:p>
          <w:p w14:paraId="1FD57F4C">
            <w:pPr>
              <w:spacing w:line="360" w:lineRule="auto"/>
              <w:rPr>
                <w:rFonts w:ascii="宋体" w:hAnsi="宋体" w:cs="宋体"/>
                <w:sz w:val="24"/>
                <w:highlight w:val="none"/>
                <w:shd w:val="clear" w:color="auto" w:fill="auto"/>
              </w:rPr>
            </w:pPr>
            <w:r>
              <w:rPr>
                <w:rFonts w:hint="eastAsia" w:asciiTheme="minorEastAsia" w:hAnsiTheme="minorEastAsia" w:eastAsiaTheme="minorEastAsia" w:cstheme="minorEastAsia"/>
                <w:kern w:val="0"/>
                <w:sz w:val="24"/>
                <w:szCs w:val="24"/>
              </w:rPr>
              <w:t>2、设备安装调试完毕，且甲方验收合格后的</w:t>
            </w:r>
            <w:r>
              <w:rPr>
                <w:rFonts w:hint="eastAsia" w:asciiTheme="minorEastAsia" w:hAnsiTheme="minorEastAsia" w:eastAsiaTheme="minorEastAsia" w:cstheme="minorEastAsia"/>
                <w:kern w:val="0"/>
                <w:sz w:val="24"/>
                <w:szCs w:val="24"/>
                <w:lang w:val="en-US" w:eastAsia="zh-CN"/>
              </w:rPr>
              <w:t>30个工作日内，</w:t>
            </w:r>
            <w:r>
              <w:rPr>
                <w:rFonts w:hint="eastAsia" w:asciiTheme="minorEastAsia" w:hAnsiTheme="minorEastAsia" w:eastAsiaTheme="minorEastAsia" w:cstheme="minorEastAsia"/>
                <w:kern w:val="0"/>
                <w:sz w:val="24"/>
                <w:szCs w:val="24"/>
              </w:rPr>
              <w:t>支付合同总价60% 。</w:t>
            </w:r>
          </w:p>
        </w:tc>
      </w:tr>
      <w:tr w14:paraId="7F4BA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48377F7C">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1.7.1</w:t>
            </w:r>
          </w:p>
        </w:tc>
        <w:tc>
          <w:tcPr>
            <w:tcW w:w="4534" w:type="pct"/>
            <w:vAlign w:val="center"/>
          </w:tcPr>
          <w:p w14:paraId="2316261D">
            <w:pPr>
              <w:spacing w:line="360" w:lineRule="auto"/>
              <w:rPr>
                <w:rFonts w:ascii="宋体" w:hAnsi="宋体" w:eastAsia="宋体" w:cs="宋体"/>
                <w:kern w:val="2"/>
                <w:sz w:val="24"/>
                <w:szCs w:val="24"/>
                <w:highlight w:val="none"/>
                <w:shd w:val="clear" w:color="auto" w:fill="auto"/>
                <w:lang w:val="en-US" w:eastAsia="zh-CN" w:bidi="ar-SA"/>
              </w:rPr>
            </w:pPr>
            <w:r>
              <w:rPr>
                <w:rFonts w:hint="eastAsia" w:asciiTheme="minorEastAsia" w:hAnsiTheme="minorEastAsia" w:eastAsiaTheme="minorEastAsia" w:cstheme="minorEastAsia"/>
                <w:kern w:val="0"/>
                <w:sz w:val="24"/>
                <w:szCs w:val="24"/>
                <w:highlight w:val="none"/>
              </w:rPr>
              <w:t>合同签订后90日历天完成设备采购并安装调试运行完成。</w:t>
            </w:r>
          </w:p>
        </w:tc>
      </w:tr>
      <w:tr w14:paraId="7A9AA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0317F70C">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1.7.2</w:t>
            </w:r>
          </w:p>
        </w:tc>
        <w:tc>
          <w:tcPr>
            <w:tcW w:w="4534" w:type="pct"/>
            <w:vAlign w:val="center"/>
          </w:tcPr>
          <w:p w14:paraId="4B53F26F">
            <w:pPr>
              <w:spacing w:line="360" w:lineRule="auto"/>
              <w:rPr>
                <w:rFonts w:ascii="宋体" w:hAnsi="宋体" w:cs="宋体" w:eastAsiaTheme="minorEastAsia"/>
                <w:kern w:val="2"/>
                <w:sz w:val="24"/>
                <w:szCs w:val="24"/>
                <w:highlight w:val="none"/>
                <w:shd w:val="clear" w:color="auto" w:fill="auto"/>
                <w:lang w:val="en-US" w:eastAsia="zh-CN" w:bidi="ar-SA"/>
              </w:rPr>
            </w:pPr>
            <w:r>
              <w:rPr>
                <w:rFonts w:hint="eastAsia" w:ascii="宋体" w:hAnsi="宋体" w:cs="宋体"/>
                <w:sz w:val="24"/>
                <w:highlight w:val="none"/>
                <w:shd w:val="clear" w:color="auto" w:fill="auto"/>
                <w:lang w:bidi="ar"/>
              </w:rPr>
              <w:t>招标人指定地点。</w:t>
            </w:r>
          </w:p>
        </w:tc>
      </w:tr>
      <w:tr w14:paraId="3EB90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F1454BE">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1.7.3</w:t>
            </w:r>
          </w:p>
        </w:tc>
        <w:tc>
          <w:tcPr>
            <w:tcW w:w="4534" w:type="pct"/>
            <w:vAlign w:val="center"/>
          </w:tcPr>
          <w:p w14:paraId="2B3257D7">
            <w:pPr>
              <w:spacing w:line="360" w:lineRule="auto"/>
              <w:rPr>
                <w:rFonts w:ascii="宋体" w:hAnsi="宋体" w:cs="宋体" w:eastAsiaTheme="minorEastAsia"/>
                <w:kern w:val="2"/>
                <w:sz w:val="24"/>
                <w:szCs w:val="24"/>
                <w:highlight w:val="none"/>
                <w:shd w:val="clear" w:color="auto" w:fill="auto"/>
                <w:lang w:val="en-US" w:eastAsia="zh-CN" w:bidi="ar-SA"/>
              </w:rPr>
            </w:pPr>
            <w:r>
              <w:rPr>
                <w:rFonts w:hint="eastAsia" w:ascii="宋体" w:hAnsi="宋体" w:cs="宋体"/>
                <w:sz w:val="24"/>
                <w:highlight w:val="none"/>
                <w:shd w:val="clear" w:color="auto" w:fill="auto"/>
                <w:lang w:eastAsia="zh-CN" w:bidi="ar"/>
              </w:rPr>
              <w:t>现场交付</w:t>
            </w:r>
            <w:r>
              <w:rPr>
                <w:rFonts w:hint="eastAsia" w:ascii="宋体" w:hAnsi="宋体" w:cs="宋体"/>
                <w:sz w:val="24"/>
                <w:highlight w:val="none"/>
                <w:shd w:val="clear" w:color="auto" w:fill="auto"/>
                <w:lang w:bidi="ar"/>
              </w:rPr>
              <w:t>。</w:t>
            </w:r>
          </w:p>
        </w:tc>
      </w:tr>
      <w:tr w14:paraId="48D61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63DF03D">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1.8.6</w:t>
            </w:r>
          </w:p>
        </w:tc>
        <w:tc>
          <w:tcPr>
            <w:tcW w:w="4534" w:type="pct"/>
            <w:vAlign w:val="center"/>
          </w:tcPr>
          <w:p w14:paraId="19B8EA4D">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如产品质量未达到投标承诺技术要求及品牌、型号的；采购人将退货处理，乙方承担项目总额20%的违约金。</w:t>
            </w:r>
          </w:p>
        </w:tc>
      </w:tr>
      <w:tr w14:paraId="4BB8C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4A6BCF01">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1.9</w:t>
            </w:r>
          </w:p>
        </w:tc>
        <w:tc>
          <w:tcPr>
            <w:tcW w:w="4534" w:type="pct"/>
            <w:vAlign w:val="center"/>
          </w:tcPr>
          <w:p w14:paraId="54B0C669">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lang w:bidi="ar"/>
              </w:rPr>
              <w:t>1.</w:t>
            </w:r>
            <w:r>
              <w:rPr>
                <w:rFonts w:hint="eastAsia" w:ascii="宋体" w:hAnsi="宋体" w:cs="宋体"/>
                <w:sz w:val="24"/>
                <w:highlight w:val="none"/>
                <w:shd w:val="clear" w:color="auto" w:fill="auto"/>
                <w:lang w:val="en-US" w:eastAsia="zh-CN" w:bidi="ar"/>
              </w:rPr>
              <w:t>9</w:t>
            </w:r>
            <w:r>
              <w:rPr>
                <w:rFonts w:hint="eastAsia" w:ascii="宋体" w:hAnsi="宋体" w:cs="宋体"/>
                <w:sz w:val="24"/>
                <w:highlight w:val="none"/>
                <w:shd w:val="clear" w:color="auto" w:fill="auto"/>
                <w:lang w:bidi="ar"/>
              </w:rPr>
              <w:t>.2(诉讼)</w:t>
            </w:r>
          </w:p>
        </w:tc>
      </w:tr>
      <w:tr w14:paraId="30FF4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62850E3F">
            <w:pPr>
              <w:spacing w:line="360" w:lineRule="auto"/>
              <w:rPr>
                <w:rFonts w:hint="eastAsia" w:ascii="宋体" w:hAnsi="宋体" w:cs="宋体"/>
                <w:sz w:val="24"/>
                <w:highlight w:val="none"/>
                <w:shd w:val="clear" w:color="auto" w:fill="auto"/>
              </w:rPr>
            </w:pPr>
            <w:r>
              <w:rPr>
                <w:rFonts w:hint="eastAsia" w:ascii="宋体" w:hAnsi="宋体" w:cs="宋体"/>
                <w:sz w:val="24"/>
                <w:highlight w:val="none"/>
                <w:shd w:val="clear" w:color="auto" w:fill="auto"/>
                <w:lang w:val="en-US" w:eastAsia="zh-CN"/>
              </w:rPr>
              <w:t>1.9.1</w:t>
            </w:r>
          </w:p>
        </w:tc>
        <w:tc>
          <w:tcPr>
            <w:tcW w:w="4534" w:type="pct"/>
            <w:vAlign w:val="center"/>
          </w:tcPr>
          <w:p w14:paraId="6ED026A8">
            <w:pPr>
              <w:spacing w:line="360" w:lineRule="auto"/>
              <w:ind w:left="-420" w:leftChars="-200" w:right="-420" w:rightChars="-200" w:firstLine="480" w:firstLineChars="200"/>
              <w:rPr>
                <w:rFonts w:ascii="宋体" w:hAnsi="宋体" w:cs="宋体"/>
                <w:sz w:val="24"/>
                <w:highlight w:val="none"/>
                <w:shd w:val="clear" w:color="auto" w:fill="auto"/>
              </w:rPr>
            </w:pPr>
            <w:r>
              <w:rPr>
                <w:rFonts w:hint="eastAsia" w:ascii="宋体" w:hAnsi="宋体" w:cs="宋体"/>
                <w:sz w:val="24"/>
                <w:highlight w:val="none"/>
                <w:shd w:val="clear" w:color="auto" w:fill="auto"/>
                <w:lang w:val="en-US" w:eastAsia="zh-CN" w:bidi="ar"/>
              </w:rPr>
              <w:t>/</w:t>
            </w:r>
          </w:p>
        </w:tc>
      </w:tr>
      <w:tr w14:paraId="7518A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4FB6F864">
            <w:pPr>
              <w:spacing w:line="360" w:lineRule="auto"/>
              <w:rPr>
                <w:rFonts w:hint="eastAsia" w:ascii="宋体" w:hAnsi="宋体" w:cs="宋体"/>
                <w:sz w:val="24"/>
                <w:highlight w:val="none"/>
                <w:shd w:val="clear" w:color="auto" w:fill="auto"/>
              </w:rPr>
            </w:pPr>
            <w:r>
              <w:rPr>
                <w:rFonts w:hint="eastAsia" w:ascii="宋体" w:hAnsi="宋体" w:cs="宋体"/>
                <w:sz w:val="24"/>
                <w:highlight w:val="none"/>
                <w:shd w:val="clear" w:color="auto" w:fill="auto"/>
                <w:lang w:val="en-US" w:eastAsia="zh-CN"/>
              </w:rPr>
              <w:t>1.9.2</w:t>
            </w:r>
          </w:p>
        </w:tc>
        <w:tc>
          <w:tcPr>
            <w:tcW w:w="4534" w:type="pct"/>
            <w:vAlign w:val="center"/>
          </w:tcPr>
          <w:p w14:paraId="5449ADF6">
            <w:pPr>
              <w:spacing w:line="360" w:lineRule="auto"/>
              <w:ind w:left="-420" w:leftChars="-200" w:right="-420" w:rightChars="-200" w:firstLine="480" w:firstLineChars="200"/>
              <w:rPr>
                <w:rFonts w:ascii="宋体" w:hAnsi="宋体" w:cs="宋体"/>
                <w:sz w:val="24"/>
                <w:highlight w:val="none"/>
                <w:shd w:val="clear" w:color="auto" w:fill="auto"/>
              </w:rPr>
            </w:pPr>
            <w:r>
              <w:rPr>
                <w:rFonts w:hint="eastAsia" w:ascii="宋体" w:hAnsi="宋体" w:cs="宋体"/>
                <w:sz w:val="24"/>
                <w:highlight w:val="none"/>
                <w:shd w:val="clear" w:color="auto" w:fill="auto"/>
                <w:lang w:bidi="ar"/>
              </w:rPr>
              <w:t>项目所在地的人民法院</w:t>
            </w:r>
          </w:p>
        </w:tc>
      </w:tr>
      <w:tr w14:paraId="007E7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0AA548E8">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2.3.2</w:t>
            </w:r>
          </w:p>
        </w:tc>
        <w:tc>
          <w:tcPr>
            <w:tcW w:w="4534" w:type="pct"/>
            <w:vAlign w:val="center"/>
          </w:tcPr>
          <w:p w14:paraId="5E748853">
            <w:pPr>
              <w:spacing w:line="360" w:lineRule="auto"/>
              <w:ind w:left="-420" w:leftChars="-200" w:right="-420" w:rightChars="-200" w:firstLine="480" w:firstLineChars="200"/>
              <w:rPr>
                <w:rFonts w:ascii="宋体" w:hAnsi="宋体" w:cs="宋体"/>
                <w:sz w:val="24"/>
                <w:highlight w:val="none"/>
                <w:shd w:val="clear" w:color="auto" w:fill="auto"/>
              </w:rPr>
            </w:pPr>
            <w:r>
              <w:rPr>
                <w:rFonts w:hint="eastAsia" w:ascii="宋体" w:hAnsi="宋体" w:cs="宋体"/>
                <w:sz w:val="24"/>
                <w:highlight w:val="none"/>
                <w:shd w:val="clear" w:color="auto" w:fill="auto"/>
                <w:lang w:bidi="ar"/>
              </w:rPr>
              <w:t>归乙方所有，但针对本项目，甲方有无限使用权。</w:t>
            </w:r>
          </w:p>
        </w:tc>
      </w:tr>
      <w:tr w14:paraId="7C268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20EBC3D9">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2.4.1</w:t>
            </w:r>
          </w:p>
        </w:tc>
        <w:tc>
          <w:tcPr>
            <w:tcW w:w="4534" w:type="pct"/>
            <w:vAlign w:val="center"/>
          </w:tcPr>
          <w:p w14:paraId="6347FFB9">
            <w:pPr>
              <w:spacing w:line="360" w:lineRule="auto"/>
              <w:ind w:left="-420" w:leftChars="-200" w:right="-420" w:rightChars="-200" w:firstLine="480" w:firstLineChars="200"/>
              <w:rPr>
                <w:rFonts w:ascii="宋体" w:hAnsi="宋体" w:cs="宋体"/>
                <w:sz w:val="24"/>
                <w:highlight w:val="none"/>
                <w:shd w:val="clear" w:color="auto" w:fill="auto"/>
              </w:rPr>
            </w:pPr>
            <w:r>
              <w:rPr>
                <w:rFonts w:hint="eastAsia" w:ascii="宋体" w:hAnsi="宋体" w:cs="宋体"/>
                <w:sz w:val="24"/>
                <w:highlight w:val="none"/>
                <w:shd w:val="clear" w:color="auto" w:fill="auto"/>
                <w:lang w:bidi="ar"/>
              </w:rPr>
              <w:t>按行业及通用条款要求。</w:t>
            </w:r>
          </w:p>
        </w:tc>
      </w:tr>
      <w:tr w14:paraId="1D81C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317434B3">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2.4.3</w:t>
            </w:r>
          </w:p>
        </w:tc>
        <w:tc>
          <w:tcPr>
            <w:tcW w:w="4534" w:type="pct"/>
            <w:vAlign w:val="center"/>
          </w:tcPr>
          <w:p w14:paraId="160E101F">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lang w:bidi="ar"/>
              </w:rPr>
              <w:t>装运货物的要求和通知，乙方应提前7天通知甲方并协调设备的卸货及安装事宜。</w:t>
            </w:r>
          </w:p>
        </w:tc>
      </w:tr>
      <w:tr w14:paraId="6709E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tcPr>
          <w:p w14:paraId="0A41C06B">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 xml:space="preserve">2.8 </w:t>
            </w:r>
          </w:p>
        </w:tc>
        <w:tc>
          <w:tcPr>
            <w:tcW w:w="4534" w:type="pct"/>
            <w:vAlign w:val="top"/>
          </w:tcPr>
          <w:p w14:paraId="56B1D2B3">
            <w:pPr>
              <w:spacing w:line="360" w:lineRule="auto"/>
              <w:rPr>
                <w:rFonts w:ascii="宋体" w:hAnsi="宋体" w:eastAsia="宋体" w:cs="宋体"/>
                <w:kern w:val="2"/>
                <w:sz w:val="24"/>
                <w:szCs w:val="24"/>
                <w:highlight w:val="none"/>
                <w:shd w:val="clear" w:color="auto" w:fill="auto"/>
                <w:lang w:val="en-US" w:eastAsia="zh-CN" w:bidi="ar-SA"/>
              </w:rPr>
            </w:pPr>
            <w:r>
              <w:rPr>
                <w:rFonts w:hint="eastAsia" w:ascii="宋体" w:hAnsi="宋体" w:cs="宋体"/>
                <w:sz w:val="24"/>
                <w:highlight w:val="none"/>
                <w:shd w:val="clear" w:color="auto" w:fill="auto"/>
                <w:lang w:bidi="ar"/>
              </w:rPr>
              <w:t>货物或者在途货物或者交付给第一承运人后的货物毁损、灭失的风险负担均由乙方负责，并承担延期交货的违约责任。</w:t>
            </w:r>
          </w:p>
        </w:tc>
      </w:tr>
      <w:tr w14:paraId="5862E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512C9F8D">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2.12.3</w:t>
            </w:r>
          </w:p>
        </w:tc>
        <w:tc>
          <w:tcPr>
            <w:tcW w:w="4534" w:type="pct"/>
            <w:vAlign w:val="center"/>
          </w:tcPr>
          <w:p w14:paraId="52AA8C9C">
            <w:pPr>
              <w:spacing w:line="360" w:lineRule="auto"/>
              <w:rPr>
                <w:rFonts w:ascii="宋体" w:hAnsi="宋体" w:cs="宋体" w:eastAsiaTheme="minorEastAsia"/>
                <w:kern w:val="2"/>
                <w:sz w:val="24"/>
                <w:szCs w:val="24"/>
                <w:highlight w:val="none"/>
                <w:shd w:val="clear" w:color="auto" w:fill="auto"/>
                <w:lang w:val="en-US" w:eastAsia="zh-CN" w:bidi="ar-SA"/>
              </w:rPr>
            </w:pPr>
            <w:r>
              <w:rPr>
                <w:rFonts w:hint="eastAsia" w:ascii="宋体" w:hAnsi="宋体" w:cs="宋体"/>
                <w:sz w:val="24"/>
                <w:highlight w:val="none"/>
                <w:shd w:val="clear" w:color="auto" w:fill="auto"/>
                <w:lang w:bidi="ar"/>
              </w:rPr>
              <w:t>不可抗力时间发生后7天内以书面形式变更合同。</w:t>
            </w:r>
          </w:p>
        </w:tc>
      </w:tr>
      <w:tr w14:paraId="4EEE1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06FD3434">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2.12.4</w:t>
            </w:r>
          </w:p>
        </w:tc>
        <w:tc>
          <w:tcPr>
            <w:tcW w:w="4534" w:type="pct"/>
            <w:vAlign w:val="center"/>
          </w:tcPr>
          <w:p w14:paraId="38155F63">
            <w:pPr>
              <w:spacing w:line="360" w:lineRule="auto"/>
              <w:rPr>
                <w:rFonts w:ascii="宋体" w:hAnsi="宋体" w:cs="宋体" w:eastAsiaTheme="minorEastAsia"/>
                <w:kern w:val="2"/>
                <w:sz w:val="24"/>
                <w:szCs w:val="24"/>
                <w:highlight w:val="none"/>
                <w:shd w:val="clear" w:color="auto" w:fill="auto"/>
                <w:lang w:val="en-US" w:eastAsia="zh-CN" w:bidi="ar-SA"/>
              </w:rPr>
            </w:pPr>
            <w:r>
              <w:rPr>
                <w:rFonts w:hint="eastAsia" w:ascii="宋体" w:hAnsi="宋体" w:cs="宋体"/>
                <w:sz w:val="24"/>
                <w:highlight w:val="none"/>
                <w:shd w:val="clear" w:color="auto" w:fill="auto"/>
                <w:lang w:bidi="ar"/>
              </w:rPr>
              <w:t>受不可抗力影响的一方在不可抗力发生后，应在1个工作日内以书面形式通知对方当事人，并在3个工作日内，将有关部门出具的证明文件送达对方当事人。</w:t>
            </w:r>
          </w:p>
        </w:tc>
      </w:tr>
      <w:tr w14:paraId="1FABE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65" w:type="pct"/>
            <w:tcBorders>
              <w:left w:val="single" w:color="auto" w:sz="4" w:space="0"/>
            </w:tcBorders>
            <w:vAlign w:val="center"/>
          </w:tcPr>
          <w:p w14:paraId="2E03780B">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2.16.1</w:t>
            </w:r>
          </w:p>
        </w:tc>
        <w:tc>
          <w:tcPr>
            <w:tcW w:w="4534" w:type="pct"/>
            <w:vAlign w:val="center"/>
          </w:tcPr>
          <w:p w14:paraId="6B79653A">
            <w:pPr>
              <w:spacing w:line="360" w:lineRule="auto"/>
              <w:rPr>
                <w:rFonts w:ascii="宋体" w:hAnsi="宋体" w:cs="宋体" w:eastAsiaTheme="minorEastAsia"/>
                <w:kern w:val="2"/>
                <w:sz w:val="24"/>
                <w:szCs w:val="24"/>
                <w:highlight w:val="none"/>
                <w:shd w:val="clear" w:color="auto" w:fill="auto"/>
                <w:lang w:val="en-US" w:eastAsia="zh-CN" w:bidi="ar-SA"/>
              </w:rPr>
            </w:pPr>
            <w:r>
              <w:rPr>
                <w:rFonts w:hint="eastAsia" w:ascii="宋体" w:hAnsi="宋体" w:cs="宋体"/>
                <w:sz w:val="24"/>
                <w:highlight w:val="none"/>
                <w:shd w:val="clear" w:color="auto" w:fill="auto"/>
                <w:lang w:bidi="ar"/>
              </w:rPr>
              <w:t>提交申请后30天内。</w:t>
            </w:r>
          </w:p>
        </w:tc>
      </w:tr>
      <w:tr w14:paraId="49413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65" w:type="pct"/>
            <w:tcBorders>
              <w:left w:val="single" w:color="auto" w:sz="4" w:space="0"/>
            </w:tcBorders>
            <w:vAlign w:val="center"/>
          </w:tcPr>
          <w:p w14:paraId="4F8E4D23">
            <w:pPr>
              <w:spacing w:line="360" w:lineRule="auto"/>
              <w:rPr>
                <w:rFonts w:ascii="宋体" w:hAnsi="宋体" w:cs="宋体"/>
                <w:sz w:val="24"/>
                <w:highlight w:val="none"/>
                <w:shd w:val="clear" w:color="auto" w:fill="auto"/>
              </w:rPr>
            </w:pPr>
            <w:r>
              <w:rPr>
                <w:rFonts w:hint="eastAsia" w:ascii="宋体" w:hAnsi="宋体" w:cs="宋体"/>
                <w:sz w:val="24"/>
                <w:highlight w:val="none"/>
                <w:shd w:val="clear" w:color="auto" w:fill="auto"/>
              </w:rPr>
              <w:t>2.16.3</w:t>
            </w:r>
          </w:p>
        </w:tc>
        <w:tc>
          <w:tcPr>
            <w:tcW w:w="4534" w:type="pct"/>
            <w:vAlign w:val="center"/>
          </w:tcPr>
          <w:p w14:paraId="3D12A009">
            <w:pPr>
              <w:spacing w:line="360" w:lineRule="auto"/>
              <w:rPr>
                <w:rFonts w:ascii="宋体" w:hAnsi="宋体" w:cs="宋体" w:eastAsiaTheme="minorEastAsia"/>
                <w:kern w:val="2"/>
                <w:sz w:val="24"/>
                <w:szCs w:val="24"/>
                <w:highlight w:val="none"/>
                <w:shd w:val="clear" w:color="auto" w:fill="auto"/>
                <w:lang w:val="en-US" w:eastAsia="zh-CN" w:bidi="ar-SA"/>
              </w:rPr>
            </w:pPr>
            <w:r>
              <w:rPr>
                <w:rFonts w:hint="eastAsia" w:ascii="宋体" w:hAnsi="宋体" w:cs="宋体"/>
                <w:sz w:val="24"/>
                <w:highlight w:val="none"/>
                <w:shd w:val="clear" w:color="auto" w:fill="auto"/>
                <w:lang w:bidi="ar"/>
              </w:rPr>
              <w:t>检验和验收标准，以及前述验收文件的有效性以招标采购需求为准。</w:t>
            </w:r>
          </w:p>
        </w:tc>
      </w:tr>
      <w:tr w14:paraId="3C8F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65" w:type="pct"/>
            <w:tcBorders>
              <w:left w:val="single" w:color="auto" w:sz="4" w:space="0"/>
            </w:tcBorders>
            <w:vAlign w:val="center"/>
          </w:tcPr>
          <w:p w14:paraId="2E5202EE">
            <w:pPr>
              <w:spacing w:line="360" w:lineRule="auto"/>
              <w:ind w:left="-420" w:leftChars="-200" w:right="-420" w:rightChars="-200" w:firstLine="480" w:firstLineChars="200"/>
              <w:outlineLvl w:val="0"/>
              <w:rPr>
                <w:rFonts w:ascii="宋体" w:hAnsi="宋体" w:cs="宋体"/>
                <w:sz w:val="24"/>
                <w:highlight w:val="none"/>
                <w:shd w:val="clear" w:color="auto" w:fill="auto"/>
              </w:rPr>
            </w:pPr>
            <w:r>
              <w:rPr>
                <w:rFonts w:hint="eastAsia" w:ascii="宋体" w:hAnsi="宋体" w:cs="宋体"/>
                <w:sz w:val="24"/>
                <w:highlight w:val="none"/>
                <w:shd w:val="clear" w:color="auto" w:fill="auto"/>
              </w:rPr>
              <w:t xml:space="preserve">2.20 </w:t>
            </w:r>
          </w:p>
        </w:tc>
        <w:tc>
          <w:tcPr>
            <w:tcW w:w="4534" w:type="pct"/>
            <w:vAlign w:val="center"/>
          </w:tcPr>
          <w:p w14:paraId="540578D1">
            <w:pPr>
              <w:spacing w:line="360" w:lineRule="auto"/>
              <w:rPr>
                <w:rFonts w:ascii="宋体" w:hAnsi="宋体" w:eastAsia="宋体" w:cs="宋体"/>
                <w:kern w:val="2"/>
                <w:sz w:val="24"/>
                <w:szCs w:val="24"/>
                <w:highlight w:val="none"/>
                <w:shd w:val="clear" w:color="auto" w:fill="auto"/>
                <w:lang w:val="en-US" w:eastAsia="zh-CN" w:bidi="ar-SA"/>
              </w:rPr>
            </w:pPr>
            <w:r>
              <w:rPr>
                <w:rFonts w:hint="eastAsia" w:cs="仿宋" w:asciiTheme="minorEastAsia" w:hAnsiTheme="minorEastAsia"/>
                <w:color w:val="auto"/>
                <w:sz w:val="24"/>
                <w:highlight w:val="none"/>
                <w:shd w:val="clear" w:color="auto" w:fill="auto"/>
              </w:rPr>
              <w:t>本合同一式六份，双方各执三份。</w:t>
            </w:r>
          </w:p>
        </w:tc>
      </w:tr>
    </w:tbl>
    <w:p w14:paraId="27C4FE45">
      <w:pPr>
        <w:spacing w:line="360" w:lineRule="auto"/>
        <w:ind w:left="-420" w:leftChars="-200" w:right="-420" w:rightChars="-200" w:firstLine="480" w:firstLineChars="200"/>
        <w:rPr>
          <w:rFonts w:ascii="宋体" w:hAnsi="宋体" w:cs="宋体"/>
          <w:sz w:val="24"/>
          <w:shd w:val="clear" w:color="auto" w:fill="auto"/>
        </w:rPr>
      </w:pPr>
    </w:p>
    <w:p w14:paraId="3A9F8CF9">
      <w:pPr>
        <w:spacing w:line="360" w:lineRule="auto"/>
        <w:ind w:left="-420" w:leftChars="-200" w:right="-420" w:rightChars="-200"/>
        <w:rPr>
          <w:rFonts w:ascii="宋体" w:hAnsi="宋体" w:cs="宋体"/>
          <w:sz w:val="24"/>
          <w:shd w:val="clear" w:color="auto" w:fill="auto"/>
        </w:rPr>
      </w:pPr>
    </w:p>
    <w:p w14:paraId="735413D8">
      <w:pPr>
        <w:spacing w:line="480" w:lineRule="auto"/>
        <w:jc w:val="center"/>
        <w:rPr>
          <w:rFonts w:ascii="宋体" w:hAnsi="宋体" w:cs="宋体"/>
          <w:b/>
          <w:color w:val="auto"/>
          <w:sz w:val="28"/>
          <w:szCs w:val="28"/>
          <w:highlight w:val="none"/>
        </w:rPr>
      </w:pPr>
    </w:p>
    <w:p w14:paraId="32191857">
      <w:pPr>
        <w:spacing w:line="480" w:lineRule="auto"/>
        <w:jc w:val="center"/>
        <w:rPr>
          <w:rFonts w:ascii="宋体" w:hAnsi="宋体" w:cs="宋体"/>
          <w:b/>
          <w:color w:val="auto"/>
          <w:sz w:val="28"/>
          <w:szCs w:val="28"/>
          <w:highlight w:val="none"/>
        </w:rPr>
      </w:pPr>
    </w:p>
    <w:p w14:paraId="0E957907">
      <w:pPr>
        <w:spacing w:line="480" w:lineRule="auto"/>
        <w:jc w:val="center"/>
        <w:rPr>
          <w:rFonts w:ascii="宋体" w:hAnsi="宋体" w:cs="宋体"/>
          <w:b/>
          <w:color w:val="auto"/>
          <w:sz w:val="28"/>
          <w:szCs w:val="28"/>
          <w:highlight w:val="none"/>
        </w:rPr>
      </w:pPr>
    </w:p>
    <w:p w14:paraId="3A7094B9">
      <w:pPr>
        <w:spacing w:line="480" w:lineRule="auto"/>
        <w:jc w:val="center"/>
        <w:rPr>
          <w:rFonts w:ascii="宋体" w:hAnsi="宋体" w:cs="宋体"/>
          <w:b/>
          <w:color w:val="auto"/>
          <w:sz w:val="28"/>
          <w:szCs w:val="28"/>
          <w:highlight w:val="none"/>
        </w:rPr>
      </w:pPr>
    </w:p>
    <w:p w14:paraId="17FC941D">
      <w:pPr>
        <w:spacing w:line="480" w:lineRule="auto"/>
        <w:jc w:val="center"/>
        <w:rPr>
          <w:rFonts w:ascii="宋体" w:hAnsi="宋体" w:cs="宋体"/>
          <w:b/>
          <w:color w:val="auto"/>
          <w:sz w:val="28"/>
          <w:szCs w:val="28"/>
          <w:highlight w:val="none"/>
        </w:rPr>
      </w:pPr>
    </w:p>
    <w:p w14:paraId="03C9EB08">
      <w:pPr>
        <w:spacing w:line="480" w:lineRule="auto"/>
        <w:jc w:val="center"/>
        <w:rPr>
          <w:rFonts w:ascii="宋体" w:hAnsi="宋体" w:cs="宋体"/>
          <w:b/>
          <w:color w:val="auto"/>
          <w:sz w:val="28"/>
          <w:szCs w:val="28"/>
          <w:highlight w:val="none"/>
        </w:rPr>
      </w:pPr>
    </w:p>
    <w:p w14:paraId="2EBC25E2">
      <w:pPr>
        <w:spacing w:line="480" w:lineRule="auto"/>
        <w:jc w:val="center"/>
        <w:rPr>
          <w:rFonts w:ascii="宋体" w:hAnsi="宋体" w:cs="宋体"/>
          <w:b/>
          <w:color w:val="auto"/>
          <w:sz w:val="28"/>
          <w:szCs w:val="28"/>
          <w:highlight w:val="none"/>
        </w:rPr>
      </w:pPr>
    </w:p>
    <w:p w14:paraId="559072D4">
      <w:pPr>
        <w:spacing w:line="480" w:lineRule="auto"/>
        <w:jc w:val="center"/>
        <w:rPr>
          <w:rFonts w:ascii="宋体" w:hAnsi="宋体" w:cs="宋体"/>
          <w:b/>
          <w:color w:val="auto"/>
          <w:sz w:val="28"/>
          <w:szCs w:val="28"/>
          <w:highlight w:val="none"/>
        </w:rPr>
      </w:pPr>
    </w:p>
    <w:p w14:paraId="3EA67E17">
      <w:pPr>
        <w:spacing w:line="480" w:lineRule="auto"/>
        <w:jc w:val="center"/>
        <w:rPr>
          <w:rFonts w:ascii="宋体" w:hAnsi="宋体" w:cs="宋体"/>
          <w:b/>
          <w:color w:val="auto"/>
          <w:sz w:val="28"/>
          <w:szCs w:val="28"/>
          <w:highlight w:val="none"/>
        </w:rPr>
      </w:pPr>
    </w:p>
    <w:p w14:paraId="42940ADF">
      <w:pPr>
        <w:spacing w:line="480" w:lineRule="auto"/>
        <w:jc w:val="center"/>
        <w:rPr>
          <w:rFonts w:ascii="宋体" w:hAnsi="宋体" w:cs="宋体"/>
          <w:b/>
          <w:color w:val="auto"/>
          <w:sz w:val="28"/>
          <w:szCs w:val="28"/>
          <w:highlight w:val="none"/>
        </w:rPr>
      </w:pPr>
    </w:p>
    <w:p w14:paraId="38E02840">
      <w:pPr>
        <w:spacing w:line="480" w:lineRule="auto"/>
        <w:jc w:val="center"/>
        <w:rPr>
          <w:rFonts w:ascii="宋体" w:hAnsi="宋体" w:cs="宋体"/>
          <w:b/>
          <w:color w:val="auto"/>
          <w:sz w:val="28"/>
          <w:szCs w:val="28"/>
          <w:highlight w:val="none"/>
        </w:rPr>
      </w:pPr>
    </w:p>
    <w:p w14:paraId="6AFED294">
      <w:pPr>
        <w:spacing w:line="480" w:lineRule="auto"/>
        <w:jc w:val="center"/>
        <w:rPr>
          <w:rFonts w:ascii="宋体" w:hAnsi="宋体" w:cs="宋体"/>
          <w:b/>
          <w:color w:val="auto"/>
          <w:sz w:val="28"/>
          <w:szCs w:val="28"/>
          <w:highlight w:val="none"/>
        </w:rPr>
      </w:pPr>
    </w:p>
    <w:p w14:paraId="4E72C43A">
      <w:pPr>
        <w:spacing w:line="480" w:lineRule="auto"/>
        <w:jc w:val="center"/>
        <w:rPr>
          <w:rFonts w:ascii="宋体" w:hAnsi="宋体" w:cs="宋体"/>
          <w:b/>
          <w:color w:val="auto"/>
          <w:sz w:val="28"/>
          <w:szCs w:val="28"/>
          <w:highlight w:val="none"/>
        </w:rPr>
      </w:pPr>
    </w:p>
    <w:p w14:paraId="535700D6">
      <w:pPr>
        <w:spacing w:line="480" w:lineRule="auto"/>
        <w:jc w:val="center"/>
        <w:rPr>
          <w:rFonts w:ascii="宋体" w:hAnsi="宋体" w:cs="宋体"/>
          <w:b/>
          <w:color w:val="auto"/>
          <w:sz w:val="28"/>
          <w:szCs w:val="28"/>
          <w:highlight w:val="none"/>
        </w:rPr>
      </w:pPr>
    </w:p>
    <w:p w14:paraId="03F55D45">
      <w:pPr>
        <w:spacing w:line="480" w:lineRule="auto"/>
        <w:jc w:val="center"/>
        <w:rPr>
          <w:rFonts w:ascii="宋体" w:hAnsi="宋体" w:cs="宋体"/>
          <w:b/>
          <w:color w:val="auto"/>
          <w:sz w:val="28"/>
          <w:szCs w:val="28"/>
          <w:highlight w:val="none"/>
        </w:rPr>
      </w:pPr>
    </w:p>
    <w:p w14:paraId="053420C6">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410D83D9">
      <w:pPr>
        <w:spacing w:line="360" w:lineRule="auto"/>
        <w:jc w:val="center"/>
        <w:outlineLvl w:val="0"/>
        <w:rPr>
          <w:rFonts w:ascii="宋体" w:hAnsi="宋体" w:cs="宋体"/>
          <w:b/>
          <w:color w:val="auto"/>
          <w:kern w:val="0"/>
          <w:sz w:val="36"/>
          <w:szCs w:val="36"/>
          <w:highlight w:val="none"/>
        </w:rPr>
      </w:pPr>
    </w:p>
    <w:p w14:paraId="382CFB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F0E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5A4FC8">
      <w:pPr>
        <w:spacing w:line="360" w:lineRule="auto"/>
        <w:jc w:val="center"/>
        <w:outlineLvl w:val="0"/>
        <w:rPr>
          <w:rFonts w:ascii="宋体" w:hAnsi="宋体" w:cs="宋体"/>
          <w:b/>
          <w:color w:val="auto"/>
          <w:kern w:val="0"/>
          <w:sz w:val="36"/>
          <w:szCs w:val="36"/>
          <w:highlight w:val="none"/>
        </w:rPr>
      </w:pPr>
    </w:p>
    <w:p w14:paraId="2A8123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85096F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078FE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B31C6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417A20E">
      <w:pPr>
        <w:snapToGrid w:val="0"/>
        <w:spacing w:line="360" w:lineRule="auto"/>
        <w:ind w:firstLine="480" w:firstLineChars="200"/>
        <w:rPr>
          <w:rFonts w:ascii="宋体" w:hAnsi="宋体" w:cs="宋体"/>
          <w:color w:val="auto"/>
          <w:sz w:val="24"/>
          <w:highlight w:val="none"/>
        </w:rPr>
      </w:pPr>
    </w:p>
    <w:p w14:paraId="23E396E0">
      <w:pPr>
        <w:spacing w:line="360" w:lineRule="auto"/>
        <w:ind w:firstLine="480" w:firstLineChars="200"/>
        <w:rPr>
          <w:rFonts w:ascii="宋体" w:hAnsi="宋体" w:cs="宋体"/>
          <w:color w:val="auto"/>
          <w:sz w:val="24"/>
          <w:highlight w:val="none"/>
        </w:rPr>
      </w:pPr>
    </w:p>
    <w:p w14:paraId="3D8444E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58334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AAC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FC1F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A82BE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78C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0BA8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156AD4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BEF193">
      <w:pPr>
        <w:snapToGrid w:val="0"/>
        <w:spacing w:line="360" w:lineRule="auto"/>
        <w:ind w:right="480"/>
        <w:jc w:val="center"/>
        <w:rPr>
          <w:rFonts w:ascii="宋体" w:hAnsi="宋体" w:cs="宋体"/>
          <w:b/>
          <w:color w:val="auto"/>
          <w:kern w:val="0"/>
          <w:sz w:val="32"/>
          <w:szCs w:val="32"/>
          <w:highlight w:val="none"/>
        </w:rPr>
      </w:pPr>
    </w:p>
    <w:p w14:paraId="15BAB420">
      <w:pPr>
        <w:snapToGrid w:val="0"/>
        <w:spacing w:line="360" w:lineRule="auto"/>
        <w:ind w:right="480" w:firstLine="559" w:firstLineChars="233"/>
        <w:jc w:val="left"/>
        <w:rPr>
          <w:rFonts w:hint="eastAsia" w:ascii="宋体" w:hAnsi="宋体" w:cs="宋体"/>
          <w:b/>
          <w:color w:val="auto"/>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84D28B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EDECCB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09179D5">
      <w:pPr>
        <w:snapToGrid w:val="0"/>
        <w:spacing w:line="360" w:lineRule="auto"/>
        <w:ind w:right="480"/>
        <w:jc w:val="center"/>
        <w:rPr>
          <w:rFonts w:ascii="宋体" w:hAnsi="宋体" w:cs="宋体"/>
          <w:b/>
          <w:color w:val="auto"/>
          <w:kern w:val="0"/>
          <w:sz w:val="32"/>
          <w:szCs w:val="32"/>
          <w:highlight w:val="none"/>
        </w:rPr>
      </w:pPr>
    </w:p>
    <w:p w14:paraId="03BEFCCF">
      <w:pPr>
        <w:snapToGrid w:val="0"/>
        <w:spacing w:line="360" w:lineRule="auto"/>
        <w:ind w:right="480"/>
        <w:jc w:val="center"/>
        <w:rPr>
          <w:rFonts w:ascii="宋体" w:hAnsi="宋体" w:cs="宋体"/>
          <w:b/>
          <w:color w:val="auto"/>
          <w:kern w:val="0"/>
          <w:sz w:val="32"/>
          <w:szCs w:val="32"/>
          <w:highlight w:val="none"/>
        </w:rPr>
      </w:pPr>
    </w:p>
    <w:p w14:paraId="15D2B2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FD90B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B491FD">
      <w:pPr>
        <w:widowControl/>
        <w:spacing w:line="360" w:lineRule="auto"/>
        <w:ind w:firstLine="480"/>
        <w:jc w:val="left"/>
        <w:rPr>
          <w:rFonts w:ascii="宋体" w:hAnsi="宋体" w:cs="宋体"/>
          <w:color w:val="auto"/>
          <w:sz w:val="24"/>
          <w:highlight w:val="none"/>
        </w:rPr>
      </w:pPr>
    </w:p>
    <w:p w14:paraId="55B81FA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1C90AF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ascii="宋体" w:hAnsi="宋体" w:cs="宋体"/>
          <w:b/>
          <w:color w:val="auto"/>
          <w:kern w:val="0"/>
          <w:sz w:val="32"/>
          <w:szCs w:val="32"/>
          <w:highlight w:val="none"/>
        </w:rPr>
      </w:pPr>
    </w:p>
    <w:p w14:paraId="7866B93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8DA3B3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8A8081">
      <w:pPr>
        <w:rPr>
          <w:rFonts w:ascii="宋体" w:hAnsi="宋体" w:cs="宋体"/>
          <w:color w:val="auto"/>
          <w:highlight w:val="none"/>
        </w:rPr>
      </w:pPr>
    </w:p>
    <w:p w14:paraId="7421943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6D2603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391E20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D133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5FB88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90F4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5EC7D7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3FD8A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A7AD697">
      <w:pPr>
        <w:snapToGrid w:val="0"/>
        <w:spacing w:line="360" w:lineRule="auto"/>
        <w:jc w:val="center"/>
        <w:rPr>
          <w:rFonts w:ascii="宋体" w:hAnsi="宋体" w:cs="宋体"/>
          <w:b/>
          <w:color w:val="auto"/>
          <w:kern w:val="0"/>
          <w:sz w:val="32"/>
          <w:szCs w:val="32"/>
          <w:highlight w:val="none"/>
          <w:lang w:val="zh-CN"/>
        </w:rPr>
      </w:pPr>
    </w:p>
    <w:p w14:paraId="53333492">
      <w:pPr>
        <w:snapToGrid w:val="0"/>
        <w:spacing w:line="360" w:lineRule="auto"/>
        <w:jc w:val="center"/>
        <w:rPr>
          <w:rFonts w:ascii="宋体" w:hAnsi="宋体" w:cs="宋体"/>
          <w:b/>
          <w:color w:val="auto"/>
          <w:kern w:val="0"/>
          <w:sz w:val="32"/>
          <w:szCs w:val="32"/>
          <w:highlight w:val="none"/>
          <w:lang w:val="zh-CN"/>
        </w:rPr>
      </w:pPr>
    </w:p>
    <w:p w14:paraId="5448445B">
      <w:pPr>
        <w:snapToGrid w:val="0"/>
        <w:spacing w:line="360" w:lineRule="auto"/>
        <w:jc w:val="center"/>
        <w:rPr>
          <w:rFonts w:ascii="宋体" w:hAnsi="宋体" w:cs="宋体"/>
          <w:b/>
          <w:color w:val="auto"/>
          <w:kern w:val="0"/>
          <w:sz w:val="32"/>
          <w:szCs w:val="32"/>
          <w:highlight w:val="none"/>
          <w:lang w:val="zh-CN"/>
        </w:rPr>
      </w:pPr>
    </w:p>
    <w:p w14:paraId="055DBFAE">
      <w:pPr>
        <w:snapToGrid w:val="0"/>
        <w:spacing w:line="360" w:lineRule="auto"/>
        <w:jc w:val="center"/>
        <w:rPr>
          <w:rFonts w:ascii="宋体" w:hAnsi="宋体" w:cs="宋体"/>
          <w:b/>
          <w:color w:val="auto"/>
          <w:kern w:val="0"/>
          <w:sz w:val="32"/>
          <w:szCs w:val="32"/>
          <w:highlight w:val="none"/>
          <w:lang w:val="zh-CN"/>
        </w:rPr>
      </w:pPr>
    </w:p>
    <w:p w14:paraId="77B141C9">
      <w:pPr>
        <w:snapToGrid w:val="0"/>
        <w:spacing w:line="360" w:lineRule="auto"/>
        <w:jc w:val="center"/>
        <w:rPr>
          <w:rFonts w:ascii="宋体" w:hAnsi="宋体" w:cs="宋体"/>
          <w:b/>
          <w:color w:val="auto"/>
          <w:kern w:val="0"/>
          <w:sz w:val="32"/>
          <w:szCs w:val="32"/>
          <w:highlight w:val="none"/>
          <w:lang w:val="zh-CN"/>
        </w:rPr>
      </w:pPr>
    </w:p>
    <w:p w14:paraId="2BA73D42">
      <w:pPr>
        <w:snapToGrid w:val="0"/>
        <w:spacing w:line="360" w:lineRule="auto"/>
        <w:jc w:val="center"/>
        <w:outlineLvl w:val="0"/>
        <w:rPr>
          <w:rFonts w:ascii="宋体" w:hAnsi="宋体" w:cs="宋体"/>
          <w:b/>
          <w:color w:val="auto"/>
          <w:kern w:val="0"/>
          <w:sz w:val="32"/>
          <w:szCs w:val="32"/>
          <w:highlight w:val="none"/>
        </w:rPr>
      </w:pPr>
    </w:p>
    <w:p w14:paraId="571402BA">
      <w:pPr>
        <w:snapToGrid w:val="0"/>
        <w:spacing w:line="360" w:lineRule="auto"/>
        <w:jc w:val="center"/>
        <w:outlineLvl w:val="0"/>
        <w:rPr>
          <w:rFonts w:ascii="宋体" w:hAnsi="宋体" w:cs="宋体"/>
          <w:b/>
          <w:color w:val="auto"/>
          <w:kern w:val="0"/>
          <w:sz w:val="32"/>
          <w:szCs w:val="32"/>
          <w:highlight w:val="none"/>
        </w:rPr>
      </w:pPr>
    </w:p>
    <w:p w14:paraId="79FF5851">
      <w:pPr>
        <w:rPr>
          <w:rFonts w:ascii="宋体" w:hAnsi="宋体" w:cs="宋体"/>
          <w:color w:val="auto"/>
          <w:highlight w:val="none"/>
        </w:rPr>
      </w:pPr>
    </w:p>
    <w:p w14:paraId="06F31762">
      <w:pPr>
        <w:snapToGrid w:val="0"/>
        <w:spacing w:line="360" w:lineRule="auto"/>
        <w:jc w:val="center"/>
        <w:outlineLvl w:val="0"/>
        <w:rPr>
          <w:rFonts w:ascii="宋体" w:hAnsi="宋体" w:cs="宋体"/>
          <w:b/>
          <w:color w:val="auto"/>
          <w:kern w:val="0"/>
          <w:sz w:val="32"/>
          <w:szCs w:val="32"/>
          <w:highlight w:val="none"/>
        </w:rPr>
      </w:pPr>
    </w:p>
    <w:p w14:paraId="570FCA66">
      <w:pPr>
        <w:snapToGrid w:val="0"/>
        <w:spacing w:line="360" w:lineRule="auto"/>
        <w:jc w:val="center"/>
        <w:outlineLvl w:val="0"/>
        <w:rPr>
          <w:rFonts w:ascii="宋体" w:hAnsi="宋体" w:cs="宋体"/>
          <w:b/>
          <w:color w:val="auto"/>
          <w:kern w:val="0"/>
          <w:sz w:val="32"/>
          <w:szCs w:val="32"/>
          <w:highlight w:val="none"/>
        </w:rPr>
      </w:pPr>
    </w:p>
    <w:p w14:paraId="161E05CB">
      <w:pPr>
        <w:pStyle w:val="4"/>
        <w:rPr>
          <w:color w:val="auto"/>
          <w:highlight w:val="none"/>
          <w:lang w:val="en-US"/>
        </w:rPr>
      </w:pPr>
    </w:p>
    <w:p w14:paraId="4090F648">
      <w:pPr>
        <w:rPr>
          <w:color w:val="auto"/>
          <w:highlight w:val="none"/>
        </w:rPr>
      </w:pPr>
    </w:p>
    <w:p w14:paraId="453C5B2D">
      <w:pPr>
        <w:snapToGrid w:val="0"/>
        <w:spacing w:line="360" w:lineRule="auto"/>
        <w:ind w:firstLine="3855" w:firstLineChars="1200"/>
        <w:outlineLvl w:val="0"/>
        <w:rPr>
          <w:rFonts w:ascii="宋体" w:hAnsi="宋体" w:cs="宋体"/>
          <w:b/>
          <w:color w:val="auto"/>
          <w:kern w:val="0"/>
          <w:sz w:val="32"/>
          <w:szCs w:val="32"/>
          <w:highlight w:val="none"/>
        </w:rPr>
      </w:pPr>
    </w:p>
    <w:p w14:paraId="1B0A2F5C">
      <w:pPr>
        <w:snapToGrid w:val="0"/>
        <w:spacing w:line="360" w:lineRule="auto"/>
        <w:ind w:firstLine="3855" w:firstLineChars="1200"/>
        <w:outlineLvl w:val="0"/>
        <w:rPr>
          <w:rFonts w:ascii="宋体" w:hAnsi="宋体" w:cs="宋体"/>
          <w:b/>
          <w:color w:val="auto"/>
          <w:kern w:val="0"/>
          <w:sz w:val="32"/>
          <w:szCs w:val="32"/>
          <w:highlight w:val="none"/>
        </w:rPr>
      </w:pPr>
    </w:p>
    <w:p w14:paraId="3E9AAF77">
      <w:pPr>
        <w:snapToGrid w:val="0"/>
        <w:spacing w:line="360" w:lineRule="auto"/>
        <w:ind w:firstLine="3855" w:firstLineChars="1200"/>
        <w:outlineLvl w:val="0"/>
        <w:rPr>
          <w:rFonts w:ascii="宋体" w:hAnsi="宋体" w:cs="宋体"/>
          <w:b/>
          <w:color w:val="auto"/>
          <w:kern w:val="0"/>
          <w:sz w:val="32"/>
          <w:szCs w:val="32"/>
          <w:highlight w:val="none"/>
        </w:rPr>
      </w:pPr>
    </w:p>
    <w:p w14:paraId="6BD60D98">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1F16A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sz w:val="24"/>
          <w:highlight w:val="none"/>
        </w:rPr>
        <w:t>：</w:t>
      </w:r>
    </w:p>
    <w:p w14:paraId="21E0DB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A6099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C5A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5CB9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9BF17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D801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5C18D9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88326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722C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9078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BCA5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034AB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DB953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E0D231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DF638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EBE666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19E3E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8A96B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EA609FE">
      <w:pPr>
        <w:snapToGrid w:val="0"/>
        <w:spacing w:line="360" w:lineRule="auto"/>
        <w:ind w:left="420" w:leftChars="200" w:firstLine="4200" w:firstLineChars="1750"/>
        <w:rPr>
          <w:rFonts w:ascii="宋体" w:hAnsi="宋体" w:cs="宋体"/>
          <w:color w:val="auto"/>
          <w:kern w:val="0"/>
          <w:sz w:val="24"/>
          <w:highlight w:val="none"/>
          <w:u w:val="single"/>
        </w:rPr>
      </w:pPr>
    </w:p>
    <w:p w14:paraId="6C6157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512F4">
      <w:pPr>
        <w:snapToGrid w:val="0"/>
        <w:spacing w:line="360" w:lineRule="auto"/>
        <w:jc w:val="center"/>
        <w:rPr>
          <w:rFonts w:ascii="宋体" w:hAnsi="宋体" w:cs="宋体"/>
          <w:b/>
          <w:color w:val="auto"/>
          <w:kern w:val="0"/>
          <w:sz w:val="32"/>
          <w:szCs w:val="32"/>
          <w:highlight w:val="none"/>
        </w:rPr>
      </w:pPr>
    </w:p>
    <w:p w14:paraId="2921107B">
      <w:pPr>
        <w:snapToGrid w:val="0"/>
        <w:spacing w:line="360" w:lineRule="auto"/>
        <w:rPr>
          <w:rFonts w:ascii="宋体" w:hAnsi="宋体" w:cs="宋体"/>
          <w:color w:val="auto"/>
          <w:sz w:val="24"/>
          <w:highlight w:val="none"/>
        </w:rPr>
      </w:pPr>
    </w:p>
    <w:p w14:paraId="28211149">
      <w:pPr>
        <w:jc w:val="center"/>
        <w:rPr>
          <w:rFonts w:ascii="宋体" w:hAnsi="宋体" w:cs="宋体"/>
          <w:b/>
          <w:color w:val="auto"/>
          <w:kern w:val="0"/>
          <w:sz w:val="32"/>
          <w:szCs w:val="32"/>
          <w:highlight w:val="none"/>
        </w:rPr>
      </w:pPr>
    </w:p>
    <w:p w14:paraId="50164429">
      <w:pPr>
        <w:jc w:val="center"/>
        <w:rPr>
          <w:rFonts w:ascii="宋体" w:hAnsi="宋体" w:cs="宋体"/>
          <w:b/>
          <w:color w:val="auto"/>
          <w:kern w:val="0"/>
          <w:sz w:val="32"/>
          <w:szCs w:val="32"/>
          <w:highlight w:val="none"/>
        </w:rPr>
      </w:pPr>
    </w:p>
    <w:p w14:paraId="096C218D">
      <w:pPr>
        <w:jc w:val="center"/>
        <w:rPr>
          <w:rFonts w:ascii="宋体" w:hAnsi="宋体" w:cs="宋体"/>
          <w:b/>
          <w:color w:val="auto"/>
          <w:kern w:val="0"/>
          <w:sz w:val="32"/>
          <w:szCs w:val="32"/>
          <w:highlight w:val="none"/>
        </w:rPr>
      </w:pPr>
    </w:p>
    <w:p w14:paraId="5696F610">
      <w:pPr>
        <w:jc w:val="center"/>
        <w:rPr>
          <w:rFonts w:ascii="宋体" w:hAnsi="宋体" w:cs="宋体"/>
          <w:b/>
          <w:color w:val="auto"/>
          <w:kern w:val="0"/>
          <w:sz w:val="32"/>
          <w:szCs w:val="32"/>
          <w:highlight w:val="none"/>
        </w:rPr>
      </w:pPr>
    </w:p>
    <w:p w14:paraId="46A565B8">
      <w:pPr>
        <w:jc w:val="center"/>
        <w:rPr>
          <w:rFonts w:ascii="宋体" w:hAnsi="宋体" w:cs="宋体"/>
          <w:b/>
          <w:color w:val="auto"/>
          <w:kern w:val="0"/>
          <w:sz w:val="32"/>
          <w:szCs w:val="32"/>
          <w:highlight w:val="none"/>
        </w:rPr>
      </w:pPr>
    </w:p>
    <w:p w14:paraId="53BA0899">
      <w:pPr>
        <w:jc w:val="center"/>
        <w:rPr>
          <w:rFonts w:ascii="宋体" w:hAnsi="宋体" w:cs="宋体"/>
          <w:b/>
          <w:color w:val="auto"/>
          <w:kern w:val="0"/>
          <w:sz w:val="32"/>
          <w:szCs w:val="32"/>
          <w:highlight w:val="none"/>
        </w:rPr>
      </w:pPr>
    </w:p>
    <w:p w14:paraId="18CFB55A">
      <w:pPr>
        <w:jc w:val="center"/>
        <w:rPr>
          <w:rFonts w:ascii="宋体" w:hAnsi="宋体" w:cs="宋体"/>
          <w:b/>
          <w:color w:val="auto"/>
          <w:kern w:val="0"/>
          <w:sz w:val="32"/>
          <w:szCs w:val="32"/>
          <w:highlight w:val="none"/>
        </w:rPr>
      </w:pPr>
    </w:p>
    <w:p w14:paraId="6481BED3">
      <w:pPr>
        <w:jc w:val="center"/>
        <w:rPr>
          <w:rFonts w:ascii="宋体" w:hAnsi="宋体" w:cs="宋体"/>
          <w:b/>
          <w:color w:val="auto"/>
          <w:kern w:val="0"/>
          <w:sz w:val="32"/>
          <w:szCs w:val="32"/>
          <w:highlight w:val="none"/>
        </w:rPr>
      </w:pPr>
    </w:p>
    <w:p w14:paraId="0A39E662">
      <w:pPr>
        <w:jc w:val="center"/>
        <w:rPr>
          <w:rFonts w:ascii="宋体" w:hAnsi="宋体" w:cs="宋体"/>
          <w:b/>
          <w:color w:val="auto"/>
          <w:kern w:val="0"/>
          <w:sz w:val="32"/>
          <w:szCs w:val="32"/>
          <w:highlight w:val="none"/>
        </w:rPr>
      </w:pPr>
    </w:p>
    <w:p w14:paraId="642E4F91">
      <w:pPr>
        <w:jc w:val="center"/>
        <w:rPr>
          <w:rFonts w:ascii="宋体" w:hAnsi="宋体" w:cs="宋体"/>
          <w:b/>
          <w:color w:val="auto"/>
          <w:kern w:val="0"/>
          <w:sz w:val="32"/>
          <w:szCs w:val="32"/>
          <w:highlight w:val="none"/>
        </w:rPr>
      </w:pPr>
    </w:p>
    <w:p w14:paraId="040BCACA">
      <w:pPr>
        <w:jc w:val="center"/>
        <w:rPr>
          <w:rFonts w:ascii="宋体" w:hAnsi="宋体" w:cs="宋体"/>
          <w:b/>
          <w:color w:val="auto"/>
          <w:kern w:val="0"/>
          <w:sz w:val="32"/>
          <w:szCs w:val="32"/>
          <w:highlight w:val="none"/>
        </w:rPr>
      </w:pPr>
    </w:p>
    <w:p w14:paraId="67BDE6E8">
      <w:pPr>
        <w:jc w:val="center"/>
        <w:rPr>
          <w:rFonts w:hint="eastAsia" w:ascii="宋体" w:hAnsi="宋体" w:cs="宋体"/>
          <w:b/>
          <w:color w:val="auto"/>
          <w:kern w:val="0"/>
          <w:sz w:val="32"/>
          <w:szCs w:val="32"/>
          <w:highlight w:val="none"/>
          <w:lang w:val="zh-CN"/>
        </w:rPr>
      </w:pPr>
    </w:p>
    <w:p w14:paraId="0B4FCD70">
      <w:pPr>
        <w:jc w:val="center"/>
        <w:rPr>
          <w:rFonts w:hint="eastAsia" w:ascii="宋体" w:hAnsi="宋体" w:cs="宋体"/>
          <w:b/>
          <w:color w:val="auto"/>
          <w:kern w:val="0"/>
          <w:sz w:val="32"/>
          <w:szCs w:val="32"/>
          <w:highlight w:val="none"/>
          <w:lang w:val="zh-CN"/>
        </w:rPr>
      </w:pPr>
    </w:p>
    <w:p w14:paraId="1961EFAD">
      <w:pPr>
        <w:jc w:val="center"/>
        <w:rPr>
          <w:rFonts w:hint="eastAsia" w:ascii="宋体" w:hAnsi="宋体" w:cs="宋体"/>
          <w:b/>
          <w:color w:val="auto"/>
          <w:kern w:val="0"/>
          <w:sz w:val="32"/>
          <w:szCs w:val="32"/>
          <w:highlight w:val="none"/>
          <w:lang w:val="zh-CN"/>
        </w:rPr>
      </w:pPr>
    </w:p>
    <w:p w14:paraId="0BCBEACD">
      <w:pPr>
        <w:jc w:val="center"/>
        <w:rPr>
          <w:rFonts w:hint="eastAsia" w:ascii="宋体" w:hAnsi="宋体" w:cs="宋体"/>
          <w:b/>
          <w:color w:val="auto"/>
          <w:kern w:val="0"/>
          <w:sz w:val="32"/>
          <w:szCs w:val="32"/>
          <w:highlight w:val="none"/>
          <w:lang w:val="zh-CN"/>
        </w:rPr>
      </w:pPr>
    </w:p>
    <w:p w14:paraId="3E54CF70">
      <w:pPr>
        <w:jc w:val="center"/>
        <w:rPr>
          <w:rFonts w:hint="eastAsia" w:ascii="宋体" w:hAnsi="宋体" w:cs="宋体"/>
          <w:b/>
          <w:color w:val="auto"/>
          <w:kern w:val="0"/>
          <w:sz w:val="32"/>
          <w:szCs w:val="32"/>
          <w:highlight w:val="none"/>
          <w:lang w:val="zh-CN"/>
        </w:rPr>
      </w:pPr>
    </w:p>
    <w:p w14:paraId="2CC1D4BB">
      <w:pPr>
        <w:jc w:val="center"/>
        <w:rPr>
          <w:rFonts w:hint="eastAsia" w:ascii="宋体" w:hAnsi="宋体" w:cs="宋体"/>
          <w:b/>
          <w:color w:val="auto"/>
          <w:kern w:val="0"/>
          <w:sz w:val="32"/>
          <w:szCs w:val="32"/>
          <w:highlight w:val="none"/>
          <w:lang w:val="zh-CN"/>
        </w:rPr>
      </w:pPr>
    </w:p>
    <w:p w14:paraId="37F3BE5E">
      <w:pPr>
        <w:jc w:val="center"/>
        <w:rPr>
          <w:rFonts w:hint="eastAsia" w:ascii="宋体" w:hAnsi="宋体" w:cs="宋体"/>
          <w:b/>
          <w:color w:val="auto"/>
          <w:kern w:val="0"/>
          <w:sz w:val="32"/>
          <w:szCs w:val="32"/>
          <w:highlight w:val="none"/>
          <w:lang w:val="zh-CN"/>
        </w:rPr>
      </w:pPr>
    </w:p>
    <w:p w14:paraId="07412F22">
      <w:pPr>
        <w:jc w:val="center"/>
        <w:rPr>
          <w:rFonts w:hint="eastAsia" w:ascii="宋体" w:hAnsi="宋体" w:cs="宋体"/>
          <w:b/>
          <w:color w:val="auto"/>
          <w:kern w:val="0"/>
          <w:sz w:val="32"/>
          <w:szCs w:val="32"/>
          <w:highlight w:val="none"/>
          <w:lang w:val="zh-CN"/>
        </w:rPr>
      </w:pPr>
    </w:p>
    <w:p w14:paraId="4075FB07">
      <w:pPr>
        <w:jc w:val="center"/>
        <w:rPr>
          <w:rFonts w:hint="eastAsia" w:ascii="宋体" w:hAnsi="宋体" w:cs="宋体"/>
          <w:b/>
          <w:color w:val="auto"/>
          <w:kern w:val="0"/>
          <w:sz w:val="32"/>
          <w:szCs w:val="32"/>
          <w:highlight w:val="none"/>
          <w:lang w:val="zh-CN"/>
        </w:rPr>
      </w:pPr>
    </w:p>
    <w:p w14:paraId="0D51FAC7">
      <w:pPr>
        <w:jc w:val="center"/>
        <w:rPr>
          <w:rFonts w:hint="eastAsia" w:ascii="宋体" w:hAnsi="宋体" w:cs="宋体"/>
          <w:b/>
          <w:color w:val="auto"/>
          <w:kern w:val="0"/>
          <w:sz w:val="32"/>
          <w:szCs w:val="32"/>
          <w:highlight w:val="none"/>
          <w:lang w:val="zh-CN"/>
        </w:rPr>
      </w:pPr>
    </w:p>
    <w:p w14:paraId="45368C5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828F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E36F3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highlight w:val="none"/>
          <w:lang w:val="zh-CN"/>
        </w:rPr>
        <w:t>：</w:t>
      </w:r>
    </w:p>
    <w:p w14:paraId="4CE08C0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C7BF1D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CE19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13791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03D2C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8C7926C">
      <w:pPr>
        <w:snapToGrid w:val="0"/>
        <w:spacing w:line="360" w:lineRule="auto"/>
        <w:rPr>
          <w:rFonts w:ascii="宋体" w:hAnsi="宋体" w:cs="宋体"/>
          <w:color w:val="auto"/>
          <w:sz w:val="24"/>
          <w:highlight w:val="none"/>
        </w:rPr>
      </w:pPr>
    </w:p>
    <w:p w14:paraId="3F0715F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86104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highlight w:val="none"/>
          <w:lang w:val="zh-CN"/>
        </w:rPr>
        <w:t>：</w:t>
      </w:r>
    </w:p>
    <w:p w14:paraId="63654D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CB203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8F046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D7E0CE">
      <w:pPr>
        <w:jc w:val="both"/>
        <w:rPr>
          <w:rFonts w:ascii="宋体" w:hAnsi="宋体" w:cs="宋体"/>
          <w:b/>
          <w:color w:val="auto"/>
          <w:kern w:val="0"/>
          <w:sz w:val="32"/>
          <w:szCs w:val="32"/>
          <w:highlight w:val="none"/>
        </w:rPr>
      </w:pPr>
    </w:p>
    <w:p w14:paraId="1E56B6E8">
      <w:pPr>
        <w:rPr>
          <w:rFonts w:ascii="宋体" w:hAnsi="宋体" w:cs="宋体"/>
          <w:color w:val="auto"/>
          <w:highlight w:val="none"/>
        </w:rPr>
      </w:pPr>
    </w:p>
    <w:p w14:paraId="71285DF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E761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D8B25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F5E2A2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9C2B3D4">
      <w:pPr>
        <w:pStyle w:val="4"/>
        <w:rPr>
          <w:rFonts w:hint="eastAsia" w:asciiTheme="minorEastAsia" w:hAnsiTheme="minorEastAsia" w:eastAsiaTheme="minorEastAsia" w:cstheme="minorEastAsia"/>
          <w:b w:val="0"/>
          <w:bCs w:val="0"/>
          <w:highlight w:val="none"/>
          <w:lang w:val="zh-CN"/>
        </w:rPr>
      </w:pPr>
      <w:r>
        <w:rPr>
          <w:rFonts w:hint="eastAsia" w:asciiTheme="minorEastAsia" w:hAnsiTheme="minorEastAsia" w:eastAsiaTheme="minorEastAsia" w:cstheme="minorEastAsia"/>
          <w:b w:val="0"/>
          <w:bCs w:val="0"/>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840DEC6">
      <w:pPr>
        <w:autoSpaceDE w:val="0"/>
        <w:autoSpaceDN w:val="0"/>
        <w:spacing w:line="360" w:lineRule="auto"/>
        <w:jc w:val="both"/>
        <w:rPr>
          <w:rFonts w:hint="eastAsia" w:ascii="宋体" w:hAnsi="宋体" w:cs="宋体"/>
          <w:b/>
          <w:color w:val="auto"/>
          <w:kern w:val="0"/>
          <w:sz w:val="32"/>
          <w:szCs w:val="32"/>
          <w:highlight w:val="none"/>
          <w:lang w:val="zh-CN"/>
        </w:rPr>
      </w:pPr>
    </w:p>
    <w:p w14:paraId="3022E7B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0785EB4">
            <w:pPr>
              <w:pStyle w:val="149"/>
              <w:adjustRightInd w:val="0"/>
              <w:spacing w:line="360" w:lineRule="auto"/>
              <w:rPr>
                <w:rFonts w:hAnsi="宋体" w:cs="宋体"/>
                <w:bCs/>
                <w:color w:val="auto"/>
                <w:sz w:val="24"/>
                <w:highlight w:val="none"/>
              </w:rPr>
            </w:pPr>
          </w:p>
        </w:tc>
      </w:tr>
    </w:tbl>
    <w:p w14:paraId="197D00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373E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7744D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10C124">
      <w:pPr>
        <w:jc w:val="center"/>
        <w:rPr>
          <w:rFonts w:ascii="宋体" w:hAnsi="宋体" w:cs="宋体"/>
          <w:b/>
          <w:color w:val="auto"/>
          <w:kern w:val="0"/>
          <w:sz w:val="32"/>
          <w:szCs w:val="32"/>
          <w:highlight w:val="none"/>
        </w:rPr>
      </w:pPr>
    </w:p>
    <w:p w14:paraId="31537ADB">
      <w:pPr>
        <w:jc w:val="center"/>
        <w:rPr>
          <w:rFonts w:ascii="宋体" w:hAnsi="宋体" w:cs="宋体"/>
          <w:b/>
          <w:color w:val="auto"/>
          <w:kern w:val="0"/>
          <w:sz w:val="32"/>
          <w:szCs w:val="32"/>
          <w:highlight w:val="none"/>
        </w:rPr>
      </w:pPr>
    </w:p>
    <w:p w14:paraId="6BE6E473">
      <w:pPr>
        <w:jc w:val="center"/>
        <w:rPr>
          <w:rFonts w:ascii="宋体" w:hAnsi="宋体" w:cs="宋体"/>
          <w:b/>
          <w:color w:val="auto"/>
          <w:kern w:val="0"/>
          <w:sz w:val="32"/>
          <w:szCs w:val="32"/>
          <w:highlight w:val="none"/>
        </w:rPr>
      </w:pPr>
    </w:p>
    <w:p w14:paraId="4F1834B3">
      <w:pPr>
        <w:jc w:val="center"/>
        <w:rPr>
          <w:rFonts w:ascii="宋体" w:hAnsi="宋体" w:cs="宋体"/>
          <w:b/>
          <w:color w:val="auto"/>
          <w:kern w:val="0"/>
          <w:sz w:val="32"/>
          <w:szCs w:val="32"/>
          <w:highlight w:val="none"/>
        </w:rPr>
      </w:pPr>
    </w:p>
    <w:p w14:paraId="6044666C">
      <w:pPr>
        <w:jc w:val="center"/>
        <w:rPr>
          <w:rFonts w:ascii="宋体" w:hAnsi="宋体" w:cs="宋体"/>
          <w:b/>
          <w:color w:val="auto"/>
          <w:kern w:val="0"/>
          <w:sz w:val="32"/>
          <w:szCs w:val="32"/>
          <w:highlight w:val="none"/>
        </w:rPr>
      </w:pPr>
    </w:p>
    <w:p w14:paraId="562B315C">
      <w:pPr>
        <w:jc w:val="center"/>
        <w:rPr>
          <w:rFonts w:ascii="宋体" w:hAnsi="宋体" w:cs="宋体"/>
          <w:b/>
          <w:color w:val="auto"/>
          <w:kern w:val="0"/>
          <w:sz w:val="32"/>
          <w:szCs w:val="32"/>
          <w:highlight w:val="none"/>
        </w:rPr>
      </w:pPr>
    </w:p>
    <w:p w14:paraId="273BED6F">
      <w:pPr>
        <w:jc w:val="center"/>
        <w:rPr>
          <w:rFonts w:ascii="宋体" w:hAnsi="宋体" w:cs="宋体"/>
          <w:b/>
          <w:color w:val="auto"/>
          <w:kern w:val="0"/>
          <w:sz w:val="32"/>
          <w:szCs w:val="32"/>
          <w:highlight w:val="none"/>
        </w:rPr>
      </w:pPr>
    </w:p>
    <w:p w14:paraId="51D2F556">
      <w:pPr>
        <w:jc w:val="center"/>
        <w:rPr>
          <w:rFonts w:ascii="宋体" w:hAnsi="宋体" w:cs="宋体"/>
          <w:b/>
          <w:color w:val="auto"/>
          <w:kern w:val="0"/>
          <w:sz w:val="32"/>
          <w:szCs w:val="32"/>
          <w:highlight w:val="none"/>
        </w:rPr>
      </w:pPr>
    </w:p>
    <w:p w14:paraId="4E74130D">
      <w:pPr>
        <w:jc w:val="center"/>
        <w:rPr>
          <w:rFonts w:ascii="宋体" w:hAnsi="宋体" w:cs="宋体"/>
          <w:b/>
          <w:color w:val="auto"/>
          <w:kern w:val="0"/>
          <w:sz w:val="32"/>
          <w:szCs w:val="32"/>
          <w:highlight w:val="none"/>
        </w:rPr>
      </w:pPr>
    </w:p>
    <w:p w14:paraId="5D4227DF">
      <w:pPr>
        <w:jc w:val="center"/>
        <w:rPr>
          <w:rFonts w:ascii="宋体" w:hAnsi="宋体" w:cs="宋体"/>
          <w:b/>
          <w:color w:val="auto"/>
          <w:kern w:val="0"/>
          <w:sz w:val="32"/>
          <w:szCs w:val="32"/>
          <w:highlight w:val="none"/>
        </w:rPr>
      </w:pPr>
    </w:p>
    <w:p w14:paraId="4F60A21B">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FD48583">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1C03C6">
      <w:pPr>
        <w:widowControl/>
        <w:spacing w:line="360" w:lineRule="auto"/>
        <w:ind w:firstLine="120" w:firstLineChars="50"/>
        <w:jc w:val="left"/>
        <w:rPr>
          <w:rFonts w:ascii="宋体" w:hAnsi="宋体" w:cs="宋体"/>
          <w:color w:val="auto"/>
          <w:sz w:val="24"/>
          <w:highlight w:val="none"/>
        </w:rPr>
      </w:pPr>
      <w:bookmarkStart w:id="55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50"/>
    <w:p w14:paraId="3FD8D56B">
      <w:pPr>
        <w:snapToGrid w:val="0"/>
        <w:spacing w:line="360" w:lineRule="auto"/>
        <w:rPr>
          <w:rFonts w:ascii="宋体" w:hAnsi="宋体" w:cs="宋体"/>
          <w:color w:val="auto"/>
          <w:kern w:val="0"/>
          <w:sz w:val="24"/>
          <w:highlight w:val="none"/>
        </w:rPr>
      </w:pPr>
    </w:p>
    <w:p w14:paraId="4F34005E">
      <w:pPr>
        <w:jc w:val="center"/>
        <w:rPr>
          <w:rFonts w:ascii="宋体" w:hAnsi="宋体" w:cs="宋体"/>
          <w:b/>
          <w:color w:val="auto"/>
          <w:kern w:val="0"/>
          <w:sz w:val="32"/>
          <w:szCs w:val="32"/>
          <w:highlight w:val="none"/>
        </w:rPr>
      </w:pPr>
    </w:p>
    <w:p w14:paraId="118DF8CE">
      <w:pPr>
        <w:pStyle w:val="4"/>
        <w:rPr>
          <w:color w:val="auto"/>
          <w:highlight w:val="none"/>
          <w:lang w:val="en-US"/>
        </w:rPr>
      </w:pPr>
    </w:p>
    <w:p w14:paraId="30874314">
      <w:pPr>
        <w:rPr>
          <w:color w:val="auto"/>
          <w:highlight w:val="none"/>
        </w:rPr>
      </w:pPr>
    </w:p>
    <w:p w14:paraId="07890F6E">
      <w:pPr>
        <w:pStyle w:val="4"/>
        <w:rPr>
          <w:color w:val="auto"/>
          <w:highlight w:val="none"/>
          <w:lang w:val="en-US"/>
        </w:rPr>
      </w:pPr>
    </w:p>
    <w:p w14:paraId="51C55C4D">
      <w:pPr>
        <w:jc w:val="center"/>
        <w:rPr>
          <w:rFonts w:ascii="宋体" w:hAnsi="宋体" w:cs="宋体"/>
          <w:b/>
          <w:color w:val="auto"/>
          <w:kern w:val="0"/>
          <w:sz w:val="32"/>
          <w:szCs w:val="32"/>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color w:val="auto"/>
          <w:highlight w:val="none"/>
        </w:rPr>
      </w:pPr>
    </w:p>
    <w:p w14:paraId="7534AC6F">
      <w:pPr>
        <w:jc w:val="center"/>
        <w:rPr>
          <w:rFonts w:ascii="宋体" w:hAnsi="宋体" w:cs="宋体"/>
          <w:b/>
          <w:color w:val="auto"/>
          <w:kern w:val="0"/>
          <w:sz w:val="32"/>
          <w:szCs w:val="32"/>
          <w:highlight w:val="none"/>
        </w:rPr>
      </w:pPr>
    </w:p>
    <w:p w14:paraId="6C7B34AD">
      <w:pPr>
        <w:jc w:val="center"/>
        <w:rPr>
          <w:rFonts w:hint="eastAsia" w:ascii="宋体" w:hAnsi="宋体" w:cs="宋体"/>
          <w:b/>
          <w:color w:val="auto"/>
          <w:kern w:val="0"/>
          <w:sz w:val="32"/>
          <w:szCs w:val="32"/>
          <w:highlight w:val="none"/>
        </w:rPr>
      </w:pPr>
    </w:p>
    <w:p w14:paraId="4A75AC07">
      <w:pPr>
        <w:jc w:val="center"/>
        <w:rPr>
          <w:rFonts w:hint="eastAsia" w:ascii="宋体" w:hAnsi="宋体" w:cs="宋体"/>
          <w:b/>
          <w:color w:val="auto"/>
          <w:kern w:val="0"/>
          <w:sz w:val="32"/>
          <w:szCs w:val="32"/>
          <w:highlight w:val="none"/>
        </w:rPr>
      </w:pPr>
    </w:p>
    <w:p w14:paraId="20D098C3">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07C9E8">
      <w:pPr>
        <w:jc w:val="center"/>
        <w:rPr>
          <w:rFonts w:ascii="宋体" w:hAnsi="宋体" w:cs="宋体"/>
          <w:b/>
          <w:color w:val="auto"/>
          <w:kern w:val="0"/>
          <w:sz w:val="32"/>
          <w:szCs w:val="32"/>
          <w:highlight w:val="none"/>
        </w:rPr>
      </w:pPr>
    </w:p>
    <w:p w14:paraId="5402415D">
      <w:pPr>
        <w:jc w:val="center"/>
        <w:rPr>
          <w:rFonts w:ascii="宋体" w:hAnsi="宋体" w:cs="宋体"/>
          <w:b/>
          <w:color w:val="auto"/>
          <w:kern w:val="0"/>
          <w:sz w:val="32"/>
          <w:szCs w:val="32"/>
          <w:highlight w:val="none"/>
        </w:rPr>
      </w:pPr>
    </w:p>
    <w:p w14:paraId="5044F51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3E4EF4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eastAsia="华文楷体"/>
          <w:color w:val="auto"/>
          <w:highlight w:val="none"/>
          <w:lang w:val="en-US" w:eastAsia="zh-CN"/>
        </w:rPr>
      </w:pPr>
    </w:p>
    <w:p w14:paraId="1E3ED79A">
      <w:pPr>
        <w:ind w:firstLine="1911" w:firstLineChars="595"/>
        <w:rPr>
          <w:rFonts w:ascii="宋体" w:hAnsi="宋体" w:cs="宋体"/>
          <w:b/>
          <w:bCs/>
          <w:color w:val="auto"/>
          <w:sz w:val="32"/>
          <w:szCs w:val="32"/>
          <w:highlight w:val="none"/>
        </w:rPr>
      </w:pPr>
    </w:p>
    <w:p w14:paraId="0B2226BF">
      <w:pPr>
        <w:ind w:firstLine="1911" w:firstLineChars="595"/>
        <w:rPr>
          <w:rFonts w:ascii="宋体" w:hAnsi="宋体" w:cs="宋体"/>
          <w:b/>
          <w:bCs/>
          <w:color w:val="auto"/>
          <w:sz w:val="32"/>
          <w:szCs w:val="32"/>
          <w:highlight w:val="none"/>
        </w:rPr>
      </w:pPr>
    </w:p>
    <w:p w14:paraId="035C106E">
      <w:pPr>
        <w:ind w:firstLine="1911" w:firstLineChars="595"/>
        <w:rPr>
          <w:rFonts w:ascii="宋体" w:hAnsi="宋体" w:cs="宋体"/>
          <w:b/>
          <w:bCs/>
          <w:color w:val="auto"/>
          <w:sz w:val="32"/>
          <w:szCs w:val="32"/>
          <w:highlight w:val="none"/>
        </w:rPr>
      </w:pPr>
    </w:p>
    <w:p w14:paraId="2AC73259">
      <w:pPr>
        <w:ind w:firstLine="1911" w:firstLineChars="595"/>
        <w:rPr>
          <w:rFonts w:ascii="宋体" w:hAnsi="宋体" w:cs="宋体"/>
          <w:b/>
          <w:bCs/>
          <w:color w:val="auto"/>
          <w:sz w:val="32"/>
          <w:szCs w:val="32"/>
          <w:highlight w:val="none"/>
        </w:rPr>
      </w:pPr>
    </w:p>
    <w:p w14:paraId="3CF83AF6">
      <w:pPr>
        <w:ind w:firstLine="1911" w:firstLineChars="595"/>
        <w:rPr>
          <w:rFonts w:ascii="宋体" w:hAnsi="宋体" w:cs="宋体"/>
          <w:b/>
          <w:bCs/>
          <w:color w:val="auto"/>
          <w:sz w:val="32"/>
          <w:szCs w:val="32"/>
          <w:highlight w:val="none"/>
        </w:rPr>
      </w:pPr>
    </w:p>
    <w:p w14:paraId="29D7CE6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A2D4CE6">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56C1827">
      <w:pPr>
        <w:snapToGrid w:val="0"/>
        <w:spacing w:line="360" w:lineRule="auto"/>
        <w:rPr>
          <w:rFonts w:ascii="宋体" w:hAnsi="宋体" w:cs="宋体"/>
          <w:color w:val="auto"/>
          <w:sz w:val="24"/>
          <w:highlight w:val="none"/>
        </w:rPr>
      </w:pPr>
    </w:p>
    <w:p w14:paraId="0B7B72C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lang w:eastAsia="zh-CN"/>
        </w:rPr>
        <w:t>杭州市公共资源交易中心临安分中心</w:t>
      </w:r>
      <w:r>
        <w:rPr>
          <w:rFonts w:hint="eastAsia" w:ascii="宋体" w:hAnsi="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E2407E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EDD992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ascii="宋体" w:hAnsi="宋体" w:cs="宋体"/>
          <w:color w:val="auto"/>
          <w:kern w:val="0"/>
          <w:sz w:val="24"/>
          <w:highlight w:val="none"/>
          <w:lang w:val="zh-CN"/>
        </w:rPr>
      </w:pPr>
    </w:p>
    <w:p w14:paraId="73F1A69E">
      <w:pPr>
        <w:autoSpaceDE w:val="0"/>
        <w:autoSpaceDN w:val="0"/>
        <w:spacing w:line="360" w:lineRule="auto"/>
        <w:ind w:left="2"/>
        <w:jc w:val="left"/>
        <w:rPr>
          <w:rFonts w:ascii="宋体" w:hAnsi="宋体" w:cs="宋体"/>
          <w:color w:val="auto"/>
          <w:kern w:val="0"/>
          <w:sz w:val="24"/>
          <w:highlight w:val="none"/>
          <w:lang w:val="zh-CN"/>
        </w:rPr>
      </w:pPr>
    </w:p>
    <w:p w14:paraId="73AFB02F">
      <w:pPr>
        <w:autoSpaceDE w:val="0"/>
        <w:autoSpaceDN w:val="0"/>
        <w:spacing w:line="360" w:lineRule="auto"/>
        <w:ind w:left="2"/>
        <w:jc w:val="left"/>
        <w:rPr>
          <w:rFonts w:ascii="宋体" w:hAnsi="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6E6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656AB8">
      <w:pPr>
        <w:spacing w:line="360" w:lineRule="auto"/>
        <w:jc w:val="center"/>
        <w:rPr>
          <w:rFonts w:ascii="宋体" w:hAnsi="宋体" w:cs="宋体"/>
          <w:b/>
          <w:bCs/>
          <w:color w:val="auto"/>
          <w:sz w:val="24"/>
          <w:highlight w:val="none"/>
        </w:rPr>
      </w:pPr>
    </w:p>
    <w:p w14:paraId="68DB89C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9F6665">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654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00237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0B54E8">
      <w:pPr>
        <w:spacing w:line="360" w:lineRule="auto"/>
        <w:jc w:val="center"/>
        <w:outlineLvl w:val="0"/>
        <w:rPr>
          <w:rFonts w:ascii="宋体" w:hAnsi="宋体" w:cs="宋体"/>
          <w:b/>
          <w:color w:val="auto"/>
          <w:kern w:val="0"/>
          <w:sz w:val="36"/>
          <w:szCs w:val="36"/>
          <w:highlight w:val="none"/>
        </w:rPr>
      </w:pPr>
    </w:p>
    <w:p w14:paraId="0A193278">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B65DB7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2476FCE3">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5C0F0B40">
      <w:pPr>
        <w:pStyle w:val="693"/>
        <w:keepNext w:val="0"/>
        <w:pageBreakBefore w:val="0"/>
        <w:tabs>
          <w:tab w:val="clear" w:pos="720"/>
        </w:tabs>
        <w:snapToGrid w:val="0"/>
        <w:spacing w:before="120" w:after="120"/>
        <w:jc w:val="center"/>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lang w:val="en-US" w:eastAsia="zh-CN"/>
        </w:rPr>
        <w:t>杭州市公共资源交易中心临安分中心</w:t>
      </w:r>
      <w:r>
        <w:rPr>
          <w:rFonts w:hint="eastAsia" w:ascii="宋体" w:hAnsi="宋体" w:cs="宋体"/>
          <w:color w:val="auto"/>
          <w:kern w:val="0"/>
          <w:sz w:val="24"/>
          <w:highlight w:val="none"/>
          <w:lang w:val="zh-CN"/>
        </w:rPr>
        <w:t>：</w:t>
      </w:r>
    </w:p>
    <w:p w14:paraId="4E72F1E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776D0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02D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89A1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034D4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4FB4B59D">
            <w:pPr>
              <w:spacing w:line="360" w:lineRule="auto"/>
              <w:jc w:val="center"/>
              <w:rPr>
                <w:rFonts w:ascii="宋体" w:hAnsi="宋体" w:cs="宋体"/>
                <w:b/>
                <w:color w:val="auto"/>
                <w:sz w:val="24"/>
                <w:highlight w:val="none"/>
              </w:rPr>
            </w:pPr>
          </w:p>
          <w:p w14:paraId="09239A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46A60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A3ABB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3DBEF1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8F806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EB349B1">
            <w:pPr>
              <w:spacing w:line="360" w:lineRule="auto"/>
              <w:jc w:val="center"/>
              <w:rPr>
                <w:rFonts w:ascii="宋体" w:hAnsi="宋体" w:cs="宋体"/>
                <w:b/>
                <w:color w:val="auto"/>
                <w:sz w:val="24"/>
                <w:highlight w:val="none"/>
              </w:rPr>
            </w:pPr>
          </w:p>
          <w:p w14:paraId="2D30D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3D222C6">
            <w:pPr>
              <w:spacing w:line="360" w:lineRule="auto"/>
              <w:jc w:val="center"/>
              <w:rPr>
                <w:rFonts w:ascii="宋体" w:hAnsi="宋体" w:cs="宋体"/>
                <w:b/>
                <w:color w:val="auto"/>
                <w:sz w:val="24"/>
                <w:highlight w:val="none"/>
              </w:rPr>
            </w:pPr>
          </w:p>
        </w:tc>
      </w:tr>
      <w:tr w14:paraId="0521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8AB0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4A2741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2DDFFDE8">
            <w:pPr>
              <w:snapToGrid w:val="0"/>
              <w:spacing w:line="360" w:lineRule="auto"/>
              <w:jc w:val="center"/>
              <w:rPr>
                <w:rFonts w:ascii="宋体" w:hAnsi="宋体" w:cs="宋体"/>
                <w:color w:val="auto"/>
                <w:sz w:val="24"/>
                <w:highlight w:val="none"/>
              </w:rPr>
            </w:pPr>
          </w:p>
        </w:tc>
        <w:tc>
          <w:tcPr>
            <w:tcW w:w="3118" w:type="dxa"/>
            <w:vAlign w:val="center"/>
          </w:tcPr>
          <w:p w14:paraId="2A0A24AE">
            <w:pPr>
              <w:snapToGrid w:val="0"/>
              <w:spacing w:line="360" w:lineRule="auto"/>
              <w:jc w:val="center"/>
              <w:rPr>
                <w:rFonts w:ascii="宋体" w:hAnsi="宋体" w:cs="宋体"/>
                <w:color w:val="auto"/>
                <w:sz w:val="24"/>
                <w:highlight w:val="none"/>
              </w:rPr>
            </w:pPr>
          </w:p>
        </w:tc>
        <w:tc>
          <w:tcPr>
            <w:tcW w:w="993" w:type="dxa"/>
            <w:vAlign w:val="center"/>
          </w:tcPr>
          <w:p w14:paraId="01815C82">
            <w:pPr>
              <w:snapToGrid w:val="0"/>
              <w:spacing w:line="360" w:lineRule="auto"/>
              <w:jc w:val="center"/>
              <w:rPr>
                <w:rFonts w:ascii="宋体" w:hAnsi="宋体" w:cs="宋体"/>
                <w:color w:val="auto"/>
                <w:sz w:val="24"/>
                <w:highlight w:val="none"/>
              </w:rPr>
            </w:pPr>
          </w:p>
        </w:tc>
        <w:tc>
          <w:tcPr>
            <w:tcW w:w="1559" w:type="dxa"/>
            <w:vAlign w:val="center"/>
          </w:tcPr>
          <w:p w14:paraId="53C4C125">
            <w:pPr>
              <w:spacing w:line="360" w:lineRule="auto"/>
              <w:jc w:val="center"/>
              <w:rPr>
                <w:rFonts w:ascii="宋体" w:hAnsi="宋体" w:cs="宋体"/>
                <w:color w:val="auto"/>
                <w:sz w:val="24"/>
                <w:highlight w:val="none"/>
              </w:rPr>
            </w:pPr>
          </w:p>
        </w:tc>
        <w:tc>
          <w:tcPr>
            <w:tcW w:w="1984" w:type="dxa"/>
            <w:vAlign w:val="center"/>
          </w:tcPr>
          <w:p w14:paraId="5686463E">
            <w:pPr>
              <w:spacing w:line="360" w:lineRule="auto"/>
              <w:jc w:val="center"/>
              <w:rPr>
                <w:rFonts w:ascii="宋体" w:hAnsi="宋体" w:cs="宋体"/>
                <w:color w:val="auto"/>
                <w:sz w:val="24"/>
                <w:highlight w:val="none"/>
              </w:rPr>
            </w:pPr>
          </w:p>
        </w:tc>
        <w:tc>
          <w:tcPr>
            <w:tcW w:w="3119" w:type="dxa"/>
            <w:vAlign w:val="center"/>
          </w:tcPr>
          <w:p w14:paraId="468064FB">
            <w:pPr>
              <w:spacing w:line="360" w:lineRule="auto"/>
              <w:jc w:val="center"/>
              <w:rPr>
                <w:rFonts w:ascii="宋体" w:hAnsi="宋体" w:cs="宋体"/>
                <w:color w:val="auto"/>
                <w:sz w:val="24"/>
                <w:highlight w:val="none"/>
              </w:rPr>
            </w:pPr>
          </w:p>
        </w:tc>
      </w:tr>
      <w:tr w14:paraId="2E39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E7400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D01A4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6209306">
            <w:pPr>
              <w:snapToGrid w:val="0"/>
              <w:spacing w:line="360" w:lineRule="auto"/>
              <w:jc w:val="center"/>
              <w:rPr>
                <w:rFonts w:ascii="宋体" w:hAnsi="宋体" w:cs="宋体"/>
                <w:color w:val="auto"/>
                <w:sz w:val="24"/>
                <w:highlight w:val="none"/>
              </w:rPr>
            </w:pPr>
          </w:p>
        </w:tc>
        <w:tc>
          <w:tcPr>
            <w:tcW w:w="3118" w:type="dxa"/>
            <w:vAlign w:val="center"/>
          </w:tcPr>
          <w:p w14:paraId="01C2ADF5">
            <w:pPr>
              <w:snapToGrid w:val="0"/>
              <w:spacing w:line="360" w:lineRule="auto"/>
              <w:jc w:val="center"/>
              <w:rPr>
                <w:rFonts w:ascii="宋体" w:hAnsi="宋体" w:cs="宋体"/>
                <w:color w:val="auto"/>
                <w:sz w:val="24"/>
                <w:highlight w:val="none"/>
              </w:rPr>
            </w:pPr>
          </w:p>
        </w:tc>
        <w:tc>
          <w:tcPr>
            <w:tcW w:w="993" w:type="dxa"/>
            <w:vAlign w:val="center"/>
          </w:tcPr>
          <w:p w14:paraId="3E1C89FA">
            <w:pPr>
              <w:snapToGrid w:val="0"/>
              <w:spacing w:line="360" w:lineRule="auto"/>
              <w:jc w:val="center"/>
              <w:rPr>
                <w:rFonts w:ascii="宋体" w:hAnsi="宋体" w:cs="宋体"/>
                <w:color w:val="auto"/>
                <w:sz w:val="24"/>
                <w:highlight w:val="none"/>
              </w:rPr>
            </w:pPr>
          </w:p>
        </w:tc>
        <w:tc>
          <w:tcPr>
            <w:tcW w:w="1559" w:type="dxa"/>
            <w:vAlign w:val="center"/>
          </w:tcPr>
          <w:p w14:paraId="663892A2">
            <w:pPr>
              <w:spacing w:line="360" w:lineRule="auto"/>
              <w:jc w:val="center"/>
              <w:rPr>
                <w:rFonts w:ascii="宋体" w:hAnsi="宋体" w:cs="宋体"/>
                <w:color w:val="auto"/>
                <w:sz w:val="24"/>
                <w:highlight w:val="none"/>
              </w:rPr>
            </w:pPr>
          </w:p>
        </w:tc>
        <w:tc>
          <w:tcPr>
            <w:tcW w:w="1984" w:type="dxa"/>
            <w:vAlign w:val="center"/>
          </w:tcPr>
          <w:p w14:paraId="7E68C600">
            <w:pPr>
              <w:spacing w:line="360" w:lineRule="auto"/>
              <w:jc w:val="center"/>
              <w:rPr>
                <w:rFonts w:ascii="宋体" w:hAnsi="宋体" w:cs="宋体"/>
                <w:color w:val="auto"/>
                <w:sz w:val="24"/>
                <w:highlight w:val="none"/>
              </w:rPr>
            </w:pPr>
          </w:p>
        </w:tc>
        <w:tc>
          <w:tcPr>
            <w:tcW w:w="3119" w:type="dxa"/>
            <w:vAlign w:val="center"/>
          </w:tcPr>
          <w:p w14:paraId="2FC91312">
            <w:pPr>
              <w:spacing w:line="360" w:lineRule="auto"/>
              <w:jc w:val="center"/>
              <w:rPr>
                <w:rFonts w:ascii="宋体" w:hAnsi="宋体" w:cs="宋体"/>
                <w:color w:val="auto"/>
                <w:sz w:val="24"/>
                <w:highlight w:val="none"/>
              </w:rPr>
            </w:pPr>
          </w:p>
        </w:tc>
      </w:tr>
      <w:tr w14:paraId="42C8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D07F0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7E4253F">
            <w:pPr>
              <w:snapToGrid w:val="0"/>
              <w:spacing w:line="360" w:lineRule="auto"/>
              <w:jc w:val="center"/>
              <w:rPr>
                <w:rFonts w:ascii="宋体" w:hAnsi="宋体" w:cs="宋体"/>
                <w:color w:val="auto"/>
                <w:sz w:val="24"/>
                <w:highlight w:val="none"/>
              </w:rPr>
            </w:pPr>
          </w:p>
        </w:tc>
        <w:tc>
          <w:tcPr>
            <w:tcW w:w="1843" w:type="dxa"/>
            <w:vAlign w:val="center"/>
          </w:tcPr>
          <w:p w14:paraId="5F048726">
            <w:pPr>
              <w:snapToGrid w:val="0"/>
              <w:spacing w:line="360" w:lineRule="auto"/>
              <w:jc w:val="center"/>
              <w:rPr>
                <w:rFonts w:ascii="宋体" w:hAnsi="宋体" w:cs="宋体"/>
                <w:color w:val="auto"/>
                <w:sz w:val="24"/>
                <w:highlight w:val="none"/>
              </w:rPr>
            </w:pPr>
          </w:p>
        </w:tc>
        <w:tc>
          <w:tcPr>
            <w:tcW w:w="3118" w:type="dxa"/>
            <w:vAlign w:val="center"/>
          </w:tcPr>
          <w:p w14:paraId="38EE5CD9">
            <w:pPr>
              <w:snapToGrid w:val="0"/>
              <w:spacing w:line="360" w:lineRule="auto"/>
              <w:jc w:val="center"/>
              <w:rPr>
                <w:rFonts w:ascii="宋体" w:hAnsi="宋体" w:cs="宋体"/>
                <w:color w:val="auto"/>
                <w:sz w:val="24"/>
                <w:highlight w:val="none"/>
              </w:rPr>
            </w:pPr>
          </w:p>
        </w:tc>
        <w:tc>
          <w:tcPr>
            <w:tcW w:w="993" w:type="dxa"/>
            <w:vAlign w:val="center"/>
          </w:tcPr>
          <w:p w14:paraId="1F91E632">
            <w:pPr>
              <w:snapToGrid w:val="0"/>
              <w:spacing w:line="360" w:lineRule="auto"/>
              <w:jc w:val="center"/>
              <w:rPr>
                <w:rFonts w:ascii="宋体" w:hAnsi="宋体" w:cs="宋体"/>
                <w:color w:val="auto"/>
                <w:sz w:val="24"/>
                <w:highlight w:val="none"/>
              </w:rPr>
            </w:pPr>
          </w:p>
        </w:tc>
        <w:tc>
          <w:tcPr>
            <w:tcW w:w="1559" w:type="dxa"/>
            <w:vAlign w:val="center"/>
          </w:tcPr>
          <w:p w14:paraId="1EA310B2">
            <w:pPr>
              <w:spacing w:line="360" w:lineRule="auto"/>
              <w:jc w:val="center"/>
              <w:rPr>
                <w:rFonts w:ascii="宋体" w:hAnsi="宋体" w:cs="宋体"/>
                <w:color w:val="auto"/>
                <w:sz w:val="24"/>
                <w:highlight w:val="none"/>
              </w:rPr>
            </w:pPr>
          </w:p>
        </w:tc>
        <w:tc>
          <w:tcPr>
            <w:tcW w:w="1984" w:type="dxa"/>
            <w:vAlign w:val="center"/>
          </w:tcPr>
          <w:p w14:paraId="0E1B48F5">
            <w:pPr>
              <w:spacing w:line="360" w:lineRule="auto"/>
              <w:jc w:val="center"/>
              <w:rPr>
                <w:rFonts w:ascii="宋体" w:hAnsi="宋体" w:cs="宋体"/>
                <w:color w:val="auto"/>
                <w:sz w:val="24"/>
                <w:highlight w:val="none"/>
              </w:rPr>
            </w:pPr>
          </w:p>
        </w:tc>
        <w:tc>
          <w:tcPr>
            <w:tcW w:w="3119" w:type="dxa"/>
            <w:vAlign w:val="center"/>
          </w:tcPr>
          <w:p w14:paraId="3ED31FB4">
            <w:pPr>
              <w:spacing w:line="360" w:lineRule="auto"/>
              <w:jc w:val="center"/>
              <w:rPr>
                <w:rFonts w:ascii="宋体" w:hAnsi="宋体" w:cs="宋体"/>
                <w:color w:val="auto"/>
                <w:sz w:val="24"/>
                <w:highlight w:val="none"/>
              </w:rPr>
            </w:pPr>
          </w:p>
        </w:tc>
      </w:tr>
      <w:tr w14:paraId="3207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C9EFFE4">
            <w:pPr>
              <w:spacing w:line="360" w:lineRule="auto"/>
              <w:jc w:val="center"/>
              <w:rPr>
                <w:rFonts w:ascii="宋体" w:hAnsi="宋体" w:cs="宋体"/>
                <w:color w:val="auto"/>
                <w:sz w:val="24"/>
                <w:highlight w:val="none"/>
              </w:rPr>
            </w:pPr>
          </w:p>
        </w:tc>
        <w:tc>
          <w:tcPr>
            <w:tcW w:w="1417" w:type="dxa"/>
            <w:vAlign w:val="center"/>
          </w:tcPr>
          <w:p w14:paraId="0C63ABD2">
            <w:pPr>
              <w:snapToGrid w:val="0"/>
              <w:spacing w:line="360" w:lineRule="auto"/>
              <w:jc w:val="center"/>
              <w:rPr>
                <w:rFonts w:ascii="宋体" w:hAnsi="宋体" w:cs="宋体"/>
                <w:color w:val="auto"/>
                <w:sz w:val="24"/>
                <w:highlight w:val="none"/>
              </w:rPr>
            </w:pPr>
          </w:p>
        </w:tc>
        <w:tc>
          <w:tcPr>
            <w:tcW w:w="1843" w:type="dxa"/>
            <w:vAlign w:val="center"/>
          </w:tcPr>
          <w:p w14:paraId="2D33EBE1">
            <w:pPr>
              <w:snapToGrid w:val="0"/>
              <w:spacing w:line="360" w:lineRule="auto"/>
              <w:jc w:val="center"/>
              <w:rPr>
                <w:rFonts w:ascii="宋体" w:hAnsi="宋体" w:cs="宋体"/>
                <w:color w:val="auto"/>
                <w:sz w:val="24"/>
                <w:highlight w:val="none"/>
              </w:rPr>
            </w:pPr>
          </w:p>
        </w:tc>
        <w:tc>
          <w:tcPr>
            <w:tcW w:w="3118" w:type="dxa"/>
            <w:vAlign w:val="center"/>
          </w:tcPr>
          <w:p w14:paraId="34CE2A23">
            <w:pPr>
              <w:snapToGrid w:val="0"/>
              <w:spacing w:line="360" w:lineRule="auto"/>
              <w:jc w:val="center"/>
              <w:rPr>
                <w:rFonts w:ascii="宋体" w:hAnsi="宋体" w:cs="宋体"/>
                <w:color w:val="auto"/>
                <w:sz w:val="24"/>
                <w:highlight w:val="none"/>
              </w:rPr>
            </w:pPr>
          </w:p>
        </w:tc>
        <w:tc>
          <w:tcPr>
            <w:tcW w:w="993" w:type="dxa"/>
            <w:vAlign w:val="center"/>
          </w:tcPr>
          <w:p w14:paraId="42084A3C">
            <w:pPr>
              <w:snapToGrid w:val="0"/>
              <w:spacing w:line="360" w:lineRule="auto"/>
              <w:jc w:val="center"/>
              <w:rPr>
                <w:rFonts w:ascii="宋体" w:hAnsi="宋体" w:cs="宋体"/>
                <w:color w:val="auto"/>
                <w:sz w:val="24"/>
                <w:highlight w:val="none"/>
              </w:rPr>
            </w:pPr>
          </w:p>
        </w:tc>
        <w:tc>
          <w:tcPr>
            <w:tcW w:w="1559" w:type="dxa"/>
            <w:vAlign w:val="center"/>
          </w:tcPr>
          <w:p w14:paraId="65D852A7">
            <w:pPr>
              <w:spacing w:line="360" w:lineRule="auto"/>
              <w:jc w:val="center"/>
              <w:rPr>
                <w:rFonts w:ascii="宋体" w:hAnsi="宋体" w:cs="宋体"/>
                <w:color w:val="auto"/>
                <w:sz w:val="24"/>
                <w:highlight w:val="none"/>
              </w:rPr>
            </w:pPr>
          </w:p>
        </w:tc>
        <w:tc>
          <w:tcPr>
            <w:tcW w:w="1984" w:type="dxa"/>
            <w:vAlign w:val="center"/>
          </w:tcPr>
          <w:p w14:paraId="6351150B">
            <w:pPr>
              <w:spacing w:line="360" w:lineRule="auto"/>
              <w:jc w:val="center"/>
              <w:rPr>
                <w:rFonts w:ascii="宋体" w:hAnsi="宋体" w:cs="宋体"/>
                <w:color w:val="auto"/>
                <w:sz w:val="24"/>
                <w:highlight w:val="none"/>
              </w:rPr>
            </w:pPr>
          </w:p>
        </w:tc>
        <w:tc>
          <w:tcPr>
            <w:tcW w:w="3119" w:type="dxa"/>
            <w:vAlign w:val="center"/>
          </w:tcPr>
          <w:p w14:paraId="17F110CF">
            <w:pPr>
              <w:spacing w:line="360" w:lineRule="auto"/>
              <w:jc w:val="center"/>
              <w:rPr>
                <w:rFonts w:ascii="宋体" w:hAnsi="宋体" w:cs="宋体"/>
                <w:color w:val="auto"/>
                <w:sz w:val="24"/>
                <w:highlight w:val="none"/>
              </w:rPr>
            </w:pPr>
          </w:p>
        </w:tc>
      </w:tr>
      <w:tr w14:paraId="36AB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BC9251">
            <w:pPr>
              <w:spacing w:line="360" w:lineRule="auto"/>
              <w:jc w:val="center"/>
              <w:rPr>
                <w:rFonts w:ascii="宋体" w:hAnsi="宋体" w:cs="宋体"/>
                <w:color w:val="auto"/>
                <w:sz w:val="24"/>
                <w:highlight w:val="none"/>
              </w:rPr>
            </w:pPr>
          </w:p>
        </w:tc>
        <w:tc>
          <w:tcPr>
            <w:tcW w:w="1417" w:type="dxa"/>
            <w:vAlign w:val="center"/>
          </w:tcPr>
          <w:p w14:paraId="4D55D888">
            <w:pPr>
              <w:snapToGrid w:val="0"/>
              <w:spacing w:line="360" w:lineRule="auto"/>
              <w:jc w:val="center"/>
              <w:rPr>
                <w:rFonts w:ascii="宋体" w:hAnsi="宋体" w:cs="宋体"/>
                <w:color w:val="auto"/>
                <w:sz w:val="24"/>
                <w:highlight w:val="none"/>
              </w:rPr>
            </w:pPr>
          </w:p>
        </w:tc>
        <w:tc>
          <w:tcPr>
            <w:tcW w:w="1843" w:type="dxa"/>
            <w:vAlign w:val="center"/>
          </w:tcPr>
          <w:p w14:paraId="0A00F81C">
            <w:pPr>
              <w:snapToGrid w:val="0"/>
              <w:spacing w:line="360" w:lineRule="auto"/>
              <w:jc w:val="center"/>
              <w:rPr>
                <w:rFonts w:ascii="宋体" w:hAnsi="宋体" w:cs="宋体"/>
                <w:color w:val="auto"/>
                <w:sz w:val="24"/>
                <w:highlight w:val="none"/>
              </w:rPr>
            </w:pPr>
          </w:p>
        </w:tc>
        <w:tc>
          <w:tcPr>
            <w:tcW w:w="3118" w:type="dxa"/>
            <w:vAlign w:val="center"/>
          </w:tcPr>
          <w:p w14:paraId="005FA8BF">
            <w:pPr>
              <w:snapToGrid w:val="0"/>
              <w:spacing w:line="360" w:lineRule="auto"/>
              <w:jc w:val="center"/>
              <w:rPr>
                <w:rFonts w:ascii="宋体" w:hAnsi="宋体" w:cs="宋体"/>
                <w:color w:val="auto"/>
                <w:sz w:val="24"/>
                <w:highlight w:val="none"/>
              </w:rPr>
            </w:pPr>
          </w:p>
        </w:tc>
        <w:tc>
          <w:tcPr>
            <w:tcW w:w="993" w:type="dxa"/>
            <w:vAlign w:val="center"/>
          </w:tcPr>
          <w:p w14:paraId="5ABBB33A">
            <w:pPr>
              <w:snapToGrid w:val="0"/>
              <w:spacing w:line="360" w:lineRule="auto"/>
              <w:jc w:val="center"/>
              <w:rPr>
                <w:rFonts w:ascii="宋体" w:hAnsi="宋体" w:cs="宋体"/>
                <w:color w:val="auto"/>
                <w:sz w:val="24"/>
                <w:highlight w:val="none"/>
              </w:rPr>
            </w:pPr>
          </w:p>
        </w:tc>
        <w:tc>
          <w:tcPr>
            <w:tcW w:w="1559" w:type="dxa"/>
            <w:vAlign w:val="center"/>
          </w:tcPr>
          <w:p w14:paraId="39B2C97B">
            <w:pPr>
              <w:spacing w:line="360" w:lineRule="auto"/>
              <w:jc w:val="center"/>
              <w:rPr>
                <w:rFonts w:ascii="宋体" w:hAnsi="宋体" w:cs="宋体"/>
                <w:color w:val="auto"/>
                <w:sz w:val="24"/>
                <w:highlight w:val="none"/>
              </w:rPr>
            </w:pPr>
          </w:p>
        </w:tc>
        <w:tc>
          <w:tcPr>
            <w:tcW w:w="1984" w:type="dxa"/>
            <w:vAlign w:val="center"/>
          </w:tcPr>
          <w:p w14:paraId="091E63B0">
            <w:pPr>
              <w:spacing w:line="360" w:lineRule="auto"/>
              <w:jc w:val="center"/>
              <w:rPr>
                <w:rFonts w:ascii="宋体" w:hAnsi="宋体" w:cs="宋体"/>
                <w:color w:val="auto"/>
                <w:sz w:val="24"/>
                <w:highlight w:val="none"/>
              </w:rPr>
            </w:pPr>
          </w:p>
        </w:tc>
        <w:tc>
          <w:tcPr>
            <w:tcW w:w="3119" w:type="dxa"/>
            <w:vAlign w:val="center"/>
          </w:tcPr>
          <w:p w14:paraId="706E340A">
            <w:pPr>
              <w:spacing w:line="360" w:lineRule="auto"/>
              <w:jc w:val="center"/>
              <w:rPr>
                <w:rFonts w:ascii="宋体" w:hAnsi="宋体" w:cs="宋体"/>
                <w:color w:val="auto"/>
                <w:sz w:val="24"/>
                <w:highlight w:val="none"/>
              </w:rPr>
            </w:pPr>
          </w:p>
        </w:tc>
      </w:tr>
      <w:tr w14:paraId="5539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2E702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D875286">
            <w:pPr>
              <w:spacing w:line="360" w:lineRule="auto"/>
              <w:jc w:val="center"/>
              <w:rPr>
                <w:rFonts w:ascii="宋体" w:hAnsi="宋体" w:cs="宋体"/>
                <w:color w:val="auto"/>
                <w:sz w:val="24"/>
                <w:highlight w:val="none"/>
              </w:rPr>
            </w:pPr>
          </w:p>
        </w:tc>
      </w:tr>
      <w:tr w14:paraId="2C6A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8B7B9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FAB0695">
            <w:pPr>
              <w:spacing w:line="360" w:lineRule="auto"/>
              <w:jc w:val="center"/>
              <w:rPr>
                <w:rFonts w:ascii="宋体" w:hAnsi="宋体" w:cs="宋体"/>
                <w:color w:val="auto"/>
                <w:sz w:val="24"/>
                <w:highlight w:val="none"/>
              </w:rPr>
            </w:pPr>
          </w:p>
        </w:tc>
      </w:tr>
    </w:tbl>
    <w:p w14:paraId="25600D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02EE88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098AC0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1271E4B">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17C9B6C">
      <w:pPr>
        <w:spacing w:line="360" w:lineRule="auto"/>
        <w:ind w:firstLine="482" w:firstLineChars="200"/>
        <w:rPr>
          <w:rFonts w:ascii="宋体" w:hAnsi="宋体" w:cs="宋体"/>
          <w:b/>
          <w:sz w:val="24"/>
          <w:highlight w:val="cyan"/>
        </w:rPr>
      </w:pPr>
      <w:r>
        <w:rPr>
          <w:rFonts w:hint="eastAsia" w:ascii="宋体" w:hAnsi="宋体" w:cs="宋体"/>
          <w:b/>
          <w:sz w:val="24"/>
          <w:highlight w:val="none"/>
        </w:rPr>
        <w:t>5、特别说明：供应商报价低于项目预算50%的，应当在报价文件中详细阐述不影响产品质量或者诚信履约的具体原因。</w:t>
      </w:r>
    </w:p>
    <w:p w14:paraId="0BBE3D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415FD39A">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51" w:name="_Hlk101259491"/>
      <w:r>
        <w:rPr>
          <w:rFonts w:hint="eastAsia" w:ascii="宋体" w:hAnsi="宋体" w:eastAsia="宋体" w:cs="宋体"/>
          <w:color w:val="auto"/>
          <w:sz w:val="32"/>
          <w:szCs w:val="32"/>
          <w:highlight w:val="none"/>
        </w:rPr>
        <w:t>（如果有）</w:t>
      </w:r>
      <w:bookmarkEnd w:id="551"/>
    </w:p>
    <w:p w14:paraId="0E0B53C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68FD30C">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6C434BB">
      <w:pPr>
        <w:spacing w:line="360" w:lineRule="auto"/>
        <w:ind w:right="420" w:firstLine="3614" w:firstLineChars="1000"/>
        <w:rPr>
          <w:rFonts w:ascii="宋体" w:hAnsi="宋体" w:cs="宋体"/>
          <w:b/>
          <w:color w:val="auto"/>
          <w:kern w:val="0"/>
          <w:sz w:val="36"/>
          <w:szCs w:val="36"/>
          <w:highlight w:val="none"/>
        </w:rPr>
      </w:pPr>
    </w:p>
    <w:p w14:paraId="3FB20431">
      <w:pPr>
        <w:spacing w:line="360" w:lineRule="auto"/>
        <w:ind w:right="420" w:firstLine="3614" w:firstLineChars="1000"/>
        <w:rPr>
          <w:rFonts w:ascii="宋体" w:hAnsi="宋体" w:cs="宋体"/>
          <w:b/>
          <w:color w:val="auto"/>
          <w:kern w:val="0"/>
          <w:sz w:val="36"/>
          <w:szCs w:val="36"/>
          <w:highlight w:val="none"/>
        </w:rPr>
      </w:pPr>
    </w:p>
    <w:p w14:paraId="0277ADB9">
      <w:pPr>
        <w:spacing w:line="360" w:lineRule="auto"/>
        <w:ind w:right="420" w:firstLine="3614" w:firstLineChars="1000"/>
        <w:rPr>
          <w:rFonts w:ascii="宋体" w:hAnsi="宋体" w:cs="宋体"/>
          <w:b/>
          <w:color w:val="auto"/>
          <w:kern w:val="0"/>
          <w:sz w:val="36"/>
          <w:szCs w:val="36"/>
          <w:highlight w:val="none"/>
        </w:rPr>
      </w:pPr>
    </w:p>
    <w:p w14:paraId="49AB4ECC">
      <w:pPr>
        <w:spacing w:line="360" w:lineRule="auto"/>
        <w:ind w:right="420" w:firstLine="3614" w:firstLineChars="1000"/>
        <w:rPr>
          <w:rFonts w:ascii="宋体" w:hAnsi="宋体" w:cs="宋体"/>
          <w:b/>
          <w:color w:val="auto"/>
          <w:kern w:val="0"/>
          <w:sz w:val="36"/>
          <w:szCs w:val="36"/>
          <w:highlight w:val="none"/>
        </w:rPr>
      </w:pPr>
    </w:p>
    <w:p w14:paraId="1C8CD21C">
      <w:pPr>
        <w:spacing w:line="360" w:lineRule="auto"/>
        <w:ind w:right="420" w:firstLine="3614" w:firstLineChars="1000"/>
        <w:rPr>
          <w:rFonts w:ascii="宋体" w:hAnsi="宋体" w:cs="宋体"/>
          <w:b/>
          <w:color w:val="auto"/>
          <w:kern w:val="0"/>
          <w:sz w:val="36"/>
          <w:szCs w:val="36"/>
          <w:highlight w:val="none"/>
        </w:rPr>
      </w:pPr>
    </w:p>
    <w:p w14:paraId="0D69FCD4">
      <w:pPr>
        <w:spacing w:line="360" w:lineRule="auto"/>
        <w:ind w:right="420" w:firstLine="3614" w:firstLineChars="1000"/>
        <w:rPr>
          <w:rFonts w:ascii="宋体" w:hAnsi="宋体" w:cs="宋体"/>
          <w:b/>
          <w:color w:val="auto"/>
          <w:kern w:val="0"/>
          <w:sz w:val="36"/>
          <w:szCs w:val="36"/>
          <w:highlight w:val="none"/>
        </w:rPr>
      </w:pPr>
    </w:p>
    <w:p w14:paraId="7A0F7FBD">
      <w:pPr>
        <w:spacing w:line="360" w:lineRule="auto"/>
        <w:ind w:right="420" w:firstLine="3614" w:firstLineChars="1000"/>
        <w:rPr>
          <w:rFonts w:ascii="宋体" w:hAnsi="宋体" w:cs="宋体"/>
          <w:b/>
          <w:color w:val="auto"/>
          <w:kern w:val="0"/>
          <w:sz w:val="36"/>
          <w:szCs w:val="36"/>
          <w:highlight w:val="none"/>
        </w:rPr>
      </w:pPr>
    </w:p>
    <w:p w14:paraId="3D745A33">
      <w:pPr>
        <w:spacing w:line="360" w:lineRule="auto"/>
        <w:ind w:right="420" w:firstLine="3614" w:firstLineChars="1000"/>
        <w:rPr>
          <w:rFonts w:ascii="宋体" w:hAnsi="宋体" w:cs="宋体"/>
          <w:b/>
          <w:color w:val="auto"/>
          <w:kern w:val="0"/>
          <w:sz w:val="36"/>
          <w:szCs w:val="36"/>
          <w:highlight w:val="none"/>
        </w:rPr>
      </w:pPr>
    </w:p>
    <w:p w14:paraId="3EB2A5C8">
      <w:pPr>
        <w:spacing w:line="360" w:lineRule="auto"/>
        <w:ind w:right="420" w:firstLine="3614" w:firstLineChars="1000"/>
        <w:rPr>
          <w:rFonts w:ascii="宋体" w:hAnsi="宋体" w:cs="宋体"/>
          <w:b/>
          <w:color w:val="auto"/>
          <w:kern w:val="0"/>
          <w:sz w:val="36"/>
          <w:szCs w:val="36"/>
          <w:highlight w:val="none"/>
        </w:rPr>
      </w:pPr>
    </w:p>
    <w:p w14:paraId="24962AE3">
      <w:pPr>
        <w:spacing w:line="360" w:lineRule="auto"/>
        <w:ind w:right="420" w:firstLine="3614" w:firstLineChars="1000"/>
        <w:rPr>
          <w:rFonts w:ascii="宋体" w:hAnsi="宋体" w:cs="宋体"/>
          <w:b/>
          <w:color w:val="auto"/>
          <w:kern w:val="0"/>
          <w:sz w:val="36"/>
          <w:szCs w:val="36"/>
          <w:highlight w:val="none"/>
        </w:rPr>
      </w:pPr>
    </w:p>
    <w:p w14:paraId="41C36D61">
      <w:pPr>
        <w:spacing w:line="360" w:lineRule="auto"/>
        <w:ind w:right="420" w:firstLine="3614" w:firstLineChars="1000"/>
        <w:rPr>
          <w:rFonts w:ascii="宋体" w:hAnsi="宋体" w:cs="宋体"/>
          <w:b/>
          <w:color w:val="auto"/>
          <w:kern w:val="0"/>
          <w:sz w:val="36"/>
          <w:szCs w:val="36"/>
          <w:highlight w:val="none"/>
        </w:rPr>
      </w:pPr>
    </w:p>
    <w:p w14:paraId="28E08F11">
      <w:pPr>
        <w:spacing w:line="360" w:lineRule="auto"/>
        <w:ind w:right="420" w:firstLine="3614" w:firstLineChars="1000"/>
        <w:rPr>
          <w:rFonts w:ascii="宋体" w:hAnsi="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52" w:name="_Toc465665161"/>
      <w:r>
        <w:rPr>
          <w:rFonts w:hint="eastAsia" w:ascii="宋体" w:hAnsi="宋体" w:cs="宋体"/>
          <w:color w:val="auto"/>
          <w:highlight w:val="none"/>
        </w:rPr>
        <w:t>附件</w:t>
      </w:r>
      <w:bookmarkEnd w:id="552"/>
    </w:p>
    <w:p w14:paraId="00BEDFC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2A7630">
      <w:pPr>
        <w:spacing w:line="360" w:lineRule="auto"/>
        <w:jc w:val="center"/>
        <w:rPr>
          <w:rFonts w:ascii="宋体" w:hAnsi="宋体" w:cs="宋体"/>
          <w:b/>
          <w:color w:val="auto"/>
          <w:spacing w:val="6"/>
          <w:sz w:val="32"/>
          <w:szCs w:val="32"/>
          <w:highlight w:val="none"/>
        </w:rPr>
      </w:pPr>
      <w:bookmarkStart w:id="553" w:name="OLE_LINK13"/>
      <w:bookmarkStart w:id="554" w:name="OLE_LINK14"/>
      <w:r>
        <w:rPr>
          <w:rFonts w:hint="eastAsia" w:ascii="宋体" w:hAnsi="宋体" w:cs="宋体"/>
          <w:b/>
          <w:color w:val="auto"/>
          <w:spacing w:val="6"/>
          <w:sz w:val="32"/>
          <w:szCs w:val="32"/>
          <w:highlight w:val="none"/>
        </w:rPr>
        <w:t>残疾人福利性单位声明函</w:t>
      </w:r>
    </w:p>
    <w:bookmarkEnd w:id="553"/>
    <w:bookmarkEnd w:id="554"/>
    <w:p w14:paraId="13CFA370">
      <w:pPr>
        <w:spacing w:line="360" w:lineRule="auto"/>
        <w:rPr>
          <w:rFonts w:ascii="宋体" w:hAnsi="宋体" w:cs="宋体"/>
          <w:b/>
          <w:color w:val="auto"/>
          <w:spacing w:val="6"/>
          <w:sz w:val="30"/>
          <w:szCs w:val="30"/>
          <w:highlight w:val="none"/>
        </w:rPr>
      </w:pPr>
    </w:p>
    <w:p w14:paraId="176CD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F034538">
      <w:pPr>
        <w:spacing w:line="360" w:lineRule="auto"/>
        <w:ind w:firstLine="480" w:firstLineChars="200"/>
        <w:rPr>
          <w:rFonts w:ascii="宋体" w:hAnsi="宋体" w:cs="宋体"/>
          <w:color w:val="auto"/>
          <w:sz w:val="24"/>
          <w:highlight w:val="none"/>
        </w:rPr>
      </w:pPr>
    </w:p>
    <w:p w14:paraId="1708D961">
      <w:pPr>
        <w:spacing w:line="360" w:lineRule="auto"/>
        <w:ind w:firstLine="480" w:firstLineChars="200"/>
        <w:rPr>
          <w:rFonts w:ascii="宋体" w:hAnsi="宋体" w:cs="宋体"/>
          <w:color w:val="auto"/>
          <w:sz w:val="24"/>
          <w:highlight w:val="none"/>
        </w:rPr>
      </w:pPr>
    </w:p>
    <w:p w14:paraId="7A68913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4BC8A0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265132">
      <w:pPr>
        <w:spacing w:line="360" w:lineRule="auto"/>
        <w:ind w:firstLine="480" w:firstLineChars="200"/>
        <w:rPr>
          <w:rFonts w:ascii="宋体" w:hAnsi="宋体" w:cs="宋体"/>
          <w:color w:val="auto"/>
          <w:sz w:val="24"/>
          <w:highlight w:val="none"/>
        </w:rPr>
      </w:pPr>
    </w:p>
    <w:p w14:paraId="6069010E">
      <w:pPr>
        <w:spacing w:line="360" w:lineRule="auto"/>
        <w:ind w:firstLine="420" w:firstLineChars="200"/>
        <w:rPr>
          <w:rFonts w:ascii="宋体" w:hAnsi="宋体" w:cs="宋体"/>
          <w:color w:val="auto"/>
          <w:highlight w:val="none"/>
        </w:rPr>
      </w:pPr>
    </w:p>
    <w:p w14:paraId="1520542B">
      <w:pPr>
        <w:spacing w:line="360" w:lineRule="auto"/>
        <w:ind w:firstLine="420" w:firstLineChars="200"/>
        <w:rPr>
          <w:rFonts w:ascii="宋体" w:hAnsi="宋体" w:cs="宋体"/>
          <w:color w:val="auto"/>
          <w:highlight w:val="none"/>
        </w:rPr>
      </w:pPr>
    </w:p>
    <w:p w14:paraId="26CED478">
      <w:pPr>
        <w:spacing w:line="360" w:lineRule="auto"/>
        <w:ind w:firstLine="420" w:firstLineChars="200"/>
        <w:rPr>
          <w:rFonts w:ascii="宋体" w:hAnsi="宋体" w:cs="宋体"/>
          <w:color w:val="auto"/>
          <w:highlight w:val="none"/>
        </w:rPr>
      </w:pPr>
    </w:p>
    <w:p w14:paraId="3997C2FE">
      <w:pPr>
        <w:spacing w:line="360" w:lineRule="auto"/>
        <w:ind w:firstLine="420" w:firstLineChars="200"/>
        <w:rPr>
          <w:rFonts w:ascii="宋体" w:hAnsi="宋体" w:cs="宋体"/>
          <w:color w:val="auto"/>
          <w:highlight w:val="none"/>
        </w:rPr>
      </w:pPr>
    </w:p>
    <w:p w14:paraId="509B0E5B">
      <w:pPr>
        <w:spacing w:line="360" w:lineRule="auto"/>
        <w:rPr>
          <w:rFonts w:ascii="宋体" w:hAnsi="宋体" w:cs="宋体"/>
          <w:b/>
          <w:color w:val="auto"/>
          <w:sz w:val="24"/>
          <w:highlight w:val="none"/>
        </w:rPr>
      </w:pPr>
    </w:p>
    <w:p w14:paraId="7168F332">
      <w:pPr>
        <w:spacing w:line="360" w:lineRule="auto"/>
        <w:rPr>
          <w:rFonts w:ascii="宋体" w:hAnsi="宋体" w:cs="宋体"/>
          <w:b/>
          <w:color w:val="auto"/>
          <w:sz w:val="24"/>
          <w:highlight w:val="none"/>
        </w:rPr>
      </w:pPr>
    </w:p>
    <w:p w14:paraId="4CEF5235">
      <w:pPr>
        <w:spacing w:line="360" w:lineRule="auto"/>
        <w:rPr>
          <w:rFonts w:ascii="宋体" w:hAnsi="宋体" w:cs="宋体"/>
          <w:b/>
          <w:color w:val="auto"/>
          <w:sz w:val="24"/>
          <w:highlight w:val="none"/>
        </w:rPr>
      </w:pPr>
    </w:p>
    <w:p w14:paraId="041EC216">
      <w:pPr>
        <w:spacing w:line="360" w:lineRule="auto"/>
        <w:rPr>
          <w:rFonts w:ascii="宋体" w:hAnsi="宋体" w:cs="宋体"/>
          <w:b/>
          <w:color w:val="auto"/>
          <w:sz w:val="24"/>
          <w:highlight w:val="none"/>
        </w:rPr>
      </w:pPr>
    </w:p>
    <w:p w14:paraId="6F363439">
      <w:pPr>
        <w:spacing w:line="360" w:lineRule="auto"/>
        <w:rPr>
          <w:rFonts w:ascii="宋体" w:hAnsi="宋体" w:cs="宋体"/>
          <w:b/>
          <w:color w:val="auto"/>
          <w:sz w:val="24"/>
          <w:highlight w:val="none"/>
        </w:rPr>
      </w:pPr>
    </w:p>
    <w:p w14:paraId="1F820A5F">
      <w:pPr>
        <w:spacing w:line="360" w:lineRule="auto"/>
        <w:rPr>
          <w:rFonts w:ascii="宋体" w:hAnsi="宋体" w:cs="宋体"/>
          <w:b/>
          <w:color w:val="auto"/>
          <w:sz w:val="24"/>
          <w:highlight w:val="none"/>
        </w:rPr>
      </w:pPr>
    </w:p>
    <w:p w14:paraId="0321A81D">
      <w:pPr>
        <w:spacing w:line="360" w:lineRule="auto"/>
        <w:rPr>
          <w:rFonts w:ascii="宋体" w:hAnsi="宋体" w:cs="宋体"/>
          <w:b/>
          <w:color w:val="auto"/>
          <w:sz w:val="24"/>
          <w:highlight w:val="none"/>
        </w:rPr>
      </w:pPr>
    </w:p>
    <w:p w14:paraId="2BEAB5CD">
      <w:pPr>
        <w:spacing w:line="360" w:lineRule="auto"/>
        <w:rPr>
          <w:rFonts w:ascii="宋体" w:hAnsi="宋体" w:cs="宋体"/>
          <w:b/>
          <w:color w:val="auto"/>
          <w:sz w:val="24"/>
          <w:highlight w:val="none"/>
        </w:rPr>
      </w:pPr>
    </w:p>
    <w:p w14:paraId="78FF5E50">
      <w:pPr>
        <w:spacing w:line="360" w:lineRule="auto"/>
        <w:rPr>
          <w:rFonts w:ascii="宋体" w:hAnsi="宋体" w:cs="宋体"/>
          <w:b/>
          <w:color w:val="auto"/>
          <w:sz w:val="24"/>
          <w:highlight w:val="none"/>
        </w:rPr>
      </w:pPr>
    </w:p>
    <w:p w14:paraId="3D41F72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475BC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90473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7D2AAF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DE32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B4DB2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EB5E7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0F4A6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6036C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51E62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AA5C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ECF35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55A3D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6B6E2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F900F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C0F2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296D5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80B37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5194B5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3BD27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29DE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9BC7F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E5CF90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B7F78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BA97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7E634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3B8A5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A5951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D789A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ascii="宋体" w:hAnsi="宋体" w:cs="宋体"/>
          <w:color w:val="auto"/>
          <w:sz w:val="30"/>
          <w:szCs w:val="30"/>
          <w:highlight w:val="none"/>
        </w:rPr>
      </w:pPr>
    </w:p>
    <w:p w14:paraId="6BC264B1">
      <w:pPr>
        <w:spacing w:line="360" w:lineRule="auto"/>
        <w:jc w:val="center"/>
        <w:rPr>
          <w:rFonts w:ascii="宋体" w:hAnsi="宋体" w:cs="宋体"/>
          <w:b/>
          <w:color w:val="auto"/>
          <w:spacing w:val="6"/>
          <w:sz w:val="32"/>
          <w:szCs w:val="32"/>
          <w:highlight w:val="none"/>
        </w:rPr>
      </w:pPr>
    </w:p>
    <w:p w14:paraId="0D39F1C2">
      <w:pPr>
        <w:spacing w:line="360" w:lineRule="auto"/>
        <w:jc w:val="center"/>
        <w:rPr>
          <w:rFonts w:ascii="宋体" w:hAnsi="宋体" w:cs="宋体"/>
          <w:b/>
          <w:color w:val="auto"/>
          <w:spacing w:val="6"/>
          <w:sz w:val="32"/>
          <w:szCs w:val="32"/>
          <w:highlight w:val="none"/>
        </w:rPr>
      </w:pPr>
    </w:p>
    <w:p w14:paraId="6537D5D1">
      <w:pPr>
        <w:spacing w:line="360" w:lineRule="auto"/>
        <w:jc w:val="center"/>
        <w:rPr>
          <w:rFonts w:ascii="宋体" w:hAnsi="宋体" w:cs="宋体"/>
          <w:b/>
          <w:color w:val="auto"/>
          <w:spacing w:val="6"/>
          <w:sz w:val="32"/>
          <w:szCs w:val="32"/>
          <w:highlight w:val="none"/>
        </w:rPr>
      </w:pPr>
    </w:p>
    <w:p w14:paraId="6B4E61A4">
      <w:pPr>
        <w:spacing w:line="360" w:lineRule="auto"/>
        <w:jc w:val="center"/>
        <w:rPr>
          <w:rFonts w:ascii="宋体" w:hAnsi="宋体" w:cs="宋体"/>
          <w:b/>
          <w:color w:val="auto"/>
          <w:spacing w:val="6"/>
          <w:sz w:val="32"/>
          <w:szCs w:val="32"/>
          <w:highlight w:val="none"/>
        </w:rPr>
      </w:pPr>
    </w:p>
    <w:p w14:paraId="15696B62">
      <w:pPr>
        <w:spacing w:line="360" w:lineRule="auto"/>
        <w:jc w:val="center"/>
        <w:rPr>
          <w:rFonts w:ascii="宋体" w:hAnsi="宋体" w:cs="宋体"/>
          <w:b/>
          <w:color w:val="auto"/>
          <w:spacing w:val="6"/>
          <w:sz w:val="32"/>
          <w:szCs w:val="32"/>
          <w:highlight w:val="none"/>
        </w:rPr>
      </w:pPr>
    </w:p>
    <w:p w14:paraId="21CAB4FC">
      <w:pPr>
        <w:spacing w:line="360" w:lineRule="auto"/>
        <w:jc w:val="center"/>
        <w:rPr>
          <w:rFonts w:ascii="宋体" w:hAnsi="宋体" w:cs="宋体"/>
          <w:b/>
          <w:color w:val="auto"/>
          <w:spacing w:val="6"/>
          <w:sz w:val="32"/>
          <w:szCs w:val="32"/>
          <w:highlight w:val="none"/>
        </w:rPr>
      </w:pPr>
    </w:p>
    <w:p w14:paraId="35F4098D">
      <w:pPr>
        <w:spacing w:line="360" w:lineRule="auto"/>
        <w:jc w:val="center"/>
        <w:rPr>
          <w:rFonts w:ascii="宋体" w:hAnsi="宋体" w:cs="宋体"/>
          <w:b/>
          <w:color w:val="auto"/>
          <w:spacing w:val="6"/>
          <w:sz w:val="32"/>
          <w:szCs w:val="32"/>
          <w:highlight w:val="none"/>
        </w:rPr>
      </w:pPr>
    </w:p>
    <w:p w14:paraId="71080A65">
      <w:pPr>
        <w:spacing w:line="360" w:lineRule="auto"/>
        <w:jc w:val="left"/>
        <w:rPr>
          <w:rFonts w:hint="eastAsia" w:ascii="宋体" w:hAnsi="宋体" w:cs="宋体"/>
          <w:b/>
          <w:color w:val="auto"/>
          <w:spacing w:val="6"/>
          <w:sz w:val="32"/>
          <w:szCs w:val="32"/>
          <w:highlight w:val="none"/>
        </w:rPr>
      </w:pPr>
    </w:p>
    <w:p w14:paraId="679EBB8B">
      <w:pPr>
        <w:pStyle w:val="79"/>
        <w:rPr>
          <w:rFonts w:hint="eastAsia" w:ascii="宋体" w:hAnsi="宋体" w:cs="宋体"/>
          <w:b/>
          <w:color w:val="auto"/>
          <w:spacing w:val="6"/>
          <w:sz w:val="32"/>
          <w:szCs w:val="32"/>
          <w:highlight w:val="none"/>
        </w:rPr>
      </w:pPr>
    </w:p>
    <w:p w14:paraId="331A6004">
      <w:pPr>
        <w:pStyle w:val="79"/>
        <w:rPr>
          <w:rFonts w:hint="eastAsia" w:ascii="宋体" w:hAnsi="宋体" w:cs="宋体"/>
          <w:b/>
          <w:color w:val="auto"/>
          <w:spacing w:val="6"/>
          <w:sz w:val="32"/>
          <w:szCs w:val="32"/>
          <w:highlight w:val="none"/>
        </w:rPr>
      </w:pPr>
    </w:p>
    <w:p w14:paraId="69CBBC49">
      <w:pPr>
        <w:pStyle w:val="79"/>
        <w:rPr>
          <w:rFonts w:hint="eastAsia" w:ascii="宋体" w:hAnsi="宋体" w:cs="宋体"/>
          <w:b/>
          <w:color w:val="auto"/>
          <w:spacing w:val="6"/>
          <w:sz w:val="32"/>
          <w:szCs w:val="32"/>
          <w:highlight w:val="none"/>
        </w:rPr>
      </w:pPr>
    </w:p>
    <w:p w14:paraId="3E4A0683">
      <w:pPr>
        <w:pStyle w:val="79"/>
        <w:rPr>
          <w:rFonts w:hint="eastAsia" w:ascii="宋体" w:hAnsi="宋体" w:cs="宋体"/>
          <w:b/>
          <w:color w:val="auto"/>
          <w:spacing w:val="6"/>
          <w:sz w:val="32"/>
          <w:szCs w:val="32"/>
          <w:highlight w:val="none"/>
        </w:rPr>
      </w:pPr>
    </w:p>
    <w:p w14:paraId="088232A0">
      <w:pPr>
        <w:pStyle w:val="79"/>
        <w:rPr>
          <w:rFonts w:hint="eastAsia" w:ascii="宋体" w:hAnsi="宋体" w:cs="宋体"/>
          <w:b/>
          <w:color w:val="auto"/>
          <w:spacing w:val="6"/>
          <w:sz w:val="32"/>
          <w:szCs w:val="32"/>
          <w:highlight w:val="none"/>
        </w:rPr>
      </w:pPr>
    </w:p>
    <w:p w14:paraId="20560893">
      <w:pPr>
        <w:pStyle w:val="79"/>
        <w:rPr>
          <w:rFonts w:hint="eastAsia" w:ascii="宋体" w:hAnsi="宋体" w:cs="宋体"/>
          <w:b/>
          <w:color w:val="auto"/>
          <w:spacing w:val="6"/>
          <w:sz w:val="32"/>
          <w:szCs w:val="32"/>
          <w:highlight w:val="none"/>
        </w:rPr>
      </w:pPr>
    </w:p>
    <w:p w14:paraId="508115AB">
      <w:pPr>
        <w:pStyle w:val="79"/>
        <w:rPr>
          <w:rFonts w:hint="eastAsia" w:ascii="宋体" w:hAnsi="宋体" w:cs="宋体"/>
          <w:b/>
          <w:color w:val="auto"/>
          <w:spacing w:val="6"/>
          <w:sz w:val="32"/>
          <w:szCs w:val="32"/>
          <w:highlight w:val="none"/>
        </w:rPr>
      </w:pPr>
    </w:p>
    <w:p w14:paraId="75CD2B04">
      <w:pPr>
        <w:pStyle w:val="79"/>
        <w:rPr>
          <w:rFonts w:hint="eastAsia" w:ascii="宋体" w:hAnsi="宋体" w:cs="宋体"/>
          <w:b/>
          <w:color w:val="auto"/>
          <w:spacing w:val="6"/>
          <w:sz w:val="32"/>
          <w:szCs w:val="32"/>
          <w:highlight w:val="none"/>
        </w:rPr>
      </w:pPr>
    </w:p>
    <w:p w14:paraId="358DC6E5">
      <w:pPr>
        <w:pStyle w:val="79"/>
        <w:rPr>
          <w:rFonts w:hint="eastAsia" w:ascii="宋体" w:hAnsi="宋体" w:cs="宋体"/>
          <w:b/>
          <w:color w:val="auto"/>
          <w:spacing w:val="6"/>
          <w:sz w:val="32"/>
          <w:szCs w:val="32"/>
          <w:highlight w:val="none"/>
        </w:rPr>
      </w:pPr>
    </w:p>
    <w:p w14:paraId="02792FCD">
      <w:pPr>
        <w:pStyle w:val="79"/>
        <w:rPr>
          <w:rFonts w:hint="eastAsia" w:ascii="宋体" w:hAnsi="宋体" w:cs="宋体"/>
          <w:b/>
          <w:color w:val="auto"/>
          <w:spacing w:val="6"/>
          <w:sz w:val="32"/>
          <w:szCs w:val="32"/>
          <w:highlight w:val="none"/>
        </w:rPr>
      </w:pPr>
    </w:p>
    <w:p w14:paraId="2D6800C7">
      <w:pPr>
        <w:spacing w:line="360" w:lineRule="auto"/>
        <w:jc w:val="left"/>
        <w:rPr>
          <w:rFonts w:hint="eastAsia" w:ascii="宋体" w:hAnsi="宋体" w:cs="宋体"/>
          <w:b/>
          <w:color w:val="auto"/>
          <w:spacing w:val="6"/>
          <w:sz w:val="32"/>
          <w:szCs w:val="32"/>
          <w:highlight w:val="none"/>
        </w:rPr>
      </w:pPr>
    </w:p>
    <w:p w14:paraId="28D8BE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8004A02">
      <w:pPr>
        <w:spacing w:line="360" w:lineRule="auto"/>
        <w:jc w:val="center"/>
        <w:rPr>
          <w:rFonts w:ascii="宋体" w:hAnsi="宋体" w:cs="宋体"/>
          <w:b/>
          <w:color w:val="auto"/>
          <w:sz w:val="24"/>
          <w:highlight w:val="none"/>
        </w:rPr>
      </w:pPr>
    </w:p>
    <w:p w14:paraId="6517094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8A03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916E5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67BC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BDD3A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ED12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F9A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FF0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B650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66FCF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88CE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6A4A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7D0285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249A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15A46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D4E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196A8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85F537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60246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CF362A6">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3FF1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6D0E92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1CE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972D70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D8D9E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6EA1D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957561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248CC7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32540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4B4B7E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EA55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523E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8B3C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5B0417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7959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CDE5D0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C0BF78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C77B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F3342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F7BAA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D3D07C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C34396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44849A">
      <w:pPr>
        <w:autoSpaceDE w:val="0"/>
        <w:autoSpaceDN w:val="0"/>
        <w:jc w:val="center"/>
        <w:rPr>
          <w:rFonts w:hint="eastAsia" w:ascii="宋体" w:hAnsi="宋体" w:cs="宋体"/>
          <w:b/>
          <w:color w:val="auto"/>
          <w:spacing w:val="6"/>
          <w:sz w:val="32"/>
          <w:szCs w:val="32"/>
          <w:highlight w:val="none"/>
        </w:rPr>
      </w:pPr>
    </w:p>
    <w:p w14:paraId="408EC060">
      <w:pPr>
        <w:autoSpaceDE w:val="0"/>
        <w:autoSpaceDN w:val="0"/>
        <w:jc w:val="center"/>
        <w:rPr>
          <w:rFonts w:hint="eastAsia" w:ascii="宋体" w:hAnsi="宋体" w:cs="宋体"/>
          <w:b/>
          <w:color w:val="auto"/>
          <w:spacing w:val="6"/>
          <w:sz w:val="32"/>
          <w:szCs w:val="32"/>
          <w:highlight w:val="none"/>
        </w:rPr>
      </w:pPr>
    </w:p>
    <w:p w14:paraId="56329835">
      <w:pPr>
        <w:autoSpaceDE w:val="0"/>
        <w:autoSpaceDN w:val="0"/>
        <w:jc w:val="center"/>
        <w:rPr>
          <w:rFonts w:hint="eastAsia" w:ascii="宋体" w:hAnsi="宋体" w:cs="宋体"/>
          <w:b/>
          <w:color w:val="auto"/>
          <w:spacing w:val="6"/>
          <w:sz w:val="32"/>
          <w:szCs w:val="32"/>
          <w:highlight w:val="none"/>
        </w:rPr>
      </w:pPr>
    </w:p>
    <w:p w14:paraId="7D119640">
      <w:pPr>
        <w:autoSpaceDE w:val="0"/>
        <w:autoSpaceDN w:val="0"/>
        <w:jc w:val="center"/>
        <w:rPr>
          <w:rFonts w:hint="eastAsia" w:ascii="宋体" w:hAnsi="宋体" w:cs="宋体"/>
          <w:b/>
          <w:color w:val="auto"/>
          <w:spacing w:val="6"/>
          <w:sz w:val="32"/>
          <w:szCs w:val="32"/>
          <w:highlight w:val="none"/>
        </w:rPr>
      </w:pPr>
    </w:p>
    <w:p w14:paraId="4D47C138">
      <w:pPr>
        <w:autoSpaceDE w:val="0"/>
        <w:autoSpaceDN w:val="0"/>
        <w:jc w:val="center"/>
        <w:rPr>
          <w:rFonts w:hint="eastAsia" w:ascii="宋体" w:hAnsi="宋体" w:cs="宋体"/>
          <w:b/>
          <w:color w:val="auto"/>
          <w:spacing w:val="6"/>
          <w:sz w:val="32"/>
          <w:szCs w:val="32"/>
          <w:highlight w:val="none"/>
        </w:rPr>
      </w:pPr>
    </w:p>
    <w:p w14:paraId="721D9D59">
      <w:pPr>
        <w:autoSpaceDE w:val="0"/>
        <w:autoSpaceDN w:val="0"/>
        <w:jc w:val="center"/>
        <w:rPr>
          <w:rFonts w:hint="eastAsia" w:ascii="宋体" w:hAnsi="宋体" w:cs="宋体"/>
          <w:b/>
          <w:color w:val="auto"/>
          <w:spacing w:val="6"/>
          <w:sz w:val="32"/>
          <w:szCs w:val="32"/>
          <w:highlight w:val="none"/>
        </w:rPr>
      </w:pPr>
    </w:p>
    <w:p w14:paraId="2A90BEAE">
      <w:pPr>
        <w:autoSpaceDE w:val="0"/>
        <w:autoSpaceDN w:val="0"/>
        <w:jc w:val="center"/>
        <w:rPr>
          <w:rFonts w:hint="eastAsia" w:ascii="宋体" w:hAnsi="宋体" w:cs="宋体"/>
          <w:b/>
          <w:color w:val="auto"/>
          <w:spacing w:val="6"/>
          <w:sz w:val="32"/>
          <w:szCs w:val="32"/>
          <w:highlight w:val="none"/>
        </w:rPr>
      </w:pPr>
    </w:p>
    <w:p w14:paraId="735D837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8D158E">
      <w:pPr>
        <w:spacing w:line="360" w:lineRule="auto"/>
        <w:rPr>
          <w:rFonts w:ascii="宋体" w:hAnsi="宋体" w:cs="宋体"/>
          <w:color w:val="auto"/>
          <w:sz w:val="24"/>
          <w:highlight w:val="none"/>
          <w:u w:val="single"/>
        </w:rPr>
      </w:pPr>
    </w:p>
    <w:p w14:paraId="712BEBE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984859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11F3364">
      <w:pPr>
        <w:spacing w:line="360" w:lineRule="auto"/>
        <w:ind w:firstLine="494"/>
        <w:rPr>
          <w:rFonts w:ascii="宋体" w:hAnsi="宋体" w:cs="宋体"/>
          <w:color w:val="auto"/>
          <w:sz w:val="24"/>
          <w:highlight w:val="none"/>
        </w:rPr>
      </w:pPr>
    </w:p>
    <w:p w14:paraId="45EAD287">
      <w:pPr>
        <w:spacing w:line="360" w:lineRule="auto"/>
        <w:ind w:firstLine="494"/>
        <w:rPr>
          <w:rFonts w:ascii="宋体" w:hAnsi="宋体" w:cs="宋体"/>
          <w:color w:val="auto"/>
          <w:sz w:val="24"/>
          <w:highlight w:val="none"/>
        </w:rPr>
      </w:pPr>
    </w:p>
    <w:p w14:paraId="3CC0F667">
      <w:pPr>
        <w:spacing w:line="360" w:lineRule="auto"/>
        <w:ind w:firstLine="494"/>
        <w:rPr>
          <w:rFonts w:ascii="宋体" w:hAnsi="宋体" w:cs="宋体"/>
          <w:color w:val="auto"/>
          <w:sz w:val="24"/>
          <w:highlight w:val="none"/>
        </w:rPr>
      </w:pPr>
    </w:p>
    <w:p w14:paraId="2456ACE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20A655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DC64793">
      <w:pPr>
        <w:rPr>
          <w:rFonts w:ascii="宋体" w:hAnsi="宋体" w:cs="宋体"/>
          <w:color w:val="auto"/>
          <w:sz w:val="24"/>
          <w:highlight w:val="none"/>
        </w:rPr>
      </w:pPr>
      <w:r>
        <w:rPr>
          <w:rFonts w:hint="eastAsia" w:ascii="宋体" w:hAnsi="宋体" w:cs="宋体"/>
          <w:b/>
          <w:bCs/>
          <w:color w:val="auto"/>
          <w:sz w:val="24"/>
          <w:highlight w:val="none"/>
        </w:rPr>
        <w:t>附：</w:t>
      </w:r>
    </w:p>
    <w:p w14:paraId="49ABE952">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58C6C7D">
      <w:pPr>
        <w:autoSpaceDE w:val="0"/>
        <w:autoSpaceDN w:val="0"/>
        <w:jc w:val="center"/>
        <w:rPr>
          <w:rFonts w:ascii="宋体" w:hAnsi="宋体" w:cs="宋体"/>
          <w:b/>
          <w:color w:val="auto"/>
          <w:spacing w:val="6"/>
          <w:sz w:val="32"/>
          <w:szCs w:val="32"/>
          <w:highlight w:val="none"/>
        </w:rPr>
      </w:pPr>
    </w:p>
    <w:p w14:paraId="4B22CA5D">
      <w:pPr>
        <w:autoSpaceDE w:val="0"/>
        <w:autoSpaceDN w:val="0"/>
        <w:jc w:val="center"/>
        <w:rPr>
          <w:rFonts w:ascii="宋体" w:hAnsi="宋体" w:cs="宋体"/>
          <w:b/>
          <w:color w:val="auto"/>
          <w:spacing w:val="6"/>
          <w:sz w:val="32"/>
          <w:szCs w:val="32"/>
          <w:highlight w:val="none"/>
        </w:rPr>
      </w:pPr>
    </w:p>
    <w:p w14:paraId="6CCB2DCB">
      <w:pPr>
        <w:autoSpaceDE w:val="0"/>
        <w:autoSpaceDN w:val="0"/>
        <w:jc w:val="center"/>
        <w:rPr>
          <w:rFonts w:ascii="宋体" w:hAnsi="宋体" w:cs="宋体"/>
          <w:b/>
          <w:color w:val="auto"/>
          <w:spacing w:val="6"/>
          <w:sz w:val="32"/>
          <w:szCs w:val="32"/>
          <w:highlight w:val="none"/>
        </w:rPr>
      </w:pPr>
    </w:p>
    <w:p w14:paraId="28ACA463">
      <w:pPr>
        <w:autoSpaceDE w:val="0"/>
        <w:autoSpaceDN w:val="0"/>
        <w:jc w:val="center"/>
        <w:rPr>
          <w:rFonts w:ascii="宋体" w:hAnsi="宋体" w:cs="宋体"/>
          <w:b/>
          <w:color w:val="auto"/>
          <w:spacing w:val="6"/>
          <w:sz w:val="32"/>
          <w:szCs w:val="32"/>
          <w:highlight w:val="none"/>
        </w:rPr>
      </w:pPr>
    </w:p>
    <w:p w14:paraId="6585480F">
      <w:pPr>
        <w:autoSpaceDE w:val="0"/>
        <w:autoSpaceDN w:val="0"/>
        <w:jc w:val="center"/>
        <w:rPr>
          <w:rFonts w:ascii="宋体" w:hAnsi="宋体" w:cs="宋体"/>
          <w:b/>
          <w:color w:val="auto"/>
          <w:spacing w:val="6"/>
          <w:sz w:val="32"/>
          <w:szCs w:val="32"/>
          <w:highlight w:val="none"/>
        </w:rPr>
      </w:pPr>
    </w:p>
    <w:p w14:paraId="07D32F1B">
      <w:pPr>
        <w:autoSpaceDE w:val="0"/>
        <w:autoSpaceDN w:val="0"/>
        <w:jc w:val="center"/>
        <w:rPr>
          <w:rFonts w:ascii="宋体" w:hAnsi="宋体" w:cs="宋体"/>
          <w:b/>
          <w:color w:val="auto"/>
          <w:spacing w:val="6"/>
          <w:sz w:val="32"/>
          <w:szCs w:val="32"/>
          <w:highlight w:val="none"/>
        </w:rPr>
      </w:pPr>
    </w:p>
    <w:p w14:paraId="1C069C21">
      <w:pPr>
        <w:autoSpaceDE w:val="0"/>
        <w:autoSpaceDN w:val="0"/>
        <w:jc w:val="center"/>
        <w:rPr>
          <w:rFonts w:ascii="宋体" w:hAnsi="宋体" w:cs="宋体"/>
          <w:b/>
          <w:color w:val="auto"/>
          <w:spacing w:val="6"/>
          <w:sz w:val="32"/>
          <w:szCs w:val="32"/>
          <w:highlight w:val="none"/>
        </w:rPr>
      </w:pPr>
    </w:p>
    <w:p w14:paraId="55BDA3A9">
      <w:pPr>
        <w:autoSpaceDE w:val="0"/>
        <w:autoSpaceDN w:val="0"/>
        <w:jc w:val="center"/>
        <w:rPr>
          <w:rFonts w:ascii="宋体" w:hAnsi="宋体" w:cs="宋体"/>
          <w:b/>
          <w:color w:val="auto"/>
          <w:spacing w:val="6"/>
          <w:sz w:val="32"/>
          <w:szCs w:val="32"/>
          <w:highlight w:val="none"/>
        </w:rPr>
      </w:pPr>
    </w:p>
    <w:p w14:paraId="13654A1A">
      <w:pPr>
        <w:autoSpaceDE w:val="0"/>
        <w:autoSpaceDN w:val="0"/>
        <w:jc w:val="center"/>
        <w:rPr>
          <w:rFonts w:ascii="宋体" w:hAnsi="宋体" w:cs="宋体"/>
          <w:b/>
          <w:color w:val="auto"/>
          <w:spacing w:val="6"/>
          <w:sz w:val="32"/>
          <w:szCs w:val="32"/>
          <w:highlight w:val="none"/>
        </w:rPr>
      </w:pPr>
    </w:p>
    <w:p w14:paraId="5AA45742">
      <w:pPr>
        <w:autoSpaceDE w:val="0"/>
        <w:autoSpaceDN w:val="0"/>
        <w:jc w:val="center"/>
        <w:rPr>
          <w:rFonts w:ascii="宋体" w:hAnsi="宋体" w:cs="宋体"/>
          <w:b/>
          <w:color w:val="auto"/>
          <w:spacing w:val="6"/>
          <w:sz w:val="32"/>
          <w:szCs w:val="32"/>
          <w:highlight w:val="none"/>
        </w:rPr>
      </w:pPr>
    </w:p>
    <w:p w14:paraId="63858715">
      <w:pPr>
        <w:autoSpaceDE w:val="0"/>
        <w:autoSpaceDN w:val="0"/>
        <w:jc w:val="center"/>
        <w:rPr>
          <w:rFonts w:ascii="宋体" w:hAnsi="宋体" w:cs="宋体"/>
          <w:b/>
          <w:color w:val="auto"/>
          <w:spacing w:val="6"/>
          <w:sz w:val="32"/>
          <w:szCs w:val="32"/>
          <w:highlight w:val="none"/>
        </w:rPr>
      </w:pPr>
    </w:p>
    <w:p w14:paraId="6748C9D8">
      <w:pPr>
        <w:autoSpaceDE w:val="0"/>
        <w:autoSpaceDN w:val="0"/>
        <w:jc w:val="center"/>
        <w:rPr>
          <w:rFonts w:ascii="宋体" w:hAnsi="宋体" w:cs="宋体"/>
          <w:b/>
          <w:color w:val="auto"/>
          <w:spacing w:val="6"/>
          <w:sz w:val="32"/>
          <w:szCs w:val="32"/>
          <w:highlight w:val="none"/>
        </w:rPr>
      </w:pPr>
    </w:p>
    <w:p w14:paraId="3C59CE18">
      <w:pPr>
        <w:autoSpaceDE w:val="0"/>
        <w:autoSpaceDN w:val="0"/>
        <w:jc w:val="center"/>
        <w:rPr>
          <w:rFonts w:ascii="宋体" w:hAnsi="宋体" w:cs="宋体"/>
          <w:b/>
          <w:color w:val="auto"/>
          <w:spacing w:val="6"/>
          <w:sz w:val="32"/>
          <w:szCs w:val="32"/>
          <w:highlight w:val="none"/>
        </w:rPr>
      </w:pPr>
    </w:p>
    <w:p w14:paraId="2F4131F5">
      <w:pPr>
        <w:autoSpaceDE w:val="0"/>
        <w:autoSpaceDN w:val="0"/>
        <w:jc w:val="center"/>
        <w:rPr>
          <w:rFonts w:ascii="宋体" w:hAnsi="宋体" w:cs="宋体"/>
          <w:b/>
          <w:color w:val="auto"/>
          <w:spacing w:val="6"/>
          <w:sz w:val="32"/>
          <w:szCs w:val="32"/>
          <w:highlight w:val="none"/>
        </w:rPr>
      </w:pPr>
    </w:p>
    <w:p w14:paraId="1688DF7F">
      <w:pPr>
        <w:snapToGrid w:val="0"/>
        <w:spacing w:line="360" w:lineRule="auto"/>
        <w:jc w:val="center"/>
        <w:outlineLvl w:val="0"/>
        <w:rPr>
          <w:rFonts w:hint="eastAsia" w:ascii="宋体" w:hAnsi="宋体" w:cs="宋体"/>
          <w:b/>
          <w:color w:val="auto"/>
          <w:kern w:val="0"/>
          <w:sz w:val="32"/>
          <w:szCs w:val="32"/>
          <w:highlight w:val="none"/>
        </w:rPr>
      </w:pPr>
    </w:p>
    <w:p w14:paraId="63EFA9D6">
      <w:pPr>
        <w:snapToGrid w:val="0"/>
        <w:spacing w:line="360" w:lineRule="auto"/>
        <w:jc w:val="center"/>
        <w:outlineLvl w:val="0"/>
        <w:rPr>
          <w:rFonts w:hint="eastAsia" w:ascii="宋体" w:hAnsi="宋体" w:cs="宋体"/>
          <w:b/>
          <w:color w:val="auto"/>
          <w:kern w:val="0"/>
          <w:sz w:val="32"/>
          <w:szCs w:val="32"/>
          <w:highlight w:val="none"/>
        </w:rPr>
      </w:pPr>
    </w:p>
    <w:p w14:paraId="156CD80F">
      <w:pPr>
        <w:snapToGrid w:val="0"/>
        <w:spacing w:line="360" w:lineRule="auto"/>
        <w:jc w:val="center"/>
        <w:outlineLvl w:val="0"/>
        <w:rPr>
          <w:rFonts w:hint="eastAsia" w:ascii="宋体" w:hAnsi="宋体" w:cs="宋体"/>
          <w:b/>
          <w:color w:val="auto"/>
          <w:kern w:val="0"/>
          <w:sz w:val="32"/>
          <w:szCs w:val="32"/>
          <w:highlight w:val="none"/>
        </w:rPr>
      </w:pPr>
    </w:p>
    <w:p w14:paraId="0029462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566A8AA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206F9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0EA12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2110DF">
      <w:pPr>
        <w:snapToGrid w:val="0"/>
        <w:spacing w:line="360" w:lineRule="auto"/>
        <w:ind w:firstLine="576"/>
        <w:rPr>
          <w:rFonts w:ascii="宋体" w:hAnsi="宋体" w:cs="宋体"/>
          <w:color w:val="auto"/>
          <w:kern w:val="0"/>
          <w:sz w:val="24"/>
          <w:highlight w:val="none"/>
          <w:lang w:val="zh-CN"/>
        </w:rPr>
      </w:pPr>
      <w:bookmarkStart w:id="55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7BF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C24B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5"/>
    <w:p w14:paraId="2AF48F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F6ACEC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3F25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A314F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DC3B2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F59678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76737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55FA9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DE4AC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19F9D76">
      <w:pPr>
        <w:autoSpaceDE w:val="0"/>
        <w:autoSpaceDN w:val="0"/>
        <w:jc w:val="center"/>
        <w:rPr>
          <w:rFonts w:ascii="宋体" w:hAnsi="宋体" w:cs="宋体"/>
          <w:b/>
          <w:color w:val="auto"/>
          <w:spacing w:val="6"/>
          <w:sz w:val="32"/>
          <w:szCs w:val="32"/>
          <w:highlight w:val="none"/>
        </w:rPr>
      </w:pPr>
    </w:p>
    <w:p w14:paraId="3439256E">
      <w:pPr>
        <w:autoSpaceDE w:val="0"/>
        <w:autoSpaceDN w:val="0"/>
        <w:jc w:val="center"/>
        <w:rPr>
          <w:rFonts w:ascii="宋体" w:hAnsi="宋体" w:cs="宋体"/>
          <w:b/>
          <w:color w:val="auto"/>
          <w:spacing w:val="6"/>
          <w:sz w:val="32"/>
          <w:szCs w:val="32"/>
          <w:highlight w:val="none"/>
        </w:rPr>
      </w:pPr>
    </w:p>
    <w:p w14:paraId="12820784">
      <w:pPr>
        <w:autoSpaceDE w:val="0"/>
        <w:autoSpaceDN w:val="0"/>
        <w:jc w:val="center"/>
        <w:rPr>
          <w:rFonts w:ascii="宋体" w:hAnsi="宋体" w:cs="宋体"/>
          <w:b/>
          <w:color w:val="auto"/>
          <w:spacing w:val="6"/>
          <w:sz w:val="32"/>
          <w:szCs w:val="32"/>
          <w:highlight w:val="none"/>
        </w:rPr>
      </w:pPr>
    </w:p>
    <w:p w14:paraId="427BA43F">
      <w:pPr>
        <w:autoSpaceDE w:val="0"/>
        <w:autoSpaceDN w:val="0"/>
        <w:jc w:val="center"/>
        <w:rPr>
          <w:rFonts w:ascii="宋体" w:hAnsi="宋体" w:cs="宋体"/>
          <w:b/>
          <w:color w:val="auto"/>
          <w:spacing w:val="6"/>
          <w:sz w:val="32"/>
          <w:szCs w:val="32"/>
          <w:highlight w:val="none"/>
        </w:rPr>
      </w:pPr>
    </w:p>
    <w:p w14:paraId="43AC86BE">
      <w:pPr>
        <w:autoSpaceDE w:val="0"/>
        <w:autoSpaceDN w:val="0"/>
        <w:jc w:val="center"/>
        <w:rPr>
          <w:rFonts w:ascii="宋体" w:hAnsi="宋体" w:cs="宋体"/>
          <w:b/>
          <w:color w:val="auto"/>
          <w:spacing w:val="6"/>
          <w:sz w:val="32"/>
          <w:szCs w:val="32"/>
          <w:highlight w:val="none"/>
        </w:rPr>
      </w:pPr>
    </w:p>
    <w:p w14:paraId="6B224CF9">
      <w:pPr>
        <w:autoSpaceDE w:val="0"/>
        <w:autoSpaceDN w:val="0"/>
        <w:jc w:val="center"/>
        <w:rPr>
          <w:rFonts w:ascii="宋体" w:hAnsi="宋体" w:cs="宋体"/>
          <w:b/>
          <w:color w:val="auto"/>
          <w:spacing w:val="6"/>
          <w:sz w:val="32"/>
          <w:szCs w:val="32"/>
          <w:highlight w:val="none"/>
        </w:rPr>
      </w:pPr>
    </w:p>
    <w:p w14:paraId="5DB82FDD">
      <w:pPr>
        <w:autoSpaceDE w:val="0"/>
        <w:autoSpaceDN w:val="0"/>
        <w:jc w:val="center"/>
        <w:rPr>
          <w:rFonts w:ascii="宋体" w:hAnsi="宋体" w:cs="宋体"/>
          <w:b/>
          <w:color w:val="auto"/>
          <w:spacing w:val="6"/>
          <w:sz w:val="32"/>
          <w:szCs w:val="32"/>
          <w:highlight w:val="none"/>
        </w:rPr>
      </w:pPr>
    </w:p>
    <w:p w14:paraId="686BAE51">
      <w:pPr>
        <w:autoSpaceDE w:val="0"/>
        <w:autoSpaceDN w:val="0"/>
        <w:jc w:val="center"/>
        <w:rPr>
          <w:rFonts w:ascii="宋体" w:hAnsi="宋体" w:cs="宋体"/>
          <w:b/>
          <w:color w:val="auto"/>
          <w:spacing w:val="6"/>
          <w:sz w:val="32"/>
          <w:szCs w:val="32"/>
          <w:highlight w:val="none"/>
        </w:rPr>
      </w:pPr>
    </w:p>
    <w:p w14:paraId="1841A55E">
      <w:pPr>
        <w:autoSpaceDE w:val="0"/>
        <w:autoSpaceDN w:val="0"/>
        <w:jc w:val="center"/>
        <w:rPr>
          <w:rFonts w:ascii="宋体" w:hAnsi="宋体" w:cs="宋体"/>
          <w:b/>
          <w:color w:val="auto"/>
          <w:spacing w:val="6"/>
          <w:sz w:val="32"/>
          <w:szCs w:val="32"/>
          <w:highlight w:val="none"/>
        </w:rPr>
      </w:pPr>
    </w:p>
    <w:p w14:paraId="358BCBB8">
      <w:pPr>
        <w:autoSpaceDE w:val="0"/>
        <w:autoSpaceDN w:val="0"/>
        <w:jc w:val="center"/>
        <w:rPr>
          <w:rFonts w:ascii="宋体" w:hAnsi="宋体" w:cs="宋体"/>
          <w:b/>
          <w:color w:val="auto"/>
          <w:spacing w:val="6"/>
          <w:sz w:val="32"/>
          <w:szCs w:val="32"/>
          <w:highlight w:val="none"/>
        </w:rPr>
      </w:pPr>
    </w:p>
    <w:p w14:paraId="717B9948">
      <w:pPr>
        <w:autoSpaceDE w:val="0"/>
        <w:autoSpaceDN w:val="0"/>
        <w:jc w:val="center"/>
        <w:rPr>
          <w:rFonts w:ascii="宋体" w:hAnsi="宋体" w:cs="宋体"/>
          <w:b/>
          <w:color w:val="auto"/>
          <w:spacing w:val="6"/>
          <w:sz w:val="32"/>
          <w:szCs w:val="32"/>
          <w:highlight w:val="none"/>
        </w:rPr>
      </w:pPr>
    </w:p>
    <w:p w14:paraId="30DA9749">
      <w:pPr>
        <w:autoSpaceDE w:val="0"/>
        <w:autoSpaceDN w:val="0"/>
        <w:jc w:val="center"/>
        <w:rPr>
          <w:rFonts w:ascii="宋体" w:hAnsi="宋体" w:cs="宋体"/>
          <w:b/>
          <w:color w:val="auto"/>
          <w:spacing w:val="6"/>
          <w:sz w:val="32"/>
          <w:szCs w:val="32"/>
          <w:highlight w:val="none"/>
        </w:rPr>
      </w:pPr>
    </w:p>
    <w:p w14:paraId="047FAB15">
      <w:pPr>
        <w:autoSpaceDE w:val="0"/>
        <w:autoSpaceDN w:val="0"/>
        <w:jc w:val="center"/>
        <w:rPr>
          <w:rFonts w:ascii="宋体" w:hAnsi="宋体" w:cs="宋体"/>
          <w:b/>
          <w:color w:val="auto"/>
          <w:spacing w:val="6"/>
          <w:sz w:val="32"/>
          <w:szCs w:val="32"/>
          <w:highlight w:val="none"/>
        </w:rPr>
      </w:pPr>
    </w:p>
    <w:p w14:paraId="30D4ED6A">
      <w:pPr>
        <w:autoSpaceDE w:val="0"/>
        <w:autoSpaceDN w:val="0"/>
        <w:jc w:val="center"/>
        <w:rPr>
          <w:rFonts w:ascii="宋体" w:hAnsi="宋体" w:cs="宋体"/>
          <w:b/>
          <w:color w:val="auto"/>
          <w:spacing w:val="6"/>
          <w:sz w:val="32"/>
          <w:szCs w:val="32"/>
          <w:highlight w:val="none"/>
        </w:rPr>
      </w:pPr>
    </w:p>
    <w:p w14:paraId="3B8888D8">
      <w:pPr>
        <w:autoSpaceDE w:val="0"/>
        <w:autoSpaceDN w:val="0"/>
        <w:jc w:val="center"/>
        <w:rPr>
          <w:rFonts w:ascii="宋体" w:hAnsi="宋体" w:cs="宋体"/>
          <w:b/>
          <w:color w:val="auto"/>
          <w:spacing w:val="6"/>
          <w:sz w:val="32"/>
          <w:szCs w:val="32"/>
          <w:highlight w:val="none"/>
        </w:rPr>
      </w:pPr>
    </w:p>
    <w:p w14:paraId="39C0C59E">
      <w:pPr>
        <w:autoSpaceDE w:val="0"/>
        <w:autoSpaceDN w:val="0"/>
        <w:jc w:val="center"/>
        <w:rPr>
          <w:rFonts w:ascii="宋体" w:hAnsi="宋体" w:cs="宋体"/>
          <w:b/>
          <w:color w:val="auto"/>
          <w:spacing w:val="6"/>
          <w:sz w:val="32"/>
          <w:szCs w:val="32"/>
          <w:highlight w:val="none"/>
        </w:rPr>
      </w:pPr>
    </w:p>
    <w:p w14:paraId="0A4221E7">
      <w:pPr>
        <w:autoSpaceDE w:val="0"/>
        <w:autoSpaceDN w:val="0"/>
        <w:jc w:val="center"/>
        <w:rPr>
          <w:rFonts w:ascii="宋体" w:hAnsi="宋体" w:cs="宋体"/>
          <w:b/>
          <w:color w:val="auto"/>
          <w:spacing w:val="6"/>
          <w:sz w:val="32"/>
          <w:szCs w:val="32"/>
          <w:highlight w:val="none"/>
        </w:rPr>
      </w:pPr>
    </w:p>
    <w:p w14:paraId="3B552EF6">
      <w:pPr>
        <w:autoSpaceDE w:val="0"/>
        <w:autoSpaceDN w:val="0"/>
        <w:jc w:val="center"/>
        <w:rPr>
          <w:rFonts w:ascii="宋体" w:hAnsi="宋体" w:cs="宋体"/>
          <w:b/>
          <w:color w:val="auto"/>
          <w:spacing w:val="6"/>
          <w:sz w:val="32"/>
          <w:szCs w:val="32"/>
          <w:highlight w:val="none"/>
        </w:rPr>
      </w:pPr>
    </w:p>
    <w:p w14:paraId="5D8F09DB">
      <w:pPr>
        <w:autoSpaceDE w:val="0"/>
        <w:autoSpaceDN w:val="0"/>
        <w:jc w:val="center"/>
        <w:rPr>
          <w:rFonts w:ascii="宋体" w:hAnsi="宋体" w:cs="宋体"/>
          <w:b/>
          <w:color w:val="auto"/>
          <w:spacing w:val="6"/>
          <w:sz w:val="32"/>
          <w:szCs w:val="32"/>
          <w:highlight w:val="none"/>
        </w:rPr>
      </w:pPr>
    </w:p>
    <w:p w14:paraId="775C461D">
      <w:pPr>
        <w:snapToGrid w:val="0"/>
        <w:spacing w:line="360" w:lineRule="auto"/>
        <w:jc w:val="center"/>
        <w:outlineLvl w:val="0"/>
        <w:rPr>
          <w:rFonts w:hint="eastAsia" w:ascii="宋体" w:hAnsi="宋体" w:cs="宋体"/>
          <w:b/>
          <w:color w:val="auto"/>
          <w:kern w:val="0"/>
          <w:sz w:val="32"/>
          <w:szCs w:val="32"/>
          <w:highlight w:val="none"/>
        </w:rPr>
      </w:pPr>
    </w:p>
    <w:p w14:paraId="3CB68320">
      <w:pPr>
        <w:snapToGrid w:val="0"/>
        <w:spacing w:line="360" w:lineRule="auto"/>
        <w:jc w:val="center"/>
        <w:outlineLvl w:val="0"/>
        <w:rPr>
          <w:rFonts w:hint="eastAsia" w:ascii="宋体" w:hAnsi="宋体" w:cs="宋体"/>
          <w:b/>
          <w:color w:val="auto"/>
          <w:kern w:val="0"/>
          <w:sz w:val="32"/>
          <w:szCs w:val="32"/>
          <w:highlight w:val="none"/>
        </w:rPr>
      </w:pPr>
    </w:p>
    <w:p w14:paraId="3EBD07B0">
      <w:pPr>
        <w:snapToGrid w:val="0"/>
        <w:spacing w:line="360" w:lineRule="auto"/>
        <w:jc w:val="center"/>
        <w:outlineLvl w:val="0"/>
        <w:rPr>
          <w:rFonts w:hint="eastAsia" w:ascii="宋体" w:hAnsi="宋体" w:cs="宋体"/>
          <w:b/>
          <w:color w:val="auto"/>
          <w:kern w:val="0"/>
          <w:sz w:val="32"/>
          <w:szCs w:val="32"/>
          <w:highlight w:val="none"/>
        </w:rPr>
      </w:pPr>
    </w:p>
    <w:p w14:paraId="7C9518E8">
      <w:pPr>
        <w:snapToGrid w:val="0"/>
        <w:spacing w:line="360" w:lineRule="auto"/>
        <w:jc w:val="center"/>
        <w:outlineLvl w:val="0"/>
        <w:rPr>
          <w:rFonts w:hint="eastAsia" w:ascii="宋体" w:hAnsi="宋体" w:cs="宋体"/>
          <w:b/>
          <w:color w:val="auto"/>
          <w:kern w:val="0"/>
          <w:sz w:val="32"/>
          <w:szCs w:val="32"/>
          <w:highlight w:val="none"/>
        </w:rPr>
      </w:pPr>
    </w:p>
    <w:p w14:paraId="4FE637CC">
      <w:pPr>
        <w:snapToGrid w:val="0"/>
        <w:spacing w:line="360" w:lineRule="auto"/>
        <w:jc w:val="center"/>
        <w:outlineLvl w:val="0"/>
        <w:rPr>
          <w:rFonts w:hint="eastAsia" w:ascii="宋体" w:hAnsi="宋体" w:cs="宋体"/>
          <w:b/>
          <w:color w:val="auto"/>
          <w:kern w:val="0"/>
          <w:sz w:val="32"/>
          <w:szCs w:val="32"/>
          <w:highlight w:val="none"/>
        </w:rPr>
      </w:pPr>
    </w:p>
    <w:p w14:paraId="48596C0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267AFCB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7D70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7F855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6DAC6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70A9C1">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54355DB">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1F68C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6"/>
    </w:p>
    <w:p w14:paraId="28E3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C1671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B2E21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A4B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E77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B3B116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CAA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64AE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413C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63FC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3BD66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627636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2FD16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B7AFED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2822C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CE806">
      <w:pPr>
        <w:autoSpaceDE w:val="0"/>
        <w:autoSpaceDN w:val="0"/>
        <w:jc w:val="center"/>
        <w:rPr>
          <w:rFonts w:ascii="宋体" w:hAnsi="宋体" w:cs="宋体"/>
          <w:b/>
          <w:color w:val="auto"/>
          <w:spacing w:val="6"/>
          <w:sz w:val="32"/>
          <w:szCs w:val="32"/>
          <w:highlight w:val="none"/>
        </w:rPr>
      </w:pPr>
    </w:p>
    <w:p w14:paraId="5B905F34">
      <w:pPr>
        <w:autoSpaceDE w:val="0"/>
        <w:autoSpaceDN w:val="0"/>
        <w:jc w:val="center"/>
        <w:rPr>
          <w:rFonts w:ascii="宋体" w:hAnsi="宋体" w:cs="宋体"/>
          <w:b/>
          <w:color w:val="auto"/>
          <w:spacing w:val="6"/>
          <w:sz w:val="32"/>
          <w:szCs w:val="32"/>
          <w:highlight w:val="none"/>
        </w:rPr>
      </w:pPr>
    </w:p>
    <w:p w14:paraId="464E059F">
      <w:pPr>
        <w:autoSpaceDE w:val="0"/>
        <w:autoSpaceDN w:val="0"/>
        <w:jc w:val="center"/>
        <w:rPr>
          <w:rFonts w:ascii="宋体" w:hAnsi="宋体" w:cs="宋体"/>
          <w:b/>
          <w:color w:val="auto"/>
          <w:spacing w:val="6"/>
          <w:sz w:val="32"/>
          <w:szCs w:val="32"/>
          <w:highlight w:val="none"/>
        </w:rPr>
      </w:pPr>
    </w:p>
    <w:p w14:paraId="6848B636">
      <w:pPr>
        <w:autoSpaceDE w:val="0"/>
        <w:autoSpaceDN w:val="0"/>
        <w:jc w:val="center"/>
        <w:rPr>
          <w:rFonts w:ascii="宋体" w:hAnsi="宋体" w:cs="宋体"/>
          <w:b/>
          <w:color w:val="auto"/>
          <w:spacing w:val="6"/>
          <w:sz w:val="32"/>
          <w:szCs w:val="32"/>
          <w:highlight w:val="none"/>
        </w:rPr>
      </w:pPr>
    </w:p>
    <w:p w14:paraId="333EA259">
      <w:pPr>
        <w:autoSpaceDE w:val="0"/>
        <w:autoSpaceDN w:val="0"/>
        <w:jc w:val="center"/>
        <w:rPr>
          <w:rFonts w:ascii="宋体" w:hAnsi="宋体" w:cs="宋体"/>
          <w:b/>
          <w:color w:val="auto"/>
          <w:spacing w:val="6"/>
          <w:sz w:val="32"/>
          <w:szCs w:val="32"/>
          <w:highlight w:val="none"/>
        </w:rPr>
      </w:pPr>
    </w:p>
    <w:p w14:paraId="225CC3AD">
      <w:pPr>
        <w:autoSpaceDE w:val="0"/>
        <w:autoSpaceDN w:val="0"/>
        <w:jc w:val="center"/>
        <w:rPr>
          <w:rFonts w:ascii="宋体" w:hAnsi="宋体" w:cs="宋体"/>
          <w:b/>
          <w:color w:val="auto"/>
          <w:spacing w:val="6"/>
          <w:sz w:val="32"/>
          <w:szCs w:val="32"/>
          <w:highlight w:val="none"/>
        </w:rPr>
      </w:pPr>
    </w:p>
    <w:p w14:paraId="71E5378E">
      <w:pPr>
        <w:autoSpaceDE w:val="0"/>
        <w:autoSpaceDN w:val="0"/>
        <w:jc w:val="center"/>
        <w:rPr>
          <w:rFonts w:ascii="宋体" w:hAnsi="宋体" w:cs="宋体"/>
          <w:b/>
          <w:color w:val="auto"/>
          <w:spacing w:val="6"/>
          <w:sz w:val="32"/>
          <w:szCs w:val="32"/>
          <w:highlight w:val="none"/>
        </w:rPr>
      </w:pPr>
    </w:p>
    <w:p w14:paraId="3DBCCCE3">
      <w:pPr>
        <w:autoSpaceDE w:val="0"/>
        <w:autoSpaceDN w:val="0"/>
        <w:jc w:val="center"/>
        <w:rPr>
          <w:rFonts w:ascii="宋体" w:hAnsi="宋体" w:cs="宋体"/>
          <w:b/>
          <w:color w:val="auto"/>
          <w:spacing w:val="6"/>
          <w:sz w:val="32"/>
          <w:szCs w:val="32"/>
          <w:highlight w:val="none"/>
        </w:rPr>
      </w:pPr>
    </w:p>
    <w:p w14:paraId="2D440E16">
      <w:pPr>
        <w:autoSpaceDE w:val="0"/>
        <w:autoSpaceDN w:val="0"/>
        <w:jc w:val="center"/>
        <w:rPr>
          <w:rFonts w:ascii="宋体" w:hAnsi="宋体" w:cs="宋体"/>
          <w:b/>
          <w:color w:val="auto"/>
          <w:spacing w:val="6"/>
          <w:sz w:val="32"/>
          <w:szCs w:val="32"/>
          <w:highlight w:val="none"/>
        </w:rPr>
      </w:pPr>
    </w:p>
    <w:p w14:paraId="595F5197">
      <w:pPr>
        <w:autoSpaceDE w:val="0"/>
        <w:autoSpaceDN w:val="0"/>
        <w:jc w:val="center"/>
        <w:rPr>
          <w:rFonts w:ascii="宋体" w:hAnsi="宋体" w:cs="宋体"/>
          <w:b/>
          <w:color w:val="auto"/>
          <w:spacing w:val="6"/>
          <w:sz w:val="32"/>
          <w:szCs w:val="32"/>
          <w:highlight w:val="none"/>
        </w:rPr>
      </w:pPr>
    </w:p>
    <w:p w14:paraId="09F455F7">
      <w:pPr>
        <w:autoSpaceDE w:val="0"/>
        <w:autoSpaceDN w:val="0"/>
        <w:jc w:val="center"/>
        <w:rPr>
          <w:rFonts w:ascii="宋体" w:hAnsi="宋体" w:cs="宋体"/>
          <w:b/>
          <w:color w:val="auto"/>
          <w:spacing w:val="6"/>
          <w:sz w:val="32"/>
          <w:szCs w:val="32"/>
          <w:highlight w:val="none"/>
        </w:rPr>
      </w:pPr>
    </w:p>
    <w:p w14:paraId="0C8AF144">
      <w:pPr>
        <w:autoSpaceDE w:val="0"/>
        <w:autoSpaceDN w:val="0"/>
        <w:jc w:val="center"/>
        <w:rPr>
          <w:rFonts w:ascii="宋体" w:hAnsi="宋体" w:cs="宋体"/>
          <w:b/>
          <w:color w:val="auto"/>
          <w:spacing w:val="6"/>
          <w:sz w:val="32"/>
          <w:szCs w:val="32"/>
          <w:highlight w:val="none"/>
        </w:rPr>
      </w:pPr>
    </w:p>
    <w:p w14:paraId="3DDF4D4B">
      <w:pPr>
        <w:autoSpaceDE w:val="0"/>
        <w:autoSpaceDN w:val="0"/>
        <w:jc w:val="center"/>
        <w:rPr>
          <w:rFonts w:ascii="宋体" w:hAnsi="宋体" w:cs="宋体"/>
          <w:b/>
          <w:color w:val="auto"/>
          <w:spacing w:val="6"/>
          <w:sz w:val="32"/>
          <w:szCs w:val="32"/>
          <w:highlight w:val="none"/>
        </w:rPr>
      </w:pPr>
    </w:p>
    <w:p w14:paraId="2407F8AD">
      <w:pPr>
        <w:autoSpaceDE w:val="0"/>
        <w:autoSpaceDN w:val="0"/>
        <w:jc w:val="center"/>
        <w:rPr>
          <w:rFonts w:ascii="宋体" w:hAnsi="宋体" w:cs="宋体"/>
          <w:b/>
          <w:color w:val="auto"/>
          <w:spacing w:val="6"/>
          <w:sz w:val="32"/>
          <w:szCs w:val="32"/>
          <w:highlight w:val="none"/>
        </w:rPr>
      </w:pPr>
    </w:p>
    <w:p w14:paraId="2E13D74E">
      <w:pPr>
        <w:autoSpaceDE w:val="0"/>
        <w:autoSpaceDN w:val="0"/>
        <w:jc w:val="center"/>
        <w:rPr>
          <w:rFonts w:ascii="宋体" w:hAnsi="宋体" w:cs="宋体"/>
          <w:b/>
          <w:color w:val="auto"/>
          <w:spacing w:val="6"/>
          <w:sz w:val="32"/>
          <w:szCs w:val="32"/>
          <w:highlight w:val="none"/>
        </w:rPr>
      </w:pPr>
    </w:p>
    <w:p w14:paraId="2945FAAE">
      <w:pPr>
        <w:autoSpaceDE w:val="0"/>
        <w:autoSpaceDN w:val="0"/>
        <w:jc w:val="center"/>
        <w:rPr>
          <w:rFonts w:ascii="宋体" w:hAnsi="宋体" w:cs="宋体"/>
          <w:b/>
          <w:color w:val="auto"/>
          <w:spacing w:val="6"/>
          <w:sz w:val="32"/>
          <w:szCs w:val="32"/>
          <w:highlight w:val="none"/>
        </w:rPr>
      </w:pPr>
    </w:p>
    <w:p w14:paraId="3E579CF1">
      <w:pPr>
        <w:autoSpaceDE w:val="0"/>
        <w:autoSpaceDN w:val="0"/>
        <w:jc w:val="center"/>
        <w:rPr>
          <w:rFonts w:ascii="宋体" w:hAnsi="宋体" w:cs="宋体"/>
          <w:b/>
          <w:color w:val="auto"/>
          <w:spacing w:val="6"/>
          <w:sz w:val="32"/>
          <w:szCs w:val="32"/>
          <w:highlight w:val="none"/>
        </w:rPr>
      </w:pPr>
    </w:p>
    <w:p w14:paraId="06569EC4">
      <w:pPr>
        <w:autoSpaceDE w:val="0"/>
        <w:autoSpaceDN w:val="0"/>
        <w:jc w:val="center"/>
        <w:rPr>
          <w:rFonts w:ascii="宋体" w:hAnsi="宋体" w:cs="宋体"/>
          <w:b/>
          <w:color w:val="auto"/>
          <w:spacing w:val="6"/>
          <w:sz w:val="32"/>
          <w:szCs w:val="32"/>
          <w:highlight w:val="none"/>
        </w:rPr>
      </w:pPr>
    </w:p>
    <w:p w14:paraId="1CE9FD6E">
      <w:pPr>
        <w:autoSpaceDE w:val="0"/>
        <w:autoSpaceDN w:val="0"/>
        <w:jc w:val="center"/>
        <w:rPr>
          <w:rFonts w:ascii="宋体" w:hAnsi="宋体" w:cs="宋体"/>
          <w:b/>
          <w:color w:val="auto"/>
          <w:spacing w:val="6"/>
          <w:sz w:val="32"/>
          <w:szCs w:val="32"/>
          <w:highlight w:val="none"/>
        </w:rPr>
      </w:pPr>
    </w:p>
    <w:p w14:paraId="1ED5C22A">
      <w:pPr>
        <w:autoSpaceDE w:val="0"/>
        <w:autoSpaceDN w:val="0"/>
        <w:jc w:val="center"/>
        <w:rPr>
          <w:rFonts w:ascii="宋体" w:hAnsi="宋体" w:cs="宋体"/>
          <w:b/>
          <w:color w:val="auto"/>
          <w:spacing w:val="6"/>
          <w:sz w:val="32"/>
          <w:szCs w:val="32"/>
          <w:highlight w:val="none"/>
        </w:rPr>
      </w:pPr>
    </w:p>
    <w:p w14:paraId="030F513C">
      <w:pPr>
        <w:autoSpaceDE w:val="0"/>
        <w:autoSpaceDN w:val="0"/>
        <w:jc w:val="center"/>
        <w:rPr>
          <w:rFonts w:ascii="宋体" w:hAnsi="宋体" w:cs="宋体"/>
          <w:b/>
          <w:color w:val="auto"/>
          <w:spacing w:val="6"/>
          <w:sz w:val="32"/>
          <w:szCs w:val="32"/>
          <w:highlight w:val="none"/>
        </w:rPr>
      </w:pPr>
    </w:p>
    <w:p w14:paraId="00FEFF03">
      <w:pPr>
        <w:autoSpaceDE w:val="0"/>
        <w:autoSpaceDN w:val="0"/>
        <w:jc w:val="center"/>
        <w:rPr>
          <w:rFonts w:ascii="宋体" w:hAnsi="宋体" w:cs="宋体"/>
          <w:b/>
          <w:color w:val="auto"/>
          <w:spacing w:val="6"/>
          <w:sz w:val="32"/>
          <w:szCs w:val="32"/>
          <w:highlight w:val="none"/>
        </w:rPr>
      </w:pPr>
    </w:p>
    <w:p w14:paraId="0DC6B0AE">
      <w:pPr>
        <w:autoSpaceDE w:val="0"/>
        <w:autoSpaceDN w:val="0"/>
        <w:jc w:val="center"/>
        <w:rPr>
          <w:rFonts w:ascii="宋体" w:hAnsi="宋体" w:cs="宋体"/>
          <w:b/>
          <w:color w:val="auto"/>
          <w:spacing w:val="6"/>
          <w:sz w:val="32"/>
          <w:szCs w:val="32"/>
          <w:highlight w:val="none"/>
        </w:rPr>
      </w:pPr>
    </w:p>
    <w:p w14:paraId="35F3C2C2">
      <w:pPr>
        <w:autoSpaceDE w:val="0"/>
        <w:autoSpaceDN w:val="0"/>
        <w:jc w:val="center"/>
        <w:rPr>
          <w:rFonts w:ascii="宋体" w:hAnsi="宋体" w:cs="宋体"/>
          <w:b/>
          <w:color w:val="auto"/>
          <w:spacing w:val="6"/>
          <w:sz w:val="32"/>
          <w:szCs w:val="32"/>
          <w:highlight w:val="none"/>
        </w:rPr>
      </w:pPr>
    </w:p>
    <w:p w14:paraId="403C4FEB">
      <w:pPr>
        <w:autoSpaceDE w:val="0"/>
        <w:autoSpaceDN w:val="0"/>
        <w:jc w:val="center"/>
        <w:rPr>
          <w:rFonts w:ascii="宋体" w:hAnsi="宋体" w:cs="宋体"/>
          <w:b/>
          <w:color w:val="auto"/>
          <w:spacing w:val="6"/>
          <w:sz w:val="32"/>
          <w:szCs w:val="32"/>
          <w:highlight w:val="none"/>
        </w:rPr>
      </w:pPr>
    </w:p>
    <w:p w14:paraId="10BE4C71">
      <w:pPr>
        <w:autoSpaceDE w:val="0"/>
        <w:autoSpaceDN w:val="0"/>
        <w:jc w:val="center"/>
        <w:rPr>
          <w:rFonts w:ascii="宋体" w:hAnsi="宋体" w:cs="宋体"/>
          <w:b/>
          <w:color w:val="auto"/>
          <w:spacing w:val="6"/>
          <w:sz w:val="32"/>
          <w:szCs w:val="32"/>
          <w:highlight w:val="none"/>
        </w:rPr>
      </w:pPr>
    </w:p>
    <w:p w14:paraId="0F452991">
      <w:pPr>
        <w:autoSpaceDE w:val="0"/>
        <w:autoSpaceDN w:val="0"/>
        <w:jc w:val="center"/>
        <w:rPr>
          <w:rFonts w:ascii="宋体" w:hAnsi="宋体" w:cs="宋体"/>
          <w:b/>
          <w:color w:val="auto"/>
          <w:spacing w:val="6"/>
          <w:sz w:val="32"/>
          <w:szCs w:val="32"/>
          <w:highlight w:val="none"/>
        </w:rPr>
      </w:pPr>
    </w:p>
    <w:p w14:paraId="68A9A0D5">
      <w:pPr>
        <w:autoSpaceDE w:val="0"/>
        <w:autoSpaceDN w:val="0"/>
        <w:jc w:val="center"/>
        <w:rPr>
          <w:rFonts w:ascii="宋体" w:hAnsi="宋体" w:cs="宋体"/>
          <w:b/>
          <w:color w:val="auto"/>
          <w:spacing w:val="6"/>
          <w:sz w:val="32"/>
          <w:szCs w:val="32"/>
          <w:highlight w:val="none"/>
        </w:rPr>
      </w:pPr>
    </w:p>
    <w:p w14:paraId="4C3B2BB9">
      <w:pPr>
        <w:autoSpaceDE w:val="0"/>
        <w:autoSpaceDN w:val="0"/>
        <w:jc w:val="center"/>
        <w:rPr>
          <w:rFonts w:ascii="宋体" w:hAnsi="宋体" w:cs="宋体"/>
          <w:b/>
          <w:color w:val="auto"/>
          <w:spacing w:val="6"/>
          <w:sz w:val="32"/>
          <w:szCs w:val="32"/>
          <w:highlight w:val="none"/>
        </w:rPr>
      </w:pPr>
    </w:p>
    <w:p w14:paraId="299E145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44508A8D">
      <w:pPr>
        <w:spacing w:line="360" w:lineRule="auto"/>
        <w:jc w:val="center"/>
        <w:rPr>
          <w:rFonts w:ascii="宋体" w:hAnsi="宋体" w:cs="宋体"/>
          <w:color w:val="auto"/>
          <w:sz w:val="24"/>
          <w:highlight w:val="none"/>
          <w:u w:val="single"/>
        </w:rPr>
      </w:pPr>
    </w:p>
    <w:p w14:paraId="7A0BF0E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E59EF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FFF45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A4260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E3E83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DA68E6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ascii="宋体" w:hAnsi="宋体" w:cs="宋体"/>
          <w:b/>
          <w:color w:val="auto"/>
          <w:sz w:val="32"/>
          <w:szCs w:val="32"/>
          <w:highlight w:val="none"/>
        </w:rPr>
      </w:pPr>
    </w:p>
    <w:p w14:paraId="15C1ABDB">
      <w:pPr>
        <w:spacing w:line="360" w:lineRule="auto"/>
        <w:jc w:val="center"/>
        <w:rPr>
          <w:rFonts w:ascii="宋体" w:hAnsi="宋体" w:cs="宋体"/>
          <w:b/>
          <w:color w:val="auto"/>
          <w:sz w:val="32"/>
          <w:szCs w:val="32"/>
          <w:highlight w:val="none"/>
        </w:rPr>
      </w:pPr>
    </w:p>
    <w:p w14:paraId="26DF2A2B">
      <w:pPr>
        <w:spacing w:line="360" w:lineRule="auto"/>
        <w:jc w:val="center"/>
        <w:rPr>
          <w:rFonts w:ascii="宋体" w:hAnsi="宋体" w:cs="宋体"/>
          <w:b/>
          <w:color w:val="auto"/>
          <w:sz w:val="32"/>
          <w:szCs w:val="32"/>
          <w:highlight w:val="none"/>
        </w:rPr>
      </w:pPr>
    </w:p>
    <w:p w14:paraId="539C02F9">
      <w:pPr>
        <w:spacing w:line="360" w:lineRule="auto"/>
        <w:jc w:val="center"/>
        <w:rPr>
          <w:rFonts w:ascii="宋体" w:hAnsi="宋体" w:cs="宋体"/>
          <w:b/>
          <w:color w:val="auto"/>
          <w:sz w:val="32"/>
          <w:szCs w:val="32"/>
          <w:highlight w:val="none"/>
        </w:rPr>
      </w:pPr>
    </w:p>
    <w:p w14:paraId="2557C418">
      <w:pPr>
        <w:spacing w:line="360" w:lineRule="auto"/>
        <w:jc w:val="center"/>
        <w:rPr>
          <w:rFonts w:ascii="宋体" w:hAnsi="宋体" w:cs="宋体"/>
          <w:b/>
          <w:color w:val="auto"/>
          <w:sz w:val="32"/>
          <w:szCs w:val="32"/>
          <w:highlight w:val="none"/>
        </w:rPr>
      </w:pPr>
    </w:p>
    <w:p w14:paraId="0BC7EDAD">
      <w:pPr>
        <w:pStyle w:val="27"/>
        <w:ind w:left="0" w:leftChars="0" w:firstLine="0" w:firstLineChars="0"/>
        <w:rPr>
          <w:rFonts w:hint="eastAsia" w:cs="仿宋_GB2312" w:asciiTheme="minorEastAsia" w:hAnsiTheme="minorEastAsia" w:eastAsiaTheme="minorEastAsia"/>
          <w:b/>
          <w:color w:val="auto"/>
          <w:kern w:val="2"/>
          <w:sz w:val="32"/>
          <w:szCs w:val="32"/>
          <w:highlight w:val="none"/>
          <w:lang w:val="en-US" w:eastAsia="zh-CN" w:bidi="ar-SA"/>
        </w:rPr>
      </w:pPr>
      <w:r>
        <w:rPr>
          <w:rFonts w:hint="eastAsia" w:cs="仿宋_GB2312" w:asciiTheme="minorEastAsia" w:hAnsiTheme="minorEastAsia" w:eastAsiaTheme="minorEastAsia"/>
          <w:b/>
          <w:color w:val="auto"/>
          <w:kern w:val="2"/>
          <w:sz w:val="32"/>
          <w:szCs w:val="32"/>
          <w:highlight w:val="none"/>
          <w:lang w:val="en-US" w:eastAsia="zh-CN" w:bidi="ar-SA"/>
        </w:rPr>
        <w:t>附件8：中小企业划型标准</w:t>
      </w:r>
    </w:p>
    <w:p w14:paraId="67D0CA5A">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各行业划型标准为：</w:t>
      </w:r>
    </w:p>
    <w:p w14:paraId="4347DAA5">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249D9BE7">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CFC0C92">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9E5736">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B2F0F06">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00591E7">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76E26F">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635B7B0">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328841D">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FC6AF2A">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C800068">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9BE4F8">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8465821">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A6218C7">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689307">
      <w:pPr>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34FAA8">
      <w:pPr>
        <w:spacing w:line="360" w:lineRule="auto"/>
        <w:rPr>
          <w:rFonts w:hint="eastAsia"/>
          <w:color w:val="auto"/>
          <w:highlight w:val="none"/>
          <w:lang w:val="en-US" w:eastAsia="zh-CN"/>
        </w:rPr>
      </w:pP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6028D8D">
      <w:pPr>
        <w:pStyle w:val="24"/>
        <w:jc w:val="both"/>
        <w:rPr>
          <w:rFonts w:hint="eastAsia" w:asciiTheme="minorEastAsia" w:hAnsiTheme="minorEastAsia" w:eastAsiaTheme="minorEastAsia" w:cstheme="minorEastAsia"/>
          <w:b/>
          <w:sz w:val="32"/>
          <w:szCs w:val="32"/>
        </w:rPr>
      </w:pPr>
    </w:p>
    <w:p w14:paraId="74FB71C3">
      <w:pPr>
        <w:pStyle w:val="24"/>
        <w:jc w:val="both"/>
        <w:rPr>
          <w:rFonts w:hint="eastAsia" w:asciiTheme="minorEastAsia" w:hAnsiTheme="minorEastAsia" w:eastAsiaTheme="minorEastAsia" w:cstheme="minorEastAsia"/>
          <w:b/>
          <w:sz w:val="32"/>
          <w:szCs w:val="32"/>
        </w:rPr>
      </w:pPr>
    </w:p>
    <w:p w14:paraId="2B629121">
      <w:pPr>
        <w:pStyle w:val="24"/>
        <w:jc w:val="both"/>
        <w:rPr>
          <w:rFonts w:hint="eastAsia" w:asciiTheme="minorEastAsia" w:hAnsiTheme="minorEastAsia" w:eastAsiaTheme="minorEastAsia" w:cstheme="minorEastAsia"/>
          <w:b/>
          <w:sz w:val="32"/>
          <w:szCs w:val="32"/>
        </w:rPr>
      </w:pPr>
    </w:p>
    <w:p w14:paraId="2E466968">
      <w:pPr>
        <w:pStyle w:val="24"/>
        <w:jc w:val="both"/>
        <w:rPr>
          <w:rFonts w:hint="eastAsia" w:asciiTheme="minorEastAsia" w:hAnsiTheme="minorEastAsia" w:eastAsiaTheme="minorEastAsia" w:cstheme="minorEastAsia"/>
          <w:b/>
          <w:sz w:val="32"/>
          <w:szCs w:val="32"/>
        </w:rPr>
      </w:pPr>
    </w:p>
    <w:p w14:paraId="3000494E">
      <w:pPr>
        <w:pStyle w:val="24"/>
        <w:jc w:val="both"/>
        <w:rPr>
          <w:rFonts w:hint="eastAsia" w:asciiTheme="minorEastAsia" w:hAnsiTheme="minorEastAsia" w:eastAsiaTheme="minorEastAsia" w:cstheme="minorEastAsia"/>
          <w:b/>
          <w:sz w:val="32"/>
          <w:szCs w:val="32"/>
        </w:rPr>
      </w:pPr>
    </w:p>
    <w:p w14:paraId="3538C82A">
      <w:pPr>
        <w:pStyle w:val="24"/>
        <w:jc w:val="both"/>
        <w:rPr>
          <w:rFonts w:hint="eastAsia" w:asciiTheme="minorEastAsia" w:hAnsiTheme="minorEastAsia" w:eastAsiaTheme="minorEastAsia" w:cstheme="minorEastAsia"/>
          <w:b/>
          <w:sz w:val="32"/>
          <w:szCs w:val="32"/>
        </w:rPr>
      </w:pPr>
    </w:p>
    <w:p w14:paraId="369F1DCC">
      <w:pPr>
        <w:pStyle w:val="24"/>
        <w:jc w:val="both"/>
        <w:rPr>
          <w:rFonts w:hint="eastAsia" w:asciiTheme="minorEastAsia" w:hAnsiTheme="minorEastAsia" w:eastAsiaTheme="minorEastAsia" w:cstheme="minorEastAsia"/>
          <w:b/>
          <w:sz w:val="32"/>
          <w:szCs w:val="32"/>
        </w:rPr>
      </w:pPr>
    </w:p>
    <w:p w14:paraId="13698314">
      <w:pPr>
        <w:pStyle w:val="24"/>
        <w:jc w:val="both"/>
        <w:rPr>
          <w:rFonts w:hint="eastAsia" w:asciiTheme="minorEastAsia" w:hAnsiTheme="minorEastAsia" w:eastAsiaTheme="minorEastAsia" w:cstheme="minorEastAsia"/>
          <w:b/>
          <w:sz w:val="32"/>
          <w:szCs w:val="32"/>
        </w:rPr>
      </w:pPr>
    </w:p>
    <w:p w14:paraId="798FF38C">
      <w:pPr>
        <w:pStyle w:val="24"/>
        <w:jc w:val="both"/>
        <w:rPr>
          <w:rFonts w:hint="eastAsia" w:asciiTheme="minorEastAsia" w:hAnsiTheme="minorEastAsia" w:eastAsiaTheme="minorEastAsia" w:cstheme="minorEastAsia"/>
          <w:b/>
          <w:sz w:val="32"/>
          <w:szCs w:val="32"/>
        </w:rPr>
      </w:pPr>
    </w:p>
    <w:p w14:paraId="720BA36A">
      <w:pPr>
        <w:pStyle w:val="24"/>
        <w:jc w:val="both"/>
        <w:rPr>
          <w:rFonts w:hint="eastAsia" w:asciiTheme="minorEastAsia" w:hAnsiTheme="minorEastAsia" w:eastAsiaTheme="minorEastAsia" w:cstheme="minorEastAsia"/>
          <w:b/>
          <w:sz w:val="32"/>
          <w:szCs w:val="32"/>
        </w:rPr>
      </w:pPr>
    </w:p>
    <w:p w14:paraId="43C25960">
      <w:pPr>
        <w:pStyle w:val="24"/>
        <w:jc w:val="both"/>
        <w:rPr>
          <w:rFonts w:hint="eastAsia" w:asciiTheme="minorEastAsia" w:hAnsiTheme="minorEastAsia" w:eastAsiaTheme="minorEastAsia" w:cstheme="minorEastAsia"/>
          <w:b/>
          <w:sz w:val="32"/>
          <w:szCs w:val="32"/>
        </w:rPr>
      </w:pPr>
    </w:p>
    <w:p w14:paraId="3B026339">
      <w:pPr>
        <w:pStyle w:val="24"/>
        <w:jc w:val="both"/>
        <w:rPr>
          <w:rFonts w:hint="eastAsia" w:asciiTheme="minorEastAsia" w:hAnsiTheme="minorEastAsia" w:eastAsiaTheme="minorEastAsia" w:cstheme="minorEastAsia"/>
          <w:b/>
          <w:sz w:val="32"/>
          <w:szCs w:val="32"/>
        </w:rPr>
      </w:pPr>
    </w:p>
    <w:p w14:paraId="344827EB">
      <w:pPr>
        <w:pStyle w:val="24"/>
        <w:jc w:val="both"/>
        <w:rPr>
          <w:rFonts w:hint="eastAsia" w:asciiTheme="minorEastAsia" w:hAnsiTheme="minorEastAsia" w:eastAsiaTheme="minorEastAsia" w:cstheme="minorEastAsia"/>
          <w:b/>
          <w:sz w:val="32"/>
          <w:szCs w:val="32"/>
        </w:rPr>
      </w:pPr>
    </w:p>
    <w:p w14:paraId="1D2C30E0">
      <w:pPr>
        <w:pStyle w:val="24"/>
        <w:jc w:val="both"/>
        <w:rPr>
          <w:rFonts w:hint="eastAsia" w:asciiTheme="minorEastAsia" w:hAnsiTheme="minorEastAsia" w:eastAsiaTheme="minorEastAsia" w:cstheme="minorEastAsia"/>
          <w:b/>
          <w:sz w:val="32"/>
          <w:szCs w:val="32"/>
        </w:rPr>
      </w:pPr>
    </w:p>
    <w:p w14:paraId="2DDA4F9F">
      <w:pPr>
        <w:pStyle w:val="24"/>
        <w:jc w:val="both"/>
        <w:rPr>
          <w:rFonts w:hint="eastAsia" w:asciiTheme="minorEastAsia" w:hAnsiTheme="minorEastAsia" w:eastAsiaTheme="minorEastAsia" w:cstheme="minorEastAsia"/>
          <w:b/>
          <w:sz w:val="32"/>
          <w:szCs w:val="32"/>
        </w:rPr>
      </w:pPr>
    </w:p>
    <w:p w14:paraId="7A8FE3A3">
      <w:pPr>
        <w:pStyle w:val="24"/>
        <w:jc w:val="both"/>
        <w:rPr>
          <w:rFonts w:hint="eastAsia" w:asciiTheme="minorEastAsia" w:hAnsiTheme="minorEastAsia" w:eastAsiaTheme="minorEastAsia" w:cstheme="minorEastAsia"/>
          <w:b/>
          <w:sz w:val="32"/>
          <w:szCs w:val="32"/>
        </w:rPr>
      </w:pPr>
    </w:p>
    <w:p w14:paraId="6711EA77">
      <w:pPr>
        <w:pStyle w:val="24"/>
        <w:jc w:val="both"/>
        <w:rPr>
          <w:rFonts w:hint="eastAsia" w:asciiTheme="minorEastAsia" w:hAnsiTheme="minorEastAsia" w:eastAsiaTheme="minorEastAsia" w:cstheme="minorEastAsia"/>
          <w:b/>
          <w:sz w:val="32"/>
          <w:szCs w:val="32"/>
        </w:rPr>
      </w:pPr>
    </w:p>
    <w:p w14:paraId="468F13E0">
      <w:pPr>
        <w:pStyle w:val="24"/>
        <w:jc w:val="both"/>
        <w:rPr>
          <w:rFonts w:hint="eastAsia" w:asciiTheme="minorEastAsia" w:hAnsiTheme="minorEastAsia" w:eastAsiaTheme="minorEastAsia" w:cstheme="minorEastAsia"/>
          <w:b/>
          <w:sz w:val="32"/>
          <w:szCs w:val="32"/>
        </w:rPr>
      </w:pPr>
    </w:p>
    <w:p w14:paraId="365F726D">
      <w:pPr>
        <w:pStyle w:val="24"/>
        <w:jc w:val="both"/>
        <w:rPr>
          <w:rFonts w:hint="eastAsia" w:asciiTheme="minorEastAsia" w:hAnsiTheme="minorEastAsia" w:eastAsiaTheme="minorEastAsia" w:cstheme="minorEastAsia"/>
          <w:b/>
          <w:sz w:val="32"/>
          <w:szCs w:val="32"/>
        </w:rPr>
      </w:pPr>
    </w:p>
    <w:p w14:paraId="76F02DA4">
      <w:pPr>
        <w:pStyle w:val="24"/>
        <w:jc w:val="both"/>
        <w:rPr>
          <w:rFonts w:hint="eastAsia" w:asciiTheme="minorEastAsia" w:hAnsiTheme="minorEastAsia" w:eastAsiaTheme="minorEastAsia" w:cstheme="minorEastAsia"/>
          <w:b/>
          <w:sz w:val="32"/>
          <w:szCs w:val="32"/>
        </w:rPr>
      </w:pPr>
    </w:p>
    <w:p w14:paraId="158A5452">
      <w:pPr>
        <w:pStyle w:val="24"/>
        <w:jc w:val="both"/>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附件</w:t>
      </w:r>
      <w:r>
        <w:rPr>
          <w:rFonts w:hint="eastAsia" w:asciiTheme="minorEastAsia" w:hAnsiTheme="minorEastAsia" w:eastAsiaTheme="minorEastAsia" w:cstheme="minorEastAsia"/>
          <w:b/>
          <w:sz w:val="32"/>
          <w:szCs w:val="32"/>
          <w:lang w:val="en-US" w:eastAsia="zh-CN"/>
        </w:rPr>
        <w:t>9:</w:t>
      </w:r>
      <w:r>
        <w:rPr>
          <w:rFonts w:hint="eastAsia" w:asciiTheme="minorEastAsia" w:hAnsiTheme="minorEastAsia" w:eastAsiaTheme="minorEastAsia" w:cstheme="minorEastAsia"/>
          <w:b/>
          <w:bCs/>
          <w:sz w:val="32"/>
          <w:szCs w:val="32"/>
          <w:lang w:val="en-US" w:eastAsia="zh-CN"/>
        </w:rPr>
        <w:t>（开标记录开启后，请将此附件填写完整发送至邮箱： 3692652350@qq.com）</w:t>
      </w:r>
    </w:p>
    <w:p w14:paraId="711C7199">
      <w:pPr>
        <w:pStyle w:val="2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政府采购活动现场确认声明书</w:t>
      </w:r>
    </w:p>
    <w:p w14:paraId="3AC2E244">
      <w:pPr>
        <w:pStyle w:val="24"/>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杭州市公共资源交易中心临安分中心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14:paraId="20970CA7">
      <w:pPr>
        <w:pStyle w:val="24"/>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 ____________（授权代表姓名），经由______________________________（单位） ____________ （法定代表人姓名）合法授权参加</w:t>
      </w: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）政府采购活动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经与本单位法人代表（负责人）联系确认，现就有关公平竞争事项郑重声明如下: </w:t>
      </w:r>
    </w:p>
    <w:p w14:paraId="262FDA5B">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本单位与采购人之间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不存在利害关系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存在下列利害关系:</w:t>
      </w:r>
    </w:p>
    <w:p w14:paraId="483618BC">
      <w:pPr>
        <w:pStyle w:val="24"/>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投资关系 B．行政隶属关系 C．业务指导关系</w:t>
      </w:r>
    </w:p>
    <w:p w14:paraId="0FAFDEAC">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D．其他可能影响采购公正的利害关系（如有，请如实说明）。</w:t>
      </w:r>
    </w:p>
    <w:p w14:paraId="41D51E3A">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二、现己清楚知道参加本项目采购活动的其他所有供应商名称，本单位</w:t>
      </w:r>
    </w:p>
    <w:p w14:paraId="38C298AD">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与其他所有供应商之间均不存在利害关系</w:t>
      </w:r>
    </w:p>
    <w:p w14:paraId="134BA067">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 xml:space="preserve">与______________（供应商名称）之间存在下列利害关系: </w:t>
      </w:r>
    </w:p>
    <w:p w14:paraId="36A8C79C">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A．法定代表人或负责人或实际控制人是同一人 </w:t>
      </w:r>
    </w:p>
    <w:p w14:paraId="407AF346">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B．法定代表人或负责人或实际控制人是夫妻关系 </w:t>
      </w:r>
    </w:p>
    <w:p w14:paraId="1FE32628">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C．法定代表人或负责人或实际控制人是直系血亲关系 </w:t>
      </w:r>
    </w:p>
    <w:p w14:paraId="4E8D43C8">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D．法定代表人或负责人或实际控制人存在三代以内旁系血亲关系 </w:t>
      </w:r>
    </w:p>
    <w:p w14:paraId="5FF93A1B">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E．法定代表人或负责人或实际控制人存在近姻亲关系 </w:t>
      </w:r>
    </w:p>
    <w:p w14:paraId="57515D06">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F．法定代表人或负责人或实际控制人存在股份控制或实际控制关系 </w:t>
      </w:r>
    </w:p>
    <w:p w14:paraId="3C8DC7F8">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G．存在共同直接或间接投资设立子公司、联营企业和合营企业情况 </w:t>
      </w:r>
    </w:p>
    <w:p w14:paraId="4AD0A875">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H．存在分级代理或代销关系、同一生产制造商关系、管理关系、重要业务（占主营业务收入 50 ％以上）或重要财务 往来关系（如融资）等其他实质性控制关系 </w:t>
      </w:r>
    </w:p>
    <w:p w14:paraId="41F58C2A">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I．其他利害关系情况 ___________________________。</w:t>
      </w:r>
      <w:r>
        <w:rPr>
          <w:rFonts w:hint="eastAsia" w:asciiTheme="minorEastAsia" w:hAnsiTheme="minorEastAsia" w:eastAsiaTheme="minorEastAsia" w:cstheme="minorEastAsia"/>
          <w:sz w:val="24"/>
          <w:szCs w:val="24"/>
          <w:lang w:eastAsia="zh-CN"/>
        </w:rPr>
        <w:t>（如未填写，视同“无”）</w:t>
      </w:r>
      <w:r>
        <w:rPr>
          <w:rFonts w:hint="eastAsia" w:asciiTheme="minorEastAsia" w:hAnsiTheme="minorEastAsia" w:eastAsiaTheme="minorEastAsia" w:cstheme="minorEastAsia"/>
          <w:sz w:val="24"/>
          <w:szCs w:val="24"/>
        </w:rPr>
        <w:t xml:space="preserve"> </w:t>
      </w:r>
    </w:p>
    <w:p w14:paraId="4A16B95A">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三、现己清楚知道并严格遵守政府采购法律法规。 </w:t>
      </w:r>
    </w:p>
    <w:p w14:paraId="453EB044">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四、我发现 ____________________供应商之间存在或可能存在上述第二条第 ____________项利害关系。 </w:t>
      </w:r>
      <w:r>
        <w:rPr>
          <w:rFonts w:hint="eastAsia" w:asciiTheme="minorEastAsia" w:hAnsiTheme="minorEastAsia" w:eastAsiaTheme="minorEastAsia" w:cstheme="minorEastAsia"/>
          <w:sz w:val="24"/>
          <w:szCs w:val="24"/>
          <w:lang w:eastAsia="zh-CN"/>
        </w:rPr>
        <w:t>（如未填写，视同“无”）</w:t>
      </w:r>
    </w:p>
    <w:p w14:paraId="1F337E06">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kern w:val="0"/>
          <w:sz w:val="24"/>
          <w:lang w:val="zh-CN"/>
        </w:rPr>
        <w:t>名称（签章）：</w:t>
      </w:r>
    </w:p>
    <w:p w14:paraId="4F962BE8">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供应商代表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签名</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p>
    <w:p w14:paraId="43121854">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ascii="宋体" w:hAnsi="宋体" w:cs="宋体"/>
          <w:b/>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p>
    <w:p w14:paraId="593D1959">
      <w:pPr>
        <w:spacing w:line="360" w:lineRule="auto"/>
        <w:jc w:val="center"/>
        <w:rPr>
          <w:rFonts w:ascii="宋体" w:hAnsi="宋体" w:cs="宋体"/>
          <w:b/>
          <w:color w:val="auto"/>
          <w:sz w:val="32"/>
          <w:szCs w:val="32"/>
          <w:highlight w:val="none"/>
        </w:rPr>
      </w:pPr>
    </w:p>
    <w:p w14:paraId="1D80D477">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GWZT-EN"/>
    <w:panose1 w:val="00000000000000000000"/>
    <w:charset w:val="00"/>
    <w:family w:val="roman"/>
    <w:pitch w:val="default"/>
    <w:sig w:usb0="00000000" w:usb1="00000000" w:usb2="00000000" w:usb3="00000000" w:csb0="00040001" w:csb1="00000000"/>
  </w:font>
  <w:font w:name="GWZT-EN">
    <w:panose1 w:val="02020400000000000000"/>
    <w:charset w:val="86"/>
    <w:family w:val="auto"/>
    <w:pitch w:val="default"/>
    <w:sig w:usb0="A00002BF" w:usb1="38CF7CFA" w:usb2="00082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_GB2312"/>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GWZT-EN"/>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GWZT-EN"/>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Times New Roman Regular">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42"/>
      <w:framePr w:wrap="around" w:vAnchor="text" w:hAnchor="margin" w:xAlign="right" w:y="1"/>
      <w:rPr>
        <w:rStyle w:val="72"/>
      </w:rPr>
    </w:pPr>
    <w:r>
      <w:fldChar w:fldCharType="begin"/>
    </w:r>
    <w:r>
      <w:rPr>
        <w:rStyle w:val="72"/>
      </w:rPr>
      <w:instrText xml:space="preserve">PAGE  </w:instrText>
    </w:r>
    <w:r>
      <w:fldChar w:fldCharType="end"/>
    </w:r>
  </w:p>
  <w:p w14:paraId="6C3E18D1">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7" w:name="_Toc91899912"/>
    <w:bookmarkStart w:id="558" w:name="_Toc164085800"/>
    <w:bookmarkStart w:id="559" w:name="_Toc131845147"/>
    <w:bookmarkStart w:id="560" w:name="_Toc36110187"/>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42"/>
      <w:framePr w:wrap="around" w:vAnchor="text" w:hAnchor="margin" w:xAlign="right" w:y="1"/>
      <w:rPr>
        <w:rStyle w:val="72"/>
      </w:rPr>
    </w:pPr>
    <w:r>
      <w:fldChar w:fldCharType="begin"/>
    </w:r>
    <w:r>
      <w:rPr>
        <w:rStyle w:val="72"/>
      </w:rPr>
      <w:instrText xml:space="preserve">PAGE  </w:instrText>
    </w:r>
    <w:r>
      <w:fldChar w:fldCharType="end"/>
    </w:r>
  </w:p>
  <w:p w14:paraId="717DD9A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808B8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26F6A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59B23D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C6B969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8C6211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203C0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3"/>
      <w:pBdr>
        <w:bottom w:val="single" w:color="auto" w:sz="6" w:space="4"/>
      </w:pBdr>
      <w:jc w:val="right"/>
    </w:pPr>
    <w:r>
      <w:t></w:t>
    </w:r>
    <w:r>
      <w:rPr>
        <w:rFonts w:hint="eastAsia"/>
      </w:rPr>
      <w:t xml:space="preserve">             </w:t>
    </w:r>
    <w:r>
      <w:t>杭州市政府采购公开招标文件</w:t>
    </w:r>
  </w:p>
  <w:p w14:paraId="04A4D0B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3"/>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3"/>
    </w:pPr>
    <w:r>
      <w:t></w:t>
    </w:r>
    <w:r>
      <w:rPr>
        <w:rFonts w:hint="eastAsia"/>
      </w:rPr>
      <w:t xml:space="preserve">         </w:t>
    </w:r>
  </w:p>
  <w:p w14:paraId="7A5C9F01">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3"/>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3"/>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3"/>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47FB3"/>
    <w:rsid w:val="048F763B"/>
    <w:rsid w:val="049F330E"/>
    <w:rsid w:val="04AA775C"/>
    <w:rsid w:val="04AF1889"/>
    <w:rsid w:val="04F66F48"/>
    <w:rsid w:val="05251E14"/>
    <w:rsid w:val="05A16594"/>
    <w:rsid w:val="05A7762D"/>
    <w:rsid w:val="060E5941"/>
    <w:rsid w:val="06110FAF"/>
    <w:rsid w:val="063E3805"/>
    <w:rsid w:val="06493CA7"/>
    <w:rsid w:val="065A6178"/>
    <w:rsid w:val="066F1CF3"/>
    <w:rsid w:val="06871610"/>
    <w:rsid w:val="06930BB8"/>
    <w:rsid w:val="07155C37"/>
    <w:rsid w:val="07245D42"/>
    <w:rsid w:val="07264C62"/>
    <w:rsid w:val="076D3560"/>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54E82"/>
    <w:rsid w:val="0AA374A5"/>
    <w:rsid w:val="0AAB7649"/>
    <w:rsid w:val="0ABC5606"/>
    <w:rsid w:val="0ACF4E8E"/>
    <w:rsid w:val="0AEA2BFF"/>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A03F85"/>
    <w:rsid w:val="0DC1442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2C5F80"/>
    <w:rsid w:val="10646583"/>
    <w:rsid w:val="107D4B15"/>
    <w:rsid w:val="108A3C80"/>
    <w:rsid w:val="10C26171"/>
    <w:rsid w:val="10F33360"/>
    <w:rsid w:val="10FC16EA"/>
    <w:rsid w:val="1101195E"/>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77A9D"/>
    <w:rsid w:val="141008D8"/>
    <w:rsid w:val="14125FE6"/>
    <w:rsid w:val="143753B5"/>
    <w:rsid w:val="146D271E"/>
    <w:rsid w:val="14982588"/>
    <w:rsid w:val="149A5AD9"/>
    <w:rsid w:val="14A7619D"/>
    <w:rsid w:val="150536C3"/>
    <w:rsid w:val="150C1963"/>
    <w:rsid w:val="151447A0"/>
    <w:rsid w:val="154A6454"/>
    <w:rsid w:val="15762120"/>
    <w:rsid w:val="16A8729C"/>
    <w:rsid w:val="16B33777"/>
    <w:rsid w:val="16BC70A7"/>
    <w:rsid w:val="16C6339E"/>
    <w:rsid w:val="16C97663"/>
    <w:rsid w:val="16F41113"/>
    <w:rsid w:val="172F2D79"/>
    <w:rsid w:val="17557BEF"/>
    <w:rsid w:val="17D349C1"/>
    <w:rsid w:val="18244F26"/>
    <w:rsid w:val="1830729E"/>
    <w:rsid w:val="1852128A"/>
    <w:rsid w:val="1870062C"/>
    <w:rsid w:val="18817102"/>
    <w:rsid w:val="18830A15"/>
    <w:rsid w:val="18852B28"/>
    <w:rsid w:val="188B5321"/>
    <w:rsid w:val="197D022D"/>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61257"/>
    <w:rsid w:val="1C88086E"/>
    <w:rsid w:val="1C88382D"/>
    <w:rsid w:val="1CCB5193"/>
    <w:rsid w:val="1D266CE1"/>
    <w:rsid w:val="1D3963AF"/>
    <w:rsid w:val="1D6A673C"/>
    <w:rsid w:val="1D9247AE"/>
    <w:rsid w:val="1DB567EC"/>
    <w:rsid w:val="1DE863FB"/>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50333"/>
    <w:rsid w:val="208921B3"/>
    <w:rsid w:val="20973DEB"/>
    <w:rsid w:val="20B26522"/>
    <w:rsid w:val="20B44310"/>
    <w:rsid w:val="211116EB"/>
    <w:rsid w:val="216133FC"/>
    <w:rsid w:val="21C36564"/>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70746"/>
    <w:rsid w:val="23FD0064"/>
    <w:rsid w:val="245375B0"/>
    <w:rsid w:val="24642C0A"/>
    <w:rsid w:val="248F67EE"/>
    <w:rsid w:val="24B22173"/>
    <w:rsid w:val="24B95AD9"/>
    <w:rsid w:val="24BE24DA"/>
    <w:rsid w:val="24CF5825"/>
    <w:rsid w:val="24D663E6"/>
    <w:rsid w:val="24D77F2B"/>
    <w:rsid w:val="25152081"/>
    <w:rsid w:val="258B00E2"/>
    <w:rsid w:val="25A917A6"/>
    <w:rsid w:val="25BE27CC"/>
    <w:rsid w:val="25F74A5C"/>
    <w:rsid w:val="2628662C"/>
    <w:rsid w:val="262D45DE"/>
    <w:rsid w:val="26663631"/>
    <w:rsid w:val="26676136"/>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78138E"/>
    <w:rsid w:val="29806583"/>
    <w:rsid w:val="298B3C4C"/>
    <w:rsid w:val="2998358C"/>
    <w:rsid w:val="29F26D24"/>
    <w:rsid w:val="2A15033F"/>
    <w:rsid w:val="2A1662C1"/>
    <w:rsid w:val="2A1C7367"/>
    <w:rsid w:val="2A2815FA"/>
    <w:rsid w:val="2A6D6092"/>
    <w:rsid w:val="2A7D76B4"/>
    <w:rsid w:val="2B3B360F"/>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8E671A"/>
    <w:rsid w:val="32BE5C2C"/>
    <w:rsid w:val="32FB6478"/>
    <w:rsid w:val="3316538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A66E5"/>
    <w:rsid w:val="354D7158"/>
    <w:rsid w:val="358D5588"/>
    <w:rsid w:val="363A3B40"/>
    <w:rsid w:val="365302AE"/>
    <w:rsid w:val="36607A0A"/>
    <w:rsid w:val="366E227C"/>
    <w:rsid w:val="366F2E0D"/>
    <w:rsid w:val="367B6A5C"/>
    <w:rsid w:val="36A74ADA"/>
    <w:rsid w:val="36AD60D5"/>
    <w:rsid w:val="36B224F9"/>
    <w:rsid w:val="36EC0CC9"/>
    <w:rsid w:val="37202102"/>
    <w:rsid w:val="37342FE3"/>
    <w:rsid w:val="373F410B"/>
    <w:rsid w:val="37EE7094"/>
    <w:rsid w:val="38296C89"/>
    <w:rsid w:val="383002EB"/>
    <w:rsid w:val="38586797"/>
    <w:rsid w:val="385D15DF"/>
    <w:rsid w:val="38BC0149"/>
    <w:rsid w:val="38D87D1C"/>
    <w:rsid w:val="39636459"/>
    <w:rsid w:val="396B7F6C"/>
    <w:rsid w:val="39817924"/>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815DA"/>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2B55A8"/>
    <w:rsid w:val="40592157"/>
    <w:rsid w:val="406E1CAE"/>
    <w:rsid w:val="408C0409"/>
    <w:rsid w:val="40A0133A"/>
    <w:rsid w:val="40C31A53"/>
    <w:rsid w:val="40FF545D"/>
    <w:rsid w:val="410067C8"/>
    <w:rsid w:val="41766CF7"/>
    <w:rsid w:val="418F0D2A"/>
    <w:rsid w:val="41A33A6C"/>
    <w:rsid w:val="41D01505"/>
    <w:rsid w:val="424010B3"/>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418DC"/>
    <w:rsid w:val="487A3E25"/>
    <w:rsid w:val="488B5503"/>
    <w:rsid w:val="48937E21"/>
    <w:rsid w:val="489A0361"/>
    <w:rsid w:val="489A4F97"/>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870FED"/>
    <w:rsid w:val="4B9739F7"/>
    <w:rsid w:val="4BEE2503"/>
    <w:rsid w:val="4BF5346D"/>
    <w:rsid w:val="4C245A30"/>
    <w:rsid w:val="4CB6685F"/>
    <w:rsid w:val="4CC367FE"/>
    <w:rsid w:val="4D077F3C"/>
    <w:rsid w:val="4D123355"/>
    <w:rsid w:val="4D2A3B31"/>
    <w:rsid w:val="4D312C52"/>
    <w:rsid w:val="4D905305"/>
    <w:rsid w:val="4D964A72"/>
    <w:rsid w:val="4D9C1254"/>
    <w:rsid w:val="4DE86773"/>
    <w:rsid w:val="4E4053C2"/>
    <w:rsid w:val="4E793892"/>
    <w:rsid w:val="4E800872"/>
    <w:rsid w:val="4EC569ED"/>
    <w:rsid w:val="4ED50EA1"/>
    <w:rsid w:val="4EEC050C"/>
    <w:rsid w:val="4F104EC3"/>
    <w:rsid w:val="4F47354A"/>
    <w:rsid w:val="4F8D1C8E"/>
    <w:rsid w:val="4F911C54"/>
    <w:rsid w:val="4FE625E0"/>
    <w:rsid w:val="5021480F"/>
    <w:rsid w:val="504968C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D5A2A"/>
    <w:rsid w:val="5244713B"/>
    <w:rsid w:val="52615633"/>
    <w:rsid w:val="526F4DE4"/>
    <w:rsid w:val="52977FD4"/>
    <w:rsid w:val="52A25790"/>
    <w:rsid w:val="52A96B6F"/>
    <w:rsid w:val="52B45975"/>
    <w:rsid w:val="52D94AA4"/>
    <w:rsid w:val="52EA3A62"/>
    <w:rsid w:val="52F50BB8"/>
    <w:rsid w:val="53097272"/>
    <w:rsid w:val="53544462"/>
    <w:rsid w:val="538E1CB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1713A"/>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2A05F5"/>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244BA3"/>
    <w:rsid w:val="61421856"/>
    <w:rsid w:val="615227C4"/>
    <w:rsid w:val="61654E3F"/>
    <w:rsid w:val="6182292A"/>
    <w:rsid w:val="619F7F92"/>
    <w:rsid w:val="61F94C26"/>
    <w:rsid w:val="62000E56"/>
    <w:rsid w:val="62075FE3"/>
    <w:rsid w:val="624F3E49"/>
    <w:rsid w:val="62632286"/>
    <w:rsid w:val="62885958"/>
    <w:rsid w:val="62F40B65"/>
    <w:rsid w:val="62FC2CFE"/>
    <w:rsid w:val="63024505"/>
    <w:rsid w:val="633D57E2"/>
    <w:rsid w:val="635600A5"/>
    <w:rsid w:val="635B1DB5"/>
    <w:rsid w:val="63711FED"/>
    <w:rsid w:val="63880DDC"/>
    <w:rsid w:val="638D750D"/>
    <w:rsid w:val="63AC6CC0"/>
    <w:rsid w:val="64055776"/>
    <w:rsid w:val="64240056"/>
    <w:rsid w:val="643E143A"/>
    <w:rsid w:val="64491666"/>
    <w:rsid w:val="648B6EEF"/>
    <w:rsid w:val="64C158BF"/>
    <w:rsid w:val="64CE2EAA"/>
    <w:rsid w:val="6535616F"/>
    <w:rsid w:val="653C3090"/>
    <w:rsid w:val="657C327F"/>
    <w:rsid w:val="65854376"/>
    <w:rsid w:val="658767BE"/>
    <w:rsid w:val="65892531"/>
    <w:rsid w:val="66195831"/>
    <w:rsid w:val="662E75B1"/>
    <w:rsid w:val="66342C2E"/>
    <w:rsid w:val="663E784C"/>
    <w:rsid w:val="668B6A45"/>
    <w:rsid w:val="66E225B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D7E7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6B34D4"/>
    <w:rsid w:val="6E8335BD"/>
    <w:rsid w:val="6E8E12EF"/>
    <w:rsid w:val="6E972936"/>
    <w:rsid w:val="6ED446C5"/>
    <w:rsid w:val="6F2A7D94"/>
    <w:rsid w:val="6F6049BF"/>
    <w:rsid w:val="6F8331F1"/>
    <w:rsid w:val="6FAE1A09"/>
    <w:rsid w:val="6FD75BF8"/>
    <w:rsid w:val="707723D0"/>
    <w:rsid w:val="709062B1"/>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876F9D"/>
    <w:rsid w:val="76C87133"/>
    <w:rsid w:val="76CD08D5"/>
    <w:rsid w:val="76DB4B92"/>
    <w:rsid w:val="77052AA4"/>
    <w:rsid w:val="77136511"/>
    <w:rsid w:val="77340A39"/>
    <w:rsid w:val="77351FD0"/>
    <w:rsid w:val="77472422"/>
    <w:rsid w:val="777F31F2"/>
    <w:rsid w:val="77D1700D"/>
    <w:rsid w:val="77EC04CC"/>
    <w:rsid w:val="783D3FBA"/>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DFA687D"/>
    <w:rsid w:val="7E1E5218"/>
    <w:rsid w:val="7E9A4E1F"/>
    <w:rsid w:val="7EA7723A"/>
    <w:rsid w:val="7EE36A72"/>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2"/>
    <w:basedOn w:val="1"/>
    <w:link w:val="308"/>
    <w:qFormat/>
    <w:uiPriority w:val="0"/>
    <w:pPr>
      <w:spacing w:line="360" w:lineRule="auto"/>
      <w:ind w:firstLine="601"/>
      <w:textAlignment w:val="baseline"/>
    </w:pPr>
    <w:rPr>
      <w:rFonts w:ascii="宋体"/>
      <w:kern w:val="0"/>
      <w:sz w:val="28"/>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28"/>
    <w:link w:val="265"/>
    <w:qFormat/>
    <w:uiPriority w:val="0"/>
    <w:pPr>
      <w:spacing w:line="480" w:lineRule="exact"/>
      <w:ind w:firstLine="480" w:firstLineChars="200"/>
    </w:pPr>
    <w:rPr>
      <w:rFonts w:ascii="宋体" w:hAnsi="宋体"/>
      <w:sz w:val="24"/>
    </w:rPr>
  </w:style>
  <w:style w:type="paragraph" w:styleId="28">
    <w:name w:val="Body Text First Indent 2"/>
    <w:basedOn w:val="27"/>
    <w:next w:val="25"/>
    <w:link w:val="121"/>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8"/>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basedOn w:val="69"/>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2"/>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69"/>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2"/>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2"/>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47865</Words>
  <Characters>51202</Characters>
  <Lines>279</Lines>
  <Paragraphs>78</Paragraphs>
  <TotalTime>6</TotalTime>
  <ScaleCrop>false</ScaleCrop>
  <LinksUpToDate>false</LinksUpToDate>
  <CharactersWithSpaces>56524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邵旭峰</cp:lastModifiedBy>
  <cp:lastPrinted>2021-12-29T19:06:00Z</cp:lastPrinted>
  <dcterms:modified xsi:type="dcterms:W3CDTF">2025-07-11T08:57:11Z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eyJoZGlkIjoiNmQ5YmY4OGYyYWMxMWVhZDVhNmM4YzZhN2FjM2FiMzQiLCJ1c2VySWQiOiIxNjcxMjYzMjg1In0=</vt:lpwstr>
  </property>
</Properties>
</file>