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highlight w:val="none"/>
        </w:rPr>
      </w:pPr>
    </w:p>
    <w:p>
      <w:pPr>
        <w:adjustRightInd w:val="0"/>
        <w:spacing w:line="360" w:lineRule="auto"/>
        <w:jc w:val="center"/>
        <w:rPr>
          <w:rFonts w:ascii="仿宋_GB2312" w:hAnsi="仿宋" w:eastAsia="仿宋_GB2312" w:cs="仿宋_GB2312"/>
          <w:b/>
          <w:sz w:val="24"/>
          <w:szCs w:val="24"/>
          <w:highlight w:val="none"/>
        </w:rPr>
      </w:pPr>
    </w:p>
    <w:p>
      <w:pPr>
        <w:spacing w:line="360" w:lineRule="auto"/>
        <w:jc w:val="center"/>
        <w:rPr>
          <w:rFonts w:ascii="仿宋_GB2312" w:hAnsi="仿宋" w:eastAsia="仿宋_GB2312" w:cs="仿宋_GB2312"/>
          <w:b/>
          <w:sz w:val="44"/>
          <w:szCs w:val="44"/>
          <w:highlight w:val="none"/>
        </w:rPr>
      </w:pPr>
    </w:p>
    <w:p>
      <w:pPr>
        <w:adjustRightInd w:val="0"/>
        <w:spacing w:line="360" w:lineRule="auto"/>
        <w:jc w:val="center"/>
        <w:rPr>
          <w:rFonts w:ascii="仿宋_GB2312" w:hAnsi="仿宋" w:eastAsia="仿宋_GB2312" w:cs="仿宋_GB2312"/>
          <w:b/>
          <w:sz w:val="44"/>
          <w:szCs w:val="44"/>
          <w:highlight w:val="none"/>
        </w:rPr>
      </w:pPr>
      <w:r>
        <w:rPr>
          <w:rFonts w:hint="eastAsia" w:ascii="仿宋_GB2312" w:hAnsi="仿宋" w:eastAsia="仿宋_GB2312" w:cs="仿宋_GB2312"/>
          <w:b/>
          <w:sz w:val="44"/>
          <w:szCs w:val="44"/>
          <w:highlight w:val="none"/>
        </w:rPr>
        <w:t xml:space="preserve"> </w:t>
      </w:r>
    </w:p>
    <w:p>
      <w:pPr>
        <w:adjustRightInd/>
        <w:spacing w:line="360" w:lineRule="auto"/>
        <w:jc w:val="center"/>
        <w:rPr>
          <w:rFonts w:ascii="仿宋_GB2312" w:hAnsi="仿宋" w:eastAsia="仿宋_GB2312" w:cs="仿宋_GB2312"/>
          <w:b/>
          <w:sz w:val="48"/>
          <w:szCs w:val="48"/>
          <w:highlight w:val="none"/>
        </w:rPr>
      </w:pPr>
    </w:p>
    <w:p>
      <w:pPr>
        <w:adjustRightInd/>
        <w:spacing w:line="360" w:lineRule="auto"/>
        <w:jc w:val="center"/>
        <w:rPr>
          <w:rFonts w:hint="eastAsia" w:ascii="仿宋" w:hAnsi="仿宋" w:eastAsia="仿宋" w:cs="仿宋_GB2312"/>
          <w:sz w:val="48"/>
          <w:szCs w:val="48"/>
          <w:highlight w:val="none"/>
        </w:rPr>
      </w:pPr>
      <w:r>
        <w:rPr>
          <w:rFonts w:hint="eastAsia" w:ascii="仿宋" w:hAnsi="仿宋" w:eastAsia="仿宋" w:cs="仿宋_GB2312"/>
          <w:sz w:val="48"/>
          <w:szCs w:val="48"/>
          <w:highlight w:val="none"/>
        </w:rPr>
        <w:t>2022年杭州市临安区智慧电子政务云平台项目</w:t>
      </w:r>
      <w:bookmarkStart w:id="508" w:name="_GoBack"/>
      <w:bookmarkEnd w:id="508"/>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snapToGrid w:val="0"/>
        <w:spacing w:line="360" w:lineRule="auto"/>
        <w:jc w:val="center"/>
        <w:rPr>
          <w:rFonts w:hint="default" w:ascii="仿宋" w:hAnsi="仿宋" w:eastAsia="仿宋" w:cs="仿宋_GB2312"/>
          <w:sz w:val="30"/>
          <w:szCs w:val="30"/>
          <w:highlight w:val="none"/>
          <w:lang w:val="en-US"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LZC-GK-2022-04025</w:t>
      </w:r>
    </w:p>
    <w:p>
      <w:pPr>
        <w:adjustRightInd/>
        <w:spacing w:line="360" w:lineRule="auto"/>
        <w:rPr>
          <w:rFonts w:ascii="仿宋" w:hAnsi="仿宋" w:eastAsia="仿宋" w:cs="仿宋_GB2312"/>
          <w:sz w:val="28"/>
          <w:szCs w:val="20"/>
          <w:highlight w:val="none"/>
        </w:rPr>
      </w:pPr>
    </w:p>
    <w:p>
      <w:pPr>
        <w:spacing w:line="360" w:lineRule="auto"/>
        <w:rPr>
          <w:rFonts w:ascii="仿宋_GB2312" w:hAnsi="仿宋" w:eastAsia="仿宋_GB2312" w:cs="仿宋_GB2312"/>
          <w:sz w:val="28"/>
          <w:szCs w:val="20"/>
          <w:highlight w:val="none"/>
        </w:rPr>
      </w:pPr>
    </w:p>
    <w:p>
      <w:pPr>
        <w:adjustRightInd w:val="0"/>
        <w:spacing w:line="360" w:lineRule="auto"/>
        <w:jc w:val="center"/>
        <w:rPr>
          <w:rFonts w:ascii="仿宋_GB2312" w:hAnsi="仿宋" w:eastAsia="仿宋_GB2312" w:cs="仿宋_GB2312"/>
          <w:b/>
          <w:sz w:val="44"/>
          <w:szCs w:val="44"/>
          <w:highlight w:val="none"/>
        </w:rPr>
      </w:pPr>
      <w:r>
        <w:rPr>
          <w:rFonts w:hint="eastAsia" w:ascii="仿宋_GB2312" w:hAnsi="仿宋" w:eastAsia="仿宋_GB2312" w:cs="仿宋_GB2312"/>
          <w:b/>
          <w:sz w:val="44"/>
          <w:szCs w:val="44"/>
          <w:highlight w:val="none"/>
        </w:rPr>
        <w:t xml:space="preserve"> </w:t>
      </w:r>
    </w:p>
    <w:p>
      <w:pPr>
        <w:adjustRightInd w:val="0"/>
        <w:spacing w:line="360" w:lineRule="auto"/>
        <w:jc w:val="center"/>
        <w:rPr>
          <w:rFonts w:ascii="仿宋_GB2312" w:hAnsi="仿宋" w:eastAsia="仿宋_GB2312" w:cs="仿宋_GB2312"/>
          <w:b/>
          <w:sz w:val="44"/>
          <w:szCs w:val="44"/>
          <w:highlight w:val="none"/>
        </w:rPr>
      </w:pPr>
      <w:r>
        <w:rPr>
          <w:rFonts w:hint="eastAsia" w:ascii="仿宋_GB2312" w:hAnsi="仿宋" w:eastAsia="仿宋_GB2312" w:cs="仿宋_GB2312"/>
          <w:b/>
          <w:sz w:val="44"/>
          <w:szCs w:val="44"/>
          <w:highlight w:val="none"/>
        </w:rPr>
        <w:t xml:space="preserve"> </w:t>
      </w:r>
    </w:p>
    <w:p>
      <w:pPr>
        <w:adjustRightInd w:val="0"/>
        <w:spacing w:line="360" w:lineRule="auto"/>
        <w:jc w:val="center"/>
        <w:rPr>
          <w:rFonts w:ascii="仿宋_GB2312" w:hAnsi="仿宋" w:eastAsia="仿宋_GB2312" w:cs="仿宋_GB2312"/>
          <w:sz w:val="24"/>
          <w:szCs w:val="24"/>
          <w:highlight w:val="none"/>
        </w:rPr>
      </w:pPr>
    </w:p>
    <w:p>
      <w:pPr>
        <w:adjustRightInd w:val="0"/>
        <w:spacing w:line="360" w:lineRule="auto"/>
        <w:jc w:val="center"/>
        <w:rPr>
          <w:rFonts w:ascii="仿宋_GB2312" w:hAnsi="仿宋" w:eastAsia="仿宋_GB2312" w:cs="仿宋_GB2312"/>
          <w:sz w:val="24"/>
          <w:szCs w:val="24"/>
          <w:highlight w:val="none"/>
        </w:rPr>
      </w:pPr>
    </w:p>
    <w:p>
      <w:pPr>
        <w:adjustRightInd w:val="0"/>
        <w:spacing w:line="360" w:lineRule="auto"/>
        <w:jc w:val="center"/>
        <w:rPr>
          <w:rFonts w:ascii="仿宋_GB2312" w:hAnsi="仿宋" w:eastAsia="仿宋_GB2312" w:cs="仿宋_GB2312"/>
          <w:bCs/>
          <w:sz w:val="32"/>
          <w:szCs w:val="32"/>
          <w:highlight w:val="none"/>
        </w:rPr>
      </w:pPr>
      <w:r>
        <w:rPr>
          <w:rFonts w:ascii="仿宋_GB2312" w:hAnsi="仿宋" w:eastAsia="仿宋_GB2312" w:cs="仿宋_GB2312"/>
          <w:bCs/>
          <w:sz w:val="32"/>
          <w:szCs w:val="32"/>
          <w:highlight w:val="none"/>
        </w:rPr>
        <w:t>杭州市临安区数据资源管理局</w:t>
      </w:r>
    </w:p>
    <w:p>
      <w:pPr>
        <w:adjustRightInd w:val="0"/>
        <w:spacing w:line="360" w:lineRule="auto"/>
        <w:jc w:val="center"/>
        <w:rPr>
          <w:rFonts w:hint="eastAsia" w:ascii="仿宋_GB2312" w:hAnsi="仿宋" w:eastAsia="仿宋_GB2312" w:cs="仿宋_GB2312"/>
          <w:bCs/>
          <w:sz w:val="32"/>
          <w:szCs w:val="32"/>
          <w:highlight w:val="none"/>
          <w:lang w:val="en-US" w:eastAsia="zh-CN"/>
        </w:rPr>
      </w:pPr>
      <w:r>
        <w:rPr>
          <w:rFonts w:hint="eastAsia" w:ascii="仿宋_GB2312" w:hAnsi="仿宋" w:eastAsia="仿宋_GB2312" w:cs="仿宋_GB2312"/>
          <w:bCs/>
          <w:sz w:val="32"/>
          <w:szCs w:val="32"/>
          <w:highlight w:val="none"/>
        </w:rPr>
        <w:t>杭州市公共资源交易中心</w:t>
      </w:r>
      <w:r>
        <w:rPr>
          <w:rFonts w:hint="eastAsia" w:ascii="仿宋_GB2312" w:hAnsi="仿宋" w:eastAsia="仿宋_GB2312" w:cs="仿宋_GB2312"/>
          <w:bCs/>
          <w:sz w:val="32"/>
          <w:szCs w:val="32"/>
          <w:highlight w:val="none"/>
          <w:lang w:eastAsia="zh-CN"/>
        </w:rPr>
        <w:t>临安分中心</w:t>
      </w:r>
    </w:p>
    <w:p>
      <w:pPr>
        <w:adjustRightInd w:val="0"/>
        <w:snapToGrid w:val="0"/>
        <w:spacing w:line="360" w:lineRule="auto"/>
        <w:jc w:val="center"/>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二</w:t>
      </w:r>
      <w:r>
        <w:rPr>
          <w:rFonts w:hint="eastAsia" w:ascii="宋体" w:hAnsi="宋体" w:eastAsia="宋体" w:cs="宋体"/>
          <w:bCs/>
          <w:sz w:val="32"/>
          <w:szCs w:val="32"/>
          <w:highlight w:val="none"/>
        </w:rPr>
        <w:t>〇</w:t>
      </w:r>
      <w:r>
        <w:rPr>
          <w:rFonts w:hint="eastAsia" w:ascii="仿宋_GB2312" w:hAnsi="仿宋" w:eastAsia="仿宋_GB2312" w:cs="仿宋_GB2312"/>
          <w:bCs/>
          <w:sz w:val="32"/>
          <w:szCs w:val="32"/>
          <w:highlight w:val="none"/>
        </w:rPr>
        <w:t>二</w:t>
      </w:r>
      <w:r>
        <w:rPr>
          <w:rFonts w:hint="eastAsia" w:ascii="仿宋_GB2312" w:hAnsi="仿宋" w:eastAsia="仿宋_GB2312" w:cs="仿宋_GB2312"/>
          <w:bCs/>
          <w:sz w:val="32"/>
          <w:szCs w:val="32"/>
          <w:highlight w:val="none"/>
          <w:lang w:eastAsia="zh-CN"/>
        </w:rPr>
        <w:t>二</w:t>
      </w:r>
      <w:r>
        <w:rPr>
          <w:rFonts w:hint="eastAsia" w:ascii="仿宋_GB2312" w:hAnsi="仿宋" w:eastAsia="仿宋_GB2312" w:cs="仿宋_GB2312"/>
          <w:bCs/>
          <w:sz w:val="32"/>
          <w:szCs w:val="32"/>
          <w:highlight w:val="none"/>
        </w:rPr>
        <w:t>年</w:t>
      </w:r>
      <w:r>
        <w:rPr>
          <w:rFonts w:hint="eastAsia" w:ascii="仿宋_GB2312" w:hAnsi="仿宋" w:eastAsia="仿宋_GB2312" w:cs="仿宋_GB2312"/>
          <w:bCs/>
          <w:sz w:val="32"/>
          <w:szCs w:val="32"/>
          <w:highlight w:val="none"/>
          <w:lang w:eastAsia="zh-CN"/>
        </w:rPr>
        <w:t>五</w:t>
      </w:r>
      <w:r>
        <w:rPr>
          <w:rFonts w:hint="eastAsia" w:ascii="仿宋_GB2312" w:hAnsi="仿宋" w:eastAsia="仿宋_GB2312" w:cs="仿宋_GB2312"/>
          <w:bCs/>
          <w:sz w:val="32"/>
          <w:szCs w:val="32"/>
          <w:highlight w:val="none"/>
        </w:rPr>
        <w:t>月</w:t>
      </w:r>
      <w:r>
        <w:rPr>
          <w:rFonts w:hint="eastAsia" w:ascii="仿宋_GB2312" w:hAnsi="仿宋" w:eastAsia="仿宋_GB2312" w:cs="仿宋_GB2312"/>
          <w:bCs/>
          <w:sz w:val="32"/>
          <w:szCs w:val="32"/>
          <w:highlight w:val="none"/>
          <w:lang w:eastAsia="zh-CN"/>
        </w:rPr>
        <w:t>六</w:t>
      </w:r>
      <w:r>
        <w:rPr>
          <w:rFonts w:hint="eastAsia" w:ascii="仿宋_GB2312" w:hAnsi="仿宋" w:eastAsia="仿宋_GB2312" w:cs="仿宋_GB2312"/>
          <w:bCs/>
          <w:sz w:val="32"/>
          <w:szCs w:val="32"/>
          <w:highlight w:val="none"/>
        </w:rPr>
        <w:t>日</w:t>
      </w:r>
    </w:p>
    <w:p>
      <w:pPr>
        <w:adjustRightInd w:val="0"/>
        <w:spacing w:line="360" w:lineRule="auto"/>
        <w:jc w:val="center"/>
        <w:rPr>
          <w:rFonts w:ascii="仿宋_GB2312" w:hAnsi="仿宋" w:eastAsia="仿宋_GB2312" w:cs="仿宋_GB2312"/>
          <w:b/>
          <w:sz w:val="48"/>
          <w:szCs w:val="48"/>
          <w:highlight w:val="none"/>
        </w:rPr>
      </w:pPr>
      <w:r>
        <w:rPr>
          <w:rFonts w:hint="eastAsia" w:ascii="仿宋_GB2312" w:hAnsi="仿宋" w:eastAsia="仿宋_GB2312" w:cs="仿宋_GB2312"/>
          <w:sz w:val="24"/>
          <w:szCs w:val="24"/>
          <w:highlight w:val="none"/>
        </w:rPr>
        <w:br w:type="page"/>
      </w:r>
      <w:bookmarkStart w:id="0" w:name="_Hlt67893495"/>
      <w:bookmarkEnd w:id="0"/>
      <w:r>
        <w:rPr>
          <w:rFonts w:hint="eastAsia" w:ascii="仿宋_GB2312" w:hAnsi="仿宋" w:eastAsia="仿宋_GB2312" w:cs="仿宋_GB2312"/>
          <w:b/>
          <w:sz w:val="48"/>
          <w:szCs w:val="48"/>
          <w:highlight w:val="none"/>
        </w:rPr>
        <w:t>目  录</w:t>
      </w:r>
    </w:p>
    <w:p>
      <w:pPr>
        <w:adjustRightInd w:val="0"/>
        <w:spacing w:line="360" w:lineRule="auto"/>
        <w:rPr>
          <w:rFonts w:ascii="仿宋_GB2312" w:hAnsi="仿宋" w:eastAsia="仿宋_GB2312" w:cs="仿宋_GB2312"/>
          <w:sz w:val="32"/>
          <w:szCs w:val="32"/>
          <w:highlight w:val="none"/>
        </w:rPr>
      </w:pPr>
    </w:p>
    <w:p>
      <w:pPr>
        <w:adjustRightInd w:val="0"/>
        <w:spacing w:line="360" w:lineRule="auto"/>
        <w:rPr>
          <w:rFonts w:ascii="仿宋_GB2312" w:hAnsi="仿宋" w:eastAsia="仿宋_GB2312" w:cs="仿宋_GB2312"/>
          <w:sz w:val="32"/>
          <w:szCs w:val="32"/>
          <w:highlight w:val="none"/>
        </w:rPr>
      </w:pP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第一部分      招标公告</w:t>
      </w: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第二部分      投标人须知</w:t>
      </w: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第三部分      采购需求</w:t>
      </w: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第四部分      评标办法</w:t>
      </w: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第五部分      拟签订的合同文本</w:t>
      </w: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第六部分      应提交的有关格式范例</w:t>
      </w:r>
    </w:p>
    <w:p>
      <w:pPr>
        <w:adjustRightInd w:val="0"/>
        <w:spacing w:line="360" w:lineRule="auto"/>
        <w:ind w:firstLine="549" w:firstLineChars="229"/>
        <w:rPr>
          <w:rFonts w:ascii="仿宋_GB2312" w:hAnsi="仿宋" w:eastAsia="仿宋_GB2312" w:cs="仿宋_GB2312"/>
          <w:sz w:val="24"/>
          <w:szCs w:val="24"/>
          <w:highlight w:val="none"/>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bookmarkEnd w:id="2"/>
    <w:p>
      <w:pPr>
        <w:spacing w:line="360" w:lineRule="auto"/>
        <w:jc w:val="center"/>
        <w:outlineLvl w:val="0"/>
        <w:rPr>
          <w:rFonts w:ascii="仿宋_GB2312" w:hAnsi="仿宋" w:eastAsia="仿宋_GB2312" w:cs="仿宋_GB2312"/>
          <w:b/>
          <w:sz w:val="36"/>
          <w:szCs w:val="20"/>
          <w:highlight w:val="none"/>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highlight w:val="none"/>
        </w:rPr>
      </w:pPr>
    </w:p>
    <w:p>
      <w:pPr>
        <w:spacing w:line="360" w:lineRule="auto"/>
        <w:jc w:val="center"/>
        <w:outlineLvl w:val="0"/>
        <w:rPr>
          <w:rFonts w:ascii="仿宋_GB2312" w:hAnsi="仿宋" w:eastAsia="仿宋_GB2312" w:cs="仿宋_GB2312"/>
          <w:b/>
          <w:sz w:val="36"/>
          <w:szCs w:val="20"/>
          <w:highlight w:val="none"/>
        </w:rPr>
      </w:pPr>
      <w:r>
        <w:rPr>
          <w:rFonts w:hint="eastAsia" w:ascii="仿宋_GB2312" w:hAnsi="仿宋" w:eastAsia="仿宋_GB2312" w:cs="仿宋_GB2312"/>
          <w:b/>
          <w:sz w:val="36"/>
          <w:szCs w:val="20"/>
          <w:highlight w:val="none"/>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u w:val="single"/>
        </w:rPr>
        <w:t>2022年杭州市临安区智慧电子政务云平台项目</w:t>
      </w:r>
      <w:r>
        <w:rPr>
          <w:rFonts w:hint="eastAsia" w:ascii="仿宋_GB2312" w:hAnsi="仿宋" w:eastAsia="仿宋_GB2312" w:cs="Times New Roman"/>
          <w:sz w:val="24"/>
          <w:szCs w:val="24"/>
          <w:highlight w:val="none"/>
        </w:rPr>
        <w:t>招标项目的潜在投标人应在政采云平台（</w:t>
      </w:r>
      <w:r>
        <w:rPr>
          <w:highlight w:val="none"/>
          <w:u w:val="single"/>
        </w:rPr>
        <w:fldChar w:fldCharType="begin"/>
      </w:r>
      <w:r>
        <w:rPr>
          <w:highlight w:val="none"/>
          <w:u w:val="single"/>
        </w:rPr>
        <w:instrText xml:space="preserve"> HYPERLINK "https://www.zcygov.cn/）获取（下载）招标文件，并于2021年" </w:instrText>
      </w:r>
      <w:r>
        <w:rPr>
          <w:highlight w:val="none"/>
          <w:u w:val="single"/>
        </w:rPr>
        <w:fldChar w:fldCharType="separate"/>
      </w:r>
      <w:r>
        <w:rPr>
          <w:rFonts w:hint="eastAsia" w:ascii="仿宋_GB2312" w:hAnsi="仿宋" w:eastAsia="仿宋_GB2312" w:cs="Times New Roman"/>
          <w:sz w:val="24"/>
          <w:szCs w:val="24"/>
          <w:highlight w:val="none"/>
          <w:u w:val="none"/>
        </w:rPr>
        <w:t>https://www.zcygov.cn/）获取（下载）招标文件，并于</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rPr>
        <w:fldChar w:fldCharType="end"/>
      </w:r>
      <w:r>
        <w:rPr>
          <w:rFonts w:hint="eastAsia" w:ascii="仿宋_GB2312" w:hAnsi="仿宋" w:eastAsia="仿宋_GB2312" w:cs="Times New Roman"/>
          <w:sz w:val="24"/>
          <w:szCs w:val="24"/>
          <w:highlight w:val="none"/>
          <w:u w:val="single"/>
          <w:lang w:val="en-US" w:eastAsia="zh-CN"/>
        </w:rPr>
        <w:t xml:space="preserve"> 05</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27</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 xml:space="preserve"> 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 xml:space="preserve">（北京时间）前递交（上传）投标文件。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 xml:space="preserve">一、项目基本情况                                            </w:t>
      </w:r>
    </w:p>
    <w:p>
      <w:pPr>
        <w:adjustRightInd w:val="0"/>
        <w:spacing w:line="360" w:lineRule="auto"/>
        <w:rPr>
          <w:rFonts w:hint="default" w:ascii="仿宋_GB2312" w:hAnsi="仿宋" w:eastAsia="仿宋_GB2312" w:cs="Times New Roman"/>
          <w:sz w:val="24"/>
          <w:szCs w:val="24"/>
          <w:highlight w:val="none"/>
          <w:lang w:val="en-US" w:eastAsia="zh-CN"/>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项目编号</w:t>
      </w:r>
      <w:r>
        <w:rPr>
          <w:rFonts w:hint="eastAsia" w:ascii="仿宋_GB2312" w:hAnsi="仿宋" w:eastAsia="仿宋_GB2312" w:cs="Times New Roman"/>
          <w:b/>
          <w:sz w:val="24"/>
          <w:szCs w:val="24"/>
          <w:highlight w:val="none"/>
        </w:rPr>
        <w:t>：</w:t>
      </w:r>
      <w:r>
        <w:rPr>
          <w:rFonts w:hint="eastAsia" w:ascii="仿宋_GB2312" w:hAnsi="仿宋" w:eastAsia="仿宋_GB2312" w:cs="Times New Roman"/>
          <w:sz w:val="24"/>
          <w:szCs w:val="24"/>
          <w:highlight w:val="none"/>
          <w:lang w:val="en-US" w:eastAsia="zh-CN"/>
        </w:rPr>
        <w:t>LZC</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GK-</w:t>
      </w:r>
      <w:r>
        <w:rPr>
          <w:rFonts w:hint="eastAsia" w:ascii="仿宋_GB2312" w:hAnsi="仿宋" w:eastAsia="仿宋_GB2312" w:cs="Times New Roman"/>
          <w:sz w:val="24"/>
          <w:szCs w:val="24"/>
          <w:highlight w:val="none"/>
        </w:rPr>
        <w:t>202</w:t>
      </w:r>
      <w:r>
        <w:rPr>
          <w:rFonts w:hint="eastAsia" w:ascii="仿宋_GB2312" w:hAnsi="仿宋" w:eastAsia="仿宋_GB2312" w:cs="Times New Roman"/>
          <w:sz w:val="24"/>
          <w:szCs w:val="24"/>
          <w:highlight w:val="none"/>
          <w:lang w:val="en-US" w:eastAsia="zh-CN"/>
        </w:rPr>
        <w:t>2</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04025</w:t>
      </w:r>
    </w:p>
    <w:p>
      <w:pPr>
        <w:adjustRightInd w:val="0"/>
        <w:spacing w:line="360" w:lineRule="auto"/>
        <w:rPr>
          <w:rFonts w:ascii="仿宋_GB2312" w:hAnsi="仿宋" w:eastAsia="仿宋_GB2312" w:cs="Times New Roman"/>
          <w:b w:val="0"/>
          <w:bCs/>
          <w:sz w:val="24"/>
          <w:szCs w:val="24"/>
          <w:highlight w:val="none"/>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 xml:space="preserve"> 项目名称：</w:t>
      </w:r>
      <w:r>
        <w:rPr>
          <w:rFonts w:hint="eastAsia" w:ascii="仿宋_GB2312" w:hAnsi="仿宋" w:eastAsia="仿宋_GB2312" w:cs="Times New Roman"/>
          <w:b w:val="0"/>
          <w:bCs/>
          <w:sz w:val="24"/>
          <w:szCs w:val="24"/>
          <w:highlight w:val="none"/>
        </w:rPr>
        <w:t>2022年杭州市临安区智慧电子政务云平台项目</w:t>
      </w:r>
    </w:p>
    <w:p>
      <w:pPr>
        <w:adjustRightInd w:val="0"/>
        <w:spacing w:line="360" w:lineRule="auto"/>
        <w:ind w:firstLine="482" w:firstLineChars="200"/>
        <w:rPr>
          <w:rFonts w:ascii="仿宋_GB2312" w:hAnsi="仿宋" w:eastAsia="仿宋_GB2312" w:cs="仿宋_GB2312"/>
          <w:sz w:val="24"/>
          <w:szCs w:val="24"/>
          <w:highlight w:val="none"/>
        </w:rPr>
      </w:pPr>
      <w:r>
        <w:rPr>
          <w:rFonts w:hint="eastAsia" w:ascii="仿宋_GB2312" w:hAnsi="仿宋" w:eastAsia="仿宋_GB2312" w:cs="Times New Roman"/>
          <w:b/>
          <w:sz w:val="24"/>
          <w:szCs w:val="24"/>
          <w:highlight w:val="none"/>
        </w:rPr>
        <w:t>预算金额（元）</w:t>
      </w:r>
      <w:r>
        <w:rPr>
          <w:rFonts w:hint="eastAsia" w:ascii="仿宋_GB2312" w:hAnsi="仿宋" w:eastAsia="仿宋_GB2312" w:cs="仿宋_GB2312"/>
          <w:sz w:val="24"/>
          <w:szCs w:val="24"/>
          <w:highlight w:val="none"/>
        </w:rPr>
        <w:t>：49396</w:t>
      </w:r>
      <w:r>
        <w:rPr>
          <w:rFonts w:hint="eastAsia" w:ascii="仿宋_GB2312" w:hAnsi="仿宋" w:eastAsia="仿宋_GB2312" w:cs="仿宋_GB2312"/>
          <w:sz w:val="24"/>
          <w:szCs w:val="24"/>
          <w:highlight w:val="none"/>
          <w:lang w:val="en-US" w:eastAsia="zh-CN"/>
        </w:rPr>
        <w:t>.</w:t>
      </w:r>
      <w:r>
        <w:rPr>
          <w:rFonts w:hint="eastAsia" w:ascii="仿宋_GB2312" w:hAnsi="仿宋" w:eastAsia="仿宋_GB2312" w:cs="仿宋_GB2312"/>
          <w:sz w:val="24"/>
          <w:szCs w:val="24"/>
          <w:highlight w:val="none"/>
        </w:rPr>
        <w:t>4</w:t>
      </w:r>
      <w:r>
        <w:rPr>
          <w:rFonts w:hint="eastAsia" w:ascii="仿宋_GB2312" w:hAnsi="仿宋" w:eastAsia="仿宋_GB2312" w:cs="仿宋_GB2312"/>
          <w:sz w:val="24"/>
          <w:szCs w:val="24"/>
          <w:highlight w:val="none"/>
          <w:lang w:val="en-US" w:eastAsia="zh-CN"/>
        </w:rPr>
        <w:t>0</w:t>
      </w:r>
      <w:r>
        <w:rPr>
          <w:rFonts w:hint="eastAsia" w:ascii="仿宋_GB2312" w:hAnsi="仿宋" w:eastAsia="仿宋_GB2312" w:cs="仿宋_GB2312"/>
          <w:sz w:val="24"/>
          <w:szCs w:val="24"/>
          <w:highlight w:val="none"/>
        </w:rPr>
        <w:t xml:space="preserve">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最高限价（元）：</w:t>
      </w:r>
      <w:r>
        <w:rPr>
          <w:rFonts w:hint="eastAsia" w:ascii="仿宋_GB2312" w:hAnsi="仿宋" w:eastAsia="仿宋_GB2312" w:cs="仿宋_GB2312"/>
          <w:sz w:val="24"/>
          <w:szCs w:val="24"/>
          <w:highlight w:val="none"/>
          <w:lang w:val="en-US" w:eastAsia="zh-CN"/>
        </w:rPr>
        <w:t>47868.93</w:t>
      </w:r>
      <w:r>
        <w:rPr>
          <w:rFonts w:hint="eastAsia" w:ascii="仿宋_GB2312" w:hAnsi="仿宋" w:eastAsia="仿宋_GB2312" w:cs="Times New Roman"/>
          <w:sz w:val="24"/>
          <w:szCs w:val="24"/>
          <w:highlight w:val="none"/>
        </w:rPr>
        <w:t xml:space="preserve"> </w:t>
      </w:r>
    </w:p>
    <w:p>
      <w:pPr>
        <w:spacing w:line="360" w:lineRule="auto"/>
        <w:ind w:firstLine="482" w:firstLineChars="200"/>
        <w:rPr>
          <w:rFonts w:ascii="仿宋_GB2312" w:hAnsi="仿宋" w:eastAsia="仿宋_GB2312" w:cs="仿宋_GB2312"/>
          <w:b/>
          <w:kern w:val="0"/>
          <w:sz w:val="24"/>
          <w:highlight w:val="none"/>
          <w:lang w:val="zh-CN"/>
        </w:rPr>
      </w:pPr>
      <w:r>
        <w:rPr>
          <w:rFonts w:hint="eastAsia" w:ascii="仿宋_GB2312" w:hAnsi="仿宋" w:eastAsia="仿宋_GB2312" w:cs="Times New Roman"/>
          <w:b/>
          <w:sz w:val="24"/>
          <w:szCs w:val="24"/>
          <w:highlight w:val="none"/>
        </w:rPr>
        <w:t>采购需求：</w:t>
      </w:r>
      <w:r>
        <w:rPr>
          <w:rFonts w:hint="eastAsia" w:ascii="仿宋_GB2312" w:hAnsi="仿宋" w:eastAsia="仿宋_GB2312" w:cs="Times New Roman"/>
          <w:b w:val="0"/>
          <w:bCs/>
          <w:sz w:val="24"/>
          <w:szCs w:val="24"/>
          <w:highlight w:val="none"/>
        </w:rPr>
        <w:t>临安区智慧电子政务云平台</w:t>
      </w:r>
      <w:r>
        <w:rPr>
          <w:rFonts w:hint="eastAsia" w:ascii="仿宋_GB2312" w:hAnsi="仿宋" w:eastAsia="仿宋_GB2312" w:cs="Times New Roman"/>
          <w:b w:val="0"/>
          <w:bCs/>
          <w:sz w:val="24"/>
          <w:szCs w:val="24"/>
          <w:highlight w:val="none"/>
          <w:lang w:eastAsia="zh-CN"/>
        </w:rPr>
        <w:t>，详见采购需求。</w:t>
      </w:r>
      <w:r>
        <w:rPr>
          <w:rFonts w:hint="eastAsia" w:ascii="仿宋_GB2312" w:hAnsi="Times New Roman" w:eastAsia="仿宋_GB2312" w:cs="Times New Roman"/>
          <w:sz w:val="24"/>
          <w:szCs w:val="24"/>
          <w:highlight w:val="none"/>
        </w:rPr>
        <w:t xml:space="preserve"> </w:t>
      </w:r>
    </w:p>
    <w:p>
      <w:pPr>
        <w:adjustRightInd w:val="0"/>
        <w:spacing w:line="360" w:lineRule="auto"/>
        <w:rPr>
          <w:rFonts w:ascii="仿宋_GB2312" w:hAnsi="Times New Roman" w:eastAsia="仿宋_GB2312" w:cs="Times New Roman"/>
          <w:sz w:val="24"/>
          <w:szCs w:val="24"/>
          <w:highlight w:val="none"/>
        </w:rPr>
      </w:pPr>
      <w:r>
        <w:rPr>
          <w:rFonts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合同履约期限：</w:t>
      </w:r>
      <w:r>
        <w:rPr>
          <w:rFonts w:hint="eastAsia" w:ascii="仿宋_GB2312" w:hAnsi="仿宋" w:eastAsia="仿宋_GB2312" w:cs="Times New Roman"/>
          <w:b/>
          <w:sz w:val="24"/>
          <w:szCs w:val="24"/>
          <w:highlight w:val="none"/>
          <w:lang w:eastAsia="zh-CN"/>
        </w:rPr>
        <w:t>一年。</w:t>
      </w:r>
      <w:r>
        <w:rPr>
          <w:rFonts w:hint="eastAsia" w:ascii="仿宋_GB2312" w:hAnsi="Times New Roman" w:eastAsia="仿宋_GB2312" w:cs="Times New Roman"/>
          <w:sz w:val="24"/>
          <w:szCs w:val="24"/>
          <w:highlight w:val="none"/>
        </w:rPr>
        <w:t xml:space="preserve"> </w:t>
      </w:r>
    </w:p>
    <w:p>
      <w:pPr>
        <w:pStyle w:val="17"/>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2"/>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二、申请人的资格要求：</w:t>
      </w:r>
    </w:p>
    <w:p>
      <w:pPr>
        <w:spacing w:line="360" w:lineRule="auto"/>
        <w:ind w:firstLine="48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4"/>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6"/>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 xml:space="preserve">三、获取招标文件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时间：</w:t>
      </w:r>
      <w:r>
        <w:rPr>
          <w:rFonts w:hint="eastAsia" w:ascii="仿宋_GB2312" w:hAnsi="仿宋" w:eastAsia="仿宋_GB2312" w:cs="Times New Roman"/>
          <w:sz w:val="24"/>
          <w:szCs w:val="24"/>
          <w:highlight w:val="none"/>
        </w:rPr>
        <w:t>/至</w:t>
      </w:r>
      <w:r>
        <w:rPr>
          <w:rFonts w:hint="eastAsia" w:ascii="仿宋_GB2312" w:hAnsi="仿宋" w:eastAsia="仿宋_GB2312" w:cs="Times New Roman"/>
          <w:sz w:val="24"/>
          <w:szCs w:val="24"/>
          <w:highlight w:val="none"/>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05</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27</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售价（元）：</w:t>
      </w:r>
      <w:r>
        <w:rPr>
          <w:rFonts w:hint="eastAsia" w:ascii="仿宋_GB2312" w:hAnsi="仿宋" w:eastAsia="仿宋_GB2312" w:cs="Times New Roman"/>
          <w:sz w:val="24"/>
          <w:szCs w:val="24"/>
          <w:highlight w:val="none"/>
        </w:rPr>
        <w:t xml:space="preserve">0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提交投标文件截止时间：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 xml:space="preserve"> 05</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27</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05</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27</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开标地点（网址）：</w:t>
      </w:r>
      <w:r>
        <w:rPr>
          <w:rFonts w:hint="eastAsia" w:ascii="仿宋_GB2312" w:hAnsi="仿宋" w:eastAsia="仿宋_GB2312" w:cs="Times New Roman"/>
          <w:sz w:val="24"/>
          <w:szCs w:val="24"/>
          <w:highlight w:val="none"/>
        </w:rPr>
        <w:t>杭州市公共资源交易中心</w:t>
      </w:r>
      <w:r>
        <w:rPr>
          <w:rFonts w:hint="eastAsia" w:ascii="仿宋_GB2312" w:hAnsi="仿宋" w:eastAsia="仿宋_GB2312" w:cs="Times New Roman"/>
          <w:color w:val="auto"/>
          <w:sz w:val="24"/>
          <w:szCs w:val="24"/>
          <w:highlight w:val="none"/>
          <w:lang w:eastAsia="zh-CN"/>
        </w:rPr>
        <w:t>临安分中心</w:t>
      </w:r>
      <w:r>
        <w:rPr>
          <w:rFonts w:hint="eastAsia" w:ascii="仿宋_GB2312" w:hAnsi="仿宋" w:eastAsia="仿宋_GB2312" w:cs="Times New Roman"/>
          <w:color w:val="auto"/>
          <w:sz w:val="24"/>
          <w:szCs w:val="24"/>
          <w:highlight w:val="none"/>
          <w:lang w:val="en-US" w:eastAsia="zh-CN"/>
        </w:rPr>
        <w:t>1号</w:t>
      </w:r>
      <w:r>
        <w:rPr>
          <w:rFonts w:hint="eastAsia" w:ascii="仿宋_GB2312" w:hAnsi="仿宋" w:eastAsia="仿宋_GB2312" w:cs="Times New Roman"/>
          <w:color w:val="auto"/>
          <w:sz w:val="24"/>
          <w:szCs w:val="24"/>
          <w:highlight w:val="none"/>
        </w:rPr>
        <w:t>开标室[杭州市</w:t>
      </w:r>
      <w:r>
        <w:rPr>
          <w:rFonts w:hint="eastAsia" w:ascii="仿宋_GB2312" w:hAnsi="仿宋" w:eastAsia="仿宋_GB2312" w:cs="Times New Roman"/>
          <w:color w:val="auto"/>
          <w:sz w:val="24"/>
          <w:szCs w:val="24"/>
          <w:highlight w:val="none"/>
          <w:lang w:eastAsia="zh-CN"/>
        </w:rPr>
        <w:t>临安区锦北街道科技大道</w:t>
      </w:r>
      <w:r>
        <w:rPr>
          <w:rFonts w:hint="eastAsia" w:ascii="仿宋_GB2312" w:hAnsi="仿宋" w:eastAsia="仿宋_GB2312" w:cs="Times New Roman"/>
          <w:color w:val="auto"/>
          <w:sz w:val="24"/>
          <w:szCs w:val="24"/>
          <w:highlight w:val="none"/>
          <w:lang w:val="en-US" w:eastAsia="zh-CN"/>
        </w:rPr>
        <w:t>4398号市民中心B座4楼</w:t>
      </w:r>
      <w:r>
        <w:rPr>
          <w:rFonts w:hint="eastAsia" w:ascii="仿宋_GB2312" w:hAnsi="仿宋" w:eastAsia="仿宋_GB2312" w:cs="Times New Roman"/>
          <w:color w:val="auto"/>
          <w:sz w:val="24"/>
          <w:szCs w:val="24"/>
          <w:highlight w:val="none"/>
        </w:rPr>
        <w:t>]， 政采云平台（https://www.zcygov.cn/）</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 xml:space="preserve">五、公告期限 </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自本公告发布之日起5个工作日。</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六、其他补充事宜</w:t>
      </w:r>
    </w:p>
    <w:p>
      <w:pPr>
        <w:adjustRightInd w:val="0"/>
        <w:spacing w:line="360" w:lineRule="auto"/>
        <w:ind w:firstLine="480" w:firstLineChars="200"/>
        <w:rPr>
          <w:rFonts w:hint="eastAsia"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pacing w:line="360" w:lineRule="auto"/>
        <w:ind w:firstLine="480" w:firstLineChars="200"/>
        <w:rPr>
          <w:rFonts w:hint="eastAsia"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line="360" w:lineRule="auto"/>
        <w:ind w:firstLine="480" w:firstLineChars="200"/>
        <w:rPr>
          <w:rFonts w:hint="eastAsia"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60" w:lineRule="auto"/>
        <w:ind w:firstLine="480" w:firstLineChars="200"/>
        <w:rPr>
          <w:rFonts w:hint="eastAsia"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 （3）招标文件公告期限与招标公告的公告期限一致。</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七、对本次采购提出询问、质疑、投诉，请按以下方式联系</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1.采购人信息</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名    称：杭州市临安区数据资源管理局</w:t>
      </w:r>
    </w:p>
    <w:p>
      <w:pPr>
        <w:adjustRightInd w:val="0"/>
        <w:spacing w:line="360" w:lineRule="auto"/>
        <w:rPr>
          <w:rFonts w:hint="eastAsia"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地</w:t>
      </w:r>
      <w:r>
        <w:rPr>
          <w:rFonts w:ascii="仿宋_GB2312" w:hAnsi="仿宋" w:eastAsia="仿宋_GB2312" w:cs="Times New Roman"/>
          <w:sz w:val="24"/>
          <w:szCs w:val="24"/>
          <w:highlight w:val="none"/>
        </w:rPr>
        <w:t xml:space="preserve">    </w:t>
      </w:r>
      <w:r>
        <w:rPr>
          <w:rFonts w:hint="eastAsia" w:ascii="仿宋_GB2312" w:hAnsi="仿宋" w:eastAsia="仿宋_GB2312" w:cs="Times New Roman"/>
          <w:sz w:val="24"/>
          <w:szCs w:val="24"/>
          <w:highlight w:val="none"/>
        </w:rPr>
        <w:t>址：浙江省杭州市临安区市民中心2号楼4楼</w:t>
      </w:r>
    </w:p>
    <w:p>
      <w:pPr>
        <w:adjustRightInd w:val="0"/>
        <w:spacing w:line="360" w:lineRule="auto"/>
        <w:ind w:firstLine="480"/>
        <w:rPr>
          <w:rFonts w:ascii="仿宋" w:hAnsi="仿宋" w:eastAsia="仿宋" w:cs="仿宋"/>
          <w:sz w:val="24"/>
          <w:highlight w:val="none"/>
        </w:rPr>
      </w:pPr>
      <w:r>
        <w:rPr>
          <w:rFonts w:ascii="仿宋_GB2312" w:hAnsi="仿宋" w:eastAsia="仿宋_GB2312" w:cs="Times New Roman"/>
          <w:sz w:val="24"/>
          <w:szCs w:val="24"/>
          <w:highlight w:val="none"/>
        </w:rPr>
        <w:t>传    真：</w:t>
      </w:r>
      <w:r>
        <w:rPr>
          <w:rFonts w:hint="eastAsia" w:ascii="仿宋_GB2312" w:hAnsi="仿宋" w:eastAsia="仿宋_GB2312" w:cs="Times New Roman"/>
          <w:sz w:val="24"/>
          <w:szCs w:val="24"/>
          <w:highlight w:val="none"/>
          <w:lang w:val="en-US" w:eastAsia="zh-CN"/>
        </w:rPr>
        <w:t>/</w:t>
      </w:r>
      <w:r>
        <w:rPr>
          <w:rFonts w:hint="eastAsia" w:ascii="仿宋" w:hAnsi="仿宋" w:eastAsia="仿宋" w:cs="仿宋"/>
          <w:sz w:val="24"/>
          <w:highlight w:val="none"/>
        </w:rPr>
        <w:t xml:space="preserve"> </w:t>
      </w:r>
    </w:p>
    <w:p>
      <w:pPr>
        <w:adjustRightInd w:val="0"/>
        <w:spacing w:line="360" w:lineRule="auto"/>
        <w:ind w:firstLine="480"/>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项目联系人（询问）：蒋雨婕</w:t>
      </w:r>
      <w:r>
        <w:rPr>
          <w:rFonts w:hint="eastAsia" w:ascii="仿宋" w:hAnsi="仿宋" w:eastAsia="仿宋" w:cs="仿宋"/>
          <w:sz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项目联系方式（询问）：0571-58606722</w:t>
      </w:r>
      <w:r>
        <w:rPr>
          <w:rFonts w:hint="eastAsia" w:ascii="仿宋" w:hAnsi="仿宋" w:eastAsia="仿宋" w:cs="仿宋"/>
          <w:sz w:val="24"/>
          <w:highlight w:val="none"/>
        </w:rPr>
        <w:t xml:space="preserve"> </w:t>
      </w:r>
    </w:p>
    <w:p>
      <w:pPr>
        <w:adjustRightInd w:val="0"/>
        <w:spacing w:line="360" w:lineRule="auto"/>
        <w:ind w:firstLine="480"/>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质疑联系人：童先生</w:t>
      </w:r>
      <w:r>
        <w:rPr>
          <w:rFonts w:hint="eastAsia" w:ascii="仿宋" w:hAnsi="仿宋" w:eastAsia="仿宋" w:cs="仿宋"/>
          <w:sz w:val="24"/>
          <w:highlight w:val="none"/>
        </w:rPr>
        <w:t xml:space="preserve"> </w:t>
      </w:r>
    </w:p>
    <w:p>
      <w:pPr>
        <w:adjustRightInd w:val="0"/>
        <w:spacing w:line="360" w:lineRule="auto"/>
        <w:ind w:firstLine="480"/>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质疑联系方式：0571-63700016</w:t>
      </w:r>
      <w:r>
        <w:rPr>
          <w:rFonts w:hint="eastAsia" w:ascii="仿宋" w:hAnsi="仿宋" w:eastAsia="仿宋" w:cs="仿宋"/>
          <w:sz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2.采购代理机构信息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名    称：杭州市公共资源交易中心</w:t>
      </w:r>
      <w:r>
        <w:rPr>
          <w:rFonts w:hint="eastAsia" w:ascii="仿宋_GB2312" w:hAnsi="仿宋" w:eastAsia="仿宋_GB2312" w:cs="Times New Roman"/>
          <w:sz w:val="24"/>
          <w:szCs w:val="24"/>
          <w:highlight w:val="none"/>
          <w:lang w:eastAsia="zh-CN"/>
        </w:rPr>
        <w:t>临安分中心</w:t>
      </w:r>
      <w:r>
        <w:rPr>
          <w:rFonts w:hint="eastAsia" w:ascii="仿宋_GB2312" w:hAnsi="仿宋" w:eastAsia="仿宋_GB2312" w:cs="Times New Roman"/>
          <w:sz w:val="24"/>
          <w:szCs w:val="24"/>
          <w:highlight w:val="none"/>
        </w:rPr>
        <w:t xml:space="preserve">             </w:t>
      </w:r>
    </w:p>
    <w:p>
      <w:pPr>
        <w:adjustRightInd w:val="0"/>
        <w:spacing w:line="360" w:lineRule="auto"/>
        <w:rPr>
          <w:rFonts w:hint="default" w:ascii="仿宋_GB2312" w:hAnsi="仿宋" w:eastAsia="仿宋_GB2312" w:cs="Times New Roman"/>
          <w:sz w:val="24"/>
          <w:szCs w:val="24"/>
          <w:highlight w:val="none"/>
          <w:lang w:val="en-US" w:eastAsia="zh-CN"/>
        </w:rPr>
      </w:pPr>
      <w:r>
        <w:rPr>
          <w:rFonts w:hint="eastAsia" w:ascii="仿宋_GB2312" w:hAnsi="仿宋" w:eastAsia="仿宋_GB2312" w:cs="Times New Roman"/>
          <w:sz w:val="24"/>
          <w:szCs w:val="24"/>
          <w:highlight w:val="none"/>
        </w:rPr>
        <w:t xml:space="preserve">    地    址：</w:t>
      </w:r>
      <w:r>
        <w:rPr>
          <w:rFonts w:hint="eastAsia" w:ascii="仿宋_GB2312" w:hAnsi="仿宋" w:eastAsia="仿宋_GB2312" w:cs="Times New Roman"/>
          <w:sz w:val="24"/>
          <w:szCs w:val="24"/>
          <w:highlight w:val="none"/>
          <w:lang w:eastAsia="zh-CN"/>
        </w:rPr>
        <w:t>浙江省杭州市临安区锦北街道科技大道</w:t>
      </w:r>
      <w:r>
        <w:rPr>
          <w:rFonts w:hint="eastAsia" w:ascii="仿宋_GB2312" w:hAnsi="仿宋" w:eastAsia="仿宋_GB2312" w:cs="Times New Roman"/>
          <w:sz w:val="24"/>
          <w:szCs w:val="24"/>
          <w:highlight w:val="none"/>
          <w:lang w:val="en-US" w:eastAsia="zh-CN"/>
        </w:rPr>
        <w:t>4398号市民中心4楼</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传    真：</w:t>
      </w:r>
      <w:r>
        <w:rPr>
          <w:rFonts w:hint="eastAsia" w:ascii="仿宋_GB2312" w:hAnsi="仿宋" w:eastAsia="仿宋_GB2312" w:cs="Times New Roman"/>
          <w:sz w:val="24"/>
          <w:szCs w:val="24"/>
          <w:highlight w:val="none"/>
          <w:lang w:val="en-US" w:eastAsia="zh-CN"/>
        </w:rPr>
        <w:t>0571-23616016</w:t>
      </w:r>
      <w:r>
        <w:rPr>
          <w:rFonts w:hint="eastAsia" w:ascii="仿宋_GB2312" w:hAnsi="仿宋" w:eastAsia="仿宋_GB2312" w:cs="Times New Roman"/>
          <w:sz w:val="24"/>
          <w:szCs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项目联系人（询问）：</w:t>
      </w:r>
      <w:r>
        <w:rPr>
          <w:rFonts w:hint="eastAsia" w:ascii="仿宋_GB2312" w:hAnsi="仿宋" w:eastAsia="仿宋_GB2312" w:cs="Times New Roman"/>
          <w:sz w:val="24"/>
          <w:szCs w:val="24"/>
          <w:highlight w:val="none"/>
          <w:lang w:eastAsia="zh-CN"/>
        </w:rPr>
        <w:t>杨颖</w:t>
      </w:r>
      <w:r>
        <w:rPr>
          <w:rFonts w:hint="eastAsia" w:ascii="仿宋_GB2312" w:hAnsi="仿宋" w:eastAsia="仿宋_GB2312" w:cs="Times New Roman"/>
          <w:sz w:val="24"/>
          <w:szCs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项目联系方式（询问）：</w:t>
      </w:r>
      <w:r>
        <w:rPr>
          <w:rFonts w:hint="eastAsia" w:ascii="仿宋_GB2312" w:hAnsi="仿宋" w:eastAsia="仿宋_GB2312" w:cs="Times New Roman"/>
          <w:sz w:val="24"/>
          <w:szCs w:val="24"/>
          <w:highlight w:val="none"/>
          <w:lang w:val="en-US" w:eastAsia="zh-CN"/>
        </w:rPr>
        <w:t>0571-23616011</w:t>
      </w:r>
      <w:r>
        <w:rPr>
          <w:rFonts w:hint="eastAsia" w:ascii="仿宋_GB2312" w:hAnsi="仿宋" w:eastAsia="仿宋_GB2312" w:cs="Times New Roman"/>
          <w:sz w:val="24"/>
          <w:szCs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质疑联系人：</w:t>
      </w:r>
      <w:r>
        <w:rPr>
          <w:rFonts w:hint="eastAsia" w:ascii="仿宋_GB2312" w:hAnsi="仿宋" w:eastAsia="仿宋_GB2312" w:cs="Times New Roman"/>
          <w:sz w:val="24"/>
          <w:szCs w:val="24"/>
          <w:highlight w:val="none"/>
          <w:lang w:eastAsia="zh-CN"/>
        </w:rPr>
        <w:t>张晨</w:t>
      </w:r>
      <w:r>
        <w:rPr>
          <w:rFonts w:hint="eastAsia" w:ascii="仿宋_GB2312" w:hAnsi="仿宋" w:eastAsia="仿宋_GB2312" w:cs="Times New Roman"/>
          <w:sz w:val="24"/>
          <w:szCs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质疑联系方式：0571-</w:t>
      </w:r>
      <w:r>
        <w:rPr>
          <w:rFonts w:hint="eastAsia" w:ascii="仿宋_GB2312" w:hAnsi="仿宋" w:eastAsia="仿宋_GB2312" w:cs="Times New Roman"/>
          <w:sz w:val="24"/>
          <w:szCs w:val="24"/>
          <w:highlight w:val="none"/>
          <w:lang w:val="en-US" w:eastAsia="zh-CN"/>
        </w:rPr>
        <w:t>23616016</w:t>
      </w:r>
      <w:r>
        <w:rPr>
          <w:rFonts w:hint="eastAsia" w:ascii="仿宋_GB2312" w:hAnsi="仿宋" w:eastAsia="仿宋_GB2312" w:cs="Times New Roman"/>
          <w:sz w:val="24"/>
          <w:szCs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3.同级政府采购监督管理部门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名    称：杭州市临安区财政局政府采购监督管理科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地    址：</w:t>
      </w:r>
      <w:r>
        <w:rPr>
          <w:rFonts w:hint="eastAsia" w:ascii="仿宋_GB2312" w:hAnsi="仿宋" w:eastAsia="仿宋_GB2312"/>
          <w:sz w:val="24"/>
          <w:highlight w:val="none"/>
        </w:rPr>
        <w:t>浙江</w:t>
      </w:r>
      <w:r>
        <w:rPr>
          <w:rFonts w:hint="eastAsia" w:ascii="仿宋_GB2312" w:hAnsi="仿宋" w:eastAsia="仿宋_GB2312"/>
          <w:sz w:val="24"/>
          <w:highlight w:val="none"/>
          <w:lang w:eastAsia="zh-CN"/>
        </w:rPr>
        <w:t>省杭州市临安区锦北街道科技大道</w:t>
      </w:r>
      <w:r>
        <w:rPr>
          <w:rFonts w:hint="eastAsia" w:ascii="仿宋_GB2312" w:hAnsi="仿宋" w:eastAsia="仿宋_GB2312"/>
          <w:sz w:val="24"/>
          <w:highlight w:val="none"/>
          <w:lang w:val="en-US" w:eastAsia="zh-CN"/>
        </w:rPr>
        <w:t>4398号4号楼11楼</w:t>
      </w:r>
      <w:r>
        <w:rPr>
          <w:rFonts w:hint="eastAsia" w:ascii="仿宋_GB2312" w:hAnsi="仿宋" w:eastAsia="仿宋_GB2312" w:cs="Times New Roman"/>
          <w:sz w:val="24"/>
          <w:szCs w:val="24"/>
          <w:highlight w:val="none"/>
        </w:rPr>
        <w:t xml:space="preserve"> </w:t>
      </w:r>
    </w:p>
    <w:p>
      <w:pPr>
        <w:adjustRightInd w:val="0"/>
        <w:spacing w:line="360" w:lineRule="auto"/>
        <w:ind w:firstLine="240" w:firstLineChars="1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传    真：0571-63722886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联系人 ：喻伟建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监督投诉电话：0571-61073953           </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jc w:val="center"/>
        <w:rPr>
          <w:rFonts w:ascii="仿宋_GB2312" w:hAnsi="仿宋" w:eastAsia="仿宋_GB2312" w:cs="仿宋_GB2312"/>
          <w:b/>
          <w:sz w:val="36"/>
          <w:szCs w:val="20"/>
          <w:highlight w:val="none"/>
        </w:rPr>
      </w:pPr>
      <w:r>
        <w:rPr>
          <w:rFonts w:hint="eastAsia" w:ascii="仿宋_GB2312" w:hAnsi="仿宋" w:eastAsia="仿宋_GB2312" w:cs="Times New Roman"/>
          <w:sz w:val="24"/>
          <w:szCs w:val="24"/>
          <w:highlight w:val="none"/>
        </w:rPr>
        <w:t>CA问题联系电话（人工）：汇信CA 400-888-4636；天谷CA 400-087-8198。</w:t>
      </w:r>
      <w:r>
        <w:rPr>
          <w:rFonts w:hint="eastAsia" w:ascii="仿宋_GB2312" w:hAnsi="仿宋" w:eastAsia="仿宋_GB2312" w:cs="仿宋_GB2312"/>
          <w:sz w:val="24"/>
          <w:szCs w:val="24"/>
          <w:highlight w:val="none"/>
        </w:rPr>
        <w:t xml:space="preserve">          </w:t>
      </w:r>
      <w:r>
        <w:rPr>
          <w:rFonts w:hint="eastAsia" w:ascii="仿宋_GB2312" w:hAnsi="仿宋" w:eastAsia="仿宋_GB2312" w:cs="仿宋_GB2312"/>
          <w:b/>
          <w:sz w:val="36"/>
          <w:szCs w:val="20"/>
          <w:highlight w:val="none"/>
        </w:rPr>
        <w:br w:type="page"/>
      </w:r>
      <w:r>
        <w:rPr>
          <w:rFonts w:hint="eastAsia" w:ascii="仿宋_GB2312" w:hAnsi="仿宋" w:eastAsia="仿宋_GB2312" w:cs="仿宋_GB2312"/>
          <w:b/>
          <w:sz w:val="36"/>
          <w:szCs w:val="20"/>
          <w:highlight w:val="none"/>
        </w:rPr>
        <w:t>第二部分</w:t>
      </w:r>
      <w:bookmarkEnd w:id="7"/>
      <w:r>
        <w:rPr>
          <w:rFonts w:hint="eastAsia" w:ascii="仿宋_GB2312" w:hAnsi="仿宋" w:eastAsia="仿宋_GB2312" w:cs="仿宋_GB2312"/>
          <w:b/>
          <w:sz w:val="36"/>
          <w:szCs w:val="20"/>
          <w:highlight w:val="none"/>
        </w:rPr>
        <w:t xml:space="preserve"> 投标人须知</w:t>
      </w:r>
      <w:bookmarkEnd w:id="8"/>
    </w:p>
    <w:p>
      <w:pPr>
        <w:adjustRightInd w:val="0"/>
        <w:snapToGrid w:val="0"/>
        <w:spacing w:line="360" w:lineRule="auto"/>
        <w:jc w:val="center"/>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3"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pPr>
              <w:spacing w:line="360" w:lineRule="auto"/>
              <w:ind w:firstLine="241" w:firstLineChars="100"/>
              <w:rPr>
                <w:rFonts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highlight w:val="none"/>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4"/>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（1）资格证明文件：见招标文件第二部分</w:t>
            </w:r>
            <w:r>
              <w:rPr>
                <w:rFonts w:hint="eastAsia" w:ascii="仿宋_GB2312" w:hAnsi="仿宋" w:eastAsia="仿宋_GB2312" w:cs="仿宋_GB2312"/>
                <w:sz w:val="24"/>
                <w:szCs w:val="24"/>
                <w:highlight w:val="none"/>
              </w:rPr>
              <w:t>11.1。</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3"/>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s="Arial"/>
                <w:snapToGrid w:val="0"/>
                <w:sz w:val="24"/>
                <w:szCs w:val="20"/>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5"/>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highlight w:val="none"/>
              </w:rPr>
              <w:t>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hint="eastAsia" w:ascii="仿宋_GB2312" w:hAnsi="仿宋" w:eastAsia="仿宋_GB2312" w:cs="Times New Roman"/>
                <w:b/>
                <w:sz w:val="24"/>
                <w:szCs w:val="24"/>
                <w:highlight w:val="none"/>
                <w:lang w:eastAsia="zh-CN"/>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highlight w:val="none"/>
              </w:rPr>
            </w:pPr>
            <w:r>
              <w:rPr>
                <w:rFonts w:hint="eastAsia" w:ascii="仿宋_GB2312" w:hAnsi="仿宋" w:eastAsia="仿宋_GB2312" w:cs="仿宋_GB2312"/>
                <w:b/>
                <w:sz w:val="24"/>
                <w:szCs w:val="24"/>
                <w:highlight w:val="none"/>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B组织。</w:t>
            </w:r>
          </w:p>
          <w:p>
            <w:pPr>
              <w:adjustRightInd w:val="0"/>
              <w:spacing w:line="360" w:lineRule="auto"/>
              <w:rPr>
                <w:rFonts w:hint="eastAsia" w:ascii="仿宋_GB2312" w:hAnsi="仿宋" w:eastAsia="仿宋_GB2312" w:cs="仿宋_GB2312"/>
                <w:b w:val="0"/>
                <w:bCs/>
                <w:kern w:val="0"/>
                <w:sz w:val="24"/>
                <w:szCs w:val="20"/>
                <w:highlight w:val="none"/>
                <w:lang w:val="zh-CN" w:eastAsia="zh-CN"/>
              </w:rPr>
            </w:pPr>
            <w:r>
              <w:rPr>
                <w:rFonts w:hint="eastAsia" w:ascii="仿宋_GB2312" w:hAnsi="仿宋" w:eastAsia="仿宋_GB2312" w:cs="仿宋_GB2312"/>
                <w:b w:val="0"/>
                <w:bCs/>
                <w:kern w:val="0"/>
                <w:sz w:val="24"/>
                <w:szCs w:val="20"/>
                <w:highlight w:val="none"/>
                <w:lang w:val="zh-CN" w:eastAsia="zh-CN"/>
              </w:rPr>
              <w:t>系统演示：由投标人自行准备相关演示环境，软件模型成功展现本次项目要求的功能，演示视频须制作成光盘或U盘，在投标截止前提交至杭州市临安区行政服务中心B座四楼B448办公室，逾期拒收。</w:t>
            </w:r>
          </w:p>
          <w:p>
            <w:pPr>
              <w:adjustRightInd w:val="0"/>
              <w:spacing w:line="360" w:lineRule="auto"/>
              <w:rPr>
                <w:rFonts w:ascii="仿宋_GB2312" w:hAnsi="仿宋" w:eastAsia="仿宋_GB2312" w:cs="仿宋_GB2312"/>
                <w:b/>
                <w:kern w:val="0"/>
                <w:sz w:val="24"/>
                <w:szCs w:val="20"/>
                <w:highlight w:val="none"/>
                <w:lang w:val="zh-CN"/>
              </w:rPr>
            </w:pPr>
            <w:r>
              <w:rPr>
                <w:rFonts w:hint="eastAsia" w:ascii="仿宋_GB2312" w:hAnsi="仿宋" w:eastAsia="仿宋_GB2312" w:cs="仿宋_GB2312"/>
                <w:b w:val="0"/>
                <w:bCs/>
                <w:kern w:val="0"/>
                <w:sz w:val="24"/>
                <w:szCs w:val="20"/>
                <w:highlight w:val="none"/>
                <w:lang w:val="zh-CN" w:eastAsia="zh-CN"/>
              </w:rPr>
              <w:t>注：演示视频需密封送达，评标阶段拆封演示，因响应方自身原因导致无法演示或者演示效果不理想的，责任自负。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highlight w:val="none"/>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2"/>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s="Arial"/>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highlight w:val="none"/>
              </w:rPr>
            </w:pPr>
            <w:r>
              <w:rPr>
                <w:rFonts w:ascii="仿宋_GB2312" w:hAnsi="仿宋" w:eastAsia="仿宋_GB2312" w:cs="仿宋_GB2312"/>
                <w:color w:val="000000" w:themeColor="text1"/>
                <w:sz w:val="24"/>
                <w:highlight w:val="none"/>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货物类，单一产品或</w:t>
            </w:r>
            <w:r>
              <w:rPr>
                <w:rFonts w:hint="eastAsia" w:ascii="仿宋_GB2312" w:hAnsi="仿宋" w:eastAsia="仿宋_GB2312"/>
                <w:color w:val="000000" w:themeColor="text1"/>
                <w:kern w:val="0"/>
                <w:sz w:val="24"/>
                <w:highlight w:val="none"/>
                <w14:textFill>
                  <w14:solidFill>
                    <w14:schemeClr w14:val="tx1"/>
                  </w14:solidFill>
                </w14:textFill>
              </w:rPr>
              <w:t>核心产品为：</w:t>
            </w:r>
            <w:r>
              <w:rPr>
                <w:rFonts w:hint="eastAsia" w:ascii="仿宋_GB2312" w:hAnsi="仿宋" w:eastAsia="仿宋_GB2312"/>
                <w:color w:val="000000" w:themeColor="text1"/>
                <w:sz w:val="24"/>
                <w:highlight w:val="none"/>
                <w:u w:val="single"/>
                <w14:textFill>
                  <w14:solidFill>
                    <w14:schemeClr w14:val="tx1"/>
                  </w14:solidFill>
                </w14:textFill>
              </w:rPr>
              <w:t xml:space="preserve">  /  </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hint="eastAsia" w:ascii="仿宋_GB2312" w:hAnsi="仿宋" w:eastAsia="仿宋_GB2312" w:cs="Times New Roman"/>
                <w:sz w:val="24"/>
                <w:szCs w:val="24"/>
                <w:highlight w:val="none"/>
                <w:lang w:eastAsia="zh-CN"/>
              </w:rPr>
            </w:pPr>
            <w:sdt>
              <w:sdtPr>
                <w:rPr>
                  <w:rFonts w:hint="eastAsia" w:ascii="仿宋_GB2312" w:hAnsi="仿宋" w:eastAsia="仿宋_GB2312" w:cs="Arial"/>
                  <w:color w:val="000000" w:themeColor="text1"/>
                  <w:kern w:val="0"/>
                  <w:sz w:val="24"/>
                  <w:highlight w:val="none"/>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highlight w:val="none"/>
              </w:rPr>
            </w:pPr>
            <w:r>
              <w:rPr>
                <w:rFonts w:ascii="仿宋_GB2312" w:hAnsi="仿宋" w:eastAsia="仿宋_GB2312" w:cs="仿宋_GB2312"/>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highlight w:val="none"/>
              </w:rPr>
            </w:pPr>
            <w:r>
              <w:rPr>
                <w:rFonts w:hint="eastAsia" w:ascii="仿宋_GB2312" w:hAnsi="仿宋" w:eastAsia="仿宋_GB2312" w:cs="Arial"/>
                <w:kern w:val="0"/>
                <w:sz w:val="24"/>
                <w:highlight w:val="none"/>
              </w:rPr>
              <w:t>标的：</w:t>
            </w:r>
            <w:r>
              <w:rPr>
                <w:rFonts w:hint="eastAsia" w:ascii="仿宋_GB2312" w:hAnsi="仿宋" w:eastAsia="仿宋_GB2312" w:cs="Arial"/>
                <w:b/>
                <w:bCs/>
                <w:kern w:val="0"/>
                <w:sz w:val="24"/>
                <w:highlight w:val="none"/>
                <w:u w:val="single"/>
              </w:rPr>
              <w:t>电子政务云平台</w:t>
            </w:r>
            <w:r>
              <w:rPr>
                <w:rFonts w:hint="eastAsia" w:ascii="仿宋_GB2312" w:hAnsi="仿宋" w:eastAsia="仿宋_GB2312" w:cs="Arial"/>
                <w:kern w:val="0"/>
                <w:sz w:val="24"/>
                <w:highlight w:val="none"/>
              </w:rPr>
              <w:t>，属于</w:t>
            </w:r>
            <w:r>
              <w:rPr>
                <w:rFonts w:hint="eastAsia" w:ascii="仿宋_GB2312" w:hAnsi="仿宋" w:eastAsia="仿宋_GB2312" w:cs="Arial"/>
                <w:b/>
                <w:bCs/>
                <w:kern w:val="0"/>
                <w:sz w:val="24"/>
                <w:highlight w:val="none"/>
                <w:u w:val="single"/>
                <w:lang w:val="en-US" w:eastAsia="zh-CN"/>
              </w:rPr>
              <w:t>软件和信息技术服务业</w:t>
            </w:r>
            <w:r>
              <w:rPr>
                <w:rFonts w:hint="eastAsia" w:ascii="仿宋_GB2312" w:hAnsi="仿宋" w:eastAsia="仿宋_GB2312" w:cs="Arial"/>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highlight w:val="none"/>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highlight w:val="none"/>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hint="eastAsia" w:ascii="仿宋_GB2312" w:hAnsi="仿宋" w:eastAsia="仿宋_GB2312" w:cs="仿宋_GB2312"/>
                <w:sz w:val="24"/>
                <w:szCs w:val="24"/>
                <w:highlight w:val="none"/>
                <w:lang w:eastAsia="zh-CN"/>
              </w:rPr>
            </w:pPr>
            <w:r>
              <w:rPr>
                <w:rFonts w:hint="eastAsia" w:ascii="仿宋_GB2312" w:hAnsi="仿宋" w:eastAsia="仿宋_GB2312" w:cs="仿宋_GB2312"/>
                <w:sz w:val="24"/>
                <w:szCs w:val="24"/>
                <w:highlight w:val="none"/>
              </w:rPr>
              <w:t>1</w:t>
            </w:r>
            <w:r>
              <w:rPr>
                <w:rFonts w:hint="eastAsia" w:ascii="仿宋_GB2312" w:hAnsi="仿宋" w:eastAsia="仿宋_GB2312" w:cs="仿宋_GB2312"/>
                <w:sz w:val="24"/>
                <w:szCs w:val="24"/>
                <w:highlight w:val="none"/>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highlight w:val="none"/>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sz w:val="24"/>
                <w:szCs w:val="24"/>
                <w:highlight w:val="none"/>
              </w:rPr>
            </w:pP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highlight w:val="none"/>
                <w:u w:val="single"/>
              </w:rPr>
              <w:t>杭州市</w:t>
            </w:r>
            <w:r>
              <w:rPr>
                <w:rFonts w:hint="eastAsia" w:ascii="仿宋_GB2312" w:hAnsi="仿宋" w:eastAsia="仿宋_GB2312" w:cs="仿宋_GB2312"/>
                <w:snapToGrid w:val="0"/>
                <w:sz w:val="24"/>
                <w:szCs w:val="24"/>
                <w:highlight w:val="none"/>
                <w:u w:val="single"/>
                <w:lang w:eastAsia="zh-CN"/>
              </w:rPr>
              <w:t>临安区锦北街道科技大道</w:t>
            </w:r>
            <w:r>
              <w:rPr>
                <w:rFonts w:hint="eastAsia" w:ascii="仿宋_GB2312" w:hAnsi="仿宋" w:eastAsia="仿宋_GB2312" w:cs="仿宋_GB2312"/>
                <w:snapToGrid w:val="0"/>
                <w:sz w:val="24"/>
                <w:szCs w:val="24"/>
                <w:highlight w:val="none"/>
                <w:u w:val="single"/>
                <w:lang w:val="en-US" w:eastAsia="zh-CN"/>
              </w:rPr>
              <w:t>4398号市民中心B座B448室</w:t>
            </w:r>
            <w:r>
              <w:rPr>
                <w:rFonts w:hint="eastAsia" w:ascii="仿宋_GB2312" w:hAnsi="仿宋" w:eastAsia="仿宋_GB2312" w:cs="仿宋_GB2312"/>
                <w:snapToGrid w:val="0"/>
                <w:sz w:val="24"/>
                <w:szCs w:val="24"/>
                <w:highlight w:val="none"/>
                <w:u w:val="single"/>
              </w:rPr>
              <w:t>（杭州市公共资源交易中心</w:t>
            </w:r>
            <w:r>
              <w:rPr>
                <w:rFonts w:hint="eastAsia" w:ascii="仿宋_GB2312" w:hAnsi="仿宋" w:eastAsia="仿宋_GB2312" w:cs="仿宋_GB2312"/>
                <w:snapToGrid w:val="0"/>
                <w:sz w:val="24"/>
                <w:szCs w:val="24"/>
                <w:highlight w:val="none"/>
                <w:u w:val="single"/>
                <w:lang w:eastAsia="zh-CN"/>
              </w:rPr>
              <w:t>临安分中心</w:t>
            </w:r>
            <w:r>
              <w:rPr>
                <w:rFonts w:hint="eastAsia" w:ascii="仿宋_GB2312" w:hAnsi="仿宋" w:eastAsia="仿宋_GB2312" w:cs="仿宋_GB2312"/>
                <w:snapToGrid w:val="0"/>
                <w:sz w:val="24"/>
                <w:szCs w:val="24"/>
                <w:highlight w:val="none"/>
                <w:u w:val="single"/>
              </w:rPr>
              <w:t>政府采购</w:t>
            </w:r>
            <w:r>
              <w:rPr>
                <w:rFonts w:hint="eastAsia" w:ascii="仿宋_GB2312" w:hAnsi="仿宋" w:eastAsia="仿宋_GB2312" w:cs="仿宋_GB2312"/>
                <w:snapToGrid w:val="0"/>
                <w:sz w:val="24"/>
                <w:szCs w:val="24"/>
                <w:highlight w:val="none"/>
                <w:u w:val="single"/>
                <w:lang w:eastAsia="zh-CN"/>
              </w:rPr>
              <w:t>科</w:t>
            </w:r>
            <w:r>
              <w:rPr>
                <w:rFonts w:hint="eastAsia" w:ascii="仿宋_GB2312" w:hAnsi="仿宋" w:eastAsia="仿宋_GB2312" w:cs="仿宋_GB2312"/>
                <w:snapToGrid w:val="0"/>
                <w:sz w:val="24"/>
                <w:szCs w:val="24"/>
                <w:highlight w:val="none"/>
                <w:u w:val="single"/>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；备份投标文件签收人员联系电话：</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23616011</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34"/>
              <w:spacing w:line="360" w:lineRule="auto"/>
              <w:rPr>
                <w:rFonts w:hint="eastAsia" w:ascii="仿宋_GB2312" w:hAnsi="仿宋" w:eastAsia="仿宋_GB2312" w:cs="Arial"/>
                <w:snapToGrid w:val="0"/>
                <w:color w:val="000000" w:themeColor="text1"/>
                <w:kern w:val="28"/>
                <w:sz w:val="24"/>
                <w:szCs w:val="21"/>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heme="minorBidi"/>
                <w:snapToGrid w:val="0"/>
                <w:color w:val="000000" w:themeColor="text1"/>
                <w:kern w:val="28"/>
                <w:sz w:val="24"/>
                <w:szCs w:val="22"/>
                <w:highlight w:val="none"/>
                <w:lang w:val="en-US" w:eastAsia="zh-CN" w:bidi="ar-SA"/>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adjustRightInd w:val="0"/>
        <w:snapToGrid w:val="0"/>
        <w:spacing w:line="360" w:lineRule="auto"/>
        <w:jc w:val="center"/>
        <w:rPr>
          <w:rFonts w:ascii="仿宋_GB2312" w:hAnsi="仿宋" w:eastAsia="仿宋_GB2312" w:cs="仿宋_GB2312"/>
          <w:b/>
          <w:sz w:val="32"/>
          <w:szCs w:val="20"/>
          <w:highlight w:val="none"/>
        </w:rPr>
      </w:pPr>
    </w:p>
    <w:p>
      <w:pPr>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pPr>
        <w:adjustRightInd w:val="0"/>
        <w:snapToGrid w:val="0"/>
        <w:spacing w:line="360" w:lineRule="auto"/>
        <w:jc w:val="left"/>
        <w:outlineLvl w:val="1"/>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1. 适用范围</w:t>
      </w:r>
    </w:p>
    <w:p>
      <w:pPr>
        <w:adjustRightInd w:val="0"/>
        <w:snapToGrid w:val="0"/>
        <w:spacing w:line="360" w:lineRule="auto"/>
        <w:ind w:firstLine="480" w:firstLineChars="200"/>
        <w:jc w:val="left"/>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2.定义</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2.5</w:t>
      </w:r>
      <w:r>
        <w:rPr>
          <w:rFonts w:ascii="仿宋_GB2312" w:hAnsi="仿宋" w:eastAsia="仿宋_GB2312"/>
          <w:sz w:val="24"/>
          <w:highlight w:val="none"/>
        </w:rPr>
        <w:t>“电子签名”系指数据电文中以电子形式所含、所附用于识别签名人身份并表明签名人认可其中内容的数据；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3.</w:t>
      </w:r>
      <w:r>
        <w:rPr>
          <w:rFonts w:hint="eastAsia" w:ascii="仿宋_GB2312" w:hAnsi="仿宋" w:eastAsia="仿宋_GB2312" w:cs="Times New Roman"/>
          <w:szCs w:val="24"/>
          <w:highlight w:val="none"/>
        </w:rPr>
        <w:t xml:space="preserve"> </w:t>
      </w:r>
      <w:r>
        <w:rPr>
          <w:rFonts w:hint="eastAsia" w:ascii="仿宋_GB2312" w:hAnsi="仿宋" w:eastAsia="仿宋_GB2312" w:cs="Times New Roman"/>
          <w:b/>
          <w:sz w:val="24"/>
          <w:szCs w:val="24"/>
          <w:highlight w:val="none"/>
        </w:rPr>
        <w:t>采购项目需要落实的政府采购政策</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pStyle w:val="5"/>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支持创新发展</w:t>
      </w:r>
    </w:p>
    <w:p>
      <w:pPr>
        <w:pStyle w:val="5"/>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3.4.1 采购人优先采购被认定</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为首台套产品和“制造精品”的自主创新产品。</w:t>
      </w:r>
    </w:p>
    <w:p>
      <w:pPr>
        <w:pStyle w:val="5"/>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3.4.2首台套产品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被纳入《首台套产品推广应用指导目录》之日起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自认定之日起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2年内视同已具备相应销售业绩，参加政府采购活动</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时业绩分值为满分。</w:t>
      </w:r>
    </w:p>
    <w:p>
      <w:pPr>
        <w:pStyle w:val="5"/>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4. 询问、质疑、投诉</w:t>
      </w:r>
    </w:p>
    <w:p>
      <w:pPr>
        <w:autoSpaceDE w:val="0"/>
        <w:autoSpaceDN w:val="0"/>
        <w:spacing w:line="360" w:lineRule="auto"/>
        <w:ind w:firstLine="240" w:firstLineChars="1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4.2供应商质疑</w:t>
      </w:r>
    </w:p>
    <w:p>
      <w:pPr>
        <w:pStyle w:val="34"/>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4.2</w:t>
      </w:r>
      <w:r>
        <w:rPr>
          <w:rFonts w:hint="eastAsia" w:ascii="仿宋_GB2312" w:hAnsi="仿宋_GB2312" w:eastAsia="仿宋_GB2312" w:cs="仿宋_GB2312"/>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4.2</w:t>
      </w:r>
      <w:r>
        <w:rPr>
          <w:rFonts w:hint="eastAsia" w:ascii="仿宋_GB2312" w:hAnsi="仿宋_GB2312" w:eastAsia="仿宋_GB2312" w:cs="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仿宋_GB2312" w:hAnsi="仿宋_GB2312" w:eastAsia="仿宋_GB2312" w:cs="仿宋_GB2312"/>
          <w:snapToGrid/>
          <w:color w:val="auto"/>
          <w:kern w:val="2"/>
          <w:sz w:val="24"/>
          <w:highlight w:val="none"/>
        </w:rPr>
      </w:pPr>
      <w:r>
        <w:rPr>
          <w:rFonts w:hint="eastAsia" w:ascii="仿宋_GB2312" w:hAnsi="仿宋_GB2312" w:eastAsia="仿宋_GB2312" w:cs="仿宋_GB2312"/>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4.2.2.2对采购过程提出质疑的，质疑期限为各采购程序环节结束之日起计算。</w:t>
      </w:r>
    </w:p>
    <w:p>
      <w:pPr>
        <w:pStyle w:val="34"/>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4.2.2.3对采购结果提出质疑的，质疑期限自采购结果公告期限届满之日起计算。</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4.2.3</w:t>
      </w:r>
      <w:r>
        <w:rPr>
          <w:rFonts w:hint="eastAsia" w:ascii="仿宋_GB2312" w:hAnsi="仿宋_GB2312" w:eastAsia="仿宋_GB2312" w:cs="仿宋_GB2312"/>
          <w:sz w:val="24"/>
          <w:highlight w:val="none"/>
        </w:rPr>
        <w:t>供应商提出质疑应当提交质疑函和必要的证明材料。质疑函应当包括下列内容：</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4.2.3.1供应商的姓名或者名称、地址、邮编、联系人及联系电话；</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4.2.3.2质疑项目的名称、编号；</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4.2.3.3具体、明确的质疑事项和与质疑事项相关的请求；</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4.2.3.4事实依据；</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4.2.3.5必要的法律依据；</w:t>
      </w:r>
    </w:p>
    <w:p>
      <w:pPr>
        <w:pStyle w:val="34"/>
        <w:spacing w:line="360" w:lineRule="auto"/>
        <w:ind w:firstLine="960" w:firstLineChars="4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4.2.3.6提出质疑的日期。</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质疑函范本及制作说明详见附件2。</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4.2.4对同一采购程序环节的质疑，供应商须一次性提出。</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lang w:val="zh-CN"/>
        </w:rPr>
        <w:t>4.2</w:t>
      </w:r>
      <w:r>
        <w:rPr>
          <w:rFonts w:hint="eastAsia" w:ascii="仿宋_GB2312" w:hAnsi="仿宋_GB2312" w:eastAsia="仿宋_GB2312" w:cs="仿宋_GB2312"/>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lang w:val="zh-CN"/>
        </w:rPr>
        <w:t>4.2</w:t>
      </w:r>
      <w:r>
        <w:rPr>
          <w:rFonts w:hint="eastAsia" w:ascii="仿宋_GB2312" w:hAnsi="仿宋_GB2312" w:eastAsia="仿宋_GB2312" w:cs="仿宋_GB2312"/>
          <w:highlight w:val="none"/>
        </w:rPr>
        <w:t>.6询问或者质疑事项可能影响采购结果的，采购人应当暂停签订合同，已经签订合同的，应当中止履行合同。</w:t>
      </w:r>
    </w:p>
    <w:p>
      <w:pPr>
        <w:pStyle w:val="643"/>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highlight w:val="none"/>
          <w:lang w:val="zh-CN"/>
        </w:rPr>
      </w:pPr>
      <w:r>
        <w:rPr>
          <w:rFonts w:hint="eastAsia" w:ascii="仿宋_GB2312" w:hAnsi="仿宋_GB2312" w:eastAsia="仿宋_GB2312" w:cs="仿宋_GB2312"/>
          <w:highlight w:val="none"/>
          <w:lang w:val="zh-CN"/>
        </w:rPr>
        <w:t>4.3供应商投诉</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4.3.1质疑供应商对采购人、采购机构的答复不满意或者采购人、采购机构未在规定的时间内作出答复的，可以在答复期满后十五个工作日内向同级政府采购监督管理部门提出投诉。</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4.3.</w:t>
      </w:r>
      <w:r>
        <w:rPr>
          <w:rFonts w:hint="eastAsia" w:ascii="仿宋_GB2312" w:hAnsi="仿宋_GB2312" w:eastAsia="仿宋_GB2312" w:cs="仿宋_GB2312"/>
          <w:highlight w:val="none"/>
          <w:lang w:val="zh-CN"/>
        </w:rPr>
        <w:t>2</w:t>
      </w:r>
      <w:r>
        <w:rPr>
          <w:rFonts w:hint="eastAsia" w:ascii="仿宋_GB2312" w:hAnsi="仿宋_GB2312" w:eastAsia="仿宋_GB2312" w:cs="仿宋_GB2312"/>
          <w:highlight w:val="none"/>
        </w:rPr>
        <w:t>供应商投诉的事项不得超出已质疑事项的范围，基于质疑答复内容提出的投诉事项除外。</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4.3.3供应商投诉应当有明确的请求和必要的证明材料。</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4.3.5 以联合体形式参加政府采购活动的，其投诉应当由组成联合体的所有供应商共同提出。</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投诉书范本及制作说明详见附件3。</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4.4在线质疑、投诉。</w:t>
      </w:r>
    </w:p>
    <w:p>
      <w:pPr>
        <w:pStyle w:val="643"/>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b/>
          <w:sz w:val="32"/>
          <w:szCs w:val="20"/>
          <w:highlight w:val="none"/>
        </w:rPr>
      </w:pPr>
      <w:r>
        <w:rPr>
          <w:rFonts w:hint="eastAsia" w:ascii="仿宋_GB2312" w:hAnsi="仿宋_GB2312" w:eastAsia="仿宋_GB2312" w:cs="仿宋_GB231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二、招标文件的构成、澄清、修改</w:t>
      </w:r>
    </w:p>
    <w:p>
      <w:pPr>
        <w:adjustRightInd w:val="0"/>
        <w:spacing w:line="360" w:lineRule="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5．招标文件的构成</w:t>
      </w:r>
    </w:p>
    <w:p>
      <w:pPr>
        <w:pStyle w:val="34"/>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adjustRightInd w:val="0"/>
        <w:spacing w:line="360" w:lineRule="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6. 招标文件的澄清、修改</w:t>
      </w:r>
    </w:p>
    <w:p>
      <w:pPr>
        <w:pStyle w:val="232"/>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232"/>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highlight w:val="none"/>
        </w:rPr>
      </w:pPr>
      <w:r>
        <w:rPr>
          <w:rFonts w:hint="eastAsia" w:ascii="仿宋_GB2312" w:hAnsi="仿宋" w:eastAsia="仿宋_GB2312" w:cs="仿宋_GB2312"/>
          <w:snapToGrid w:val="0"/>
          <w:sz w:val="24"/>
          <w:szCs w:val="24"/>
          <w:highlight w:val="none"/>
        </w:rPr>
        <w:t xml:space="preserve">    </w:t>
      </w:r>
    </w:p>
    <w:p>
      <w:pPr>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adjustRightInd w:val="0"/>
        <w:spacing w:line="360" w:lineRule="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highlight w:val="none"/>
        </w:rPr>
      </w:pPr>
      <w:r>
        <w:rPr>
          <w:rFonts w:hint="eastAsia" w:ascii="仿宋_GB2312" w:hAnsi="仿宋" w:eastAsia="仿宋_GB2312" w:cs="仿宋_GB2312"/>
          <w:snapToGrid w:val="0"/>
          <w:kern w:val="28"/>
          <w:sz w:val="24"/>
          <w:szCs w:val="24"/>
          <w:highlight w:val="none"/>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8.开标前答疑会或现场考察</w:t>
      </w:r>
    </w:p>
    <w:p>
      <w:pPr>
        <w:pStyle w:val="34"/>
        <w:spacing w:line="360" w:lineRule="auto"/>
        <w:ind w:firstLine="480" w:firstLineChars="200"/>
        <w:rPr>
          <w:rFonts w:ascii="仿宋_GB2312" w:hAnsi="仿宋" w:eastAsia="仿宋_GB2312" w:cs="Arial"/>
          <w:snapToGrid w:val="0"/>
          <w:sz w:val="24"/>
          <w:szCs w:val="24"/>
          <w:highlight w:val="none"/>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adjustRightInd w:val="0"/>
        <w:spacing w:line="360" w:lineRule="auto"/>
        <w:rPr>
          <w:rFonts w:ascii="仿宋_GB2312" w:hAnsi="仿宋" w:eastAsia="仿宋_GB2312" w:cs="仿宋_GB2312"/>
          <w:b/>
          <w:snapToGrid w:val="0"/>
          <w:szCs w:val="24"/>
          <w:highlight w:val="none"/>
        </w:rPr>
      </w:pPr>
      <w:r>
        <w:rPr>
          <w:rFonts w:hint="eastAsia" w:ascii="仿宋_GB2312" w:hAnsi="仿宋" w:eastAsia="仿宋_GB2312" w:cs="Arial"/>
          <w:b/>
          <w:snapToGrid w:val="0"/>
          <w:kern w:val="28"/>
          <w:sz w:val="24"/>
          <w:szCs w:val="24"/>
          <w:highlight w:val="none"/>
        </w:rPr>
        <w:t>9.投标保证金</w:t>
      </w:r>
    </w:p>
    <w:p>
      <w:pPr>
        <w:adjustRightIn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adjustRightInd w:val="0"/>
        <w:spacing w:line="360" w:lineRule="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highlight w:val="none"/>
          <w:lang w:val="zh-CN"/>
        </w:rPr>
      </w:pPr>
      <w:r>
        <w:rPr>
          <w:rFonts w:hint="eastAsia" w:ascii="仿宋_GB2312" w:hAnsi="仿宋" w:eastAsia="仿宋_GB2312" w:cs="仿宋_GB2312"/>
          <w:sz w:val="24"/>
          <w:szCs w:val="24"/>
          <w:highlight w:val="none"/>
        </w:rPr>
        <w:t>投标</w:t>
      </w:r>
      <w:r>
        <w:rPr>
          <w:rFonts w:hint="eastAsia" w:ascii="仿宋_GB2312" w:hAnsi="仿宋_GB2312" w:eastAsia="仿宋_GB2312" w:cs="仿宋_GB2312"/>
          <w:sz w:val="24"/>
          <w:szCs w:val="24"/>
          <w:highlight w:val="none"/>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highlight w:val="none"/>
        </w:rPr>
      </w:pPr>
      <w:r>
        <w:rPr>
          <w:rFonts w:hint="eastAsia" w:ascii="仿宋_GB2312" w:hAnsi="仿宋_GB2312" w:eastAsia="仿宋_GB2312" w:cs="仿宋_GB2312"/>
          <w:b/>
          <w:snapToGrid w:val="0"/>
          <w:sz w:val="24"/>
          <w:szCs w:val="24"/>
          <w:highlight w:val="none"/>
        </w:rPr>
        <w:t>11. 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12</w:t>
      </w:r>
      <w:r>
        <w:rPr>
          <w:rFonts w:hint="eastAsia" w:ascii="仿宋_GB2312" w:hAnsi="仿宋_GB2312" w:eastAsia="仿宋_GB2312" w:cs="仿宋_GB2312"/>
          <w:b/>
          <w:kern w:val="0"/>
          <w:sz w:val="24"/>
          <w:szCs w:val="24"/>
          <w:highlight w:val="none"/>
          <w:lang w:val="zh-CN"/>
        </w:rPr>
        <w:t xml:space="preserve">. </w:t>
      </w:r>
      <w:r>
        <w:rPr>
          <w:rFonts w:hint="eastAsia" w:ascii="仿宋_GB2312" w:hAnsi="仿宋_GB2312" w:eastAsia="仿宋_GB2312" w:cs="仿宋_GB2312"/>
          <w:b/>
          <w:sz w:val="24"/>
          <w:szCs w:val="24"/>
          <w:highlight w:val="none"/>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adjustRightInd w:val="0"/>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sz w:val="24"/>
          <w:szCs w:val="24"/>
          <w:highlight w:val="none"/>
        </w:rPr>
        <w:t>13.1投标文件按照招标文件第六部分格式要</w:t>
      </w:r>
      <w:r>
        <w:rPr>
          <w:rFonts w:hint="eastAsia" w:ascii="仿宋_GB2312" w:hAnsi="仿宋_GB2312" w:eastAsia="仿宋_GB2312" w:cs="仿宋_GB2312"/>
          <w:sz w:val="24"/>
          <w:highlight w:val="none"/>
        </w:rPr>
        <w:t>求进行签署、盖章。</w:t>
      </w:r>
      <w:r>
        <w:rPr>
          <w:rFonts w:hint="eastAsia" w:ascii="仿宋_GB2312" w:hAnsi="仿宋_GB2312" w:eastAsia="仿宋_GB2312" w:cs="仿宋_GB2312"/>
          <w:b/>
          <w:sz w:val="24"/>
          <w:highlight w:val="none"/>
        </w:rPr>
        <w:t>▲投标人的投标文件未按照招标文件要求签署、盖章的，其投标无效</w:t>
      </w:r>
      <w:r>
        <w:rPr>
          <w:rFonts w:hint="eastAsia" w:ascii="仿宋_GB2312" w:hAnsi="仿宋_GB2312" w:eastAsia="仿宋_GB2312" w:cs="仿宋_GB2312"/>
          <w:sz w:val="24"/>
          <w:szCs w:val="24"/>
          <w:highlight w:val="none"/>
        </w:rPr>
        <w:t>。</w:t>
      </w:r>
    </w:p>
    <w:p>
      <w:pPr>
        <w:adjustRightInd w:val="0"/>
        <w:snapToGrid w:val="0"/>
        <w:spacing w:after="120"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5"/>
        <w:numPr>
          <w:ilvl w:val="0"/>
          <w:numId w:val="0"/>
        </w:numPr>
        <w:ind w:leftChars="0" w:firstLine="480" w:firstLineChars="200"/>
        <w:rPr>
          <w:rFonts w:hint="eastAsia" w:ascii="仿宋_GB2312" w:hAnsi="仿宋_GB2312" w:eastAsia="仿宋_GB2312" w:cs="仿宋_GB2312"/>
          <w:b w:val="0"/>
          <w:bCs w:val="0"/>
          <w:kern w:val="2"/>
          <w:sz w:val="24"/>
          <w:szCs w:val="22"/>
          <w:highlight w:val="none"/>
          <w:lang w:val="en-US" w:eastAsia="zh-CN" w:bidi="ar-SA"/>
        </w:rPr>
      </w:pPr>
      <w:r>
        <w:rPr>
          <w:rFonts w:hint="eastAsia" w:ascii="仿宋_GB2312" w:hAnsi="仿宋_GB2312" w:eastAsia="仿宋_GB2312" w:cs="仿宋_GB2312"/>
          <w:b w:val="0"/>
          <w:bCs w:val="0"/>
          <w:kern w:val="2"/>
          <w:sz w:val="24"/>
          <w:szCs w:val="22"/>
          <w:highlight w:val="none"/>
          <w:lang w:val="en-US" w:eastAsia="zh-CN" w:bidi="ar-SA"/>
        </w:rPr>
        <w:t>13.3招标文件对投标文件签署、盖章的要求适用于电子签名。</w:t>
      </w:r>
    </w:p>
    <w:p>
      <w:pPr>
        <w:adjustRightInd w:val="0"/>
        <w:spacing w:after="120" w:line="360" w:lineRule="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14. 投标文件的提交、补充、修改、撤回</w:t>
      </w:r>
    </w:p>
    <w:p>
      <w:pPr>
        <w:pStyle w:val="232"/>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32"/>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15.备份投标文件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snapToGrid w:val="0"/>
          <w:sz w:val="24"/>
          <w:szCs w:val="24"/>
          <w:highlight w:val="none"/>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15.5投标人仅提交备份投标文件，没有在电子交易平台传输递交投标文件的，投标无效。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16.投标文件的无效处理</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napToGrid w:val="0"/>
          <w:sz w:val="24"/>
          <w:szCs w:val="24"/>
          <w:highlight w:val="none"/>
        </w:rPr>
      </w:pPr>
      <w:r>
        <w:rPr>
          <w:rFonts w:hint="eastAsia" w:ascii="仿宋_GB2312" w:hAnsi="仿宋" w:eastAsia="仿宋_GB2312" w:cs="仿宋_GB2312"/>
          <w:snapToGrid w:val="0"/>
          <w:sz w:val="24"/>
          <w:szCs w:val="24"/>
          <w:highlight w:val="none"/>
        </w:rPr>
        <w:t>有招标文件第四部分第</w:t>
      </w:r>
      <w:r>
        <w:rPr>
          <w:rFonts w:ascii="仿宋_GB2312" w:hAnsi="仿宋" w:eastAsia="仿宋_GB2312" w:cs="仿宋_GB2312"/>
          <w:snapToGrid w:val="0"/>
          <w:sz w:val="24"/>
          <w:szCs w:val="24"/>
          <w:highlight w:val="none"/>
        </w:rPr>
        <w:t>13项规定的情形之一的，投标无效</w:t>
      </w:r>
      <w:r>
        <w:rPr>
          <w:rFonts w:hint="eastAsia" w:ascii="仿宋_GB2312" w:hAnsi="仿宋" w:eastAsia="仿宋_GB2312" w:cs="仿宋_GB2312"/>
          <w:snapToGrid w:val="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17.投标有效期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sz w:val="24"/>
          <w:szCs w:val="21"/>
          <w:highlight w:val="none"/>
        </w:rPr>
      </w:pPr>
      <w:r>
        <w:rPr>
          <w:rFonts w:hint="eastAsia" w:ascii="仿宋_GB2312" w:hAnsi="仿宋" w:eastAsia="仿宋_GB2312" w:cs="仿宋_GB2312"/>
          <w:sz w:val="24"/>
          <w:szCs w:val="20"/>
          <w:highlight w:val="none"/>
        </w:rPr>
        <w:t>17.1投标有效期为从提交投标文件的截止之日起90天。</w:t>
      </w:r>
      <w:r>
        <w:rPr>
          <w:rFonts w:ascii="仿宋_GB2312" w:hAnsi="仿宋" w:eastAsia="仿宋_GB2312" w:cs="仿宋_GB2312"/>
          <w:sz w:val="24"/>
          <w:szCs w:val="20"/>
          <w:highlight w:val="none"/>
        </w:rPr>
        <w:t>▲</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highlight w:val="none"/>
        </w:rPr>
      </w:pPr>
    </w:p>
    <w:p>
      <w:pPr>
        <w:adjustRightInd w:val="0"/>
        <w:spacing w:after="120" w:line="360" w:lineRule="auto"/>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highlight w:val="none"/>
        </w:rPr>
      </w:pPr>
      <w:r>
        <w:rPr>
          <w:rFonts w:hint="eastAsia" w:ascii="仿宋_GB2312" w:hAnsi="仿宋" w:eastAsia="仿宋_GB2312" w:cs="仿宋_GB2312"/>
          <w:b/>
          <w:kern w:val="0"/>
          <w:sz w:val="24"/>
          <w:szCs w:val="24"/>
          <w:highlight w:val="none"/>
        </w:rPr>
        <w:t>18.开标</w:t>
      </w:r>
      <w:r>
        <w:rPr>
          <w:rFonts w:hint="eastAsia" w:ascii="仿宋_GB2312" w:hAnsi="仿宋" w:eastAsia="仿宋_GB2312" w:cs="Times New Roman"/>
          <w:kern w:val="0"/>
          <w:sz w:val="24"/>
          <w:szCs w:val="20"/>
          <w:highlight w:val="none"/>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kern w:val="0"/>
          <w:sz w:val="24"/>
          <w:szCs w:val="20"/>
          <w:highlight w:val="none"/>
        </w:rPr>
      </w:pPr>
      <w:r>
        <w:rPr>
          <w:rFonts w:hint="eastAsia" w:ascii="仿宋_GB2312" w:hAnsi="仿宋" w:eastAsia="仿宋_GB2312" w:cs="仿宋_GB2312"/>
          <w:kern w:val="0"/>
          <w:sz w:val="24"/>
          <w:szCs w:val="20"/>
          <w:highlight w:val="none"/>
        </w:rPr>
        <w:t>　18.2开标时，电子交易平台按开标时间自动提取所有投标文件。采购机构依托电子交</w:t>
      </w:r>
      <w:r>
        <w:rPr>
          <w:rFonts w:hint="eastAsia" w:ascii="仿宋_GB2312" w:hAnsi="仿宋_GB2312" w:eastAsia="仿宋_GB2312" w:cs="仿宋_GB2312"/>
          <w:kern w:val="0"/>
          <w:sz w:val="24"/>
          <w:szCs w:val="20"/>
          <w:highlight w:val="none"/>
        </w:rPr>
        <w:t>易平台发起开始解密指令，投标人按照平台提示和招标文件的规定在半小时内完成在线解密。</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b/>
          <w:kern w:val="0"/>
          <w:sz w:val="24"/>
          <w:szCs w:val="20"/>
          <w:highlight w:val="none"/>
        </w:rPr>
      </w:pPr>
      <w:r>
        <w:rPr>
          <w:rFonts w:hint="eastAsia" w:ascii="仿宋_GB2312" w:hAnsi="仿宋_GB2312" w:eastAsia="仿宋_GB2312" w:cs="仿宋_GB2312"/>
          <w:kern w:val="0"/>
          <w:sz w:val="24"/>
          <w:szCs w:val="20"/>
          <w:highlight w:val="none"/>
        </w:rPr>
        <w:t>　18.3</w:t>
      </w:r>
      <w:r>
        <w:rPr>
          <w:rFonts w:hint="eastAsia" w:ascii="仿宋_GB2312" w:hAnsi="仿宋_GB2312" w:eastAsia="仿宋_GB2312" w:cs="仿宋_GB2312"/>
          <w:b/>
          <w:kern w:val="0"/>
          <w:sz w:val="24"/>
          <w:szCs w:val="20"/>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100" w:beforeAutospacing="1" w:after="240" w:line="360" w:lineRule="auto"/>
        <w:jc w:val="left"/>
        <w:textAlignment w:val="auto"/>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19、资格审查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19.1开标后，采购人或采购机构将依法对投标人的资格进行审查。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19.2采购人或采购机构依据法律法规和招标文件的规定，对投标人的基本资格条件、特定资格条件进行审查。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19.4对未通过资格审查的投标人，采购人或采购机构告知其未通过的原因。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19.5合格投标人不足3家的，不再评标。</w:t>
      </w:r>
    </w:p>
    <w:p>
      <w:pPr>
        <w:adjustRightInd w:val="0"/>
        <w:spacing w:after="120" w:line="360" w:lineRule="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20、信用信息查询</w:t>
      </w:r>
    </w:p>
    <w:p>
      <w:pPr>
        <w:adjustRightInd w:val="0"/>
        <w:spacing w:after="120" w:line="360" w:lineRule="auto"/>
        <w:ind w:firstLine="495"/>
        <w:rPr>
          <w:rFonts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highlight w:val="none"/>
        </w:rPr>
      </w:pPr>
      <w:r>
        <w:rPr>
          <w:rFonts w:hint="eastAsia" w:ascii="仿宋_GB2312" w:hAnsi="仿宋" w:eastAsia="仿宋_GB2312" w:cs="Arial"/>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highlight w:val="none"/>
        </w:rPr>
        <w:t>。</w:t>
      </w:r>
    </w:p>
    <w:p>
      <w:pPr>
        <w:adjustRightInd w:val="0"/>
        <w:spacing w:after="120" w:line="360" w:lineRule="auto"/>
        <w:rPr>
          <w:rFonts w:ascii="仿宋_GB2312" w:hAnsi="仿宋" w:eastAsia="仿宋_GB2312" w:cs="Arial"/>
          <w:kern w:val="0"/>
          <w:sz w:val="24"/>
          <w:szCs w:val="24"/>
          <w:highlight w:val="none"/>
        </w:rPr>
      </w:pPr>
    </w:p>
    <w:p>
      <w:pPr>
        <w:adjustRightInd w:val="0"/>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adjustRightInd w:val="0"/>
        <w:spacing w:line="360" w:lineRule="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21.</w:t>
      </w:r>
      <w:r>
        <w:rPr>
          <w:rFonts w:hint="eastAsia" w:ascii="仿宋_GB2312" w:hAnsi="仿宋" w:eastAsia="仿宋_GB2312" w:cs="Times New Roman"/>
          <w:szCs w:val="24"/>
          <w:highlight w:val="none"/>
        </w:rPr>
        <w:t xml:space="preserve"> </w:t>
      </w:r>
      <w:r>
        <w:rPr>
          <w:rFonts w:hint="eastAsia" w:ascii="仿宋_GB2312" w:hAnsi="仿宋" w:eastAsia="仿宋_GB2312" w:cs="仿宋_GB2312"/>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adjustRightInd w:val="0"/>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 标</w:t>
      </w:r>
    </w:p>
    <w:p>
      <w:pPr>
        <w:adjustRightInd w:val="0"/>
        <w:spacing w:after="120" w:line="360" w:lineRule="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22. 确定中标供应商</w:t>
      </w:r>
    </w:p>
    <w:p>
      <w:pPr>
        <w:adjustRightInd w:val="0"/>
        <w:snapToGrid w:val="0"/>
        <w:spacing w:after="120" w:line="360" w:lineRule="auto"/>
        <w:ind w:firstLine="480" w:firstLineChars="200"/>
        <w:rPr>
          <w:rFonts w:hint="eastAsia" w:ascii="仿宋_GB2312" w:hAnsi="仿宋" w:eastAsia="仿宋_GB2312" w:cs="仿宋_GB2312"/>
          <w:b w:val="0"/>
          <w:bCs/>
          <w:sz w:val="24"/>
          <w:szCs w:val="24"/>
          <w:highlight w:val="none"/>
        </w:rPr>
      </w:pPr>
      <w:r>
        <w:rPr>
          <w:rFonts w:hint="eastAsia" w:ascii="仿宋_GB2312" w:hAnsi="仿宋" w:eastAsia="仿宋_GB2312" w:cs="仿宋_GB2312"/>
          <w:b w:val="0"/>
          <w:bCs/>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adjustRightInd w:val="0"/>
        <w:snapToGrid w:val="0"/>
        <w:spacing w:after="120" w:line="360" w:lineRule="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szCs w:val="24"/>
          <w:highlight w:val="none"/>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keepNext w:val="0"/>
        <w:keepLines w:val="0"/>
        <w:pageBreakBefore w:val="0"/>
        <w:numPr>
          <w:ilvl w:val="0"/>
          <w:numId w:val="9"/>
        </w:numPr>
        <w:kinsoku/>
        <w:wordWrap/>
        <w:overflowPunct/>
        <w:topLinePunct w:val="0"/>
        <w:autoSpaceDE/>
        <w:autoSpaceDN/>
        <w:bidi w:val="0"/>
        <w:adjustRightInd w:val="0"/>
        <w:spacing w:after="120" w:line="360" w:lineRule="auto"/>
        <w:jc w:val="center"/>
        <w:textAlignment w:val="auto"/>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合同授予</w:t>
      </w:r>
    </w:p>
    <w:p>
      <w:pPr>
        <w:keepNext w:val="0"/>
        <w:keepLines w:val="0"/>
        <w:pageBreakBefore w:val="0"/>
        <w:numPr>
          <w:ilvl w:val="0"/>
          <w:numId w:val="0"/>
        </w:numPr>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 xml:space="preserve">24. </w:t>
      </w:r>
      <w:r>
        <w:rPr>
          <w:rFonts w:hint="eastAsia" w:ascii="仿宋_GB2312" w:hAnsi="仿宋" w:eastAsia="仿宋_GB2312" w:cs="仿宋_GB2312"/>
          <w:sz w:val="24"/>
          <w:szCs w:val="24"/>
          <w:highlight w:val="none"/>
        </w:rPr>
        <w:t>合同主要条款详见第五部分拟签订的合同文本。</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25. </w:t>
      </w:r>
      <w:r>
        <w:rPr>
          <w:rFonts w:hint="eastAsia" w:ascii="仿宋_GB2312" w:hAnsi="仿宋" w:eastAsia="仿宋_GB2312" w:cs="仿宋_GB2312"/>
          <w:b/>
          <w:sz w:val="24"/>
          <w:szCs w:val="24"/>
          <w:highlight w:val="none"/>
        </w:rPr>
        <w:t>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highlight w:val="none"/>
          <w:lang w:val="zh-CN"/>
        </w:rPr>
      </w:pPr>
      <w:r>
        <w:rPr>
          <w:rFonts w:hint="eastAsia" w:ascii="仿宋_GB2312" w:hAnsi="仿宋" w:eastAsia="仿宋_GB2312" w:cs="Arial"/>
          <w:kern w:val="0"/>
          <w:sz w:val="24"/>
          <w:szCs w:val="24"/>
          <w:highlight w:val="none"/>
          <w:lang w:val="zh-CN"/>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25.3如签订合同并生效后，供应商无故拒绝或延期，除按照合同条款处理外，列入不良行为记录一次，并给予通报。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25.5采购合同由采购人与中标供应商根据招标文件、投标文件等内容通过政府采购电子交易平台在线签订，自动备案。</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26. </w:t>
      </w:r>
      <w:r>
        <w:rPr>
          <w:rFonts w:hint="eastAsia" w:ascii="仿宋_GB2312" w:hAnsi="仿宋" w:eastAsia="仿宋_GB2312" w:cs="仿宋_GB2312"/>
          <w:b/>
          <w:sz w:val="24"/>
          <w:szCs w:val="24"/>
          <w:highlight w:val="none"/>
        </w:rPr>
        <w:t>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hAnsi="仿宋" w:eastAsia="仿宋_GB2312" w:cs="Times New Roman"/>
          <w:sz w:val="24"/>
          <w:szCs w:val="24"/>
          <w:highlight w:val="none"/>
        </w:rPr>
        <w:t>2.5%。</w:t>
      </w:r>
      <w:r>
        <w:rPr>
          <w:rFonts w:hint="eastAsia" w:ascii="仿宋_GB2312" w:hAnsi="仿宋" w:eastAsia="仿宋_GB2312" w:cs="Times New Roman"/>
          <w:sz w:val="24"/>
          <w:szCs w:val="24"/>
          <w:highlight w:val="none"/>
        </w:rPr>
        <w:t>鼓励和支持供应商以银行、保险公司出具的保函形式提供履约保证金。</w:t>
      </w:r>
      <w:r>
        <w:rPr>
          <w:rFonts w:hint="eastAsia" w:ascii="仿宋_GB2312" w:hAnsi="仿宋" w:eastAsia="仿宋_GB2312" w:cs="Times New Roman"/>
          <w:b/>
          <w:bCs/>
          <w:sz w:val="24"/>
          <w:szCs w:val="24"/>
          <w:highlight w:val="none"/>
        </w:rPr>
        <w:t>采购人不得拒收履约保函，项目验收结束后应及时退还。</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政府采购货物和服务项目中，采购人可根据杭州市政府采购网公布的供应商履约评价情况减免履约保证金。供应商履约验收评价总分为</w:t>
      </w:r>
      <w:r>
        <w:rPr>
          <w:rFonts w:ascii="仿宋_GB2312" w:hAnsi="仿宋" w:eastAsia="仿宋_GB2312" w:cs="Times New Roman"/>
          <w:sz w:val="24"/>
          <w:szCs w:val="24"/>
          <w:highlight w:val="none"/>
        </w:rPr>
        <w:t>100分的，采购</w:t>
      </w:r>
      <w:r>
        <w:rPr>
          <w:rFonts w:hint="eastAsia" w:ascii="仿宋_GB2312" w:hAnsi="仿宋" w:eastAsia="仿宋_GB2312" w:cs="Times New Roman"/>
          <w:sz w:val="24"/>
          <w:szCs w:val="24"/>
          <w:highlight w:val="none"/>
        </w:rPr>
        <w:t>人应当免收履约保证金；评价总分在</w:t>
      </w:r>
      <w:r>
        <w:rPr>
          <w:rFonts w:ascii="仿宋_GB2312" w:hAnsi="仿宋" w:eastAsia="仿宋_GB2312" w:cs="Times New Roman"/>
          <w:sz w:val="24"/>
          <w:szCs w:val="24"/>
          <w:highlight w:val="none"/>
        </w:rPr>
        <w:t>90分以上的，收取履约保证金不得高于合同金额2%；评价总分在90分以下或者暂无评分的，收取履约保证金不得高于合同金额2.5%。</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供应商</w:t>
      </w:r>
      <w:r>
        <w:rPr>
          <w:rFonts w:hint="eastAsia" w:ascii="仿宋_GB2312" w:hAnsi="仿宋" w:eastAsia="仿宋_GB2312" w:cs="Times New Roman"/>
          <w:sz w:val="24"/>
          <w:szCs w:val="24"/>
          <w:highlight w:val="none"/>
          <w:lang w:val="en-US"/>
        </w:rPr>
        <w:t>可</w:t>
      </w:r>
      <w:r>
        <w:rPr>
          <w:rFonts w:hint="eastAsia" w:ascii="仿宋_GB2312" w:hAnsi="仿宋" w:eastAsia="仿宋_GB2312" w:cs="Times New Roman"/>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hint="eastAsia" w:ascii="仿宋_GB2312" w:hAnsi="仿宋" w:eastAsia="仿宋_GB2312" w:cs="仿宋_GB2312"/>
          <w:b/>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仿宋_GB2312" w:hAnsi="仿宋" w:eastAsia="仿宋_GB2312" w:cs="Times New Roman"/>
          <w:b/>
          <w:sz w:val="24"/>
          <w:szCs w:val="24"/>
          <w:highlight w:val="none"/>
        </w:rPr>
      </w:pPr>
      <w:r>
        <w:rPr>
          <w:rFonts w:hint="eastAsia" w:ascii="仿宋_GB2312" w:hAnsi="仿宋" w:eastAsia="仿宋_GB2312" w:cs="仿宋_GB2312"/>
          <w:b/>
          <w:sz w:val="32"/>
          <w:szCs w:val="24"/>
          <w:highlight w:val="none"/>
        </w:rPr>
        <w:t>八、电子交易活动的中止</w:t>
      </w:r>
    </w:p>
    <w:p>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仿宋_GB2312"/>
          <w:b/>
          <w:sz w:val="24"/>
          <w:szCs w:val="24"/>
          <w:highlight w:val="none"/>
        </w:rPr>
        <w:t>27. 电子交易活动的中止。</w:t>
      </w:r>
      <w:r>
        <w:rPr>
          <w:rFonts w:hint="eastAsia" w:ascii="仿宋_GB2312" w:hAnsi="仿宋" w:eastAsia="仿宋_GB2312" w:cs="仿宋_GB2312"/>
          <w:sz w:val="24"/>
          <w:highlight w:val="none"/>
        </w:rPr>
        <w:t>采购过程中出现以下情形，导致电子交易平台无法正常运行，或者无法保证电子交易的公平、公正和安</w:t>
      </w:r>
      <w:r>
        <w:rPr>
          <w:rFonts w:hint="eastAsia" w:ascii="仿宋_GB2312" w:hAnsi="仿宋" w:eastAsia="仿宋_GB2312" w:cs="Helvetica"/>
          <w:color w:val="000000" w:themeColor="text1"/>
          <w:kern w:val="0"/>
          <w:sz w:val="24"/>
          <w:highlight w:val="none"/>
          <w14:textFill>
            <w14:solidFill>
              <w14:schemeClr w14:val="tx1"/>
            </w14:solidFill>
          </w14:textFill>
        </w:rPr>
        <w:t>全时，采购机构可中止电子交易活动：</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27.1电子交易平台发生故障而无法登录访问的；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27.2电子交易平台应用或数据库出现错误，不能进行正常操作的；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27.3电子交易平台发现严重安全漏洞，有潜在泄密危险的；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27.4病毒发作导致不能进行正常操作的；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ascii="仿宋_GB2312" w:hAnsi="仿宋" w:eastAsia="仿宋_GB2312" w:cs="仿宋_GB2312"/>
          <w:sz w:val="24"/>
          <w:highlight w:val="none"/>
        </w:rPr>
      </w:pPr>
      <w:r>
        <w:rPr>
          <w:rFonts w:hint="eastAsia" w:ascii="仿宋_GB2312" w:hAnsi="仿宋" w:eastAsia="仿宋_GB2312" w:cs="仿宋_GB2312"/>
          <w:b/>
          <w:sz w:val="24"/>
          <w:highlight w:val="none"/>
        </w:rPr>
        <w:t>28.</w:t>
      </w:r>
      <w:r>
        <w:rPr>
          <w:rFonts w:hint="eastAsia" w:ascii="仿宋_GB2312" w:hAnsi="仿宋" w:eastAsia="仿宋_GB2312" w:cs="仿宋_GB2312"/>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仿宋_GB2312" w:hAnsi="仿宋" w:eastAsia="仿宋_GB2312" w:cs="仿宋_GB2312"/>
          <w:b/>
          <w:sz w:val="32"/>
          <w:szCs w:val="24"/>
          <w:highlight w:val="none"/>
        </w:rPr>
      </w:pPr>
      <w:r>
        <w:rPr>
          <w:rFonts w:hint="eastAsia" w:ascii="仿宋_GB2312" w:hAnsi="仿宋" w:eastAsia="仿宋_GB2312" w:cs="仿宋_GB2312"/>
          <w:b/>
          <w:sz w:val="32"/>
          <w:szCs w:val="24"/>
          <w:highlight w:val="none"/>
        </w:rPr>
        <w:t>九、验收</w:t>
      </w:r>
    </w:p>
    <w:p>
      <w:pPr>
        <w:adjustRightInd w:val="0"/>
        <w:spacing w:after="120"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29.验收</w:t>
      </w:r>
    </w:p>
    <w:p>
      <w:pPr>
        <w:tabs>
          <w:tab w:val="left" w:pos="0"/>
        </w:tabs>
        <w:adjustRightInd w:val="0"/>
        <w:spacing w:line="360" w:lineRule="auto"/>
        <w:ind w:firstLine="480"/>
        <w:rPr>
          <w:rFonts w:ascii="仿宋_GB2312" w:hAnsi="仿宋" w:eastAsia="仿宋_GB2312" w:cs="Helvetica"/>
          <w:kern w:val="0"/>
          <w:sz w:val="24"/>
          <w:szCs w:val="24"/>
          <w:highlight w:val="none"/>
        </w:rPr>
      </w:pPr>
      <w:r>
        <w:rPr>
          <w:rFonts w:hint="eastAsia" w:ascii="仿宋_GB2312" w:hAnsi="仿宋" w:eastAsia="仿宋_GB2312" w:cs="Helvetica"/>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highlight w:val="none"/>
        </w:rPr>
      </w:pPr>
      <w:r>
        <w:rPr>
          <w:rFonts w:hint="eastAsia" w:ascii="仿宋_GB2312" w:hAnsi="仿宋" w:eastAsia="仿宋_GB2312" w:cs="Helvetica"/>
          <w:kern w:val="0"/>
          <w:sz w:val="24"/>
          <w:szCs w:val="24"/>
          <w:highlight w:val="none"/>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highlight w:val="none"/>
        </w:rPr>
      </w:pPr>
      <w:r>
        <w:rPr>
          <w:rFonts w:hint="eastAsia" w:ascii="仿宋_GB2312" w:hAnsi="仿宋" w:eastAsia="仿宋_GB2312" w:cs="Helvetica"/>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highlight w:val="none"/>
        </w:rPr>
      </w:pPr>
      <w:r>
        <w:rPr>
          <w:rFonts w:hint="eastAsia" w:ascii="仿宋_GB2312" w:hAnsi="仿宋" w:eastAsia="仿宋_GB2312" w:cs="Helvetica"/>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0" w:name="_Hlt68073093"/>
      <w:bookmarkEnd w:id="10"/>
      <w:bookmarkStart w:id="11" w:name="_Hlt74730295"/>
      <w:bookmarkEnd w:id="11"/>
      <w:bookmarkStart w:id="12" w:name="_Hlt75236290"/>
      <w:bookmarkEnd w:id="12"/>
      <w:bookmarkStart w:id="13" w:name="_Hlt75236101"/>
      <w:bookmarkEnd w:id="13"/>
      <w:bookmarkStart w:id="14" w:name="_Hlt68403820"/>
      <w:bookmarkEnd w:id="14"/>
      <w:bookmarkStart w:id="15" w:name="_Hlt75236011"/>
      <w:bookmarkEnd w:id="15"/>
      <w:bookmarkStart w:id="16" w:name="_Hlt68057669"/>
      <w:bookmarkEnd w:id="16"/>
      <w:bookmarkStart w:id="17" w:name="_Hlt74707468"/>
      <w:bookmarkEnd w:id="17"/>
      <w:bookmarkStart w:id="18" w:name="_Hlt74714665"/>
      <w:bookmarkEnd w:id="18"/>
      <w:bookmarkStart w:id="19" w:name="_Hlt68072998"/>
      <w:bookmarkEnd w:id="19"/>
      <w:bookmarkStart w:id="20" w:name="_Hlt68072990"/>
      <w:bookmarkEnd w:id="20"/>
      <w:bookmarkStart w:id="21" w:name="_Hlt74729768"/>
      <w:bookmarkEnd w:id="21"/>
      <w:bookmarkStart w:id="22" w:name="第三部分"/>
      <w:bookmarkStart w:id="23" w:name="_Toc164416483"/>
    </w:p>
    <w:bookmarkEnd w:id="22"/>
    <w:bookmarkEnd w:id="23"/>
    <w:p>
      <w:pPr>
        <w:adjustRightInd w:val="0"/>
        <w:spacing w:line="360" w:lineRule="auto"/>
        <w:jc w:val="center"/>
        <w:outlineLvl w:val="0"/>
        <w:rPr>
          <w:rFonts w:ascii="仿宋_GB2312" w:hAnsi="仿宋" w:eastAsia="仿宋_GB2312" w:cs="仿宋_GB2312"/>
          <w:b/>
          <w:sz w:val="36"/>
          <w:szCs w:val="36"/>
          <w:highlight w:val="none"/>
        </w:rPr>
      </w:pPr>
      <w:bookmarkStart w:id="24" w:name="第四部分"/>
      <w:r>
        <w:rPr>
          <w:rFonts w:hint="eastAsia" w:ascii="仿宋_GB2312" w:hAnsi="仿宋" w:eastAsia="仿宋_GB2312" w:cs="仿宋_GB2312"/>
          <w:b/>
          <w:sz w:val="36"/>
          <w:szCs w:val="36"/>
          <w:highlight w:val="none"/>
        </w:rPr>
        <w:t>第三部分   采购需求</w:t>
      </w:r>
    </w:p>
    <w:p>
      <w:pPr>
        <w:spacing w:before="120" w:beforeLines="50" w:after="120" w:afterLines="50" w:line="360" w:lineRule="auto"/>
        <w:jc w:val="left"/>
        <w:outlineLvl w:val="1"/>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rPr>
        <w:t>属于实质性要求条款的，已用符号“▲”标明，否则属于非实质性要求。“★”系产品采购项目中</w:t>
      </w:r>
      <w:r>
        <w:rPr>
          <w:rFonts w:hint="eastAsia" w:ascii="仿宋_GB2312" w:hAnsi="仿宋_GB2312" w:eastAsia="仿宋_GB2312" w:cs="仿宋_GB2312"/>
          <w:b/>
          <w:bCs/>
          <w:sz w:val="24"/>
          <w:highlight w:val="none"/>
          <w:lang w:eastAsia="zh-CN"/>
        </w:rPr>
        <w:t>的</w:t>
      </w:r>
      <w:r>
        <w:rPr>
          <w:rFonts w:hint="eastAsia" w:ascii="仿宋_GB2312" w:hAnsi="仿宋_GB2312" w:eastAsia="仿宋_GB2312" w:cs="仿宋_GB2312"/>
          <w:b/>
          <w:bCs/>
          <w:sz w:val="24"/>
          <w:highlight w:val="none"/>
        </w:rPr>
        <w:t>核心产品</w:t>
      </w:r>
      <w:r>
        <w:rPr>
          <w:rFonts w:hint="eastAsia" w:ascii="仿宋_GB2312" w:hAnsi="仿宋_GB2312" w:eastAsia="仿宋_GB2312" w:cs="仿宋_GB2312"/>
          <w:b/>
          <w:bCs/>
          <w:sz w:val="24"/>
          <w:highlight w:val="none"/>
          <w:lang w:eastAsia="zh-CN"/>
        </w:rPr>
        <w:t>。</w:t>
      </w:r>
    </w:p>
    <w:p>
      <w:pPr>
        <w:adjustRightInd w:val="0"/>
        <w:spacing w:afterLines="0" w:line="360" w:lineRule="auto"/>
        <w:outlineLvl w:val="0"/>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lang w:eastAsia="zh-CN"/>
        </w:rPr>
        <w:t>一、</w:t>
      </w:r>
      <w:r>
        <w:rPr>
          <w:rFonts w:hint="eastAsia" w:ascii="仿宋_GB2312" w:hAnsi="宋体" w:eastAsia="仿宋_GB2312"/>
          <w:b/>
          <w:color w:val="auto"/>
          <w:sz w:val="24"/>
          <w:highlight w:val="none"/>
        </w:rPr>
        <w:t>服务目标及内容要求</w:t>
      </w:r>
    </w:p>
    <w:p>
      <w:pPr>
        <w:bidi w:val="0"/>
        <w:rPr>
          <w:rFonts w:hint="eastAsia"/>
          <w:color w:val="auto"/>
          <w:highlight w:val="none"/>
        </w:rPr>
      </w:pPr>
    </w:p>
    <w:p>
      <w:pPr>
        <w:pStyle w:val="232"/>
        <w:adjustRightInd w:val="0"/>
        <w:snapToGrid w:val="0"/>
        <w:spacing w:before="0"/>
        <w:ind w:firstLine="480"/>
        <w:rPr>
          <w:rFonts w:ascii="仿宋_GB2312" w:hAnsi="宋体" w:eastAsia="仿宋_GB2312"/>
          <w:b/>
          <w:color w:val="auto"/>
          <w:highlight w:val="none"/>
        </w:rPr>
      </w:pPr>
      <w:r>
        <w:rPr>
          <w:rFonts w:hint="eastAsia" w:ascii="仿宋_GB2312" w:hAnsi="宋体" w:eastAsia="仿宋_GB2312"/>
          <w:color w:val="auto"/>
          <w:highlight w:val="none"/>
        </w:rPr>
        <w:t>围绕建设智慧城市和带动产业发展2个总体目标，形成“基础设施全市统筹、应用开发部门为主”的崭新格局，实现架构合理、技术领先、体系完备、应用提升、效率提高、资金节约，构建以 “杭州智慧电子政务云”为核</w:t>
      </w:r>
      <w:r>
        <w:rPr>
          <w:rFonts w:ascii="仿宋_GB2312" w:hAnsi="宋体" w:eastAsia="仿宋_GB2312"/>
          <w:color w:val="auto"/>
          <w:highlight w:val="none"/>
        </w:rPr>
        <w:t>心</w:t>
      </w:r>
      <w:r>
        <w:rPr>
          <w:rFonts w:hint="eastAsia" w:ascii="仿宋_GB2312" w:hAnsi="宋体" w:eastAsia="仿宋_GB2312"/>
          <w:color w:val="auto"/>
          <w:highlight w:val="none"/>
        </w:rPr>
        <w:t>的全市新一代电子政务体系。</w:t>
      </w:r>
    </w:p>
    <w:p>
      <w:pPr>
        <w:pStyle w:val="232"/>
        <w:snapToGrid w:val="0"/>
        <w:spacing w:before="0" w:line="460" w:lineRule="exact"/>
        <w:ind w:firstLine="480"/>
        <w:rPr>
          <w:rFonts w:ascii="仿宋_GB2312" w:hAnsi="宋体" w:eastAsia="仿宋_GB2312"/>
          <w:color w:val="auto"/>
          <w:highlight w:val="none"/>
        </w:rPr>
      </w:pPr>
      <w:r>
        <w:rPr>
          <w:rFonts w:hint="eastAsia" w:ascii="仿宋_GB2312" w:hAnsi="宋体" w:eastAsia="仿宋_GB2312"/>
          <w:color w:val="auto"/>
          <w:highlight w:val="none"/>
        </w:rPr>
        <w:t>“杭州市临安区智慧电子政务云</w:t>
      </w:r>
      <w:r>
        <w:rPr>
          <w:rFonts w:hint="eastAsia" w:ascii="仿宋_GB2312" w:hAnsi="宋体" w:eastAsia="仿宋_GB2312"/>
          <w:color w:val="auto"/>
          <w:highlight w:val="none"/>
          <w:lang w:eastAsia="zh-CN"/>
        </w:rPr>
        <w:t>平台项目（单价）</w:t>
      </w:r>
      <w:r>
        <w:rPr>
          <w:rFonts w:hint="eastAsia" w:ascii="仿宋_GB2312" w:hAnsi="宋体" w:eastAsia="仿宋_GB2312"/>
          <w:color w:val="auto"/>
          <w:highlight w:val="none"/>
        </w:rPr>
        <w:t>”项目采购的服务内容主要为</w:t>
      </w:r>
      <w:r>
        <w:rPr>
          <w:rFonts w:hint="eastAsia" w:ascii="仿宋_GB2312" w:eastAsia="仿宋_GB2312"/>
          <w:color w:val="auto"/>
          <w:highlight w:val="none"/>
        </w:rPr>
        <w:t>云</w:t>
      </w:r>
      <w:r>
        <w:rPr>
          <w:rFonts w:hint="eastAsia" w:ascii="仿宋_GB2312" w:eastAsia="仿宋_GB2312"/>
          <w:color w:val="auto"/>
          <w:highlight w:val="none"/>
          <w:lang w:eastAsia="zh-CN"/>
        </w:rPr>
        <w:t>服务器</w:t>
      </w:r>
      <w:r>
        <w:rPr>
          <w:rFonts w:hint="eastAsia" w:ascii="仿宋_GB2312" w:eastAsia="仿宋_GB2312"/>
          <w:color w:val="auto"/>
          <w:highlight w:val="none"/>
        </w:rPr>
        <w:t>、云数据库、</w:t>
      </w:r>
      <w:r>
        <w:rPr>
          <w:rFonts w:hint="eastAsia" w:ascii="仿宋_GB2312" w:eastAsia="仿宋_GB2312"/>
          <w:color w:val="auto"/>
          <w:highlight w:val="none"/>
          <w:lang w:eastAsia="zh-CN"/>
        </w:rPr>
        <w:t>云存储（</w:t>
      </w:r>
      <w:r>
        <w:rPr>
          <w:rFonts w:hint="eastAsia" w:ascii="仿宋_GB2312" w:eastAsia="仿宋_GB2312"/>
          <w:color w:val="auto"/>
          <w:highlight w:val="none"/>
          <w:lang w:val="en-US" w:eastAsia="zh-CN"/>
        </w:rPr>
        <w:t>对象存储</w:t>
      </w:r>
      <w:r>
        <w:rPr>
          <w:rFonts w:hint="eastAsia" w:ascii="仿宋_GB2312" w:eastAsia="仿宋_GB2312"/>
          <w:color w:val="auto"/>
          <w:highlight w:val="none"/>
          <w:lang w:eastAsia="zh-CN"/>
        </w:rPr>
        <w:t>）和</w:t>
      </w:r>
      <w:r>
        <w:rPr>
          <w:rFonts w:hint="eastAsia" w:ascii="仿宋_GB2312" w:eastAsia="仿宋_GB2312"/>
          <w:color w:val="auto"/>
          <w:highlight w:val="none"/>
        </w:rPr>
        <w:t>大数据计算服务</w:t>
      </w:r>
      <w:r>
        <w:rPr>
          <w:rFonts w:ascii="仿宋_GB2312" w:eastAsia="仿宋_GB2312"/>
          <w:color w:val="auto"/>
          <w:highlight w:val="none"/>
        </w:rPr>
        <w:t>、</w:t>
      </w:r>
      <w:r>
        <w:rPr>
          <w:rFonts w:ascii="仿宋_GB2312" w:hAnsi="宋体" w:eastAsia="仿宋_GB2312" w:cs="Vrinda"/>
          <w:color w:val="auto"/>
          <w:highlight w:val="none"/>
        </w:rPr>
        <w:t>分析型数据库服务、</w:t>
      </w:r>
      <w:r>
        <w:rPr>
          <w:rFonts w:hint="eastAsia" w:ascii="仿宋_GB2312" w:hAnsi="宋体" w:eastAsia="仿宋_GB2312" w:cs="Vrinda"/>
          <w:color w:val="auto"/>
          <w:highlight w:val="none"/>
        </w:rPr>
        <w:t>负载均衡服务</w:t>
      </w:r>
      <w:r>
        <w:rPr>
          <w:rFonts w:ascii="仿宋_GB2312" w:hAnsi="宋体" w:eastAsia="仿宋_GB2312" w:cs="Vrinda"/>
          <w:color w:val="auto"/>
          <w:highlight w:val="none"/>
        </w:rPr>
        <w:t>、专有网络VPC服务、</w:t>
      </w:r>
      <w:r>
        <w:rPr>
          <w:rFonts w:hint="eastAsia" w:ascii="仿宋_GB2312" w:hAnsi="宋体" w:eastAsia="仿宋_GB2312" w:cs="Vrinda"/>
          <w:color w:val="auto"/>
          <w:highlight w:val="none"/>
        </w:rPr>
        <w:t>流计算</w:t>
      </w:r>
      <w:r>
        <w:rPr>
          <w:rFonts w:ascii="仿宋_GB2312" w:hAnsi="宋体" w:eastAsia="仿宋_GB2312" w:cs="Vrinda"/>
          <w:color w:val="auto"/>
          <w:highlight w:val="none"/>
        </w:rPr>
        <w:t>、</w:t>
      </w:r>
      <w:r>
        <w:rPr>
          <w:rFonts w:hint="eastAsia" w:ascii="仿宋_GB2312" w:hAnsi="宋体" w:eastAsia="仿宋_GB2312" w:cs="Vrinda"/>
          <w:color w:val="auto"/>
          <w:highlight w:val="none"/>
        </w:rPr>
        <w:t>实时数据分发平台</w:t>
      </w:r>
      <w:r>
        <w:rPr>
          <w:rFonts w:ascii="仿宋_GB2312" w:hAnsi="宋体" w:eastAsia="仿宋_GB2312" w:cs="Vrinda"/>
          <w:color w:val="auto"/>
          <w:highlight w:val="none"/>
        </w:rPr>
        <w:t>、</w:t>
      </w:r>
      <w:r>
        <w:rPr>
          <w:rFonts w:hint="eastAsia" w:ascii="仿宋_GB2312" w:hAnsi="宋体" w:eastAsia="仿宋_GB2312" w:cs="Vrinda"/>
          <w:color w:val="auto"/>
          <w:highlight w:val="none"/>
        </w:rPr>
        <w:t>表格存储</w:t>
      </w:r>
      <w:r>
        <w:rPr>
          <w:rFonts w:ascii="仿宋_GB2312" w:hAnsi="宋体" w:eastAsia="仿宋_GB2312" w:cs="Vrinda"/>
          <w:color w:val="auto"/>
          <w:highlight w:val="none"/>
        </w:rPr>
        <w:t>、</w:t>
      </w:r>
      <w:r>
        <w:rPr>
          <w:rFonts w:ascii="仿宋_GB2312" w:hAnsi="宋体" w:eastAsia="仿宋_GB2312" w:cs="Vrinda"/>
          <w:color w:val="auto"/>
          <w:highlight w:val="none"/>
          <w:lang w:eastAsia="zh-Hans"/>
        </w:rPr>
        <w:t>云数据库Redis版</w:t>
      </w:r>
      <w:r>
        <w:rPr>
          <w:rFonts w:ascii="仿宋_GB2312" w:hAnsi="宋体" w:eastAsia="仿宋_GB2312" w:cs="Vrinda"/>
          <w:color w:val="auto"/>
          <w:highlight w:val="none"/>
        </w:rPr>
        <w:t>、</w:t>
      </w:r>
      <w:r>
        <w:rPr>
          <w:rFonts w:hint="eastAsia" w:ascii="仿宋_GB2312" w:hAnsi="宋体" w:eastAsia="仿宋_GB2312" w:cs="Vrinda"/>
          <w:color w:val="auto"/>
          <w:highlight w:val="none"/>
        </w:rPr>
        <w:t>数据传输服务</w:t>
      </w:r>
      <w:r>
        <w:rPr>
          <w:rFonts w:ascii="仿宋_GB2312" w:hAnsi="宋体" w:eastAsia="仿宋_GB2312" w:cs="Vrinda"/>
          <w:color w:val="auto"/>
          <w:highlight w:val="none"/>
        </w:rPr>
        <w:t>、</w:t>
      </w:r>
      <w:r>
        <w:rPr>
          <w:rFonts w:hint="eastAsia" w:ascii="仿宋_GB2312" w:hAnsi="宋体" w:eastAsia="仿宋_GB2312" w:cs="Vrinda"/>
          <w:color w:val="auto"/>
          <w:highlight w:val="none"/>
        </w:rPr>
        <w:t>业务实时监控服务</w:t>
      </w:r>
      <w:r>
        <w:rPr>
          <w:rFonts w:ascii="仿宋_GB2312" w:hAnsi="宋体" w:eastAsia="仿宋_GB2312" w:cs="Vrinda"/>
          <w:color w:val="auto"/>
          <w:highlight w:val="none"/>
        </w:rPr>
        <w:t>、</w:t>
      </w:r>
      <w:r>
        <w:rPr>
          <w:rFonts w:hint="eastAsia" w:ascii="仿宋_GB2312" w:hAnsi="宋体" w:eastAsia="仿宋_GB2312" w:cs="Vrinda"/>
          <w:color w:val="auto"/>
          <w:highlight w:val="none"/>
        </w:rPr>
        <w:t>消息队列</w:t>
      </w:r>
      <w:r>
        <w:rPr>
          <w:rFonts w:ascii="仿宋_GB2312" w:hAnsi="宋体" w:eastAsia="仿宋_GB2312" w:cs="Vrinda"/>
          <w:color w:val="auto"/>
          <w:highlight w:val="none"/>
        </w:rPr>
        <w:t>、</w:t>
      </w:r>
      <w:r>
        <w:rPr>
          <w:rFonts w:hint="eastAsia" w:ascii="仿宋_GB2312" w:hAnsi="宋体" w:eastAsia="仿宋_GB2312" w:cs="Vrinda"/>
          <w:color w:val="auto"/>
          <w:highlight w:val="none"/>
          <w:lang w:eastAsia="zh-CN"/>
        </w:rPr>
        <w:t>系统安全服务</w:t>
      </w:r>
      <w:r>
        <w:rPr>
          <w:rFonts w:hint="eastAsia" w:ascii="仿宋_GB2312" w:hAnsi="宋体" w:eastAsia="仿宋_GB2312"/>
          <w:color w:val="auto"/>
          <w:highlight w:val="none"/>
        </w:rPr>
        <w:t>等</w:t>
      </w:r>
      <w:r>
        <w:rPr>
          <w:rFonts w:hint="eastAsia" w:ascii="仿宋_GB2312" w:hAnsi="宋体" w:eastAsia="仿宋_GB2312"/>
          <w:color w:val="auto"/>
          <w:highlight w:val="none"/>
          <w:lang w:eastAsia="zh-CN"/>
        </w:rPr>
        <w:t>云</w:t>
      </w:r>
      <w:r>
        <w:rPr>
          <w:rFonts w:hint="eastAsia" w:ascii="仿宋_GB2312" w:hAnsi="宋体" w:eastAsia="仿宋_GB2312"/>
          <w:color w:val="auto"/>
          <w:highlight w:val="none"/>
        </w:rPr>
        <w:t>服务。</w:t>
      </w:r>
    </w:p>
    <w:p>
      <w:pPr>
        <w:adjustRightInd w:val="0"/>
        <w:snapToGrid w:val="0"/>
        <w:spacing w:line="460" w:lineRule="exact"/>
        <w:ind w:firstLine="480" w:firstLineChars="200"/>
        <w:rPr>
          <w:rFonts w:hint="eastAsia" w:ascii="仿宋_GB2312" w:hAnsi="MT Extra" w:eastAsia="仿宋_GB2312" w:cs="MT Extra"/>
          <w:color w:val="auto"/>
          <w:kern w:val="2"/>
          <w:sz w:val="24"/>
          <w:szCs w:val="24"/>
          <w:highlight w:val="none"/>
          <w:lang w:val="en-US" w:eastAsia="zh-CN" w:bidi="ar-SA"/>
        </w:rPr>
      </w:pPr>
      <w:r>
        <w:rPr>
          <w:rFonts w:hint="eastAsia" w:ascii="仿宋_GB2312" w:hAnsi="MT Extra" w:eastAsia="仿宋_GB2312" w:cs="MT Extra"/>
          <w:color w:val="auto"/>
          <w:kern w:val="2"/>
          <w:sz w:val="24"/>
          <w:szCs w:val="24"/>
          <w:highlight w:val="none"/>
          <w:lang w:val="en-US" w:eastAsia="zh-CN" w:bidi="ar-SA"/>
        </w:rPr>
        <w:t>智慧政务云平台提供基于供政务云平台可视化资源管理平台，用户通过云管理云平台实现云资源的申请、管理监控及日常重启等服务，云管平台支持浙政钉扫码快速登录。</w:t>
      </w:r>
    </w:p>
    <w:p>
      <w:pPr>
        <w:adjustRightInd w:val="0"/>
        <w:snapToGrid w:val="0"/>
        <w:spacing w:line="460" w:lineRule="exact"/>
        <w:ind w:left="480"/>
        <w:rPr>
          <w:rFonts w:hint="eastAsia" w:ascii="仿宋_GB2312" w:hAnsi="仿宋" w:eastAsia="仿宋_GB2312"/>
          <w:color w:val="auto"/>
          <w:sz w:val="24"/>
          <w:highlight w:val="none"/>
        </w:rPr>
      </w:pPr>
      <w:r>
        <w:rPr>
          <w:rFonts w:hint="eastAsia" w:ascii="仿宋_GB2312" w:hAnsi="仿宋" w:eastAsia="仿宋_GB2312"/>
          <w:color w:val="auto"/>
          <w:sz w:val="24"/>
          <w:highlight w:val="none"/>
          <w:shd w:val="clear" w:color="auto" w:fill="FFFFFF"/>
        </w:rPr>
        <w:t>本次采购政务云</w:t>
      </w:r>
      <w:r>
        <w:rPr>
          <w:rFonts w:hint="eastAsia" w:ascii="仿宋_GB2312" w:hAnsi="仿宋" w:eastAsia="仿宋_GB2312"/>
          <w:color w:val="auto"/>
          <w:sz w:val="24"/>
          <w:highlight w:val="none"/>
        </w:rPr>
        <w:t>需提供服务内容规格如下：</w:t>
      </w:r>
    </w:p>
    <w:tbl>
      <w:tblPr>
        <w:tblStyle w:val="62"/>
        <w:tblW w:w="9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1896"/>
        <w:gridCol w:w="1652"/>
        <w:gridCol w:w="727"/>
        <w:gridCol w:w="1264"/>
        <w:gridCol w:w="1227"/>
        <w:gridCol w:w="1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743" w:type="dxa"/>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序号</w:t>
            </w:r>
          </w:p>
        </w:tc>
        <w:tc>
          <w:tcPr>
            <w:tcW w:w="1896" w:type="dxa"/>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服务产品</w:t>
            </w:r>
          </w:p>
        </w:tc>
        <w:tc>
          <w:tcPr>
            <w:tcW w:w="1652" w:type="dxa"/>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资源类别</w:t>
            </w:r>
          </w:p>
        </w:tc>
        <w:tc>
          <w:tcPr>
            <w:tcW w:w="727" w:type="dxa"/>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单位</w:t>
            </w:r>
          </w:p>
        </w:tc>
        <w:tc>
          <w:tcPr>
            <w:tcW w:w="1264" w:type="dxa"/>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最高限</w:t>
            </w:r>
            <w:r>
              <w:rPr>
                <w:rFonts w:hint="default" w:ascii="仿宋_GB2312" w:hAnsi="宋体" w:eastAsia="仿宋_GB2312" w:cs="仿宋_GB2312"/>
                <w:b/>
                <w:bCs/>
                <w:i w:val="0"/>
                <w:iCs w:val="0"/>
                <w:color w:val="000000"/>
                <w:kern w:val="0"/>
                <w:sz w:val="24"/>
                <w:szCs w:val="24"/>
                <w:highlight w:val="none"/>
                <w:u w:val="none"/>
                <w:lang w:val="en-US" w:eastAsia="zh-CN" w:bidi="ar"/>
              </w:rPr>
              <w:t>价</w:t>
            </w:r>
          </w:p>
        </w:tc>
        <w:tc>
          <w:tcPr>
            <w:tcW w:w="1227" w:type="dxa"/>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计价单位</w:t>
            </w:r>
          </w:p>
        </w:tc>
        <w:tc>
          <w:tcPr>
            <w:tcW w:w="1776" w:type="dxa"/>
            <w:tcBorders>
              <w:top w:val="single" w:color="000000" w:sz="12"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743"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18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云服务器(ECS)</w:t>
            </w:r>
          </w:p>
        </w:tc>
        <w:tc>
          <w:tcPr>
            <w:tcW w:w="16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一核</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1GB</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84</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以1核1G/2G/4G/8G分别为例，按例计价，1例起计，例：4核8G=（1核2G）*4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2GB</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129</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4GB</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219</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8GB</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399</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高效云盘</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100G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56</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SSD云盘</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100G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203</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对象存储（OSS）</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存储空间</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0.23</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bottom"/>
          </w:tcPr>
          <w:p>
            <w:pPr>
              <w:jc w:val="center"/>
              <w:rPr>
                <w:rFonts w:hint="default" w:ascii="仿宋_GB2312" w:hAnsi="宋体" w:eastAsia="仿宋_GB2312" w:cs="仿宋_GB2312"/>
                <w:i w:val="0"/>
                <w:iCs w:val="0"/>
                <w:color w:val="000000"/>
                <w:sz w:val="24"/>
                <w:szCs w:val="24"/>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3</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独立租户（VPC）</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系统VPC独立租户（一次性端口费）</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项</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4</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管理服务（包含移动端）</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云资源综合管理平台</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套</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43"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w:t>
            </w:r>
          </w:p>
        </w:tc>
        <w:tc>
          <w:tcPr>
            <w:tcW w:w="18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云数据库MySQL</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内存</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1GB</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113</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按内存计费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数据库存储</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2.2</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云数据库MS SQL Server</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内存</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1GB</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113</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按内存计费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数据库存储</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2.2</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43"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6</w:t>
            </w:r>
          </w:p>
        </w:tc>
        <w:tc>
          <w:tcPr>
            <w:tcW w:w="18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ORACLE数据库</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CPU</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核</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1100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不含RAC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内存</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650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CPU</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核</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1300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含RAC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内存</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850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存储</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1.8</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7</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SLB负载均衡</w:t>
            </w:r>
          </w:p>
        </w:tc>
        <w:tc>
          <w:tcPr>
            <w:tcW w:w="237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项</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按租户报价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743"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8</w:t>
            </w:r>
          </w:p>
        </w:tc>
        <w:tc>
          <w:tcPr>
            <w:tcW w:w="18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大数据计算服务（Maxcompute）</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存储</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GB</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FF0000"/>
                <w:kern w:val="0"/>
                <w:sz w:val="24"/>
                <w:szCs w:val="24"/>
                <w:highlight w:val="none"/>
                <w:u w:val="none"/>
                <w:lang w:val="en-US" w:eastAsia="zh-CN" w:bidi="ar"/>
              </w:rPr>
              <w:t>1.2</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备注：存储不超过50TB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计算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CU</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56</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1CU=1核4G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9</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分析型数据库MySQL 2.0版</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C1（ECU规格：7.5GB Mem/60GB SSD Disk/48Mbps Net）</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对</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430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采用全SSD存储的高性能ECU类型，适合并发量大，延迟敏感型业务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10</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分布式关系数据库（DRDS）</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w:t>
            </w:r>
            <w:r>
              <w:rPr>
                <w:rFonts w:hint="default" w:ascii="仿宋_GB2312" w:hAnsi="宋体" w:eastAsia="仿宋_GB2312" w:cs="仿宋_GB2312"/>
                <w:i w:val="0"/>
                <w:iCs w:val="0"/>
                <w:color w:val="auto"/>
                <w:kern w:val="0"/>
                <w:sz w:val="24"/>
                <w:szCs w:val="24"/>
                <w:highlight w:val="none"/>
                <w:u w:val="none"/>
                <w:lang w:val="en-US" w:eastAsia="zh-CN" w:bidi="ar"/>
              </w:rPr>
              <w:t>Core</w:t>
            </w:r>
            <w:r>
              <w:rPr>
                <w:rFonts w:hint="eastAsia" w:ascii="仿宋_GB2312" w:hAnsi="宋体" w:eastAsia="仿宋_GB2312" w:cs="仿宋_GB2312"/>
                <w:i w:val="0"/>
                <w:iCs w:val="0"/>
                <w:color w:val="auto"/>
                <w:kern w:val="0"/>
                <w:sz w:val="24"/>
                <w:szCs w:val="24"/>
                <w:highlight w:val="none"/>
                <w:u w:val="none"/>
                <w:lang w:val="en-US" w:eastAsia="zh-CN" w:bidi="ar"/>
              </w:rPr>
              <w:t>2</w:t>
            </w:r>
            <w:r>
              <w:rPr>
                <w:rFonts w:hint="default" w:ascii="仿宋_GB2312" w:hAnsi="宋体" w:eastAsia="仿宋_GB2312" w:cs="仿宋_GB2312"/>
                <w:i w:val="0"/>
                <w:iCs w:val="0"/>
                <w:color w:val="auto"/>
                <w:kern w:val="0"/>
                <w:sz w:val="24"/>
                <w:szCs w:val="24"/>
                <w:highlight w:val="none"/>
                <w:u w:val="none"/>
                <w:lang w:val="en-US" w:eastAsia="zh-CN" w:bidi="ar"/>
              </w:rPr>
              <w:t>G</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例</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w:t>
            </w:r>
            <w:r>
              <w:rPr>
                <w:rFonts w:hint="default" w:ascii="仿宋_GB2312" w:hAnsi="宋体" w:eastAsia="仿宋_GB2312" w:cs="仿宋_GB2312"/>
                <w:i w:val="0"/>
                <w:iCs w:val="0"/>
                <w:color w:val="auto"/>
                <w:kern w:val="0"/>
                <w:sz w:val="24"/>
                <w:szCs w:val="24"/>
                <w:highlight w:val="none"/>
                <w:u w:val="none"/>
                <w:lang w:val="en-US" w:eastAsia="zh-CN" w:bidi="ar"/>
              </w:rPr>
              <w:t>00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11</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实时计算Realtime Compute</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CU</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例</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360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1CU=1核4G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12</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数据总线DataHub</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套</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250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1套最多创建20个topic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13</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表格存储（Tablestore）</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存储</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743"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14</w:t>
            </w:r>
          </w:p>
        </w:tc>
        <w:tc>
          <w:tcPr>
            <w:tcW w:w="18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云数据库Redis版</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内存</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标准版内存（1-32G）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auto"/>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内存</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128</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集群版内存（16G-256G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15</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数据传输服务DTS</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服务</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套</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200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1套可最多创建20个任务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16</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日志服务（SLS）</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存储</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17</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企业级分布式应用服务EDAS</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服务</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套</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w:t>
            </w:r>
            <w:r>
              <w:rPr>
                <w:rFonts w:hint="eastAsia" w:ascii="仿宋_GB2312" w:hAnsi="宋体" w:eastAsia="仿宋_GB2312" w:cs="仿宋_GB2312"/>
                <w:i w:val="0"/>
                <w:iCs w:val="0"/>
                <w:color w:val="auto"/>
                <w:kern w:val="0"/>
                <w:sz w:val="24"/>
                <w:szCs w:val="24"/>
                <w:highlight w:val="none"/>
                <w:u w:val="none"/>
                <w:lang w:val="en-US" w:eastAsia="zh-CN" w:bidi="ar"/>
              </w:rPr>
              <w:t>40</w:t>
            </w:r>
            <w:r>
              <w:rPr>
                <w:rFonts w:hint="default" w:ascii="仿宋_GB2312" w:hAnsi="宋体" w:eastAsia="仿宋_GB2312" w:cs="仿宋_GB2312"/>
                <w:i w:val="0"/>
                <w:iCs w:val="0"/>
                <w:color w:val="auto"/>
                <w:kern w:val="0"/>
                <w:sz w:val="24"/>
                <w:szCs w:val="24"/>
                <w:highlight w:val="none"/>
                <w:u w:val="none"/>
                <w:lang w:val="en-US" w:eastAsia="zh-CN" w:bidi="ar"/>
              </w:rPr>
              <w:t>00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18</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应用实时监控Arms</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Agent</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个</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240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bottom"/>
          </w:tcPr>
          <w:p>
            <w:pPr>
              <w:jc w:val="center"/>
              <w:rPr>
                <w:rFonts w:hint="default" w:ascii="仿宋_GB2312" w:hAnsi="宋体" w:eastAsia="仿宋_GB2312" w:cs="仿宋_GB2312"/>
                <w:i w:val="0"/>
                <w:iCs w:val="0"/>
                <w:color w:val="00B0F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43" w:type="dxa"/>
            <w:vMerge w:val="restart"/>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19</w:t>
            </w:r>
          </w:p>
        </w:tc>
        <w:tc>
          <w:tcPr>
            <w:tcW w:w="18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Elasticsearch</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CPU</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核</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65</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vMerge w:val="restart"/>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内存</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3" w:type="dxa"/>
            <w:vMerge w:val="continue"/>
            <w:tcBorders>
              <w:top w:val="single" w:color="000000" w:sz="8" w:space="0"/>
              <w:left w:val="single" w:color="000000" w:sz="12"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存储</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1.8</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vMerge w:val="continue"/>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20</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大数据开发套件Dataworks</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服务</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套</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18000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bottom"/>
          </w:tcPr>
          <w:p>
            <w:pPr>
              <w:jc w:val="both"/>
              <w:rPr>
                <w:rFonts w:hint="default"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21</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消息队列MQ</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topic容量个数</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个</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22</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公网带宽</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带宽</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M</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7.5</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23</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公网IP</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IP</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个</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90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24</w:t>
            </w:r>
          </w:p>
        </w:tc>
        <w:tc>
          <w:tcPr>
            <w:tcW w:w="18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安全系统安全服务</w:t>
            </w: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等保二级安全服务</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套</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2820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43" w:type="dxa"/>
            <w:tcBorders>
              <w:top w:val="single" w:color="000000" w:sz="8"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25</w:t>
            </w:r>
          </w:p>
        </w:tc>
        <w:tc>
          <w:tcPr>
            <w:tcW w:w="18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6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等保三级安全服务</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套</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5640</w:t>
            </w:r>
          </w:p>
        </w:tc>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8" w:space="0"/>
              <w:right w:val="single" w:color="000000" w:sz="12" w:space="0"/>
            </w:tcBorders>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018" w:type="dxa"/>
            <w:gridSpan w:val="4"/>
            <w:tcBorders>
              <w:top w:val="single" w:color="000000" w:sz="8" w:space="0"/>
              <w:left w:val="single" w:color="000000" w:sz="12"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租赁费用单价合计</w:t>
            </w:r>
          </w:p>
        </w:tc>
        <w:tc>
          <w:tcPr>
            <w:tcW w:w="1264"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fldChar w:fldCharType="begin"/>
            </w:r>
            <w:r>
              <w:rPr>
                <w:rFonts w:hint="default" w:ascii="仿宋_GB2312" w:hAnsi="宋体" w:eastAsia="仿宋_GB2312" w:cs="仿宋_GB2312"/>
                <w:b/>
                <w:bCs/>
                <w:i w:val="0"/>
                <w:iCs w:val="0"/>
                <w:color w:val="000000"/>
                <w:kern w:val="0"/>
                <w:sz w:val="24"/>
                <w:szCs w:val="24"/>
                <w:highlight w:val="none"/>
                <w:u w:val="none"/>
                <w:lang w:val="en-US" w:eastAsia="zh-CN" w:bidi="ar"/>
              </w:rPr>
              <w:instrText xml:space="preserve"> = sum(E2:E42) \* MERGEFORMAT </w:instrText>
            </w:r>
            <w:r>
              <w:rPr>
                <w:rFonts w:hint="default" w:ascii="仿宋_GB2312" w:hAnsi="宋体" w:eastAsia="仿宋_GB2312" w:cs="仿宋_GB2312"/>
                <w:b/>
                <w:bCs/>
                <w:i w:val="0"/>
                <w:iCs w:val="0"/>
                <w:color w:val="000000"/>
                <w:kern w:val="0"/>
                <w:sz w:val="24"/>
                <w:szCs w:val="24"/>
                <w:highlight w:val="none"/>
                <w:u w:val="none"/>
                <w:lang w:val="en-US" w:eastAsia="zh-CN" w:bidi="ar"/>
              </w:rPr>
              <w:fldChar w:fldCharType="separate"/>
            </w:r>
            <w:r>
              <w:rPr>
                <w:rFonts w:hint="default" w:ascii="仿宋_GB2312" w:hAnsi="宋体" w:eastAsia="仿宋_GB2312" w:cs="仿宋_GB2312"/>
                <w:b/>
                <w:bCs/>
                <w:i w:val="0"/>
                <w:iCs w:val="0"/>
                <w:color w:val="000000"/>
                <w:kern w:val="0"/>
                <w:sz w:val="24"/>
                <w:szCs w:val="24"/>
                <w:highlight w:val="none"/>
                <w:u w:val="none"/>
                <w:lang w:val="en-US" w:eastAsia="zh-CN" w:bidi="ar"/>
              </w:rPr>
              <w:t>4786</w:t>
            </w:r>
            <w:r>
              <w:rPr>
                <w:rFonts w:hint="default" w:ascii="仿宋_GB2312" w:hAnsi="宋体" w:eastAsia="仿宋_GB2312" w:cs="仿宋_GB2312"/>
                <w:b/>
                <w:bCs/>
                <w:i w:val="0"/>
                <w:iCs w:val="0"/>
                <w:color w:val="000000"/>
                <w:kern w:val="0"/>
                <w:sz w:val="24"/>
                <w:szCs w:val="24"/>
                <w:highlight w:val="none"/>
                <w:u w:val="none"/>
                <w:lang w:eastAsia="zh-CN" w:bidi="ar"/>
              </w:rPr>
              <w:t>8</w:t>
            </w:r>
            <w:r>
              <w:rPr>
                <w:rFonts w:hint="default" w:ascii="仿宋_GB2312" w:hAnsi="宋体" w:eastAsia="仿宋_GB2312" w:cs="仿宋_GB2312"/>
                <w:b/>
                <w:bCs/>
                <w:i w:val="0"/>
                <w:iCs w:val="0"/>
                <w:color w:val="000000"/>
                <w:kern w:val="0"/>
                <w:sz w:val="24"/>
                <w:szCs w:val="24"/>
                <w:highlight w:val="none"/>
                <w:u w:val="none"/>
                <w:lang w:val="en-US" w:eastAsia="zh-CN" w:bidi="ar"/>
              </w:rPr>
              <w:t>.93</w:t>
            </w:r>
            <w:r>
              <w:rPr>
                <w:rFonts w:hint="default" w:ascii="仿宋_GB2312" w:hAnsi="宋体" w:eastAsia="仿宋_GB2312" w:cs="仿宋_GB2312"/>
                <w:b/>
                <w:bCs/>
                <w:i w:val="0"/>
                <w:iCs w:val="0"/>
                <w:color w:val="000000"/>
                <w:kern w:val="0"/>
                <w:sz w:val="24"/>
                <w:szCs w:val="24"/>
                <w:highlight w:val="none"/>
                <w:u w:val="none"/>
                <w:lang w:val="en-US" w:eastAsia="zh-CN" w:bidi="ar"/>
              </w:rPr>
              <w:fldChar w:fldCharType="end"/>
            </w:r>
          </w:p>
        </w:tc>
        <w:tc>
          <w:tcPr>
            <w:tcW w:w="1227"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元/月</w:t>
            </w:r>
          </w:p>
        </w:tc>
        <w:tc>
          <w:tcPr>
            <w:tcW w:w="1776" w:type="dxa"/>
            <w:tcBorders>
              <w:top w:val="single" w:color="000000" w:sz="8" w:space="0"/>
              <w:left w:val="single" w:color="000000" w:sz="8" w:space="0"/>
              <w:bottom w:val="single" w:color="000000" w:sz="12" w:space="0"/>
              <w:right w:val="single" w:color="000000" w:sz="12"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bl>
    <w:p>
      <w:pPr>
        <w:pStyle w:val="2"/>
        <w:rPr>
          <w:rFonts w:hint="eastAsia"/>
          <w:color w:val="auto"/>
          <w:highlight w:val="none"/>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both"/>
        <w:textAlignment w:val="auto"/>
        <w:rPr>
          <w:rFonts w:hint="eastAsia" w:ascii="仿宋_GB2312" w:hAnsi="仿宋_GB2312" w:eastAsia="仿宋_GB2312" w:cs="仿宋_GB2312"/>
          <w:bCs/>
          <w:color w:val="auto"/>
          <w:sz w:val="24"/>
          <w:szCs w:val="21"/>
          <w:highlight w:val="none"/>
          <w:lang w:val="en-US" w:eastAsia="zh-CN"/>
        </w:rPr>
      </w:pPr>
      <w:r>
        <w:rPr>
          <w:rFonts w:hint="eastAsia" w:ascii="仿宋_GB2312" w:hAnsi="仿宋_GB2312" w:eastAsia="仿宋_GB2312" w:cs="仿宋_GB2312"/>
          <w:bCs/>
          <w:color w:val="auto"/>
          <w:sz w:val="24"/>
          <w:szCs w:val="21"/>
          <w:highlight w:val="none"/>
          <w:lang w:eastAsia="zh-CN"/>
        </w:rPr>
        <w:t>注：</w:t>
      </w:r>
      <w:r>
        <w:rPr>
          <w:rFonts w:hint="eastAsia" w:ascii="仿宋_GB2312" w:hAnsi="仿宋_GB2312" w:eastAsia="仿宋_GB2312" w:cs="仿宋_GB2312"/>
          <w:bCs/>
          <w:color w:val="auto"/>
          <w:sz w:val="24"/>
          <w:szCs w:val="21"/>
          <w:highlight w:val="none"/>
        </w:rPr>
        <w:t>费用计价从开通次月起结算</w:t>
      </w:r>
      <w:r>
        <w:rPr>
          <w:rFonts w:hint="eastAsia" w:ascii="仿宋_GB2312" w:hAnsi="仿宋_GB2312" w:eastAsia="仿宋_GB2312" w:cs="仿宋_GB2312"/>
          <w:bCs/>
          <w:color w:val="auto"/>
          <w:sz w:val="24"/>
          <w:szCs w:val="21"/>
          <w:highlight w:val="none"/>
          <w:lang w:eastAsia="zh-CN"/>
        </w:rPr>
        <w:t>。</w:t>
      </w:r>
      <w:r>
        <w:rPr>
          <w:rFonts w:hint="eastAsia" w:ascii="仿宋_GB2312" w:hAnsi="仿宋_GB2312" w:eastAsia="仿宋_GB2312" w:cs="仿宋_GB2312"/>
          <w:bCs/>
          <w:color w:val="auto"/>
          <w:sz w:val="24"/>
          <w:szCs w:val="21"/>
          <w:highlight w:val="none"/>
          <w:lang w:val="en-US" w:eastAsia="zh-CN"/>
        </w:rPr>
        <w:t>投标人中标后5个工作日内需提供所投智慧电子政务云平台</w:t>
      </w:r>
      <w:r>
        <w:rPr>
          <w:rFonts w:hint="eastAsia" w:ascii="仿宋_GB2312" w:hAnsi="仿宋_GB2312" w:eastAsia="仿宋_GB2312" w:cs="仿宋_GB2312"/>
          <w:bCs/>
          <w:color w:val="auto"/>
          <w:sz w:val="24"/>
          <w:szCs w:val="21"/>
          <w:highlight w:val="none"/>
          <w:lang w:eastAsia="zh-CN"/>
        </w:rPr>
        <w:t>市级及以上公安局信息系统安全保护等级第三级2.0标准</w:t>
      </w:r>
      <w:r>
        <w:rPr>
          <w:rFonts w:hint="eastAsia" w:ascii="仿宋_GB2312" w:hAnsi="仿宋_GB2312" w:eastAsia="仿宋_GB2312" w:cs="仿宋_GB2312"/>
          <w:bCs/>
          <w:color w:val="auto"/>
          <w:sz w:val="24"/>
          <w:szCs w:val="21"/>
          <w:highlight w:val="none"/>
          <w:lang w:val="en-US" w:eastAsia="zh-CN"/>
        </w:rPr>
        <w:t>证书或者评测结果证明材料。</w:t>
      </w:r>
    </w:p>
    <w:p>
      <w:pPr>
        <w:bidi w:val="0"/>
        <w:rPr>
          <w:rFonts w:hint="eastAsia"/>
          <w:color w:val="auto"/>
          <w:highlight w:val="none"/>
          <w:lang w:val="en-US" w:eastAsia="zh-CN"/>
        </w:rPr>
      </w:pPr>
    </w:p>
    <w:p>
      <w:pPr>
        <w:adjustRightInd w:val="0"/>
        <w:spacing w:afterLines="0" w:line="360" w:lineRule="auto"/>
        <w:outlineLvl w:val="0"/>
        <w:rPr>
          <w:rFonts w:hint="eastAsia" w:ascii="仿宋_GB2312" w:hAnsi="宋体" w:eastAsia="仿宋_GB2312"/>
          <w:b/>
          <w:color w:val="auto"/>
          <w:sz w:val="24"/>
          <w:highlight w:val="none"/>
          <w:lang w:val="en-US" w:eastAsia="zh-CN"/>
        </w:rPr>
      </w:pPr>
      <w:r>
        <w:rPr>
          <w:rFonts w:hint="eastAsia" w:ascii="仿宋_GB2312" w:hAnsi="宋体" w:eastAsia="仿宋_GB2312"/>
          <w:b/>
          <w:color w:val="auto"/>
          <w:sz w:val="24"/>
          <w:highlight w:val="none"/>
          <w:lang w:val="en-US" w:eastAsia="zh-CN"/>
        </w:rPr>
        <w:t>二、服务标准</w:t>
      </w:r>
    </w:p>
    <w:p>
      <w:pPr>
        <w:pStyle w:val="5"/>
        <w:numPr>
          <w:ilvl w:val="0"/>
          <w:numId w:val="0"/>
        </w:numPr>
        <w:ind w:leftChars="0"/>
        <w:rPr>
          <w:rFonts w:hint="eastAsia" w:ascii="仿宋_GB2312" w:hAnsi="仿宋" w:eastAsia="仿宋_GB2312" w:cs="Arial"/>
          <w:b/>
          <w:bCs/>
          <w:color w:val="auto"/>
          <w:kern w:val="0"/>
          <w:sz w:val="24"/>
          <w:szCs w:val="22"/>
          <w:highlight w:val="none"/>
          <w:lang w:val="en-US" w:eastAsia="zh-CN" w:bidi="ar-SA"/>
        </w:rPr>
      </w:pPr>
      <w:r>
        <w:rPr>
          <w:rFonts w:hint="eastAsia" w:ascii="仿宋_GB2312" w:hAnsi="仿宋" w:eastAsia="仿宋_GB2312" w:cs="Arial"/>
          <w:b/>
          <w:bCs/>
          <w:color w:val="auto"/>
          <w:kern w:val="0"/>
          <w:sz w:val="24"/>
          <w:szCs w:val="22"/>
          <w:highlight w:val="none"/>
          <w:lang w:val="en-US" w:eastAsia="zh-CN" w:bidi="ar-SA"/>
        </w:rPr>
        <w:t>1 基础资源要求</w:t>
      </w:r>
    </w:p>
    <w:p>
      <w:pPr>
        <w:pStyle w:val="6"/>
        <w:numPr>
          <w:ilvl w:val="0"/>
          <w:numId w:val="0"/>
        </w:numPr>
        <w:ind w:left="720" w:hanging="720"/>
        <w:rPr>
          <w:rFonts w:ascii="仿宋_GB2312" w:eastAsia="仿宋_GB2312"/>
          <w:b/>
          <w:bCs/>
          <w:color w:val="auto"/>
          <w:sz w:val="24"/>
          <w:highlight w:val="none"/>
        </w:rPr>
      </w:pPr>
      <w:r>
        <w:rPr>
          <w:rFonts w:hint="eastAsia" w:ascii="仿宋_GB2312" w:eastAsia="仿宋_GB2312"/>
          <w:b/>
          <w:bCs/>
          <w:color w:val="auto"/>
          <w:sz w:val="24"/>
          <w:highlight w:val="none"/>
        </w:rPr>
        <w:t>1.1专用IDC机房</w:t>
      </w:r>
    </w:p>
    <w:p>
      <w:pPr>
        <w:pStyle w:val="232"/>
        <w:snapToGrid w:val="0"/>
        <w:spacing w:before="0" w:line="460" w:lineRule="exact"/>
        <w:ind w:left="0" w:leftChars="0" w:firstLine="0" w:firstLineChars="0"/>
        <w:rPr>
          <w:rFonts w:ascii="仿宋_GB2312" w:eastAsia="仿宋_GB2312"/>
          <w:color w:val="auto"/>
          <w:highlight w:val="none"/>
        </w:rPr>
      </w:pPr>
      <w:r>
        <w:rPr>
          <w:rFonts w:hint="eastAsia" w:ascii="仿宋_GB2312" w:eastAsia="仿宋_GB2312"/>
          <w:color w:val="auto"/>
          <w:highlight w:val="none"/>
        </w:rPr>
        <w:t>供应商应为“杭州</w:t>
      </w:r>
      <w:r>
        <w:rPr>
          <w:rFonts w:hint="eastAsia" w:ascii="仿宋_GB2312" w:eastAsia="仿宋_GB2312"/>
          <w:color w:val="auto"/>
          <w:highlight w:val="none"/>
          <w:lang w:val="en-US" w:eastAsia="zh-CN"/>
        </w:rPr>
        <w:t>市临安区</w:t>
      </w:r>
      <w:r>
        <w:rPr>
          <w:rFonts w:hint="eastAsia" w:ascii="仿宋_GB2312" w:eastAsia="仿宋_GB2312"/>
          <w:color w:val="auto"/>
          <w:highlight w:val="none"/>
        </w:rPr>
        <w:t xml:space="preserve">智慧电子政务云”提供专用的IDC机房，具体要求见下表： </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85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指标项</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jc w:val="center"/>
              <w:rPr>
                <w:rFonts w:ascii="仿宋_GB2312"/>
                <w:color w:val="auto"/>
                <w:sz w:val="24"/>
                <w:highlight w:val="none"/>
              </w:rPr>
            </w:pPr>
            <w:r>
              <w:rPr>
                <w:rFonts w:hint="eastAsia" w:ascii="仿宋_GB2312"/>
                <w:color w:val="auto"/>
                <w:sz w:val="24"/>
                <w:highlight w:val="none"/>
              </w:rPr>
              <w:t>规格要求</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建设标准</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hint="eastAsia" w:ascii="仿宋_GB2312"/>
                <w:color w:val="auto"/>
                <w:sz w:val="24"/>
                <w:highlight w:val="none"/>
              </w:rPr>
            </w:pPr>
            <w:r>
              <w:rPr>
                <w:rFonts w:hint="eastAsia" w:ascii="仿宋_GB2312"/>
                <w:color w:val="auto"/>
                <w:sz w:val="24"/>
                <w:highlight w:val="none"/>
              </w:rPr>
              <w:t>国际机房建设标准ANSI/TIA-942 Tier3+及以上标准建造；</w:t>
            </w:r>
          </w:p>
          <w:p>
            <w:pPr>
              <w:pStyle w:val="814"/>
              <w:spacing w:beforeLines="0" w:afterLines="0"/>
              <w:ind w:firstLine="0" w:firstLineChars="0"/>
              <w:rPr>
                <w:rFonts w:hint="eastAsia" w:ascii="仿宋_GB2312"/>
                <w:color w:val="auto"/>
                <w:sz w:val="24"/>
                <w:highlight w:val="none"/>
              </w:rPr>
            </w:pPr>
            <w:r>
              <w:rPr>
                <w:rFonts w:ascii="仿宋_GB2312" w:eastAsia="仿宋_GB2312"/>
                <w:color w:val="auto"/>
                <w:sz w:val="24"/>
                <w:highlight w:val="none"/>
              </w:rPr>
              <w:t>IDC机房通过《信息安全等级保护管理办法》相关等保等级要求</w:t>
            </w:r>
            <w:r>
              <w:rPr>
                <w:rFonts w:hint="eastAsia" w:ascii="仿宋_GB2312" w:eastAsia="仿宋_GB2312"/>
                <w:color w:val="auto"/>
                <w:sz w:val="24"/>
                <w:highlight w:val="none"/>
                <w:lang w:eastAsia="zh-Hans"/>
              </w:rPr>
              <w:t>二级及以上</w:t>
            </w:r>
            <w:r>
              <w:rPr>
                <w:rFonts w:ascii="仿宋_GB2312" w:eastAsia="仿宋_GB2312"/>
                <w:color w:val="auto"/>
                <w:sz w:val="24"/>
                <w:highlight w:val="none"/>
              </w:rPr>
              <w:t>；</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机房地点</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需提供机房地点，机房须建在杭州</w:t>
            </w:r>
            <w:r>
              <w:rPr>
                <w:rFonts w:ascii="仿宋_GB2312"/>
                <w:color w:val="auto"/>
                <w:sz w:val="24"/>
                <w:highlight w:val="none"/>
              </w:rPr>
              <w:t>地</w:t>
            </w:r>
            <w:r>
              <w:rPr>
                <w:rFonts w:hint="eastAsia" w:ascii="仿宋_GB2312"/>
                <w:color w:val="auto"/>
                <w:sz w:val="24"/>
                <w:highlight w:val="none"/>
              </w:rPr>
              <w:t>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restart"/>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动力保障</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2路10kV高压电力专线从不同变电所接入机房</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left"/>
              <w:rPr>
                <w:rFonts w:ascii="仿宋_GB2312" w:eastAsia="仿宋_GB2312"/>
                <w:color w:val="auto"/>
                <w:sz w:val="24"/>
                <w:highlight w:val="none"/>
              </w:rPr>
            </w:pP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2N UPS配置，确保供电安全。</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left"/>
              <w:rPr>
                <w:rFonts w:ascii="仿宋_GB2312" w:eastAsia="仿宋_GB2312"/>
                <w:color w:val="auto"/>
                <w:sz w:val="24"/>
                <w:highlight w:val="none"/>
              </w:rPr>
            </w:pP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配置同等容量柴油发电机，</w:t>
            </w:r>
            <w:r>
              <w:rPr>
                <w:rFonts w:ascii="仿宋_GB2312"/>
                <w:color w:val="auto"/>
                <w:sz w:val="24"/>
                <w:highlight w:val="none"/>
              </w:rPr>
              <w:t>油量储备</w:t>
            </w:r>
            <w:r>
              <w:rPr>
                <w:rFonts w:hint="eastAsia" w:ascii="仿宋_GB2312"/>
                <w:color w:val="auto"/>
                <w:sz w:val="24"/>
                <w:highlight w:val="none"/>
              </w:rPr>
              <w:t>可以支持发电机满载运行超过24小时</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left"/>
              <w:rPr>
                <w:rFonts w:ascii="仿宋_GB2312" w:eastAsia="仿宋_GB2312"/>
                <w:color w:val="auto"/>
                <w:sz w:val="24"/>
                <w:highlight w:val="none"/>
              </w:rPr>
            </w:pP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所有机柜均由两套不同的UPS系统提供双路供电。</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restart"/>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空调系统</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恒温恒湿机，温度保持在20-25度，相对湿度保持在40%~55%</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left"/>
              <w:rPr>
                <w:rFonts w:ascii="仿宋_GB2312" w:eastAsia="仿宋_GB2312"/>
                <w:color w:val="auto"/>
                <w:sz w:val="24"/>
                <w:highlight w:val="none"/>
              </w:rPr>
            </w:pP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空调主机配置EPS供电，保障无市电情况下的持续运转</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left"/>
              <w:rPr>
                <w:rFonts w:ascii="仿宋_GB2312" w:eastAsia="仿宋_GB2312"/>
                <w:color w:val="auto"/>
                <w:sz w:val="24"/>
                <w:highlight w:val="none"/>
              </w:rPr>
            </w:pP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下送风上回风、冷热通道隔离设计，提高制冷效果及能源使用效率</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消防系统</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分区域消防联动系统，保障机房运行安全</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restart"/>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网络资源</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多运营商多线路互联，保障网络畅通无阻</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left"/>
              <w:rPr>
                <w:rFonts w:ascii="仿宋_GB2312" w:eastAsia="仿宋_GB2312"/>
                <w:color w:val="auto"/>
                <w:sz w:val="24"/>
                <w:highlight w:val="none"/>
              </w:rPr>
            </w:pPr>
          </w:p>
        </w:tc>
        <w:tc>
          <w:tcPr>
            <w:tcW w:w="6852"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已具备杭州市政务外网的网络环境，能提供公众服务网、资源共享网和业务专网等政务专用网络</w:t>
            </w:r>
          </w:p>
          <w:p>
            <w:pPr>
              <w:pStyle w:val="814"/>
              <w:spacing w:beforeLines="0" w:afterLines="0"/>
              <w:ind w:firstLine="0" w:firstLineChars="0"/>
              <w:rPr>
                <w:rFonts w:ascii="仿宋_GB2312"/>
                <w:color w:val="auto"/>
                <w:sz w:val="24"/>
                <w:highlight w:val="none"/>
              </w:rPr>
            </w:pPr>
            <w:r>
              <w:rPr>
                <w:rFonts w:hint="eastAsia" w:ascii="仿宋_GB2312"/>
                <w:color w:val="auto"/>
                <w:sz w:val="24"/>
                <w:highlight w:val="none"/>
              </w:rPr>
              <w:t>政务云机房与市政务网提供传输波分网络对接互联，保障政务网网络稳定</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r>
              <w:rPr>
                <w:rFonts w:hint="eastAsia" w:ascii="仿宋_GB2312" w:eastAsia="仿宋_GB2312"/>
                <w:color w:val="auto"/>
                <w:sz w:val="24"/>
                <w:highlight w:val="none"/>
              </w:rPr>
              <w:t>互联网出口</w:t>
            </w:r>
          </w:p>
        </w:tc>
        <w:tc>
          <w:tcPr>
            <w:tcW w:w="68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为</w:t>
            </w:r>
            <w:r>
              <w:rPr>
                <w:rFonts w:hint="eastAsia" w:ascii="仿宋_GB2312" w:eastAsia="仿宋_GB2312"/>
                <w:color w:val="auto"/>
                <w:sz w:val="24"/>
                <w:highlight w:val="none"/>
                <w:lang w:eastAsia="zh-CN"/>
              </w:rPr>
              <w:t>临安</w:t>
            </w:r>
            <w:r>
              <w:rPr>
                <w:rFonts w:hint="eastAsia" w:ascii="仿宋_GB2312" w:eastAsia="仿宋_GB2312"/>
                <w:color w:val="auto"/>
                <w:sz w:val="24"/>
                <w:highlight w:val="none"/>
              </w:rPr>
              <w:t>政务云平台提供中国移动</w:t>
            </w:r>
            <w:r>
              <w:rPr>
                <w:rFonts w:ascii="仿宋_GB2312" w:eastAsia="仿宋_GB2312"/>
                <w:color w:val="auto"/>
                <w:sz w:val="24"/>
                <w:highlight w:val="none"/>
              </w:rPr>
              <w:t>、中国电信、中国联通、华数</w:t>
            </w:r>
            <w:r>
              <w:rPr>
                <w:rFonts w:hint="eastAsia" w:ascii="仿宋_GB2312" w:eastAsia="仿宋_GB2312"/>
                <w:color w:val="auto"/>
                <w:sz w:val="24"/>
                <w:highlight w:val="none"/>
              </w:rPr>
              <w:t>互联网接入线路。要求如下：</w:t>
            </w:r>
          </w:p>
          <w:p>
            <w:pPr>
              <w:numPr>
                <w:ilvl w:val="0"/>
                <w:numId w:val="10"/>
              </w:numPr>
              <w:adjustRightInd/>
              <w:rPr>
                <w:rFonts w:hint="eastAsia" w:ascii="仿宋_GB2312" w:eastAsia="仿宋_GB2312"/>
                <w:color w:val="auto"/>
                <w:sz w:val="24"/>
                <w:highlight w:val="none"/>
              </w:rPr>
            </w:pPr>
            <w:r>
              <w:rPr>
                <w:rFonts w:hint="eastAsia" w:ascii="仿宋_GB2312" w:eastAsia="仿宋_GB2312"/>
                <w:color w:val="auto"/>
                <w:sz w:val="24"/>
                <w:highlight w:val="none"/>
              </w:rPr>
              <w:t>华数互联网专线租用</w:t>
            </w:r>
          </w:p>
          <w:p>
            <w:pPr>
              <w:numPr>
                <w:ilvl w:val="0"/>
                <w:numId w:val="10"/>
              </w:numPr>
              <w:adjustRightInd/>
              <w:rPr>
                <w:rFonts w:hint="eastAsia" w:ascii="仿宋_GB2312" w:eastAsia="仿宋_GB2312"/>
                <w:color w:val="auto"/>
                <w:sz w:val="24"/>
                <w:highlight w:val="none"/>
              </w:rPr>
            </w:pPr>
            <w:r>
              <w:rPr>
                <w:rFonts w:hint="eastAsia" w:ascii="仿宋_GB2312" w:eastAsia="仿宋_GB2312"/>
                <w:color w:val="auto"/>
                <w:sz w:val="24"/>
                <w:highlight w:val="none"/>
              </w:rPr>
              <w:t>中国电信互联网专线租用</w:t>
            </w:r>
          </w:p>
          <w:p>
            <w:pPr>
              <w:numPr>
                <w:ilvl w:val="0"/>
                <w:numId w:val="10"/>
              </w:numPr>
              <w:adjustRightInd/>
              <w:rPr>
                <w:rFonts w:hint="eastAsia" w:ascii="仿宋_GB2312" w:eastAsia="仿宋_GB2312"/>
                <w:color w:val="auto"/>
                <w:sz w:val="24"/>
                <w:highlight w:val="none"/>
              </w:rPr>
            </w:pPr>
            <w:r>
              <w:rPr>
                <w:rFonts w:hint="eastAsia" w:ascii="仿宋_GB2312" w:eastAsia="仿宋_GB2312"/>
                <w:color w:val="auto"/>
                <w:sz w:val="24"/>
                <w:highlight w:val="none"/>
              </w:rPr>
              <w:t>中国移动互联网专线租用</w:t>
            </w:r>
          </w:p>
          <w:p>
            <w:pPr>
              <w:numPr>
                <w:ilvl w:val="0"/>
                <w:numId w:val="10"/>
              </w:numPr>
              <w:adjustRightInd/>
              <w:rPr>
                <w:rFonts w:hint="eastAsia" w:ascii="仿宋_GB2312" w:eastAsia="仿宋_GB2312"/>
                <w:color w:val="auto"/>
                <w:sz w:val="24"/>
                <w:highlight w:val="none"/>
              </w:rPr>
            </w:pPr>
            <w:r>
              <w:rPr>
                <w:rFonts w:hint="eastAsia" w:ascii="仿宋_GB2312" w:eastAsia="仿宋_GB2312"/>
                <w:color w:val="auto"/>
                <w:sz w:val="24"/>
                <w:highlight w:val="none"/>
              </w:rPr>
              <w:t>中国联通互联网专线租用</w:t>
            </w:r>
          </w:p>
          <w:p>
            <w:pPr>
              <w:adjustRightInd/>
              <w:rPr>
                <w:rFonts w:hint="eastAsia" w:ascii="仿宋_GB2312"/>
                <w:color w:val="auto"/>
                <w:sz w:val="24"/>
                <w:highlight w:val="none"/>
              </w:rPr>
            </w:pPr>
            <w:r>
              <w:rPr>
                <w:rFonts w:hint="eastAsia" w:ascii="仿宋_GB2312" w:eastAsia="仿宋_GB2312"/>
                <w:color w:val="auto"/>
                <w:sz w:val="24"/>
                <w:highlight w:val="none"/>
              </w:rPr>
              <w:t>提供接入证明。</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814"/>
              <w:spacing w:beforeLines="0" w:afterLines="0"/>
              <w:ind w:firstLine="0" w:firstLineChars="0"/>
              <w:rPr>
                <w:rFonts w:ascii="仿宋_GB2312"/>
                <w:color w:val="auto"/>
                <w:sz w:val="24"/>
                <w:highlight w:val="none"/>
              </w:rPr>
            </w:pPr>
          </w:p>
        </w:tc>
      </w:tr>
    </w:tbl>
    <w:p>
      <w:pPr>
        <w:pStyle w:val="6"/>
        <w:numPr>
          <w:ilvl w:val="0"/>
          <w:numId w:val="0"/>
        </w:numPr>
        <w:ind w:left="720" w:hanging="720"/>
        <w:rPr>
          <w:rFonts w:ascii="仿宋_GB2312" w:eastAsia="仿宋_GB2312"/>
          <w:b/>
          <w:bCs/>
          <w:color w:val="auto"/>
          <w:sz w:val="24"/>
          <w:highlight w:val="none"/>
        </w:rPr>
      </w:pPr>
      <w:r>
        <w:rPr>
          <w:rFonts w:hint="eastAsia" w:ascii="仿宋_GB2312" w:eastAsia="仿宋_GB2312"/>
          <w:b/>
          <w:bCs/>
          <w:color w:val="auto"/>
          <w:sz w:val="24"/>
          <w:highlight w:val="none"/>
        </w:rPr>
        <w:t>1.2 政务云平台</w:t>
      </w:r>
    </w:p>
    <w:p>
      <w:pPr>
        <w:pStyle w:val="232"/>
        <w:snapToGrid w:val="0"/>
        <w:spacing w:before="0" w:line="460" w:lineRule="exact"/>
        <w:ind w:firstLine="480"/>
        <w:rPr>
          <w:rFonts w:ascii="仿宋_GB2312" w:eastAsia="仿宋_GB2312"/>
          <w:color w:val="auto"/>
          <w:highlight w:val="none"/>
        </w:rPr>
      </w:pPr>
      <w:r>
        <w:rPr>
          <w:rFonts w:hint="eastAsia" w:ascii="仿宋_GB2312" w:eastAsia="仿宋_GB2312"/>
          <w:color w:val="auto"/>
          <w:highlight w:val="none"/>
        </w:rPr>
        <w:t>供应商应为“杭州</w:t>
      </w:r>
      <w:r>
        <w:rPr>
          <w:rFonts w:hint="eastAsia" w:ascii="仿宋_GB2312" w:eastAsia="仿宋_GB2312"/>
          <w:color w:val="auto"/>
          <w:highlight w:val="none"/>
          <w:lang w:val="en-US" w:eastAsia="zh-CN"/>
        </w:rPr>
        <w:t>市临安区</w:t>
      </w:r>
      <w:r>
        <w:rPr>
          <w:rFonts w:hint="eastAsia" w:ascii="仿宋_GB2312" w:eastAsia="仿宋_GB2312"/>
          <w:color w:val="auto"/>
          <w:highlight w:val="none"/>
        </w:rPr>
        <w:t>智慧电子政务云”提供专用的政务云平台，具体要求见下表：</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6833"/>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指标项</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hAnsi="仿宋_GB2312" w:cs="仿宋_GB2312"/>
                <w:color w:val="auto"/>
                <w:sz w:val="24"/>
                <w:highlight w:val="none"/>
              </w:rPr>
            </w:pPr>
            <w:r>
              <w:rPr>
                <w:rFonts w:hint="eastAsia" w:ascii="仿宋_GB2312" w:hAnsi="仿宋_GB2312" w:cs="仿宋_GB2312"/>
                <w:color w:val="auto"/>
                <w:sz w:val="24"/>
                <w:highlight w:val="none"/>
              </w:rPr>
              <w:t>规格要求</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建设标准</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平台基于阿里云“飞天”架构或与“飞天”架构完全兼容的架构</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采用统一管理集群资源，统一管理集群内的CPU、内存、磁盘和网络资源使得这些关键资源可以被高效地使用；</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采用文件多备份的策略提高存储的可靠性</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根据应用对资源进行全局的调度，提高资源的利用率</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采用自动故障切换提高系统整体的可用性</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采用统一的安全措施，保证政务信息的安全性</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采用统一运维的方式，提高系统的安全并降低成本</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云平台自主知识产权</w:t>
            </w:r>
          </w:p>
        </w:tc>
        <w:tc>
          <w:tcPr>
            <w:tcW w:w="6833" w:type="dxa"/>
            <w:tcBorders>
              <w:top w:val="single" w:color="auto" w:sz="4" w:space="0"/>
              <w:left w:val="single" w:color="auto" w:sz="4" w:space="0"/>
              <w:bottom w:val="single" w:color="auto" w:sz="4" w:space="0"/>
              <w:right w:val="single" w:color="auto" w:sz="4" w:space="0"/>
            </w:tcBorders>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投标方所提供的平台软件，必须具备自主知识产权，并能够不依赖于第三方，具备对全部软件代码的自主研发、升级、及时的bug修复能力。</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市场商业化程度</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云服务已商业化运行，经过了市场的有效检验。</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政务VIP服务</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为政务用户提供VIP服务，划定政务服务逻辑专区，集中存放政务应用系统和数据资源，专区内的物理主机、存储、数据库、网络等资源不得提供给非政务用户使用。</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单集群规模</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单个集群支持5000台物理服务器</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资源管理</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负责调度和分配集群的内存和计算等资源给上层应用和服务，管理运行在集群节点上的任务的生命周期和资源使用。</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安全管理</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安全管理提供以用户为单位的身份认证和授权，对集群数据资源和服务进行访问控制生成</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远程过程调用</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远程过程调用提供可靠高效的进程间远程调用服务，支持通讯信道的数据压缩和一致性校验</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分布协同服务</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分布协同服务提供分布式系统基本的命名服务、状态同步服务和分布式锁服务。支持基于Paxos的分布式共识协议</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分布式文件系统</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能实现大规模数据的快速读写功能，具备文件并行操作的高效机制</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拥有存储系统状态的监视机制以及故障诊断和恢复高效算法</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具备数据安全防护，包括数据加密技术，冗余存储和自动恢复技术，多租户，用户隔离，访问控制技术，为云存储提供数据安全保障</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支持大规模并发读写，充分利用分布式并行带宽</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分布式文件系统拥有高可扩展性，支持上亿个文件和PB以上量级的文件存储</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基于Paxos协议的多Master设计，避免集群单点失效，自动进行故障监测和数据复制，在不依赖RAID卡和NAS等特殊硬件设备的条件下，达到极高的可用性和可靠性</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毫秒级别的</w:t>
            </w:r>
            <w:r>
              <w:rPr>
                <w:rFonts w:ascii="仿宋_GB2312" w:hAnsi="仿宋_GB2312" w:cs="仿宋_GB2312"/>
                <w:color w:val="auto"/>
                <w:sz w:val="24"/>
                <w:highlight w:val="none"/>
              </w:rPr>
              <w:t>日</w:t>
            </w:r>
            <w:r>
              <w:rPr>
                <w:rFonts w:hint="eastAsia" w:ascii="仿宋_GB2312" w:hAnsi="仿宋_GB2312" w:cs="仿宋_GB2312"/>
                <w:color w:val="auto"/>
                <w:sz w:val="24"/>
                <w:highlight w:val="none"/>
              </w:rPr>
              <w:t>志更新操作，支持快速响应的在线服务</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支持增量扩容和自动数据平衡能力，允许用户定制数据分布策略</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任务调度</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采用数据驱动的多级流水线并行计算框架，在表述能力上兼容MapReduce，Map-Reduce-Merge等多种编程模式</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高可扩展性，支持十万以上级的并行任务调度</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自动检测故障和系统热点，重试失败任务，保证作业稳定可靠运行完成</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Borders>
              <w:top w:val="single" w:color="auto" w:sz="8" w:space="0"/>
              <w:left w:val="single" w:color="auto" w:sz="8" w:space="0"/>
              <w:bottom w:val="single" w:color="auto" w:sz="8" w:space="0"/>
              <w:right w:val="single" w:color="auto" w:sz="8"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大规模数据分析</w:t>
            </w:r>
          </w:p>
        </w:tc>
        <w:tc>
          <w:tcPr>
            <w:tcW w:w="6833" w:type="dxa"/>
            <w:tcBorders>
              <w:top w:val="single" w:color="auto" w:sz="8" w:space="0"/>
              <w:left w:val="nil"/>
              <w:bottom w:val="single" w:color="auto" w:sz="8" w:space="0"/>
              <w:right w:val="single" w:color="auto" w:sz="8" w:space="0"/>
            </w:tcBorders>
            <w:vAlign w:val="center"/>
          </w:tcPr>
          <w:p>
            <w:pPr>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支持Map、Reduce、Join、Union 等多种数据节点处理模式，支持直接使用SQL 语句对海量数据进行离线分析。</w:t>
            </w:r>
          </w:p>
        </w:tc>
        <w:tc>
          <w:tcPr>
            <w:tcW w:w="907" w:type="dxa"/>
            <w:tcBorders>
              <w:top w:val="single" w:color="auto" w:sz="8" w:space="0"/>
              <w:left w:val="nil"/>
              <w:bottom w:val="single" w:color="auto" w:sz="8" w:space="0"/>
              <w:right w:val="single" w:color="auto" w:sz="8"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nil"/>
              <w:left w:val="nil"/>
              <w:bottom w:val="single" w:color="auto" w:sz="8" w:space="0"/>
              <w:right w:val="single" w:color="auto" w:sz="8" w:space="0"/>
            </w:tcBorders>
            <w:vAlign w:val="center"/>
          </w:tcPr>
          <w:p>
            <w:pPr>
              <w:rPr>
                <w:rFonts w:ascii="仿宋_GB2312" w:hAnsi="仿宋_GB2312" w:cs="仿宋_GB2312"/>
                <w:color w:val="auto"/>
                <w:sz w:val="24"/>
                <w:highlight w:val="none"/>
              </w:rPr>
            </w:pPr>
            <w:r>
              <w:rPr>
                <w:rFonts w:hint="eastAsia" w:ascii="仿宋_GB2312" w:hAnsi="仿宋_GB2312" w:eastAsia="仿宋_GB2312" w:cs="仿宋_GB2312"/>
                <w:color w:val="auto"/>
                <w:kern w:val="2"/>
                <w:sz w:val="24"/>
                <w:szCs w:val="24"/>
                <w:highlight w:val="none"/>
                <w:lang w:val="en-US" w:eastAsia="zh-CN" w:bidi="ar-SA"/>
              </w:rPr>
              <w:t>提供</w:t>
            </w:r>
            <w:r>
              <w:rPr>
                <w:rFonts w:hint="eastAsia" w:ascii="仿宋_GB2312" w:hAnsi="仿宋_GB2312" w:eastAsia="仿宋_GB2312" w:cs="仿宋_GB2312"/>
                <w:color w:val="auto"/>
                <w:sz w:val="24"/>
                <w:szCs w:val="24"/>
                <w:highlight w:val="none"/>
                <w:lang w:val="en-US" w:eastAsia="zh-CN"/>
              </w:rPr>
              <w:t>与ANSI SQL 高度兼容的语法支持，支持用户复杂的数据分析</w:t>
            </w:r>
            <w:r>
              <w:rPr>
                <w:rFonts w:hint="eastAsia" w:ascii="仿宋_GB2312" w:hAnsi="仿宋_GB2312" w:eastAsia="仿宋_GB2312" w:cs="仿宋_GB2312"/>
                <w:color w:val="auto"/>
                <w:sz w:val="24"/>
                <w:szCs w:val="24"/>
                <w:highlight w:val="none"/>
              </w:rPr>
              <w:t>需求。提供Client 工具、RESTful开放接口以及Java SDK 来为用户服务，用户可以根据自己的需求选择合适的方式来使用该服务</w:t>
            </w:r>
          </w:p>
        </w:tc>
        <w:tc>
          <w:tcPr>
            <w:tcW w:w="907" w:type="dxa"/>
            <w:tcBorders>
              <w:top w:val="nil"/>
              <w:left w:val="nil"/>
              <w:bottom w:val="single" w:color="auto" w:sz="8" w:space="0"/>
              <w:right w:val="single" w:color="auto" w:sz="8"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7" w:type="dxa"/>
            <w:tcBorders>
              <w:top w:val="nil"/>
              <w:left w:val="single" w:color="auto" w:sz="8" w:space="0"/>
              <w:bottom w:val="single" w:color="auto" w:sz="8" w:space="0"/>
              <w:right w:val="single" w:color="auto" w:sz="8"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资源自动弹性伸缩</w:t>
            </w:r>
          </w:p>
        </w:tc>
        <w:tc>
          <w:tcPr>
            <w:tcW w:w="6833" w:type="dxa"/>
            <w:tcBorders>
              <w:top w:val="nil"/>
              <w:left w:val="nil"/>
              <w:bottom w:val="single" w:color="auto" w:sz="8" w:space="0"/>
              <w:right w:val="single" w:color="auto" w:sz="8" w:space="0"/>
            </w:tcBorders>
            <w:vAlign w:val="center"/>
          </w:tcPr>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根据访问量自动伸缩应用所占用的资源；按应用实际的资源使用量进行计量，最大限度地节约资源费用。</w:t>
            </w:r>
          </w:p>
        </w:tc>
        <w:tc>
          <w:tcPr>
            <w:tcW w:w="907" w:type="dxa"/>
            <w:tcBorders>
              <w:top w:val="nil"/>
              <w:left w:val="nil"/>
              <w:bottom w:val="single" w:color="auto" w:sz="8" w:space="0"/>
              <w:right w:val="single" w:color="auto" w:sz="8"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集群部署与监控</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集群部署与监控提供整个政务云以及上层应用服务的部署、配置管理、以及服务的自检和自举</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支持在线集群扩容</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Borders>
              <w:top w:val="single" w:color="auto" w:sz="4" w:space="0"/>
              <w:left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平台网络要求</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已具备杭州市政务外网的网络环境，能根据使用单位的要求，提供具备公众服务网、资源共享网和业务专网等政务专用网络IP地址的网络资源。</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kern w:val="0"/>
                <w:sz w:val="24"/>
                <w:highlight w:val="none"/>
              </w:rPr>
              <w:t>已实现和浙江政务服务网云平台对接，保证平台承载的应用可以与政府服务网调用的要求</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运维保障</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7*24小时运行值班监控，应急支持</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专门配属具备多年云平台护经验运维人员</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云平台互联网出口及政务网边界防护要求</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lang w:eastAsia="zh-Hans"/>
              </w:rPr>
              <w:t>基于防火墙</w:t>
            </w:r>
            <w:r>
              <w:rPr>
                <w:rFonts w:ascii="仿宋_GB2312" w:hAnsi="仿宋_GB2312" w:cs="仿宋_GB2312"/>
                <w:color w:val="auto"/>
                <w:sz w:val="24"/>
                <w:highlight w:val="none"/>
                <w:lang w:eastAsia="zh-Hans"/>
              </w:rPr>
              <w:t>、</w:t>
            </w:r>
            <w:r>
              <w:rPr>
                <w:rFonts w:hint="eastAsia" w:ascii="仿宋_GB2312" w:hAnsi="仿宋_GB2312" w:cs="仿宋_GB2312"/>
                <w:color w:val="auto"/>
                <w:sz w:val="24"/>
                <w:highlight w:val="none"/>
                <w:lang w:eastAsia="zh-Hans"/>
              </w:rPr>
              <w:t>态势感知</w:t>
            </w:r>
            <w:r>
              <w:rPr>
                <w:rFonts w:hint="eastAsia" w:ascii="仿宋_GB2312" w:hAnsi="仿宋_GB2312" w:cs="仿宋_GB2312"/>
                <w:color w:val="auto"/>
                <w:sz w:val="24"/>
                <w:highlight w:val="none"/>
              </w:rPr>
              <w:t>提供政务云平台互联网出口及政务网边界防护，提供入侵防护、异常流量攻击等安全防护，提供基于IP和端口的精细化安全策略防护</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lang w:eastAsia="zh-Hans"/>
              </w:rPr>
              <w:t>云平台容灾</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hint="eastAsia" w:ascii="仿宋_GB2312" w:hAnsi="仿宋_GB2312" w:cs="仿宋_GB2312"/>
                <w:color w:val="auto"/>
                <w:sz w:val="24"/>
                <w:highlight w:val="none"/>
                <w:lang w:eastAsia="zh-Hans"/>
              </w:rPr>
            </w:pPr>
            <w:r>
              <w:rPr>
                <w:rFonts w:hint="eastAsia" w:ascii="仿宋_GB2312" w:hAnsi="仿宋_GB2312" w:cs="仿宋_GB2312"/>
                <w:color w:val="auto"/>
                <w:sz w:val="24"/>
                <w:highlight w:val="none"/>
                <w:lang w:eastAsia="zh-Hans"/>
              </w:rPr>
              <w:t>云平台具备同城容灾能力，且容灾机房云平台物理设备不低于</w:t>
            </w:r>
            <w:r>
              <w:rPr>
                <w:rFonts w:ascii="仿宋_GB2312" w:hAnsi="仿宋_GB2312" w:cs="仿宋_GB2312"/>
                <w:color w:val="auto"/>
                <w:sz w:val="24"/>
                <w:highlight w:val="none"/>
                <w:lang w:eastAsia="zh-Hans"/>
              </w:rPr>
              <w:t>5000</w:t>
            </w:r>
            <w:r>
              <w:rPr>
                <w:rFonts w:hint="eastAsia" w:ascii="仿宋_GB2312" w:hAnsi="仿宋_GB2312" w:cs="仿宋_GB2312"/>
                <w:color w:val="auto"/>
                <w:sz w:val="24"/>
                <w:highlight w:val="none"/>
                <w:lang w:eastAsia="zh-Hans"/>
              </w:rPr>
              <w:t>核规模，需提供相关证明材料</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平台等保合规</w:t>
            </w:r>
          </w:p>
        </w:tc>
        <w:tc>
          <w:tcPr>
            <w:tcW w:w="683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hint="eastAsia" w:ascii="仿宋_GB2312" w:hAnsi="仿宋_GB2312" w:cs="仿宋_GB2312"/>
                <w:color w:val="auto"/>
                <w:sz w:val="24"/>
                <w:highlight w:val="none"/>
                <w:lang w:eastAsia="zh-Hans"/>
              </w:rPr>
            </w:pPr>
            <w:r>
              <w:rPr>
                <w:rFonts w:hint="eastAsia" w:ascii="仿宋_GB2312" w:hAnsi="仿宋_GB2312" w:cs="仿宋_GB2312"/>
                <w:color w:val="auto"/>
                <w:sz w:val="24"/>
                <w:highlight w:val="none"/>
              </w:rPr>
              <w:t>云平台通过国家等保三级认证，需提供相关证明</w:t>
            </w:r>
            <w:r>
              <w:rPr>
                <w:rFonts w:hint="eastAsia" w:ascii="仿宋_GB2312" w:hAnsi="仿宋_GB2312" w:cs="仿宋_GB2312"/>
                <w:color w:val="auto"/>
                <w:sz w:val="24"/>
                <w:highlight w:val="none"/>
                <w:lang w:eastAsia="zh-Hans"/>
              </w:rPr>
              <w:t>材料</w:t>
            </w:r>
          </w:p>
        </w:tc>
        <w:tc>
          <w:tcPr>
            <w:tcW w:w="9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bl>
    <w:p>
      <w:pPr>
        <w:snapToGrid w:val="0"/>
        <w:spacing w:line="440" w:lineRule="exact"/>
        <w:rPr>
          <w:rFonts w:hint="default" w:ascii="仿宋_GB2312" w:eastAsia="仿宋_GB2312"/>
          <w:b/>
          <w:bCs/>
          <w:color w:val="auto"/>
          <w:sz w:val="24"/>
          <w:highlight w:val="none"/>
          <w:lang w:eastAsia="zh-Hans"/>
        </w:rPr>
      </w:pPr>
      <w:r>
        <w:rPr>
          <w:rFonts w:hint="eastAsia" w:ascii="仿宋_GB2312" w:hAnsi="仿宋_GB2312" w:eastAsia="仿宋_GB2312" w:cs="仿宋_GB2312"/>
          <w:b/>
          <w:bCs/>
          <w:color w:val="auto"/>
          <w:sz w:val="24"/>
          <w:szCs w:val="24"/>
          <w:highlight w:val="none"/>
        </w:rPr>
        <w:t>云平台互联网出口及政务网边界防护</w:t>
      </w:r>
      <w:r>
        <w:rPr>
          <w:rFonts w:hint="eastAsia" w:ascii="仿宋_GB2312" w:hAnsi="仿宋_GB2312" w:eastAsia="仿宋_GB2312" w:cs="仿宋_GB2312"/>
          <w:b/>
          <w:bCs/>
          <w:color w:val="auto"/>
          <w:sz w:val="24"/>
          <w:szCs w:val="24"/>
          <w:highlight w:val="none"/>
          <w:lang w:val="en-US" w:eastAsia="zh-Hans"/>
        </w:rPr>
        <w:t>具体</w:t>
      </w:r>
      <w:r>
        <w:rPr>
          <w:rFonts w:hint="eastAsia" w:ascii="仿宋_GB2312" w:hAnsi="仿宋_GB2312" w:eastAsia="仿宋_GB2312" w:cs="仿宋_GB2312"/>
          <w:b/>
          <w:bCs/>
          <w:color w:val="auto"/>
          <w:sz w:val="24"/>
          <w:szCs w:val="24"/>
          <w:highlight w:val="none"/>
        </w:rPr>
        <w:t>要求</w:t>
      </w:r>
      <w:r>
        <w:rPr>
          <w:rFonts w:hint="default" w:ascii="仿宋_GB2312" w:eastAsia="仿宋_GB2312"/>
          <w:b/>
          <w:bCs/>
          <w:color w:val="auto"/>
          <w:sz w:val="24"/>
          <w:highlight w:val="none"/>
          <w:lang w:eastAsia="zh-Hans"/>
        </w:rPr>
        <w:t>：</w:t>
      </w:r>
    </w:p>
    <w:p>
      <w:pPr>
        <w:snapToGrid w:val="0"/>
        <w:spacing w:line="440" w:lineRule="exact"/>
        <w:rPr>
          <w:rFonts w:hint="eastAsia" w:ascii="仿宋_GB2312" w:eastAsia="仿宋_GB2312"/>
          <w:b w:val="0"/>
          <w:bCs/>
          <w:color w:val="auto"/>
          <w:sz w:val="24"/>
          <w:highlight w:val="none"/>
          <w:lang w:eastAsia="zh-Hans"/>
        </w:rPr>
      </w:pPr>
      <w:r>
        <w:rPr>
          <w:rFonts w:hint="default" w:ascii="仿宋_GB2312" w:eastAsia="仿宋_GB2312"/>
          <w:b w:val="0"/>
          <w:bCs/>
          <w:color w:val="auto"/>
          <w:sz w:val="24"/>
          <w:highlight w:val="none"/>
          <w:lang w:eastAsia="zh-Hans"/>
        </w:rPr>
        <w:t>（1）</w:t>
      </w:r>
      <w:r>
        <w:rPr>
          <w:rFonts w:hint="eastAsia" w:ascii="仿宋_GB2312" w:eastAsia="仿宋_GB2312"/>
          <w:b w:val="0"/>
          <w:bCs/>
          <w:color w:val="auto"/>
          <w:sz w:val="24"/>
          <w:highlight w:val="none"/>
          <w:lang w:eastAsia="zh-Hans"/>
        </w:rPr>
        <w:t>防火墙</w:t>
      </w:r>
      <w:r>
        <w:rPr>
          <w:rFonts w:hint="eastAsia" w:ascii="仿宋_GB2312" w:eastAsia="仿宋_GB2312"/>
          <w:b w:val="0"/>
          <w:bCs/>
          <w:color w:val="auto"/>
          <w:sz w:val="24"/>
          <w:highlight w:val="none"/>
          <w:lang w:val="en-US" w:eastAsia="zh-Hans"/>
        </w:rPr>
        <w:t>技术要求</w:t>
      </w:r>
    </w:p>
    <w:p>
      <w:pPr>
        <w:snapToGrid w:val="0"/>
        <w:spacing w:line="440" w:lineRule="exact"/>
        <w:ind w:firstLine="480" w:firstLineChars="200"/>
        <w:rPr>
          <w:rFonts w:hint="eastAsia" w:ascii="仿宋_GB2312" w:eastAsia="仿宋_GB2312"/>
          <w:b w:val="0"/>
          <w:bCs/>
          <w:color w:val="auto"/>
          <w:sz w:val="24"/>
          <w:highlight w:val="none"/>
          <w:lang w:eastAsia="zh-Hans"/>
        </w:rPr>
      </w:pPr>
      <w:r>
        <w:rPr>
          <w:rFonts w:hint="eastAsia" w:ascii="仿宋_GB2312" w:eastAsia="仿宋_GB2312"/>
          <w:b w:val="0"/>
          <w:bCs/>
          <w:color w:val="auto"/>
          <w:sz w:val="24"/>
          <w:highlight w:val="none"/>
          <w:lang w:eastAsia="zh-Hans"/>
        </w:rPr>
        <w:t>规格</w:t>
      </w:r>
      <w:r>
        <w:rPr>
          <w:rFonts w:hint="default" w:ascii="仿宋_GB2312" w:eastAsia="仿宋_GB2312"/>
          <w:b w:val="0"/>
          <w:bCs/>
          <w:color w:val="auto"/>
          <w:sz w:val="24"/>
          <w:highlight w:val="none"/>
          <w:lang w:eastAsia="zh-Hans"/>
        </w:rPr>
        <w:t>：</w:t>
      </w:r>
      <w:r>
        <w:rPr>
          <w:rFonts w:hint="eastAsia" w:ascii="仿宋_GB2312" w:eastAsia="仿宋_GB2312"/>
          <w:b w:val="0"/>
          <w:bCs/>
          <w:color w:val="auto"/>
          <w:sz w:val="24"/>
          <w:highlight w:val="none"/>
          <w:lang w:eastAsia="zh-Hans"/>
        </w:rPr>
        <w:t>吞吐量最高480Gps，最大IPSec吞吐量90Gps，最大并发连接数2.4亿，每秒最大新建连接数480万，IPS最大吞吐量100Gps，支持虚拟防火墙，支持Qos业务模块</w:t>
      </w:r>
      <w:r>
        <w:rPr>
          <w:rFonts w:hint="default" w:ascii="仿宋_GB2312" w:eastAsia="仿宋_GB2312"/>
          <w:b w:val="0"/>
          <w:bCs/>
          <w:color w:val="auto"/>
          <w:sz w:val="24"/>
          <w:highlight w:val="none"/>
          <w:lang w:eastAsia="zh-Hans"/>
        </w:rPr>
        <w:t>；</w:t>
      </w:r>
    </w:p>
    <w:p>
      <w:pPr>
        <w:snapToGrid w:val="0"/>
        <w:spacing w:line="440" w:lineRule="exact"/>
        <w:ind w:firstLine="480" w:firstLineChars="200"/>
        <w:rPr>
          <w:rFonts w:hint="eastAsia" w:ascii="仿宋_GB2312" w:eastAsia="仿宋_GB2312"/>
          <w:b w:val="0"/>
          <w:bCs/>
          <w:color w:val="auto"/>
          <w:sz w:val="24"/>
          <w:highlight w:val="none"/>
          <w:lang w:eastAsia="zh-Hans"/>
        </w:rPr>
      </w:pPr>
      <w:r>
        <w:rPr>
          <w:rFonts w:hint="eastAsia" w:ascii="仿宋_GB2312" w:eastAsia="仿宋_GB2312"/>
          <w:b w:val="0"/>
          <w:bCs/>
          <w:color w:val="auto"/>
          <w:sz w:val="24"/>
          <w:highlight w:val="none"/>
          <w:lang w:eastAsia="zh-Hans"/>
        </w:rPr>
        <w:t>链路负载均衡</w:t>
      </w:r>
      <w:r>
        <w:rPr>
          <w:rFonts w:hint="default" w:ascii="仿宋_GB2312" w:eastAsia="仿宋_GB2312"/>
          <w:b w:val="0"/>
          <w:bCs/>
          <w:color w:val="auto"/>
          <w:sz w:val="24"/>
          <w:highlight w:val="none"/>
          <w:lang w:eastAsia="zh-Hans"/>
        </w:rPr>
        <w:t>：</w:t>
      </w:r>
      <w:r>
        <w:rPr>
          <w:rFonts w:hint="eastAsia" w:ascii="仿宋_GB2312" w:eastAsia="仿宋_GB2312"/>
          <w:b w:val="0"/>
          <w:bCs/>
          <w:color w:val="auto"/>
          <w:sz w:val="24"/>
          <w:highlight w:val="none"/>
          <w:lang w:eastAsia="zh-Hans"/>
        </w:rPr>
        <w:t>支持多线路基于时间、权重的流量负载均衡，支持多运营商线路基于内置ISP路由智能负载均衡， 支持根据带宽占用及时延情况自动进行链路切换，支持链路实时监测</w:t>
      </w:r>
      <w:r>
        <w:rPr>
          <w:rFonts w:hint="default" w:ascii="仿宋_GB2312" w:eastAsia="仿宋_GB2312"/>
          <w:b w:val="0"/>
          <w:bCs/>
          <w:color w:val="auto"/>
          <w:sz w:val="24"/>
          <w:highlight w:val="none"/>
          <w:lang w:eastAsia="zh-Hans"/>
        </w:rPr>
        <w:t>。</w:t>
      </w:r>
    </w:p>
    <w:p>
      <w:pPr>
        <w:snapToGrid w:val="0"/>
        <w:spacing w:line="440" w:lineRule="exact"/>
        <w:rPr>
          <w:rFonts w:hint="eastAsia" w:ascii="仿宋_GB2312" w:eastAsia="仿宋_GB2312"/>
          <w:b w:val="0"/>
          <w:bCs/>
          <w:color w:val="auto"/>
          <w:sz w:val="24"/>
          <w:highlight w:val="none"/>
          <w:lang w:val="en-US" w:eastAsia="zh-Hans"/>
        </w:rPr>
      </w:pPr>
      <w:r>
        <w:rPr>
          <w:rFonts w:hint="eastAsia" w:ascii="仿宋_GB2312" w:eastAsia="仿宋_GB2312"/>
          <w:b w:val="0"/>
          <w:bCs/>
          <w:color w:val="auto"/>
          <w:sz w:val="24"/>
          <w:highlight w:val="none"/>
          <w:lang w:val="en-US" w:eastAsia="zh-Hans"/>
        </w:rPr>
        <w:t>态势感知技术要求</w:t>
      </w:r>
    </w:p>
    <w:p>
      <w:pPr>
        <w:snapToGrid w:val="0"/>
        <w:spacing w:line="440" w:lineRule="exact"/>
        <w:rPr>
          <w:rFonts w:hint="eastAsia" w:ascii="仿宋_GB2312" w:eastAsia="仿宋_GB2312"/>
          <w:b w:val="0"/>
          <w:bCs/>
          <w:color w:val="auto"/>
          <w:sz w:val="24"/>
          <w:highlight w:val="none"/>
        </w:rPr>
      </w:pPr>
      <w:r>
        <w:rPr>
          <w:rFonts w:hint="default" w:ascii="仿宋_GB2312" w:eastAsia="仿宋_GB2312"/>
          <w:b w:val="0"/>
          <w:bCs/>
          <w:color w:val="auto"/>
          <w:sz w:val="24"/>
          <w:highlight w:val="none"/>
        </w:rPr>
        <w:t>（2）</w:t>
      </w:r>
      <w:r>
        <w:rPr>
          <w:rFonts w:hint="eastAsia" w:ascii="仿宋_GB2312" w:eastAsia="仿宋_GB2312"/>
          <w:b w:val="0"/>
          <w:bCs/>
          <w:color w:val="auto"/>
          <w:sz w:val="24"/>
          <w:highlight w:val="none"/>
        </w:rPr>
        <w:t>态势感知</w:t>
      </w:r>
    </w:p>
    <w:p>
      <w:pPr>
        <w:snapToGrid w:val="0"/>
        <w:spacing w:line="440" w:lineRule="exact"/>
        <w:ind w:firstLine="480" w:firstLineChars="200"/>
        <w:rPr>
          <w:rFonts w:ascii="仿宋_GB2312" w:eastAsia="仿宋_GB2312"/>
          <w:b w:val="0"/>
          <w:bCs/>
          <w:color w:val="auto"/>
          <w:sz w:val="24"/>
          <w:highlight w:val="none"/>
        </w:rPr>
      </w:pPr>
      <w:r>
        <w:rPr>
          <w:rFonts w:hint="eastAsia" w:ascii="仿宋_GB2312" w:eastAsia="仿宋_GB2312"/>
          <w:b w:val="0"/>
          <w:bCs/>
          <w:color w:val="auto"/>
          <w:sz w:val="24"/>
          <w:highlight w:val="none"/>
        </w:rPr>
        <w:t>态势感知包含全流量采集模块、威胁分析模块、文件鉴定模块。具备威胁感知、威胁检测、调查取证、场景分析、威胁溯源、与防火墙联动、可视化展示、资产管理、报表管理等功能。</w:t>
      </w:r>
    </w:p>
    <w:p>
      <w:pPr>
        <w:pStyle w:val="5"/>
        <w:numPr>
          <w:ilvl w:val="0"/>
          <w:numId w:val="0"/>
        </w:numPr>
        <w:ind w:leftChars="0"/>
        <w:rPr>
          <w:rFonts w:hint="eastAsia" w:ascii="仿宋_GB2312" w:hAnsi="仿宋" w:eastAsia="仿宋_GB2312" w:cs="Arial"/>
          <w:b/>
          <w:bCs/>
          <w:color w:val="auto"/>
          <w:kern w:val="0"/>
          <w:sz w:val="24"/>
          <w:szCs w:val="22"/>
          <w:highlight w:val="none"/>
          <w:lang w:val="en-US" w:eastAsia="zh-CN" w:bidi="ar-SA"/>
        </w:rPr>
      </w:pPr>
      <w:r>
        <w:rPr>
          <w:rFonts w:hint="eastAsia" w:ascii="仿宋_GB2312" w:hAnsi="仿宋" w:eastAsia="仿宋_GB2312" w:cs="Arial"/>
          <w:b/>
          <w:bCs/>
          <w:color w:val="auto"/>
          <w:kern w:val="0"/>
          <w:sz w:val="24"/>
          <w:szCs w:val="22"/>
          <w:highlight w:val="none"/>
          <w:lang w:val="en-US" w:eastAsia="zh-CN" w:bidi="ar-SA"/>
        </w:rPr>
        <w:t>2云资源服务要求</w:t>
      </w:r>
    </w:p>
    <w:p>
      <w:pPr>
        <w:pStyle w:val="6"/>
        <w:numPr>
          <w:ilvl w:val="0"/>
          <w:numId w:val="0"/>
        </w:numPr>
        <w:ind w:left="720" w:hanging="720"/>
        <w:rPr>
          <w:rFonts w:ascii="仿宋_GB2312" w:eastAsia="仿宋_GB2312"/>
          <w:b/>
          <w:bCs/>
          <w:color w:val="auto"/>
          <w:sz w:val="24"/>
          <w:highlight w:val="none"/>
        </w:rPr>
      </w:pPr>
      <w:r>
        <w:rPr>
          <w:rFonts w:hint="eastAsia" w:ascii="仿宋_GB2312" w:eastAsia="仿宋_GB2312"/>
          <w:b/>
          <w:bCs/>
          <w:color w:val="auto"/>
          <w:sz w:val="24"/>
          <w:highlight w:val="none"/>
        </w:rPr>
        <w:t>2.1 云</w:t>
      </w:r>
      <w:r>
        <w:rPr>
          <w:rFonts w:hint="eastAsia" w:ascii="仿宋_GB2312" w:eastAsia="仿宋_GB2312"/>
          <w:b/>
          <w:bCs/>
          <w:color w:val="auto"/>
          <w:sz w:val="24"/>
          <w:highlight w:val="none"/>
          <w:lang w:val="en-US" w:eastAsia="zh-CN"/>
        </w:rPr>
        <w:t>服务器</w:t>
      </w:r>
      <w:r>
        <w:rPr>
          <w:rFonts w:hint="eastAsia" w:ascii="仿宋_GB2312" w:eastAsia="仿宋_GB2312"/>
          <w:b/>
          <w:bCs/>
          <w:color w:val="auto"/>
          <w:sz w:val="24"/>
          <w:highlight w:val="none"/>
        </w:rPr>
        <w:t>ECS</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682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指标项</w:t>
            </w:r>
          </w:p>
        </w:tc>
        <w:tc>
          <w:tcPr>
            <w:tcW w:w="68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规格要求</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服务标准</w:t>
            </w: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根据用户的需求动态的创建和分配计算资源与存储资源；</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服务特性</w:t>
            </w: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云</w:t>
            </w:r>
            <w:r>
              <w:rPr>
                <w:rFonts w:hint="eastAsia" w:ascii="仿宋_GB2312" w:eastAsia="仿宋_GB2312"/>
                <w:color w:val="auto"/>
                <w:sz w:val="24"/>
                <w:highlight w:val="none"/>
                <w:lang w:eastAsia="zh-CN"/>
              </w:rPr>
              <w:t>服务器</w:t>
            </w:r>
            <w:r>
              <w:rPr>
                <w:rFonts w:hint="eastAsia" w:ascii="仿宋_GB2312" w:eastAsia="仿宋_GB2312"/>
                <w:color w:val="auto"/>
                <w:sz w:val="24"/>
                <w:highlight w:val="none"/>
              </w:rPr>
              <w:t>创建。创建后，云主机已包含有操作系统，可立即使用，从创建到启动在5分钟以内。</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云服务器提供快照制作，快照回滚，自定义image，动态升级，可以为每块磁盘创建64个快照；支持设置自动快照策略</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支持虚拟机故障切换，在线迁移；</w:t>
            </w:r>
            <w:bookmarkStart w:id="25" w:name="_Hlk45198388"/>
            <w:r>
              <w:rPr>
                <w:rFonts w:hint="eastAsia" w:ascii="仿宋_GB2312" w:eastAsia="仿宋_GB2312"/>
                <w:color w:val="auto"/>
                <w:sz w:val="24"/>
                <w:highlight w:val="none"/>
              </w:rPr>
              <w:t>支持宿主机宕机迁移</w:t>
            </w:r>
            <w:bookmarkEnd w:id="25"/>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主机之间网络访问逻辑隔离，支持创建和管理安全组；提供安全组的创建、修改、删除以及批量删除等功能；</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防ARP欺骗，自定义防火墙功能，支持防DDos攻击，提供流量清洗服务</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提供丰富的API接口，包括资源的创建，删除，修改，查询，启动等操作</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云服务器工作节点采用分布式高可用架构（支持HA功能），保障云服务器的高可用性；支持资源独享模式，保障关键业务云服务器稳定运行；</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虚拟机监控管理：提供性能监测分析、异常告警等功能</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资源调度：支持统筹管理集群中物理服务器的负荷情况，择优选择合适的物理机部署</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支持资源开通时指定IP地址</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分布式文件存储，云主机数据在云计算平台有三份（含）以上数据拷贝，单份数据损坏对云主机使用没任何影响，且一份数据损坏后，后台系统会自动拷贝，使数据始终保证三重备份。</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服务能力</w:t>
            </w: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内存可选范围1-</w:t>
            </w:r>
            <w:r>
              <w:rPr>
                <w:rFonts w:ascii="仿宋_GB2312" w:eastAsia="仿宋_GB2312"/>
                <w:color w:val="auto"/>
                <w:sz w:val="24"/>
                <w:highlight w:val="none"/>
              </w:rPr>
              <w:t>128</w:t>
            </w:r>
            <w:r>
              <w:rPr>
                <w:rFonts w:hint="eastAsia" w:ascii="仿宋_GB2312" w:eastAsia="仿宋_GB2312"/>
                <w:color w:val="auto"/>
                <w:sz w:val="24"/>
                <w:highlight w:val="none"/>
              </w:rPr>
              <w:t>G;内存性能不低于物理内存性能。</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支持故障切换，动态迁移，多数据备份等，可以达到99.9%的可用性</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操作系统</w:t>
            </w: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提供主流的WINDOWS、LINUX等操作系统，</w:t>
            </w:r>
            <w:r>
              <w:rPr>
                <w:rFonts w:hint="eastAsia" w:ascii="仿宋_GB2312" w:eastAsia="仿宋_GB2312"/>
                <w:color w:val="auto"/>
                <w:sz w:val="24"/>
                <w:highlight w:val="none"/>
                <w:lang w:eastAsia="zh"/>
              </w:rPr>
              <w:t>Windows</w:t>
            </w:r>
            <w:r>
              <w:rPr>
                <w:rFonts w:hint="eastAsia" w:ascii="仿宋_GB2312" w:eastAsia="仿宋_GB2312"/>
                <w:color w:val="auto"/>
                <w:sz w:val="24"/>
                <w:highlight w:val="none"/>
              </w:rPr>
              <w:t>具备正版授权。</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主机磁盘</w:t>
            </w:r>
          </w:p>
        </w:tc>
        <w:tc>
          <w:tcPr>
            <w:tcW w:w="68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提供普通云盘、高效云盘、SSD云盘三种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bl>
    <w:p>
      <w:pPr>
        <w:pStyle w:val="6"/>
        <w:numPr>
          <w:ilvl w:val="0"/>
          <w:numId w:val="0"/>
        </w:numPr>
        <w:ind w:left="720" w:hanging="720"/>
        <w:rPr>
          <w:rFonts w:ascii="仿宋_GB2312" w:eastAsia="仿宋_GB2312"/>
          <w:b/>
          <w:bCs/>
          <w:color w:val="auto"/>
          <w:sz w:val="24"/>
          <w:highlight w:val="none"/>
        </w:rPr>
      </w:pPr>
      <w:r>
        <w:rPr>
          <w:rFonts w:hint="eastAsia" w:ascii="仿宋_GB2312" w:eastAsia="仿宋_GB2312"/>
          <w:b/>
          <w:bCs/>
          <w:color w:val="auto"/>
          <w:sz w:val="24"/>
          <w:highlight w:val="none"/>
        </w:rPr>
        <w:t>2.2 云数据库服务RDS</w:t>
      </w:r>
    </w:p>
    <w:p>
      <w:pPr>
        <w:pStyle w:val="6"/>
        <w:numPr>
          <w:ilvl w:val="0"/>
          <w:numId w:val="0"/>
        </w:numPr>
        <w:rPr>
          <w:rFonts w:ascii="仿宋_GB2312" w:eastAsia="仿宋_GB2312"/>
          <w:b/>
          <w:bCs/>
          <w:color w:val="auto"/>
          <w:sz w:val="24"/>
          <w:highlight w:val="none"/>
        </w:rPr>
      </w:pPr>
      <w:r>
        <w:rPr>
          <w:rFonts w:hint="eastAsia" w:ascii="仿宋_GB2312" w:eastAsia="仿宋_GB2312"/>
          <w:b/>
          <w:bCs/>
          <w:color w:val="auto"/>
          <w:sz w:val="24"/>
          <w:highlight w:val="none"/>
        </w:rPr>
        <w:t>（1）Mysql\SQLServer数据库</w:t>
      </w:r>
      <w:r>
        <w:rPr>
          <w:rFonts w:hint="eastAsia" w:ascii="仿宋_GB2312" w:eastAsia="仿宋_GB2312"/>
          <w:b/>
          <w:bCs/>
          <w:color w:val="auto"/>
          <w:sz w:val="24"/>
          <w:highlight w:val="none"/>
          <w:lang w:val="en-US" w:eastAsia="zh-CN"/>
        </w:rPr>
        <w:t>\</w:t>
      </w:r>
      <w:r>
        <w:rPr>
          <w:rFonts w:hint="eastAsia" w:ascii="仿宋_GB2312" w:hAnsi="Arial" w:eastAsia="仿宋_GB2312"/>
          <w:b/>
          <w:color w:val="auto"/>
          <w:sz w:val="24"/>
          <w:highlight w:val="none"/>
        </w:rPr>
        <w:t>PostgreSQL数据库</w:t>
      </w:r>
    </w:p>
    <w:tbl>
      <w:tblPr>
        <w:tblStyle w:val="62"/>
        <w:tblW w:w="93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695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指标项</w:t>
            </w: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规格要求</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vMerge w:val="restart"/>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基本功能/性能</w:t>
            </w: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数据库基于阿里云“飞天”架构或与“飞天”架构完全兼容的架构</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基于高效的调度、备份、HA控制、在线迁移以及监控系统，为用户提供为专业的云数据库服务。</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支持关系型数据库的基本功能，并进行优化服务。</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eastAsia="仿宋_GB2312"/>
                <w:color w:val="auto"/>
                <w:sz w:val="24"/>
                <w:highlight w:val="none"/>
              </w:rPr>
              <w:t>支持SQL Server、MySQL、PostgreSQL等主流关系型数据库</w:t>
            </w:r>
            <w:r>
              <w:rPr>
                <w:rFonts w:hint="eastAsia" w:ascii="仿宋_GB2312" w:eastAsia="仿宋_GB2312"/>
                <w:color w:val="auto"/>
                <w:sz w:val="24"/>
                <w:highlight w:val="none"/>
                <w:lang w:eastAsia="zh-Hans"/>
              </w:rPr>
              <w:t>，需提供相关证明材料</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单数据库实例内存可达</w:t>
            </w:r>
            <w:r>
              <w:rPr>
                <w:rFonts w:ascii="仿宋_GB2312"/>
                <w:color w:val="auto"/>
                <w:sz w:val="24"/>
                <w:highlight w:val="none"/>
              </w:rPr>
              <w:t>96</w:t>
            </w:r>
            <w:r>
              <w:rPr>
                <w:rFonts w:hint="eastAsia" w:ascii="仿宋_GB2312"/>
                <w:color w:val="auto"/>
                <w:sz w:val="24"/>
                <w:highlight w:val="none"/>
              </w:rPr>
              <w:t>G</w:t>
            </w:r>
            <w:r>
              <w:rPr>
                <w:rFonts w:ascii="仿宋_GB2312"/>
                <w:color w:val="auto"/>
                <w:sz w:val="24"/>
                <w:highlight w:val="none"/>
              </w:rPr>
              <w:t>，</w:t>
            </w:r>
            <w:r>
              <w:rPr>
                <w:rFonts w:hint="eastAsia" w:ascii="仿宋_GB2312"/>
                <w:color w:val="auto"/>
                <w:sz w:val="24"/>
                <w:highlight w:val="none"/>
              </w:rPr>
              <w:t>并发连接数可达2</w:t>
            </w:r>
            <w:r>
              <w:rPr>
                <w:rFonts w:ascii="仿宋_GB2312"/>
                <w:color w:val="auto"/>
                <w:sz w:val="24"/>
                <w:highlight w:val="none"/>
              </w:rPr>
              <w:t>4</w:t>
            </w:r>
            <w:r>
              <w:rPr>
                <w:rFonts w:hint="eastAsia" w:ascii="仿宋_GB2312"/>
                <w:color w:val="auto"/>
                <w:sz w:val="24"/>
                <w:highlight w:val="none"/>
              </w:rPr>
              <w:t>000。</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MsSqlserver单数据库实例可创建的数据库数量达20个，用户数达20个。</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Mysql单数据库实例可创建的数据库数量达200个，用户数达50个。</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每份数据都保留两份并可实时切换。</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支持数据库在线升级、云内动态迁移、故障自动切换，实现业务秒级无缝切换，不中断用户服务。</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vMerge w:val="restart"/>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扩展功能</w:t>
            </w: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按需开通，即开即用，按需计费，为用户提供方便的Web管理界面。</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随着用户数和访问量的变化，可以弹性的调整数据库的规格，包含内存、连接数、IOPS、存储容量等，调整时服务不间断。</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left"/>
              <w:rPr>
                <w:rFonts w:ascii="仿宋_GB2312"/>
                <w:color w:val="auto"/>
                <w:sz w:val="24"/>
                <w:highlight w:val="none"/>
              </w:rPr>
            </w:pPr>
            <w:r>
              <w:rPr>
                <w:rFonts w:hint="eastAsia" w:ascii="仿宋_GB2312"/>
                <w:color w:val="auto"/>
                <w:sz w:val="24"/>
                <w:highlight w:val="none"/>
              </w:rPr>
              <w:t>提供数据导入、导出工具，方便用户进行数据迁移。</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left"/>
              <w:rPr>
                <w:rFonts w:ascii="仿宋_GB2312"/>
                <w:color w:val="auto"/>
                <w:sz w:val="24"/>
                <w:highlight w:val="none"/>
              </w:rPr>
            </w:pPr>
            <w:r>
              <w:rPr>
                <w:rFonts w:hint="eastAsia" w:ascii="仿宋_GB2312"/>
                <w:color w:val="auto"/>
                <w:sz w:val="24"/>
                <w:highlight w:val="none"/>
              </w:rPr>
              <w:t>提供</w:t>
            </w:r>
            <w:r>
              <w:rPr>
                <w:rFonts w:ascii="仿宋_GB2312"/>
                <w:color w:val="auto"/>
                <w:sz w:val="24"/>
                <w:highlight w:val="none"/>
              </w:rPr>
              <w:t>日</w:t>
            </w:r>
            <w:r>
              <w:rPr>
                <w:rFonts w:hint="eastAsia" w:ascii="仿宋_GB2312"/>
                <w:color w:val="auto"/>
                <w:sz w:val="24"/>
                <w:highlight w:val="none"/>
              </w:rPr>
              <w:t>志记录功能，包括错误</w:t>
            </w:r>
            <w:r>
              <w:rPr>
                <w:rFonts w:ascii="仿宋_GB2312"/>
                <w:color w:val="auto"/>
                <w:sz w:val="24"/>
                <w:highlight w:val="none"/>
              </w:rPr>
              <w:t>日</w:t>
            </w:r>
            <w:r>
              <w:rPr>
                <w:rFonts w:hint="eastAsia" w:ascii="仿宋_GB2312"/>
                <w:color w:val="auto"/>
                <w:sz w:val="24"/>
                <w:highlight w:val="none"/>
              </w:rPr>
              <w:t>志、操作</w:t>
            </w:r>
            <w:r>
              <w:rPr>
                <w:rFonts w:ascii="仿宋_GB2312"/>
                <w:color w:val="auto"/>
                <w:sz w:val="24"/>
                <w:highlight w:val="none"/>
              </w:rPr>
              <w:t>日</w:t>
            </w:r>
            <w:r>
              <w:rPr>
                <w:rFonts w:hint="eastAsia" w:ascii="仿宋_GB2312"/>
                <w:color w:val="auto"/>
                <w:sz w:val="24"/>
                <w:highlight w:val="none"/>
              </w:rPr>
              <w:t>志、访问</w:t>
            </w:r>
            <w:r>
              <w:rPr>
                <w:rFonts w:ascii="仿宋_GB2312"/>
                <w:color w:val="auto"/>
                <w:sz w:val="24"/>
                <w:highlight w:val="none"/>
              </w:rPr>
              <w:t>日</w:t>
            </w:r>
            <w:r>
              <w:rPr>
                <w:rFonts w:hint="eastAsia" w:ascii="仿宋_GB2312"/>
                <w:color w:val="auto"/>
                <w:sz w:val="24"/>
                <w:highlight w:val="none"/>
              </w:rPr>
              <w:t>志等，可追查访问来源以及进行多维度的统计分析。</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支持具备自主知识产权的国产数据库</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52" w:type="dxa"/>
            <w:vMerge w:val="restart"/>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安全性</w:t>
            </w:r>
          </w:p>
        </w:tc>
        <w:tc>
          <w:tcPr>
            <w:tcW w:w="6957" w:type="dxa"/>
            <w:tcBorders>
              <w:top w:val="single" w:color="auto" w:sz="4" w:space="0"/>
              <w:left w:val="single" w:color="auto" w:sz="4" w:space="0"/>
              <w:bottom w:val="single" w:color="auto" w:sz="4" w:space="0"/>
              <w:right w:val="single" w:color="auto" w:sz="4" w:space="0"/>
            </w:tcBorders>
            <w:vAlign w:val="center"/>
          </w:tcPr>
          <w:p>
            <w:pPr>
              <w:rPr>
                <w:rFonts w:ascii="仿宋_GB2312"/>
                <w:color w:val="auto"/>
                <w:sz w:val="24"/>
                <w:highlight w:val="none"/>
              </w:rPr>
            </w:pPr>
            <w:r>
              <w:rPr>
                <w:rFonts w:hint="eastAsia" w:ascii="仿宋_GB2312" w:eastAsia="仿宋_GB2312"/>
                <w:color w:val="auto"/>
                <w:sz w:val="24"/>
                <w:highlight w:val="none"/>
              </w:rPr>
              <w:t>具备完善的安全防护措施，支持白名单设置、SQL审计等功能。</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6957" w:type="dxa"/>
            <w:tcBorders>
              <w:top w:val="single" w:color="auto" w:sz="4" w:space="0"/>
              <w:left w:val="single" w:color="auto" w:sz="4" w:space="0"/>
              <w:bottom w:val="single" w:color="auto" w:sz="4" w:space="0"/>
              <w:right w:val="single" w:color="auto" w:sz="4" w:space="0"/>
            </w:tcBorders>
            <w:vAlign w:val="center"/>
          </w:tcPr>
          <w:p>
            <w:pPr>
              <w:rPr>
                <w:rFonts w:ascii="仿宋_GB2312"/>
                <w:color w:val="auto"/>
                <w:sz w:val="24"/>
                <w:highlight w:val="none"/>
              </w:rPr>
            </w:pPr>
            <w:r>
              <w:rPr>
                <w:rFonts w:hint="eastAsia" w:ascii="仿宋_GB2312" w:eastAsia="仿宋_GB2312"/>
                <w:color w:val="auto"/>
                <w:sz w:val="24"/>
                <w:highlight w:val="none"/>
              </w:rPr>
              <w:t>云服务端提供加密用户身份验证，提供不同的访问权限控制。支持数据传输加密、数据存储加密</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兼容性/开放性</w:t>
            </w:r>
          </w:p>
        </w:tc>
        <w:tc>
          <w:tcPr>
            <w:tcW w:w="695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color w:val="auto"/>
                <w:sz w:val="24"/>
                <w:highlight w:val="none"/>
              </w:rPr>
            </w:pPr>
            <w:r>
              <w:rPr>
                <w:rFonts w:hint="eastAsia" w:ascii="仿宋_GB2312" w:eastAsia="仿宋_GB2312"/>
                <w:color w:val="auto"/>
                <w:sz w:val="24"/>
                <w:highlight w:val="none"/>
              </w:rPr>
              <w:t>支持主流的数据库引擎，并提供完善的OpenAPI供外部调用</w:t>
            </w:r>
          </w:p>
        </w:tc>
        <w:tc>
          <w:tcPr>
            <w:tcW w:w="95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bl>
    <w:p>
      <w:pPr>
        <w:pStyle w:val="6"/>
        <w:numPr>
          <w:ilvl w:val="0"/>
          <w:numId w:val="0"/>
        </w:numPr>
        <w:ind w:left="720" w:hanging="720"/>
        <w:rPr>
          <w:rFonts w:ascii="仿宋_GB2312" w:eastAsia="仿宋_GB2312"/>
          <w:b/>
          <w:bCs/>
          <w:color w:val="auto"/>
          <w:sz w:val="24"/>
          <w:highlight w:val="none"/>
        </w:rPr>
      </w:pPr>
      <w:r>
        <w:rPr>
          <w:rFonts w:hint="eastAsia" w:ascii="仿宋_GB2312" w:eastAsia="仿宋_GB2312"/>
          <w:b/>
          <w:bCs/>
          <w:color w:val="auto"/>
          <w:sz w:val="24"/>
          <w:highlight w:val="none"/>
        </w:rPr>
        <w:t>（2）Oracle数据库</w:t>
      </w:r>
    </w:p>
    <w:tbl>
      <w:tblPr>
        <w:tblStyle w:val="62"/>
        <w:tblW w:w="935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7011"/>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9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指标项</w:t>
            </w:r>
          </w:p>
        </w:tc>
        <w:tc>
          <w:tcPr>
            <w:tcW w:w="701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规格要求</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98" w:type="dxa"/>
            <w:vMerge w:val="restart"/>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基本功能/性能</w:t>
            </w:r>
          </w:p>
        </w:tc>
        <w:tc>
          <w:tcPr>
            <w:tcW w:w="701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数据库主机配置为负载均衡的高可靠性集群，系统应包含两个或两个以上的数据库物理服务器节点；所投主机为厂商最新系列机柜式企业级主机，且配置该系列中的最高主频CPU。</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7011"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_GB2312" w:eastAsia="仿宋_GB2312"/>
                <w:color w:val="auto"/>
                <w:sz w:val="24"/>
                <w:highlight w:val="none"/>
              </w:rPr>
            </w:pPr>
            <w:r>
              <w:rPr>
                <w:rFonts w:hint="eastAsia" w:ascii="仿宋_GB2312" w:hAnsi="Calibri" w:eastAsia="仿宋_GB2312"/>
                <w:color w:val="auto"/>
                <w:sz w:val="24"/>
                <w:highlight w:val="none"/>
              </w:rPr>
              <w:t>CPU：配置该机型最新的64位处理器；全系统实际配置参与数据库SQL语句处理的CPU总核数≥</w:t>
            </w:r>
            <w:r>
              <w:rPr>
                <w:rFonts w:hint="eastAsia" w:ascii="仿宋_GB2312" w:hAnsi="Calibri" w:eastAsia="仿宋_GB2312"/>
                <w:color w:val="auto"/>
                <w:sz w:val="24"/>
                <w:highlight w:val="none"/>
                <w:lang w:val="en-US" w:eastAsia="zh-CN"/>
              </w:rPr>
              <w:t>88</w:t>
            </w:r>
            <w:r>
              <w:rPr>
                <w:rFonts w:hint="eastAsia" w:ascii="仿宋_GB2312" w:hAnsi="Calibri" w:eastAsia="仿宋_GB2312"/>
                <w:color w:val="auto"/>
                <w:sz w:val="24"/>
                <w:highlight w:val="none"/>
              </w:rPr>
              <w:t>核、数据库系统或每台主机要求可扩展≥288核；内存：当前配置总容量&gt;</w:t>
            </w:r>
            <w:r>
              <w:rPr>
                <w:rFonts w:hint="eastAsia" w:ascii="仿宋_GB2312" w:hAnsi="Calibri" w:eastAsia="仿宋_GB2312"/>
                <w:color w:val="auto"/>
                <w:sz w:val="24"/>
                <w:highlight w:val="none"/>
                <w:lang w:val="en-US" w:eastAsia="zh-CN"/>
              </w:rPr>
              <w:t>752</w:t>
            </w:r>
            <w:r>
              <w:rPr>
                <w:rFonts w:hint="eastAsia" w:ascii="仿宋_GB2312" w:hAnsi="Calibri" w:eastAsia="仿宋_GB2312"/>
                <w:color w:val="auto"/>
                <w:sz w:val="24"/>
                <w:highlight w:val="none"/>
              </w:rPr>
              <w:t xml:space="preserve"> GB，整体机的内存扩展能力≥</w:t>
            </w:r>
            <w:r>
              <w:rPr>
                <w:rFonts w:ascii="仿宋_GB2312" w:hAnsi="Calibri" w:eastAsia="仿宋_GB2312"/>
                <w:color w:val="auto"/>
                <w:sz w:val="24"/>
                <w:highlight w:val="none"/>
              </w:rPr>
              <w:t>3</w:t>
            </w:r>
            <w:r>
              <w:rPr>
                <w:rFonts w:hint="eastAsia" w:ascii="仿宋_GB2312" w:hAnsi="Calibri" w:eastAsia="仿宋_GB2312"/>
                <w:color w:val="auto"/>
                <w:sz w:val="24"/>
                <w:highlight w:val="none"/>
              </w:rPr>
              <w:t>TB，采用内存为DDR3-1600或更高主频；</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7011"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每台数据库服务器节点配置＞3个1Gb/10Gb以太网接口；</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每台数据库服务器节点配置＞1个10Gb以太网光纤网口；</w:t>
            </w:r>
          </w:p>
          <w:p>
            <w:pPr>
              <w:tabs>
                <w:tab w:val="left" w:pos="0"/>
              </w:tabs>
              <w:autoSpaceDE w:val="0"/>
              <w:autoSpaceDN w:val="0"/>
              <w:jc w:val="left"/>
              <w:rPr>
                <w:rFonts w:ascii="仿宋_GB2312" w:eastAsia="仿宋_GB2312"/>
                <w:color w:val="auto"/>
                <w:sz w:val="24"/>
                <w:highlight w:val="none"/>
              </w:rPr>
            </w:pPr>
            <w:r>
              <w:rPr>
                <w:rFonts w:hint="eastAsia" w:ascii="仿宋_GB2312" w:hAnsi="Calibri" w:eastAsia="仿宋_GB2312"/>
                <w:color w:val="auto"/>
                <w:sz w:val="24"/>
                <w:highlight w:val="none"/>
              </w:rPr>
              <w:t>每台数据库服务器节点配置≥1个40Gb/s Infiniband网络接口。</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7011"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基于大容量并行的体系结构，提供更多的通道以便在数据库主机和存储主机之间更快速地传送更多的数据：</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数据库主机与存储交换机之间总的I/O通道≥160 Gb/sec，可扩展至400 Gb/sec以上；</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数据库主机结点之间网络带宽≥36 Gb/sec。</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7011"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数据库主机支持负载均衡的高可靠性体系架构，即使一台服务器发生故障，数据库仍能够在存活的节点上不间断地对外提供数据库服务，确保没有单点故障；</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冗余并支持热插拔电源、风扇、硬盘；</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数据库整体机全部硬件冗余没有任何单点故障。</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7011"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集成系统管理处理器支持：自动主机重启、风扇监视和控制、电源监控、温度监控、启动/关闭、按序重启、错误</w:t>
            </w:r>
            <w:r>
              <w:rPr>
                <w:rFonts w:ascii="仿宋_GB2312" w:hAnsi="Calibri" w:eastAsia="仿宋_GB2312"/>
                <w:color w:val="auto"/>
                <w:sz w:val="24"/>
                <w:highlight w:val="none"/>
              </w:rPr>
              <w:t>日</w:t>
            </w:r>
            <w:r>
              <w:rPr>
                <w:rFonts w:hint="eastAsia" w:ascii="仿宋_GB2312" w:hAnsi="Calibri" w:eastAsia="仿宋_GB2312"/>
                <w:color w:val="auto"/>
                <w:sz w:val="24"/>
                <w:highlight w:val="none"/>
              </w:rPr>
              <w:t>志；</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 xml:space="preserve">对CPU、内存、硬盘驱动器、电源及风扇等关键部分的潜在的故障具有提前预警能力； </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配置原厂自主研发的软硬件远程管理软件；</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远程管理软件提供基于Web的GUI远程管理；提供基于移动终端设备实时监控管理软件；</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管理软件应具有云管理功能，监控数据库主机的硬件，以达到对机房内所有的硬件设备进行一站式、统一的维护管理。</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管理软件能无缝的与厂商售后支持网站链接，可以接收补丁、更新等信息推送；</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管理软件能对数据库的SQL语句进行自动优化，并提出专家建议；</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管理软件能从Web端、到中间件、数据库层的端到端的分析监控；</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管理软件对现有的应用的架构、性能影响最小。</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7011"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配置硬件厂商的原厂(非OEM)64位UNIX或LINUX操作系统。</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7011"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配置实现负载均衡的高可靠性集群数据库系统所需的相关硬件设备；要求包括2台Infiniband交换机，单口带宽36Gb/秒以上；</w:t>
            </w:r>
          </w:p>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需配置支持Shared-Disk集群数据库所需要的集群管理软件和集群文件系统软件。</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98" w:type="dxa"/>
            <w:vMerge w:val="restart"/>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ascii="仿宋_GB2312"/>
                <w:color w:val="auto"/>
                <w:sz w:val="24"/>
                <w:highlight w:val="none"/>
              </w:rPr>
              <w:t>日</w:t>
            </w:r>
            <w:r>
              <w:rPr>
                <w:rFonts w:hint="eastAsia" w:ascii="仿宋_GB2312"/>
                <w:color w:val="auto"/>
                <w:sz w:val="24"/>
                <w:highlight w:val="none"/>
              </w:rPr>
              <w:t>常服务</w:t>
            </w:r>
          </w:p>
        </w:tc>
        <w:tc>
          <w:tcPr>
            <w:tcW w:w="7011"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迁移服务：配合用户迁移保障服务，配合测试业务性能，数据有效性；</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7011"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性能调优服务：提供数据库系统以下的底层部分，即oracle的相关技术架构及操作系统等调优；提供性能监测功能；提供影响数据库运行效率的SQL语句；提供影响应用运行效率的模块；</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7011"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升级、实施服务：提供oracle cluster/rdbms软件补丁升级服务；oracle数据统一化备份实施服务（对所有实例进行每周全备，每天增量备份部署，并根据特殊情况调整）。</w:t>
            </w:r>
          </w:p>
        </w:tc>
        <w:tc>
          <w:tcPr>
            <w:tcW w:w="94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sz w:val="24"/>
                <w:highlight w:val="none"/>
              </w:rPr>
            </w:pPr>
          </w:p>
        </w:tc>
        <w:tc>
          <w:tcPr>
            <w:tcW w:w="7011" w:type="dxa"/>
            <w:tcBorders>
              <w:top w:val="single" w:color="auto" w:sz="4" w:space="0"/>
              <w:left w:val="single" w:color="auto" w:sz="4" w:space="0"/>
              <w:right w:val="single" w:color="auto" w:sz="4" w:space="0"/>
            </w:tcBorders>
            <w:vAlign w:val="center"/>
          </w:tcPr>
          <w:p>
            <w:pPr>
              <w:tabs>
                <w:tab w:val="left" w:pos="0"/>
              </w:tabs>
              <w:autoSpaceDE w:val="0"/>
              <w:autoSpaceDN w:val="0"/>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运维服务：提供oracle数据库7*24小运行维护保障时远程事件处理、并以电话，邮件等方式提供技术支持，具备完善的故障监控，自动告警，快速定位，快速恢复等一系列故障应急响应机制咨询服务；oracle数据库季度巡检服务（出具报告）；提供oracle数据库月度资源监控（出具报告）；提供Oracle 数据库</w:t>
            </w:r>
            <w:r>
              <w:rPr>
                <w:rFonts w:ascii="仿宋_GB2312" w:hAnsi="Calibri" w:eastAsia="仿宋_GB2312"/>
                <w:color w:val="auto"/>
                <w:sz w:val="24"/>
                <w:highlight w:val="none"/>
              </w:rPr>
              <w:t>日</w:t>
            </w:r>
            <w:r>
              <w:rPr>
                <w:rFonts w:hint="eastAsia" w:ascii="仿宋_GB2312" w:hAnsi="Calibri" w:eastAsia="仿宋_GB2312"/>
                <w:color w:val="auto"/>
                <w:sz w:val="24"/>
                <w:highlight w:val="none"/>
              </w:rPr>
              <w:t>常主动性服务。</w:t>
            </w:r>
          </w:p>
        </w:tc>
        <w:tc>
          <w:tcPr>
            <w:tcW w:w="941" w:type="dxa"/>
            <w:tcBorders>
              <w:top w:val="single" w:color="auto" w:sz="4" w:space="0"/>
              <w:left w:val="single" w:color="auto" w:sz="4" w:space="0"/>
              <w:right w:val="single" w:color="auto" w:sz="4" w:space="0"/>
            </w:tcBorders>
            <w:vAlign w:val="center"/>
          </w:tcPr>
          <w:p>
            <w:pPr>
              <w:pStyle w:val="814"/>
              <w:ind w:firstLine="0" w:firstLineChars="0"/>
              <w:rPr>
                <w:rFonts w:ascii="仿宋_GB2312"/>
                <w:color w:val="auto"/>
                <w:sz w:val="24"/>
                <w:highlight w:val="none"/>
              </w:rPr>
            </w:pPr>
          </w:p>
        </w:tc>
      </w:tr>
    </w:tbl>
    <w:p>
      <w:pPr>
        <w:pStyle w:val="6"/>
        <w:numPr>
          <w:ilvl w:val="0"/>
          <w:numId w:val="0"/>
        </w:numPr>
        <w:ind w:left="720" w:hanging="720"/>
        <w:rPr>
          <w:rFonts w:ascii="仿宋_GB2312" w:eastAsia="仿宋_GB2312"/>
          <w:b/>
          <w:bCs/>
          <w:color w:val="auto"/>
          <w:sz w:val="24"/>
          <w:highlight w:val="none"/>
        </w:rPr>
      </w:pPr>
      <w:r>
        <w:rPr>
          <w:rFonts w:hint="eastAsia" w:ascii="仿宋_GB2312" w:eastAsia="仿宋_GB2312"/>
          <w:b/>
          <w:bCs/>
          <w:color w:val="auto"/>
          <w:sz w:val="24"/>
          <w:highlight w:val="none"/>
        </w:rPr>
        <w:t>（</w:t>
      </w:r>
      <w:r>
        <w:rPr>
          <w:rFonts w:ascii="仿宋_GB2312" w:eastAsia="仿宋_GB2312"/>
          <w:b/>
          <w:bCs/>
          <w:color w:val="auto"/>
          <w:sz w:val="24"/>
          <w:highlight w:val="none"/>
        </w:rPr>
        <w:t>3）分布式关系型数据库服务（DRDS）</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643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41" w:type="dxa"/>
            <w:noWrap w:val="0"/>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指标项</w:t>
            </w:r>
          </w:p>
        </w:tc>
        <w:tc>
          <w:tcPr>
            <w:tcW w:w="6435" w:type="dxa"/>
            <w:noWrap w:val="0"/>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规格要求</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r>
              <w:rPr>
                <w:rFonts w:hint="eastAsia" w:ascii="仿宋" w:hAnsi="仿宋" w:eastAsia="仿宋"/>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41" w:type="dxa"/>
            <w:vMerge w:val="restart"/>
            <w:noWrap w:val="0"/>
            <w:vAlign w:val="center"/>
          </w:tcPr>
          <w:p>
            <w:pPr>
              <w:pStyle w:val="814"/>
              <w:ind w:firstLine="0" w:firstLineChars="0"/>
              <w:rPr>
                <w:rFonts w:ascii="仿宋_GB2312"/>
                <w:color w:val="auto"/>
                <w:sz w:val="24"/>
                <w:highlight w:val="none"/>
              </w:rPr>
            </w:pPr>
            <w:r>
              <w:rPr>
                <w:rFonts w:hint="eastAsia" w:ascii="仿宋_GB2312"/>
                <w:color w:val="auto"/>
                <w:sz w:val="24"/>
                <w:highlight w:val="none"/>
              </w:rPr>
              <w:t>基本功能/性能</w:t>
            </w:r>
          </w:p>
        </w:tc>
        <w:tc>
          <w:tcPr>
            <w:tcW w:w="6435" w:type="dxa"/>
            <w:noWrap w:val="0"/>
            <w:vAlign w:val="center"/>
          </w:tcPr>
          <w:p>
            <w:pPr>
              <w:pStyle w:val="816"/>
              <w:ind w:firstLine="0" w:firstLineChars="0"/>
              <w:jc w:val="left"/>
              <w:rPr>
                <w:rFonts w:ascii="仿宋_GB2312"/>
                <w:strike/>
                <w:color w:val="auto"/>
                <w:sz w:val="24"/>
                <w:highlight w:val="none"/>
              </w:rPr>
            </w:pPr>
            <w:r>
              <w:rPr>
                <w:rFonts w:ascii="仿宋_GB2312"/>
                <w:color w:val="auto"/>
                <w:sz w:val="24"/>
                <w:highlight w:val="none"/>
              </w:rPr>
              <w:t>兼容MYSQL协议和语法，支持自动化水平拆分</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1" w:type="dxa"/>
            <w:vMerge w:val="continue"/>
            <w:noWrap w:val="0"/>
            <w:vAlign w:val="center"/>
          </w:tcPr>
          <w:p>
            <w:pPr>
              <w:pStyle w:val="814"/>
              <w:ind w:firstLine="0" w:firstLineChars="0"/>
              <w:jc w:val="center"/>
              <w:rPr>
                <w:rFonts w:ascii="仿宋_GB2312"/>
                <w:color w:val="auto"/>
                <w:sz w:val="24"/>
                <w:highlight w:val="none"/>
              </w:rPr>
            </w:pPr>
          </w:p>
        </w:tc>
        <w:tc>
          <w:tcPr>
            <w:tcW w:w="6435" w:type="dxa"/>
            <w:noWrap w:val="0"/>
            <w:vAlign w:val="center"/>
          </w:tcPr>
          <w:p>
            <w:pPr>
              <w:pStyle w:val="816"/>
              <w:ind w:firstLine="0" w:firstLineChars="0"/>
              <w:jc w:val="left"/>
              <w:rPr>
                <w:rFonts w:ascii="仿宋_GB2312"/>
                <w:color w:val="auto"/>
                <w:sz w:val="24"/>
                <w:highlight w:val="none"/>
              </w:rPr>
            </w:pPr>
            <w:r>
              <w:rPr>
                <w:rFonts w:hint="eastAsia" w:ascii="仿宋_GB2312"/>
                <w:color w:val="auto"/>
                <w:sz w:val="24"/>
                <w:highlight w:val="none"/>
              </w:rPr>
              <w:t>支持</w:t>
            </w:r>
            <w:r>
              <w:rPr>
                <w:rFonts w:ascii="仿宋_GB2312"/>
                <w:color w:val="auto"/>
                <w:sz w:val="24"/>
                <w:highlight w:val="none"/>
              </w:rPr>
              <w:t>在线平滑扩缩容，服务能力线性扩展，透明读写分离</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1" w:type="dxa"/>
            <w:vMerge w:val="continue"/>
            <w:noWrap w:val="0"/>
            <w:vAlign w:val="center"/>
          </w:tcPr>
          <w:p>
            <w:pPr>
              <w:pStyle w:val="814"/>
              <w:ind w:firstLine="0" w:firstLineChars="0"/>
              <w:jc w:val="center"/>
              <w:rPr>
                <w:rFonts w:ascii="仿宋_GB2312"/>
                <w:color w:val="auto"/>
                <w:sz w:val="24"/>
                <w:highlight w:val="none"/>
              </w:rPr>
            </w:pPr>
          </w:p>
        </w:tc>
        <w:tc>
          <w:tcPr>
            <w:tcW w:w="6435" w:type="dxa"/>
            <w:noWrap w:val="0"/>
            <w:vAlign w:val="center"/>
          </w:tcPr>
          <w:p>
            <w:pPr>
              <w:pStyle w:val="814"/>
              <w:ind w:firstLine="0" w:firstLineChars="0"/>
              <w:jc w:val="left"/>
              <w:rPr>
                <w:rFonts w:ascii="仿宋_GB2312"/>
                <w:color w:val="auto"/>
                <w:sz w:val="24"/>
                <w:highlight w:val="none"/>
              </w:rPr>
            </w:pPr>
            <w:r>
              <w:rPr>
                <w:rFonts w:hint="eastAsia" w:ascii="仿宋_GB2312"/>
                <w:color w:val="auto"/>
                <w:sz w:val="24"/>
                <w:highlight w:val="none"/>
              </w:rPr>
              <w:t>客户端支持：DRDS兼容数据库登录协议，支持Workbench ，Navicat ， SQLyog 等客户端</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1" w:type="dxa"/>
            <w:vMerge w:val="continue"/>
            <w:noWrap w:val="0"/>
            <w:vAlign w:val="center"/>
          </w:tcPr>
          <w:p>
            <w:pPr>
              <w:pStyle w:val="814"/>
              <w:ind w:firstLine="0" w:firstLineChars="0"/>
              <w:jc w:val="center"/>
              <w:rPr>
                <w:rFonts w:ascii="仿宋_GB2312"/>
                <w:color w:val="auto"/>
                <w:sz w:val="24"/>
                <w:highlight w:val="none"/>
              </w:rPr>
            </w:pPr>
          </w:p>
        </w:tc>
        <w:tc>
          <w:tcPr>
            <w:tcW w:w="6435" w:type="dxa"/>
            <w:noWrap w:val="0"/>
            <w:vAlign w:val="center"/>
          </w:tcPr>
          <w:p>
            <w:pPr>
              <w:pStyle w:val="814"/>
              <w:ind w:firstLine="0" w:firstLineChars="0"/>
              <w:jc w:val="left"/>
              <w:rPr>
                <w:rFonts w:ascii="仿宋_GB2312"/>
                <w:color w:val="auto"/>
                <w:sz w:val="24"/>
                <w:highlight w:val="none"/>
              </w:rPr>
            </w:pPr>
            <w:r>
              <w:rPr>
                <w:rFonts w:hint="eastAsia" w:ascii="仿宋_GB2312"/>
                <w:color w:val="auto"/>
                <w:sz w:val="24"/>
                <w:highlight w:val="none"/>
              </w:rPr>
              <w:t>提供的分布式数据库事务套件，实现最终一致性事务支持</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1" w:type="dxa"/>
            <w:vMerge w:val="continue"/>
            <w:noWrap w:val="0"/>
            <w:vAlign w:val="center"/>
          </w:tcPr>
          <w:p>
            <w:pPr>
              <w:pStyle w:val="814"/>
              <w:ind w:firstLine="0" w:firstLineChars="0"/>
              <w:jc w:val="center"/>
              <w:rPr>
                <w:rFonts w:ascii="仿宋_GB2312"/>
                <w:color w:val="auto"/>
                <w:sz w:val="24"/>
                <w:highlight w:val="none"/>
              </w:rPr>
            </w:pPr>
          </w:p>
        </w:tc>
        <w:tc>
          <w:tcPr>
            <w:tcW w:w="6435" w:type="dxa"/>
            <w:noWrap w:val="0"/>
            <w:vAlign w:val="center"/>
          </w:tcPr>
          <w:p>
            <w:pPr>
              <w:pStyle w:val="814"/>
              <w:ind w:firstLine="0" w:firstLineChars="0"/>
              <w:jc w:val="left"/>
              <w:rPr>
                <w:rFonts w:ascii="仿宋_GB2312"/>
                <w:color w:val="auto"/>
                <w:sz w:val="24"/>
                <w:highlight w:val="none"/>
              </w:rPr>
            </w:pPr>
            <w:r>
              <w:rPr>
                <w:rFonts w:hint="eastAsia" w:ascii="仿宋_GB2312"/>
                <w:color w:val="auto"/>
                <w:sz w:val="24"/>
                <w:highlight w:val="none"/>
              </w:rPr>
              <w:t>支持外部数据源的增量和全量导入，帮助用户实现数据库平滑上云</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41" w:type="dxa"/>
            <w:vMerge w:val="continue"/>
            <w:noWrap w:val="0"/>
            <w:vAlign w:val="center"/>
          </w:tcPr>
          <w:p>
            <w:pPr>
              <w:pStyle w:val="814"/>
              <w:ind w:firstLine="0" w:firstLineChars="0"/>
              <w:jc w:val="center"/>
              <w:rPr>
                <w:rFonts w:ascii="仿宋_GB2312"/>
                <w:color w:val="auto"/>
                <w:sz w:val="24"/>
                <w:highlight w:val="none"/>
              </w:rPr>
            </w:pPr>
          </w:p>
        </w:tc>
        <w:tc>
          <w:tcPr>
            <w:tcW w:w="6435" w:type="dxa"/>
            <w:noWrap w:val="0"/>
            <w:vAlign w:val="center"/>
          </w:tcPr>
          <w:p>
            <w:pPr>
              <w:pStyle w:val="814"/>
              <w:ind w:firstLine="0" w:firstLineChars="0"/>
              <w:jc w:val="left"/>
              <w:rPr>
                <w:rFonts w:ascii="仿宋_GB2312"/>
                <w:color w:val="auto"/>
                <w:sz w:val="24"/>
                <w:highlight w:val="none"/>
              </w:rPr>
            </w:pPr>
            <w:r>
              <w:rPr>
                <w:rFonts w:hint="eastAsia" w:ascii="仿宋_GB2312"/>
                <w:color w:val="auto"/>
                <w:sz w:val="24"/>
                <w:highlight w:val="none"/>
              </w:rPr>
              <w:t>支持分库分表按照逻辑库表导出</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1" w:type="dxa"/>
            <w:vMerge w:val="continue"/>
            <w:noWrap w:val="0"/>
            <w:vAlign w:val="center"/>
          </w:tcPr>
          <w:p>
            <w:pPr>
              <w:pStyle w:val="814"/>
              <w:ind w:firstLine="0" w:firstLineChars="0"/>
              <w:jc w:val="center"/>
              <w:rPr>
                <w:rFonts w:ascii="仿宋_GB2312"/>
                <w:color w:val="auto"/>
                <w:sz w:val="24"/>
                <w:highlight w:val="none"/>
              </w:rPr>
            </w:pPr>
          </w:p>
        </w:tc>
        <w:tc>
          <w:tcPr>
            <w:tcW w:w="6435" w:type="dxa"/>
            <w:noWrap w:val="0"/>
            <w:vAlign w:val="center"/>
          </w:tcPr>
          <w:p>
            <w:pPr>
              <w:pStyle w:val="814"/>
              <w:ind w:firstLine="0" w:firstLineChars="0"/>
              <w:jc w:val="left"/>
              <w:rPr>
                <w:rFonts w:ascii="仿宋_GB2312"/>
                <w:color w:val="auto"/>
                <w:sz w:val="24"/>
                <w:highlight w:val="none"/>
              </w:rPr>
            </w:pPr>
            <w:r>
              <w:rPr>
                <w:rFonts w:hint="eastAsia" w:ascii="仿宋_GB2312"/>
                <w:color w:val="auto"/>
                <w:sz w:val="24"/>
                <w:highlight w:val="none"/>
              </w:rPr>
              <w:t>提供show slow ，show node show datasource trace等丰富命令帮助迅速定位慢SQL问题</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1" w:type="dxa"/>
            <w:vMerge w:val="continue"/>
            <w:noWrap w:val="0"/>
            <w:vAlign w:val="center"/>
          </w:tcPr>
          <w:p>
            <w:pPr>
              <w:pStyle w:val="814"/>
              <w:ind w:firstLine="0" w:firstLineChars="0"/>
              <w:jc w:val="center"/>
              <w:rPr>
                <w:rFonts w:ascii="仿宋_GB2312"/>
                <w:color w:val="auto"/>
                <w:sz w:val="24"/>
                <w:highlight w:val="none"/>
              </w:rPr>
            </w:pPr>
          </w:p>
        </w:tc>
        <w:tc>
          <w:tcPr>
            <w:tcW w:w="6435" w:type="dxa"/>
            <w:noWrap w:val="0"/>
            <w:vAlign w:val="center"/>
          </w:tcPr>
          <w:p>
            <w:pPr>
              <w:pStyle w:val="814"/>
              <w:ind w:firstLine="0" w:firstLineChars="0"/>
              <w:jc w:val="left"/>
              <w:rPr>
                <w:rFonts w:ascii="仿宋_GB2312"/>
                <w:color w:val="auto"/>
                <w:sz w:val="24"/>
                <w:highlight w:val="none"/>
              </w:rPr>
            </w:pPr>
            <w:r>
              <w:rPr>
                <w:rFonts w:hint="eastAsia" w:ascii="仿宋_GB2312"/>
                <w:color w:val="auto"/>
                <w:sz w:val="24"/>
                <w:highlight w:val="none"/>
              </w:rPr>
              <w:t>支持自动化数据拆分，支持字符串，</w:t>
            </w:r>
            <w:r>
              <w:rPr>
                <w:rFonts w:hint="default" w:ascii="仿宋_GB2312"/>
                <w:color w:val="auto"/>
                <w:sz w:val="24"/>
                <w:highlight w:val="none"/>
              </w:rPr>
              <w:t>日</w:t>
            </w:r>
            <w:r>
              <w:rPr>
                <w:rFonts w:hint="eastAsia" w:ascii="仿宋_GB2312"/>
                <w:color w:val="auto"/>
                <w:sz w:val="24"/>
                <w:highlight w:val="none"/>
              </w:rPr>
              <w:t>期，数字的多种拆分方案</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1" w:type="dxa"/>
            <w:vMerge w:val="continue"/>
            <w:noWrap w:val="0"/>
            <w:vAlign w:val="center"/>
          </w:tcPr>
          <w:p>
            <w:pPr>
              <w:pStyle w:val="814"/>
              <w:ind w:firstLine="0" w:firstLineChars="0"/>
              <w:jc w:val="center"/>
              <w:rPr>
                <w:rFonts w:ascii="仿宋_GB2312"/>
                <w:color w:val="auto"/>
                <w:sz w:val="24"/>
                <w:highlight w:val="none"/>
              </w:rPr>
            </w:pPr>
          </w:p>
        </w:tc>
        <w:tc>
          <w:tcPr>
            <w:tcW w:w="6435" w:type="dxa"/>
            <w:noWrap w:val="0"/>
            <w:vAlign w:val="center"/>
          </w:tcPr>
          <w:p>
            <w:pPr>
              <w:pStyle w:val="814"/>
              <w:ind w:firstLine="0" w:firstLineChars="0"/>
              <w:jc w:val="left"/>
              <w:rPr>
                <w:rFonts w:ascii="仿宋_GB2312"/>
                <w:color w:val="auto"/>
                <w:sz w:val="24"/>
                <w:highlight w:val="none"/>
              </w:rPr>
            </w:pPr>
            <w:r>
              <w:rPr>
                <w:rFonts w:hint="eastAsia" w:ascii="仿宋_GB2312"/>
                <w:color w:val="auto"/>
                <w:sz w:val="24"/>
                <w:highlight w:val="none"/>
              </w:rPr>
              <w:t>提供完整的数据库运维监控系统，对数据库IOPS，TPS，CPU实时监控</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41" w:type="dxa"/>
            <w:vMerge w:val="restart"/>
            <w:noWrap w:val="0"/>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服务安全</w:t>
            </w:r>
          </w:p>
        </w:tc>
        <w:tc>
          <w:tcPr>
            <w:tcW w:w="6435" w:type="dxa"/>
            <w:noWrap w:val="0"/>
            <w:vAlign w:val="center"/>
          </w:tcPr>
          <w:p>
            <w:pPr>
              <w:pStyle w:val="814"/>
              <w:ind w:firstLine="0" w:firstLineChars="0"/>
              <w:jc w:val="left"/>
              <w:rPr>
                <w:rFonts w:hint="eastAsia" w:ascii="仿宋_GB2312"/>
                <w:color w:val="auto"/>
                <w:sz w:val="24"/>
                <w:highlight w:val="none"/>
              </w:rPr>
            </w:pPr>
            <w:r>
              <w:rPr>
                <w:rFonts w:hint="eastAsia" w:ascii="仿宋_GB2312"/>
                <w:color w:val="auto"/>
                <w:sz w:val="24"/>
                <w:highlight w:val="none"/>
              </w:rPr>
              <w:t>采用分布式集群服务，无服务单点故障</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1" w:type="dxa"/>
            <w:vMerge w:val="continue"/>
            <w:noWrap w:val="0"/>
            <w:vAlign w:val="center"/>
          </w:tcPr>
          <w:p>
            <w:pPr>
              <w:pStyle w:val="814"/>
              <w:ind w:firstLine="0" w:firstLineChars="0"/>
              <w:jc w:val="center"/>
              <w:rPr>
                <w:rFonts w:ascii="仿宋_GB2312"/>
                <w:color w:val="auto"/>
                <w:sz w:val="24"/>
                <w:highlight w:val="none"/>
              </w:rPr>
            </w:pPr>
          </w:p>
        </w:tc>
        <w:tc>
          <w:tcPr>
            <w:tcW w:w="6435" w:type="dxa"/>
            <w:noWrap w:val="0"/>
            <w:vAlign w:val="center"/>
          </w:tcPr>
          <w:p>
            <w:pPr>
              <w:pStyle w:val="814"/>
              <w:ind w:firstLine="0" w:firstLineChars="0"/>
              <w:jc w:val="left"/>
              <w:rPr>
                <w:rFonts w:ascii="仿宋_GB2312"/>
                <w:color w:val="auto"/>
                <w:sz w:val="24"/>
                <w:highlight w:val="none"/>
              </w:rPr>
            </w:pPr>
            <w:r>
              <w:rPr>
                <w:rFonts w:hint="eastAsia" w:ascii="仿宋_GB2312"/>
                <w:color w:val="auto"/>
                <w:sz w:val="24"/>
                <w:highlight w:val="none"/>
              </w:rPr>
              <w:t>支持存储层RDS白名单自动维护，通过白名单保证访问安全</w:t>
            </w:r>
          </w:p>
        </w:tc>
        <w:tc>
          <w:tcPr>
            <w:tcW w:w="1111" w:type="dxa"/>
            <w:noWrap w:val="0"/>
            <w:vAlign w:val="center"/>
          </w:tcPr>
          <w:p>
            <w:pPr>
              <w:pStyle w:val="232"/>
              <w:snapToGrid w:val="0"/>
              <w:spacing w:before="0" w:line="460" w:lineRule="exact"/>
              <w:ind w:firstLine="0" w:firstLineChars="0"/>
              <w:jc w:val="center"/>
              <w:rPr>
                <w:rFonts w:ascii="仿宋" w:hAnsi="仿宋" w:eastAsia="仿宋"/>
                <w:color w:val="auto"/>
                <w:kern w:val="0"/>
                <w:highlight w:val="none"/>
              </w:rPr>
            </w:pPr>
          </w:p>
        </w:tc>
      </w:tr>
    </w:tbl>
    <w:p>
      <w:pPr>
        <w:pStyle w:val="6"/>
        <w:numPr>
          <w:ilvl w:val="0"/>
          <w:numId w:val="0"/>
        </w:numPr>
        <w:ind w:left="720" w:hanging="720"/>
        <w:rPr>
          <w:rFonts w:hint="eastAsia"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2.3 对象存储服务（OSS）</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78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指标项</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规格要求</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服务标准</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提供基于三副本或EC校验模式的数据多重冗余备份，保证数据安全。</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服务特性</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支持RESTful API接口，通过开发工具包SDK或直接通过RESTful API进行基础和高级对象存储操作。</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Songti SC" w:hAnsi="Songti SC" w:eastAsia="仿宋_GB2312"/>
                <w:color w:val="auto"/>
                <w:sz w:val="18"/>
                <w:szCs w:val="18"/>
                <w:highlight w:val="none"/>
              </w:rPr>
            </w:pPr>
            <w:r>
              <w:rPr>
                <w:rFonts w:hint="eastAsia" w:ascii="仿宋_GB2312" w:eastAsia="仿宋_GB2312"/>
                <w:color w:val="auto"/>
                <w:sz w:val="24"/>
                <w:highlight w:val="none"/>
              </w:rPr>
              <w:t>提供key-value键值对形式的对象存储服务。</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Songti SC" w:hAnsi="Songti SC" w:eastAsia="Songti SC"/>
                <w:color w:val="auto"/>
                <w:sz w:val="18"/>
                <w:szCs w:val="18"/>
                <w:highlight w:val="none"/>
              </w:rPr>
            </w:pPr>
            <w:r>
              <w:rPr>
                <w:rFonts w:hint="eastAsia" w:ascii="仿宋_GB2312" w:eastAsia="仿宋_GB2312"/>
                <w:color w:val="auto"/>
                <w:sz w:val="24"/>
                <w:highlight w:val="none"/>
              </w:rPr>
              <w:t>支持bucket endpoint设置，并支持通过bucket endpoint进行访问</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tabs>
                <w:tab w:val="left" w:pos="1463"/>
              </w:tabs>
              <w:rPr>
                <w:rFonts w:hint="eastAsia" w:ascii="仿宋_GB2312" w:eastAsia="仿宋_GB2312"/>
                <w:color w:val="auto"/>
                <w:sz w:val="24"/>
                <w:highlight w:val="none"/>
              </w:rPr>
            </w:pPr>
            <w:r>
              <w:rPr>
                <w:rFonts w:hint="eastAsia" w:ascii="仿宋_GB2312" w:eastAsia="仿宋_GB2312"/>
                <w:color w:val="auto"/>
                <w:sz w:val="24"/>
                <w:highlight w:val="none"/>
              </w:rPr>
              <w:t>单个对象最大支持48.8TB，单租户最大bucket数量100个，每个bucket的生命周期最多可容纳1000规则。</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tabs>
                <w:tab w:val="left" w:pos="2138"/>
              </w:tabs>
              <w:rPr>
                <w:rFonts w:hint="eastAsia" w:ascii="仿宋_GB2312" w:eastAsia="仿宋_GB2312"/>
                <w:color w:val="auto"/>
                <w:sz w:val="24"/>
                <w:highlight w:val="none"/>
              </w:rPr>
            </w:pPr>
            <w:r>
              <w:rPr>
                <w:rFonts w:hint="eastAsia" w:ascii="仿宋_GB2312" w:eastAsia="仿宋_GB2312"/>
                <w:color w:val="auto"/>
                <w:sz w:val="24"/>
                <w:highlight w:val="none"/>
              </w:rPr>
              <w:t>支持Bucket创建/删除/批量删除/列举，禁用，变更容量，设置标签，变更归属，所属区域设置，容量限制，静态网站托管，防盗链，跨域访问，lifecycle（生命周期）设置，存储碎片管理。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具备多用户隔离机制</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 xml:space="preserve">支持大文件的分片并发上传和下载，支持断点续传； </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提供</w:t>
            </w:r>
            <w:r>
              <w:rPr>
                <w:rFonts w:ascii="仿宋_GB2312" w:eastAsia="仿宋_GB2312"/>
                <w:color w:val="auto"/>
                <w:sz w:val="24"/>
                <w:highlight w:val="none"/>
              </w:rPr>
              <w:t>日</w:t>
            </w:r>
            <w:r>
              <w:rPr>
                <w:rFonts w:hint="eastAsia" w:ascii="仿宋_GB2312" w:eastAsia="仿宋_GB2312"/>
                <w:color w:val="auto"/>
                <w:sz w:val="24"/>
                <w:highlight w:val="none"/>
              </w:rPr>
              <w:t>志记录功能，方便追查访问来源以及进行多维度的统计分析</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提供标准 RESTful协议的API接口以及多语言的SDK</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提供服务端数据加密。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支持对象简单上传/表单上传/追加上传/分片上传/断点续传上传/下载/流式下载/下载到本地文件/断点续传下载/范围下载/删除/批量删除/列举/复制/获取对象地址/上传任务的删除与取消/生命周期管理。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服务能力</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每秒请求数超过50000次；</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eastAsia="仿宋_GB2312"/>
                <w:color w:val="auto"/>
                <w:sz w:val="24"/>
                <w:highlight w:val="none"/>
              </w:rPr>
            </w:pPr>
            <w:r>
              <w:rPr>
                <w:rFonts w:hint="eastAsia" w:ascii="仿宋_GB2312" w:eastAsia="仿宋_GB2312"/>
                <w:color w:val="auto"/>
                <w:sz w:val="24"/>
                <w:highlight w:val="none"/>
              </w:rPr>
              <w:t>容灾容错能力</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支持同城容灾的非对等部署，支持按需选择需要容灾的bucket。</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left w:val="single" w:color="auto" w:sz="4" w:space="0"/>
              <w:right w:val="single" w:color="auto" w:sz="4" w:space="0"/>
            </w:tcBorders>
            <w:noWrap w:val="0"/>
            <w:vAlign w:val="center"/>
          </w:tcPr>
          <w:p>
            <w:pPr>
              <w:rPr>
                <w:rFonts w:hint="eastAsia"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支持跨地域容灾功能，通过异步复制方式实现多可用区以及多云之间的数据级容灾。</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restart"/>
            <w:tcBorders>
              <w:left w:val="single" w:color="auto" w:sz="4" w:space="0"/>
              <w:right w:val="single" w:color="auto" w:sz="4" w:space="0"/>
            </w:tcBorders>
            <w:noWrap w:val="0"/>
            <w:vAlign w:val="center"/>
          </w:tcPr>
          <w:p>
            <w:pPr>
              <w:jc w:val="center"/>
              <w:rPr>
                <w:rFonts w:hint="eastAsia" w:ascii="仿宋_GB2312" w:eastAsia="仿宋_GB2312"/>
                <w:color w:val="auto"/>
                <w:sz w:val="24"/>
                <w:highlight w:val="none"/>
              </w:rPr>
            </w:pPr>
            <w:r>
              <w:rPr>
                <w:rFonts w:hint="eastAsia" w:ascii="仿宋_GB2312" w:eastAsia="仿宋_GB2312"/>
                <w:color w:val="auto"/>
                <w:sz w:val="24"/>
                <w:highlight w:val="none"/>
              </w:rPr>
              <w:t>安全访问</w:t>
            </w: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支持子账号/STS临时凭证的权限管理。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left w:val="single" w:color="auto" w:sz="4" w:space="0"/>
              <w:right w:val="single" w:color="auto" w:sz="4" w:space="0"/>
            </w:tcBorders>
            <w:noWrap w:val="0"/>
            <w:vAlign w:val="center"/>
          </w:tcPr>
          <w:p>
            <w:pPr>
              <w:rPr>
                <w:rFonts w:hint="eastAsia"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支持Bucket/Object级别的ACL。</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left w:val="single" w:color="auto" w:sz="4" w:space="0"/>
              <w:right w:val="single" w:color="auto" w:sz="4" w:space="0"/>
            </w:tcBorders>
            <w:noWrap w:val="0"/>
            <w:vAlign w:val="center"/>
          </w:tcPr>
          <w:p>
            <w:pPr>
              <w:rPr>
                <w:rFonts w:hint="eastAsia"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支持服务器端的加密功能，用户能够使用密钥管理系统上创建的密钥进行加密。</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tcBorders>
              <w:left w:val="single" w:color="auto" w:sz="4" w:space="0"/>
              <w:right w:val="single" w:color="auto" w:sz="4" w:space="0"/>
            </w:tcBorders>
            <w:noWrap w:val="0"/>
            <w:vAlign w:val="center"/>
          </w:tcPr>
          <w:p>
            <w:pPr>
              <w:rPr>
                <w:rFonts w:hint="eastAsia" w:ascii="仿宋_GB2312" w:eastAsia="仿宋_GB2312"/>
                <w:color w:val="auto"/>
                <w:sz w:val="24"/>
                <w:highlight w:val="none"/>
              </w:rPr>
            </w:pPr>
          </w:p>
        </w:tc>
        <w:tc>
          <w:tcPr>
            <w:tcW w:w="6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支持客户端加密功能，可以使用客户端加密SDK，在本地进行数据加密，并将加密后的数据上传到对象存储，既支持云平台密钥管理系统托管的用户主密钥，也支持用户自主管理的密钥。</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bl>
    <w:p>
      <w:pPr>
        <w:pStyle w:val="232"/>
        <w:ind w:firstLine="0" w:firstLineChars="0"/>
        <w:outlineLvl w:val="2"/>
        <w:rPr>
          <w:rFonts w:ascii="仿宋_GB2312" w:eastAsia="仿宋_GB2312"/>
          <w:b/>
          <w:color w:val="auto"/>
          <w:highlight w:val="none"/>
        </w:rPr>
      </w:pPr>
      <w:r>
        <w:rPr>
          <w:rFonts w:hint="eastAsia" w:ascii="仿宋_GB2312" w:eastAsia="仿宋_GB2312"/>
          <w:b/>
          <w:color w:val="auto"/>
          <w:highlight w:val="none"/>
        </w:rPr>
        <w:t>2.4 大数据处理服务</w:t>
      </w:r>
    </w:p>
    <w:p>
      <w:pPr>
        <w:pStyle w:val="232"/>
        <w:ind w:firstLine="0" w:firstLineChars="0"/>
        <w:outlineLvl w:val="2"/>
        <w:rPr>
          <w:rFonts w:ascii="仿宋_GB2312" w:eastAsia="仿宋_GB2312"/>
          <w:b/>
          <w:color w:val="auto"/>
          <w:highlight w:val="none"/>
        </w:rPr>
      </w:pPr>
      <w:r>
        <w:rPr>
          <w:rFonts w:hint="eastAsia" w:ascii="仿宋_GB2312" w:eastAsia="仿宋_GB2312"/>
          <w:b/>
          <w:color w:val="auto"/>
          <w:highlight w:val="none"/>
        </w:rPr>
        <w:t>（1）大数据计算机服务（Maxcompute）</w:t>
      </w:r>
    </w:p>
    <w:tbl>
      <w:tblPr>
        <w:tblStyle w:val="62"/>
        <w:tblW w:w="9368"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62"/>
        <w:gridCol w:w="7124"/>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1262" w:type="dxa"/>
            <w:shd w:val="clear" w:color="auto" w:fill="auto"/>
            <w:vAlign w:val="center"/>
          </w:tcPr>
          <w:p>
            <w:pPr>
              <w:pStyle w:val="814"/>
              <w:ind w:firstLine="0" w:firstLineChars="0"/>
              <w:rPr>
                <w:rFonts w:ascii="仿宋_GB2312"/>
                <w:color w:val="auto"/>
                <w:sz w:val="24"/>
                <w:highlight w:val="none"/>
              </w:rPr>
            </w:pPr>
            <w:r>
              <w:rPr>
                <w:rFonts w:hint="eastAsia" w:ascii="仿宋_GB2312"/>
                <w:color w:val="auto"/>
                <w:sz w:val="24"/>
                <w:highlight w:val="none"/>
              </w:rPr>
              <w:t>指标项</w:t>
            </w:r>
          </w:p>
        </w:tc>
        <w:tc>
          <w:tcPr>
            <w:tcW w:w="7124" w:type="dxa"/>
            <w:shd w:val="clear" w:color="auto" w:fill="auto"/>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规格服务</w:t>
            </w:r>
          </w:p>
        </w:tc>
        <w:tc>
          <w:tcPr>
            <w:tcW w:w="982" w:type="dxa"/>
            <w:shd w:val="clear" w:color="auto" w:fill="auto"/>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restart"/>
            <w:shd w:val="clear" w:color="auto" w:fill="auto"/>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服务标准</w:t>
            </w:r>
          </w:p>
        </w:tc>
        <w:tc>
          <w:tcPr>
            <w:tcW w:w="7124" w:type="dxa"/>
            <w:shd w:val="clear" w:color="auto" w:fill="auto"/>
            <w:vAlign w:val="center"/>
          </w:tcPr>
          <w:p>
            <w:pPr>
              <w:pStyle w:val="814"/>
              <w:adjustRightInd w:val="0"/>
              <w:ind w:firstLine="0" w:firstLineChars="0"/>
              <w:jc w:val="left"/>
              <w:rPr>
                <w:rFonts w:ascii="仿宋_GB2312" w:hAnsi="仿宋"/>
                <w:color w:val="auto"/>
                <w:sz w:val="22"/>
                <w:highlight w:val="none"/>
              </w:rPr>
            </w:pPr>
            <w:r>
              <w:rPr>
                <w:rFonts w:ascii="仿宋_GB2312" w:hAnsi="仿宋"/>
                <w:color w:val="auto"/>
                <w:sz w:val="24"/>
                <w:highlight w:val="none"/>
              </w:rPr>
              <w:t>提供完善的数据导入方案以及多种经典的分布式计算模型</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pStyle w:val="814"/>
              <w:adjustRightInd w:val="0"/>
              <w:ind w:firstLine="0" w:firstLineChars="0"/>
              <w:jc w:val="left"/>
              <w:rPr>
                <w:rFonts w:ascii="仿宋_GB2312" w:hAnsi="仿宋"/>
                <w:color w:val="auto"/>
                <w:sz w:val="22"/>
                <w:highlight w:val="none"/>
              </w:rPr>
            </w:pPr>
            <w:r>
              <w:rPr>
                <w:rFonts w:ascii="仿宋_GB2312" w:hAnsi="仿宋"/>
                <w:color w:val="auto"/>
                <w:sz w:val="22"/>
                <w:highlight w:val="none"/>
              </w:rPr>
              <w:t>数据均以表格式存储，不暴露文件系统</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pStyle w:val="814"/>
              <w:adjustRightInd w:val="0"/>
              <w:ind w:firstLine="0" w:firstLineChars="0"/>
              <w:jc w:val="left"/>
              <w:rPr>
                <w:rFonts w:ascii="仿宋_GB2312" w:hAnsi="仿宋"/>
                <w:color w:val="auto"/>
                <w:sz w:val="22"/>
                <w:highlight w:val="none"/>
              </w:rPr>
            </w:pPr>
            <w:r>
              <w:rPr>
                <w:rFonts w:ascii="仿宋_GB2312" w:hAnsi="仿宋"/>
                <w:color w:val="auto"/>
                <w:sz w:val="22"/>
                <w:highlight w:val="none"/>
              </w:rPr>
              <w:t>采用标准的SQL语法</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restart"/>
            <w:shd w:val="clear" w:color="auto" w:fill="auto"/>
            <w:vAlign w:val="center"/>
          </w:tcPr>
          <w:p>
            <w:pPr>
              <w:pStyle w:val="814"/>
              <w:adjustRightInd w:val="0"/>
              <w:ind w:firstLine="0" w:firstLineChars="0"/>
              <w:rPr>
                <w:rFonts w:ascii="仿宋_GB2312" w:hAnsi="仿宋"/>
                <w:color w:val="auto"/>
                <w:sz w:val="24"/>
                <w:highlight w:val="none"/>
              </w:rPr>
            </w:pPr>
            <w:r>
              <w:rPr>
                <w:rFonts w:hint="eastAsia" w:ascii="仿宋_GB2312" w:hAnsi="仿宋"/>
                <w:color w:val="auto"/>
                <w:sz w:val="24"/>
                <w:highlight w:val="none"/>
              </w:rPr>
              <w:t>服务特性</w:t>
            </w:r>
          </w:p>
        </w:tc>
        <w:tc>
          <w:tcPr>
            <w:tcW w:w="7124"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向用户提供的数据传输服务（Tunnel），该服务水平可扩展，</w:t>
            </w:r>
            <w:r>
              <w:rPr>
                <w:rFonts w:hint="eastAsia" w:ascii="仿宋_GB2312" w:hAnsi="仿宋"/>
                <w:color w:val="auto"/>
                <w:sz w:val="24"/>
                <w:highlight w:val="none"/>
                <w:lang w:eastAsia="zh-Hans"/>
              </w:rPr>
              <w:t>最大可</w:t>
            </w:r>
            <w:r>
              <w:rPr>
                <w:rFonts w:ascii="仿宋_GB2312" w:hAnsi="仿宋"/>
                <w:color w:val="auto"/>
                <w:sz w:val="24"/>
                <w:highlight w:val="none"/>
              </w:rPr>
              <w:t>支持PB级别的数据导入导出</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Java SDK，并且在MaxCompute的客户端工具中，有对应的命令实现本地文件与服务数据的互通</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针对实时数据上传的场景，提供另一套用于增量数据的导入服务。能支持多种数据传输插件，例如：Flume, Fluentd, Sqoop等</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hint="eastAsia" w:ascii="仿宋_GB2312" w:hAnsi="仿宋"/>
                <w:color w:val="auto"/>
                <w:sz w:val="24"/>
                <w:highlight w:val="none"/>
              </w:rPr>
              <w:t>数据采用列压缩存储格式，节省了用户成本。</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采用标准的SQL语法。</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提供Java MapReduce编程模型</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提供的Graph模型能够完成迭代计算场景</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1262" w:type="dxa"/>
            <w:vMerge w:val="restart"/>
            <w:shd w:val="clear" w:color="auto" w:fill="auto"/>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服务能力</w:t>
            </w:r>
          </w:p>
        </w:tc>
        <w:tc>
          <w:tcPr>
            <w:tcW w:w="7124" w:type="dxa"/>
            <w:shd w:val="clear" w:color="auto" w:fill="auto"/>
            <w:vAlign w:val="center"/>
          </w:tcPr>
          <w:p>
            <w:pPr>
              <w:jc w:val="left"/>
              <w:rPr>
                <w:rFonts w:ascii="仿宋_GB2312" w:hAnsi="仿宋"/>
                <w:color w:val="auto"/>
                <w:sz w:val="24"/>
                <w:highlight w:val="none"/>
              </w:rPr>
            </w:pPr>
            <w:r>
              <w:rPr>
                <w:rFonts w:ascii="仿宋_GB2312" w:hAnsi="仿宋" w:eastAsia="仿宋_GB2312"/>
                <w:color w:val="auto"/>
                <w:sz w:val="24"/>
                <w:highlight w:val="none"/>
              </w:rPr>
              <w:t>支持100GB以上规模的存储及计算需求，最大可达EB级别</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jc w:val="left"/>
              <w:rPr>
                <w:rFonts w:ascii="仿宋_GB2312" w:hAnsi="仿宋"/>
                <w:color w:val="auto"/>
                <w:sz w:val="24"/>
                <w:highlight w:val="none"/>
              </w:rPr>
            </w:pPr>
            <w:r>
              <w:rPr>
                <w:rFonts w:hint="eastAsia" w:ascii="仿宋_GB2312" w:hAnsi="仿宋_GB2312" w:eastAsia="仿宋_GB2312" w:cs="仿宋_GB2312"/>
                <w:color w:val="auto"/>
                <w:kern w:val="0"/>
                <w:sz w:val="24"/>
                <w:highlight w:val="none"/>
                <w:lang w:bidi="ar"/>
              </w:rPr>
              <w:t>支持超大规模的MapReduce计算，可支持最大Mapper个数为100万，最大Reduce个数为4000，最大Join个数2万</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jc w:val="left"/>
              <w:rPr>
                <w:rFonts w:ascii="仿宋_GB2312" w:hAnsi="仿宋"/>
                <w:color w:val="auto"/>
                <w:sz w:val="24"/>
                <w:highlight w:val="none"/>
              </w:rPr>
            </w:pPr>
            <w:r>
              <w:rPr>
                <w:rFonts w:ascii="仿宋_GB2312" w:hAnsi="仿宋" w:eastAsia="仿宋_GB2312"/>
                <w:color w:val="auto"/>
                <w:sz w:val="24"/>
                <w:highlight w:val="none"/>
              </w:rPr>
              <w:t>支持丰富的计算模型，支持有向无环图计算逻辑，目前支持的计算功能包括：SQL，MapReduce，Graph以及MPI迭代类的算法</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62" w:type="dxa"/>
            <w:vMerge w:val="restart"/>
            <w:shd w:val="clear" w:color="auto" w:fill="auto"/>
            <w:vAlign w:val="center"/>
          </w:tcPr>
          <w:p>
            <w:pPr>
              <w:jc w:val="center"/>
              <w:rPr>
                <w:rFonts w:ascii="仿宋_GB2312" w:hAnsi="Times New Roman" w:eastAsia="仿宋_GB2312" w:cs="Times New Roman"/>
                <w:color w:val="auto"/>
                <w:kern w:val="2"/>
                <w:sz w:val="24"/>
                <w:szCs w:val="24"/>
                <w:highlight w:val="none"/>
                <w:lang w:val="en-US" w:eastAsia="zh-CN" w:bidi="ar-SA"/>
              </w:rPr>
            </w:pPr>
            <w:r>
              <w:rPr>
                <w:rFonts w:ascii="仿宋_GB2312" w:eastAsia="仿宋_GB2312"/>
                <w:color w:val="auto"/>
                <w:sz w:val="24"/>
                <w:highlight w:val="none"/>
              </w:rPr>
              <w:t>安全性</w:t>
            </w:r>
          </w:p>
        </w:tc>
        <w:tc>
          <w:tcPr>
            <w:tcW w:w="7124" w:type="dxa"/>
            <w:shd w:val="clear" w:color="auto" w:fill="auto"/>
            <w:vAlign w:val="center"/>
          </w:tcPr>
          <w:p>
            <w:pPr>
              <w:jc w:val="left"/>
              <w:rPr>
                <w:rFonts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完善的沙箱机制可以限制MapReduce和UDF程序中对系统资源的访问，提高系统安全度</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jc w:val="left"/>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支持多粒度的数据授权访问，可针对单表（Table）或某一字段（Column）指定授权；</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124" w:type="dxa"/>
            <w:shd w:val="clear" w:color="auto" w:fill="auto"/>
            <w:vAlign w:val="center"/>
          </w:tcPr>
          <w:p>
            <w:pPr>
              <w:jc w:val="left"/>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具备完善的权限认证与隔离机制，保障用户数据的私密性</w:t>
            </w:r>
          </w:p>
        </w:tc>
        <w:tc>
          <w:tcPr>
            <w:tcW w:w="982" w:type="dxa"/>
            <w:shd w:val="clear" w:color="auto" w:fill="auto"/>
            <w:vAlign w:val="center"/>
          </w:tcPr>
          <w:p>
            <w:pPr>
              <w:pStyle w:val="814"/>
              <w:ind w:firstLine="0" w:firstLineChars="0"/>
              <w:jc w:val="center"/>
              <w:rPr>
                <w:rFonts w:ascii="仿宋_GB2312"/>
                <w:color w:val="auto"/>
                <w:sz w:val="24"/>
                <w:highlight w:val="none"/>
              </w:rPr>
            </w:pPr>
          </w:p>
        </w:tc>
      </w:tr>
    </w:tbl>
    <w:p>
      <w:pPr>
        <w:pStyle w:val="232"/>
        <w:ind w:firstLine="0" w:firstLineChars="0"/>
        <w:outlineLvl w:val="2"/>
        <w:rPr>
          <w:rFonts w:hint="eastAsia" w:ascii="仿宋_GB2312" w:eastAsia="仿宋_GB2312"/>
          <w:b/>
          <w:color w:val="auto"/>
          <w:highlight w:val="none"/>
        </w:rPr>
      </w:pPr>
      <w:r>
        <w:rPr>
          <w:rFonts w:hint="eastAsia" w:ascii="仿宋_GB2312" w:eastAsia="仿宋_GB2312"/>
          <w:b/>
          <w:color w:val="auto"/>
          <w:highlight w:val="none"/>
        </w:rPr>
        <w:t>（2）分析型数据库MySQL 2.0版</w:t>
      </w:r>
    </w:p>
    <w:tbl>
      <w:tblPr>
        <w:tblStyle w:val="6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7266"/>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1000" w:type="dxa"/>
            <w:shd w:val="clear" w:color="auto" w:fill="auto"/>
            <w:vAlign w:val="center"/>
          </w:tcPr>
          <w:p>
            <w:pPr>
              <w:pStyle w:val="814"/>
              <w:ind w:firstLine="0" w:firstLineChars="0"/>
              <w:rPr>
                <w:rFonts w:ascii="仿宋_GB2312"/>
                <w:color w:val="auto"/>
                <w:sz w:val="24"/>
                <w:highlight w:val="none"/>
              </w:rPr>
            </w:pPr>
            <w:r>
              <w:rPr>
                <w:rFonts w:hint="eastAsia" w:ascii="仿宋_GB2312"/>
                <w:color w:val="auto"/>
                <w:sz w:val="24"/>
                <w:highlight w:val="none"/>
              </w:rPr>
              <w:t>指标项</w:t>
            </w:r>
          </w:p>
        </w:tc>
        <w:tc>
          <w:tcPr>
            <w:tcW w:w="7266" w:type="dxa"/>
            <w:shd w:val="clear" w:color="auto" w:fill="auto"/>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规格服务</w:t>
            </w:r>
          </w:p>
        </w:tc>
        <w:tc>
          <w:tcPr>
            <w:tcW w:w="1022" w:type="dxa"/>
            <w:shd w:val="clear" w:color="auto" w:fill="auto"/>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restart"/>
            <w:shd w:val="clear" w:color="auto" w:fill="auto"/>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服务标准</w:t>
            </w: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提供实时高并发在线分析</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000"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hint="eastAsia" w:ascii="仿宋_GB2312" w:hAnsi="仿宋"/>
                <w:color w:val="auto"/>
                <w:sz w:val="24"/>
                <w:highlight w:val="none"/>
                <w:lang w:eastAsia="zh-Hans"/>
              </w:rPr>
              <w:t>支持</w:t>
            </w:r>
            <w:r>
              <w:rPr>
                <w:rFonts w:ascii="仿宋_GB2312" w:hAnsi="仿宋"/>
                <w:color w:val="auto"/>
                <w:sz w:val="24"/>
                <w:highlight w:val="none"/>
              </w:rPr>
              <w:t>即时多维分析透视和业务探索</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全量数据参与分析计算</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restart"/>
            <w:shd w:val="clear" w:color="auto" w:fill="auto"/>
            <w:vAlign w:val="center"/>
          </w:tcPr>
          <w:p>
            <w:pPr>
              <w:pStyle w:val="814"/>
              <w:adjustRightInd w:val="0"/>
              <w:ind w:firstLine="0" w:firstLineChars="0"/>
              <w:jc w:val="center"/>
              <w:rPr>
                <w:rFonts w:ascii="仿宋_GB2312" w:hAnsi="仿宋"/>
                <w:color w:val="auto"/>
                <w:sz w:val="24"/>
                <w:highlight w:val="none"/>
              </w:rPr>
            </w:pPr>
          </w:p>
          <w:p>
            <w:pPr>
              <w:pStyle w:val="814"/>
              <w:adjustRightInd w:val="0"/>
              <w:ind w:firstLine="0" w:firstLineChars="0"/>
              <w:jc w:val="center"/>
              <w:rPr>
                <w:rFonts w:ascii="仿宋_GB2312" w:hAnsi="仿宋"/>
                <w:color w:val="auto"/>
                <w:sz w:val="24"/>
                <w:highlight w:val="none"/>
              </w:rPr>
            </w:pPr>
          </w:p>
          <w:p>
            <w:pPr>
              <w:pStyle w:val="814"/>
              <w:adjustRightInd w:val="0"/>
              <w:ind w:firstLine="0" w:firstLineChars="0"/>
              <w:jc w:val="center"/>
              <w:rPr>
                <w:rFonts w:ascii="仿宋_GB2312" w:hAnsi="仿宋"/>
                <w:color w:val="auto"/>
                <w:sz w:val="24"/>
                <w:highlight w:val="none"/>
              </w:rPr>
            </w:pPr>
          </w:p>
          <w:p>
            <w:pPr>
              <w:pStyle w:val="814"/>
              <w:adjustRightInd w:val="0"/>
              <w:ind w:firstLine="0" w:firstLineChars="0"/>
              <w:jc w:val="center"/>
              <w:rPr>
                <w:rFonts w:ascii="仿宋_GB2312" w:hAnsi="仿宋"/>
                <w:color w:val="auto"/>
                <w:sz w:val="24"/>
                <w:highlight w:val="none"/>
              </w:rPr>
            </w:pPr>
          </w:p>
          <w:p>
            <w:pPr>
              <w:pStyle w:val="814"/>
              <w:adjustRightInd w:val="0"/>
              <w:ind w:firstLine="0" w:firstLineChars="0"/>
              <w:jc w:val="center"/>
              <w:rPr>
                <w:rFonts w:ascii="仿宋_GB2312" w:hAnsi="仿宋"/>
                <w:color w:val="auto"/>
                <w:sz w:val="24"/>
                <w:highlight w:val="none"/>
              </w:rPr>
            </w:pPr>
          </w:p>
          <w:p>
            <w:pPr>
              <w:pStyle w:val="814"/>
              <w:adjustRightInd w:val="0"/>
              <w:ind w:firstLine="0" w:firstLineChars="0"/>
              <w:jc w:val="center"/>
              <w:rPr>
                <w:rFonts w:ascii="仿宋_GB2312" w:hAnsi="仿宋"/>
                <w:color w:val="auto"/>
                <w:sz w:val="24"/>
                <w:highlight w:val="none"/>
              </w:rPr>
            </w:pPr>
          </w:p>
          <w:p>
            <w:pPr>
              <w:pStyle w:val="814"/>
              <w:adjustRightInd w:val="0"/>
              <w:ind w:firstLine="0" w:firstLineChars="0"/>
              <w:jc w:val="center"/>
              <w:rPr>
                <w:rFonts w:ascii="仿宋_GB2312" w:hAnsi="仿宋"/>
                <w:color w:val="auto"/>
                <w:sz w:val="24"/>
                <w:highlight w:val="none"/>
              </w:rPr>
            </w:pPr>
          </w:p>
          <w:p>
            <w:pPr>
              <w:pStyle w:val="814"/>
              <w:adjustRightInd w:val="0"/>
              <w:ind w:firstLine="0" w:firstLineChars="0"/>
              <w:jc w:val="center"/>
              <w:rPr>
                <w:rFonts w:ascii="仿宋_GB2312" w:hAnsi="仿宋"/>
                <w:color w:val="auto"/>
                <w:sz w:val="24"/>
                <w:highlight w:val="none"/>
              </w:rPr>
            </w:pPr>
          </w:p>
          <w:p>
            <w:pPr>
              <w:pStyle w:val="814"/>
              <w:adjustRightInd w:val="0"/>
              <w:ind w:firstLine="0" w:firstLineChars="0"/>
              <w:rPr>
                <w:rFonts w:ascii="仿宋_GB2312" w:hAnsi="仿宋"/>
                <w:color w:val="auto"/>
                <w:sz w:val="24"/>
                <w:highlight w:val="none"/>
              </w:rPr>
            </w:pPr>
            <w:r>
              <w:rPr>
                <w:rFonts w:hint="eastAsia" w:ascii="仿宋_GB2312" w:hAnsi="仿宋"/>
                <w:color w:val="auto"/>
                <w:sz w:val="24"/>
                <w:highlight w:val="none"/>
              </w:rPr>
              <w:t>服务特性</w:t>
            </w: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通过SQL对海量数据灵活的进行多维分析、数据透视、数据筛选。支持标准SQL如DDL/DML/DCL进行数据定义、操作、控制，支持JOIN、HAVING、DISTINCT等。能够对任意字段进行组合查询。支持常规的聚合函数以及个性化的分段、抽样等统计分析函数</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用户间的存储和计算资源进行精确隔离。可定制的数据多副本和动态资源管理机制提供不间断在线服务</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提供精确到列级别的权限管理，利用公私钥机制保护数据安全</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全面兼容MySQL协议（包括数据元信息），具备与商业分析工具、应用的兼容性，内置支持多种数据源数据快速接入，大幅度降低业务系统和商业软件的接入成本</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根据真实的使用消耗按量计费</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全自动为每一列数据建立最合适的索引格</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无需空间索引即可使用地理LBI函数圈选地理坐标数据。内建动态分段函数、快速聚合函数等多种函数方便OLAP应用的开发</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restart"/>
            <w:shd w:val="clear" w:color="auto" w:fill="auto"/>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服务能力</w:t>
            </w: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毫秒级的千亿级数据多维透视，支持毫秒级的多个大表关联计算</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海量数据极速dump导出，dump速度可达到上百万条一秒</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continue"/>
            <w:shd w:val="clear" w:color="auto" w:fill="auto"/>
            <w:vAlign w:val="center"/>
          </w:tcPr>
          <w:p>
            <w:pPr>
              <w:pStyle w:val="814"/>
              <w:ind w:firstLine="0" w:firstLineChars="0"/>
              <w:jc w:val="center"/>
              <w:rPr>
                <w:rFonts w:ascii="仿宋_GB2312"/>
                <w:color w:val="auto"/>
                <w:sz w:val="24"/>
                <w:highlight w:val="none"/>
              </w:rPr>
            </w:pPr>
          </w:p>
        </w:tc>
        <w:tc>
          <w:tcPr>
            <w:tcW w:w="7266" w:type="dxa"/>
            <w:shd w:val="clear" w:color="auto" w:fill="auto"/>
            <w:vAlign w:val="center"/>
          </w:tcPr>
          <w:p>
            <w:pPr>
              <w:pStyle w:val="814"/>
              <w:adjustRightInd w:val="0"/>
              <w:ind w:firstLine="0" w:firstLineChars="0"/>
              <w:jc w:val="left"/>
              <w:rPr>
                <w:rFonts w:ascii="仿宋_GB2312" w:hAnsi="仿宋"/>
                <w:color w:val="auto"/>
                <w:sz w:val="24"/>
                <w:highlight w:val="none"/>
              </w:rPr>
            </w:pPr>
            <w:r>
              <w:rPr>
                <w:rFonts w:ascii="仿宋_GB2312" w:hAnsi="仿宋"/>
                <w:color w:val="auto"/>
                <w:sz w:val="24"/>
                <w:highlight w:val="none"/>
              </w:rPr>
              <w:t>支持高并发的(准)实时数据写入/删除(insert/delete)，写入速度可达数千至数万TPS（视购买资源数量），写入数据一分钟内可查询</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vMerge w:val="restart"/>
            <w:shd w:val="clear" w:color="auto" w:fill="auto"/>
            <w:vAlign w:val="center"/>
          </w:tcPr>
          <w:p>
            <w:pPr>
              <w:jc w:val="center"/>
              <w:rPr>
                <w:rFonts w:ascii="仿宋_GB2312"/>
                <w:color w:val="auto"/>
                <w:sz w:val="24"/>
                <w:highlight w:val="none"/>
              </w:rPr>
            </w:pPr>
            <w:r>
              <w:rPr>
                <w:rFonts w:ascii="仿宋_GB2312" w:eastAsia="仿宋_GB2312"/>
                <w:color w:val="auto"/>
                <w:sz w:val="24"/>
                <w:highlight w:val="none"/>
              </w:rPr>
              <w:t>安全性</w:t>
            </w:r>
          </w:p>
        </w:tc>
        <w:tc>
          <w:tcPr>
            <w:tcW w:w="7266" w:type="dxa"/>
            <w:shd w:val="clear" w:color="auto" w:fill="auto"/>
            <w:vAlign w:val="center"/>
          </w:tcPr>
          <w:p>
            <w:pPr>
              <w:widowControl/>
              <w:jc w:val="left"/>
              <w:rPr>
                <w:rFonts w:ascii="仿宋_GB2312" w:hAnsi="仿宋"/>
                <w:color w:val="auto"/>
                <w:sz w:val="24"/>
                <w:highlight w:val="none"/>
              </w:rPr>
            </w:pPr>
            <w:r>
              <w:rPr>
                <w:rFonts w:hint="eastAsia" w:ascii="仿宋_GB2312" w:hAnsi="仿宋_GB2312" w:eastAsia="仿宋_GB2312" w:cs="仿宋_GB2312"/>
                <w:color w:val="auto"/>
                <w:kern w:val="0"/>
                <w:sz w:val="24"/>
                <w:highlight w:val="none"/>
                <w:lang w:bidi="ar"/>
              </w:rPr>
              <w:t>支持客户端访问IP白名单管理，增强安全性</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vAlign w:val="center"/>
          </w:tcPr>
          <w:p>
            <w:pPr>
              <w:jc w:val="center"/>
              <w:rPr>
                <w:rFonts w:ascii="仿宋_GB2312"/>
                <w:color w:val="auto"/>
                <w:sz w:val="24"/>
                <w:highlight w:val="none"/>
              </w:rPr>
            </w:pPr>
          </w:p>
        </w:tc>
        <w:tc>
          <w:tcPr>
            <w:tcW w:w="7266" w:type="dxa"/>
            <w:shd w:val="clear" w:color="auto" w:fill="auto"/>
            <w:vAlign w:val="center"/>
          </w:tcPr>
          <w:p>
            <w:pPr>
              <w:widowControl/>
              <w:jc w:val="left"/>
              <w:rPr>
                <w:rFonts w:ascii="仿宋_GB2312" w:hAnsi="仿宋"/>
                <w:color w:val="auto"/>
                <w:sz w:val="24"/>
                <w:highlight w:val="none"/>
              </w:rPr>
            </w:pPr>
            <w:r>
              <w:rPr>
                <w:rFonts w:hint="eastAsia" w:ascii="仿宋_GB2312" w:hAnsi="仿宋_GB2312" w:eastAsia="仿宋_GB2312" w:cs="仿宋_GB2312"/>
                <w:color w:val="auto"/>
                <w:kern w:val="0"/>
                <w:sz w:val="24"/>
                <w:highlight w:val="none"/>
                <w:lang w:bidi="ar"/>
              </w:rPr>
              <w:t>具备多租户隔离能力从而避免相互影响，可控制不同实例所能使用的系统资源，包括CPU、内存、IO、磁盘空间等</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vAlign w:val="center"/>
          </w:tcPr>
          <w:p>
            <w:pPr>
              <w:jc w:val="center"/>
              <w:rPr>
                <w:rFonts w:ascii="仿宋_GB2312"/>
                <w:color w:val="auto"/>
                <w:sz w:val="24"/>
                <w:highlight w:val="none"/>
              </w:rPr>
            </w:pPr>
          </w:p>
        </w:tc>
        <w:tc>
          <w:tcPr>
            <w:tcW w:w="7266" w:type="dxa"/>
            <w:shd w:val="clear" w:color="auto" w:fill="auto"/>
            <w:vAlign w:val="center"/>
          </w:tcPr>
          <w:p>
            <w:pPr>
              <w:widowControl/>
              <w:jc w:val="left"/>
              <w:rPr>
                <w:rFonts w:ascii="仿宋_GB2312" w:hAnsi="仿宋"/>
                <w:color w:val="auto"/>
                <w:sz w:val="24"/>
                <w:highlight w:val="none"/>
              </w:rPr>
            </w:pPr>
            <w:r>
              <w:rPr>
                <w:rFonts w:hint="eastAsia" w:ascii="仿宋_GB2312" w:hAnsi="仿宋_GB2312" w:eastAsia="仿宋_GB2312" w:cs="仿宋_GB2312"/>
                <w:color w:val="auto"/>
                <w:kern w:val="0"/>
                <w:sz w:val="24"/>
                <w:highlight w:val="none"/>
                <w:lang w:bidi="ar"/>
              </w:rPr>
              <w:t>采用统一账户和认证的云数据库服务，确保用户信息的安全，避免用户面对复杂的账户和认证场景。</w:t>
            </w:r>
          </w:p>
        </w:tc>
        <w:tc>
          <w:tcPr>
            <w:tcW w:w="1022" w:type="dxa"/>
            <w:shd w:val="clear" w:color="auto" w:fill="auto"/>
            <w:vAlign w:val="center"/>
          </w:tcPr>
          <w:p>
            <w:pPr>
              <w:pStyle w:val="814"/>
              <w:ind w:firstLine="0" w:firstLineChars="0"/>
              <w:jc w:val="center"/>
              <w:rPr>
                <w:rFonts w:ascii="仿宋_GB2312"/>
                <w:color w:val="auto"/>
                <w:sz w:val="24"/>
                <w:highlight w:val="none"/>
              </w:rPr>
            </w:pPr>
          </w:p>
        </w:tc>
      </w:tr>
    </w:tbl>
    <w:p>
      <w:pPr>
        <w:pStyle w:val="232"/>
        <w:ind w:firstLine="0" w:firstLineChars="0"/>
        <w:outlineLvl w:val="2"/>
        <w:rPr>
          <w:rFonts w:hint="eastAsia" w:ascii="仿宋_GB2312" w:eastAsia="仿宋_GB2312"/>
          <w:b/>
          <w:color w:val="auto"/>
          <w:highlight w:val="none"/>
        </w:rPr>
      </w:pPr>
      <w:r>
        <w:rPr>
          <w:rFonts w:hint="eastAsia" w:ascii="仿宋_GB2312" w:eastAsia="仿宋_GB2312"/>
          <w:b/>
          <w:color w:val="auto"/>
          <w:highlight w:val="none"/>
        </w:rPr>
        <w:t>2.5 负载均衡(SLB)</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6818"/>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指标项</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规格要求</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auto"/>
                <w:sz w:val="24"/>
                <w:highlight w:val="none"/>
              </w:rPr>
            </w:pPr>
            <w:r>
              <w:rPr>
                <w:rFonts w:hint="eastAsia" w:ascii="仿宋_GB2312" w:eastAsia="仿宋_GB2312"/>
                <w:color w:val="auto"/>
                <w:sz w:val="24"/>
                <w:highlight w:val="none"/>
              </w:rPr>
              <w:t>服务要求</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同时支持四层负载均衡和七层负载均衡；</w:t>
            </w:r>
          </w:p>
          <w:p>
            <w:pPr>
              <w:rPr>
                <w:rFonts w:hint="eastAsia" w:ascii="仿宋_GB2312" w:eastAsia="仿宋_GB2312"/>
                <w:color w:val="auto"/>
                <w:sz w:val="24"/>
                <w:highlight w:val="none"/>
              </w:rPr>
            </w:pPr>
            <w:r>
              <w:rPr>
                <w:rFonts w:hint="eastAsia" w:ascii="仿宋_GB2312" w:eastAsia="仿宋_GB2312"/>
                <w:color w:val="auto"/>
                <w:sz w:val="24"/>
                <w:highlight w:val="none"/>
              </w:rPr>
              <w:t>支持集群高可用架构，支持动态扩展；</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auto"/>
                <w:sz w:val="24"/>
                <w:highlight w:val="none"/>
              </w:rPr>
            </w:pPr>
            <w:r>
              <w:rPr>
                <w:rFonts w:hint="eastAsia" w:ascii="仿宋_GB2312" w:eastAsia="仿宋_GB2312"/>
                <w:color w:val="auto"/>
                <w:sz w:val="24"/>
                <w:highlight w:val="none"/>
              </w:rPr>
              <w:t>服务特性</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协议支持：提供四层(TCP协议和UDP协议)和七层(HTTP和HTTPS协议)的负载均衡服务。</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应提供多种转发规则，满足不同业务场景的要求：</w:t>
            </w:r>
            <w:r>
              <w:rPr>
                <w:rFonts w:hint="eastAsia" w:ascii="仿宋_GB2312" w:eastAsia="仿宋_GB2312"/>
                <w:color w:val="auto"/>
                <w:sz w:val="24"/>
                <w:highlight w:val="none"/>
              </w:rPr>
              <w:br w:type="textWrapping"/>
            </w:r>
            <w:r>
              <w:rPr>
                <w:rFonts w:hint="eastAsia" w:ascii="仿宋_GB2312" w:eastAsia="仿宋_GB2312"/>
                <w:color w:val="auto"/>
                <w:sz w:val="24"/>
                <w:highlight w:val="none"/>
              </w:rPr>
              <w:t>域名、url转发</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健康检查：提供后端ECS实例的健康检查。负载均衡服务会自动屏蔽异常状态的ECS实例,待该ECS实例恢复正常后自动解除屏蔽</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采用集群部署,可实现会话同步,以消除服务器单点,提升冗余,保证服务的稳定性。</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r>
              <w:rPr>
                <w:rFonts w:ascii="仿宋_GB2312" w:eastAsia="仿宋_GB2312"/>
                <w:color w:val="auto"/>
                <w:sz w:val="24"/>
                <w:highlight w:val="none"/>
              </w:rPr>
              <w:t xml:space="preserve">调度算法:支持轮询、最小连接数两种调度算法: </w:t>
            </w:r>
          </w:p>
          <w:p>
            <w:pPr>
              <w:widowControl/>
              <w:jc w:val="left"/>
              <w:rPr>
                <w:rFonts w:ascii="仿宋_GB2312" w:eastAsia="仿宋_GB2312"/>
                <w:color w:val="auto"/>
                <w:sz w:val="24"/>
                <w:highlight w:val="none"/>
              </w:rPr>
            </w:pPr>
            <w:r>
              <w:rPr>
                <w:rFonts w:ascii="仿宋_GB2312" w:eastAsia="仿宋_GB2312"/>
                <w:color w:val="auto"/>
                <w:sz w:val="24"/>
                <w:highlight w:val="none"/>
              </w:rPr>
              <w:t>• 轮询:按照访问次数依次将外部请求依序分发到后端ECS实例上。</w:t>
            </w:r>
          </w:p>
          <w:p>
            <w:pPr>
              <w:widowControl/>
              <w:jc w:val="left"/>
              <w:rPr>
                <w:rFonts w:ascii="仿宋_GB2312" w:eastAsia="仿宋_GB2312"/>
                <w:color w:val="auto"/>
                <w:sz w:val="24"/>
                <w:highlight w:val="none"/>
              </w:rPr>
            </w:pPr>
            <w:r>
              <w:rPr>
                <w:rFonts w:ascii="仿宋_GB2312" w:eastAsia="仿宋_GB2312"/>
                <w:color w:val="auto"/>
                <w:sz w:val="24"/>
                <w:highlight w:val="none"/>
              </w:rPr>
              <w:t>• 最小连接数:连接数越小的后端服务器被轮询到的次数(概率)也越高</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证书管理：针对HTTPS协议,提供统一的证书管理服务。证书无需上传到后端ECS实例,解密处理在负载均衡上进行,降低后端ECS实例的CPU开销</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回话保持：提供会话保持功能。在会话的生命周期内,可以将同一客户端的请求转发到同一台后端ECS实例上。</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auto"/>
                <w:sz w:val="24"/>
                <w:highlight w:val="none"/>
              </w:rPr>
            </w:pPr>
          </w:p>
        </w:tc>
        <w:tc>
          <w:tcPr>
            <w:tcW w:w="681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r>
              <w:rPr>
                <w:rFonts w:hint="eastAsia" w:ascii="仿宋_GB2312" w:eastAsia="仿宋_GB2312"/>
                <w:color w:val="auto"/>
                <w:sz w:val="24"/>
                <w:highlight w:val="none"/>
              </w:rPr>
              <w:t>访问控制：支持白名单访问控制。通过添加负载均衡监听的访问白名单,仅允许特定IP访问负载均衡服务。</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auto"/>
                <w:sz w:val="24"/>
                <w:highlight w:val="none"/>
              </w:rPr>
            </w:pPr>
            <w:r>
              <w:rPr>
                <w:rFonts w:hint="eastAsia" w:ascii="仿宋_GB2312" w:eastAsia="仿宋_GB2312"/>
                <w:color w:val="auto"/>
                <w:sz w:val="24"/>
                <w:highlight w:val="none"/>
              </w:rPr>
              <w:t>可靠性</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auto"/>
                <w:sz w:val="24"/>
                <w:highlight w:val="none"/>
              </w:rPr>
            </w:pPr>
            <w:r>
              <w:rPr>
                <w:rFonts w:hint="eastAsia" w:ascii="仿宋_GB2312" w:eastAsia="仿宋_GB2312"/>
                <w:color w:val="auto"/>
                <w:sz w:val="24"/>
                <w:highlight w:val="none"/>
              </w:rPr>
              <w:t>管理节点采用全冗余架构</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auto"/>
                <w:sz w:val="24"/>
                <w:highlight w:val="none"/>
              </w:rPr>
            </w:pPr>
          </w:p>
        </w:tc>
      </w:tr>
    </w:tbl>
    <w:p>
      <w:pPr>
        <w:bidi w:val="0"/>
        <w:rPr>
          <w:rFonts w:hint="default"/>
          <w:color w:val="auto"/>
          <w:highlight w:val="none"/>
        </w:rPr>
      </w:pPr>
    </w:p>
    <w:p>
      <w:pPr>
        <w:pStyle w:val="232"/>
        <w:ind w:firstLine="0" w:firstLineChars="0"/>
        <w:outlineLvl w:val="2"/>
        <w:rPr>
          <w:rFonts w:hint="eastAsia" w:ascii="仿宋_GB2312" w:eastAsia="仿宋_GB2312"/>
          <w:b/>
          <w:color w:val="auto"/>
          <w:highlight w:val="none"/>
        </w:rPr>
      </w:pPr>
      <w:r>
        <w:rPr>
          <w:rFonts w:hint="eastAsia" w:ascii="仿宋_GB2312" w:eastAsia="仿宋_GB2312"/>
          <w:b/>
          <w:color w:val="auto"/>
          <w:highlight w:val="none"/>
        </w:rPr>
        <w:t>2.6 专有网络VPC</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164"/>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指标项</w:t>
            </w:r>
          </w:p>
        </w:tc>
        <w:tc>
          <w:tcPr>
            <w:tcW w:w="716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规格要求</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服务标准</w:t>
            </w:r>
          </w:p>
        </w:tc>
        <w:tc>
          <w:tcPr>
            <w:tcW w:w="716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在所提供的云平台</w:t>
            </w:r>
            <w:r>
              <w:rPr>
                <w:rFonts w:ascii="仿宋_GB2312"/>
                <w:color w:val="auto"/>
                <w:sz w:val="24"/>
                <w:highlight w:val="none"/>
              </w:rPr>
              <w:t>构建出一个隔离的网络环境，客户完全掌控自己的虚拟网络，包括选择自有IP地址范围、划分网段、配置路由表和网关等。</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restart"/>
            <w:tcBorders>
              <w:top w:val="single" w:color="auto" w:sz="4" w:space="0"/>
              <w:left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服务特性</w:t>
            </w:r>
          </w:p>
        </w:tc>
        <w:tc>
          <w:tcPr>
            <w:tcW w:w="716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ascii="仿宋_GB2312"/>
                <w:color w:val="auto"/>
                <w:sz w:val="24"/>
                <w:highlight w:val="none"/>
              </w:rPr>
              <w:t>使用隧道技术达到与传统VLAN相同隔离效果，广播域隔离在实例网卡级别</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6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ascii="仿宋_GB2312"/>
                <w:color w:val="auto"/>
                <w:sz w:val="24"/>
                <w:highlight w:val="none"/>
              </w:rPr>
              <w:t>按需配置网络设置、软件定义网络，管理操作实时生效</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6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ascii="仿宋_GB2312"/>
                <w:color w:val="auto"/>
                <w:sz w:val="24"/>
                <w:highlight w:val="none"/>
              </w:rPr>
              <w:t xml:space="preserve">灵活的访问控制规则，满足政务、金融用户的安全隔离规范 </w:t>
            </w:r>
            <w:r>
              <w:rPr>
                <w:rFonts w:ascii="仿宋_GB2312"/>
                <w:color w:val="auto"/>
                <w:sz w:val="24"/>
                <w:highlight w:val="none"/>
              </w:rPr>
              <w:br w:type="textWrapping"/>
            </w:r>
            <w:r>
              <w:rPr>
                <w:rFonts w:ascii="仿宋_GB2312"/>
                <w:color w:val="auto"/>
                <w:sz w:val="24"/>
                <w:highlight w:val="none"/>
              </w:rPr>
              <w:t>可通过RAM实现对网络的权限管理</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6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ascii="仿宋_GB2312"/>
                <w:color w:val="auto"/>
                <w:sz w:val="24"/>
                <w:highlight w:val="none"/>
              </w:rPr>
              <w:t>支持使用高速通道实现跨地域/跨用户的内网互通和物理专线接入</w:t>
            </w:r>
            <w:r>
              <w:rPr>
                <w:rFonts w:ascii="仿宋_GB2312"/>
                <w:color w:val="auto"/>
                <w:sz w:val="24"/>
                <w:highlight w:val="none"/>
              </w:rPr>
              <w:br w:type="textWrapping"/>
            </w:r>
            <w:r>
              <w:rPr>
                <w:rFonts w:ascii="仿宋_GB2312"/>
                <w:color w:val="auto"/>
                <w:sz w:val="24"/>
                <w:highlight w:val="none"/>
              </w:rPr>
              <w:t>支持使用NAT网关进行DNAT/SNAT转发；</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6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ascii="仿宋_GB2312"/>
                <w:color w:val="auto"/>
                <w:sz w:val="24"/>
                <w:highlight w:val="none"/>
              </w:rPr>
              <w:t>通过NAT网关支持灵活的DNAT/SNAT转发，支持多IP共享带宽</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restart"/>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r>
              <w:rPr>
                <w:rFonts w:ascii="仿宋_GB2312" w:hAnsi="Calibri" w:eastAsia="仿宋_GB2312"/>
                <w:color w:val="auto"/>
                <w:sz w:val="24"/>
                <w:highlight w:val="none"/>
              </w:rPr>
              <w:t>服务能力</w:t>
            </w:r>
          </w:p>
        </w:tc>
        <w:tc>
          <w:tcPr>
            <w:tcW w:w="716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ascii="仿宋_GB2312"/>
                <w:color w:val="auto"/>
                <w:sz w:val="24"/>
                <w:highlight w:val="none"/>
              </w:rPr>
              <w:t>可以通过交换机将专有网络的私有 IP 地址划分成一个或多个子网</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6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ascii="仿宋_GB2312"/>
                <w:color w:val="auto"/>
                <w:sz w:val="24"/>
                <w:highlight w:val="none"/>
              </w:rPr>
              <w:t>根据业务需求配置虚拟路由器的路由规则，管理专有网络流量的转发路径</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14"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6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ascii="仿宋_GB2312"/>
                <w:color w:val="auto"/>
                <w:sz w:val="24"/>
                <w:highlight w:val="none"/>
              </w:rPr>
              <w:t>可以使用NAT网关作为VPC的公网网关，实现 SNAT / DNAT / 共享带宽</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64"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ascii="仿宋_GB2312"/>
                <w:color w:val="auto"/>
                <w:sz w:val="24"/>
                <w:highlight w:val="none"/>
              </w:rPr>
              <w:t>支持自建VPN网关，弹性公网IP</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bl>
    <w:p>
      <w:pPr>
        <w:pStyle w:val="232"/>
        <w:ind w:firstLine="0" w:firstLineChars="0"/>
        <w:outlineLvl w:val="2"/>
        <w:rPr>
          <w:rFonts w:ascii="仿宋_GB2312" w:hAnsi="Calibri" w:eastAsia="仿宋_GB2312"/>
          <w:b/>
          <w:bCs/>
          <w:color w:val="auto"/>
          <w:szCs w:val="24"/>
          <w:highlight w:val="none"/>
        </w:rPr>
      </w:pPr>
      <w:r>
        <w:rPr>
          <w:rFonts w:hint="eastAsia" w:ascii="仿宋_GB2312" w:hAnsi="Calibri" w:eastAsia="仿宋_GB2312"/>
          <w:b/>
          <w:bCs/>
          <w:color w:val="auto"/>
          <w:szCs w:val="24"/>
          <w:highlight w:val="none"/>
        </w:rPr>
        <w:t>2.7 实时计算Realtime Compute</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7058"/>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96"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指标项</w:t>
            </w:r>
          </w:p>
        </w:tc>
        <w:tc>
          <w:tcPr>
            <w:tcW w:w="705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规格要求</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96"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服务标准</w:t>
            </w:r>
          </w:p>
        </w:tc>
        <w:tc>
          <w:tcPr>
            <w:tcW w:w="705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提供实时流数据计算服务的通用计算平台</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196" w:type="dxa"/>
            <w:vMerge w:val="restart"/>
            <w:tcBorders>
              <w:top w:val="single" w:color="auto" w:sz="4" w:space="0"/>
              <w:left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服务特性</w:t>
            </w:r>
          </w:p>
        </w:tc>
        <w:tc>
          <w:tcPr>
            <w:tcW w:w="705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数据采集和存储：对接了多种上游的流式存储,例如:DataHub、LogService、IoTHub、DTS和MQ,让用户可以不用进行数据采集、数据集成,即可享受现有的数据流式存储；</w:t>
            </w:r>
          </w:p>
          <w:p>
            <w:pPr>
              <w:pStyle w:val="814"/>
              <w:ind w:firstLine="0" w:firstLineChars="0"/>
              <w:rPr>
                <w:rFonts w:ascii="仿宋_GB2312"/>
                <w:color w:val="auto"/>
                <w:sz w:val="24"/>
                <w:highlight w:val="none"/>
              </w:rPr>
            </w:pPr>
            <w:r>
              <w:rPr>
                <w:rFonts w:hint="eastAsia" w:ascii="仿宋_GB2312"/>
                <w:color w:val="auto"/>
                <w:sz w:val="24"/>
                <w:highlight w:val="none"/>
              </w:rPr>
              <w:t>提供包括RDS、AnalyticDB、TableStore等数据存储系统的管理界面；</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196"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5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数据开发：提供全托管的在线开发平台,集成多种SQL辅助功能,包括BlinkSQL语法检查、BlinkSQL智能提示和BlinkSQL语法高亮</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196"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5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数据运维：提供以下运维监控功能:作业状态、数据曲线、FailOver、CheckPoints、JobManager、TaskExecutor、血缘关系和属性参数</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96"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5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性能调优：支持手动和自动调优方式；</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96"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5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数据监控：对接云监控平台，提供实时监控服务；</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196" w:type="dxa"/>
            <w:vMerge w:val="restart"/>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r>
              <w:rPr>
                <w:rFonts w:ascii="仿宋_GB2312" w:hAnsi="Calibri" w:eastAsia="仿宋_GB2312"/>
                <w:color w:val="auto"/>
                <w:sz w:val="24"/>
                <w:highlight w:val="none"/>
              </w:rPr>
              <w:t>服务能力</w:t>
            </w:r>
          </w:p>
        </w:tc>
        <w:tc>
          <w:tcPr>
            <w:tcW w:w="705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强大的实时处理能力：提供标准的StreamSQL，支持各类失败场景的自动恢复，支持多种内建的字符串、时间、统计等类型函数，精确的计算资源控制,彻底保证您的作业的隔离性</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96"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5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良好的流式开发体验：支持标准SQL，提供内建的字符串、时间、统计等各类计算函</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96"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5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低廉的人力和集群成本：大量优化的SQL执行引擎,会产生比手写原生Storm任务更高效且更廉价的计算任务</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96" w:type="dxa"/>
            <w:vMerge w:val="restart"/>
            <w:tcBorders>
              <w:left w:val="single" w:color="auto" w:sz="4" w:space="0"/>
              <w:right w:val="single" w:color="auto" w:sz="4" w:space="0"/>
            </w:tcBorders>
            <w:vAlign w:val="center"/>
          </w:tcPr>
          <w:p>
            <w:pPr>
              <w:widowControl/>
              <w:jc w:val="center"/>
              <w:rPr>
                <w:rFonts w:ascii="仿宋_GB2312" w:hAnsi="Calibri" w:eastAsia="仿宋_GB2312"/>
                <w:color w:val="auto"/>
                <w:sz w:val="24"/>
                <w:highlight w:val="none"/>
              </w:rPr>
            </w:pPr>
            <w:r>
              <w:rPr>
                <w:rFonts w:ascii="仿宋_GB2312" w:hAnsi="Calibri" w:eastAsia="仿宋_GB2312"/>
                <w:color w:val="auto"/>
                <w:sz w:val="24"/>
                <w:highlight w:val="none"/>
              </w:rPr>
              <w:t>安全性</w:t>
            </w:r>
          </w:p>
        </w:tc>
        <w:tc>
          <w:tcPr>
            <w:tcW w:w="705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color w:val="auto"/>
                <w:sz w:val="24"/>
                <w:highlight w:val="none"/>
              </w:rPr>
            </w:pPr>
            <w:r>
              <w:rPr>
                <w:rFonts w:hint="eastAsia" w:ascii="仿宋_GB2312" w:hAnsi="仿宋_GB2312" w:eastAsia="仿宋_GB2312" w:cs="仿宋_GB2312"/>
                <w:color w:val="auto"/>
                <w:kern w:val="0"/>
                <w:sz w:val="24"/>
                <w:highlight w:val="none"/>
                <w:lang w:bidi="ar"/>
              </w:rPr>
              <w:t>支持不同账号间工作空间、业务逻辑、资源分配的相互隔离</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96"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5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color w:val="auto"/>
                <w:sz w:val="24"/>
                <w:highlight w:val="none"/>
              </w:rPr>
            </w:pPr>
            <w:r>
              <w:rPr>
                <w:rFonts w:hint="eastAsia" w:ascii="仿宋_GB2312" w:hAnsi="仿宋_GB2312" w:eastAsia="仿宋_GB2312" w:cs="仿宋_GB2312"/>
                <w:color w:val="auto"/>
                <w:kern w:val="0"/>
                <w:sz w:val="24"/>
                <w:highlight w:val="none"/>
                <w:lang w:bidi="ar"/>
              </w:rPr>
              <w:t>具备完善的权限认证，保证不同权限间的安全隐私。</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96"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5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color w:val="auto"/>
                <w:sz w:val="24"/>
                <w:highlight w:val="none"/>
              </w:rPr>
            </w:pPr>
            <w:r>
              <w:rPr>
                <w:rFonts w:hint="eastAsia" w:ascii="仿宋_GB2312" w:hAnsi="仿宋_GB2312" w:eastAsia="仿宋_GB2312" w:cs="仿宋_GB2312"/>
                <w:color w:val="auto"/>
                <w:kern w:val="0"/>
                <w:sz w:val="24"/>
                <w:highlight w:val="none"/>
                <w:lang w:bidi="ar"/>
              </w:rPr>
              <w:t>提供流计算项目的分权管理并提供用户操作审计功能</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bl>
    <w:p>
      <w:pPr>
        <w:pStyle w:val="232"/>
        <w:ind w:firstLine="0" w:firstLineChars="0"/>
        <w:outlineLvl w:val="2"/>
        <w:rPr>
          <w:rFonts w:ascii="仿宋_GB2312" w:hAnsi="Calibri" w:eastAsia="仿宋_GB2312"/>
          <w:b/>
          <w:bCs/>
          <w:color w:val="auto"/>
          <w:szCs w:val="24"/>
          <w:highlight w:val="none"/>
        </w:rPr>
      </w:pPr>
      <w:r>
        <w:rPr>
          <w:rFonts w:hint="eastAsia" w:ascii="仿宋_GB2312" w:hAnsi="Calibri" w:eastAsia="仿宋_GB2312"/>
          <w:b/>
          <w:bCs/>
          <w:color w:val="auto"/>
          <w:szCs w:val="24"/>
          <w:highlight w:val="none"/>
        </w:rPr>
        <w:t xml:space="preserve">2.8 </w:t>
      </w:r>
      <w:r>
        <w:rPr>
          <w:rFonts w:hint="eastAsia" w:ascii="仿宋_GB2312" w:hAnsi="Calibri" w:eastAsia="仿宋_GB2312"/>
          <w:b/>
          <w:bCs/>
          <w:color w:val="auto"/>
          <w:szCs w:val="24"/>
          <w:highlight w:val="none"/>
          <w:lang w:eastAsia="zh-CN"/>
        </w:rPr>
        <w:t>实时数据分发平台</w:t>
      </w:r>
      <w:r>
        <w:rPr>
          <w:rFonts w:hint="eastAsia" w:ascii="仿宋_GB2312" w:hAnsi="Calibri" w:eastAsia="仿宋_GB2312"/>
          <w:b/>
          <w:bCs/>
          <w:color w:val="auto"/>
          <w:szCs w:val="24"/>
          <w:highlight w:val="none"/>
        </w:rPr>
        <w:t>(DataHub)</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7112"/>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6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指标项</w:t>
            </w:r>
          </w:p>
        </w:tc>
        <w:tc>
          <w:tcPr>
            <w:tcW w:w="711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规格要求</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6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服务标准</w:t>
            </w:r>
          </w:p>
        </w:tc>
        <w:tc>
          <w:tcPr>
            <w:tcW w:w="711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提供对流式数据的发布(Publish)、订阅(Subscribe)及分发功能,让用户可以轻松构建基于流式数据的分析和应用</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68" w:type="dxa"/>
            <w:vMerge w:val="restart"/>
            <w:tcBorders>
              <w:top w:val="single" w:color="auto" w:sz="4" w:space="0"/>
              <w:left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服务特性</w:t>
            </w:r>
          </w:p>
        </w:tc>
        <w:tc>
          <w:tcPr>
            <w:tcW w:w="711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数据队列：单shard内数据保序;DataHub对Shard的读/写性能提供SLA的保障;单topic的性能以shard数为单位水平扩展</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68"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1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点位存储：支持消费应用将消费点位保存到DataHub服务,保证消费应用在Failover后可以从保存的点位进行消费。</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68"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1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数据同步：数据自动同步到政务云其它服务,支持标done功能,确认某一个时间点之前的数据已经全部同步完成</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168"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1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扩容缩容Merge/Splits：支持为Topic动态扩容/缩容，提供服务弹性伸缩功能,用户可根据实时的流量调整Shard数量,来应对突发性的流量增长或达到节约资源的目的</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168" w:type="dxa"/>
            <w:vMerge w:val="restart"/>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r>
              <w:rPr>
                <w:rFonts w:ascii="仿宋_GB2312" w:hAnsi="Calibri" w:eastAsia="仿宋_GB2312"/>
                <w:color w:val="auto"/>
                <w:sz w:val="24"/>
                <w:highlight w:val="none"/>
              </w:rPr>
              <w:t>服务能力</w:t>
            </w:r>
          </w:p>
        </w:tc>
        <w:tc>
          <w:tcPr>
            <w:tcW w:w="711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高吞吐：单主题 ( Topic ) 最高支持每</w:t>
            </w:r>
            <w:r>
              <w:rPr>
                <w:rFonts w:ascii="仿宋_GB2312"/>
                <w:color w:val="auto"/>
                <w:sz w:val="24"/>
                <w:highlight w:val="none"/>
              </w:rPr>
              <w:t>日</w:t>
            </w:r>
            <w:r>
              <w:rPr>
                <w:rFonts w:hint="eastAsia" w:ascii="仿宋_GB2312"/>
                <w:color w:val="auto"/>
                <w:sz w:val="24"/>
                <w:highlight w:val="none"/>
              </w:rPr>
              <w:t>TB级别的数据量写入;每个分片 ( Shard ) 最高支持每</w:t>
            </w:r>
            <w:r>
              <w:rPr>
                <w:rFonts w:ascii="仿宋_GB2312"/>
                <w:color w:val="auto"/>
                <w:sz w:val="24"/>
                <w:highlight w:val="none"/>
              </w:rPr>
              <w:t>日</w:t>
            </w:r>
            <w:r>
              <w:rPr>
                <w:rFonts w:hint="eastAsia" w:ascii="仿宋_GB2312"/>
                <w:color w:val="auto"/>
                <w:sz w:val="24"/>
                <w:highlight w:val="none"/>
              </w:rPr>
              <w:t>8000万Record级别的数据量写入</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68"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1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实时性：通过DataHub ,用户可以实时的收集通过各种方式生成的数据并进行实时的处理,对用户的业务产生快速的响应</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68"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1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易用性：提供丰富的SDK包,包括C++、Java、Pyhon、Ruby、Go等语言，提供Restful API规范；</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68" w:type="dxa"/>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1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高可用、高安全：服务可用性不低于99.9%，数据持久性不低于99.9%，提供多种鉴权和授权机制及白名单、主子账号功能，提供企业级多层次安全防护,多用户资源隔离机制；</w:t>
            </w:r>
          </w:p>
        </w:tc>
        <w:tc>
          <w:tcPr>
            <w:tcW w:w="100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bl>
    <w:p>
      <w:pPr>
        <w:pStyle w:val="232"/>
        <w:ind w:firstLine="0" w:firstLineChars="0"/>
        <w:outlineLvl w:val="2"/>
        <w:rPr>
          <w:rFonts w:ascii="仿宋_GB2312" w:hAnsi="Calibri" w:eastAsia="仿宋_GB2312"/>
          <w:b/>
          <w:bCs/>
          <w:color w:val="auto"/>
          <w:szCs w:val="24"/>
          <w:highlight w:val="none"/>
        </w:rPr>
      </w:pPr>
      <w:r>
        <w:rPr>
          <w:rFonts w:hint="eastAsia" w:ascii="仿宋_GB2312" w:hAnsi="Calibri" w:eastAsia="仿宋_GB2312"/>
          <w:b/>
          <w:bCs/>
          <w:color w:val="auto"/>
          <w:szCs w:val="24"/>
          <w:highlight w:val="none"/>
        </w:rPr>
        <w:t>2.9 表格存储（</w:t>
      </w:r>
      <w:r>
        <w:rPr>
          <w:rFonts w:hint="eastAsia" w:ascii="仿宋_GB2312" w:hAnsi="Calibri" w:eastAsia="仿宋_GB2312"/>
          <w:b/>
          <w:bCs/>
          <w:color w:val="auto"/>
          <w:szCs w:val="24"/>
          <w:highlight w:val="none"/>
          <w:lang w:val="en-US" w:eastAsia="zh-CN"/>
        </w:rPr>
        <w:t>Tablestore</w:t>
      </w:r>
      <w:r>
        <w:rPr>
          <w:rFonts w:hint="eastAsia" w:ascii="仿宋_GB2312" w:hAnsi="Calibri" w:eastAsia="仿宋_GB2312"/>
          <w:b/>
          <w:bCs/>
          <w:color w:val="auto"/>
          <w:szCs w:val="24"/>
          <w:highlight w:val="none"/>
        </w:rPr>
        <w:t>）</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179"/>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指标项</w:t>
            </w:r>
          </w:p>
        </w:tc>
        <w:tc>
          <w:tcPr>
            <w:tcW w:w="717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规格要求</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服务标准</w:t>
            </w:r>
          </w:p>
        </w:tc>
        <w:tc>
          <w:tcPr>
            <w:tcW w:w="717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提供以实例和表的形式组织数据,通过数据分片和负载均衡技术,达到规模的无缝扩展</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077" w:type="dxa"/>
            <w:vMerge w:val="restart"/>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r>
              <w:rPr>
                <w:rFonts w:hint="eastAsia" w:ascii="仿宋_GB2312" w:hAnsi="Calibri" w:eastAsia="仿宋_GB2312"/>
                <w:color w:val="auto"/>
                <w:sz w:val="24"/>
                <w:highlight w:val="none"/>
              </w:rPr>
              <w:t>服务特性</w:t>
            </w:r>
          </w:p>
        </w:tc>
        <w:tc>
          <w:tcPr>
            <w:tcW w:w="717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高性能：提供单个毫秒级的单行平均访问延时；</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7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7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数据可靠性：通过存储多个数据备份及备份失效时的快速恢复,提供极高的数据可靠性,数据可靠性为99.9%。</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7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7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高可用性：通过自动的故障检测和数据迁移,表格存储对应用屏蔽了机器和网络的硬件故障,提供高可用性,服务可用性为99.9%</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7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7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灵活的数据模型：表格存储的表无固定格式要求,每行的列数可以不相同,支持多种数据类型(Integer、Boolean、Double、String、Binary)</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77" w:type="dxa"/>
            <w:vMerge w:val="restart"/>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r>
              <w:rPr>
                <w:rFonts w:ascii="仿宋_GB2312" w:hAnsi="Calibri" w:eastAsia="仿宋_GB2312"/>
                <w:color w:val="auto"/>
                <w:sz w:val="24"/>
                <w:highlight w:val="none"/>
              </w:rPr>
              <w:t>服务能力</w:t>
            </w:r>
          </w:p>
        </w:tc>
        <w:tc>
          <w:tcPr>
            <w:tcW w:w="717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数据分区和负载均衡机制：数据分区系统均匀的调度到不同的存储节点上</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7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7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单机故障自动恢复：表格存储的存储引擎中,每个节点都会服务一批不同表的数据分区,这些分区的分布和调度信息由一个 Master 节点负责来管理,并且 Master 节点也会监控每个服务节点的健康状态</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7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7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同城及异地灾备：提供了同城及异地双集群主备容灾,容灾粒度为实例级别</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77" w:type="dxa"/>
            <w:vMerge w:val="restart"/>
            <w:tcBorders>
              <w:left w:val="single" w:color="auto" w:sz="4" w:space="0"/>
              <w:right w:val="single" w:color="auto" w:sz="4" w:space="0"/>
            </w:tcBorders>
            <w:vAlign w:val="center"/>
          </w:tcPr>
          <w:p>
            <w:pPr>
              <w:widowControl/>
              <w:jc w:val="center"/>
              <w:rPr>
                <w:rFonts w:ascii="仿宋_GB2312" w:hAnsi="Calibri" w:eastAsia="仿宋_GB2312"/>
                <w:color w:val="auto"/>
                <w:sz w:val="24"/>
                <w:highlight w:val="none"/>
              </w:rPr>
            </w:pPr>
            <w:r>
              <w:rPr>
                <w:rFonts w:ascii="仿宋_GB2312" w:hAnsi="Calibri" w:eastAsia="仿宋_GB2312"/>
                <w:color w:val="auto"/>
                <w:sz w:val="24"/>
                <w:highlight w:val="none"/>
              </w:rPr>
              <w:t>安全性</w:t>
            </w:r>
          </w:p>
        </w:tc>
        <w:tc>
          <w:tcPr>
            <w:tcW w:w="7179"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color w:val="auto"/>
                <w:sz w:val="24"/>
                <w:highlight w:val="none"/>
              </w:rPr>
            </w:pPr>
            <w:r>
              <w:rPr>
                <w:rFonts w:ascii="仿宋_GB2312" w:eastAsia="仿宋_GB2312"/>
                <w:color w:val="auto"/>
                <w:sz w:val="24"/>
                <w:highlight w:val="none"/>
              </w:rPr>
              <w:t>支持私有VPC网络隔离</w:t>
            </w:r>
            <w:r>
              <w:rPr>
                <w:rFonts w:hint="eastAsia" w:ascii="仿宋_GB2312" w:hAnsi="仿宋_GB2312" w:eastAsia="仿宋_GB2312" w:cs="仿宋_GB2312"/>
                <w:color w:val="auto"/>
                <w:sz w:val="24"/>
                <w:highlight w:val="none"/>
                <w:lang w:bidi="ar"/>
              </w:rPr>
              <w:t>，私有网络的实例</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7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79"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color w:val="auto"/>
                <w:sz w:val="24"/>
                <w:highlight w:val="none"/>
              </w:rPr>
            </w:pPr>
            <w:r>
              <w:rPr>
                <w:rFonts w:hint="eastAsia" w:ascii="仿宋_GB2312" w:hAnsi="仿宋_GB2312" w:eastAsia="仿宋_GB2312" w:cs="仿宋_GB2312"/>
                <w:color w:val="auto"/>
                <w:sz w:val="24"/>
                <w:highlight w:val="none"/>
                <w:lang w:bidi="ar"/>
              </w:rPr>
              <w:t>支持多租户并行执行，租户任务提交到不同的队列执行，租户间资源隔离</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7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179"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color w:val="auto"/>
                <w:sz w:val="24"/>
                <w:highlight w:val="none"/>
              </w:rPr>
            </w:pPr>
            <w:r>
              <w:rPr>
                <w:rFonts w:hint="eastAsia" w:ascii="仿宋_GB2312" w:hAnsi="仿宋_GB2312" w:eastAsia="仿宋_GB2312" w:cs="仿宋_GB2312"/>
                <w:color w:val="auto"/>
                <w:sz w:val="24"/>
                <w:highlight w:val="none"/>
                <w:lang w:bidi="ar"/>
              </w:rPr>
              <w:t>支持服务端提供黑白名单的访问控制</w:t>
            </w:r>
          </w:p>
        </w:tc>
        <w:tc>
          <w:tcPr>
            <w:tcW w:w="1031"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bl>
    <w:p>
      <w:pPr>
        <w:pStyle w:val="232"/>
        <w:ind w:firstLine="0" w:firstLineChars="0"/>
        <w:outlineLvl w:val="2"/>
        <w:rPr>
          <w:rFonts w:ascii="仿宋_GB2312" w:hAnsi="Calibri" w:eastAsia="仿宋_GB2312"/>
          <w:b/>
          <w:bCs/>
          <w:color w:val="auto"/>
          <w:szCs w:val="24"/>
          <w:highlight w:val="none"/>
        </w:rPr>
      </w:pPr>
      <w:r>
        <w:rPr>
          <w:rFonts w:hint="eastAsia" w:ascii="仿宋_GB2312" w:hAnsi="Calibri" w:eastAsia="仿宋_GB2312"/>
          <w:b/>
          <w:bCs/>
          <w:color w:val="auto"/>
          <w:szCs w:val="24"/>
          <w:highlight w:val="none"/>
        </w:rPr>
        <w:t xml:space="preserve">2.10 </w:t>
      </w:r>
      <w:r>
        <w:rPr>
          <w:rFonts w:ascii="仿宋_GB2312" w:hAnsi="Calibri" w:eastAsia="仿宋_GB2312"/>
          <w:b/>
          <w:bCs/>
          <w:color w:val="auto"/>
          <w:szCs w:val="24"/>
          <w:highlight w:val="none"/>
          <w:lang w:eastAsia="zh-Hans"/>
        </w:rPr>
        <w:t>云数据库Redis版</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09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指标项</w:t>
            </w:r>
          </w:p>
        </w:tc>
        <w:tc>
          <w:tcPr>
            <w:tcW w:w="709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规格要求</w:t>
            </w:r>
          </w:p>
        </w:tc>
        <w:tc>
          <w:tcPr>
            <w:tcW w:w="10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服务标准</w:t>
            </w:r>
          </w:p>
        </w:tc>
        <w:tc>
          <w:tcPr>
            <w:tcW w:w="709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提供兼容开源 Redis 协议的 Key-Value 类型在线存储服务，提供高速数据读写能力的同时满足数据持久化需求；</w:t>
            </w:r>
          </w:p>
        </w:tc>
        <w:tc>
          <w:tcPr>
            <w:tcW w:w="10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vMerge w:val="restart"/>
            <w:tcBorders>
              <w:top w:val="single" w:color="auto" w:sz="4" w:space="0"/>
              <w:left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服务特性</w:t>
            </w:r>
          </w:p>
        </w:tc>
        <w:tc>
          <w:tcPr>
            <w:tcW w:w="709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采用高可用技术 ：集群(Cluster)实例采用分布式架构，主节点(Master)和备节点(Slave)数据实时同步</w:t>
            </w:r>
          </w:p>
        </w:tc>
        <w:tc>
          <w:tcPr>
            <w:tcW w:w="10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9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支持一键备份和恢复：控制台可即时执行备份操作,并且可以进一步定制自动备份策略</w:t>
            </w:r>
          </w:p>
        </w:tc>
        <w:tc>
          <w:tcPr>
            <w:tcW w:w="10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9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采取多种网络安全防护措施：VPC私有网络在TCP层直接进行网络隔离保护;DDOS防护实时监测并清除大流量攻击;支持1000个以下 IP白名单配置,隔绝非法登录操作</w:t>
            </w:r>
          </w:p>
        </w:tc>
        <w:tc>
          <w:tcPr>
            <w:tcW w:w="10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9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支持弹性扩容：支持多种内存规格的产品配置,可根据业务量大小升级内存规格</w:t>
            </w:r>
          </w:p>
        </w:tc>
        <w:tc>
          <w:tcPr>
            <w:tcW w:w="10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9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提供可视化运维平台：对实例克隆、备份、数据恢复等高频高危操作进行一键式操作</w:t>
            </w:r>
          </w:p>
        </w:tc>
        <w:tc>
          <w:tcPr>
            <w:tcW w:w="10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vMerge w:val="restart"/>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r>
              <w:rPr>
                <w:rFonts w:ascii="仿宋_GB2312" w:hAnsi="Calibri" w:eastAsia="仿宋_GB2312"/>
                <w:color w:val="auto"/>
                <w:sz w:val="24"/>
                <w:highlight w:val="none"/>
              </w:rPr>
              <w:t>服务能力</w:t>
            </w:r>
          </w:p>
        </w:tc>
        <w:tc>
          <w:tcPr>
            <w:tcW w:w="709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性能卓越：支持集群功能,提供128GB及以上集群实例规格，提供32GB及以下的主-从双节点实例</w:t>
            </w:r>
          </w:p>
        </w:tc>
        <w:tc>
          <w:tcPr>
            <w:tcW w:w="10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9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数据安全：数据持久化存储、数据主从双备份、数据传输加密、支持密码认证方式</w:t>
            </w:r>
          </w:p>
        </w:tc>
        <w:tc>
          <w:tcPr>
            <w:tcW w:w="10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87" w:type="dxa"/>
            <w:vMerge w:val="continue"/>
            <w:tcBorders>
              <w:left w:val="single" w:color="auto" w:sz="4" w:space="0"/>
              <w:right w:val="single" w:color="auto" w:sz="4" w:space="0"/>
            </w:tcBorders>
            <w:vAlign w:val="center"/>
          </w:tcPr>
          <w:p>
            <w:pPr>
              <w:widowControl/>
              <w:jc w:val="left"/>
              <w:rPr>
                <w:rFonts w:ascii="仿宋_GB2312" w:hAnsi="Calibri" w:eastAsia="仿宋_GB2312"/>
                <w:color w:val="auto"/>
                <w:sz w:val="24"/>
                <w:highlight w:val="none"/>
              </w:rPr>
            </w:pPr>
          </w:p>
        </w:tc>
        <w:tc>
          <w:tcPr>
            <w:tcW w:w="709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高可用：每个实例均有主从双节点，硬件故障自动检测与恢复</w:t>
            </w:r>
          </w:p>
        </w:tc>
        <w:tc>
          <w:tcPr>
            <w:tcW w:w="10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bl>
    <w:p>
      <w:pPr>
        <w:pStyle w:val="232"/>
        <w:ind w:firstLine="0" w:firstLineChars="0"/>
        <w:outlineLvl w:val="2"/>
        <w:rPr>
          <w:rFonts w:ascii="仿宋_GB2312" w:hAnsi="Calibri" w:eastAsia="仿宋_GB2312"/>
          <w:b/>
          <w:bCs/>
          <w:color w:val="auto"/>
          <w:szCs w:val="24"/>
          <w:highlight w:val="none"/>
        </w:rPr>
      </w:pPr>
      <w:r>
        <w:rPr>
          <w:rFonts w:hint="eastAsia" w:ascii="仿宋_GB2312" w:hAnsi="Calibri" w:eastAsia="仿宋_GB2312"/>
          <w:b/>
          <w:bCs/>
          <w:color w:val="auto"/>
          <w:szCs w:val="24"/>
          <w:highlight w:val="none"/>
        </w:rPr>
        <w:t>2.1</w:t>
      </w:r>
      <w:r>
        <w:rPr>
          <w:rFonts w:ascii="仿宋_GB2312" w:hAnsi="Calibri" w:eastAsia="仿宋_GB2312"/>
          <w:b/>
          <w:bCs/>
          <w:color w:val="auto"/>
          <w:szCs w:val="24"/>
          <w:highlight w:val="none"/>
        </w:rPr>
        <w:t>1</w:t>
      </w:r>
      <w:r>
        <w:rPr>
          <w:rFonts w:hint="eastAsia" w:ascii="仿宋_GB2312" w:hAnsi="Calibri" w:eastAsia="仿宋_GB2312"/>
          <w:b/>
          <w:bCs/>
          <w:color w:val="auto"/>
          <w:szCs w:val="24"/>
          <w:highlight w:val="none"/>
        </w:rPr>
        <w:t xml:space="preserve"> 大数据开发套件Dataworks</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0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指标项</w:t>
            </w:r>
          </w:p>
        </w:tc>
        <w:tc>
          <w:tcPr>
            <w:tcW w:w="71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hAnsi="仿宋_GB2312" w:cs="仿宋_GB2312"/>
                <w:color w:val="auto"/>
                <w:sz w:val="24"/>
                <w:highlight w:val="none"/>
              </w:rPr>
            </w:pPr>
            <w:r>
              <w:rPr>
                <w:rFonts w:hint="eastAsia" w:ascii="仿宋_GB2312" w:hAnsi="仿宋_GB2312" w:cs="仿宋_GB2312"/>
                <w:color w:val="auto"/>
                <w:sz w:val="24"/>
                <w:highlight w:val="none"/>
              </w:rPr>
              <w:t>规格要求</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服务标准</w:t>
            </w:r>
          </w:p>
        </w:tc>
        <w:tc>
          <w:tcPr>
            <w:tcW w:w="7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Hans"/>
              </w:rPr>
              <w:t>提</w:t>
            </w:r>
            <w:r>
              <w:rPr>
                <w:rFonts w:hint="eastAsia" w:ascii="仿宋_GB2312" w:hAnsi="仿宋_GB2312" w:eastAsia="仿宋_GB2312" w:cs="仿宋_GB2312"/>
                <w:color w:val="auto"/>
                <w:sz w:val="24"/>
                <w:szCs w:val="24"/>
                <w:highlight w:val="none"/>
                <w:u w:val="single"/>
                <w:lang w:eastAsia="zh-Hans"/>
              </w:rPr>
              <w:t>供</w:t>
            </w:r>
            <w:r>
              <w:rPr>
                <w:rFonts w:hint="eastAsia" w:ascii="仿宋_GB2312" w:hAnsi="仿宋_GB2312" w:eastAsia="仿宋_GB2312" w:cs="仿宋_GB2312"/>
                <w:color w:val="auto"/>
                <w:sz w:val="24"/>
                <w:szCs w:val="24"/>
                <w:highlight w:val="none"/>
              </w:rPr>
              <w:t>数据集成、开发、治理、服务、质量、安全等全套数据研发</w:t>
            </w:r>
            <w:r>
              <w:rPr>
                <w:rFonts w:hint="eastAsia" w:ascii="仿宋_GB2312" w:hAnsi="仿宋_GB2312" w:eastAsia="仿宋_GB2312" w:cs="仿宋_GB2312"/>
                <w:color w:val="auto"/>
                <w:sz w:val="24"/>
                <w:szCs w:val="24"/>
                <w:highlight w:val="none"/>
                <w:lang w:eastAsia="zh-Hans"/>
              </w:rPr>
              <w:t>工</w:t>
            </w:r>
            <w:r>
              <w:rPr>
                <w:rFonts w:hint="eastAsia" w:ascii="仿宋_GB2312" w:hAnsi="仿宋_GB2312" w:eastAsia="仿宋_GB2312" w:cs="仿宋_GB2312"/>
                <w:color w:val="auto"/>
                <w:sz w:val="24"/>
                <w:szCs w:val="24"/>
                <w:highlight w:val="none"/>
              </w:rPr>
              <w:t>作。</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88" w:type="dxa"/>
            <w:vMerge w:val="restart"/>
            <w:tcBorders>
              <w:top w:val="single" w:color="auto" w:sz="4" w:space="0"/>
              <w:left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服务特性</w:t>
            </w:r>
          </w:p>
        </w:tc>
        <w:tc>
          <w:tcPr>
            <w:tcW w:w="71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万亿级数据JOIN，百万级并发Job，作业I/O可达PB级/天</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88"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离线调度</w:t>
            </w:r>
            <w:r>
              <w:rPr>
                <w:rFonts w:hint="eastAsia" w:ascii="仿宋_GB2312" w:hAnsi="仿宋_GB2312" w:cs="仿宋_GB2312"/>
                <w:color w:val="auto"/>
                <w:sz w:val="24"/>
                <w:highlight w:val="none"/>
                <w:lang w:eastAsia="zh-Hans"/>
              </w:rPr>
              <w:t>支</w:t>
            </w:r>
            <w:r>
              <w:rPr>
                <w:rFonts w:hint="eastAsia" w:ascii="仿宋_GB2312" w:hAnsi="仿宋_GB2312" w:cs="仿宋_GB2312"/>
                <w:color w:val="auto"/>
                <w:sz w:val="24"/>
                <w:highlight w:val="none"/>
              </w:rPr>
              <w:t>持百万级任务量，实时监控告警</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88"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提供功能强</w:t>
            </w:r>
            <w:r>
              <w:rPr>
                <w:rFonts w:hint="eastAsia" w:ascii="仿宋_GB2312" w:hAnsi="仿宋_GB2312" w:cs="仿宋_GB2312"/>
                <w:color w:val="auto"/>
                <w:sz w:val="24"/>
                <w:highlight w:val="none"/>
                <w:lang w:eastAsia="zh-Hans"/>
              </w:rPr>
              <w:t>大</w:t>
            </w:r>
            <w:r>
              <w:rPr>
                <w:rFonts w:hint="eastAsia" w:ascii="仿宋_GB2312" w:hAnsi="仿宋_GB2312" w:cs="仿宋_GB2312"/>
                <w:color w:val="auto"/>
                <w:sz w:val="24"/>
                <w:highlight w:val="none"/>
              </w:rPr>
              <w:t>易</w:t>
            </w:r>
            <w:r>
              <w:rPr>
                <w:rFonts w:hint="eastAsia" w:ascii="仿宋_GB2312" w:hAnsi="仿宋_GB2312" w:cs="仿宋_GB2312"/>
                <w:color w:val="auto"/>
                <w:sz w:val="24"/>
                <w:highlight w:val="none"/>
                <w:lang w:eastAsia="zh-Hans"/>
              </w:rPr>
              <w:t>用</w:t>
            </w:r>
            <w:r>
              <w:rPr>
                <w:rFonts w:hint="eastAsia" w:ascii="仿宋_GB2312" w:hAnsi="仿宋_GB2312" w:cs="仿宋_GB2312"/>
                <w:color w:val="auto"/>
                <w:sz w:val="24"/>
                <w:highlight w:val="none"/>
              </w:rPr>
              <w:t>的SQL、MR引擎，兼容</w:t>
            </w:r>
            <w:r>
              <w:rPr>
                <w:rFonts w:hint="eastAsia" w:ascii="仿宋_GB2312" w:hAnsi="仿宋_GB2312" w:cs="仿宋_GB2312"/>
                <w:color w:val="auto"/>
                <w:sz w:val="24"/>
                <w:highlight w:val="none"/>
                <w:lang w:eastAsia="zh-Hans"/>
              </w:rPr>
              <w:t>大</w:t>
            </w:r>
            <w:r>
              <w:rPr>
                <w:rFonts w:hint="eastAsia" w:ascii="仿宋_GB2312" w:hAnsi="仿宋_GB2312" w:cs="仿宋_GB2312"/>
                <w:color w:val="auto"/>
                <w:sz w:val="24"/>
                <w:highlight w:val="none"/>
              </w:rPr>
              <w:t>部分标准SQL语法</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三重备份、读写请求鉴权、</w:t>
            </w:r>
            <w:r>
              <w:rPr>
                <w:rFonts w:hint="eastAsia" w:ascii="仿宋_GB2312" w:hAnsi="仿宋_GB2312" w:eastAsia="仿宋_GB2312" w:cs="仿宋_GB2312"/>
                <w:color w:val="auto"/>
                <w:sz w:val="24"/>
                <w:szCs w:val="24"/>
                <w:highlight w:val="none"/>
                <w:lang w:eastAsia="zh-Hans"/>
              </w:rPr>
              <w:t>应用</w:t>
            </w:r>
            <w:r>
              <w:rPr>
                <w:rFonts w:hint="eastAsia" w:ascii="仿宋_GB2312" w:hAnsi="仿宋_GB2312" w:eastAsia="仿宋_GB2312" w:cs="仿宋_GB2312"/>
                <w:color w:val="auto"/>
                <w:sz w:val="24"/>
                <w:szCs w:val="24"/>
                <w:highlight w:val="none"/>
              </w:rPr>
              <w:t>沙箱、系统沙箱等多层次数据存储和访问安全机制保护您的数据，确保不丢失、不泄露、不被窃取</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提供数据从集成、加</w:t>
            </w:r>
            <w:r>
              <w:rPr>
                <w:rFonts w:hint="eastAsia" w:ascii="仿宋_GB2312" w:hAnsi="仿宋_GB2312" w:cs="仿宋_GB2312"/>
                <w:color w:val="auto"/>
                <w:sz w:val="24"/>
                <w:highlight w:val="none"/>
                <w:lang w:eastAsia="zh-Hans"/>
              </w:rPr>
              <w:t>工</w:t>
            </w:r>
            <w:r>
              <w:rPr>
                <w:rFonts w:hint="eastAsia" w:ascii="仿宋_GB2312" w:hAnsi="仿宋_GB2312" w:cs="仿宋_GB2312"/>
                <w:color w:val="auto"/>
                <w:sz w:val="24"/>
                <w:highlight w:val="none"/>
              </w:rPr>
              <w:t>、管理、监控、输出服务的全流程所有功能,</w:t>
            </w:r>
            <w:r>
              <w:rPr>
                <w:rFonts w:hint="eastAsia" w:ascii="仿宋_GB2312" w:hAnsi="仿宋_GB2312" w:cs="仿宋_GB2312"/>
                <w:b/>
                <w:bCs/>
                <w:color w:val="auto"/>
                <w:kern w:val="0"/>
                <w:sz w:val="24"/>
                <w:highlight w:val="none"/>
              </w:rPr>
              <w:t xml:space="preserve"> </w:t>
            </w:r>
            <w:r>
              <w:rPr>
                <w:rFonts w:hint="eastAsia" w:ascii="仿宋_GB2312" w:hAnsi="仿宋_GB2312" w:cs="仿宋_GB2312"/>
                <w:color w:val="auto"/>
                <w:sz w:val="24"/>
                <w:highlight w:val="none"/>
              </w:rPr>
              <w:t>提供可视化</w:t>
            </w:r>
            <w:r>
              <w:rPr>
                <w:rFonts w:hint="eastAsia" w:ascii="仿宋_GB2312" w:hAnsi="仿宋_GB2312" w:cs="仿宋_GB2312"/>
                <w:color w:val="auto"/>
                <w:sz w:val="24"/>
                <w:highlight w:val="none"/>
                <w:lang w:eastAsia="zh-Hans"/>
              </w:rPr>
              <w:t>工</w:t>
            </w:r>
            <w:r>
              <w:rPr>
                <w:rFonts w:hint="eastAsia" w:ascii="仿宋_GB2312" w:hAnsi="仿宋_GB2312" w:cs="仿宋_GB2312"/>
                <w:color w:val="auto"/>
                <w:sz w:val="24"/>
                <w:highlight w:val="none"/>
              </w:rPr>
              <w:t>作流程设计器功能</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vMerge w:val="restart"/>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服务能力</w:t>
            </w:r>
          </w:p>
        </w:tc>
        <w:tc>
          <w:tcPr>
            <w:tcW w:w="71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DataWorks</w:t>
            </w:r>
            <w:r>
              <w:rPr>
                <w:rFonts w:hint="default" w:ascii="仿宋_GB2312" w:hAnsi="仿宋_GB2312" w:cs="仿宋_GB2312"/>
                <w:color w:val="auto"/>
                <w:sz w:val="24"/>
                <w:highlight w:val="none"/>
                <w:lang w:val="en"/>
              </w:rPr>
              <w:t>支</w:t>
            </w:r>
            <w:r>
              <w:rPr>
                <w:rFonts w:hint="eastAsia" w:ascii="仿宋_GB2312" w:hAnsi="仿宋_GB2312" w:cs="仿宋_GB2312"/>
                <w:color w:val="auto"/>
                <w:sz w:val="24"/>
                <w:highlight w:val="none"/>
              </w:rPr>
              <w:t>持400对异构数据源的离线同步，</w:t>
            </w:r>
            <w:r>
              <w:rPr>
                <w:rFonts w:hint="eastAsia" w:ascii="仿宋_GB2312" w:hAnsi="仿宋_GB2312" w:cs="仿宋_GB2312"/>
                <w:color w:val="auto"/>
                <w:sz w:val="24"/>
                <w:highlight w:val="none"/>
                <w:lang w:eastAsia="zh-Hans"/>
              </w:rPr>
              <w:t>支</w:t>
            </w:r>
            <w:r>
              <w:rPr>
                <w:rFonts w:hint="eastAsia" w:ascii="仿宋_GB2312" w:hAnsi="仿宋_GB2312" w:cs="仿宋_GB2312"/>
                <w:color w:val="auto"/>
                <w:sz w:val="24"/>
                <w:highlight w:val="none"/>
              </w:rPr>
              <w:t>持分钟、小时、天、周和</w:t>
            </w:r>
            <w:r>
              <w:rPr>
                <w:rFonts w:hint="eastAsia" w:ascii="仿宋_GB2312" w:hAnsi="仿宋_GB2312" w:cs="仿宋_GB2312"/>
                <w:color w:val="auto"/>
                <w:sz w:val="24"/>
                <w:highlight w:val="none"/>
                <w:lang w:eastAsia="zh-Hans"/>
              </w:rPr>
              <w:t>月</w:t>
            </w:r>
            <w:r>
              <w:rPr>
                <w:rFonts w:hint="eastAsia" w:ascii="仿宋_GB2312" w:hAnsi="仿宋_GB2312" w:cs="仿宋_GB2312"/>
                <w:color w:val="auto"/>
                <w:sz w:val="24"/>
                <w:highlight w:val="none"/>
              </w:rPr>
              <w:t>多种调度周期配置</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多租</w:t>
            </w:r>
            <w:r>
              <w:rPr>
                <w:rFonts w:hint="eastAsia" w:ascii="仿宋_GB2312" w:hAnsi="仿宋_GB2312" w:eastAsia="仿宋_GB2312" w:cs="仿宋_GB2312"/>
                <w:color w:val="auto"/>
                <w:sz w:val="24"/>
                <w:szCs w:val="24"/>
                <w:highlight w:val="none"/>
                <w:lang w:eastAsia="zh-Hans"/>
              </w:rPr>
              <w:t>户</w:t>
            </w:r>
            <w:r>
              <w:rPr>
                <w:rFonts w:hint="eastAsia" w:ascii="仿宋_GB2312" w:hAnsi="仿宋_GB2312" w:eastAsia="仿宋_GB2312" w:cs="仿宋_GB2312"/>
                <w:color w:val="auto"/>
                <w:sz w:val="24"/>
                <w:szCs w:val="24"/>
                <w:highlight w:val="none"/>
              </w:rPr>
              <w:t>模型确保您的数据被安全隔离，以租</w:t>
            </w:r>
            <w:r>
              <w:rPr>
                <w:rFonts w:hint="eastAsia" w:ascii="仿宋_GB2312" w:hAnsi="仿宋_GB2312" w:eastAsia="仿宋_GB2312" w:cs="仿宋_GB2312"/>
                <w:color w:val="auto"/>
                <w:sz w:val="24"/>
                <w:szCs w:val="24"/>
                <w:highlight w:val="none"/>
                <w:lang w:eastAsia="zh-Hans"/>
              </w:rPr>
              <w:t>户</w:t>
            </w:r>
            <w:r>
              <w:rPr>
                <w:rFonts w:hint="eastAsia" w:ascii="仿宋_GB2312" w:hAnsi="仿宋_GB2312" w:eastAsia="仿宋_GB2312" w:cs="仿宋_GB2312"/>
                <w:color w:val="auto"/>
                <w:sz w:val="24"/>
                <w:szCs w:val="24"/>
                <w:highlight w:val="none"/>
              </w:rPr>
              <w:t>为单位进</w:t>
            </w:r>
            <w:r>
              <w:rPr>
                <w:rFonts w:hint="eastAsia" w:ascii="仿宋_GB2312" w:hAnsi="仿宋_GB2312" w:eastAsia="仿宋_GB2312" w:cs="仿宋_GB2312"/>
                <w:color w:val="auto"/>
                <w:sz w:val="24"/>
                <w:szCs w:val="24"/>
                <w:highlight w:val="none"/>
                <w:lang w:eastAsia="zh-Hans"/>
              </w:rPr>
              <w:t>行</w:t>
            </w:r>
            <w:r>
              <w:rPr>
                <w:rFonts w:hint="eastAsia" w:ascii="仿宋_GB2312" w:hAnsi="仿宋_GB2312" w:eastAsia="仿宋_GB2312" w:cs="仿宋_GB2312"/>
                <w:color w:val="auto"/>
                <w:sz w:val="24"/>
                <w:szCs w:val="24"/>
                <w:highlight w:val="none"/>
              </w:rPr>
              <w:t>统</w:t>
            </w:r>
            <w:r>
              <w:rPr>
                <w:rFonts w:hint="default" w:ascii="仿宋_GB2312" w:hAnsi="仿宋_GB2312" w:eastAsia="仿宋_GB2312" w:cs="仿宋_GB2312"/>
                <w:color w:val="auto"/>
                <w:sz w:val="24"/>
                <w:szCs w:val="24"/>
                <w:highlight w:val="none"/>
                <w:lang w:val="en"/>
              </w:rPr>
              <w:t>一</w:t>
            </w:r>
            <w:r>
              <w:rPr>
                <w:rFonts w:hint="eastAsia" w:ascii="仿宋_GB2312" w:hAnsi="仿宋_GB2312" w:eastAsia="仿宋_GB2312" w:cs="仿宋_GB2312"/>
                <w:color w:val="auto"/>
                <w:sz w:val="24"/>
                <w:szCs w:val="24"/>
                <w:highlight w:val="none"/>
              </w:rPr>
              <w:t>的权限管控、数据管理、调度资源管理和成员管理</w:t>
            </w:r>
            <w:r>
              <w:rPr>
                <w:rFonts w:hint="eastAsia" w:ascii="仿宋_GB2312" w:hAnsi="仿宋_GB2312" w:eastAsia="仿宋_GB2312" w:cs="仿宋_GB2312"/>
                <w:color w:val="auto"/>
                <w:sz w:val="24"/>
                <w:szCs w:val="24"/>
                <w:highlight w:val="none"/>
                <w:lang w:eastAsia="zh-Hans"/>
              </w:rPr>
              <w:t>工</w:t>
            </w:r>
            <w:r>
              <w:rPr>
                <w:rFonts w:hint="eastAsia" w:ascii="仿宋_GB2312" w:hAnsi="仿宋_GB2312" w:eastAsia="仿宋_GB2312" w:cs="仿宋_GB2312"/>
                <w:color w:val="auto"/>
                <w:sz w:val="24"/>
                <w:szCs w:val="24"/>
                <w:highlight w:val="none"/>
              </w:rPr>
              <w:t>作</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88"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0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lang w:eastAsia="zh-Hans"/>
              </w:rPr>
              <w:t>支</w:t>
            </w:r>
            <w:r>
              <w:rPr>
                <w:rFonts w:hint="eastAsia" w:ascii="仿宋_GB2312" w:hAnsi="仿宋_GB2312" w:cs="仿宋_GB2312"/>
                <w:color w:val="auto"/>
                <w:sz w:val="24"/>
                <w:highlight w:val="none"/>
              </w:rPr>
              <w:t>持多种异构数据源、离线数据、实时数据的质量校验、通知、管理</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bl>
    <w:p>
      <w:pPr>
        <w:pStyle w:val="232"/>
        <w:ind w:firstLine="0" w:firstLineChars="0"/>
        <w:outlineLvl w:val="2"/>
        <w:rPr>
          <w:rFonts w:ascii="仿宋_GB2312" w:hAnsi="Calibri" w:eastAsia="仿宋_GB2312"/>
          <w:b/>
          <w:bCs/>
          <w:color w:val="auto"/>
          <w:szCs w:val="24"/>
          <w:highlight w:val="none"/>
        </w:rPr>
      </w:pPr>
      <w:r>
        <w:rPr>
          <w:rFonts w:hint="eastAsia" w:ascii="仿宋_GB2312" w:hAnsi="Calibri" w:eastAsia="仿宋_GB2312"/>
          <w:b/>
          <w:bCs/>
          <w:color w:val="auto"/>
          <w:szCs w:val="24"/>
          <w:highlight w:val="none"/>
        </w:rPr>
        <w:t>2.1</w:t>
      </w:r>
      <w:r>
        <w:rPr>
          <w:rFonts w:ascii="仿宋_GB2312" w:hAnsi="Calibri" w:eastAsia="仿宋_GB2312"/>
          <w:b/>
          <w:bCs/>
          <w:color w:val="auto"/>
          <w:szCs w:val="24"/>
          <w:highlight w:val="none"/>
        </w:rPr>
        <w:t>2</w:t>
      </w:r>
      <w:r>
        <w:rPr>
          <w:rFonts w:hint="eastAsia" w:ascii="仿宋_GB2312" w:hAnsi="Calibri" w:eastAsia="仿宋_GB2312"/>
          <w:b/>
          <w:bCs/>
          <w:color w:val="auto"/>
          <w:szCs w:val="24"/>
          <w:highlight w:val="none"/>
        </w:rPr>
        <w:t xml:space="preserve"> 数据传输服务D</w:t>
      </w:r>
      <w:r>
        <w:rPr>
          <w:rFonts w:ascii="仿宋_GB2312" w:hAnsi="Calibri" w:eastAsia="仿宋_GB2312"/>
          <w:b/>
          <w:bCs/>
          <w:color w:val="auto"/>
          <w:szCs w:val="24"/>
          <w:highlight w:val="none"/>
        </w:rPr>
        <w:t>TS</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10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指标项</w:t>
            </w:r>
          </w:p>
        </w:tc>
        <w:tc>
          <w:tcPr>
            <w:tcW w:w="710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hAnsi="仿宋_GB2312" w:cs="仿宋_GB2312"/>
                <w:color w:val="auto"/>
                <w:sz w:val="24"/>
                <w:highlight w:val="none"/>
              </w:rPr>
            </w:pPr>
            <w:r>
              <w:rPr>
                <w:rFonts w:hint="eastAsia" w:ascii="仿宋_GB2312" w:hAnsi="仿宋_GB2312" w:cs="仿宋_GB2312"/>
                <w:color w:val="auto"/>
                <w:sz w:val="24"/>
                <w:highlight w:val="none"/>
              </w:rPr>
              <w:t>规格要求</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服务标准</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DTS提供了数据迁移、数据实时订阅及数据实时同步等多种数据传输能</w:t>
            </w:r>
            <w:r>
              <w:rPr>
                <w:rFonts w:hint="eastAsia" w:ascii="仿宋_GB2312" w:hAnsi="仿宋_GB2312" w:eastAsia="仿宋_GB2312" w:cs="仿宋_GB2312"/>
                <w:color w:val="auto"/>
                <w:sz w:val="24"/>
                <w:szCs w:val="24"/>
                <w:highlight w:val="none"/>
                <w:lang w:eastAsia="zh-Hans"/>
              </w:rPr>
              <w:t>力</w:t>
            </w:r>
            <w:r>
              <w:rPr>
                <w:rFonts w:hint="eastAsia" w:ascii="仿宋_GB2312" w:hAnsi="仿宋_GB2312" w:eastAsia="仿宋_GB2312" w:cs="仿宋_GB2312"/>
                <w:color w:val="auto"/>
                <w:sz w:val="24"/>
                <w:szCs w:val="24"/>
                <w:highlight w:val="none"/>
              </w:rPr>
              <w:t>。通过DTS可实现不停服数据迁移、数据异地灾备、跨境数据同步、缓存更新等多种业务应</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场景，助您构建安全、可扩展、</w:t>
            </w:r>
            <w:r>
              <w:rPr>
                <w:rFonts w:hint="eastAsia" w:ascii="仿宋_GB2312" w:hAnsi="仿宋_GB2312" w:eastAsia="仿宋_GB2312" w:cs="仿宋_GB2312"/>
                <w:color w:val="auto"/>
                <w:sz w:val="24"/>
                <w:szCs w:val="24"/>
                <w:highlight w:val="none"/>
                <w:lang w:eastAsia="zh-Hans"/>
              </w:rPr>
              <w:t>高</w:t>
            </w:r>
            <w:r>
              <w:rPr>
                <w:rFonts w:hint="eastAsia" w:ascii="仿宋_GB2312" w:hAnsi="仿宋_GB2312" w:eastAsia="仿宋_GB2312" w:cs="仿宋_GB2312"/>
                <w:color w:val="auto"/>
                <w:sz w:val="24"/>
                <w:szCs w:val="24"/>
                <w:highlight w:val="none"/>
              </w:rPr>
              <w:t>可</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的数据架构。</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vMerge w:val="restart"/>
            <w:tcBorders>
              <w:top w:val="single" w:color="auto" w:sz="4" w:space="0"/>
              <w:left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服务特性</w:t>
            </w:r>
          </w:p>
        </w:tc>
        <w:tc>
          <w:tcPr>
            <w:tcW w:w="710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数据迁移</w:t>
            </w:r>
            <w:r>
              <w:rPr>
                <w:rFonts w:hint="eastAsia" w:ascii="仿宋_GB2312" w:hAnsi="仿宋_GB2312" w:cs="仿宋_GB2312"/>
                <w:color w:val="auto"/>
                <w:sz w:val="24"/>
                <w:highlight w:val="none"/>
                <w:lang w:eastAsia="zh-Hans"/>
              </w:rPr>
              <w:t>支</w:t>
            </w:r>
            <w:r>
              <w:rPr>
                <w:rFonts w:hint="eastAsia" w:ascii="仿宋_GB2312" w:hAnsi="仿宋_GB2312" w:cs="仿宋_GB2312"/>
                <w:color w:val="auto"/>
                <w:sz w:val="24"/>
                <w:highlight w:val="none"/>
              </w:rPr>
              <w:t>持多种数据源之间的数据迁移</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数据迁移</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持的源实例类型包括：</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RDS实例</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Oracle数据库</w:t>
            </w:r>
          </w:p>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 本地</w:t>
            </w:r>
            <w:r>
              <w:rPr>
                <w:rFonts w:ascii="仿宋_GB2312" w:hAnsi="仿宋_GB2312" w:cs="仿宋_GB2312"/>
                <w:color w:val="auto"/>
                <w:sz w:val="24"/>
                <w:highlight w:val="none"/>
              </w:rPr>
              <w:t>自</w:t>
            </w:r>
            <w:r>
              <w:rPr>
                <w:rFonts w:hint="eastAsia" w:ascii="仿宋_GB2312" w:hAnsi="仿宋_GB2312" w:cs="仿宋_GB2312"/>
                <w:color w:val="auto"/>
                <w:sz w:val="24"/>
                <w:highlight w:val="none"/>
              </w:rPr>
              <w:t>建数据库</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数据迁移</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持的</w:t>
            </w:r>
            <w:r>
              <w:rPr>
                <w:rFonts w:hint="eastAsia" w:ascii="仿宋_GB2312" w:hAnsi="仿宋_GB2312" w:eastAsia="仿宋_GB2312" w:cs="仿宋_GB2312"/>
                <w:color w:val="auto"/>
                <w:sz w:val="24"/>
                <w:szCs w:val="24"/>
                <w:highlight w:val="none"/>
                <w:lang w:eastAsia="zh-Hans"/>
              </w:rPr>
              <w:t>目</w:t>
            </w:r>
            <w:r>
              <w:rPr>
                <w:rFonts w:hint="eastAsia" w:ascii="仿宋_GB2312" w:hAnsi="仿宋_GB2312" w:eastAsia="仿宋_GB2312" w:cs="仿宋_GB2312"/>
                <w:color w:val="auto"/>
                <w:sz w:val="24"/>
                <w:szCs w:val="24"/>
                <w:highlight w:val="none"/>
              </w:rPr>
              <w:t>标实例包括：</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RDS实例</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DRDS实例</w:t>
            </w:r>
          </w:p>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 HybridDB for MySQL实例</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数据实时同步功能旨在帮助</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实现两个数据源之间的数据实时同步</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数据同步</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持的源实例类型包括：</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MySQL实例</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DRDS实例</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数据同步</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持的</w:t>
            </w:r>
            <w:r>
              <w:rPr>
                <w:rFonts w:hint="eastAsia" w:ascii="仿宋_GB2312" w:hAnsi="仿宋_GB2312" w:eastAsia="仿宋_GB2312" w:cs="仿宋_GB2312"/>
                <w:color w:val="auto"/>
                <w:sz w:val="24"/>
                <w:szCs w:val="24"/>
                <w:highlight w:val="none"/>
                <w:lang w:eastAsia="zh-Hans"/>
              </w:rPr>
              <w:t>目</w:t>
            </w:r>
            <w:r>
              <w:rPr>
                <w:rFonts w:hint="eastAsia" w:ascii="仿宋_GB2312" w:hAnsi="仿宋_GB2312" w:eastAsia="仿宋_GB2312" w:cs="仿宋_GB2312"/>
                <w:color w:val="auto"/>
                <w:sz w:val="24"/>
                <w:szCs w:val="24"/>
                <w:highlight w:val="none"/>
              </w:rPr>
              <w:t>标实例包括：</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MySQL实例</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MaxCompute实例</w:t>
            </w:r>
          </w:p>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 AnalyticDB实例</w:t>
            </w:r>
          </w:p>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 Datahub实例</w:t>
            </w:r>
          </w:p>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 DRDS实例</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8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实时数据订阅功能旨在帮助</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获取RDS/DRDS的实时增量数据，</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能够根据</w:t>
            </w:r>
            <w:r>
              <w:rPr>
                <w:rFonts w:hint="eastAsia" w:ascii="仿宋_GB2312" w:hAnsi="仿宋_GB2312" w:eastAsia="仿宋_GB2312" w:cs="仿宋_GB2312"/>
                <w:color w:val="auto"/>
                <w:sz w:val="24"/>
                <w:szCs w:val="24"/>
                <w:highlight w:val="none"/>
                <w:lang w:eastAsia="zh-Hans"/>
              </w:rPr>
              <w:t>自身</w:t>
            </w:r>
            <w:r>
              <w:rPr>
                <w:rFonts w:hint="eastAsia" w:ascii="仿宋_GB2312" w:hAnsi="仿宋_GB2312" w:eastAsia="仿宋_GB2312" w:cs="仿宋_GB2312"/>
                <w:color w:val="auto"/>
                <w:sz w:val="24"/>
                <w:szCs w:val="24"/>
                <w:highlight w:val="none"/>
              </w:rPr>
              <w:t>业务需求</w:t>
            </w:r>
            <w:r>
              <w:rPr>
                <w:rFonts w:hint="eastAsia" w:ascii="仿宋_GB2312" w:hAnsi="仿宋_GB2312" w:eastAsia="仿宋_GB2312" w:cs="仿宋_GB2312"/>
                <w:color w:val="auto"/>
                <w:sz w:val="24"/>
                <w:szCs w:val="24"/>
                <w:highlight w:val="none"/>
                <w:lang w:eastAsia="zh-Hans"/>
              </w:rPr>
              <w:t>自</w:t>
            </w:r>
            <w:r>
              <w:rPr>
                <w:rFonts w:hint="eastAsia" w:ascii="仿宋_GB2312" w:hAnsi="仿宋_GB2312" w:eastAsia="仿宋_GB2312" w:cs="仿宋_GB2312"/>
                <w:color w:val="auto"/>
                <w:sz w:val="24"/>
                <w:szCs w:val="24"/>
                <w:highlight w:val="none"/>
              </w:rPr>
              <w:t>由消费增量数据，例如实现缓存更新、业务异步解耦、异构数据源数据实时同步及含复杂ETL的数据实时同步等多种业务场景。</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实时数据订阅</w:t>
            </w:r>
            <w:r>
              <w:rPr>
                <w:rFonts w:hint="default" w:ascii="仿宋_GB2312" w:hAnsi="仿宋_GB2312" w:eastAsia="仿宋_GB2312" w:cs="仿宋_GB2312"/>
                <w:color w:val="auto"/>
                <w:sz w:val="24"/>
                <w:szCs w:val="24"/>
                <w:highlight w:val="none"/>
                <w:lang w:val="en"/>
              </w:rPr>
              <w:t>支</w:t>
            </w:r>
            <w:r>
              <w:rPr>
                <w:rFonts w:hint="eastAsia" w:ascii="仿宋_GB2312" w:hAnsi="仿宋_GB2312" w:eastAsia="仿宋_GB2312" w:cs="仿宋_GB2312"/>
                <w:color w:val="auto"/>
                <w:sz w:val="24"/>
                <w:szCs w:val="24"/>
                <w:highlight w:val="none"/>
              </w:rPr>
              <w:t>持的数据源类型包括：</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RDS For MySQL</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DRDS</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vMerge w:val="restart"/>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服务能力</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数据迁移</w:t>
            </w:r>
            <w:r>
              <w:rPr>
                <w:rFonts w:hint="default" w:ascii="仿宋_GB2312" w:hAnsi="仿宋_GB2312" w:eastAsia="仿宋_GB2312" w:cs="仿宋_GB2312"/>
                <w:color w:val="auto"/>
                <w:sz w:val="24"/>
                <w:szCs w:val="24"/>
                <w:highlight w:val="none"/>
                <w:lang w:val="en"/>
              </w:rPr>
              <w:t>支</w:t>
            </w:r>
            <w:r>
              <w:rPr>
                <w:rFonts w:hint="eastAsia" w:ascii="仿宋_GB2312" w:hAnsi="仿宋_GB2312" w:eastAsia="仿宋_GB2312" w:cs="仿宋_GB2312"/>
                <w:color w:val="auto"/>
                <w:sz w:val="24"/>
                <w:szCs w:val="24"/>
                <w:highlight w:val="none"/>
              </w:rPr>
              <w:t>持多种迁移步骤：结构迁移、全量数据迁移及增量数据迁移。</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结构迁移：将源实例中的结构对象定义</w:t>
            </w:r>
            <w:r>
              <w:rPr>
                <w:rFonts w:hint="default" w:ascii="仿宋_GB2312" w:hAnsi="仿宋_GB2312" w:eastAsia="仿宋_GB2312" w:cs="仿宋_GB2312"/>
                <w:color w:val="auto"/>
                <w:sz w:val="24"/>
                <w:szCs w:val="24"/>
                <w:highlight w:val="none"/>
                <w:lang w:val="en"/>
              </w:rPr>
              <w:t>一</w:t>
            </w:r>
            <w:r>
              <w:rPr>
                <w:rFonts w:hint="eastAsia" w:ascii="仿宋_GB2312" w:hAnsi="仿宋_GB2312" w:eastAsia="仿宋_GB2312" w:cs="仿宋_GB2312"/>
                <w:color w:val="auto"/>
                <w:sz w:val="24"/>
                <w:szCs w:val="24"/>
                <w:highlight w:val="none"/>
              </w:rPr>
              <w:t>键迁移</w:t>
            </w:r>
            <w:r>
              <w:rPr>
                <w:rFonts w:hint="eastAsia" w:ascii="仿宋_GB2312" w:hAnsi="仿宋_GB2312" w:eastAsia="仿宋_GB2312" w:cs="仿宋_GB2312"/>
                <w:color w:val="auto"/>
                <w:sz w:val="24"/>
                <w:szCs w:val="24"/>
                <w:highlight w:val="none"/>
                <w:lang w:eastAsia="zh-Hans"/>
              </w:rPr>
              <w:t>至目</w:t>
            </w:r>
            <w:r>
              <w:rPr>
                <w:rFonts w:hint="eastAsia" w:ascii="仿宋_GB2312" w:hAnsi="仿宋_GB2312" w:eastAsia="仿宋_GB2312" w:cs="仿宋_GB2312"/>
                <w:color w:val="auto"/>
                <w:sz w:val="24"/>
                <w:szCs w:val="24"/>
                <w:highlight w:val="none"/>
              </w:rPr>
              <w:t>标实例。</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全量数据迁移：将源实例中的历史存量数据迁移</w:t>
            </w:r>
            <w:r>
              <w:rPr>
                <w:rFonts w:hint="eastAsia" w:ascii="仿宋_GB2312" w:hAnsi="仿宋_GB2312" w:eastAsia="仿宋_GB2312" w:cs="仿宋_GB2312"/>
                <w:color w:val="auto"/>
                <w:sz w:val="24"/>
                <w:szCs w:val="24"/>
                <w:highlight w:val="none"/>
                <w:lang w:eastAsia="zh-Hans"/>
              </w:rPr>
              <w:t>至目</w:t>
            </w:r>
            <w:r>
              <w:rPr>
                <w:rFonts w:hint="eastAsia" w:ascii="仿宋_GB2312" w:hAnsi="仿宋_GB2312" w:eastAsia="仿宋_GB2312" w:cs="仿宋_GB2312"/>
                <w:color w:val="auto"/>
                <w:sz w:val="24"/>
                <w:szCs w:val="24"/>
                <w:highlight w:val="none"/>
              </w:rPr>
              <w:t>标实例。</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增量数据迁移：将迁移过程中源实例产</w:t>
            </w:r>
            <w:r>
              <w:rPr>
                <w:rFonts w:ascii="仿宋_GB2312" w:hAnsi="仿宋_GB2312" w:eastAsia="仿宋_GB2312" w:cs="仿宋_GB2312"/>
                <w:color w:val="auto"/>
                <w:sz w:val="24"/>
                <w:szCs w:val="24"/>
                <w:highlight w:val="none"/>
              </w:rPr>
              <w:t>生</w:t>
            </w:r>
            <w:r>
              <w:rPr>
                <w:rFonts w:hint="eastAsia" w:ascii="仿宋_GB2312" w:hAnsi="仿宋_GB2312" w:eastAsia="仿宋_GB2312" w:cs="仿宋_GB2312"/>
                <w:color w:val="auto"/>
                <w:sz w:val="24"/>
                <w:szCs w:val="24"/>
                <w:highlight w:val="none"/>
              </w:rPr>
              <w:t>的增量数据实时同步到</w:t>
            </w:r>
            <w:r>
              <w:rPr>
                <w:rFonts w:hint="eastAsia" w:ascii="仿宋_GB2312" w:hAnsi="仿宋_GB2312" w:eastAsia="仿宋_GB2312" w:cs="仿宋_GB2312"/>
                <w:color w:val="auto"/>
                <w:sz w:val="24"/>
                <w:szCs w:val="24"/>
                <w:highlight w:val="none"/>
                <w:lang w:eastAsia="zh-Hans"/>
              </w:rPr>
              <w:t>目</w:t>
            </w:r>
            <w:r>
              <w:rPr>
                <w:rFonts w:hint="eastAsia" w:ascii="仿宋_GB2312" w:hAnsi="仿宋_GB2312" w:eastAsia="仿宋_GB2312" w:cs="仿宋_GB2312"/>
                <w:color w:val="auto"/>
                <w:sz w:val="24"/>
                <w:szCs w:val="24"/>
                <w:highlight w:val="none"/>
              </w:rPr>
              <w:t>标实例。结构迁移</w:t>
            </w:r>
            <w:r>
              <w:rPr>
                <w:rFonts w:hint="default" w:ascii="仿宋_GB2312" w:hAnsi="仿宋_GB2312" w:eastAsia="仿宋_GB2312" w:cs="仿宋_GB2312"/>
                <w:color w:val="auto"/>
                <w:sz w:val="24"/>
                <w:szCs w:val="24"/>
                <w:highlight w:val="none"/>
                <w:lang w:val="en"/>
              </w:rPr>
              <w:t>+</w:t>
            </w:r>
            <w:r>
              <w:rPr>
                <w:rFonts w:hint="eastAsia" w:ascii="仿宋_GB2312" w:hAnsi="仿宋_GB2312" w:eastAsia="仿宋_GB2312" w:cs="仿宋_GB2312"/>
                <w:color w:val="auto"/>
                <w:sz w:val="24"/>
                <w:szCs w:val="24"/>
                <w:highlight w:val="none"/>
              </w:rPr>
              <w:t>全量数据迁移＋增量数据迁移可以简单实现业务不停服迁移。</w:t>
            </w:r>
          </w:p>
          <w:p>
            <w:pPr>
              <w:numPr>
                <w:ilvl w:val="0"/>
                <w:numId w:val="11"/>
              </w:num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报警机制</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数据迁移提供迁移异常报警，</w:t>
            </w:r>
            <w:r>
              <w:rPr>
                <w:rFonts w:hint="default" w:ascii="仿宋_GB2312" w:hAnsi="仿宋_GB2312" w:eastAsia="仿宋_GB2312" w:cs="仿宋_GB2312"/>
                <w:color w:val="auto"/>
                <w:sz w:val="24"/>
                <w:szCs w:val="24"/>
                <w:highlight w:val="none"/>
                <w:lang w:val="en"/>
              </w:rPr>
              <w:t>一</w:t>
            </w:r>
            <w:r>
              <w:rPr>
                <w:rFonts w:hint="eastAsia" w:ascii="仿宋_GB2312" w:hAnsi="仿宋_GB2312" w:eastAsia="仿宋_GB2312" w:cs="仿宋_GB2312"/>
                <w:color w:val="auto"/>
                <w:sz w:val="24"/>
                <w:szCs w:val="24"/>
                <w:highlight w:val="none"/>
              </w:rPr>
              <w:t>旦迁移任务出现异常，即会向任务的owner发送报警短信，让</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第</w:t>
            </w:r>
            <w:r>
              <w:rPr>
                <w:rFonts w:hint="default" w:ascii="仿宋_GB2312" w:hAnsi="仿宋_GB2312" w:eastAsia="仿宋_GB2312" w:cs="仿宋_GB2312"/>
                <w:color w:val="auto"/>
                <w:sz w:val="24"/>
                <w:szCs w:val="24"/>
                <w:highlight w:val="none"/>
                <w:lang w:val="en"/>
              </w:rPr>
              <w:t>一</w:t>
            </w:r>
            <w:r>
              <w:rPr>
                <w:rFonts w:hint="eastAsia" w:ascii="仿宋_GB2312" w:hAnsi="仿宋_GB2312" w:eastAsia="仿宋_GB2312" w:cs="仿宋_GB2312"/>
                <w:color w:val="auto"/>
                <w:sz w:val="24"/>
                <w:szCs w:val="24"/>
                <w:highlight w:val="none"/>
              </w:rPr>
              <w:t>时间了解并处理异常任务。</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08"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数据同步</w:t>
            </w:r>
            <w:r>
              <w:rPr>
                <w:rFonts w:hint="eastAsia" w:ascii="仿宋_GB2312" w:hAnsi="仿宋_GB2312" w:cs="仿宋_GB2312"/>
                <w:color w:val="auto"/>
                <w:sz w:val="24"/>
                <w:highlight w:val="none"/>
                <w:lang w:eastAsia="zh-Hans"/>
              </w:rPr>
              <w:t>支</w:t>
            </w:r>
            <w:r>
              <w:rPr>
                <w:rFonts w:hint="eastAsia" w:ascii="仿宋_GB2312" w:hAnsi="仿宋_GB2312" w:cs="仿宋_GB2312"/>
                <w:color w:val="auto"/>
                <w:sz w:val="24"/>
                <w:highlight w:val="none"/>
              </w:rPr>
              <w:t>持多种特性，有效降低</w:t>
            </w:r>
            <w:r>
              <w:rPr>
                <w:rFonts w:hint="eastAsia" w:ascii="仿宋_GB2312" w:hAnsi="仿宋_GB2312" w:cs="仿宋_GB2312"/>
                <w:color w:val="auto"/>
                <w:sz w:val="24"/>
                <w:highlight w:val="none"/>
                <w:lang w:eastAsia="zh-Hans"/>
              </w:rPr>
              <w:t>用户</w:t>
            </w:r>
            <w:r>
              <w:rPr>
                <w:rFonts w:hint="eastAsia" w:ascii="仿宋_GB2312" w:hAnsi="仿宋_GB2312" w:cs="仿宋_GB2312"/>
                <w:color w:val="auto"/>
                <w:sz w:val="24"/>
                <w:highlight w:val="none"/>
              </w:rPr>
              <w:t>使</w:t>
            </w:r>
            <w:r>
              <w:rPr>
                <w:rFonts w:hint="eastAsia" w:ascii="仿宋_GB2312" w:hAnsi="仿宋_GB2312" w:cs="仿宋_GB2312"/>
                <w:color w:val="auto"/>
                <w:sz w:val="24"/>
                <w:highlight w:val="none"/>
                <w:lang w:eastAsia="zh-Hans"/>
              </w:rPr>
              <w:t>用门</w:t>
            </w:r>
            <w:r>
              <w:rPr>
                <w:rFonts w:hint="eastAsia" w:ascii="仿宋_GB2312" w:hAnsi="仿宋_GB2312" w:cs="仿宋_GB2312"/>
                <w:color w:val="auto"/>
                <w:sz w:val="24"/>
                <w:highlight w:val="none"/>
              </w:rPr>
              <w:t>槛，主要包括：</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动态增减同步对象</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在数据同步过程中，</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可以随时增加或减少需要同步的对象。</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完善性能查询体系</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数据同步提供同步延迟、同步性能（RPS、流量）趋势图，</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可以⽅便查看同步链路的性能趋势。</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完善监控体系</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数据同步提供同步作业状态、同步延迟的报警监控功能。</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可以根据业务敏感度，</w:t>
            </w:r>
            <w:r>
              <w:rPr>
                <w:rFonts w:hint="eastAsia" w:ascii="仿宋_GB2312" w:hAnsi="仿宋_GB2312" w:eastAsia="仿宋_GB2312" w:cs="仿宋_GB2312"/>
                <w:color w:val="auto"/>
                <w:sz w:val="24"/>
                <w:szCs w:val="24"/>
                <w:highlight w:val="none"/>
                <w:lang w:eastAsia="zh-Hans"/>
              </w:rPr>
              <w:t>自</w:t>
            </w:r>
            <w:r>
              <w:rPr>
                <w:rFonts w:hint="eastAsia" w:ascii="仿宋_GB2312" w:hAnsi="仿宋_GB2312" w:eastAsia="仿宋_GB2312" w:cs="仿宋_GB2312"/>
                <w:color w:val="auto"/>
                <w:sz w:val="24"/>
                <w:szCs w:val="24"/>
                <w:highlight w:val="none"/>
              </w:rPr>
              <w:t>定义同步延迟报警阈值。</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8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数据订阅</w:t>
            </w:r>
            <w:r>
              <w:rPr>
                <w:rFonts w:hint="default" w:ascii="仿宋_GB2312" w:hAnsi="仿宋_GB2312" w:eastAsia="仿宋_GB2312" w:cs="仿宋_GB2312"/>
                <w:color w:val="auto"/>
                <w:sz w:val="24"/>
                <w:szCs w:val="24"/>
                <w:highlight w:val="none"/>
                <w:lang w:val="en"/>
              </w:rPr>
              <w:t>支</w:t>
            </w:r>
            <w:r>
              <w:rPr>
                <w:rFonts w:hint="eastAsia" w:ascii="仿宋_GB2312" w:hAnsi="仿宋_GB2312" w:eastAsia="仿宋_GB2312" w:cs="仿宋_GB2312"/>
                <w:color w:val="auto"/>
                <w:sz w:val="24"/>
                <w:szCs w:val="24"/>
                <w:highlight w:val="none"/>
              </w:rPr>
              <w:t>持多种特性，有效降低</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使</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lang w:eastAsia="zh-Hans"/>
              </w:rPr>
              <w:t>门</w:t>
            </w:r>
            <w:r>
              <w:rPr>
                <w:rFonts w:hint="eastAsia" w:ascii="仿宋_GB2312" w:hAnsi="仿宋_GB2312" w:eastAsia="仿宋_GB2312" w:cs="仿宋_GB2312"/>
                <w:color w:val="auto"/>
                <w:sz w:val="24"/>
                <w:szCs w:val="24"/>
                <w:highlight w:val="none"/>
              </w:rPr>
              <w:t>槛，主要包括：</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动态增减订阅对象</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在数据订阅过程中，</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可以随时增加或减少需要订阅的对象。</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在线查看订阅数据</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数据传输DTS控制台</w:t>
            </w:r>
            <w:r>
              <w:rPr>
                <w:rFonts w:hint="default" w:ascii="仿宋_GB2312" w:hAnsi="仿宋_GB2312" w:eastAsia="仿宋_GB2312" w:cs="仿宋_GB2312"/>
                <w:color w:val="auto"/>
                <w:sz w:val="24"/>
                <w:szCs w:val="24"/>
                <w:highlight w:val="none"/>
                <w:lang w:val="en"/>
              </w:rPr>
              <w:t>支</w:t>
            </w:r>
            <w:r>
              <w:rPr>
                <w:rFonts w:hint="eastAsia" w:ascii="仿宋_GB2312" w:hAnsi="仿宋_GB2312" w:eastAsia="仿宋_GB2312" w:cs="仿宋_GB2312"/>
                <w:color w:val="auto"/>
                <w:sz w:val="24"/>
                <w:szCs w:val="24"/>
                <w:highlight w:val="none"/>
              </w:rPr>
              <w:t>持在线查看订阅通道中的增量数据。</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修改消费时间点</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数据订阅</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随时修改需要消费数据对应的时间点。</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完善监控体系</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数据订阅提供订阅通道状态、下游消费延迟的报警监控功能。</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可以根据业务敏感度，</w:t>
            </w:r>
            <w:r>
              <w:rPr>
                <w:rFonts w:hint="eastAsia" w:ascii="仿宋_GB2312" w:hAnsi="仿宋_GB2312" w:eastAsia="仿宋_GB2312" w:cs="仿宋_GB2312"/>
                <w:color w:val="auto"/>
                <w:sz w:val="24"/>
                <w:szCs w:val="24"/>
                <w:highlight w:val="none"/>
                <w:lang w:eastAsia="zh-Hans"/>
              </w:rPr>
              <w:t>自</w:t>
            </w:r>
            <w:r>
              <w:rPr>
                <w:rFonts w:hint="eastAsia" w:ascii="仿宋_GB2312" w:hAnsi="仿宋_GB2312" w:eastAsia="仿宋_GB2312" w:cs="仿宋_GB2312"/>
                <w:color w:val="auto"/>
                <w:sz w:val="24"/>
                <w:szCs w:val="24"/>
                <w:highlight w:val="none"/>
              </w:rPr>
              <w:t>定义消费延迟报警阈值。</w:t>
            </w:r>
          </w:p>
        </w:tc>
        <w:tc>
          <w:tcPr>
            <w:tcW w:w="992"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bl>
    <w:p>
      <w:pPr>
        <w:pStyle w:val="232"/>
        <w:ind w:firstLine="0" w:firstLineChars="0"/>
        <w:outlineLvl w:val="2"/>
        <w:rPr>
          <w:rFonts w:ascii="仿宋_GB2312" w:hAnsi="Calibri" w:eastAsia="仿宋_GB2312"/>
          <w:b/>
          <w:bCs/>
          <w:color w:val="auto"/>
          <w:szCs w:val="24"/>
          <w:highlight w:val="none"/>
        </w:rPr>
      </w:pPr>
      <w:r>
        <w:rPr>
          <w:rFonts w:hint="eastAsia" w:ascii="仿宋_GB2312" w:hAnsi="Calibri" w:eastAsia="仿宋_GB2312"/>
          <w:b/>
          <w:bCs/>
          <w:color w:val="auto"/>
          <w:szCs w:val="24"/>
          <w:highlight w:val="none"/>
        </w:rPr>
        <w:t>2.1</w:t>
      </w:r>
      <w:r>
        <w:rPr>
          <w:rFonts w:ascii="仿宋_GB2312" w:hAnsi="Calibri" w:eastAsia="仿宋_GB2312"/>
          <w:b/>
          <w:bCs/>
          <w:color w:val="auto"/>
          <w:szCs w:val="24"/>
          <w:highlight w:val="none"/>
        </w:rPr>
        <w:t>3</w:t>
      </w:r>
      <w:r>
        <w:rPr>
          <w:rFonts w:hint="eastAsia" w:ascii="仿宋_GB2312" w:hAnsi="Calibri" w:eastAsia="仿宋_GB2312"/>
          <w:b/>
          <w:bCs/>
          <w:color w:val="auto"/>
          <w:szCs w:val="24"/>
          <w:highlight w:val="none"/>
        </w:rPr>
        <w:t xml:space="preserve"> </w:t>
      </w:r>
      <w:r>
        <w:rPr>
          <w:rFonts w:hint="eastAsia" w:ascii="仿宋_GB2312" w:hAnsi="Calibri" w:eastAsia="仿宋_GB2312"/>
          <w:b/>
          <w:bCs/>
          <w:color w:val="auto"/>
          <w:szCs w:val="24"/>
          <w:highlight w:val="none"/>
          <w:lang w:eastAsia="zh-CN"/>
        </w:rPr>
        <w:t>应用</w:t>
      </w:r>
      <w:r>
        <w:rPr>
          <w:rFonts w:hint="eastAsia" w:ascii="仿宋_GB2312" w:hAnsi="Calibri" w:eastAsia="仿宋_GB2312"/>
          <w:b/>
          <w:bCs/>
          <w:color w:val="auto"/>
          <w:szCs w:val="24"/>
          <w:highlight w:val="none"/>
        </w:rPr>
        <w:t>实时监控服务Arms</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12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指标项</w:t>
            </w:r>
          </w:p>
        </w:tc>
        <w:tc>
          <w:tcPr>
            <w:tcW w:w="712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hAnsi="仿宋_GB2312" w:cs="仿宋_GB2312"/>
                <w:color w:val="auto"/>
                <w:sz w:val="24"/>
                <w:highlight w:val="none"/>
              </w:rPr>
            </w:pPr>
            <w:r>
              <w:rPr>
                <w:rFonts w:hint="eastAsia" w:ascii="仿宋_GB2312" w:hAnsi="仿宋_GB2312" w:cs="仿宋_GB2312"/>
                <w:color w:val="auto"/>
                <w:sz w:val="24"/>
                <w:highlight w:val="none"/>
              </w:rPr>
              <w:t>规格要求</w:t>
            </w:r>
          </w:p>
        </w:tc>
        <w:tc>
          <w:tcPr>
            <w:tcW w:w="9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服务标准</w:t>
            </w:r>
          </w:p>
        </w:tc>
        <w:tc>
          <w:tcPr>
            <w:tcW w:w="7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基于前端、应</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、业务</w:t>
            </w:r>
            <w:r>
              <w:rPr>
                <w:rFonts w:hint="eastAsia" w:ascii="仿宋_GB2312" w:hAnsi="仿宋_GB2312" w:eastAsia="仿宋_GB2312" w:cs="仿宋_GB2312"/>
                <w:color w:val="auto"/>
                <w:sz w:val="24"/>
                <w:szCs w:val="24"/>
                <w:highlight w:val="none"/>
                <w:lang w:eastAsia="zh-Hans"/>
              </w:rPr>
              <w:t>自</w:t>
            </w:r>
            <w:r>
              <w:rPr>
                <w:rFonts w:hint="eastAsia" w:ascii="仿宋_GB2312" w:hAnsi="仿宋_GB2312" w:eastAsia="仿宋_GB2312" w:cs="仿宋_GB2312"/>
                <w:color w:val="auto"/>
                <w:sz w:val="24"/>
                <w:szCs w:val="24"/>
                <w:highlight w:val="none"/>
              </w:rPr>
              <w:t>定义等维度，迅速便捷地为企业构建秒级响应的业务监控能</w:t>
            </w:r>
            <w:r>
              <w:rPr>
                <w:rFonts w:hint="eastAsia" w:ascii="仿宋_GB2312" w:hAnsi="仿宋_GB2312" w:eastAsia="仿宋_GB2312" w:cs="仿宋_GB2312"/>
                <w:color w:val="auto"/>
                <w:sz w:val="24"/>
                <w:szCs w:val="24"/>
                <w:highlight w:val="none"/>
                <w:lang w:eastAsia="zh-Hans"/>
              </w:rPr>
              <w:t>力</w:t>
            </w:r>
            <w:r>
              <w:rPr>
                <w:rFonts w:hint="eastAsia" w:ascii="仿宋_GB2312" w:hAnsi="仿宋_GB2312" w:eastAsia="仿宋_GB2312" w:cs="仿宋_GB2312"/>
                <w:color w:val="auto"/>
                <w:sz w:val="24"/>
                <w:szCs w:val="24"/>
                <w:highlight w:val="none"/>
              </w:rPr>
              <w:t>。</w:t>
            </w:r>
          </w:p>
        </w:tc>
        <w:tc>
          <w:tcPr>
            <w:tcW w:w="9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restart"/>
            <w:tcBorders>
              <w:top w:val="single" w:color="auto" w:sz="4" w:space="0"/>
              <w:left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服务特性</w:t>
            </w:r>
          </w:p>
        </w:tc>
        <w:tc>
          <w:tcPr>
            <w:tcW w:w="7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ARMS 提供数据接</w:t>
            </w:r>
            <w:r>
              <w:rPr>
                <w:rFonts w:hint="eastAsia" w:ascii="仿宋_GB2312" w:hAnsi="仿宋_GB2312" w:eastAsia="仿宋_GB2312" w:cs="仿宋_GB2312"/>
                <w:color w:val="auto"/>
                <w:sz w:val="24"/>
                <w:szCs w:val="24"/>
                <w:highlight w:val="none"/>
                <w:lang w:eastAsia="zh-Hans"/>
              </w:rPr>
              <w:t>入</w:t>
            </w:r>
            <w:r>
              <w:rPr>
                <w:rFonts w:hint="eastAsia" w:ascii="仿宋_GB2312" w:hAnsi="仿宋_GB2312" w:eastAsia="仿宋_GB2312" w:cs="仿宋_GB2312"/>
                <w:color w:val="auto"/>
                <w:sz w:val="24"/>
                <w:szCs w:val="24"/>
                <w:highlight w:val="none"/>
              </w:rPr>
              <w:t>、数据计算、数据存储、</w:t>
            </w:r>
            <w:r>
              <w:rPr>
                <w:rFonts w:ascii="仿宋_GB2312" w:hAnsi="仿宋_GB2312" w:eastAsia="仿宋_GB2312" w:cs="仿宋_GB2312"/>
                <w:color w:val="auto"/>
                <w:sz w:val="24"/>
                <w:szCs w:val="24"/>
                <w:highlight w:val="none"/>
              </w:rPr>
              <w:t>大</w:t>
            </w:r>
            <w:r>
              <w:rPr>
                <w:rFonts w:hint="eastAsia" w:ascii="仿宋_GB2312" w:hAnsi="仿宋_GB2312" w:eastAsia="仿宋_GB2312" w:cs="仿宋_GB2312"/>
                <w:color w:val="auto"/>
                <w:sz w:val="24"/>
                <w:szCs w:val="24"/>
                <w:highlight w:val="none"/>
              </w:rPr>
              <w:t>盘</w:t>
            </w:r>
            <w:r>
              <w:rPr>
                <w:rFonts w:hint="eastAsia" w:ascii="仿宋_GB2312" w:hAnsi="仿宋_GB2312" w:eastAsia="仿宋_GB2312" w:cs="仿宋_GB2312"/>
                <w:color w:val="auto"/>
                <w:sz w:val="24"/>
                <w:szCs w:val="24"/>
                <w:highlight w:val="none"/>
                <w:lang w:eastAsia="zh-Hans"/>
              </w:rPr>
              <w:t>展示</w:t>
            </w:r>
            <w:r>
              <w:rPr>
                <w:rFonts w:hint="eastAsia" w:ascii="仿宋_GB2312" w:hAnsi="仿宋_GB2312" w:eastAsia="仿宋_GB2312" w:cs="仿宋_GB2312"/>
                <w:color w:val="auto"/>
                <w:sz w:val="24"/>
                <w:szCs w:val="24"/>
                <w:highlight w:val="none"/>
              </w:rPr>
              <w:t>和报警，以及下游API对接等</w:t>
            </w:r>
            <w:r>
              <w:rPr>
                <w:rFonts w:hint="default" w:ascii="仿宋_GB2312" w:hAnsi="仿宋_GB2312" w:eastAsia="仿宋_GB2312" w:cs="仿宋_GB2312"/>
                <w:color w:val="auto"/>
                <w:sz w:val="24"/>
                <w:szCs w:val="24"/>
                <w:highlight w:val="none"/>
                <w:lang w:val="en"/>
              </w:rPr>
              <w:t>一</w:t>
            </w:r>
            <w:r>
              <w:rPr>
                <w:rFonts w:hint="eastAsia" w:ascii="仿宋_GB2312" w:hAnsi="仿宋_GB2312" w:eastAsia="仿宋_GB2312" w:cs="仿宋_GB2312"/>
                <w:color w:val="auto"/>
                <w:sz w:val="24"/>
                <w:szCs w:val="24"/>
                <w:highlight w:val="none"/>
              </w:rPr>
              <w:t>系列监控定制功能</w:t>
            </w:r>
            <w:r>
              <w:rPr>
                <w:rFonts w:hint="eastAsia" w:ascii="仿宋_GB2312" w:hAnsi="仿宋_GB2312" w:eastAsia="仿宋_GB2312" w:cs="仿宋_GB2312"/>
                <w:b/>
                <w:bCs/>
                <w:color w:val="auto"/>
                <w:kern w:val="0"/>
                <w:sz w:val="24"/>
                <w:szCs w:val="24"/>
                <w:highlight w:val="none"/>
              </w:rPr>
              <w:t>。</w:t>
            </w:r>
          </w:p>
        </w:tc>
        <w:tc>
          <w:tcPr>
            <w:tcW w:w="9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可接⼊多种数据源</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ECS Log：可从 ECS </w:t>
            </w:r>
            <w:r>
              <w:rPr>
                <w:rFonts w:ascii="仿宋_GB2312" w:hAnsi="仿宋_GB2312" w:eastAsia="仿宋_GB2312" w:cs="仿宋_GB2312"/>
                <w:color w:val="auto"/>
                <w:sz w:val="24"/>
                <w:szCs w:val="24"/>
                <w:highlight w:val="none"/>
                <w:lang w:eastAsia="zh-Hans"/>
              </w:rPr>
              <w:t>日</w:t>
            </w:r>
            <w:r>
              <w:rPr>
                <w:rFonts w:hint="eastAsia" w:ascii="仿宋_GB2312" w:hAnsi="仿宋_GB2312" w:eastAsia="仿宋_GB2312" w:cs="仿宋_GB2312"/>
                <w:color w:val="auto"/>
                <w:sz w:val="24"/>
                <w:szCs w:val="24"/>
                <w:highlight w:val="none"/>
              </w:rPr>
              <w:t>志抓取</w:t>
            </w:r>
            <w:r>
              <w:rPr>
                <w:rFonts w:ascii="仿宋_GB2312" w:hAnsi="仿宋_GB2312" w:eastAsia="仿宋_GB2312" w:cs="仿宋_GB2312"/>
                <w:color w:val="auto"/>
                <w:sz w:val="24"/>
                <w:szCs w:val="24"/>
                <w:highlight w:val="none"/>
                <w:lang w:eastAsia="zh-Hans"/>
              </w:rPr>
              <w:t>日</w:t>
            </w:r>
            <w:r>
              <w:rPr>
                <w:rFonts w:hint="eastAsia" w:ascii="仿宋_GB2312" w:hAnsi="仿宋_GB2312" w:eastAsia="仿宋_GB2312" w:cs="仿宋_GB2312"/>
                <w:color w:val="auto"/>
                <w:sz w:val="24"/>
                <w:szCs w:val="24"/>
                <w:highlight w:val="none"/>
              </w:rPr>
              <w:t>志进</w:t>
            </w:r>
            <w:r>
              <w:rPr>
                <w:rFonts w:hint="eastAsia" w:ascii="仿宋_GB2312" w:hAnsi="仿宋_GB2312" w:eastAsia="仿宋_GB2312" w:cs="仿宋_GB2312"/>
                <w:color w:val="auto"/>
                <w:sz w:val="24"/>
                <w:szCs w:val="24"/>
                <w:highlight w:val="none"/>
                <w:lang w:eastAsia="zh-Hans"/>
              </w:rPr>
              <w:t>行</w:t>
            </w:r>
            <w:r>
              <w:rPr>
                <w:rFonts w:hint="eastAsia" w:ascii="仿宋_GB2312" w:hAnsi="仿宋_GB2312" w:eastAsia="仿宋_GB2312" w:cs="仿宋_GB2312"/>
                <w:color w:val="auto"/>
                <w:sz w:val="24"/>
                <w:szCs w:val="24"/>
                <w:highlight w:val="none"/>
              </w:rPr>
              <w:t>统计；</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Loghub：可拉取</w:t>
            </w:r>
            <w:r>
              <w:rPr>
                <w:rFonts w:hint="eastAsia" w:ascii="仿宋_GB2312" w:hAnsi="仿宋_GB2312" w:eastAsia="仿宋_GB2312" w:cs="仿宋_GB2312"/>
                <w:color w:val="auto"/>
                <w:sz w:val="24"/>
                <w:szCs w:val="24"/>
                <w:highlight w:val="none"/>
                <w:lang w:eastAsia="zh-Hans"/>
              </w:rPr>
              <w:t>阿里云</w:t>
            </w:r>
            <w:r>
              <w:rPr>
                <w:rFonts w:ascii="仿宋_GB2312" w:hAnsi="仿宋_GB2312" w:eastAsia="仿宋_GB2312" w:cs="仿宋_GB2312"/>
                <w:color w:val="auto"/>
                <w:sz w:val="24"/>
                <w:szCs w:val="24"/>
                <w:highlight w:val="none"/>
                <w:lang w:eastAsia="zh-Hans"/>
              </w:rPr>
              <w:t>日</w:t>
            </w:r>
            <w:r>
              <w:rPr>
                <w:rFonts w:hint="eastAsia" w:ascii="仿宋_GB2312" w:hAnsi="仿宋_GB2312" w:eastAsia="仿宋_GB2312" w:cs="仿宋_GB2312"/>
                <w:color w:val="auto"/>
                <w:sz w:val="24"/>
                <w:szCs w:val="24"/>
                <w:highlight w:val="none"/>
              </w:rPr>
              <w:t>志服务的 Loghub 数据；</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MQ：可从 MQ Topic 中直接读取数据；</w:t>
            </w:r>
          </w:p>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 SDK：可通过在程序中接⼊ SDK 中来推送数据。</w:t>
            </w:r>
          </w:p>
        </w:tc>
        <w:tc>
          <w:tcPr>
            <w:tcW w:w="9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可对接各类下游</w:t>
            </w:r>
            <w:r>
              <w:rPr>
                <w:rFonts w:hint="eastAsia" w:ascii="仿宋_GB2312" w:hAnsi="仿宋_GB2312" w:eastAsia="仿宋_GB2312" w:cs="仿宋_GB2312"/>
                <w:color w:val="auto"/>
                <w:sz w:val="24"/>
                <w:szCs w:val="24"/>
                <w:highlight w:val="none"/>
                <w:lang w:eastAsia="zh-Hans"/>
              </w:rPr>
              <w:t>应用</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持对接其他</w:t>
            </w:r>
            <w:r>
              <w:rPr>
                <w:rFonts w:hint="eastAsia" w:ascii="仿宋_GB2312" w:hAnsi="仿宋_GB2312" w:eastAsia="仿宋_GB2312" w:cs="仿宋_GB2312"/>
                <w:color w:val="auto"/>
                <w:sz w:val="24"/>
                <w:szCs w:val="24"/>
                <w:highlight w:val="none"/>
                <w:lang w:eastAsia="zh-Hans"/>
              </w:rPr>
              <w:t>大</w:t>
            </w:r>
            <w:r>
              <w:rPr>
                <w:rFonts w:hint="eastAsia" w:ascii="仿宋_GB2312" w:hAnsi="仿宋_GB2312" w:eastAsia="仿宋_GB2312" w:cs="仿宋_GB2312"/>
                <w:color w:val="auto"/>
                <w:sz w:val="24"/>
                <w:szCs w:val="24"/>
                <w:highlight w:val="none"/>
              </w:rPr>
              <w:t>屏</w:t>
            </w:r>
            <w:r>
              <w:rPr>
                <w:rFonts w:hint="eastAsia" w:ascii="仿宋_GB2312" w:hAnsi="仿宋_GB2312" w:eastAsia="仿宋_GB2312" w:cs="仿宋_GB2312"/>
                <w:color w:val="auto"/>
                <w:sz w:val="24"/>
                <w:szCs w:val="24"/>
                <w:highlight w:val="none"/>
                <w:lang w:eastAsia="zh-Hans"/>
              </w:rPr>
              <w:t>展示工</w:t>
            </w:r>
            <w:r>
              <w:rPr>
                <w:rFonts w:hint="eastAsia" w:ascii="仿宋_GB2312" w:hAnsi="仿宋_GB2312" w:eastAsia="仿宋_GB2312" w:cs="仿宋_GB2312"/>
                <w:color w:val="auto"/>
                <w:sz w:val="24"/>
                <w:szCs w:val="24"/>
                <w:highlight w:val="none"/>
              </w:rPr>
              <w:t>具，例如 DataV；</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持对接 Java、Python、Perl、C# 等 API。</w:t>
            </w:r>
          </w:p>
        </w:tc>
        <w:tc>
          <w:tcPr>
            <w:tcW w:w="9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数据存储</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异步聚合数据；</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智能分级存储策略；</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default" w:ascii="仿宋_GB2312" w:hAnsi="仿宋_GB2312" w:eastAsia="仿宋_GB2312" w:cs="仿宋_GB2312"/>
                <w:color w:val="auto"/>
                <w:sz w:val="24"/>
                <w:szCs w:val="24"/>
                <w:highlight w:val="none"/>
                <w:lang w:val="en"/>
              </w:rPr>
              <w:t>支</w:t>
            </w:r>
            <w:r>
              <w:rPr>
                <w:rFonts w:hint="eastAsia" w:ascii="仿宋_GB2312" w:hAnsi="仿宋_GB2312" w:eastAsia="仿宋_GB2312" w:cs="仿宋_GB2312"/>
                <w:color w:val="auto"/>
                <w:sz w:val="24"/>
                <w:szCs w:val="24"/>
                <w:highlight w:val="none"/>
              </w:rPr>
              <w:t>持最多三级的智能下钻索引。</w:t>
            </w:r>
          </w:p>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w:t>
            </w:r>
            <w:r>
              <w:rPr>
                <w:rFonts w:hint="default" w:ascii="仿宋_GB2312" w:hAnsi="仿宋_GB2312" w:cs="仿宋_GB2312"/>
                <w:color w:val="auto"/>
                <w:sz w:val="24"/>
                <w:highlight w:val="none"/>
                <w:lang w:val="en"/>
              </w:rPr>
              <w:t>支</w:t>
            </w:r>
            <w:r>
              <w:rPr>
                <w:rFonts w:hint="eastAsia" w:ascii="仿宋_GB2312" w:hAnsi="仿宋_GB2312" w:cs="仿宋_GB2312"/>
                <w:color w:val="auto"/>
                <w:sz w:val="24"/>
                <w:highlight w:val="none"/>
              </w:rPr>
              <w:t>持事件集搜索。</w:t>
            </w:r>
          </w:p>
        </w:tc>
        <w:tc>
          <w:tcPr>
            <w:tcW w:w="9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可定制的报警</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可设置根据指定</w:t>
            </w:r>
            <w:r>
              <w:rPr>
                <w:rFonts w:hint="eastAsia" w:ascii="仿宋_GB2312" w:hAnsi="仿宋_GB2312" w:eastAsia="仿宋_GB2312" w:cs="仿宋_GB2312"/>
                <w:color w:val="auto"/>
                <w:sz w:val="24"/>
                <w:szCs w:val="24"/>
                <w:highlight w:val="none"/>
                <w:lang w:eastAsia="zh-Hans"/>
              </w:rPr>
              <w:t>长</w:t>
            </w:r>
            <w:r>
              <w:rPr>
                <w:rFonts w:hint="eastAsia" w:ascii="仿宋_GB2312" w:hAnsi="仿宋_GB2312" w:eastAsia="仿宋_GB2312" w:cs="仿宋_GB2312"/>
                <w:color w:val="auto"/>
                <w:sz w:val="24"/>
                <w:szCs w:val="24"/>
                <w:highlight w:val="none"/>
              </w:rPr>
              <w:t>度时间内的平均值、总和、最</w:t>
            </w:r>
            <w:r>
              <w:rPr>
                <w:rFonts w:hint="eastAsia" w:ascii="仿宋_GB2312" w:hAnsi="仿宋_GB2312" w:eastAsia="仿宋_GB2312" w:cs="仿宋_GB2312"/>
                <w:color w:val="auto"/>
                <w:sz w:val="24"/>
                <w:szCs w:val="24"/>
                <w:highlight w:val="none"/>
                <w:lang w:eastAsia="zh-Hans"/>
              </w:rPr>
              <w:t>大</w:t>
            </w:r>
            <w:r>
              <w:rPr>
                <w:rFonts w:hint="eastAsia" w:ascii="仿宋_GB2312" w:hAnsi="仿宋_GB2312" w:eastAsia="仿宋_GB2312" w:cs="仿宋_GB2312"/>
                <w:color w:val="auto"/>
                <w:sz w:val="24"/>
                <w:szCs w:val="24"/>
                <w:highlight w:val="none"/>
              </w:rPr>
              <w:t>值或最小值报警；</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Hans"/>
              </w:rPr>
              <w:t>支持自</w:t>
            </w:r>
            <w:r>
              <w:rPr>
                <w:rFonts w:hint="eastAsia" w:ascii="仿宋_GB2312" w:hAnsi="仿宋_GB2312" w:eastAsia="仿宋_GB2312" w:cs="仿宋_GB2312"/>
                <w:color w:val="auto"/>
                <w:sz w:val="24"/>
                <w:szCs w:val="24"/>
                <w:highlight w:val="none"/>
              </w:rPr>
              <w:t>定义报警内容，以及邮件、短信、钉钉等多种报警</w:t>
            </w:r>
            <w:r>
              <w:rPr>
                <w:rFonts w:hint="eastAsia" w:ascii="仿宋_GB2312" w:hAnsi="仿宋_GB2312" w:eastAsia="仿宋_GB2312" w:cs="仿宋_GB2312"/>
                <w:color w:val="auto"/>
                <w:sz w:val="24"/>
                <w:szCs w:val="24"/>
                <w:highlight w:val="none"/>
                <w:lang w:eastAsia="zh-Hans"/>
              </w:rPr>
              <w:t>方</w:t>
            </w:r>
            <w:r>
              <w:rPr>
                <w:rFonts w:hint="eastAsia" w:ascii="仿宋_GB2312" w:hAnsi="仿宋_GB2312" w:eastAsia="仿宋_GB2312" w:cs="仿宋_GB2312"/>
                <w:color w:val="auto"/>
                <w:sz w:val="24"/>
                <w:szCs w:val="24"/>
                <w:highlight w:val="none"/>
              </w:rPr>
              <w:t>式。</w:t>
            </w:r>
          </w:p>
        </w:tc>
        <w:tc>
          <w:tcPr>
            <w:tcW w:w="9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持多种业务场景</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Hans"/>
              </w:rPr>
              <w:t>支持自</w:t>
            </w:r>
            <w:r>
              <w:rPr>
                <w:rFonts w:hint="eastAsia" w:ascii="仿宋_GB2312" w:hAnsi="仿宋_GB2312" w:eastAsia="仿宋_GB2312" w:cs="仿宋_GB2312"/>
                <w:color w:val="auto"/>
                <w:sz w:val="24"/>
                <w:szCs w:val="24"/>
                <w:highlight w:val="none"/>
              </w:rPr>
              <w:t>定义业务场景，可监控</w:t>
            </w:r>
            <w:r>
              <w:rPr>
                <w:rFonts w:hint="eastAsia" w:ascii="仿宋_GB2312" w:hAnsi="仿宋_GB2312" w:eastAsia="仿宋_GB2312" w:cs="仿宋_GB2312"/>
                <w:color w:val="auto"/>
                <w:sz w:val="24"/>
                <w:szCs w:val="24"/>
                <w:highlight w:val="none"/>
                <w:lang w:eastAsia="zh-Hans"/>
              </w:rPr>
              <w:t>自</w:t>
            </w:r>
            <w:r>
              <w:rPr>
                <w:rFonts w:hint="eastAsia" w:ascii="仿宋_GB2312" w:hAnsi="仿宋_GB2312" w:eastAsia="仿宋_GB2312" w:cs="仿宋_GB2312"/>
                <w:color w:val="auto"/>
                <w:sz w:val="24"/>
                <w:szCs w:val="24"/>
                <w:highlight w:val="none"/>
              </w:rPr>
              <w:t>定义的业务指标，例如 Nginx 负载、程序异常等、电商销售业</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务事件等。</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持前端监控场景，可监控</w:t>
            </w:r>
            <w:r>
              <w:rPr>
                <w:rFonts w:hint="eastAsia" w:ascii="仿宋_GB2312" w:hAnsi="仿宋_GB2312" w:eastAsia="仿宋_GB2312" w:cs="仿宋_GB2312"/>
                <w:color w:val="auto"/>
                <w:sz w:val="24"/>
                <w:szCs w:val="24"/>
                <w:highlight w:val="none"/>
                <w:lang w:eastAsia="zh-Hans"/>
              </w:rPr>
              <w:t>页面</w:t>
            </w:r>
            <w:r>
              <w:rPr>
                <w:rFonts w:hint="eastAsia" w:ascii="仿宋_GB2312" w:hAnsi="仿宋_GB2312" w:eastAsia="仿宋_GB2312" w:cs="仿宋_GB2312"/>
                <w:color w:val="auto"/>
                <w:sz w:val="24"/>
                <w:szCs w:val="24"/>
                <w:highlight w:val="none"/>
              </w:rPr>
              <w:t>性能、JS 错误、API 调</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等指标。</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持应</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监控场景，可监控</w:t>
            </w:r>
            <w:r>
              <w:rPr>
                <w:rFonts w:hint="eastAsia" w:ascii="仿宋_GB2312" w:hAnsi="仿宋_GB2312" w:eastAsia="仿宋_GB2312" w:cs="仿宋_GB2312"/>
                <w:color w:val="auto"/>
                <w:sz w:val="24"/>
                <w:szCs w:val="24"/>
                <w:highlight w:val="none"/>
                <w:lang w:eastAsia="zh-Hans"/>
              </w:rPr>
              <w:t>调用</w:t>
            </w:r>
            <w:r>
              <w:rPr>
                <w:rFonts w:hint="eastAsia" w:ascii="仿宋_GB2312" w:hAnsi="仿宋_GB2312" w:eastAsia="仿宋_GB2312" w:cs="仿宋_GB2312"/>
                <w:color w:val="auto"/>
                <w:sz w:val="24"/>
                <w:szCs w:val="24"/>
                <w:highlight w:val="none"/>
              </w:rPr>
              <w:t>异常，查询调</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链，并结合事件集进</w:t>
            </w:r>
            <w:r>
              <w:rPr>
                <w:rFonts w:hint="eastAsia" w:ascii="仿宋_GB2312" w:hAnsi="仿宋_GB2312" w:eastAsia="仿宋_GB2312" w:cs="仿宋_GB2312"/>
                <w:color w:val="auto"/>
                <w:sz w:val="24"/>
                <w:szCs w:val="24"/>
                <w:highlight w:val="none"/>
                <w:lang w:eastAsia="zh-Hans"/>
              </w:rPr>
              <w:t>行</w:t>
            </w:r>
            <w:r>
              <w:rPr>
                <w:rFonts w:hint="eastAsia" w:ascii="仿宋_GB2312" w:hAnsi="仿宋_GB2312" w:eastAsia="仿宋_GB2312" w:cs="仿宋_GB2312"/>
                <w:color w:val="auto"/>
                <w:sz w:val="24"/>
                <w:szCs w:val="24"/>
                <w:highlight w:val="none"/>
              </w:rPr>
              <w:t>全息排查。</w:t>
            </w:r>
          </w:p>
        </w:tc>
        <w:tc>
          <w:tcPr>
            <w:tcW w:w="9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restart"/>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服务能力</w:t>
            </w:r>
          </w:p>
        </w:tc>
        <w:tc>
          <w:tcPr>
            <w:tcW w:w="7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多</w:t>
            </w:r>
            <w:r>
              <w:rPr>
                <w:rFonts w:hint="eastAsia" w:ascii="仿宋_GB2312" w:hAnsi="仿宋_GB2312" w:eastAsia="仿宋_GB2312" w:cs="仿宋_GB2312"/>
                <w:color w:val="auto"/>
                <w:sz w:val="24"/>
                <w:szCs w:val="24"/>
                <w:highlight w:val="none"/>
                <w:lang w:eastAsia="zh-Hans"/>
              </w:rPr>
              <w:t>方</w:t>
            </w:r>
            <w:r>
              <w:rPr>
                <w:rFonts w:hint="eastAsia" w:ascii="仿宋_GB2312" w:hAnsi="仿宋_GB2312" w:eastAsia="仿宋_GB2312" w:cs="仿宋_GB2312"/>
                <w:color w:val="auto"/>
                <w:sz w:val="24"/>
                <w:szCs w:val="24"/>
                <w:highlight w:val="none"/>
              </w:rPr>
              <w:t>位的前端监控功能</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Hans"/>
              </w:rPr>
              <w:t>高</w:t>
            </w:r>
            <w:r>
              <w:rPr>
                <w:rFonts w:hint="eastAsia" w:ascii="仿宋_GB2312" w:hAnsi="仿宋_GB2312" w:eastAsia="仿宋_GB2312" w:cs="仿宋_GB2312"/>
                <w:color w:val="auto"/>
                <w:sz w:val="24"/>
                <w:szCs w:val="24"/>
                <w:highlight w:val="none"/>
              </w:rPr>
              <w:t>时效性：实时感知</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实际访问</w:t>
            </w:r>
            <w:r>
              <w:rPr>
                <w:rFonts w:hint="eastAsia" w:ascii="仿宋_GB2312" w:hAnsi="仿宋_GB2312" w:eastAsia="仿宋_GB2312" w:cs="仿宋_GB2312"/>
                <w:color w:val="auto"/>
                <w:sz w:val="24"/>
                <w:szCs w:val="24"/>
                <w:highlight w:val="none"/>
                <w:lang w:eastAsia="zh-Hans"/>
              </w:rPr>
              <w:t>网</w:t>
            </w:r>
            <w:r>
              <w:rPr>
                <w:rFonts w:hint="eastAsia" w:ascii="仿宋_GB2312" w:hAnsi="仿宋_GB2312" w:eastAsia="仿宋_GB2312" w:cs="仿宋_GB2312"/>
                <w:color w:val="auto"/>
                <w:sz w:val="24"/>
                <w:szCs w:val="24"/>
                <w:highlight w:val="none"/>
              </w:rPr>
              <w:t>站的响应时间和错误率；</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多维度监控分析：基于地区、运营商、浏览器等多维的</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访问速度和错误分析；</w:t>
            </w:r>
          </w:p>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 xml:space="preserve">- </w:t>
            </w:r>
            <w:r>
              <w:rPr>
                <w:rFonts w:hint="eastAsia" w:ascii="仿宋_GB2312" w:hAnsi="仿宋_GB2312" w:cs="仿宋_GB2312"/>
                <w:color w:val="auto"/>
                <w:sz w:val="24"/>
                <w:highlight w:val="none"/>
                <w:lang w:eastAsia="zh-Hans"/>
              </w:rPr>
              <w:t>页面</w:t>
            </w:r>
            <w:r>
              <w:rPr>
                <w:rFonts w:hint="eastAsia" w:ascii="仿宋_GB2312" w:hAnsi="仿宋_GB2312" w:cs="仿宋_GB2312"/>
                <w:color w:val="auto"/>
                <w:sz w:val="24"/>
                <w:highlight w:val="none"/>
              </w:rPr>
              <w:t>异常监控：监控和诊断应</w:t>
            </w:r>
            <w:r>
              <w:rPr>
                <w:rFonts w:hint="eastAsia" w:ascii="仿宋_GB2312" w:hAnsi="仿宋_GB2312" w:cs="仿宋_GB2312"/>
                <w:color w:val="auto"/>
                <w:sz w:val="24"/>
                <w:highlight w:val="none"/>
                <w:lang w:eastAsia="zh-Hans"/>
              </w:rPr>
              <w:t>用</w:t>
            </w:r>
            <w:r>
              <w:rPr>
                <w:rFonts w:hint="eastAsia" w:ascii="仿宋_GB2312" w:hAnsi="仿宋_GB2312" w:cs="仿宋_GB2312"/>
                <w:color w:val="auto"/>
                <w:sz w:val="24"/>
                <w:highlight w:val="none"/>
              </w:rPr>
              <w:t>的</w:t>
            </w:r>
            <w:r>
              <w:rPr>
                <w:rFonts w:hint="eastAsia" w:ascii="仿宋_GB2312" w:hAnsi="仿宋_GB2312" w:cs="仿宋_GB2312"/>
                <w:color w:val="auto"/>
                <w:sz w:val="24"/>
                <w:highlight w:val="none"/>
                <w:lang w:eastAsia="zh-Hans"/>
              </w:rPr>
              <w:t>大</w:t>
            </w:r>
            <w:r>
              <w:rPr>
                <w:rFonts w:hint="eastAsia" w:ascii="仿宋_GB2312" w:hAnsi="仿宋_GB2312" w:cs="仿宋_GB2312"/>
                <w:color w:val="auto"/>
                <w:sz w:val="24"/>
                <w:highlight w:val="none"/>
              </w:rPr>
              <w:t>量异步数据调</w:t>
            </w:r>
            <w:r>
              <w:rPr>
                <w:rFonts w:ascii="仿宋_GB2312" w:hAnsi="仿宋_GB2312" w:cs="仿宋_GB2312"/>
                <w:color w:val="auto"/>
                <w:sz w:val="24"/>
                <w:highlight w:val="none"/>
              </w:rPr>
              <w:t>用</w:t>
            </w:r>
            <w:r>
              <w:rPr>
                <w:rFonts w:hint="eastAsia" w:ascii="仿宋_GB2312" w:hAnsi="仿宋_GB2312" w:cs="仿宋_GB2312"/>
                <w:color w:val="auto"/>
                <w:sz w:val="24"/>
                <w:highlight w:val="none"/>
              </w:rPr>
              <w:t>的性能和成功率。</w:t>
            </w:r>
          </w:p>
        </w:tc>
        <w:tc>
          <w:tcPr>
            <w:tcW w:w="9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Hans"/>
              </w:rPr>
              <w:t>高</w:t>
            </w:r>
            <w:r>
              <w:rPr>
                <w:rFonts w:hint="eastAsia" w:ascii="仿宋_GB2312" w:hAnsi="仿宋_GB2312" w:eastAsia="仿宋_GB2312" w:cs="仿宋_GB2312"/>
                <w:color w:val="auto"/>
                <w:sz w:val="24"/>
                <w:szCs w:val="24"/>
                <w:highlight w:val="none"/>
              </w:rPr>
              <w:t>效易</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的应</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监控</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应</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拓扑的我发现：通过对 RPC 调</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信息进</w:t>
            </w:r>
            <w:r>
              <w:rPr>
                <w:rFonts w:hint="eastAsia" w:ascii="仿宋_GB2312" w:hAnsi="仿宋_GB2312" w:eastAsia="仿宋_GB2312" w:cs="仿宋_GB2312"/>
                <w:color w:val="auto"/>
                <w:sz w:val="24"/>
                <w:szCs w:val="24"/>
                <w:highlight w:val="none"/>
                <w:lang w:eastAsia="zh-Hans"/>
              </w:rPr>
              <w:t>行</w:t>
            </w:r>
            <w:r>
              <w:rPr>
                <w:rFonts w:hint="eastAsia" w:ascii="仿宋_GB2312" w:hAnsi="仿宋_GB2312" w:eastAsia="仿宋_GB2312" w:cs="仿宋_GB2312"/>
                <w:color w:val="auto"/>
                <w:sz w:val="24"/>
                <w:szCs w:val="24"/>
                <w:highlight w:val="none"/>
              </w:rPr>
              <w:t>动态分析、智能计算，</w:t>
            </w:r>
            <w:r>
              <w:rPr>
                <w:rFonts w:hint="eastAsia" w:ascii="仿宋_GB2312" w:hAnsi="仿宋_GB2312" w:eastAsia="仿宋_GB2312" w:cs="仿宋_GB2312"/>
                <w:color w:val="auto"/>
                <w:sz w:val="24"/>
                <w:szCs w:val="24"/>
                <w:highlight w:val="none"/>
                <w:lang w:eastAsia="zh-Hans"/>
              </w:rPr>
              <w:t>自</w:t>
            </w:r>
            <w:r>
              <w:rPr>
                <w:rFonts w:hint="eastAsia" w:ascii="仿宋_GB2312" w:hAnsi="仿宋_GB2312" w:eastAsia="仿宋_GB2312" w:cs="仿宋_GB2312"/>
                <w:color w:val="auto"/>
                <w:sz w:val="24"/>
                <w:szCs w:val="24"/>
                <w:highlight w:val="none"/>
              </w:rPr>
              <w:t>动</w:t>
            </w:r>
            <w:r>
              <w:rPr>
                <w:rFonts w:hint="eastAsia" w:ascii="仿宋_GB2312" w:hAnsi="仿宋_GB2312" w:eastAsia="仿宋_GB2312" w:cs="仿宋_GB2312"/>
                <w:color w:val="auto"/>
                <w:sz w:val="24"/>
                <w:szCs w:val="24"/>
                <w:highlight w:val="none"/>
                <w:lang w:eastAsia="zh-Hans"/>
              </w:rPr>
              <w:t>生</w:t>
            </w:r>
            <w:r>
              <w:rPr>
                <w:rFonts w:hint="eastAsia" w:ascii="仿宋_GB2312" w:hAnsi="仿宋_GB2312" w:eastAsia="仿宋_GB2312" w:cs="仿宋_GB2312"/>
                <w:color w:val="auto"/>
                <w:sz w:val="24"/>
                <w:szCs w:val="24"/>
                <w:highlight w:val="none"/>
              </w:rPr>
              <w:t>成分布式</w:t>
            </w:r>
            <w:r>
              <w:rPr>
                <w:rFonts w:hint="eastAsia" w:ascii="仿宋_GB2312" w:hAnsi="仿宋_GB2312" w:eastAsia="仿宋_GB2312" w:cs="仿宋_GB2312"/>
                <w:color w:val="auto"/>
                <w:sz w:val="24"/>
                <w:szCs w:val="24"/>
                <w:highlight w:val="none"/>
                <w:lang w:eastAsia="zh-Hans"/>
              </w:rPr>
              <w:t>应用</w:t>
            </w:r>
            <w:r>
              <w:rPr>
                <w:rFonts w:hint="eastAsia" w:ascii="仿宋_GB2312" w:hAnsi="仿宋_GB2312" w:eastAsia="仿宋_GB2312" w:cs="仿宋_GB2312"/>
                <w:color w:val="auto"/>
                <w:sz w:val="24"/>
                <w:szCs w:val="24"/>
                <w:highlight w:val="none"/>
              </w:rPr>
              <w:t>间调</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关系；</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常</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诊断场景的指标下钻分析：根据</w:t>
            </w:r>
            <w:r>
              <w:rPr>
                <w:rFonts w:hint="eastAsia" w:ascii="仿宋_GB2312" w:hAnsi="仿宋_GB2312" w:eastAsia="仿宋_GB2312" w:cs="仿宋_GB2312"/>
                <w:color w:val="auto"/>
                <w:sz w:val="24"/>
                <w:szCs w:val="24"/>
                <w:highlight w:val="none"/>
                <w:lang w:eastAsia="zh-Hans"/>
              </w:rPr>
              <w:t>应用</w:t>
            </w:r>
            <w:r>
              <w:rPr>
                <w:rFonts w:hint="eastAsia" w:ascii="仿宋_GB2312" w:hAnsi="仿宋_GB2312" w:eastAsia="仿宋_GB2312" w:cs="仿宋_GB2312"/>
                <w:color w:val="auto"/>
                <w:sz w:val="24"/>
                <w:szCs w:val="24"/>
                <w:highlight w:val="none"/>
              </w:rPr>
              <w:t>响应时间、请求数、错误率等指标下钻分析，按应</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、事务、数据库多维度查看；</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异常事务和慢事务捕捉：基于调</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事务（Trace）的超时和异常分析，并有效</w:t>
            </w:r>
            <w:r>
              <w:rPr>
                <w:rFonts w:hint="eastAsia" w:ascii="仿宋_GB2312" w:hAnsi="仿宋_GB2312" w:eastAsia="仿宋_GB2312" w:cs="仿宋_GB2312"/>
                <w:color w:val="auto"/>
                <w:sz w:val="24"/>
                <w:szCs w:val="24"/>
                <w:highlight w:val="none"/>
                <w:lang w:eastAsia="zh-Hans"/>
              </w:rPr>
              <w:t>自</w:t>
            </w:r>
            <w:r>
              <w:rPr>
                <w:rFonts w:hint="eastAsia" w:ascii="仿宋_GB2312" w:hAnsi="仿宋_GB2312" w:eastAsia="仿宋_GB2312" w:cs="仿宋_GB2312"/>
                <w:color w:val="auto"/>
                <w:sz w:val="24"/>
                <w:szCs w:val="24"/>
                <w:highlight w:val="none"/>
              </w:rPr>
              <w:t>定关联到对应的接口调</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，如 SQL、MQ 等；</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事务快照查询：智能收集基于调</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链（Trace）的问题事务，通过排查详细明细数据明确异常或错误来源。</w:t>
            </w:r>
          </w:p>
        </w:tc>
        <w:tc>
          <w:tcPr>
            <w:tcW w:w="9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8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auto"/>
                <w:sz w:val="24"/>
                <w:szCs w:val="24"/>
                <w:highlight w:val="none"/>
              </w:rPr>
            </w:pPr>
          </w:p>
        </w:tc>
        <w:tc>
          <w:tcPr>
            <w:tcW w:w="7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功能丰富的</w:t>
            </w:r>
            <w:r>
              <w:rPr>
                <w:rFonts w:hint="eastAsia" w:ascii="仿宋_GB2312" w:hAnsi="仿宋_GB2312" w:eastAsia="仿宋_GB2312" w:cs="仿宋_GB2312"/>
                <w:color w:val="auto"/>
                <w:sz w:val="24"/>
                <w:szCs w:val="24"/>
                <w:highlight w:val="none"/>
                <w:lang w:eastAsia="zh-Hans"/>
              </w:rPr>
              <w:t>自</w:t>
            </w:r>
            <w:r>
              <w:rPr>
                <w:rFonts w:hint="eastAsia" w:ascii="仿宋_GB2312" w:hAnsi="仿宋_GB2312" w:eastAsia="仿宋_GB2312" w:cs="仿宋_GB2312"/>
                <w:color w:val="auto"/>
                <w:sz w:val="24"/>
                <w:szCs w:val="24"/>
                <w:highlight w:val="none"/>
              </w:rPr>
              <w:t>定义监控</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丰富的数据源：⽀持各类实时数据源，如</w:t>
            </w:r>
            <w:r>
              <w:rPr>
                <w:rFonts w:ascii="仿宋_GB2312" w:hAnsi="仿宋_GB2312" w:eastAsia="仿宋_GB2312" w:cs="仿宋_GB2312"/>
                <w:color w:val="auto"/>
                <w:sz w:val="24"/>
                <w:szCs w:val="24"/>
                <w:highlight w:val="none"/>
                <w:lang w:eastAsia="zh-Hans"/>
              </w:rPr>
              <w:t>日</w:t>
            </w:r>
            <w:r>
              <w:rPr>
                <w:rFonts w:hint="eastAsia" w:ascii="仿宋_GB2312" w:hAnsi="仿宋_GB2312" w:eastAsia="仿宋_GB2312" w:cs="仿宋_GB2312"/>
                <w:color w:val="auto"/>
                <w:sz w:val="24"/>
                <w:szCs w:val="24"/>
                <w:highlight w:val="none"/>
              </w:rPr>
              <w:t>志、SDK、MQ、Loghub 等；</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灵活的实时计算和存储编排：</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w:t>
            </w:r>
            <w:r>
              <w:rPr>
                <w:rFonts w:hint="eastAsia" w:ascii="仿宋_GB2312" w:hAnsi="仿宋_GB2312" w:eastAsia="仿宋_GB2312" w:cs="仿宋_GB2312"/>
                <w:color w:val="auto"/>
                <w:sz w:val="24"/>
                <w:szCs w:val="24"/>
                <w:highlight w:val="none"/>
                <w:lang w:eastAsia="zh-Hans"/>
              </w:rPr>
              <w:t>用户</w:t>
            </w:r>
            <w:r>
              <w:rPr>
                <w:rFonts w:hint="eastAsia" w:ascii="仿宋_GB2312" w:hAnsi="仿宋_GB2312" w:eastAsia="仿宋_GB2312" w:cs="仿宋_GB2312"/>
                <w:color w:val="auto"/>
                <w:sz w:val="24"/>
                <w:szCs w:val="24"/>
                <w:highlight w:val="none"/>
              </w:rPr>
              <w:t>根据指定维度和计算</w:t>
            </w:r>
            <w:r>
              <w:rPr>
                <w:rFonts w:hint="eastAsia" w:ascii="仿宋_GB2312" w:hAnsi="仿宋_GB2312" w:eastAsia="仿宋_GB2312" w:cs="仿宋_GB2312"/>
                <w:color w:val="auto"/>
                <w:sz w:val="24"/>
                <w:szCs w:val="24"/>
                <w:highlight w:val="none"/>
                <w:lang w:eastAsia="zh-Hans"/>
              </w:rPr>
              <w:t>方</w:t>
            </w:r>
            <w:r>
              <w:rPr>
                <w:rFonts w:hint="eastAsia" w:ascii="仿宋_GB2312" w:hAnsi="仿宋_GB2312" w:eastAsia="仿宋_GB2312" w:cs="仿宋_GB2312"/>
                <w:color w:val="auto"/>
                <w:sz w:val="24"/>
                <w:szCs w:val="24"/>
                <w:highlight w:val="none"/>
              </w:rPr>
              <w:t>式</w:t>
            </w:r>
            <w:r>
              <w:rPr>
                <w:rFonts w:hint="eastAsia" w:ascii="仿宋_GB2312" w:hAnsi="仿宋_GB2312" w:eastAsia="仿宋_GB2312" w:cs="仿宋_GB2312"/>
                <w:color w:val="auto"/>
                <w:sz w:val="24"/>
                <w:szCs w:val="24"/>
                <w:highlight w:val="none"/>
                <w:lang w:eastAsia="zh-Hans"/>
              </w:rPr>
              <w:t>自行</w:t>
            </w:r>
            <w:r>
              <w:rPr>
                <w:rFonts w:hint="eastAsia" w:ascii="仿宋_GB2312" w:hAnsi="仿宋_GB2312" w:eastAsia="仿宋_GB2312" w:cs="仿宋_GB2312"/>
                <w:color w:val="auto"/>
                <w:sz w:val="24"/>
                <w:szCs w:val="24"/>
                <w:highlight w:val="none"/>
              </w:rPr>
              <w:t>编排实时计算和存储</w:t>
            </w:r>
            <w:r>
              <w:rPr>
                <w:rFonts w:hint="eastAsia" w:ascii="仿宋_GB2312" w:hAnsi="仿宋_GB2312" w:eastAsia="仿宋_GB2312" w:cs="仿宋_GB2312"/>
                <w:color w:val="auto"/>
                <w:sz w:val="24"/>
                <w:szCs w:val="24"/>
                <w:highlight w:val="none"/>
                <w:lang w:eastAsia="zh-Hans"/>
              </w:rPr>
              <w:t>方</w:t>
            </w:r>
            <w:r>
              <w:rPr>
                <w:rFonts w:hint="eastAsia" w:ascii="仿宋_GB2312" w:hAnsi="仿宋_GB2312" w:eastAsia="仿宋_GB2312" w:cs="仿宋_GB2312"/>
                <w:color w:val="auto"/>
                <w:sz w:val="24"/>
                <w:szCs w:val="24"/>
                <w:highlight w:val="none"/>
              </w:rPr>
              <w:t>式；</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灵活的报警和</w:t>
            </w:r>
            <w:r>
              <w:rPr>
                <w:rFonts w:hint="eastAsia" w:ascii="仿宋_GB2312" w:hAnsi="仿宋_GB2312" w:eastAsia="仿宋_GB2312" w:cs="仿宋_GB2312"/>
                <w:color w:val="auto"/>
                <w:sz w:val="24"/>
                <w:szCs w:val="24"/>
                <w:highlight w:val="none"/>
                <w:lang w:eastAsia="zh-Hans"/>
              </w:rPr>
              <w:t>大</w:t>
            </w:r>
            <w:r>
              <w:rPr>
                <w:rFonts w:hint="eastAsia" w:ascii="仿宋_GB2312" w:hAnsi="仿宋_GB2312" w:eastAsia="仿宋_GB2312" w:cs="仿宋_GB2312"/>
                <w:color w:val="auto"/>
                <w:sz w:val="24"/>
                <w:szCs w:val="24"/>
                <w:highlight w:val="none"/>
              </w:rPr>
              <w:t>盘对接：监控数据集可快速对接 ARMS 报警和</w:t>
            </w:r>
            <w:r>
              <w:rPr>
                <w:rFonts w:hint="eastAsia" w:ascii="仿宋_GB2312" w:hAnsi="仿宋_GB2312" w:eastAsia="仿宋_GB2312" w:cs="仿宋_GB2312"/>
                <w:color w:val="auto"/>
                <w:sz w:val="24"/>
                <w:szCs w:val="24"/>
                <w:highlight w:val="none"/>
                <w:lang w:eastAsia="zh-Hans"/>
              </w:rPr>
              <w:t>大</w:t>
            </w:r>
            <w:r>
              <w:rPr>
                <w:rFonts w:hint="eastAsia" w:ascii="仿宋_GB2312" w:hAnsi="仿宋_GB2312" w:eastAsia="仿宋_GB2312" w:cs="仿宋_GB2312"/>
                <w:color w:val="auto"/>
                <w:sz w:val="24"/>
                <w:szCs w:val="24"/>
                <w:highlight w:val="none"/>
              </w:rPr>
              <w:t>盘平台，以提供各类场景的监控</w:t>
            </w:r>
            <w:r>
              <w:rPr>
                <w:rFonts w:hint="eastAsia" w:ascii="仿宋_GB2312" w:hAnsi="仿宋_GB2312" w:eastAsia="仿宋_GB2312" w:cs="仿宋_GB2312"/>
                <w:color w:val="auto"/>
                <w:sz w:val="24"/>
                <w:szCs w:val="24"/>
                <w:highlight w:val="none"/>
                <w:lang w:eastAsia="zh-Hans"/>
              </w:rPr>
              <w:t>能力</w:t>
            </w:r>
            <w:r>
              <w:rPr>
                <w:rFonts w:hint="eastAsia" w:ascii="仿宋_GB2312" w:hAnsi="仿宋_GB2312" w:eastAsia="仿宋_GB2312" w:cs="仿宋_GB2312"/>
                <w:color w:val="auto"/>
                <w:sz w:val="24"/>
                <w:szCs w:val="24"/>
                <w:highlight w:val="none"/>
              </w:rPr>
              <w:t>；</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ascii="仿宋_GB2312" w:hAnsi="仿宋_GB2312" w:eastAsia="仿宋_GB2312" w:cs="仿宋_GB2312"/>
                <w:color w:val="auto"/>
                <w:sz w:val="24"/>
                <w:szCs w:val="24"/>
                <w:highlight w:val="none"/>
              </w:rPr>
              <w:t>大</w:t>
            </w:r>
            <w:r>
              <w:rPr>
                <w:rFonts w:hint="eastAsia" w:ascii="仿宋_GB2312" w:hAnsi="仿宋_GB2312" w:eastAsia="仿宋_GB2312" w:cs="仿宋_GB2312"/>
                <w:color w:val="auto"/>
                <w:sz w:val="24"/>
                <w:szCs w:val="24"/>
                <w:highlight w:val="none"/>
              </w:rPr>
              <w:t>量丰富的参考场景模板，如 Nginx 监控、异常监控、电商监控等。</w:t>
            </w:r>
          </w:p>
        </w:tc>
        <w:tc>
          <w:tcPr>
            <w:tcW w:w="977"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p>
        </w:tc>
      </w:tr>
    </w:tbl>
    <w:p>
      <w:pPr>
        <w:pStyle w:val="232"/>
        <w:ind w:firstLine="0" w:firstLineChars="0"/>
        <w:outlineLvl w:val="2"/>
        <w:rPr>
          <w:rFonts w:ascii="仿宋_GB2312" w:hAnsi="Calibri" w:eastAsia="仿宋_GB2312"/>
          <w:b/>
          <w:bCs/>
          <w:color w:val="auto"/>
          <w:szCs w:val="24"/>
          <w:highlight w:val="none"/>
        </w:rPr>
      </w:pPr>
      <w:r>
        <w:rPr>
          <w:rFonts w:hint="eastAsia" w:ascii="仿宋_GB2312" w:hAnsi="Calibri" w:eastAsia="仿宋_GB2312"/>
          <w:b/>
          <w:bCs/>
          <w:color w:val="auto"/>
          <w:szCs w:val="24"/>
          <w:highlight w:val="none"/>
        </w:rPr>
        <w:t>2.1</w:t>
      </w:r>
      <w:r>
        <w:rPr>
          <w:rFonts w:ascii="仿宋_GB2312" w:hAnsi="Calibri" w:eastAsia="仿宋_GB2312"/>
          <w:b/>
          <w:bCs/>
          <w:color w:val="auto"/>
          <w:szCs w:val="24"/>
          <w:highlight w:val="none"/>
        </w:rPr>
        <w:t>4</w:t>
      </w:r>
      <w:r>
        <w:rPr>
          <w:rFonts w:hint="eastAsia" w:ascii="仿宋_GB2312" w:hAnsi="Calibri" w:eastAsia="仿宋_GB2312"/>
          <w:b/>
          <w:bCs/>
          <w:color w:val="auto"/>
          <w:szCs w:val="24"/>
          <w:highlight w:val="none"/>
        </w:rPr>
        <w:t xml:space="preserve"> </w:t>
      </w:r>
      <w:r>
        <w:rPr>
          <w:rFonts w:hint="eastAsia" w:ascii="仿宋_GB2312" w:hAnsi="Calibri" w:eastAsia="仿宋_GB2312"/>
          <w:b/>
          <w:bCs/>
          <w:color w:val="auto"/>
          <w:szCs w:val="24"/>
          <w:highlight w:val="none"/>
          <w:lang w:eastAsia="zh-CN"/>
        </w:rPr>
        <w:t>企业级</w:t>
      </w:r>
      <w:r>
        <w:rPr>
          <w:rFonts w:hint="eastAsia" w:ascii="仿宋_GB2312" w:hAnsi="Calibri" w:eastAsia="仿宋_GB2312"/>
          <w:b/>
          <w:bCs/>
          <w:color w:val="auto"/>
          <w:szCs w:val="24"/>
          <w:highlight w:val="none"/>
        </w:rPr>
        <w:t>分布式应用服务ED</w:t>
      </w:r>
      <w:r>
        <w:rPr>
          <w:rFonts w:ascii="仿宋_GB2312" w:hAnsi="Calibri" w:eastAsia="仿宋_GB2312"/>
          <w:b/>
          <w:bCs/>
          <w:color w:val="auto"/>
          <w:szCs w:val="24"/>
          <w:highlight w:val="none"/>
        </w:rPr>
        <w:t>AS</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139"/>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指标项</w:t>
            </w:r>
          </w:p>
        </w:tc>
        <w:tc>
          <w:tcPr>
            <w:tcW w:w="713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color w:val="auto"/>
                <w:sz w:val="24"/>
                <w:highlight w:val="none"/>
              </w:rPr>
            </w:pPr>
            <w:r>
              <w:rPr>
                <w:rFonts w:hint="eastAsia" w:ascii="仿宋_GB2312"/>
                <w:color w:val="auto"/>
                <w:sz w:val="24"/>
                <w:highlight w:val="none"/>
              </w:rPr>
              <w:t>规格要求</w:t>
            </w:r>
          </w:p>
        </w:tc>
        <w:tc>
          <w:tcPr>
            <w:tcW w:w="96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服务标准</w:t>
            </w:r>
          </w:p>
        </w:tc>
        <w:tc>
          <w:tcPr>
            <w:tcW w:w="7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cs="仿宋_GB2312"/>
                <w:color w:val="auto"/>
                <w:sz w:val="24"/>
                <w:highlight w:val="none"/>
              </w:rPr>
            </w:pPr>
            <w:r>
              <w:rPr>
                <w:rFonts w:hint="eastAsia" w:ascii="仿宋_GB2312" w:hAnsi="仿宋_GB2312" w:eastAsia="仿宋_GB2312" w:cs="仿宋_GB2312"/>
                <w:color w:val="auto"/>
                <w:sz w:val="24"/>
                <w:szCs w:val="24"/>
                <w:highlight w:val="none"/>
              </w:rPr>
              <w:t>提供</w:t>
            </w:r>
            <w:r>
              <w:rPr>
                <w:rFonts w:hint="eastAsia" w:ascii="仿宋_GB2312" w:hAnsi="仿宋_GB2312" w:eastAsia="仿宋_GB2312" w:cs="仿宋_GB2312"/>
                <w:color w:val="auto"/>
                <w:sz w:val="24"/>
                <w:szCs w:val="24"/>
                <w:highlight w:val="none"/>
                <w:lang w:eastAsia="zh-Hans"/>
              </w:rPr>
              <w:t>应用</w:t>
            </w:r>
            <w:r>
              <w:rPr>
                <w:rFonts w:hint="eastAsia" w:ascii="仿宋_GB2312" w:hAnsi="仿宋_GB2312" w:eastAsia="仿宋_GB2312" w:cs="仿宋_GB2312"/>
                <w:color w:val="auto"/>
                <w:sz w:val="24"/>
                <w:szCs w:val="24"/>
                <w:highlight w:val="none"/>
              </w:rPr>
              <w:t>开发、部署、监控、运维等全栈式解决</w:t>
            </w:r>
            <w:r>
              <w:rPr>
                <w:rFonts w:hint="eastAsia" w:ascii="仿宋_GB2312" w:hAnsi="仿宋_GB2312" w:eastAsia="仿宋_GB2312" w:cs="仿宋_GB2312"/>
                <w:color w:val="auto"/>
                <w:sz w:val="24"/>
                <w:szCs w:val="24"/>
                <w:highlight w:val="none"/>
                <w:lang w:eastAsia="zh-Hans"/>
              </w:rPr>
              <w:t>方</w:t>
            </w:r>
            <w:r>
              <w:rPr>
                <w:rFonts w:hint="eastAsia" w:ascii="仿宋_GB2312" w:hAnsi="仿宋_GB2312" w:eastAsia="仿宋_GB2312" w:cs="仿宋_GB2312"/>
                <w:color w:val="auto"/>
                <w:sz w:val="24"/>
                <w:szCs w:val="24"/>
                <w:highlight w:val="none"/>
              </w:rPr>
              <w:t>案，同时</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持Dubbo、Spring Cloud 等微服务</w:t>
            </w:r>
            <w:r>
              <w:rPr>
                <w:rFonts w:hint="eastAsia" w:ascii="仿宋_GB2312" w:hAnsi="仿宋_GB2312" w:eastAsia="仿宋_GB2312" w:cs="仿宋_GB2312"/>
                <w:color w:val="auto"/>
                <w:sz w:val="24"/>
                <w:szCs w:val="24"/>
                <w:highlight w:val="none"/>
                <w:lang w:eastAsia="zh-Hans"/>
              </w:rPr>
              <w:t>运行</w:t>
            </w:r>
            <w:r>
              <w:rPr>
                <w:rFonts w:hint="eastAsia" w:ascii="仿宋_GB2312" w:hAnsi="仿宋_GB2312" w:eastAsia="仿宋_GB2312" w:cs="仿宋_GB2312"/>
                <w:color w:val="auto"/>
                <w:sz w:val="24"/>
                <w:szCs w:val="24"/>
                <w:highlight w:val="none"/>
              </w:rPr>
              <w:t>环境</w:t>
            </w:r>
            <w:r>
              <w:rPr>
                <w:rFonts w:ascii="仿宋_GB2312" w:hAnsi="仿宋_GB2312" w:eastAsia="仿宋_GB2312" w:cs="仿宋_GB2312"/>
                <w:color w:val="auto"/>
                <w:sz w:val="24"/>
                <w:szCs w:val="24"/>
                <w:highlight w:val="none"/>
              </w:rPr>
              <w:t>。</w:t>
            </w:r>
          </w:p>
        </w:tc>
        <w:tc>
          <w:tcPr>
            <w:tcW w:w="96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restart"/>
            <w:tcBorders>
              <w:top w:val="single" w:color="auto" w:sz="4" w:space="0"/>
              <w:left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服务特性</w:t>
            </w:r>
          </w:p>
        </w:tc>
        <w:tc>
          <w:tcPr>
            <w:tcW w:w="7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cs="仿宋_GB2312"/>
                <w:color w:val="auto"/>
                <w:sz w:val="24"/>
                <w:highlight w:val="none"/>
              </w:rPr>
            </w:pPr>
            <w:r>
              <w:rPr>
                <w:rFonts w:hint="eastAsia" w:ascii="仿宋_GB2312" w:hAnsi="仿宋_GB2312" w:eastAsia="仿宋_GB2312" w:cs="仿宋_GB2312"/>
                <w:color w:val="auto"/>
                <w:sz w:val="24"/>
                <w:szCs w:val="24"/>
                <w:highlight w:val="none"/>
              </w:rPr>
              <w:t>涵盖了应</w:t>
            </w:r>
            <w:r>
              <w:rPr>
                <w:rFonts w:hint="eastAsia" w:ascii="仿宋_GB2312" w:hAnsi="仿宋_GB2312" w:eastAsia="仿宋_GB2312" w:cs="仿宋_GB2312"/>
                <w:color w:val="auto"/>
                <w:sz w:val="24"/>
                <w:szCs w:val="24"/>
                <w:highlight w:val="none"/>
                <w:lang w:eastAsia="zh-Hans"/>
              </w:rPr>
              <w:t>用生</w:t>
            </w:r>
            <w:r>
              <w:rPr>
                <w:rFonts w:hint="eastAsia" w:ascii="仿宋_GB2312" w:hAnsi="仿宋_GB2312" w:eastAsia="仿宋_GB2312" w:cs="仿宋_GB2312"/>
                <w:color w:val="auto"/>
                <w:sz w:val="24"/>
                <w:szCs w:val="24"/>
                <w:highlight w:val="none"/>
              </w:rPr>
              <w:t>命周期管理、运维管控等众多功。</w:t>
            </w:r>
          </w:p>
        </w:tc>
        <w:tc>
          <w:tcPr>
            <w:tcW w:w="96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弹性伸缩：弹性伸缩能够感知应</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内各个实例的状态，并根据状态动态实现应</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扩容、缩容。在保证服务质量的同时，提升应</w:t>
            </w:r>
            <w:r>
              <w:rPr>
                <w:rFonts w:hint="eastAsia" w:ascii="仿宋_GB2312" w:hAnsi="仿宋_GB2312" w:eastAsia="仿宋_GB2312" w:cs="仿宋_GB2312"/>
                <w:color w:val="auto"/>
                <w:sz w:val="24"/>
                <w:szCs w:val="24"/>
                <w:highlight w:val="none"/>
                <w:lang w:eastAsia="zh-Hans"/>
              </w:rPr>
              <w:t>用</w:t>
            </w:r>
            <w:r>
              <w:rPr>
                <w:rFonts w:hint="eastAsia" w:ascii="仿宋_GB2312" w:hAnsi="仿宋_GB2312" w:eastAsia="仿宋_GB2312" w:cs="仿宋_GB2312"/>
                <w:color w:val="auto"/>
                <w:sz w:val="24"/>
                <w:szCs w:val="24"/>
                <w:highlight w:val="none"/>
              </w:rPr>
              <w:t>的可</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率。</w:t>
            </w:r>
          </w:p>
        </w:tc>
        <w:tc>
          <w:tcPr>
            <w:tcW w:w="96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限流降级：限流降级</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于解决后端核</w:t>
            </w:r>
            <w:r>
              <w:rPr>
                <w:rFonts w:ascii="仿宋_GB2312" w:hAnsi="仿宋_GB2312" w:eastAsia="仿宋_GB2312" w:cs="仿宋_GB2312"/>
                <w:color w:val="auto"/>
                <w:sz w:val="24"/>
                <w:szCs w:val="24"/>
                <w:highlight w:val="none"/>
              </w:rPr>
              <w:t>心</w:t>
            </w:r>
            <w:r>
              <w:rPr>
                <w:rFonts w:hint="eastAsia" w:ascii="仿宋_GB2312" w:hAnsi="仿宋_GB2312" w:eastAsia="仿宋_GB2312" w:cs="仿宋_GB2312"/>
                <w:color w:val="auto"/>
                <w:sz w:val="24"/>
                <w:szCs w:val="24"/>
                <w:highlight w:val="none"/>
              </w:rPr>
              <w:t>服务因压</w:t>
            </w:r>
            <w:r>
              <w:rPr>
                <w:rFonts w:ascii="仿宋_GB2312" w:hAnsi="仿宋_GB2312" w:eastAsia="仿宋_GB2312" w:cs="仿宋_GB2312"/>
                <w:color w:val="auto"/>
                <w:sz w:val="24"/>
                <w:szCs w:val="24"/>
                <w:highlight w:val="none"/>
              </w:rPr>
              <w:t>力</w:t>
            </w:r>
            <w:r>
              <w:rPr>
                <w:rFonts w:hint="eastAsia" w:ascii="仿宋_GB2312" w:hAnsi="仿宋_GB2312" w:eastAsia="仿宋_GB2312" w:cs="仿宋_GB2312"/>
                <w:color w:val="auto"/>
                <w:sz w:val="24"/>
                <w:szCs w:val="24"/>
                <w:highlight w:val="none"/>
              </w:rPr>
              <w:t>过</w:t>
            </w:r>
            <w:r>
              <w:rPr>
                <w:rFonts w:ascii="仿宋_GB2312" w:hAnsi="仿宋_GB2312" w:eastAsia="仿宋_GB2312" w:cs="仿宋_GB2312"/>
                <w:color w:val="auto"/>
                <w:sz w:val="24"/>
                <w:szCs w:val="24"/>
                <w:highlight w:val="none"/>
              </w:rPr>
              <w:t>大</w:t>
            </w:r>
            <w:r>
              <w:rPr>
                <w:rFonts w:hint="eastAsia" w:ascii="仿宋_GB2312" w:hAnsi="仿宋_GB2312" w:eastAsia="仿宋_GB2312" w:cs="仿宋_GB2312"/>
                <w:color w:val="auto"/>
                <w:sz w:val="24"/>
                <w:szCs w:val="24"/>
                <w:highlight w:val="none"/>
              </w:rPr>
              <w:t>造成系统反应过慢或者崩溃问题，通常</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于例如商品秒杀、抢购、</w:t>
            </w:r>
            <w:r>
              <w:rPr>
                <w:rFonts w:ascii="仿宋_GB2312" w:hAnsi="仿宋_GB2312" w:eastAsia="仿宋_GB2312" w:cs="仿宋_GB2312"/>
                <w:color w:val="auto"/>
                <w:sz w:val="24"/>
                <w:szCs w:val="24"/>
                <w:highlight w:val="none"/>
              </w:rPr>
              <w:t>大</w:t>
            </w:r>
            <w:r>
              <w:rPr>
                <w:rFonts w:hint="eastAsia" w:ascii="仿宋_GB2312" w:hAnsi="仿宋_GB2312" w:eastAsia="仿宋_GB2312" w:cs="仿宋_GB2312"/>
                <w:color w:val="auto"/>
                <w:sz w:val="24"/>
                <w:szCs w:val="24"/>
                <w:highlight w:val="none"/>
              </w:rPr>
              <w:t>促、防刷单等</w:t>
            </w:r>
            <w:r>
              <w:rPr>
                <w:rFonts w:ascii="仿宋_GB2312" w:hAnsi="仿宋_GB2312" w:eastAsia="仿宋_GB2312" w:cs="仿宋_GB2312"/>
                <w:color w:val="auto"/>
                <w:sz w:val="24"/>
                <w:szCs w:val="24"/>
                <w:highlight w:val="none"/>
              </w:rPr>
              <w:t>大</w:t>
            </w:r>
            <w:r>
              <w:rPr>
                <w:rFonts w:hint="eastAsia" w:ascii="仿宋_GB2312" w:hAnsi="仿宋_GB2312" w:eastAsia="仿宋_GB2312" w:cs="仿宋_GB2312"/>
                <w:color w:val="auto"/>
                <w:sz w:val="24"/>
                <w:szCs w:val="24"/>
                <w:highlight w:val="none"/>
              </w:rPr>
              <w:t>流量场景。</w:t>
            </w:r>
          </w:p>
        </w:tc>
        <w:tc>
          <w:tcPr>
            <w:tcW w:w="96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5"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健康检查：健康检查对容器与应</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进</w:t>
            </w:r>
            <w:r>
              <w:rPr>
                <w:rFonts w:ascii="仿宋_GB2312" w:hAnsi="仿宋_GB2312" w:eastAsia="仿宋_GB2312" w:cs="仿宋_GB2312"/>
                <w:color w:val="auto"/>
                <w:sz w:val="24"/>
                <w:szCs w:val="24"/>
                <w:highlight w:val="none"/>
              </w:rPr>
              <w:t>行</w:t>
            </w:r>
            <w:r>
              <w:rPr>
                <w:rFonts w:hint="eastAsia" w:ascii="仿宋_GB2312" w:hAnsi="仿宋_GB2312" w:eastAsia="仿宋_GB2312" w:cs="仿宋_GB2312"/>
                <w:color w:val="auto"/>
                <w:sz w:val="24"/>
                <w:szCs w:val="24"/>
                <w:highlight w:val="none"/>
              </w:rPr>
              <w:t>定时检查和汇报，然后将结果上报到控制台，</w:t>
            </w:r>
            <w:r>
              <w:rPr>
                <w:rFonts w:hint="eastAsia" w:ascii="仿宋_GB2312" w:hAnsi="仿宋_GB2312" w:eastAsia="仿宋_GB2312" w:cs="仿宋_GB2312"/>
                <w:color w:val="auto"/>
                <w:sz w:val="24"/>
                <w:szCs w:val="24"/>
                <w:highlight w:val="none"/>
                <w:lang w:eastAsia="zh-Hans"/>
              </w:rPr>
              <w:t>可以</w:t>
            </w:r>
            <w:r>
              <w:rPr>
                <w:rFonts w:hint="eastAsia" w:ascii="仿宋_GB2312" w:hAnsi="仿宋_GB2312" w:eastAsia="仿宋_GB2312" w:cs="仿宋_GB2312"/>
                <w:color w:val="auto"/>
                <w:sz w:val="24"/>
                <w:szCs w:val="24"/>
                <w:highlight w:val="none"/>
              </w:rPr>
              <w:t>了解集群环境下整个应</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的运</w:t>
            </w:r>
            <w:r>
              <w:rPr>
                <w:rFonts w:ascii="仿宋_GB2312" w:hAnsi="仿宋_GB2312" w:eastAsia="仿宋_GB2312" w:cs="仿宋_GB2312"/>
                <w:color w:val="auto"/>
                <w:sz w:val="24"/>
                <w:szCs w:val="24"/>
                <w:highlight w:val="none"/>
              </w:rPr>
              <w:t>行</w:t>
            </w:r>
            <w:r>
              <w:rPr>
                <w:rFonts w:hint="eastAsia" w:ascii="仿宋_GB2312" w:hAnsi="仿宋_GB2312" w:eastAsia="仿宋_GB2312" w:cs="仿宋_GB2312"/>
                <w:color w:val="auto"/>
                <w:sz w:val="24"/>
                <w:szCs w:val="24"/>
                <w:highlight w:val="none"/>
              </w:rPr>
              <w:t>状态，排查和定位问题。</w:t>
            </w:r>
          </w:p>
        </w:tc>
        <w:tc>
          <w:tcPr>
            <w:tcW w:w="96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灰度发布：灰度发布包括对单个应</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的灰度发布和全链路灰度发布。通过灰度发布实现应</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新、旧版本的平滑过渡。</w:t>
            </w:r>
          </w:p>
        </w:tc>
        <w:tc>
          <w:tcPr>
            <w:tcW w:w="96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restart"/>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服务能力</w:t>
            </w:r>
          </w:p>
        </w:tc>
        <w:tc>
          <w:tcPr>
            <w:tcW w:w="713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ascii="仿宋_GB2312" w:hAnsi="仿宋_GB2312" w:eastAsia="仿宋_GB2312" w:cs="仿宋_GB2312"/>
                <w:color w:val="auto"/>
                <w:sz w:val="24"/>
                <w:szCs w:val="24"/>
                <w:highlight w:val="none"/>
              </w:rPr>
              <w:t>生</w:t>
            </w:r>
            <w:r>
              <w:rPr>
                <w:rFonts w:hint="eastAsia" w:ascii="仿宋_GB2312" w:hAnsi="仿宋_GB2312" w:eastAsia="仿宋_GB2312" w:cs="仿宋_GB2312"/>
                <w:color w:val="auto"/>
                <w:sz w:val="24"/>
                <w:szCs w:val="24"/>
                <w:highlight w:val="none"/>
              </w:rPr>
              <w:t>命周期管理操作</w:t>
            </w:r>
            <w:r>
              <w:rPr>
                <w:rFonts w:hint="eastAsia" w:ascii="仿宋_GB2312" w:hAnsi="仿宋_GB2312" w:eastAsia="仿宋_GB2312" w:cs="仿宋_GB2312"/>
                <w:color w:val="auto"/>
                <w:sz w:val="24"/>
                <w:szCs w:val="24"/>
                <w:highlight w:val="none"/>
                <w:lang w:eastAsia="zh-CN"/>
              </w:rPr>
              <w:t>，</w:t>
            </w:r>
          </w:p>
          <w:p>
            <w:pPr>
              <w:autoSpaceDE w:val="0"/>
              <w:autoSpaceDN w:val="0"/>
              <w:adjustRightInd w:val="0"/>
              <w:jc w:val="left"/>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生</w:t>
            </w:r>
            <w:r>
              <w:rPr>
                <w:rFonts w:hint="eastAsia" w:ascii="仿宋_GB2312" w:hAnsi="仿宋_GB2312" w:eastAsia="仿宋_GB2312" w:cs="仿宋_GB2312"/>
                <w:color w:val="auto"/>
                <w:sz w:val="24"/>
                <w:szCs w:val="24"/>
                <w:highlight w:val="none"/>
              </w:rPr>
              <w:t>命周期管理包括创建、部署、扩容、缩容、停</w:t>
            </w:r>
            <w:r>
              <w:rPr>
                <w:rFonts w:ascii="仿宋_GB2312" w:hAnsi="仿宋_GB2312" w:eastAsia="仿宋_GB2312" w:cs="仿宋_GB2312"/>
                <w:color w:val="auto"/>
                <w:sz w:val="24"/>
                <w:szCs w:val="24"/>
                <w:highlight w:val="none"/>
              </w:rPr>
              <w:t>止</w:t>
            </w:r>
            <w:r>
              <w:rPr>
                <w:rFonts w:hint="eastAsia" w:ascii="仿宋_GB2312" w:hAnsi="仿宋_GB2312" w:eastAsia="仿宋_GB2312" w:cs="仿宋_GB2312"/>
                <w:color w:val="auto"/>
                <w:sz w:val="24"/>
                <w:szCs w:val="24"/>
                <w:highlight w:val="none"/>
              </w:rPr>
              <w:t>、删除等。</w:t>
            </w:r>
          </w:p>
        </w:tc>
        <w:tc>
          <w:tcPr>
            <w:tcW w:w="96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3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ascii="仿宋_GB2312" w:hAnsi="仿宋_GB2312" w:eastAsia="仿宋_GB2312" w:cs="仿宋_GB2312"/>
                <w:color w:val="auto"/>
                <w:sz w:val="24"/>
                <w:szCs w:val="24"/>
                <w:highlight w:val="none"/>
              </w:rPr>
              <w:t>应</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监控</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在应</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托管到EDAS后，可以对应</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进</w:t>
            </w:r>
            <w:r>
              <w:rPr>
                <w:rFonts w:ascii="仿宋_GB2312" w:hAnsi="仿宋_GB2312" w:eastAsia="仿宋_GB2312" w:cs="仿宋_GB2312"/>
                <w:color w:val="auto"/>
                <w:sz w:val="24"/>
                <w:szCs w:val="24"/>
                <w:highlight w:val="none"/>
              </w:rPr>
              <w:t>行</w:t>
            </w:r>
            <w:r>
              <w:rPr>
                <w:rFonts w:hint="eastAsia" w:ascii="仿宋_GB2312" w:hAnsi="仿宋_GB2312" w:eastAsia="仿宋_GB2312" w:cs="仿宋_GB2312"/>
                <w:color w:val="auto"/>
                <w:sz w:val="24"/>
                <w:szCs w:val="24"/>
                <w:highlight w:val="none"/>
              </w:rPr>
              <w:t>监控。包括基础监控、服务监控、</w:t>
            </w:r>
            <w:r>
              <w:rPr>
                <w:rFonts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rPr>
              <w:t>志和通知报警。</w:t>
            </w:r>
          </w:p>
        </w:tc>
        <w:tc>
          <w:tcPr>
            <w:tcW w:w="96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85"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3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ascii="仿宋_GB2312" w:hAnsi="仿宋_GB2312" w:eastAsia="仿宋_GB2312" w:cs="仿宋_GB2312"/>
                <w:color w:val="auto"/>
                <w:sz w:val="24"/>
                <w:szCs w:val="24"/>
                <w:highlight w:val="none"/>
              </w:rPr>
              <w:t>应</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诊断</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基于HSF框架开发的应</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部署并运</w:t>
            </w:r>
            <w:r>
              <w:rPr>
                <w:rFonts w:ascii="仿宋_GB2312" w:hAnsi="仿宋_GB2312" w:eastAsia="仿宋_GB2312" w:cs="仿宋_GB2312"/>
                <w:color w:val="auto"/>
                <w:sz w:val="24"/>
                <w:szCs w:val="24"/>
                <w:highlight w:val="none"/>
              </w:rPr>
              <w:t>行</w:t>
            </w:r>
            <w:r>
              <w:rPr>
                <w:rFonts w:hint="eastAsia" w:ascii="仿宋_GB2312" w:hAnsi="仿宋_GB2312" w:eastAsia="仿宋_GB2312" w:cs="仿宋_GB2312"/>
                <w:color w:val="auto"/>
                <w:sz w:val="24"/>
                <w:szCs w:val="24"/>
                <w:highlight w:val="none"/>
              </w:rPr>
              <w:t>在容器（EDAS-Container）中。EDAS提供了基于容器的诊断功能，提供相应数据来诊断应</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运</w:t>
            </w:r>
            <w:r>
              <w:rPr>
                <w:rFonts w:ascii="仿宋_GB2312" w:hAnsi="仿宋_GB2312" w:eastAsia="仿宋_GB2312" w:cs="仿宋_GB2312"/>
                <w:color w:val="auto"/>
                <w:sz w:val="24"/>
                <w:szCs w:val="24"/>
                <w:highlight w:val="none"/>
              </w:rPr>
              <w:t>行</w:t>
            </w:r>
            <w:r>
              <w:rPr>
                <w:rFonts w:hint="eastAsia" w:ascii="仿宋_GB2312" w:hAnsi="仿宋_GB2312" w:eastAsia="仿宋_GB2312" w:cs="仿宋_GB2312"/>
                <w:color w:val="auto"/>
                <w:sz w:val="24"/>
                <w:szCs w:val="24"/>
                <w:highlight w:val="none"/>
              </w:rPr>
              <w:t>问题。</w:t>
            </w:r>
          </w:p>
        </w:tc>
        <w:tc>
          <w:tcPr>
            <w:tcW w:w="96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 w:hAnsi="仿宋" w:eastAsia="仿宋" w:cs="仿宋"/>
                <w:color w:val="auto"/>
                <w:sz w:val="24"/>
                <w:highlight w:val="none"/>
              </w:rPr>
            </w:pPr>
          </w:p>
        </w:tc>
      </w:tr>
    </w:tbl>
    <w:p>
      <w:pPr>
        <w:pStyle w:val="232"/>
        <w:ind w:firstLine="0" w:firstLineChars="0"/>
        <w:outlineLvl w:val="2"/>
        <w:rPr>
          <w:rFonts w:ascii="仿宋_GB2312" w:hAnsi="Calibri" w:eastAsia="仿宋_GB2312"/>
          <w:b/>
          <w:bCs/>
          <w:color w:val="auto"/>
          <w:szCs w:val="24"/>
          <w:highlight w:val="none"/>
        </w:rPr>
      </w:pPr>
      <w:r>
        <w:rPr>
          <w:rFonts w:hint="eastAsia" w:ascii="仿宋_GB2312" w:hAnsi="Calibri" w:eastAsia="仿宋_GB2312"/>
          <w:b/>
          <w:bCs/>
          <w:color w:val="auto"/>
          <w:szCs w:val="24"/>
          <w:highlight w:val="none"/>
        </w:rPr>
        <w:t>2.1</w:t>
      </w:r>
      <w:r>
        <w:rPr>
          <w:rFonts w:ascii="仿宋_GB2312" w:hAnsi="Calibri" w:eastAsia="仿宋_GB2312"/>
          <w:b/>
          <w:bCs/>
          <w:color w:val="auto"/>
          <w:szCs w:val="24"/>
          <w:highlight w:val="none"/>
        </w:rPr>
        <w:t>5 日志服务</w:t>
      </w:r>
      <w:r>
        <w:rPr>
          <w:rFonts w:hint="default" w:ascii="仿宋_GB2312" w:hAnsi="Calibri" w:eastAsia="仿宋_GB2312"/>
          <w:b/>
          <w:bCs/>
          <w:color w:val="auto"/>
          <w:szCs w:val="24"/>
          <w:highlight w:val="none"/>
          <w:lang w:val="en"/>
        </w:rPr>
        <w:t>SLS</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115"/>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指标项</w:t>
            </w:r>
          </w:p>
        </w:tc>
        <w:tc>
          <w:tcPr>
            <w:tcW w:w="7115"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jc w:val="center"/>
              <w:rPr>
                <w:rFonts w:ascii="仿宋_GB2312" w:hAnsi="仿宋_GB2312" w:cs="仿宋_GB2312"/>
                <w:color w:val="auto"/>
                <w:sz w:val="24"/>
                <w:highlight w:val="none"/>
              </w:rPr>
            </w:pPr>
            <w:r>
              <w:rPr>
                <w:rFonts w:hint="eastAsia" w:ascii="仿宋_GB2312" w:hAnsi="仿宋_GB2312" w:cs="仿宋_GB2312"/>
                <w:color w:val="auto"/>
                <w:sz w:val="24"/>
                <w:highlight w:val="none"/>
              </w:rPr>
              <w:t>规格要求</w:t>
            </w:r>
          </w:p>
        </w:tc>
        <w:tc>
          <w:tcPr>
            <w:tcW w:w="98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服务标准</w:t>
            </w:r>
          </w:p>
        </w:tc>
        <w:tc>
          <w:tcPr>
            <w:tcW w:w="71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针对</w:t>
            </w:r>
            <w:r>
              <w:rPr>
                <w:rFonts w:hint="eastAsia" w:ascii="仿宋_GB2312" w:hAnsi="仿宋_GB2312" w:eastAsia="仿宋_GB2312" w:cs="仿宋_GB2312"/>
                <w:color w:val="auto"/>
                <w:sz w:val="24"/>
                <w:szCs w:val="24"/>
                <w:highlight w:val="none"/>
                <w:lang w:eastAsia="zh-Hans"/>
              </w:rPr>
              <w:t>日</w:t>
            </w:r>
            <w:r>
              <w:rPr>
                <w:rFonts w:hint="eastAsia" w:ascii="仿宋_GB2312" w:hAnsi="仿宋_GB2312" w:eastAsia="仿宋_GB2312" w:cs="仿宋_GB2312"/>
                <w:color w:val="auto"/>
                <w:sz w:val="24"/>
                <w:szCs w:val="24"/>
                <w:highlight w:val="none"/>
              </w:rPr>
              <w:t>志类数据的</w:t>
            </w:r>
            <w:r>
              <w:rPr>
                <w:rFonts w:hint="default" w:ascii="仿宋_GB2312" w:hAnsi="仿宋_GB2312" w:eastAsia="仿宋_GB2312" w:cs="仿宋_GB2312"/>
                <w:color w:val="auto"/>
                <w:sz w:val="24"/>
                <w:szCs w:val="24"/>
                <w:highlight w:val="none"/>
                <w:lang w:val="en"/>
              </w:rPr>
              <w:t>一</w:t>
            </w:r>
            <w:r>
              <w:rPr>
                <w:rFonts w:hint="eastAsia" w:ascii="仿宋_GB2312" w:hAnsi="仿宋_GB2312" w:eastAsia="仿宋_GB2312" w:cs="仿宋_GB2312"/>
                <w:color w:val="auto"/>
                <w:sz w:val="24"/>
                <w:szCs w:val="24"/>
                <w:highlight w:val="none"/>
              </w:rPr>
              <w:t>站式服务，提供</w:t>
            </w:r>
            <w:r>
              <w:rPr>
                <w:rFonts w:hint="eastAsia" w:ascii="仿宋_GB2312" w:hAnsi="仿宋_GB2312" w:eastAsia="仿宋_GB2312" w:cs="仿宋_GB2312"/>
                <w:color w:val="auto"/>
                <w:sz w:val="24"/>
                <w:szCs w:val="24"/>
                <w:highlight w:val="none"/>
                <w:lang w:eastAsia="zh-Hans"/>
              </w:rPr>
              <w:t>日</w:t>
            </w:r>
            <w:r>
              <w:rPr>
                <w:rFonts w:hint="eastAsia" w:ascii="仿宋_GB2312" w:hAnsi="仿宋_GB2312" w:eastAsia="仿宋_GB2312" w:cs="仿宋_GB2312"/>
                <w:color w:val="auto"/>
                <w:sz w:val="24"/>
                <w:szCs w:val="24"/>
                <w:highlight w:val="none"/>
              </w:rPr>
              <w:t>志数据的采集、查询、分析、消费等多种功能。</w:t>
            </w:r>
          </w:p>
        </w:tc>
        <w:tc>
          <w:tcPr>
            <w:tcW w:w="98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vMerge w:val="restart"/>
            <w:tcBorders>
              <w:top w:val="single" w:color="auto" w:sz="4" w:space="0"/>
              <w:left w:val="single" w:color="auto" w:sz="4" w:space="0"/>
              <w:right w:val="single" w:color="auto" w:sz="4" w:space="0"/>
            </w:tcBorders>
            <w:vAlign w:val="center"/>
          </w:tcPr>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服务特性</w:t>
            </w:r>
          </w:p>
        </w:tc>
        <w:tc>
          <w:tcPr>
            <w:tcW w:w="711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ascii="仿宋_GB2312" w:hAnsi="仿宋_GB2312" w:eastAsia="仿宋_GB2312" w:cs="仿宋_GB2312"/>
                <w:color w:val="auto"/>
                <w:sz w:val="24"/>
                <w:szCs w:val="24"/>
                <w:highlight w:val="none"/>
              </w:rPr>
              <w:t>实时采集与消费（LogHub）</w:t>
            </w:r>
            <w:r>
              <w:rPr>
                <w:rFonts w:hint="default" w:ascii="仿宋_GB2312" w:hAnsi="仿宋_GB2312" w:eastAsia="仿宋_GB2312" w:cs="仿宋_GB2312"/>
                <w:color w:val="auto"/>
                <w:sz w:val="24"/>
                <w:szCs w:val="24"/>
                <w:highlight w:val="none"/>
                <w:lang w:val="en"/>
              </w:rPr>
              <w:t>，</w:t>
            </w:r>
          </w:p>
          <w:p>
            <w:pPr>
              <w:rPr>
                <w:color w:val="auto"/>
                <w:highlight w:val="none"/>
              </w:rPr>
            </w:pPr>
            <w:r>
              <w:rPr>
                <w:rFonts w:hint="eastAsia" w:ascii="仿宋_GB2312" w:hAnsi="仿宋_GB2312" w:eastAsia="仿宋_GB2312" w:cs="仿宋_GB2312"/>
                <w:color w:val="auto"/>
                <w:sz w:val="24"/>
                <w:szCs w:val="24"/>
                <w:highlight w:val="none"/>
              </w:rPr>
              <w:t>LogHub</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持客</w:t>
            </w:r>
            <w:r>
              <w:rPr>
                <w:rFonts w:hint="eastAsia" w:ascii="仿宋_GB2312" w:hAnsi="仿宋_GB2312" w:eastAsia="仿宋_GB2312" w:cs="仿宋_GB2312"/>
                <w:color w:val="auto"/>
                <w:sz w:val="24"/>
                <w:szCs w:val="24"/>
                <w:highlight w:val="none"/>
                <w:lang w:eastAsia="zh-Hans"/>
              </w:rPr>
              <w:t>户</w:t>
            </w:r>
            <w:r>
              <w:rPr>
                <w:rFonts w:hint="eastAsia" w:ascii="仿宋_GB2312" w:hAnsi="仿宋_GB2312" w:eastAsia="仿宋_GB2312" w:cs="仿宋_GB2312"/>
                <w:color w:val="auto"/>
                <w:sz w:val="24"/>
                <w:szCs w:val="24"/>
                <w:highlight w:val="none"/>
              </w:rPr>
              <w:t>端、</w:t>
            </w:r>
            <w:r>
              <w:rPr>
                <w:rFonts w:hint="eastAsia" w:ascii="仿宋_GB2312" w:hAnsi="仿宋_GB2312" w:eastAsia="仿宋_GB2312" w:cs="仿宋_GB2312"/>
                <w:color w:val="auto"/>
                <w:sz w:val="24"/>
                <w:szCs w:val="24"/>
                <w:highlight w:val="none"/>
                <w:lang w:eastAsia="zh-Hans"/>
              </w:rPr>
              <w:t>网页</w:t>
            </w:r>
            <w:r>
              <w:rPr>
                <w:rFonts w:hint="eastAsia" w:ascii="仿宋_GB2312" w:hAnsi="仿宋_GB2312" w:eastAsia="仿宋_GB2312" w:cs="仿宋_GB2312"/>
                <w:color w:val="auto"/>
                <w:sz w:val="24"/>
                <w:szCs w:val="24"/>
                <w:highlight w:val="none"/>
              </w:rPr>
              <w:t>、协议、SDK/API（移动、游戏）等多种</w:t>
            </w:r>
            <w:r>
              <w:rPr>
                <w:rFonts w:hint="eastAsia" w:ascii="仿宋_GB2312" w:hAnsi="仿宋_GB2312" w:eastAsia="仿宋_GB2312" w:cs="仿宋_GB2312"/>
                <w:color w:val="auto"/>
                <w:sz w:val="24"/>
                <w:szCs w:val="24"/>
                <w:highlight w:val="none"/>
                <w:lang w:eastAsia="zh-Hans"/>
              </w:rPr>
              <w:t>日</w:t>
            </w:r>
            <w:r>
              <w:rPr>
                <w:rFonts w:hint="eastAsia" w:ascii="仿宋_GB2312" w:hAnsi="仿宋_GB2312" w:eastAsia="仿宋_GB2312" w:cs="仿宋_GB2312"/>
                <w:color w:val="auto"/>
                <w:sz w:val="24"/>
                <w:szCs w:val="24"/>
                <w:highlight w:val="none"/>
              </w:rPr>
              <w:t>志</w:t>
            </w:r>
            <w:r>
              <w:rPr>
                <w:rFonts w:hint="eastAsia" w:ascii="仿宋_GB2312" w:hAnsi="仿宋_GB2312" w:eastAsia="仿宋_GB2312" w:cs="仿宋_GB2312"/>
                <w:color w:val="auto"/>
                <w:sz w:val="24"/>
                <w:szCs w:val="24"/>
                <w:highlight w:val="none"/>
                <w:lang w:eastAsia="zh-Hans"/>
              </w:rPr>
              <w:t>无</w:t>
            </w:r>
            <w:r>
              <w:rPr>
                <w:rFonts w:hint="eastAsia" w:ascii="仿宋_GB2312" w:hAnsi="仿宋_GB2312" w:eastAsia="仿宋_GB2312" w:cs="仿宋_GB2312"/>
                <w:color w:val="auto"/>
                <w:sz w:val="24"/>
                <w:szCs w:val="24"/>
                <w:highlight w:val="none"/>
              </w:rPr>
              <w:t>损采集</w:t>
            </w:r>
            <w:r>
              <w:rPr>
                <w:rFonts w:hint="eastAsia" w:ascii="仿宋_GB2312" w:hAnsi="仿宋_GB2312" w:eastAsia="仿宋_GB2312" w:cs="仿宋_GB2312"/>
                <w:color w:val="auto"/>
                <w:sz w:val="24"/>
                <w:szCs w:val="24"/>
                <w:highlight w:val="none"/>
                <w:lang w:eastAsia="zh-Hans"/>
              </w:rPr>
              <w:t>方</w:t>
            </w:r>
            <w:r>
              <w:rPr>
                <w:rFonts w:hint="eastAsia" w:ascii="仿宋_GB2312" w:hAnsi="仿宋_GB2312" w:eastAsia="仿宋_GB2312" w:cs="仿宋_GB2312"/>
                <w:color w:val="auto"/>
                <w:sz w:val="24"/>
                <w:szCs w:val="24"/>
                <w:highlight w:val="none"/>
              </w:rPr>
              <w:t>式和SDK、</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Storm Spout、Spark Client等消费</w:t>
            </w:r>
            <w:r>
              <w:rPr>
                <w:rFonts w:hint="default" w:ascii="仿宋_GB2312" w:hAnsi="仿宋_GB2312" w:eastAsia="仿宋_GB2312" w:cs="仿宋_GB2312"/>
                <w:color w:val="auto"/>
                <w:sz w:val="24"/>
                <w:szCs w:val="24"/>
                <w:highlight w:val="none"/>
                <w:lang w:val="en"/>
              </w:rPr>
              <w:t>方</w:t>
            </w:r>
            <w:r>
              <w:rPr>
                <w:rFonts w:hint="eastAsia" w:ascii="仿宋_GB2312" w:hAnsi="仿宋_GB2312" w:eastAsia="仿宋_GB2312" w:cs="仿宋_GB2312"/>
                <w:color w:val="auto"/>
                <w:sz w:val="24"/>
                <w:szCs w:val="24"/>
                <w:highlight w:val="none"/>
              </w:rPr>
              <w:t>式，</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持多种格式</w:t>
            </w:r>
            <w:r>
              <w:rPr>
                <w:rFonts w:hint="eastAsia" w:ascii="仿宋_GB2312" w:hAnsi="仿宋_GB2312" w:eastAsia="仿宋_GB2312" w:cs="仿宋_GB2312"/>
                <w:color w:val="auto"/>
                <w:sz w:val="24"/>
                <w:szCs w:val="24"/>
                <w:highlight w:val="none"/>
                <w:lang w:eastAsia="zh-Hans"/>
              </w:rPr>
              <w:t>日</w:t>
            </w:r>
            <w:r>
              <w:rPr>
                <w:rFonts w:hint="eastAsia" w:ascii="仿宋_GB2312" w:hAnsi="仿宋_GB2312" w:eastAsia="仿宋_GB2312" w:cs="仿宋_GB2312"/>
                <w:color w:val="auto"/>
                <w:sz w:val="24"/>
                <w:szCs w:val="24"/>
                <w:highlight w:val="none"/>
              </w:rPr>
              <w:t>志的实时采集和消费，协助您实现多设备、多来源的</w:t>
            </w:r>
            <w:r>
              <w:rPr>
                <w:rFonts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rPr>
              <w:t>志采集消费流程化处理。</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功能：</w:t>
            </w:r>
          </w:p>
          <w:p>
            <w:pPr>
              <w:rPr>
                <w:color w:val="auto"/>
                <w:highlight w:val="none"/>
              </w:rPr>
            </w:pPr>
            <w:r>
              <w:rPr>
                <w:rFonts w:hint="eastAsia" w:ascii="仿宋_GB2312" w:hAnsi="仿宋_GB2312" w:eastAsia="仿宋_GB2312" w:cs="仿宋_GB2312"/>
                <w:color w:val="auto"/>
                <w:sz w:val="24"/>
                <w:szCs w:val="24"/>
                <w:highlight w:val="none"/>
              </w:rPr>
              <w:t>• 通过ECS、容器、移动端、开源软件、JS等接</w:t>
            </w:r>
            <w:r>
              <w:rPr>
                <w:rFonts w:hint="default" w:ascii="仿宋_GB2312" w:hAnsi="仿宋_GB2312" w:eastAsia="仿宋_GB2312" w:cs="仿宋_GB2312"/>
                <w:color w:val="auto"/>
                <w:sz w:val="24"/>
                <w:szCs w:val="24"/>
                <w:highlight w:val="none"/>
                <w:lang w:val="en"/>
              </w:rPr>
              <w:t>入</w:t>
            </w:r>
            <w:r>
              <w:rPr>
                <w:rFonts w:hint="eastAsia" w:ascii="仿宋_GB2312" w:hAnsi="仿宋_GB2312" w:eastAsia="仿宋_GB2312" w:cs="仿宋_GB2312"/>
                <w:color w:val="auto"/>
                <w:sz w:val="24"/>
                <w:szCs w:val="24"/>
                <w:highlight w:val="none"/>
              </w:rPr>
              <w:t>实时</w:t>
            </w:r>
            <w:r>
              <w:rPr>
                <w:rFonts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rPr>
              <w:t>志数据（例如Metric、Event、BinLog</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、TextLog、Click等）。</w:t>
            </w:r>
          </w:p>
          <w:p>
            <w:pPr>
              <w:pStyle w:val="814"/>
              <w:ind w:firstLine="0" w:firstLineChars="0"/>
              <w:rPr>
                <w:rFonts w:ascii="仿宋_GB2312" w:hAnsi="仿宋_GB2312" w:cs="仿宋_GB2312"/>
                <w:color w:val="auto"/>
                <w:sz w:val="24"/>
                <w:highlight w:val="none"/>
              </w:rPr>
            </w:pPr>
            <w:r>
              <w:rPr>
                <w:rFonts w:hint="eastAsia" w:ascii="仿宋_GB2312" w:hAnsi="仿宋_GB2312" w:cs="仿宋_GB2312"/>
                <w:color w:val="auto"/>
                <w:sz w:val="24"/>
                <w:highlight w:val="none"/>
              </w:rPr>
              <w:t>• 提供实时消费接口，与实时计算及服务对接。</w:t>
            </w:r>
          </w:p>
        </w:tc>
        <w:tc>
          <w:tcPr>
            <w:tcW w:w="98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1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ascii="仿宋_GB2312" w:hAnsi="仿宋_GB2312" w:eastAsia="仿宋_GB2312" w:cs="仿宋_GB2312"/>
                <w:color w:val="auto"/>
                <w:sz w:val="24"/>
                <w:szCs w:val="24"/>
                <w:highlight w:val="none"/>
              </w:rPr>
              <w:t>查询与实时分析（Search/Analytics）</w:t>
            </w:r>
            <w:r>
              <w:rPr>
                <w:rFonts w:hint="default" w:ascii="仿宋_GB2312" w:hAnsi="仿宋_GB2312" w:eastAsia="仿宋_GB2312" w:cs="仿宋_GB2312"/>
                <w:color w:val="auto"/>
                <w:sz w:val="24"/>
                <w:szCs w:val="24"/>
                <w:highlight w:val="none"/>
                <w:lang w:val="en"/>
              </w:rPr>
              <w:t>，</w:t>
            </w:r>
          </w:p>
          <w:p>
            <w:pPr>
              <w:rPr>
                <w:color w:val="auto"/>
                <w:highlight w:val="none"/>
              </w:rPr>
            </w:pPr>
            <w:r>
              <w:rPr>
                <w:rFonts w:hint="eastAsia" w:ascii="仿宋_GB2312" w:hAnsi="仿宋_GB2312" w:eastAsia="仿宋_GB2312" w:cs="仿宋_GB2312"/>
                <w:color w:val="auto"/>
                <w:sz w:val="24"/>
                <w:szCs w:val="24"/>
                <w:highlight w:val="none"/>
              </w:rPr>
              <w:t>针对采集到服务端的</w:t>
            </w:r>
            <w:r>
              <w:rPr>
                <w:rFonts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rPr>
              <w:t>志数据进</w:t>
            </w:r>
            <w:r>
              <w:rPr>
                <w:rFonts w:ascii="仿宋_GB2312" w:hAnsi="仿宋_GB2312" w:eastAsia="仿宋_GB2312" w:cs="仿宋_GB2312"/>
                <w:color w:val="auto"/>
                <w:sz w:val="24"/>
                <w:szCs w:val="24"/>
                <w:highlight w:val="none"/>
              </w:rPr>
              <w:t>行</w:t>
            </w:r>
            <w:r>
              <w:rPr>
                <w:rFonts w:hint="eastAsia" w:ascii="仿宋_GB2312" w:hAnsi="仿宋_GB2312" w:eastAsia="仿宋_GB2312" w:cs="仿宋_GB2312"/>
                <w:color w:val="auto"/>
                <w:sz w:val="24"/>
                <w:szCs w:val="24"/>
                <w:highlight w:val="none"/>
              </w:rPr>
              <w:t>实时索引、查询分析，并根据查询分析结果建</w:t>
            </w:r>
            <w:r>
              <w:rPr>
                <w:rFonts w:hint="default" w:ascii="仿宋_GB2312" w:hAnsi="仿宋_GB2312" w:eastAsia="仿宋_GB2312" w:cs="仿宋_GB2312"/>
                <w:color w:val="auto"/>
                <w:sz w:val="24"/>
                <w:szCs w:val="24"/>
                <w:highlight w:val="none"/>
                <w:lang w:val="en"/>
              </w:rPr>
              <w:t>立</w:t>
            </w:r>
            <w:r>
              <w:rPr>
                <w:rFonts w:hint="eastAsia" w:ascii="仿宋_GB2312" w:hAnsi="仿宋_GB2312" w:eastAsia="仿宋_GB2312" w:cs="仿宋_GB2312"/>
                <w:color w:val="auto"/>
                <w:sz w:val="24"/>
                <w:szCs w:val="24"/>
                <w:highlight w:val="none"/>
              </w:rPr>
              <w:t>动态的数据报</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w:t>
            </w:r>
            <w:r>
              <w:rPr>
                <w:rFonts w:hint="default" w:ascii="仿宋_GB2312" w:hAnsi="仿宋_GB2312" w:eastAsia="仿宋_GB2312" w:cs="仿宋_GB2312"/>
                <w:color w:val="auto"/>
                <w:sz w:val="24"/>
                <w:szCs w:val="24"/>
                <w:highlight w:val="none"/>
                <w:lang w:val="en"/>
              </w:rPr>
              <w:t>支</w:t>
            </w:r>
            <w:r>
              <w:rPr>
                <w:rFonts w:hint="eastAsia" w:ascii="仿宋_GB2312" w:hAnsi="仿宋_GB2312" w:eastAsia="仿宋_GB2312" w:cs="仿宋_GB2312"/>
                <w:color w:val="auto"/>
                <w:sz w:val="24"/>
                <w:szCs w:val="24"/>
                <w:highlight w:val="none"/>
              </w:rPr>
              <w:t>持多场景的</w:t>
            </w:r>
            <w:r>
              <w:rPr>
                <w:rFonts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rPr>
              <w:t>志数据可视化分析。</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查询：关键词、模糊、上下</w:t>
            </w:r>
            <w:r>
              <w:rPr>
                <w:rFonts w:hint="eastAsia" w:ascii="仿宋_GB2312" w:hAnsi="仿宋_GB2312" w:eastAsia="仿宋_GB2312" w:cs="仿宋_GB2312"/>
                <w:color w:val="auto"/>
                <w:sz w:val="24"/>
                <w:szCs w:val="24"/>
                <w:highlight w:val="none"/>
                <w:lang w:eastAsia="zh-Hans"/>
              </w:rPr>
              <w:t>文</w:t>
            </w:r>
            <w:r>
              <w:rPr>
                <w:rFonts w:hint="eastAsia" w:ascii="仿宋_GB2312" w:hAnsi="仿宋_GB2312" w:eastAsia="仿宋_GB2312" w:cs="仿宋_GB2312"/>
                <w:color w:val="auto"/>
                <w:sz w:val="24"/>
                <w:szCs w:val="24"/>
                <w:highlight w:val="none"/>
              </w:rPr>
              <w:t>、范围</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统计：SQL聚合等丰富查询</w:t>
            </w:r>
            <w:r>
              <w:rPr>
                <w:rFonts w:hint="eastAsia" w:ascii="仿宋_GB2312" w:hAnsi="仿宋_GB2312" w:eastAsia="仿宋_GB2312" w:cs="仿宋_GB2312"/>
                <w:color w:val="auto"/>
                <w:sz w:val="24"/>
                <w:szCs w:val="24"/>
                <w:highlight w:val="none"/>
                <w:lang w:eastAsia="zh-Hans"/>
              </w:rPr>
              <w:t>手</w:t>
            </w:r>
            <w:r>
              <w:rPr>
                <w:rFonts w:hint="eastAsia" w:ascii="仿宋_GB2312" w:hAnsi="仿宋_GB2312" w:eastAsia="仿宋_GB2312" w:cs="仿宋_GB2312"/>
                <w:color w:val="auto"/>
                <w:sz w:val="24"/>
                <w:szCs w:val="24"/>
                <w:highlight w:val="none"/>
              </w:rPr>
              <w:t>段</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可视化：Dashboard + 报表功能</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对接：Grafana，JDBC/SQL92</w:t>
            </w:r>
          </w:p>
        </w:tc>
        <w:tc>
          <w:tcPr>
            <w:tcW w:w="98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vMerge w:val="restart"/>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服务能力</w:t>
            </w:r>
          </w:p>
        </w:tc>
        <w:tc>
          <w:tcPr>
            <w:tcW w:w="71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全托管服务</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LogHub 覆盖 Kafka 100% 功能，提供监控、报警等功能数据，并</w:t>
            </w:r>
            <w:r>
              <w:rPr>
                <w:rFonts w:hint="default" w:ascii="仿宋_GB2312" w:hAnsi="仿宋_GB2312" w:eastAsia="仿宋_GB2312" w:cs="仿宋_GB2312"/>
                <w:color w:val="auto"/>
                <w:sz w:val="24"/>
                <w:szCs w:val="24"/>
                <w:highlight w:val="none"/>
                <w:lang w:val="en"/>
              </w:rPr>
              <w:t>支</w:t>
            </w:r>
            <w:r>
              <w:rPr>
                <w:rFonts w:hint="eastAsia" w:ascii="仿宋_GB2312" w:hAnsi="仿宋_GB2312" w:eastAsia="仿宋_GB2312" w:cs="仿宋_GB2312"/>
                <w:color w:val="auto"/>
                <w:sz w:val="24"/>
                <w:szCs w:val="24"/>
                <w:highlight w:val="none"/>
              </w:rPr>
              <w:t>持弹性伸缩（可</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持PB/Day规模）</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LogSearch/Analytics 提供快速查询、仪表盘和报警功能、使</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成本为</w:t>
            </w:r>
            <w:r>
              <w:rPr>
                <w:rFonts w:hint="eastAsia" w:ascii="仿宋_GB2312" w:hAnsi="仿宋_GB2312" w:eastAsia="仿宋_GB2312" w:cs="仿宋_GB2312"/>
                <w:color w:val="auto"/>
                <w:sz w:val="24"/>
                <w:szCs w:val="24"/>
                <w:highlight w:val="none"/>
                <w:lang w:eastAsia="zh-Hans"/>
              </w:rPr>
              <w:t>自</w:t>
            </w:r>
            <w:r>
              <w:rPr>
                <w:rFonts w:hint="eastAsia" w:ascii="仿宋_GB2312" w:hAnsi="仿宋_GB2312" w:eastAsia="仿宋_GB2312" w:cs="仿宋_GB2312"/>
                <w:color w:val="auto"/>
                <w:sz w:val="24"/>
                <w:szCs w:val="24"/>
                <w:highlight w:val="none"/>
              </w:rPr>
              <w:t>建成本的 20%以下。</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30+种接</w:t>
            </w:r>
            <w:r>
              <w:rPr>
                <w:rFonts w:hint="eastAsia" w:ascii="仿宋_GB2312" w:hAnsi="仿宋_GB2312" w:eastAsia="仿宋_GB2312" w:cs="仿宋_GB2312"/>
                <w:color w:val="auto"/>
                <w:sz w:val="24"/>
                <w:szCs w:val="24"/>
                <w:highlight w:val="none"/>
                <w:lang w:eastAsia="zh-Hans"/>
              </w:rPr>
              <w:t>入</w:t>
            </w:r>
            <w:r>
              <w:rPr>
                <w:rFonts w:hint="default" w:ascii="仿宋_GB2312" w:hAnsi="仿宋_GB2312" w:eastAsia="仿宋_GB2312" w:cs="仿宋_GB2312"/>
                <w:color w:val="auto"/>
                <w:sz w:val="24"/>
                <w:szCs w:val="24"/>
                <w:highlight w:val="none"/>
                <w:lang w:val="en" w:eastAsia="zh-Hans"/>
              </w:rPr>
              <w:t>方</w:t>
            </w:r>
            <w:r>
              <w:rPr>
                <w:rFonts w:hint="eastAsia" w:ascii="仿宋_GB2312" w:hAnsi="仿宋_GB2312" w:eastAsia="仿宋_GB2312" w:cs="仿宋_GB2312"/>
                <w:color w:val="auto"/>
                <w:sz w:val="24"/>
                <w:szCs w:val="24"/>
                <w:highlight w:val="none"/>
              </w:rPr>
              <w:t>式，与开源软件（Storm、Spark）</w:t>
            </w:r>
            <w:r>
              <w:rPr>
                <w:rFonts w:hint="eastAsia" w:ascii="仿宋_GB2312" w:hAnsi="仿宋_GB2312" w:eastAsia="仿宋_GB2312" w:cs="仿宋_GB2312"/>
                <w:color w:val="auto"/>
                <w:sz w:val="24"/>
                <w:szCs w:val="24"/>
                <w:highlight w:val="none"/>
                <w:lang w:eastAsia="zh-Hans"/>
              </w:rPr>
              <w:t>无</w:t>
            </w:r>
            <w:r>
              <w:rPr>
                <w:rFonts w:hint="eastAsia" w:ascii="仿宋_GB2312" w:hAnsi="仿宋_GB2312" w:eastAsia="仿宋_GB2312" w:cs="仿宋_GB2312"/>
                <w:color w:val="auto"/>
                <w:sz w:val="24"/>
                <w:szCs w:val="24"/>
                <w:highlight w:val="none"/>
              </w:rPr>
              <w:t>缝对接。</w:t>
            </w:r>
          </w:p>
        </w:tc>
        <w:tc>
          <w:tcPr>
            <w:tcW w:w="98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生</w:t>
            </w:r>
            <w:r>
              <w:rPr>
                <w:rFonts w:hint="eastAsia" w:ascii="仿宋_GB2312" w:hAnsi="仿宋_GB2312" w:eastAsia="仿宋_GB2312" w:cs="仿宋_GB2312"/>
                <w:color w:val="auto"/>
                <w:sz w:val="24"/>
                <w:szCs w:val="24"/>
                <w:highlight w:val="none"/>
              </w:rPr>
              <w:t>态丰富</w:t>
            </w:r>
          </w:p>
          <w:p>
            <w:pPr>
              <w:rPr>
                <w:color w:val="auto"/>
                <w:highlight w:val="none"/>
              </w:rPr>
            </w:pPr>
            <w:r>
              <w:rPr>
                <w:rFonts w:hint="eastAsia" w:ascii="仿宋_GB2312" w:hAnsi="仿宋_GB2312" w:eastAsia="仿宋_GB2312" w:cs="仿宋_GB2312"/>
                <w:color w:val="auto"/>
                <w:sz w:val="24"/>
                <w:szCs w:val="24"/>
                <w:highlight w:val="none"/>
              </w:rPr>
              <w:t xml:space="preserve">• LogHub </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持30多种</w:t>
            </w:r>
            <w:r>
              <w:rPr>
                <w:rFonts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rPr>
              <w:t>志数据源，</w:t>
            </w:r>
            <w:r>
              <w:rPr>
                <w:rFonts w:hint="eastAsia" w:ascii="仿宋_GB2312" w:hAnsi="仿宋_GB2312" w:eastAsia="仿宋_GB2312" w:cs="仿宋_GB2312"/>
                <w:color w:val="auto"/>
                <w:sz w:val="24"/>
                <w:szCs w:val="24"/>
                <w:highlight w:val="none"/>
                <w:lang w:eastAsia="zh-Hans"/>
              </w:rPr>
              <w:t>无</w:t>
            </w:r>
            <w:r>
              <w:rPr>
                <w:rFonts w:hint="eastAsia" w:ascii="仿宋_GB2312" w:hAnsi="仿宋_GB2312" w:eastAsia="仿宋_GB2312" w:cs="仿宋_GB2312"/>
                <w:color w:val="auto"/>
                <w:sz w:val="24"/>
                <w:szCs w:val="24"/>
                <w:highlight w:val="none"/>
              </w:rPr>
              <w:t>论是嵌</w:t>
            </w:r>
            <w:r>
              <w:rPr>
                <w:rFonts w:hint="default" w:ascii="仿宋_GB2312" w:hAnsi="仿宋_GB2312" w:eastAsia="仿宋_GB2312" w:cs="仿宋_GB2312"/>
                <w:color w:val="auto"/>
                <w:sz w:val="24"/>
                <w:szCs w:val="24"/>
                <w:highlight w:val="none"/>
                <w:lang w:val="en"/>
              </w:rPr>
              <w:t>入</w:t>
            </w:r>
            <w:r>
              <w:rPr>
                <w:rFonts w:hint="eastAsia" w:ascii="仿宋_GB2312" w:hAnsi="仿宋_GB2312" w:eastAsia="仿宋_GB2312" w:cs="仿宋_GB2312"/>
                <w:color w:val="auto"/>
                <w:sz w:val="24"/>
                <w:szCs w:val="24"/>
                <w:highlight w:val="none"/>
              </w:rPr>
              <w:t>式设备、</w:t>
            </w:r>
            <w:r>
              <w:rPr>
                <w:rFonts w:hint="eastAsia" w:ascii="仿宋_GB2312" w:hAnsi="仿宋_GB2312" w:eastAsia="仿宋_GB2312" w:cs="仿宋_GB2312"/>
                <w:color w:val="auto"/>
                <w:sz w:val="24"/>
                <w:szCs w:val="24"/>
                <w:highlight w:val="none"/>
                <w:lang w:eastAsia="zh-Hans"/>
              </w:rPr>
              <w:t>网页</w:t>
            </w:r>
            <w:r>
              <w:rPr>
                <w:rFonts w:hint="eastAsia" w:ascii="仿宋_GB2312" w:hAnsi="仿宋_GB2312" w:eastAsia="仿宋_GB2312" w:cs="仿宋_GB2312"/>
                <w:color w:val="auto"/>
                <w:sz w:val="24"/>
                <w:szCs w:val="24"/>
                <w:highlight w:val="none"/>
              </w:rPr>
              <w:t>、服务器、程序等都能轻松接</w:t>
            </w:r>
            <w:r>
              <w:rPr>
                <w:rFonts w:hint="eastAsia" w:ascii="仿宋_GB2312" w:hAnsi="仿宋_GB2312" w:eastAsia="仿宋_GB2312" w:cs="仿宋_GB2312"/>
                <w:color w:val="auto"/>
                <w:sz w:val="24"/>
                <w:szCs w:val="24"/>
                <w:highlight w:val="none"/>
                <w:lang w:eastAsia="zh-Hans"/>
              </w:rPr>
              <w:t>入</w:t>
            </w:r>
            <w:r>
              <w:rPr>
                <w:rFonts w:hint="eastAsia" w:ascii="仿宋_GB2312" w:hAnsi="仿宋_GB2312" w:eastAsia="仿宋_GB2312" w:cs="仿宋_GB2312"/>
                <w:color w:val="auto"/>
                <w:sz w:val="24"/>
                <w:szCs w:val="24"/>
                <w:highlight w:val="none"/>
              </w:rPr>
              <w:t>。</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在消费端，</w:t>
            </w:r>
            <w:r>
              <w:rPr>
                <w:rFonts w:hint="eastAsia" w:ascii="仿宋_GB2312" w:hAnsi="仿宋_GB2312" w:eastAsia="仿宋_GB2312" w:cs="仿宋_GB2312"/>
                <w:color w:val="auto"/>
                <w:sz w:val="24"/>
                <w:szCs w:val="24"/>
                <w:highlight w:val="none"/>
                <w:lang w:eastAsia="zh-Hans"/>
              </w:rPr>
              <w:t>支</w:t>
            </w:r>
            <w:r>
              <w:rPr>
                <w:rFonts w:hint="eastAsia" w:ascii="仿宋_GB2312" w:hAnsi="仿宋_GB2312" w:eastAsia="仿宋_GB2312" w:cs="仿宋_GB2312"/>
                <w:color w:val="auto"/>
                <w:sz w:val="24"/>
                <w:szCs w:val="24"/>
                <w:highlight w:val="none"/>
              </w:rPr>
              <w:t>持与Storm、Spark Streaming等对接。</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LogSearch/Analytics 查询分析语法完整，兼容SQL92，⽀持JDBC协议与对接Grafana。</w:t>
            </w:r>
          </w:p>
        </w:tc>
        <w:tc>
          <w:tcPr>
            <w:tcW w:w="98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83"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实时性强</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LogHub：写⼊即可消费；Logtail（采集Agent）实时采集传输。</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LogSearch/Analytics：写</w:t>
            </w:r>
            <w:r>
              <w:rPr>
                <w:rFonts w:hint="default" w:ascii="仿宋_GB2312" w:hAnsi="仿宋_GB2312" w:eastAsia="仿宋_GB2312" w:cs="仿宋_GB2312"/>
                <w:color w:val="auto"/>
                <w:sz w:val="24"/>
                <w:szCs w:val="24"/>
                <w:highlight w:val="none"/>
                <w:lang w:val="en"/>
              </w:rPr>
              <w:t>入</w:t>
            </w:r>
            <w:r>
              <w:rPr>
                <w:rFonts w:hint="eastAsia" w:ascii="仿宋_GB2312" w:hAnsi="仿宋_GB2312" w:eastAsia="仿宋_GB2312" w:cs="仿宋_GB2312"/>
                <w:color w:val="auto"/>
                <w:sz w:val="24"/>
                <w:szCs w:val="24"/>
                <w:highlight w:val="none"/>
              </w:rPr>
              <w:t>即可查询分析</w:t>
            </w:r>
          </w:p>
        </w:tc>
        <w:tc>
          <w:tcPr>
            <w:tcW w:w="989"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bl>
    <w:p>
      <w:pPr>
        <w:pStyle w:val="232"/>
        <w:ind w:firstLine="0" w:firstLineChars="0"/>
        <w:outlineLvl w:val="2"/>
        <w:rPr>
          <w:rFonts w:ascii="仿宋_GB2312" w:hAnsi="Calibri" w:eastAsia="仿宋_GB2312"/>
          <w:b/>
          <w:bCs/>
          <w:color w:val="auto"/>
          <w:szCs w:val="24"/>
          <w:highlight w:val="none"/>
        </w:rPr>
      </w:pPr>
      <w:r>
        <w:rPr>
          <w:rFonts w:hint="eastAsia" w:ascii="仿宋_GB2312" w:hAnsi="Calibri" w:eastAsia="仿宋_GB2312"/>
          <w:b/>
          <w:bCs/>
          <w:color w:val="auto"/>
          <w:szCs w:val="24"/>
          <w:highlight w:val="none"/>
        </w:rPr>
        <w:t>2.1</w:t>
      </w:r>
      <w:r>
        <w:rPr>
          <w:rFonts w:ascii="仿宋_GB2312" w:hAnsi="Calibri" w:eastAsia="仿宋_GB2312"/>
          <w:b/>
          <w:bCs/>
          <w:color w:val="auto"/>
          <w:szCs w:val="24"/>
          <w:highlight w:val="none"/>
        </w:rPr>
        <w:t>6</w:t>
      </w:r>
      <w:r>
        <w:rPr>
          <w:rFonts w:hint="eastAsia" w:ascii="仿宋_GB2312" w:hAnsi="Calibri" w:eastAsia="仿宋_GB2312"/>
          <w:b/>
          <w:bCs/>
          <w:color w:val="auto"/>
          <w:szCs w:val="24"/>
          <w:highlight w:val="none"/>
        </w:rPr>
        <w:t xml:space="preserve"> 搜索服务Elast</w:t>
      </w:r>
      <w:r>
        <w:rPr>
          <w:rFonts w:ascii="仿宋_GB2312" w:hAnsi="Calibri" w:eastAsia="仿宋_GB2312"/>
          <w:b/>
          <w:bCs/>
          <w:color w:val="auto"/>
          <w:szCs w:val="24"/>
          <w:highlight w:val="none"/>
        </w:rPr>
        <w:t>icsearch</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7091"/>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指标项</w:t>
            </w:r>
          </w:p>
        </w:tc>
        <w:tc>
          <w:tcPr>
            <w:tcW w:w="7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规格要求</w:t>
            </w:r>
          </w:p>
        </w:tc>
        <w:tc>
          <w:tcPr>
            <w:tcW w:w="101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r>
              <w:rPr>
                <w:rFonts w:hint="eastAsia" w:ascii="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服务标准</w:t>
            </w:r>
          </w:p>
        </w:tc>
        <w:tc>
          <w:tcPr>
            <w:tcW w:w="7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基于Lucene的搜索服务器，它提供了</w:t>
            </w:r>
            <w:r>
              <w:rPr>
                <w:rFonts w:hint="default" w:ascii="仿宋_GB2312" w:hAnsi="仿宋_GB2312" w:eastAsia="仿宋_GB2312" w:cs="仿宋_GB2312"/>
                <w:color w:val="auto"/>
                <w:sz w:val="24"/>
                <w:szCs w:val="24"/>
                <w:highlight w:val="none"/>
                <w:lang w:val="en"/>
              </w:rPr>
              <w:t>一</w:t>
            </w:r>
            <w:r>
              <w:rPr>
                <w:rFonts w:hint="eastAsia" w:ascii="仿宋_GB2312" w:hAnsi="仿宋_GB2312" w:eastAsia="仿宋_GB2312" w:cs="仿宋_GB2312"/>
                <w:color w:val="auto"/>
                <w:sz w:val="24"/>
                <w:szCs w:val="24"/>
                <w:highlight w:val="none"/>
              </w:rPr>
              <w:t>个分布式多</w:t>
            </w:r>
            <w:r>
              <w:rPr>
                <w:rFonts w:ascii="仿宋_GB2312" w:hAnsi="仿宋_GB2312" w:eastAsia="仿宋_GB2312" w:cs="仿宋_GB2312"/>
                <w:color w:val="auto"/>
                <w:sz w:val="24"/>
                <w:szCs w:val="24"/>
                <w:highlight w:val="none"/>
              </w:rPr>
              <w:t>用户</w:t>
            </w:r>
            <w:r>
              <w:rPr>
                <w:rFonts w:hint="eastAsia" w:ascii="仿宋_GB2312" w:hAnsi="仿宋_GB2312" w:eastAsia="仿宋_GB2312" w:cs="仿宋_GB2312"/>
                <w:color w:val="auto"/>
                <w:sz w:val="24"/>
                <w:szCs w:val="24"/>
                <w:highlight w:val="none"/>
              </w:rPr>
              <w:t>能</w:t>
            </w:r>
            <w:r>
              <w:rPr>
                <w:rFonts w:ascii="仿宋_GB2312" w:hAnsi="仿宋_GB2312" w:eastAsia="仿宋_GB2312" w:cs="仿宋_GB2312"/>
                <w:color w:val="auto"/>
                <w:sz w:val="24"/>
                <w:szCs w:val="24"/>
                <w:highlight w:val="none"/>
              </w:rPr>
              <w:t>力</w:t>
            </w:r>
            <w:r>
              <w:rPr>
                <w:rFonts w:hint="eastAsia" w:ascii="仿宋_GB2312" w:hAnsi="仿宋_GB2312" w:eastAsia="仿宋_GB2312" w:cs="仿宋_GB2312"/>
                <w:color w:val="auto"/>
                <w:sz w:val="24"/>
                <w:szCs w:val="24"/>
                <w:highlight w:val="none"/>
              </w:rPr>
              <w:t>的全</w:t>
            </w:r>
            <w:r>
              <w:rPr>
                <w:rFonts w:hint="default" w:ascii="仿宋_GB2312" w:hAnsi="仿宋_GB2312" w:eastAsia="仿宋_GB2312" w:cs="仿宋_GB2312"/>
                <w:color w:val="auto"/>
                <w:sz w:val="24"/>
                <w:szCs w:val="24"/>
                <w:highlight w:val="none"/>
                <w:lang w:val="en"/>
              </w:rPr>
              <w:t>文</w:t>
            </w:r>
            <w:r>
              <w:rPr>
                <w:rFonts w:hint="eastAsia" w:ascii="仿宋_GB2312" w:hAnsi="仿宋_GB2312" w:eastAsia="仿宋_GB2312" w:cs="仿宋_GB2312"/>
                <w:color w:val="auto"/>
                <w:sz w:val="24"/>
                <w:szCs w:val="24"/>
                <w:highlight w:val="none"/>
              </w:rPr>
              <w:t>搜索引擎，基于RESTful web接口。Elasticsearch是</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Java开发的，并作为Apache许可条款下的开放源码发布，是当前流</w:t>
            </w:r>
            <w:r>
              <w:rPr>
                <w:rFonts w:ascii="仿宋_GB2312" w:hAnsi="仿宋_GB2312" w:eastAsia="仿宋_GB2312" w:cs="仿宋_GB2312"/>
                <w:color w:val="auto"/>
                <w:sz w:val="24"/>
                <w:szCs w:val="24"/>
                <w:highlight w:val="none"/>
              </w:rPr>
              <w:t>行</w:t>
            </w:r>
            <w:r>
              <w:rPr>
                <w:rFonts w:hint="eastAsia" w:ascii="仿宋_GB2312" w:hAnsi="仿宋_GB2312" w:eastAsia="仿宋_GB2312" w:cs="仿宋_GB2312"/>
                <w:color w:val="auto"/>
                <w:sz w:val="24"/>
                <w:szCs w:val="24"/>
                <w:highlight w:val="none"/>
              </w:rPr>
              <w:t>的企业级搜索引擎。设计</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于云计算中，能够达到实时搜索、稳定、可靠、快速且安装使</w:t>
            </w:r>
            <w:r>
              <w:rPr>
                <w:rFonts w:ascii="仿宋_GB2312" w:hAnsi="仿宋_GB2312" w:eastAsia="仿宋_GB2312" w:cs="仿宋_GB2312"/>
                <w:color w:val="auto"/>
                <w:sz w:val="24"/>
                <w:szCs w:val="24"/>
                <w:highlight w:val="none"/>
              </w:rPr>
              <w:t>用</w:t>
            </w:r>
            <w:r>
              <w:rPr>
                <w:rFonts w:ascii="仿宋_GB2312" w:hAnsi="仿宋_GB2312" w:eastAsia="仿宋_GB2312" w:cs="仿宋_GB2312"/>
                <w:color w:val="auto"/>
                <w:sz w:val="24"/>
                <w:szCs w:val="24"/>
                <w:highlight w:val="none"/>
                <w:lang w:val="en"/>
              </w:rPr>
              <w:t>方</w:t>
            </w:r>
            <w:r>
              <w:rPr>
                <w:rFonts w:hint="eastAsia" w:ascii="仿宋_GB2312" w:hAnsi="仿宋_GB2312" w:eastAsia="仿宋_GB2312" w:cs="仿宋_GB2312"/>
                <w:color w:val="auto"/>
                <w:sz w:val="24"/>
                <w:szCs w:val="24"/>
                <w:highlight w:val="none"/>
              </w:rPr>
              <w:t>便。</w:t>
            </w:r>
          </w:p>
        </w:tc>
        <w:tc>
          <w:tcPr>
            <w:tcW w:w="101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1" w:type="dxa"/>
            <w:vMerge w:val="restart"/>
            <w:tcBorders>
              <w:top w:val="single" w:color="auto" w:sz="4" w:space="0"/>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服务特性</w:t>
            </w:r>
          </w:p>
        </w:tc>
        <w:tc>
          <w:tcPr>
            <w:tcW w:w="7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分布式的搜索引擎和数据分析引擎</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搜索：</w:t>
            </w:r>
            <w:r>
              <w:rPr>
                <w:rFonts w:hint="eastAsia" w:ascii="仿宋_GB2312" w:hAnsi="仿宋_GB2312" w:eastAsia="仿宋_GB2312" w:cs="仿宋_GB2312"/>
                <w:color w:val="auto"/>
                <w:sz w:val="24"/>
                <w:szCs w:val="24"/>
                <w:highlight w:val="none"/>
                <w:lang w:eastAsia="zh-Hans"/>
              </w:rPr>
              <w:t>比如</w:t>
            </w:r>
            <w:r>
              <w:rPr>
                <w:rFonts w:hint="eastAsia" w:ascii="仿宋_GB2312" w:hAnsi="仿宋_GB2312" w:eastAsia="仿宋_GB2312" w:cs="仿宋_GB2312"/>
                <w:color w:val="auto"/>
                <w:sz w:val="24"/>
                <w:szCs w:val="24"/>
                <w:highlight w:val="none"/>
              </w:rPr>
              <w:t>百度</w:t>
            </w:r>
            <w:r>
              <w:rPr>
                <w:rFonts w:hint="eastAsia" w:ascii="仿宋_GB2312" w:hAnsi="仿宋_GB2312" w:eastAsia="仿宋_GB2312" w:cs="仿宋_GB2312"/>
                <w:color w:val="auto"/>
                <w:sz w:val="24"/>
                <w:szCs w:val="24"/>
                <w:highlight w:val="none"/>
                <w:lang w:eastAsia="zh-Hans"/>
              </w:rPr>
              <w:t>网</w:t>
            </w:r>
            <w:r>
              <w:rPr>
                <w:rFonts w:hint="eastAsia" w:ascii="仿宋_GB2312" w:hAnsi="仿宋_GB2312" w:eastAsia="仿宋_GB2312" w:cs="仿宋_GB2312"/>
                <w:color w:val="auto"/>
                <w:sz w:val="24"/>
                <w:szCs w:val="24"/>
                <w:highlight w:val="none"/>
              </w:rPr>
              <w:t>站的站内搜索，IT系统的检索。</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数据分析：</w:t>
            </w:r>
            <w:r>
              <w:rPr>
                <w:rFonts w:hint="eastAsia" w:ascii="仿宋_GB2312" w:hAnsi="仿宋_GB2312" w:eastAsia="仿宋_GB2312" w:cs="仿宋_GB2312"/>
                <w:color w:val="auto"/>
                <w:sz w:val="24"/>
                <w:szCs w:val="24"/>
                <w:highlight w:val="none"/>
                <w:lang w:eastAsia="zh-Hans"/>
              </w:rPr>
              <w:t>比</w:t>
            </w:r>
            <w:r>
              <w:rPr>
                <w:rFonts w:hint="eastAsia" w:ascii="仿宋_GB2312" w:hAnsi="仿宋_GB2312" w:eastAsia="仿宋_GB2312" w:cs="仿宋_GB2312"/>
                <w:color w:val="auto"/>
                <w:sz w:val="24"/>
                <w:szCs w:val="24"/>
                <w:highlight w:val="none"/>
              </w:rPr>
              <w:t>如电商</w:t>
            </w:r>
            <w:r>
              <w:rPr>
                <w:rFonts w:hint="eastAsia" w:ascii="仿宋_GB2312" w:hAnsi="仿宋_GB2312" w:eastAsia="仿宋_GB2312" w:cs="仿宋_GB2312"/>
                <w:color w:val="auto"/>
                <w:sz w:val="24"/>
                <w:szCs w:val="24"/>
                <w:highlight w:val="none"/>
                <w:lang w:eastAsia="zh-Hans"/>
              </w:rPr>
              <w:t>网</w:t>
            </w:r>
            <w:r>
              <w:rPr>
                <w:rFonts w:hint="eastAsia" w:ascii="仿宋_GB2312" w:hAnsi="仿宋_GB2312" w:eastAsia="仿宋_GB2312" w:cs="仿宋_GB2312"/>
                <w:color w:val="auto"/>
                <w:sz w:val="24"/>
                <w:szCs w:val="24"/>
                <w:highlight w:val="none"/>
              </w:rPr>
              <w:t>站，分析最近7天</w:t>
            </w:r>
            <w:r>
              <w:rPr>
                <w:rFonts w:hint="eastAsia" w:ascii="仿宋_GB2312" w:hAnsi="仿宋_GB2312" w:eastAsia="仿宋_GB2312" w:cs="仿宋_GB2312"/>
                <w:color w:val="auto"/>
                <w:sz w:val="24"/>
                <w:szCs w:val="24"/>
                <w:highlight w:val="none"/>
                <w:lang w:eastAsia="zh-Hans"/>
              </w:rPr>
              <w:t>牙</w:t>
            </w:r>
            <w:r>
              <w:rPr>
                <w:rFonts w:hint="eastAsia" w:ascii="仿宋_GB2312" w:hAnsi="仿宋_GB2312" w:eastAsia="仿宋_GB2312" w:cs="仿宋_GB2312"/>
                <w:color w:val="auto"/>
                <w:sz w:val="24"/>
                <w:szCs w:val="24"/>
                <w:highlight w:val="none"/>
              </w:rPr>
              <w:t>膏销量排名前10的商家有哪些。分析新闻</w:t>
            </w:r>
            <w:r>
              <w:rPr>
                <w:rFonts w:hint="eastAsia" w:ascii="仿宋_GB2312" w:hAnsi="仿宋_GB2312" w:eastAsia="仿宋_GB2312" w:cs="仿宋_GB2312"/>
                <w:color w:val="auto"/>
                <w:sz w:val="24"/>
                <w:szCs w:val="24"/>
                <w:highlight w:val="none"/>
                <w:lang w:eastAsia="zh-Hans"/>
              </w:rPr>
              <w:t>网</w:t>
            </w:r>
            <w:r>
              <w:rPr>
                <w:rFonts w:hint="eastAsia" w:ascii="仿宋_GB2312" w:hAnsi="仿宋_GB2312" w:eastAsia="仿宋_GB2312" w:cs="仿宋_GB2312"/>
                <w:color w:val="auto"/>
                <w:sz w:val="24"/>
                <w:szCs w:val="24"/>
                <w:highlight w:val="none"/>
              </w:rPr>
              <w:t>站最近1个</w:t>
            </w:r>
            <w:r>
              <w:rPr>
                <w:rFonts w:hint="eastAsia" w:ascii="仿宋_GB2312" w:hAnsi="仿宋_GB2312" w:eastAsia="仿宋_GB2312" w:cs="仿宋_GB2312"/>
                <w:color w:val="auto"/>
                <w:sz w:val="24"/>
                <w:szCs w:val="24"/>
                <w:highlight w:val="none"/>
                <w:lang w:eastAsia="zh-Hans"/>
              </w:rPr>
              <w:t>月</w:t>
            </w:r>
            <w:r>
              <w:rPr>
                <w:rFonts w:hint="eastAsia" w:ascii="仿宋_GB2312" w:hAnsi="仿宋_GB2312" w:eastAsia="仿宋_GB2312" w:cs="仿宋_GB2312"/>
                <w:color w:val="auto"/>
                <w:sz w:val="24"/>
                <w:szCs w:val="24"/>
                <w:highlight w:val="none"/>
              </w:rPr>
              <w:t>访问量排名前3的新闻版块是哪些。</w:t>
            </w:r>
          </w:p>
        </w:tc>
        <w:tc>
          <w:tcPr>
            <w:tcW w:w="101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1"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Hans"/>
              </w:rPr>
              <w:t>全文</w:t>
            </w:r>
            <w:r>
              <w:rPr>
                <w:rFonts w:hint="eastAsia" w:ascii="仿宋_GB2312" w:hAnsi="仿宋_GB2312" w:eastAsia="仿宋_GB2312" w:cs="仿宋_GB2312"/>
                <w:color w:val="auto"/>
                <w:sz w:val="24"/>
                <w:szCs w:val="24"/>
                <w:highlight w:val="none"/>
              </w:rPr>
              <w:t>检索，结构化检索，数据分析</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Hans"/>
              </w:rPr>
              <w:t>全文</w:t>
            </w:r>
            <w:r>
              <w:rPr>
                <w:rFonts w:hint="eastAsia" w:ascii="仿宋_GB2312" w:hAnsi="仿宋_GB2312" w:eastAsia="仿宋_GB2312" w:cs="仿宋_GB2312"/>
                <w:color w:val="auto"/>
                <w:sz w:val="24"/>
                <w:szCs w:val="24"/>
                <w:highlight w:val="none"/>
              </w:rPr>
              <w:t>检索：</w:t>
            </w:r>
            <w:r>
              <w:rPr>
                <w:rFonts w:hint="eastAsia" w:ascii="仿宋_GB2312" w:hAnsi="仿宋_GB2312" w:eastAsia="仿宋_GB2312" w:cs="仿宋_GB2312"/>
                <w:color w:val="auto"/>
                <w:sz w:val="24"/>
                <w:szCs w:val="24"/>
                <w:highlight w:val="none"/>
                <w:lang w:eastAsia="zh-Hans"/>
              </w:rPr>
              <w:t>比</w:t>
            </w:r>
            <w:r>
              <w:rPr>
                <w:rFonts w:hint="eastAsia" w:ascii="仿宋_GB2312" w:hAnsi="仿宋_GB2312" w:eastAsia="仿宋_GB2312" w:cs="仿宋_GB2312"/>
                <w:color w:val="auto"/>
                <w:sz w:val="24"/>
                <w:szCs w:val="24"/>
                <w:highlight w:val="none"/>
              </w:rPr>
              <w:t>如想搜索商品名称包含</w:t>
            </w:r>
            <w:r>
              <w:rPr>
                <w:rFonts w:hint="default" w:ascii="仿宋_GB2312" w:hAnsi="仿宋_GB2312" w:eastAsia="仿宋_GB2312" w:cs="仿宋_GB2312"/>
                <w:color w:val="auto"/>
                <w:sz w:val="24"/>
                <w:szCs w:val="24"/>
                <w:highlight w:val="none"/>
                <w:lang w:val="en"/>
              </w:rPr>
              <w:t>牙</w:t>
            </w:r>
            <w:r>
              <w:rPr>
                <w:rFonts w:hint="eastAsia" w:ascii="仿宋_GB2312" w:hAnsi="仿宋_GB2312" w:eastAsia="仿宋_GB2312" w:cs="仿宋_GB2312"/>
                <w:color w:val="auto"/>
                <w:sz w:val="24"/>
                <w:szCs w:val="24"/>
                <w:highlight w:val="none"/>
              </w:rPr>
              <w:t>膏的商品。</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结构化检索：</w:t>
            </w:r>
            <w:r>
              <w:rPr>
                <w:rFonts w:hint="eastAsia" w:ascii="仿宋_GB2312" w:hAnsi="仿宋_GB2312" w:eastAsia="仿宋_GB2312" w:cs="仿宋_GB2312"/>
                <w:color w:val="auto"/>
                <w:sz w:val="24"/>
                <w:szCs w:val="24"/>
                <w:highlight w:val="none"/>
                <w:lang w:eastAsia="zh-Hans"/>
              </w:rPr>
              <w:t>比</w:t>
            </w:r>
            <w:r>
              <w:rPr>
                <w:rFonts w:hint="eastAsia" w:ascii="仿宋_GB2312" w:hAnsi="仿宋_GB2312" w:eastAsia="仿宋_GB2312" w:cs="仿宋_GB2312"/>
                <w:color w:val="auto"/>
                <w:sz w:val="24"/>
                <w:szCs w:val="24"/>
                <w:highlight w:val="none"/>
              </w:rPr>
              <w:t>如想搜索商品分类为</w:t>
            </w:r>
            <w:r>
              <w:rPr>
                <w:rFonts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rPr>
              <w:t>化</w:t>
            </w:r>
            <w:r>
              <w:rPr>
                <w:rFonts w:ascii="仿宋_GB2312" w:hAnsi="仿宋_GB2312" w:eastAsia="仿宋_GB2312" w:cs="仿宋_GB2312"/>
                <w:color w:val="auto"/>
                <w:sz w:val="24"/>
                <w:szCs w:val="24"/>
                <w:highlight w:val="none"/>
              </w:rPr>
              <w:t>用</w:t>
            </w:r>
            <w:r>
              <w:rPr>
                <w:rFonts w:hint="eastAsia" w:ascii="仿宋_GB2312" w:hAnsi="仿宋_GB2312" w:eastAsia="仿宋_GB2312" w:cs="仿宋_GB2312"/>
                <w:color w:val="auto"/>
                <w:sz w:val="24"/>
                <w:szCs w:val="24"/>
                <w:highlight w:val="none"/>
              </w:rPr>
              <w:t>品的商品都有哪些。</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数据分析：</w:t>
            </w:r>
            <w:r>
              <w:rPr>
                <w:rFonts w:hint="eastAsia" w:ascii="仿宋_GB2312" w:hAnsi="仿宋_GB2312" w:eastAsia="仿宋_GB2312" w:cs="仿宋_GB2312"/>
                <w:color w:val="auto"/>
                <w:sz w:val="24"/>
                <w:szCs w:val="24"/>
                <w:highlight w:val="none"/>
                <w:lang w:eastAsia="zh-Hans"/>
              </w:rPr>
              <w:t>比</w:t>
            </w:r>
            <w:r>
              <w:rPr>
                <w:rFonts w:hint="eastAsia" w:ascii="仿宋_GB2312" w:hAnsi="仿宋_GB2312" w:eastAsia="仿宋_GB2312" w:cs="仿宋_GB2312"/>
                <w:color w:val="auto"/>
                <w:sz w:val="24"/>
                <w:szCs w:val="24"/>
                <w:highlight w:val="none"/>
              </w:rPr>
              <w:t>如分析每</w:t>
            </w:r>
            <w:r>
              <w:rPr>
                <w:rFonts w:hint="default" w:ascii="仿宋_GB2312" w:hAnsi="仿宋_GB2312" w:eastAsia="仿宋_GB2312" w:cs="仿宋_GB2312"/>
                <w:color w:val="auto"/>
                <w:sz w:val="24"/>
                <w:szCs w:val="24"/>
                <w:highlight w:val="none"/>
                <w:lang w:val="en"/>
              </w:rPr>
              <w:t>一</w:t>
            </w:r>
            <w:r>
              <w:rPr>
                <w:rFonts w:hint="eastAsia" w:ascii="仿宋_GB2312" w:hAnsi="仿宋_GB2312" w:eastAsia="仿宋_GB2312" w:cs="仿宋_GB2312"/>
                <w:color w:val="auto"/>
                <w:sz w:val="24"/>
                <w:szCs w:val="24"/>
                <w:highlight w:val="none"/>
              </w:rPr>
              <w:t>个商品分类下有多少个商品。</w:t>
            </w:r>
          </w:p>
        </w:tc>
        <w:tc>
          <w:tcPr>
            <w:tcW w:w="101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1"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对海量数据进</w:t>
            </w:r>
            <w:r>
              <w:rPr>
                <w:rFonts w:ascii="仿宋_GB2312" w:hAnsi="仿宋_GB2312" w:eastAsia="仿宋_GB2312" w:cs="仿宋_GB2312"/>
                <w:color w:val="auto"/>
                <w:sz w:val="24"/>
                <w:szCs w:val="24"/>
                <w:highlight w:val="none"/>
              </w:rPr>
              <w:t>行</w:t>
            </w:r>
            <w:r>
              <w:rPr>
                <w:rFonts w:hint="eastAsia" w:ascii="仿宋_GB2312" w:hAnsi="仿宋_GB2312" w:eastAsia="仿宋_GB2312" w:cs="仿宋_GB2312"/>
                <w:color w:val="auto"/>
                <w:sz w:val="24"/>
                <w:szCs w:val="24"/>
                <w:highlight w:val="none"/>
              </w:rPr>
              <w:t>近实时的处理</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分布式：Elasticsearch可以</w:t>
            </w:r>
            <w:r>
              <w:rPr>
                <w:rFonts w:hint="eastAsia" w:ascii="仿宋_GB2312" w:hAnsi="仿宋_GB2312" w:eastAsia="仿宋_GB2312" w:cs="仿宋_GB2312"/>
                <w:color w:val="auto"/>
                <w:sz w:val="24"/>
                <w:szCs w:val="24"/>
                <w:highlight w:val="none"/>
                <w:lang w:eastAsia="zh-Hans"/>
              </w:rPr>
              <w:t>自</w:t>
            </w:r>
            <w:r>
              <w:rPr>
                <w:rFonts w:hint="eastAsia" w:ascii="仿宋_GB2312" w:hAnsi="仿宋_GB2312" w:eastAsia="仿宋_GB2312" w:cs="仿宋_GB2312"/>
                <w:color w:val="auto"/>
                <w:sz w:val="24"/>
                <w:szCs w:val="24"/>
                <w:highlight w:val="none"/>
              </w:rPr>
              <w:t>动将海量数据分散到多台服务器上去存储和检索。</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海量数据的处理：分布式完成后，便可采</w:t>
            </w:r>
            <w:r>
              <w:rPr>
                <w:rFonts w:ascii="仿宋_GB2312" w:hAnsi="仿宋_GB2312" w:eastAsia="仿宋_GB2312" w:cs="仿宋_GB2312"/>
                <w:color w:val="auto"/>
                <w:sz w:val="24"/>
                <w:szCs w:val="24"/>
                <w:highlight w:val="none"/>
              </w:rPr>
              <w:t>用大</w:t>
            </w:r>
            <w:r>
              <w:rPr>
                <w:rFonts w:hint="eastAsia" w:ascii="仿宋_GB2312" w:hAnsi="仿宋_GB2312" w:eastAsia="仿宋_GB2312" w:cs="仿宋_GB2312"/>
                <w:color w:val="auto"/>
                <w:sz w:val="24"/>
                <w:szCs w:val="24"/>
                <w:highlight w:val="none"/>
              </w:rPr>
              <w:t>量的服务器去存储和检索数据，实现海量数据的处理。</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近实时：在秒级别对数据进</w:t>
            </w:r>
            <w:r>
              <w:rPr>
                <w:rFonts w:ascii="仿宋_GB2312" w:hAnsi="仿宋_GB2312" w:eastAsia="仿宋_GB2312" w:cs="仿宋_GB2312"/>
                <w:color w:val="auto"/>
                <w:sz w:val="24"/>
                <w:szCs w:val="24"/>
                <w:highlight w:val="none"/>
              </w:rPr>
              <w:t>行</w:t>
            </w:r>
            <w:r>
              <w:rPr>
                <w:rFonts w:hint="eastAsia" w:ascii="仿宋_GB2312" w:hAnsi="仿宋_GB2312" w:eastAsia="仿宋_GB2312" w:cs="仿宋_GB2312"/>
                <w:color w:val="auto"/>
                <w:sz w:val="24"/>
                <w:szCs w:val="24"/>
                <w:highlight w:val="none"/>
              </w:rPr>
              <w:t>搜索和分析。</w:t>
            </w:r>
          </w:p>
        </w:tc>
        <w:tc>
          <w:tcPr>
            <w:tcW w:w="101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1" w:type="dxa"/>
            <w:vMerge w:val="restart"/>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服务能力</w:t>
            </w:r>
          </w:p>
        </w:tc>
        <w:tc>
          <w:tcPr>
            <w:tcW w:w="7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实时检索和分析</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Hans"/>
              </w:rPr>
              <w:t>最大可支</w:t>
            </w:r>
            <w:r>
              <w:rPr>
                <w:rFonts w:hint="eastAsia" w:ascii="仿宋_GB2312" w:hAnsi="仿宋_GB2312" w:eastAsia="仿宋_GB2312" w:cs="仿宋_GB2312"/>
                <w:color w:val="auto"/>
                <w:sz w:val="24"/>
                <w:szCs w:val="24"/>
                <w:highlight w:val="none"/>
              </w:rPr>
              <w:t>持PB级数据实时搜索和分析，</w:t>
            </w:r>
            <w:r>
              <w:rPr>
                <w:rFonts w:hint="eastAsia" w:ascii="仿宋_GB2312" w:hAnsi="仿宋_GB2312" w:eastAsia="仿宋_GB2312" w:cs="仿宋_GB2312"/>
                <w:color w:val="auto"/>
                <w:sz w:val="24"/>
                <w:szCs w:val="24"/>
                <w:highlight w:val="none"/>
                <w:lang w:eastAsia="zh-Hans"/>
              </w:rPr>
              <w:t>最大可</w:t>
            </w:r>
            <w:r>
              <w:rPr>
                <w:rFonts w:hint="default" w:ascii="仿宋_GB2312" w:hAnsi="仿宋_GB2312" w:eastAsia="仿宋_GB2312" w:cs="仿宋_GB2312"/>
                <w:color w:val="auto"/>
                <w:sz w:val="24"/>
                <w:szCs w:val="24"/>
                <w:highlight w:val="none"/>
                <w:lang w:val="en" w:eastAsia="zh-Hans"/>
              </w:rPr>
              <w:t>支</w:t>
            </w:r>
            <w:r>
              <w:rPr>
                <w:rFonts w:hint="eastAsia" w:ascii="仿宋_GB2312" w:hAnsi="仿宋_GB2312" w:eastAsia="仿宋_GB2312" w:cs="仿宋_GB2312"/>
                <w:color w:val="auto"/>
                <w:sz w:val="24"/>
                <w:szCs w:val="24"/>
                <w:highlight w:val="none"/>
              </w:rPr>
              <w:t>持毫秒级快速响应。</w:t>
            </w:r>
          </w:p>
        </w:tc>
        <w:tc>
          <w:tcPr>
            <w:tcW w:w="101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1"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部署维护简单</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自动化部署，提供完善的系统监控模块。</w:t>
            </w:r>
          </w:p>
        </w:tc>
        <w:tc>
          <w:tcPr>
            <w:tcW w:w="101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1"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可视化分析</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集成Kibana模块，可视化数据分析、后台管理。</w:t>
            </w:r>
          </w:p>
        </w:tc>
        <w:tc>
          <w:tcPr>
            <w:tcW w:w="101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81"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弹性扩展</w:t>
            </w:r>
          </w:p>
          <w:p>
            <w:pPr>
              <w:autoSpaceDE w:val="0"/>
              <w:autoSpaceDN w:val="0"/>
              <w:adjustRightInd w:val="0"/>
              <w:jc w:val="left"/>
              <w:rPr>
                <w:rFonts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
              </w:rPr>
              <w:t>支</w:t>
            </w:r>
            <w:r>
              <w:rPr>
                <w:rFonts w:hint="eastAsia" w:ascii="仿宋_GB2312" w:hAnsi="仿宋_GB2312" w:eastAsia="仿宋_GB2312" w:cs="仿宋_GB2312"/>
                <w:color w:val="auto"/>
                <w:sz w:val="24"/>
                <w:szCs w:val="24"/>
                <w:highlight w:val="none"/>
              </w:rPr>
              <w:t>持弹性扩展到上百台服务器，服务器硬件配置可以伸缩。</w:t>
            </w:r>
          </w:p>
        </w:tc>
        <w:tc>
          <w:tcPr>
            <w:tcW w:w="1013" w:type="dxa"/>
            <w:tcBorders>
              <w:top w:val="single" w:color="auto" w:sz="4" w:space="0"/>
              <w:left w:val="single" w:color="auto" w:sz="4" w:space="0"/>
              <w:bottom w:val="single" w:color="auto" w:sz="4" w:space="0"/>
              <w:right w:val="single" w:color="auto" w:sz="4" w:space="0"/>
            </w:tcBorders>
            <w:vAlign w:val="center"/>
          </w:tcPr>
          <w:p>
            <w:pPr>
              <w:pStyle w:val="814"/>
              <w:ind w:firstLine="0" w:firstLineChars="0"/>
              <w:rPr>
                <w:rFonts w:ascii="仿宋_GB2312"/>
                <w:color w:val="auto"/>
                <w:sz w:val="24"/>
                <w:highlight w:val="none"/>
              </w:rPr>
            </w:pPr>
          </w:p>
        </w:tc>
      </w:tr>
    </w:tbl>
    <w:p>
      <w:pPr>
        <w:pStyle w:val="232"/>
        <w:ind w:firstLine="0" w:firstLineChars="0"/>
        <w:outlineLvl w:val="2"/>
        <w:rPr>
          <w:rFonts w:ascii="仿宋_GB2312" w:hAnsi="Calibri" w:eastAsia="仿宋_GB2312"/>
          <w:b/>
          <w:bCs/>
          <w:color w:val="auto"/>
          <w:szCs w:val="24"/>
          <w:highlight w:val="none"/>
        </w:rPr>
      </w:pPr>
      <w:r>
        <w:rPr>
          <w:rFonts w:hint="eastAsia" w:ascii="仿宋_GB2312" w:hAnsi="Calibri" w:eastAsia="仿宋_GB2312"/>
          <w:b/>
          <w:bCs/>
          <w:color w:val="auto"/>
          <w:szCs w:val="24"/>
          <w:highlight w:val="none"/>
        </w:rPr>
        <w:t>2.17 消息队列MQ</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10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指标项</w:t>
            </w:r>
          </w:p>
        </w:tc>
        <w:tc>
          <w:tcPr>
            <w:tcW w:w="7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规格要求</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服务标准</w:t>
            </w:r>
          </w:p>
        </w:tc>
        <w:tc>
          <w:tcPr>
            <w:tcW w:w="7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于高可用分布式集群技术，提供消息订阅和发布、消息轨迹查询以及定时（延时）消息、资源统计、监控报警等系列消息云服务，为分布式应用系统提供异步解耦、削峰填谷的能力，同时具备海量消息堆积、高吞吐、可靠重试等应用所需的特性。</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供TCP协议层面的接入方式，支持Java、C++、.NET编程语言，方便不同编程语言开发的应用快速接入消息队列MQ消息云服务。用户可以将应用部署在阿里云ECS或者嵌入到移动端、物联网设备中与消息队列MQ建立连接进行消息收发。</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vMerge w:val="restart"/>
            <w:tcBorders>
              <w:top w:val="single" w:color="auto" w:sz="4" w:space="0"/>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服务特性</w:t>
            </w:r>
          </w:p>
        </w:tc>
        <w:tc>
          <w:tcPr>
            <w:tcW w:w="7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协议接入</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default" w:ascii="仿宋_GB2312" w:hAnsi="仿宋_GB2312" w:eastAsia="仿宋_GB2312" w:cs="仿宋_GB2312"/>
                <w:color w:val="auto"/>
                <w:sz w:val="24"/>
                <w:szCs w:val="24"/>
                <w:highlight w:val="none"/>
                <w:lang w:val="en"/>
              </w:rPr>
              <w:t>支</w:t>
            </w:r>
            <w:r>
              <w:rPr>
                <w:rFonts w:hint="eastAsia" w:ascii="仿宋_GB2312" w:hAnsi="仿宋_GB2312" w:eastAsia="仿宋_GB2312" w:cs="仿宋_GB2312"/>
                <w:color w:val="auto"/>
                <w:sz w:val="24"/>
                <w:szCs w:val="24"/>
                <w:highlight w:val="none"/>
              </w:rPr>
              <w:t>持TCP协议：提供更为专业、可靠、稳定的TCP协议的Java、C/C++和.NET SDK接⼊。</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管理工具</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Web控制台：支持Topic管理、Group管理、消息查询、消息轨迹、资源报表。</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Open API：提供API允许将MQ管理</w:t>
            </w:r>
            <w:r>
              <w:rPr>
                <w:rFonts w:hint="default" w:ascii="仿宋_GB2312" w:hAnsi="仿宋_GB2312" w:eastAsia="仿宋_GB2312" w:cs="仿宋_GB2312"/>
                <w:color w:val="auto"/>
                <w:sz w:val="24"/>
                <w:szCs w:val="24"/>
                <w:highlight w:val="none"/>
                <w:lang w:val="en"/>
              </w:rPr>
              <w:t>工</w:t>
            </w:r>
            <w:r>
              <w:rPr>
                <w:rFonts w:hint="eastAsia" w:ascii="仿宋_GB2312" w:hAnsi="仿宋_GB2312" w:eastAsia="仿宋_GB2312" w:cs="仿宋_GB2312"/>
                <w:color w:val="auto"/>
                <w:sz w:val="24"/>
                <w:szCs w:val="24"/>
                <w:highlight w:val="none"/>
              </w:rPr>
              <w:t>具集成到用户的控制台。</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mqadmin命令集：输出提供</w:t>
            </w:r>
            <w:r>
              <w:rPr>
                <w:rFonts w:hint="default" w:ascii="仿宋_GB2312" w:hAnsi="仿宋_GB2312" w:eastAsia="仿宋_GB2312" w:cs="仿宋_GB2312"/>
                <w:color w:val="auto"/>
                <w:sz w:val="24"/>
                <w:szCs w:val="24"/>
                <w:highlight w:val="none"/>
                <w:lang w:val="en"/>
              </w:rPr>
              <w:t>一</w:t>
            </w:r>
            <w:r>
              <w:rPr>
                <w:rFonts w:hint="eastAsia" w:ascii="仿宋_GB2312" w:hAnsi="仿宋_GB2312" w:eastAsia="仿宋_GB2312" w:cs="仿宋_GB2312"/>
                <w:color w:val="auto"/>
                <w:sz w:val="24"/>
                <w:szCs w:val="24"/>
                <w:highlight w:val="none"/>
              </w:rPr>
              <w:t>套丰富的管理命令集，以命令方式对MQ服务进行管理。</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3"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消息类型</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普通消息：消息队列MQ中无特性的消息，区别于有特性的消息。</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定时（延时）消息：允许消息</w:t>
            </w:r>
            <w:r>
              <w:rPr>
                <w:rFonts w:ascii="仿宋_GB2312" w:hAnsi="仿宋_GB2312" w:eastAsia="仿宋_GB2312" w:cs="仿宋_GB2312"/>
                <w:color w:val="auto"/>
                <w:sz w:val="24"/>
                <w:szCs w:val="24"/>
                <w:highlight w:val="none"/>
              </w:rPr>
              <w:t>生</w:t>
            </w:r>
            <w:r>
              <w:rPr>
                <w:rFonts w:hint="eastAsia" w:ascii="仿宋_GB2312" w:hAnsi="仿宋_GB2312" w:eastAsia="仿宋_GB2312" w:cs="仿宋_GB2312"/>
                <w:color w:val="auto"/>
                <w:sz w:val="24"/>
                <w:szCs w:val="24"/>
                <w:highlight w:val="none"/>
              </w:rPr>
              <w:t>产者指定消息进</w:t>
            </w:r>
            <w:r>
              <w:rPr>
                <w:rFonts w:ascii="仿宋_GB2312" w:hAnsi="仿宋_GB2312" w:eastAsia="仿宋_GB2312" w:cs="仿宋_GB2312"/>
                <w:color w:val="auto"/>
                <w:sz w:val="24"/>
                <w:szCs w:val="24"/>
                <w:highlight w:val="none"/>
              </w:rPr>
              <w:t>行</w:t>
            </w:r>
            <w:r>
              <w:rPr>
                <w:rFonts w:hint="eastAsia" w:ascii="仿宋_GB2312" w:hAnsi="仿宋_GB2312" w:eastAsia="仿宋_GB2312" w:cs="仿宋_GB2312"/>
                <w:color w:val="auto"/>
                <w:sz w:val="24"/>
                <w:szCs w:val="24"/>
                <w:highlight w:val="none"/>
              </w:rPr>
              <w:t>定时（延时）投递，最长支持40天。</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事务消息：实现类似X/Open XA的分布事务功能，以达到事务最终</w:t>
            </w:r>
            <w:r>
              <w:rPr>
                <w:rFonts w:hint="default" w:ascii="仿宋_GB2312" w:hAnsi="仿宋_GB2312" w:eastAsia="仿宋_GB2312" w:cs="仿宋_GB2312"/>
                <w:color w:val="auto"/>
                <w:sz w:val="24"/>
                <w:szCs w:val="24"/>
                <w:highlight w:val="none"/>
                <w:lang w:val="en"/>
              </w:rPr>
              <w:t>一</w:t>
            </w:r>
            <w:r>
              <w:rPr>
                <w:rFonts w:hint="eastAsia" w:ascii="仿宋_GB2312" w:hAnsi="仿宋_GB2312" w:eastAsia="仿宋_GB2312" w:cs="仿宋_GB2312"/>
                <w:color w:val="auto"/>
                <w:sz w:val="24"/>
                <w:szCs w:val="24"/>
                <w:highlight w:val="none"/>
              </w:rPr>
              <w:t>致性状态。</w:t>
            </w:r>
          </w:p>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顺序消息：允许消息消费者按照消息发送的顺序对消息进</w:t>
            </w:r>
            <w:r>
              <w:rPr>
                <w:rFonts w:ascii="仿宋_GB2312" w:hAnsi="仿宋_GB2312" w:eastAsia="仿宋_GB2312" w:cs="仿宋_GB2312"/>
                <w:color w:val="auto"/>
                <w:sz w:val="24"/>
                <w:szCs w:val="24"/>
                <w:highlight w:val="none"/>
              </w:rPr>
              <w:t>行</w:t>
            </w:r>
            <w:r>
              <w:rPr>
                <w:rFonts w:hint="eastAsia" w:ascii="仿宋_GB2312" w:hAnsi="仿宋_GB2312" w:eastAsia="仿宋_GB2312" w:cs="仿宋_GB2312"/>
                <w:color w:val="auto"/>
                <w:sz w:val="24"/>
                <w:szCs w:val="24"/>
                <w:highlight w:val="none"/>
              </w:rPr>
              <w:t>消费。</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vMerge w:val="restart"/>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服务能力</w:t>
            </w:r>
          </w:p>
        </w:tc>
        <w:tc>
          <w:tcPr>
            <w:tcW w:w="7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大消息：支持4MB大消息（包含消息属性）。</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消息查询：提供了三种消息查询的方式，分别是按Message ID、Message Key以及Topic查询。</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vMerge w:val="continue"/>
            <w:tcBorders>
              <w:left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c>
          <w:tcPr>
            <w:tcW w:w="7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运维管控：支持mqadmin命令集、Open API运维管理⼯具，方便管控平台集成以及统一运维。</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cs="仿宋_GB2312"/>
                <w:color w:val="auto"/>
                <w:sz w:val="24"/>
                <w:szCs w:val="24"/>
                <w:highlight w:val="none"/>
              </w:rPr>
            </w:pPr>
          </w:p>
        </w:tc>
      </w:tr>
    </w:tbl>
    <w:p>
      <w:pPr>
        <w:pStyle w:val="232"/>
        <w:ind w:firstLine="0" w:firstLineChars="0"/>
        <w:rPr>
          <w:rFonts w:hint="eastAsia" w:ascii="仿宋_GB2312" w:hAnsi="Calibri" w:eastAsia="仿宋_GB2312"/>
          <w:color w:val="auto"/>
          <w:szCs w:val="24"/>
          <w:highlight w:val="none"/>
        </w:rPr>
      </w:pPr>
    </w:p>
    <w:p>
      <w:pPr>
        <w:pStyle w:val="232"/>
        <w:ind w:firstLine="0" w:firstLineChars="0"/>
        <w:outlineLvl w:val="1"/>
        <w:rPr>
          <w:rFonts w:ascii="仿宋_GB2312" w:hAnsi="Calibri" w:eastAsia="仿宋_GB2312"/>
          <w:b/>
          <w:bCs/>
          <w:color w:val="auto"/>
          <w:szCs w:val="24"/>
          <w:highlight w:val="none"/>
        </w:rPr>
      </w:pPr>
      <w:r>
        <w:rPr>
          <w:rFonts w:ascii="仿宋_GB2312" w:hAnsi="Calibri" w:eastAsia="仿宋_GB2312"/>
          <w:b/>
          <w:bCs/>
          <w:color w:val="auto"/>
          <w:szCs w:val="24"/>
          <w:highlight w:val="none"/>
        </w:rPr>
        <w:t xml:space="preserve">3 </w:t>
      </w:r>
      <w:r>
        <w:rPr>
          <w:rFonts w:hint="eastAsia" w:ascii="仿宋_GB2312" w:hAnsi="Calibri" w:eastAsia="仿宋_GB2312"/>
          <w:b/>
          <w:bCs/>
          <w:color w:val="auto"/>
          <w:szCs w:val="24"/>
          <w:highlight w:val="none"/>
        </w:rPr>
        <w:t>云资源监控要求</w:t>
      </w:r>
    </w:p>
    <w:p>
      <w:pPr>
        <w:pStyle w:val="232"/>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xml:space="preserve">    投标人应加强对云资源使用情况的动态监控，实时监控云业务平台各系统，包括但不限于：CPU，内存，磁盘，网络等系统基本运行指标，形成报表并记录在案。</w:t>
      </w:r>
    </w:p>
    <w:p>
      <w:pPr>
        <w:pStyle w:val="232"/>
        <w:spacing w:before="0"/>
        <w:ind w:firstLine="48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跟踪分析使用单位云资源运行质量情况，提出资源调整和优化建议。</w:t>
      </w:r>
      <w:r>
        <w:rPr>
          <w:rFonts w:ascii="仿宋_GB2312" w:hAnsi="仿宋" w:eastAsia="仿宋_GB2312" w:cs="Arial"/>
          <w:color w:val="auto"/>
          <w:kern w:val="0"/>
          <w:highlight w:val="none"/>
        </w:rPr>
        <w:t>定期</w:t>
      </w:r>
      <w:r>
        <w:rPr>
          <w:rFonts w:hint="eastAsia" w:ascii="仿宋_GB2312" w:hAnsi="仿宋" w:eastAsia="仿宋_GB2312" w:cs="Arial"/>
          <w:color w:val="auto"/>
          <w:kern w:val="0"/>
          <w:highlight w:val="none"/>
        </w:rPr>
        <w:t>对使用单位云资源运行情况进行统计、分析，包括CPU、内存、磁盘利用率等指标，并将数据形成运维报表反馈用户，并配合甲方，协助各使用单位进行资源的合理调整。</w:t>
      </w:r>
    </w:p>
    <w:p>
      <w:pPr>
        <w:pStyle w:val="232"/>
        <w:spacing w:before="0"/>
        <w:ind w:firstLine="0" w:firstLineChars="0"/>
        <w:outlineLvl w:val="1"/>
        <w:rPr>
          <w:rFonts w:hint="eastAsia" w:ascii="仿宋_GB2312" w:hAnsi="仿宋" w:eastAsia="仿宋_GB2312" w:cs="Arial"/>
          <w:b/>
          <w:bCs/>
          <w:color w:val="auto"/>
          <w:kern w:val="0"/>
          <w:highlight w:val="none"/>
        </w:rPr>
      </w:pPr>
      <w:r>
        <w:rPr>
          <w:rFonts w:hint="eastAsia" w:ascii="仿宋_GB2312" w:hAnsi="仿宋" w:eastAsia="仿宋_GB2312" w:cs="Arial"/>
          <w:b/>
          <w:bCs/>
          <w:color w:val="auto"/>
          <w:kern w:val="0"/>
          <w:highlight w:val="none"/>
        </w:rPr>
        <w:t>4 云平台管理要求</w:t>
      </w:r>
    </w:p>
    <w:p>
      <w:pPr>
        <w:pStyle w:val="232"/>
        <w:spacing w:before="0"/>
        <w:ind w:firstLine="48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投标人应提供基于政务云平台资源的可视化</w:t>
      </w:r>
      <w:r>
        <w:rPr>
          <w:rFonts w:hint="default" w:ascii="仿宋_GB2312" w:hAnsi="仿宋" w:eastAsia="仿宋_GB2312" w:cs="Arial"/>
          <w:color w:val="auto"/>
          <w:kern w:val="0"/>
          <w:highlight w:val="none"/>
        </w:rPr>
        <w:t>管理平台</w:t>
      </w:r>
      <w:r>
        <w:rPr>
          <w:rFonts w:hint="eastAsia" w:ascii="仿宋_GB2312" w:hAnsi="仿宋" w:eastAsia="仿宋_GB2312" w:cs="Arial"/>
          <w:color w:val="auto"/>
          <w:kern w:val="0"/>
          <w:highlight w:val="none"/>
        </w:rPr>
        <w:t>，</w:t>
      </w:r>
      <w:r>
        <w:rPr>
          <w:rFonts w:hint="default" w:ascii="仿宋_GB2312" w:hAnsi="仿宋" w:eastAsia="仿宋_GB2312" w:cs="Arial"/>
          <w:color w:val="auto"/>
          <w:kern w:val="0"/>
          <w:highlight w:val="none"/>
        </w:rPr>
        <w:t>通过平台用户可以进行的</w:t>
      </w:r>
      <w:r>
        <w:rPr>
          <w:rFonts w:hint="eastAsia" w:ascii="仿宋_GB2312" w:hAnsi="仿宋" w:eastAsia="仿宋_GB2312" w:cs="Arial"/>
          <w:color w:val="auto"/>
          <w:kern w:val="0"/>
          <w:highlight w:val="none"/>
        </w:rPr>
        <w:t>资源</w:t>
      </w:r>
      <w:r>
        <w:rPr>
          <w:rFonts w:hint="default" w:ascii="仿宋_GB2312" w:hAnsi="仿宋" w:eastAsia="仿宋_GB2312" w:cs="Arial"/>
          <w:color w:val="auto"/>
          <w:kern w:val="0"/>
          <w:highlight w:val="none"/>
        </w:rPr>
        <w:t>申请及日常变配操作，提供</w:t>
      </w:r>
      <w:r>
        <w:rPr>
          <w:rFonts w:hint="eastAsia" w:ascii="仿宋_GB2312" w:hAnsi="仿宋" w:eastAsia="仿宋_GB2312" w:cs="Arial"/>
          <w:color w:val="auto"/>
          <w:kern w:val="0"/>
          <w:highlight w:val="none"/>
        </w:rPr>
        <w:t>资源使用情况、在用机构单位及项目数量、资源</w:t>
      </w:r>
      <w:r>
        <w:rPr>
          <w:rFonts w:hint="default" w:ascii="仿宋_GB2312" w:hAnsi="仿宋" w:eastAsia="仿宋_GB2312" w:cs="Arial"/>
          <w:color w:val="auto"/>
          <w:kern w:val="0"/>
          <w:highlight w:val="none"/>
        </w:rPr>
        <w:t>报表</w:t>
      </w:r>
      <w:r>
        <w:rPr>
          <w:rFonts w:hint="eastAsia" w:ascii="仿宋_GB2312" w:hAnsi="仿宋" w:eastAsia="仿宋_GB2312" w:cs="Arial"/>
          <w:color w:val="auto"/>
          <w:kern w:val="0"/>
          <w:highlight w:val="none"/>
        </w:rPr>
        <w:t>信息等，同时能对云资源历史时期内的各项数据进行展示,配合采购人做好政务云平台资源管理，提高资源利用率。</w:t>
      </w:r>
    </w:p>
    <w:p>
      <w:pPr>
        <w:pStyle w:val="232"/>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xml:space="preserve">    投标人应提供</w:t>
      </w:r>
      <w:r>
        <w:rPr>
          <w:rFonts w:hint="default" w:ascii="仿宋_GB2312" w:hAnsi="仿宋" w:eastAsia="仿宋_GB2312" w:cs="Arial"/>
          <w:color w:val="auto"/>
          <w:kern w:val="0"/>
          <w:highlight w:val="none"/>
        </w:rPr>
        <w:t>的</w:t>
      </w:r>
      <w:r>
        <w:rPr>
          <w:rFonts w:hint="eastAsia" w:ascii="仿宋_GB2312" w:hAnsi="仿宋" w:eastAsia="仿宋_GB2312" w:cs="Arial"/>
          <w:color w:val="auto"/>
          <w:kern w:val="0"/>
          <w:highlight w:val="none"/>
        </w:rPr>
        <w:t>云平台管理控制台的</w:t>
      </w:r>
      <w:r>
        <w:rPr>
          <w:rFonts w:hint="default" w:ascii="仿宋_GB2312" w:hAnsi="仿宋" w:eastAsia="仿宋_GB2312" w:cs="Arial"/>
          <w:color w:val="auto"/>
          <w:kern w:val="0"/>
          <w:highlight w:val="none"/>
        </w:rPr>
        <w:t>支持</w:t>
      </w:r>
      <w:r>
        <w:rPr>
          <w:rFonts w:hint="eastAsia" w:ascii="仿宋_GB2312" w:hAnsi="仿宋" w:eastAsia="仿宋_GB2312" w:cs="Arial"/>
          <w:color w:val="auto"/>
          <w:kern w:val="0"/>
          <w:highlight w:val="none"/>
        </w:rPr>
        <w:t>移动端登入方式</w:t>
      </w:r>
      <w:r>
        <w:rPr>
          <w:rFonts w:ascii="仿宋_GB2312" w:hAnsi="仿宋" w:eastAsia="仿宋_GB2312" w:cs="Arial"/>
          <w:color w:val="auto"/>
          <w:kern w:val="0"/>
          <w:highlight w:val="none"/>
        </w:rPr>
        <w:t>，支持</w:t>
      </w:r>
      <w:r>
        <w:rPr>
          <w:rFonts w:hint="eastAsia" w:ascii="仿宋_GB2312" w:hAnsi="仿宋" w:eastAsia="仿宋_GB2312" w:cs="Arial"/>
          <w:color w:val="auto"/>
          <w:kern w:val="0"/>
          <w:highlight w:val="none"/>
        </w:rPr>
        <w:t>浙政钉</w:t>
      </w:r>
      <w:r>
        <w:rPr>
          <w:rFonts w:hint="default" w:ascii="仿宋_GB2312" w:hAnsi="仿宋" w:eastAsia="仿宋_GB2312" w:cs="Arial"/>
          <w:color w:val="auto"/>
          <w:kern w:val="0"/>
          <w:highlight w:val="none"/>
        </w:rPr>
        <w:t>扫码一键登陆</w:t>
      </w:r>
      <w:r>
        <w:rPr>
          <w:rFonts w:hint="eastAsia" w:ascii="仿宋_GB2312" w:hAnsi="仿宋" w:eastAsia="仿宋_GB2312" w:cs="Arial"/>
          <w:color w:val="auto"/>
          <w:kern w:val="0"/>
          <w:highlight w:val="none"/>
        </w:rPr>
        <w:t>，各级使用单位用户及时进行资源的申请及管理操作，通过移动端查看资源的使用率，实现通过移动端进行资源的重启等操作，提升云平台的服务能力。</w:t>
      </w:r>
    </w:p>
    <w:p>
      <w:pPr>
        <w:pStyle w:val="232"/>
        <w:spacing w:before="0"/>
        <w:ind w:firstLine="480"/>
        <w:rPr>
          <w:rFonts w:hint="eastAsia" w:ascii="仿宋_GB2312" w:hAnsi="仿宋" w:eastAsia="仿宋_GB2312" w:cs="Arial"/>
          <w:b/>
          <w:color w:val="auto"/>
          <w:kern w:val="0"/>
          <w:highlight w:val="none"/>
        </w:rPr>
      </w:pPr>
      <w:r>
        <w:rPr>
          <w:rFonts w:hint="eastAsia" w:ascii="仿宋_GB2312" w:hAnsi="仿宋" w:eastAsia="仿宋_GB2312" w:cs="Arial"/>
          <w:b/>
          <w:color w:val="auto"/>
          <w:kern w:val="0"/>
          <w:highlight w:val="none"/>
        </w:rPr>
        <w:t>详细技术参数需求如下：</w:t>
      </w:r>
    </w:p>
    <w:tbl>
      <w:tblPr>
        <w:tblStyle w:val="62"/>
        <w:tblW w:w="9101" w:type="dxa"/>
        <w:tblInd w:w="0" w:type="dxa"/>
        <w:tblLayout w:type="fixed"/>
        <w:tblCellMar>
          <w:top w:w="0" w:type="dxa"/>
          <w:left w:w="0" w:type="dxa"/>
          <w:bottom w:w="0" w:type="dxa"/>
          <w:right w:w="0" w:type="dxa"/>
        </w:tblCellMar>
      </w:tblPr>
      <w:tblGrid>
        <w:gridCol w:w="1168"/>
        <w:gridCol w:w="6924"/>
        <w:gridCol w:w="1009"/>
      </w:tblGrid>
      <w:tr>
        <w:tblPrEx>
          <w:tblCellMar>
            <w:top w:w="0" w:type="dxa"/>
            <w:left w:w="0" w:type="dxa"/>
            <w:bottom w:w="0" w:type="dxa"/>
            <w:right w:w="0" w:type="dxa"/>
          </w:tblCellMar>
        </w:tblPrEx>
        <w:trPr>
          <w:trHeight w:val="334" w:hRule="atLeast"/>
        </w:trPr>
        <w:tc>
          <w:tcPr>
            <w:tcW w:w="1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指标项</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规格要求</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备注</w:t>
            </w:r>
          </w:p>
        </w:tc>
      </w:tr>
      <w:tr>
        <w:tblPrEx>
          <w:tblCellMar>
            <w:top w:w="0" w:type="dxa"/>
            <w:left w:w="0" w:type="dxa"/>
            <w:bottom w:w="0" w:type="dxa"/>
            <w:right w:w="0" w:type="dxa"/>
          </w:tblCellMar>
        </w:tblPrEx>
        <w:trPr>
          <w:trHeight w:val="477" w:hRule="atLeast"/>
        </w:trPr>
        <w:tc>
          <w:tcPr>
            <w:tcW w:w="1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登入方式</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支持浙政钉免密登入，用户名和密码登录。</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trHeight w:val="429" w:hRule="atLeast"/>
        </w:trPr>
        <w:tc>
          <w:tcPr>
            <w:tcW w:w="1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资源申请</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提供ECS、RDS、OSS、SLB四大基础云资源产品的申请开通流程；</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trHeight w:val="539" w:hRule="atLeast"/>
        </w:trPr>
        <w:tc>
          <w:tcPr>
            <w:tcW w:w="11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资源管理</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提供平台云资源的管理查看功能，提供资源的CPU/内存/磁盘利用率；</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trHeight w:val="409" w:hRule="atLeast"/>
        </w:trPr>
        <w:tc>
          <w:tcPr>
            <w:tcW w:w="11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24"/>
                <w:szCs w:val="24"/>
                <w:highlight w:val="none"/>
              </w:rPr>
            </w:pP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提供云资源的日常管理操作服务（如资源重启）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trHeight w:val="464" w:hRule="atLeast"/>
        </w:trPr>
        <w:tc>
          <w:tcPr>
            <w:tcW w:w="11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24"/>
                <w:szCs w:val="24"/>
                <w:highlight w:val="none"/>
              </w:rPr>
            </w:pP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提供基于用户的资源汇总统计信息（项目数、资源总数等）</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仿宋_GB2312" w:hAnsi="仿宋_GB2312" w:eastAsia="仿宋_GB2312" w:cs="仿宋_GB2312"/>
                <w:color w:val="auto"/>
                <w:sz w:val="24"/>
                <w:szCs w:val="24"/>
                <w:highlight w:val="none"/>
              </w:rPr>
            </w:pPr>
          </w:p>
        </w:tc>
      </w:tr>
      <w:tr>
        <w:tblPrEx>
          <w:tblCellMar>
            <w:top w:w="0" w:type="dxa"/>
            <w:left w:w="0" w:type="dxa"/>
            <w:bottom w:w="0" w:type="dxa"/>
            <w:right w:w="0" w:type="dxa"/>
          </w:tblCellMar>
        </w:tblPrEx>
        <w:trPr>
          <w:trHeight w:val="464" w:hRule="atLeast"/>
        </w:trPr>
        <w:tc>
          <w:tcPr>
            <w:tcW w:w="1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用户中心</w:t>
            </w:r>
          </w:p>
        </w:tc>
        <w:tc>
          <w:tcPr>
            <w:tcW w:w="6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提供用户审批单的查看功能</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仿宋_GB2312" w:hAnsi="仿宋_GB2312" w:eastAsia="仿宋_GB2312" w:cs="仿宋_GB2312"/>
                <w:color w:val="auto"/>
                <w:sz w:val="24"/>
                <w:szCs w:val="24"/>
                <w:highlight w:val="none"/>
              </w:rPr>
            </w:pPr>
          </w:p>
        </w:tc>
      </w:tr>
    </w:tbl>
    <w:p>
      <w:pPr>
        <w:pStyle w:val="232"/>
        <w:bidi w:val="0"/>
        <w:rPr>
          <w:rFonts w:hint="eastAsia"/>
          <w:color w:val="auto"/>
          <w:highlight w:val="none"/>
        </w:rPr>
      </w:pPr>
    </w:p>
    <w:p>
      <w:pPr>
        <w:pStyle w:val="232"/>
        <w:spacing w:before="0"/>
        <w:ind w:firstLine="0" w:firstLineChars="0"/>
        <w:outlineLvl w:val="1"/>
        <w:rPr>
          <w:rFonts w:hint="eastAsia" w:ascii="仿宋_GB2312" w:hAnsi="仿宋" w:eastAsia="仿宋_GB2312" w:cs="Arial"/>
          <w:b/>
          <w:bCs/>
          <w:color w:val="auto"/>
          <w:kern w:val="0"/>
          <w:highlight w:val="none"/>
        </w:rPr>
      </w:pPr>
      <w:r>
        <w:rPr>
          <w:rFonts w:hint="eastAsia" w:ascii="仿宋_GB2312" w:hAnsi="仿宋" w:eastAsia="仿宋_GB2312" w:cs="Arial"/>
          <w:b/>
          <w:bCs/>
          <w:color w:val="auto"/>
          <w:kern w:val="0"/>
          <w:highlight w:val="none"/>
        </w:rPr>
        <w:t>5安全服务技术要求</w:t>
      </w:r>
    </w:p>
    <w:p>
      <w:pPr>
        <w:pStyle w:val="6"/>
        <w:numPr>
          <w:ilvl w:val="0"/>
          <w:numId w:val="0"/>
        </w:numPr>
        <w:spacing w:before="0" w:beforeLines="0" w:after="0" w:afterLines="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5.1平台安全防护服务</w:t>
      </w:r>
    </w:p>
    <w:p>
      <w:pPr>
        <w:pageBreakBefore w:val="0"/>
        <w:widowControl w:val="0"/>
        <w:kinsoku/>
        <w:wordWrap/>
        <w:overflowPunct/>
        <w:topLinePunct w:val="0"/>
        <w:autoSpaceDE/>
        <w:autoSpaceDN/>
        <w:bidi w:val="0"/>
        <w:spacing w:before="0" w:beforeLines="0" w:after="0" w:afterLines="0" w:line="360" w:lineRule="auto"/>
        <w:ind w:left="0" w:leftChars="0" w:right="0" w:righ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本项目云平台须按照《GB/T 25070-2019 信息安全技术网络安全等级保护安全设计技术要求》中等级保护三级设计要求进行防护，满足安全通用要求和云计算安全扩展要求进行设备配置，如防火墙、主机杀毒软件、日志审计系统、堡垒机、数据库审计、漏洞扫描、WEB应用防火墙以及入侵检测等产品。</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指标项</w:t>
            </w:r>
          </w:p>
        </w:tc>
        <w:tc>
          <w:tcPr>
            <w:tcW w:w="7546" w:type="dxa"/>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lang w:val="en-US" w:eastAsia="zh-Hans"/>
              </w:rPr>
            </w:pPr>
            <w:r>
              <w:rPr>
                <w:rFonts w:hint="eastAsia" w:ascii="仿宋_GB2312" w:hAnsi="仿宋_GB2312" w:eastAsia="仿宋_GB2312" w:cs="仿宋_GB2312"/>
                <w:color w:val="auto"/>
                <w:sz w:val="24"/>
                <w:szCs w:val="24"/>
                <w:highlight w:val="none"/>
                <w:lang w:val="en-US" w:eastAsia="zh-Hans"/>
              </w:rPr>
              <w:t>资质要求</w:t>
            </w:r>
            <w:r>
              <w:rPr>
                <w:rFonts w:hint="eastAsia" w:ascii="仿宋_GB2312" w:hAnsi="仿宋_GB2312" w:eastAsia="仿宋_GB2312" w:cs="仿宋_GB2312"/>
                <w:color w:val="auto"/>
                <w:sz w:val="24"/>
                <w:szCs w:val="24"/>
                <w:highlight w:val="none"/>
                <w:lang w:eastAsia="zh-Hans"/>
              </w:rPr>
              <w:t xml:space="preserve"> </w:t>
            </w:r>
          </w:p>
        </w:tc>
        <w:tc>
          <w:tcPr>
            <w:tcW w:w="7546" w:type="dxa"/>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投标的云平台应满足公安部等级保护三级要求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虚拟主机防护</w:t>
            </w:r>
          </w:p>
        </w:tc>
        <w:tc>
          <w:tcPr>
            <w:tcW w:w="7546" w:type="dxa"/>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支持监听端口、账号信息、运行进程、软件版本等资产指纹识别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rPr>
            </w:pPr>
          </w:p>
        </w:tc>
        <w:tc>
          <w:tcPr>
            <w:tcW w:w="7546" w:type="dxa"/>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异常登录检测：能检测出系统的异常登录事件，支持异地登录、非法IP登录、非法时间登录、非法账号登录到提醒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rPr>
            </w:pPr>
          </w:p>
        </w:tc>
        <w:tc>
          <w:tcPr>
            <w:tcW w:w="7546" w:type="dxa"/>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入侵检测：基于对主机进程、网络、文件原始行为数据进行多维算法关联分析，支持反弹shell、Java执行异常CMD命令、bash异常下载、异常进程启动、异常指令执行等主机异常行为告警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rPr>
            </w:pPr>
          </w:p>
        </w:tc>
        <w:tc>
          <w:tcPr>
            <w:tcW w:w="7546" w:type="dxa"/>
            <w:noWrap w:val="0"/>
            <w:vAlign w:val="top"/>
          </w:tcPr>
          <w:p>
            <w:pPr>
              <w:pageBreakBefore w:val="0"/>
              <w:widowControl w:val="0"/>
              <w:kinsoku/>
              <w:wordWrap/>
              <w:overflowPunct/>
              <w:topLinePunct w:val="0"/>
              <w:autoSpaceDE/>
              <w:autoSpaceDN/>
              <w:bidi w:val="0"/>
              <w:spacing w:before="0" w:beforeLines="0" w:after="0" w:afterLines="0" w:line="360" w:lineRule="auto"/>
              <w:ind w:left="0" w:leftChars="0" w:right="0" w:right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支持Linux登录弱口令、Tomcat、Redis等基线检查</w:t>
            </w:r>
          </w:p>
        </w:tc>
      </w:tr>
    </w:tbl>
    <w:p>
      <w:pPr>
        <w:pStyle w:val="6"/>
        <w:numPr>
          <w:ilvl w:val="0"/>
          <w:numId w:val="0"/>
        </w:numPr>
        <w:spacing w:before="0" w:beforeLines="0" w:after="0" w:afterLines="0"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5.2应用系统安全服务</w:t>
      </w:r>
    </w:p>
    <w:p>
      <w:pPr>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云服务商对部署在云平台上的应用系统提供统一的安全服务，提供的安全服务包括但不限于以下内容。</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8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指标项</w:t>
            </w:r>
          </w:p>
        </w:tc>
        <w:tc>
          <w:tcPr>
            <w:tcW w:w="8033"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安全管理平台</w:t>
            </w:r>
          </w:p>
        </w:tc>
        <w:tc>
          <w:tcPr>
            <w:tcW w:w="8033"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供一个可持续运营的安全管理平台，安全管理平台要与云平台一体融合。安全管理平台内集成丰富的安全组件，包括智慧防火墙、主机安全、日志审计、数据库审计、堡垒机等组件从网络、主机、应用等多个层面保障云租户的业务安全，安全组件通过安全管理平台统一集中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主机安全</w:t>
            </w:r>
          </w:p>
        </w:tc>
        <w:tc>
          <w:tcPr>
            <w:tcW w:w="8033"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提供主机安全加固功能，需具备如下功能模块：防病毒模块；Webshell扫描模块；安全基线模块；防暴力破解模块；虚拟化加固模块；网卡流量统计模块。</w:t>
            </w:r>
          </w:p>
          <w:p>
            <w:pPr>
              <w:spacing w:line="360" w:lineRule="auto"/>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产品应支持对主机安全缺陷、配置进行扫描评估，通过打分形式展现不合规和风险程度。能够对windows操作系统上的策略、服务、组件等进行扫描评估，对linux操作系统上的账号、服务、安全参数、进程、配置等进行扫描评估，并给出修复建议，修复建议包括自动修复和手动提示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下一代防火墙</w:t>
            </w:r>
          </w:p>
        </w:tc>
        <w:tc>
          <w:tcPr>
            <w:tcW w:w="8033"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作用于信息系统所有子网及安全域；控制进出各子网的所有数据流量，阻止各类非法应用。并提供边界处访问控制、包过滤、防病毒、入侵防护、邮件过滤、VPN等功能。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Web应用防火墙</w:t>
            </w:r>
          </w:p>
        </w:tc>
        <w:tc>
          <w:tcPr>
            <w:tcW w:w="8033"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以网站或应用系统为核心，通过对HTTP或HTTPS的Web攻击行为进行分析并拦截，有效的降低网站安全风险。主要部署在网站服务器的前方。</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Web应用防火墙系统可以有效地缓解网站及Web应用系统面临如0WASP TOP 10中定义的常见威胁；可以快速地应对恶意攻击者对Web业务带来的冲击。让网站免遭Web攻击侵扰并对网站代码进行合理加固。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数据库审计</w:t>
            </w:r>
          </w:p>
        </w:tc>
        <w:tc>
          <w:tcPr>
            <w:tcW w:w="8033"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用数据库深度报文协议解析技术、DPI和DFI动态流检测技术等，将数据库的各种操作，解析还原成原始的数据库语句，通过匹配预置的安全规则，智能分析和监控访问者的各种操作，进行实时威胁预警，并对事件统计分析记录，多重身份定位，有效支持电子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运维审计</w:t>
            </w:r>
          </w:p>
        </w:tc>
        <w:tc>
          <w:tcPr>
            <w:tcW w:w="8033" w:type="dxa"/>
            <w:tcBorders>
              <w:top w:val="single" w:color="auto" w:sz="4" w:space="0"/>
              <w:left w:val="nil"/>
              <w:bottom w:val="single" w:color="auto" w:sz="4" w:space="0"/>
              <w:right w:val="single" w:color="auto" w:sz="4" w:space="0"/>
            </w:tcBorders>
            <w:noWrap w:val="0"/>
            <w:vAlign w:val="top"/>
          </w:tcPr>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集账号、认证、授权、审计为一体，实现对事企业IT中心的网络设备、数据库、安全设备、主机系统、中间件等资源统一运维管理和审计。对运维人员整个操作过程处于可管、可控、可见、可审</w:t>
            </w:r>
            <w:r>
              <w:rPr>
                <w:rFonts w:ascii="仿宋_GB2312" w:hAnsi="仿宋_GB2312" w:eastAsia="仿宋_GB2312" w:cs="仿宋_GB2312"/>
                <w:color w:val="auto"/>
                <w:sz w:val="24"/>
                <w:highlight w:val="none"/>
              </w:rPr>
              <w:t>。</w:t>
            </w:r>
          </w:p>
          <w:p>
            <w:pPr>
              <w:spacing w:line="360" w:lineRule="auto"/>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支持H5页面展示当前操作用户的登录名作为水印，防止通过截屏方式造成的数据泄露。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2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综合日志分析与收集系统</w:t>
            </w:r>
          </w:p>
        </w:tc>
        <w:tc>
          <w:tcPr>
            <w:tcW w:w="8033"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采用大数据技术和智能分析方法，集日志采集与存储、日志归一化、交互式分析、关联分析、仪表板、报表统计、告警管理等功能于一身，实现网络设备、安全设备、操作系统、</w:t>
            </w:r>
            <w:r>
              <w:rPr>
                <w:rFonts w:ascii="仿宋_GB2312" w:hAnsi="仿宋_GB2312" w:eastAsia="仿宋_GB2312" w:cs="仿宋_GB2312"/>
                <w:color w:val="auto"/>
                <w:sz w:val="24"/>
                <w:highlight w:val="none"/>
              </w:rPr>
              <w:t>云主机</w:t>
            </w:r>
            <w:r>
              <w:rPr>
                <w:rFonts w:hint="eastAsia" w:ascii="仿宋_GB2312" w:hAnsi="仿宋_GB2312" w:eastAsia="仿宋_GB2312" w:cs="仿宋_GB2312"/>
                <w:color w:val="auto"/>
                <w:sz w:val="24"/>
                <w:highlight w:val="none"/>
              </w:rPr>
              <w:t>、数据库、中间件及应用系统等的日志、警报信息的全面采集、存储、分析和展示，全面满足对日志的安全合规管理要求和审计分析需求。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新一代威胁感知系统</w:t>
            </w:r>
          </w:p>
        </w:tc>
        <w:tc>
          <w:tcPr>
            <w:tcW w:w="8033"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精准发现网络中针对主机与应用的已知高级网络攻击和未知的新型网络攻击的入侵行为，利用本地大数据平台对流量日志和终端日志进行存储和查询，结合威胁情报和攻击链分析对事件进行分析、研判、回溯与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漏洞扫描</w:t>
            </w:r>
          </w:p>
        </w:tc>
        <w:tc>
          <w:tcPr>
            <w:tcW w:w="8033"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基于漏洞知识库，通过采集信息、执行漏洞检测脚本对指定的云主机、应用程序、数据库、WEB服务、网络设备、安全设备的安全脆弱性进行检测，发现可被利用漏洞、不安全配置并实时预警。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网页防篡改</w:t>
            </w:r>
          </w:p>
        </w:tc>
        <w:tc>
          <w:tcPr>
            <w:tcW w:w="8033"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通过文件系统驱动技术以及进程内嵌技术,防止黑客对网站攻击的首要目标网站主页内容进行侵袭，保证网页内容安全性的网页防篡改系统。防篡改要具备如下功能：</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（1）支持主流系统</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支持所有主流的操作系统，包括：Windows、Linux</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（2）支持常用的Web系统</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支持常用的Web系统，包括：IIS、Apache、SunONE、Weblogic、WebSphere、resin等。</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（3）支持多种数据库系统</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保护所有常用的数据库系统，包括：SQL Server、Oracle、MySQL、Access等。</w:t>
            </w:r>
          </w:p>
        </w:tc>
      </w:tr>
    </w:tbl>
    <w:p>
      <w:pPr>
        <w:spacing w:line="360" w:lineRule="auto"/>
        <w:ind w:firstLine="420" w:firstLineChars="200"/>
        <w:jc w:val="left"/>
        <w:rPr>
          <w:highlight w:val="none"/>
        </w:rPr>
      </w:pPr>
    </w:p>
    <w:p>
      <w:pPr>
        <w:spacing w:line="360" w:lineRule="auto"/>
        <w:ind w:firstLine="482" w:firstLineChars="200"/>
        <w:jc w:val="left"/>
        <w:rPr>
          <w:rFonts w:hint="eastAsia" w:ascii="仿宋_GB2312" w:hAnsi="仿宋_GB2312" w:eastAsia="仿宋_GB2312" w:cs="仿宋_GB2312"/>
          <w:sz w:val="24"/>
          <w:szCs w:val="28"/>
          <w:highlight w:val="none"/>
        </w:rPr>
      </w:pPr>
      <w:r>
        <w:rPr>
          <w:rFonts w:hint="eastAsia" w:ascii="仿宋_GB2312" w:hAnsi="仿宋_GB2312" w:eastAsia="仿宋_GB2312" w:cs="仿宋_GB2312"/>
          <w:b/>
          <w:bCs/>
          <w:sz w:val="24"/>
          <w:szCs w:val="28"/>
          <w:highlight w:val="none"/>
        </w:rPr>
        <w:t>注：</w:t>
      </w:r>
      <w:r>
        <w:rPr>
          <w:rFonts w:hint="eastAsia" w:ascii="仿宋_GB2312" w:hAnsi="仿宋_GB2312" w:eastAsia="仿宋_GB2312" w:cs="仿宋_GB2312"/>
          <w:sz w:val="24"/>
          <w:szCs w:val="28"/>
          <w:highlight w:val="none"/>
        </w:rPr>
        <w:t>等保二级套餐可供选择的安全产品类别不少于4个，等保三级套餐可供选择的安全产品类别不少于7个，具体以客户实际需求为准。</w:t>
      </w:r>
    </w:p>
    <w:p>
      <w:pPr>
        <w:spacing w:line="360" w:lineRule="auto"/>
        <w:ind w:firstLine="482" w:firstLineChars="200"/>
        <w:jc w:val="left"/>
        <w:rPr>
          <w:rFonts w:hint="eastAsia" w:ascii="仿宋_GB2312" w:hAnsi="Arial" w:eastAsia="仿宋_GB2312"/>
          <w:b/>
          <w:color w:val="auto"/>
          <w:sz w:val="24"/>
          <w:highlight w:val="none"/>
        </w:rPr>
      </w:pPr>
    </w:p>
    <w:p>
      <w:pPr>
        <w:pStyle w:val="2"/>
        <w:rPr>
          <w:rFonts w:hint="eastAsia"/>
          <w:highlight w:val="none"/>
        </w:rPr>
      </w:pPr>
    </w:p>
    <w:p>
      <w:pPr>
        <w:spacing w:line="360" w:lineRule="auto"/>
        <w:jc w:val="left"/>
        <w:rPr>
          <w:rFonts w:hint="eastAsia" w:ascii="仿宋_GB2312" w:hAnsi="Arial" w:eastAsia="仿宋_GB2312"/>
          <w:b/>
          <w:color w:val="auto"/>
          <w:sz w:val="24"/>
          <w:highlight w:val="none"/>
        </w:rPr>
      </w:pPr>
      <w:r>
        <w:rPr>
          <w:rFonts w:hint="eastAsia" w:ascii="仿宋_GB2312" w:hAnsi="Arial" w:eastAsia="仿宋_GB2312"/>
          <w:b/>
          <w:color w:val="auto"/>
          <w:sz w:val="24"/>
          <w:highlight w:val="none"/>
          <w:lang w:val="en-US" w:eastAsia="zh-CN"/>
        </w:rPr>
        <w:t>三、</w:t>
      </w:r>
      <w:r>
        <w:rPr>
          <w:rFonts w:hint="eastAsia" w:ascii="仿宋_GB2312" w:hAnsi="Arial" w:eastAsia="仿宋_GB2312"/>
          <w:b/>
          <w:color w:val="auto"/>
          <w:sz w:val="24"/>
          <w:highlight w:val="none"/>
        </w:rPr>
        <w:t xml:space="preserve"> 迁移要求</w:t>
      </w:r>
    </w:p>
    <w:p>
      <w:pPr>
        <w:spacing w:before="156" w:line="360" w:lineRule="auto"/>
        <w:ind w:firstLine="420"/>
        <w:rPr>
          <w:rFonts w:hint="eastAsia"/>
          <w:color w:val="auto"/>
          <w:highlight w:val="none"/>
        </w:rPr>
      </w:pPr>
      <w:r>
        <w:rPr>
          <w:rFonts w:hint="eastAsia" w:ascii="仿宋_GB2312" w:hAnsi="仿宋" w:eastAsia="仿宋_GB2312"/>
          <w:b/>
          <w:color w:val="auto"/>
          <w:sz w:val="24"/>
          <w:highlight w:val="none"/>
        </w:rPr>
        <w:t>若不使用现用的杭州</w:t>
      </w:r>
      <w:r>
        <w:rPr>
          <w:rFonts w:hint="eastAsia" w:ascii="仿宋_GB2312" w:hAnsi="仿宋" w:eastAsia="仿宋_GB2312"/>
          <w:b/>
          <w:color w:val="auto"/>
          <w:sz w:val="24"/>
          <w:highlight w:val="none"/>
          <w:lang w:val="en-US" w:eastAsia="zh-CN"/>
        </w:rPr>
        <w:t>市临安区</w:t>
      </w:r>
      <w:r>
        <w:rPr>
          <w:rFonts w:hint="eastAsia" w:ascii="仿宋_GB2312" w:hAnsi="仿宋" w:eastAsia="仿宋_GB2312"/>
          <w:b/>
          <w:color w:val="auto"/>
          <w:sz w:val="24"/>
          <w:highlight w:val="none"/>
        </w:rPr>
        <w:t>智慧电子政务</w:t>
      </w:r>
      <w:r>
        <w:rPr>
          <w:rFonts w:hint="eastAsia" w:ascii="仿宋_GB2312" w:hAnsi="仿宋" w:eastAsia="仿宋_GB2312"/>
          <w:b/>
          <w:color w:val="auto"/>
          <w:sz w:val="24"/>
          <w:highlight w:val="none"/>
          <w:lang w:val="en-US" w:eastAsia="zh-CN"/>
        </w:rPr>
        <w:t>云</w:t>
      </w:r>
      <w:r>
        <w:rPr>
          <w:rFonts w:hint="eastAsia" w:ascii="仿宋_GB2312" w:hAnsi="仿宋" w:eastAsia="仿宋_GB2312"/>
          <w:b/>
          <w:color w:val="auto"/>
          <w:sz w:val="24"/>
          <w:highlight w:val="none"/>
        </w:rPr>
        <w:t>平台，则投标人须针对已运行在现有杭州</w:t>
      </w:r>
      <w:r>
        <w:rPr>
          <w:rFonts w:hint="eastAsia" w:ascii="仿宋_GB2312" w:hAnsi="仿宋" w:eastAsia="仿宋_GB2312"/>
          <w:b/>
          <w:color w:val="auto"/>
          <w:sz w:val="24"/>
          <w:highlight w:val="none"/>
          <w:lang w:val="en-US" w:eastAsia="zh-CN"/>
        </w:rPr>
        <w:t>市临安区</w:t>
      </w:r>
      <w:r>
        <w:rPr>
          <w:rFonts w:hint="eastAsia" w:ascii="仿宋_GB2312" w:hAnsi="仿宋" w:eastAsia="仿宋_GB2312"/>
          <w:b/>
          <w:color w:val="auto"/>
          <w:sz w:val="24"/>
          <w:highlight w:val="none"/>
        </w:rPr>
        <w:t>智慧电子政务云平台的应用系统提供完整的迁移方案，保证现有系统可以无缝迁移到新平台上，且不会对应用产生影响。原服务提供商将配合中标人完成数据的迁移工作，其余迁移工作须中标人独立解决。</w:t>
      </w:r>
    </w:p>
    <w:p>
      <w:pPr>
        <w:widowControl/>
        <w:adjustRightInd/>
        <w:spacing w:before="100" w:beforeAutospacing="1" w:after="100" w:afterAutospacing="1"/>
        <w:jc w:val="left"/>
        <w:rPr>
          <w:rFonts w:ascii="仿宋_GB2312" w:eastAsia="仿宋_GB2312"/>
          <w:b/>
          <w:bCs w:val="0"/>
          <w:color w:val="auto"/>
          <w:sz w:val="24"/>
          <w:highlight w:val="none"/>
        </w:rPr>
      </w:pPr>
      <w:r>
        <w:rPr>
          <w:rFonts w:hint="eastAsia" w:ascii="仿宋_GB2312" w:hAnsi="仿宋" w:eastAsia="仿宋_GB2312"/>
          <w:b/>
          <w:bCs w:val="0"/>
          <w:color w:val="auto"/>
          <w:sz w:val="24"/>
          <w:highlight w:val="none"/>
        </w:rPr>
        <w:t>注：投标人须针对本项目详细指标要求进行明确响应，针对采购要求如实描述是否偏离。</w:t>
      </w:r>
    </w:p>
    <w:p>
      <w:pPr>
        <w:pStyle w:val="232"/>
        <w:ind w:firstLine="0" w:firstLineChars="0"/>
        <w:rPr>
          <w:rFonts w:hint="eastAsia" w:ascii="仿宋_GB2312" w:hAnsi="Arial" w:eastAsia="仿宋_GB2312" w:cstheme="minorBidi"/>
          <w:b/>
          <w:color w:val="auto"/>
          <w:kern w:val="2"/>
          <w:sz w:val="24"/>
          <w:szCs w:val="22"/>
          <w:highlight w:val="none"/>
          <w:lang w:val="en-US" w:eastAsia="zh-CN" w:bidi="ar-SA"/>
        </w:rPr>
      </w:pPr>
      <w:r>
        <w:rPr>
          <w:rFonts w:hint="eastAsia" w:ascii="仿宋_GB2312" w:hAnsi="Arial" w:eastAsia="仿宋_GB2312" w:cstheme="minorBidi"/>
          <w:b/>
          <w:color w:val="auto"/>
          <w:kern w:val="2"/>
          <w:sz w:val="24"/>
          <w:szCs w:val="22"/>
          <w:highlight w:val="none"/>
          <w:lang w:val="en-US" w:eastAsia="zh-CN" w:bidi="ar-SA"/>
        </w:rPr>
        <w:t>四、服务、培训与验收</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lang w:val="en-US" w:eastAsia="zh-CN"/>
        </w:rPr>
        <w:t>1</w:t>
      </w: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rPr>
        <w:t>.建设工期：合同签订后</w:t>
      </w:r>
      <w:r>
        <w:rPr>
          <w:rFonts w:hint="eastAsia" w:ascii="仿宋_GB2312" w:hAnsi="Segoe UI" w:eastAsia="仿宋_GB2312" w:cs="Segoe UI"/>
          <w:color w:val="auto"/>
          <w:kern w:val="0"/>
          <w:szCs w:val="24"/>
          <w:highlight w:val="none"/>
          <w:shd w:val="clear" w:color="auto" w:fill="FFFFFF"/>
          <w:lang w:val="en-US" w:eastAsia="zh-CN"/>
        </w:rPr>
        <w:t>10个工作</w:t>
      </w:r>
      <w:r>
        <w:rPr>
          <w:rFonts w:hint="eastAsia" w:ascii="仿宋_GB2312" w:hAnsi="Segoe UI" w:eastAsia="仿宋_GB2312" w:cs="Segoe UI"/>
          <w:color w:val="auto"/>
          <w:kern w:val="0"/>
          <w:szCs w:val="24"/>
          <w:highlight w:val="none"/>
          <w:shd w:val="clear" w:color="auto" w:fill="FFFFFF"/>
          <w:lang w:eastAsia="zh-CN"/>
        </w:rPr>
        <w:t>日内</w:t>
      </w:r>
      <w:r>
        <w:rPr>
          <w:rFonts w:hint="eastAsia" w:ascii="仿宋_GB2312" w:hAnsi="Segoe UI" w:eastAsia="仿宋_GB2312" w:cs="Segoe UI"/>
          <w:color w:val="auto"/>
          <w:kern w:val="0"/>
          <w:szCs w:val="24"/>
          <w:highlight w:val="none"/>
          <w:shd w:val="clear" w:color="auto" w:fill="FFFFFF"/>
        </w:rPr>
        <w:t>提供服务</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lang w:val="en-US" w:eastAsia="zh-CN"/>
        </w:rPr>
        <w:t>2</w:t>
      </w: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rPr>
        <w:t>.实施地点：由采购人指定</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lang w:val="en-US" w:eastAsia="zh-CN"/>
        </w:rPr>
        <w:t>3</w:t>
      </w: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rPr>
        <w:t>.售后服务：</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服务期：</w:t>
      </w:r>
      <w:r>
        <w:rPr>
          <w:rFonts w:hint="eastAsia" w:ascii="仿宋_GB2312" w:hAnsi="Segoe UI" w:eastAsia="仿宋_GB2312" w:cs="Segoe UI"/>
          <w:color w:val="auto"/>
          <w:kern w:val="0"/>
          <w:szCs w:val="24"/>
          <w:highlight w:val="none"/>
          <w:shd w:val="clear" w:color="auto" w:fill="FFFFFF"/>
          <w:lang w:val="en-US" w:eastAsia="zh-CN"/>
        </w:rPr>
        <w:t>服务提供</w:t>
      </w:r>
      <w:r>
        <w:rPr>
          <w:rFonts w:hint="eastAsia" w:ascii="仿宋_GB2312" w:hAnsi="Segoe UI" w:eastAsia="仿宋_GB2312" w:cs="Segoe UI"/>
          <w:color w:val="auto"/>
          <w:kern w:val="0"/>
          <w:szCs w:val="24"/>
          <w:highlight w:val="none"/>
          <w:shd w:val="clear" w:color="auto" w:fill="FFFFFF"/>
        </w:rPr>
        <w:t>至202</w:t>
      </w:r>
      <w:r>
        <w:rPr>
          <w:rFonts w:hint="eastAsia" w:ascii="仿宋_GB2312" w:hAnsi="Segoe UI" w:eastAsia="仿宋_GB2312" w:cs="Segoe UI"/>
          <w:color w:val="auto"/>
          <w:kern w:val="0"/>
          <w:szCs w:val="24"/>
          <w:highlight w:val="none"/>
          <w:shd w:val="clear" w:color="auto" w:fill="FFFFFF"/>
          <w:lang w:val="en-US" w:eastAsia="zh-CN"/>
        </w:rPr>
        <w:t>2</w:t>
      </w:r>
      <w:r>
        <w:rPr>
          <w:rFonts w:hint="eastAsia" w:ascii="仿宋_GB2312" w:hAnsi="Segoe UI" w:eastAsia="仿宋_GB2312" w:cs="Segoe UI"/>
          <w:color w:val="auto"/>
          <w:kern w:val="0"/>
          <w:szCs w:val="24"/>
          <w:highlight w:val="none"/>
          <w:shd w:val="clear" w:color="auto" w:fill="FFFFFF"/>
        </w:rPr>
        <w:t>年1</w:t>
      </w:r>
      <w:r>
        <w:rPr>
          <w:rFonts w:hint="eastAsia" w:ascii="仿宋_GB2312" w:hAnsi="Segoe UI" w:eastAsia="仿宋_GB2312" w:cs="Segoe UI"/>
          <w:color w:val="auto"/>
          <w:kern w:val="0"/>
          <w:szCs w:val="24"/>
          <w:highlight w:val="none"/>
          <w:shd w:val="clear" w:color="auto" w:fill="FFFFFF"/>
          <w:lang w:val="en-US" w:eastAsia="zh-CN"/>
        </w:rPr>
        <w:t>1</w:t>
      </w:r>
      <w:r>
        <w:rPr>
          <w:rFonts w:hint="eastAsia" w:ascii="仿宋_GB2312" w:hAnsi="Segoe UI" w:eastAsia="仿宋_GB2312" w:cs="Segoe UI"/>
          <w:color w:val="auto"/>
          <w:kern w:val="0"/>
          <w:szCs w:val="24"/>
          <w:highlight w:val="none"/>
          <w:shd w:val="clear" w:color="auto" w:fill="FFFFFF"/>
        </w:rPr>
        <w:t>月3</w:t>
      </w:r>
      <w:r>
        <w:rPr>
          <w:rFonts w:hint="eastAsia" w:ascii="仿宋_GB2312" w:hAnsi="Segoe UI" w:eastAsia="仿宋_GB2312" w:cs="Segoe UI"/>
          <w:color w:val="auto"/>
          <w:kern w:val="0"/>
          <w:szCs w:val="24"/>
          <w:highlight w:val="none"/>
          <w:shd w:val="clear" w:color="auto" w:fill="FFFFFF"/>
          <w:lang w:val="en-US" w:eastAsia="zh-CN"/>
        </w:rPr>
        <w:t>0</w:t>
      </w:r>
      <w:r>
        <w:rPr>
          <w:rFonts w:hint="eastAsia" w:ascii="仿宋_GB2312" w:hAnsi="Segoe UI" w:eastAsia="仿宋_GB2312" w:cs="Segoe UI"/>
          <w:color w:val="auto"/>
          <w:kern w:val="0"/>
          <w:szCs w:val="24"/>
          <w:highlight w:val="none"/>
          <w:shd w:val="clear" w:color="auto" w:fill="FFFFFF"/>
        </w:rPr>
        <w:t>日的7×24服务。</w:t>
      </w:r>
    </w:p>
    <w:p>
      <w:pPr>
        <w:pStyle w:val="232"/>
        <w:ind w:firstLine="0" w:firstLineChars="0"/>
        <w:rPr>
          <w:rFonts w:hint="eastAsia" w:ascii="仿宋_GB2312" w:hAnsi="Segoe UI" w:eastAsia="仿宋_GB2312" w:cs="Segoe UI"/>
          <w:color w:val="auto"/>
          <w:kern w:val="0"/>
          <w:szCs w:val="24"/>
          <w:highlight w:val="none"/>
          <w:shd w:val="clear" w:color="auto" w:fill="FFFFFF"/>
          <w:lang w:eastAsia="zh-CN"/>
        </w:rPr>
      </w:pPr>
      <w:r>
        <w:rPr>
          <w:rFonts w:hint="eastAsia" w:ascii="仿宋_GB2312" w:hAnsi="Segoe UI" w:eastAsia="仿宋_GB2312" w:cs="Segoe UI"/>
          <w:color w:val="auto"/>
          <w:kern w:val="0"/>
          <w:szCs w:val="24"/>
          <w:highlight w:val="none"/>
          <w:shd w:val="clear" w:color="auto" w:fill="FFFFFF"/>
        </w:rPr>
        <w:t>服务响应</w:t>
      </w:r>
      <w:r>
        <w:rPr>
          <w:rFonts w:hint="eastAsia" w:ascii="仿宋_GB2312" w:hAnsi="Segoe UI" w:eastAsia="仿宋_GB2312" w:cs="Segoe UI"/>
          <w:color w:val="auto"/>
          <w:kern w:val="0"/>
          <w:szCs w:val="24"/>
          <w:highlight w:val="none"/>
          <w:shd w:val="clear" w:color="auto" w:fill="FFFFFF"/>
          <w:lang w:eastAsia="zh-CN"/>
        </w:rPr>
        <w:t>：</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a  投标人应具有完善的服务保障体系，在本地有直接设立的服务机构，配备有足够的专业技术人员。</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b  投标人应明确说明此次投标的服务策略，提供此次投标货物的服务计划（服务内容、等级、相关服务指标、服务组织机构及人员安排情况及其联络信息）。</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c  在服务期内供应商必须为最终用户提供技术服务热线（7*24小时），负责解答用户在云平台使用中遇到的问题，并及时提出解决问题的建议和操作方法。技术服务热线支持应是中文服务。</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 xml:space="preserve">d  在服务期内，供应商应提供不低于7*24小时的现场和技术支持服务，对故障1小时内响应；如果逾期未作出响应，供应商应承担由于故障所造成的全部损失。 </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e 在服务期内，供应商应按月提供云平台各业务系统资源使用情况报表并对相应资源进行实时动态调整。</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lang w:val="en-US" w:eastAsia="zh-CN"/>
        </w:rPr>
        <w:t>4</w:t>
      </w: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lang w:val="en-US" w:eastAsia="zh-CN"/>
        </w:rPr>
        <w:t>.</w:t>
      </w:r>
      <w:r>
        <w:rPr>
          <w:rFonts w:hint="eastAsia" w:ascii="仿宋_GB2312" w:hAnsi="Segoe UI" w:eastAsia="仿宋_GB2312" w:cs="Segoe UI"/>
          <w:color w:val="auto"/>
          <w:kern w:val="0"/>
          <w:szCs w:val="24"/>
          <w:highlight w:val="none"/>
          <w:shd w:val="clear" w:color="auto" w:fill="FFFFFF"/>
        </w:rPr>
        <w:t>培训要求：</w:t>
      </w:r>
    </w:p>
    <w:p>
      <w:pPr>
        <w:pStyle w:val="232"/>
        <w:ind w:firstLine="480" w:firstLineChars="20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投标人需列出项目培训方案的详细计划，包括培训内容、时间、地点、人次，重点对相应应用的操作、使用投标人须保证所提供产品具有合法的版权或使用权，本项目采购的产品，如在本项目范围内使用过程中出现版权或使用权纠纷，应由中标人负责，采购人不承担责任。</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lang w:val="en-US" w:eastAsia="zh-CN"/>
        </w:rPr>
        <w:t>（5）.</w:t>
      </w:r>
      <w:r>
        <w:rPr>
          <w:rFonts w:hint="eastAsia" w:ascii="仿宋_GB2312" w:hAnsi="Segoe UI" w:eastAsia="仿宋_GB2312" w:cs="Segoe UI"/>
          <w:color w:val="auto"/>
          <w:kern w:val="0"/>
          <w:szCs w:val="24"/>
          <w:highlight w:val="none"/>
          <w:shd w:val="clear" w:color="auto" w:fill="FFFFFF"/>
        </w:rPr>
        <w:t>验收要求：</w:t>
      </w:r>
    </w:p>
    <w:p>
      <w:pPr>
        <w:pStyle w:val="232"/>
        <w:ind w:firstLine="480" w:firstLineChars="20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项目的工作内容及成果文档的提交应覆盖以下内容，电子文档是成果不可分割的部分。项目应在验收时分别提供如下材料：</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a、项目需求分析；</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b、设计实施方案（包括机房设计方案、电子政务网络方案、政务云平台设计方案等）；</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c、运维保障方案；</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d、培训内容及成果；</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e、项目总结及建议；</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f、机房设备维护记录。</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lang w:val="en-US" w:eastAsia="zh-CN"/>
        </w:rPr>
        <w:t>6</w:t>
      </w:r>
      <w:r>
        <w:rPr>
          <w:rFonts w:hint="eastAsia" w:ascii="仿宋_GB2312" w:hAnsi="Segoe UI" w:eastAsia="仿宋_GB2312" w:cs="Segoe UI"/>
          <w:color w:val="auto"/>
          <w:kern w:val="0"/>
          <w:szCs w:val="24"/>
          <w:highlight w:val="none"/>
          <w:shd w:val="clear" w:color="auto" w:fill="FFFFFF"/>
        </w:rPr>
        <w:t>.中标人对数据没有任何的处置权和使用权。</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lang w:val="en-US" w:eastAsia="zh-CN"/>
        </w:rPr>
        <w:t>7</w:t>
      </w:r>
      <w:r>
        <w:rPr>
          <w:rFonts w:hint="eastAsia" w:ascii="仿宋_GB2312" w:hAnsi="Segoe UI" w:eastAsia="仿宋_GB2312" w:cs="Segoe UI"/>
          <w:color w:val="auto"/>
          <w:kern w:val="0"/>
          <w:szCs w:val="24"/>
          <w:highlight w:val="none"/>
          <w:shd w:val="clear" w:color="auto" w:fill="FFFFFF"/>
        </w:rPr>
        <w:t>、其他</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lang w:val="en-US" w:eastAsia="zh-CN"/>
        </w:rPr>
        <w:t>1</w:t>
      </w: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rPr>
        <w:t>.投标人对于云平台服务结构框架的进行设计和规划；充分考虑对具体提供过程中可能遇到的问题及其应对措施；对重点、难点技术环节有先进、合理的建议。根据采购需求提供组织实施方案。提供培训、售后、验收、质量保证措施。</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lang w:val="en-US" w:eastAsia="zh-CN"/>
        </w:rPr>
        <w:t>2</w:t>
      </w: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rPr>
        <w:t>.投标人提供两个部署在不同数据中心的云平台集群，且云平台资源满足政务云承载业务系统灾备所需的云资源需求。投标人需提供基于政务云的容灾方案。</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lang w:val="en-US" w:eastAsia="zh-CN"/>
        </w:rPr>
        <w:t>3</w:t>
      </w:r>
      <w:r>
        <w:rPr>
          <w:rFonts w:hint="eastAsia" w:ascii="仿宋_GB2312" w:hAnsi="Segoe UI" w:eastAsia="仿宋_GB2312" w:cs="Segoe UI"/>
          <w:color w:val="auto"/>
          <w:kern w:val="0"/>
          <w:szCs w:val="24"/>
          <w:highlight w:val="none"/>
          <w:shd w:val="clear" w:color="auto" w:fill="FFFFFF"/>
          <w:lang w:eastAsia="zh-CN"/>
        </w:rPr>
        <w:t>）</w:t>
      </w:r>
      <w:r>
        <w:rPr>
          <w:rFonts w:hint="eastAsia" w:ascii="仿宋_GB2312" w:hAnsi="Segoe UI" w:eastAsia="仿宋_GB2312" w:cs="Segoe UI"/>
          <w:color w:val="auto"/>
          <w:kern w:val="0"/>
          <w:szCs w:val="24"/>
          <w:highlight w:val="none"/>
          <w:shd w:val="clear" w:color="auto" w:fill="FFFFFF"/>
        </w:rPr>
        <w:t>.人员要求：</w:t>
      </w:r>
    </w:p>
    <w:p>
      <w:pPr>
        <w:pStyle w:val="232"/>
        <w:ind w:firstLine="0" w:firstLineChars="0"/>
        <w:rPr>
          <w:rFonts w:hint="eastAsia" w:ascii="仿宋_GB2312" w:hAnsi="Segoe UI" w:eastAsia="仿宋_GB2312" w:cs="Segoe UI"/>
          <w:color w:val="auto"/>
          <w:kern w:val="0"/>
          <w:szCs w:val="24"/>
          <w:highlight w:val="none"/>
          <w:shd w:val="clear" w:color="auto" w:fill="FFFFFF"/>
        </w:rPr>
      </w:pPr>
      <w:r>
        <w:rPr>
          <w:rFonts w:hint="eastAsia" w:ascii="仿宋_GB2312" w:hAnsi="Segoe UI" w:eastAsia="仿宋_GB2312" w:cs="Segoe UI"/>
          <w:color w:val="auto"/>
          <w:kern w:val="0"/>
          <w:szCs w:val="24"/>
          <w:highlight w:val="none"/>
          <w:shd w:val="clear" w:color="auto" w:fill="FFFFFF"/>
        </w:rPr>
        <w:t>项目经理具有类似项目建设经历，具有</w:t>
      </w:r>
      <w:r>
        <w:rPr>
          <w:rFonts w:hint="eastAsia" w:ascii="仿宋_GB2312" w:hAnsi="Segoe UI" w:eastAsia="仿宋_GB2312" w:cs="Segoe UI"/>
          <w:color w:val="FF0000"/>
          <w:kern w:val="0"/>
          <w:szCs w:val="24"/>
          <w:highlight w:val="none"/>
          <w:shd w:val="clear" w:color="auto" w:fill="FFFFFF"/>
        </w:rPr>
        <w:t>信息系统项目管理师</w:t>
      </w:r>
      <w:r>
        <w:rPr>
          <w:rFonts w:hint="eastAsia" w:ascii="仿宋_GB2312" w:hAnsi="Segoe UI" w:eastAsia="仿宋_GB2312" w:cs="Segoe UI"/>
          <w:color w:val="auto"/>
          <w:kern w:val="0"/>
          <w:szCs w:val="24"/>
          <w:highlight w:val="none"/>
          <w:shd w:val="clear" w:color="auto" w:fill="FFFFFF"/>
        </w:rPr>
        <w:t>证书；项目组成员中有人具备云平台原厂认证工程师，具有类似项目建设经历。</w:t>
      </w:r>
    </w:p>
    <w:p>
      <w:pPr>
        <w:pStyle w:val="232"/>
        <w:ind w:firstLine="0" w:firstLineChars="0"/>
        <w:rPr>
          <w:rFonts w:hint="eastAsia" w:ascii="仿宋_GB2312" w:hAnsi="Segoe UI" w:eastAsia="仿宋_GB2312" w:cs="Segoe UI"/>
          <w:b w:val="0"/>
          <w:bCs w:val="0"/>
          <w:color w:val="auto"/>
          <w:kern w:val="0"/>
          <w:szCs w:val="24"/>
          <w:highlight w:val="none"/>
          <w:shd w:val="clear" w:color="auto" w:fill="FFFFFF"/>
          <w:lang w:val="en-US" w:eastAsia="zh-CN"/>
        </w:rPr>
      </w:pPr>
      <w:r>
        <w:rPr>
          <w:rFonts w:hint="eastAsia" w:ascii="仿宋_GB2312" w:hAnsi="Segoe UI" w:eastAsia="仿宋_GB2312" w:cs="Segoe UI"/>
          <w:b w:val="0"/>
          <w:bCs w:val="0"/>
          <w:color w:val="auto"/>
          <w:kern w:val="0"/>
          <w:szCs w:val="24"/>
          <w:highlight w:val="none"/>
          <w:shd w:val="clear" w:color="auto" w:fill="FFFFFF"/>
        </w:rPr>
        <w:t>售后人员具有类似项目维护经历，具备云厂商云产品驻场运维认证证书</w:t>
      </w:r>
      <w:r>
        <w:rPr>
          <w:rFonts w:hint="eastAsia" w:ascii="仿宋_GB2312" w:hAnsi="Segoe UI" w:eastAsia="仿宋_GB2312" w:cs="Segoe UI"/>
          <w:b w:val="0"/>
          <w:bCs w:val="0"/>
          <w:color w:val="auto"/>
          <w:kern w:val="0"/>
          <w:szCs w:val="24"/>
          <w:highlight w:val="none"/>
          <w:shd w:val="clear" w:color="auto" w:fill="FFFFFF"/>
          <w:lang w:eastAsia="zh-CN"/>
        </w:rPr>
        <w:t>。</w:t>
      </w:r>
    </w:p>
    <w:p>
      <w:pPr>
        <w:pStyle w:val="232"/>
        <w:ind w:left="0" w:leftChars="0" w:firstLine="0" w:firstLineChars="0"/>
        <w:rPr>
          <w:rFonts w:hint="eastAsia" w:ascii="仿宋_GB2312" w:eastAsia="仿宋_GB2312"/>
          <w:b/>
          <w:color w:val="auto"/>
          <w:highlight w:val="none"/>
          <w:lang w:val="en-US" w:eastAsia="zh-CN"/>
        </w:rPr>
      </w:pPr>
      <w:r>
        <w:rPr>
          <w:rFonts w:hint="eastAsia" w:ascii="仿宋_GB2312" w:eastAsia="仿宋_GB2312"/>
          <w:b/>
          <w:color w:val="auto"/>
          <w:highlight w:val="none"/>
          <w:lang w:val="en-US" w:eastAsia="zh-CN"/>
        </w:rPr>
        <w:t>注：2021年12月1日至此次中标日期间的政务云资源服务</w:t>
      </w:r>
      <w:r>
        <w:rPr>
          <w:rFonts w:hint="eastAsia" w:ascii="仿宋_GB2312" w:eastAsia="仿宋_GB2312"/>
          <w:b/>
          <w:color w:val="auto"/>
          <w:highlight w:val="none"/>
          <w:lang w:val="zh-CN" w:eastAsia="zh-CN"/>
        </w:rPr>
        <w:t>由原</w:t>
      </w:r>
      <w:r>
        <w:rPr>
          <w:rFonts w:hint="eastAsia" w:ascii="仿宋_GB2312" w:eastAsia="仿宋_GB2312"/>
          <w:b/>
          <w:color w:val="auto"/>
          <w:highlight w:val="none"/>
          <w:lang w:val="en-US" w:eastAsia="zh-CN"/>
        </w:rPr>
        <w:t>政务</w:t>
      </w:r>
      <w:r>
        <w:rPr>
          <w:rFonts w:hint="eastAsia" w:ascii="仿宋_GB2312" w:eastAsia="仿宋_GB2312"/>
          <w:b/>
          <w:color w:val="auto"/>
          <w:highlight w:val="none"/>
          <w:lang w:val="zh-CN" w:eastAsia="zh-CN"/>
        </w:rPr>
        <w:t>云资源服务商提供服务，费用按照本项目中标单价结算。本项目中标供应商须承诺：2021年1</w:t>
      </w:r>
      <w:r>
        <w:rPr>
          <w:rFonts w:hint="eastAsia" w:ascii="仿宋_GB2312" w:eastAsia="仿宋_GB2312"/>
          <w:b/>
          <w:color w:val="auto"/>
          <w:highlight w:val="none"/>
          <w:lang w:val="en-US" w:eastAsia="zh-CN"/>
        </w:rPr>
        <w:t>2</w:t>
      </w:r>
      <w:r>
        <w:rPr>
          <w:rFonts w:hint="eastAsia" w:ascii="仿宋_GB2312" w:eastAsia="仿宋_GB2312"/>
          <w:b/>
          <w:color w:val="auto"/>
          <w:highlight w:val="none"/>
          <w:lang w:val="zh-CN" w:eastAsia="zh-CN"/>
        </w:rPr>
        <w:t>月1日至本项目招标完成签订合同期间的</w:t>
      </w:r>
      <w:r>
        <w:rPr>
          <w:rFonts w:hint="eastAsia" w:ascii="仿宋_GB2312" w:eastAsia="仿宋_GB2312"/>
          <w:b/>
          <w:color w:val="auto"/>
          <w:highlight w:val="none"/>
          <w:lang w:val="en-US" w:eastAsia="zh-CN"/>
        </w:rPr>
        <w:t>政务</w:t>
      </w:r>
      <w:r>
        <w:rPr>
          <w:rFonts w:hint="eastAsia" w:ascii="仿宋_GB2312" w:eastAsia="仿宋_GB2312"/>
          <w:b/>
          <w:color w:val="auto"/>
          <w:highlight w:val="none"/>
          <w:lang w:val="zh-CN" w:eastAsia="zh-CN"/>
        </w:rPr>
        <w:t>云资源服务费按本项目中标单价结算，经采购单位确认后，由中标供应商支付给原</w:t>
      </w:r>
      <w:r>
        <w:rPr>
          <w:rFonts w:hint="eastAsia" w:ascii="仿宋_GB2312" w:eastAsia="仿宋_GB2312"/>
          <w:b/>
          <w:color w:val="auto"/>
          <w:highlight w:val="none"/>
          <w:lang w:val="en-US" w:eastAsia="zh-CN"/>
        </w:rPr>
        <w:t>政务</w:t>
      </w:r>
      <w:r>
        <w:rPr>
          <w:rFonts w:hint="eastAsia" w:ascii="仿宋_GB2312" w:eastAsia="仿宋_GB2312"/>
          <w:b/>
          <w:color w:val="auto"/>
          <w:highlight w:val="none"/>
          <w:lang w:val="zh-CN" w:eastAsia="zh-CN"/>
        </w:rPr>
        <w:t>云资源服务商。</w:t>
      </w:r>
    </w:p>
    <w:p>
      <w:pPr>
        <w:adjustRightInd w:val="0"/>
        <w:snapToGrid w:val="0"/>
        <w:spacing w:line="460" w:lineRule="exact"/>
        <w:rPr>
          <w:rFonts w:ascii="仿宋_GB2312" w:hAnsi="宋体" w:eastAsia="仿宋_GB2312" w:cs="Arial"/>
          <w:snapToGrid w:val="0"/>
          <w:kern w:val="0"/>
          <w:sz w:val="24"/>
          <w:szCs w:val="24"/>
          <w:highlight w:val="none"/>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ascii="仿宋_GB2312" w:hAnsi="仿宋" w:eastAsia="仿宋_GB2312" w:cs="仿宋_GB2312"/>
          <w:b/>
          <w:sz w:val="36"/>
          <w:szCs w:val="36"/>
          <w:highlight w:val="none"/>
        </w:rPr>
        <w:br w:type="page"/>
      </w:r>
      <w:r>
        <w:rPr>
          <w:rFonts w:hint="eastAsia" w:ascii="仿宋_GB2312" w:hAnsi="仿宋" w:eastAsia="仿宋_GB2312" w:cs="仿宋_GB2312"/>
          <w:b/>
          <w:sz w:val="36"/>
          <w:szCs w:val="36"/>
          <w:highlight w:val="none"/>
        </w:rPr>
        <w:t xml:space="preserve">第四部分   </w:t>
      </w:r>
      <w:bookmarkStart w:id="26" w:name="_Toc184313288"/>
      <w:bookmarkEnd w:id="26"/>
      <w:bookmarkStart w:id="27" w:name="_Toc184308050"/>
      <w:bookmarkEnd w:id="27"/>
      <w:bookmarkStart w:id="28" w:name="_Toc184308072"/>
      <w:bookmarkEnd w:id="28"/>
      <w:bookmarkStart w:id="29" w:name="_Toc184308093"/>
      <w:bookmarkEnd w:id="29"/>
      <w:bookmarkStart w:id="30" w:name="_Toc184310333"/>
      <w:bookmarkEnd w:id="30"/>
      <w:bookmarkStart w:id="31" w:name="_Toc184312121"/>
      <w:bookmarkEnd w:id="31"/>
      <w:bookmarkStart w:id="32" w:name="_Toc184310307"/>
      <w:bookmarkEnd w:id="32"/>
      <w:bookmarkStart w:id="33" w:name="_Toc184308077"/>
      <w:bookmarkEnd w:id="33"/>
      <w:bookmarkStart w:id="34" w:name="_Toc184308057"/>
      <w:bookmarkEnd w:id="34"/>
      <w:bookmarkStart w:id="35" w:name="_Toc184310332"/>
      <w:bookmarkEnd w:id="35"/>
      <w:bookmarkStart w:id="36" w:name="_Toc184308100"/>
      <w:bookmarkEnd w:id="36"/>
      <w:bookmarkStart w:id="37" w:name="_Toc184314469"/>
      <w:bookmarkEnd w:id="37"/>
      <w:bookmarkStart w:id="38" w:name="_Toc184314418"/>
      <w:bookmarkEnd w:id="38"/>
      <w:bookmarkStart w:id="39" w:name="_Toc184312114"/>
      <w:bookmarkEnd w:id="39"/>
      <w:bookmarkStart w:id="40" w:name="_Toc184310282"/>
      <w:bookmarkEnd w:id="40"/>
      <w:bookmarkStart w:id="41" w:name="_Toc184314411"/>
      <w:bookmarkEnd w:id="41"/>
      <w:bookmarkStart w:id="42" w:name="_Toc184308055"/>
      <w:bookmarkEnd w:id="42"/>
      <w:bookmarkStart w:id="43" w:name="_Toc184314464"/>
      <w:bookmarkEnd w:id="43"/>
      <w:bookmarkStart w:id="44" w:name="_Toc184310327"/>
      <w:bookmarkEnd w:id="44"/>
      <w:bookmarkStart w:id="45" w:name="_Toc184310316"/>
      <w:bookmarkEnd w:id="45"/>
      <w:bookmarkStart w:id="46" w:name="_Toc184313309"/>
      <w:bookmarkEnd w:id="46"/>
      <w:bookmarkStart w:id="47" w:name="_Toc184314417"/>
      <w:bookmarkEnd w:id="47"/>
      <w:bookmarkStart w:id="48" w:name="_Toc184308102"/>
      <w:bookmarkEnd w:id="48"/>
      <w:bookmarkStart w:id="49" w:name="_Toc184312116"/>
      <w:bookmarkEnd w:id="49"/>
      <w:bookmarkStart w:id="50" w:name="_Toc184313293"/>
      <w:bookmarkEnd w:id="50"/>
      <w:bookmarkStart w:id="51" w:name="_Toc184312117"/>
      <w:bookmarkEnd w:id="51"/>
      <w:bookmarkStart w:id="52" w:name="_Toc184312107"/>
      <w:bookmarkEnd w:id="52"/>
      <w:bookmarkStart w:id="53" w:name="_Toc184314461"/>
      <w:bookmarkEnd w:id="53"/>
      <w:bookmarkStart w:id="54" w:name="_Toc184308042"/>
      <w:bookmarkEnd w:id="54"/>
      <w:bookmarkStart w:id="55" w:name="_Toc184314452"/>
      <w:bookmarkEnd w:id="55"/>
      <w:bookmarkStart w:id="56" w:name="_Toc184308090"/>
      <w:bookmarkEnd w:id="56"/>
      <w:bookmarkStart w:id="57" w:name="_Toc184313272"/>
      <w:bookmarkEnd w:id="57"/>
      <w:bookmarkStart w:id="58" w:name="_Toc184308078"/>
      <w:bookmarkEnd w:id="58"/>
      <w:bookmarkStart w:id="59" w:name="_Toc184310318"/>
      <w:bookmarkEnd w:id="59"/>
      <w:bookmarkStart w:id="60" w:name="_Toc184312112"/>
      <w:bookmarkEnd w:id="60"/>
      <w:bookmarkStart w:id="61" w:name="_Toc184313300"/>
      <w:bookmarkEnd w:id="61"/>
      <w:bookmarkStart w:id="62" w:name="_Toc184312086"/>
      <w:bookmarkEnd w:id="62"/>
      <w:bookmarkStart w:id="63" w:name="_Toc184314482"/>
      <w:bookmarkEnd w:id="63"/>
      <w:bookmarkStart w:id="64" w:name="_Toc184313291"/>
      <w:bookmarkEnd w:id="64"/>
      <w:bookmarkStart w:id="65" w:name="_Toc184313292"/>
      <w:bookmarkEnd w:id="65"/>
      <w:bookmarkStart w:id="66" w:name="_Toc184310279"/>
      <w:bookmarkEnd w:id="66"/>
      <w:bookmarkStart w:id="67" w:name="_Toc184312096"/>
      <w:bookmarkEnd w:id="67"/>
      <w:bookmarkStart w:id="68" w:name="_Toc184314446"/>
      <w:bookmarkEnd w:id="68"/>
      <w:bookmarkStart w:id="69" w:name="_Toc184314458"/>
      <w:bookmarkEnd w:id="69"/>
      <w:bookmarkStart w:id="70" w:name="_Toc184314449"/>
      <w:bookmarkEnd w:id="70"/>
      <w:bookmarkStart w:id="71" w:name="_Toc184310299"/>
      <w:bookmarkEnd w:id="71"/>
      <w:bookmarkStart w:id="72" w:name="_Toc184314433"/>
      <w:bookmarkEnd w:id="72"/>
      <w:bookmarkStart w:id="73" w:name="_Toc184310300"/>
      <w:bookmarkEnd w:id="73"/>
      <w:bookmarkStart w:id="74" w:name="_Toc184308071"/>
      <w:bookmarkEnd w:id="74"/>
      <w:bookmarkStart w:id="75" w:name="_Toc184313264"/>
      <w:bookmarkEnd w:id="75"/>
      <w:bookmarkStart w:id="76" w:name="_Toc184314443"/>
      <w:bookmarkEnd w:id="76"/>
      <w:bookmarkStart w:id="77" w:name="_Toc184310342"/>
      <w:bookmarkEnd w:id="77"/>
      <w:bookmarkStart w:id="78" w:name="_Toc184313246"/>
      <w:bookmarkEnd w:id="78"/>
      <w:bookmarkStart w:id="79" w:name="_Toc184314426"/>
      <w:bookmarkEnd w:id="79"/>
      <w:bookmarkStart w:id="80" w:name="_Toc184308075"/>
      <w:bookmarkEnd w:id="80"/>
      <w:bookmarkStart w:id="81" w:name="_Toc184310297"/>
      <w:bookmarkEnd w:id="81"/>
      <w:bookmarkStart w:id="82" w:name="_Toc184308097"/>
      <w:bookmarkEnd w:id="82"/>
      <w:bookmarkStart w:id="83" w:name="_Toc184312120"/>
      <w:bookmarkEnd w:id="83"/>
      <w:bookmarkStart w:id="84" w:name="_Toc184313263"/>
      <w:bookmarkEnd w:id="84"/>
      <w:bookmarkStart w:id="85" w:name="_Toc184314413"/>
      <w:bookmarkEnd w:id="85"/>
      <w:bookmarkStart w:id="86" w:name="_Toc184312092"/>
      <w:bookmarkEnd w:id="86"/>
      <w:bookmarkStart w:id="87" w:name="_Toc184310280"/>
      <w:bookmarkEnd w:id="87"/>
      <w:bookmarkStart w:id="88" w:name="_Toc184313289"/>
      <w:bookmarkEnd w:id="88"/>
      <w:bookmarkStart w:id="89" w:name="_Toc184308073"/>
      <w:bookmarkEnd w:id="89"/>
      <w:bookmarkStart w:id="90" w:name="_Toc184313286"/>
      <w:bookmarkEnd w:id="90"/>
      <w:bookmarkStart w:id="91" w:name="_Toc184308106"/>
      <w:bookmarkEnd w:id="91"/>
      <w:bookmarkStart w:id="92" w:name="_Toc184314467"/>
      <w:bookmarkEnd w:id="92"/>
      <w:bookmarkStart w:id="93" w:name="_Toc184314439"/>
      <w:bookmarkEnd w:id="93"/>
      <w:bookmarkStart w:id="94" w:name="_Toc184314438"/>
      <w:bookmarkEnd w:id="94"/>
      <w:bookmarkStart w:id="95" w:name="_Toc184308059"/>
      <w:bookmarkEnd w:id="95"/>
      <w:bookmarkStart w:id="96" w:name="_Toc184313253"/>
      <w:bookmarkEnd w:id="96"/>
      <w:bookmarkStart w:id="97" w:name="_Toc184314435"/>
      <w:bookmarkEnd w:id="97"/>
      <w:bookmarkStart w:id="98" w:name="_Toc184314459"/>
      <w:bookmarkEnd w:id="98"/>
      <w:bookmarkStart w:id="99" w:name="_Toc184310341"/>
      <w:bookmarkEnd w:id="99"/>
      <w:bookmarkStart w:id="100" w:name="_Toc184308082"/>
      <w:bookmarkEnd w:id="100"/>
      <w:bookmarkStart w:id="101" w:name="_Toc184308052"/>
      <w:bookmarkEnd w:id="101"/>
      <w:bookmarkStart w:id="102" w:name="_Toc184314472"/>
      <w:bookmarkEnd w:id="102"/>
      <w:bookmarkStart w:id="103" w:name="_Toc184313251"/>
      <w:bookmarkEnd w:id="103"/>
      <w:bookmarkStart w:id="104" w:name="_Toc184310308"/>
      <w:bookmarkEnd w:id="104"/>
      <w:bookmarkStart w:id="105" w:name="_Toc184308041"/>
      <w:bookmarkEnd w:id="105"/>
      <w:bookmarkStart w:id="106" w:name="_Toc184312127"/>
      <w:bookmarkEnd w:id="106"/>
      <w:bookmarkStart w:id="107" w:name="_Toc184314423"/>
      <w:bookmarkEnd w:id="107"/>
      <w:bookmarkStart w:id="108" w:name="_Toc184312069"/>
      <w:bookmarkEnd w:id="108"/>
      <w:bookmarkStart w:id="109" w:name="_Toc184313284"/>
      <w:bookmarkEnd w:id="109"/>
      <w:bookmarkStart w:id="110" w:name="_Toc184312068"/>
      <w:bookmarkEnd w:id="110"/>
      <w:bookmarkStart w:id="111" w:name="_Toc184314422"/>
      <w:bookmarkEnd w:id="111"/>
      <w:bookmarkStart w:id="112" w:name="_Toc184313269"/>
      <w:bookmarkEnd w:id="112"/>
      <w:bookmarkStart w:id="113" w:name="_Toc184310330"/>
      <w:bookmarkEnd w:id="113"/>
      <w:bookmarkStart w:id="114" w:name="_Toc184308096"/>
      <w:bookmarkEnd w:id="114"/>
      <w:bookmarkStart w:id="115" w:name="_Toc184313297"/>
      <w:bookmarkEnd w:id="115"/>
      <w:bookmarkStart w:id="116" w:name="_Toc184310319"/>
      <w:bookmarkEnd w:id="116"/>
      <w:bookmarkStart w:id="117" w:name="_Toc184314480"/>
      <w:bookmarkEnd w:id="117"/>
      <w:bookmarkStart w:id="118" w:name="_Toc184308089"/>
      <w:bookmarkEnd w:id="118"/>
      <w:bookmarkStart w:id="119" w:name="_Toc184312090"/>
      <w:bookmarkEnd w:id="119"/>
      <w:bookmarkStart w:id="120" w:name="_Toc184308069"/>
      <w:bookmarkEnd w:id="120"/>
      <w:bookmarkStart w:id="121" w:name="_Toc184312138"/>
      <w:bookmarkEnd w:id="121"/>
      <w:bookmarkStart w:id="122" w:name="_Toc184312075"/>
      <w:bookmarkEnd w:id="122"/>
      <w:bookmarkStart w:id="123" w:name="_Toc184308068"/>
      <w:bookmarkEnd w:id="123"/>
      <w:bookmarkStart w:id="124" w:name="_Toc184310303"/>
      <w:bookmarkEnd w:id="124"/>
      <w:bookmarkStart w:id="125" w:name="_Toc184313238"/>
      <w:bookmarkEnd w:id="125"/>
      <w:bookmarkStart w:id="126" w:name="_Toc184310296"/>
      <w:bookmarkEnd w:id="126"/>
      <w:bookmarkStart w:id="127" w:name="_Toc184313276"/>
      <w:bookmarkEnd w:id="127"/>
      <w:bookmarkStart w:id="128" w:name="_Toc184312132"/>
      <w:bookmarkEnd w:id="128"/>
      <w:bookmarkStart w:id="129" w:name="_Toc184308087"/>
      <w:bookmarkEnd w:id="129"/>
      <w:bookmarkStart w:id="130" w:name="_Toc184313287"/>
      <w:bookmarkEnd w:id="130"/>
      <w:bookmarkStart w:id="131" w:name="_Toc184314429"/>
      <w:bookmarkEnd w:id="131"/>
      <w:bookmarkStart w:id="132" w:name="_Toc184314475"/>
      <w:bookmarkEnd w:id="132"/>
      <w:bookmarkStart w:id="133" w:name="_Toc184312104"/>
      <w:bookmarkEnd w:id="133"/>
      <w:bookmarkStart w:id="134" w:name="_Toc184310286"/>
      <w:bookmarkEnd w:id="134"/>
      <w:bookmarkStart w:id="135" w:name="_Toc184310325"/>
      <w:bookmarkEnd w:id="135"/>
      <w:bookmarkStart w:id="136" w:name="_Toc184314455"/>
      <w:bookmarkEnd w:id="136"/>
      <w:bookmarkStart w:id="137" w:name="_Toc184308092"/>
      <w:bookmarkEnd w:id="137"/>
      <w:bookmarkStart w:id="138" w:name="_Toc184308085"/>
      <w:bookmarkEnd w:id="138"/>
      <w:bookmarkStart w:id="139" w:name="_Toc184310273"/>
      <w:bookmarkEnd w:id="139"/>
      <w:bookmarkStart w:id="140" w:name="_Toc184313274"/>
      <w:bookmarkEnd w:id="140"/>
      <w:bookmarkStart w:id="141" w:name="_Toc184310334"/>
      <w:bookmarkEnd w:id="141"/>
      <w:bookmarkStart w:id="142" w:name="_Toc184308053"/>
      <w:bookmarkEnd w:id="142"/>
      <w:bookmarkStart w:id="143" w:name="_Toc184312091"/>
      <w:bookmarkEnd w:id="143"/>
      <w:bookmarkStart w:id="144" w:name="_Toc184313241"/>
      <w:bookmarkEnd w:id="144"/>
      <w:bookmarkStart w:id="145" w:name="_Toc184312124"/>
      <w:bookmarkEnd w:id="145"/>
      <w:bookmarkStart w:id="146" w:name="_Toc184310289"/>
      <w:bookmarkEnd w:id="146"/>
      <w:bookmarkStart w:id="147" w:name="_Toc184312126"/>
      <w:bookmarkEnd w:id="147"/>
      <w:bookmarkStart w:id="148" w:name="_Toc184308103"/>
      <w:bookmarkEnd w:id="148"/>
      <w:bookmarkStart w:id="149" w:name="_Toc184312099"/>
      <w:bookmarkEnd w:id="149"/>
      <w:bookmarkStart w:id="150" w:name="_Toc184310312"/>
      <w:bookmarkEnd w:id="150"/>
      <w:bookmarkStart w:id="151" w:name="_Toc184308067"/>
      <w:bookmarkEnd w:id="151"/>
      <w:bookmarkStart w:id="152" w:name="_Toc184310326"/>
      <w:bookmarkEnd w:id="152"/>
      <w:bookmarkStart w:id="153" w:name="_Toc184313304"/>
      <w:bookmarkEnd w:id="153"/>
      <w:bookmarkStart w:id="154" w:name="_Toc184308045"/>
      <w:bookmarkEnd w:id="154"/>
      <w:bookmarkStart w:id="155" w:name="_Toc184310315"/>
      <w:bookmarkEnd w:id="155"/>
      <w:bookmarkStart w:id="156" w:name="_Toc184310274"/>
      <w:bookmarkEnd w:id="156"/>
      <w:bookmarkStart w:id="157" w:name="_Toc184312118"/>
      <w:bookmarkEnd w:id="157"/>
      <w:bookmarkStart w:id="158" w:name="_Toc184308040"/>
      <w:bookmarkEnd w:id="158"/>
      <w:bookmarkStart w:id="159" w:name="_Toc184310278"/>
      <w:bookmarkEnd w:id="159"/>
      <w:bookmarkStart w:id="160" w:name="_Toc184314428"/>
      <w:bookmarkEnd w:id="160"/>
      <w:bookmarkStart w:id="161" w:name="_Toc184314421"/>
      <w:bookmarkEnd w:id="161"/>
      <w:bookmarkStart w:id="162" w:name="_Toc184310329"/>
      <w:bookmarkEnd w:id="162"/>
      <w:bookmarkStart w:id="163" w:name="_Toc184314481"/>
      <w:bookmarkEnd w:id="163"/>
      <w:bookmarkStart w:id="164" w:name="_Toc184313248"/>
      <w:bookmarkEnd w:id="164"/>
      <w:bookmarkStart w:id="165" w:name="_Toc184310321"/>
      <w:bookmarkEnd w:id="165"/>
      <w:bookmarkStart w:id="166" w:name="_Toc184313255"/>
      <w:bookmarkEnd w:id="166"/>
      <w:bookmarkStart w:id="167" w:name="_Toc184308054"/>
      <w:bookmarkEnd w:id="167"/>
      <w:bookmarkStart w:id="168" w:name="_Toc184312087"/>
      <w:bookmarkEnd w:id="168"/>
      <w:bookmarkStart w:id="169" w:name="_Toc184313307"/>
      <w:bookmarkEnd w:id="169"/>
      <w:bookmarkStart w:id="170" w:name="_Toc184313257"/>
      <w:bookmarkEnd w:id="170"/>
      <w:bookmarkStart w:id="171" w:name="_Toc184312071"/>
      <w:bookmarkEnd w:id="171"/>
      <w:bookmarkStart w:id="172" w:name="_Toc184313290"/>
      <w:bookmarkEnd w:id="172"/>
      <w:bookmarkStart w:id="173" w:name="_Toc184310283"/>
      <w:bookmarkEnd w:id="173"/>
      <w:bookmarkStart w:id="174" w:name="_Toc184310291"/>
      <w:bookmarkEnd w:id="174"/>
      <w:bookmarkStart w:id="175" w:name="_Toc184308060"/>
      <w:bookmarkEnd w:id="175"/>
      <w:bookmarkStart w:id="176" w:name="_Toc184314431"/>
      <w:bookmarkEnd w:id="176"/>
      <w:bookmarkStart w:id="177" w:name="_Toc184308039"/>
      <w:bookmarkEnd w:id="177"/>
      <w:bookmarkStart w:id="178" w:name="_Toc184313254"/>
      <w:bookmarkEnd w:id="178"/>
      <w:bookmarkStart w:id="179" w:name="_Toc184310337"/>
      <w:bookmarkEnd w:id="179"/>
      <w:bookmarkStart w:id="180" w:name="_Toc184313310"/>
      <w:bookmarkEnd w:id="180"/>
      <w:bookmarkStart w:id="181" w:name="_Toc184312131"/>
      <w:bookmarkEnd w:id="181"/>
      <w:bookmarkStart w:id="182" w:name="_Toc184314445"/>
      <w:bookmarkEnd w:id="182"/>
      <w:bookmarkStart w:id="183" w:name="_Toc184308084"/>
      <w:bookmarkEnd w:id="183"/>
      <w:bookmarkStart w:id="184" w:name="_Toc184312109"/>
      <w:bookmarkEnd w:id="184"/>
      <w:bookmarkStart w:id="185" w:name="_Toc184310301"/>
      <w:bookmarkEnd w:id="185"/>
      <w:bookmarkStart w:id="186" w:name="_Toc184308081"/>
      <w:bookmarkEnd w:id="186"/>
      <w:bookmarkStart w:id="187" w:name="_Toc184308049"/>
      <w:bookmarkEnd w:id="187"/>
      <w:bookmarkStart w:id="188" w:name="_Toc184308066"/>
      <w:bookmarkEnd w:id="188"/>
      <w:bookmarkStart w:id="189" w:name="_Toc184312111"/>
      <w:bookmarkEnd w:id="189"/>
      <w:bookmarkStart w:id="190" w:name="_Toc184312078"/>
      <w:bookmarkEnd w:id="190"/>
      <w:bookmarkStart w:id="191" w:name="_Toc184312076"/>
      <w:bookmarkEnd w:id="191"/>
      <w:bookmarkStart w:id="192" w:name="_Toc184310310"/>
      <w:bookmarkEnd w:id="192"/>
      <w:bookmarkStart w:id="193" w:name="_Toc184308079"/>
      <w:bookmarkEnd w:id="193"/>
      <w:bookmarkStart w:id="194" w:name="_Toc184314466"/>
      <w:bookmarkEnd w:id="194"/>
      <w:bookmarkStart w:id="195" w:name="_Toc184308080"/>
      <w:bookmarkEnd w:id="195"/>
      <w:bookmarkStart w:id="196" w:name="_Toc184313305"/>
      <w:bookmarkEnd w:id="196"/>
      <w:bookmarkStart w:id="197" w:name="_Toc184310324"/>
      <w:bookmarkEnd w:id="197"/>
      <w:bookmarkStart w:id="198" w:name="_Toc184312135"/>
      <w:bookmarkEnd w:id="198"/>
      <w:bookmarkStart w:id="199" w:name="_Toc184313270"/>
      <w:bookmarkEnd w:id="199"/>
      <w:bookmarkStart w:id="200" w:name="_Toc184312088"/>
      <w:bookmarkEnd w:id="200"/>
      <w:bookmarkStart w:id="201" w:name="_Toc184312098"/>
      <w:bookmarkEnd w:id="201"/>
      <w:bookmarkStart w:id="202" w:name="_Toc184312089"/>
      <w:bookmarkEnd w:id="202"/>
      <w:bookmarkStart w:id="203" w:name="_Toc184308074"/>
      <w:bookmarkEnd w:id="203"/>
      <w:bookmarkStart w:id="204" w:name="_Toc184313282"/>
      <w:bookmarkEnd w:id="204"/>
      <w:bookmarkStart w:id="205" w:name="_Toc184314442"/>
      <w:bookmarkEnd w:id="205"/>
      <w:bookmarkStart w:id="206" w:name="_Toc184310272"/>
      <w:bookmarkEnd w:id="206"/>
      <w:bookmarkStart w:id="207" w:name="_Toc184310277"/>
      <w:bookmarkEnd w:id="207"/>
      <w:bookmarkStart w:id="208" w:name="_Toc184310331"/>
      <w:bookmarkEnd w:id="208"/>
      <w:bookmarkStart w:id="209" w:name="_Toc184314470"/>
      <w:bookmarkEnd w:id="209"/>
      <w:bookmarkStart w:id="210" w:name="_Toc184308095"/>
      <w:bookmarkEnd w:id="210"/>
      <w:bookmarkStart w:id="211" w:name="_Toc184310340"/>
      <w:bookmarkEnd w:id="211"/>
      <w:bookmarkStart w:id="212" w:name="_Toc184314456"/>
      <w:bookmarkEnd w:id="212"/>
      <w:bookmarkStart w:id="213" w:name="_Toc184313283"/>
      <w:bookmarkEnd w:id="213"/>
      <w:bookmarkStart w:id="214" w:name="_Toc184312130"/>
      <w:bookmarkEnd w:id="214"/>
      <w:bookmarkStart w:id="215" w:name="_Toc184312072"/>
      <w:bookmarkEnd w:id="215"/>
      <w:bookmarkStart w:id="216" w:name="_Toc184314414"/>
      <w:bookmarkEnd w:id="216"/>
      <w:bookmarkStart w:id="217" w:name="_Toc184314479"/>
      <w:bookmarkEnd w:id="217"/>
      <w:bookmarkStart w:id="218" w:name="_Toc184312073"/>
      <w:bookmarkEnd w:id="218"/>
      <w:bookmarkStart w:id="219" w:name="_Toc184312070"/>
      <w:bookmarkEnd w:id="219"/>
      <w:bookmarkStart w:id="220" w:name="_Toc184313266"/>
      <w:bookmarkEnd w:id="220"/>
      <w:bookmarkStart w:id="221" w:name="_Toc184314419"/>
      <w:bookmarkEnd w:id="221"/>
      <w:bookmarkStart w:id="222" w:name="_Toc184312085"/>
      <w:bookmarkEnd w:id="222"/>
      <w:bookmarkStart w:id="223" w:name="_Toc184314451"/>
      <w:bookmarkEnd w:id="223"/>
      <w:bookmarkStart w:id="224" w:name="_Toc184310313"/>
      <w:bookmarkEnd w:id="224"/>
      <w:bookmarkStart w:id="225" w:name="_Toc184314412"/>
      <w:bookmarkEnd w:id="225"/>
      <w:bookmarkStart w:id="226" w:name="_Toc184313250"/>
      <w:bookmarkEnd w:id="226"/>
      <w:bookmarkStart w:id="227" w:name="_Toc184308037"/>
      <w:bookmarkEnd w:id="227"/>
      <w:bookmarkStart w:id="228" w:name="_Toc184310290"/>
      <w:bookmarkEnd w:id="228"/>
      <w:bookmarkStart w:id="229" w:name="_Toc184308076"/>
      <w:bookmarkEnd w:id="229"/>
      <w:bookmarkStart w:id="230" w:name="_Toc184308051"/>
      <w:bookmarkEnd w:id="230"/>
      <w:bookmarkStart w:id="231" w:name="_Toc184314437"/>
      <w:bookmarkEnd w:id="231"/>
      <w:bookmarkStart w:id="232" w:name="_Toc184312113"/>
      <w:bookmarkEnd w:id="232"/>
      <w:bookmarkStart w:id="233" w:name="_Toc184312122"/>
      <w:bookmarkEnd w:id="233"/>
      <w:bookmarkStart w:id="234" w:name="_Toc184310294"/>
      <w:bookmarkEnd w:id="234"/>
      <w:bookmarkStart w:id="235" w:name="_Toc184313296"/>
      <w:bookmarkEnd w:id="235"/>
      <w:bookmarkStart w:id="236" w:name="_Toc184314416"/>
      <w:bookmarkEnd w:id="236"/>
      <w:bookmarkStart w:id="237" w:name="_Toc184313273"/>
      <w:bookmarkEnd w:id="237"/>
      <w:bookmarkStart w:id="238" w:name="_Toc184312105"/>
      <w:bookmarkEnd w:id="238"/>
      <w:bookmarkStart w:id="239" w:name="_Toc184310304"/>
      <w:bookmarkEnd w:id="239"/>
      <w:bookmarkStart w:id="240" w:name="_Toc184312136"/>
      <w:bookmarkEnd w:id="240"/>
      <w:bookmarkStart w:id="241" w:name="_Toc184312081"/>
      <w:bookmarkEnd w:id="241"/>
      <w:bookmarkStart w:id="242" w:name="_Toc184310284"/>
      <w:bookmarkEnd w:id="242"/>
      <w:bookmarkStart w:id="243" w:name="_Toc184310302"/>
      <w:bookmarkEnd w:id="243"/>
      <w:bookmarkStart w:id="244" w:name="_Toc184314450"/>
      <w:bookmarkEnd w:id="244"/>
      <w:bookmarkStart w:id="245" w:name="_Toc184314410"/>
      <w:bookmarkEnd w:id="245"/>
      <w:bookmarkStart w:id="246" w:name="_Toc184308083"/>
      <w:bookmarkEnd w:id="246"/>
      <w:bookmarkStart w:id="247" w:name="_Toc184314424"/>
      <w:bookmarkEnd w:id="247"/>
      <w:bookmarkStart w:id="248" w:name="_Toc184310338"/>
      <w:bookmarkEnd w:id="248"/>
      <w:bookmarkStart w:id="249" w:name="_Toc184313247"/>
      <w:bookmarkEnd w:id="249"/>
      <w:bookmarkStart w:id="250" w:name="_Toc184314465"/>
      <w:bookmarkEnd w:id="250"/>
      <w:bookmarkStart w:id="251" w:name="_Toc184314427"/>
      <w:bookmarkEnd w:id="251"/>
      <w:bookmarkStart w:id="252" w:name="_Toc184313275"/>
      <w:bookmarkEnd w:id="252"/>
      <w:bookmarkStart w:id="253" w:name="_Toc184310320"/>
      <w:bookmarkEnd w:id="253"/>
      <w:bookmarkStart w:id="254" w:name="_Toc184314463"/>
      <w:bookmarkEnd w:id="254"/>
      <w:bookmarkStart w:id="255" w:name="_Toc184313245"/>
      <w:bookmarkEnd w:id="255"/>
      <w:bookmarkStart w:id="256" w:name="_Toc184310314"/>
      <w:bookmarkEnd w:id="256"/>
      <w:bookmarkStart w:id="257" w:name="_Toc184308064"/>
      <w:bookmarkEnd w:id="257"/>
      <w:bookmarkStart w:id="258" w:name="_Toc184312139"/>
      <w:bookmarkEnd w:id="258"/>
      <w:bookmarkStart w:id="259" w:name="_Toc184313281"/>
      <w:bookmarkEnd w:id="259"/>
      <w:bookmarkStart w:id="260" w:name="_Toc184313256"/>
      <w:bookmarkEnd w:id="260"/>
      <w:bookmarkStart w:id="261" w:name="_Toc184310344"/>
      <w:bookmarkEnd w:id="261"/>
      <w:bookmarkStart w:id="262" w:name="_Toc184312133"/>
      <w:bookmarkEnd w:id="262"/>
      <w:bookmarkStart w:id="263" w:name="_Toc184314468"/>
      <w:bookmarkEnd w:id="263"/>
      <w:bookmarkStart w:id="264" w:name="_Toc184313302"/>
      <w:bookmarkEnd w:id="264"/>
      <w:bookmarkStart w:id="265" w:name="_Toc184310292"/>
      <w:bookmarkEnd w:id="265"/>
      <w:bookmarkStart w:id="266" w:name="_Toc184312106"/>
      <w:bookmarkEnd w:id="266"/>
      <w:bookmarkStart w:id="267" w:name="_Toc184312067"/>
      <w:bookmarkEnd w:id="267"/>
      <w:bookmarkStart w:id="268" w:name="_Toc184310335"/>
      <w:bookmarkEnd w:id="268"/>
      <w:bookmarkStart w:id="269" w:name="_Toc184312074"/>
      <w:bookmarkEnd w:id="269"/>
      <w:bookmarkStart w:id="270" w:name="_Toc184313306"/>
      <w:bookmarkEnd w:id="270"/>
      <w:bookmarkStart w:id="271" w:name="_Toc184310336"/>
      <w:bookmarkEnd w:id="271"/>
      <w:bookmarkStart w:id="272" w:name="_Toc184308043"/>
      <w:bookmarkEnd w:id="272"/>
      <w:bookmarkStart w:id="273" w:name="_Toc184312082"/>
      <w:bookmarkEnd w:id="273"/>
      <w:bookmarkStart w:id="274" w:name="_Toc184308036"/>
      <w:bookmarkEnd w:id="274"/>
      <w:bookmarkStart w:id="275" w:name="_Toc184308063"/>
      <w:bookmarkEnd w:id="275"/>
      <w:bookmarkStart w:id="276" w:name="_Toc184313278"/>
      <w:bookmarkEnd w:id="276"/>
      <w:bookmarkStart w:id="277" w:name="_Toc184310309"/>
      <w:bookmarkEnd w:id="277"/>
      <w:bookmarkStart w:id="278" w:name="_Toc184310285"/>
      <w:bookmarkEnd w:id="278"/>
      <w:bookmarkStart w:id="279" w:name="_Toc184314436"/>
      <w:bookmarkEnd w:id="279"/>
      <w:bookmarkStart w:id="280" w:name="_Toc184313244"/>
      <w:bookmarkEnd w:id="280"/>
      <w:bookmarkStart w:id="281" w:name="_Toc184308046"/>
      <w:bookmarkEnd w:id="281"/>
      <w:bookmarkStart w:id="282" w:name="_Toc184312110"/>
      <w:bookmarkEnd w:id="282"/>
      <w:bookmarkStart w:id="283" w:name="_Toc184314453"/>
      <w:bookmarkEnd w:id="283"/>
      <w:bookmarkStart w:id="284" w:name="_Toc184312100"/>
      <w:bookmarkEnd w:id="284"/>
      <w:bookmarkStart w:id="285" w:name="_Toc184313295"/>
      <w:bookmarkEnd w:id="285"/>
      <w:bookmarkStart w:id="286" w:name="_Toc184312084"/>
      <w:bookmarkEnd w:id="286"/>
      <w:bookmarkStart w:id="287" w:name="_Toc184313260"/>
      <w:bookmarkEnd w:id="287"/>
      <w:bookmarkStart w:id="288" w:name="_Toc184314473"/>
      <w:bookmarkEnd w:id="288"/>
      <w:bookmarkStart w:id="289" w:name="_Toc184310287"/>
      <w:bookmarkEnd w:id="289"/>
      <w:bookmarkStart w:id="290" w:name="_Toc184310298"/>
      <w:bookmarkEnd w:id="290"/>
      <w:bookmarkStart w:id="291" w:name="_Toc184308062"/>
      <w:bookmarkEnd w:id="291"/>
      <w:bookmarkStart w:id="292" w:name="_Toc184314457"/>
      <w:bookmarkEnd w:id="292"/>
      <w:bookmarkStart w:id="293" w:name="_Toc184312095"/>
      <w:bookmarkEnd w:id="293"/>
      <w:bookmarkStart w:id="294" w:name="_Toc184313277"/>
      <w:bookmarkEnd w:id="294"/>
      <w:bookmarkStart w:id="295" w:name="_Toc184310317"/>
      <w:bookmarkEnd w:id="295"/>
      <w:bookmarkStart w:id="296" w:name="_Toc184308058"/>
      <w:bookmarkEnd w:id="296"/>
      <w:bookmarkStart w:id="297" w:name="_Toc184313267"/>
      <w:bookmarkEnd w:id="297"/>
      <w:bookmarkStart w:id="298" w:name="_Toc184308101"/>
      <w:bookmarkEnd w:id="298"/>
      <w:bookmarkStart w:id="299" w:name="_Toc184310305"/>
      <w:bookmarkEnd w:id="299"/>
      <w:bookmarkStart w:id="300" w:name="_Toc184312128"/>
      <w:bookmarkEnd w:id="300"/>
      <w:bookmarkStart w:id="301" w:name="_Toc184310322"/>
      <w:bookmarkEnd w:id="301"/>
      <w:bookmarkStart w:id="302" w:name="_Toc184308086"/>
      <w:bookmarkEnd w:id="302"/>
      <w:bookmarkStart w:id="303" w:name="_Toc184312123"/>
      <w:bookmarkEnd w:id="303"/>
      <w:bookmarkStart w:id="304" w:name="_Toc184314478"/>
      <w:bookmarkEnd w:id="304"/>
      <w:bookmarkStart w:id="305" w:name="_Toc184308056"/>
      <w:bookmarkEnd w:id="305"/>
      <w:bookmarkStart w:id="306" w:name="_Toc184310293"/>
      <w:bookmarkEnd w:id="306"/>
      <w:bookmarkStart w:id="307" w:name="_Toc184314474"/>
      <w:bookmarkEnd w:id="307"/>
      <w:bookmarkStart w:id="308" w:name="_Toc184310323"/>
      <w:bookmarkEnd w:id="308"/>
      <w:bookmarkStart w:id="309" w:name="_Toc184312080"/>
      <w:bookmarkEnd w:id="309"/>
      <w:bookmarkStart w:id="310" w:name="_Toc184308094"/>
      <w:bookmarkEnd w:id="310"/>
      <w:bookmarkStart w:id="311" w:name="_Toc184314448"/>
      <w:bookmarkEnd w:id="311"/>
      <w:bookmarkStart w:id="312" w:name="_Toc184308070"/>
      <w:bookmarkEnd w:id="312"/>
      <w:bookmarkStart w:id="313" w:name="_Toc184314430"/>
      <w:bookmarkEnd w:id="313"/>
      <w:bookmarkStart w:id="314" w:name="_Toc184312125"/>
      <w:bookmarkEnd w:id="314"/>
      <w:bookmarkStart w:id="315" w:name="_Toc184312102"/>
      <w:bookmarkEnd w:id="315"/>
      <w:bookmarkStart w:id="316" w:name="_Toc184312103"/>
      <w:bookmarkEnd w:id="316"/>
      <w:bookmarkStart w:id="317" w:name="_Toc184312079"/>
      <w:bookmarkEnd w:id="317"/>
      <w:bookmarkStart w:id="318" w:name="_Toc184313280"/>
      <w:bookmarkEnd w:id="318"/>
      <w:bookmarkStart w:id="319" w:name="_Toc184308065"/>
      <w:bookmarkEnd w:id="319"/>
      <w:bookmarkStart w:id="320" w:name="_Toc184313303"/>
      <w:bookmarkEnd w:id="320"/>
      <w:bookmarkStart w:id="321" w:name="_Toc184313308"/>
      <w:bookmarkEnd w:id="321"/>
      <w:bookmarkStart w:id="322" w:name="_Toc184313294"/>
      <w:bookmarkEnd w:id="322"/>
      <w:bookmarkStart w:id="323" w:name="_Toc184310276"/>
      <w:bookmarkEnd w:id="323"/>
      <w:bookmarkStart w:id="324" w:name="_Toc184310311"/>
      <w:bookmarkEnd w:id="324"/>
      <w:bookmarkStart w:id="325" w:name="_Toc184314471"/>
      <w:bookmarkEnd w:id="325"/>
      <w:bookmarkStart w:id="326" w:name="_Toc184314462"/>
      <w:bookmarkEnd w:id="326"/>
      <w:bookmarkStart w:id="327" w:name="_Toc184312108"/>
      <w:bookmarkEnd w:id="327"/>
      <w:bookmarkStart w:id="328" w:name="_Toc184308061"/>
      <w:bookmarkEnd w:id="328"/>
      <w:bookmarkStart w:id="329" w:name="_Toc184313243"/>
      <w:bookmarkEnd w:id="329"/>
      <w:bookmarkStart w:id="330" w:name="_Toc184310288"/>
      <w:bookmarkEnd w:id="330"/>
      <w:bookmarkStart w:id="331" w:name="_Toc184310306"/>
      <w:bookmarkEnd w:id="331"/>
      <w:bookmarkStart w:id="332" w:name="_Toc184314476"/>
      <w:bookmarkEnd w:id="332"/>
      <w:bookmarkStart w:id="333" w:name="_Toc184308104"/>
      <w:bookmarkEnd w:id="333"/>
      <w:bookmarkStart w:id="334" w:name="_Toc184312101"/>
      <w:bookmarkEnd w:id="334"/>
      <w:bookmarkStart w:id="335" w:name="_Toc184312119"/>
      <w:bookmarkEnd w:id="335"/>
      <w:bookmarkStart w:id="336" w:name="_Toc184308047"/>
      <w:bookmarkEnd w:id="336"/>
      <w:bookmarkStart w:id="337" w:name="_Toc184314440"/>
      <w:bookmarkEnd w:id="337"/>
      <w:bookmarkStart w:id="338" w:name="_Toc184312097"/>
      <w:bookmarkEnd w:id="338"/>
      <w:bookmarkStart w:id="339" w:name="_Toc184313279"/>
      <w:bookmarkEnd w:id="339"/>
      <w:bookmarkStart w:id="340" w:name="_Toc184312083"/>
      <w:bookmarkEnd w:id="340"/>
      <w:bookmarkStart w:id="341" w:name="_Toc184313240"/>
      <w:bookmarkEnd w:id="341"/>
      <w:bookmarkStart w:id="342" w:name="_Toc184310343"/>
      <w:bookmarkEnd w:id="342"/>
      <w:bookmarkStart w:id="343" w:name="_Toc184308099"/>
      <w:bookmarkEnd w:id="343"/>
      <w:bookmarkStart w:id="344" w:name="_Toc184312137"/>
      <w:bookmarkEnd w:id="344"/>
      <w:bookmarkStart w:id="345" w:name="_Toc184308098"/>
      <w:bookmarkEnd w:id="345"/>
      <w:bookmarkStart w:id="346" w:name="_Toc184308105"/>
      <w:bookmarkEnd w:id="346"/>
      <w:bookmarkStart w:id="347" w:name="_Toc184313239"/>
      <w:bookmarkEnd w:id="347"/>
      <w:bookmarkStart w:id="348" w:name="_Toc184313285"/>
      <w:bookmarkEnd w:id="348"/>
      <w:bookmarkStart w:id="349" w:name="_Toc184314454"/>
      <w:bookmarkEnd w:id="349"/>
      <w:bookmarkStart w:id="350" w:name="_Toc184314444"/>
      <w:bookmarkEnd w:id="350"/>
      <w:bookmarkStart w:id="351" w:name="_Toc184312077"/>
      <w:bookmarkEnd w:id="351"/>
      <w:bookmarkStart w:id="352" w:name="_Toc184312093"/>
      <w:bookmarkEnd w:id="352"/>
      <w:bookmarkStart w:id="353" w:name="_Toc184308108"/>
      <w:bookmarkEnd w:id="353"/>
      <w:bookmarkStart w:id="354" w:name="_Toc184313242"/>
      <w:bookmarkEnd w:id="354"/>
      <w:bookmarkStart w:id="355" w:name="_Toc184313262"/>
      <w:bookmarkEnd w:id="355"/>
      <w:bookmarkStart w:id="356" w:name="_Toc184310328"/>
      <w:bookmarkEnd w:id="356"/>
      <w:bookmarkStart w:id="357" w:name="_Toc184314425"/>
      <w:bookmarkEnd w:id="357"/>
      <w:bookmarkStart w:id="358" w:name="_Toc184313249"/>
      <w:bookmarkEnd w:id="358"/>
      <w:bookmarkStart w:id="359" w:name="_Toc184312129"/>
      <w:bookmarkEnd w:id="359"/>
      <w:bookmarkStart w:id="360" w:name="_Toc184313301"/>
      <w:bookmarkEnd w:id="360"/>
      <w:bookmarkStart w:id="361" w:name="_Toc184310295"/>
      <w:bookmarkEnd w:id="361"/>
      <w:bookmarkStart w:id="362" w:name="_Toc184314447"/>
      <w:bookmarkEnd w:id="362"/>
      <w:bookmarkStart w:id="363" w:name="_Toc184308107"/>
      <w:bookmarkEnd w:id="363"/>
      <w:bookmarkStart w:id="364" w:name="_Toc184314420"/>
      <w:bookmarkEnd w:id="364"/>
      <w:bookmarkStart w:id="365" w:name="_Toc184308088"/>
      <w:bookmarkEnd w:id="365"/>
      <w:bookmarkStart w:id="366" w:name="_Toc184314460"/>
      <w:bookmarkEnd w:id="366"/>
      <w:bookmarkStart w:id="367" w:name="_Toc184312115"/>
      <w:bookmarkEnd w:id="367"/>
      <w:bookmarkStart w:id="368" w:name="_Toc184314415"/>
      <w:bookmarkEnd w:id="368"/>
      <w:bookmarkStart w:id="369" w:name="_Toc184313261"/>
      <w:bookmarkEnd w:id="369"/>
      <w:bookmarkStart w:id="370" w:name="_Toc184313252"/>
      <w:bookmarkEnd w:id="370"/>
      <w:bookmarkStart w:id="371" w:name="_Toc184314434"/>
      <w:bookmarkEnd w:id="371"/>
      <w:bookmarkStart w:id="372" w:name="_Toc184313271"/>
      <w:bookmarkEnd w:id="372"/>
      <w:bookmarkStart w:id="373" w:name="_Toc184310281"/>
      <w:bookmarkEnd w:id="373"/>
      <w:bookmarkStart w:id="374" w:name="_Toc184314441"/>
      <w:bookmarkEnd w:id="374"/>
      <w:bookmarkStart w:id="375" w:name="_Toc184313259"/>
      <w:bookmarkEnd w:id="375"/>
      <w:bookmarkStart w:id="376" w:name="_Toc184308038"/>
      <w:bookmarkEnd w:id="376"/>
      <w:bookmarkStart w:id="377" w:name="_Toc184314432"/>
      <w:bookmarkEnd w:id="377"/>
      <w:bookmarkStart w:id="378" w:name="_Toc184313265"/>
      <w:bookmarkEnd w:id="378"/>
      <w:bookmarkStart w:id="379" w:name="_Toc184310339"/>
      <w:bookmarkEnd w:id="379"/>
      <w:bookmarkStart w:id="380" w:name="_Toc184308091"/>
      <w:bookmarkEnd w:id="380"/>
      <w:bookmarkStart w:id="381" w:name="_Toc184312134"/>
      <w:bookmarkEnd w:id="381"/>
      <w:bookmarkStart w:id="382" w:name="_Toc184308044"/>
      <w:bookmarkEnd w:id="382"/>
      <w:bookmarkStart w:id="383" w:name="_Toc184313268"/>
      <w:bookmarkEnd w:id="383"/>
      <w:bookmarkStart w:id="384" w:name="_Toc184313258"/>
      <w:bookmarkEnd w:id="384"/>
      <w:bookmarkStart w:id="385" w:name="_Toc184308048"/>
      <w:bookmarkEnd w:id="385"/>
      <w:bookmarkStart w:id="386" w:name="_Toc184314477"/>
      <w:bookmarkEnd w:id="386"/>
      <w:bookmarkStart w:id="387" w:name="_Toc184313299"/>
      <w:bookmarkEnd w:id="387"/>
      <w:bookmarkStart w:id="388" w:name="_Toc184313298"/>
      <w:bookmarkEnd w:id="388"/>
      <w:bookmarkStart w:id="389" w:name="_Toc184312094"/>
      <w:bookmarkEnd w:id="389"/>
      <w:bookmarkStart w:id="390" w:name="_Toc184310275"/>
      <w:bookmarkEnd w:id="390"/>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031" w:tblpY="126"/>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903"/>
        <w:gridCol w:w="79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13" w:type="dxa"/>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5903" w:type="dxa"/>
            <w:vAlign w:val="center"/>
          </w:tcPr>
          <w:p>
            <w:pPr>
              <w:spacing w:line="360" w:lineRule="auto"/>
              <w:ind w:firstLine="1560" w:firstLineChars="650"/>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795" w:type="dxa"/>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2137" w:type="dxa"/>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cs="宋体"/>
                <w:sz w:val="24"/>
                <w:highlight w:val="none"/>
                <w:shd w:val="clear" w:color="auto" w:fill="FFFFFF"/>
              </w:rPr>
              <w:t> </w:t>
            </w:r>
            <w:r>
              <w:rPr>
                <w:rFonts w:ascii="仿宋" w:hAnsi="仿宋" w:eastAsia="仿宋" w:cs="Arial"/>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13" w:type="dxa"/>
            <w:vAlign w:val="center"/>
          </w:tcPr>
          <w:p>
            <w:pPr>
              <w:spacing w:line="360" w:lineRule="auto"/>
              <w:ind w:firstLine="360" w:firstLineChars="150"/>
              <w:jc w:val="left"/>
              <w:outlineLvl w:val="0"/>
              <w:rPr>
                <w:rFonts w:ascii="仿宋" w:hAnsi="仿宋" w:eastAsia="仿宋" w:cs="仿宋_GB2312"/>
                <w:kern w:val="2"/>
                <w:sz w:val="24"/>
                <w:szCs w:val="22"/>
                <w:highlight w:val="none"/>
                <w:lang w:val="en-US" w:eastAsia="zh-CN" w:bidi="ar-SA"/>
              </w:rPr>
            </w:pPr>
            <w:r>
              <w:rPr>
                <w:rFonts w:ascii="仿宋" w:hAnsi="仿宋" w:eastAsia="仿宋" w:cs="仿宋_GB2312"/>
                <w:sz w:val="24"/>
                <w:highlight w:val="none"/>
              </w:rPr>
              <w:t>1</w:t>
            </w:r>
          </w:p>
        </w:tc>
        <w:tc>
          <w:tcPr>
            <w:tcW w:w="5903" w:type="dxa"/>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kern w:val="0"/>
                <w:sz w:val="24"/>
                <w:szCs w:val="24"/>
                <w:highlight w:val="none"/>
                <w:lang w:val="en-US" w:eastAsia="zh-CN" w:bidi="ar"/>
              </w:rPr>
              <w:t>①投标人对项目的业务情况、技术要求、业务风险点有充分理解；②对所投云计算平台的技术架构，技术难点有详细说明；根据提供的理解、难点、措施等，每一项内容完整、措施有效、满足采购人实际需求得3分；基本满足采购需求的得1分；没提供或不满足的不得分。共3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137" w:type="dxa"/>
            <w:vMerge w:val="restar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13" w:type="dxa"/>
            <w:vAlign w:val="center"/>
          </w:tcPr>
          <w:p>
            <w:pPr>
              <w:spacing w:line="360" w:lineRule="auto"/>
              <w:ind w:firstLine="360" w:firstLineChars="150"/>
              <w:jc w:val="left"/>
              <w:outlineLvl w:val="0"/>
              <w:rPr>
                <w:rFonts w:ascii="仿宋" w:hAnsi="仿宋" w:eastAsia="仿宋" w:cs="仿宋_GB2312"/>
                <w:kern w:val="2"/>
                <w:sz w:val="24"/>
                <w:szCs w:val="22"/>
                <w:highlight w:val="none"/>
                <w:lang w:val="en-US" w:eastAsia="zh-CN" w:bidi="ar-SA"/>
              </w:rPr>
            </w:pPr>
            <w:r>
              <w:rPr>
                <w:rFonts w:ascii="仿宋" w:hAnsi="仿宋" w:eastAsia="仿宋" w:cs="仿宋_GB2312"/>
                <w:sz w:val="24"/>
                <w:highlight w:val="none"/>
              </w:rPr>
              <w:t>2</w:t>
            </w:r>
          </w:p>
        </w:tc>
        <w:tc>
          <w:tcPr>
            <w:tcW w:w="5903" w:type="dxa"/>
            <w:vAlign w:val="center"/>
          </w:tcPr>
          <w:p>
            <w:pPr>
              <w:spacing w:line="360" w:lineRule="auto"/>
              <w:outlineLvl w:val="0"/>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lang w:bidi="ar"/>
              </w:rPr>
              <w:t>投标方案与需求的吻合程度</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1）云</w:t>
            </w:r>
            <w:r>
              <w:rPr>
                <w:rFonts w:hint="eastAsia" w:ascii="仿宋" w:hAnsi="仿宋" w:eastAsia="仿宋" w:cs="仿宋"/>
                <w:color w:val="auto"/>
                <w:kern w:val="0"/>
                <w:sz w:val="24"/>
                <w:szCs w:val="24"/>
                <w:highlight w:val="none"/>
                <w:lang w:eastAsia="zh-CN" w:bidi="ar"/>
              </w:rPr>
              <w:t>服务器</w:t>
            </w:r>
            <w:r>
              <w:rPr>
                <w:rFonts w:hint="eastAsia" w:ascii="仿宋" w:hAnsi="仿宋" w:eastAsia="仿宋" w:cs="仿宋"/>
                <w:color w:val="auto"/>
                <w:kern w:val="0"/>
                <w:sz w:val="24"/>
                <w:szCs w:val="24"/>
                <w:highlight w:val="none"/>
                <w:lang w:val="en-US" w:eastAsia="zh-CN" w:bidi="ar"/>
              </w:rPr>
              <w:t>ECS</w:t>
            </w:r>
            <w:r>
              <w:rPr>
                <w:rFonts w:hint="eastAsia" w:ascii="仿宋" w:hAnsi="仿宋" w:eastAsia="仿宋" w:cs="仿宋"/>
                <w:color w:val="auto"/>
                <w:kern w:val="0"/>
                <w:sz w:val="24"/>
                <w:szCs w:val="24"/>
                <w:highlight w:val="none"/>
                <w:lang w:bidi="ar"/>
              </w:rPr>
              <w:t>；2）云数据库（含MySQL、SQL Server、Oracle等数据库</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分布式关系型数据库服务DRDS）；3）</w:t>
            </w:r>
            <w:r>
              <w:rPr>
                <w:rFonts w:hint="eastAsia" w:ascii="仿宋" w:hAnsi="仿宋" w:eastAsia="仿宋" w:cs="仿宋"/>
                <w:color w:val="auto"/>
                <w:kern w:val="0"/>
                <w:sz w:val="24"/>
                <w:szCs w:val="24"/>
                <w:highlight w:val="none"/>
                <w:lang w:eastAsia="zh-CN" w:bidi="ar"/>
              </w:rPr>
              <w:t>对象</w:t>
            </w:r>
            <w:r>
              <w:rPr>
                <w:rFonts w:hint="eastAsia" w:ascii="仿宋" w:hAnsi="仿宋" w:eastAsia="仿宋" w:cs="仿宋"/>
                <w:color w:val="auto"/>
                <w:kern w:val="0"/>
                <w:sz w:val="24"/>
                <w:szCs w:val="24"/>
                <w:highlight w:val="none"/>
                <w:lang w:bidi="ar"/>
              </w:rPr>
              <w:t>存储服务（OSS）；4）大数据计算服务（Maxcompute）；5）分析型数据库MySQL 2.0版；6）负载均衡（SLB）；7）专有网络VPC；8）实时计算Realtime Compute；9）</w:t>
            </w:r>
            <w:r>
              <w:rPr>
                <w:rFonts w:hint="eastAsia" w:ascii="仿宋" w:hAnsi="仿宋" w:eastAsia="仿宋" w:cs="仿宋"/>
                <w:color w:val="auto"/>
                <w:kern w:val="0"/>
                <w:sz w:val="24"/>
                <w:szCs w:val="24"/>
                <w:highlight w:val="none"/>
                <w:lang w:eastAsia="zh-CN" w:bidi="ar"/>
              </w:rPr>
              <w:t>实时数据分发平台</w:t>
            </w:r>
            <w:r>
              <w:rPr>
                <w:rFonts w:hint="eastAsia" w:ascii="仿宋" w:hAnsi="仿宋" w:eastAsia="仿宋" w:cs="仿宋"/>
                <w:color w:val="auto"/>
                <w:kern w:val="0"/>
                <w:sz w:val="24"/>
                <w:szCs w:val="24"/>
                <w:highlight w:val="none"/>
                <w:lang w:bidi="ar"/>
              </w:rPr>
              <w:t>（Datahub）;10）表格存储（Tablestore）；11）云数据库Redis版；12）大数据开发套件（DataWorks）；13）数据传输服务（DTS）；14）应用实时监控服务（Arms）；15）企业级分布式应用服务EDAS；16）日志服务（</w:t>
            </w:r>
            <w:r>
              <w:rPr>
                <w:rFonts w:hint="eastAsia" w:ascii="仿宋" w:hAnsi="仿宋" w:eastAsia="仿宋" w:cs="仿宋"/>
                <w:color w:val="auto"/>
                <w:kern w:val="0"/>
                <w:sz w:val="24"/>
                <w:szCs w:val="24"/>
                <w:highlight w:val="none"/>
                <w:lang w:val="en-US" w:eastAsia="zh-CN" w:bidi="ar"/>
              </w:rPr>
              <w:t>SLS</w:t>
            </w:r>
            <w:r>
              <w:rPr>
                <w:rFonts w:hint="eastAsia" w:ascii="仿宋" w:hAnsi="仿宋" w:eastAsia="仿宋" w:cs="仿宋"/>
                <w:color w:val="auto"/>
                <w:kern w:val="0"/>
                <w:sz w:val="24"/>
                <w:szCs w:val="24"/>
                <w:highlight w:val="none"/>
                <w:lang w:bidi="ar"/>
              </w:rPr>
              <w:t>）；17）搜索服务Elasticsearch;18）消息队列（MQ）等根据提供的投标文件内容进行评分，每一项内容完整、措施有效、符合采购人实际视为合理，合理得1分，最高</w:t>
            </w:r>
            <w:r>
              <w:rPr>
                <w:rFonts w:hint="eastAsia" w:ascii="仿宋" w:hAnsi="仿宋" w:eastAsia="仿宋" w:cs="仿宋"/>
                <w:color w:val="auto"/>
                <w:kern w:val="0"/>
                <w:sz w:val="24"/>
                <w:szCs w:val="24"/>
                <w:highlight w:val="none"/>
                <w:lang w:val="en-US" w:eastAsia="zh-CN" w:bidi="ar"/>
              </w:rPr>
              <w:t>18</w:t>
            </w:r>
            <w:r>
              <w:rPr>
                <w:rFonts w:hint="eastAsia" w:ascii="仿宋" w:hAnsi="仿宋" w:eastAsia="仿宋" w:cs="仿宋"/>
                <w:color w:val="auto"/>
                <w:kern w:val="0"/>
                <w:sz w:val="24"/>
                <w:szCs w:val="24"/>
                <w:highlight w:val="none"/>
                <w:lang w:bidi="ar"/>
              </w:rPr>
              <w:t>分</w:t>
            </w:r>
            <w:r>
              <w:rPr>
                <w:rFonts w:hint="eastAsia" w:ascii="仿宋" w:hAnsi="仿宋" w:eastAsia="仿宋" w:cs="仿宋"/>
                <w:color w:val="auto"/>
                <w:kern w:val="0"/>
                <w:sz w:val="24"/>
                <w:szCs w:val="24"/>
                <w:highlight w:val="none"/>
                <w:lang w:eastAsia="zh-CN" w:bidi="ar"/>
              </w:rPr>
              <w:t>。</w:t>
            </w:r>
          </w:p>
        </w:tc>
        <w:tc>
          <w:tcPr>
            <w:tcW w:w="795" w:type="dxa"/>
            <w:vAlign w:val="center"/>
          </w:tcPr>
          <w:p>
            <w:pPr>
              <w:jc w:val="center"/>
              <w:rPr>
                <w:rFonts w:hint="eastAsia" w:ascii="仿宋" w:hAnsi="仿宋" w:eastAsia="仿宋" w:cs="仿宋"/>
                <w:sz w:val="24"/>
                <w:szCs w:val="24"/>
                <w:highlight w:val="none"/>
              </w:rPr>
            </w:pPr>
          </w:p>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2137" w:type="dxa"/>
            <w:vMerge w:val="continue"/>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13" w:type="dxa"/>
            <w:vAlign w:val="center"/>
          </w:tcPr>
          <w:p>
            <w:pPr>
              <w:spacing w:line="360" w:lineRule="auto"/>
              <w:ind w:firstLine="360" w:firstLineChars="150"/>
              <w:jc w:val="left"/>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3</w:t>
            </w:r>
          </w:p>
        </w:tc>
        <w:tc>
          <w:tcPr>
            <w:tcW w:w="5903" w:type="dxa"/>
            <w:vAlign w:val="center"/>
          </w:tcPr>
          <w:p>
            <w:pPr>
              <w:spacing w:line="360" w:lineRule="auto"/>
              <w:outlineLvl w:val="0"/>
              <w:rPr>
                <w:rFonts w:hint="default"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lang w:bidi="ar"/>
              </w:rPr>
              <w:t>投标人所提供的云平台是否具备合同签订后</w:t>
            </w:r>
            <w:r>
              <w:rPr>
                <w:rFonts w:hint="eastAsia" w:ascii="仿宋" w:hAnsi="仿宋" w:eastAsia="仿宋" w:cs="仿宋"/>
                <w:color w:val="auto"/>
                <w:kern w:val="0"/>
                <w:sz w:val="24"/>
                <w:szCs w:val="24"/>
                <w:highlight w:val="none"/>
                <w:lang w:val="en-US" w:eastAsia="zh-CN" w:bidi="ar"/>
              </w:rPr>
              <w:t>10</w:t>
            </w:r>
            <w:r>
              <w:rPr>
                <w:rFonts w:hint="eastAsia" w:ascii="仿宋" w:hAnsi="仿宋" w:eastAsia="仿宋" w:cs="仿宋"/>
                <w:color w:val="auto"/>
                <w:kern w:val="0"/>
                <w:sz w:val="24"/>
                <w:szCs w:val="24"/>
                <w:highlight w:val="none"/>
                <w:lang w:bidi="ar"/>
              </w:rPr>
              <w:t>个</w:t>
            </w:r>
            <w:r>
              <w:rPr>
                <w:rFonts w:hint="eastAsia" w:ascii="仿宋" w:hAnsi="仿宋" w:eastAsia="仿宋" w:cs="仿宋"/>
                <w:color w:val="auto"/>
                <w:kern w:val="0"/>
                <w:sz w:val="24"/>
                <w:szCs w:val="24"/>
                <w:highlight w:val="none"/>
                <w:lang w:eastAsia="zh-CN" w:bidi="ar"/>
              </w:rPr>
              <w:t>工作日</w:t>
            </w:r>
            <w:r>
              <w:rPr>
                <w:rFonts w:hint="eastAsia" w:ascii="仿宋" w:hAnsi="仿宋" w:eastAsia="仿宋" w:cs="仿宋"/>
                <w:color w:val="auto"/>
                <w:kern w:val="0"/>
                <w:sz w:val="24"/>
                <w:szCs w:val="24"/>
                <w:highlight w:val="none"/>
                <w:lang w:bidi="ar"/>
              </w:rPr>
              <w:t>内提供云</w:t>
            </w:r>
            <w:r>
              <w:rPr>
                <w:rFonts w:hint="eastAsia" w:ascii="仿宋" w:hAnsi="仿宋" w:eastAsia="仿宋" w:cs="仿宋"/>
                <w:color w:val="auto"/>
                <w:kern w:val="0"/>
                <w:sz w:val="24"/>
                <w:szCs w:val="24"/>
                <w:highlight w:val="none"/>
                <w:lang w:eastAsia="zh-CN" w:bidi="ar"/>
              </w:rPr>
              <w:t>服务器</w:t>
            </w:r>
            <w:r>
              <w:rPr>
                <w:rFonts w:hint="eastAsia" w:ascii="仿宋" w:hAnsi="仿宋" w:eastAsia="仿宋" w:cs="仿宋"/>
                <w:color w:val="auto"/>
                <w:kern w:val="0"/>
                <w:sz w:val="24"/>
                <w:szCs w:val="24"/>
                <w:highlight w:val="none"/>
                <w:lang w:bidi="ar"/>
              </w:rPr>
              <w:t>机、云数据库、大数据计算服务、分析型数据库服务、负载均衡服务、专有网络VPC服务、</w:t>
            </w:r>
            <w:r>
              <w:rPr>
                <w:rFonts w:hint="eastAsia" w:ascii="仿宋" w:hAnsi="仿宋" w:eastAsia="仿宋" w:cs="仿宋"/>
                <w:color w:val="auto"/>
                <w:kern w:val="0"/>
                <w:sz w:val="24"/>
                <w:szCs w:val="24"/>
                <w:highlight w:val="none"/>
                <w:lang w:eastAsia="zh-CN" w:bidi="ar"/>
              </w:rPr>
              <w:t>实时计算</w:t>
            </w:r>
            <w:r>
              <w:rPr>
                <w:rFonts w:hint="eastAsia" w:ascii="仿宋" w:hAnsi="仿宋" w:eastAsia="仿宋" w:cs="仿宋"/>
                <w:color w:val="auto"/>
                <w:kern w:val="0"/>
                <w:sz w:val="24"/>
                <w:szCs w:val="24"/>
                <w:highlight w:val="none"/>
                <w:lang w:bidi="ar"/>
              </w:rPr>
              <w:t>、数据</w:t>
            </w:r>
            <w:r>
              <w:rPr>
                <w:rFonts w:hint="eastAsia" w:ascii="仿宋" w:hAnsi="仿宋" w:eastAsia="仿宋" w:cs="仿宋"/>
                <w:color w:val="auto"/>
                <w:kern w:val="0"/>
                <w:sz w:val="24"/>
                <w:szCs w:val="24"/>
                <w:highlight w:val="none"/>
                <w:lang w:eastAsia="zh-CN" w:bidi="ar"/>
              </w:rPr>
              <w:t>总线</w:t>
            </w:r>
            <w:r>
              <w:rPr>
                <w:rFonts w:hint="eastAsia" w:ascii="仿宋" w:hAnsi="仿宋" w:eastAsia="仿宋" w:cs="仿宋"/>
                <w:color w:val="auto"/>
                <w:kern w:val="0"/>
                <w:sz w:val="24"/>
                <w:szCs w:val="24"/>
                <w:highlight w:val="none"/>
                <w:lang w:bidi="ar"/>
              </w:rPr>
              <w:t>、表格存储、云数据库Redis版、</w:t>
            </w:r>
            <w:r>
              <w:rPr>
                <w:rFonts w:hint="eastAsia" w:ascii="仿宋" w:hAnsi="仿宋" w:eastAsia="仿宋" w:cs="仿宋"/>
                <w:b w:val="0"/>
                <w:bCs w:val="0"/>
                <w:color w:val="auto"/>
                <w:kern w:val="0"/>
                <w:sz w:val="24"/>
                <w:szCs w:val="24"/>
                <w:highlight w:val="none"/>
                <w:lang w:bidi="ar"/>
              </w:rPr>
              <w:t>分布式关系型数据库服务、数据传输服务、</w:t>
            </w:r>
            <w:r>
              <w:rPr>
                <w:rFonts w:hint="eastAsia" w:ascii="仿宋" w:hAnsi="仿宋" w:eastAsia="仿宋" w:cs="仿宋"/>
                <w:b w:val="0"/>
                <w:bCs w:val="0"/>
                <w:color w:val="auto"/>
                <w:kern w:val="0"/>
                <w:sz w:val="24"/>
                <w:szCs w:val="24"/>
                <w:highlight w:val="none"/>
                <w:lang w:eastAsia="zh-CN" w:bidi="ar"/>
              </w:rPr>
              <w:t>应用</w:t>
            </w:r>
            <w:r>
              <w:rPr>
                <w:rFonts w:hint="eastAsia" w:ascii="仿宋" w:hAnsi="仿宋" w:eastAsia="仿宋" w:cs="仿宋"/>
                <w:b w:val="0"/>
                <w:bCs w:val="0"/>
                <w:color w:val="auto"/>
                <w:kern w:val="0"/>
                <w:sz w:val="24"/>
                <w:szCs w:val="24"/>
                <w:highlight w:val="none"/>
                <w:lang w:bidi="ar"/>
              </w:rPr>
              <w:t>实时监控服务、消息队列、企业级分布式应用服务、日志服务、搜索服务、大数据开发套件等云资源服务能</w:t>
            </w:r>
            <w:r>
              <w:rPr>
                <w:rFonts w:hint="eastAsia" w:ascii="仿宋" w:hAnsi="仿宋" w:eastAsia="仿宋" w:cs="仿宋"/>
                <w:color w:val="auto"/>
                <w:kern w:val="0"/>
                <w:sz w:val="24"/>
                <w:szCs w:val="24"/>
                <w:highlight w:val="none"/>
                <w:lang w:bidi="ar"/>
              </w:rPr>
              <w:t>力</w:t>
            </w:r>
            <w:r>
              <w:rPr>
                <w:rFonts w:hint="eastAsia" w:ascii="仿宋" w:hAnsi="仿宋" w:eastAsia="仿宋" w:cs="仿宋"/>
                <w:color w:val="auto"/>
                <w:kern w:val="0"/>
                <w:sz w:val="24"/>
                <w:szCs w:val="24"/>
                <w:highlight w:val="none"/>
                <w:lang w:eastAsia="zh-CN" w:bidi="ar"/>
              </w:rPr>
              <w:t>，承诺</w:t>
            </w:r>
            <w:r>
              <w:rPr>
                <w:rFonts w:hint="eastAsia" w:ascii="仿宋" w:hAnsi="仿宋" w:eastAsia="仿宋" w:cs="仿宋"/>
                <w:color w:val="auto"/>
                <w:kern w:val="0"/>
                <w:sz w:val="24"/>
                <w:szCs w:val="24"/>
                <w:highlight w:val="none"/>
                <w:lang w:bidi="ar"/>
              </w:rPr>
              <w:t>5个工作日内得</w:t>
            </w: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分，5至10个工作日内得</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分，超出10个工作日不得分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须提供</w:t>
            </w:r>
            <w:r>
              <w:rPr>
                <w:rFonts w:hint="eastAsia" w:ascii="仿宋" w:hAnsi="仿宋" w:eastAsia="仿宋" w:cs="仿宋"/>
                <w:color w:val="auto"/>
                <w:kern w:val="0"/>
                <w:sz w:val="24"/>
                <w:szCs w:val="24"/>
                <w:highlight w:val="none"/>
                <w:lang w:eastAsia="zh-CN" w:bidi="ar"/>
              </w:rPr>
              <w:t>相关承诺，没提供不得分</w:t>
            </w:r>
            <w:r>
              <w:rPr>
                <w:rFonts w:hint="eastAsia" w:ascii="仿宋" w:hAnsi="仿宋" w:eastAsia="仿宋" w:cs="仿宋"/>
                <w:color w:val="auto"/>
                <w:kern w:val="0"/>
                <w:sz w:val="24"/>
                <w:szCs w:val="24"/>
                <w:highlight w:val="none"/>
                <w:lang w:val="en-US" w:eastAsia="zh-CN" w:bidi="ar"/>
              </w:rPr>
              <w:t>。共4分。</w:t>
            </w:r>
          </w:p>
        </w:tc>
        <w:tc>
          <w:tcPr>
            <w:tcW w:w="795" w:type="dxa"/>
            <w:vAlign w:val="center"/>
          </w:tcPr>
          <w:p>
            <w:pPr>
              <w:jc w:val="center"/>
              <w:rPr>
                <w:rFonts w:hint="eastAsia" w:ascii="仿宋" w:hAnsi="仿宋" w:eastAsia="仿宋" w:cs="仿宋"/>
                <w:sz w:val="24"/>
                <w:szCs w:val="24"/>
                <w:highlight w:val="none"/>
              </w:rPr>
            </w:pPr>
          </w:p>
          <w:p>
            <w:pPr>
              <w:spacing w:line="360" w:lineRule="auto"/>
              <w:ind w:firstLine="240" w:firstLineChars="100"/>
              <w:jc w:val="both"/>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137"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（二）服务能力及相关证明文件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3" w:type="dxa"/>
            <w:vAlign w:val="center"/>
          </w:tcPr>
          <w:p>
            <w:pPr>
              <w:spacing w:line="360" w:lineRule="auto"/>
              <w:ind w:firstLine="360" w:firstLineChars="150"/>
              <w:jc w:val="left"/>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4</w:t>
            </w:r>
          </w:p>
        </w:tc>
        <w:tc>
          <w:tcPr>
            <w:tcW w:w="5903" w:type="dxa"/>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投标人提供给杭州市临安区政府使用的政务云平台，在①基础网络、②云计算系统、③数据库及存储系统、④云网络安全服务系统、⑤中间件服务系统已通过信息系统安全等级保护三级备案的，需提供相关证明，每一个得1分，最高得5分。共5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2137"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3" w:type="dxa"/>
            <w:vAlign w:val="center"/>
          </w:tcPr>
          <w:p>
            <w:pPr>
              <w:spacing w:line="360" w:lineRule="auto"/>
              <w:ind w:firstLine="360" w:firstLineChars="150"/>
              <w:jc w:val="left"/>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5</w:t>
            </w:r>
          </w:p>
        </w:tc>
        <w:tc>
          <w:tcPr>
            <w:tcW w:w="5903" w:type="dxa"/>
            <w:vAlign w:val="top"/>
          </w:tcPr>
          <w:p>
            <w:pPr>
              <w:keepNext w:val="0"/>
              <w:keepLines w:val="0"/>
              <w:pageBreakBefore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①投标人对其云平台网络有详细描述，对网络边界有完善的安全防护；②所提供的云平台已具备与杭州市电子政务网进行对接的网络环境，须提供可行性说明材料。每项符合得2分，不符合不得分。共4分。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2137" w:type="dxa"/>
            <w:vMerge w:val="continue"/>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3" w:type="dxa"/>
            <w:vAlign w:val="center"/>
          </w:tcPr>
          <w:p>
            <w:pPr>
              <w:spacing w:line="360" w:lineRule="auto"/>
              <w:ind w:firstLine="360" w:firstLineChars="150"/>
              <w:jc w:val="left"/>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6</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投标人需</w:t>
            </w:r>
            <w:r>
              <w:rPr>
                <w:rFonts w:hint="eastAsia" w:ascii="仿宋" w:hAnsi="仿宋" w:eastAsia="仿宋" w:cs="仿宋"/>
                <w:sz w:val="24"/>
                <w:szCs w:val="24"/>
                <w:highlight w:val="none"/>
                <w:lang w:val="en-US"/>
              </w:rPr>
              <w:t>提供态势感知功能界面证明，功能包括</w:t>
            </w:r>
            <w:r>
              <w:rPr>
                <w:rFonts w:hint="eastAsia" w:ascii="仿宋" w:hAnsi="仿宋" w:eastAsia="仿宋" w:cs="仿宋"/>
                <w:sz w:val="24"/>
                <w:szCs w:val="24"/>
                <w:highlight w:val="none"/>
                <w:lang w:val="en-US" w:eastAsia="zh-CN"/>
              </w:rPr>
              <w:t>①</w:t>
            </w:r>
            <w:r>
              <w:rPr>
                <w:rFonts w:hint="eastAsia" w:ascii="仿宋" w:hAnsi="仿宋" w:eastAsia="仿宋" w:cs="仿宋"/>
                <w:sz w:val="24"/>
                <w:szCs w:val="24"/>
                <w:highlight w:val="none"/>
                <w:lang w:val="en-US"/>
              </w:rPr>
              <w:t>威胁告警、</w:t>
            </w:r>
            <w:r>
              <w:rPr>
                <w:rFonts w:hint="eastAsia" w:ascii="仿宋" w:hAnsi="仿宋" w:eastAsia="仿宋" w:cs="仿宋"/>
                <w:sz w:val="24"/>
                <w:szCs w:val="24"/>
                <w:highlight w:val="none"/>
                <w:lang w:val="en-US" w:eastAsia="zh-CN"/>
              </w:rPr>
              <w:t>②</w:t>
            </w:r>
            <w:r>
              <w:rPr>
                <w:rFonts w:hint="eastAsia" w:ascii="仿宋" w:hAnsi="仿宋" w:eastAsia="仿宋" w:cs="仿宋"/>
                <w:sz w:val="24"/>
                <w:szCs w:val="24"/>
                <w:highlight w:val="none"/>
                <w:lang w:val="en-US"/>
              </w:rPr>
              <w:t>威胁感知、</w:t>
            </w:r>
            <w:r>
              <w:rPr>
                <w:rFonts w:hint="eastAsia" w:ascii="仿宋" w:hAnsi="仿宋" w:eastAsia="仿宋" w:cs="仿宋"/>
                <w:sz w:val="24"/>
                <w:szCs w:val="24"/>
                <w:highlight w:val="none"/>
                <w:lang w:val="en-US" w:eastAsia="zh-CN"/>
              </w:rPr>
              <w:t>③</w:t>
            </w:r>
            <w:r>
              <w:rPr>
                <w:rFonts w:hint="eastAsia" w:ascii="仿宋" w:hAnsi="仿宋" w:eastAsia="仿宋" w:cs="仿宋"/>
                <w:sz w:val="24"/>
                <w:szCs w:val="24"/>
                <w:highlight w:val="none"/>
                <w:lang w:val="en-US"/>
              </w:rPr>
              <w:t>行为分析、</w:t>
            </w:r>
            <w:r>
              <w:rPr>
                <w:rFonts w:hint="eastAsia" w:ascii="仿宋" w:hAnsi="仿宋" w:eastAsia="仿宋" w:cs="仿宋"/>
                <w:sz w:val="24"/>
                <w:szCs w:val="24"/>
                <w:highlight w:val="none"/>
                <w:lang w:val="en-US" w:eastAsia="zh-CN"/>
              </w:rPr>
              <w:t>④</w:t>
            </w:r>
            <w:r>
              <w:rPr>
                <w:rFonts w:hint="eastAsia" w:ascii="仿宋" w:hAnsi="仿宋" w:eastAsia="仿宋" w:cs="仿宋"/>
                <w:sz w:val="24"/>
                <w:szCs w:val="24"/>
                <w:highlight w:val="none"/>
                <w:lang w:val="en-US"/>
              </w:rPr>
              <w:t>大屏可视化展示、</w:t>
            </w:r>
            <w:r>
              <w:rPr>
                <w:rFonts w:hint="eastAsia" w:ascii="仿宋" w:hAnsi="仿宋" w:eastAsia="仿宋" w:cs="仿宋"/>
                <w:sz w:val="24"/>
                <w:szCs w:val="24"/>
                <w:highlight w:val="none"/>
                <w:lang w:val="en-US" w:eastAsia="zh-CN"/>
              </w:rPr>
              <w:t>⑤</w:t>
            </w:r>
            <w:r>
              <w:rPr>
                <w:rFonts w:hint="eastAsia" w:ascii="仿宋" w:hAnsi="仿宋" w:eastAsia="仿宋" w:cs="仿宋"/>
                <w:sz w:val="24"/>
                <w:szCs w:val="24"/>
                <w:highlight w:val="none"/>
                <w:lang w:val="en-US"/>
              </w:rPr>
              <w:t>资产管理、</w:t>
            </w:r>
            <w:r>
              <w:rPr>
                <w:rFonts w:hint="eastAsia" w:ascii="仿宋" w:hAnsi="仿宋" w:eastAsia="仿宋" w:cs="仿宋"/>
                <w:sz w:val="24"/>
                <w:szCs w:val="24"/>
                <w:highlight w:val="none"/>
                <w:lang w:val="en-US" w:eastAsia="zh-CN"/>
              </w:rPr>
              <w:t>⑥</w:t>
            </w:r>
            <w:r>
              <w:rPr>
                <w:rFonts w:hint="eastAsia" w:ascii="仿宋" w:hAnsi="仿宋" w:eastAsia="仿宋" w:cs="仿宋"/>
                <w:sz w:val="24"/>
                <w:szCs w:val="24"/>
                <w:highlight w:val="none"/>
                <w:lang w:val="en-US"/>
              </w:rPr>
              <w:t>报表管理等功能，</w:t>
            </w:r>
            <w:r>
              <w:rPr>
                <w:rFonts w:hint="eastAsia" w:ascii="仿宋" w:hAnsi="仿宋" w:eastAsia="仿宋" w:cs="仿宋"/>
                <w:sz w:val="24"/>
                <w:szCs w:val="24"/>
                <w:highlight w:val="none"/>
                <w:lang w:val="en-US" w:eastAsia="zh-CN"/>
              </w:rPr>
              <w:t>提供一项得1分，不提供证明或者证明不符不得分。共6</w:t>
            </w:r>
            <w:r>
              <w:rPr>
                <w:rFonts w:hint="eastAsia" w:ascii="仿宋" w:hAnsi="仿宋" w:eastAsia="仿宋" w:cs="仿宋"/>
                <w:sz w:val="24"/>
                <w:szCs w:val="24"/>
                <w:highlight w:val="none"/>
                <w:lang w:val="en-US"/>
              </w:rPr>
              <w:t>分</w:t>
            </w:r>
            <w:r>
              <w:rPr>
                <w:rFonts w:hint="eastAsia" w:ascii="仿宋" w:hAnsi="仿宋" w:eastAsia="仿宋" w:cs="仿宋"/>
                <w:sz w:val="24"/>
                <w:szCs w:val="24"/>
                <w:highlight w:val="none"/>
                <w:lang w:val="en-US" w:eastAsia="zh-CN"/>
              </w:rPr>
              <w:t>。</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2137" w:type="dxa"/>
            <w:vMerge w:val="continue"/>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3" w:type="dxa"/>
            <w:vAlign w:val="center"/>
          </w:tcPr>
          <w:p>
            <w:pPr>
              <w:spacing w:line="360" w:lineRule="auto"/>
              <w:ind w:firstLine="360" w:firstLineChars="150"/>
              <w:jc w:val="left"/>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w:t>
            </w:r>
          </w:p>
        </w:tc>
        <w:tc>
          <w:tcPr>
            <w:tcW w:w="5903"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投标方案中所使用的云计算平台是否具备国内自主知识产权，具备得3分，否则不得分，需提供相关证明材料。共3分。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137" w:type="dxa"/>
            <w:vMerge w:val="continue"/>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3" w:type="dxa"/>
            <w:vAlign w:val="center"/>
          </w:tcPr>
          <w:p>
            <w:pPr>
              <w:spacing w:line="360" w:lineRule="auto"/>
              <w:ind w:firstLine="360" w:firstLineChars="150"/>
              <w:jc w:val="left"/>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8</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投标人须具备将业务从现有政务云平台不间断迁移到所投云平台的能力，要求提供可行性说明材料：能在1个月内完成跨平台业务迁移的得3分，一个月以上不得分，需提供迁移服务承诺函。共3分。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137"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3" w:type="dxa"/>
            <w:vAlign w:val="center"/>
          </w:tcPr>
          <w:p>
            <w:pPr>
              <w:spacing w:line="360" w:lineRule="auto"/>
              <w:ind w:firstLine="360" w:firstLineChars="150"/>
              <w:jc w:val="left"/>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9</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项目实施方案:投标人应根据采购需求中工作内容提供一份完整的项目进度计划，</w:t>
            </w:r>
            <w:r>
              <w:rPr>
                <w:rFonts w:hint="eastAsia" w:ascii="仿宋" w:hAnsi="仿宋" w:eastAsia="仿宋" w:cs="仿宋"/>
                <w:sz w:val="24"/>
                <w:szCs w:val="24"/>
                <w:highlight w:val="none"/>
              </w:rPr>
              <w:t>能按期完成服务提供、上线运行等要求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进度安排完善、可行性强的得3分；能</w:t>
            </w:r>
            <w:r>
              <w:rPr>
                <w:rFonts w:hint="eastAsia" w:ascii="仿宋" w:hAnsi="仿宋" w:eastAsia="仿宋" w:cs="仿宋"/>
                <w:sz w:val="24"/>
                <w:szCs w:val="24"/>
                <w:highlight w:val="none"/>
              </w:rPr>
              <w:t>按期完成服务提供、上线运行等要求</w:t>
            </w:r>
            <w:r>
              <w:rPr>
                <w:rFonts w:hint="eastAsia" w:ascii="仿宋" w:hAnsi="仿宋" w:eastAsia="仿宋" w:cs="仿宋"/>
                <w:sz w:val="24"/>
                <w:szCs w:val="24"/>
                <w:highlight w:val="none"/>
                <w:lang w:eastAsia="zh-CN"/>
              </w:rPr>
              <w:t>，进度安排合理的得</w:t>
            </w:r>
            <w:r>
              <w:rPr>
                <w:rFonts w:hint="eastAsia" w:ascii="仿宋" w:hAnsi="仿宋" w:eastAsia="仿宋" w:cs="仿宋"/>
                <w:sz w:val="24"/>
                <w:szCs w:val="24"/>
                <w:highlight w:val="none"/>
                <w:lang w:val="en-US" w:eastAsia="zh-CN"/>
              </w:rPr>
              <w:t>1分；否则不得分。共3分。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137" w:type="dxa"/>
            <w:vMerge w:val="restar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（三）项目实施方案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vAlign w:val="center"/>
          </w:tcPr>
          <w:p>
            <w:pPr>
              <w:spacing w:line="360" w:lineRule="auto"/>
              <w:ind w:firstLine="360" w:firstLineChars="150"/>
              <w:jc w:val="left"/>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10</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投标人提供的组织实施方案具有完备的管理组织、项目实施规范和管理制度；具有完善的质量管理体系，并能有效实施。完全满足得3分，部分满足得1分，其余不得分。共3分。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137" w:type="dxa"/>
            <w:vMerge w:val="continue"/>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13" w:type="dxa"/>
            <w:vAlign w:val="center"/>
          </w:tcPr>
          <w:p>
            <w:pPr>
              <w:spacing w:line="360" w:lineRule="auto"/>
              <w:ind w:firstLine="360" w:firstLineChars="150"/>
              <w:jc w:val="left"/>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11</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投标人提供容灾环境和容灾方案，具备容灾环境的得2分；提供容灾方案的得1分。共3分。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137" w:type="dxa"/>
            <w:vMerge w:val="continue"/>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3" w:type="dxa"/>
            <w:vAlign w:val="center"/>
          </w:tcPr>
          <w:p>
            <w:pPr>
              <w:spacing w:line="360" w:lineRule="auto"/>
              <w:ind w:firstLine="360" w:firstLineChars="150"/>
              <w:jc w:val="left"/>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12</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拟担任本项目经理和项目组人员具有类似项目建设经历的，提供项目组人员工作履历、工程实践证明资料、劳动合同或参保证明等情况，每完整提供1人得0.5分，最高得2分。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137"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（四）项目组人员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13" w:type="dxa"/>
            <w:vAlign w:val="center"/>
          </w:tcPr>
          <w:p>
            <w:pPr>
              <w:spacing w:line="360" w:lineRule="auto"/>
              <w:ind w:firstLine="360" w:firstLineChars="150"/>
              <w:jc w:val="left"/>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13</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项目经理具有</w:t>
            </w:r>
            <w:r>
              <w:rPr>
                <w:rFonts w:hint="eastAsia" w:ascii="仿宋" w:hAnsi="仿宋" w:eastAsia="仿宋" w:cs="仿宋"/>
                <w:sz w:val="24"/>
                <w:szCs w:val="24"/>
                <w:highlight w:val="none"/>
                <w:lang w:val="en-US" w:eastAsia="zh-CN"/>
              </w:rPr>
              <w:t>信息系统项目管理师</w:t>
            </w:r>
            <w:r>
              <w:rPr>
                <w:rFonts w:hint="eastAsia" w:ascii="仿宋" w:hAnsi="仿宋" w:eastAsia="仿宋" w:cs="仿宋"/>
                <w:sz w:val="24"/>
                <w:szCs w:val="24"/>
                <w:highlight w:val="none"/>
              </w:rPr>
              <w:t>证书的得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分，没有不得分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需要提供证明材料及社保证明</w:t>
            </w:r>
            <w:r>
              <w:rPr>
                <w:rFonts w:hint="eastAsia" w:ascii="仿宋" w:hAnsi="仿宋" w:eastAsia="仿宋" w:cs="仿宋"/>
                <w:sz w:val="24"/>
                <w:szCs w:val="24"/>
                <w:highlight w:val="none"/>
                <w:lang w:eastAsia="zh-CN"/>
              </w:rPr>
              <w:t>，共</w:t>
            </w:r>
            <w:r>
              <w:rPr>
                <w:rFonts w:hint="eastAsia" w:ascii="仿宋" w:hAnsi="仿宋" w:eastAsia="仿宋" w:cs="仿宋"/>
                <w:sz w:val="24"/>
                <w:szCs w:val="24"/>
                <w:highlight w:val="none"/>
                <w:lang w:val="en-US" w:eastAsia="zh-CN"/>
              </w:rPr>
              <w:t>1分。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p>
        </w:tc>
        <w:tc>
          <w:tcPr>
            <w:tcW w:w="2137" w:type="dxa"/>
            <w:vMerge w:val="continue"/>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3" w:type="dxa"/>
            <w:vAlign w:val="center"/>
          </w:tcPr>
          <w:p>
            <w:pPr>
              <w:spacing w:line="360" w:lineRule="auto"/>
              <w:ind w:firstLine="360" w:firstLineChars="150"/>
              <w:jc w:val="left"/>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14</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项目组成员具备云平台原厂认证工程师的人数，提供相关证明材料及社保，每提供1人得1分，共3分。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137" w:type="dxa"/>
            <w:vMerge w:val="continue"/>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13" w:type="dxa"/>
            <w:vAlign w:val="center"/>
          </w:tcPr>
          <w:p>
            <w:pPr>
              <w:spacing w:line="360" w:lineRule="auto"/>
              <w:ind w:firstLine="360" w:firstLineChars="150"/>
              <w:jc w:val="left"/>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15</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zh-CN" w:eastAsia="zh-CN"/>
              </w:rPr>
              <w:t>投标人提供的服务方案、服务承诺的可行性、完整性以及服务承诺落实的保障措施，维护期内外的后续技术支持和维护能力情况等。满足采购人需求得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eastAsia="zh-CN"/>
              </w:rPr>
              <w:t>分，部分满足得</w:t>
            </w:r>
            <w:r>
              <w:rPr>
                <w:rFonts w:hint="eastAsia" w:ascii="仿宋" w:hAnsi="仿宋" w:eastAsia="仿宋" w:cs="仿宋"/>
                <w:sz w:val="24"/>
                <w:szCs w:val="24"/>
                <w:highlight w:val="none"/>
                <w:lang w:val="en-US" w:eastAsia="zh-CN"/>
              </w:rPr>
              <w:t>1分，</w:t>
            </w:r>
            <w:r>
              <w:rPr>
                <w:rFonts w:hint="eastAsia" w:ascii="仿宋" w:hAnsi="仿宋" w:eastAsia="仿宋" w:cs="仿宋"/>
                <w:sz w:val="24"/>
                <w:szCs w:val="24"/>
                <w:highlight w:val="none"/>
                <w:lang w:val="zh-CN" w:eastAsia="zh-CN"/>
              </w:rPr>
              <w:t>否则不得分。共</w:t>
            </w:r>
            <w:r>
              <w:rPr>
                <w:rFonts w:hint="eastAsia" w:ascii="仿宋" w:hAnsi="仿宋" w:eastAsia="仿宋" w:cs="仿宋"/>
                <w:sz w:val="24"/>
                <w:szCs w:val="24"/>
                <w:highlight w:val="none"/>
                <w:lang w:val="en-US" w:eastAsia="zh-CN"/>
              </w:rPr>
              <w:t>3分。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137"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（五）</w:t>
            </w:r>
            <w:r>
              <w:rPr>
                <w:rFonts w:hint="eastAsia" w:ascii="仿宋" w:hAnsi="仿宋" w:eastAsia="仿宋" w:cs="仿宋"/>
                <w:sz w:val="24"/>
                <w:szCs w:val="24"/>
                <w:highlight w:val="none"/>
              </w:rPr>
              <w:t>培训、售后、验收、质量保证措施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3" w:type="dxa"/>
            <w:vAlign w:val="center"/>
          </w:tcPr>
          <w:p>
            <w:pPr>
              <w:spacing w:line="360" w:lineRule="auto"/>
              <w:ind w:firstLine="360" w:firstLineChars="150"/>
              <w:jc w:val="left"/>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16</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zh-CN"/>
              </w:rPr>
              <w:t>投标人提供的维护机构情况，能提供快速的服务响应，</w:t>
            </w:r>
            <w:r>
              <w:rPr>
                <w:rFonts w:hint="eastAsia" w:ascii="仿宋" w:hAnsi="仿宋" w:eastAsia="仿宋" w:cs="仿宋"/>
                <w:sz w:val="24"/>
                <w:szCs w:val="24"/>
                <w:highlight w:val="none"/>
              </w:rPr>
              <w:t>投标人提供7*24小时的技术支持服务，</w:t>
            </w:r>
            <w:r>
              <w:rPr>
                <w:rFonts w:hint="eastAsia" w:ascii="仿宋" w:hAnsi="仿宋" w:eastAsia="仿宋" w:cs="仿宋"/>
                <w:sz w:val="24"/>
                <w:szCs w:val="24"/>
                <w:highlight w:val="none"/>
                <w:lang w:eastAsia="zh-CN"/>
              </w:rPr>
              <w:t>且技术服务热线支持是中文服务，</w:t>
            </w:r>
            <w:r>
              <w:rPr>
                <w:rFonts w:hint="eastAsia" w:ascii="仿宋" w:hAnsi="仿宋" w:eastAsia="仿宋" w:cs="仿宋"/>
                <w:sz w:val="24"/>
                <w:szCs w:val="24"/>
                <w:highlight w:val="none"/>
              </w:rPr>
              <w:t>对故障1小时内响应</w:t>
            </w:r>
            <w:r>
              <w:rPr>
                <w:rFonts w:hint="eastAsia" w:ascii="仿宋" w:hAnsi="仿宋" w:eastAsia="仿宋" w:cs="仿宋"/>
                <w:sz w:val="24"/>
                <w:szCs w:val="24"/>
                <w:highlight w:val="none"/>
                <w:lang w:eastAsia="zh-CN"/>
              </w:rPr>
              <w:t>、重大故障4小时内修复、一般故障6小时内修复</w:t>
            </w:r>
            <w:r>
              <w:rPr>
                <w:rFonts w:hint="eastAsia" w:ascii="仿宋" w:hAnsi="仿宋" w:eastAsia="仿宋" w:cs="仿宋"/>
                <w:sz w:val="24"/>
                <w:szCs w:val="24"/>
                <w:highlight w:val="none"/>
              </w:rPr>
              <w:t>；如果逾期未作出响应、修复，投标人应承担由于故障所造成的全部损失</w:t>
            </w:r>
            <w:r>
              <w:rPr>
                <w:rFonts w:hint="eastAsia" w:ascii="仿宋" w:hAnsi="仿宋" w:eastAsia="仿宋" w:cs="仿宋"/>
                <w:sz w:val="24"/>
                <w:szCs w:val="24"/>
                <w:highlight w:val="none"/>
                <w:lang w:eastAsia="zh-CN"/>
              </w:rPr>
              <w:t>的承诺的得</w:t>
            </w:r>
            <w:r>
              <w:rPr>
                <w:rFonts w:hint="eastAsia" w:ascii="仿宋" w:hAnsi="仿宋" w:eastAsia="仿宋" w:cs="仿宋"/>
                <w:sz w:val="24"/>
                <w:szCs w:val="24"/>
                <w:highlight w:val="none"/>
                <w:lang w:val="en-US" w:eastAsia="zh-CN"/>
              </w:rPr>
              <w:t>3分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共</w:t>
            </w:r>
            <w:r>
              <w:rPr>
                <w:rFonts w:hint="eastAsia" w:ascii="仿宋" w:hAnsi="仿宋" w:eastAsia="仿宋" w:cs="仿宋"/>
                <w:sz w:val="24"/>
                <w:szCs w:val="24"/>
                <w:highlight w:val="none"/>
                <w:lang w:val="en-US" w:eastAsia="zh-CN"/>
              </w:rPr>
              <w:t>3分。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137" w:type="dxa"/>
            <w:vMerge w:val="continue"/>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3" w:type="dxa"/>
            <w:vAlign w:val="center"/>
          </w:tcPr>
          <w:p>
            <w:pPr>
              <w:spacing w:line="360" w:lineRule="auto"/>
              <w:ind w:firstLine="360" w:firstLineChars="150"/>
              <w:jc w:val="left"/>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17</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zh-CN" w:eastAsia="zh-CN"/>
              </w:rPr>
              <w:t>投标人提供培训计划包括培训内容、培训时间地点、培训对象、培训师资力量等，根据培训方案内容进行评分，每一项科学合理，利于实际操作的得0.5分，共2分。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2137" w:type="dxa"/>
            <w:vMerge w:val="continue"/>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13" w:type="dxa"/>
            <w:vAlign w:val="center"/>
          </w:tcPr>
          <w:p>
            <w:pPr>
              <w:spacing w:line="360" w:lineRule="auto"/>
              <w:ind w:firstLine="360" w:firstLineChars="150"/>
              <w:jc w:val="left"/>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18</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投标人提出的验收方案是否合理、可行。根据提供的方案内容进行评分，满足采购需求得3分，部分满足得1分，否则不得分。共3分。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137" w:type="dxa"/>
            <w:vMerge w:val="continue"/>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13" w:type="dxa"/>
            <w:vAlign w:val="center"/>
          </w:tcPr>
          <w:p>
            <w:pPr>
              <w:spacing w:line="360" w:lineRule="auto"/>
              <w:ind w:firstLine="360" w:firstLineChars="150"/>
              <w:jc w:val="left"/>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19</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投标人具有ISO20000信息技术服务管理体系认证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"https://baike.baidu.com/item/ISO27001/2326653" \t "https://baike.baidu.com/item/ISO27001%E8%AE%A4%E8%AF%81/_blank"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ISO27001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"https://baike.baidu.com/item/%E4%BF%A1%E6%81%AF%E5%AE%89%E5%85%A8%E7%AE%A1%E7%90%86%E4%BD%93%E7%B3%BB/2651589" \t "https://baike.baidu.com/item/ISO27001%E8%AE%A4%E8%AF%81/_blank"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信息安全管理体系</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认证，ISO9001质量管理体系认证</w:t>
            </w:r>
            <w:r>
              <w:rPr>
                <w:rFonts w:hint="eastAsia" w:ascii="仿宋" w:hAnsi="仿宋" w:eastAsia="仿宋" w:cs="仿宋"/>
                <w:sz w:val="24"/>
                <w:szCs w:val="24"/>
                <w:highlight w:val="none"/>
                <w:lang w:eastAsia="zh-CN"/>
              </w:rPr>
              <w:t>，提供有效期内的相关证书，</w:t>
            </w:r>
            <w:r>
              <w:rPr>
                <w:rFonts w:hint="eastAsia" w:ascii="仿宋" w:hAnsi="仿宋" w:eastAsia="仿宋" w:cs="仿宋"/>
                <w:sz w:val="24"/>
                <w:szCs w:val="24"/>
                <w:highlight w:val="none"/>
              </w:rPr>
              <w:t>每个得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共</w:t>
            </w:r>
            <w:r>
              <w:rPr>
                <w:rFonts w:hint="eastAsia" w:ascii="仿宋" w:hAnsi="仿宋" w:eastAsia="仿宋" w:cs="仿宋"/>
                <w:sz w:val="24"/>
                <w:szCs w:val="24"/>
                <w:highlight w:val="none"/>
                <w:lang w:val="en-US" w:eastAsia="zh-CN"/>
              </w:rPr>
              <w:t>3分</w:t>
            </w:r>
            <w:r>
              <w:rPr>
                <w:rFonts w:hint="eastAsia" w:ascii="仿宋" w:hAnsi="仿宋" w:eastAsia="仿宋" w:cs="仿宋"/>
                <w:sz w:val="24"/>
                <w:szCs w:val="24"/>
                <w:highlight w:val="none"/>
              </w:rPr>
              <w:t>。</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213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（六）相关证书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3" w:type="dxa"/>
            <w:vAlign w:val="center"/>
          </w:tcPr>
          <w:p>
            <w:pPr>
              <w:spacing w:line="360" w:lineRule="auto"/>
              <w:ind w:firstLine="360" w:firstLineChars="150"/>
              <w:jc w:val="left"/>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20</w:t>
            </w:r>
          </w:p>
        </w:tc>
        <w:tc>
          <w:tcPr>
            <w:tcW w:w="5903"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2019年1月1日至截止投标时间止（以合同签订时间为准），投标人承担过类似项目实施的成功经验情况，需提供合同复印件，每个得1分，共1分。</w:t>
            </w:r>
          </w:p>
        </w:tc>
        <w:tc>
          <w:tcPr>
            <w:tcW w:w="795" w:type="dxa"/>
            <w:vAlign w:val="center"/>
          </w:tcPr>
          <w:p>
            <w:pPr>
              <w:keepNext w:val="0"/>
              <w:keepLines w:val="0"/>
              <w:pageBreakBefore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p>
        </w:tc>
        <w:tc>
          <w:tcPr>
            <w:tcW w:w="213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（七）业绩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13" w:type="dxa"/>
            <w:vAlign w:val="center"/>
          </w:tcPr>
          <w:p>
            <w:pPr>
              <w:jc w:val="center"/>
              <w:rPr>
                <w:rFonts w:hint="default" w:eastAsiaTheme="minorEastAsia"/>
                <w:highlight w:val="none"/>
                <w:lang w:val="en-US" w:eastAsia="zh-CN"/>
              </w:rPr>
            </w:pPr>
            <w:r>
              <w:rPr>
                <w:rFonts w:hint="eastAsia" w:ascii="仿宋" w:hAnsi="仿宋" w:eastAsia="仿宋" w:cs="仿宋_GB2312"/>
                <w:sz w:val="24"/>
                <w:highlight w:val="none"/>
                <w:lang w:val="en-US" w:eastAsia="zh-CN"/>
              </w:rPr>
              <w:t>21</w:t>
            </w:r>
          </w:p>
        </w:tc>
        <w:tc>
          <w:tcPr>
            <w:tcW w:w="5903" w:type="dxa"/>
            <w:vAlign w:val="center"/>
          </w:tcPr>
          <w:p>
            <w:pPr>
              <w:spacing w:line="360" w:lineRule="auto"/>
              <w:outlineLvl w:val="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eastAsia="zh-CN" w:bidi="ar"/>
              </w:rPr>
              <w:t>系统演示</w:t>
            </w:r>
            <w:r>
              <w:rPr>
                <w:rFonts w:hint="eastAsia" w:ascii="仿宋" w:hAnsi="仿宋" w:eastAsia="仿宋" w:cs="仿宋"/>
                <w:color w:val="auto"/>
                <w:kern w:val="0"/>
                <w:sz w:val="24"/>
                <w:szCs w:val="24"/>
                <w:highlight w:val="none"/>
                <w:lang w:val="en-US" w:eastAsia="zh-CN" w:bidi="ar"/>
              </w:rPr>
              <w:t>：由投标人自行准备相关演示环境，软件模型成功展现本次项目要求的功能，演示视频须制作成光盘或U盘，在投标截止前提交至杭州市临安区行政服务中心B座四楼B448办公室，逾期拒收。演示内容如下（PPT、Word演示或未提供演示不得分）：</w:t>
            </w:r>
          </w:p>
          <w:p>
            <w:pPr>
              <w:spacing w:line="360" w:lineRule="auto"/>
              <w:outlineLvl w:val="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注：演示视频需密封送达，评标阶段拆封演示，因响应方自身原因导致无法演示或者演示效果不理想的，责任自负。</w:t>
            </w:r>
          </w:p>
          <w:p>
            <w:pPr>
              <w:spacing w:line="360" w:lineRule="auto"/>
              <w:outlineLvl w:val="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1.投标人针对杭州市临安区智慧电子政务云管理平台移动端演示,①基础云资源申请；②基础云资源管理；③用户中心。每成功演示一个功能得1分，否则不得分。共3分。</w:t>
            </w:r>
          </w:p>
          <w:p>
            <w:pPr>
              <w:spacing w:line="360" w:lineRule="auto"/>
              <w:outlineLvl w:val="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2.投标人演示如下产品的创建实例：①大数据计算服务（MaxCompute）；②</w:t>
            </w:r>
            <w:r>
              <w:rPr>
                <w:rFonts w:hint="eastAsia" w:ascii="仿宋" w:hAnsi="仿宋" w:eastAsia="仿宋" w:cs="仿宋"/>
                <w:color w:val="auto"/>
                <w:kern w:val="0"/>
                <w:sz w:val="24"/>
                <w:szCs w:val="24"/>
                <w:highlight w:val="none"/>
                <w:lang w:bidi="ar"/>
              </w:rPr>
              <w:t>分析型数据库MySQL 2.0版</w:t>
            </w:r>
            <w:r>
              <w:rPr>
                <w:rFonts w:hint="eastAsia" w:ascii="仿宋" w:hAnsi="仿宋" w:eastAsia="仿宋" w:cs="仿宋"/>
                <w:color w:val="auto"/>
                <w:kern w:val="0"/>
                <w:sz w:val="24"/>
                <w:szCs w:val="24"/>
                <w:highlight w:val="none"/>
                <w:lang w:val="en-US" w:eastAsia="zh-CN" w:bidi="ar"/>
              </w:rPr>
              <w:t>；③表格存储（</w:t>
            </w:r>
            <w:r>
              <w:rPr>
                <w:rFonts w:hint="eastAsia" w:ascii="仿宋" w:hAnsi="仿宋" w:eastAsia="仿宋" w:cs="仿宋"/>
                <w:color w:val="auto"/>
                <w:kern w:val="0"/>
                <w:sz w:val="24"/>
                <w:szCs w:val="24"/>
                <w:highlight w:val="none"/>
                <w:lang w:bidi="ar"/>
              </w:rPr>
              <w:t>Tablestore</w:t>
            </w:r>
            <w:r>
              <w:rPr>
                <w:rFonts w:hint="eastAsia" w:ascii="仿宋" w:hAnsi="仿宋" w:eastAsia="仿宋" w:cs="仿宋"/>
                <w:color w:val="auto"/>
                <w:kern w:val="0"/>
                <w:sz w:val="24"/>
                <w:szCs w:val="24"/>
                <w:highlight w:val="none"/>
                <w:lang w:val="en-US" w:eastAsia="zh-CN" w:bidi="ar"/>
              </w:rPr>
              <w:t>）；④云数据库Redis版;⑤分布式关系型数据库服务（DRDS）；⑥消息队列（MQ）；⑦企业级分布式应用服务（EDAS）；⑧搜索服务Elasticsearch；每成功演示一个功能得1分。共8分。</w:t>
            </w:r>
          </w:p>
          <w:p>
            <w:pPr>
              <w:spacing w:line="360" w:lineRule="auto"/>
              <w:outlineLvl w:val="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eastAsia="zh-CN" w:bidi="ar"/>
              </w:rPr>
              <w:t>演示①</w:t>
            </w:r>
            <w:r>
              <w:rPr>
                <w:rFonts w:hint="eastAsia" w:ascii="仿宋" w:hAnsi="仿宋" w:eastAsia="仿宋" w:cs="仿宋"/>
                <w:color w:val="auto"/>
                <w:kern w:val="0"/>
                <w:sz w:val="24"/>
                <w:szCs w:val="24"/>
                <w:highlight w:val="none"/>
                <w:lang w:bidi="ar"/>
              </w:rPr>
              <w:t>智慧电子政务云管理平台</w:t>
            </w:r>
            <w:r>
              <w:rPr>
                <w:rFonts w:hint="eastAsia" w:ascii="仿宋" w:hAnsi="仿宋" w:eastAsia="仿宋" w:cs="仿宋"/>
                <w:color w:val="auto"/>
                <w:kern w:val="0"/>
                <w:sz w:val="24"/>
                <w:szCs w:val="24"/>
                <w:highlight w:val="none"/>
                <w:lang w:eastAsia="zh-CN" w:bidi="ar"/>
              </w:rPr>
              <w:t>的</w:t>
            </w:r>
            <w:r>
              <w:rPr>
                <w:rFonts w:hint="eastAsia" w:ascii="仿宋" w:hAnsi="仿宋" w:eastAsia="仿宋" w:cs="仿宋"/>
                <w:color w:val="auto"/>
                <w:kern w:val="0"/>
                <w:sz w:val="24"/>
                <w:szCs w:val="24"/>
                <w:highlight w:val="none"/>
                <w:lang w:eastAsia="zh-Hans" w:bidi="ar"/>
              </w:rPr>
              <w:t>定制报表功能模块</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lang w:eastAsia="zh-CN" w:bidi="ar"/>
              </w:rPr>
              <w:t>②</w:t>
            </w:r>
            <w:r>
              <w:rPr>
                <w:rFonts w:hint="eastAsia" w:ascii="仿宋" w:hAnsi="仿宋" w:eastAsia="仿宋" w:cs="仿宋"/>
                <w:color w:val="auto"/>
                <w:kern w:val="0"/>
                <w:sz w:val="24"/>
                <w:szCs w:val="24"/>
                <w:highlight w:val="none"/>
                <w:lang w:eastAsia="zh-Hans" w:bidi="ar"/>
              </w:rPr>
              <w:t>安全组</w:t>
            </w:r>
            <w:r>
              <w:rPr>
                <w:rFonts w:hint="eastAsia" w:ascii="仿宋" w:hAnsi="仿宋" w:eastAsia="仿宋" w:cs="仿宋"/>
                <w:color w:val="auto"/>
                <w:kern w:val="0"/>
                <w:sz w:val="24"/>
                <w:szCs w:val="24"/>
                <w:highlight w:val="none"/>
                <w:lang w:bidi="ar"/>
              </w:rPr>
              <w:t>申请和审批功能</w:t>
            </w:r>
            <w:r>
              <w:rPr>
                <w:rFonts w:hint="eastAsia" w:ascii="仿宋" w:hAnsi="仿宋" w:eastAsia="仿宋" w:cs="仿宋"/>
                <w:color w:val="auto"/>
                <w:kern w:val="0"/>
                <w:sz w:val="24"/>
                <w:szCs w:val="24"/>
                <w:highlight w:val="none"/>
                <w:lang w:eastAsia="zh-Hans" w:bidi="ar"/>
              </w:rPr>
              <w:t>功能</w:t>
            </w:r>
            <w:r>
              <w:rPr>
                <w:rFonts w:hint="eastAsia" w:ascii="仿宋" w:hAnsi="仿宋" w:eastAsia="仿宋" w:cs="仿宋"/>
                <w:color w:val="auto"/>
                <w:kern w:val="0"/>
                <w:sz w:val="24"/>
                <w:szCs w:val="24"/>
                <w:highlight w:val="none"/>
                <w:lang w:eastAsia="zh-CN" w:bidi="ar"/>
              </w:rPr>
              <w:t>。每项</w:t>
            </w:r>
            <w:r>
              <w:rPr>
                <w:rFonts w:hint="eastAsia" w:ascii="仿宋" w:hAnsi="仿宋" w:eastAsia="仿宋" w:cs="仿宋"/>
                <w:color w:val="auto"/>
                <w:kern w:val="0"/>
                <w:sz w:val="24"/>
                <w:szCs w:val="24"/>
                <w:highlight w:val="none"/>
                <w:lang w:bidi="ar"/>
              </w:rPr>
              <w:t>满足得1分，</w:t>
            </w:r>
            <w:r>
              <w:rPr>
                <w:rFonts w:hint="eastAsia" w:ascii="仿宋" w:hAnsi="仿宋" w:eastAsia="仿宋" w:cs="仿宋"/>
                <w:color w:val="auto"/>
                <w:kern w:val="0"/>
                <w:sz w:val="24"/>
                <w:szCs w:val="24"/>
                <w:highlight w:val="none"/>
                <w:lang w:eastAsia="zh-CN" w:bidi="ar"/>
              </w:rPr>
              <w:t>否则不</w:t>
            </w:r>
            <w:r>
              <w:rPr>
                <w:rFonts w:hint="eastAsia" w:ascii="仿宋" w:hAnsi="仿宋" w:eastAsia="仿宋" w:cs="仿宋"/>
                <w:color w:val="auto"/>
                <w:kern w:val="0"/>
                <w:sz w:val="24"/>
                <w:szCs w:val="24"/>
                <w:highlight w:val="none"/>
                <w:lang w:val="en-US" w:eastAsia="zh-CN" w:bidi="ar"/>
              </w:rPr>
              <w:t>得分。共2分。</w:t>
            </w:r>
          </w:p>
          <w:p>
            <w:pPr>
              <w:spacing w:line="360" w:lineRule="auto"/>
              <w:outlineLvl w:val="0"/>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lang w:val="en-US" w:eastAsia="zh-CN" w:bidi="ar"/>
              </w:rPr>
              <w:t>4.演示模块：智慧电子政务云管理平台具备统一</w:t>
            </w:r>
            <w:r>
              <w:rPr>
                <w:rFonts w:hint="eastAsia" w:ascii="仿宋" w:hAnsi="仿宋" w:eastAsia="仿宋" w:cs="仿宋"/>
                <w:color w:val="auto"/>
                <w:kern w:val="0"/>
                <w:sz w:val="24"/>
                <w:szCs w:val="24"/>
                <w:highlight w:val="none"/>
                <w:lang w:val="en-US" w:eastAsia="zh-Hans" w:bidi="ar"/>
              </w:rPr>
              <w:t>的</w:t>
            </w:r>
            <w:r>
              <w:rPr>
                <w:rFonts w:hint="eastAsia" w:ascii="仿宋" w:hAnsi="仿宋" w:eastAsia="仿宋" w:cs="仿宋"/>
                <w:color w:val="auto"/>
                <w:kern w:val="0"/>
                <w:sz w:val="24"/>
                <w:szCs w:val="24"/>
                <w:highlight w:val="none"/>
                <w:lang w:val="en-US" w:eastAsia="zh-CN" w:bidi="ar"/>
              </w:rPr>
              <w:t>用户体系，并支持浙政钉扫码登录功能。演示成功得1分，否则不得分。共1分。</w:t>
            </w:r>
          </w:p>
        </w:tc>
        <w:tc>
          <w:tcPr>
            <w:tcW w:w="795" w:type="dxa"/>
            <w:vAlign w:val="center"/>
          </w:tcPr>
          <w:p>
            <w:pPr>
              <w:jc w:val="center"/>
              <w:rPr>
                <w:rFonts w:hint="eastAsia" w:ascii="仿宋" w:hAnsi="仿宋" w:eastAsia="仿宋" w:cs="仿宋"/>
                <w:sz w:val="24"/>
                <w:szCs w:val="24"/>
                <w:highlight w:val="none"/>
              </w:rPr>
            </w:pPr>
          </w:p>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2137"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913" w:type="dxa"/>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lang w:val="en-US" w:eastAsia="zh-CN"/>
              </w:rPr>
              <w:t>22</w:t>
            </w:r>
            <w:r>
              <w:rPr>
                <w:rFonts w:hint="eastAsia" w:ascii="仿宋" w:hAnsi="仿宋" w:eastAsia="仿宋" w:cs="仿宋_GB2312"/>
                <w:sz w:val="24"/>
                <w:highlight w:val="none"/>
              </w:rPr>
              <w:t xml:space="preserve"> </w:t>
            </w:r>
          </w:p>
        </w:tc>
        <w:tc>
          <w:tcPr>
            <w:tcW w:w="5903" w:type="dxa"/>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w:t>
            </w:r>
            <w:r>
              <w:rPr>
                <w:rFonts w:hint="eastAsia" w:ascii="仿宋" w:hAnsi="仿宋" w:eastAsia="仿宋" w:cs="仿宋_GB2312"/>
                <w:sz w:val="24"/>
                <w:highlight w:val="none"/>
                <w:lang w:val="en-US" w:eastAsia="zh-CN"/>
              </w:rPr>
              <w:t>1</w:t>
            </w:r>
            <w:r>
              <w:rPr>
                <w:rFonts w:ascii="仿宋" w:hAnsi="仿宋" w:eastAsia="仿宋" w:cs="仿宋_GB2312"/>
                <w:sz w:val="24"/>
                <w:highlight w:val="none"/>
              </w:rPr>
              <w:t>0］的计算公式计算。</w:t>
            </w:r>
          </w:p>
          <w:p>
            <w:pPr>
              <w:widowControl/>
              <w:shd w:val="clear" w:color="auto" w:fill="FFFFFF"/>
              <w:adjustRightInd/>
              <w:spacing w:after="225" w:line="315" w:lineRule="atLeast"/>
              <w:ind w:firstLine="420"/>
              <w:jc w:val="left"/>
              <w:rPr>
                <w:rFonts w:ascii="仿宋" w:hAnsi="仿宋" w:eastAsia="仿宋" w:cs="仿宋_GB2312"/>
                <w:sz w:val="24"/>
                <w:highlight w:val="none"/>
              </w:rPr>
            </w:pPr>
            <w:r>
              <w:rPr>
                <w:rFonts w:ascii="仿宋" w:hAnsi="仿宋" w:eastAsia="仿宋" w:cs="仿宋_GB2312"/>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highlight w:val="none"/>
              </w:rPr>
            </w:pPr>
            <w:r>
              <w:rPr>
                <w:rFonts w:ascii="仿宋" w:hAnsi="仿宋" w:eastAsia="仿宋" w:cs="仿宋_GB2312"/>
                <w:sz w:val="24"/>
                <w:highlight w:val="none"/>
              </w:rPr>
              <w:t>因落实政府采购政策</w:t>
            </w:r>
            <w:r>
              <w:rPr>
                <w:rFonts w:hint="eastAsia" w:ascii="仿宋" w:hAnsi="仿宋" w:eastAsia="仿宋" w:cs="仿宋_GB2312"/>
                <w:sz w:val="24"/>
                <w:highlight w:val="none"/>
              </w:rPr>
              <w:t>需要</w:t>
            </w:r>
            <w:r>
              <w:rPr>
                <w:rFonts w:ascii="仿宋" w:hAnsi="仿宋" w:eastAsia="仿宋" w:cs="仿宋_GB2312"/>
                <w:sz w:val="24"/>
                <w:highlight w:val="none"/>
              </w:rPr>
              <w:t>进行价格调整的，以调整后的价格计算评标基准价和投标报价。</w:t>
            </w:r>
          </w:p>
        </w:tc>
        <w:tc>
          <w:tcPr>
            <w:tcW w:w="795" w:type="dxa"/>
            <w:vAlign w:val="center"/>
          </w:tcPr>
          <w:p>
            <w:pPr>
              <w:spacing w:line="360" w:lineRule="auto"/>
              <w:ind w:firstLine="120" w:firstLineChars="50"/>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w:t>
            </w:r>
          </w:p>
        </w:tc>
        <w:tc>
          <w:tcPr>
            <w:tcW w:w="2137" w:type="dxa"/>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pPr>
        <w:snapToGrid w:val="0"/>
        <w:spacing w:line="360" w:lineRule="auto"/>
        <w:rPr>
          <w:highlight w:val="none"/>
        </w:rPr>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adjustRightInd w:val="0"/>
        <w:snapToGrid w:val="0"/>
        <w:spacing w:line="360" w:lineRule="auto"/>
        <w:jc w:val="both"/>
        <w:rPr>
          <w:rFonts w:ascii="仿宋_GB2312" w:hAnsi="仿宋" w:eastAsia="仿宋_GB2312" w:cs="Times New Roman"/>
          <w:b/>
          <w:sz w:val="28"/>
          <w:szCs w:val="28"/>
          <w:highlight w:val="none"/>
        </w:rPr>
      </w:pPr>
      <w:r>
        <w:rPr>
          <w:rFonts w:hint="eastAsia" w:ascii="仿宋_GB2312" w:hAnsi="仿宋" w:eastAsia="仿宋_GB2312" w:cs="仿宋_GB2312"/>
          <w:b/>
          <w:sz w:val="32"/>
          <w:szCs w:val="24"/>
          <w:highlight w:val="none"/>
        </w:rPr>
        <w:t>一、评标方法</w:t>
      </w:r>
    </w:p>
    <w:p>
      <w:pPr>
        <w:adjustRightInd/>
        <w:spacing w:line="360" w:lineRule="auto"/>
        <w:ind w:firstLine="472" w:firstLineChars="196"/>
        <w:rPr>
          <w:rFonts w:ascii="仿宋_GB2312" w:hAnsi="仿宋" w:eastAsia="仿宋_GB2312" w:cs="Arial"/>
          <w:kern w:val="0"/>
          <w:sz w:val="24"/>
          <w:szCs w:val="24"/>
          <w:highlight w:val="none"/>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val="0"/>
        <w:snapToGrid w:val="0"/>
        <w:spacing w:line="360" w:lineRule="auto"/>
        <w:jc w:val="both"/>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sz w:val="32"/>
          <w:szCs w:val="24"/>
          <w:highlight w:val="none"/>
        </w:rPr>
        <w:t>二、</w:t>
      </w:r>
      <w:r>
        <w:rPr>
          <w:rFonts w:hint="eastAsia" w:ascii="仿宋_GB2312" w:hAnsi="仿宋" w:eastAsia="仿宋_GB2312" w:cs="仿宋_GB2312"/>
          <w:b/>
          <w:color w:val="000000" w:themeColor="text1"/>
          <w:sz w:val="32"/>
          <w:highlight w:val="none"/>
          <w14:textFill>
            <w14:solidFill>
              <w14:schemeClr w14:val="tx1"/>
            </w14:solidFill>
          </w14:textFill>
        </w:rPr>
        <w:t>评标标准</w:t>
      </w:r>
    </w:p>
    <w:p>
      <w:pPr>
        <w:spacing w:line="360" w:lineRule="auto"/>
        <w:ind w:firstLine="472"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232"/>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pPr>
        <w:spacing w:line="360" w:lineRule="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232"/>
        <w:pageBreakBefore w:val="0"/>
        <w:widowControl w:val="0"/>
        <w:kinsoku/>
        <w:wordWrap/>
        <w:overflowPunct/>
        <w:topLinePunct w:val="0"/>
        <w:autoSpaceDE/>
        <w:autoSpaceDN/>
        <w:bidi w:val="0"/>
        <w:spacing w:before="0" w:line="360" w:lineRule="auto"/>
        <w:ind w:firstLine="472" w:firstLineChars="196"/>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4.1</w:t>
      </w:r>
      <w:r>
        <w:rPr>
          <w:rFonts w:hint="eastAsia" w:ascii="仿宋_GB2312" w:hAnsi="仿宋" w:eastAsia="仿宋_GB2312" w:cs="Arial"/>
          <w:b/>
          <w:color w:val="000000" w:themeColor="text1"/>
          <w:kern w:val="0"/>
          <w:sz w:val="24"/>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pageBreakBefore w:val="0"/>
        <w:widowControl w:val="0"/>
        <w:kinsoku/>
        <w:wordWrap/>
        <w:overflowPunct/>
        <w:topLinePunct w:val="0"/>
        <w:autoSpaceDE/>
        <w:autoSpaceDN/>
        <w:bidi w:val="0"/>
        <w:spacing w:line="360" w:lineRule="auto"/>
        <w:ind w:left="954" w:leftChars="226" w:hanging="479" w:firstLineChars="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4.2投标无效。</w:t>
      </w:r>
      <w:r>
        <w:rPr>
          <w:rFonts w:hint="eastAsia" w:ascii="仿宋_GB2312" w:hAnsi="仿宋" w:eastAsia="仿宋_GB2312" w:cs="仿宋_GB2312"/>
          <w:color w:val="000000" w:themeColor="text1"/>
          <w:sz w:val="24"/>
          <w:szCs w:val="24"/>
          <w:highlight w:val="none"/>
          <w14:textFill>
            <w14:solidFill>
              <w14:schemeClr w14:val="tx1"/>
            </w14:solidFill>
          </w14:textFill>
        </w:rPr>
        <w:t>有下列情况之一的，投标无效：</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4.2.2投标文件未按照招标文件要求签署、盖章的；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szCs w:val="24"/>
          <w:highlight w:val="none"/>
          <w14:textFill>
            <w14:solidFill>
              <w14:schemeClr w14:val="tx1"/>
            </w14:solidFill>
          </w14:textFill>
        </w:rPr>
        <w:t>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4.2.4投标文件含有采购人不能接受的附加条件的；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60" w:lineRule="auto"/>
        <w:ind w:firstLine="120" w:firstLineChars="50"/>
        <w:jc w:val="left"/>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szCs w:val="24"/>
          <w:highlight w:val="none"/>
          <w14:textFill>
            <w14:solidFill>
              <w14:schemeClr w14:val="tx1"/>
            </w14:solidFill>
          </w14:textFill>
        </w:rPr>
        <w:t xml:space="preserve"> </w:t>
      </w:r>
      <w:r>
        <w:rPr>
          <w:rFonts w:ascii="仿宋_GB2312" w:hAnsi="仿宋" w:eastAsia="仿宋_GB2312" w:cs="Arial"/>
          <w:color w:val="000000" w:themeColor="text1"/>
          <w:kern w:val="0"/>
          <w:sz w:val="24"/>
          <w:szCs w:val="24"/>
          <w:highlight w:val="none"/>
          <w14:textFill>
            <w14:solidFill>
              <w14:schemeClr w14:val="tx1"/>
            </w14:solidFill>
          </w14:textFill>
        </w:rPr>
        <w:t>4.2.6投标文件出现不是唯一的、有选择性投标报价的;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4.2.9投标人对根据修正原则修正后的报价不确认的；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4.2.10投标人提供虚假材料投标的；</w:t>
      </w:r>
    </w:p>
    <w:p>
      <w:pPr>
        <w:pageBreakBefore w:val="0"/>
        <w:widowControl w:val="0"/>
        <w:kinsoku/>
        <w:wordWrap/>
        <w:overflowPunct/>
        <w:topLinePunct w:val="0"/>
        <w:autoSpaceDE/>
        <w:autoSpaceDN/>
        <w:bidi w:val="0"/>
        <w:spacing w:line="360" w:lineRule="auto"/>
        <w:ind w:firstLine="240" w:firstLineChars="1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Style w:val="5"/>
        <w:pageBreakBefore w:val="0"/>
        <w:widowControl w:val="0"/>
        <w:numPr>
          <w:ilvl w:val="0"/>
          <w:numId w:val="0"/>
        </w:numPr>
        <w:kinsoku/>
        <w:wordWrap/>
        <w:overflowPunct/>
        <w:topLinePunct w:val="0"/>
        <w:autoSpaceDE/>
        <w:autoSpaceDN/>
        <w:bidi w:val="0"/>
        <w:spacing w:line="360" w:lineRule="auto"/>
        <w:ind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Style w:val="3"/>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Style w:val="3"/>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Style w:val="3"/>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Style w:val="3"/>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Style w:val="3"/>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Style w:val="3"/>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Style w:val="3"/>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Style w:val="3"/>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Style w:val="3"/>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3"/>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Style w:val="3"/>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仿宋_GB2312" w:hAnsi="仿宋" w:eastAsia="仿宋_GB2312" w:cs="仿宋_GB2312"/>
          <w:b/>
          <w:color w:val="000000" w:themeColor="text1"/>
          <w:sz w:val="36"/>
          <w:szCs w:val="36"/>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bookmarkEnd w:id="24"/>
      <w:bookmarkStart w:id="391" w:name="_Toc86217003"/>
      <w:bookmarkStart w:id="392" w:name="第五部分"/>
    </w:p>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第五部分</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拟签订的合同文本</w:t>
      </w:r>
    </w:p>
    <w:p>
      <w:pPr>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合同编号：</w:t>
      </w:r>
      <w:r>
        <w:rPr>
          <w:rFonts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highlight w:val="none"/>
          <w14:textFill>
            <w14:solidFill>
              <w14:schemeClr w14:val="tx1"/>
            </w14:solidFill>
          </w14:textFill>
        </w:rPr>
      </w:pPr>
    </w:p>
    <w:p>
      <w:pPr>
        <w:spacing w:line="480" w:lineRule="auto"/>
        <w:jc w:val="center"/>
        <w:rPr>
          <w:rFonts w:ascii="楷体" w:hAnsi="楷体" w:eastAsia="楷体"/>
          <w:b/>
          <w:color w:val="000000" w:themeColor="text1"/>
          <w:sz w:val="28"/>
          <w:szCs w:val="28"/>
          <w:highlight w:val="none"/>
          <w14:textFill>
            <w14:solidFill>
              <w14:schemeClr w14:val="tx1"/>
            </w14:solidFill>
          </w14:textFill>
        </w:rPr>
      </w:pPr>
    </w:p>
    <w:p>
      <w:pPr>
        <w:spacing w:line="480" w:lineRule="auto"/>
        <w:jc w:val="center"/>
        <w:rPr>
          <w:rFonts w:ascii="楷体" w:hAnsi="楷体" w:eastAsia="楷体"/>
          <w:b/>
          <w:color w:val="000000" w:themeColor="text1"/>
          <w:sz w:val="28"/>
          <w:szCs w:val="28"/>
          <w:highlight w:val="none"/>
          <w14:textFill>
            <w14:solidFill>
              <w14:schemeClr w14:val="tx1"/>
            </w14:solidFill>
          </w14:textFill>
        </w:rPr>
      </w:pPr>
    </w:p>
    <w:p>
      <w:pPr>
        <w:spacing w:line="480" w:lineRule="auto"/>
        <w:jc w:val="center"/>
        <w:rPr>
          <w:rFonts w:ascii="仿宋" w:hAnsi="仿宋" w:eastAsia="仿宋"/>
          <w:b/>
          <w:color w:val="000000" w:themeColor="text1"/>
          <w:sz w:val="44"/>
          <w:szCs w:val="44"/>
          <w:highlight w:val="none"/>
          <w14:textFill>
            <w14:solidFill>
              <w14:schemeClr w14:val="tx1"/>
            </w14:solidFill>
          </w14:textFill>
        </w:rPr>
      </w:pPr>
      <w:r>
        <w:rPr>
          <w:rFonts w:ascii="仿宋" w:hAnsi="仿宋" w:eastAsia="仿宋"/>
          <w:b/>
          <w:color w:val="000000" w:themeColor="text1"/>
          <w:sz w:val="44"/>
          <w:szCs w:val="44"/>
          <w:highlight w:val="none"/>
          <w14:textFill>
            <w14:solidFill>
              <w14:schemeClr w14:val="tx1"/>
            </w14:solidFill>
          </w14:textFill>
        </w:rPr>
        <w:t>政府采购合同</w:t>
      </w:r>
      <w:r>
        <w:rPr>
          <w:rFonts w:hint="eastAsia" w:ascii="仿宋" w:hAnsi="仿宋" w:eastAsia="仿宋"/>
          <w:b/>
          <w:color w:val="000000" w:themeColor="text1"/>
          <w:sz w:val="44"/>
          <w:szCs w:val="44"/>
          <w:highlight w:val="none"/>
          <w14:textFill>
            <w14:solidFill>
              <w14:schemeClr w14:val="tx1"/>
            </w14:solidFill>
          </w14:textFill>
        </w:rPr>
        <w:t>参考范本</w:t>
      </w:r>
    </w:p>
    <w:p>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（服务类）</w:t>
      </w:r>
    </w:p>
    <w:p>
      <w:pPr>
        <w:pStyle w:val="330"/>
        <w:rPr>
          <w:rFonts w:ascii="仿宋" w:hAnsi="仿宋" w:eastAsia="仿宋"/>
          <w:color w:val="000000" w:themeColor="text1"/>
          <w:szCs w:val="24"/>
          <w:highlight w:val="none"/>
          <w14:textFill>
            <w14:solidFill>
              <w14:schemeClr w14:val="tx1"/>
            </w14:solidFill>
          </w14:textFill>
        </w:rPr>
      </w:pPr>
    </w:p>
    <w:p>
      <w:pPr>
        <w:pStyle w:val="330"/>
        <w:rPr>
          <w:rFonts w:ascii="仿宋" w:hAnsi="仿宋" w:eastAsia="仿宋"/>
          <w:color w:val="000000" w:themeColor="text1"/>
          <w:szCs w:val="24"/>
          <w:highlight w:val="none"/>
          <w14:textFill>
            <w14:solidFill>
              <w14:schemeClr w14:val="tx1"/>
            </w14:solidFill>
          </w14:textFill>
        </w:rPr>
      </w:pPr>
    </w:p>
    <w:p>
      <w:pPr>
        <w:pStyle w:val="330"/>
        <w:rPr>
          <w:rFonts w:ascii="仿宋" w:hAnsi="仿宋" w:eastAsia="仿宋"/>
          <w:color w:val="000000" w:themeColor="text1"/>
          <w:szCs w:val="24"/>
          <w:highlight w:val="none"/>
          <w14:textFill>
            <w14:solidFill>
              <w14:schemeClr w14:val="tx1"/>
            </w14:solidFill>
          </w14:textFill>
        </w:rPr>
      </w:pPr>
    </w:p>
    <w:p>
      <w:pPr>
        <w:pStyle w:val="330"/>
        <w:ind w:firstLine="482"/>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第一部分 合同书</w:t>
      </w:r>
    </w:p>
    <w:p>
      <w:pPr>
        <w:pStyle w:val="330"/>
        <w:rPr>
          <w:rFonts w:ascii="仿宋" w:hAnsi="仿宋" w:eastAsia="仿宋"/>
          <w:color w:val="000000" w:themeColor="text1"/>
          <w:szCs w:val="24"/>
          <w:highlight w:val="none"/>
          <w14:textFill>
            <w14:solidFill>
              <w14:schemeClr w14:val="tx1"/>
            </w14:solidFill>
          </w14:textFill>
        </w:rPr>
      </w:pPr>
    </w:p>
    <w:p>
      <w:pPr>
        <w:pStyle w:val="330"/>
        <w:rPr>
          <w:rFonts w:ascii="仿宋" w:hAnsi="仿宋" w:eastAsia="仿宋"/>
          <w:color w:val="000000" w:themeColor="text1"/>
          <w:szCs w:val="24"/>
          <w:highlight w:val="none"/>
          <w14:textFill>
            <w14:solidFill>
              <w14:schemeClr w14:val="tx1"/>
            </w14:solidFill>
          </w14:textFill>
        </w:rPr>
      </w:pP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w:t>
      </w:r>
      <w:r>
        <w:rPr>
          <w:rFonts w:hint="eastAsia" w:ascii="仿宋" w:hAnsi="仿宋" w:eastAsia="仿宋"/>
          <w:color w:val="000000" w:themeColor="text1"/>
          <w:sz w:val="24"/>
          <w:highlight w:val="none"/>
          <w:u w:val="single"/>
          <w14:textFill>
            <w14:solidFill>
              <w14:schemeClr w14:val="tx1"/>
            </w14:solidFill>
          </w14:textFill>
        </w:rPr>
        <w:t xml:space="preserve">                                   </w:t>
      </w:r>
    </w:p>
    <w:p>
      <w:pPr>
        <w:pStyle w:val="648"/>
        <w:spacing w:before="120" w:line="22" w:lineRule="atLeast"/>
        <w:rPr>
          <w:rFonts w:ascii="仿宋" w:hAnsi="仿宋" w:eastAsia="仿宋"/>
          <w:color w:val="000000" w:themeColor="text1"/>
          <w:szCs w:val="24"/>
          <w:highlight w:val="none"/>
          <w14:textFill>
            <w14:solidFill>
              <w14:schemeClr w14:val="tx1"/>
            </w14:solidFill>
          </w14:textFill>
        </w:rPr>
      </w:pPr>
    </w:p>
    <w:p>
      <w:pPr>
        <w:pStyle w:val="648"/>
        <w:spacing w:before="120" w:line="22" w:lineRule="atLeast"/>
        <w:rPr>
          <w:rFonts w:ascii="仿宋" w:hAnsi="仿宋" w:eastAsia="仿宋"/>
          <w:color w:val="000000" w:themeColor="text1"/>
          <w:szCs w:val="24"/>
          <w:highlight w:val="none"/>
          <w14:textFill>
            <w14:solidFill>
              <w14:schemeClr w14:val="tx1"/>
            </w14:solidFill>
          </w14:textFill>
        </w:rPr>
      </w:pPr>
    </w:p>
    <w:p>
      <w:pPr>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甲方：</w:t>
      </w:r>
      <w:r>
        <w:rPr>
          <w:rFonts w:hint="eastAsia"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签订地：</w:t>
      </w:r>
      <w:r>
        <w:rPr>
          <w:rFonts w:hint="eastAsia"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签订日期：</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年</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月</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日</w:t>
      </w:r>
    </w:p>
    <w:p>
      <w:pPr>
        <w:autoSpaceDE w:val="0"/>
        <w:autoSpaceDN w:val="0"/>
        <w:spacing w:line="600" w:lineRule="exact"/>
        <w:ind w:firstLine="640"/>
        <w:jc w:val="center"/>
        <w:rPr>
          <w:rFonts w:ascii="仿宋" w:hAnsi="仿宋" w:eastAsia="仿宋"/>
          <w:color w:val="000000" w:themeColor="text1"/>
          <w:sz w:val="24"/>
          <w:highlight w:val="none"/>
          <w14:textFill>
            <w14:solidFill>
              <w14:schemeClr w14:val="tx1"/>
            </w14:solidFill>
          </w14:textFill>
        </w:rPr>
        <w:sectPr>
          <w:headerReference r:id="rId8" w:type="default"/>
          <w:footerReference r:id="rId9" w:type="default"/>
          <w:pgSz w:w="11907" w:h="16840"/>
          <w:pgMar w:top="680" w:right="1417" w:bottom="471" w:left="1417" w:header="851" w:footer="851" w:gutter="0"/>
          <w:pgNumType w:fmt="decimal"/>
          <w:cols w:space="720" w:num="1"/>
          <w:docGrid w:linePitch="462" w:charSpace="0"/>
        </w:sectPr>
      </w:pP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年</w:t>
      </w:r>
      <w:r>
        <w:rPr>
          <w:rFonts w:hint="eastAsia"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月</w:t>
      </w:r>
      <w:r>
        <w:rPr>
          <w:rFonts w:hint="eastAsia"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日</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u w:val="single"/>
          <w14:textFill>
            <w14:solidFill>
              <w14:schemeClr w14:val="tx1"/>
            </w14:solidFill>
          </w14:textFill>
        </w:rPr>
        <w:t xml:space="preserve">   （采购人名称）   </w:t>
      </w:r>
      <w:r>
        <w:rPr>
          <w:rFonts w:hint="eastAsia" w:ascii="仿宋" w:hAnsi="仿宋" w:eastAsia="仿宋"/>
          <w:color w:val="000000" w:themeColor="text1"/>
          <w:sz w:val="24"/>
          <w:highlight w:val="none"/>
          <w14:textFill>
            <w14:solidFill>
              <w14:schemeClr w14:val="tx1"/>
            </w14:solidFill>
          </w14:textFill>
        </w:rPr>
        <w:t>以</w:t>
      </w:r>
      <w:r>
        <w:rPr>
          <w:rFonts w:hint="eastAsia"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hint="eastAsia" w:ascii="仿宋" w:hAnsi="仿宋" w:eastAsia="仿宋"/>
          <w:color w:val="000000" w:themeColor="text1"/>
          <w:sz w:val="24"/>
          <w:highlight w:val="none"/>
          <w:u w:val="single"/>
          <w14:textFill>
            <w14:solidFill>
              <w14:schemeClr w14:val="tx1"/>
            </w14:solidFill>
          </w14:textFill>
        </w:rPr>
        <w:t xml:space="preserve">   （同前页项目名称）   </w:t>
      </w:r>
      <w:r>
        <w:rPr>
          <w:rFonts w:hint="eastAsia" w:ascii="仿宋" w:hAnsi="仿宋" w:eastAsia="仿宋"/>
          <w:color w:val="000000" w:themeColor="text1"/>
          <w:sz w:val="24"/>
          <w:highlight w:val="none"/>
          <w14:textFill>
            <w14:solidFill>
              <w14:schemeClr w14:val="tx1"/>
            </w14:solidFill>
          </w14:textFill>
        </w:rPr>
        <w:t>项目进行了采购。经</w:t>
      </w:r>
      <w:r>
        <w:rPr>
          <w:rFonts w:hint="eastAsia"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hint="eastAsia" w:ascii="仿宋" w:hAnsi="仿宋" w:eastAsia="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olor w:val="000000" w:themeColor="text1"/>
          <w:sz w:val="24"/>
          <w:highlight w:val="none"/>
          <w:u w:val="single"/>
          <w14:textFill>
            <w14:solidFill>
              <w14:schemeClr w14:val="tx1"/>
            </w14:solidFill>
          </w14:textFill>
        </w:rPr>
        <w:t xml:space="preserve">   （采购人名称）   </w:t>
      </w:r>
      <w:r>
        <w:rPr>
          <w:rFonts w:hint="eastAsia" w:ascii="仿宋" w:hAnsi="仿宋" w:eastAsia="仿宋"/>
          <w:color w:val="000000" w:themeColor="text1"/>
          <w:sz w:val="24"/>
          <w:highlight w:val="none"/>
          <w:lang w:val="zh-CN"/>
          <w14:textFill>
            <w14:solidFill>
              <w14:schemeClr w14:val="tx1"/>
            </w14:solidFill>
          </w14:textFill>
        </w:rPr>
        <w:t>(以下简称：甲方)和</w:t>
      </w:r>
      <w:r>
        <w:rPr>
          <w:rFonts w:hint="eastAsia" w:ascii="仿宋" w:hAnsi="仿宋" w:eastAsia="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highlight w:val="none"/>
          <w14:textFill>
            <w14:solidFill>
              <w14:schemeClr w14:val="tx1"/>
            </w14:solidFill>
          </w14:textFill>
        </w:rPr>
      </w:pPr>
      <w:bookmarkStart w:id="393" w:name="_Toc22967"/>
      <w:bookmarkStart w:id="394" w:name="_Toc15367"/>
      <w:bookmarkStart w:id="395" w:name="_Toc19273"/>
      <w:bookmarkStart w:id="396" w:name="_Toc20421"/>
      <w:bookmarkStart w:id="397" w:name="_Toc28855"/>
      <w:r>
        <w:rPr>
          <w:rFonts w:hint="eastAsia" w:ascii="仿宋" w:hAnsi="仿宋" w:eastAsia="仿宋"/>
          <w:b/>
          <w:color w:val="000000" w:themeColor="text1"/>
          <w:sz w:val="24"/>
          <w:highlight w:val="none"/>
          <w14:textFill>
            <w14:solidFill>
              <w14:schemeClr w14:val="tx1"/>
            </w14:solidFill>
          </w14:textFill>
        </w:rPr>
        <w:t>1.1 合同组成部分</w:t>
      </w:r>
      <w:bookmarkEnd w:id="393"/>
      <w:bookmarkEnd w:id="394"/>
      <w:bookmarkEnd w:id="395"/>
      <w:bookmarkEnd w:id="396"/>
      <w:bookmarkEnd w:id="397"/>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8" w:name="_Toc18585"/>
      <w:bookmarkStart w:id="399" w:name="_Toc6773"/>
      <w:bookmarkStart w:id="400" w:name="_Toc2918"/>
      <w:bookmarkStart w:id="401" w:name="_Toc22185"/>
      <w:bookmarkStart w:id="402" w:name="_Toc6311"/>
      <w:r>
        <w:rPr>
          <w:rFonts w:hint="eastAsia" w:ascii="仿宋" w:hAnsi="仿宋" w:eastAsia="仿宋"/>
          <w:b/>
          <w:color w:val="000000" w:themeColor="text1"/>
          <w:sz w:val="24"/>
          <w:highlight w:val="none"/>
          <w14:textFill>
            <w14:solidFill>
              <w14:schemeClr w14:val="tx1"/>
            </w14:solidFill>
          </w14:textFill>
        </w:rPr>
        <w:t>1.2 标的</w:t>
      </w:r>
      <w:bookmarkEnd w:id="398"/>
      <w:bookmarkEnd w:id="399"/>
      <w:bookmarkEnd w:id="400"/>
      <w:bookmarkEnd w:id="401"/>
      <w:bookmarkEnd w:id="402"/>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1.2.1 标的</w:t>
      </w:r>
      <w:r>
        <w:rPr>
          <w:rFonts w:ascii="仿宋" w:hAnsi="仿宋" w:eastAsia="仿宋"/>
          <w:color w:val="000000" w:themeColor="text1"/>
          <w:sz w:val="24"/>
          <w:highlight w:val="none"/>
          <w14:textFill>
            <w14:solidFill>
              <w14:schemeClr w14:val="tx1"/>
            </w14:solidFill>
          </w14:textFill>
        </w:rPr>
        <w:t>名称：</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1.2.2 标的</w:t>
      </w:r>
      <w:r>
        <w:rPr>
          <w:rFonts w:ascii="仿宋" w:hAnsi="仿宋" w:eastAsia="仿宋"/>
          <w:color w:val="000000" w:themeColor="text1"/>
          <w:sz w:val="24"/>
          <w:highlight w:val="none"/>
          <w14:textFill>
            <w14:solidFill>
              <w14:schemeClr w14:val="tx1"/>
            </w14:solidFill>
          </w14:textFill>
        </w:rPr>
        <w:t>数量：</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1.2.3 标的质量：</w:t>
      </w:r>
      <w:r>
        <w:rPr>
          <w:rFonts w:ascii="仿宋" w:hAnsi="仿宋" w:eastAsia="仿宋"/>
          <w:color w:val="000000" w:themeColor="text1"/>
          <w:sz w:val="24"/>
          <w:highlight w:val="none"/>
          <w:u w:val="single"/>
          <w14:textFill>
            <w14:solidFill>
              <w14:schemeClr w14:val="tx1"/>
            </w14:solidFill>
          </w14:textFill>
        </w:rPr>
        <w:t>　　　　　　　　　</w:t>
      </w:r>
      <w:r>
        <w:rPr>
          <w:rFonts w:hint="eastAsia"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3" w:name="_Toc4929"/>
      <w:bookmarkStart w:id="404" w:name="_Toc21124"/>
      <w:bookmarkStart w:id="405" w:name="_Toc1386"/>
      <w:bookmarkStart w:id="406" w:name="_Toc13918"/>
      <w:bookmarkStart w:id="407" w:name="_Toc5635"/>
      <w:r>
        <w:rPr>
          <w:rFonts w:hint="eastAsia" w:ascii="仿宋" w:hAnsi="仿宋" w:eastAsia="仿宋"/>
          <w:b/>
          <w:color w:val="000000" w:themeColor="text1"/>
          <w:sz w:val="24"/>
          <w:highlight w:val="none"/>
          <w14:textFill>
            <w14:solidFill>
              <w14:schemeClr w14:val="tx1"/>
            </w14:solidFill>
          </w14:textFill>
        </w:rPr>
        <w:t>1.</w:t>
      </w:r>
      <w:r>
        <w:rPr>
          <w:rFonts w:ascii="仿宋" w:hAnsi="仿宋" w:eastAsia="仿宋"/>
          <w:b/>
          <w:color w:val="000000" w:themeColor="text1"/>
          <w:sz w:val="24"/>
          <w:highlight w:val="none"/>
          <w14:textFill>
            <w14:solidFill>
              <w14:schemeClr w14:val="tx1"/>
            </w14:solidFill>
          </w14:textFill>
        </w:rPr>
        <w:t>3</w:t>
      </w:r>
      <w:r>
        <w:rPr>
          <w:rFonts w:hint="eastAsia" w:ascii="仿宋" w:hAnsi="仿宋" w:eastAsia="仿宋"/>
          <w:b/>
          <w:color w:val="000000" w:themeColor="text1"/>
          <w:sz w:val="24"/>
          <w:highlight w:val="none"/>
          <w14:textFill>
            <w14:solidFill>
              <w14:schemeClr w14:val="tx1"/>
            </w14:solidFill>
          </w14:textFill>
        </w:rPr>
        <w:t xml:space="preserve"> 价款</w:t>
      </w:r>
      <w:bookmarkEnd w:id="403"/>
      <w:bookmarkEnd w:id="404"/>
      <w:bookmarkEnd w:id="405"/>
      <w:bookmarkEnd w:id="406"/>
      <w:bookmarkEnd w:id="407"/>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本合同总价为</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元</w:t>
      </w:r>
      <w:r>
        <w:rPr>
          <w:rFonts w:hint="eastAsia" w:ascii="仿宋" w:hAnsi="仿宋" w:eastAsia="仿宋"/>
          <w:color w:val="000000" w:themeColor="text1"/>
          <w:sz w:val="24"/>
          <w:highlight w:val="none"/>
          <w14:textFill>
            <w14:solidFill>
              <w14:schemeClr w14:val="tx1"/>
            </w14:solidFill>
          </w14:textFill>
        </w:rPr>
        <w:t>（大写：</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元人民币）</w:t>
      </w:r>
      <w:r>
        <w:rPr>
          <w:rFonts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序号</w:t>
            </w:r>
          </w:p>
        </w:tc>
        <w:tc>
          <w:tcPr>
            <w:tcW w:w="3402"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分项名称</w:t>
            </w:r>
          </w:p>
        </w:tc>
        <w:tc>
          <w:tcPr>
            <w:tcW w:w="2552" w:type="dxa"/>
            <w:vAlign w:val="center"/>
          </w:tcPr>
          <w:p>
            <w:pPr>
              <w:pStyle w:val="282"/>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w:t>
            </w:r>
          </w:p>
        </w:tc>
        <w:tc>
          <w:tcPr>
            <w:tcW w:w="2552" w:type="dxa"/>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bl>
    <w:p>
      <w:pPr>
        <w:spacing w:line="560" w:lineRule="exact"/>
        <w:ind w:firstLine="482" w:firstLineChars="200"/>
        <w:rPr>
          <w:rFonts w:hint="eastAsia" w:ascii="仿宋" w:hAnsi="仿宋" w:eastAsia="仿宋"/>
          <w:b/>
          <w:bCs/>
          <w:color w:val="000000" w:themeColor="text1"/>
          <w:sz w:val="24"/>
          <w:highlight w:val="none"/>
          <w14:textFill>
            <w14:solidFill>
              <w14:schemeClr w14:val="tx1"/>
            </w14:solidFill>
          </w14:textFill>
        </w:rPr>
      </w:pPr>
      <w:bookmarkStart w:id="408" w:name="_Toc14993"/>
      <w:bookmarkStart w:id="409" w:name="_Toc26916"/>
      <w:bookmarkStart w:id="410" w:name="_Toc3654"/>
      <w:bookmarkStart w:id="411" w:name="_Toc30158"/>
      <w:bookmarkStart w:id="412" w:name="_Toc30506"/>
      <w:r>
        <w:rPr>
          <w:rFonts w:hint="eastAsia" w:ascii="仿宋" w:hAnsi="仿宋" w:eastAsia="仿宋"/>
          <w:b/>
          <w:bCs/>
          <w:color w:val="000000" w:themeColor="text1"/>
          <w:sz w:val="24"/>
          <w:highlight w:val="none"/>
          <w14:textFill>
            <w14:solidFill>
              <w14:schemeClr w14:val="tx1"/>
            </w14:solidFill>
          </w14:textFill>
        </w:rPr>
        <w:t>1.4 付款方式和发票开具方式</w:t>
      </w:r>
      <w:bookmarkEnd w:id="408"/>
      <w:bookmarkEnd w:id="409"/>
      <w:bookmarkEnd w:id="410"/>
      <w:bookmarkEnd w:id="411"/>
      <w:bookmarkEnd w:id="412"/>
    </w:p>
    <w:p>
      <w:pPr>
        <w:spacing w:line="560" w:lineRule="exact"/>
        <w:ind w:firstLine="480" w:firstLineChars="200"/>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1.4.3甲方迟延支付乙方款项的，向乙方支付逾期</w:t>
      </w:r>
      <w:r>
        <w:rPr>
          <w:rFonts w:hint="eastAsia" w:ascii="仿宋" w:hAnsi="仿宋" w:eastAsia="仿宋" w:cstheme="minorBidi"/>
          <w:color w:val="000000" w:themeColor="text1"/>
          <w:kern w:val="2"/>
          <w:sz w:val="24"/>
          <w:szCs w:val="22"/>
          <w:highlight w:val="none"/>
          <w:lang w:val="en-US" w:eastAsia="zh-CN" w:bidi="ar-SA"/>
          <w14:textFill>
            <w14:solidFill>
              <w14:schemeClr w14:val="tx1"/>
            </w14:solidFill>
          </w14:textFill>
        </w:rPr>
        <w:t>利息。双方可以</w:t>
      </w:r>
      <w:r>
        <w:rPr>
          <w:rFonts w:hint="eastAsia" w:ascii="仿宋" w:hAnsi="仿宋" w:eastAsia="仿宋"/>
          <w:color w:val="000000" w:themeColor="text1"/>
          <w:sz w:val="24"/>
          <w:highlight w:val="none"/>
          <w14:textFill>
            <w14:solidFill>
              <w14:schemeClr w14:val="tx1"/>
            </w14:solidFill>
          </w14:textFill>
        </w:rPr>
        <w:t>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3" w:name="_Toc31421"/>
      <w:bookmarkStart w:id="414" w:name="_Toc4760"/>
      <w:bookmarkStart w:id="415" w:name="_Toc3625"/>
      <w:bookmarkStart w:id="416" w:name="_Toc11108"/>
      <w:bookmarkStart w:id="417" w:name="_Toc8772"/>
      <w:r>
        <w:rPr>
          <w:rFonts w:hint="eastAsia" w:ascii="仿宋" w:hAnsi="仿宋" w:eastAsia="仿宋"/>
          <w:b/>
          <w:color w:val="000000" w:themeColor="text1"/>
          <w:sz w:val="24"/>
          <w:highlight w:val="none"/>
          <w14:textFill>
            <w14:solidFill>
              <w14:schemeClr w14:val="tx1"/>
            </w14:solidFill>
          </w14:textFill>
        </w:rPr>
        <w:t>1.</w:t>
      </w:r>
      <w:r>
        <w:rPr>
          <w:rFonts w:ascii="仿宋" w:hAnsi="仿宋" w:eastAsia="仿宋"/>
          <w:b/>
          <w:color w:val="000000" w:themeColor="text1"/>
          <w:sz w:val="24"/>
          <w:highlight w:val="none"/>
          <w14:textFill>
            <w14:solidFill>
              <w14:schemeClr w14:val="tx1"/>
            </w14:solidFill>
          </w14:textFill>
        </w:rPr>
        <w:t>5</w:t>
      </w:r>
      <w:r>
        <w:rPr>
          <w:rFonts w:hint="eastAsia" w:ascii="仿宋" w:hAnsi="仿宋" w:eastAsia="仿宋"/>
          <w:b/>
          <w:color w:val="000000" w:themeColor="text1"/>
          <w:sz w:val="24"/>
          <w:highlight w:val="none"/>
          <w14:textFill>
            <w14:solidFill>
              <w14:schemeClr w14:val="tx1"/>
            </w14:solidFill>
          </w14:textFill>
        </w:rPr>
        <w:t xml:space="preserve"> 履行</w:t>
      </w:r>
      <w:r>
        <w:rPr>
          <w:rFonts w:ascii="仿宋" w:hAnsi="仿宋" w:eastAsia="仿宋"/>
          <w:b/>
          <w:color w:val="000000" w:themeColor="text1"/>
          <w:sz w:val="24"/>
          <w:highlight w:val="none"/>
          <w14:textFill>
            <w14:solidFill>
              <w14:schemeClr w14:val="tx1"/>
            </w14:solidFill>
          </w14:textFill>
        </w:rPr>
        <w:t>期限</w:t>
      </w:r>
      <w:r>
        <w:rPr>
          <w:rFonts w:hint="eastAsia" w:ascii="仿宋" w:hAnsi="仿宋" w:eastAsia="仿宋"/>
          <w:b/>
          <w:color w:val="000000" w:themeColor="text1"/>
          <w:sz w:val="24"/>
          <w:highlight w:val="none"/>
          <w14:textFill>
            <w14:solidFill>
              <w14:schemeClr w14:val="tx1"/>
            </w14:solidFill>
          </w14:textFill>
        </w:rPr>
        <w:t>、地点和方式</w:t>
      </w:r>
      <w:bookmarkEnd w:id="413"/>
      <w:bookmarkEnd w:id="414"/>
      <w:bookmarkEnd w:id="415"/>
      <w:bookmarkEnd w:id="416"/>
      <w:bookmarkEnd w:id="417"/>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1.5.1 履行期限</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1.5.2 履行地点</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1.5.3 履行方式：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highlight w:val="none"/>
          <w:u w:val="single"/>
          <w14:textFill>
            <w14:solidFill>
              <w14:schemeClr w14:val="tx1"/>
            </w14:solidFill>
          </w14:textFill>
        </w:rPr>
      </w:pPr>
      <w:bookmarkStart w:id="418" w:name="_Toc3079"/>
      <w:bookmarkStart w:id="419" w:name="_Toc2375"/>
      <w:bookmarkStart w:id="420" w:name="_Toc8586"/>
      <w:bookmarkStart w:id="421" w:name="_Toc24662"/>
      <w:bookmarkStart w:id="422" w:name="_Toc5698"/>
      <w:r>
        <w:rPr>
          <w:rFonts w:hint="eastAsia" w:ascii="仿宋" w:hAnsi="仿宋" w:eastAsia="仿宋"/>
          <w:b/>
          <w:color w:val="000000" w:themeColor="text1"/>
          <w:sz w:val="24"/>
          <w:highlight w:val="none"/>
          <w14:textFill>
            <w14:solidFill>
              <w14:schemeClr w14:val="tx1"/>
            </w14:solidFill>
          </w14:textFill>
        </w:rPr>
        <w:t>1.6 违约责任</w:t>
      </w:r>
      <w:bookmarkEnd w:id="418"/>
      <w:bookmarkEnd w:id="419"/>
      <w:bookmarkEnd w:id="420"/>
      <w:bookmarkEnd w:id="421"/>
      <w:bookmarkEnd w:id="422"/>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1.6.1 </w:t>
      </w:r>
      <w:r>
        <w:rPr>
          <w:rFonts w:ascii="仿宋" w:hAnsi="仿宋" w:eastAsia="仿宋"/>
          <w:color w:val="000000" w:themeColor="text1"/>
          <w:sz w:val="24"/>
          <w:highlight w:val="none"/>
          <w14:textFill>
            <w14:solidFill>
              <w14:schemeClr w14:val="tx1"/>
            </w14:solidFill>
          </w14:textFill>
        </w:rPr>
        <w:t>除不可抗力外，如果乙方没有按照本合同约定的期限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地点和方式</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，那么甲方可要求乙方支付违约金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一日的应提供而未</w:t>
      </w:r>
      <w:r>
        <w:rPr>
          <w:rFonts w:hint="eastAsia" w:ascii="仿宋" w:hAnsi="仿宋" w:eastAsia="仿宋"/>
          <w:color w:val="000000" w:themeColor="text1"/>
          <w:sz w:val="24"/>
          <w:highlight w:val="none"/>
          <w14:textFill>
            <w14:solidFill>
              <w14:schemeClr w14:val="tx1"/>
            </w14:solidFill>
          </w14:textFill>
        </w:rPr>
        <w:t>提供</w:t>
      </w:r>
      <w:r>
        <w:rPr>
          <w:rFonts w:ascii="仿宋" w:hAnsi="仿宋" w:eastAsia="仿宋"/>
          <w:color w:val="000000" w:themeColor="text1"/>
          <w:sz w:val="24"/>
          <w:highlight w:val="none"/>
          <w14:textFill>
            <w14:solidFill>
              <w14:schemeClr w14:val="tx1"/>
            </w14:solidFill>
          </w14:textFill>
        </w:rPr>
        <w:t>服务价格的</w:t>
      </w:r>
      <w:r>
        <w:rPr>
          <w:rFonts w:hint="eastAsia"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hint="eastAsia"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甲方有权在要求乙方支付违约金的同时</w:t>
      </w:r>
      <w:r>
        <w:rPr>
          <w:rFonts w:hint="eastAsia" w:ascii="仿宋" w:hAnsi="仿宋" w:eastAsia="仿宋"/>
          <w:color w:val="000000" w:themeColor="text1"/>
          <w:sz w:val="24"/>
          <w:highlight w:val="none"/>
          <w14:textFill>
            <w14:solidFill>
              <w14:schemeClr w14:val="tx1"/>
            </w14:solidFill>
          </w14:textFill>
        </w:rPr>
        <w:t>，书面通知乙方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1.6.2 </w:t>
      </w:r>
      <w:r>
        <w:rPr>
          <w:rFonts w:ascii="仿宋" w:hAnsi="仿宋" w:eastAsia="仿宋"/>
          <w:color w:val="000000" w:themeColor="text1"/>
          <w:sz w:val="24"/>
          <w:highlight w:val="none"/>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一日的应付而未付款的</w:t>
      </w:r>
      <w:r>
        <w:rPr>
          <w:rFonts w:hint="eastAsia"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hint="eastAsia"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方有权在要求甲方支付违约金的同时</w:t>
      </w:r>
      <w:r>
        <w:rPr>
          <w:rFonts w:hint="eastAsia" w:ascii="仿宋" w:hAnsi="仿宋" w:eastAsia="仿宋"/>
          <w:color w:val="000000" w:themeColor="text1"/>
          <w:sz w:val="24"/>
          <w:highlight w:val="none"/>
          <w14:textFill>
            <w14:solidFill>
              <w14:schemeClr w14:val="tx1"/>
            </w14:solidFill>
          </w14:textFill>
        </w:rPr>
        <w:t>，书面通知甲方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3" w:name="_Toc32454"/>
      <w:bookmarkStart w:id="424" w:name="_Toc30329"/>
      <w:bookmarkStart w:id="425" w:name="_Toc26807"/>
      <w:bookmarkStart w:id="426" w:name="_Toc9497"/>
      <w:bookmarkStart w:id="427" w:name="_Toc18683"/>
      <w:r>
        <w:rPr>
          <w:rFonts w:hint="eastAsia" w:ascii="仿宋" w:hAnsi="仿宋" w:eastAsia="仿宋"/>
          <w:b/>
          <w:color w:val="000000" w:themeColor="text1"/>
          <w:sz w:val="24"/>
          <w:highlight w:val="none"/>
          <w14:textFill>
            <w14:solidFill>
              <w14:schemeClr w14:val="tx1"/>
            </w14:solidFill>
          </w14:textFill>
        </w:rPr>
        <w:t>1.7 合同</w:t>
      </w:r>
      <w:r>
        <w:rPr>
          <w:rFonts w:ascii="仿宋" w:hAnsi="仿宋" w:eastAsia="仿宋"/>
          <w:b/>
          <w:color w:val="000000" w:themeColor="text1"/>
          <w:sz w:val="24"/>
          <w:highlight w:val="none"/>
          <w14:textFill>
            <w14:solidFill>
              <w14:schemeClr w14:val="tx1"/>
            </w14:solidFill>
          </w14:textFill>
        </w:rPr>
        <w:t>争议的解决</w:t>
      </w:r>
      <w:bookmarkEnd w:id="423"/>
      <w:bookmarkEnd w:id="424"/>
      <w:bookmarkEnd w:id="425"/>
      <w:bookmarkEnd w:id="426"/>
      <w:bookmarkEnd w:id="427"/>
    </w:p>
    <w:p>
      <w:pPr>
        <w:spacing w:line="560" w:lineRule="exact"/>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8" w:name="_Toc26227"/>
      <w:bookmarkStart w:id="429" w:name="_Toc23784"/>
      <w:bookmarkStart w:id="430" w:name="_Toc12273"/>
      <w:bookmarkStart w:id="431" w:name="_Toc16417"/>
      <w:bookmarkStart w:id="432" w:name="_Toc15827"/>
      <w:r>
        <w:rPr>
          <w:rFonts w:hint="eastAsia" w:ascii="仿宋" w:hAnsi="仿宋" w:eastAsia="仿宋"/>
          <w:b/>
          <w:color w:val="000000" w:themeColor="text1"/>
          <w:sz w:val="24"/>
          <w:highlight w:val="none"/>
          <w14:textFill>
            <w14:solidFill>
              <w14:schemeClr w14:val="tx1"/>
            </w14:solidFill>
          </w14:textFill>
        </w:rPr>
        <w:t xml:space="preserve">1.8 </w:t>
      </w:r>
      <w:r>
        <w:rPr>
          <w:rFonts w:ascii="仿宋" w:hAnsi="仿宋" w:eastAsia="仿宋"/>
          <w:b/>
          <w:color w:val="000000" w:themeColor="text1"/>
          <w:sz w:val="24"/>
          <w:highlight w:val="none"/>
          <w14:textFill>
            <w14:solidFill>
              <w14:schemeClr w14:val="tx1"/>
            </w14:solidFill>
          </w14:textFill>
        </w:rPr>
        <w:t>合同生效</w:t>
      </w:r>
      <w:bookmarkEnd w:id="428"/>
      <w:bookmarkEnd w:id="429"/>
      <w:bookmarkEnd w:id="430"/>
      <w:bookmarkEnd w:id="431"/>
      <w:bookmarkEnd w:id="432"/>
    </w:p>
    <w:p>
      <w:pPr>
        <w:spacing w:line="560" w:lineRule="exact"/>
        <w:ind w:firstLine="480"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本合同自</w:t>
      </w:r>
      <w:r>
        <w:rPr>
          <w:rFonts w:hint="eastAsia" w:ascii="仿宋" w:hAnsi="仿宋" w:eastAsia="仿宋"/>
          <w:color w:val="000000" w:themeColor="text1"/>
          <w:sz w:val="24"/>
          <w:highlight w:val="none"/>
          <w14:textFill>
            <w14:solidFill>
              <w14:schemeClr w14:val="tx1"/>
            </w14:solidFill>
          </w14:textFill>
        </w:rPr>
        <w:t>双方当事人盖章或者签字时</w:t>
      </w:r>
      <w:r>
        <w:rPr>
          <w:rFonts w:ascii="仿宋" w:hAnsi="仿宋" w:eastAsia="仿宋"/>
          <w:color w:val="000000" w:themeColor="text1"/>
          <w:sz w:val="24"/>
          <w:highlight w:val="none"/>
          <w14:textFill>
            <w14:solidFill>
              <w14:schemeClr w14:val="tx1"/>
            </w14:solidFill>
          </w14:textFill>
        </w:rPr>
        <w:t>生效。</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b/>
          <w:color w:val="000000" w:themeColor="text1"/>
          <w:sz w:val="24"/>
          <w:highlight w:val="none"/>
          <w:lang w:val="zh-CN"/>
          <w14:textFill>
            <w14:solidFill>
              <w14:schemeClr w14:val="tx1"/>
            </w14:solidFill>
          </w14:textFill>
        </w:rPr>
        <w:t xml:space="preserve">      乙方</w:t>
      </w:r>
      <w:r>
        <w:rPr>
          <w:rFonts w:hint="eastAsia" w:ascii="仿宋" w:hAnsi="仿宋" w:eastAsia="仿宋"/>
          <w:color w:val="000000" w:themeColor="text1"/>
          <w:sz w:val="24"/>
          <w:highlight w:val="none"/>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w:t>
      </w:r>
      <w:r>
        <w:rPr>
          <w:rFonts w:hint="eastAsia"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开户账号：</w:t>
      </w:r>
    </w:p>
    <w:p>
      <w:pPr>
        <w:widowControl/>
        <w:spacing w:line="560" w:lineRule="exact"/>
        <w:jc w:val="left"/>
        <w:rPr>
          <w:rFonts w:ascii="仿宋" w:hAnsi="仿宋" w:eastAsia="仿宋"/>
          <w:b/>
          <w:color w:val="000000" w:themeColor="text1"/>
          <w:sz w:val="24"/>
          <w:highlight w:val="none"/>
          <w14:textFill>
            <w14:solidFill>
              <w14:schemeClr w14:val="tx1"/>
            </w14:solidFill>
          </w14:textFill>
        </w:rPr>
      </w:pPr>
    </w:p>
    <w:p>
      <w:pPr>
        <w:pStyle w:val="330"/>
        <w:spacing w:line="560" w:lineRule="exact"/>
        <w:ind w:firstLine="482"/>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3" w:name="_Toc14021"/>
      <w:bookmarkStart w:id="434" w:name="_Toc31297"/>
      <w:bookmarkStart w:id="435" w:name="_Toc25079"/>
      <w:bookmarkStart w:id="436" w:name="_Toc19680"/>
      <w:bookmarkStart w:id="437" w:name="_Toc5228"/>
      <w:r>
        <w:rPr>
          <w:rFonts w:hint="eastAsia" w:ascii="仿宋" w:hAnsi="仿宋" w:eastAsia="仿宋"/>
          <w:b/>
          <w:color w:val="000000" w:themeColor="text1"/>
          <w:sz w:val="24"/>
          <w:highlight w:val="none"/>
          <w14:textFill>
            <w14:solidFill>
              <w14:schemeClr w14:val="tx1"/>
            </w14:solidFill>
          </w14:textFill>
        </w:rPr>
        <w:t xml:space="preserve">2.1 </w:t>
      </w:r>
      <w:r>
        <w:rPr>
          <w:rFonts w:ascii="仿宋" w:hAnsi="仿宋" w:eastAsia="仿宋"/>
          <w:b/>
          <w:color w:val="000000" w:themeColor="text1"/>
          <w:sz w:val="24"/>
          <w:highlight w:val="none"/>
          <w14:textFill>
            <w14:solidFill>
              <w14:schemeClr w14:val="tx1"/>
            </w14:solidFill>
          </w14:textFill>
        </w:rPr>
        <w:t>定义</w:t>
      </w:r>
      <w:bookmarkEnd w:id="433"/>
      <w:bookmarkEnd w:id="434"/>
      <w:bookmarkEnd w:id="435"/>
      <w:bookmarkEnd w:id="436"/>
      <w:bookmarkEnd w:id="437"/>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本合同中的下列</w:t>
      </w:r>
      <w:r>
        <w:rPr>
          <w:rFonts w:hint="eastAsia" w:ascii="仿宋" w:hAnsi="仿宋" w:eastAsia="仿宋"/>
          <w:color w:val="000000" w:themeColor="text1"/>
          <w:sz w:val="24"/>
          <w:highlight w:val="none"/>
          <w14:textFill>
            <w14:solidFill>
              <w14:schemeClr w14:val="tx1"/>
            </w14:solidFill>
          </w14:textFill>
        </w:rPr>
        <w:t>词</w:t>
      </w:r>
      <w:r>
        <w:rPr>
          <w:rFonts w:ascii="仿宋" w:hAnsi="仿宋" w:eastAsia="仿宋"/>
          <w:color w:val="000000" w:themeColor="text1"/>
          <w:sz w:val="24"/>
          <w:highlight w:val="none"/>
          <w14:textFill>
            <w14:solidFill>
              <w14:schemeClr w14:val="tx1"/>
            </w14:solidFill>
          </w14:textFill>
        </w:rPr>
        <w:t>语应</w:t>
      </w:r>
      <w:r>
        <w:rPr>
          <w:rFonts w:hint="eastAsia" w:ascii="仿宋" w:hAnsi="仿宋" w:eastAsia="仿宋"/>
          <w:color w:val="000000" w:themeColor="text1"/>
          <w:sz w:val="24"/>
          <w:highlight w:val="none"/>
          <w14:textFill>
            <w14:solidFill>
              <w14:schemeClr w14:val="tx1"/>
            </w14:solidFill>
          </w14:textFill>
        </w:rPr>
        <w:t>按以下内容进行</w:t>
      </w:r>
      <w:r>
        <w:rPr>
          <w:rFonts w:ascii="仿宋" w:hAnsi="仿宋" w:eastAsia="仿宋"/>
          <w:color w:val="000000" w:themeColor="text1"/>
          <w:sz w:val="24"/>
          <w:highlight w:val="none"/>
          <w14:textFill>
            <w14:solidFill>
              <w14:schemeClr w14:val="tx1"/>
            </w14:solidFill>
          </w14:textFill>
        </w:rPr>
        <w:t>解释：</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.1</w:t>
      </w:r>
      <w:r>
        <w:rPr>
          <w:rFonts w:ascii="仿宋" w:hAnsi="仿宋" w:eastAsia="仿宋"/>
          <w:color w:val="000000" w:themeColor="text1"/>
          <w:sz w:val="24"/>
          <w:highlight w:val="none"/>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1.3 “</w:t>
      </w: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”系指</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根据合同约定应向采购人</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w:t>
      </w:r>
      <w:r>
        <w:rPr>
          <w:rFonts w:hint="eastAsia" w:ascii="仿宋" w:hAnsi="仿宋" w:eastAsia="仿宋"/>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4</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”系指与</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签署合同的采购人</w:t>
      </w:r>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6</w:t>
      </w:r>
      <w:r>
        <w:rPr>
          <w:rFonts w:ascii="仿宋" w:hAnsi="仿宋" w:eastAsia="仿宋"/>
          <w:color w:val="000000" w:themeColor="text1"/>
          <w:sz w:val="24"/>
          <w:highlight w:val="none"/>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8" w:name="_Toc31402"/>
      <w:bookmarkStart w:id="439" w:name="_Toc23289"/>
      <w:bookmarkStart w:id="440" w:name="_Toc19539"/>
      <w:bookmarkStart w:id="441" w:name="_Toc16752"/>
      <w:bookmarkStart w:id="442" w:name="_Toc3769"/>
      <w:r>
        <w:rPr>
          <w:rFonts w:hint="eastAsia" w:ascii="仿宋" w:hAnsi="仿宋" w:eastAsia="仿宋"/>
          <w:b/>
          <w:color w:val="000000" w:themeColor="text1"/>
          <w:sz w:val="24"/>
          <w:highlight w:val="none"/>
          <w14:textFill>
            <w14:solidFill>
              <w14:schemeClr w14:val="tx1"/>
            </w14:solidFill>
          </w14:textFill>
        </w:rPr>
        <w:t>2.</w:t>
      </w:r>
      <w:r>
        <w:rPr>
          <w:rFonts w:ascii="仿宋" w:hAnsi="仿宋" w:eastAsia="仿宋"/>
          <w:b/>
          <w:color w:val="000000" w:themeColor="text1"/>
          <w:sz w:val="24"/>
          <w:highlight w:val="none"/>
          <w14:textFill>
            <w14:solidFill>
              <w14:schemeClr w14:val="tx1"/>
            </w14:solidFill>
          </w14:textFill>
        </w:rPr>
        <w:t>2</w:t>
      </w:r>
      <w:r>
        <w:rPr>
          <w:rFonts w:hint="eastAsia" w:ascii="仿宋" w:hAnsi="仿宋" w:eastAsia="仿宋"/>
          <w:b/>
          <w:color w:val="000000" w:themeColor="text1"/>
          <w:sz w:val="24"/>
          <w:highlight w:val="none"/>
          <w14:textFill>
            <w14:solidFill>
              <w14:schemeClr w14:val="tx1"/>
            </w14:solidFill>
          </w14:textFill>
        </w:rPr>
        <w:t xml:space="preserve"> </w:t>
      </w:r>
      <w:r>
        <w:rPr>
          <w:rFonts w:ascii="仿宋" w:hAnsi="仿宋" w:eastAsia="仿宋"/>
          <w:b/>
          <w:color w:val="000000" w:themeColor="text1"/>
          <w:sz w:val="24"/>
          <w:highlight w:val="none"/>
          <w14:textFill>
            <w14:solidFill>
              <w14:schemeClr w14:val="tx1"/>
            </w14:solidFill>
          </w14:textFill>
        </w:rPr>
        <w:t>技术规范</w:t>
      </w:r>
      <w:bookmarkEnd w:id="438"/>
      <w:bookmarkEnd w:id="439"/>
      <w:bookmarkEnd w:id="440"/>
      <w:bookmarkEnd w:id="441"/>
      <w:bookmarkEnd w:id="442"/>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highlight w:val="none"/>
          <w14:textFill>
            <w14:solidFill>
              <w14:schemeClr w14:val="tx1"/>
            </w14:solidFill>
          </w14:textFill>
        </w:rPr>
        <w:t>和</w:t>
      </w:r>
      <w:r>
        <w:rPr>
          <w:rFonts w:ascii="仿宋" w:hAnsi="仿宋" w:eastAsia="仿宋"/>
          <w:color w:val="000000" w:themeColor="text1"/>
          <w:sz w:val="24"/>
          <w:highlight w:val="none"/>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3" w:name="_Toc13673"/>
      <w:bookmarkStart w:id="444" w:name="_Toc4133"/>
      <w:bookmarkStart w:id="445" w:name="_Toc12412"/>
      <w:bookmarkStart w:id="446" w:name="_Toc27945"/>
      <w:bookmarkStart w:id="447" w:name="_Toc9161"/>
      <w:r>
        <w:rPr>
          <w:rFonts w:hint="eastAsia" w:ascii="仿宋" w:hAnsi="仿宋" w:eastAsia="仿宋"/>
          <w:b/>
          <w:color w:val="000000" w:themeColor="text1"/>
          <w:sz w:val="24"/>
          <w:highlight w:val="none"/>
          <w14:textFill>
            <w14:solidFill>
              <w14:schemeClr w14:val="tx1"/>
            </w14:solidFill>
          </w14:textFill>
        </w:rPr>
        <w:t>2.</w:t>
      </w:r>
      <w:r>
        <w:rPr>
          <w:rFonts w:ascii="仿宋" w:hAnsi="仿宋" w:eastAsia="仿宋"/>
          <w:b/>
          <w:color w:val="000000" w:themeColor="text1"/>
          <w:sz w:val="24"/>
          <w:highlight w:val="none"/>
          <w14:textFill>
            <w14:solidFill>
              <w14:schemeClr w14:val="tx1"/>
            </w14:solidFill>
          </w14:textFill>
        </w:rPr>
        <w:t>3</w:t>
      </w:r>
      <w:r>
        <w:rPr>
          <w:rFonts w:hint="eastAsia" w:ascii="仿宋" w:hAnsi="仿宋" w:eastAsia="仿宋"/>
          <w:b/>
          <w:color w:val="000000" w:themeColor="text1"/>
          <w:sz w:val="24"/>
          <w:highlight w:val="none"/>
          <w14:textFill>
            <w14:solidFill>
              <w14:schemeClr w14:val="tx1"/>
            </w14:solidFill>
          </w14:textFill>
        </w:rPr>
        <w:t xml:space="preserve"> </w:t>
      </w:r>
      <w:r>
        <w:rPr>
          <w:rFonts w:ascii="仿宋" w:hAnsi="仿宋" w:eastAsia="仿宋"/>
          <w:b/>
          <w:color w:val="000000" w:themeColor="text1"/>
          <w:sz w:val="24"/>
          <w:highlight w:val="none"/>
          <w14:textFill>
            <w14:solidFill>
              <w14:schemeClr w14:val="tx1"/>
            </w14:solidFill>
          </w14:textFill>
        </w:rPr>
        <w:t>知识产权</w:t>
      </w:r>
      <w:bookmarkEnd w:id="443"/>
      <w:bookmarkEnd w:id="444"/>
      <w:bookmarkEnd w:id="445"/>
      <w:bookmarkEnd w:id="446"/>
      <w:bookmarkEnd w:id="447"/>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2.3.1 乙</w:t>
      </w:r>
      <w:r>
        <w:rPr>
          <w:rFonts w:ascii="仿宋" w:hAnsi="仿宋" w:eastAsia="仿宋"/>
          <w:color w:val="000000" w:themeColor="text1"/>
          <w:sz w:val="24"/>
          <w:highlight w:val="none"/>
          <w14:textFill>
            <w14:solidFill>
              <w14:schemeClr w14:val="tx1"/>
            </w14:solidFill>
          </w14:textFill>
        </w:rPr>
        <w:t>方应保证</w:t>
      </w:r>
      <w:r>
        <w:rPr>
          <w:rFonts w:hint="eastAsia" w:ascii="仿宋" w:hAnsi="仿宋" w:eastAsia="仿宋"/>
          <w:color w:val="000000" w:themeColor="text1"/>
          <w:sz w:val="24"/>
          <w:highlight w:val="none"/>
          <w14:textFill>
            <w14:solidFill>
              <w14:schemeClr w14:val="tx1"/>
            </w14:solidFill>
          </w14:textFill>
        </w:rPr>
        <w:t>其提供的服务</w:t>
      </w:r>
      <w:r>
        <w:rPr>
          <w:rFonts w:ascii="仿宋" w:hAnsi="仿宋" w:eastAsia="仿宋"/>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如果任何第三方提出侵权</w:t>
      </w:r>
      <w:r>
        <w:rPr>
          <w:rFonts w:hint="eastAsia" w:ascii="仿宋" w:hAnsi="仿宋" w:eastAsia="仿宋"/>
          <w:color w:val="000000" w:themeColor="text1"/>
          <w:sz w:val="24"/>
          <w:highlight w:val="none"/>
          <w14:textFill>
            <w14:solidFill>
              <w14:schemeClr w14:val="tx1"/>
            </w14:solidFill>
          </w14:textFill>
        </w:rPr>
        <w:t>指控</w:t>
      </w:r>
      <w:r>
        <w:rPr>
          <w:rFonts w:ascii="仿宋" w:hAnsi="仿宋" w:eastAsia="仿宋"/>
          <w:color w:val="000000" w:themeColor="text1"/>
          <w:sz w:val="24"/>
          <w:highlight w:val="none"/>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2.3.2 合同涉及技术成果的归属和收益的分成办法的，</w:t>
      </w: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pPr>
        <w:spacing w:line="560" w:lineRule="exact"/>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w:t>
      </w:r>
      <w:r>
        <w:rPr>
          <w:rFonts w:ascii="仿宋" w:hAnsi="仿宋" w:eastAsia="仿宋"/>
          <w:color w:val="000000" w:themeColor="text1"/>
          <w:sz w:val="24"/>
          <w:highlight w:val="none"/>
          <w14:textFill>
            <w14:solidFill>
              <w14:schemeClr w14:val="tx1"/>
            </w14:solidFill>
          </w14:textFill>
        </w:rPr>
        <w:t>.1甲方</w:t>
      </w:r>
      <w:r>
        <w:rPr>
          <w:rFonts w:hint="eastAsia" w:ascii="仿宋" w:hAnsi="仿宋" w:eastAsia="仿宋"/>
          <w:color w:val="000000" w:themeColor="text1"/>
          <w:sz w:val="24"/>
          <w:highlight w:val="none"/>
          <w14:textFill>
            <w14:solidFill>
              <w14:schemeClr w14:val="tx1"/>
            </w14:solidFill>
          </w14:textFill>
        </w:rPr>
        <w:t>有权</w:t>
      </w:r>
      <w:r>
        <w:rPr>
          <w:rFonts w:ascii="仿宋" w:hAnsi="仿宋" w:eastAsia="仿宋"/>
          <w:color w:val="000000" w:themeColor="text1"/>
          <w:sz w:val="24"/>
          <w:highlight w:val="none"/>
          <w14:textFill>
            <w14:solidFill>
              <w14:schemeClr w14:val="tx1"/>
            </w14:solidFill>
          </w14:textFill>
        </w:rPr>
        <w:t>在其认为必要时</w:t>
      </w:r>
      <w:r>
        <w:rPr>
          <w:rFonts w:hint="eastAsia" w:ascii="仿宋" w:hAnsi="仿宋" w:eastAsia="仿宋"/>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8" w:name="_Toc32670"/>
      <w:bookmarkStart w:id="449" w:name="_Toc15447"/>
      <w:bookmarkStart w:id="450" w:name="_Toc26555"/>
      <w:bookmarkStart w:id="451" w:name="_Toc31233"/>
      <w:bookmarkStart w:id="452" w:name="_Toc22011"/>
      <w:r>
        <w:rPr>
          <w:rFonts w:hint="eastAsia" w:ascii="仿宋" w:hAnsi="仿宋" w:eastAsia="仿宋"/>
          <w:b/>
          <w:color w:val="000000" w:themeColor="text1"/>
          <w:sz w:val="24"/>
          <w:highlight w:val="none"/>
          <w14:textFill>
            <w14:solidFill>
              <w14:schemeClr w14:val="tx1"/>
            </w14:solidFill>
          </w14:textFill>
        </w:rPr>
        <w:t xml:space="preserve">2.5 </w:t>
      </w:r>
      <w:r>
        <w:rPr>
          <w:rFonts w:ascii="仿宋" w:hAnsi="仿宋" w:eastAsia="仿宋"/>
          <w:b/>
          <w:color w:val="000000" w:themeColor="text1"/>
          <w:sz w:val="24"/>
          <w:highlight w:val="none"/>
          <w14:textFill>
            <w14:solidFill>
              <w14:schemeClr w14:val="tx1"/>
            </w14:solidFill>
          </w14:textFill>
        </w:rPr>
        <w:t>结算方式和付款条件</w:t>
      </w:r>
      <w:bookmarkEnd w:id="448"/>
      <w:bookmarkEnd w:id="449"/>
      <w:bookmarkEnd w:id="450"/>
      <w:bookmarkEnd w:id="451"/>
      <w:bookmarkEnd w:id="452"/>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3" w:name="_Toc16163"/>
      <w:bookmarkStart w:id="454" w:name="_Toc13154"/>
      <w:bookmarkStart w:id="455" w:name="_Toc18990"/>
      <w:bookmarkStart w:id="456" w:name="_Toc30507"/>
      <w:bookmarkStart w:id="457" w:name="_Toc13467"/>
      <w:r>
        <w:rPr>
          <w:rFonts w:hint="eastAsia" w:ascii="仿宋" w:hAnsi="仿宋" w:eastAsia="仿宋"/>
          <w:b/>
          <w:color w:val="000000" w:themeColor="text1"/>
          <w:sz w:val="24"/>
          <w:highlight w:val="none"/>
          <w14:textFill>
            <w14:solidFill>
              <w14:schemeClr w14:val="tx1"/>
            </w14:solidFill>
          </w14:textFill>
        </w:rPr>
        <w:t xml:space="preserve">2.6 </w:t>
      </w:r>
      <w:r>
        <w:rPr>
          <w:rFonts w:ascii="仿宋" w:hAnsi="仿宋" w:eastAsia="仿宋"/>
          <w:b/>
          <w:color w:val="000000" w:themeColor="text1"/>
          <w:sz w:val="24"/>
          <w:highlight w:val="none"/>
          <w14:textFill>
            <w14:solidFill>
              <w14:schemeClr w14:val="tx1"/>
            </w14:solidFill>
          </w14:textFill>
        </w:rPr>
        <w:t>技术资料和保密义务</w:t>
      </w:r>
      <w:bookmarkEnd w:id="453"/>
      <w:bookmarkEnd w:id="454"/>
      <w:bookmarkEnd w:id="455"/>
      <w:bookmarkEnd w:id="456"/>
      <w:bookmarkEnd w:id="457"/>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2.6</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2.6</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highlight w:val="none"/>
          <w14:textFill>
            <w14:solidFill>
              <w14:schemeClr w14:val="tx1"/>
            </w14:solidFill>
          </w14:textFill>
        </w:rPr>
        <w:t>技术情报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技术资料</w:t>
      </w:r>
      <w:r>
        <w:rPr>
          <w:rFonts w:hint="eastAsia" w:ascii="仿宋" w:hAnsi="仿宋" w:eastAsia="仿宋"/>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8" w:name="_Toc19069"/>
      <w:r>
        <w:rPr>
          <w:rFonts w:hint="eastAsia" w:ascii="仿宋" w:hAnsi="仿宋" w:eastAsia="仿宋"/>
          <w:b/>
          <w:color w:val="000000" w:themeColor="text1"/>
          <w:sz w:val="24"/>
          <w:highlight w:val="none"/>
          <w14:textFill>
            <w14:solidFill>
              <w14:schemeClr w14:val="tx1"/>
            </w14:solidFill>
          </w14:textFill>
        </w:rPr>
        <w:t>2.7 质量保证</w:t>
      </w:r>
      <w:bookmarkEnd w:id="458"/>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9" w:name="_Toc22267"/>
      <w:r>
        <w:rPr>
          <w:rFonts w:hint="eastAsia" w:ascii="仿宋" w:hAnsi="仿宋" w:eastAsia="仿宋"/>
          <w:b/>
          <w:color w:val="000000" w:themeColor="text1"/>
          <w:sz w:val="24"/>
          <w:highlight w:val="none"/>
          <w14:textFill>
            <w14:solidFill>
              <w14:schemeClr w14:val="tx1"/>
            </w14:solidFill>
          </w14:textFill>
        </w:rPr>
        <w:t>2.8 延迟履行</w:t>
      </w:r>
      <w:bookmarkEnd w:id="45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在合同履行过程中，如果乙方遇到不能按时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的情况，应及时以书面形式将不能按时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的理由、预期延误时间通知甲方</w:t>
      </w:r>
      <w:r>
        <w:rPr>
          <w:rFonts w:hint="eastAsia" w:ascii="仿宋" w:hAnsi="仿宋" w:eastAsia="仿宋"/>
          <w:color w:val="000000" w:themeColor="text1"/>
          <w:sz w:val="24"/>
          <w:highlight w:val="none"/>
          <w14:textFill>
            <w14:solidFill>
              <w14:schemeClr w14:val="tx1"/>
            </w14:solidFill>
          </w14:textFill>
        </w:rPr>
        <w:t>；甲</w:t>
      </w:r>
      <w:r>
        <w:rPr>
          <w:rFonts w:ascii="仿宋" w:hAnsi="仿宋" w:eastAsia="仿宋"/>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0" w:name="_Toc10611"/>
      <w:r>
        <w:rPr>
          <w:rFonts w:hint="eastAsia" w:ascii="仿宋" w:hAnsi="仿宋" w:eastAsia="仿宋"/>
          <w:b/>
          <w:color w:val="000000" w:themeColor="text1"/>
          <w:sz w:val="24"/>
          <w:highlight w:val="none"/>
          <w14:textFill>
            <w14:solidFill>
              <w14:schemeClr w14:val="tx1"/>
            </w14:solidFill>
          </w14:textFill>
        </w:rPr>
        <w:t>2.9 合同变更</w:t>
      </w:r>
      <w:bookmarkEnd w:id="460"/>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1" w:name="_Toc10663"/>
      <w:bookmarkStart w:id="462" w:name="_Toc23368"/>
      <w:bookmarkStart w:id="463" w:name="_Toc21830"/>
      <w:bookmarkStart w:id="464" w:name="_Toc26689"/>
      <w:bookmarkStart w:id="465" w:name="_Toc42"/>
      <w:r>
        <w:rPr>
          <w:rFonts w:hint="eastAsia" w:ascii="仿宋" w:hAnsi="仿宋" w:eastAsia="仿宋"/>
          <w:b/>
          <w:color w:val="000000" w:themeColor="text1"/>
          <w:sz w:val="24"/>
          <w:highlight w:val="none"/>
          <w14:textFill>
            <w14:solidFill>
              <w14:schemeClr w14:val="tx1"/>
            </w14:solidFill>
          </w14:textFill>
        </w:rPr>
        <w:t xml:space="preserve">2.10 </w:t>
      </w:r>
      <w:r>
        <w:rPr>
          <w:rFonts w:ascii="仿宋" w:hAnsi="仿宋" w:eastAsia="仿宋"/>
          <w:b/>
          <w:color w:val="000000" w:themeColor="text1"/>
          <w:sz w:val="24"/>
          <w:highlight w:val="none"/>
          <w14:textFill>
            <w14:solidFill>
              <w14:schemeClr w14:val="tx1"/>
            </w14:solidFill>
          </w14:textFill>
        </w:rPr>
        <w:t>合同转让和分包</w:t>
      </w:r>
      <w:bookmarkEnd w:id="461"/>
      <w:bookmarkEnd w:id="462"/>
      <w:bookmarkEnd w:id="463"/>
      <w:bookmarkEnd w:id="464"/>
      <w:bookmarkEnd w:id="46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合同的权利义务依法不</w:t>
      </w:r>
      <w:r>
        <w:rPr>
          <w:rFonts w:hint="eastAsia" w:ascii="仿宋" w:hAnsi="仿宋" w:eastAsia="仿宋"/>
          <w:color w:val="000000" w:themeColor="text1"/>
          <w:sz w:val="24"/>
          <w:highlight w:val="none"/>
          <w14:textFill>
            <w14:solidFill>
              <w14:schemeClr w14:val="tx1"/>
            </w14:solidFill>
          </w14:textFill>
        </w:rPr>
        <w:t>得</w:t>
      </w:r>
      <w:r>
        <w:rPr>
          <w:rFonts w:ascii="仿宋" w:hAnsi="仿宋" w:eastAsia="仿宋"/>
          <w:color w:val="000000" w:themeColor="text1"/>
          <w:sz w:val="24"/>
          <w:highlight w:val="none"/>
          <w14:textFill>
            <w14:solidFill>
              <w14:schemeClr w14:val="tx1"/>
            </w14:solidFill>
          </w14:textFill>
        </w:rPr>
        <w:t>转让</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但经甲方</w:t>
      </w:r>
      <w:r>
        <w:rPr>
          <w:rFonts w:hint="eastAsia" w:ascii="仿宋" w:hAnsi="仿宋" w:eastAsia="仿宋"/>
          <w:color w:val="000000" w:themeColor="text1"/>
          <w:sz w:val="24"/>
          <w:highlight w:val="none"/>
          <w14:textFill>
            <w14:solidFill>
              <w14:schemeClr w14:val="tx1"/>
            </w14:solidFill>
          </w14:textFill>
        </w:rPr>
        <w:t>同意，乙方可以依法采取分包方式履行合同，即：依法可以</w:t>
      </w:r>
      <w:r>
        <w:rPr>
          <w:rFonts w:ascii="仿宋" w:hAnsi="仿宋" w:eastAsia="仿宋"/>
          <w:color w:val="000000" w:themeColor="text1"/>
          <w:sz w:val="24"/>
          <w:highlight w:val="none"/>
          <w14:textFill>
            <w14:solidFill>
              <w14:schemeClr w14:val="tx1"/>
            </w14:solidFill>
          </w14:textFill>
        </w:rPr>
        <w:t>将合同项下的部分非主体、非关键性工作分包给他人完成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接受分包的人应当具备相应的资格条件，并不得再次分包</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且乙方应就分包项目向甲方负责</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并</w:t>
      </w:r>
      <w:r>
        <w:rPr>
          <w:rFonts w:hint="eastAsia" w:ascii="仿宋" w:hAnsi="仿宋" w:eastAsia="仿宋"/>
          <w:color w:val="000000" w:themeColor="text1"/>
          <w:sz w:val="24"/>
          <w:highlight w:val="none"/>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6" w:name="_Toc32494"/>
      <w:bookmarkStart w:id="467" w:name="_Toc26633"/>
      <w:bookmarkStart w:id="468" w:name="_Toc4720"/>
      <w:bookmarkStart w:id="469" w:name="_Toc25571"/>
      <w:bookmarkStart w:id="470" w:name="_Toc14371"/>
      <w:r>
        <w:rPr>
          <w:rFonts w:hint="eastAsia" w:ascii="仿宋" w:hAnsi="仿宋" w:eastAsia="仿宋"/>
          <w:b/>
          <w:color w:val="000000" w:themeColor="text1"/>
          <w:sz w:val="24"/>
          <w:highlight w:val="none"/>
          <w14:textFill>
            <w14:solidFill>
              <w14:schemeClr w14:val="tx1"/>
            </w14:solidFill>
          </w14:textFill>
        </w:rPr>
        <w:t>2.11</w:t>
      </w:r>
      <w:r>
        <w:rPr>
          <w:rFonts w:ascii="仿宋" w:hAnsi="仿宋" w:eastAsia="仿宋"/>
          <w:b/>
          <w:color w:val="000000" w:themeColor="text1"/>
          <w:sz w:val="24"/>
          <w:highlight w:val="none"/>
          <w14:textFill>
            <w14:solidFill>
              <w14:schemeClr w14:val="tx1"/>
            </w14:solidFill>
          </w14:textFill>
        </w:rPr>
        <w:t xml:space="preserve"> 不可抗力</w:t>
      </w:r>
      <w:bookmarkEnd w:id="466"/>
      <w:bookmarkEnd w:id="467"/>
      <w:bookmarkEnd w:id="468"/>
      <w:bookmarkEnd w:id="469"/>
      <w:bookmarkEnd w:id="470"/>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2.11</w:t>
      </w:r>
      <w:r>
        <w:rPr>
          <w:rFonts w:ascii="仿宋" w:hAnsi="仿宋" w:eastAsia="仿宋"/>
          <w:color w:val="000000" w:themeColor="text1"/>
          <w:sz w:val="24"/>
          <w:highlight w:val="none"/>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2.11.3 因</w:t>
      </w:r>
      <w:r>
        <w:rPr>
          <w:rFonts w:ascii="仿宋" w:hAnsi="仿宋" w:eastAsia="仿宋"/>
          <w:color w:val="000000" w:themeColor="text1"/>
          <w:sz w:val="24"/>
          <w:highlight w:val="none"/>
          <w14:textFill>
            <w14:solidFill>
              <w14:schemeClr w14:val="tx1"/>
            </w14:solidFill>
          </w14:textFill>
        </w:rPr>
        <w:t>不可抗力致使合同有变更必要的，双方当事人应在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约定时间内以书面形式变更合同</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2.11</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4</w:t>
      </w:r>
      <w:r>
        <w:rPr>
          <w:rFonts w:ascii="仿宋" w:hAnsi="仿宋" w:eastAsia="仿宋"/>
          <w:color w:val="000000" w:themeColor="text1"/>
          <w:sz w:val="24"/>
          <w:highlight w:val="none"/>
          <w14:textFill>
            <w14:solidFill>
              <w14:schemeClr w14:val="tx1"/>
            </w14:solidFill>
          </w14:textFill>
        </w:rPr>
        <w:t>受</w:t>
      </w:r>
      <w:r>
        <w:rPr>
          <w:rFonts w:hint="eastAsia" w:ascii="仿宋" w:hAnsi="仿宋" w:eastAsia="仿宋"/>
          <w:color w:val="000000" w:themeColor="text1"/>
          <w:sz w:val="24"/>
          <w:highlight w:val="none"/>
          <w14:textFill>
            <w14:solidFill>
              <w14:schemeClr w14:val="tx1"/>
            </w14:solidFill>
          </w14:textFill>
        </w:rPr>
        <w:t>不可抗力</w:t>
      </w:r>
      <w:r>
        <w:rPr>
          <w:rFonts w:ascii="仿宋" w:hAnsi="仿宋" w:eastAsia="仿宋"/>
          <w:color w:val="000000" w:themeColor="text1"/>
          <w:sz w:val="24"/>
          <w:highlight w:val="none"/>
          <w14:textFill>
            <w14:solidFill>
              <w14:schemeClr w14:val="tx1"/>
            </w14:solidFill>
          </w14:textFill>
        </w:rPr>
        <w:t>影响的一方在不可抗力发生后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约定时间内以书面形式通知</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14:textFill>
            <w14:solidFill>
              <w14:schemeClr w14:val="tx1"/>
            </w14:solidFill>
          </w14:textFill>
        </w:rPr>
        <w:t>方当事人，并在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约定时间内，将有关部门出具的证明文件送达</w:t>
      </w:r>
      <w:r>
        <w:rPr>
          <w:rFonts w:hint="eastAsia" w:ascii="仿宋" w:hAnsi="仿宋" w:eastAsia="仿宋"/>
          <w:color w:val="000000" w:themeColor="text1"/>
          <w:sz w:val="24"/>
          <w:highlight w:val="none"/>
          <w14:textFill>
            <w14:solidFill>
              <w14:schemeClr w14:val="tx1"/>
            </w14:solidFill>
          </w14:textFill>
        </w:rPr>
        <w:t>对方当事人</w:t>
      </w:r>
      <w:r>
        <w:rPr>
          <w:rFonts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1" w:name="_Toc24465"/>
      <w:bookmarkStart w:id="472" w:name="_Toc25783"/>
      <w:bookmarkStart w:id="473" w:name="_Toc23854"/>
      <w:bookmarkStart w:id="474" w:name="_Toc14115"/>
      <w:bookmarkStart w:id="475" w:name="_Toc3638"/>
      <w:r>
        <w:rPr>
          <w:rFonts w:hint="eastAsia" w:ascii="仿宋" w:hAnsi="仿宋" w:eastAsia="仿宋"/>
          <w:b/>
          <w:color w:val="000000" w:themeColor="text1"/>
          <w:sz w:val="24"/>
          <w:highlight w:val="none"/>
          <w14:textFill>
            <w14:solidFill>
              <w14:schemeClr w14:val="tx1"/>
            </w14:solidFill>
          </w14:textFill>
        </w:rPr>
        <w:t>2.</w:t>
      </w:r>
      <w:r>
        <w:rPr>
          <w:rFonts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14:textFill>
            <w14:solidFill>
              <w14:schemeClr w14:val="tx1"/>
            </w14:solidFill>
          </w14:textFill>
        </w:rPr>
        <w:t xml:space="preserve">2 </w:t>
      </w:r>
      <w:r>
        <w:rPr>
          <w:rFonts w:ascii="仿宋" w:hAnsi="仿宋" w:eastAsia="仿宋"/>
          <w:b/>
          <w:color w:val="000000" w:themeColor="text1"/>
          <w:sz w:val="24"/>
          <w:highlight w:val="none"/>
          <w14:textFill>
            <w14:solidFill>
              <w14:schemeClr w14:val="tx1"/>
            </w14:solidFill>
          </w14:textFill>
        </w:rPr>
        <w:t>税费</w:t>
      </w:r>
      <w:bookmarkEnd w:id="471"/>
      <w:bookmarkEnd w:id="472"/>
      <w:bookmarkEnd w:id="473"/>
      <w:bookmarkEnd w:id="474"/>
      <w:bookmarkEnd w:id="47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与合同有关的一切税费</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6" w:name="_Toc26883"/>
      <w:bookmarkStart w:id="477" w:name="_Toc7315"/>
      <w:bookmarkStart w:id="478" w:name="_Toc25525"/>
      <w:bookmarkStart w:id="479" w:name="_Toc30105"/>
      <w:bookmarkStart w:id="480" w:name="_Toc14814"/>
      <w:r>
        <w:rPr>
          <w:rFonts w:hint="eastAsia" w:ascii="仿宋" w:hAnsi="仿宋" w:eastAsia="仿宋"/>
          <w:b/>
          <w:color w:val="000000" w:themeColor="text1"/>
          <w:sz w:val="24"/>
          <w:highlight w:val="none"/>
          <w14:textFill>
            <w14:solidFill>
              <w14:schemeClr w14:val="tx1"/>
            </w14:solidFill>
          </w14:textFill>
        </w:rPr>
        <w:t>2.</w:t>
      </w:r>
      <w:r>
        <w:rPr>
          <w:rFonts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14:textFill>
            <w14:solidFill>
              <w14:schemeClr w14:val="tx1"/>
            </w14:solidFill>
          </w14:textFill>
        </w:rPr>
        <w:t xml:space="preserve">3 </w:t>
      </w:r>
      <w:r>
        <w:rPr>
          <w:rFonts w:ascii="仿宋" w:hAnsi="仿宋" w:eastAsia="仿宋"/>
          <w:b/>
          <w:color w:val="000000" w:themeColor="text1"/>
          <w:sz w:val="24"/>
          <w:highlight w:val="none"/>
          <w14:textFill>
            <w14:solidFill>
              <w14:schemeClr w14:val="tx1"/>
            </w14:solidFill>
          </w14:textFill>
        </w:rPr>
        <w:t>乙方破产</w:t>
      </w:r>
      <w:bookmarkEnd w:id="476"/>
      <w:bookmarkEnd w:id="477"/>
      <w:bookmarkEnd w:id="478"/>
      <w:bookmarkEnd w:id="479"/>
      <w:bookmarkEnd w:id="480"/>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highlight w:val="none"/>
          <w14:textFill>
            <w14:solidFill>
              <w14:schemeClr w14:val="tx1"/>
            </w14:solidFill>
          </w14:textFill>
        </w:rPr>
        <w:t>，但合同的</w:t>
      </w:r>
      <w:r>
        <w:rPr>
          <w:rFonts w:ascii="仿宋" w:hAnsi="仿宋" w:eastAsia="仿宋"/>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赔偿损失等的行动或补救措施的权利</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1" w:name="_Toc1123"/>
      <w:bookmarkStart w:id="482" w:name="_Toc2016"/>
      <w:bookmarkStart w:id="483" w:name="_Toc23323"/>
      <w:r>
        <w:rPr>
          <w:rFonts w:ascii="仿宋" w:hAnsi="仿宋" w:eastAsia="仿宋"/>
          <w:b/>
          <w:color w:val="000000" w:themeColor="text1"/>
          <w:sz w:val="24"/>
          <w:highlight w:val="none"/>
          <w14:textFill>
            <w14:solidFill>
              <w14:schemeClr w14:val="tx1"/>
            </w14:solidFill>
          </w14:textFill>
        </w:rPr>
        <w:t>2.14 合同中止、终止</w:t>
      </w:r>
      <w:bookmarkEnd w:id="481"/>
      <w:bookmarkEnd w:id="482"/>
      <w:bookmarkEnd w:id="48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4" w:name="_Toc14525"/>
      <w:bookmarkStart w:id="485" w:name="_Toc17363"/>
      <w:bookmarkStart w:id="486" w:name="_Toc1969"/>
      <w:r>
        <w:rPr>
          <w:rFonts w:ascii="仿宋" w:hAnsi="仿宋" w:eastAsia="仿宋"/>
          <w:b/>
          <w:color w:val="000000" w:themeColor="text1"/>
          <w:sz w:val="24"/>
          <w:highlight w:val="none"/>
          <w14:textFill>
            <w14:solidFill>
              <w14:schemeClr w14:val="tx1"/>
            </w14:solidFill>
          </w14:textFill>
        </w:rPr>
        <w:t>2.15 检验和验收</w:t>
      </w:r>
      <w:bookmarkEnd w:id="484"/>
      <w:bookmarkEnd w:id="485"/>
      <w:bookmarkEnd w:id="486"/>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1 乙方按照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定期提交服务报告</w:t>
      </w:r>
      <w:r>
        <w:rPr>
          <w:rFonts w:hint="eastAsia" w:ascii="仿宋" w:hAnsi="仿宋" w:eastAsia="仿宋"/>
          <w:color w:val="000000" w:themeColor="text1"/>
          <w:sz w:val="24"/>
          <w:highlight w:val="none"/>
          <w14:textFill>
            <w14:solidFill>
              <w14:schemeClr w14:val="tx1"/>
            </w14:solidFill>
          </w14:textFill>
        </w:rPr>
        <w:t>，甲方按照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的约定进行定期验收</w:t>
      </w:r>
      <w:r>
        <w:rPr>
          <w:rFonts w:hint="eastAsia" w:ascii="仿宋" w:hAnsi="仿宋" w:eastAsia="仿宋"/>
          <w:color w:val="000000" w:themeColor="text1"/>
          <w:sz w:val="24"/>
          <w:highlight w:val="none"/>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7" w:name="_Toc31892"/>
      <w:bookmarkStart w:id="488" w:name="_Toc25198"/>
      <w:bookmarkStart w:id="489" w:name="_Toc12666"/>
      <w:bookmarkStart w:id="490" w:name="_Toc9808"/>
      <w:bookmarkStart w:id="491" w:name="_Toc2308"/>
      <w:r>
        <w:rPr>
          <w:rFonts w:hint="eastAsia" w:ascii="仿宋" w:hAnsi="仿宋" w:eastAsia="仿宋"/>
          <w:b/>
          <w:color w:val="000000" w:themeColor="text1"/>
          <w:sz w:val="24"/>
          <w:highlight w:val="none"/>
          <w14:textFill>
            <w14:solidFill>
              <w14:schemeClr w14:val="tx1"/>
            </w14:solidFill>
          </w14:textFill>
        </w:rPr>
        <w:t xml:space="preserve">2.16 </w:t>
      </w:r>
      <w:r>
        <w:rPr>
          <w:rFonts w:ascii="仿宋" w:hAnsi="仿宋" w:eastAsia="仿宋"/>
          <w:b/>
          <w:color w:val="000000" w:themeColor="text1"/>
          <w:sz w:val="24"/>
          <w:highlight w:val="none"/>
          <w14:textFill>
            <w14:solidFill>
              <w14:schemeClr w14:val="tx1"/>
            </w14:solidFill>
          </w14:textFill>
        </w:rPr>
        <w:t>通知和送达</w:t>
      </w:r>
      <w:bookmarkEnd w:id="487"/>
      <w:bookmarkEnd w:id="488"/>
      <w:bookmarkEnd w:id="489"/>
      <w:bookmarkEnd w:id="490"/>
      <w:bookmarkEnd w:id="491"/>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92" w:name="_Toc18401"/>
      <w:bookmarkStart w:id="493" w:name="_Toc27674"/>
      <w:r>
        <w:rPr>
          <w:rFonts w:ascii="仿宋" w:hAnsi="仿宋" w:eastAsia="仿宋"/>
          <w:color w:val="000000" w:themeColor="text1"/>
          <w:sz w:val="24"/>
          <w:highlight w:val="none"/>
          <w14:textFill>
            <w14:solidFill>
              <w14:schemeClr w14:val="tx1"/>
            </w14:solidFill>
          </w14:textFill>
        </w:rPr>
        <w:t>2.1</w:t>
      </w:r>
      <w:r>
        <w:rPr>
          <w:rFonts w:hint="eastAsia" w:ascii="仿宋" w:hAnsi="仿宋" w:eastAsia="仿宋"/>
          <w:color w:val="000000" w:themeColor="text1"/>
          <w:sz w:val="24"/>
          <w:highlight w:val="none"/>
          <w:lang w:val="en-US" w:eastAsia="zh-CN"/>
          <w14:textFill>
            <w14:solidFill>
              <w14:schemeClr w14:val="tx1"/>
            </w14:solidFill>
          </w14:textFill>
        </w:rPr>
        <w:t>6</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highlight w:val="non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w:t>
      </w:r>
      <w:r>
        <w:rPr>
          <w:rFonts w:hint="eastAsia" w:ascii="仿宋" w:hAnsi="仿宋" w:eastAsia="仿宋"/>
          <w:color w:val="000000" w:themeColor="text1"/>
          <w:sz w:val="24"/>
          <w:highlight w:val="none"/>
          <w:lang w:val="en-US" w:eastAsia="zh-CN"/>
          <w14:textFill>
            <w14:solidFill>
              <w14:schemeClr w14:val="tx1"/>
            </w14:solidFill>
          </w14:textFill>
        </w:rPr>
        <w:t>6</w:t>
      </w:r>
      <w:r>
        <w:rPr>
          <w:rFonts w:ascii="仿宋" w:hAnsi="仿宋" w:eastAsia="仿宋"/>
          <w:color w:val="000000" w:themeColor="text1"/>
          <w:sz w:val="24"/>
          <w:highlight w:val="none"/>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492"/>
      <w:bookmarkEnd w:id="493"/>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4" w:name="_Toc27644"/>
      <w:bookmarkStart w:id="495" w:name="_Toc5063"/>
      <w:bookmarkStart w:id="496" w:name="_Toc20808"/>
      <w:bookmarkStart w:id="497" w:name="_Toc12254"/>
      <w:bookmarkStart w:id="498" w:name="_Toc28906"/>
      <w:r>
        <w:rPr>
          <w:rFonts w:hint="eastAsia" w:ascii="仿宋" w:hAnsi="仿宋" w:eastAsia="仿宋"/>
          <w:b/>
          <w:color w:val="000000" w:themeColor="text1"/>
          <w:sz w:val="24"/>
          <w:highlight w:val="none"/>
          <w14:textFill>
            <w14:solidFill>
              <w14:schemeClr w14:val="tx1"/>
            </w14:solidFill>
          </w14:textFill>
        </w:rPr>
        <w:t>2.17 合同使用的文字和</w:t>
      </w:r>
      <w:r>
        <w:rPr>
          <w:rFonts w:ascii="仿宋" w:hAnsi="仿宋" w:eastAsia="仿宋"/>
          <w:b/>
          <w:color w:val="000000" w:themeColor="text1"/>
          <w:sz w:val="24"/>
          <w:highlight w:val="none"/>
          <w14:textFill>
            <w14:solidFill>
              <w14:schemeClr w14:val="tx1"/>
            </w14:solidFill>
          </w14:textFill>
        </w:rPr>
        <w:t>适用的法律</w:t>
      </w:r>
      <w:bookmarkEnd w:id="494"/>
      <w:bookmarkEnd w:id="495"/>
      <w:bookmarkEnd w:id="496"/>
      <w:bookmarkEnd w:id="497"/>
      <w:bookmarkEnd w:id="498"/>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2.17</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合同使用汉语书就</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变更和解释</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2.17.2 合同适用</w:t>
      </w:r>
      <w:r>
        <w:rPr>
          <w:rFonts w:ascii="仿宋" w:hAnsi="仿宋" w:eastAsia="仿宋"/>
          <w:color w:val="000000" w:themeColor="text1"/>
          <w:sz w:val="24"/>
          <w:highlight w:val="none"/>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9" w:name="_Toc30096"/>
      <w:bookmarkStart w:id="500" w:name="_Toc27127"/>
      <w:bookmarkStart w:id="501" w:name="_Toc22266"/>
      <w:bookmarkStart w:id="502" w:name="_Toc27403"/>
      <w:bookmarkStart w:id="503" w:name="_Toc1492"/>
      <w:r>
        <w:rPr>
          <w:rFonts w:hint="eastAsia" w:ascii="仿宋" w:hAnsi="仿宋" w:eastAsia="仿宋"/>
          <w:b/>
          <w:color w:val="000000" w:themeColor="text1"/>
          <w:sz w:val="24"/>
          <w:highlight w:val="none"/>
          <w14:textFill>
            <w14:solidFill>
              <w14:schemeClr w14:val="tx1"/>
            </w14:solidFill>
          </w14:textFill>
        </w:rPr>
        <w:t xml:space="preserve">2.18 </w:t>
      </w:r>
      <w:r>
        <w:rPr>
          <w:rFonts w:ascii="仿宋" w:hAnsi="仿宋" w:eastAsia="仿宋"/>
          <w:b/>
          <w:color w:val="000000" w:themeColor="text1"/>
          <w:sz w:val="24"/>
          <w:highlight w:val="none"/>
          <w14:textFill>
            <w14:solidFill>
              <w14:schemeClr w14:val="tx1"/>
            </w14:solidFill>
          </w14:textFill>
        </w:rPr>
        <w:t>履约保证金</w:t>
      </w:r>
      <w:bookmarkEnd w:id="499"/>
      <w:bookmarkEnd w:id="500"/>
      <w:bookmarkEnd w:id="501"/>
      <w:bookmarkEnd w:id="502"/>
      <w:bookmarkEnd w:id="503"/>
    </w:p>
    <w:p>
      <w:pPr>
        <w:pStyle w:val="933"/>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18</w:t>
      </w:r>
      <w:r>
        <w:rPr>
          <w:rFonts w:ascii="仿宋" w:hAnsi="仿宋" w:eastAsia="仿宋"/>
          <w:color w:val="000000" w:themeColor="text1"/>
          <w:highlight w:val="none"/>
          <w14:textFill>
            <w14:solidFill>
              <w14:schemeClr w14:val="tx1"/>
            </w14:solidFill>
          </w14:textFill>
        </w:rPr>
        <w:t xml:space="preserve">.1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highlight w:val="none"/>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18</w:t>
      </w:r>
      <w:r>
        <w:rPr>
          <w:rFonts w:ascii="仿宋" w:hAnsi="仿宋" w:eastAsia="仿宋"/>
          <w:color w:val="000000" w:themeColor="text1"/>
          <w:sz w:val="24"/>
          <w:highlight w:val="none"/>
          <w14:textFill>
            <w14:solidFill>
              <w14:schemeClr w14:val="tx1"/>
            </w14:solidFill>
          </w14:textFill>
        </w:rPr>
        <w:t xml:space="preserve">.2  </w:t>
      </w:r>
      <w:r>
        <w:rPr>
          <w:rFonts w:hint="eastAsia" w:ascii="仿宋" w:hAnsi="仿宋" w:eastAsia="仿宋"/>
          <w:color w:val="000000" w:themeColor="text1"/>
          <w:sz w:val="24"/>
          <w:highlight w:val="none"/>
          <w14:textFill>
            <w14:solidFill>
              <w14:schemeClr w14:val="tx1"/>
            </w14:solidFill>
          </w14:textFill>
        </w:rPr>
        <w:t>履约保证金在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5</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个工作日内，按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18</w:t>
      </w:r>
      <w:r>
        <w:rPr>
          <w:rFonts w:ascii="仿宋" w:hAnsi="仿宋" w:eastAsia="仿宋"/>
          <w:color w:val="000000" w:themeColor="text1"/>
          <w:sz w:val="24"/>
          <w:highlight w:val="none"/>
          <w14:textFill>
            <w14:solidFill>
              <w14:schemeClr w14:val="tx1"/>
            </w14:solidFill>
          </w14:textFill>
        </w:rPr>
        <w:t xml:space="preserve">.3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18</w:t>
      </w: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highlight w:val="none"/>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合同金额2.5%。</w:t>
      </w:r>
    </w:p>
    <w:p>
      <w:pPr>
        <w:spacing w:line="560" w:lineRule="exact"/>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合同份数按</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规定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每份均具有同等法律效力</w:t>
      </w:r>
      <w:r>
        <w:rPr>
          <w:rFonts w:hint="eastAsia" w:ascii="仿宋" w:hAnsi="仿宋" w:eastAsia="仿宋"/>
          <w:color w:val="000000" w:themeColor="text1"/>
          <w:sz w:val="24"/>
          <w:highlight w:val="none"/>
          <w14:textFill>
            <w14:solidFill>
              <w14:schemeClr w14:val="tx1"/>
            </w14:solidFill>
          </w14:textFill>
        </w:rPr>
        <w:t>。</w:t>
      </w:r>
    </w:p>
    <w:p>
      <w:pPr>
        <w:pStyle w:val="330"/>
        <w:spacing w:line="560" w:lineRule="exact"/>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本部分</w:t>
      </w:r>
      <w:r>
        <w:rPr>
          <w:rFonts w:ascii="仿宋" w:hAnsi="仿宋" w:eastAsia="仿宋"/>
          <w:color w:val="000000" w:themeColor="text1"/>
          <w:sz w:val="24"/>
          <w:highlight w:val="none"/>
          <w14:textFill>
            <w14:solidFill>
              <w14:schemeClr w14:val="tx1"/>
            </w14:solidFill>
          </w14:textFill>
        </w:rPr>
        <w:t>是对</w:t>
      </w:r>
      <w:r>
        <w:rPr>
          <w:rFonts w:hint="eastAsia" w:ascii="仿宋" w:hAnsi="仿宋" w:eastAsia="仿宋"/>
          <w:color w:val="000000" w:themeColor="text1"/>
          <w:sz w:val="24"/>
          <w:highlight w:val="none"/>
          <w14:textFill>
            <w14:solidFill>
              <w14:schemeClr w14:val="tx1"/>
            </w14:solidFill>
          </w14:textFill>
        </w:rPr>
        <w:t>前两</w:t>
      </w:r>
      <w:r>
        <w:rPr>
          <w:rFonts w:ascii="仿宋" w:hAnsi="仿宋" w:eastAsia="仿宋"/>
          <w:color w:val="000000" w:themeColor="text1"/>
          <w:sz w:val="24"/>
          <w:highlight w:val="none"/>
          <w14:textFill>
            <w14:solidFill>
              <w14:schemeClr w14:val="tx1"/>
            </w14:solidFill>
          </w14:textFill>
        </w:rPr>
        <w:t>部分的补充和修改</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w:t>
      </w:r>
      <w:r>
        <w:rPr>
          <w:rFonts w:hint="eastAsia" w:ascii="仿宋" w:hAnsi="仿宋" w:eastAsia="仿宋"/>
          <w:color w:val="000000" w:themeColor="text1"/>
          <w:sz w:val="24"/>
          <w:highlight w:val="none"/>
          <w14:textFill>
            <w14:solidFill>
              <w14:schemeClr w14:val="tx1"/>
            </w14:solidFill>
          </w14:textFill>
        </w:rPr>
        <w:t>前两</w:t>
      </w:r>
      <w:r>
        <w:rPr>
          <w:rFonts w:ascii="仿宋" w:hAnsi="仿宋" w:eastAsia="仿宋"/>
          <w:color w:val="000000" w:themeColor="text1"/>
          <w:sz w:val="24"/>
          <w:highlight w:val="none"/>
          <w14:textFill>
            <w14:solidFill>
              <w14:schemeClr w14:val="tx1"/>
            </w14:solidFill>
          </w14:textFill>
        </w:rPr>
        <w:t>部分和本部分的约定不一致</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应以本部分的约定为准</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本部分的条款号应与</w:t>
      </w:r>
      <w:r>
        <w:rPr>
          <w:rFonts w:hint="eastAsia" w:ascii="仿宋" w:hAnsi="仿宋" w:eastAsia="仿宋"/>
          <w:color w:val="000000" w:themeColor="text1"/>
          <w:sz w:val="24"/>
          <w:highlight w:val="none"/>
          <w14:textFill>
            <w14:solidFill>
              <w14:schemeClr w14:val="tx1"/>
            </w14:solidFill>
          </w14:textFill>
        </w:rPr>
        <w:t>前两部分</w:t>
      </w:r>
      <w:r>
        <w:rPr>
          <w:rFonts w:ascii="仿宋" w:hAnsi="仿宋" w:eastAsia="仿宋"/>
          <w:color w:val="000000" w:themeColor="text1"/>
          <w:sz w:val="24"/>
          <w:highlight w:val="none"/>
          <w14:textFill>
            <w14:solidFill>
              <w14:schemeClr w14:val="tx1"/>
            </w14:solidFill>
          </w14:textFill>
        </w:rPr>
        <w:t>的条款号保持对应</w:t>
      </w:r>
      <w:r>
        <w:rPr>
          <w:rFonts w:hint="eastAsia" w:ascii="仿宋" w:hAnsi="仿宋" w:eastAsia="仿宋"/>
          <w:color w:val="000000" w:themeColor="text1"/>
          <w:sz w:val="24"/>
          <w:highlight w:val="none"/>
          <w14:textFill>
            <w14:solidFill>
              <w14:schemeClr w14:val="tx1"/>
            </w14:solidFill>
          </w14:textFill>
        </w:rPr>
        <w:t>；与前两部分</w:t>
      </w:r>
      <w:r>
        <w:rPr>
          <w:rFonts w:ascii="仿宋" w:hAnsi="仿宋" w:eastAsia="仿宋"/>
          <w:color w:val="000000" w:themeColor="text1"/>
          <w:sz w:val="24"/>
          <w:highlight w:val="none"/>
          <w14:textFill>
            <w14:solidFill>
              <w14:schemeClr w14:val="tx1"/>
            </w14:solidFill>
          </w14:textFill>
        </w:rPr>
        <w:t>无对应关系的内容可另行编制条款号</w:t>
      </w:r>
      <w:r>
        <w:rPr>
          <w:rFonts w:hint="eastAsia" w:ascii="仿宋" w:hAnsi="仿宋" w:eastAsia="仿宋"/>
          <w:color w:val="000000" w:themeColor="text1"/>
          <w:sz w:val="24"/>
          <w:highlight w:val="none"/>
          <w14:textFill>
            <w14:solidFill>
              <w14:schemeClr w14:val="tx1"/>
            </w14:solidFill>
          </w14:textFill>
        </w:rPr>
        <w:t>。</w:t>
      </w:r>
    </w:p>
    <w:tbl>
      <w:tblPr>
        <w:tblStyle w:val="62"/>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条款号</w:t>
            </w:r>
          </w:p>
        </w:tc>
        <w:tc>
          <w:tcPr>
            <w:tcW w:w="7633" w:type="dxa"/>
            <w:vAlign w:val="center"/>
          </w:tcPr>
          <w:p>
            <w:pPr>
              <w:spacing w:line="560" w:lineRule="exact"/>
              <w:jc w:val="center"/>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1.4.4</w:t>
            </w:r>
          </w:p>
        </w:tc>
        <w:tc>
          <w:tcPr>
            <w:tcW w:w="7633" w:type="dxa"/>
            <w:vAlign w:val="center"/>
          </w:tcPr>
          <w:p>
            <w:pPr>
              <w:spacing w:line="560" w:lineRule="exact"/>
              <w:rPr>
                <w:rFonts w:hint="eastAsia"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支付方式：从开通次月起结算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1.5.1</w:t>
            </w:r>
          </w:p>
        </w:tc>
        <w:tc>
          <w:tcPr>
            <w:tcW w:w="7633" w:type="dxa"/>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履行期限：</w:t>
            </w:r>
            <w:r>
              <w:rPr>
                <w:rFonts w:hint="eastAsia" w:ascii="仿宋" w:hAnsi="仿宋" w:eastAsia="仿宋"/>
                <w:color w:val="000000" w:themeColor="text1"/>
                <w:sz w:val="24"/>
                <w:highlight w:val="none"/>
                <w:lang w:val="en-US" w:eastAsia="zh-CN"/>
                <w14:textFill>
                  <w14:solidFill>
                    <w14:schemeClr w14:val="tx1"/>
                  </w14:solidFill>
                </w14:textFill>
              </w:rPr>
              <w:t>服务提供</w:t>
            </w:r>
            <w:r>
              <w:rPr>
                <w:rFonts w:hint="eastAsia" w:ascii="仿宋" w:hAnsi="仿宋" w:eastAsia="仿宋"/>
                <w:color w:val="000000" w:themeColor="text1"/>
                <w:sz w:val="24"/>
                <w:highlight w:val="none"/>
                <w:lang w:eastAsia="zh-CN"/>
                <w14:textFill>
                  <w14:solidFill>
                    <w14:schemeClr w14:val="tx1"/>
                  </w14:solidFill>
                </w14:textFill>
              </w:rPr>
              <w:t>至202</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lang w:eastAsia="zh-CN"/>
                <w14:textFill>
                  <w14:solidFill>
                    <w14:schemeClr w14:val="tx1"/>
                  </w14:solidFill>
                </w14:textFill>
              </w:rPr>
              <w:t>年1</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月3</w:t>
            </w:r>
            <w:r>
              <w:rPr>
                <w:rFonts w:hint="eastAsia" w:ascii="仿宋" w:hAnsi="仿宋" w:eastAsia="仿宋"/>
                <w:color w:val="000000" w:themeColor="text1"/>
                <w:sz w:val="24"/>
                <w:highlight w:val="none"/>
                <w:lang w:val="en-US" w:eastAsia="zh-CN"/>
                <w14:textFill>
                  <w14:solidFill>
                    <w14:schemeClr w14:val="tx1"/>
                  </w14:solidFill>
                </w14:textFill>
              </w:rPr>
              <w:t>0</w:t>
            </w:r>
            <w:r>
              <w:rPr>
                <w:rFonts w:hint="eastAsia" w:ascii="仿宋" w:hAnsi="仿宋" w:eastAsia="仿宋"/>
                <w:color w:val="000000" w:themeColor="text1"/>
                <w:sz w:val="24"/>
                <w:highlight w:val="none"/>
                <w:lang w:eastAsia="zh-CN"/>
                <w14:textFill>
                  <w14:solidFill>
                    <w14:schemeClr w14:val="tx1"/>
                  </w14:solidFill>
                </w14:textFill>
              </w:rPr>
              <w:t>日的7×24服务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1.5.2</w:t>
            </w:r>
          </w:p>
        </w:tc>
        <w:tc>
          <w:tcPr>
            <w:tcW w:w="7633" w:type="dxa"/>
            <w:vAlign w:val="center"/>
          </w:tcPr>
          <w:p>
            <w:pPr>
              <w:pStyle w:val="5"/>
              <w:numPr>
                <w:ilvl w:val="0"/>
                <w:numId w:val="0"/>
              </w:numPr>
              <w:ind w:leftChars="0"/>
              <w:rPr>
                <w:rFonts w:hint="default"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t>履行地点：</w:t>
            </w:r>
            <w:r>
              <w:rPr>
                <w:rFonts w:hint="eastAsia" w:ascii="仿宋" w:eastAsia="仿宋" w:cstheme="minorBidi"/>
                <w:b w:val="0"/>
                <w:bCs w:val="0"/>
                <w:color w:val="000000" w:themeColor="text1"/>
                <w:kern w:val="2"/>
                <w:sz w:val="24"/>
                <w:szCs w:val="22"/>
                <w:highlight w:val="none"/>
                <w:lang w:val="en-US" w:eastAsia="zh-CN" w:bidi="ar-SA"/>
                <w14:textFill>
                  <w14:solidFill>
                    <w14:schemeClr w14:val="tx1"/>
                  </w14:solidFill>
                </w14:textFill>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1.5.3</w:t>
            </w:r>
          </w:p>
        </w:tc>
        <w:tc>
          <w:tcPr>
            <w:tcW w:w="7633" w:type="dxa"/>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履行方式：提供服务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w:t>
            </w:r>
          </w:p>
        </w:tc>
        <w:tc>
          <w:tcPr>
            <w:tcW w:w="7633" w:type="dxa"/>
            <w:vAlign w:val="center"/>
          </w:tcPr>
          <w:p>
            <w:pPr>
              <w:spacing w:line="560" w:lineRule="exact"/>
              <w:rPr>
                <w:rFonts w:hint="eastAsia" w:ascii="仿宋" w:hAnsi="仿宋" w:eastAsia="仿宋"/>
                <w:color w:val="000000" w:themeColor="text1"/>
                <w:sz w:val="24"/>
                <w:highlight w:val="none"/>
                <w:u w:val="singl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w:t>
            </w:r>
          </w:p>
        </w:tc>
        <w:tc>
          <w:tcPr>
            <w:tcW w:w="7633" w:type="dxa"/>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1.7.1</w:t>
            </w:r>
          </w:p>
        </w:tc>
        <w:tc>
          <w:tcPr>
            <w:tcW w:w="7633" w:type="dxa"/>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1.7.2</w:t>
            </w:r>
          </w:p>
        </w:tc>
        <w:tc>
          <w:tcPr>
            <w:tcW w:w="7633" w:type="dxa"/>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2.3.2</w:t>
            </w:r>
          </w:p>
        </w:tc>
        <w:tc>
          <w:tcPr>
            <w:tcW w:w="7633" w:type="dxa"/>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w:t>
            </w:r>
          </w:p>
        </w:tc>
        <w:tc>
          <w:tcPr>
            <w:tcW w:w="7633" w:type="dxa"/>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结算方式和付款条件</w:t>
            </w:r>
            <w:r>
              <w:rPr>
                <w:rFonts w:hint="eastAsia" w:ascii="仿宋" w:hAnsi="仿宋" w:eastAsia="仿宋"/>
                <w:color w:val="000000" w:themeColor="text1"/>
                <w:sz w:val="24"/>
                <w:highlight w:val="none"/>
                <w:lang w:val="en-US" w:eastAsia="zh-CN"/>
                <w14:textFill>
                  <w14:solidFill>
                    <w14:schemeClr w14:val="tx1"/>
                  </w14:solidFill>
                </w14:textFill>
              </w:rPr>
              <w:t>:</w:t>
            </w:r>
            <w:r>
              <w:rPr>
                <w:rFonts w:hint="eastAsia" w:ascii="仿宋" w:hAnsi="仿宋" w:eastAsia="仿宋"/>
                <w:color w:val="000000" w:themeColor="text1"/>
                <w:sz w:val="24"/>
                <w:highlight w:val="none"/>
                <w:lang w:eastAsia="zh-CN"/>
                <w14:textFill>
                  <w14:solidFill>
                    <w14:schemeClr w14:val="tx1"/>
                  </w14:solidFill>
                </w14:textFill>
              </w:rPr>
              <w:t>从开通次月起结算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2.15.2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2.15.3</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检验和验收标准</w:t>
            </w:r>
            <w:r>
              <w:rPr>
                <w:rFonts w:hint="eastAsia" w:ascii="仿宋" w:hAnsi="仿宋" w:eastAsia="仿宋"/>
                <w:color w:val="000000" w:themeColor="text1"/>
                <w:sz w:val="24"/>
                <w:highlight w:val="none"/>
                <w:lang w:val="en-US" w:eastAsia="zh-CN"/>
                <w14:textFill>
                  <w14:solidFill>
                    <w14:schemeClr w14:val="tx1"/>
                  </w14:solidFill>
                </w14:textFill>
              </w:rPr>
              <w:t>:以采购需求为准。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2.18.1</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default"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履约保证金：</w:t>
            </w: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2.18.2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本合同一式陆份，甲方执肆份、乙方执贰份。</w:t>
            </w:r>
          </w:p>
        </w:tc>
      </w:tr>
    </w:tbl>
    <w:p>
      <w:pPr>
        <w:pStyle w:val="5"/>
        <w:numPr>
          <w:ilvl w:val="0"/>
          <w:numId w:val="0"/>
        </w:numPr>
        <w:ind w:leftChars="0"/>
        <w:rPr>
          <w:highlight w:val="none"/>
        </w:rPr>
      </w:pPr>
    </w:p>
    <w:p>
      <w:pPr>
        <w:pStyle w:val="5"/>
        <w:numPr>
          <w:ilvl w:val="0"/>
          <w:numId w:val="0"/>
        </w:numPr>
        <w:ind w:leftChars="0"/>
        <w:rPr>
          <w:rFonts w:hint="eastAsia"/>
          <w:highlight w:val="none"/>
        </w:rPr>
      </w:pPr>
    </w:p>
    <w:p>
      <w:pPr>
        <w:rPr>
          <w:rFonts w:hint="eastAsia"/>
          <w:highlight w:val="none"/>
        </w:rPr>
      </w:pPr>
    </w:p>
    <w:p>
      <w:pPr>
        <w:widowControl/>
        <w:ind w:firstLine="1446" w:firstLineChars="400"/>
        <w:jc w:val="center"/>
        <w:rPr>
          <w:rFonts w:hint="eastAsia" w:ascii="仿宋_GB2312" w:hAnsi="仿宋" w:eastAsia="仿宋_GB2312" w:cs="仿宋_GB2312"/>
          <w:b/>
          <w:sz w:val="36"/>
          <w:szCs w:val="20"/>
          <w:highlight w:val="none"/>
        </w:rPr>
      </w:pPr>
    </w:p>
    <w:bookmarkEnd w:id="391"/>
    <w:bookmarkEnd w:id="392"/>
    <w:p>
      <w:pPr>
        <w:spacing w:line="560" w:lineRule="exact"/>
        <w:ind w:firstLine="1560" w:firstLineChars="65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p>
    <w:p>
      <w:pPr>
        <w:spacing w:line="560" w:lineRule="exact"/>
        <w:ind w:firstLine="2349" w:firstLineChars="650"/>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s="仿宋_GB2312"/>
          <w:b/>
          <w:color w:val="000000" w:themeColor="text1"/>
          <w:sz w:val="36"/>
          <w:szCs w:val="20"/>
          <w:highlight w:val="none"/>
          <w14:textFill>
            <w14:solidFill>
              <w14:schemeClr w14:val="tx1"/>
            </w14:solidFill>
          </w14:textFill>
        </w:rPr>
        <w:t>第六部分</w:t>
      </w:r>
      <w:r>
        <w:rPr>
          <w:rFonts w:ascii="仿宋" w:hAnsi="仿宋" w:eastAsia="仿宋" w:cs="仿宋_GB2312"/>
          <w:b/>
          <w:color w:val="000000" w:themeColor="text1"/>
          <w:sz w:val="36"/>
          <w:szCs w:val="20"/>
          <w:highlight w:val="none"/>
          <w14:textFill>
            <w14:solidFill>
              <w14:schemeClr w14:val="tx1"/>
            </w14:solidFill>
          </w14:textFill>
        </w:rPr>
        <w:t xml:space="preserve"> </w:t>
      </w:r>
      <w:r>
        <w:rPr>
          <w:rFonts w:hint="eastAsia" w:ascii="仿宋" w:hAnsi="仿宋" w:eastAsia="仿宋" w:cs="仿宋_GB2312"/>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adjustRightInd w:val="0"/>
        <w:snapToGrid w:val="0"/>
        <w:spacing w:line="360" w:lineRule="auto"/>
        <w:rPr>
          <w:rFonts w:ascii="仿宋_GB2312" w:hAnsi="仿宋" w:eastAsia="仿宋_GB2312" w:cs="仿宋_GB2312"/>
          <w:b/>
          <w:kern w:val="0"/>
          <w:sz w:val="32"/>
          <w:szCs w:val="32"/>
          <w:highlight w:val="none"/>
          <w:lang w:val="zh-CN"/>
        </w:rPr>
      </w:pPr>
    </w:p>
    <w:p>
      <w:pPr>
        <w:pStyle w:val="5"/>
        <w:numPr>
          <w:ilvl w:val="0"/>
          <w:numId w:val="0"/>
        </w:numPr>
        <w:ind w:leftChars="0"/>
        <w:rPr>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highlight w:val="none"/>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highlight w:val="none"/>
          <w:lang w:eastAsia="zh-CN"/>
          <w14:textFill>
            <w14:solidFill>
              <w14:schemeClr w14:val="tx1"/>
            </w14:solidFill>
          </w14:textFill>
        </w:rPr>
        <w:t>临安分中心</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我方参与</w:t>
      </w:r>
      <w:r>
        <w:rPr>
          <w:rFonts w:hint="eastAsia" w:ascii="仿宋_GB2312" w:hAnsi="仿宋"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highlight w:val="none"/>
          <w14:textFill>
            <w14:solidFill>
              <w14:schemeClr w14:val="tx1"/>
            </w14:solidFill>
          </w14:textFill>
        </w:rPr>
        <w:t>项目【招标编号：</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w:t>
      </w:r>
      <w:r>
        <w:rPr>
          <w:rFonts w:ascii="仿宋_GB2312" w:hAnsi="仿宋" w:eastAsia="仿宋_GB2312"/>
          <w:color w:val="000000" w:themeColor="text1"/>
          <w:sz w:val="24"/>
          <w:highlight w:val="none"/>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w:t>
      </w:r>
      <w:r>
        <w:rPr>
          <w:rFonts w:ascii="仿宋_GB2312" w:hAnsi="仿宋" w:eastAsia="仿宋_GB2312"/>
          <w:color w:val="000000" w:themeColor="text1"/>
          <w:sz w:val="24"/>
          <w:highlight w:val="none"/>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w:t>
      </w:r>
      <w:r>
        <w:rPr>
          <w:rFonts w:ascii="仿宋_GB2312" w:hAnsi="仿宋" w:eastAsia="仿宋_GB2312"/>
          <w:color w:val="000000" w:themeColor="text1"/>
          <w:sz w:val="24"/>
          <w:highlight w:val="none"/>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5、</w:t>
      </w:r>
      <w:r>
        <w:rPr>
          <w:rFonts w:ascii="仿宋_GB2312" w:hAnsi="仿宋" w:eastAsia="仿宋_GB2312"/>
          <w:color w:val="000000" w:themeColor="text1"/>
          <w:sz w:val="24"/>
          <w:highlight w:val="none"/>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6、</w:t>
      </w:r>
      <w:r>
        <w:rPr>
          <w:rFonts w:ascii="仿宋_GB2312" w:hAnsi="仿宋" w:eastAsia="仿宋_GB2312"/>
          <w:color w:val="000000" w:themeColor="text1"/>
          <w:sz w:val="24"/>
          <w:highlight w:val="none"/>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（二）未被信用中国（</w:t>
      </w:r>
      <w:r>
        <w:rPr>
          <w:rFonts w:ascii="仿宋_GB2312" w:hAnsi="仿宋" w:eastAsia="仿宋_GB2312"/>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pStyle w:val="5"/>
        <w:numPr>
          <w:ilvl w:val="0"/>
          <w:numId w:val="0"/>
        </w:numPr>
        <w:ind w:leftChars="0"/>
        <w:rPr>
          <w:highlight w:val="none"/>
        </w:rPr>
      </w:pPr>
    </w:p>
    <w:p>
      <w:pPr>
        <w:rPr>
          <w:color w:val="000000" w:themeColor="text1"/>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w:t>
      </w:r>
      <w:r>
        <w:rPr>
          <w:rFonts w:hint="eastAsia" w:ascii="仿宋_GB2312" w:hAnsi="仿宋" w:eastAsia="仿宋_GB2312"/>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A</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highlight w:val="none"/>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B.</w:t>
      </w:r>
      <w:r>
        <w:rPr>
          <w:rFonts w:hint="eastAsia" w:ascii="仿宋_GB2312" w:hAnsi="仿宋" w:eastAsia="仿宋_GB2312" w:cs="仿宋_GB2312"/>
          <w:color w:val="000000" w:themeColor="text1"/>
          <w:sz w:val="24"/>
          <w:highlight w:val="none"/>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highlight w:val="none"/>
          <w14:textFill>
            <w14:solidFill>
              <w14:schemeClr w14:val="tx1"/>
            </w14:solidFill>
          </w14:textFill>
        </w:rPr>
        <w:t>自愿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highlight w:val="none"/>
          <w14:textFill>
            <w14:solidFill>
              <w14:schemeClr w14:val="tx1"/>
            </w14:solidFill>
          </w14:textFill>
        </w:rPr>
        <w:t>参加</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highlight w:val="none"/>
          <w14:textFill>
            <w14:solidFill>
              <w14:schemeClr w14:val="tx1"/>
            </w14:solidFill>
          </w14:textFill>
        </w:rPr>
        <w:t>【招标编号：</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highlight w:val="none"/>
          <w14:textFill>
            <w14:solidFill>
              <w14:schemeClr w14:val="tx1"/>
            </w14:solidFill>
          </w14:textFill>
        </w:rPr>
        <w:t>为联合体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牵头人</w:t>
      </w:r>
      <w:r>
        <w:rPr>
          <w:rFonts w:hint="eastAsia" w:ascii="仿宋_GB2312" w:hAnsi="仿宋" w:eastAsia="仿宋_GB2312" w:cs="Arial"/>
          <w:color w:val="000000" w:themeColor="text1"/>
          <w:sz w:val="24"/>
          <w:highlight w:val="none"/>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w:t>
      </w:r>
      <w:r>
        <w:rPr>
          <w:rFonts w:hint="eastAsia" w:ascii="仿宋_GB2312" w:hAnsi="仿宋" w:eastAsia="仿宋_GB2312" w:cs="Arial"/>
          <w:color w:val="000000" w:themeColor="text1"/>
          <w:sz w:val="24"/>
          <w:highlight w:val="none"/>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w:t>
      </w: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五、如果中标，</w:t>
      </w:r>
      <w:r>
        <w:rPr>
          <w:rFonts w:hint="eastAsia" w:ascii="仿宋_GB2312" w:hAnsi="仿宋" w:eastAsia="仿宋_GB2312"/>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C、</w:t>
      </w:r>
      <w:r>
        <w:rPr>
          <w:rFonts w:hint="eastAsia" w:ascii="仿宋_GB2312" w:hAnsi="仿宋" w:eastAsia="仿宋_GB2312" w:cs="仿宋_GB2312"/>
          <w:color w:val="000000" w:themeColor="text1"/>
          <w:sz w:val="24"/>
          <w:highlight w:val="none"/>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若成为</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highlight w:val="none"/>
          <w14:textFill>
            <w14:solidFill>
              <w14:schemeClr w14:val="tx1"/>
            </w14:solidFill>
          </w14:textFill>
        </w:rPr>
        <w:t>【招标编号</w:t>
      </w:r>
      <w:r>
        <w:rPr>
          <w:rFonts w:hint="eastAsia" w:ascii="仿宋_GB2312" w:hAnsi="仿宋" w:eastAsia="仿宋_GB2312" w:cs="仿宋_GB2312"/>
          <w:color w:val="000000" w:themeColor="text1"/>
          <w:sz w:val="24"/>
          <w:highlight w:val="none"/>
          <w:u w:val="single"/>
          <w14:textFill>
            <w14:solidFill>
              <w14:schemeClr w14:val="tx1"/>
            </w14:solidFill>
          </w14:textFill>
        </w:rPr>
        <w:t>：</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14:textFill>
            <w14:solidFill>
              <w14:schemeClr w14:val="tx1"/>
            </w14:solidFill>
          </w14:textFill>
        </w:rPr>
        <w:t>与</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highlight w:val="none"/>
          <w14:textFill>
            <w14:solidFill>
              <w14:schemeClr w14:val="tx1"/>
            </w14:solidFill>
          </w14:textFill>
        </w:rPr>
        <w:t>达成分包意向协议</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将</w:t>
      </w:r>
      <w:r>
        <w:rPr>
          <w:rFonts w:ascii="仿宋_GB2312" w:hAnsi="仿宋" w:eastAsia="仿宋_GB2312"/>
          <w:color w:val="000000" w:themeColor="text1"/>
          <w:highlight w:val="none"/>
          <w:u w:val="single"/>
          <w14:textFill>
            <w14:solidFill>
              <w14:schemeClr w14:val="tx1"/>
            </w14:solidFill>
          </w14:textFill>
        </w:rPr>
        <w:t xml:space="preserve">   XX工作内容   </w:t>
      </w:r>
      <w:r>
        <w:rPr>
          <w:rFonts w:hint="eastAsia" w:ascii="仿宋_GB2312" w:hAnsi="仿宋" w:eastAsia="仿宋_GB2312" w:cs="Arial"/>
          <w:color w:val="000000" w:themeColor="text1"/>
          <w:sz w:val="24"/>
          <w:highlight w:val="none"/>
          <w14:textFill>
            <w14:solidFill>
              <w14:schemeClr w14:val="tx1"/>
            </w14:solidFill>
          </w14:textFill>
        </w:rPr>
        <w:t>分包给</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具备承</w:t>
      </w:r>
      <w:r>
        <w:rPr>
          <w:rFonts w:hint="eastAsia" w:ascii="仿宋_GB2312" w:hAnsi="仿宋" w:eastAsia="仿宋_GB2312" w:cs="仿宋_GB2312"/>
          <w:color w:val="000000" w:themeColor="text1"/>
          <w:kern w:val="0"/>
          <w:sz w:val="24"/>
          <w:highlight w:val="none"/>
          <w14:textFill>
            <w14:solidFill>
              <w14:schemeClr w14:val="tx1"/>
            </w14:solidFill>
          </w14:textFill>
        </w:rPr>
        <w:t>担</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相应资质条件且不得再次分包；</w:t>
      </w:r>
    </w:p>
    <w:p>
      <w:pPr>
        <w:pStyle w:val="5"/>
        <w:numPr>
          <w:ilvl w:val="0"/>
          <w:numId w:val="0"/>
        </w:numPr>
        <w:ind w:leftChars="411"/>
        <w:rPr>
          <w:color w:val="000000" w:themeColor="text1"/>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highlight w:val="none"/>
          <w:u w:val="single"/>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（根据招标公告本项目的特定资格要求</w:t>
      </w:r>
      <w:r>
        <w:rPr>
          <w:rFonts w:hint="eastAsia" w:ascii="仿宋_GB2312" w:hAnsi="仿宋" w:eastAsia="仿宋_GB2312"/>
          <w:color w:val="000000" w:themeColor="text1"/>
          <w:sz w:val="24"/>
          <w:highlight w:val="none"/>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 w:eastAsia="仿宋_GB2312" w:cs="仿宋_GB2312"/>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1）投标函</w:t>
      </w:r>
      <w:r>
        <w:rPr>
          <w:rFonts w:hint="eastAsia" w:cs="仿宋_GB2312"/>
          <w:color w:val="000000" w:themeColor="text1"/>
          <w:highlight w:val="none"/>
          <w14:textFill>
            <w14:solidFill>
              <w14:schemeClr w14:val="tx1"/>
            </w14:solidFill>
          </w14:textFill>
        </w:rPr>
        <w:t>…………………………………………………………………………………（页码）</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2）授权委托书或法定代表人（单位负责人、自然人本人）身份证明</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3）联合协议</w:t>
      </w:r>
      <w:r>
        <w:rPr>
          <w:rFonts w:hint="eastAsia" w:cs="仿宋_GB2312"/>
          <w:color w:val="000000" w:themeColor="text1"/>
          <w:highlight w:val="none"/>
          <w14:textFill>
            <w14:solidFill>
              <w14:schemeClr w14:val="tx1"/>
            </w14:solidFill>
          </w14:textFill>
        </w:rPr>
        <w:t>………………………………………………………………………………（页码）</w:t>
      </w:r>
    </w:p>
    <w:p>
      <w:pPr>
        <w:snapToGrid w:val="0"/>
        <w:spacing w:line="360" w:lineRule="auto"/>
        <w:ind w:firstLine="480" w:firstLineChars="200"/>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4）分包意向协议</w:t>
      </w:r>
      <w:r>
        <w:rPr>
          <w:rFonts w:hint="eastAsia" w:cs="仿宋_GB2312"/>
          <w:color w:val="000000" w:themeColor="text1"/>
          <w:highlight w:val="none"/>
          <w14:textFill>
            <w14:solidFill>
              <w14:schemeClr w14:val="tx1"/>
            </w14:solidFill>
          </w14:textFill>
        </w:rPr>
        <w:t>…………………………………………………………………………（页码）</w:t>
      </w:r>
    </w:p>
    <w:p>
      <w:pPr>
        <w:snapToGrid w:val="0"/>
        <w:spacing w:line="360" w:lineRule="auto"/>
        <w:ind w:firstLine="480" w:firstLineChars="200"/>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5）符合性审查资料</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6）评标标准相应的商务技术资料</w:t>
      </w:r>
      <w:r>
        <w:rPr>
          <w:rFonts w:hint="eastAsia" w:cs="仿宋_GB2312"/>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7）商务技术偏离表</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r>
        <w:rPr>
          <w:rFonts w:hint="eastAsia" w:cs="仿宋_GB2312"/>
          <w:color w:val="000000" w:themeColor="text1"/>
          <w:highlight w:val="none"/>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pStyle w:val="5"/>
        <w:numPr>
          <w:ilvl w:val="0"/>
          <w:numId w:val="0"/>
        </w:numPr>
        <w:ind w:leftChars="0"/>
        <w:rPr>
          <w:highlight w:val="none"/>
        </w:rPr>
      </w:pPr>
    </w:p>
    <w:p>
      <w:pPr>
        <w:rPr>
          <w:highlight w:val="none"/>
        </w:rPr>
      </w:pP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snapToGrid w:val="0"/>
        <w:spacing w:line="360" w:lineRule="auto"/>
        <w:jc w:val="center"/>
        <w:outlineLvl w:val="0"/>
        <w:rPr>
          <w:rFonts w:ascii="仿宋_GB2312" w:hAnsi="仿宋" w:eastAsia="仿宋_GB2312" w:cs="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一、投标</w:t>
      </w:r>
      <w:r>
        <w:rPr>
          <w:rFonts w:hint="eastAsia" w:ascii="仿宋_GB2312" w:hAnsi="仿宋" w:eastAsia="仿宋_GB2312" w:cs="仿宋_GB2312"/>
          <w:b/>
          <w:color w:val="000000" w:themeColor="text1"/>
          <w:sz w:val="32"/>
          <w:szCs w:val="32"/>
          <w:highlight w:val="none"/>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highlight w:val="none"/>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highlight w:val="none"/>
          <w:lang w:eastAsia="zh-CN"/>
          <w14:textFill>
            <w14:solidFill>
              <w14:schemeClr w14:val="tx1"/>
            </w14:solidFill>
          </w14:textFill>
        </w:rPr>
        <w:t>临安分中心</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snapToGrid w:val="0"/>
        <w:spacing w:line="360" w:lineRule="auto"/>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snapToGrid w:val="0"/>
        <w:spacing w:line="360" w:lineRule="auto"/>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spacing w:line="360" w:lineRule="auto"/>
        <w:ind w:firstLine="3600" w:firstLineChars="1500"/>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highlight w:val="none"/>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2872" w:firstLineChars="894"/>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授权委托书（适用于非联合体投标）</w:t>
      </w:r>
      <w:r>
        <w:rPr>
          <w:color w:val="000000" w:themeColor="text1"/>
          <w:highlight w:val="none"/>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highlight w:val="none"/>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highlight w:val="none"/>
          <w:lang w:eastAsia="zh-CN"/>
          <w14:textFill>
            <w14:solidFill>
              <w14:schemeClr w14:val="tx1"/>
            </w14:solidFill>
          </w14:textFill>
        </w:rPr>
        <w:t>临安分中心</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highlight w:val="none"/>
          <w14:textFill>
            <w14:solidFill>
              <w14:schemeClr w14:val="tx1"/>
            </w14:solidFill>
          </w14:textFill>
        </w:rPr>
        <w:t>【招标编号：</w:t>
      </w:r>
      <w:r>
        <w:rPr>
          <w:rFonts w:hint="eastAsia" w:ascii="仿宋_GB2312" w:hAnsi="仿宋"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highlight w:val="none"/>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highlight w:val="none"/>
          <w:lang w:eastAsia="zh-CN"/>
          <w14:textFill>
            <w14:solidFill>
              <w14:schemeClr w14:val="tx1"/>
            </w14:solidFill>
          </w14:textFill>
        </w:rPr>
        <w:t>临安分中心</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highlight w:val="none"/>
          <w14:textFill>
            <w14:solidFill>
              <w14:schemeClr w14:val="tx1"/>
            </w14:solidFill>
          </w14:textFill>
        </w:rPr>
        <w:t>【招标编号：</w:t>
      </w:r>
      <w:r>
        <w:rPr>
          <w:rFonts w:hint="eastAsia" w:ascii="仿宋_GB2312" w:hAnsi="仿宋"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646"/>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adjustRightInd w:val="0"/>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正面：</w:t>
            </w:r>
            <w:r>
              <w:rPr>
                <w:rFonts w:ascii="仿宋_GB2312" w:hAnsi="仿宋" w:eastAsia="仿宋_GB2312"/>
                <w:bCs/>
                <w:color w:val="000000" w:themeColor="text1"/>
                <w:sz w:val="24"/>
                <w:highlight w:val="none"/>
                <w14:textFill>
                  <w14:solidFill>
                    <w14:schemeClr w14:val="tx1"/>
                  </w14:solidFill>
                </w14:textFill>
              </w:rPr>
              <w:t xml:space="preserve">                                 </w:t>
            </w:r>
            <w:r>
              <w:rPr>
                <w:rFonts w:hint="eastAsia" w:ascii="仿宋_GB2312" w:hAnsi="仿宋" w:eastAsia="仿宋_GB2312"/>
                <w:bCs/>
                <w:color w:val="000000" w:themeColor="text1"/>
                <w:sz w:val="24"/>
                <w:highlight w:val="none"/>
                <w14:textFill>
                  <w14:solidFill>
                    <w14:schemeClr w14:val="tx1"/>
                  </w14:solidFill>
                </w14:textFill>
              </w:rPr>
              <w:t>反面：</w:t>
            </w:r>
          </w:p>
          <w:p>
            <w:pPr>
              <w:pStyle w:val="646"/>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ascii="仿宋_GB2312" w:hAnsi="仿宋" w:eastAsia="仿宋_GB2312" w:cs="仿宋_GB2312"/>
          <w:b/>
          <w:kern w:val="0"/>
          <w:sz w:val="24"/>
          <w:highlight w:val="none"/>
          <w:lang w:val="zh-CN"/>
        </w:rPr>
        <w:t>3%的扣除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5"/>
        <w:numPr>
          <w:ilvl w:val="0"/>
          <w:numId w:val="0"/>
        </w:numPr>
        <w:ind w:leftChars="411"/>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ascii="仿宋_GB2312" w:hAnsi="仿宋" w:eastAsia="仿宋_GB2312" w:cs="仿宋_GB2312"/>
          <w:b/>
          <w:kern w:val="0"/>
          <w:sz w:val="24"/>
          <w:highlight w:val="none"/>
          <w:lang w:val="zh-CN"/>
        </w:rPr>
        <w:t>3%的扣除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w:t>
            </w:r>
            <w:r>
              <w:rPr>
                <w:rFonts w:hint="eastAsia" w:ascii="仿宋_GB2312" w:hAnsi="仿宋" w:eastAsia="仿宋_GB2312" w:cs="仿宋_GB2312"/>
                <w:color w:val="000000" w:themeColor="text1"/>
                <w:sz w:val="24"/>
                <w:highlight w:val="none"/>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需要使用电子签名或者签字盖章的投标文件的组成部分</w:t>
            </w:r>
          </w:p>
        </w:tc>
        <w:tc>
          <w:tcPr>
            <w:tcW w:w="1418" w:type="dxa"/>
          </w:tcPr>
          <w:p>
            <w:pPr>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jc w:val="center"/>
              <w:rPr>
                <w:color w:val="000000" w:themeColor="text1"/>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第</w:t>
            </w:r>
            <w:r>
              <w:rPr>
                <w:rFonts w:ascii="仿宋" w:eastAsia="仿宋" w:cs="仿宋_GB2312"/>
                <w:color w:val="000000" w:themeColor="text1"/>
                <w:sz w:val="24"/>
                <w:highlight w:val="none"/>
                <w:u w:val="single"/>
                <w14:textFill>
                  <w14:solidFill>
                    <w14:schemeClr w14:val="tx1"/>
                  </w14:solidFill>
                </w14:textFill>
              </w:rPr>
              <w:t xml:space="preserve">  </w:t>
            </w:r>
            <w:r>
              <w:rPr>
                <w:rFonts w:hint="eastAsia" w:asci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节能产品认证证书（本项目</w:t>
            </w:r>
            <w:r>
              <w:rPr>
                <w:rFonts w:hint="eastAsia" w:ascii="仿宋_GB2312" w:hAnsi="仿宋" w:eastAsia="仿宋_GB2312"/>
                <w:color w:val="000000" w:themeColor="text1"/>
                <w:sz w:val="24"/>
                <w:highlight w:val="none"/>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highlight w:val="none"/>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highlight w:val="none"/>
                <w14:textFill>
                  <w14:solidFill>
                    <w14:schemeClr w14:val="tx1"/>
                  </w14:solidFill>
                </w14:textFill>
              </w:rPr>
            </w:pPr>
          </w:p>
          <w:p>
            <w:pPr>
              <w:jc w:val="center"/>
              <w:rPr>
                <w:rFonts w:ascii="仿宋" w:hAnsi="仿宋" w:eastAsia="仿宋" w:cs="仿宋_GB2312"/>
                <w:color w:val="000000" w:themeColor="text1"/>
                <w:sz w:val="24"/>
                <w:highlight w:val="none"/>
                <w14:textFill>
                  <w14:solidFill>
                    <w14:schemeClr w14:val="tx1"/>
                  </w14:solidFill>
                </w14:textFill>
              </w:rPr>
            </w:pPr>
          </w:p>
          <w:p>
            <w:pPr>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pStyle w:val="5"/>
              <w:numPr>
                <w:ilvl w:val="0"/>
                <w:numId w:val="0"/>
              </w:numPr>
              <w:ind w:leftChars="0"/>
              <w:jc w:val="center"/>
              <w:rPr>
                <w:color w:val="000000" w:themeColor="text1"/>
                <w:highlight w:val="none"/>
                <w:lang w:val="en-US"/>
                <w14:textFill>
                  <w14:solidFill>
                    <w14:schemeClr w14:val="tx1"/>
                  </w14:solidFill>
                </w14:textFill>
              </w:rPr>
            </w:pPr>
            <w:r>
              <w:rPr>
                <w:rFonts w:hint="eastAsia" w:ascii="仿宋" w:eastAsia="仿宋" w:cs="仿宋_GB2312"/>
                <w:b w:val="0"/>
                <w:bCs w:val="0"/>
                <w:color w:val="000000" w:themeColor="text1"/>
                <w:sz w:val="24"/>
                <w:szCs w:val="24"/>
                <w:highlight w:val="none"/>
                <w:lang w:val="en-US"/>
                <w14:textFill>
                  <w14:solidFill>
                    <w14:schemeClr w14:val="tx1"/>
                  </w14:solidFill>
                </w14:textFill>
              </w:rPr>
              <w:t>第</w:t>
            </w:r>
            <w:r>
              <w:rPr>
                <w:rFonts w:ascii="仿宋" w:eastAsia="仿宋" w:cs="仿宋_GB2312"/>
                <w:b w:val="0"/>
                <w:bCs w:val="0"/>
                <w:color w:val="000000" w:themeColor="text1"/>
                <w:sz w:val="24"/>
                <w:szCs w:val="24"/>
                <w:highlight w:val="none"/>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投标函</w:t>
            </w:r>
          </w:p>
        </w:tc>
        <w:tc>
          <w:tcPr>
            <w:tcW w:w="1418" w:type="dxa"/>
          </w:tcPr>
          <w:p>
            <w:pPr>
              <w:jc w:val="cente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不存在如下情形：投标文件不满足招标文件的其它实质性要求。</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除上述三项实质性要求外，招标文件其它实质性要求相应的材料（“▲”</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14:textFill>
                  <w14:solidFill>
                    <w14:schemeClr w14:val="tx1"/>
                  </w14:solidFill>
                </w14:textFill>
              </w:rPr>
              <w:t>系指实质性要求条款，招标文件无其它实质性要求的，无需提供）</w:t>
            </w:r>
          </w:p>
        </w:tc>
        <w:tc>
          <w:tcPr>
            <w:tcW w:w="1418" w:type="dxa"/>
          </w:tcPr>
          <w:p>
            <w:pPr>
              <w:jc w:val="cente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bl>
    <w:p>
      <w:pPr>
        <w:jc w:val="left"/>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八、</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highlight w:val="none"/>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highlight w:val="none"/>
          <w:lang w:eastAsia="zh-CN"/>
          <w14:textFill>
            <w14:solidFill>
              <w14:schemeClr w14:val="tx1"/>
            </w14:solidFill>
          </w14:textFill>
        </w:rPr>
        <w:t>临安分中心</w:t>
      </w:r>
      <w:r>
        <w:rPr>
          <w:rFonts w:hint="eastAsia" w:ascii="仿宋_GB2312" w:hAnsi="仿宋" w:eastAsia="仿宋_GB2312" w:cs="仿宋_GB2312"/>
          <w:color w:val="000000" w:themeColor="text1"/>
          <w:sz w:val="24"/>
          <w:highlight w:val="none"/>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投标人名称（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spacing w:line="360" w:lineRule="auto"/>
        <w:ind w:left="4620" w:leftChars="2200"/>
        <w:rPr>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年   月   日</w:t>
      </w: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adjustRightInd w:val="0"/>
        <w:snapToGrid w:val="0"/>
        <w:spacing w:line="360" w:lineRule="auto"/>
        <w:ind w:firstLine="3614" w:firstLineChars="100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adjustRightInd w:val="0"/>
        <w:spacing w:line="360" w:lineRule="auto"/>
        <w:jc w:val="center"/>
        <w:outlineLvl w:val="0"/>
        <w:rPr>
          <w:rFonts w:ascii="仿宋_GB2312" w:hAnsi="仿宋" w:eastAsia="仿宋_GB2312" w:cs="仿宋_GB2312"/>
          <w:b/>
          <w:kern w:val="0"/>
          <w:sz w:val="24"/>
          <w:szCs w:val="24"/>
          <w:highlight w:val="none"/>
        </w:rPr>
      </w:pPr>
    </w:p>
    <w:p>
      <w:pPr>
        <w:adjustRightInd w:val="0"/>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1）开标一览表（报价表）……</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2）中小企业声明函……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adjustRightInd w:val="0"/>
        <w:spacing w:line="360" w:lineRule="auto"/>
        <w:ind w:left="2" w:firstLine="480" w:firstLineChars="200"/>
        <w:rPr>
          <w:rFonts w:ascii="仿宋_GB2312" w:hAnsi="仿宋" w:eastAsia="仿宋_GB2312" w:cs="仿宋_GB2312"/>
          <w:sz w:val="24"/>
          <w:szCs w:val="24"/>
          <w:highlight w:val="none"/>
        </w:rPr>
      </w:pPr>
    </w:p>
    <w:p>
      <w:pPr>
        <w:adjustRightInd w:val="0"/>
        <w:spacing w:line="360" w:lineRule="auto"/>
        <w:ind w:left="2" w:firstLine="480" w:firstLineChars="200"/>
        <w:rPr>
          <w:rFonts w:ascii="仿宋_GB2312" w:hAnsi="仿宋" w:eastAsia="仿宋_GB2312" w:cs="仿宋_GB2312"/>
          <w:sz w:val="24"/>
          <w:szCs w:val="24"/>
          <w:highlight w:val="none"/>
        </w:rPr>
      </w:pPr>
    </w:p>
    <w:p>
      <w:pPr>
        <w:adjustRightInd w:val="0"/>
        <w:spacing w:line="360" w:lineRule="auto"/>
        <w:ind w:left="2" w:firstLine="480" w:firstLineChars="200"/>
        <w:rPr>
          <w:rFonts w:ascii="仿宋_GB2312" w:hAnsi="仿宋" w:eastAsia="仿宋_GB2312" w:cs="仿宋_GB2312"/>
          <w:sz w:val="24"/>
          <w:szCs w:val="24"/>
          <w:highlight w:val="none"/>
        </w:rPr>
      </w:pPr>
    </w:p>
    <w:p>
      <w:pPr>
        <w:adjustRightInd w:val="0"/>
        <w:spacing w:line="360" w:lineRule="auto"/>
        <w:ind w:left="2" w:firstLine="480" w:firstLineChars="200"/>
        <w:rPr>
          <w:rFonts w:ascii="仿宋_GB2312" w:hAnsi="仿宋" w:eastAsia="仿宋_GB2312" w:cs="仿宋_GB2312"/>
          <w:sz w:val="24"/>
          <w:szCs w:val="24"/>
          <w:highlight w:val="none"/>
        </w:rPr>
      </w:pPr>
    </w:p>
    <w:p>
      <w:pPr>
        <w:adjustRightInd w:val="0"/>
        <w:spacing w:line="360" w:lineRule="auto"/>
        <w:ind w:left="2" w:firstLine="480" w:firstLineChars="200"/>
        <w:rPr>
          <w:rFonts w:ascii="仿宋_GB2312" w:hAnsi="仿宋" w:eastAsia="仿宋_GB2312" w:cs="仿宋_GB2312"/>
          <w:sz w:val="24"/>
          <w:szCs w:val="24"/>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before="120" w:after="120" w:line="360" w:lineRule="auto"/>
        <w:ind w:firstLine="643"/>
        <w:jc w:val="center"/>
        <w:rPr>
          <w:rFonts w:hint="eastAsia" w:ascii="仿宋_GB2312" w:hAnsi="仿宋" w:eastAsia="仿宋_GB2312" w:cs="仿宋_GB2312"/>
          <w:b/>
          <w:sz w:val="32"/>
          <w:szCs w:val="32"/>
          <w:highlight w:val="none"/>
        </w:rPr>
      </w:pPr>
    </w:p>
    <w:p>
      <w:pPr>
        <w:pStyle w:val="625"/>
        <w:keepNext w:val="0"/>
        <w:pageBreakBefore w:val="0"/>
        <w:tabs>
          <w:tab w:val="clear" w:pos="720"/>
        </w:tabs>
        <w:snapToGrid w:val="0"/>
        <w:spacing w:before="120" w:after="120"/>
        <w:ind w:firstLine="643"/>
        <w:outlineLvl w:val="9"/>
        <w:rPr>
          <w:rFonts w:ascii="仿宋_GB2312" w:hAnsi="仿宋" w:eastAsia="仿宋_GB2312" w:cs="仿宋_GB2312"/>
          <w:b/>
          <w:sz w:val="32"/>
          <w:szCs w:val="32"/>
          <w:highlight w:val="none"/>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highlight w:val="none"/>
        </w:rPr>
      </w:pPr>
      <w:bookmarkStart w:id="504" w:name="_Toc86217005"/>
      <w:r>
        <w:rPr>
          <w:rFonts w:hint="eastAsia" w:ascii="仿宋_GB2312" w:hAnsi="仿宋" w:eastAsia="仿宋_GB2312" w:cs="仿宋_GB2312"/>
          <w:sz w:val="24"/>
          <w:szCs w:val="24"/>
          <w:highlight w:val="none"/>
        </w:rPr>
        <w:t>XXX（采购人名称）、杭州市公共资源交易中心</w:t>
      </w:r>
      <w:r>
        <w:rPr>
          <w:rFonts w:hint="eastAsia" w:ascii="仿宋_GB2312" w:hAnsi="仿宋" w:eastAsia="仿宋_GB2312" w:cs="仿宋_GB2312"/>
          <w:sz w:val="24"/>
          <w:szCs w:val="24"/>
          <w:highlight w:val="none"/>
          <w:lang w:eastAsia="zh-CN"/>
        </w:rPr>
        <w:t>临安分中心</w:t>
      </w:r>
      <w:r>
        <w:rPr>
          <w:rFonts w:hint="eastAsia" w:ascii="仿宋_GB2312" w:hAnsi="仿宋" w:eastAsia="仿宋_GB2312" w:cs="仿宋_GB2312"/>
          <w:kern w:val="0"/>
          <w:sz w:val="24"/>
          <w:szCs w:val="24"/>
          <w:highlight w:val="none"/>
          <w:lang w:val="zh-CN"/>
        </w:rPr>
        <w:t>：</w:t>
      </w:r>
    </w:p>
    <w:p>
      <w:pPr>
        <w:adjustRightInd w:val="0"/>
        <w:snapToGrid w:val="0"/>
        <w:spacing w:line="360" w:lineRule="auto"/>
        <w:ind w:firstLine="482"/>
        <w:rPr>
          <w:rFonts w:ascii="仿宋_GB2312" w:hAnsi="仿宋" w:eastAsia="仿宋_GB2312" w:cs="仿宋_GB2312"/>
          <w:kern w:val="0"/>
          <w:sz w:val="24"/>
          <w:szCs w:val="24"/>
          <w:highlight w:val="none"/>
          <w:lang w:val="zh-CN"/>
        </w:rPr>
      </w:pPr>
      <w:r>
        <w:rPr>
          <w:rFonts w:hint="eastAsia" w:ascii="仿宋_GB2312" w:hAnsi="仿宋" w:eastAsia="仿宋_GB2312" w:cs="仿宋_GB2312"/>
          <w:kern w:val="0"/>
          <w:sz w:val="24"/>
          <w:szCs w:val="24"/>
          <w:highlight w:val="none"/>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highlight w:val="none"/>
          <w:u w:val="single"/>
          <w:lang w:val="en-US" w:eastAsia="zh-CN"/>
        </w:rPr>
        <w:t xml:space="preserve">      （</w:t>
      </w:r>
      <w:r>
        <w:rPr>
          <w:rFonts w:hint="eastAsia" w:ascii="仿宋_GB2312" w:hAnsi="仿宋" w:eastAsia="仿宋_GB2312" w:cs="仿宋_GB2312"/>
          <w:sz w:val="24"/>
          <w:szCs w:val="24"/>
          <w:highlight w:val="none"/>
          <w:u w:val="single"/>
          <w:lang w:eastAsia="zh-CN"/>
        </w:rPr>
        <w:t>项目名称）</w:t>
      </w:r>
      <w:r>
        <w:rPr>
          <w:rFonts w:hint="eastAsia" w:ascii="仿宋_GB2312" w:hAnsi="仿宋" w:eastAsia="仿宋_GB2312" w:cs="仿宋_GB2312"/>
          <w:kern w:val="0"/>
          <w:sz w:val="24"/>
          <w:szCs w:val="24"/>
          <w:highlight w:val="none"/>
          <w:lang w:val="zh-CN"/>
        </w:rPr>
        <w:t>【招标编号：</w:t>
      </w:r>
      <w:r>
        <w:rPr>
          <w:rFonts w:hint="eastAsia" w:ascii="仿宋_GB2312" w:hAnsi="仿宋" w:eastAsia="仿宋_GB2312" w:cs="仿宋_GB2312"/>
          <w:sz w:val="24"/>
          <w:szCs w:val="24"/>
          <w:highlight w:val="none"/>
          <w:u w:val="single"/>
          <w:lang w:val="en-US" w:eastAsia="zh-CN"/>
        </w:rPr>
        <w:t xml:space="preserve">     </w:t>
      </w:r>
      <w:r>
        <w:rPr>
          <w:rFonts w:hint="eastAsia" w:ascii="仿宋_GB2312" w:hAnsi="仿宋" w:eastAsia="仿宋_GB2312" w:cs="仿宋_GB2312"/>
          <w:sz w:val="24"/>
          <w:szCs w:val="24"/>
          <w:highlight w:val="none"/>
        </w:rPr>
        <w:t>】</w:t>
      </w:r>
      <w:r>
        <w:rPr>
          <w:rFonts w:hint="eastAsia" w:ascii="仿宋_GB2312" w:hAnsi="仿宋" w:eastAsia="仿宋_GB2312" w:cs="仿宋_GB2312"/>
          <w:color w:val="000000" w:themeColor="text1"/>
          <w:sz w:val="24"/>
          <w:highlight w:val="none"/>
          <w14:textFill>
            <w14:solidFill>
              <w14:schemeClr w14:val="tx1"/>
            </w14:solidFill>
          </w14:textFill>
        </w:rPr>
        <w:t>的实施</w:t>
      </w:r>
      <w:r>
        <w:rPr>
          <w:rFonts w:hint="eastAsia" w:ascii="仿宋_GB2312" w:hAnsi="仿宋" w:eastAsia="仿宋_GB2312" w:cs="仿宋_GB2312"/>
          <w:kern w:val="0"/>
          <w:sz w:val="24"/>
          <w:szCs w:val="24"/>
          <w:highlight w:val="none"/>
          <w:lang w:val="zh-CN"/>
        </w:rPr>
        <w:t>。</w:t>
      </w:r>
    </w:p>
    <w:p>
      <w:pPr>
        <w:spacing w:line="360" w:lineRule="auto"/>
        <w:jc w:val="center"/>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开标一览表（报价表）</w:t>
      </w:r>
      <w:r>
        <w:rPr>
          <w:rFonts w:ascii="仿宋_GB2312" w:hAnsi="仿宋" w:eastAsia="仿宋_GB2312" w:cs="仿宋_GB2312"/>
          <w:b/>
          <w:color w:val="000000" w:themeColor="text1"/>
          <w:kern w:val="0"/>
          <w:sz w:val="24"/>
          <w:highlight w:val="none"/>
          <w:lang w:val="zh-CN"/>
          <w14:textFill>
            <w14:solidFill>
              <w14:schemeClr w14:val="tx1"/>
            </w14:solidFill>
          </w14:textFill>
        </w:rPr>
        <w:t>(单位均为人民币元)</w:t>
      </w:r>
    </w:p>
    <w:tbl>
      <w:tblPr>
        <w:tblStyle w:val="62"/>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6"/>
        <w:gridCol w:w="1385"/>
        <w:gridCol w:w="1186"/>
        <w:gridCol w:w="855"/>
        <w:gridCol w:w="1485"/>
        <w:gridCol w:w="1275"/>
        <w:gridCol w:w="85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0" w:hRule="atLeast"/>
        </w:trPr>
        <w:tc>
          <w:tcPr>
            <w:tcW w:w="456" w:type="dxa"/>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序号</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服务产品</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资源类别</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单位</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最高限</w:t>
            </w:r>
            <w:r>
              <w:rPr>
                <w:rFonts w:hint="default" w:ascii="仿宋_GB2312" w:hAnsi="宋体" w:eastAsia="仿宋_GB2312" w:cs="仿宋_GB2312"/>
                <w:b/>
                <w:bCs/>
                <w:i w:val="0"/>
                <w:iCs w:val="0"/>
                <w:color w:val="000000"/>
                <w:kern w:val="0"/>
                <w:sz w:val="24"/>
                <w:szCs w:val="24"/>
                <w:highlight w:val="none"/>
                <w:u w:val="none"/>
                <w:lang w:val="en-US" w:eastAsia="zh-CN" w:bidi="ar"/>
              </w:rPr>
              <w:t>价</w:t>
            </w:r>
            <w:r>
              <w:rPr>
                <w:rFonts w:hint="eastAsia" w:ascii="仿宋_GB2312" w:hAnsi="宋体" w:eastAsia="仿宋_GB2312" w:cs="仿宋_GB2312"/>
                <w:b/>
                <w:bCs/>
                <w:i w:val="0"/>
                <w:iCs w:val="0"/>
                <w:color w:val="000000"/>
                <w:kern w:val="0"/>
                <w:sz w:val="24"/>
                <w:szCs w:val="24"/>
                <w:highlight w:val="none"/>
                <w:u w:val="none"/>
                <w:lang w:val="en-US" w:eastAsia="zh-CN" w:bidi="ar"/>
              </w:rPr>
              <w:t>（元/月）</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报价（元/月）</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服务年限</w:t>
            </w: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3" w:hRule="atLeast"/>
        </w:trPr>
        <w:tc>
          <w:tcPr>
            <w:tcW w:w="456"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1385"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云服务器(ECS)</w:t>
            </w:r>
          </w:p>
        </w:tc>
        <w:tc>
          <w:tcPr>
            <w:tcW w:w="1186"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一核</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1GB</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84</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1590"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以1核1G/2G/4G/8G分别为例，按例计价，1例起计，例：4核8G=（1核2G）*4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2GB</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129</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4GB</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219</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8GB</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399</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高效云盘</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100G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56</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SSD云盘</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100G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203</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6"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对象存储（OSS）</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存储空间</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0.23</w:t>
            </w:r>
          </w:p>
        </w:tc>
        <w:tc>
          <w:tcPr>
            <w:tcW w:w="1275" w:type="dxa"/>
            <w:shd w:val="clear" w:color="auto" w:fill="auto"/>
            <w:vAlign w:val="bottom"/>
          </w:tcPr>
          <w:p>
            <w:pPr>
              <w:jc w:val="center"/>
              <w:rPr>
                <w:rFonts w:hint="default" w:ascii="仿宋_GB2312" w:hAnsi="宋体" w:eastAsia="仿宋_GB2312" w:cs="仿宋_GB2312"/>
                <w:i w:val="0"/>
                <w:iCs w:val="0"/>
                <w:color w:val="000000"/>
                <w:sz w:val="24"/>
                <w:szCs w:val="24"/>
                <w:highlight w:val="none"/>
                <w:u w:val="single"/>
              </w:rPr>
            </w:pPr>
          </w:p>
        </w:tc>
        <w:tc>
          <w:tcPr>
            <w:tcW w:w="855" w:type="dxa"/>
            <w:shd w:val="clear" w:color="auto" w:fill="auto"/>
            <w:vAlign w:val="bottom"/>
          </w:tcPr>
          <w:p>
            <w:pPr>
              <w:jc w:val="center"/>
              <w:rPr>
                <w:rFonts w:hint="default" w:ascii="仿宋_GB2312" w:hAnsi="宋体" w:eastAsia="仿宋_GB2312" w:cs="仿宋_GB2312"/>
                <w:i w:val="0"/>
                <w:iCs w:val="0"/>
                <w:color w:val="000000"/>
                <w:sz w:val="24"/>
                <w:szCs w:val="24"/>
                <w:highlight w:val="none"/>
                <w:u w:val="single"/>
              </w:rPr>
            </w:pPr>
          </w:p>
        </w:tc>
        <w:tc>
          <w:tcPr>
            <w:tcW w:w="1590" w:type="dxa"/>
            <w:shd w:val="clear" w:color="auto" w:fill="auto"/>
            <w:vAlign w:val="bottom"/>
          </w:tcPr>
          <w:p>
            <w:pPr>
              <w:jc w:val="center"/>
              <w:rPr>
                <w:rFonts w:hint="default" w:ascii="仿宋_GB2312" w:hAnsi="宋体" w:eastAsia="仿宋_GB2312" w:cs="仿宋_GB2312"/>
                <w:i w:val="0"/>
                <w:iCs w:val="0"/>
                <w:color w:val="00000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0"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3</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独立租户（VPC）</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系统VPC独立租户（一次性端口费）</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项</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4</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管理服务（包含移动端）</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云资源综合管理平台</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套</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trPr>
        <w:tc>
          <w:tcPr>
            <w:tcW w:w="456"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w:t>
            </w:r>
          </w:p>
        </w:tc>
        <w:tc>
          <w:tcPr>
            <w:tcW w:w="1385"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云数据库MySQL</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内存</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1GB</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113</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按内存计费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数据库存储</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2.2</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云数据库MS SQL Server</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内存</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1GB</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113</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按内存计费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数据库存储</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2.2</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456"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6</w:t>
            </w:r>
          </w:p>
        </w:tc>
        <w:tc>
          <w:tcPr>
            <w:tcW w:w="1385"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ORACLE数据库</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CPU</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核</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1100</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1590"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不含RAC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内存</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650</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CPU</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核</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1300</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1590"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含RAC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内存</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850</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存储</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1.8</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7</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SLB负载均衡</w:t>
            </w:r>
          </w:p>
        </w:tc>
        <w:tc>
          <w:tcPr>
            <w:tcW w:w="2041" w:type="dxa"/>
            <w:gridSpan w:val="2"/>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项</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按租户报价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trPr>
        <w:tc>
          <w:tcPr>
            <w:tcW w:w="456"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8</w:t>
            </w:r>
          </w:p>
        </w:tc>
        <w:tc>
          <w:tcPr>
            <w:tcW w:w="1385"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大数据计算服务（Maxcompute）</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存储</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GB</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1.2</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备注：存储不超过50TB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计算</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CU</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56</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1CU=1核4G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0"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9</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分析型数据库MySQL 2.0版</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C1（ECU规格：7.5GB Mem/60GB SSD Disk/48Mbps Net）</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对</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430</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采用全SSD存储的高性能ECU类型，适合并发量大，延迟敏感型业务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7"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10</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分布式关系数据库（DRDS）</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1</w:t>
            </w:r>
            <w:r>
              <w:rPr>
                <w:rFonts w:hint="default" w:ascii="仿宋_GB2312" w:hAnsi="宋体" w:eastAsia="仿宋_GB2312" w:cs="仿宋_GB2312"/>
                <w:i w:val="0"/>
                <w:iCs w:val="0"/>
                <w:color w:val="auto"/>
                <w:kern w:val="0"/>
                <w:sz w:val="24"/>
                <w:szCs w:val="24"/>
                <w:highlight w:val="none"/>
                <w:u w:val="none"/>
                <w:lang w:val="en-US" w:eastAsia="zh-CN" w:bidi="ar"/>
              </w:rPr>
              <w:t>Core</w:t>
            </w:r>
            <w:r>
              <w:rPr>
                <w:rFonts w:hint="eastAsia" w:ascii="仿宋_GB2312" w:hAnsi="宋体" w:eastAsia="仿宋_GB2312" w:cs="仿宋_GB2312"/>
                <w:i w:val="0"/>
                <w:iCs w:val="0"/>
                <w:color w:val="auto"/>
                <w:kern w:val="0"/>
                <w:sz w:val="24"/>
                <w:szCs w:val="24"/>
                <w:highlight w:val="none"/>
                <w:u w:val="none"/>
                <w:lang w:val="en-US" w:eastAsia="zh-CN" w:bidi="ar"/>
              </w:rPr>
              <w:t>2</w:t>
            </w:r>
            <w:r>
              <w:rPr>
                <w:rFonts w:hint="default" w:ascii="仿宋_GB2312" w:hAnsi="宋体" w:eastAsia="仿宋_GB2312" w:cs="仿宋_GB2312"/>
                <w:i w:val="0"/>
                <w:iCs w:val="0"/>
                <w:color w:val="auto"/>
                <w:kern w:val="0"/>
                <w:sz w:val="24"/>
                <w:szCs w:val="24"/>
                <w:highlight w:val="none"/>
                <w:u w:val="none"/>
                <w:lang w:val="en-US" w:eastAsia="zh-CN" w:bidi="ar"/>
              </w:rPr>
              <w:t>G</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例</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w:t>
            </w:r>
            <w:r>
              <w:rPr>
                <w:rFonts w:hint="default" w:ascii="仿宋_GB2312" w:hAnsi="宋体" w:eastAsia="仿宋_GB2312" w:cs="仿宋_GB2312"/>
                <w:i w:val="0"/>
                <w:iCs w:val="0"/>
                <w:color w:val="auto"/>
                <w:kern w:val="0"/>
                <w:sz w:val="24"/>
                <w:szCs w:val="24"/>
                <w:highlight w:val="none"/>
                <w:u w:val="none"/>
                <w:lang w:val="en-US" w:eastAsia="zh-CN" w:bidi="ar"/>
              </w:rPr>
              <w:t>00</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11</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实时计算Realtime Compute</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CU</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例</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360</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1CU=1核4G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12</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数据总线DataHub</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1套</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套</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250</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1套最多创建20个topic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13</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表格存储（Tablestore）</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存储</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w:t>
            </w:r>
          </w:p>
        </w:tc>
        <w:tc>
          <w:tcPr>
            <w:tcW w:w="1275" w:type="dxa"/>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c>
          <w:tcPr>
            <w:tcW w:w="855" w:type="dxa"/>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c>
          <w:tcPr>
            <w:tcW w:w="1590" w:type="dxa"/>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3" w:hRule="atLeast"/>
        </w:trPr>
        <w:tc>
          <w:tcPr>
            <w:tcW w:w="456"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14</w:t>
            </w:r>
          </w:p>
        </w:tc>
        <w:tc>
          <w:tcPr>
            <w:tcW w:w="1385"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云数据库Redis版</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内存</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100</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标准版内存（1-32G）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auto"/>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内存</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128</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集群版内存（16G-256G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8"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15</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数据传输服务DTS</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服务</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套</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200</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1套可最多创建20个任务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6"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16</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日志服务（SLS）</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存储</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w:t>
            </w:r>
          </w:p>
        </w:tc>
        <w:tc>
          <w:tcPr>
            <w:tcW w:w="1275" w:type="dxa"/>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c>
          <w:tcPr>
            <w:tcW w:w="855" w:type="dxa"/>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c>
          <w:tcPr>
            <w:tcW w:w="1590" w:type="dxa"/>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3"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17</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企业级分布式应用服务EDAS</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服务</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套</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w:t>
            </w:r>
            <w:r>
              <w:rPr>
                <w:rFonts w:hint="eastAsia" w:ascii="仿宋_GB2312" w:hAnsi="宋体" w:eastAsia="仿宋_GB2312" w:cs="仿宋_GB2312"/>
                <w:i w:val="0"/>
                <w:iCs w:val="0"/>
                <w:color w:val="auto"/>
                <w:kern w:val="0"/>
                <w:sz w:val="24"/>
                <w:szCs w:val="24"/>
                <w:highlight w:val="none"/>
                <w:u w:val="none"/>
                <w:lang w:val="en-US" w:eastAsia="zh-CN" w:bidi="ar"/>
              </w:rPr>
              <w:t>40</w:t>
            </w:r>
            <w:r>
              <w:rPr>
                <w:rFonts w:hint="default" w:ascii="仿宋_GB2312" w:hAnsi="宋体" w:eastAsia="仿宋_GB2312" w:cs="仿宋_GB2312"/>
                <w:i w:val="0"/>
                <w:iCs w:val="0"/>
                <w:color w:val="auto"/>
                <w:kern w:val="0"/>
                <w:sz w:val="24"/>
                <w:szCs w:val="24"/>
                <w:highlight w:val="none"/>
                <w:u w:val="none"/>
                <w:lang w:val="en-US" w:eastAsia="zh-CN" w:bidi="ar"/>
              </w:rPr>
              <w:t>00</w:t>
            </w:r>
          </w:p>
        </w:tc>
        <w:tc>
          <w:tcPr>
            <w:tcW w:w="1275" w:type="dxa"/>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c>
          <w:tcPr>
            <w:tcW w:w="855" w:type="dxa"/>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c>
          <w:tcPr>
            <w:tcW w:w="1590" w:type="dxa"/>
            <w:shd w:val="clear" w:color="auto" w:fill="auto"/>
            <w:vAlign w:val="bottom"/>
          </w:tcPr>
          <w:p>
            <w:pPr>
              <w:jc w:val="center"/>
              <w:rPr>
                <w:rFonts w:hint="default" w:ascii="仿宋_GB2312" w:hAnsi="宋体" w:eastAsia="仿宋_GB2312" w:cs="仿宋_GB2312"/>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1"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18</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应用实时监控Arms</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Agent</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个</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240</w:t>
            </w:r>
          </w:p>
        </w:tc>
        <w:tc>
          <w:tcPr>
            <w:tcW w:w="1275" w:type="dxa"/>
            <w:shd w:val="clear" w:color="auto" w:fill="auto"/>
            <w:vAlign w:val="bottom"/>
          </w:tcPr>
          <w:p>
            <w:pPr>
              <w:jc w:val="center"/>
              <w:rPr>
                <w:rFonts w:hint="default" w:ascii="仿宋_GB2312" w:hAnsi="宋体" w:eastAsia="仿宋_GB2312" w:cs="仿宋_GB2312"/>
                <w:i w:val="0"/>
                <w:iCs w:val="0"/>
                <w:color w:val="00B0F0"/>
                <w:sz w:val="24"/>
                <w:szCs w:val="24"/>
                <w:highlight w:val="none"/>
                <w:u w:val="none"/>
              </w:rPr>
            </w:pPr>
          </w:p>
        </w:tc>
        <w:tc>
          <w:tcPr>
            <w:tcW w:w="855" w:type="dxa"/>
            <w:shd w:val="clear" w:color="auto" w:fill="auto"/>
            <w:vAlign w:val="bottom"/>
          </w:tcPr>
          <w:p>
            <w:pPr>
              <w:jc w:val="center"/>
              <w:rPr>
                <w:rFonts w:hint="default" w:ascii="仿宋_GB2312" w:hAnsi="宋体" w:eastAsia="仿宋_GB2312" w:cs="仿宋_GB2312"/>
                <w:i w:val="0"/>
                <w:iCs w:val="0"/>
                <w:color w:val="00B0F0"/>
                <w:sz w:val="24"/>
                <w:szCs w:val="24"/>
                <w:highlight w:val="none"/>
                <w:u w:val="none"/>
              </w:rPr>
            </w:pPr>
          </w:p>
        </w:tc>
        <w:tc>
          <w:tcPr>
            <w:tcW w:w="1590" w:type="dxa"/>
            <w:shd w:val="clear" w:color="auto" w:fill="auto"/>
            <w:vAlign w:val="bottom"/>
          </w:tcPr>
          <w:p>
            <w:pPr>
              <w:jc w:val="center"/>
              <w:rPr>
                <w:rFonts w:hint="default" w:ascii="仿宋_GB2312" w:hAnsi="宋体" w:eastAsia="仿宋_GB2312" w:cs="仿宋_GB2312"/>
                <w:i w:val="0"/>
                <w:iCs w:val="0"/>
                <w:color w:val="00B0F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456"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19</w:t>
            </w:r>
          </w:p>
        </w:tc>
        <w:tc>
          <w:tcPr>
            <w:tcW w:w="1385"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Elasticsearch</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CPU</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核</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65</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p>
        </w:tc>
        <w:tc>
          <w:tcPr>
            <w:tcW w:w="1590"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内存</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50</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56"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存储</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G</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1.8</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vMerge w:val="continue"/>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5"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20</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大数据开发套件Dataworks</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服务</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套</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18000</w:t>
            </w:r>
          </w:p>
        </w:tc>
        <w:tc>
          <w:tcPr>
            <w:tcW w:w="1275" w:type="dxa"/>
            <w:shd w:val="clear" w:color="auto" w:fill="auto"/>
            <w:vAlign w:val="bottom"/>
          </w:tcPr>
          <w:p>
            <w:pPr>
              <w:jc w:val="both"/>
              <w:rPr>
                <w:rFonts w:hint="default" w:ascii="仿宋_GB2312" w:hAnsi="宋体" w:eastAsia="仿宋_GB2312" w:cs="仿宋_GB2312"/>
                <w:i w:val="0"/>
                <w:iCs w:val="0"/>
                <w:color w:val="auto"/>
                <w:sz w:val="24"/>
                <w:szCs w:val="24"/>
                <w:highlight w:val="none"/>
                <w:u w:val="none"/>
              </w:rPr>
            </w:pPr>
          </w:p>
        </w:tc>
        <w:tc>
          <w:tcPr>
            <w:tcW w:w="855" w:type="dxa"/>
            <w:shd w:val="clear" w:color="auto" w:fill="auto"/>
            <w:vAlign w:val="bottom"/>
          </w:tcPr>
          <w:p>
            <w:pPr>
              <w:jc w:val="both"/>
              <w:rPr>
                <w:rFonts w:hint="default" w:ascii="仿宋_GB2312" w:hAnsi="宋体" w:eastAsia="仿宋_GB2312" w:cs="仿宋_GB2312"/>
                <w:i w:val="0"/>
                <w:iCs w:val="0"/>
                <w:color w:val="auto"/>
                <w:sz w:val="24"/>
                <w:szCs w:val="24"/>
                <w:highlight w:val="none"/>
                <w:u w:val="none"/>
              </w:rPr>
            </w:pPr>
          </w:p>
        </w:tc>
        <w:tc>
          <w:tcPr>
            <w:tcW w:w="1590" w:type="dxa"/>
            <w:shd w:val="clear" w:color="auto" w:fill="auto"/>
            <w:vAlign w:val="bottom"/>
          </w:tcPr>
          <w:p>
            <w:pPr>
              <w:jc w:val="both"/>
              <w:rPr>
                <w:rFonts w:hint="default" w:ascii="仿宋_GB2312" w:hAnsi="宋体" w:eastAsia="仿宋_GB2312" w:cs="仿宋_GB2312"/>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9"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21</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消息队列MQ</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topic容量个数</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个</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w:t>
            </w:r>
          </w:p>
        </w:tc>
        <w:tc>
          <w:tcPr>
            <w:tcW w:w="127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p>
        </w:tc>
        <w:tc>
          <w:tcPr>
            <w:tcW w:w="159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22</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公网带宽</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带宽</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M</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7.5</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23</w:t>
            </w:r>
          </w:p>
        </w:tc>
        <w:tc>
          <w:tcPr>
            <w:tcW w:w="13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公网IP</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IP</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个</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90</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24</w:t>
            </w:r>
          </w:p>
        </w:tc>
        <w:tc>
          <w:tcPr>
            <w:tcW w:w="1385" w:type="dxa"/>
            <w:vMerge w:val="restart"/>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安全系统安全服务</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等保二级安全服务</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套</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2820</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25</w:t>
            </w:r>
          </w:p>
        </w:tc>
        <w:tc>
          <w:tcPr>
            <w:tcW w:w="1385" w:type="dxa"/>
            <w:vMerge w:val="continue"/>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等保三级安全服务</w:t>
            </w: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套</w:t>
            </w: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5640</w:t>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1385" w:type="dxa"/>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lang w:eastAsia="zh-CN"/>
              </w:rPr>
            </w:pPr>
            <w:r>
              <w:rPr>
                <w:rFonts w:hint="eastAsia" w:ascii="仿宋_GB2312" w:hAnsi="宋体" w:eastAsia="仿宋_GB2312" w:cs="仿宋_GB2312"/>
                <w:i w:val="0"/>
                <w:iCs w:val="0"/>
                <w:color w:val="000000"/>
                <w:sz w:val="22"/>
                <w:szCs w:val="22"/>
                <w:highlight w:val="none"/>
                <w:u w:val="none"/>
                <w:lang w:eastAsia="zh-CN"/>
              </w:rPr>
              <w:t>合计</w:t>
            </w:r>
          </w:p>
        </w:tc>
        <w:tc>
          <w:tcPr>
            <w:tcW w:w="118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p>
        </w:tc>
        <w:tc>
          <w:tcPr>
            <w:tcW w:w="85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148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fldChar w:fldCharType="begin"/>
            </w:r>
            <w:r>
              <w:rPr>
                <w:rFonts w:hint="default" w:ascii="仿宋_GB2312" w:hAnsi="宋体" w:eastAsia="仿宋_GB2312" w:cs="仿宋_GB2312"/>
                <w:i w:val="0"/>
                <w:iCs w:val="0"/>
                <w:color w:val="000000"/>
                <w:kern w:val="0"/>
                <w:sz w:val="24"/>
                <w:szCs w:val="24"/>
                <w:highlight w:val="none"/>
                <w:u w:val="none"/>
                <w:lang w:val="en-US" w:eastAsia="zh-CN" w:bidi="ar"/>
              </w:rPr>
              <w:instrText xml:space="preserve"> = sum(E2:E42) \* MERGEFORMAT </w:instrText>
            </w:r>
            <w:r>
              <w:rPr>
                <w:rFonts w:hint="default" w:ascii="仿宋_GB2312" w:hAnsi="宋体" w:eastAsia="仿宋_GB2312" w:cs="仿宋_GB2312"/>
                <w:i w:val="0"/>
                <w:iCs w:val="0"/>
                <w:color w:val="000000"/>
                <w:kern w:val="0"/>
                <w:sz w:val="24"/>
                <w:szCs w:val="24"/>
                <w:highlight w:val="none"/>
                <w:u w:val="none"/>
                <w:lang w:val="en-US" w:eastAsia="zh-CN" w:bidi="ar"/>
              </w:rPr>
              <w:fldChar w:fldCharType="separate"/>
            </w:r>
            <w:r>
              <w:rPr>
                <w:rFonts w:hint="default" w:ascii="仿宋_GB2312" w:hAnsi="宋体" w:eastAsia="仿宋_GB2312" w:cs="仿宋_GB2312"/>
                <w:i w:val="0"/>
                <w:iCs w:val="0"/>
                <w:color w:val="000000"/>
                <w:kern w:val="0"/>
                <w:sz w:val="24"/>
                <w:szCs w:val="24"/>
                <w:highlight w:val="none"/>
                <w:u w:val="none"/>
                <w:lang w:val="en-US" w:eastAsia="zh-CN" w:bidi="ar"/>
              </w:rPr>
              <w:t>47868.93</w:t>
            </w:r>
            <w:r>
              <w:rPr>
                <w:rFonts w:hint="default" w:ascii="仿宋_GB2312" w:hAnsi="宋体" w:eastAsia="仿宋_GB2312" w:cs="仿宋_GB2312"/>
                <w:i w:val="0"/>
                <w:iCs w:val="0"/>
                <w:color w:val="000000"/>
                <w:kern w:val="0"/>
                <w:sz w:val="24"/>
                <w:szCs w:val="24"/>
                <w:highlight w:val="none"/>
                <w:u w:val="none"/>
                <w:lang w:val="en-US" w:eastAsia="zh-CN" w:bidi="ar"/>
              </w:rPr>
              <w:fldChar w:fldCharType="end"/>
            </w:r>
          </w:p>
        </w:tc>
        <w:tc>
          <w:tcPr>
            <w:tcW w:w="127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855"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c>
          <w:tcPr>
            <w:tcW w:w="1590" w:type="dxa"/>
            <w:shd w:val="clear" w:color="auto" w:fill="auto"/>
            <w:vAlign w:val="center"/>
          </w:tcPr>
          <w:p>
            <w:pPr>
              <w:jc w:val="center"/>
              <w:rPr>
                <w:rFonts w:hint="default" w:ascii="仿宋_GB2312" w:hAnsi="宋体"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82" w:type="dxa"/>
            <w:gridSpan w:val="4"/>
            <w:shd w:val="clear" w:color="auto" w:fill="auto"/>
            <w:vAlign w:val="center"/>
          </w:tcPr>
          <w:p>
            <w:pPr>
              <w:spacing w:line="360" w:lineRule="auto"/>
              <w:jc w:val="center"/>
              <w:rPr>
                <w:rFonts w:hint="eastAsia" w:ascii="仿宋_GB2312" w:hAnsi="仿宋_GB2312"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投标报价（小写）</w:t>
            </w:r>
          </w:p>
        </w:tc>
        <w:tc>
          <w:tcPr>
            <w:tcW w:w="5205" w:type="dxa"/>
            <w:gridSpan w:val="4"/>
            <w:shd w:val="clear" w:color="auto" w:fill="auto"/>
            <w:vAlign w:val="center"/>
          </w:tcPr>
          <w:p>
            <w:pPr>
              <w:spacing w:line="360" w:lineRule="auto"/>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82" w:type="dxa"/>
            <w:gridSpan w:val="4"/>
            <w:shd w:val="clear" w:color="auto" w:fill="auto"/>
            <w:vAlign w:val="center"/>
          </w:tcPr>
          <w:p>
            <w:pPr>
              <w:spacing w:line="360" w:lineRule="auto"/>
              <w:jc w:val="center"/>
              <w:rPr>
                <w:rFonts w:hint="eastAsia" w:ascii="仿宋_GB2312" w:hAnsi="仿宋_GB2312"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投标报价（大写）</w:t>
            </w:r>
          </w:p>
        </w:tc>
        <w:tc>
          <w:tcPr>
            <w:tcW w:w="5205" w:type="dxa"/>
            <w:gridSpan w:val="4"/>
            <w:shd w:val="clear" w:color="auto" w:fill="auto"/>
            <w:vAlign w:val="center"/>
          </w:tcPr>
          <w:p>
            <w:pPr>
              <w:spacing w:line="360" w:lineRule="auto"/>
              <w:jc w:val="center"/>
              <w:rPr>
                <w:rFonts w:hint="eastAsia" w:ascii="仿宋_GB2312" w:hAnsi="仿宋_GB2312" w:eastAsia="仿宋_GB2312" w:cs="仿宋_GB2312"/>
                <w:b/>
                <w:color w:val="000000" w:themeColor="text1"/>
                <w:sz w:val="24"/>
                <w:highlight w:val="none"/>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bookmarkEnd w:id="504"/>
    <w:p>
      <w:pPr>
        <w:adjustRightInd w:val="0"/>
        <w:spacing w:line="360" w:lineRule="auto"/>
        <w:jc w:val="both"/>
        <w:outlineLvl w:val="0"/>
        <w:rPr>
          <w:rFonts w:ascii="仿宋_GB2312" w:hAnsi="仿宋" w:eastAsia="仿宋_GB2312" w:cs="仿宋_GB2312"/>
          <w:sz w:val="36"/>
          <w:szCs w:val="36"/>
          <w:highlight w:val="none"/>
          <w:lang w:val="zh-CN"/>
        </w:rPr>
      </w:pPr>
    </w:p>
    <w:p>
      <w:pPr>
        <w:pStyle w:val="5"/>
        <w:numPr>
          <w:ilvl w:val="0"/>
          <w:numId w:val="0"/>
        </w:numPr>
        <w:ind w:leftChars="0"/>
        <w:rPr>
          <w:highlight w:val="none"/>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pStyle w:val="625"/>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二、</w:t>
      </w:r>
      <w:r>
        <w:rPr>
          <w:rFonts w:hint="eastAsia" w:ascii="仿宋_GB2312" w:hAnsi="宋体" w:eastAsia="仿宋_GB2312"/>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highlight w:val="none"/>
          <w14:textFill>
            <w14:solidFill>
              <w14:schemeClr w14:val="tx1"/>
            </w14:solidFill>
          </w14:textFill>
        </w:rPr>
        <w:t>5）。</w:t>
      </w:r>
      <w:r>
        <w:rPr>
          <w:rFonts w:hint="eastAsia" w:ascii="仿宋_GB2312" w:hAnsi="仿宋" w:eastAsia="仿宋_GB2312" w:cs="仿宋_GB2312"/>
          <w:b/>
          <w:color w:val="000000" w:themeColor="text1"/>
          <w:sz w:val="24"/>
          <w:highlight w:val="none"/>
          <w14:textFill>
            <w14:solidFill>
              <w14:schemeClr w14:val="tx1"/>
            </w14:solidFill>
          </w14:textFill>
        </w:rPr>
        <w:t>]</w:t>
      </w:r>
    </w:p>
    <w:p>
      <w:pPr>
        <w:pStyle w:val="5"/>
        <w:numPr>
          <w:ilvl w:val="0"/>
          <w:numId w:val="0"/>
        </w:numPr>
        <w:ind w:leftChars="0"/>
        <w:rPr>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bookmarkStart w:id="505" w:name="_Toc465665161"/>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pPr>
        <w:pStyle w:val="5"/>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highlight w:val="none"/>
        </w:rPr>
      </w:pPr>
      <w:r>
        <w:rPr>
          <w:rFonts w:hint="eastAsia" w:ascii="仿宋" w:hAnsi="仿宋" w:eastAsia="仿宋" w:cs="仿宋"/>
          <w:highlight w:val="none"/>
        </w:rPr>
        <w:t>附件</w:t>
      </w:r>
      <w:bookmarkEnd w:id="505"/>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hint="eastAsia" w:ascii="仿宋" w:hAnsi="仿宋" w:eastAsia="仿宋" w:cs="仿宋"/>
          <w:b/>
          <w:spacing w:val="6"/>
          <w:sz w:val="32"/>
          <w:szCs w:val="32"/>
          <w:highlight w:val="none"/>
        </w:rPr>
      </w:pPr>
      <w:bookmarkStart w:id="506" w:name="OLE_LINK14"/>
      <w:bookmarkStart w:id="507" w:name="OLE_LINK13"/>
      <w:r>
        <w:rPr>
          <w:rFonts w:hint="eastAsia" w:ascii="仿宋" w:hAnsi="仿宋" w:eastAsia="仿宋" w:cs="仿宋"/>
          <w:b/>
          <w:spacing w:val="6"/>
          <w:sz w:val="32"/>
          <w:szCs w:val="32"/>
          <w:highlight w:val="none"/>
        </w:rPr>
        <w:t>残疾人福利性单位声明函</w:t>
      </w:r>
    </w:p>
    <w:bookmarkEnd w:id="506"/>
    <w:bookmarkEnd w:id="507"/>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hint="eastAsia" w:ascii="仿宋" w:hAnsi="仿宋" w:eastAsia="仿宋" w:cs="仿宋"/>
          <w:sz w:val="24"/>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pStyle w:val="25"/>
        <w:jc w:val="both"/>
        <w:rPr>
          <w:rFonts w:hint="eastAsia" w:ascii="仿宋" w:hAnsi="仿宋" w:eastAsia="仿宋" w:cs="仿宋"/>
          <w:b/>
          <w:bCs/>
          <w:sz w:val="32"/>
          <w:szCs w:val="32"/>
          <w:highlight w:val="none"/>
          <w:lang w:val="en-US" w:eastAsia="zh-CN"/>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质疑供应商：</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联系人：</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授权代表：</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ascii="仿宋_GB2312" w:hAnsi="仿宋" w:eastAsia="仿宋_GB2312" w:cs="仿宋"/>
          <w:color w:val="000000" w:themeColor="text1"/>
          <w:sz w:val="24"/>
          <w:highlight w:val="none"/>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14:textFill>
            <w14:solidFill>
              <w14:schemeClr w14:val="tx1"/>
            </w14:solidFill>
          </w14:textFill>
        </w:rPr>
        <w:t xml:space="preserve"> </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质疑项目的编号：</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包号：</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采购人名称：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采购文件获取日期：</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1：</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事实依据：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法律依据：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2</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请求：</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2.质疑供应商若委托代理人进行质疑的，</w:t>
      </w:r>
      <w:r>
        <w:rPr>
          <w:rFonts w:hint="eastAsia" w:ascii="仿宋_GB2312" w:hAnsi="仿宋" w:eastAsia="仿宋_GB2312"/>
          <w:color w:val="000000" w:themeColor="text1"/>
          <w:sz w:val="24"/>
          <w:highlight w:val="none"/>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6.质疑供应商为自然人的，</w:t>
      </w:r>
      <w:r>
        <w:rPr>
          <w:rFonts w:hint="eastAsia" w:ascii="仿宋_GB2312" w:hAnsi="仿宋" w:eastAsia="仿宋_GB2312"/>
          <w:color w:val="000000" w:themeColor="text1"/>
          <w:sz w:val="24"/>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投诉书范本</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一、投诉相关主体基本情况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法定代表人</w:t>
      </w:r>
      <w:r>
        <w:rPr>
          <w:rFonts w:ascii="仿宋_GB2312" w:hAnsi="仿宋" w:eastAsia="仿宋_GB2312"/>
          <w:color w:val="000000" w:themeColor="text1"/>
          <w:sz w:val="24"/>
          <w:highlight w:val="none"/>
          <w14:textFill>
            <w14:solidFill>
              <w14:schemeClr w14:val="tx1"/>
            </w14:solidFill>
          </w14:textFill>
        </w:rPr>
        <w:t>/主要负责人：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授权代表：</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dotted"/>
          <w14:textFill>
            <w14:solidFill>
              <w14:schemeClr w14:val="tx1"/>
            </w14:solidFill>
          </w14:textFill>
        </w:rPr>
        <w:t>：</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1：</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相关供应商：</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二、投诉项目基本情况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采购项目名称：</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采购项目编号：</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包号：</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采购人名称：</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代理机构名称：</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采购文件公告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采购结果公告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,向</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提出质疑，质疑事项为：</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u w:val="dotted"/>
          <w14:textFill>
            <w14:solidFill>
              <w14:schemeClr w14:val="tx1"/>
            </w14:solidFill>
          </w14:textFill>
        </w:rPr>
        <w:t>采购人</w:t>
      </w:r>
      <w:r>
        <w:rPr>
          <w:rFonts w:ascii="仿宋_GB2312" w:hAnsi="仿宋" w:eastAsia="仿宋_GB2312"/>
          <w:color w:val="000000" w:themeColor="text1"/>
          <w:sz w:val="24"/>
          <w:highlight w:val="none"/>
          <w:u w:val="dotted"/>
          <w14:textFill>
            <w14:solidFill>
              <w14:schemeClr w14:val="tx1"/>
            </w14:solidFill>
          </w14:textFill>
        </w:rPr>
        <w:t>/代理机构</w:t>
      </w:r>
      <w:r>
        <w:rPr>
          <w:rFonts w:hint="eastAsia" w:ascii="仿宋_GB2312" w:hAnsi="仿宋" w:eastAsia="仿宋_GB2312"/>
          <w:color w:val="000000" w:themeColor="text1"/>
          <w:sz w:val="24"/>
          <w:highlight w:val="none"/>
          <w14:textFill>
            <w14:solidFill>
              <w14:schemeClr w14:val="tx1"/>
            </w14:solidFill>
          </w14:textFill>
        </w:rPr>
        <w:t>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,就质疑事项</w:t>
      </w:r>
      <w:r>
        <w:rPr>
          <w:rFonts w:hint="eastAsia" w:ascii="仿宋_GB2312" w:hAnsi="仿宋" w:eastAsia="仿宋_GB2312"/>
          <w:color w:val="000000" w:themeColor="text1"/>
          <w:sz w:val="24"/>
          <w:highlight w:val="none"/>
          <w14:textFill>
            <w14:solidFill>
              <w14:schemeClr w14:val="tx1"/>
            </w14:solidFill>
          </w14:textFill>
        </w:rPr>
        <w:t>作出了答复</w:t>
      </w:r>
      <w:r>
        <w:rPr>
          <w:rFonts w:ascii="仿宋_GB2312" w:hAnsi="仿宋" w:eastAsia="仿宋_GB2312"/>
          <w:color w:val="000000" w:themeColor="text1"/>
          <w:sz w:val="24"/>
          <w:highlight w:val="none"/>
          <w14:textFill>
            <w14:solidFill>
              <w14:schemeClr w14:val="tx1"/>
            </w14:solidFill>
          </w14:textFill>
        </w:rPr>
        <w:t>/没有在法定期限内</w:t>
      </w:r>
      <w:r>
        <w:rPr>
          <w:rFonts w:hint="eastAsia" w:ascii="仿宋_GB2312" w:hAnsi="仿宋" w:eastAsia="仿宋_GB2312"/>
          <w:color w:val="000000" w:themeColor="text1"/>
          <w:sz w:val="24"/>
          <w:highlight w:val="none"/>
          <w14:textFill>
            <w14:solidFill>
              <w14:schemeClr w14:val="tx1"/>
            </w14:solidFill>
          </w14:textFill>
        </w:rPr>
        <w:t>作出答复。</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四、投诉事项具体内容</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 xml:space="preserve"> 1：</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事实依据：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法律依据：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请求：</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26"/>
        <w:ind w:left="0" w:leftChars="0" w:firstLine="0" w:firstLineChars="0"/>
        <w:rPr>
          <w:rFonts w:hint="eastAsia" w:ascii="仿宋" w:hAnsi="仿宋" w:eastAsia="仿宋" w:cs="仿宋"/>
          <w:b/>
          <w:bCs/>
          <w:sz w:val="32"/>
          <w:szCs w:val="32"/>
          <w:highlight w:val="none"/>
          <w:lang w:val="en-US" w:eastAsia="zh-CN"/>
        </w:rPr>
      </w:pPr>
    </w:p>
    <w:p>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4：</w:t>
      </w:r>
      <w:r>
        <w:rPr>
          <w:rFonts w:hint="eastAsia" w:ascii="仿宋" w:hAnsi="仿宋" w:eastAsia="仿宋"/>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u w:val="single"/>
          <w:lang w:val="en-US" w:eastAsia="zh-CN"/>
          <w14:textFill>
            <w14:solidFill>
              <w14:schemeClr w14:val="tx1"/>
            </w14:solidFill>
          </w14:textFill>
        </w:rPr>
        <w:t>XXXX</w:t>
      </w:r>
      <w:r>
        <w:rPr>
          <w:rFonts w:hint="eastAsia" w:ascii="仿宋" w:hAnsi="仿宋" w:eastAsia="仿宋" w:cs="仿宋_GB2312"/>
          <w:color w:val="000000" w:themeColor="text1"/>
          <w:sz w:val="24"/>
          <w:highlight w:val="none"/>
          <w:u w:val="single"/>
          <w:lang w:eastAsia="zh-CN"/>
          <w14:textFill>
            <w14:solidFill>
              <w14:schemeClr w14:val="tx1"/>
            </w14:solidFill>
          </w14:textFill>
        </w:rPr>
        <w:t>（采购人名称）</w:t>
      </w:r>
      <w:r>
        <w:rPr>
          <w:rFonts w:hint="eastAsia" w:ascii="仿宋" w:hAnsi="仿宋" w:eastAsia="仿宋" w:cs="仿宋_GB2312"/>
          <w:color w:val="000000" w:themeColor="text1"/>
          <w:sz w:val="24"/>
          <w:highlight w:val="none"/>
          <w:u w:val="single"/>
          <w14:textFill>
            <w14:solidFill>
              <w14:schemeClr w14:val="tx1"/>
            </w14:solidFill>
          </w14:textFill>
        </w:rPr>
        <w:t xml:space="preserve"> 、杭州市公共资源交易中心</w:t>
      </w:r>
      <w:r>
        <w:rPr>
          <w:rFonts w:hint="eastAsia" w:ascii="仿宋" w:hAnsi="仿宋" w:eastAsia="仿宋" w:cs="仿宋_GB2312"/>
          <w:color w:val="000000" w:themeColor="text1"/>
          <w:sz w:val="24"/>
          <w:highlight w:val="none"/>
          <w:u w:val="single"/>
          <w:lang w:eastAsia="zh-CN"/>
          <w14:textFill>
            <w14:solidFill>
              <w14:schemeClr w14:val="tx1"/>
            </w14:solidFill>
          </w14:textFill>
        </w:rPr>
        <w:t>临安分中心</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我方</w:t>
      </w:r>
      <w:r>
        <w:rPr>
          <w:rFonts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ascii="仿宋" w:hAnsi="仿宋" w:eastAsia="仿宋" w:cs="仿宋_GB2312"/>
          <w:color w:val="000000" w:themeColor="text1"/>
          <w:sz w:val="24"/>
          <w:highlight w:val="none"/>
          <w14:textFill>
            <w14:solidFill>
              <w14:schemeClr w14:val="tx1"/>
            </w14:solidFill>
          </w14:textFill>
        </w:rPr>
        <w:t>(投标人全称)</w:t>
      </w:r>
      <w:r>
        <w:rPr>
          <w:rFonts w:hint="eastAsia" w:ascii="仿宋" w:hAnsi="仿宋" w:eastAsia="仿宋"/>
          <w:color w:val="000000" w:themeColor="text1"/>
          <w:sz w:val="24"/>
          <w:highlight w:val="none"/>
          <w14:textFill>
            <w14:solidFill>
              <w14:schemeClr w14:val="tx1"/>
            </w14:solidFill>
          </w14:textFill>
        </w:rPr>
        <w:t>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仿宋_GB2312"/>
          <w:color w:val="000000" w:themeColor="text1"/>
          <w:sz w:val="24"/>
          <w:highlight w:val="none"/>
          <w14:textFill>
            <w14:solidFill>
              <w14:schemeClr w14:val="tx1"/>
            </w14:solidFill>
          </w14:textFill>
        </w:rPr>
        <w:t>你方组织的</w:t>
      </w:r>
      <w:r>
        <w:rPr>
          <w:rFonts w:hint="eastAsia" w:ascii="仿宋" w:hAnsi="仿宋" w:eastAsia="仿宋"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 w:hAnsi="仿宋" w:eastAsia="仿宋" w:cs="仿宋_GB2312"/>
          <w:color w:val="000000" w:themeColor="text1"/>
          <w:sz w:val="24"/>
          <w:highlight w:val="none"/>
          <w14:textFill>
            <w14:solidFill>
              <w14:schemeClr w14:val="tx1"/>
            </w14:solidFill>
          </w14:textFill>
        </w:rPr>
        <w:t>【招标编号</w:t>
      </w:r>
      <w:r>
        <w:rPr>
          <w:rFonts w:hint="eastAsia" w:ascii="仿宋" w:hAnsi="仿宋" w:eastAsia="仿宋" w:cs="仿宋_GB2312"/>
          <w:color w:val="000000" w:themeColor="text1"/>
          <w:sz w:val="24"/>
          <w:highlight w:val="none"/>
          <w:u w:val="single"/>
          <w14:textFill>
            <w14:solidFill>
              <w14:schemeClr w14:val="tx1"/>
            </w14:solidFill>
          </w14:textFill>
        </w:rPr>
        <w:t>：</w:t>
      </w:r>
      <w:r>
        <w:rPr>
          <w:rFonts w:hint="eastAsia" w:ascii="仿宋" w:hAnsi="仿宋" w:eastAsia="仿宋" w:cs="仿宋_GB2312"/>
          <w:color w:val="000000" w:themeColor="text1"/>
          <w:sz w:val="24"/>
          <w:highlight w:val="none"/>
          <w:u w:val="single"/>
          <w:lang w:val="en-US" w:eastAsia="zh-CN"/>
          <w14:textFill>
            <w14:solidFill>
              <w14:schemeClr w14:val="tx1"/>
            </w14:solidFill>
          </w14:textFill>
        </w:rPr>
        <w:t xml:space="preserve">       </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我方所使用的“</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专用章”与法定名称章具有同等的法律效力，对使用“</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专用章”的行为予以完全承认，并愿意承担相应责任。</w:t>
      </w:r>
      <w:r>
        <w:rPr>
          <w:rFonts w:ascii="仿宋" w:hAnsi="仿宋" w:eastAsia="仿宋"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 xml:space="preserve">                              日期：       年     月     日</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pPr>
        <w:spacing w:line="360" w:lineRule="auto"/>
        <w:rPr>
          <w:rFonts w:ascii="仿宋" w:hAnsi="仿宋" w:eastAsia="仿宋"/>
          <w:bCs/>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w:t>
      </w:r>
      <w:r>
        <w:rPr>
          <w:rFonts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投标单位“</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pStyle w:val="26"/>
        <w:rPr>
          <w:rFonts w:hint="eastAsia" w:ascii="仿宋" w:hAnsi="仿宋" w:eastAsia="仿宋" w:cs="仿宋"/>
          <w:b/>
          <w:bCs/>
          <w:sz w:val="32"/>
          <w:szCs w:val="32"/>
          <w:highlight w:val="none"/>
          <w:lang w:val="en-US" w:eastAsia="zh-CN"/>
        </w:rPr>
      </w:pPr>
    </w:p>
    <w:p>
      <w:pPr>
        <w:pStyle w:val="26"/>
        <w:rPr>
          <w:rFonts w:hint="eastAsia" w:ascii="仿宋" w:hAnsi="仿宋" w:eastAsia="仿宋" w:cs="仿宋"/>
          <w:b/>
          <w:bCs/>
          <w:sz w:val="32"/>
          <w:szCs w:val="32"/>
          <w:highlight w:val="none"/>
          <w:lang w:val="en-US" w:eastAsia="zh-CN"/>
        </w:rPr>
      </w:pPr>
    </w:p>
    <w:p>
      <w:pPr>
        <w:pStyle w:val="26"/>
        <w:rPr>
          <w:rFonts w:hint="eastAsia" w:ascii="仿宋" w:hAnsi="仿宋" w:eastAsia="仿宋" w:cs="仿宋"/>
          <w:b/>
          <w:bCs/>
          <w:sz w:val="32"/>
          <w:szCs w:val="32"/>
          <w:highlight w:val="none"/>
          <w:lang w:val="en-US" w:eastAsia="zh-CN"/>
        </w:rPr>
      </w:pPr>
    </w:p>
    <w:p>
      <w:pPr>
        <w:autoSpaceDE w:val="0"/>
        <w:autoSpaceDN w:val="0"/>
        <w:jc w:val="both"/>
        <w:rPr>
          <w:rFonts w:hint="eastAsia"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5</w:t>
      </w:r>
      <w:r>
        <w:rPr>
          <w:rFonts w:hint="eastAsia" w:ascii="仿宋" w:hAnsi="仿宋" w:eastAsia="仿宋"/>
          <w:b/>
          <w:color w:val="000000" w:themeColor="text1"/>
          <w:spacing w:val="6"/>
          <w:sz w:val="32"/>
          <w:szCs w:val="32"/>
          <w:highlight w:val="none"/>
          <w14:textFill>
            <w14:solidFill>
              <w14:schemeClr w14:val="tx1"/>
            </w14:solidFill>
          </w14:textFill>
        </w:rPr>
        <w:t>：</w:t>
      </w:r>
      <w:r>
        <w:rPr>
          <w:rFonts w:hint="eastAsia" w:ascii="仿宋_GB2312" w:hAnsi="宋体" w:eastAsia="仿宋_GB2312"/>
          <w:b/>
          <w:color w:val="000000" w:themeColor="text1"/>
          <w:sz w:val="32"/>
          <w:szCs w:val="32"/>
          <w:highlight w:val="none"/>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highlight w:val="none"/>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2020</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（项目名称）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pPr>
        <w:spacing w:line="360" w:lineRule="auto"/>
        <w:rPr>
          <w:rFonts w:ascii="仿宋_GB2312" w:hAnsi="仿宋" w:eastAsia="仿宋_GB2312"/>
          <w:color w:val="000000" w:themeColor="text1"/>
          <w:highlight w:val="none"/>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highlight w:val="none"/>
          <w14:textFill>
            <w14:solidFill>
              <w14:schemeClr w14:val="tx1"/>
            </w14:solidFill>
          </w14:textFill>
        </w:rPr>
        <w:t xml:space="preserve">2020﹞46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（项目名称）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日</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p>
    <w:p>
      <w:pPr>
        <w:pStyle w:val="26"/>
        <w:rPr>
          <w:rFonts w:hint="eastAsia" w:ascii="仿宋" w:hAnsi="仿宋" w:eastAsia="仿宋" w:cs="仿宋"/>
          <w:b/>
          <w:bCs/>
          <w:sz w:val="32"/>
          <w:szCs w:val="32"/>
          <w:highlight w:val="none"/>
          <w:lang w:val="en-US" w:eastAsia="zh-CN"/>
        </w:rPr>
      </w:pPr>
    </w:p>
    <w:p>
      <w:pPr>
        <w:pStyle w:val="26"/>
        <w:rPr>
          <w:rFonts w:hint="eastAsia" w:ascii="仿宋" w:hAnsi="仿宋" w:eastAsia="仿宋" w:cs="仿宋"/>
          <w:b/>
          <w:bCs/>
          <w:sz w:val="32"/>
          <w:szCs w:val="32"/>
          <w:highlight w:val="none"/>
          <w:lang w:val="en-US" w:eastAsia="zh-CN"/>
        </w:rPr>
      </w:pPr>
    </w:p>
    <w:p>
      <w:pPr>
        <w:jc w:val="center"/>
        <w:rPr>
          <w:rFonts w:hint="eastAsia" w:ascii="仿宋" w:hAnsi="仿宋" w:eastAsia="仿宋" w:cs="仿宋"/>
          <w:sz w:val="44"/>
          <w:szCs w:val="44"/>
          <w:highlight w:val="none"/>
        </w:rPr>
      </w:pPr>
      <w:r>
        <w:rPr>
          <w:rFonts w:hint="eastAsia" w:ascii="仿宋" w:hAnsi="仿宋" w:eastAsia="仿宋" w:cs="仿宋"/>
          <w:b/>
          <w:bCs/>
          <w:sz w:val="40"/>
          <w:szCs w:val="40"/>
          <w:highlight w:val="none"/>
        </w:rPr>
        <w:t>政府采购融资畅通工程金融机构联系信息表</w:t>
      </w:r>
    </w:p>
    <w:p>
      <w:pPr>
        <w:rPr>
          <w:rFonts w:hint="eastAsia" w:ascii="仿宋" w:hAnsi="仿宋" w:eastAsia="仿宋" w:cs="仿宋"/>
          <w:sz w:val="44"/>
          <w:szCs w:val="44"/>
          <w:highlight w:val="none"/>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金融机构各称</w:t>
            </w:r>
          </w:p>
        </w:tc>
        <w:tc>
          <w:tcPr>
            <w:tcW w:w="1425"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2444"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c>
          <w:tcPr>
            <w:tcW w:w="2775"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南</w:t>
            </w:r>
            <w:r>
              <w:rPr>
                <w:rFonts w:hint="eastAsia" w:ascii="仿宋" w:hAnsi="仿宋" w:eastAsia="仿宋" w:cs="仿宋"/>
                <w:color w:val="030303"/>
                <w:sz w:val="28"/>
                <w:szCs w:val="28"/>
                <w:highlight w:val="none"/>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color w:val="030303"/>
                <w:sz w:val="28"/>
                <w:szCs w:val="28"/>
                <w:highlight w:val="none"/>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highlight w:val="none"/>
                <w:shd w:val="clear" w:color="auto" w:fill="FFFFFF"/>
              </w:rPr>
            </w:pPr>
            <w:r>
              <w:rPr>
                <w:rFonts w:hint="eastAsia" w:ascii="仿宋" w:hAnsi="仿宋" w:eastAsia="仿宋" w:cs="仿宋"/>
                <w:color w:val="030303"/>
                <w:sz w:val="28"/>
                <w:szCs w:val="28"/>
                <w:highlight w:val="none"/>
                <w:shd w:val="clear" w:color="auto" w:fill="FFFFFF"/>
              </w:rPr>
              <w:t>13868003773</w:t>
            </w:r>
          </w:p>
        </w:tc>
        <w:tc>
          <w:tcPr>
            <w:tcW w:w="2775" w:type="dxa"/>
            <w:tcBorders>
              <w:bottom w:val="single" w:color="auto" w:sz="4" w:space="0"/>
            </w:tcBorders>
            <w:vAlign w:val="center"/>
          </w:tcPr>
          <w:p>
            <w:pPr>
              <w:pStyle w:val="59"/>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沈</w:t>
            </w:r>
            <w:r>
              <w:rPr>
                <w:rFonts w:hint="eastAsia" w:ascii="仿宋" w:hAnsi="仿宋" w:eastAsia="仿宋" w:cs="仿宋"/>
                <w:color w:val="030303"/>
                <w:sz w:val="28"/>
                <w:szCs w:val="28"/>
                <w:highlight w:val="none"/>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highlight w:val="none"/>
                <w:shd w:val="clear" w:color="auto" w:fill="FFFFFF"/>
              </w:rPr>
            </w:pPr>
            <w:r>
              <w:rPr>
                <w:rFonts w:hint="eastAsia" w:ascii="仿宋" w:hAnsi="仿宋" w:eastAsia="仿宋" w:cs="仿宋"/>
                <w:color w:val="030303"/>
                <w:sz w:val="28"/>
                <w:szCs w:val="28"/>
                <w:highlight w:val="none"/>
                <w:shd w:val="clear" w:color="auto" w:fill="FFFFFF"/>
              </w:rPr>
              <w:t>61092936</w:t>
            </w:r>
          </w:p>
          <w:p>
            <w:pPr>
              <w:jc w:val="center"/>
              <w:rPr>
                <w:rFonts w:hint="eastAsia" w:ascii="仿宋" w:hAnsi="仿宋" w:eastAsia="仿宋" w:cs="仿宋"/>
                <w:color w:val="030303"/>
                <w:sz w:val="28"/>
                <w:szCs w:val="28"/>
                <w:highlight w:val="none"/>
                <w:shd w:val="clear" w:color="auto" w:fill="FFFFFF"/>
              </w:rPr>
            </w:pPr>
            <w:r>
              <w:rPr>
                <w:rFonts w:hint="eastAsia" w:ascii="仿宋" w:hAnsi="仿宋" w:eastAsia="仿宋" w:cs="仿宋"/>
                <w:color w:val="030303"/>
                <w:sz w:val="28"/>
                <w:szCs w:val="28"/>
                <w:highlight w:val="none"/>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color w:val="030303"/>
                <w:sz w:val="28"/>
                <w:szCs w:val="28"/>
                <w:highlight w:val="none"/>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highlight w:val="none"/>
                <w:shd w:val="clear" w:color="auto" w:fill="FFFFFF"/>
              </w:rPr>
            </w:pPr>
            <w:r>
              <w:rPr>
                <w:rFonts w:hint="eastAsia" w:ascii="仿宋" w:hAnsi="仿宋" w:eastAsia="仿宋" w:cs="仿宋"/>
                <w:color w:val="030303"/>
                <w:sz w:val="28"/>
                <w:szCs w:val="28"/>
                <w:highlight w:val="none"/>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highlight w:val="none"/>
                <w:shd w:val="clear" w:color="auto" w:fill="FFFFFF"/>
              </w:rPr>
            </w:pPr>
            <w:r>
              <w:rPr>
                <w:rFonts w:hint="eastAsia" w:ascii="仿宋" w:hAnsi="仿宋" w:eastAsia="仿宋" w:cs="仿宋"/>
                <w:color w:val="030303"/>
                <w:sz w:val="28"/>
                <w:szCs w:val="28"/>
                <w:highlight w:val="none"/>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石镜街777号</w:t>
            </w:r>
          </w:p>
        </w:tc>
      </w:tr>
    </w:tbl>
    <w:p>
      <w:pPr>
        <w:pStyle w:val="932"/>
        <w:numPr>
          <w:ilvl w:val="0"/>
          <w:numId w:val="0"/>
        </w:numPr>
        <w:jc w:val="both"/>
        <w:rPr>
          <w:rFonts w:hint="eastAsia" w:ascii="仿宋" w:hAnsi="仿宋" w:eastAsia="仿宋" w:cs="仿宋"/>
          <w:b/>
          <w:sz w:val="36"/>
          <w:szCs w:val="36"/>
          <w:highlight w:val="none"/>
        </w:rPr>
      </w:pPr>
    </w:p>
    <w:p>
      <w:pPr>
        <w:pStyle w:val="932"/>
        <w:numPr>
          <w:ilvl w:val="0"/>
          <w:numId w:val="0"/>
        </w:numPr>
        <w:jc w:val="both"/>
        <w:rPr>
          <w:rFonts w:hint="eastAsia" w:ascii="仿宋" w:hAnsi="仿宋" w:eastAsia="仿宋" w:cs="仿宋"/>
          <w:b/>
          <w:sz w:val="36"/>
          <w:szCs w:val="36"/>
          <w:highlight w:val="none"/>
        </w:rPr>
      </w:pPr>
    </w:p>
    <w:p>
      <w:pPr>
        <w:pStyle w:val="932"/>
        <w:numPr>
          <w:ilvl w:val="0"/>
          <w:numId w:val="0"/>
        </w:numPr>
        <w:jc w:val="both"/>
        <w:rPr>
          <w:rFonts w:hint="eastAsia" w:ascii="仿宋" w:hAnsi="仿宋" w:eastAsia="仿宋" w:cs="仿宋"/>
          <w:b/>
          <w:sz w:val="36"/>
          <w:szCs w:val="36"/>
          <w:highlight w:val="none"/>
        </w:rPr>
      </w:pPr>
    </w:p>
    <w:p>
      <w:pPr>
        <w:pStyle w:val="25"/>
        <w:rPr>
          <w:rFonts w:hint="eastAsia" w:ascii="仿宋" w:hAnsi="仿宋" w:eastAsia="仿宋" w:cs="仿宋"/>
          <w:b/>
          <w:bCs/>
          <w:sz w:val="24"/>
          <w:highlight w:val="none"/>
        </w:rPr>
      </w:pPr>
    </w:p>
    <w:p>
      <w:pPr>
        <w:rPr>
          <w:highlight w:val="none"/>
        </w:rPr>
      </w:pPr>
    </w:p>
    <w:sectPr>
      <w:headerReference r:id="rId19" w:type="first"/>
      <w:footerReference r:id="rId22" w:type="first"/>
      <w:headerReference r:id="rId18" w:type="default"/>
      <w:footerReference r:id="rId20" w:type="default"/>
      <w:footerReference r:id="rId21" w:type="even"/>
      <w:pgSz w:w="11906" w:h="16838"/>
      <w:pgMar w:top="1440" w:right="1417" w:bottom="1440"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MS Gothic">
    <w:panose1 w:val="020B0609070205080204"/>
    <w:charset w:val="80"/>
    <w:family w:val="swiss"/>
    <w:pitch w:val="default"/>
    <w:sig w:usb0="E00002FF" w:usb1="6AC7FDFB" w:usb2="00000012" w:usb3="00000000" w:csb0="4002009F" w:csb1="DFD70000"/>
  </w:font>
  <w:font w:name="Vrinda">
    <w:panose1 w:val="020B0502040204020203"/>
    <w:charset w:val="00"/>
    <w:family w:val="swiss"/>
    <w:pitch w:val="default"/>
    <w:sig w:usb0="00010003" w:usb1="00000000" w:usb2="00000000" w:usb3="00000000" w:csb0="00000001" w:csb1="00000000"/>
  </w:font>
  <w:font w:name="MT Extra">
    <w:panose1 w:val="05050102010205020202"/>
    <w:charset w:val="00"/>
    <w:family w:val="decorative"/>
    <w:pitch w:val="default"/>
    <w:sig w:usb0="80000000" w:usb1="00000000" w:usb2="00000000" w:usb3="00000000" w:csb0="00000000" w:csb1="00000000"/>
  </w:font>
  <w:font w:name="Songti SC">
    <w:altName w:val="华文隶书"/>
    <w:panose1 w:val="02010800040101010101"/>
    <w:charset w:val="00"/>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1"/>
      </w:rPr>
    </w:pPr>
    <w:r>
      <w:fldChar w:fldCharType="begin"/>
    </w:r>
    <w:r>
      <w:rPr>
        <w:rStyle w:val="71"/>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1"/>
      </w:rPr>
    </w:pPr>
    <w:r>
      <w:fldChar w:fldCharType="begin"/>
    </w:r>
    <w:r>
      <w:rPr>
        <w:rStyle w:val="71"/>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4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杭州市</w:t>
    </w:r>
    <w:r>
      <w:rPr>
        <w:rFonts w:hint="eastAsia"/>
        <w:lang w:eastAsia="zh-CN"/>
      </w:rPr>
      <w:t>临安区</w:t>
    </w:r>
    <w:r>
      <w:rPr>
        <w:rFonts w:hint="eastAsia"/>
      </w:rPr>
      <w:t>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杭州市</w:t>
    </w:r>
    <w:r>
      <w:rPr>
        <w:rFonts w:hint="eastAsia"/>
        <w:lang w:eastAsia="zh-CN"/>
      </w:rPr>
      <w:t>临安区</w:t>
    </w:r>
    <w:r>
      <w:rPr>
        <w:rFonts w:hint="eastAsia"/>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杭州市</w:t>
    </w:r>
    <w:r>
      <w:rPr>
        <w:rFonts w:hint="eastAsia"/>
        <w:lang w:eastAsia="zh-CN"/>
      </w:rPr>
      <w:t>临安区</w:t>
    </w:r>
    <w:r>
      <w:rPr>
        <w:rFonts w:hint="eastAsia"/>
      </w:rP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杭州市</w:t>
    </w:r>
    <w:r>
      <w:rPr>
        <w:rFonts w:hint="eastAsia"/>
        <w:lang w:eastAsia="zh-CN"/>
      </w:rPr>
      <w:t>临安区</w:t>
    </w:r>
    <w:r>
      <w:rPr>
        <w:rFonts w:hint="eastAsia"/>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iCs/>
        <w:u w:val="single"/>
      </w:rPr>
    </w:pPr>
    <w:r>
      <w:rPr>
        <w:rFonts w:hint="eastAsia"/>
      </w:rPr>
      <w:t xml:space="preserve">                                                            杭州市</w:t>
    </w:r>
    <w:r>
      <w:rPr>
        <w:rFonts w:hint="eastAsia"/>
        <w:lang w:eastAsia="zh-CN"/>
      </w:rPr>
      <w:t>临安区</w:t>
    </w:r>
    <w:r>
      <w:rPr>
        <w:rFonts w:hint="eastAsia"/>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4378C8E1"/>
    <w:multiLevelType w:val="singleLevel"/>
    <w:tmpl w:val="4378C8E1"/>
    <w:lvl w:ilvl="0" w:tentative="0">
      <w:start w:val="7"/>
      <w:numFmt w:val="chineseCounting"/>
      <w:suff w:val="nothing"/>
      <w:lvlText w:val="%1、"/>
      <w:lvlJc w:val="left"/>
      <w:rPr>
        <w:rFonts w:hint="eastAsia"/>
      </w:rPr>
    </w:lvl>
  </w:abstractNum>
  <w:abstractNum w:abstractNumId="6">
    <w:nsid w:val="49EA50F2"/>
    <w:multiLevelType w:val="multilevel"/>
    <w:tmpl w:val="49EA50F2"/>
    <w:lvl w:ilvl="0" w:tentative="0">
      <w:start w:val="1"/>
      <w:numFmt w:val="bullet"/>
      <w:lvlText w:val="•"/>
      <w:lvlJc w:val="left"/>
      <w:pPr>
        <w:ind w:left="360" w:hanging="360"/>
      </w:pPr>
      <w:rPr>
        <w:rFonts w:hint="eastAsia" w:ascii="微软雅黑" w:hAnsi="微软雅黑" w:eastAsia="微软雅黑" w:cs="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F5077B2"/>
    <w:multiLevelType w:val="singleLevel"/>
    <w:tmpl w:val="5F5077B2"/>
    <w:lvl w:ilvl="0" w:tentative="0">
      <w:start w:val="1"/>
      <w:numFmt w:val="decimal"/>
      <w:suff w:val="nothing"/>
      <w:lvlText w:val="（%1）"/>
      <w:lvlJc w:val="left"/>
    </w:lvl>
  </w:abstractNum>
  <w:abstractNum w:abstractNumId="9">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E265E1C"/>
    <w:multiLevelType w:val="multilevel"/>
    <w:tmpl w:val="7E265E1C"/>
    <w:lvl w:ilvl="0" w:tentative="0">
      <w:start w:val="1"/>
      <w:numFmt w:val="decimal"/>
      <w:pStyle w:val="24"/>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0"/>
  </w:num>
  <w:num w:numId="5">
    <w:abstractNumId w:val="1"/>
  </w:num>
  <w:num w:numId="6">
    <w:abstractNumId w:val="7"/>
  </w:num>
  <w:num w:numId="7">
    <w:abstractNumId w:val="9"/>
  </w:num>
  <w:num w:numId="8">
    <w:abstractNumId w:val="3"/>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A75754"/>
    <w:rsid w:val="03E4546F"/>
    <w:rsid w:val="04861837"/>
    <w:rsid w:val="061D6415"/>
    <w:rsid w:val="0A796241"/>
    <w:rsid w:val="0B386BEB"/>
    <w:rsid w:val="0CC15827"/>
    <w:rsid w:val="0D0053A3"/>
    <w:rsid w:val="0D24698E"/>
    <w:rsid w:val="0FEB7729"/>
    <w:rsid w:val="102F1BCC"/>
    <w:rsid w:val="10625494"/>
    <w:rsid w:val="107876B5"/>
    <w:rsid w:val="12883302"/>
    <w:rsid w:val="142A4E26"/>
    <w:rsid w:val="14525AFA"/>
    <w:rsid w:val="15196FCE"/>
    <w:rsid w:val="154B0230"/>
    <w:rsid w:val="17AA459A"/>
    <w:rsid w:val="18470515"/>
    <w:rsid w:val="1B0B09B1"/>
    <w:rsid w:val="1D3C183C"/>
    <w:rsid w:val="1D7A3970"/>
    <w:rsid w:val="1D7D0D1E"/>
    <w:rsid w:val="1DD42D71"/>
    <w:rsid w:val="1E900260"/>
    <w:rsid w:val="20F5288B"/>
    <w:rsid w:val="226E2A1D"/>
    <w:rsid w:val="2321704A"/>
    <w:rsid w:val="24326138"/>
    <w:rsid w:val="24DA7D36"/>
    <w:rsid w:val="250B01EE"/>
    <w:rsid w:val="28702058"/>
    <w:rsid w:val="29337492"/>
    <w:rsid w:val="2B2E72E7"/>
    <w:rsid w:val="2B9C55E1"/>
    <w:rsid w:val="2C266E14"/>
    <w:rsid w:val="2D240ECA"/>
    <w:rsid w:val="2E360AAE"/>
    <w:rsid w:val="32035576"/>
    <w:rsid w:val="34F801C2"/>
    <w:rsid w:val="351D7670"/>
    <w:rsid w:val="38173E1E"/>
    <w:rsid w:val="38AA4650"/>
    <w:rsid w:val="39103069"/>
    <w:rsid w:val="39591C4C"/>
    <w:rsid w:val="3B125890"/>
    <w:rsid w:val="3C3E672F"/>
    <w:rsid w:val="3CEA060A"/>
    <w:rsid w:val="3D022ADB"/>
    <w:rsid w:val="3D3328A0"/>
    <w:rsid w:val="3E0F529D"/>
    <w:rsid w:val="3F457997"/>
    <w:rsid w:val="401660CE"/>
    <w:rsid w:val="42A84B3A"/>
    <w:rsid w:val="42E905D6"/>
    <w:rsid w:val="44997FB1"/>
    <w:rsid w:val="44EC7A84"/>
    <w:rsid w:val="45134C6A"/>
    <w:rsid w:val="45821A21"/>
    <w:rsid w:val="46A12979"/>
    <w:rsid w:val="47BB18F5"/>
    <w:rsid w:val="48036A11"/>
    <w:rsid w:val="490F3BDA"/>
    <w:rsid w:val="4BB70715"/>
    <w:rsid w:val="4C404579"/>
    <w:rsid w:val="4DA568C2"/>
    <w:rsid w:val="4E870AB4"/>
    <w:rsid w:val="4F3F73FC"/>
    <w:rsid w:val="4F4176B3"/>
    <w:rsid w:val="4F905C50"/>
    <w:rsid w:val="508A6B32"/>
    <w:rsid w:val="516878F6"/>
    <w:rsid w:val="52307328"/>
    <w:rsid w:val="52372B57"/>
    <w:rsid w:val="53FC15E1"/>
    <w:rsid w:val="546659F1"/>
    <w:rsid w:val="55134D06"/>
    <w:rsid w:val="55F2292A"/>
    <w:rsid w:val="571E177D"/>
    <w:rsid w:val="59F835A7"/>
    <w:rsid w:val="5A31740F"/>
    <w:rsid w:val="5B15071F"/>
    <w:rsid w:val="5B5E41E5"/>
    <w:rsid w:val="5B69662C"/>
    <w:rsid w:val="5C074F1A"/>
    <w:rsid w:val="5C594A23"/>
    <w:rsid w:val="5D9F6823"/>
    <w:rsid w:val="5E4C5963"/>
    <w:rsid w:val="5E5174B2"/>
    <w:rsid w:val="5F3C74F8"/>
    <w:rsid w:val="60671434"/>
    <w:rsid w:val="618C0F7A"/>
    <w:rsid w:val="61B347D0"/>
    <w:rsid w:val="61C3677E"/>
    <w:rsid w:val="61E80A83"/>
    <w:rsid w:val="633B46F9"/>
    <w:rsid w:val="63743DA2"/>
    <w:rsid w:val="63A8413D"/>
    <w:rsid w:val="647C139F"/>
    <w:rsid w:val="65C565B3"/>
    <w:rsid w:val="65EA7EB6"/>
    <w:rsid w:val="68545800"/>
    <w:rsid w:val="6A531ED1"/>
    <w:rsid w:val="6AA91897"/>
    <w:rsid w:val="6AC15A50"/>
    <w:rsid w:val="6C345328"/>
    <w:rsid w:val="6EBF51EC"/>
    <w:rsid w:val="6F064489"/>
    <w:rsid w:val="704A153E"/>
    <w:rsid w:val="715F196E"/>
    <w:rsid w:val="720602E2"/>
    <w:rsid w:val="722F7C72"/>
    <w:rsid w:val="73F87001"/>
    <w:rsid w:val="74762743"/>
    <w:rsid w:val="74D359B3"/>
    <w:rsid w:val="751B5B3E"/>
    <w:rsid w:val="75AE1161"/>
    <w:rsid w:val="75DF3E08"/>
    <w:rsid w:val="78A22E7F"/>
    <w:rsid w:val="7B783734"/>
    <w:rsid w:val="7C236DE8"/>
    <w:rsid w:val="7DD01402"/>
    <w:rsid w:val="7E00497E"/>
    <w:rsid w:val="7E3B2F63"/>
    <w:rsid w:val="7E554397"/>
    <w:rsid w:val="7F123D23"/>
    <w:rsid w:val="7F4207D0"/>
    <w:rsid w:val="FDBF06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6">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8">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9">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10">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1">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2">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0"/>
    <w:qFormat/>
    <w:uiPriority w:val="0"/>
    <w:pPr>
      <w:adjustRightInd/>
      <w:ind w:firstLine="210" w:firstLineChars="200"/>
    </w:pPr>
    <w:rPr>
      <w:rFonts w:ascii="宋体" w:hAnsi="宋体" w:eastAsiaTheme="minorEastAsia" w:cstheme="minorBidi"/>
    </w:rPr>
  </w:style>
  <w:style w:type="paragraph" w:styleId="3">
    <w:name w:val="Body Text Indent"/>
    <w:basedOn w:val="1"/>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13">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4">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7">
    <w:name w:val="Normal Indent"/>
    <w:basedOn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8">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21">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2">
    <w:name w:val="Salutation"/>
    <w:basedOn w:val="1"/>
    <w:next w:val="1"/>
    <w:link w:val="92"/>
    <w:qFormat/>
    <w:uiPriority w:val="0"/>
    <w:pPr>
      <w:adjustRightInd w:val="0"/>
    </w:pPr>
    <w:rPr>
      <w:rFonts w:ascii="仿宋_GB2312" w:eastAsia="仿宋_GB2312"/>
      <w:sz w:val="28"/>
    </w:rPr>
  </w:style>
  <w:style w:type="paragraph" w:styleId="23">
    <w:name w:val="Body Text 3"/>
    <w:basedOn w:val="1"/>
    <w:link w:val="93"/>
    <w:qFormat/>
    <w:uiPriority w:val="0"/>
    <w:pPr>
      <w:adjustRightInd w:val="0"/>
      <w:jc w:val="center"/>
    </w:pPr>
  </w:style>
  <w:style w:type="paragraph" w:styleId="24">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5">
    <w:name w:val="Body Text"/>
    <w:basedOn w:val="1"/>
    <w:next w:val="26"/>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6">
    <w:name w:val="Body Text First Indent"/>
    <w:basedOn w:val="25"/>
    <w:link w:val="109"/>
    <w:qFormat/>
    <w:uiPriority w:val="0"/>
    <w:pPr>
      <w:ind w:firstLine="420"/>
    </w:pPr>
    <w:rPr>
      <w:rFonts w:hAnsiTheme="minorHAnsi" w:eastAsiaTheme="minorEastAsia" w:cstheme="minorBidi"/>
      <w:snapToGrid/>
      <w:szCs w:val="22"/>
    </w:rPr>
  </w:style>
  <w:style w:type="paragraph" w:styleId="27">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8">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96"/>
    <w:qFormat/>
    <w:uiPriority w:val="0"/>
    <w:pPr>
      <w:widowControl/>
      <w:ind w:firstLine="200" w:firstLineChars="200"/>
      <w:jc w:val="left"/>
    </w:pPr>
    <w:rPr>
      <w:rFonts w:ascii="宋体" w:hAnsi="宋体"/>
      <w:i/>
      <w:iCs/>
      <w:sz w:val="24"/>
      <w:szCs w:val="24"/>
    </w:rPr>
  </w:style>
  <w:style w:type="paragraph" w:styleId="32">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link w:val="97"/>
    <w:qFormat/>
    <w:uiPriority w:val="0"/>
    <w:pPr>
      <w:adjustRightInd w:val="0"/>
    </w:pPr>
    <w:rPr>
      <w:rFonts w:ascii="宋体" w:hAnsi="Courier New" w:eastAsia="宋体" w:cs="Arial"/>
      <w:snapToGrid w:val="0"/>
      <w:szCs w:val="21"/>
    </w:rPr>
  </w:style>
  <w:style w:type="paragraph" w:styleId="35">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6">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98"/>
    <w:qFormat/>
    <w:uiPriority w:val="0"/>
    <w:pPr>
      <w:adjustRightInd w:val="0"/>
      <w:ind w:left="100" w:leftChars="2500"/>
    </w:pPr>
    <w:rPr>
      <w:rFonts w:ascii="宋体"/>
      <w:sz w:val="24"/>
      <w:szCs w:val="21"/>
      <w:lang w:val="zh-CN"/>
    </w:rPr>
  </w:style>
  <w:style w:type="paragraph" w:styleId="38">
    <w:name w:val="Body Text Indent 2"/>
    <w:basedOn w:val="1"/>
    <w:link w:val="99"/>
    <w:qFormat/>
    <w:uiPriority w:val="0"/>
    <w:pPr>
      <w:adjustRightInd w:val="0"/>
      <w:spacing w:line="360" w:lineRule="auto"/>
      <w:ind w:firstLine="601"/>
      <w:textAlignment w:val="baseline"/>
    </w:pPr>
    <w:rPr>
      <w:rFonts w:ascii="宋体"/>
      <w:sz w:val="28"/>
    </w:rPr>
  </w:style>
  <w:style w:type="paragraph" w:styleId="39">
    <w:name w:val="Balloon Text"/>
    <w:basedOn w:val="1"/>
    <w:link w:val="100"/>
    <w:qFormat/>
    <w:uiPriority w:val="0"/>
    <w:pPr>
      <w:adjustRightInd w:val="0"/>
    </w:pPr>
    <w:rPr>
      <w:sz w:val="18"/>
      <w:szCs w:val="18"/>
    </w:rPr>
  </w:style>
  <w:style w:type="paragraph" w:styleId="40">
    <w:name w:val="footer"/>
    <w:basedOn w:val="1"/>
    <w:link w:val="80"/>
    <w:unhideWhenUsed/>
    <w:qFormat/>
    <w:uiPriority w:val="0"/>
    <w:pPr>
      <w:tabs>
        <w:tab w:val="center" w:pos="4153"/>
        <w:tab w:val="right" w:pos="8306"/>
      </w:tabs>
      <w:snapToGrid w:val="0"/>
      <w:jc w:val="left"/>
    </w:pPr>
    <w:rPr>
      <w:sz w:val="18"/>
      <w:szCs w:val="18"/>
    </w:rPr>
  </w:style>
  <w:style w:type="paragraph" w:styleId="41">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3">
    <w:name w:val="toc 1"/>
    <w:basedOn w:val="1"/>
    <w:next w:val="1"/>
    <w:qFormat/>
    <w:uiPriority w:val="0"/>
    <w:pPr>
      <w:adjustRightInd w:val="0"/>
    </w:pPr>
    <w:rPr>
      <w:rFonts w:ascii="Times New Roman" w:hAnsi="Times New Roman" w:eastAsia="宋体" w:cs="Times New Roman"/>
      <w:szCs w:val="24"/>
    </w:rPr>
  </w:style>
  <w:style w:type="paragraph" w:styleId="44">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qFormat/>
    <w:uiPriority w:val="0"/>
    <w:pPr>
      <w:ind w:firstLine="200" w:firstLineChars="200"/>
    </w:pPr>
    <w:rPr>
      <w:rFonts w:ascii="Times New Roman" w:hAnsi="Times New Roman" w:eastAsia="宋体" w:cs="Times New Roman"/>
      <w:szCs w:val="24"/>
    </w:rPr>
  </w:style>
  <w:style w:type="paragraph" w:styleId="46">
    <w:name w:val="index 1"/>
    <w:basedOn w:val="1"/>
    <w:next w:val="1"/>
    <w:unhideWhenUsed/>
    <w:qFormat/>
    <w:uiPriority w:val="0"/>
  </w:style>
  <w:style w:type="paragraph" w:styleId="47">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8">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17"/>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1">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2">
    <w:name w:val="List 5"/>
    <w:basedOn w:val="1"/>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04"/>
    <w:qFormat/>
    <w:uiPriority w:val="0"/>
    <w:pPr>
      <w:adjustRightInd w:val="0"/>
      <w:spacing w:line="360" w:lineRule="auto"/>
      <w:ind w:firstLine="420"/>
    </w:pPr>
    <w:rPr>
      <w:sz w:val="24"/>
    </w:rPr>
  </w:style>
  <w:style w:type="paragraph" w:styleId="54">
    <w:name w:val="toc 2"/>
    <w:basedOn w:val="1"/>
    <w:next w:val="1"/>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7">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8">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9">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0">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1">
    <w:name w:val="annotation subject"/>
    <w:basedOn w:val="21"/>
    <w:next w:val="21"/>
    <w:link w:val="290"/>
    <w:qFormat/>
    <w:uiPriority w:val="0"/>
    <w:rPr>
      <w:b/>
      <w:bCs/>
      <w:lang w:val="zh-CN"/>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41"/>
    <w:qFormat/>
    <w:uiPriority w:val="0"/>
    <w:rPr>
      <w:sz w:val="18"/>
      <w:szCs w:val="18"/>
    </w:rPr>
  </w:style>
  <w:style w:type="character" w:customStyle="1" w:styleId="80">
    <w:name w:val="页脚 Char"/>
    <w:basedOn w:val="69"/>
    <w:link w:val="40"/>
    <w:qFormat/>
    <w:uiPriority w:val="0"/>
    <w:rPr>
      <w:sz w:val="18"/>
      <w:szCs w:val="18"/>
    </w:rPr>
  </w:style>
  <w:style w:type="character" w:customStyle="1" w:styleId="81">
    <w:name w:val="标题 1 Char"/>
    <w:basedOn w:val="69"/>
    <w:link w:val="4"/>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5"/>
    <w:qFormat/>
    <w:uiPriority w:val="0"/>
    <w:rPr>
      <w:rFonts w:ascii="仿宋_GB2312" w:hAnsi="仿宋" w:eastAsia="仿宋_GB2312" w:cs="Times New Roman"/>
      <w:b/>
      <w:bCs/>
      <w:sz w:val="32"/>
      <w:szCs w:val="32"/>
      <w:lang w:val="zh-CN"/>
    </w:rPr>
  </w:style>
  <w:style w:type="character" w:customStyle="1" w:styleId="83">
    <w:name w:val="标题 3 Char"/>
    <w:basedOn w:val="69"/>
    <w:link w:val="6"/>
    <w:qFormat/>
    <w:uiPriority w:val="0"/>
    <w:rPr>
      <w:rFonts w:ascii="Times New Roman" w:hAnsi="Times New Roman" w:eastAsia="宋体" w:cs="Times New Roman"/>
      <w:b/>
      <w:bCs/>
      <w:sz w:val="32"/>
      <w:szCs w:val="32"/>
    </w:rPr>
  </w:style>
  <w:style w:type="character" w:customStyle="1" w:styleId="84">
    <w:name w:val="标题 4 Char"/>
    <w:basedOn w:val="69"/>
    <w:link w:val="7"/>
    <w:qFormat/>
    <w:uiPriority w:val="0"/>
    <w:rPr>
      <w:rFonts w:ascii="Arial" w:hAnsi="Arial" w:eastAsia="黑体" w:cs="Times New Roman"/>
      <w:b/>
      <w:bCs/>
      <w:sz w:val="28"/>
      <w:szCs w:val="28"/>
      <w:lang w:val="zh-CN"/>
    </w:rPr>
  </w:style>
  <w:style w:type="character" w:customStyle="1" w:styleId="85">
    <w:name w:val="标题 5 Char"/>
    <w:basedOn w:val="69"/>
    <w:link w:val="8"/>
    <w:qFormat/>
    <w:uiPriority w:val="0"/>
    <w:rPr>
      <w:rFonts w:ascii="Times New Roman" w:hAnsi="Times New Roman" w:eastAsia="宋体" w:cs="Times New Roman"/>
      <w:b/>
      <w:bCs/>
      <w:sz w:val="28"/>
      <w:szCs w:val="28"/>
      <w:lang w:val="zh-CN"/>
    </w:rPr>
  </w:style>
  <w:style w:type="character" w:customStyle="1" w:styleId="86">
    <w:name w:val="标题 6 Char"/>
    <w:basedOn w:val="69"/>
    <w:link w:val="9"/>
    <w:qFormat/>
    <w:uiPriority w:val="0"/>
    <w:rPr>
      <w:rFonts w:ascii="Arial" w:hAnsi="Arial" w:eastAsia="黑体" w:cs="Times New Roman"/>
      <w:b/>
      <w:bCs/>
      <w:sz w:val="24"/>
      <w:szCs w:val="24"/>
      <w:lang w:val="zh-CN"/>
    </w:rPr>
  </w:style>
  <w:style w:type="character" w:customStyle="1" w:styleId="87">
    <w:name w:val="标题 7 Char"/>
    <w:basedOn w:val="69"/>
    <w:link w:val="10"/>
    <w:qFormat/>
    <w:uiPriority w:val="0"/>
    <w:rPr>
      <w:rFonts w:ascii="Times New Roman" w:hAnsi="Times New Roman" w:eastAsia="宋体" w:cs="Times New Roman"/>
      <w:b/>
      <w:bCs/>
      <w:sz w:val="24"/>
      <w:szCs w:val="24"/>
      <w:lang w:val="zh-CN"/>
    </w:rPr>
  </w:style>
  <w:style w:type="character" w:customStyle="1" w:styleId="88">
    <w:name w:val="标题 8 Char"/>
    <w:basedOn w:val="69"/>
    <w:link w:val="11"/>
    <w:qFormat/>
    <w:uiPriority w:val="0"/>
    <w:rPr>
      <w:rFonts w:ascii="Arial" w:hAnsi="Arial" w:eastAsia="黑体" w:cs="Times New Roman"/>
      <w:sz w:val="24"/>
      <w:szCs w:val="24"/>
      <w:lang w:val="zh-CN"/>
    </w:rPr>
  </w:style>
  <w:style w:type="character" w:customStyle="1" w:styleId="89">
    <w:name w:val="标题 9 Char"/>
    <w:basedOn w:val="69"/>
    <w:link w:val="12"/>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2"/>
    <w:qFormat/>
    <w:uiPriority w:val="0"/>
    <w:rPr>
      <w:rFonts w:ascii="仿宋_GB2312" w:eastAsia="仿宋_GB2312"/>
      <w:sz w:val="28"/>
    </w:rPr>
  </w:style>
  <w:style w:type="character" w:customStyle="1" w:styleId="93">
    <w:name w:val="正文文本 3 Char"/>
    <w:basedOn w:val="69"/>
    <w:link w:val="23"/>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31"/>
    <w:qFormat/>
    <w:uiPriority w:val="0"/>
    <w:rPr>
      <w:rFonts w:ascii="宋体" w:hAnsi="宋体"/>
      <w:i/>
      <w:iCs/>
      <w:sz w:val="24"/>
      <w:szCs w:val="24"/>
    </w:rPr>
  </w:style>
  <w:style w:type="character" w:customStyle="1" w:styleId="97">
    <w:name w:val="纯文本 Char"/>
    <w:basedOn w:val="69"/>
    <w:link w:val="34"/>
    <w:qFormat/>
    <w:uiPriority w:val="0"/>
    <w:rPr>
      <w:rFonts w:ascii="宋体" w:hAnsi="Courier New" w:eastAsia="宋体" w:cs="Arial"/>
      <w:snapToGrid w:val="0"/>
      <w:szCs w:val="21"/>
    </w:rPr>
  </w:style>
  <w:style w:type="character" w:customStyle="1" w:styleId="98">
    <w:name w:val="日期 Char"/>
    <w:basedOn w:val="69"/>
    <w:link w:val="37"/>
    <w:qFormat/>
    <w:uiPriority w:val="0"/>
    <w:rPr>
      <w:rFonts w:ascii="宋体"/>
      <w:sz w:val="24"/>
      <w:szCs w:val="21"/>
      <w:lang w:val="zh-CN"/>
    </w:rPr>
  </w:style>
  <w:style w:type="character" w:customStyle="1" w:styleId="99">
    <w:name w:val="正文文本缩进 2 Char"/>
    <w:basedOn w:val="69"/>
    <w:link w:val="38"/>
    <w:qFormat/>
    <w:uiPriority w:val="0"/>
    <w:rPr>
      <w:rFonts w:ascii="宋体"/>
      <w:sz w:val="28"/>
    </w:rPr>
  </w:style>
  <w:style w:type="character" w:customStyle="1" w:styleId="100">
    <w:name w:val="批注框文本 Char"/>
    <w:basedOn w:val="69"/>
    <w:link w:val="39"/>
    <w:qFormat/>
    <w:uiPriority w:val="0"/>
    <w:rPr>
      <w:sz w:val="18"/>
      <w:szCs w:val="18"/>
    </w:rPr>
  </w:style>
  <w:style w:type="character" w:customStyle="1" w:styleId="101">
    <w:name w:val="签名 Char"/>
    <w:basedOn w:val="69"/>
    <w:link w:val="42"/>
    <w:qFormat/>
    <w:uiPriority w:val="0"/>
    <w:rPr>
      <w:rFonts w:eastAsia="仿宋_GB2312"/>
      <w:sz w:val="24"/>
    </w:rPr>
  </w:style>
  <w:style w:type="character" w:customStyle="1" w:styleId="102">
    <w:name w:val="副标题 Char"/>
    <w:basedOn w:val="69"/>
    <w:link w:val="47"/>
    <w:qFormat/>
    <w:uiPriority w:val="0"/>
    <w:rPr>
      <w:rFonts w:ascii="Arial" w:hAnsi="Arial" w:eastAsia="隶书"/>
      <w:b/>
      <w:bCs/>
      <w:kern w:val="28"/>
      <w:sz w:val="44"/>
      <w:szCs w:val="32"/>
    </w:rPr>
  </w:style>
  <w:style w:type="character" w:customStyle="1" w:styleId="103">
    <w:name w:val="脚注文本 Char"/>
    <w:basedOn w:val="69"/>
    <w:link w:val="50"/>
    <w:qFormat/>
    <w:uiPriority w:val="0"/>
    <w:rPr>
      <w:color w:val="0000FF"/>
    </w:rPr>
  </w:style>
  <w:style w:type="character" w:customStyle="1" w:styleId="104">
    <w:name w:val="正文文本缩进 3 Char"/>
    <w:basedOn w:val="69"/>
    <w:link w:val="53"/>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8"/>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26"/>
    <w:qFormat/>
    <w:uiPriority w:val="0"/>
    <w:rPr>
      <w:rFonts w:ascii="宋体"/>
      <w:sz w:val="24"/>
      <w:lang w:val="zh-CN"/>
    </w:rPr>
  </w:style>
  <w:style w:type="character" w:customStyle="1" w:styleId="110">
    <w:name w:val="正文首行缩进 2 Char"/>
    <w:basedOn w:val="95"/>
    <w:link w:val="2"/>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25"/>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7"/>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7"/>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17"/>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6"/>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3"/>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1"/>
    <w:qFormat/>
    <w:uiPriority w:val="99"/>
    <w:rPr>
      <w:rFonts w:ascii="Times New Roman" w:hAnsi="Times New Roman" w:eastAsia="宋体" w:cs="Times New Roman"/>
      <w:szCs w:val="24"/>
    </w:rPr>
  </w:style>
  <w:style w:type="character" w:customStyle="1" w:styleId="290">
    <w:name w:val="批注主题 Char1"/>
    <w:basedOn w:val="289"/>
    <w:link w:val="61"/>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20"/>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60"/>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8"/>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3"/>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3"/>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6"/>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8"/>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7"/>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5"/>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3"/>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3"/>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3"/>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8"/>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8"/>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9"/>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20"/>
    <w:qFormat/>
    <w:uiPriority w:val="0"/>
    <w:pPr>
      <w:snapToGrid w:val="0"/>
      <w:spacing w:line="360" w:lineRule="auto"/>
    </w:pPr>
  </w:style>
  <w:style w:type="paragraph" w:customStyle="1" w:styleId="45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6"/>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3"/>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5"/>
    <w:next w:val="1"/>
    <w:qFormat/>
    <w:uiPriority w:val="0"/>
    <w:pPr>
      <w:numPr>
        <w:ilvl w:val="1"/>
        <w:numId w:val="6"/>
      </w:numPr>
    </w:pPr>
    <w:rPr>
      <w:rFonts w:ascii="Times New Roman" w:eastAsia="宋体"/>
      <w:i/>
      <w:sz w:val="36"/>
      <w:szCs w:val="36"/>
      <w:lang w:val="en-US"/>
    </w:rPr>
  </w:style>
  <w:style w:type="paragraph" w:customStyle="1" w:styleId="47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4"/>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4"/>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6"/>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7"/>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7"/>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7"/>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5"/>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4"/>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8"/>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5"/>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5"/>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3"/>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6"/>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4"/>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3"/>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4"/>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7"/>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26"/>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1"/>
    <w:next w:val="21"/>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paragraph" w:customStyle="1" w:styleId="9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100</Pages>
  <Words>54320</Words>
  <Characters>59416</Characters>
  <Lines>324</Lines>
  <Paragraphs>91</Paragraphs>
  <TotalTime>4</TotalTime>
  <ScaleCrop>false</ScaleCrop>
  <LinksUpToDate>false</LinksUpToDate>
  <CharactersWithSpaces>65766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2021-03-04T10:54:00Z</dcterms:created>
  <dc:creator>mb</dc:creator>
  <cp:lastModifiedBy>Administrator</cp:lastModifiedBy>
  <dcterms:modified xsi:type="dcterms:W3CDTF">2022-05-07T01:04:11Z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F0D3B767158F4509A37E4175EB2E56E9</vt:lpwstr>
  </property>
  <property fmtid="{D5CDD505-2E9C-101B-9397-08002B2CF9AE}" pid="4" name="woTemplateTypoMode" linkTarget="0">
    <vt:lpwstr>web</vt:lpwstr>
  </property>
  <property fmtid="{D5CDD505-2E9C-101B-9397-08002B2CF9AE}" pid="5" name="woTemplate" linkTarget="0">
    <vt:i4>1</vt:i4>
  </property>
</Properties>
</file>