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杭州市临安区浙政钉门户建设项目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编号:（采购编号LZC-GK-2022-10070）</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杭州市临安区数据资源管理局</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杭州市公共资源交易中心临安分中心</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二〇二二年十月</w:t>
      </w:r>
      <w:r>
        <w:rPr>
          <w:rFonts w:hint="eastAsia" w:ascii="仿宋" w:hAnsi="仿宋" w:eastAsia="仿宋" w:cs="仿宋"/>
          <w:bCs/>
          <w:sz w:val="32"/>
          <w:szCs w:val="32"/>
          <w:lang w:eastAsia="zh-CN"/>
        </w:rPr>
        <w:t>十七</w:t>
      </w:r>
      <w:r>
        <w:rPr>
          <w:rFonts w:hint="eastAsia" w:ascii="仿宋" w:hAnsi="仿宋" w:eastAsia="仿宋" w:cs="仿宋"/>
          <w:bCs/>
          <w:sz w:val="32"/>
          <w:szCs w:val="32"/>
        </w:rPr>
        <w:t>日</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pStyle w:val="634"/>
        <w:rPr>
          <w:rFonts w:ascii="仿宋" w:hAnsi="仿宋" w:eastAsia="仿宋" w:cs="仿宋"/>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color w:val="auto"/>
          <w:sz w:val="24"/>
        </w:rPr>
        <w:t>杭州市临安区浙政钉门户建设项目</w:t>
      </w:r>
      <w:r>
        <w:rPr>
          <w:rFonts w:hint="eastAsia" w:ascii="仿宋" w:hAnsi="仿宋" w:eastAsia="仿宋" w:cs="仿宋"/>
          <w:sz w:val="24"/>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Cs/>
          <w:sz w:val="24"/>
        </w:rPr>
        <w:t>LZC-GK-2022-10070</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Cs/>
          <w:sz w:val="24"/>
        </w:rPr>
        <w:t xml:space="preserve"> 杭州市临安区浙政钉门户建设项目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预算金额（元）：1000000</w:t>
      </w:r>
      <w:r>
        <w:rPr>
          <w:rFonts w:hint="eastAsia" w:ascii="仿宋" w:hAnsi="仿宋" w:eastAsia="仿宋" w:cs="仿宋"/>
          <w:sz w:val="24"/>
        </w:rPr>
        <w:t xml:space="preserve">  </w:t>
      </w:r>
    </w:p>
    <w:p>
      <w:pPr>
        <w:spacing w:line="360" w:lineRule="auto"/>
        <w:ind w:firstLine="480"/>
        <w:rPr>
          <w:rFonts w:ascii="仿宋" w:hAnsi="仿宋" w:eastAsia="仿宋" w:cs="仿宋"/>
          <w:sz w:val="24"/>
        </w:rPr>
      </w:pPr>
      <w:r>
        <w:rPr>
          <w:rFonts w:hint="eastAsia" w:ascii="仿宋" w:hAnsi="仿宋" w:eastAsia="仿宋" w:cs="仿宋"/>
          <w:b/>
          <w:sz w:val="24"/>
        </w:rPr>
        <w:t>最高限价（元）：1000000</w:t>
      </w:r>
      <w:r>
        <w:rPr>
          <w:rFonts w:hint="eastAsia" w:ascii="仿宋" w:hAnsi="仿宋" w:eastAsia="仿宋" w:cs="仿宋"/>
          <w:sz w:val="24"/>
        </w:rPr>
        <w:t xml:space="preserve">  </w:t>
      </w:r>
    </w:p>
    <w:p>
      <w:pPr>
        <w:pStyle w:val="16"/>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对现有的OA系统、全流程管理平台进行升级建设以及政务资源云管家建设。详见招标文件第三部分采购需求。</w:t>
      </w:r>
    </w:p>
    <w:p>
      <w:pPr>
        <w:pStyle w:val="128"/>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bCs/>
          <w:szCs w:val="24"/>
        </w:rPr>
        <w:t>本项目建设周期3个月。</w:t>
      </w:r>
    </w:p>
    <w:p>
      <w:pPr>
        <w:pStyle w:val="16"/>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highlight w:val="none"/>
        </w:rPr>
      </w:pPr>
      <w:r>
        <w:rPr>
          <w:rFonts w:hint="eastAsia" w:ascii="仿宋" w:hAnsi="仿宋" w:eastAsia="仿宋" w:cs="仿宋"/>
          <w:b/>
          <w:sz w:val="24"/>
        </w:rPr>
        <w:t>三、获取招标</w:t>
      </w:r>
      <w:r>
        <w:rPr>
          <w:rFonts w:hint="eastAsia" w:ascii="仿宋" w:hAnsi="仿宋" w:eastAsia="仿宋" w:cs="仿宋"/>
          <w:b/>
          <w:sz w:val="24"/>
          <w:highlight w:val="none"/>
        </w:rPr>
        <w:t xml:space="preserve">文件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2022年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2022年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2022年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称：杭州市临安区数据资源管理局 </w:t>
      </w:r>
    </w:p>
    <w:p>
      <w:pPr>
        <w:spacing w:line="360" w:lineRule="auto"/>
        <w:rPr>
          <w:rFonts w:ascii="仿宋" w:hAnsi="仿宋" w:eastAsia="仿宋" w:cs="仿宋"/>
          <w:sz w:val="24"/>
        </w:rPr>
      </w:pPr>
      <w:r>
        <w:rPr>
          <w:rFonts w:hint="eastAsia" w:ascii="仿宋" w:hAnsi="仿宋" w:eastAsia="仿宋" w:cs="仿宋"/>
          <w:sz w:val="24"/>
        </w:rPr>
        <w:t xml:space="preserve">    地    址：临安区市民中心2号楼4楼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sz w:val="24"/>
        </w:rPr>
      </w:pPr>
      <w:r>
        <w:rPr>
          <w:rFonts w:hint="eastAsia" w:ascii="仿宋" w:hAnsi="仿宋" w:eastAsia="仿宋" w:cs="仿宋"/>
          <w:sz w:val="24"/>
        </w:rPr>
        <w:t xml:space="preserve">项目联系人（询问）：蒋雨婕  </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项目联系方式（询问）：0571-58606722 </w:t>
      </w:r>
    </w:p>
    <w:p>
      <w:pPr>
        <w:spacing w:line="360" w:lineRule="auto"/>
        <w:rPr>
          <w:rFonts w:ascii="仿宋" w:hAnsi="仿宋" w:eastAsia="仿宋" w:cs="仿宋"/>
          <w:sz w:val="24"/>
        </w:rPr>
      </w:pPr>
      <w:r>
        <w:rPr>
          <w:rFonts w:hint="eastAsia" w:ascii="仿宋" w:hAnsi="仿宋" w:eastAsia="仿宋" w:cs="仿宋"/>
          <w:sz w:val="24"/>
        </w:rPr>
        <w:t xml:space="preserve">    质疑联系人：方先生 </w:t>
      </w:r>
    </w:p>
    <w:p>
      <w:pPr>
        <w:spacing w:line="360" w:lineRule="auto"/>
        <w:rPr>
          <w:rFonts w:ascii="仿宋" w:hAnsi="仿宋" w:eastAsia="仿宋" w:cs="仿宋"/>
          <w:sz w:val="24"/>
        </w:rPr>
      </w:pPr>
      <w:r>
        <w:rPr>
          <w:rFonts w:hint="eastAsia" w:ascii="仿宋" w:hAnsi="仿宋" w:eastAsia="仿宋" w:cs="仿宋"/>
          <w:sz w:val="24"/>
        </w:rPr>
        <w:t xml:space="preserve">    质疑联系方式：0571-63700016 </w:t>
      </w:r>
    </w:p>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    称：杭州市公共资源交易中心临安分中心</w:t>
      </w:r>
    </w:p>
    <w:p>
      <w:pPr>
        <w:spacing w:line="360" w:lineRule="auto"/>
        <w:ind w:firstLine="480"/>
        <w:rPr>
          <w:rFonts w:ascii="仿宋" w:hAnsi="仿宋" w:eastAsia="仿宋" w:cs="仿宋"/>
          <w:sz w:val="24"/>
        </w:rPr>
      </w:pPr>
      <w:r>
        <w:rPr>
          <w:rFonts w:hint="eastAsia" w:ascii="仿宋" w:hAnsi="仿宋" w:eastAsia="仿宋" w:cs="仿宋"/>
          <w:sz w:val="24"/>
        </w:rPr>
        <w:t>地    址：浙江省杭州市临安区锦北街道科技大道4398号市民中心4楼</w:t>
      </w:r>
    </w:p>
    <w:p>
      <w:pPr>
        <w:spacing w:line="360" w:lineRule="auto"/>
        <w:rPr>
          <w:rFonts w:ascii="仿宋" w:hAnsi="仿宋" w:eastAsia="仿宋" w:cs="仿宋"/>
          <w:sz w:val="24"/>
        </w:rPr>
      </w:pPr>
      <w:r>
        <w:rPr>
          <w:rFonts w:hint="eastAsia" w:ascii="仿宋" w:hAnsi="仿宋" w:eastAsia="仿宋" w:cs="仿宋"/>
          <w:sz w:val="24"/>
        </w:rPr>
        <w:t xml:space="preserve">    传    真：0571-23616016             </w:t>
      </w:r>
    </w:p>
    <w:p>
      <w:pPr>
        <w:spacing w:line="360" w:lineRule="auto"/>
        <w:rPr>
          <w:rFonts w:ascii="仿宋" w:hAnsi="仿宋" w:eastAsia="仿宋" w:cs="仿宋"/>
          <w:sz w:val="24"/>
        </w:rPr>
      </w:pPr>
      <w:r>
        <w:rPr>
          <w:rFonts w:hint="eastAsia" w:ascii="仿宋" w:hAnsi="仿宋" w:eastAsia="仿宋" w:cs="仿宋"/>
          <w:sz w:val="24"/>
        </w:rPr>
        <w:t xml:space="preserve">    项目联系人（询问）：胡旭晨          </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项目联系方式（询问）：0571-23616011</w:t>
      </w:r>
    </w:p>
    <w:p>
      <w:pPr>
        <w:spacing w:line="360" w:lineRule="auto"/>
        <w:rPr>
          <w:rFonts w:ascii="仿宋" w:hAnsi="仿宋" w:eastAsia="仿宋" w:cs="仿宋"/>
          <w:sz w:val="24"/>
        </w:rPr>
      </w:pPr>
      <w:r>
        <w:rPr>
          <w:rFonts w:hint="eastAsia" w:ascii="仿宋" w:hAnsi="仿宋" w:eastAsia="仿宋" w:cs="仿宋"/>
          <w:sz w:val="24"/>
        </w:rPr>
        <w:t xml:space="preserve">    质疑联系人：王晖              </w:t>
      </w:r>
    </w:p>
    <w:p>
      <w:pPr>
        <w:spacing w:line="360" w:lineRule="auto"/>
        <w:rPr>
          <w:rFonts w:ascii="仿宋" w:hAnsi="仿宋" w:eastAsia="仿宋" w:cs="仿宋"/>
          <w:sz w:val="24"/>
        </w:rPr>
      </w:pPr>
      <w:r>
        <w:rPr>
          <w:rFonts w:hint="eastAsia" w:ascii="仿宋" w:hAnsi="仿宋" w:eastAsia="仿宋" w:cs="仿宋"/>
          <w:sz w:val="24"/>
        </w:rPr>
        <w:t xml:space="preserve">    质疑联系方式：0571-23616016</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ascii="仿宋" w:hAnsi="仿宋" w:eastAsia="仿宋" w:cs="仿宋"/>
          <w:sz w:val="24"/>
        </w:rPr>
      </w:pPr>
      <w:r>
        <w:rPr>
          <w:rFonts w:hint="eastAsia" w:ascii="仿宋" w:hAnsi="仿宋" w:eastAsia="仿宋" w:cs="仿宋"/>
          <w:sz w:val="24"/>
        </w:rPr>
        <w:t xml:space="preserve">    地    址：浙江省杭州市临安区锦北街道科技大道4398号4号楼11楼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0571-63722886</w:t>
      </w:r>
    </w:p>
    <w:p>
      <w:pPr>
        <w:spacing w:line="360" w:lineRule="auto"/>
        <w:rPr>
          <w:rFonts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2"/>
        <w:spacing w:line="360" w:lineRule="auto"/>
        <w:rPr>
          <w:rFonts w:ascii="仿宋" w:hAnsi="仿宋" w:eastAsia="仿宋" w:cs="仿宋"/>
          <w:sz w:val="24"/>
        </w:rPr>
      </w:pPr>
      <w:r>
        <w:rPr>
          <w:rFonts w:hint="eastAsia" w:ascii="仿宋" w:hAnsi="仿宋" w:eastAsia="仿宋" w:cs="仿宋"/>
          <w:sz w:val="24"/>
        </w:rPr>
        <w:t xml:space="preserve">                        </w:t>
      </w:r>
    </w:p>
    <w:p>
      <w:pPr>
        <w:pStyle w:val="32"/>
        <w:spacing w:line="360" w:lineRule="auto"/>
        <w:jc w:val="center"/>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标的：</w:t>
            </w:r>
            <w:r>
              <w:rPr>
                <w:rFonts w:hint="eastAsia" w:ascii="仿宋" w:hAnsi="仿宋" w:eastAsia="仿宋" w:cs="仿宋"/>
                <w:b/>
                <w:bCs/>
                <w:kern w:val="0"/>
                <w:sz w:val="24"/>
                <w:u w:val="single"/>
              </w:rPr>
              <w:t>临安区浙政钉门户建设</w:t>
            </w:r>
            <w:r>
              <w:rPr>
                <w:rFonts w:hint="eastAsia" w:ascii="仿宋" w:hAnsi="仿宋" w:eastAsia="仿宋" w:cs="仿宋"/>
                <w:kern w:val="0"/>
                <w:sz w:val="24"/>
              </w:rPr>
              <w:t>，属于</w:t>
            </w:r>
            <w:r>
              <w:rPr>
                <w:rFonts w:hint="eastAsia" w:ascii="仿宋" w:hAnsi="仿宋" w:eastAsia="仿宋" w:cs="仿宋"/>
                <w:b/>
                <w:bCs/>
                <w:kern w:val="0"/>
                <w:sz w:val="24"/>
                <w:u w:val="single"/>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杭州市临安区锦北街道科技大道4398号市民中心B座B448室（杭州市公共资源交易中心临安分中心政府采购科） ；备份投标文件签收人员联系电话：0571-23616011。</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仿宋" w:hAnsi="仿宋" w:eastAsia="仿宋" w:cs="仿宋"/>
          <w:b/>
          <w:sz w:val="32"/>
          <w:szCs w:val="20"/>
        </w:rPr>
      </w:pPr>
    </w:p>
    <w:bookmarkEnd w:id="10"/>
    <w:p>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2"/>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4.4在线质疑、投诉。</w:t>
      </w:r>
    </w:p>
    <w:p>
      <w:pPr>
        <w:pStyle w:val="886"/>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仿宋"/>
          <w:b/>
          <w:sz w:val="32"/>
        </w:rPr>
      </w:pPr>
    </w:p>
    <w:p>
      <w:pPr>
        <w:pStyle w:val="128"/>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28"/>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29768"/>
      <w:bookmarkEnd w:id="16"/>
      <w:bookmarkStart w:id="17" w:name="_Hlt75236290"/>
      <w:bookmarkEnd w:id="17"/>
      <w:bookmarkStart w:id="18" w:name="_Hlt74707468"/>
      <w:bookmarkEnd w:id="18"/>
      <w:bookmarkStart w:id="19" w:name="_Hlt74730295"/>
      <w:bookmarkEnd w:id="19"/>
      <w:bookmarkStart w:id="20" w:name="_Hlt68073093"/>
      <w:bookmarkEnd w:id="20"/>
      <w:bookmarkStart w:id="21" w:name="_Hlt68403820"/>
      <w:bookmarkEnd w:id="21"/>
      <w:bookmarkStart w:id="22" w:name="_Hlt68072990"/>
      <w:bookmarkEnd w:id="22"/>
      <w:bookmarkStart w:id="23" w:name="_Hlt68057669"/>
      <w:bookmarkEnd w:id="23"/>
      <w:bookmarkStart w:id="24" w:name="_Hlt74714665"/>
      <w:bookmarkEnd w:id="24"/>
      <w:bookmarkStart w:id="25" w:name="_Hlt75236011"/>
      <w:bookmarkEnd w:id="25"/>
      <w:bookmarkStart w:id="26" w:name="_Hlt75236101"/>
      <w:bookmarkEnd w:id="26"/>
    </w:p>
    <w:bookmarkEnd w:id="11"/>
    <w:bookmarkEnd w:id="12"/>
    <w:p>
      <w:p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3"/>
        <w:tabs>
          <w:tab w:val="left" w:pos="420"/>
          <w:tab w:val="clear" w:pos="432"/>
        </w:tabs>
        <w:adjustRightInd/>
        <w:spacing w:line="400" w:lineRule="exact"/>
        <w:ind w:left="0" w:firstLine="0"/>
        <w:rPr>
          <w:rFonts w:ascii="仿宋" w:hAnsi="仿宋" w:eastAsia="仿宋" w:cs="仿宋"/>
          <w:sz w:val="24"/>
          <w:szCs w:val="24"/>
        </w:rPr>
      </w:pPr>
      <w:r>
        <w:rPr>
          <w:rFonts w:hint="eastAsia" w:ascii="仿宋" w:hAnsi="仿宋" w:eastAsia="仿宋" w:cs="仿宋"/>
          <w:sz w:val="24"/>
          <w:szCs w:val="24"/>
        </w:rPr>
        <w:t>一、建设背景</w:t>
      </w:r>
    </w:p>
    <w:p>
      <w:pPr>
        <w:adjustRightInd/>
        <w:spacing w:line="400" w:lineRule="exact"/>
        <w:ind w:firstLine="420"/>
        <w:rPr>
          <w:rFonts w:ascii="仿宋" w:hAnsi="仿宋" w:eastAsia="仿宋" w:cs="仿宋"/>
          <w:sz w:val="24"/>
        </w:rPr>
      </w:pPr>
      <w:r>
        <w:rPr>
          <w:rFonts w:hint="eastAsia" w:ascii="仿宋" w:hAnsi="仿宋" w:eastAsia="仿宋" w:cs="仿宋"/>
          <w:sz w:val="24"/>
        </w:rPr>
        <w:t>根据《浙江省公共数据和电子政务管理办法》、《浙江省数字化改革总体方案》、《浙江省大数据发展管理局关于开展2022年一体化智能化公共数据平台综合评价工作的通知》、《浙江省公共数据和电子政务管理办法》要求对现有的OA系统、全流程管理平台进行升级建设以及政务资源云管家建设。</w:t>
      </w:r>
    </w:p>
    <w:p>
      <w:pPr>
        <w:pStyle w:val="3"/>
        <w:tabs>
          <w:tab w:val="left" w:pos="420"/>
          <w:tab w:val="clear" w:pos="432"/>
        </w:tabs>
        <w:adjustRightInd/>
        <w:spacing w:line="400" w:lineRule="exact"/>
        <w:ind w:left="0" w:firstLine="0"/>
        <w:rPr>
          <w:rFonts w:ascii="仿宋" w:hAnsi="仿宋" w:eastAsia="仿宋" w:cs="仿宋"/>
          <w:sz w:val="24"/>
          <w:szCs w:val="24"/>
        </w:rPr>
      </w:pPr>
      <w:r>
        <w:rPr>
          <w:rFonts w:hint="eastAsia" w:ascii="仿宋" w:hAnsi="仿宋" w:eastAsia="仿宋" w:cs="仿宋"/>
          <w:sz w:val="24"/>
          <w:szCs w:val="24"/>
        </w:rPr>
        <w:t>二、建设内容</w:t>
      </w:r>
    </w:p>
    <w:p>
      <w:pPr>
        <w:pStyle w:val="4"/>
        <w:numPr>
          <w:ilvl w:val="1"/>
          <w:numId w:val="0"/>
        </w:numPr>
        <w:rPr>
          <w:rFonts w:ascii="仿宋" w:eastAsia="仿宋" w:cs="仿宋"/>
          <w:sz w:val="24"/>
          <w:szCs w:val="24"/>
        </w:rPr>
      </w:pPr>
      <w:r>
        <w:rPr>
          <w:rFonts w:hint="eastAsia" w:ascii="仿宋" w:eastAsia="仿宋" w:cs="仿宋"/>
          <w:sz w:val="24"/>
          <w:szCs w:val="24"/>
          <w:lang w:val="en-US"/>
        </w:rPr>
        <w:t>1、</w:t>
      </w:r>
      <w:r>
        <w:rPr>
          <w:rFonts w:hint="eastAsia" w:ascii="仿宋" w:eastAsia="仿宋" w:cs="仿宋"/>
          <w:sz w:val="24"/>
          <w:szCs w:val="24"/>
        </w:rPr>
        <w:t>“浙政钉”工作台门户建设</w:t>
      </w:r>
    </w:p>
    <w:p>
      <w:pPr>
        <w:adjustRightInd/>
        <w:spacing w:line="360" w:lineRule="auto"/>
        <w:ind w:firstLine="420"/>
        <w:rPr>
          <w:rFonts w:ascii="仿宋" w:hAnsi="仿宋" w:eastAsia="仿宋" w:cs="仿宋"/>
          <w:sz w:val="24"/>
        </w:rPr>
      </w:pPr>
      <w:r>
        <w:rPr>
          <w:rFonts w:hint="eastAsia" w:ascii="仿宋" w:hAnsi="仿宋" w:eastAsia="仿宋" w:cs="仿宋"/>
          <w:sz w:val="24"/>
        </w:rPr>
        <w:t>（1）业务协同</w:t>
      </w:r>
    </w:p>
    <w:p>
      <w:pPr>
        <w:adjustRightInd/>
        <w:spacing w:line="360" w:lineRule="auto"/>
        <w:ind w:firstLine="420"/>
        <w:rPr>
          <w:rFonts w:ascii="仿宋" w:hAnsi="仿宋" w:eastAsia="仿宋" w:cs="仿宋"/>
          <w:sz w:val="24"/>
        </w:rPr>
      </w:pPr>
      <w:r>
        <w:rPr>
          <w:rFonts w:hint="eastAsia" w:ascii="仿宋" w:hAnsi="仿宋" w:eastAsia="仿宋" w:cs="仿宋"/>
          <w:sz w:val="24"/>
        </w:rPr>
        <w:t>通过浙政钉统一待办组件开发统一待办模块，应包含统一待办展示、待办详情及处理、待办查询功能。</w:t>
      </w:r>
    </w:p>
    <w:p>
      <w:pPr>
        <w:adjustRightInd/>
        <w:spacing w:line="360" w:lineRule="auto"/>
        <w:ind w:firstLine="420"/>
        <w:rPr>
          <w:rFonts w:ascii="仿宋" w:hAnsi="仿宋" w:eastAsia="仿宋" w:cs="仿宋"/>
          <w:sz w:val="24"/>
        </w:rPr>
      </w:pPr>
      <w:r>
        <w:rPr>
          <w:rFonts w:hint="eastAsia" w:ascii="仿宋" w:hAnsi="仿宋" w:eastAsia="仿宋" w:cs="仿宋"/>
          <w:sz w:val="24"/>
        </w:rPr>
        <w:t>建设浙政钉待阅组件开发统一待阅模块，实现区OA收文、发文等阅件集中在工作台展示。包含统一待阅展示、待阅详情功能。</w:t>
      </w:r>
    </w:p>
    <w:p>
      <w:pPr>
        <w:adjustRightInd/>
        <w:spacing w:line="360" w:lineRule="auto"/>
        <w:ind w:firstLine="420"/>
        <w:rPr>
          <w:rFonts w:ascii="仿宋" w:hAnsi="仿宋" w:eastAsia="仿宋" w:cs="仿宋"/>
          <w:sz w:val="24"/>
        </w:rPr>
      </w:pPr>
      <w:r>
        <w:rPr>
          <w:rFonts w:hint="eastAsia" w:ascii="仿宋" w:hAnsi="仿宋" w:eastAsia="仿宋" w:cs="仿宋"/>
          <w:sz w:val="24"/>
        </w:rPr>
        <w:t>建设浙政钉审批组件开发统一审批模块，实现机关内部事项审批、OA请假审批等审批件集中在工作台展示并处理。包含统一审批展示、审批详情及处理功能。</w:t>
      </w:r>
    </w:p>
    <w:p>
      <w:pPr>
        <w:adjustRightInd/>
        <w:spacing w:line="400" w:lineRule="exact"/>
        <w:ind w:firstLine="420"/>
        <w:rPr>
          <w:rFonts w:ascii="仿宋" w:hAnsi="仿宋" w:eastAsia="仿宋" w:cs="仿宋"/>
          <w:sz w:val="24"/>
        </w:rPr>
      </w:pPr>
      <w:r>
        <w:rPr>
          <w:rFonts w:hint="eastAsia" w:ascii="仿宋" w:hAnsi="仿宋" w:eastAsia="仿宋" w:cs="仿宋"/>
          <w:sz w:val="24"/>
        </w:rPr>
        <w:t>建设浙政钉通知组件开发统一通知模块，实现通知公告数据集中在工作台展示并处理。包含统一通知展示、通知详情及处理、通知查询功能。</w:t>
      </w:r>
    </w:p>
    <w:p>
      <w:pPr>
        <w:adjustRightInd/>
        <w:spacing w:line="400" w:lineRule="exact"/>
        <w:ind w:firstLine="420"/>
        <w:rPr>
          <w:rFonts w:ascii="仿宋" w:hAnsi="仿宋" w:eastAsia="仿宋" w:cs="仿宋"/>
          <w:sz w:val="24"/>
        </w:rPr>
      </w:pPr>
      <w:r>
        <w:rPr>
          <w:rFonts w:hint="eastAsia" w:ascii="仿宋" w:hAnsi="仿宋" w:eastAsia="仿宋" w:cs="仿宋"/>
          <w:sz w:val="24"/>
        </w:rPr>
        <w:t>通过浙政钉组件接口实现区级收文、发文、历史文件、全区文件等相关数据的统一展示和查看，实现区内文件全方面管理。包含共享文件库展示、文件详情查看功能。</w:t>
      </w:r>
    </w:p>
    <w:p>
      <w:pPr>
        <w:adjustRightInd/>
        <w:spacing w:line="400" w:lineRule="exact"/>
        <w:ind w:firstLine="420"/>
        <w:rPr>
          <w:rFonts w:ascii="仿宋" w:hAnsi="仿宋" w:eastAsia="仿宋" w:cs="仿宋"/>
          <w:sz w:val="24"/>
        </w:rPr>
      </w:pPr>
      <w:r>
        <w:rPr>
          <w:rFonts w:hint="eastAsia" w:ascii="仿宋" w:hAnsi="仿宋" w:eastAsia="仿宋" w:cs="仿宋"/>
          <w:sz w:val="24"/>
        </w:rPr>
        <w:t>（2）通知公告</w:t>
      </w:r>
    </w:p>
    <w:p>
      <w:pPr>
        <w:adjustRightInd/>
        <w:spacing w:line="400" w:lineRule="exact"/>
        <w:ind w:firstLine="420"/>
        <w:rPr>
          <w:rFonts w:ascii="仿宋" w:hAnsi="仿宋" w:eastAsia="仿宋" w:cs="仿宋"/>
          <w:sz w:val="24"/>
        </w:rPr>
      </w:pPr>
      <w:r>
        <w:rPr>
          <w:rFonts w:hint="eastAsia" w:ascii="仿宋" w:hAnsi="仿宋" w:eastAsia="仿宋" w:cs="仿宋"/>
          <w:sz w:val="24"/>
        </w:rPr>
        <w:t>依托浙政钉工作台组件，构建工作台通知公告栏，以滚动展示的方式进行通知公告在工作台门户的展现。</w:t>
      </w:r>
    </w:p>
    <w:p>
      <w:pPr>
        <w:adjustRightInd/>
        <w:spacing w:line="400" w:lineRule="exact"/>
        <w:ind w:firstLine="420"/>
        <w:rPr>
          <w:rFonts w:ascii="仿宋" w:hAnsi="仿宋" w:eastAsia="仿宋" w:cs="仿宋"/>
          <w:sz w:val="24"/>
        </w:rPr>
      </w:pPr>
      <w:r>
        <w:rPr>
          <w:rFonts w:hint="eastAsia" w:ascii="仿宋" w:hAnsi="仿宋" w:eastAsia="仿宋" w:cs="仿宋"/>
          <w:sz w:val="24"/>
        </w:rPr>
        <w:t>（3）浙政钉应用分类展示</w:t>
      </w:r>
    </w:p>
    <w:p>
      <w:pPr>
        <w:adjustRightInd/>
        <w:spacing w:line="400" w:lineRule="exact"/>
        <w:ind w:firstLine="420"/>
        <w:rPr>
          <w:rFonts w:ascii="仿宋" w:hAnsi="仿宋" w:eastAsia="仿宋" w:cs="仿宋"/>
          <w:sz w:val="24"/>
        </w:rPr>
      </w:pPr>
      <w:r>
        <w:rPr>
          <w:rFonts w:hint="eastAsia" w:ascii="仿宋" w:hAnsi="仿宋" w:eastAsia="仿宋" w:cs="仿宋"/>
          <w:sz w:val="24"/>
        </w:rPr>
        <w:t>按数字化改革“1612”体系架构，将应用按领域分为党政统领整体智治、数字政府、数字经济、数字社会、数字文化和数字法治，以Tab页切换展示，并实现应用的快速访问和个性化定制。</w:t>
      </w:r>
    </w:p>
    <w:p>
      <w:pPr>
        <w:pStyle w:val="4"/>
        <w:numPr>
          <w:ilvl w:val="1"/>
          <w:numId w:val="0"/>
        </w:numPr>
        <w:rPr>
          <w:rFonts w:ascii="仿宋" w:eastAsia="仿宋" w:cs="仿宋"/>
          <w:sz w:val="24"/>
          <w:szCs w:val="24"/>
        </w:rPr>
      </w:pPr>
      <w:r>
        <w:rPr>
          <w:rFonts w:hint="eastAsia" w:ascii="仿宋" w:eastAsia="仿宋" w:cs="仿宋"/>
          <w:sz w:val="24"/>
          <w:szCs w:val="24"/>
          <w:lang w:val="en-US"/>
        </w:rPr>
        <w:t>2、</w:t>
      </w:r>
      <w:r>
        <w:rPr>
          <w:rFonts w:hint="eastAsia" w:ascii="仿宋" w:eastAsia="仿宋" w:cs="仿宋"/>
          <w:sz w:val="24"/>
          <w:szCs w:val="24"/>
        </w:rPr>
        <w:t>OA系统升级</w:t>
      </w:r>
    </w:p>
    <w:p>
      <w:pPr>
        <w:adjustRightInd/>
        <w:spacing w:line="360" w:lineRule="auto"/>
        <w:ind w:firstLine="420"/>
        <w:rPr>
          <w:rFonts w:ascii="仿宋" w:hAnsi="仿宋" w:eastAsia="仿宋" w:cs="仿宋"/>
          <w:sz w:val="24"/>
        </w:rPr>
      </w:pPr>
      <w:r>
        <w:rPr>
          <w:rFonts w:hint="eastAsia" w:ascii="仿宋" w:hAnsi="仿宋" w:eastAsia="仿宋" w:cs="仿宋"/>
          <w:sz w:val="24"/>
        </w:rPr>
        <w:t>需解决无政务网环境的单位使用OA系统进行日常办公，将公文收发、会议、通知、信息报送、文件库、公文归档、办公助理等多数页面及功能进行浙政钉桌面端适配改造，实现日常业务处理，满足日常用户在办公需求。</w:t>
      </w:r>
    </w:p>
    <w:p>
      <w:pPr>
        <w:adjustRightInd/>
        <w:spacing w:line="360" w:lineRule="auto"/>
        <w:ind w:firstLine="420"/>
        <w:rPr>
          <w:rFonts w:ascii="仿宋" w:hAnsi="仿宋" w:eastAsia="仿宋" w:cs="仿宋"/>
          <w:sz w:val="24"/>
        </w:rPr>
      </w:pPr>
      <w:r>
        <w:rPr>
          <w:rFonts w:hint="eastAsia" w:ascii="仿宋" w:hAnsi="仿宋" w:eastAsia="仿宋" w:cs="仿宋"/>
          <w:sz w:val="24"/>
        </w:rPr>
        <w:t>为加强对各部门理论学习情况的监管，区委宣传部提出在OA系统中开发天目共学模块，通过系统录入各部门理论学习情况，审核学习内容，加强对学习情况的监管，统计分析各部门的学习情况，学习形式，实现对各部门理论学习情况的掌握。</w:t>
      </w:r>
    </w:p>
    <w:p>
      <w:pPr>
        <w:adjustRightInd/>
        <w:spacing w:line="360" w:lineRule="auto"/>
        <w:ind w:firstLine="420"/>
        <w:rPr>
          <w:rFonts w:ascii="仿宋" w:hAnsi="仿宋" w:eastAsia="仿宋" w:cs="仿宋"/>
          <w:sz w:val="24"/>
        </w:rPr>
      </w:pPr>
      <w:r>
        <w:rPr>
          <w:rFonts w:hint="eastAsia" w:ascii="仿宋" w:hAnsi="仿宋" w:eastAsia="仿宋" w:cs="仿宋"/>
          <w:sz w:val="24"/>
        </w:rPr>
        <w:t>按照浙江省人民政府办公厅、杭州市人民政府办公厅电子公文交换工作相关要求，完成OA系统交换功能改造及与省市电子公文交换系统对接工作。</w:t>
      </w:r>
    </w:p>
    <w:p>
      <w:pPr>
        <w:adjustRightInd/>
        <w:spacing w:line="360" w:lineRule="auto"/>
        <w:ind w:firstLine="420"/>
        <w:rPr>
          <w:rFonts w:ascii="仿宋" w:hAnsi="仿宋" w:eastAsia="仿宋" w:cs="仿宋"/>
          <w:sz w:val="24"/>
        </w:rPr>
      </w:pPr>
      <w:r>
        <w:rPr>
          <w:rFonts w:hint="eastAsia" w:ascii="仿宋" w:hAnsi="仿宋" w:eastAsia="仿宋" w:cs="仿宋"/>
          <w:sz w:val="24"/>
        </w:rPr>
        <w:t>按照收文分层分类管理工作要求，完成OA系统收文精细化分层分类管理功能建设工作。</w:t>
      </w:r>
    </w:p>
    <w:p>
      <w:pPr>
        <w:pStyle w:val="4"/>
        <w:numPr>
          <w:ilvl w:val="1"/>
          <w:numId w:val="0"/>
        </w:numPr>
        <w:rPr>
          <w:rFonts w:ascii="仿宋" w:eastAsia="仿宋" w:cs="仿宋"/>
          <w:sz w:val="24"/>
          <w:szCs w:val="24"/>
        </w:rPr>
      </w:pPr>
      <w:r>
        <w:rPr>
          <w:rFonts w:hint="eastAsia" w:ascii="仿宋" w:eastAsia="仿宋" w:cs="仿宋"/>
          <w:sz w:val="24"/>
          <w:szCs w:val="24"/>
          <w:lang w:val="en-US"/>
        </w:rPr>
        <w:t>3、</w:t>
      </w:r>
      <w:r>
        <w:rPr>
          <w:rFonts w:hint="eastAsia" w:ascii="仿宋" w:eastAsia="仿宋" w:cs="仿宋"/>
          <w:sz w:val="24"/>
          <w:szCs w:val="24"/>
        </w:rPr>
        <w:t>政务资源云管家建设</w:t>
      </w:r>
    </w:p>
    <w:p>
      <w:pPr>
        <w:pStyle w:val="4"/>
        <w:numPr>
          <w:ilvl w:val="1"/>
          <w:numId w:val="0"/>
        </w:numPr>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1</w:t>
      </w:r>
      <w:r>
        <w:rPr>
          <w:rFonts w:hint="eastAsia" w:ascii="仿宋" w:eastAsia="仿宋" w:cs="仿宋"/>
          <w:sz w:val="24"/>
          <w:szCs w:val="24"/>
        </w:rPr>
        <w:t>）政务资源云管家建设（PC端）</w:t>
      </w:r>
    </w:p>
    <w:p>
      <w:pPr>
        <w:adjustRightInd/>
        <w:spacing w:line="360" w:lineRule="auto"/>
        <w:ind w:firstLine="420"/>
        <w:rPr>
          <w:rFonts w:ascii="仿宋" w:hAnsi="仿宋" w:eastAsia="仿宋" w:cs="仿宋"/>
          <w:sz w:val="24"/>
        </w:rPr>
      </w:pPr>
      <w:r>
        <w:rPr>
          <w:rFonts w:hint="eastAsia" w:ascii="仿宋" w:hAnsi="仿宋" w:eastAsia="仿宋" w:cs="仿宋"/>
          <w:sz w:val="24"/>
        </w:rPr>
        <w:t>建立首页工作台，提供待办事宜、已办事宜、用户须知、广播等内容。待办事宜提供对待工单处理的问题进行展示；已办理事宜提供对已办结工单问题进行展示；用户须知模块提供对常见政策文件，常见须知内容进行展示；常见文件下载模块提供常见等保安全、信息系统网络安全要求等文件下载功能。</w:t>
      </w:r>
    </w:p>
    <w:p>
      <w:pPr>
        <w:adjustRightInd/>
        <w:spacing w:line="360" w:lineRule="auto"/>
        <w:ind w:firstLine="420"/>
        <w:rPr>
          <w:rFonts w:ascii="仿宋" w:hAnsi="仿宋" w:eastAsia="仿宋" w:cs="仿宋"/>
          <w:sz w:val="24"/>
        </w:rPr>
      </w:pPr>
      <w:r>
        <w:rPr>
          <w:rFonts w:hint="eastAsia" w:ascii="仿宋" w:hAnsi="仿宋" w:eastAsia="仿宋" w:cs="仿宋"/>
          <w:sz w:val="24"/>
        </w:rPr>
        <w:t>工单录入：通过工单录入管理模块，实现对服务器异常数据进行工单录入。根据服务器ip匹配相关责任部门，产生各责任部门的工单信息，可对工单信息进行新增、维护、修改、删除功能，同时提供4种常见问题类型的批量导入功能以及工单状态显示。</w:t>
      </w:r>
    </w:p>
    <w:p>
      <w:pPr>
        <w:adjustRightInd/>
        <w:spacing w:line="360" w:lineRule="auto"/>
        <w:ind w:firstLine="420"/>
        <w:rPr>
          <w:rFonts w:ascii="仿宋" w:hAnsi="仿宋" w:eastAsia="仿宋" w:cs="仿宋"/>
          <w:sz w:val="24"/>
        </w:rPr>
      </w:pPr>
      <w:r>
        <w:rPr>
          <w:rFonts w:hint="eastAsia" w:ascii="仿宋" w:hAnsi="仿宋" w:eastAsia="仿宋" w:cs="仿宋"/>
          <w:sz w:val="24"/>
        </w:rPr>
        <w:t>工单指派：对系统录入的工单信息，明确工单的受理人、受理部门，对工单进行责任部门指派，显示工单状态。</w:t>
      </w:r>
    </w:p>
    <w:p>
      <w:pPr>
        <w:adjustRightInd/>
        <w:spacing w:line="360" w:lineRule="auto"/>
        <w:ind w:firstLine="420"/>
        <w:rPr>
          <w:rFonts w:ascii="仿宋" w:hAnsi="仿宋" w:eastAsia="仿宋" w:cs="仿宋"/>
          <w:sz w:val="24"/>
        </w:rPr>
      </w:pPr>
      <w:r>
        <w:rPr>
          <w:rFonts w:hint="eastAsia" w:ascii="仿宋" w:hAnsi="仿宋" w:eastAsia="仿宋" w:cs="仿宋"/>
          <w:sz w:val="24"/>
        </w:rPr>
        <w:t>工单处理：业务部门可通过工单处理模块，查询本部门的工单信息，对需整改的工单信息进行办理，显示工单状态。</w:t>
      </w:r>
    </w:p>
    <w:p>
      <w:pPr>
        <w:adjustRightInd/>
        <w:spacing w:line="360" w:lineRule="auto"/>
        <w:ind w:firstLine="420"/>
        <w:rPr>
          <w:rFonts w:ascii="仿宋" w:hAnsi="仿宋" w:eastAsia="仿宋" w:cs="仿宋"/>
          <w:sz w:val="24"/>
        </w:rPr>
      </w:pPr>
      <w:r>
        <w:rPr>
          <w:rFonts w:hint="eastAsia" w:ascii="仿宋" w:hAnsi="仿宋" w:eastAsia="仿宋" w:cs="仿宋"/>
          <w:sz w:val="24"/>
        </w:rPr>
        <w:t>工单确认：数据局可通过工单处理确认模块，对部门反馈的工单处理情况进行确认处理，并显示工单状态。</w:t>
      </w:r>
    </w:p>
    <w:p>
      <w:pPr>
        <w:adjustRightInd/>
        <w:spacing w:line="360" w:lineRule="auto"/>
        <w:ind w:firstLine="420"/>
        <w:rPr>
          <w:rFonts w:ascii="仿宋" w:hAnsi="仿宋" w:eastAsia="仿宋" w:cs="仿宋"/>
          <w:sz w:val="24"/>
        </w:rPr>
      </w:pPr>
      <w:r>
        <w:rPr>
          <w:rFonts w:hint="eastAsia" w:ascii="仿宋" w:hAnsi="仿宋" w:eastAsia="仿宋" w:cs="仿宋"/>
          <w:sz w:val="24"/>
        </w:rPr>
        <w:t>工单办结：业务部门管理员可通过已办结模块，查询已完成的工单信息。</w:t>
      </w:r>
    </w:p>
    <w:p>
      <w:pPr>
        <w:adjustRightInd/>
        <w:spacing w:line="360" w:lineRule="auto"/>
        <w:ind w:firstLine="420"/>
        <w:rPr>
          <w:rFonts w:ascii="仿宋" w:hAnsi="仿宋" w:eastAsia="仿宋" w:cs="仿宋"/>
          <w:sz w:val="24"/>
        </w:rPr>
      </w:pPr>
      <w:r>
        <w:rPr>
          <w:rFonts w:hint="eastAsia" w:ascii="仿宋" w:hAnsi="仿宋" w:eastAsia="仿宋" w:cs="仿宋"/>
          <w:sz w:val="24"/>
        </w:rPr>
        <w:t>通过统计分析模块，按问题类型、部门、产生时间、办结时间、处理状态等指标维度进行统计分析和综合查询。</w:t>
      </w:r>
    </w:p>
    <w:p>
      <w:pPr>
        <w:adjustRightInd/>
        <w:spacing w:line="360" w:lineRule="auto"/>
        <w:ind w:firstLine="420"/>
        <w:rPr>
          <w:rFonts w:ascii="仿宋" w:hAnsi="仿宋" w:eastAsia="仿宋" w:cs="仿宋"/>
          <w:sz w:val="24"/>
        </w:rPr>
      </w:pPr>
      <w:r>
        <w:rPr>
          <w:rFonts w:hint="eastAsia" w:ascii="仿宋" w:hAnsi="仿宋" w:eastAsia="仿宋" w:cs="仿宋"/>
          <w:sz w:val="24"/>
        </w:rPr>
        <w:t>记录各环节的操作记录过程，包含记录日期、处理人、处理内容等信息的记录，便于追踪工单处理进度。</w:t>
      </w:r>
    </w:p>
    <w:p>
      <w:pPr>
        <w:adjustRightInd/>
        <w:spacing w:line="360" w:lineRule="auto"/>
        <w:ind w:firstLine="420"/>
        <w:rPr>
          <w:rFonts w:ascii="仿宋" w:hAnsi="仿宋" w:eastAsia="仿宋" w:cs="仿宋"/>
          <w:sz w:val="24"/>
        </w:rPr>
      </w:pPr>
      <w:r>
        <w:rPr>
          <w:rFonts w:hint="eastAsia" w:ascii="仿宋" w:hAnsi="仿宋" w:eastAsia="仿宋" w:cs="仿宋"/>
          <w:sz w:val="24"/>
        </w:rPr>
        <w:t>后台提供超期预警和短信提醒功能，针对数据局工单下发的责任部门，提供短信通知办理功能，系统将自动提前1天对即将超期的办件进行颜色标记和短信预警，提醒相关单位尽快处理。超过办理时限显示办理超期，并每日定时短信通知。</w:t>
      </w:r>
    </w:p>
    <w:p>
      <w:pPr>
        <w:adjustRightInd/>
        <w:spacing w:line="360" w:lineRule="auto"/>
        <w:ind w:firstLine="420"/>
        <w:rPr>
          <w:rFonts w:ascii="仿宋" w:hAnsi="仿宋" w:eastAsia="仿宋" w:cs="仿宋"/>
          <w:sz w:val="24"/>
        </w:rPr>
      </w:pPr>
      <w:r>
        <w:rPr>
          <w:rFonts w:hint="eastAsia" w:ascii="仿宋" w:hAnsi="仿宋" w:eastAsia="仿宋" w:cs="仿宋"/>
          <w:sz w:val="24"/>
        </w:rPr>
        <w:t>后台提供通知公告管理模块，提供公告编辑、公告发送、公告查看功能，可根据选择不同发送对象进行通知。</w:t>
      </w:r>
    </w:p>
    <w:p>
      <w:pPr>
        <w:adjustRightInd/>
        <w:spacing w:line="360" w:lineRule="auto"/>
        <w:ind w:firstLine="420"/>
        <w:rPr>
          <w:rFonts w:ascii="仿宋" w:hAnsi="仿宋" w:eastAsia="仿宋" w:cs="仿宋"/>
          <w:sz w:val="24"/>
        </w:rPr>
      </w:pPr>
      <w:r>
        <w:rPr>
          <w:rFonts w:hint="eastAsia" w:ascii="仿宋" w:hAnsi="仿宋" w:eastAsia="仿宋" w:cs="仿宋"/>
          <w:sz w:val="24"/>
        </w:rPr>
        <w:t>按实例、应用、部门的维度，对云资源使用率不高的情况进行预警，预警指标按CPU、内存、存储的使用率维度考虑，连续3个月未达到要求的进行预警，并下发工单。</w:t>
      </w:r>
    </w:p>
    <w:p>
      <w:pPr>
        <w:adjustRightInd/>
        <w:spacing w:line="360" w:lineRule="auto"/>
        <w:ind w:firstLine="420"/>
        <w:rPr>
          <w:rFonts w:ascii="仿宋" w:hAnsi="仿宋" w:eastAsia="仿宋" w:cs="仿宋"/>
          <w:sz w:val="24"/>
        </w:rPr>
      </w:pPr>
      <w:r>
        <w:rPr>
          <w:rFonts w:hint="eastAsia" w:ascii="仿宋" w:hAnsi="仿宋" w:eastAsia="仿宋" w:cs="仿宋"/>
          <w:sz w:val="24"/>
        </w:rPr>
        <w:t>对云资源已开通但超过3个月未申请等保，进行预警处理。</w:t>
      </w:r>
    </w:p>
    <w:p>
      <w:pPr>
        <w:adjustRightInd/>
        <w:spacing w:line="360" w:lineRule="auto"/>
        <w:ind w:firstLine="420"/>
        <w:rPr>
          <w:rFonts w:ascii="仿宋" w:hAnsi="仿宋" w:eastAsia="仿宋" w:cs="仿宋"/>
          <w:sz w:val="24"/>
        </w:rPr>
      </w:pPr>
      <w:r>
        <w:rPr>
          <w:rFonts w:hint="eastAsia" w:ascii="仿宋" w:hAnsi="仿宋" w:eastAsia="仿宋" w:cs="仿宋"/>
          <w:sz w:val="24"/>
        </w:rPr>
        <w:t>对云资源使用情况、各部门应用的等保情况进行统计分析展示，提供按部门、按时间、应用维度进行分析展示。</w:t>
      </w:r>
    </w:p>
    <w:p>
      <w:pPr>
        <w:pStyle w:val="4"/>
        <w:numPr>
          <w:ilvl w:val="1"/>
          <w:numId w:val="0"/>
        </w:numPr>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2</w:t>
      </w:r>
      <w:r>
        <w:rPr>
          <w:rFonts w:hint="eastAsia" w:ascii="仿宋" w:eastAsia="仿宋" w:cs="仿宋"/>
          <w:sz w:val="24"/>
          <w:szCs w:val="24"/>
        </w:rPr>
        <w:t>）浙政钉应用（移动端）</w:t>
      </w:r>
    </w:p>
    <w:p>
      <w:pPr>
        <w:adjustRightInd/>
        <w:spacing w:line="360" w:lineRule="auto"/>
        <w:ind w:firstLine="420"/>
        <w:rPr>
          <w:rFonts w:ascii="仿宋" w:hAnsi="仿宋" w:eastAsia="仿宋" w:cs="仿宋"/>
          <w:sz w:val="24"/>
        </w:rPr>
      </w:pPr>
      <w:r>
        <w:rPr>
          <w:rFonts w:hint="eastAsia" w:ascii="仿宋" w:hAnsi="仿宋" w:eastAsia="仿宋" w:cs="仿宋"/>
          <w:sz w:val="24"/>
        </w:rPr>
        <w:t>首页实时展示临安区政务资源的整体情况，通过可视化界面展示云资源使用情况的总体趋势，等保异常情况的动态监控，及各部门的数据异常情况，处理情况等维度进行展示。</w:t>
      </w:r>
    </w:p>
    <w:p>
      <w:pPr>
        <w:adjustRightInd/>
        <w:spacing w:line="360" w:lineRule="auto"/>
        <w:ind w:firstLine="420"/>
        <w:rPr>
          <w:rFonts w:ascii="仿宋" w:hAnsi="仿宋" w:eastAsia="仿宋" w:cs="仿宋"/>
          <w:sz w:val="24"/>
        </w:rPr>
      </w:pPr>
      <w:r>
        <w:rPr>
          <w:rFonts w:hint="eastAsia" w:ascii="仿宋" w:hAnsi="仿宋" w:eastAsia="仿宋" w:cs="仿宋"/>
          <w:sz w:val="24"/>
        </w:rPr>
        <w:t>数据局管理人员可通过工单指派模块，对系统录入的工单信息，明确工单的受理人、受理部门，对工单进行责任部门指派，显示工单状态。</w:t>
      </w:r>
    </w:p>
    <w:p>
      <w:pPr>
        <w:adjustRightInd/>
        <w:spacing w:line="360" w:lineRule="auto"/>
        <w:ind w:firstLine="420"/>
        <w:rPr>
          <w:rFonts w:ascii="仿宋" w:hAnsi="仿宋" w:eastAsia="仿宋" w:cs="仿宋"/>
          <w:sz w:val="24"/>
        </w:rPr>
      </w:pPr>
      <w:r>
        <w:rPr>
          <w:rFonts w:hint="eastAsia" w:ascii="仿宋" w:hAnsi="仿宋" w:eastAsia="仿宋" w:cs="仿宋"/>
          <w:sz w:val="24"/>
        </w:rPr>
        <w:t>业务部门管理人员可通过工单处理模块，查询本部门的工单信息，对需整改的工单信息进行办理，并显示工单状态。</w:t>
      </w:r>
    </w:p>
    <w:p>
      <w:pPr>
        <w:adjustRightInd/>
        <w:spacing w:line="360" w:lineRule="auto"/>
        <w:ind w:firstLine="420"/>
        <w:rPr>
          <w:rFonts w:ascii="仿宋" w:hAnsi="仿宋" w:eastAsia="仿宋" w:cs="仿宋"/>
          <w:sz w:val="24"/>
        </w:rPr>
      </w:pPr>
      <w:r>
        <w:rPr>
          <w:rFonts w:hint="eastAsia" w:ascii="仿宋" w:hAnsi="仿宋" w:eastAsia="仿宋" w:cs="仿宋"/>
          <w:sz w:val="24"/>
        </w:rPr>
        <w:t>数据局管理员可通过工单处理确认模块，对部门反馈的工单处理情况进行确认处理，并显示工单状态。</w:t>
      </w:r>
    </w:p>
    <w:p>
      <w:pPr>
        <w:adjustRightInd/>
        <w:spacing w:line="360" w:lineRule="auto"/>
        <w:ind w:firstLine="420"/>
        <w:rPr>
          <w:rFonts w:ascii="仿宋" w:hAnsi="仿宋" w:eastAsia="仿宋" w:cs="仿宋"/>
          <w:sz w:val="24"/>
        </w:rPr>
      </w:pPr>
      <w:r>
        <w:rPr>
          <w:rFonts w:hint="eastAsia" w:ascii="仿宋" w:hAnsi="仿宋" w:eastAsia="仿宋" w:cs="仿宋"/>
          <w:sz w:val="24"/>
        </w:rPr>
        <w:t>业务部门管理员可通过已办结模块，查询已完成的工单信息。</w:t>
      </w:r>
    </w:p>
    <w:p>
      <w:pPr>
        <w:pStyle w:val="4"/>
        <w:numPr>
          <w:ilvl w:val="1"/>
          <w:numId w:val="0"/>
        </w:numPr>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3</w:t>
      </w:r>
      <w:r>
        <w:rPr>
          <w:rFonts w:hint="eastAsia" w:ascii="仿宋" w:eastAsia="仿宋" w:cs="仿宋"/>
          <w:sz w:val="24"/>
          <w:szCs w:val="24"/>
        </w:rPr>
        <w:t>）浙政钉应用（桌面端）</w:t>
      </w:r>
    </w:p>
    <w:p>
      <w:pPr>
        <w:pStyle w:val="2"/>
        <w:ind w:firstLine="420"/>
        <w:rPr>
          <w:rFonts w:ascii="仿宋" w:hAnsi="仿宋" w:eastAsia="仿宋" w:cs="仿宋"/>
          <w:kern w:val="0"/>
          <w:sz w:val="22"/>
          <w:szCs w:val="22"/>
          <w:lang w:bidi="ar"/>
        </w:rPr>
      </w:pPr>
      <w:r>
        <w:rPr>
          <w:rFonts w:hint="eastAsia" w:ascii="仿宋" w:hAnsi="仿宋" w:eastAsia="仿宋" w:cs="仿宋"/>
          <w:kern w:val="0"/>
          <w:sz w:val="22"/>
          <w:szCs w:val="22"/>
          <w:lang w:bidi="ar"/>
        </w:rPr>
        <w:t>接入“浙政钉”工作台，对PC端系统功能做好适配调整。包含首页工作台、电子公告、工单管理、政务云资源、综合查询、等保情况等板块下的功能模块进行页面适配改造。</w:t>
      </w:r>
    </w:p>
    <w:p>
      <w:pPr>
        <w:pStyle w:val="4"/>
        <w:numPr>
          <w:ilvl w:val="1"/>
          <w:numId w:val="0"/>
        </w:numPr>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4</w:t>
      </w:r>
      <w:r>
        <w:rPr>
          <w:rFonts w:hint="eastAsia" w:ascii="仿宋" w:eastAsia="仿宋" w:cs="仿宋"/>
          <w:sz w:val="24"/>
          <w:szCs w:val="24"/>
        </w:rPr>
        <w:t>）驾驶舱</w:t>
      </w:r>
    </w:p>
    <w:p>
      <w:pPr>
        <w:adjustRightInd/>
        <w:spacing w:line="360" w:lineRule="auto"/>
        <w:ind w:firstLine="420"/>
        <w:rPr>
          <w:rFonts w:ascii="仿宋" w:hAnsi="仿宋" w:eastAsia="仿宋" w:cs="仿宋"/>
          <w:sz w:val="24"/>
        </w:rPr>
      </w:pPr>
      <w:r>
        <w:rPr>
          <w:rFonts w:hint="eastAsia" w:ascii="仿宋" w:hAnsi="仿宋" w:eastAsia="仿宋" w:cs="仿宋"/>
          <w:sz w:val="24"/>
        </w:rPr>
        <w:t>建设PC端智理舱界面，对临安区政务工单情况、云资源使用情况、等保情况进行综合晾晒，并列表展示各指标的详细信息。主要包括数据统计、问题组成、云资源利用率等。实现直观了解临安政务资源云管家的整体情况。</w:t>
      </w:r>
    </w:p>
    <w:p>
      <w:pPr>
        <w:pStyle w:val="4"/>
        <w:numPr>
          <w:ilvl w:val="1"/>
          <w:numId w:val="0"/>
        </w:numPr>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5</w:t>
      </w:r>
      <w:r>
        <w:rPr>
          <w:rFonts w:hint="eastAsia" w:ascii="仿宋" w:eastAsia="仿宋" w:cs="仿宋"/>
          <w:sz w:val="24"/>
          <w:szCs w:val="24"/>
        </w:rPr>
        <w:t>）组件对接</w:t>
      </w:r>
    </w:p>
    <w:p>
      <w:pPr>
        <w:adjustRightInd/>
        <w:spacing w:line="360" w:lineRule="auto"/>
        <w:ind w:firstLine="420"/>
        <w:rPr>
          <w:rFonts w:ascii="仿宋" w:hAnsi="仿宋" w:eastAsia="仿宋" w:cs="仿宋"/>
          <w:sz w:val="24"/>
        </w:rPr>
      </w:pPr>
      <w:r>
        <w:rPr>
          <w:rFonts w:hint="eastAsia" w:ascii="仿宋" w:hAnsi="仿宋" w:eastAsia="仿宋" w:cs="仿宋"/>
          <w:sz w:val="24"/>
        </w:rPr>
        <w:t>短信平台对接。与区短信平台接口对接，为工单交办、工单处理、超期预警等提供短信通知、提醒服务。</w:t>
      </w:r>
    </w:p>
    <w:p>
      <w:pPr>
        <w:adjustRightInd/>
        <w:spacing w:line="360" w:lineRule="auto"/>
        <w:ind w:firstLine="420"/>
        <w:rPr>
          <w:rFonts w:ascii="仿宋" w:hAnsi="仿宋" w:eastAsia="仿宋" w:cs="仿宋"/>
          <w:sz w:val="24"/>
        </w:rPr>
      </w:pPr>
      <w:r>
        <w:rPr>
          <w:rFonts w:hint="eastAsia" w:ascii="仿宋" w:hAnsi="仿宋" w:eastAsia="仿宋" w:cs="仿宋"/>
          <w:sz w:val="24"/>
        </w:rPr>
        <w:t>统一平台对接。与临安区统一用户平台对接，各业务单位可通过统一用户平台实现统一认证及单点登录。</w:t>
      </w:r>
    </w:p>
    <w:p>
      <w:pPr>
        <w:adjustRightInd/>
        <w:spacing w:line="360" w:lineRule="auto"/>
        <w:ind w:firstLine="420"/>
        <w:rPr>
          <w:rFonts w:ascii="仿宋" w:hAnsi="仿宋" w:eastAsia="仿宋" w:cs="仿宋"/>
          <w:sz w:val="24"/>
        </w:rPr>
      </w:pPr>
      <w:r>
        <w:rPr>
          <w:rFonts w:hint="eastAsia" w:ascii="仿宋" w:hAnsi="仿宋" w:eastAsia="仿宋" w:cs="仿宋"/>
          <w:sz w:val="24"/>
        </w:rPr>
        <w:t>浙政钉对接。与浙政钉对接，实现浙政钉应用的建设，埋点开发工作。</w:t>
      </w:r>
    </w:p>
    <w:p>
      <w:pPr>
        <w:adjustRightInd/>
        <w:spacing w:line="360" w:lineRule="auto"/>
        <w:ind w:firstLine="420"/>
        <w:rPr>
          <w:rFonts w:ascii="仿宋" w:hAnsi="仿宋" w:eastAsia="仿宋" w:cs="仿宋"/>
          <w:sz w:val="24"/>
        </w:rPr>
      </w:pPr>
      <w:r>
        <w:rPr>
          <w:rFonts w:hint="eastAsia" w:ascii="仿宋" w:hAnsi="仿宋" w:eastAsia="仿宋" w:cs="仿宋"/>
          <w:sz w:val="24"/>
        </w:rPr>
        <w:t>区一体化智能化公共数据平台对接。与区一体化智能化公共数据平台对接，便于系统对政务云资源情况的监控和管理。</w:t>
      </w:r>
    </w:p>
    <w:p>
      <w:pPr>
        <w:pStyle w:val="4"/>
        <w:numPr>
          <w:ilvl w:val="1"/>
          <w:numId w:val="0"/>
        </w:numPr>
        <w:rPr>
          <w:rFonts w:ascii="仿宋" w:eastAsia="仿宋" w:cs="仿宋"/>
          <w:sz w:val="24"/>
          <w:szCs w:val="24"/>
        </w:rPr>
      </w:pPr>
      <w:r>
        <w:rPr>
          <w:rFonts w:hint="eastAsia" w:ascii="仿宋" w:eastAsia="仿宋" w:cs="仿宋"/>
          <w:sz w:val="24"/>
          <w:szCs w:val="24"/>
          <w:lang w:val="en-US"/>
        </w:rPr>
        <w:t>4、</w:t>
      </w:r>
      <w:r>
        <w:rPr>
          <w:rFonts w:hint="eastAsia" w:ascii="仿宋" w:eastAsia="仿宋" w:cs="仿宋"/>
          <w:sz w:val="24"/>
          <w:szCs w:val="24"/>
        </w:rPr>
        <w:t>信息化项目全流程管理平台升级</w:t>
      </w:r>
    </w:p>
    <w:p>
      <w:pPr>
        <w:adjustRightInd/>
        <w:spacing w:line="360" w:lineRule="auto"/>
        <w:ind w:firstLine="420"/>
        <w:rPr>
          <w:rFonts w:ascii="仿宋" w:hAnsi="仿宋" w:eastAsia="仿宋" w:cs="仿宋"/>
          <w:sz w:val="24"/>
        </w:rPr>
      </w:pPr>
      <w:r>
        <w:rPr>
          <w:rFonts w:hint="eastAsia" w:ascii="仿宋" w:hAnsi="仿宋" w:eastAsia="仿宋" w:cs="仿宋"/>
          <w:sz w:val="24"/>
        </w:rPr>
        <w:t>结合《2022一体化智能化公共数据平台县（市、区）综合评价体系》和《杭州市临安区政务信息化项目建设管理办法》要求，完成我的申请、我的项目、项目管理模块的差异性需求完善，提供新增模块项目预申报、项目变更终止、非财政预算项目登记、项目全流程管理、IRS查重、与省项目管理系统对接等功能开发。</w:t>
      </w:r>
    </w:p>
    <w:p>
      <w:pPr>
        <w:adjustRightInd/>
        <w:spacing w:line="360" w:lineRule="auto"/>
        <w:ind w:firstLine="420"/>
        <w:rPr>
          <w:rFonts w:ascii="仿宋" w:hAnsi="仿宋" w:eastAsia="仿宋" w:cs="仿宋"/>
          <w:sz w:val="24"/>
        </w:rPr>
      </w:pPr>
      <w:r>
        <w:rPr>
          <w:rFonts w:hint="eastAsia" w:ascii="仿宋" w:hAnsi="仿宋" w:eastAsia="仿宋" w:cs="仿宋"/>
          <w:sz w:val="24"/>
        </w:rPr>
        <w:t>一、原系统调整内容</w:t>
      </w:r>
    </w:p>
    <w:p>
      <w:pPr>
        <w:adjustRightInd/>
        <w:spacing w:line="360" w:lineRule="auto"/>
        <w:ind w:firstLine="420"/>
        <w:rPr>
          <w:rFonts w:ascii="仿宋" w:hAnsi="仿宋" w:eastAsia="仿宋" w:cs="仿宋"/>
          <w:sz w:val="24"/>
        </w:rPr>
      </w:pPr>
      <w:r>
        <w:rPr>
          <w:rFonts w:hint="eastAsia" w:ascii="仿宋" w:hAnsi="仿宋" w:eastAsia="仿宋" w:cs="仿宋"/>
          <w:sz w:val="24"/>
        </w:rPr>
        <w:t>我的申请：根据最新项目管理办法，完成我的申请功能模块差异性需求调整，项目申报表单字段调整。</w:t>
      </w:r>
    </w:p>
    <w:p>
      <w:pPr>
        <w:adjustRightInd/>
        <w:spacing w:line="360" w:lineRule="auto"/>
        <w:ind w:firstLine="420"/>
        <w:rPr>
          <w:rFonts w:ascii="仿宋" w:hAnsi="仿宋" w:eastAsia="仿宋" w:cs="仿宋"/>
          <w:sz w:val="24"/>
        </w:rPr>
      </w:pPr>
      <w:r>
        <w:rPr>
          <w:rFonts w:hint="eastAsia" w:ascii="仿宋" w:hAnsi="仿宋" w:eastAsia="仿宋" w:cs="仿宋"/>
          <w:sz w:val="24"/>
        </w:rPr>
        <w:t>我的项目：根据最新项目管理办法，完成我的项目功能模块差异性需求调整，项目建设管理新增录入材料，支付管理模块按财政资金分期支付方式调整，政务信息化项目资金审核单实现线上审批盖章。</w:t>
      </w:r>
    </w:p>
    <w:p>
      <w:pPr>
        <w:adjustRightInd/>
        <w:spacing w:line="360" w:lineRule="auto"/>
        <w:ind w:firstLine="420"/>
        <w:rPr>
          <w:rFonts w:ascii="仿宋" w:hAnsi="仿宋" w:eastAsia="仿宋" w:cs="仿宋"/>
          <w:sz w:val="24"/>
        </w:rPr>
      </w:pPr>
      <w:r>
        <w:rPr>
          <w:rFonts w:hint="eastAsia" w:ascii="仿宋" w:hAnsi="仿宋" w:eastAsia="仿宋" w:cs="仿宋"/>
          <w:sz w:val="24"/>
        </w:rPr>
        <w:t>项目管理：根据最新项目管理办法，完成项目管理模块差异性需求调整，项目申报表单字段调整。</w:t>
      </w:r>
    </w:p>
    <w:p>
      <w:pPr>
        <w:adjustRightInd/>
        <w:spacing w:line="360" w:lineRule="auto"/>
        <w:ind w:firstLine="420"/>
        <w:rPr>
          <w:rFonts w:ascii="仿宋" w:hAnsi="仿宋" w:eastAsia="仿宋" w:cs="仿宋"/>
          <w:sz w:val="24"/>
        </w:rPr>
      </w:pPr>
      <w:r>
        <w:rPr>
          <w:rFonts w:hint="eastAsia" w:ascii="仿宋" w:hAnsi="仿宋" w:eastAsia="仿宋" w:cs="仿宋"/>
          <w:sz w:val="24"/>
        </w:rPr>
        <w:t>二、新增功能模块</w:t>
      </w:r>
    </w:p>
    <w:p>
      <w:pPr>
        <w:adjustRightInd/>
        <w:spacing w:line="360" w:lineRule="auto"/>
        <w:ind w:firstLine="420"/>
        <w:rPr>
          <w:rFonts w:ascii="仿宋" w:hAnsi="仿宋" w:eastAsia="仿宋" w:cs="仿宋"/>
          <w:sz w:val="24"/>
        </w:rPr>
      </w:pPr>
      <w:r>
        <w:rPr>
          <w:rFonts w:hint="eastAsia" w:ascii="仿宋" w:hAnsi="仿宋" w:eastAsia="仿宋" w:cs="仿宋"/>
          <w:sz w:val="24"/>
        </w:rPr>
        <w:t>项目申报：新增2022年项目预申报模块，针对下一年度政务信息化项目，填写项目基本信息，上传申报表相应材料进行项目预申报。</w:t>
      </w:r>
    </w:p>
    <w:p>
      <w:pPr>
        <w:adjustRightInd/>
        <w:spacing w:line="360" w:lineRule="auto"/>
        <w:ind w:firstLine="420"/>
        <w:rPr>
          <w:rFonts w:ascii="仿宋" w:hAnsi="仿宋" w:eastAsia="仿宋" w:cs="仿宋"/>
          <w:sz w:val="24"/>
        </w:rPr>
      </w:pPr>
      <w:r>
        <w:rPr>
          <w:rFonts w:hint="eastAsia" w:ascii="仿宋" w:hAnsi="仿宋" w:eastAsia="仿宋" w:cs="仿宋"/>
          <w:sz w:val="24"/>
        </w:rPr>
        <w:t>项目变更终止：针对项目变更、终止情形，提供项目变更、终止备案登记模块。</w:t>
      </w:r>
    </w:p>
    <w:p>
      <w:pPr>
        <w:adjustRightInd/>
        <w:spacing w:line="360" w:lineRule="auto"/>
        <w:ind w:firstLine="420"/>
        <w:rPr>
          <w:rFonts w:ascii="仿宋" w:hAnsi="仿宋" w:eastAsia="仿宋" w:cs="仿宋"/>
          <w:sz w:val="24"/>
        </w:rPr>
      </w:pPr>
      <w:r>
        <w:rPr>
          <w:rFonts w:hint="eastAsia" w:ascii="仿宋" w:hAnsi="仿宋" w:eastAsia="仿宋" w:cs="仿宋"/>
          <w:sz w:val="24"/>
        </w:rPr>
        <w:t>非财政预算项目登记：针对非财政预算安排的信息化相关建设项目，通过非财政预算项目备案登记模块填写项目基本信息，实现对非财政预算项目进行综合管理。</w:t>
      </w:r>
    </w:p>
    <w:p>
      <w:pPr>
        <w:adjustRightInd/>
        <w:spacing w:line="360" w:lineRule="auto"/>
        <w:ind w:firstLine="420"/>
        <w:rPr>
          <w:rFonts w:ascii="仿宋" w:hAnsi="仿宋" w:eastAsia="仿宋" w:cs="仿宋"/>
          <w:sz w:val="24"/>
        </w:rPr>
      </w:pPr>
      <w:r>
        <w:rPr>
          <w:rFonts w:hint="eastAsia" w:ascii="仿宋" w:hAnsi="仿宋" w:eastAsia="仿宋" w:cs="仿宋"/>
          <w:sz w:val="24"/>
        </w:rPr>
        <w:t>项目全流程管理：建立项目全流程申报模块，由申报单位统一通过项目全流程申报模块进行项目全周期管理，针对项目不同状态，统一在项目全流程管理模块中维护，便于申报单位统一对申报项目的管理。</w:t>
      </w:r>
    </w:p>
    <w:p>
      <w:pPr>
        <w:adjustRightInd/>
        <w:spacing w:line="360" w:lineRule="auto"/>
        <w:ind w:firstLine="420"/>
        <w:rPr>
          <w:rFonts w:ascii="仿宋" w:hAnsi="仿宋" w:eastAsia="仿宋" w:cs="仿宋"/>
          <w:sz w:val="24"/>
        </w:rPr>
      </w:pPr>
      <w:r>
        <w:rPr>
          <w:rFonts w:hint="eastAsia" w:ascii="仿宋" w:hAnsi="仿宋" w:eastAsia="仿宋" w:cs="仿宋"/>
          <w:sz w:val="24"/>
        </w:rPr>
        <w:t>与省IRS系统对接：通过与省IRS系统对接，获取应用查重接口信息，在项目申报、项目回顾等模块中新增IRS应用查重功能，获取应用查重信息，对系统重复建设情形提供依据。</w:t>
      </w:r>
    </w:p>
    <w:p>
      <w:pPr>
        <w:adjustRightInd/>
        <w:spacing w:line="360" w:lineRule="auto"/>
        <w:ind w:firstLine="420"/>
        <w:rPr>
          <w:rFonts w:ascii="仿宋" w:hAnsi="仿宋" w:eastAsia="仿宋" w:cs="仿宋"/>
          <w:sz w:val="24"/>
        </w:rPr>
      </w:pPr>
      <w:r>
        <w:rPr>
          <w:rFonts w:hint="eastAsia" w:ascii="仿宋" w:hAnsi="仿宋" w:eastAsia="仿宋" w:cs="仿宋"/>
          <w:sz w:val="24"/>
        </w:rPr>
        <w:t>与省级项目管理系统对接：通过与省级项目管理系统对接，实现与省项目库、专家库对接，并按省里规范要求归集本地的项目库，专家库信息。</w:t>
      </w:r>
    </w:p>
    <w:p>
      <w:pPr>
        <w:pStyle w:val="3"/>
        <w:tabs>
          <w:tab w:val="left" w:pos="420"/>
          <w:tab w:val="clear" w:pos="432"/>
        </w:tabs>
        <w:adjustRightInd/>
        <w:spacing w:line="400" w:lineRule="exact"/>
        <w:ind w:left="0" w:firstLine="0"/>
        <w:rPr>
          <w:rFonts w:ascii="仿宋" w:hAnsi="仿宋" w:eastAsia="仿宋" w:cs="仿宋"/>
          <w:sz w:val="24"/>
          <w:szCs w:val="24"/>
        </w:rPr>
      </w:pPr>
      <w:r>
        <w:rPr>
          <w:rFonts w:hint="eastAsia" w:ascii="仿宋" w:hAnsi="仿宋" w:eastAsia="仿宋" w:cs="仿宋"/>
          <w:sz w:val="24"/>
          <w:szCs w:val="24"/>
        </w:rPr>
        <w:t>三、建设周期</w:t>
      </w:r>
    </w:p>
    <w:p>
      <w:pPr>
        <w:adjustRightInd/>
        <w:spacing w:line="360" w:lineRule="auto"/>
        <w:ind w:firstLine="420"/>
        <w:rPr>
          <w:rFonts w:ascii="仿宋" w:hAnsi="仿宋" w:eastAsia="仿宋" w:cs="仿宋"/>
          <w:sz w:val="24"/>
        </w:rPr>
      </w:pPr>
      <w:r>
        <w:rPr>
          <w:rFonts w:hint="eastAsia" w:ascii="仿宋" w:hAnsi="仿宋" w:eastAsia="仿宋" w:cs="仿宋"/>
          <w:sz w:val="24"/>
        </w:rPr>
        <w:t>本项目建设周期3个月。</w:t>
      </w:r>
    </w:p>
    <w:p>
      <w:pPr>
        <w:pStyle w:val="3"/>
        <w:tabs>
          <w:tab w:val="left" w:pos="420"/>
          <w:tab w:val="clear" w:pos="432"/>
        </w:tabs>
        <w:adjustRightInd/>
        <w:spacing w:line="400" w:lineRule="exact"/>
        <w:ind w:left="0" w:firstLine="0"/>
        <w:rPr>
          <w:rFonts w:ascii="仿宋" w:hAnsi="仿宋" w:eastAsia="仿宋" w:cs="仿宋"/>
          <w:sz w:val="24"/>
          <w:szCs w:val="24"/>
        </w:rPr>
      </w:pPr>
      <w:r>
        <w:rPr>
          <w:rFonts w:hint="eastAsia" w:ascii="仿宋" w:hAnsi="仿宋" w:eastAsia="仿宋" w:cs="仿宋"/>
          <w:sz w:val="24"/>
          <w:szCs w:val="24"/>
        </w:rPr>
        <w:t>四、建设内容一览表</w:t>
      </w:r>
    </w:p>
    <w:tbl>
      <w:tblPr>
        <w:tblStyle w:val="6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564"/>
        <w:gridCol w:w="762"/>
        <w:gridCol w:w="963"/>
        <w:gridCol w:w="1140"/>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shd w:val="clear" w:color="auto" w:fill="D7D7D7"/>
            <w:vAlign w:val="center"/>
          </w:tcPr>
          <w:p>
            <w:pPr>
              <w:widowControl/>
              <w:jc w:val="center"/>
              <w:textAlignment w:val="center"/>
              <w:rPr>
                <w:rFonts w:ascii="仿宋" w:hAnsi="仿宋" w:cs="仿宋"/>
                <w:b/>
                <w:bCs/>
                <w:sz w:val="22"/>
                <w:szCs w:val="22"/>
              </w:rPr>
            </w:pPr>
            <w:r>
              <w:rPr>
                <w:rFonts w:hint="eastAsia" w:ascii="仿宋" w:hAnsi="仿宋" w:cs="仿宋"/>
                <w:b/>
                <w:bCs/>
                <w:kern w:val="0"/>
                <w:sz w:val="22"/>
                <w:szCs w:val="22"/>
                <w:lang w:bidi="ar"/>
              </w:rPr>
              <w:t>序号</w:t>
            </w:r>
          </w:p>
        </w:tc>
        <w:tc>
          <w:tcPr>
            <w:tcW w:w="564" w:type="dxa"/>
            <w:shd w:val="clear" w:color="auto" w:fill="D7D7D7"/>
            <w:vAlign w:val="center"/>
          </w:tcPr>
          <w:p>
            <w:pPr>
              <w:widowControl/>
              <w:jc w:val="center"/>
              <w:textAlignment w:val="center"/>
              <w:rPr>
                <w:rFonts w:ascii="仿宋" w:hAnsi="仿宋" w:cs="仿宋"/>
                <w:b/>
                <w:bCs/>
                <w:sz w:val="22"/>
                <w:szCs w:val="22"/>
              </w:rPr>
            </w:pPr>
            <w:r>
              <w:rPr>
                <w:rFonts w:hint="eastAsia" w:ascii="仿宋" w:hAnsi="仿宋" w:cs="仿宋"/>
                <w:b/>
                <w:bCs/>
                <w:kern w:val="0"/>
                <w:sz w:val="22"/>
                <w:szCs w:val="22"/>
                <w:lang w:bidi="ar"/>
              </w:rPr>
              <w:t>系统</w:t>
            </w:r>
          </w:p>
        </w:tc>
        <w:tc>
          <w:tcPr>
            <w:tcW w:w="762" w:type="dxa"/>
            <w:shd w:val="clear" w:color="auto" w:fill="D7D7D7"/>
            <w:vAlign w:val="center"/>
          </w:tcPr>
          <w:p>
            <w:pPr>
              <w:widowControl/>
              <w:jc w:val="center"/>
              <w:textAlignment w:val="center"/>
              <w:rPr>
                <w:rFonts w:ascii="仿宋" w:hAnsi="仿宋" w:cs="仿宋"/>
                <w:b/>
                <w:bCs/>
                <w:sz w:val="22"/>
                <w:szCs w:val="22"/>
              </w:rPr>
            </w:pPr>
            <w:r>
              <w:rPr>
                <w:rFonts w:hint="eastAsia" w:ascii="仿宋" w:hAnsi="仿宋" w:cs="仿宋"/>
                <w:b/>
                <w:bCs/>
                <w:kern w:val="0"/>
                <w:sz w:val="22"/>
                <w:szCs w:val="22"/>
                <w:lang w:bidi="ar"/>
              </w:rPr>
              <w:t>子系统</w:t>
            </w:r>
          </w:p>
        </w:tc>
        <w:tc>
          <w:tcPr>
            <w:tcW w:w="963" w:type="dxa"/>
            <w:shd w:val="clear" w:color="auto" w:fill="D7D7D7"/>
            <w:vAlign w:val="center"/>
          </w:tcPr>
          <w:p>
            <w:pPr>
              <w:widowControl/>
              <w:jc w:val="center"/>
              <w:textAlignment w:val="center"/>
              <w:rPr>
                <w:rFonts w:ascii="仿宋" w:hAnsi="仿宋" w:cs="仿宋"/>
                <w:b/>
                <w:bCs/>
                <w:sz w:val="22"/>
                <w:szCs w:val="22"/>
              </w:rPr>
            </w:pPr>
            <w:r>
              <w:rPr>
                <w:rFonts w:hint="eastAsia" w:ascii="仿宋" w:hAnsi="仿宋" w:cs="仿宋"/>
                <w:b/>
                <w:bCs/>
                <w:kern w:val="0"/>
                <w:sz w:val="22"/>
                <w:szCs w:val="22"/>
                <w:lang w:bidi="ar"/>
              </w:rPr>
              <w:t>模块</w:t>
            </w:r>
          </w:p>
        </w:tc>
        <w:tc>
          <w:tcPr>
            <w:tcW w:w="1140" w:type="dxa"/>
            <w:shd w:val="clear" w:color="auto" w:fill="D7D7D7"/>
            <w:vAlign w:val="center"/>
          </w:tcPr>
          <w:p>
            <w:pPr>
              <w:widowControl/>
              <w:jc w:val="center"/>
              <w:textAlignment w:val="center"/>
              <w:rPr>
                <w:rFonts w:ascii="仿宋" w:hAnsi="仿宋" w:cs="仿宋"/>
                <w:b/>
                <w:bCs/>
                <w:sz w:val="22"/>
                <w:szCs w:val="22"/>
              </w:rPr>
            </w:pPr>
            <w:r>
              <w:rPr>
                <w:rFonts w:hint="eastAsia" w:ascii="仿宋" w:hAnsi="仿宋" w:cs="仿宋"/>
                <w:b/>
                <w:bCs/>
                <w:kern w:val="0"/>
                <w:sz w:val="22"/>
                <w:szCs w:val="22"/>
                <w:lang w:bidi="ar"/>
              </w:rPr>
              <w:t>功能点</w:t>
            </w:r>
          </w:p>
        </w:tc>
        <w:tc>
          <w:tcPr>
            <w:tcW w:w="4652" w:type="dxa"/>
            <w:shd w:val="clear" w:color="auto" w:fill="D7D7D7"/>
            <w:vAlign w:val="center"/>
          </w:tcPr>
          <w:p>
            <w:pPr>
              <w:widowControl/>
              <w:jc w:val="center"/>
              <w:textAlignment w:val="center"/>
              <w:rPr>
                <w:rFonts w:ascii="仿宋" w:hAnsi="仿宋" w:cs="仿宋"/>
                <w:b/>
                <w:bCs/>
                <w:sz w:val="22"/>
                <w:szCs w:val="22"/>
              </w:rPr>
            </w:pPr>
            <w:r>
              <w:rPr>
                <w:rFonts w:hint="eastAsia" w:ascii="仿宋" w:hAnsi="仿宋" w:cs="仿宋"/>
                <w:b/>
                <w:bCs/>
                <w:kern w:val="0"/>
                <w:sz w:val="22"/>
                <w:szCs w:val="22"/>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7"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1</w:t>
            </w:r>
          </w:p>
        </w:tc>
        <w:tc>
          <w:tcPr>
            <w:tcW w:w="564"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“浙政钉”工作台门户建设</w:t>
            </w:r>
          </w:p>
        </w:tc>
        <w:tc>
          <w:tcPr>
            <w:tcW w:w="762"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“浙政钉”工作台门户</w:t>
            </w:r>
          </w:p>
        </w:tc>
        <w:tc>
          <w:tcPr>
            <w:tcW w:w="963"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业务协同</w:t>
            </w: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统一待办</w:t>
            </w:r>
          </w:p>
        </w:tc>
        <w:tc>
          <w:tcPr>
            <w:tcW w:w="4652" w:type="dxa"/>
            <w:shd w:val="clear" w:color="auto" w:fill="auto"/>
            <w:vAlign w:val="center"/>
          </w:tcPr>
          <w:p>
            <w:pPr>
              <w:widowControl/>
              <w:textAlignment w:val="center"/>
              <w:rPr>
                <w:rFonts w:ascii="仿宋" w:hAnsi="仿宋" w:cs="仿宋"/>
                <w:sz w:val="22"/>
                <w:szCs w:val="22"/>
              </w:rPr>
            </w:pPr>
            <w:r>
              <w:rPr>
                <w:rFonts w:hint="eastAsia" w:ascii="仿宋" w:hAnsi="仿宋" w:cs="仿宋"/>
                <w:kern w:val="0"/>
                <w:sz w:val="22"/>
                <w:szCs w:val="22"/>
                <w:lang w:bidi="ar"/>
              </w:rPr>
              <w:t>通过浙政钉统一待办组件开发统一待办模块，应包含统一待办展示、待办详情及处理、待办查询功能。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7"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564"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762"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963"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1140" w:type="dxa"/>
            <w:shd w:val="clear" w:color="auto" w:fill="auto"/>
            <w:vAlign w:val="center"/>
          </w:tcPr>
          <w:p>
            <w:pPr>
              <w:widowControl/>
              <w:jc w:val="center"/>
              <w:textAlignment w:val="center"/>
              <w:rPr>
                <w:rFonts w:ascii="仿宋" w:hAnsi="仿宋" w:cs="仿宋"/>
                <w:kern w:val="0"/>
                <w:sz w:val="22"/>
                <w:szCs w:val="22"/>
                <w:lang w:bidi="ar"/>
              </w:rPr>
            </w:pPr>
            <w:r>
              <w:rPr>
                <w:rFonts w:hint="eastAsia" w:ascii="仿宋" w:hAnsi="仿宋" w:cs="仿宋"/>
                <w:kern w:val="0"/>
                <w:sz w:val="22"/>
                <w:szCs w:val="22"/>
                <w:lang w:bidi="ar"/>
              </w:rPr>
              <w:t>统一待阅</w:t>
            </w:r>
          </w:p>
        </w:tc>
        <w:tc>
          <w:tcPr>
            <w:tcW w:w="4652" w:type="dxa"/>
            <w:shd w:val="clear" w:color="auto" w:fill="auto"/>
            <w:vAlign w:val="center"/>
          </w:tcPr>
          <w:p>
            <w:pPr>
              <w:widowControl/>
              <w:textAlignment w:val="center"/>
              <w:rPr>
                <w:rFonts w:ascii="仿宋" w:hAnsi="仿宋" w:cs="仿宋"/>
                <w:kern w:val="0"/>
                <w:sz w:val="22"/>
                <w:szCs w:val="22"/>
                <w:lang w:bidi="ar"/>
              </w:rPr>
            </w:pPr>
            <w:r>
              <w:rPr>
                <w:rFonts w:hint="eastAsia" w:ascii="仿宋" w:hAnsi="仿宋" w:cs="仿宋"/>
                <w:kern w:val="0"/>
                <w:sz w:val="22"/>
                <w:szCs w:val="22"/>
                <w:lang w:bidi="ar"/>
              </w:rPr>
              <w:t>建设浙政钉待阅组件开发统一待阅模块，实现区OA收文、发文等阅件集中在工作台展示。包含统一待阅展示、待阅详情功能。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7"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564"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762"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963"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1140" w:type="dxa"/>
            <w:shd w:val="clear" w:color="auto" w:fill="auto"/>
            <w:vAlign w:val="center"/>
          </w:tcPr>
          <w:p>
            <w:pPr>
              <w:widowControl/>
              <w:jc w:val="center"/>
              <w:textAlignment w:val="center"/>
              <w:rPr>
                <w:rFonts w:ascii="仿宋" w:hAnsi="仿宋" w:cs="仿宋"/>
                <w:kern w:val="0"/>
                <w:sz w:val="22"/>
                <w:szCs w:val="22"/>
                <w:lang w:bidi="ar"/>
              </w:rPr>
            </w:pPr>
            <w:r>
              <w:rPr>
                <w:rFonts w:hint="eastAsia" w:ascii="仿宋" w:hAnsi="仿宋" w:cs="仿宋"/>
                <w:kern w:val="0"/>
                <w:sz w:val="22"/>
                <w:szCs w:val="22"/>
                <w:lang w:bidi="ar"/>
              </w:rPr>
              <w:t>统一审批</w:t>
            </w:r>
          </w:p>
        </w:tc>
        <w:tc>
          <w:tcPr>
            <w:tcW w:w="4652" w:type="dxa"/>
            <w:shd w:val="clear" w:color="auto" w:fill="auto"/>
            <w:vAlign w:val="center"/>
          </w:tcPr>
          <w:p>
            <w:pPr>
              <w:widowControl/>
              <w:textAlignment w:val="center"/>
              <w:rPr>
                <w:rFonts w:ascii="仿宋" w:hAnsi="仿宋" w:cs="仿宋"/>
                <w:kern w:val="0"/>
                <w:sz w:val="22"/>
                <w:szCs w:val="22"/>
                <w:lang w:bidi="ar"/>
              </w:rPr>
            </w:pPr>
            <w:r>
              <w:rPr>
                <w:rFonts w:hint="eastAsia" w:ascii="仿宋" w:hAnsi="仿宋" w:cs="仿宋"/>
                <w:kern w:val="0"/>
                <w:sz w:val="22"/>
                <w:szCs w:val="22"/>
                <w:lang w:bidi="ar"/>
              </w:rPr>
              <w:t>建设浙政钉审批组件开发统一审批模块，实现机关内部事项审批、OA请假审批等审批件集中在工作台展示并处理。包含统一审批展示、审批详情及处理功能。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7"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564"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762"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963"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1140" w:type="dxa"/>
            <w:shd w:val="clear" w:color="auto" w:fill="auto"/>
            <w:vAlign w:val="center"/>
          </w:tcPr>
          <w:p>
            <w:pPr>
              <w:widowControl/>
              <w:jc w:val="center"/>
              <w:textAlignment w:val="center"/>
              <w:rPr>
                <w:rFonts w:ascii="仿宋" w:hAnsi="仿宋" w:cs="仿宋"/>
                <w:kern w:val="0"/>
                <w:sz w:val="22"/>
                <w:szCs w:val="22"/>
                <w:lang w:bidi="ar"/>
              </w:rPr>
            </w:pPr>
            <w:r>
              <w:rPr>
                <w:rFonts w:hint="eastAsia" w:ascii="仿宋" w:hAnsi="仿宋" w:cs="仿宋"/>
                <w:kern w:val="0"/>
                <w:sz w:val="22"/>
                <w:szCs w:val="22"/>
                <w:lang w:bidi="ar"/>
              </w:rPr>
              <w:t>统一通知</w:t>
            </w:r>
          </w:p>
        </w:tc>
        <w:tc>
          <w:tcPr>
            <w:tcW w:w="4652" w:type="dxa"/>
            <w:shd w:val="clear" w:color="auto" w:fill="auto"/>
            <w:vAlign w:val="center"/>
          </w:tcPr>
          <w:p>
            <w:pPr>
              <w:widowControl/>
              <w:textAlignment w:val="center"/>
              <w:rPr>
                <w:rFonts w:ascii="仿宋" w:hAnsi="仿宋" w:cs="仿宋"/>
                <w:kern w:val="0"/>
                <w:sz w:val="22"/>
                <w:szCs w:val="22"/>
                <w:lang w:bidi="ar"/>
              </w:rPr>
            </w:pPr>
            <w:r>
              <w:rPr>
                <w:rFonts w:hint="eastAsia" w:ascii="仿宋" w:hAnsi="仿宋" w:cs="仿宋"/>
                <w:kern w:val="0"/>
                <w:sz w:val="22"/>
                <w:szCs w:val="22"/>
                <w:lang w:bidi="ar"/>
              </w:rPr>
              <w:t>建设浙政钉通知组件开发统一通知模块，实现通知公告数据集中在工作台展示并处理。包含统一通知展示、通知详情及处理、通知查询功能。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7"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564"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762"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963" w:type="dxa"/>
            <w:vMerge w:val="continue"/>
            <w:shd w:val="clear" w:color="auto" w:fill="auto"/>
            <w:vAlign w:val="center"/>
          </w:tcPr>
          <w:p>
            <w:pPr>
              <w:widowControl/>
              <w:jc w:val="center"/>
              <w:textAlignment w:val="center"/>
              <w:rPr>
                <w:rFonts w:ascii="仿宋" w:hAnsi="仿宋" w:cs="仿宋"/>
                <w:kern w:val="0"/>
                <w:sz w:val="22"/>
                <w:szCs w:val="22"/>
                <w:lang w:bidi="ar"/>
              </w:rPr>
            </w:pPr>
          </w:p>
        </w:tc>
        <w:tc>
          <w:tcPr>
            <w:tcW w:w="1140" w:type="dxa"/>
            <w:shd w:val="clear" w:color="auto" w:fill="auto"/>
            <w:vAlign w:val="center"/>
          </w:tcPr>
          <w:p>
            <w:pPr>
              <w:widowControl/>
              <w:jc w:val="center"/>
              <w:textAlignment w:val="center"/>
              <w:rPr>
                <w:rFonts w:ascii="仿宋" w:hAnsi="仿宋" w:cs="仿宋"/>
                <w:kern w:val="0"/>
                <w:sz w:val="22"/>
                <w:szCs w:val="22"/>
                <w:lang w:bidi="ar"/>
              </w:rPr>
            </w:pPr>
            <w:r>
              <w:rPr>
                <w:rFonts w:hint="eastAsia" w:ascii="仿宋" w:hAnsi="仿宋" w:cs="仿宋"/>
                <w:kern w:val="0"/>
                <w:sz w:val="22"/>
                <w:szCs w:val="22"/>
                <w:lang w:bidi="ar"/>
              </w:rPr>
              <w:t>共享文件库</w:t>
            </w:r>
          </w:p>
        </w:tc>
        <w:tc>
          <w:tcPr>
            <w:tcW w:w="4652" w:type="dxa"/>
            <w:shd w:val="clear" w:color="auto" w:fill="auto"/>
            <w:vAlign w:val="center"/>
          </w:tcPr>
          <w:p>
            <w:pPr>
              <w:widowControl/>
              <w:textAlignment w:val="center"/>
              <w:rPr>
                <w:rFonts w:ascii="仿宋" w:hAnsi="仿宋" w:cs="仿宋"/>
                <w:kern w:val="0"/>
                <w:sz w:val="22"/>
                <w:szCs w:val="22"/>
                <w:lang w:bidi="ar"/>
              </w:rPr>
            </w:pPr>
            <w:r>
              <w:rPr>
                <w:rFonts w:hint="eastAsia" w:ascii="仿宋" w:hAnsi="仿宋" w:cs="仿宋"/>
                <w:kern w:val="0"/>
                <w:sz w:val="22"/>
                <w:szCs w:val="22"/>
                <w:lang w:bidi="ar"/>
              </w:rPr>
              <w:t>通过浙政钉组件接口实现区级收文、发文、历史文件、全区文件等相关数据的统一展示和查看，实现区内文件全方面管理。包含共享文件库展示、文件详情查看功能。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通知公告</w:t>
            </w:r>
          </w:p>
        </w:tc>
        <w:tc>
          <w:tcPr>
            <w:tcW w:w="1140" w:type="dxa"/>
            <w:shd w:val="clear" w:color="auto" w:fill="auto"/>
            <w:vAlign w:val="center"/>
          </w:tcPr>
          <w:p>
            <w:pPr>
              <w:jc w:val="center"/>
              <w:rPr>
                <w:rFonts w:ascii="仿宋" w:hAnsi="仿宋" w:cs="仿宋"/>
                <w:sz w:val="22"/>
                <w:szCs w:val="22"/>
              </w:rPr>
            </w:pPr>
            <w:r>
              <w:rPr>
                <w:rFonts w:hint="eastAsia" w:ascii="仿宋" w:hAnsi="仿宋" w:cs="仿宋"/>
                <w:kern w:val="0"/>
                <w:sz w:val="22"/>
                <w:szCs w:val="22"/>
                <w:lang w:bidi="ar"/>
              </w:rPr>
              <w:t>通知公告</w:t>
            </w:r>
          </w:p>
        </w:tc>
        <w:tc>
          <w:tcPr>
            <w:tcW w:w="4652" w:type="dxa"/>
            <w:shd w:val="clear" w:color="auto" w:fill="auto"/>
            <w:vAlign w:val="center"/>
          </w:tcPr>
          <w:p>
            <w:pPr>
              <w:widowControl/>
              <w:textAlignment w:val="center"/>
              <w:rPr>
                <w:rFonts w:ascii="仿宋" w:hAnsi="仿宋" w:cs="仿宋"/>
                <w:sz w:val="22"/>
                <w:szCs w:val="22"/>
              </w:rPr>
            </w:pPr>
            <w:r>
              <w:rPr>
                <w:rFonts w:hint="eastAsia" w:ascii="仿宋" w:hAnsi="仿宋" w:cs="仿宋"/>
                <w:sz w:val="22"/>
                <w:szCs w:val="22"/>
              </w:rPr>
              <w:t>依托浙政钉工作台组件，构建工作台通知公告栏，以滚动展示的方式进行通知公告在工作台门户的展现。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浙政钉应用分类展示</w:t>
            </w:r>
          </w:p>
        </w:tc>
        <w:tc>
          <w:tcPr>
            <w:tcW w:w="1140" w:type="dxa"/>
            <w:shd w:val="clear" w:color="auto" w:fill="auto"/>
            <w:vAlign w:val="center"/>
          </w:tcPr>
          <w:p>
            <w:pPr>
              <w:jc w:val="center"/>
              <w:rPr>
                <w:rFonts w:ascii="仿宋" w:hAnsi="仿宋" w:cs="仿宋"/>
                <w:sz w:val="22"/>
                <w:szCs w:val="22"/>
              </w:rPr>
            </w:pPr>
            <w:r>
              <w:rPr>
                <w:rFonts w:hint="eastAsia" w:ascii="仿宋" w:hAnsi="仿宋" w:cs="仿宋"/>
                <w:kern w:val="0"/>
                <w:sz w:val="22"/>
                <w:szCs w:val="22"/>
                <w:lang w:bidi="ar"/>
              </w:rPr>
              <w:t>应用分类展示</w:t>
            </w:r>
          </w:p>
        </w:tc>
        <w:tc>
          <w:tcPr>
            <w:tcW w:w="4652" w:type="dxa"/>
            <w:shd w:val="clear" w:color="auto" w:fill="auto"/>
            <w:vAlign w:val="center"/>
          </w:tcPr>
          <w:p>
            <w:pPr>
              <w:widowControl/>
              <w:textAlignment w:val="center"/>
              <w:rPr>
                <w:rFonts w:ascii="仿宋" w:hAnsi="仿宋" w:cs="仿宋"/>
                <w:sz w:val="22"/>
                <w:szCs w:val="22"/>
              </w:rPr>
            </w:pPr>
            <w:r>
              <w:rPr>
                <w:rFonts w:hint="eastAsia" w:ascii="仿宋" w:hAnsi="仿宋" w:cs="仿宋"/>
                <w:sz w:val="22"/>
                <w:szCs w:val="22"/>
              </w:rPr>
              <w:t>按数字化改革“1612”体系架构，将应用按领域分为党政统领整体智治、数字政府、数字经济、数字社会、数字文化和数字法治，以Tab页切换展示，并实现应用的快速访问和个性化定制。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sz w:val="22"/>
                <w:szCs w:val="22"/>
              </w:rPr>
              <w:t>2</w:t>
            </w:r>
          </w:p>
        </w:tc>
        <w:tc>
          <w:tcPr>
            <w:tcW w:w="564"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OA系统升级</w:t>
            </w:r>
          </w:p>
        </w:tc>
        <w:tc>
          <w:tcPr>
            <w:tcW w:w="762"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OA系统升级</w:t>
            </w:r>
          </w:p>
        </w:tc>
        <w:tc>
          <w:tcPr>
            <w:tcW w:w="963" w:type="dxa"/>
            <w:shd w:val="clear" w:color="auto" w:fill="auto"/>
            <w:vAlign w:val="center"/>
          </w:tcPr>
          <w:p>
            <w:pPr>
              <w:widowControl/>
              <w:jc w:val="center"/>
              <w:textAlignment w:val="center"/>
              <w:rPr>
                <w:rFonts w:ascii="仿宋" w:hAnsi="仿宋" w:cs="仿宋"/>
                <w:kern w:val="0"/>
                <w:sz w:val="22"/>
                <w:szCs w:val="22"/>
                <w:lang w:bidi="ar"/>
              </w:rPr>
            </w:pPr>
            <w:r>
              <w:rPr>
                <w:rFonts w:hint="eastAsia" w:ascii="仿宋" w:hAnsi="仿宋" w:cs="仿宋"/>
                <w:kern w:val="0"/>
                <w:sz w:val="22"/>
                <w:szCs w:val="22"/>
                <w:lang w:bidi="ar"/>
              </w:rPr>
              <w:t>浙政钉桌面端应用</w:t>
            </w:r>
          </w:p>
        </w:tc>
        <w:tc>
          <w:tcPr>
            <w:tcW w:w="5792" w:type="dxa"/>
            <w:gridSpan w:val="2"/>
            <w:shd w:val="clear" w:color="auto" w:fill="auto"/>
            <w:vAlign w:val="center"/>
          </w:tcPr>
          <w:p>
            <w:pPr>
              <w:widowControl/>
              <w:textAlignment w:val="center"/>
              <w:rPr>
                <w:rFonts w:ascii="仿宋" w:hAnsi="仿宋" w:cs="仿宋"/>
                <w:kern w:val="0"/>
                <w:sz w:val="22"/>
                <w:szCs w:val="22"/>
                <w:lang w:bidi="ar"/>
              </w:rPr>
            </w:pPr>
            <w:r>
              <w:rPr>
                <w:rFonts w:hint="eastAsia" w:ascii="仿宋" w:hAnsi="仿宋" w:cs="仿宋"/>
                <w:kern w:val="0"/>
                <w:sz w:val="22"/>
                <w:szCs w:val="22"/>
                <w:lang w:bidi="ar"/>
              </w:rPr>
              <w:t>需解决无政务网环境的单位使用OA系统进行日常办公，将公文收发、会议、通知、信息报送、文件库、公文归档、办公助理等多数页面及功能进行浙政钉桌面端适配改造，实现日常业务处理，满足日常用户在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kern w:val="0"/>
                <w:sz w:val="22"/>
                <w:szCs w:val="22"/>
                <w:lang w:bidi="ar"/>
              </w:rPr>
            </w:pPr>
            <w:r>
              <w:rPr>
                <w:rFonts w:hint="eastAsia" w:ascii="仿宋" w:hAnsi="仿宋" w:cs="仿宋"/>
                <w:kern w:val="0"/>
                <w:sz w:val="22"/>
                <w:szCs w:val="22"/>
                <w:lang w:bidi="ar"/>
              </w:rPr>
              <w:t>天目共学模块</w:t>
            </w:r>
          </w:p>
        </w:tc>
        <w:tc>
          <w:tcPr>
            <w:tcW w:w="5792" w:type="dxa"/>
            <w:gridSpan w:val="2"/>
            <w:shd w:val="clear" w:color="auto" w:fill="auto"/>
            <w:vAlign w:val="center"/>
          </w:tcPr>
          <w:p>
            <w:pPr>
              <w:widowControl/>
              <w:textAlignment w:val="center"/>
              <w:rPr>
                <w:rFonts w:ascii="仿宋" w:hAnsi="仿宋" w:cs="仿宋"/>
                <w:kern w:val="0"/>
                <w:sz w:val="22"/>
                <w:szCs w:val="22"/>
                <w:lang w:bidi="ar"/>
              </w:rPr>
            </w:pPr>
            <w:r>
              <w:rPr>
                <w:rFonts w:hint="eastAsia" w:ascii="仿宋" w:hAnsi="仿宋" w:cs="仿宋"/>
                <w:kern w:val="0"/>
                <w:sz w:val="22"/>
                <w:szCs w:val="22"/>
                <w:lang w:bidi="ar"/>
              </w:rPr>
              <w:t>为加强对各部门理论学习情况的监管，区委宣传部提出在OA系统中开发天目共学模块，通过系统录入各部门理论学习情况，审核学习内容，加强对学习情况的监管，统计分析各部门的学习情况，学习形式，实现对各部门理论学习情况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kern w:val="0"/>
                <w:sz w:val="22"/>
                <w:szCs w:val="22"/>
                <w:lang w:bidi="ar"/>
              </w:rPr>
            </w:pPr>
            <w:r>
              <w:rPr>
                <w:rFonts w:hint="eastAsia" w:ascii="仿宋" w:hAnsi="仿宋" w:cs="仿宋"/>
                <w:kern w:val="0"/>
                <w:sz w:val="22"/>
                <w:szCs w:val="22"/>
                <w:lang w:bidi="ar"/>
              </w:rPr>
              <w:t>与省市交换平台对接</w:t>
            </w:r>
          </w:p>
        </w:tc>
        <w:tc>
          <w:tcPr>
            <w:tcW w:w="5792" w:type="dxa"/>
            <w:gridSpan w:val="2"/>
            <w:shd w:val="clear" w:color="auto" w:fill="auto"/>
            <w:vAlign w:val="center"/>
          </w:tcPr>
          <w:p>
            <w:pPr>
              <w:widowControl/>
              <w:textAlignment w:val="center"/>
              <w:rPr>
                <w:rFonts w:ascii="仿宋" w:hAnsi="仿宋" w:cs="仿宋"/>
                <w:kern w:val="0"/>
                <w:sz w:val="22"/>
                <w:szCs w:val="22"/>
                <w:lang w:bidi="ar"/>
              </w:rPr>
            </w:pPr>
            <w:r>
              <w:rPr>
                <w:rFonts w:hint="eastAsia" w:ascii="仿宋" w:hAnsi="仿宋" w:cs="仿宋"/>
                <w:kern w:val="0"/>
                <w:sz w:val="22"/>
                <w:szCs w:val="22"/>
                <w:lang w:bidi="ar"/>
              </w:rPr>
              <w:t>按照浙江省人民政府办公厅、杭州市人民政府办公厅电子公文交换工作相关要求，完成OA系统交换功能改造及与省市电子公文交换系统对接工作。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kern w:val="0"/>
                <w:sz w:val="22"/>
                <w:szCs w:val="22"/>
                <w:lang w:bidi="ar"/>
              </w:rPr>
            </w:pPr>
            <w:r>
              <w:rPr>
                <w:rFonts w:hint="eastAsia" w:ascii="仿宋" w:hAnsi="仿宋" w:cs="仿宋"/>
                <w:kern w:val="0"/>
                <w:sz w:val="22"/>
                <w:szCs w:val="22"/>
                <w:lang w:bidi="ar"/>
              </w:rPr>
              <w:t>收文分层分类管理功能</w:t>
            </w:r>
          </w:p>
        </w:tc>
        <w:tc>
          <w:tcPr>
            <w:tcW w:w="5792" w:type="dxa"/>
            <w:gridSpan w:val="2"/>
            <w:shd w:val="clear" w:color="auto" w:fill="auto"/>
            <w:vAlign w:val="center"/>
          </w:tcPr>
          <w:p>
            <w:pPr>
              <w:widowControl/>
              <w:textAlignment w:val="center"/>
              <w:rPr>
                <w:rFonts w:ascii="仿宋" w:hAnsi="仿宋" w:cs="仿宋"/>
                <w:kern w:val="0"/>
                <w:sz w:val="22"/>
                <w:szCs w:val="22"/>
                <w:lang w:bidi="ar"/>
              </w:rPr>
            </w:pPr>
            <w:r>
              <w:rPr>
                <w:rFonts w:hint="eastAsia" w:ascii="仿宋" w:hAnsi="仿宋" w:cs="仿宋"/>
                <w:kern w:val="0"/>
                <w:sz w:val="22"/>
                <w:szCs w:val="22"/>
                <w:lang w:bidi="ar"/>
              </w:rPr>
              <w:t>按照收文分层分类管理工作要求，完成OA系统收文精细化分层分类管理功能建设工作。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37"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3</w:t>
            </w:r>
          </w:p>
        </w:tc>
        <w:tc>
          <w:tcPr>
            <w:tcW w:w="564"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政务资源云管家系统建设</w:t>
            </w:r>
          </w:p>
        </w:tc>
        <w:tc>
          <w:tcPr>
            <w:tcW w:w="762"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政务资源云管家（PC端）</w:t>
            </w:r>
          </w:p>
        </w:tc>
        <w:tc>
          <w:tcPr>
            <w:tcW w:w="963"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政务工单管理</w:t>
            </w: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工作台</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sz w:val="22"/>
                <w:szCs w:val="22"/>
              </w:rPr>
              <w:t>建立首页工作台，提供待办事宜、已办事宜、用户须知、广播等内容。待办事宜提供对待工单处理的问题进行展示；已办理事宜提供对已办结工单问题进行展示；用户须知模块提供对常见政策文件，常见须知内容进行展示；常见文件下载模块提供常见等保安全、信息系统网络安全要求等文件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工单管理</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工单录入：通过工单录入管理模块，实现对服务器异常数据进行工单录入。根据服务器ip匹配相关责任部门，产生各责任部门的工单信息，可对工单信息进行新增、维护、修改、删除功能，同时提供4种常见问题类型的批量导入功能以及工单状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vMerge w:val="continue"/>
            <w:shd w:val="clear" w:color="auto" w:fill="auto"/>
            <w:vAlign w:val="center"/>
          </w:tcPr>
          <w:p>
            <w:pPr>
              <w:jc w:val="center"/>
              <w:rPr>
                <w:rFonts w:ascii="仿宋" w:hAnsi="仿宋" w:cs="仿宋"/>
                <w:sz w:val="22"/>
                <w:szCs w:val="22"/>
              </w:rPr>
            </w:pP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工单指派：对系统录入的工单信息，明确工单的受理人、受理部门，对工单进行责任部门指派，显示工单状态。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vMerge w:val="continue"/>
            <w:shd w:val="clear" w:color="auto" w:fill="auto"/>
            <w:vAlign w:val="center"/>
          </w:tcPr>
          <w:p>
            <w:pPr>
              <w:jc w:val="center"/>
              <w:rPr>
                <w:rFonts w:ascii="仿宋" w:hAnsi="仿宋" w:cs="仿宋"/>
                <w:sz w:val="22"/>
                <w:szCs w:val="22"/>
              </w:rPr>
            </w:pP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工单处理：业务部门可通过工单处理模块，查询本部门的工单信息，对需整改的工单信息进行办理，显示工单状态。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vMerge w:val="continue"/>
            <w:shd w:val="clear" w:color="auto" w:fill="auto"/>
            <w:vAlign w:val="center"/>
          </w:tcPr>
          <w:p>
            <w:pPr>
              <w:jc w:val="center"/>
              <w:rPr>
                <w:rFonts w:ascii="仿宋" w:hAnsi="仿宋" w:cs="仿宋"/>
                <w:sz w:val="22"/>
                <w:szCs w:val="22"/>
              </w:rPr>
            </w:pP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工单确认：数据局可通过工单处理确认模块，对部门反馈的工单处理情况进行确认处理，并显示工单状态。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vMerge w:val="continue"/>
            <w:shd w:val="clear" w:color="auto" w:fill="auto"/>
            <w:vAlign w:val="center"/>
          </w:tcPr>
          <w:p>
            <w:pPr>
              <w:jc w:val="center"/>
              <w:rPr>
                <w:rFonts w:ascii="仿宋" w:hAnsi="仿宋" w:cs="仿宋"/>
                <w:sz w:val="22"/>
                <w:szCs w:val="22"/>
              </w:rPr>
            </w:pP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工单办结：业务部门管理员可通过已办结模块，查询已完成的工单信息。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统计分析</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通过统计分析模块，按问题类型、部门、产生时间、办结时间、处理状态等指标维度进行统计分析和综合查询。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流转记录</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记录各环节的操作记录过程，包含记录日期、处理人、处理内容等信息的记录，便于追踪工单处理进度。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超期预警和短信提醒</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后台提供超期预警和短信提醒功能，针对数据局工单下发的责任部门，提供短信通知办理功能，系统将自动提前1天对即将超期的办件进行颜色标记和短信预警，提醒相关单位尽快处理。超过办理时限显示办理超期，并每日定时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通知公告管理</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后台提供通知公告管理模块，提供公告编辑、公告发送、公告查看功能，可根据选择不同发送对象进行通知。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政务云资源管理</w:t>
            </w: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云资源使用情况监控</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按实例、应用、部门的维度，对云资源使用率不高的情况进行预警，预警指标按CPU、内存、存储的使用率维度考虑，连续3个月未达到要求的进行预警，并下发工单。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等保情况监控</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对云资源已开通但超过3个月未申请等保，进行预警处理。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统计分析</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对云资源使用情况、各部门应用的等保情况进行统计分析展示，提供按部门、按时间、应用维度进行分析展示。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restart"/>
            <w:shd w:val="clear" w:color="auto" w:fill="auto"/>
            <w:vAlign w:val="center"/>
          </w:tcPr>
          <w:p>
            <w:pPr>
              <w:widowControl/>
              <w:jc w:val="left"/>
              <w:textAlignment w:val="center"/>
              <w:rPr>
                <w:rFonts w:ascii="仿宋" w:hAnsi="仿宋" w:cs="仿宋"/>
                <w:kern w:val="0"/>
                <w:sz w:val="22"/>
                <w:szCs w:val="22"/>
                <w:lang w:bidi="ar"/>
              </w:rPr>
            </w:pPr>
            <w:r>
              <w:rPr>
                <w:rFonts w:hint="eastAsia" w:ascii="仿宋" w:hAnsi="仿宋" w:cs="仿宋"/>
                <w:kern w:val="0"/>
                <w:sz w:val="22"/>
                <w:szCs w:val="22"/>
                <w:lang w:bidi="ar"/>
              </w:rPr>
              <w:t>浙政钉应用</w:t>
            </w:r>
          </w:p>
          <w:p>
            <w:pPr>
              <w:widowControl/>
              <w:jc w:val="left"/>
              <w:textAlignment w:val="center"/>
              <w:rPr>
                <w:rFonts w:ascii="仿宋" w:hAnsi="仿宋" w:cs="仿宋"/>
                <w:sz w:val="22"/>
                <w:szCs w:val="22"/>
              </w:rPr>
            </w:pPr>
            <w:r>
              <w:rPr>
                <w:rFonts w:hint="eastAsia" w:ascii="仿宋" w:hAnsi="仿宋" w:cs="仿宋"/>
                <w:kern w:val="0"/>
                <w:sz w:val="22"/>
                <w:szCs w:val="22"/>
                <w:lang w:bidi="ar"/>
              </w:rPr>
              <w:t>（移动端）</w:t>
            </w: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首页工作台</w:t>
            </w: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工作台</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首页实时展示临安区政务资源的整体情况，通过可视化界面展示云资源使用情况的总体趋势，等保异常情况的动态监控，及各部门的数据异常情况，处理情况等维度进行展示。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left"/>
              <w:rPr>
                <w:rFonts w:ascii="仿宋" w:hAnsi="仿宋" w:cs="仿宋"/>
                <w:sz w:val="22"/>
                <w:szCs w:val="22"/>
              </w:rPr>
            </w:pPr>
          </w:p>
        </w:tc>
        <w:tc>
          <w:tcPr>
            <w:tcW w:w="963"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我的办理</w:t>
            </w: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工单指派</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数据局管理人员可通过工单指派模块，对系统录入的工单信息，明确工单的受理人、受理部门，对工单进行责任部门指派，显示工单状态。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left"/>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工单办理</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业务部门管理人员可通过工单处理模块，查询本部门的工单信息，对需整改的工单信息进行办理，并显示工单状态。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left"/>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工单确认</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数据局管理员可通过工单处理确认模块，对部门反馈的工单处理情况进行确认处理，并显示工单状态。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left"/>
              <w:rPr>
                <w:rFonts w:ascii="仿宋" w:hAnsi="仿宋" w:cs="仿宋"/>
                <w:sz w:val="22"/>
                <w:szCs w:val="22"/>
              </w:rPr>
            </w:pPr>
          </w:p>
        </w:tc>
        <w:tc>
          <w:tcPr>
            <w:tcW w:w="963" w:type="dxa"/>
            <w:vMerge w:val="continue"/>
            <w:shd w:val="clear" w:color="auto" w:fill="auto"/>
            <w:vAlign w:val="center"/>
          </w:tcPr>
          <w:p>
            <w:pPr>
              <w:jc w:val="center"/>
              <w:rPr>
                <w:rFonts w:ascii="仿宋" w:hAnsi="仿宋" w:cs="仿宋"/>
                <w:sz w:val="22"/>
                <w:szCs w:val="22"/>
              </w:rPr>
            </w:pP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工单办结</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业务部门管理员可通过已办结模块，查询已完成的工单信息。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浙政钉应用（桌面端）</w:t>
            </w: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浙政钉桌面端应用适配</w:t>
            </w:r>
          </w:p>
        </w:tc>
        <w:tc>
          <w:tcPr>
            <w:tcW w:w="1140"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浙政钉桌面端应用适配</w:t>
            </w:r>
          </w:p>
        </w:tc>
        <w:tc>
          <w:tcPr>
            <w:tcW w:w="4652" w:type="dxa"/>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接入“浙政钉”工作台，对PC端系统功能做好适配调整。包含首页工作台、电子公告、工单管理、政务云资源、综合查询、等保情况等板块下的功能模块进行页面适配改造。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驾驶舱</w:t>
            </w: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驾驶舱可视化页面</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建设PC端智理舱界面，对临安区政务工单情况、云资源使用情况、等保情况进行综合晾晒，并列表展示各指标的详细信息。主要包括数据统计、问题组成、云资源利用率等。实现直观了解临安政务资源云管家的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组件对接</w:t>
            </w: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与短信平台对接</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与区短信平台接口对接，为工单交办、工单处理、超期预警等提供短信通知、提醒服务。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与统一平台对接</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与临安区统一用户平台对接，各业务单位可通过统一用户平台实现统一认证及单点登录。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与浙政钉对接</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与浙政钉对接，实现浙政钉应用的建设，埋点开发工作。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与区一体化智能化公共数据平台对接</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与区一体化智能化公共数据平台对接，便于系统对政务云资源情况的监控和管理。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4</w:t>
            </w:r>
          </w:p>
        </w:tc>
        <w:tc>
          <w:tcPr>
            <w:tcW w:w="564"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信息化项目全流程管理平台升级</w:t>
            </w:r>
          </w:p>
        </w:tc>
        <w:tc>
          <w:tcPr>
            <w:tcW w:w="762"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原系统调整内容</w:t>
            </w: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我的申请</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根据最新项目管理办法，完成我的申请功能模块差异性需求调整，项目申报表单字段调整。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我的项目</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根据最新项目管理办法，完成我的项目功能模块差异性需求调整，项目建设管理新增录入材料，支付管理模块按财政资金分期支付方式调整，政务信息化项目资金审核单实现线上审批盖章。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项目管理</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根据最新项目管理办法，完成项目管理模块差异性需求调整，项目申报表单字段调整。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restart"/>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新增功能模块</w:t>
            </w: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项目预申报</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新增2022年项目预申报模块，针对下一年度政务信息化项目，填写项目基本信息，上传申报表相应材料进行项目预申报。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项目变更终止</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针对项目变更、终止情形，提供项目变更、终止备案登记模块。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非财政预算项目登记</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针对非财政预算安排的信息化相关建设项目，通过非财政预算项目备案登记模块填写项目基本信息，实现对非财政预算项目进行综合管理。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项目全流程管理</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建立项目全流程申报模块，由申报单位统一通过项目全流程申报模块进行项目全周期管理，针对项目不同状态，统一在项目全流程管理模块中维护，便于申报单位统一对申报项目的管理。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与省IRS系统对接</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通过与省IRS系统对接，获取应用查重接口信息，在项目申报、项目回顾等模块中新增IRS应用查重功能，获取应用查重信息，对系统重复建设情形提供依据。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37" w:type="dxa"/>
            <w:vMerge w:val="continue"/>
            <w:shd w:val="clear" w:color="auto" w:fill="auto"/>
            <w:vAlign w:val="center"/>
          </w:tcPr>
          <w:p>
            <w:pPr>
              <w:jc w:val="center"/>
              <w:rPr>
                <w:rFonts w:ascii="仿宋" w:hAnsi="仿宋" w:cs="仿宋"/>
                <w:sz w:val="22"/>
                <w:szCs w:val="22"/>
              </w:rPr>
            </w:pPr>
          </w:p>
        </w:tc>
        <w:tc>
          <w:tcPr>
            <w:tcW w:w="564" w:type="dxa"/>
            <w:vMerge w:val="continue"/>
            <w:shd w:val="clear" w:color="auto" w:fill="auto"/>
            <w:vAlign w:val="center"/>
          </w:tcPr>
          <w:p>
            <w:pPr>
              <w:jc w:val="center"/>
              <w:rPr>
                <w:rFonts w:ascii="仿宋" w:hAnsi="仿宋" w:cs="仿宋"/>
                <w:sz w:val="22"/>
                <w:szCs w:val="22"/>
              </w:rPr>
            </w:pPr>
          </w:p>
        </w:tc>
        <w:tc>
          <w:tcPr>
            <w:tcW w:w="762" w:type="dxa"/>
            <w:vMerge w:val="continue"/>
            <w:shd w:val="clear" w:color="auto" w:fill="auto"/>
            <w:vAlign w:val="center"/>
          </w:tcPr>
          <w:p>
            <w:pPr>
              <w:jc w:val="center"/>
              <w:rPr>
                <w:rFonts w:ascii="仿宋" w:hAnsi="仿宋" w:cs="仿宋"/>
                <w:sz w:val="22"/>
                <w:szCs w:val="22"/>
              </w:rPr>
            </w:pPr>
          </w:p>
        </w:tc>
        <w:tc>
          <w:tcPr>
            <w:tcW w:w="963" w:type="dxa"/>
            <w:shd w:val="clear" w:color="auto" w:fill="auto"/>
            <w:vAlign w:val="center"/>
          </w:tcPr>
          <w:p>
            <w:pPr>
              <w:widowControl/>
              <w:jc w:val="center"/>
              <w:textAlignment w:val="center"/>
              <w:rPr>
                <w:rFonts w:ascii="仿宋" w:hAnsi="仿宋" w:cs="仿宋"/>
                <w:sz w:val="22"/>
                <w:szCs w:val="22"/>
              </w:rPr>
            </w:pPr>
            <w:r>
              <w:rPr>
                <w:rFonts w:hint="eastAsia" w:ascii="仿宋" w:hAnsi="仿宋" w:cs="仿宋"/>
                <w:kern w:val="0"/>
                <w:sz w:val="22"/>
                <w:szCs w:val="22"/>
                <w:lang w:bidi="ar"/>
              </w:rPr>
              <w:t>与省级项目管理系统对接</w:t>
            </w:r>
          </w:p>
        </w:tc>
        <w:tc>
          <w:tcPr>
            <w:tcW w:w="5792" w:type="dxa"/>
            <w:gridSpan w:val="2"/>
            <w:shd w:val="clear" w:color="auto" w:fill="auto"/>
            <w:vAlign w:val="center"/>
          </w:tcPr>
          <w:p>
            <w:pPr>
              <w:widowControl/>
              <w:jc w:val="left"/>
              <w:textAlignment w:val="center"/>
              <w:rPr>
                <w:rFonts w:ascii="仿宋" w:hAnsi="仿宋" w:cs="仿宋"/>
                <w:sz w:val="22"/>
                <w:szCs w:val="22"/>
              </w:rPr>
            </w:pPr>
            <w:r>
              <w:rPr>
                <w:rFonts w:hint="eastAsia" w:ascii="仿宋" w:hAnsi="仿宋" w:cs="仿宋"/>
                <w:kern w:val="0"/>
                <w:sz w:val="22"/>
                <w:szCs w:val="22"/>
                <w:lang w:bidi="ar"/>
              </w:rPr>
              <w:t>通过与省级项目管理系统对接，实现与省项目库、专家库对接，并按省里规范要求归集本地的项目库，专家库信息。</w:t>
            </w:r>
          </w:p>
        </w:tc>
      </w:tr>
    </w:tbl>
    <w:p>
      <w:pPr>
        <w:pStyle w:val="3"/>
        <w:tabs>
          <w:tab w:val="left" w:pos="420"/>
          <w:tab w:val="clear" w:pos="432"/>
        </w:tabs>
        <w:adjustRightInd/>
        <w:spacing w:line="400" w:lineRule="exact"/>
        <w:ind w:left="0" w:firstLine="0"/>
        <w:rPr>
          <w:rFonts w:ascii="仿宋" w:hAnsi="仿宋" w:eastAsia="仿宋" w:cs="仿宋"/>
          <w:sz w:val="24"/>
          <w:szCs w:val="24"/>
        </w:rPr>
      </w:pPr>
      <w:r>
        <w:rPr>
          <w:rFonts w:hint="eastAsia" w:ascii="仿宋" w:hAnsi="仿宋" w:eastAsia="仿宋" w:cs="仿宋"/>
          <w:sz w:val="24"/>
          <w:szCs w:val="24"/>
        </w:rPr>
        <w:t>五、其他要求</w:t>
      </w:r>
    </w:p>
    <w:p>
      <w:pPr>
        <w:pStyle w:val="4"/>
        <w:rPr>
          <w:rFonts w:ascii="仿宋" w:cs="仿宋"/>
          <w:lang w:val="en-US"/>
        </w:rPr>
      </w:pPr>
      <w:r>
        <w:rPr>
          <w:rFonts w:hint="eastAsia" w:ascii="仿宋" w:eastAsia="仿宋" w:cs="仿宋"/>
          <w:sz w:val="24"/>
          <w:szCs w:val="24"/>
          <w:lang w:val="en-US"/>
        </w:rPr>
        <w:t>（1）</w:t>
      </w:r>
      <w:r>
        <w:rPr>
          <w:rFonts w:hint="eastAsia" w:ascii="仿宋" w:eastAsia="仿宋" w:cs="仿宋"/>
          <w:sz w:val="24"/>
          <w:szCs w:val="24"/>
        </w:rPr>
        <w:t>性能要求</w:t>
      </w:r>
    </w:p>
    <w:p>
      <w:pPr>
        <w:numPr>
          <w:ilvl w:val="0"/>
          <w:numId w:val="1"/>
        </w:numPr>
        <w:spacing w:line="360" w:lineRule="auto"/>
        <w:rPr>
          <w:rFonts w:ascii="仿宋" w:hAnsi="仿宋" w:eastAsia="仿宋" w:cs="仿宋"/>
          <w:sz w:val="24"/>
        </w:rPr>
      </w:pPr>
      <w:r>
        <w:rPr>
          <w:rFonts w:hint="eastAsia" w:ascii="仿宋" w:hAnsi="仿宋" w:eastAsia="仿宋" w:cs="仿宋"/>
          <w:sz w:val="24"/>
        </w:rPr>
        <w:t>统一性</w:t>
      </w:r>
    </w:p>
    <w:p>
      <w:pPr>
        <w:spacing w:line="360" w:lineRule="auto"/>
        <w:ind w:firstLine="480" w:firstLineChars="200"/>
        <w:rPr>
          <w:rFonts w:ascii="仿宋" w:hAnsi="仿宋" w:eastAsia="仿宋" w:cs="仿宋"/>
          <w:sz w:val="24"/>
        </w:rPr>
      </w:pPr>
      <w:r>
        <w:rPr>
          <w:rFonts w:hint="eastAsia" w:ascii="仿宋" w:hAnsi="仿宋" w:eastAsia="仿宋" w:cs="仿宋"/>
          <w:sz w:val="24"/>
        </w:rPr>
        <w:t>系统的架构、服务、模块、数据接口进行统一合理规划，提高系统的性能。</w:t>
      </w:r>
    </w:p>
    <w:p>
      <w:pPr>
        <w:numPr>
          <w:ilvl w:val="0"/>
          <w:numId w:val="1"/>
        </w:numPr>
        <w:spacing w:line="360" w:lineRule="auto"/>
        <w:rPr>
          <w:rFonts w:ascii="仿宋" w:hAnsi="仿宋" w:eastAsia="仿宋" w:cs="仿宋"/>
          <w:sz w:val="24"/>
        </w:rPr>
      </w:pPr>
      <w:r>
        <w:rPr>
          <w:rFonts w:hint="eastAsia" w:ascii="仿宋" w:hAnsi="仿宋" w:eastAsia="仿宋" w:cs="仿宋"/>
          <w:sz w:val="24"/>
        </w:rPr>
        <w:t>稳定性</w:t>
      </w:r>
    </w:p>
    <w:p>
      <w:pPr>
        <w:spacing w:line="360" w:lineRule="auto"/>
        <w:ind w:firstLine="480" w:firstLineChars="200"/>
        <w:rPr>
          <w:rFonts w:ascii="仿宋" w:hAnsi="仿宋" w:eastAsia="仿宋" w:cs="仿宋"/>
          <w:sz w:val="24"/>
        </w:rPr>
      </w:pPr>
      <w:r>
        <w:rPr>
          <w:rFonts w:hint="eastAsia" w:ascii="仿宋" w:hAnsi="仿宋" w:eastAsia="仿宋" w:cs="仿宋"/>
          <w:sz w:val="24"/>
        </w:rPr>
        <w:t>高稳定性，系统总体可用率&gt;99.7%，数据库应用可用率&gt;=99.8%，WEB应用可用率&gt;=99.8%。</w:t>
      </w:r>
    </w:p>
    <w:p>
      <w:pPr>
        <w:numPr>
          <w:ilvl w:val="0"/>
          <w:numId w:val="1"/>
        </w:numPr>
        <w:spacing w:line="360" w:lineRule="auto"/>
        <w:rPr>
          <w:rFonts w:ascii="仿宋" w:hAnsi="仿宋" w:eastAsia="仿宋" w:cs="仿宋"/>
          <w:sz w:val="24"/>
        </w:rPr>
      </w:pPr>
      <w:r>
        <w:rPr>
          <w:rFonts w:hint="eastAsia" w:ascii="仿宋" w:hAnsi="仿宋" w:eastAsia="仿宋" w:cs="仿宋"/>
          <w:sz w:val="24"/>
        </w:rPr>
        <w:t>可靠性</w:t>
      </w:r>
    </w:p>
    <w:p>
      <w:pPr>
        <w:spacing w:line="360" w:lineRule="auto"/>
        <w:ind w:firstLine="480" w:firstLineChars="200"/>
        <w:rPr>
          <w:rFonts w:ascii="仿宋" w:hAnsi="仿宋" w:eastAsia="仿宋" w:cs="仿宋"/>
          <w:sz w:val="24"/>
        </w:rPr>
      </w:pPr>
      <w:r>
        <w:rPr>
          <w:rFonts w:hint="eastAsia" w:ascii="仿宋" w:hAnsi="仿宋" w:eastAsia="仿宋" w:cs="仿宋"/>
          <w:sz w:val="24"/>
        </w:rPr>
        <w:t>在系统设计架构的设计方面，充分考虑了系统的可靠性要求，满足企业级计算所需要的高度。</w:t>
      </w:r>
    </w:p>
    <w:p>
      <w:pPr>
        <w:numPr>
          <w:ilvl w:val="0"/>
          <w:numId w:val="1"/>
        </w:numPr>
        <w:spacing w:line="360" w:lineRule="auto"/>
        <w:rPr>
          <w:rFonts w:ascii="仿宋" w:hAnsi="仿宋" w:eastAsia="仿宋" w:cs="仿宋"/>
          <w:sz w:val="24"/>
        </w:rPr>
      </w:pPr>
      <w:r>
        <w:rPr>
          <w:rFonts w:hint="eastAsia" w:ascii="仿宋" w:hAnsi="仿宋" w:eastAsia="仿宋" w:cs="仿宋"/>
          <w:sz w:val="24"/>
        </w:rPr>
        <w:t>安全性</w:t>
      </w:r>
    </w:p>
    <w:p>
      <w:pPr>
        <w:spacing w:line="360" w:lineRule="auto"/>
        <w:ind w:firstLine="480" w:firstLineChars="200"/>
        <w:rPr>
          <w:rFonts w:ascii="仿宋" w:hAnsi="仿宋" w:eastAsia="仿宋" w:cs="仿宋"/>
          <w:sz w:val="24"/>
        </w:rPr>
      </w:pPr>
      <w:r>
        <w:rPr>
          <w:rFonts w:hint="eastAsia" w:ascii="仿宋" w:hAnsi="仿宋" w:eastAsia="仿宋" w:cs="仿宋"/>
          <w:sz w:val="24"/>
        </w:rPr>
        <w:t>提供强管理机制和控制机制，具有日志监控、事故监控和网络安全保密等技术措施。</w:t>
      </w:r>
    </w:p>
    <w:p>
      <w:pPr>
        <w:numPr>
          <w:ilvl w:val="0"/>
          <w:numId w:val="1"/>
        </w:numPr>
        <w:spacing w:line="360" w:lineRule="auto"/>
        <w:rPr>
          <w:rFonts w:ascii="仿宋" w:hAnsi="仿宋" w:eastAsia="仿宋" w:cs="仿宋"/>
          <w:sz w:val="24"/>
        </w:rPr>
      </w:pPr>
      <w:r>
        <w:rPr>
          <w:rFonts w:hint="eastAsia" w:ascii="仿宋" w:hAnsi="仿宋" w:eastAsia="仿宋" w:cs="仿宋"/>
          <w:sz w:val="24"/>
        </w:rPr>
        <w:t>高速高效</w:t>
      </w:r>
    </w:p>
    <w:p>
      <w:pPr>
        <w:spacing w:line="360" w:lineRule="auto"/>
        <w:ind w:firstLine="480" w:firstLineChars="200"/>
        <w:rPr>
          <w:rFonts w:ascii="仿宋" w:hAnsi="仿宋" w:eastAsia="仿宋" w:cs="仿宋"/>
          <w:sz w:val="24"/>
        </w:rPr>
      </w:pPr>
      <w:r>
        <w:rPr>
          <w:rFonts w:hint="eastAsia" w:ascii="仿宋" w:hAnsi="仿宋" w:eastAsia="仿宋" w:cs="仿宋"/>
          <w:sz w:val="24"/>
        </w:rPr>
        <w:t>系统在编程设计时大量使用调整缓存机制，减少了系统IO的负载，极大地加快了系统的运行速度。</w:t>
      </w:r>
    </w:p>
    <w:p>
      <w:pPr>
        <w:numPr>
          <w:ilvl w:val="0"/>
          <w:numId w:val="1"/>
        </w:numPr>
        <w:spacing w:line="360" w:lineRule="auto"/>
        <w:rPr>
          <w:rFonts w:ascii="仿宋" w:hAnsi="仿宋" w:eastAsia="仿宋" w:cs="仿宋"/>
          <w:sz w:val="24"/>
        </w:rPr>
      </w:pPr>
      <w:r>
        <w:rPr>
          <w:rFonts w:hint="eastAsia" w:ascii="仿宋" w:hAnsi="仿宋" w:eastAsia="仿宋" w:cs="仿宋"/>
          <w:sz w:val="24"/>
        </w:rPr>
        <w:t>易操作性</w:t>
      </w:r>
    </w:p>
    <w:p>
      <w:pPr>
        <w:spacing w:line="360" w:lineRule="auto"/>
        <w:ind w:firstLine="480" w:firstLineChars="200"/>
        <w:rPr>
          <w:rFonts w:ascii="仿宋" w:hAnsi="仿宋" w:eastAsia="仿宋" w:cs="仿宋"/>
          <w:sz w:val="24"/>
        </w:rPr>
      </w:pPr>
      <w:r>
        <w:rPr>
          <w:rFonts w:hint="eastAsia" w:ascii="仿宋" w:hAnsi="仿宋" w:eastAsia="仿宋" w:cs="仿宋"/>
          <w:sz w:val="24"/>
        </w:rPr>
        <w:t>提供友好的用户管理和使用界面，便于操作的维护。</w:t>
      </w:r>
    </w:p>
    <w:p>
      <w:pPr>
        <w:numPr>
          <w:ilvl w:val="0"/>
          <w:numId w:val="1"/>
        </w:numPr>
        <w:spacing w:line="360" w:lineRule="auto"/>
        <w:rPr>
          <w:rFonts w:ascii="仿宋" w:hAnsi="仿宋" w:eastAsia="仿宋" w:cs="仿宋"/>
          <w:sz w:val="24"/>
        </w:rPr>
      </w:pPr>
      <w:r>
        <w:rPr>
          <w:rFonts w:hint="eastAsia" w:ascii="仿宋" w:hAnsi="仿宋" w:eastAsia="仿宋" w:cs="仿宋"/>
          <w:sz w:val="24"/>
        </w:rPr>
        <w:t>静态数据指标</w:t>
      </w:r>
    </w:p>
    <w:p>
      <w:pPr>
        <w:spacing w:line="360" w:lineRule="auto"/>
        <w:ind w:firstLine="480" w:firstLineChars="200"/>
        <w:rPr>
          <w:rFonts w:ascii="仿宋" w:hAnsi="仿宋" w:eastAsia="仿宋" w:cs="仿宋"/>
          <w:sz w:val="24"/>
        </w:rPr>
      </w:pPr>
      <w:r>
        <w:rPr>
          <w:rFonts w:hint="eastAsia" w:ascii="仿宋" w:hAnsi="仿宋" w:eastAsia="仿宋" w:cs="仿宋"/>
          <w:sz w:val="24"/>
        </w:rPr>
        <w:t>系统能对10000用户数据、状态、和应用进行管理。</w:t>
      </w:r>
    </w:p>
    <w:p>
      <w:pPr>
        <w:numPr>
          <w:ilvl w:val="0"/>
          <w:numId w:val="1"/>
        </w:numPr>
        <w:spacing w:line="360" w:lineRule="auto"/>
        <w:rPr>
          <w:rFonts w:ascii="仿宋" w:hAnsi="仿宋" w:eastAsia="仿宋" w:cs="仿宋"/>
          <w:sz w:val="24"/>
        </w:rPr>
      </w:pPr>
      <w:r>
        <w:rPr>
          <w:rFonts w:hint="eastAsia" w:ascii="仿宋" w:hAnsi="仿宋" w:eastAsia="仿宋" w:cs="仿宋"/>
          <w:sz w:val="24"/>
        </w:rPr>
        <w:t>动态数据指标</w:t>
      </w:r>
    </w:p>
    <w:p>
      <w:pPr>
        <w:spacing w:line="360" w:lineRule="auto"/>
        <w:ind w:firstLine="480" w:firstLineChars="200"/>
        <w:rPr>
          <w:rFonts w:ascii="仿宋" w:hAnsi="仿宋" w:eastAsia="仿宋" w:cs="仿宋"/>
          <w:sz w:val="24"/>
        </w:rPr>
      </w:pPr>
      <w:r>
        <w:rPr>
          <w:rFonts w:hint="eastAsia" w:ascii="仿宋" w:hAnsi="仿宋" w:eastAsia="仿宋" w:cs="仿宋"/>
          <w:sz w:val="24"/>
        </w:rPr>
        <w:t>并发访问用户数量应达到200以上，允许2000用户同时在线。</w:t>
      </w:r>
    </w:p>
    <w:p>
      <w:pPr>
        <w:numPr>
          <w:ilvl w:val="0"/>
          <w:numId w:val="1"/>
        </w:numPr>
        <w:spacing w:line="360" w:lineRule="auto"/>
        <w:rPr>
          <w:rFonts w:ascii="仿宋" w:hAnsi="仿宋" w:eastAsia="仿宋" w:cs="仿宋"/>
          <w:sz w:val="24"/>
        </w:rPr>
      </w:pPr>
      <w:r>
        <w:rPr>
          <w:rFonts w:hint="eastAsia" w:ascii="仿宋" w:hAnsi="仿宋" w:eastAsia="仿宋" w:cs="仿宋"/>
          <w:sz w:val="24"/>
        </w:rPr>
        <w:t>系统响应速度</w:t>
      </w:r>
    </w:p>
    <w:p>
      <w:pPr>
        <w:spacing w:line="360" w:lineRule="auto"/>
        <w:ind w:firstLine="480" w:firstLineChars="200"/>
        <w:rPr>
          <w:rFonts w:ascii="仿宋" w:hAnsi="仿宋" w:eastAsia="仿宋" w:cs="仿宋"/>
          <w:sz w:val="24"/>
        </w:rPr>
      </w:pPr>
      <w:r>
        <w:rPr>
          <w:rFonts w:hint="eastAsia" w:ascii="仿宋" w:hAnsi="仿宋" w:eastAsia="仿宋" w:cs="仿宋"/>
          <w:sz w:val="24"/>
        </w:rPr>
        <w:t>页面响应速度，在合理网络和平台配置情况下，则访问操作性界面操作的系统响应时间小于5秒，静态页面标准响应时间小于2秒，简单查询页面小于3秒，复杂查询页面小于5秒。（实际上测试得到的响应时间通常在0.05~0.1秒之间）。</w:t>
      </w:r>
    </w:p>
    <w:p>
      <w:pPr>
        <w:numPr>
          <w:ilvl w:val="0"/>
          <w:numId w:val="1"/>
        </w:numPr>
        <w:spacing w:line="360" w:lineRule="auto"/>
        <w:rPr>
          <w:rFonts w:ascii="仿宋" w:hAnsi="仿宋" w:eastAsia="仿宋" w:cs="仿宋"/>
          <w:sz w:val="24"/>
        </w:rPr>
      </w:pPr>
      <w:r>
        <w:rPr>
          <w:rFonts w:hint="eastAsia" w:ascii="仿宋" w:hAnsi="仿宋" w:eastAsia="仿宋" w:cs="仿宋"/>
          <w:sz w:val="24"/>
        </w:rPr>
        <w:t>安全稳定性</w:t>
      </w:r>
    </w:p>
    <w:p>
      <w:pPr>
        <w:spacing w:line="360" w:lineRule="auto"/>
        <w:ind w:firstLine="540" w:firstLineChars="225"/>
        <w:rPr>
          <w:rFonts w:ascii="仿宋" w:hAnsi="仿宋" w:eastAsia="仿宋" w:cs="仿宋"/>
          <w:sz w:val="24"/>
        </w:rPr>
      </w:pPr>
      <w:r>
        <w:rPr>
          <w:rFonts w:hint="eastAsia" w:ascii="仿宋" w:hAnsi="仿宋" w:eastAsia="仿宋" w:cs="仿宋"/>
          <w:sz w:val="24"/>
        </w:rPr>
        <w:t>系统应提供7天×24小时的连续运行，平均年故障时间：小于1天，平均故障修复时间：小于30分钟。</w:t>
      </w:r>
    </w:p>
    <w:p>
      <w:pPr>
        <w:pStyle w:val="4"/>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2</w:t>
      </w:r>
      <w:r>
        <w:rPr>
          <w:rFonts w:hint="eastAsia" w:ascii="仿宋" w:eastAsia="仿宋" w:cs="仿宋"/>
          <w:sz w:val="24"/>
          <w:szCs w:val="24"/>
        </w:rPr>
        <w:t>）网络安全</w:t>
      </w:r>
    </w:p>
    <w:p>
      <w:pPr>
        <w:spacing w:line="360" w:lineRule="auto"/>
        <w:ind w:firstLine="480"/>
        <w:rPr>
          <w:rFonts w:ascii="仿宋" w:hAnsi="仿宋" w:eastAsia="仿宋" w:cs="仿宋"/>
          <w:b/>
          <w:kern w:val="44"/>
          <w:sz w:val="24"/>
        </w:rPr>
      </w:pPr>
      <w:r>
        <w:rPr>
          <w:rFonts w:hint="eastAsia" w:ascii="仿宋" w:hAnsi="仿宋" w:eastAsia="仿宋" w:cs="仿宋"/>
          <w:bCs/>
          <w:kern w:val="44"/>
          <w:sz w:val="24"/>
        </w:rPr>
        <w:t>系统部署在政务云平台上，安全方面主要依托政务云现有安全措施，严格遵循云平台安全管理规章。</w:t>
      </w:r>
    </w:p>
    <w:p>
      <w:pPr>
        <w:pStyle w:val="4"/>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3</w:t>
      </w:r>
      <w:r>
        <w:rPr>
          <w:rFonts w:hint="eastAsia" w:ascii="仿宋" w:eastAsia="仿宋" w:cs="仿宋"/>
          <w:sz w:val="24"/>
          <w:szCs w:val="24"/>
        </w:rPr>
        <w:t>）质保期及维护</w:t>
      </w:r>
    </w:p>
    <w:p>
      <w:pPr>
        <w:adjustRightInd/>
        <w:spacing w:line="360" w:lineRule="auto"/>
        <w:ind w:firstLine="420"/>
        <w:rPr>
          <w:rFonts w:ascii="仿宋" w:hAnsi="仿宋" w:eastAsia="仿宋" w:cs="仿宋"/>
          <w:sz w:val="24"/>
        </w:rPr>
      </w:pPr>
      <w:r>
        <w:rPr>
          <w:rFonts w:hint="eastAsia" w:ascii="仿宋" w:hAnsi="仿宋" w:eastAsia="仿宋" w:cs="仿宋"/>
          <w:sz w:val="24"/>
        </w:rPr>
        <w:t>①本项目产品质量保证期（免费保修期）为3年，自项目验收合格后计算。质量保证期内，供应商应负责免费对运行中出现的故障进行解决，提供系统的维护。</w:t>
      </w:r>
    </w:p>
    <w:p>
      <w:pPr>
        <w:adjustRightInd/>
        <w:spacing w:line="360" w:lineRule="auto"/>
        <w:ind w:firstLine="420"/>
        <w:rPr>
          <w:rFonts w:ascii="仿宋" w:hAnsi="仿宋" w:eastAsia="仿宋" w:cs="仿宋"/>
          <w:sz w:val="24"/>
        </w:rPr>
      </w:pPr>
      <w:r>
        <w:rPr>
          <w:rFonts w:hint="eastAsia" w:ascii="仿宋" w:hAnsi="仿宋" w:eastAsia="仿宋" w:cs="仿宋"/>
          <w:sz w:val="24"/>
        </w:rPr>
        <w:t>②系统管理员的响应服务：供应商在维护期内对于在使用过程中用户系统管理员及常驻技术人员无法解决的紧急问题，供应商应另外派出技术人员赶到用户现场，排除故障；对于一般性的问题，供应商应通过电话、传真或电子邮件方式为用户系统管理员提供技术支持。</w:t>
      </w:r>
    </w:p>
    <w:p>
      <w:pPr>
        <w:adjustRightInd/>
        <w:spacing w:line="360" w:lineRule="auto"/>
        <w:ind w:firstLine="420"/>
        <w:rPr>
          <w:rFonts w:ascii="仿宋" w:hAnsi="仿宋" w:eastAsia="仿宋" w:cs="仿宋"/>
          <w:sz w:val="24"/>
        </w:rPr>
      </w:pPr>
      <w:r>
        <w:rPr>
          <w:rFonts w:hint="eastAsia" w:ascii="仿宋" w:hAnsi="仿宋" w:eastAsia="仿宋" w:cs="仿宋"/>
          <w:sz w:val="24"/>
        </w:rPr>
        <w:t>③定期环境检修服务：在系统投入运行后，供应商在维护期内，应派出技术人员实施定期现场例行巡检服务。主要工作内容包括：收集用户使用信息，对网络环境的检查、清理，解答用户疑难，通报开发方近期相关项目的应用经验等工作，并将结果及时反馈用户信息化管理部门。</w:t>
      </w:r>
    </w:p>
    <w:p>
      <w:pPr>
        <w:adjustRightInd/>
        <w:spacing w:line="360" w:lineRule="auto"/>
        <w:ind w:firstLine="420"/>
        <w:rPr>
          <w:rFonts w:ascii="仿宋" w:hAnsi="仿宋" w:eastAsia="仿宋" w:cs="仿宋"/>
          <w:sz w:val="24"/>
        </w:rPr>
      </w:pPr>
      <w:r>
        <w:rPr>
          <w:rFonts w:hint="eastAsia" w:ascii="仿宋" w:hAnsi="仿宋" w:eastAsia="仿宋" w:cs="仿宋"/>
          <w:sz w:val="24"/>
        </w:rPr>
        <w:t>④热线技术支持服务：系统投入运行后，应为系统管理员建立热线技术支持服务。对于用户在使用方面的疑难，以及系统方面的疑难将由供应商专项技术人员，建立专门的在线支持和问题解答。提供热线电话支持，传真和邮件响应(邮件回复时间不超过八小时)。</w:t>
      </w:r>
    </w:p>
    <w:p>
      <w:pPr>
        <w:pStyle w:val="4"/>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4</w:t>
      </w:r>
      <w:r>
        <w:rPr>
          <w:rFonts w:hint="eastAsia" w:ascii="仿宋" w:eastAsia="仿宋" w:cs="仿宋"/>
          <w:sz w:val="24"/>
          <w:szCs w:val="24"/>
        </w:rPr>
        <w:t>）技术培训</w:t>
      </w:r>
    </w:p>
    <w:p>
      <w:pPr>
        <w:adjustRightInd/>
        <w:spacing w:line="360" w:lineRule="auto"/>
        <w:ind w:firstLine="420"/>
        <w:rPr>
          <w:rFonts w:ascii="仿宋" w:hAnsi="仿宋" w:eastAsia="仿宋" w:cs="仿宋"/>
          <w:sz w:val="24"/>
        </w:rPr>
      </w:pPr>
      <w:r>
        <w:rPr>
          <w:rFonts w:hint="eastAsia" w:ascii="仿宋" w:hAnsi="仿宋" w:eastAsia="仿宋" w:cs="仿宋"/>
          <w:sz w:val="24"/>
        </w:rPr>
        <w:t>平台系统完善后，针对新功能需要制定科学合理地详细的相关操作培训，并提供详尽的操作手册。</w:t>
      </w:r>
    </w:p>
    <w:p>
      <w:pPr>
        <w:adjustRightInd/>
        <w:spacing w:line="360" w:lineRule="auto"/>
        <w:ind w:firstLine="420"/>
        <w:rPr>
          <w:rFonts w:ascii="仿宋" w:hAnsi="仿宋" w:eastAsia="仿宋" w:cs="仿宋"/>
          <w:sz w:val="24"/>
        </w:rPr>
      </w:pPr>
      <w:r>
        <w:rPr>
          <w:rFonts w:hint="eastAsia" w:ascii="仿宋" w:hAnsi="仿宋" w:eastAsia="仿宋" w:cs="仿宋"/>
          <w:sz w:val="24"/>
        </w:rPr>
        <w:t>①培训内容：系统管理员及技术人员可以熟悉各软件模块之间的业务关系，熟练掌握各软件系统模块的操作方法。通过相关培训让系统管理员及技术人员能够使用软件开展相应的工作，以利于在以后的工作最大程度的发挥系统的作用，给工作带来方便。</w:t>
      </w:r>
    </w:p>
    <w:p>
      <w:pPr>
        <w:adjustRightInd/>
        <w:spacing w:line="360" w:lineRule="auto"/>
        <w:ind w:firstLine="420"/>
        <w:rPr>
          <w:rFonts w:ascii="仿宋" w:hAnsi="仿宋" w:eastAsia="仿宋" w:cs="仿宋"/>
          <w:sz w:val="24"/>
        </w:rPr>
      </w:pPr>
      <w:r>
        <w:rPr>
          <w:rFonts w:hint="eastAsia" w:ascii="仿宋" w:hAnsi="仿宋" w:eastAsia="仿宋" w:cs="仿宋"/>
          <w:sz w:val="24"/>
        </w:rPr>
        <w:t>②培训天数：以实现项目培训目标为准。</w:t>
      </w:r>
    </w:p>
    <w:p>
      <w:pPr>
        <w:pStyle w:val="4"/>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5</w:t>
      </w:r>
      <w:r>
        <w:rPr>
          <w:rFonts w:hint="eastAsia" w:ascii="仿宋" w:eastAsia="仿宋" w:cs="仿宋"/>
          <w:sz w:val="24"/>
          <w:szCs w:val="24"/>
        </w:rPr>
        <w:t>）驻场研发</w:t>
      </w:r>
    </w:p>
    <w:p>
      <w:pPr>
        <w:adjustRightInd/>
        <w:spacing w:line="360" w:lineRule="auto"/>
        <w:ind w:firstLine="420"/>
        <w:rPr>
          <w:rFonts w:ascii="仿宋" w:hAnsi="仿宋" w:eastAsia="仿宋" w:cs="仿宋"/>
          <w:sz w:val="24"/>
        </w:rPr>
      </w:pPr>
      <w:r>
        <w:rPr>
          <w:rFonts w:hint="eastAsia" w:ascii="仿宋" w:hAnsi="仿宋" w:eastAsia="仿宋" w:cs="仿宋"/>
          <w:sz w:val="24"/>
        </w:rPr>
        <w:t>1、中标人应提供不少于3人的驻场开发团队。</w:t>
      </w:r>
    </w:p>
    <w:p>
      <w:pPr>
        <w:adjustRightInd/>
        <w:spacing w:line="360" w:lineRule="auto"/>
        <w:ind w:firstLine="420"/>
        <w:rPr>
          <w:rFonts w:ascii="仿宋" w:hAnsi="仿宋" w:eastAsia="仿宋" w:cs="仿宋"/>
          <w:sz w:val="24"/>
        </w:rPr>
      </w:pPr>
      <w:r>
        <w:rPr>
          <w:rFonts w:hint="eastAsia" w:ascii="仿宋" w:hAnsi="仿宋" w:eastAsia="仿宋" w:cs="仿宋"/>
          <w:sz w:val="24"/>
        </w:rPr>
        <w:t>2、中标人需提供驻场人员的详细信息，并经审核确认后，驻场人员的变更需经过招标人的同意。</w:t>
      </w:r>
    </w:p>
    <w:p>
      <w:pPr>
        <w:adjustRightInd/>
        <w:spacing w:line="360" w:lineRule="auto"/>
        <w:ind w:firstLine="420"/>
        <w:rPr>
          <w:rFonts w:ascii="仿宋" w:hAnsi="仿宋" w:eastAsia="仿宋" w:cs="仿宋"/>
          <w:sz w:val="24"/>
        </w:rPr>
      </w:pPr>
      <w:r>
        <w:rPr>
          <w:rFonts w:hint="eastAsia" w:ascii="仿宋" w:hAnsi="仿宋" w:eastAsia="仿宋" w:cs="仿宋"/>
          <w:sz w:val="24"/>
        </w:rPr>
        <w:t>3、驻场人员撤场需经过招标人的确认。</w:t>
      </w:r>
    </w:p>
    <w:p>
      <w:pPr>
        <w:pStyle w:val="4"/>
        <w:rPr>
          <w:rFonts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rPr>
        <w:t>6</w:t>
      </w:r>
      <w:r>
        <w:rPr>
          <w:rFonts w:hint="eastAsia" w:ascii="仿宋" w:eastAsia="仿宋" w:cs="仿宋"/>
          <w:sz w:val="24"/>
          <w:szCs w:val="24"/>
        </w:rPr>
        <w:t>）二级等保</w:t>
      </w:r>
    </w:p>
    <w:p>
      <w:pPr>
        <w:adjustRightInd/>
        <w:spacing w:line="360" w:lineRule="auto"/>
        <w:ind w:firstLine="420"/>
        <w:rPr>
          <w:rFonts w:ascii="仿宋" w:hAnsi="仿宋" w:eastAsia="仿宋" w:cs="仿宋"/>
          <w:sz w:val="24"/>
        </w:rPr>
      </w:pPr>
      <w:r>
        <w:rPr>
          <w:rFonts w:hint="eastAsia" w:ascii="仿宋" w:hAnsi="仿宋" w:eastAsia="仿宋" w:cs="仿宋"/>
          <w:sz w:val="24"/>
        </w:rPr>
        <w:t>中标人需按照等保二级标准完成二级等保测评。</w:t>
      </w:r>
    </w:p>
    <w:p>
      <w:pPr>
        <w:pStyle w:val="2"/>
        <w:rPr>
          <w:rFonts w:ascii="仿宋" w:hAnsi="仿宋" w:cs="仿宋"/>
          <w:kern w:val="0"/>
          <w:sz w:val="21"/>
          <w:lang w:bidi="ar"/>
        </w:rPr>
      </w:pPr>
    </w:p>
    <w:p>
      <w:pPr>
        <w:pStyle w:val="4"/>
        <w:rPr>
          <w:rFonts w:ascii="仿宋" w:eastAsia="仿宋" w:cs="仿宋"/>
          <w:sz w:val="24"/>
          <w:szCs w:val="24"/>
        </w:rPr>
      </w:pPr>
    </w:p>
    <w:p>
      <w:pPr>
        <w:pStyle w:val="4"/>
        <w:rPr>
          <w:rFonts w:ascii="仿宋" w:eastAsia="仿宋" w:cs="仿宋"/>
          <w:sz w:val="24"/>
          <w:szCs w:val="24"/>
        </w:rPr>
      </w:pPr>
      <w:r>
        <w:rPr>
          <w:rFonts w:hint="eastAsia" w:ascii="仿宋" w:eastAsia="仿宋" w:cs="仿宋"/>
          <w:sz w:val="24"/>
          <w:szCs w:val="24"/>
        </w:rPr>
        <w:t>（7）付款方式</w:t>
      </w:r>
    </w:p>
    <w:p>
      <w:pPr>
        <w:spacing w:line="360" w:lineRule="auto"/>
        <w:ind w:firstLine="120" w:firstLineChars="50"/>
        <w:rPr>
          <w:rFonts w:ascii="仿宋" w:hAnsi="仿宋" w:eastAsia="仿宋" w:cs="仿宋"/>
          <w:color w:val="auto"/>
          <w:sz w:val="24"/>
        </w:rPr>
      </w:pPr>
      <w:r>
        <w:rPr>
          <w:rFonts w:hint="eastAsia" w:ascii="仿宋" w:hAnsi="仿宋" w:eastAsia="仿宋" w:cs="仿宋"/>
          <w:color w:val="auto"/>
          <w:sz w:val="24"/>
        </w:rPr>
        <w:t>1、第一期付款：采购合同签订生效后的7个工作日内，甲方向乙方支付合同总价40%的预付款项；</w:t>
      </w:r>
    </w:p>
    <w:p>
      <w:pPr>
        <w:spacing w:line="360" w:lineRule="auto"/>
        <w:ind w:firstLine="120" w:firstLineChars="50"/>
        <w:rPr>
          <w:rFonts w:ascii="仿宋" w:hAnsi="仿宋" w:eastAsia="仿宋" w:cs="仿宋"/>
          <w:color w:val="auto"/>
          <w:sz w:val="24"/>
        </w:rPr>
      </w:pPr>
      <w:r>
        <w:rPr>
          <w:rFonts w:hint="eastAsia" w:ascii="仿宋" w:hAnsi="仿宋" w:eastAsia="仿宋" w:cs="仿宋"/>
          <w:color w:val="auto"/>
          <w:sz w:val="24"/>
        </w:rPr>
        <w:t>2、第二期付款：项目完成系统部署，通过初验并且甲方出具初验通过证明后7个工作日内，甲方向乙方支付合同总价的30%；</w:t>
      </w:r>
    </w:p>
    <w:p>
      <w:pPr>
        <w:spacing w:line="360" w:lineRule="auto"/>
        <w:ind w:firstLine="120" w:firstLineChars="50"/>
        <w:rPr>
          <w:rFonts w:ascii="仿宋" w:hAnsi="仿宋" w:eastAsia="仿宋" w:cs="仿宋"/>
          <w:color w:val="auto"/>
          <w:sz w:val="24"/>
        </w:rPr>
      </w:pPr>
      <w:r>
        <w:rPr>
          <w:rFonts w:hint="eastAsia" w:ascii="仿宋" w:hAnsi="仿宋" w:eastAsia="仿宋" w:cs="仿宋"/>
          <w:color w:val="auto"/>
          <w:sz w:val="24"/>
        </w:rPr>
        <w:t>3、第三期付款：系统上线试运行3个月，系统通过终验且甲方出具终验通过证明后5个工作日内，甲方向乙方支付合同总价的</w:t>
      </w:r>
      <w:r>
        <w:rPr>
          <w:rFonts w:hint="eastAsia" w:ascii="仿宋" w:hAnsi="仿宋" w:eastAsia="仿宋" w:cs="仿宋"/>
          <w:color w:val="auto"/>
          <w:sz w:val="24"/>
          <w:lang w:val="en-US" w:eastAsia="zh-CN"/>
        </w:rPr>
        <w:t>30</w:t>
      </w:r>
      <w:r>
        <w:rPr>
          <w:rFonts w:hint="eastAsia" w:ascii="仿宋" w:hAnsi="仿宋" w:eastAsia="仿宋" w:cs="仿宋"/>
          <w:color w:val="auto"/>
          <w:sz w:val="24"/>
        </w:rPr>
        <w:t>%；</w:t>
      </w:r>
    </w:p>
    <w:p>
      <w:pPr>
        <w:spacing w:line="360" w:lineRule="auto"/>
        <w:ind w:firstLine="181" w:firstLineChars="50"/>
        <w:rPr>
          <w:rFonts w:ascii="仿宋" w:hAnsi="仿宋" w:eastAsia="仿宋" w:cs="仿宋"/>
          <w:b/>
          <w:sz w:val="36"/>
          <w:szCs w:val="36"/>
        </w:rPr>
      </w:pPr>
    </w:p>
    <w:p>
      <w:pPr>
        <w:spacing w:line="360" w:lineRule="auto"/>
        <w:rPr>
          <w:rFonts w:ascii="仿宋" w:hAnsi="仿宋" w:eastAsia="仿宋" w:cs="仿宋"/>
          <w:sz w:val="24"/>
        </w:rPr>
      </w:pPr>
    </w:p>
    <w:p>
      <w:pPr>
        <w:widowControl/>
        <w:ind w:firstLine="720" w:firstLineChars="300"/>
        <w:jc w:val="left"/>
        <w:rPr>
          <w:rFonts w:ascii="仿宋" w:hAnsi="仿宋" w:eastAsia="仿宋" w:cs="仿宋"/>
          <w:bCs/>
          <w:sz w:val="24"/>
        </w:rPr>
      </w:pPr>
    </w:p>
    <w:p>
      <w:pPr>
        <w:rPr>
          <w:rFonts w:ascii="仿宋" w:hAnsi="仿宋" w:eastAsia="仿宋" w:cs="仿宋"/>
          <w:snapToGrid w:val="0"/>
          <w:kern w:val="0"/>
          <w:sz w:val="24"/>
        </w:rPr>
      </w:pPr>
    </w:p>
    <w:p>
      <w:pPr>
        <w:snapToGrid w:val="0"/>
        <w:spacing w:line="360" w:lineRule="auto"/>
        <w:jc w:val="center"/>
        <w:rPr>
          <w:rFonts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28" w:name="_Toc184314474"/>
      <w:bookmarkEnd w:id="28"/>
      <w:bookmarkStart w:id="29" w:name="_Toc184308096"/>
      <w:bookmarkEnd w:id="29"/>
      <w:bookmarkStart w:id="30" w:name="_Toc184314418"/>
      <w:bookmarkEnd w:id="30"/>
      <w:bookmarkStart w:id="31" w:name="_Toc184310342"/>
      <w:bookmarkEnd w:id="31"/>
      <w:bookmarkStart w:id="32" w:name="_Toc184314462"/>
      <w:bookmarkEnd w:id="32"/>
      <w:bookmarkStart w:id="33" w:name="_Toc184312091"/>
      <w:bookmarkEnd w:id="33"/>
      <w:bookmarkStart w:id="34" w:name="_Toc184313289"/>
      <w:bookmarkEnd w:id="34"/>
      <w:bookmarkStart w:id="35" w:name="_Toc184313302"/>
      <w:bookmarkEnd w:id="35"/>
      <w:bookmarkStart w:id="36" w:name="_Toc184312136"/>
      <w:bookmarkEnd w:id="36"/>
      <w:bookmarkStart w:id="37" w:name="_Toc184313248"/>
      <w:bookmarkEnd w:id="37"/>
      <w:bookmarkStart w:id="38" w:name="_Toc184310340"/>
      <w:bookmarkEnd w:id="38"/>
      <w:bookmarkStart w:id="39" w:name="_Toc184312103"/>
      <w:bookmarkEnd w:id="39"/>
      <w:bookmarkStart w:id="40" w:name="_Toc184312070"/>
      <w:bookmarkEnd w:id="40"/>
      <w:bookmarkStart w:id="41" w:name="_Toc184308102"/>
      <w:bookmarkEnd w:id="41"/>
      <w:bookmarkStart w:id="42" w:name="_Toc184312111"/>
      <w:bookmarkEnd w:id="42"/>
      <w:bookmarkStart w:id="43" w:name="_Toc184308085"/>
      <w:bookmarkEnd w:id="43"/>
      <w:bookmarkStart w:id="44" w:name="_Toc184312072"/>
      <w:bookmarkEnd w:id="44"/>
      <w:bookmarkStart w:id="45" w:name="_Toc184308052"/>
      <w:bookmarkEnd w:id="45"/>
      <w:bookmarkStart w:id="46" w:name="_Toc184308091"/>
      <w:bookmarkEnd w:id="46"/>
      <w:bookmarkStart w:id="47" w:name="_Toc184313263"/>
      <w:bookmarkEnd w:id="47"/>
      <w:bookmarkStart w:id="48" w:name="_Toc184310314"/>
      <w:bookmarkEnd w:id="48"/>
      <w:bookmarkStart w:id="49" w:name="_Toc184312123"/>
      <w:bookmarkEnd w:id="49"/>
      <w:bookmarkStart w:id="50" w:name="_Toc184310344"/>
      <w:bookmarkEnd w:id="50"/>
      <w:bookmarkStart w:id="51" w:name="_Toc184313239"/>
      <w:bookmarkEnd w:id="51"/>
      <w:bookmarkStart w:id="52" w:name="_Toc184314417"/>
      <w:bookmarkEnd w:id="52"/>
      <w:bookmarkStart w:id="53" w:name="_Toc184308048"/>
      <w:bookmarkEnd w:id="53"/>
      <w:bookmarkStart w:id="54" w:name="_Toc184313261"/>
      <w:bookmarkEnd w:id="54"/>
      <w:bookmarkStart w:id="55" w:name="_Toc184314450"/>
      <w:bookmarkEnd w:id="55"/>
      <w:bookmarkStart w:id="56" w:name="_Toc184314445"/>
      <w:bookmarkEnd w:id="56"/>
      <w:bookmarkStart w:id="57" w:name="_Toc184314453"/>
      <w:bookmarkEnd w:id="57"/>
      <w:bookmarkStart w:id="58" w:name="_Toc184310326"/>
      <w:bookmarkEnd w:id="58"/>
      <w:bookmarkStart w:id="59" w:name="_Toc184310333"/>
      <w:bookmarkEnd w:id="59"/>
      <w:bookmarkStart w:id="60" w:name="_Toc184308073"/>
      <w:bookmarkEnd w:id="60"/>
      <w:bookmarkStart w:id="61" w:name="_Toc184314458"/>
      <w:bookmarkEnd w:id="61"/>
      <w:bookmarkStart w:id="62" w:name="_Toc184312130"/>
      <w:bookmarkEnd w:id="62"/>
      <w:bookmarkStart w:id="63" w:name="_Toc184310273"/>
      <w:bookmarkEnd w:id="63"/>
      <w:bookmarkStart w:id="64" w:name="_Toc184308039"/>
      <w:bookmarkEnd w:id="64"/>
      <w:bookmarkStart w:id="65" w:name="_Toc184313242"/>
      <w:bookmarkEnd w:id="65"/>
      <w:bookmarkStart w:id="66" w:name="_Toc184314442"/>
      <w:bookmarkEnd w:id="66"/>
      <w:bookmarkStart w:id="67" w:name="_Toc184313245"/>
      <w:bookmarkEnd w:id="67"/>
      <w:bookmarkStart w:id="68" w:name="_Toc184308086"/>
      <w:bookmarkEnd w:id="68"/>
      <w:bookmarkStart w:id="69" w:name="_Toc184310291"/>
      <w:bookmarkEnd w:id="69"/>
      <w:bookmarkStart w:id="70" w:name="_Toc184313310"/>
      <w:bookmarkEnd w:id="70"/>
      <w:bookmarkStart w:id="71" w:name="_Toc184313282"/>
      <w:bookmarkEnd w:id="71"/>
      <w:bookmarkStart w:id="72" w:name="_Toc184314476"/>
      <w:bookmarkEnd w:id="72"/>
      <w:bookmarkStart w:id="73" w:name="_Toc184314479"/>
      <w:bookmarkEnd w:id="73"/>
      <w:bookmarkStart w:id="74" w:name="_Toc184310334"/>
      <w:bookmarkEnd w:id="74"/>
      <w:bookmarkStart w:id="75" w:name="_Toc184310276"/>
      <w:bookmarkEnd w:id="75"/>
      <w:bookmarkStart w:id="76" w:name="_Toc184308054"/>
      <w:bookmarkEnd w:id="76"/>
      <w:bookmarkStart w:id="77" w:name="_Toc184308055"/>
      <w:bookmarkEnd w:id="77"/>
      <w:bookmarkStart w:id="78" w:name="_Toc184310319"/>
      <w:bookmarkEnd w:id="78"/>
      <w:bookmarkStart w:id="79" w:name="_Toc184313258"/>
      <w:bookmarkEnd w:id="79"/>
      <w:bookmarkStart w:id="80" w:name="_Toc184310316"/>
      <w:bookmarkEnd w:id="80"/>
      <w:bookmarkStart w:id="81" w:name="_Toc184313270"/>
      <w:bookmarkEnd w:id="81"/>
      <w:bookmarkStart w:id="82" w:name="_Toc184314421"/>
      <w:bookmarkEnd w:id="82"/>
      <w:bookmarkStart w:id="83" w:name="_Toc184308108"/>
      <w:bookmarkEnd w:id="83"/>
      <w:bookmarkStart w:id="84" w:name="_Toc184308089"/>
      <w:bookmarkEnd w:id="84"/>
      <w:bookmarkStart w:id="85" w:name="_Toc184310277"/>
      <w:bookmarkEnd w:id="85"/>
      <w:bookmarkStart w:id="86" w:name="_Toc184310274"/>
      <w:bookmarkEnd w:id="86"/>
      <w:bookmarkStart w:id="87" w:name="_Toc184310311"/>
      <w:bookmarkEnd w:id="87"/>
      <w:bookmarkStart w:id="88" w:name="_Toc184308066"/>
      <w:bookmarkEnd w:id="88"/>
      <w:bookmarkStart w:id="89" w:name="_Toc184310278"/>
      <w:bookmarkEnd w:id="89"/>
      <w:bookmarkStart w:id="90" w:name="_Toc184313273"/>
      <w:bookmarkEnd w:id="90"/>
      <w:bookmarkStart w:id="91" w:name="_Toc184312139"/>
      <w:bookmarkEnd w:id="91"/>
      <w:bookmarkStart w:id="92" w:name="_Toc184312138"/>
      <w:bookmarkEnd w:id="92"/>
      <w:bookmarkStart w:id="93" w:name="_Toc184310339"/>
      <w:bookmarkEnd w:id="93"/>
      <w:bookmarkStart w:id="94" w:name="_Toc184314444"/>
      <w:bookmarkEnd w:id="94"/>
      <w:bookmarkStart w:id="95" w:name="_Toc184314449"/>
      <w:bookmarkEnd w:id="95"/>
      <w:bookmarkStart w:id="96" w:name="_Toc184313272"/>
      <w:bookmarkEnd w:id="96"/>
      <w:bookmarkStart w:id="97" w:name="_Toc184310299"/>
      <w:bookmarkEnd w:id="97"/>
      <w:bookmarkStart w:id="98" w:name="_Toc184308057"/>
      <w:bookmarkEnd w:id="98"/>
      <w:bookmarkStart w:id="99" w:name="_Toc184313274"/>
      <w:bookmarkEnd w:id="99"/>
      <w:bookmarkStart w:id="100" w:name="_Toc184312095"/>
      <w:bookmarkEnd w:id="100"/>
      <w:bookmarkStart w:id="101" w:name="_Toc184312092"/>
      <w:bookmarkEnd w:id="101"/>
      <w:bookmarkStart w:id="102" w:name="_Toc184312067"/>
      <w:bookmarkEnd w:id="102"/>
      <w:bookmarkStart w:id="103" w:name="_Toc184314428"/>
      <w:bookmarkEnd w:id="103"/>
      <w:bookmarkStart w:id="104" w:name="_Toc184314477"/>
      <w:bookmarkEnd w:id="104"/>
      <w:bookmarkStart w:id="105" w:name="_Toc184310287"/>
      <w:bookmarkEnd w:id="105"/>
      <w:bookmarkStart w:id="106" w:name="_Toc184312099"/>
      <w:bookmarkEnd w:id="106"/>
      <w:bookmarkStart w:id="107" w:name="_Toc184310337"/>
      <w:bookmarkEnd w:id="107"/>
      <w:bookmarkStart w:id="108" w:name="_Toc184312093"/>
      <w:bookmarkEnd w:id="108"/>
      <w:bookmarkStart w:id="109" w:name="_Toc184313299"/>
      <w:bookmarkEnd w:id="109"/>
      <w:bookmarkStart w:id="110" w:name="_Toc184310284"/>
      <w:bookmarkEnd w:id="110"/>
      <w:bookmarkStart w:id="111" w:name="_Toc184314480"/>
      <w:bookmarkEnd w:id="111"/>
      <w:bookmarkStart w:id="112" w:name="_Toc184313259"/>
      <w:bookmarkEnd w:id="112"/>
      <w:bookmarkStart w:id="113" w:name="_Toc184312108"/>
      <w:bookmarkEnd w:id="113"/>
      <w:bookmarkStart w:id="114" w:name="_Toc184308038"/>
      <w:bookmarkEnd w:id="114"/>
      <w:bookmarkStart w:id="115" w:name="_Toc184314434"/>
      <w:bookmarkEnd w:id="115"/>
      <w:bookmarkStart w:id="116" w:name="_Toc184312110"/>
      <w:bookmarkEnd w:id="116"/>
      <w:bookmarkStart w:id="117" w:name="_Toc184313238"/>
      <w:bookmarkEnd w:id="117"/>
      <w:bookmarkStart w:id="118" w:name="_Toc184313256"/>
      <w:bookmarkEnd w:id="118"/>
      <w:bookmarkStart w:id="119" w:name="_Toc184313288"/>
      <w:bookmarkEnd w:id="119"/>
      <w:bookmarkStart w:id="120" w:name="_Toc184312086"/>
      <w:bookmarkEnd w:id="120"/>
      <w:bookmarkStart w:id="121" w:name="_Toc184308083"/>
      <w:bookmarkEnd w:id="121"/>
      <w:bookmarkStart w:id="122" w:name="_Toc184312078"/>
      <w:bookmarkEnd w:id="122"/>
      <w:bookmarkStart w:id="123" w:name="_Toc184314441"/>
      <w:bookmarkEnd w:id="123"/>
      <w:bookmarkStart w:id="124" w:name="_Toc184312102"/>
      <w:bookmarkEnd w:id="124"/>
      <w:bookmarkStart w:id="125" w:name="_Toc184312114"/>
      <w:bookmarkEnd w:id="125"/>
      <w:bookmarkStart w:id="126" w:name="_Toc184308074"/>
      <w:bookmarkEnd w:id="126"/>
      <w:bookmarkStart w:id="127" w:name="_Toc184312121"/>
      <w:bookmarkEnd w:id="127"/>
      <w:bookmarkStart w:id="128" w:name="_Toc184314411"/>
      <w:bookmarkEnd w:id="128"/>
      <w:bookmarkStart w:id="129" w:name="_Toc184313290"/>
      <w:bookmarkEnd w:id="129"/>
      <w:bookmarkStart w:id="130" w:name="_Toc184313284"/>
      <w:bookmarkEnd w:id="130"/>
      <w:bookmarkStart w:id="131" w:name="_Toc184308036"/>
      <w:bookmarkEnd w:id="131"/>
      <w:bookmarkStart w:id="132" w:name="_Toc184308087"/>
      <w:bookmarkEnd w:id="132"/>
      <w:bookmarkStart w:id="133" w:name="_Toc184308069"/>
      <w:bookmarkEnd w:id="133"/>
      <w:bookmarkStart w:id="134" w:name="_Toc184314471"/>
      <w:bookmarkEnd w:id="134"/>
      <w:bookmarkStart w:id="135" w:name="_Toc184314467"/>
      <w:bookmarkEnd w:id="135"/>
      <w:bookmarkStart w:id="136" w:name="_Toc184312119"/>
      <w:bookmarkEnd w:id="136"/>
      <w:bookmarkStart w:id="137" w:name="_Toc184308106"/>
      <w:bookmarkEnd w:id="137"/>
      <w:bookmarkStart w:id="138" w:name="_Toc184313254"/>
      <w:bookmarkEnd w:id="138"/>
      <w:bookmarkStart w:id="139" w:name="_Toc184310279"/>
      <w:bookmarkEnd w:id="139"/>
      <w:bookmarkStart w:id="140" w:name="_Toc184310329"/>
      <w:bookmarkEnd w:id="140"/>
      <w:bookmarkStart w:id="141" w:name="_Toc184308061"/>
      <w:bookmarkEnd w:id="141"/>
      <w:bookmarkStart w:id="142" w:name="_Toc184313280"/>
      <w:bookmarkEnd w:id="142"/>
      <w:bookmarkStart w:id="143" w:name="_Toc184313262"/>
      <w:bookmarkEnd w:id="143"/>
      <w:bookmarkStart w:id="144" w:name="_Toc184308094"/>
      <w:bookmarkEnd w:id="144"/>
      <w:bookmarkStart w:id="145" w:name="_Toc184310292"/>
      <w:bookmarkEnd w:id="145"/>
      <w:bookmarkStart w:id="146" w:name="_Toc184313271"/>
      <w:bookmarkEnd w:id="146"/>
      <w:bookmarkStart w:id="147" w:name="_Toc184308067"/>
      <w:bookmarkEnd w:id="147"/>
      <w:bookmarkStart w:id="148" w:name="_Toc184313275"/>
      <w:bookmarkEnd w:id="148"/>
      <w:bookmarkStart w:id="149" w:name="_Toc184312097"/>
      <w:bookmarkEnd w:id="149"/>
      <w:bookmarkStart w:id="150" w:name="_Toc184313277"/>
      <w:bookmarkEnd w:id="150"/>
      <w:bookmarkStart w:id="151" w:name="_Toc184312081"/>
      <w:bookmarkEnd w:id="151"/>
      <w:bookmarkStart w:id="152" w:name="_Toc184314435"/>
      <w:bookmarkEnd w:id="152"/>
      <w:bookmarkStart w:id="153" w:name="_Toc184314437"/>
      <w:bookmarkEnd w:id="153"/>
      <w:bookmarkStart w:id="154" w:name="_Toc184312107"/>
      <w:bookmarkEnd w:id="154"/>
      <w:bookmarkStart w:id="155" w:name="_Toc184312076"/>
      <w:bookmarkEnd w:id="155"/>
      <w:bookmarkStart w:id="156" w:name="_Toc184313307"/>
      <w:bookmarkEnd w:id="156"/>
      <w:bookmarkStart w:id="157" w:name="_Toc184310294"/>
      <w:bookmarkEnd w:id="157"/>
      <w:bookmarkStart w:id="158" w:name="_Toc184308071"/>
      <w:bookmarkEnd w:id="158"/>
      <w:bookmarkStart w:id="159" w:name="_Toc184310336"/>
      <w:bookmarkEnd w:id="159"/>
      <w:bookmarkStart w:id="160" w:name="_Toc184308098"/>
      <w:bookmarkEnd w:id="160"/>
      <w:bookmarkStart w:id="161" w:name="_Toc184313240"/>
      <w:bookmarkEnd w:id="161"/>
      <w:bookmarkStart w:id="162" w:name="_Toc184308045"/>
      <w:bookmarkEnd w:id="162"/>
      <w:bookmarkStart w:id="163" w:name="_Toc184312101"/>
      <w:bookmarkEnd w:id="163"/>
      <w:bookmarkStart w:id="164" w:name="_Toc184314443"/>
      <w:bookmarkEnd w:id="164"/>
      <w:bookmarkStart w:id="165" w:name="_Toc184314433"/>
      <w:bookmarkEnd w:id="165"/>
      <w:bookmarkStart w:id="166" w:name="_Toc184313291"/>
      <w:bookmarkEnd w:id="166"/>
      <w:bookmarkStart w:id="167" w:name="_Toc184308100"/>
      <w:bookmarkEnd w:id="167"/>
      <w:bookmarkStart w:id="168" w:name="_Toc184310302"/>
      <w:bookmarkEnd w:id="168"/>
      <w:bookmarkStart w:id="169" w:name="_Toc184310306"/>
      <w:bookmarkEnd w:id="169"/>
      <w:bookmarkStart w:id="170" w:name="_Toc184313241"/>
      <w:bookmarkEnd w:id="170"/>
      <w:bookmarkStart w:id="171" w:name="_Toc184310310"/>
      <w:bookmarkEnd w:id="171"/>
      <w:bookmarkStart w:id="172" w:name="_Toc184310323"/>
      <w:bookmarkEnd w:id="172"/>
      <w:bookmarkStart w:id="173" w:name="_Toc184314439"/>
      <w:bookmarkEnd w:id="173"/>
      <w:bookmarkStart w:id="174" w:name="_Toc184308060"/>
      <w:bookmarkEnd w:id="174"/>
      <w:bookmarkStart w:id="175" w:name="_Toc184314426"/>
      <w:bookmarkEnd w:id="175"/>
      <w:bookmarkStart w:id="176" w:name="_Toc184310318"/>
      <w:bookmarkEnd w:id="176"/>
      <w:bookmarkStart w:id="177" w:name="_Toc184308092"/>
      <w:bookmarkEnd w:id="177"/>
      <w:bookmarkStart w:id="178" w:name="_Toc184310332"/>
      <w:bookmarkEnd w:id="178"/>
      <w:bookmarkStart w:id="179" w:name="_Toc184314440"/>
      <w:bookmarkEnd w:id="179"/>
      <w:bookmarkStart w:id="180" w:name="_Toc184312077"/>
      <w:bookmarkEnd w:id="180"/>
      <w:bookmarkStart w:id="181" w:name="_Toc184308107"/>
      <w:bookmarkEnd w:id="181"/>
      <w:bookmarkStart w:id="182" w:name="_Toc184312083"/>
      <w:bookmarkEnd w:id="182"/>
      <w:bookmarkStart w:id="183" w:name="_Toc184312112"/>
      <w:bookmarkEnd w:id="183"/>
      <w:bookmarkStart w:id="184" w:name="_Toc184314455"/>
      <w:bookmarkEnd w:id="184"/>
      <w:bookmarkStart w:id="185" w:name="_Toc184310312"/>
      <w:bookmarkEnd w:id="185"/>
      <w:bookmarkStart w:id="186" w:name="_Toc184308047"/>
      <w:bookmarkEnd w:id="186"/>
      <w:bookmarkStart w:id="187" w:name="_Toc184313293"/>
      <w:bookmarkEnd w:id="187"/>
      <w:bookmarkStart w:id="188" w:name="_Toc184314478"/>
      <w:bookmarkEnd w:id="188"/>
      <w:bookmarkStart w:id="189" w:name="_Toc184314466"/>
      <w:bookmarkEnd w:id="189"/>
      <w:bookmarkStart w:id="190" w:name="_Toc184310307"/>
      <w:bookmarkEnd w:id="190"/>
      <w:bookmarkStart w:id="191" w:name="_Toc184308088"/>
      <w:bookmarkEnd w:id="191"/>
      <w:bookmarkStart w:id="192" w:name="_Toc184314414"/>
      <w:bookmarkEnd w:id="192"/>
      <w:bookmarkStart w:id="193" w:name="_Toc184313296"/>
      <w:bookmarkEnd w:id="193"/>
      <w:bookmarkStart w:id="194" w:name="_Toc184310317"/>
      <w:bookmarkEnd w:id="194"/>
      <w:bookmarkStart w:id="195" w:name="_Toc184310309"/>
      <w:bookmarkEnd w:id="195"/>
      <w:bookmarkStart w:id="196" w:name="_Toc184308078"/>
      <w:bookmarkEnd w:id="196"/>
      <w:bookmarkStart w:id="197" w:name="_Toc184314412"/>
      <w:bookmarkEnd w:id="197"/>
      <w:bookmarkStart w:id="198" w:name="_Toc184313249"/>
      <w:bookmarkEnd w:id="198"/>
      <w:bookmarkStart w:id="199" w:name="_Toc184314422"/>
      <w:bookmarkEnd w:id="199"/>
      <w:bookmarkStart w:id="200" w:name="_Toc184308072"/>
      <w:bookmarkEnd w:id="200"/>
      <w:bookmarkStart w:id="201" w:name="_Toc184312129"/>
      <w:bookmarkEnd w:id="201"/>
      <w:bookmarkStart w:id="202" w:name="_Toc184310285"/>
      <w:bookmarkEnd w:id="202"/>
      <w:bookmarkStart w:id="203" w:name="_Toc184312131"/>
      <w:bookmarkEnd w:id="203"/>
      <w:bookmarkStart w:id="204" w:name="_Toc184308076"/>
      <w:bookmarkEnd w:id="204"/>
      <w:bookmarkStart w:id="205" w:name="_Toc184313278"/>
      <w:bookmarkEnd w:id="205"/>
      <w:bookmarkStart w:id="206" w:name="_Toc184308037"/>
      <w:bookmarkEnd w:id="206"/>
      <w:bookmarkStart w:id="207" w:name="_Toc184313264"/>
      <w:bookmarkEnd w:id="207"/>
      <w:bookmarkStart w:id="208" w:name="_Toc184313304"/>
      <w:bookmarkEnd w:id="208"/>
      <w:bookmarkStart w:id="209" w:name="_Toc184314460"/>
      <w:bookmarkEnd w:id="209"/>
      <w:bookmarkStart w:id="210" w:name="_Toc184312118"/>
      <w:bookmarkEnd w:id="210"/>
      <w:bookmarkStart w:id="211" w:name="_Toc184314472"/>
      <w:bookmarkEnd w:id="211"/>
      <w:bookmarkStart w:id="212" w:name="_Toc184312096"/>
      <w:bookmarkEnd w:id="212"/>
      <w:bookmarkStart w:id="213" w:name="_Toc184312127"/>
      <w:bookmarkEnd w:id="213"/>
      <w:bookmarkStart w:id="214" w:name="_Toc184310305"/>
      <w:bookmarkEnd w:id="214"/>
      <w:bookmarkStart w:id="215" w:name="_Toc184314410"/>
      <w:bookmarkEnd w:id="215"/>
      <w:bookmarkStart w:id="216" w:name="_Toc184314429"/>
      <w:bookmarkEnd w:id="216"/>
      <w:bookmarkStart w:id="217" w:name="_Toc184312109"/>
      <w:bookmarkEnd w:id="217"/>
      <w:bookmarkStart w:id="218" w:name="_Toc184313253"/>
      <w:bookmarkEnd w:id="218"/>
      <w:bookmarkStart w:id="219" w:name="_Toc184308081"/>
      <w:bookmarkEnd w:id="219"/>
      <w:bookmarkStart w:id="220" w:name="_Toc184313308"/>
      <w:bookmarkEnd w:id="220"/>
      <w:bookmarkStart w:id="221" w:name="_Toc184313306"/>
      <w:bookmarkEnd w:id="221"/>
      <w:bookmarkStart w:id="222" w:name="_Toc184308097"/>
      <w:bookmarkEnd w:id="222"/>
      <w:bookmarkStart w:id="223" w:name="_Toc184312088"/>
      <w:bookmarkEnd w:id="223"/>
      <w:bookmarkStart w:id="224" w:name="_Toc184310330"/>
      <w:bookmarkEnd w:id="224"/>
      <w:bookmarkStart w:id="225" w:name="_Toc184310282"/>
      <w:bookmarkEnd w:id="225"/>
      <w:bookmarkStart w:id="226" w:name="_Toc184310283"/>
      <w:bookmarkEnd w:id="226"/>
      <w:bookmarkStart w:id="227" w:name="_Toc184314432"/>
      <w:bookmarkEnd w:id="227"/>
      <w:bookmarkStart w:id="228" w:name="_Toc184308095"/>
      <w:bookmarkEnd w:id="228"/>
      <w:bookmarkStart w:id="229" w:name="_Toc184313268"/>
      <w:bookmarkEnd w:id="229"/>
      <w:bookmarkStart w:id="230" w:name="_Toc184314415"/>
      <w:bookmarkEnd w:id="230"/>
      <w:bookmarkStart w:id="231" w:name="_Toc184312106"/>
      <w:bookmarkEnd w:id="231"/>
      <w:bookmarkStart w:id="232" w:name="_Toc184310298"/>
      <w:bookmarkEnd w:id="232"/>
      <w:bookmarkStart w:id="233" w:name="_Toc184313294"/>
      <w:bookmarkEnd w:id="233"/>
      <w:bookmarkStart w:id="234" w:name="_Toc184310288"/>
      <w:bookmarkEnd w:id="234"/>
      <w:bookmarkStart w:id="235" w:name="_Toc184314413"/>
      <w:bookmarkEnd w:id="235"/>
      <w:bookmarkStart w:id="236" w:name="_Toc184310275"/>
      <w:bookmarkEnd w:id="236"/>
      <w:bookmarkStart w:id="237" w:name="_Toc184308050"/>
      <w:bookmarkEnd w:id="237"/>
      <w:bookmarkStart w:id="238" w:name="_Toc184313244"/>
      <w:bookmarkEnd w:id="238"/>
      <w:bookmarkStart w:id="239" w:name="_Toc184312071"/>
      <w:bookmarkEnd w:id="239"/>
      <w:bookmarkStart w:id="240" w:name="_Toc184308101"/>
      <w:bookmarkEnd w:id="240"/>
      <w:bookmarkStart w:id="241" w:name="_Toc184314448"/>
      <w:bookmarkEnd w:id="241"/>
      <w:bookmarkStart w:id="242" w:name="_Toc184313309"/>
      <w:bookmarkEnd w:id="242"/>
      <w:bookmarkStart w:id="243" w:name="_Toc184313292"/>
      <w:bookmarkEnd w:id="243"/>
      <w:bookmarkStart w:id="244" w:name="_Toc184312089"/>
      <w:bookmarkEnd w:id="244"/>
      <w:bookmarkStart w:id="245" w:name="_Toc184313250"/>
      <w:bookmarkEnd w:id="245"/>
      <w:bookmarkStart w:id="246" w:name="_Toc184314431"/>
      <w:bookmarkEnd w:id="246"/>
      <w:bookmarkStart w:id="247" w:name="_Toc184312135"/>
      <w:bookmarkEnd w:id="247"/>
      <w:bookmarkStart w:id="248" w:name="_Toc184314430"/>
      <w:bookmarkEnd w:id="248"/>
      <w:bookmarkStart w:id="249" w:name="_Toc184308044"/>
      <w:bookmarkEnd w:id="249"/>
      <w:bookmarkStart w:id="250" w:name="_Toc184312120"/>
      <w:bookmarkEnd w:id="250"/>
      <w:bookmarkStart w:id="251" w:name="_Toc184314420"/>
      <w:bookmarkEnd w:id="251"/>
      <w:bookmarkStart w:id="252" w:name="_Toc184314457"/>
      <w:bookmarkEnd w:id="252"/>
      <w:bookmarkStart w:id="253" w:name="_Toc184314436"/>
      <w:bookmarkEnd w:id="253"/>
      <w:bookmarkStart w:id="254" w:name="_Toc184313252"/>
      <w:bookmarkEnd w:id="254"/>
      <w:bookmarkStart w:id="255" w:name="_Toc184308043"/>
      <w:bookmarkEnd w:id="255"/>
      <w:bookmarkStart w:id="256" w:name="_Toc184314451"/>
      <w:bookmarkEnd w:id="256"/>
      <w:bookmarkStart w:id="257" w:name="_Toc184313285"/>
      <w:bookmarkEnd w:id="257"/>
      <w:bookmarkStart w:id="258" w:name="_Toc184314464"/>
      <w:bookmarkEnd w:id="258"/>
      <w:bookmarkStart w:id="259" w:name="_Toc184313300"/>
      <w:bookmarkEnd w:id="259"/>
      <w:bookmarkStart w:id="260" w:name="_Toc184308040"/>
      <w:bookmarkEnd w:id="260"/>
      <w:bookmarkStart w:id="261" w:name="_Toc184313301"/>
      <w:bookmarkEnd w:id="261"/>
      <w:bookmarkStart w:id="262" w:name="_Toc184313255"/>
      <w:bookmarkEnd w:id="262"/>
      <w:bookmarkStart w:id="263" w:name="_Toc184313260"/>
      <w:bookmarkEnd w:id="263"/>
      <w:bookmarkStart w:id="264" w:name="_Toc184308058"/>
      <w:bookmarkEnd w:id="264"/>
      <w:bookmarkStart w:id="265" w:name="_Toc184310280"/>
      <w:bookmarkEnd w:id="265"/>
      <w:bookmarkStart w:id="266" w:name="_Toc184312105"/>
      <w:bookmarkEnd w:id="266"/>
      <w:bookmarkStart w:id="267" w:name="_Toc184313305"/>
      <w:bookmarkEnd w:id="267"/>
      <w:bookmarkStart w:id="268" w:name="_Toc184314456"/>
      <w:bookmarkEnd w:id="268"/>
      <w:bookmarkStart w:id="269" w:name="_Toc184312117"/>
      <w:bookmarkEnd w:id="269"/>
      <w:bookmarkStart w:id="270" w:name="_Toc184314459"/>
      <w:bookmarkEnd w:id="270"/>
      <w:bookmarkStart w:id="271" w:name="_Toc184314423"/>
      <w:bookmarkEnd w:id="271"/>
      <w:bookmarkStart w:id="272" w:name="_Toc184312100"/>
      <w:bookmarkEnd w:id="272"/>
      <w:bookmarkStart w:id="273" w:name="_Toc184308065"/>
      <w:bookmarkEnd w:id="273"/>
      <w:bookmarkStart w:id="274" w:name="_Toc184308103"/>
      <w:bookmarkEnd w:id="274"/>
      <w:bookmarkStart w:id="275" w:name="_Toc184310341"/>
      <w:bookmarkEnd w:id="275"/>
      <w:bookmarkStart w:id="276" w:name="_Toc184313276"/>
      <w:bookmarkEnd w:id="276"/>
      <w:bookmarkStart w:id="277" w:name="_Toc184312126"/>
      <w:bookmarkEnd w:id="277"/>
      <w:bookmarkStart w:id="278" w:name="_Toc184314465"/>
      <w:bookmarkEnd w:id="278"/>
      <w:bookmarkStart w:id="279" w:name="_Toc184308082"/>
      <w:bookmarkEnd w:id="279"/>
      <w:bookmarkStart w:id="280" w:name="_Toc184310300"/>
      <w:bookmarkEnd w:id="280"/>
      <w:bookmarkStart w:id="281" w:name="_Toc184308077"/>
      <w:bookmarkEnd w:id="281"/>
      <w:bookmarkStart w:id="282" w:name="_Toc184312113"/>
      <w:bookmarkEnd w:id="282"/>
      <w:bookmarkStart w:id="283" w:name="_Toc184310289"/>
      <w:bookmarkEnd w:id="283"/>
      <w:bookmarkStart w:id="284" w:name="_Toc184312085"/>
      <w:bookmarkEnd w:id="284"/>
      <w:bookmarkStart w:id="285" w:name="_Toc184313279"/>
      <w:bookmarkEnd w:id="285"/>
      <w:bookmarkStart w:id="286" w:name="_Toc184312087"/>
      <w:bookmarkEnd w:id="286"/>
      <w:bookmarkStart w:id="287" w:name="_Toc184308059"/>
      <w:bookmarkEnd w:id="287"/>
      <w:bookmarkStart w:id="288" w:name="_Toc184314438"/>
      <w:bookmarkEnd w:id="288"/>
      <w:bookmarkStart w:id="289" w:name="_Toc184312075"/>
      <w:bookmarkEnd w:id="289"/>
      <w:bookmarkStart w:id="290" w:name="_Toc184314461"/>
      <w:bookmarkEnd w:id="290"/>
      <w:bookmarkStart w:id="291" w:name="_Toc184313266"/>
      <w:bookmarkEnd w:id="291"/>
      <w:bookmarkStart w:id="292" w:name="_Toc184313246"/>
      <w:bookmarkEnd w:id="292"/>
      <w:bookmarkStart w:id="293" w:name="_Toc184312133"/>
      <w:bookmarkEnd w:id="293"/>
      <w:bookmarkStart w:id="294" w:name="_Toc184313303"/>
      <w:bookmarkEnd w:id="294"/>
      <w:bookmarkStart w:id="295" w:name="_Toc184312132"/>
      <w:bookmarkEnd w:id="295"/>
      <w:bookmarkStart w:id="296" w:name="_Toc184310281"/>
      <w:bookmarkEnd w:id="296"/>
      <w:bookmarkStart w:id="297" w:name="_Toc184313269"/>
      <w:bookmarkEnd w:id="297"/>
      <w:bookmarkStart w:id="298" w:name="_Toc184313257"/>
      <w:bookmarkEnd w:id="298"/>
      <w:bookmarkStart w:id="299" w:name="_Toc184314469"/>
      <w:bookmarkEnd w:id="299"/>
      <w:bookmarkStart w:id="300" w:name="_Toc184310328"/>
      <w:bookmarkEnd w:id="300"/>
      <w:bookmarkStart w:id="301" w:name="_Toc184308051"/>
      <w:bookmarkEnd w:id="301"/>
      <w:bookmarkStart w:id="302" w:name="_Toc184308079"/>
      <w:bookmarkEnd w:id="302"/>
      <w:bookmarkStart w:id="303" w:name="_Toc184313297"/>
      <w:bookmarkEnd w:id="303"/>
      <w:bookmarkStart w:id="304" w:name="_Toc184310320"/>
      <w:bookmarkEnd w:id="304"/>
      <w:bookmarkStart w:id="305" w:name="_Toc184308042"/>
      <w:bookmarkEnd w:id="305"/>
      <w:bookmarkStart w:id="306" w:name="_Toc184313267"/>
      <w:bookmarkEnd w:id="306"/>
      <w:bookmarkStart w:id="307" w:name="_Toc184308056"/>
      <w:bookmarkEnd w:id="307"/>
      <w:bookmarkStart w:id="308" w:name="_Toc184308070"/>
      <w:bookmarkEnd w:id="308"/>
      <w:bookmarkStart w:id="309" w:name="_Toc184310297"/>
      <w:bookmarkEnd w:id="309"/>
      <w:bookmarkStart w:id="310" w:name="_Toc184308084"/>
      <w:bookmarkEnd w:id="310"/>
      <w:bookmarkStart w:id="311" w:name="_Toc184310331"/>
      <w:bookmarkEnd w:id="311"/>
      <w:bookmarkStart w:id="312" w:name="_Toc184310304"/>
      <w:bookmarkEnd w:id="312"/>
      <w:bookmarkStart w:id="313" w:name="_Toc184308063"/>
      <w:bookmarkEnd w:id="313"/>
      <w:bookmarkStart w:id="314" w:name="_Toc184310286"/>
      <w:bookmarkEnd w:id="314"/>
      <w:bookmarkStart w:id="315" w:name="_Toc184314463"/>
      <w:bookmarkEnd w:id="315"/>
      <w:bookmarkStart w:id="316" w:name="_Toc184312098"/>
      <w:bookmarkEnd w:id="316"/>
      <w:bookmarkStart w:id="317" w:name="_Toc184313265"/>
      <w:bookmarkEnd w:id="317"/>
      <w:bookmarkStart w:id="318" w:name="_Toc184308046"/>
      <w:bookmarkEnd w:id="318"/>
      <w:bookmarkStart w:id="319" w:name="_Toc184313283"/>
      <w:bookmarkEnd w:id="319"/>
      <w:bookmarkStart w:id="320" w:name="_Toc184308064"/>
      <w:bookmarkEnd w:id="320"/>
      <w:bookmarkStart w:id="321" w:name="_Toc184314419"/>
      <w:bookmarkEnd w:id="321"/>
      <w:bookmarkStart w:id="322" w:name="_Toc184312073"/>
      <w:bookmarkEnd w:id="322"/>
      <w:bookmarkStart w:id="323" w:name="_Toc184312090"/>
      <w:bookmarkEnd w:id="323"/>
      <w:bookmarkStart w:id="324" w:name="_Toc184310313"/>
      <w:bookmarkEnd w:id="324"/>
      <w:bookmarkStart w:id="325" w:name="_Toc184312137"/>
      <w:bookmarkEnd w:id="325"/>
      <w:bookmarkStart w:id="326" w:name="_Toc184310321"/>
      <w:bookmarkEnd w:id="326"/>
      <w:bookmarkStart w:id="327" w:name="_Toc184308049"/>
      <w:bookmarkEnd w:id="327"/>
      <w:bookmarkStart w:id="328" w:name="_Toc184312125"/>
      <w:bookmarkEnd w:id="328"/>
      <w:bookmarkStart w:id="329" w:name="_Toc184310301"/>
      <w:bookmarkEnd w:id="329"/>
      <w:bookmarkStart w:id="330" w:name="_Toc184308105"/>
      <w:bookmarkEnd w:id="330"/>
      <w:bookmarkStart w:id="331" w:name="_Toc184312079"/>
      <w:bookmarkEnd w:id="331"/>
      <w:bookmarkStart w:id="332" w:name="_Toc184312116"/>
      <w:bookmarkEnd w:id="332"/>
      <w:bookmarkStart w:id="333" w:name="_Toc184313247"/>
      <w:bookmarkEnd w:id="333"/>
      <w:bookmarkStart w:id="334" w:name="_Toc184312080"/>
      <w:bookmarkEnd w:id="334"/>
      <w:bookmarkStart w:id="335" w:name="_Toc184314427"/>
      <w:bookmarkEnd w:id="335"/>
      <w:bookmarkStart w:id="336" w:name="_Toc184308090"/>
      <w:bookmarkEnd w:id="336"/>
      <w:bookmarkStart w:id="337" w:name="_Toc184314470"/>
      <w:bookmarkEnd w:id="337"/>
      <w:bookmarkStart w:id="338" w:name="_Toc184312082"/>
      <w:bookmarkEnd w:id="338"/>
      <w:bookmarkStart w:id="339" w:name="_Toc184312128"/>
      <w:bookmarkEnd w:id="339"/>
      <w:bookmarkStart w:id="340" w:name="_Toc184313286"/>
      <w:bookmarkEnd w:id="340"/>
      <w:bookmarkStart w:id="341" w:name="_Toc184310272"/>
      <w:bookmarkEnd w:id="341"/>
      <w:bookmarkStart w:id="342" w:name="_Toc184310335"/>
      <w:bookmarkEnd w:id="342"/>
      <w:bookmarkStart w:id="343" w:name="_Toc184310303"/>
      <w:bookmarkEnd w:id="343"/>
      <w:bookmarkStart w:id="344" w:name="_Toc184310315"/>
      <w:bookmarkEnd w:id="344"/>
      <w:bookmarkStart w:id="345" w:name="_Toc184313281"/>
      <w:bookmarkEnd w:id="345"/>
      <w:bookmarkStart w:id="346" w:name="_Toc184314447"/>
      <w:bookmarkEnd w:id="346"/>
      <w:bookmarkStart w:id="347" w:name="_Toc184308104"/>
      <w:bookmarkEnd w:id="347"/>
      <w:bookmarkStart w:id="348" w:name="_Toc184314482"/>
      <w:bookmarkEnd w:id="348"/>
      <w:bookmarkStart w:id="349" w:name="_Toc184314425"/>
      <w:bookmarkEnd w:id="349"/>
      <w:bookmarkStart w:id="350" w:name="_Toc184314475"/>
      <w:bookmarkEnd w:id="350"/>
      <w:bookmarkStart w:id="351" w:name="_Toc184308093"/>
      <w:bookmarkEnd w:id="351"/>
      <w:bookmarkStart w:id="352" w:name="_Toc184312115"/>
      <w:bookmarkEnd w:id="352"/>
      <w:bookmarkStart w:id="353" w:name="_Toc184310293"/>
      <w:bookmarkEnd w:id="353"/>
      <w:bookmarkStart w:id="354" w:name="_Toc184314473"/>
      <w:bookmarkEnd w:id="354"/>
      <w:bookmarkStart w:id="355" w:name="_Toc184312094"/>
      <w:bookmarkEnd w:id="355"/>
      <w:bookmarkStart w:id="356" w:name="_Toc184314416"/>
      <w:bookmarkEnd w:id="356"/>
      <w:bookmarkStart w:id="357" w:name="_Toc184312068"/>
      <w:bookmarkEnd w:id="357"/>
      <w:bookmarkStart w:id="358" w:name="_Toc184310295"/>
      <w:bookmarkEnd w:id="358"/>
      <w:bookmarkStart w:id="359" w:name="_Toc184312104"/>
      <w:bookmarkEnd w:id="359"/>
      <w:bookmarkStart w:id="360" w:name="_Toc184310343"/>
      <w:bookmarkEnd w:id="360"/>
      <w:bookmarkStart w:id="361" w:name="_Toc184313295"/>
      <w:bookmarkEnd w:id="361"/>
      <w:bookmarkStart w:id="362" w:name="_Toc184310338"/>
      <w:bookmarkEnd w:id="362"/>
      <w:bookmarkStart w:id="363" w:name="_Toc184312134"/>
      <w:bookmarkEnd w:id="363"/>
      <w:bookmarkStart w:id="364" w:name="_Toc184308075"/>
      <w:bookmarkEnd w:id="364"/>
      <w:bookmarkStart w:id="365" w:name="_Toc184310327"/>
      <w:bookmarkEnd w:id="365"/>
      <w:bookmarkStart w:id="366" w:name="_Toc184312074"/>
      <w:bookmarkEnd w:id="366"/>
      <w:bookmarkStart w:id="367" w:name="_Toc184313243"/>
      <w:bookmarkEnd w:id="367"/>
      <w:bookmarkStart w:id="368" w:name="_Toc184310296"/>
      <w:bookmarkEnd w:id="368"/>
      <w:bookmarkStart w:id="369" w:name="_Toc184314452"/>
      <w:bookmarkEnd w:id="369"/>
      <w:bookmarkStart w:id="370" w:name="_Toc184310325"/>
      <w:bookmarkEnd w:id="370"/>
      <w:bookmarkStart w:id="371" w:name="_Toc184314454"/>
      <w:bookmarkEnd w:id="371"/>
      <w:bookmarkStart w:id="372" w:name="_Toc184312122"/>
      <w:bookmarkEnd w:id="372"/>
      <w:bookmarkStart w:id="373" w:name="_Toc184314446"/>
      <w:bookmarkEnd w:id="373"/>
      <w:bookmarkStart w:id="374" w:name="_Toc184312124"/>
      <w:bookmarkEnd w:id="374"/>
      <w:bookmarkStart w:id="375" w:name="_Toc184313298"/>
      <w:bookmarkEnd w:id="375"/>
      <w:bookmarkStart w:id="376" w:name="_Toc184310322"/>
      <w:bookmarkEnd w:id="376"/>
      <w:bookmarkStart w:id="377" w:name="_Toc184308068"/>
      <w:bookmarkEnd w:id="377"/>
      <w:bookmarkStart w:id="378" w:name="_Toc184313251"/>
      <w:bookmarkEnd w:id="378"/>
      <w:bookmarkStart w:id="379" w:name="_Toc184314468"/>
      <w:bookmarkEnd w:id="379"/>
      <w:bookmarkStart w:id="380" w:name="_Toc184310324"/>
      <w:bookmarkEnd w:id="380"/>
      <w:bookmarkStart w:id="381" w:name="_Toc184308099"/>
      <w:bookmarkEnd w:id="381"/>
      <w:bookmarkStart w:id="382" w:name="_Toc184312084"/>
      <w:bookmarkEnd w:id="382"/>
      <w:bookmarkStart w:id="383" w:name="_Toc184314481"/>
      <w:bookmarkEnd w:id="383"/>
      <w:bookmarkStart w:id="384" w:name="_Toc184308041"/>
      <w:bookmarkEnd w:id="384"/>
      <w:bookmarkStart w:id="385" w:name="_Toc184308053"/>
      <w:bookmarkEnd w:id="385"/>
      <w:bookmarkStart w:id="386" w:name="_Toc184310308"/>
      <w:bookmarkEnd w:id="386"/>
      <w:bookmarkStart w:id="387" w:name="_Toc184312069"/>
      <w:bookmarkEnd w:id="387"/>
      <w:bookmarkStart w:id="388" w:name="_Toc184310290"/>
      <w:bookmarkEnd w:id="388"/>
      <w:bookmarkStart w:id="389" w:name="_Toc184308080"/>
      <w:bookmarkEnd w:id="389"/>
      <w:bookmarkStart w:id="390" w:name="_Toc184313287"/>
      <w:bookmarkEnd w:id="390"/>
      <w:bookmarkStart w:id="391" w:name="_Toc184308062"/>
      <w:bookmarkEnd w:id="391"/>
      <w:bookmarkStart w:id="392" w:name="_Toc184314424"/>
      <w:bookmarkEnd w:id="392"/>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54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5537"/>
        <w:gridCol w:w="690"/>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452"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2971"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370"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20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w:t>
            </w: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lang w:eastAsia="zh-Hans"/>
              </w:rPr>
              <w:t>项目情况分析</w:t>
            </w:r>
            <w:r>
              <w:rPr>
                <w:rFonts w:hint="eastAsia" w:ascii="仿宋" w:hAnsi="仿宋" w:eastAsia="仿宋" w:cs="仿宋_GB2312"/>
                <w:sz w:val="24"/>
              </w:rPr>
              <w:t>:提供投标人对该项目整总体架构、现状、需求分析的整体理解，分析完整、准确到位，统筹考虑了总体目标实现的得3分，有缺项或不完善的得1分，与实际情况不符的不得分。</w:t>
            </w:r>
          </w:p>
        </w:tc>
        <w:tc>
          <w:tcPr>
            <w:tcW w:w="370" w:type="pct"/>
            <w:vAlign w:val="center"/>
          </w:tcPr>
          <w:p>
            <w:pPr>
              <w:jc w:val="center"/>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1206"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（一）项目情况分析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w:t>
            </w: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投标人</w:t>
            </w:r>
            <w:r>
              <w:rPr>
                <w:rFonts w:ascii="仿宋" w:hAnsi="仿宋" w:eastAsia="仿宋" w:cs="仿宋_GB2312"/>
                <w:sz w:val="24"/>
              </w:rPr>
              <w:t>阐述本项目建设内容，包含：①“浙政钉”工作台门户建设；②OA系统升级；③信息化项目全流程管理平台升级</w:t>
            </w:r>
            <w:r>
              <w:rPr>
                <w:rFonts w:hint="eastAsia" w:ascii="仿宋" w:hAnsi="仿宋" w:eastAsia="仿宋" w:cs="仿宋_GB2312"/>
                <w:sz w:val="24"/>
              </w:rPr>
              <w:t>。</w:t>
            </w:r>
            <w:r>
              <w:rPr>
                <w:rFonts w:ascii="仿宋" w:hAnsi="仿宋" w:eastAsia="仿宋" w:cs="仿宋_GB2312"/>
                <w:sz w:val="24"/>
              </w:rPr>
              <w:t>内容详尽且</w:t>
            </w:r>
            <w:r>
              <w:rPr>
                <w:rFonts w:hint="eastAsia" w:ascii="仿宋" w:hAnsi="仿宋" w:eastAsia="仿宋" w:cs="仿宋_GB2312"/>
                <w:sz w:val="24"/>
              </w:rPr>
              <w:t>完全</w:t>
            </w:r>
            <w:r>
              <w:rPr>
                <w:rFonts w:ascii="仿宋" w:hAnsi="仿宋" w:eastAsia="仿宋" w:cs="仿宋_GB2312"/>
                <w:sz w:val="24"/>
              </w:rPr>
              <w:t>满足采购需求的，每一项得</w:t>
            </w:r>
            <w:r>
              <w:rPr>
                <w:rFonts w:hint="eastAsia" w:ascii="仿宋" w:hAnsi="仿宋" w:eastAsia="仿宋" w:cs="仿宋_GB2312"/>
                <w:sz w:val="24"/>
              </w:rPr>
              <w:t>3</w:t>
            </w:r>
            <w:r>
              <w:rPr>
                <w:rFonts w:ascii="仿宋" w:hAnsi="仿宋" w:eastAsia="仿宋" w:cs="仿宋_GB2312"/>
                <w:sz w:val="24"/>
              </w:rPr>
              <w:t>分</w:t>
            </w:r>
            <w:r>
              <w:rPr>
                <w:rFonts w:hint="eastAsia" w:ascii="仿宋" w:hAnsi="仿宋" w:eastAsia="仿宋" w:cs="仿宋_GB2312"/>
                <w:sz w:val="24"/>
              </w:rPr>
              <w:t>；内容完整且基本满足采购需求的得1分；否则</w:t>
            </w:r>
            <w:r>
              <w:rPr>
                <w:rFonts w:ascii="仿宋" w:hAnsi="仿宋" w:eastAsia="仿宋" w:cs="仿宋_GB2312"/>
                <w:sz w:val="24"/>
              </w:rPr>
              <w:t>不得分，</w:t>
            </w:r>
            <w:r>
              <w:rPr>
                <w:rFonts w:hint="eastAsia" w:ascii="仿宋" w:hAnsi="仿宋" w:eastAsia="仿宋" w:cs="仿宋_GB2312"/>
                <w:sz w:val="24"/>
              </w:rPr>
              <w:t>共9</w:t>
            </w:r>
            <w:r>
              <w:rPr>
                <w:rFonts w:ascii="仿宋" w:hAnsi="仿宋" w:eastAsia="仿宋" w:cs="仿宋_GB2312"/>
                <w:sz w:val="24"/>
              </w:rPr>
              <w:t>分</w:t>
            </w:r>
            <w:r>
              <w:rPr>
                <w:rFonts w:hint="eastAsia" w:ascii="仿宋" w:hAnsi="仿宋" w:eastAsia="仿宋" w:cs="仿宋_GB2312"/>
                <w:sz w:val="24"/>
              </w:rPr>
              <w:t>。</w:t>
            </w:r>
          </w:p>
        </w:tc>
        <w:tc>
          <w:tcPr>
            <w:tcW w:w="370" w:type="pct"/>
            <w:vAlign w:val="center"/>
          </w:tcPr>
          <w:p>
            <w:pPr>
              <w:jc w:val="center"/>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9</w:t>
            </w:r>
          </w:p>
        </w:tc>
        <w:tc>
          <w:tcPr>
            <w:tcW w:w="1206" w:type="pct"/>
            <w:vMerge w:val="restar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（二）软件开发建设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投标人</w:t>
            </w:r>
            <w:r>
              <w:rPr>
                <w:rFonts w:ascii="仿宋" w:hAnsi="仿宋" w:eastAsia="仿宋" w:cs="仿宋_GB2312"/>
                <w:sz w:val="24"/>
              </w:rPr>
              <w:t>阐述政务资源云管家建设建设内容</w:t>
            </w:r>
            <w:r>
              <w:rPr>
                <w:rFonts w:hint="eastAsia" w:ascii="仿宋" w:hAnsi="仿宋" w:eastAsia="仿宋" w:cs="仿宋_GB2312"/>
                <w:sz w:val="24"/>
              </w:rPr>
              <w:t>，包含：①政务资源云管家建设（PC端）；②浙政钉应用（移动端）；③浙政钉应用（桌面端）；④驾驶舱；⑤组件对接。</w:t>
            </w:r>
            <w:r>
              <w:rPr>
                <w:rFonts w:ascii="仿宋" w:hAnsi="仿宋" w:eastAsia="仿宋" w:cs="仿宋_GB2312"/>
                <w:sz w:val="24"/>
              </w:rPr>
              <w:t>内容详尽且</w:t>
            </w:r>
            <w:r>
              <w:rPr>
                <w:rFonts w:hint="eastAsia" w:ascii="仿宋" w:hAnsi="仿宋" w:eastAsia="仿宋" w:cs="仿宋_GB2312"/>
                <w:sz w:val="24"/>
              </w:rPr>
              <w:t>完全</w:t>
            </w:r>
            <w:r>
              <w:rPr>
                <w:rFonts w:ascii="仿宋" w:hAnsi="仿宋" w:eastAsia="仿宋" w:cs="仿宋_GB2312"/>
                <w:sz w:val="24"/>
              </w:rPr>
              <w:t>满足采购需求的，每一项得</w:t>
            </w:r>
            <w:r>
              <w:rPr>
                <w:rFonts w:hint="eastAsia" w:ascii="仿宋" w:hAnsi="仿宋" w:eastAsia="仿宋" w:cs="仿宋_GB2312"/>
                <w:sz w:val="24"/>
              </w:rPr>
              <w:t>2</w:t>
            </w:r>
            <w:r>
              <w:rPr>
                <w:rFonts w:ascii="仿宋" w:hAnsi="仿宋" w:eastAsia="仿宋" w:cs="仿宋_GB2312"/>
                <w:sz w:val="24"/>
              </w:rPr>
              <w:t>分</w:t>
            </w:r>
            <w:r>
              <w:rPr>
                <w:rFonts w:hint="eastAsia" w:ascii="仿宋" w:hAnsi="仿宋" w:eastAsia="仿宋" w:cs="仿宋_GB2312"/>
                <w:sz w:val="24"/>
              </w:rPr>
              <w:t>；内容完整且基本满足采购需求的得1分；否则</w:t>
            </w:r>
            <w:r>
              <w:rPr>
                <w:rFonts w:ascii="仿宋" w:hAnsi="仿宋" w:eastAsia="仿宋" w:cs="仿宋_GB2312"/>
                <w:sz w:val="24"/>
              </w:rPr>
              <w:t>不得分，</w:t>
            </w:r>
            <w:r>
              <w:rPr>
                <w:rFonts w:hint="eastAsia" w:ascii="仿宋" w:hAnsi="仿宋" w:eastAsia="仿宋" w:cs="仿宋_GB2312"/>
                <w:sz w:val="24"/>
              </w:rPr>
              <w:t>共10</w:t>
            </w:r>
            <w:r>
              <w:rPr>
                <w:rFonts w:ascii="仿宋" w:hAnsi="仿宋" w:eastAsia="仿宋" w:cs="仿宋_GB2312"/>
                <w:sz w:val="24"/>
              </w:rPr>
              <w:t>分</w:t>
            </w:r>
            <w:r>
              <w:rPr>
                <w:rFonts w:hint="eastAsia" w:ascii="仿宋" w:hAnsi="仿宋" w:eastAsia="仿宋" w:cs="仿宋_GB2312"/>
                <w:sz w:val="24"/>
              </w:rPr>
              <w:t>。</w:t>
            </w:r>
          </w:p>
        </w:tc>
        <w:tc>
          <w:tcPr>
            <w:tcW w:w="370"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10</w:t>
            </w:r>
          </w:p>
        </w:tc>
        <w:tc>
          <w:tcPr>
            <w:tcW w:w="1206" w:type="pct"/>
            <w:vMerge w:val="continue"/>
            <w:vAlign w:val="center"/>
          </w:tcPr>
          <w:p>
            <w:pPr>
              <w:spacing w:line="360" w:lineRule="auto"/>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项目实施方案:投标人应根据采购需求中工作内容提供一份完整的项目进度计划，以确定各阶段的主要工作内容、成果及其进度。进度安排完善、可行性强的得3分，计划较完善、可行性较强的得2分，进度安排一般的得1分，无计划或计划不合理的不得分。共</w:t>
            </w:r>
            <w:r>
              <w:rPr>
                <w:rFonts w:ascii="仿宋" w:hAnsi="仿宋" w:eastAsia="仿宋" w:cs="仿宋_GB2312"/>
                <w:color w:val="auto"/>
                <w:sz w:val="24"/>
              </w:rPr>
              <w:t>3</w:t>
            </w:r>
            <w:r>
              <w:rPr>
                <w:rFonts w:hint="eastAsia" w:ascii="仿宋" w:hAnsi="仿宋" w:eastAsia="仿宋" w:cs="仿宋_GB2312"/>
                <w:color w:val="auto"/>
                <w:sz w:val="24"/>
              </w:rPr>
              <w:t>分。</w:t>
            </w:r>
          </w:p>
        </w:tc>
        <w:tc>
          <w:tcPr>
            <w:tcW w:w="370" w:type="pct"/>
            <w:vAlign w:val="center"/>
          </w:tcPr>
          <w:p>
            <w:pPr>
              <w:spacing w:line="360" w:lineRule="auto"/>
              <w:jc w:val="center"/>
              <w:outlineLvl w:val="0"/>
              <w:rPr>
                <w:rFonts w:ascii="仿宋" w:hAnsi="仿宋" w:eastAsia="仿宋" w:cs="仿宋"/>
                <w:sz w:val="24"/>
              </w:rPr>
            </w:pPr>
            <w:r>
              <w:rPr>
                <w:rFonts w:hint="eastAsia" w:ascii="仿宋" w:hAnsi="仿宋" w:eastAsia="仿宋" w:cs="仿宋_GB2312"/>
                <w:sz w:val="24"/>
              </w:rPr>
              <w:t>3</w:t>
            </w:r>
          </w:p>
        </w:tc>
        <w:tc>
          <w:tcPr>
            <w:tcW w:w="1206" w:type="pct"/>
            <w:vAlign w:val="center"/>
          </w:tcPr>
          <w:p>
            <w:pPr>
              <w:jc w:val="center"/>
              <w:rPr>
                <w:rFonts w:ascii="仿宋" w:hAnsi="仿宋" w:eastAsia="仿宋" w:cs="仿宋"/>
                <w:sz w:val="24"/>
              </w:rPr>
            </w:pPr>
            <w:r>
              <w:rPr>
                <w:rFonts w:hint="eastAsia" w:ascii="仿宋" w:hAnsi="仿宋" w:eastAsia="仿宋" w:cs="仿宋"/>
                <w:sz w:val="24"/>
              </w:rPr>
              <w:t>（三）实施进度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lang w:val="zh-CN"/>
              </w:rPr>
              <w:t>投标人承诺提供不少于3人的驻场开发团队，需提供驻场人员的详细信息，满足的得</w:t>
            </w:r>
            <w:r>
              <w:rPr>
                <w:rFonts w:hint="eastAsia" w:ascii="仿宋" w:hAnsi="仿宋" w:eastAsia="仿宋" w:cs="仿宋_GB2312"/>
                <w:sz w:val="24"/>
              </w:rPr>
              <w:t>2分，否则不得分。</w:t>
            </w:r>
          </w:p>
        </w:tc>
        <w:tc>
          <w:tcPr>
            <w:tcW w:w="370" w:type="pct"/>
            <w:vAlign w:val="center"/>
          </w:tcPr>
          <w:p>
            <w:pPr>
              <w:jc w:val="center"/>
              <w:rPr>
                <w:rFonts w:ascii="仿宋" w:hAnsi="仿宋" w:eastAsia="仿宋" w:cs="仿宋"/>
                <w:sz w:val="24"/>
              </w:rPr>
            </w:pPr>
            <w:r>
              <w:rPr>
                <w:rFonts w:hint="eastAsia" w:ascii="仿宋" w:hAnsi="仿宋" w:eastAsia="仿宋" w:cs="仿宋"/>
                <w:sz w:val="24"/>
              </w:rPr>
              <w:t>2</w:t>
            </w:r>
          </w:p>
        </w:tc>
        <w:tc>
          <w:tcPr>
            <w:tcW w:w="1206" w:type="pct"/>
            <w:vAlign w:val="center"/>
          </w:tcPr>
          <w:p>
            <w:pPr>
              <w:jc w:val="center"/>
              <w:rPr>
                <w:rFonts w:ascii="仿宋" w:hAnsi="仿宋" w:eastAsia="仿宋" w:cs="仿宋"/>
                <w:sz w:val="24"/>
              </w:rPr>
            </w:pPr>
            <w:r>
              <w:rPr>
                <w:rFonts w:hint="eastAsia" w:ascii="仿宋" w:hAnsi="仿宋" w:eastAsia="仿宋" w:cs="仿宋"/>
                <w:sz w:val="24"/>
                <w:lang w:val="zh-CN"/>
              </w:rPr>
              <w:t>（四）驻场开发团队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52" w:type="pct"/>
            <w:vMerge w:val="restar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①</w:t>
            </w:r>
            <w:r>
              <w:rPr>
                <w:rFonts w:hint="eastAsia" w:ascii="仿宋" w:hAnsi="仿宋" w:eastAsia="仿宋" w:cs="仿宋_GB2312"/>
                <w:sz w:val="24"/>
                <w:lang w:eastAsia="zh-Hans"/>
              </w:rPr>
              <w:t>本项目拟派项目</w:t>
            </w:r>
            <w:r>
              <w:rPr>
                <w:rFonts w:hint="eastAsia" w:ascii="仿宋" w:hAnsi="仿宋" w:eastAsia="仿宋" w:cs="仿宋_GB2312"/>
                <w:sz w:val="24"/>
              </w:rPr>
              <w:t>负责人</w:t>
            </w:r>
            <w:r>
              <w:rPr>
                <w:rFonts w:hint="eastAsia" w:ascii="仿宋" w:hAnsi="仿宋" w:eastAsia="仿宋" w:cs="仿宋_GB2312"/>
                <w:sz w:val="24"/>
                <w:lang w:eastAsia="zh-Hans"/>
              </w:rPr>
              <w:t>具备信息系统项目管理师</w:t>
            </w:r>
            <w:r>
              <w:rPr>
                <w:rFonts w:hint="eastAsia" w:ascii="仿宋" w:hAnsi="仿宋" w:eastAsia="仿宋" w:cs="仿宋_GB2312"/>
                <w:sz w:val="24"/>
              </w:rPr>
              <w:t>证书</w:t>
            </w:r>
            <w:r>
              <w:rPr>
                <w:rFonts w:hint="eastAsia" w:ascii="仿宋" w:hAnsi="仿宋" w:eastAsia="仿宋" w:cs="仿宋_GB2312"/>
                <w:sz w:val="24"/>
                <w:lang w:eastAsia="zh-Hans"/>
              </w:rPr>
              <w:t>的得</w:t>
            </w:r>
            <w:r>
              <w:rPr>
                <w:rFonts w:hint="eastAsia" w:ascii="仿宋" w:hAnsi="仿宋" w:eastAsia="仿宋" w:cs="仿宋_GB2312"/>
                <w:sz w:val="24"/>
              </w:rPr>
              <w:t>2</w:t>
            </w:r>
            <w:r>
              <w:rPr>
                <w:rFonts w:hint="eastAsia" w:ascii="仿宋" w:hAnsi="仿宋" w:eastAsia="仿宋" w:cs="仿宋_GB2312"/>
                <w:sz w:val="24"/>
                <w:lang w:eastAsia="zh-Hans"/>
              </w:rPr>
              <w:t>分</w:t>
            </w:r>
            <w:r>
              <w:rPr>
                <w:rFonts w:hint="eastAsia" w:ascii="仿宋" w:hAnsi="仿宋" w:eastAsia="仿宋" w:cs="仿宋_GB2312"/>
                <w:sz w:val="24"/>
              </w:rPr>
              <w:t>；②</w:t>
            </w:r>
            <w:r>
              <w:rPr>
                <w:rFonts w:hint="eastAsia" w:ascii="仿宋" w:hAnsi="仿宋" w:eastAsia="仿宋" w:cs="仿宋_GB2312"/>
                <w:sz w:val="24"/>
                <w:lang w:eastAsia="zh-Hans"/>
              </w:rPr>
              <w:t>项目组实施人员</w:t>
            </w:r>
            <w:r>
              <w:rPr>
                <w:rFonts w:hint="eastAsia" w:ascii="仿宋" w:hAnsi="仿宋" w:eastAsia="仿宋" w:cs="仿宋_GB2312"/>
                <w:sz w:val="24"/>
              </w:rPr>
              <w:t>（不含项目负责人）</w:t>
            </w:r>
            <w:r>
              <w:rPr>
                <w:rFonts w:hint="eastAsia" w:ascii="仿宋" w:hAnsi="仿宋" w:eastAsia="仿宋" w:cs="仿宋_GB2312"/>
                <w:sz w:val="24"/>
                <w:lang w:eastAsia="zh-Hans"/>
              </w:rPr>
              <w:t>具备</w:t>
            </w:r>
            <w:r>
              <w:rPr>
                <w:rFonts w:hint="eastAsia" w:ascii="仿宋" w:hAnsi="仿宋" w:eastAsia="仿宋" w:cs="仿宋_GB2312"/>
                <w:sz w:val="24"/>
                <w:lang w:eastAsia="zh-CN"/>
              </w:rPr>
              <w:t>中级工程师</w:t>
            </w:r>
            <w:r>
              <w:rPr>
                <w:rFonts w:hint="eastAsia" w:ascii="仿宋" w:hAnsi="仿宋" w:eastAsia="仿宋" w:cs="仿宋_GB2312"/>
                <w:sz w:val="24"/>
                <w:lang w:eastAsia="zh-Hans"/>
              </w:rPr>
              <w:t>（信息化相关）</w:t>
            </w:r>
            <w:r>
              <w:rPr>
                <w:rFonts w:hint="eastAsia" w:ascii="仿宋" w:hAnsi="仿宋" w:eastAsia="仿宋" w:cs="仿宋_GB2312"/>
                <w:sz w:val="24"/>
              </w:rPr>
              <w:t>的</w:t>
            </w:r>
            <w:r>
              <w:rPr>
                <w:rFonts w:hint="eastAsia" w:ascii="仿宋" w:hAnsi="仿宋" w:eastAsia="仿宋" w:cs="仿宋_GB2312"/>
                <w:sz w:val="24"/>
                <w:lang w:eastAsia="zh-CN"/>
              </w:rPr>
              <w:t>每人得</w:t>
            </w:r>
            <w:r>
              <w:rPr>
                <w:rFonts w:hint="eastAsia" w:ascii="仿宋" w:hAnsi="仿宋" w:eastAsia="仿宋" w:cs="仿宋_GB2312"/>
                <w:sz w:val="24"/>
                <w:lang w:val="en-US" w:eastAsia="zh-CN"/>
              </w:rPr>
              <w:t>1分，最高得2分，具备</w:t>
            </w:r>
            <w:r>
              <w:rPr>
                <w:rFonts w:hint="eastAsia" w:ascii="仿宋" w:hAnsi="仿宋" w:eastAsia="仿宋" w:cs="仿宋_GB2312"/>
                <w:sz w:val="24"/>
                <w:lang w:eastAsia="zh-Hans"/>
              </w:rPr>
              <w:t>高级工程师（信息化相关）</w:t>
            </w:r>
            <w:r>
              <w:rPr>
                <w:rFonts w:hint="eastAsia" w:ascii="仿宋" w:hAnsi="仿宋" w:eastAsia="仿宋" w:cs="仿宋_GB2312"/>
                <w:sz w:val="24"/>
              </w:rPr>
              <w:t>的，每人</w:t>
            </w:r>
            <w:r>
              <w:rPr>
                <w:rFonts w:hint="eastAsia" w:ascii="仿宋" w:hAnsi="仿宋" w:eastAsia="仿宋" w:cs="仿宋_GB2312"/>
                <w:sz w:val="24"/>
                <w:lang w:eastAsia="zh-Hans"/>
              </w:rPr>
              <w:t>得</w:t>
            </w:r>
            <w:r>
              <w:rPr>
                <w:rFonts w:hint="eastAsia" w:ascii="仿宋" w:hAnsi="仿宋" w:eastAsia="仿宋" w:cs="仿宋_GB2312"/>
                <w:sz w:val="24"/>
                <w:lang w:val="en-US" w:eastAsia="zh-CN"/>
              </w:rPr>
              <w:t>2</w:t>
            </w:r>
            <w:r>
              <w:rPr>
                <w:rFonts w:hint="eastAsia" w:ascii="仿宋" w:hAnsi="仿宋" w:eastAsia="仿宋" w:cs="仿宋_GB2312"/>
                <w:sz w:val="24"/>
                <w:lang w:eastAsia="zh-Hans"/>
              </w:rPr>
              <w:t>分</w:t>
            </w:r>
            <w:r>
              <w:rPr>
                <w:rFonts w:hint="eastAsia" w:ascii="仿宋" w:hAnsi="仿宋" w:eastAsia="仿宋" w:cs="仿宋_GB2312"/>
                <w:sz w:val="24"/>
              </w:rPr>
              <w:t>，最高得</w:t>
            </w:r>
            <w:r>
              <w:rPr>
                <w:rFonts w:hint="eastAsia" w:ascii="仿宋" w:hAnsi="仿宋" w:eastAsia="仿宋" w:cs="仿宋_GB2312"/>
                <w:sz w:val="24"/>
                <w:lang w:val="en-US" w:eastAsia="zh-CN"/>
              </w:rPr>
              <w:t>4</w:t>
            </w:r>
            <w:r>
              <w:rPr>
                <w:rFonts w:hint="eastAsia" w:ascii="仿宋" w:hAnsi="仿宋" w:eastAsia="仿宋" w:cs="仿宋_GB2312"/>
                <w:sz w:val="24"/>
              </w:rPr>
              <w:t>分。</w:t>
            </w:r>
            <w:r>
              <w:rPr>
                <w:rFonts w:hint="eastAsia" w:ascii="仿宋" w:hAnsi="仿宋" w:eastAsia="仿宋" w:cs="仿宋_GB2312"/>
                <w:sz w:val="24"/>
                <w:lang w:eastAsia="zh-CN"/>
              </w:rPr>
              <w:t>本项最高得</w:t>
            </w:r>
            <w:r>
              <w:rPr>
                <w:rFonts w:hint="eastAsia" w:ascii="仿宋" w:hAnsi="仿宋" w:eastAsia="仿宋" w:cs="仿宋_GB2312"/>
                <w:sz w:val="24"/>
              </w:rPr>
              <w:t>6分。</w:t>
            </w:r>
          </w:p>
          <w:p>
            <w:pPr>
              <w:spacing w:line="360" w:lineRule="auto"/>
              <w:outlineLvl w:val="0"/>
              <w:rPr>
                <w:rFonts w:ascii="仿宋" w:hAnsi="仿宋" w:eastAsia="仿宋" w:cs="仿宋_GB2312"/>
                <w:sz w:val="24"/>
              </w:rPr>
            </w:pPr>
            <w:r>
              <w:rPr>
                <w:rFonts w:hint="eastAsia" w:ascii="仿宋" w:hAnsi="仿宋" w:eastAsia="仿宋" w:cs="仿宋_GB2312"/>
                <w:sz w:val="24"/>
              </w:rPr>
              <w:t>注：提供拟派人员清单（包括但不限于：姓名、身份证、项目职责）、社保证明及相关证书，佐证资料缺项或不满足要求的不得分。</w:t>
            </w:r>
          </w:p>
        </w:tc>
        <w:tc>
          <w:tcPr>
            <w:tcW w:w="370" w:type="pct"/>
            <w:vAlign w:val="center"/>
          </w:tcPr>
          <w:p>
            <w:pPr>
              <w:jc w:val="center"/>
              <w:rPr>
                <w:rFonts w:ascii="仿宋" w:hAnsi="仿宋" w:eastAsia="仿宋" w:cs="仿宋"/>
                <w:sz w:val="24"/>
              </w:rPr>
            </w:pPr>
            <w:r>
              <w:rPr>
                <w:rFonts w:hint="eastAsia" w:ascii="仿宋" w:hAnsi="仿宋" w:eastAsia="仿宋" w:cs="仿宋"/>
                <w:sz w:val="24"/>
              </w:rPr>
              <w:t>6</w:t>
            </w:r>
          </w:p>
        </w:tc>
        <w:tc>
          <w:tcPr>
            <w:tcW w:w="1206" w:type="pct"/>
            <w:vMerge w:val="restart"/>
            <w:vAlign w:val="center"/>
          </w:tcPr>
          <w:p>
            <w:pPr>
              <w:jc w:val="center"/>
              <w:rPr>
                <w:rFonts w:hint="eastAsia" w:ascii="仿宋" w:hAnsi="仿宋" w:eastAsia="仿宋" w:cs="仿宋"/>
                <w:sz w:val="24"/>
                <w:lang w:eastAsia="zh-CN"/>
              </w:rPr>
            </w:pPr>
            <w:r>
              <w:rPr>
                <w:rFonts w:hint="eastAsia" w:ascii="仿宋" w:hAnsi="仿宋" w:eastAsia="仿宋" w:cs="仿宋"/>
                <w:sz w:val="24"/>
              </w:rPr>
              <w:t>（五）项目组成员</w:t>
            </w:r>
            <w:r>
              <w:rPr>
                <w:rFonts w:hint="eastAsia" w:ascii="仿宋" w:hAnsi="仿宋" w:eastAsia="仿宋" w:cs="仿宋"/>
                <w:sz w:val="24"/>
                <w:lang w:eastAsia="zh-CN"/>
              </w:rPr>
              <w:t>及管理分工</w:t>
            </w:r>
            <w:bookmarkStart w:id="518" w:name="_GoBack"/>
            <w:bookmarkEnd w:id="5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52" w:type="pct"/>
            <w:vMerge w:val="continue"/>
            <w:vAlign w:val="center"/>
          </w:tcPr>
          <w:p>
            <w:pPr>
              <w:spacing w:line="360" w:lineRule="auto"/>
              <w:jc w:val="center"/>
              <w:outlineLvl w:val="0"/>
              <w:rPr>
                <w:rFonts w:ascii="仿宋" w:hAnsi="仿宋" w:eastAsia="仿宋" w:cs="仿宋"/>
                <w:sz w:val="24"/>
              </w:rPr>
            </w:pP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项目管理分工明确，项目组织结构科学合理的得2分，基本合理得1分，否则不得分。</w:t>
            </w:r>
          </w:p>
        </w:tc>
        <w:tc>
          <w:tcPr>
            <w:tcW w:w="370" w:type="pct"/>
            <w:vAlign w:val="center"/>
          </w:tcPr>
          <w:p>
            <w:pPr>
              <w:jc w:val="center"/>
              <w:rPr>
                <w:rFonts w:ascii="仿宋" w:hAnsi="仿宋" w:eastAsia="仿宋" w:cs="仿宋"/>
                <w:sz w:val="24"/>
              </w:rPr>
            </w:pPr>
            <w:r>
              <w:rPr>
                <w:rFonts w:hint="eastAsia" w:ascii="仿宋" w:hAnsi="仿宋" w:eastAsia="仿宋" w:cs="仿宋"/>
                <w:sz w:val="24"/>
              </w:rPr>
              <w:t>2</w:t>
            </w:r>
          </w:p>
        </w:tc>
        <w:tc>
          <w:tcPr>
            <w:tcW w:w="1206" w:type="pct"/>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7</w:t>
            </w: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lang w:val="zh-CN"/>
              </w:rPr>
              <w:t>测试及验收方案：投标人是否提出合理可行的功能测试及验收方案。满足得</w:t>
            </w:r>
            <w:r>
              <w:rPr>
                <w:rFonts w:hint="eastAsia" w:ascii="仿宋" w:hAnsi="仿宋" w:eastAsia="仿宋" w:cs="仿宋_GB2312"/>
                <w:sz w:val="24"/>
              </w:rPr>
              <w:t>2</w:t>
            </w:r>
            <w:r>
              <w:rPr>
                <w:rFonts w:hint="eastAsia" w:ascii="仿宋" w:hAnsi="仿宋" w:eastAsia="仿宋" w:cs="仿宋_GB2312"/>
                <w:sz w:val="24"/>
                <w:lang w:val="zh-CN"/>
              </w:rPr>
              <w:t>分，部分满足得1分，不满足不得分，共</w:t>
            </w:r>
            <w:r>
              <w:rPr>
                <w:rFonts w:hint="eastAsia" w:ascii="仿宋" w:hAnsi="仿宋" w:eastAsia="仿宋" w:cs="仿宋_GB2312"/>
                <w:sz w:val="24"/>
              </w:rPr>
              <w:t>2分。</w:t>
            </w:r>
          </w:p>
        </w:tc>
        <w:tc>
          <w:tcPr>
            <w:tcW w:w="370" w:type="pct"/>
            <w:vAlign w:val="center"/>
          </w:tcPr>
          <w:p>
            <w:pPr>
              <w:jc w:val="center"/>
              <w:rPr>
                <w:rFonts w:ascii="仿宋" w:hAnsi="仿宋" w:eastAsia="仿宋" w:cs="仿宋"/>
                <w:sz w:val="24"/>
              </w:rPr>
            </w:pPr>
            <w:r>
              <w:rPr>
                <w:rFonts w:hint="eastAsia" w:ascii="仿宋" w:hAnsi="仿宋" w:eastAsia="仿宋" w:cs="仿宋"/>
                <w:sz w:val="24"/>
              </w:rPr>
              <w:t>2</w:t>
            </w:r>
          </w:p>
        </w:tc>
        <w:tc>
          <w:tcPr>
            <w:tcW w:w="1206" w:type="pct"/>
            <w:vAlign w:val="center"/>
          </w:tcPr>
          <w:p>
            <w:pPr>
              <w:jc w:val="center"/>
              <w:rPr>
                <w:rFonts w:ascii="仿宋" w:hAnsi="仿宋" w:eastAsia="仿宋" w:cs="仿宋"/>
                <w:sz w:val="24"/>
              </w:rPr>
            </w:pPr>
            <w:r>
              <w:rPr>
                <w:rFonts w:hint="eastAsia" w:ascii="仿宋" w:hAnsi="仿宋" w:eastAsia="仿宋" w:cs="仿宋"/>
                <w:sz w:val="24"/>
              </w:rPr>
              <w:t>（六）</w:t>
            </w:r>
            <w:r>
              <w:rPr>
                <w:rFonts w:hint="eastAsia" w:ascii="仿宋" w:hAnsi="仿宋" w:eastAsia="仿宋" w:cs="仿宋"/>
                <w:sz w:val="24"/>
                <w:lang w:val="zh-CN"/>
              </w:rPr>
              <w:t>测试及验收方案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8</w:t>
            </w:r>
          </w:p>
        </w:tc>
        <w:tc>
          <w:tcPr>
            <w:tcW w:w="2971" w:type="pct"/>
            <w:vAlign w:val="center"/>
          </w:tcPr>
          <w:p>
            <w:pPr>
              <w:spacing w:line="360" w:lineRule="auto"/>
              <w:outlineLvl w:val="0"/>
              <w:rPr>
                <w:rFonts w:ascii="仿宋" w:hAnsi="仿宋" w:eastAsia="仿宋" w:cs="仿宋_GB2312"/>
                <w:sz w:val="24"/>
                <w:lang w:eastAsia="zh-Hans"/>
              </w:rPr>
            </w:pPr>
            <w:r>
              <w:rPr>
                <w:rFonts w:hint="eastAsia" w:ascii="仿宋" w:hAnsi="仿宋" w:eastAsia="仿宋" w:cs="仿宋_GB2312"/>
                <w:sz w:val="24"/>
                <w:lang w:eastAsia="zh-Hans"/>
              </w:rPr>
              <w:t>培训方案：培训计划包括培训内容、培训时间地点、培训对象，培训师资力量等；根据培训方案内容进行评分，每一项科学合理，利于实际操作的得</w:t>
            </w:r>
            <w:r>
              <w:rPr>
                <w:rFonts w:hint="eastAsia" w:ascii="仿宋" w:hAnsi="仿宋" w:eastAsia="仿宋" w:cs="仿宋_GB2312"/>
                <w:sz w:val="24"/>
                <w:lang w:val="en-US" w:eastAsia="zh-CN"/>
              </w:rPr>
              <w:t>0.5</w:t>
            </w:r>
            <w:r>
              <w:rPr>
                <w:rFonts w:hint="eastAsia" w:ascii="仿宋" w:hAnsi="仿宋" w:eastAsia="仿宋" w:cs="仿宋_GB2312"/>
                <w:sz w:val="24"/>
                <w:lang w:eastAsia="zh-Hans"/>
              </w:rPr>
              <w:t>分。共</w:t>
            </w:r>
            <w:r>
              <w:rPr>
                <w:rFonts w:hint="eastAsia" w:ascii="仿宋" w:hAnsi="仿宋" w:eastAsia="仿宋" w:cs="仿宋_GB2312"/>
                <w:sz w:val="24"/>
                <w:lang w:val="en-US" w:eastAsia="zh-CN"/>
              </w:rPr>
              <w:t>2</w:t>
            </w:r>
            <w:r>
              <w:rPr>
                <w:rFonts w:hint="eastAsia" w:ascii="仿宋" w:hAnsi="仿宋" w:eastAsia="仿宋" w:cs="仿宋_GB2312"/>
                <w:sz w:val="24"/>
                <w:lang w:eastAsia="zh-Hans"/>
              </w:rPr>
              <w:t>分。</w:t>
            </w:r>
          </w:p>
        </w:tc>
        <w:tc>
          <w:tcPr>
            <w:tcW w:w="370" w:type="pct"/>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206" w:type="pct"/>
            <w:vAlign w:val="center"/>
          </w:tcPr>
          <w:p>
            <w:pPr>
              <w:jc w:val="center"/>
              <w:rPr>
                <w:rFonts w:ascii="仿宋" w:hAnsi="仿宋" w:eastAsia="仿宋" w:cs="仿宋"/>
                <w:sz w:val="24"/>
              </w:rPr>
            </w:pPr>
            <w:r>
              <w:rPr>
                <w:rFonts w:hint="eastAsia" w:ascii="仿宋" w:hAnsi="仿宋" w:eastAsia="仿宋" w:cs="仿宋"/>
                <w:sz w:val="24"/>
              </w:rPr>
              <w:t>（七）</w:t>
            </w:r>
            <w:r>
              <w:rPr>
                <w:rFonts w:hint="eastAsia" w:ascii="仿宋" w:hAnsi="仿宋" w:eastAsia="仿宋" w:cs="仿宋"/>
                <w:sz w:val="24"/>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9</w:t>
            </w: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投标人根据项目建设实际需要，制定售后服务方案，至少包括：①售后服务组织架构及人员配置（包括人员职责分工及服务计划等）；②应急响应机制；③服务响应及技术支持方案；④针对本项目特色维保服务方案。符合项目实际及建设需求的每项得1</w:t>
            </w:r>
            <w:r>
              <w:rPr>
                <w:rFonts w:hint="eastAsia" w:ascii="仿宋" w:hAnsi="仿宋" w:eastAsia="仿宋" w:cs="仿宋_GB2312"/>
                <w:sz w:val="24"/>
                <w:lang w:val="en-US" w:eastAsia="zh-CN"/>
              </w:rPr>
              <w:t>.5</w:t>
            </w:r>
            <w:r>
              <w:rPr>
                <w:rFonts w:hint="eastAsia" w:ascii="仿宋" w:hAnsi="仿宋" w:eastAsia="仿宋" w:cs="仿宋_GB2312"/>
                <w:sz w:val="24"/>
              </w:rPr>
              <w:t>分，否则不得分，共</w:t>
            </w:r>
            <w:r>
              <w:rPr>
                <w:rFonts w:hint="eastAsia" w:ascii="仿宋" w:hAnsi="仿宋" w:eastAsia="仿宋" w:cs="仿宋_GB2312"/>
                <w:sz w:val="24"/>
                <w:lang w:val="en-US" w:eastAsia="zh-CN"/>
              </w:rPr>
              <w:t>6</w:t>
            </w:r>
            <w:r>
              <w:rPr>
                <w:rFonts w:hint="eastAsia" w:ascii="仿宋" w:hAnsi="仿宋" w:eastAsia="仿宋" w:cs="仿宋_GB2312"/>
                <w:sz w:val="24"/>
              </w:rPr>
              <w:t>分。</w:t>
            </w:r>
          </w:p>
        </w:tc>
        <w:tc>
          <w:tcPr>
            <w:tcW w:w="370" w:type="pct"/>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206" w:type="pct"/>
            <w:vAlign w:val="center"/>
          </w:tcPr>
          <w:p>
            <w:pPr>
              <w:jc w:val="center"/>
              <w:rPr>
                <w:rFonts w:ascii="仿宋" w:hAnsi="仿宋" w:eastAsia="仿宋" w:cs="仿宋"/>
                <w:sz w:val="24"/>
              </w:rPr>
            </w:pPr>
            <w:r>
              <w:rPr>
                <w:rFonts w:hint="eastAsia" w:ascii="仿宋" w:hAnsi="仿宋" w:eastAsia="仿宋" w:cs="仿宋"/>
                <w:sz w:val="24"/>
              </w:rPr>
              <w:t>（八）</w:t>
            </w:r>
            <w:r>
              <w:rPr>
                <w:rFonts w:hint="eastAsia" w:ascii="仿宋" w:hAnsi="仿宋" w:eastAsia="仿宋" w:cs="仿宋"/>
                <w:sz w:val="24"/>
                <w:lang w:eastAsia="zh-Hans"/>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10</w:t>
            </w:r>
          </w:p>
        </w:tc>
        <w:tc>
          <w:tcPr>
            <w:tcW w:w="2971" w:type="pct"/>
            <w:vAlign w:val="center"/>
          </w:tcPr>
          <w:p>
            <w:pPr>
              <w:spacing w:line="360" w:lineRule="auto"/>
              <w:outlineLvl w:val="0"/>
              <w:rPr>
                <w:rFonts w:ascii="仿宋" w:hAnsi="仿宋" w:eastAsia="仿宋" w:cs="仿宋_GB2312"/>
                <w:sz w:val="24"/>
                <w:lang w:eastAsia="zh-Hans"/>
              </w:rPr>
            </w:pPr>
            <w:r>
              <w:rPr>
                <w:rFonts w:hint="eastAsia" w:ascii="仿宋" w:hAnsi="仿宋" w:eastAsia="仿宋" w:cs="仿宋_GB2312"/>
                <w:sz w:val="24"/>
                <w:lang w:eastAsia="zh-Hans"/>
              </w:rPr>
              <w:t>系统演示：由投标人自行准备相关演示环境，软件模型成功展现本次项目要求的功能，演示视频须制作成光盘或U盘，在投标截止前提交至杭州市临安区行政服务中心B座四楼B448办公室，逾期拒收。演示内容如下（PPT、Word演示或未提供演示不得分）：</w:t>
            </w:r>
          </w:p>
          <w:p>
            <w:pPr>
              <w:spacing w:line="360" w:lineRule="auto"/>
              <w:outlineLvl w:val="0"/>
              <w:rPr>
                <w:rFonts w:ascii="仿宋" w:hAnsi="仿宋" w:eastAsia="仿宋" w:cs="仿宋_GB2312"/>
                <w:sz w:val="24"/>
                <w:lang w:eastAsia="zh-Hans"/>
              </w:rPr>
            </w:pPr>
            <w:r>
              <w:rPr>
                <w:rFonts w:hint="eastAsia" w:ascii="仿宋" w:hAnsi="仿宋" w:eastAsia="仿宋" w:cs="仿宋_GB2312"/>
                <w:sz w:val="24"/>
                <w:lang w:eastAsia="zh-Hans"/>
              </w:rPr>
              <w:t>注：演示视频需密封送达，评标阶段拆封演示，因响应方自身原因导致无法演示或者演示效果不理想的，责任自负。</w:t>
            </w:r>
          </w:p>
          <w:p>
            <w:pPr>
              <w:pStyle w:val="2"/>
              <w:numPr>
                <w:ilvl w:val="0"/>
                <w:numId w:val="2"/>
              </w:numPr>
              <w:rPr>
                <w:rFonts w:ascii="仿宋" w:hAnsi="仿宋" w:eastAsia="仿宋" w:cs="仿宋_GB2312"/>
                <w:snapToGrid/>
                <w:szCs w:val="24"/>
                <w:lang w:val="en-US" w:eastAsia="zh-Hans"/>
              </w:rPr>
            </w:pPr>
            <w:r>
              <w:rPr>
                <w:rFonts w:hint="eastAsia" w:ascii="仿宋" w:hAnsi="仿宋" w:eastAsia="仿宋" w:cs="仿宋_GB2312"/>
                <w:snapToGrid/>
                <w:szCs w:val="24"/>
                <w:lang w:val="en-US"/>
              </w:rPr>
              <w:t>对</w:t>
            </w:r>
            <w:r>
              <w:rPr>
                <w:rFonts w:hint="eastAsia" w:ascii="仿宋" w:hAnsi="仿宋" w:eastAsia="仿宋" w:cs="仿宋_GB2312"/>
                <w:snapToGrid/>
                <w:szCs w:val="24"/>
                <w:lang w:val="en-US" w:eastAsia="zh-Hans"/>
              </w:rPr>
              <w:t>政务资源云管家系统</w:t>
            </w:r>
            <w:r>
              <w:rPr>
                <w:rFonts w:hint="eastAsia" w:ascii="仿宋" w:hAnsi="仿宋" w:eastAsia="仿宋" w:cs="仿宋_GB2312"/>
                <w:snapToGrid/>
                <w:szCs w:val="24"/>
                <w:lang w:val="en-US"/>
              </w:rPr>
              <w:t>首页进行演示</w:t>
            </w:r>
            <w:r>
              <w:rPr>
                <w:rFonts w:hint="eastAsia" w:ascii="仿宋" w:hAnsi="仿宋" w:eastAsia="仿宋" w:cs="仿宋_GB2312"/>
                <w:snapToGrid/>
                <w:szCs w:val="24"/>
                <w:lang w:val="en-US" w:eastAsia="zh-Hans"/>
              </w:rPr>
              <w:t>，</w:t>
            </w:r>
            <w:r>
              <w:rPr>
                <w:rFonts w:hint="eastAsia" w:ascii="仿宋" w:hAnsi="仿宋" w:eastAsia="仿宋" w:cs="仿宋_GB2312"/>
                <w:snapToGrid/>
                <w:szCs w:val="24"/>
                <w:lang w:val="en-US"/>
              </w:rPr>
              <w:t>包括</w:t>
            </w:r>
            <w:r>
              <w:rPr>
                <w:rFonts w:hint="eastAsia" w:ascii="仿宋" w:hAnsi="仿宋" w:eastAsia="仿宋" w:cs="仿宋_GB2312"/>
                <w:snapToGrid/>
                <w:szCs w:val="24"/>
                <w:lang w:val="en-US" w:eastAsia="zh-Hans"/>
              </w:rPr>
              <w:t>①PC端首页工作台；②浙政钉移动端首页工作台</w:t>
            </w:r>
            <w:r>
              <w:rPr>
                <w:rFonts w:hint="eastAsia" w:ascii="仿宋" w:hAnsi="仿宋" w:eastAsia="仿宋" w:cs="仿宋_GB2312"/>
                <w:snapToGrid/>
                <w:szCs w:val="24"/>
                <w:lang w:val="en-US"/>
              </w:rPr>
              <w:t>。</w:t>
            </w:r>
            <w:r>
              <w:rPr>
                <w:rFonts w:hint="eastAsia" w:ascii="仿宋" w:hAnsi="仿宋" w:eastAsia="仿宋" w:cs="仿宋_GB2312"/>
                <w:snapToGrid/>
                <w:szCs w:val="24"/>
                <w:lang w:val="en-US" w:eastAsia="zh-Hans"/>
              </w:rPr>
              <w:t>每</w:t>
            </w:r>
            <w:r>
              <w:rPr>
                <w:rFonts w:hint="eastAsia" w:ascii="仿宋" w:hAnsi="仿宋" w:eastAsia="仿宋" w:cs="仿宋_GB2312"/>
                <w:snapToGrid/>
                <w:szCs w:val="24"/>
                <w:lang w:val="en-US"/>
              </w:rPr>
              <w:t>成功演示</w:t>
            </w:r>
            <w:r>
              <w:rPr>
                <w:rFonts w:hint="eastAsia" w:ascii="仿宋" w:hAnsi="仿宋" w:eastAsia="仿宋" w:cs="仿宋_GB2312"/>
                <w:snapToGrid/>
                <w:szCs w:val="24"/>
                <w:lang w:val="en-US" w:eastAsia="zh-Hans"/>
              </w:rPr>
              <w:t>一项得1分，否则不得分，</w:t>
            </w:r>
            <w:r>
              <w:rPr>
                <w:rFonts w:hint="eastAsia" w:ascii="仿宋" w:hAnsi="仿宋" w:eastAsia="仿宋" w:cs="仿宋_GB2312"/>
                <w:snapToGrid/>
                <w:szCs w:val="24"/>
                <w:lang w:val="en-US"/>
              </w:rPr>
              <w:t>共2</w:t>
            </w:r>
            <w:r>
              <w:rPr>
                <w:rFonts w:hint="eastAsia" w:ascii="仿宋" w:hAnsi="仿宋" w:eastAsia="仿宋" w:cs="仿宋_GB2312"/>
                <w:snapToGrid/>
                <w:szCs w:val="24"/>
                <w:lang w:val="en-US" w:eastAsia="zh-Hans"/>
              </w:rPr>
              <w:t>分。</w:t>
            </w:r>
            <w:r>
              <w:rPr>
                <w:rFonts w:hint="eastAsia" w:ascii="仿宋" w:hAnsi="仿宋" w:cs="仿宋"/>
                <w:kern w:val="0"/>
                <w:sz w:val="22"/>
                <w:szCs w:val="22"/>
                <w:lang w:bidi="ar"/>
              </w:rPr>
              <w:br w:type="textWrapping"/>
            </w:r>
            <w:r>
              <w:rPr>
                <w:rFonts w:hint="eastAsia" w:ascii="仿宋" w:hAnsi="仿宋" w:eastAsia="仿宋" w:cs="仿宋_GB2312"/>
                <w:snapToGrid/>
                <w:szCs w:val="24"/>
                <w:lang w:val="en-US" w:eastAsia="zh-Hans"/>
              </w:rPr>
              <w:t>2.</w:t>
            </w:r>
            <w:r>
              <w:rPr>
                <w:rFonts w:hint="eastAsia" w:ascii="仿宋" w:hAnsi="仿宋" w:eastAsia="仿宋" w:cs="仿宋_GB2312"/>
                <w:snapToGrid/>
                <w:szCs w:val="24"/>
                <w:lang w:val="en-US"/>
              </w:rPr>
              <w:t>对</w:t>
            </w:r>
            <w:r>
              <w:rPr>
                <w:rFonts w:hint="eastAsia" w:ascii="仿宋" w:hAnsi="仿宋" w:eastAsia="仿宋" w:cs="仿宋_GB2312"/>
                <w:snapToGrid/>
                <w:szCs w:val="24"/>
                <w:lang w:val="en-US" w:eastAsia="zh-Hans"/>
              </w:rPr>
              <w:t>政务资源云管家系统工单管理模块功能</w:t>
            </w:r>
            <w:r>
              <w:rPr>
                <w:rFonts w:hint="eastAsia" w:ascii="仿宋" w:hAnsi="仿宋" w:eastAsia="仿宋" w:cs="仿宋_GB2312"/>
                <w:snapToGrid/>
                <w:szCs w:val="24"/>
                <w:lang w:val="en-US"/>
              </w:rPr>
              <w:t>进行演示</w:t>
            </w:r>
            <w:r>
              <w:rPr>
                <w:rFonts w:hint="eastAsia" w:ascii="仿宋" w:hAnsi="仿宋" w:eastAsia="仿宋" w:cs="仿宋_GB2312"/>
                <w:snapToGrid/>
                <w:szCs w:val="24"/>
                <w:lang w:val="en-US" w:eastAsia="zh-Hans"/>
              </w:rPr>
              <w:t>，</w:t>
            </w:r>
            <w:r>
              <w:rPr>
                <w:rFonts w:hint="eastAsia" w:ascii="仿宋" w:hAnsi="仿宋" w:eastAsia="仿宋" w:cs="仿宋_GB2312"/>
                <w:snapToGrid/>
                <w:szCs w:val="24"/>
                <w:lang w:val="en-US"/>
              </w:rPr>
              <w:t>包括</w:t>
            </w:r>
            <w:r>
              <w:rPr>
                <w:rFonts w:hint="eastAsia" w:ascii="仿宋" w:hAnsi="仿宋" w:eastAsia="仿宋" w:cs="仿宋_GB2312"/>
                <w:snapToGrid/>
                <w:szCs w:val="24"/>
                <w:lang w:val="en-US" w:eastAsia="zh-Hans"/>
              </w:rPr>
              <w:t>①工单录入；②工单指派；③工单办理；④工单确认；⑤工单办结；⑥综合查询功能演示；每</w:t>
            </w:r>
            <w:r>
              <w:rPr>
                <w:rFonts w:hint="eastAsia" w:ascii="仿宋" w:hAnsi="仿宋" w:eastAsia="仿宋" w:cs="仿宋_GB2312"/>
                <w:snapToGrid/>
                <w:szCs w:val="24"/>
                <w:lang w:val="en-US"/>
              </w:rPr>
              <w:t>成功演示</w:t>
            </w:r>
            <w:r>
              <w:rPr>
                <w:rFonts w:hint="eastAsia" w:ascii="仿宋" w:hAnsi="仿宋" w:eastAsia="仿宋" w:cs="仿宋_GB2312"/>
                <w:snapToGrid/>
                <w:szCs w:val="24"/>
                <w:lang w:val="en-US" w:eastAsia="zh-Hans"/>
              </w:rPr>
              <w:t>一项得1分，否则不得分，</w:t>
            </w:r>
            <w:r>
              <w:rPr>
                <w:rFonts w:hint="eastAsia" w:ascii="仿宋" w:hAnsi="仿宋" w:eastAsia="仿宋" w:cs="仿宋_GB2312"/>
                <w:snapToGrid/>
                <w:szCs w:val="24"/>
                <w:lang w:val="en-US"/>
              </w:rPr>
              <w:t>共6</w:t>
            </w:r>
            <w:r>
              <w:rPr>
                <w:rFonts w:hint="eastAsia" w:ascii="仿宋" w:hAnsi="仿宋" w:eastAsia="仿宋" w:cs="仿宋_GB2312"/>
                <w:snapToGrid/>
                <w:szCs w:val="24"/>
                <w:lang w:val="en-US" w:eastAsia="zh-Hans"/>
              </w:rPr>
              <w:t>分。</w:t>
            </w:r>
            <w:r>
              <w:rPr>
                <w:rFonts w:hint="eastAsia" w:ascii="仿宋" w:hAnsi="仿宋" w:eastAsia="仿宋" w:cs="仿宋_GB2312"/>
                <w:snapToGrid/>
                <w:szCs w:val="24"/>
                <w:lang w:val="en-US" w:eastAsia="zh-Hans"/>
              </w:rPr>
              <w:br w:type="textWrapping"/>
            </w:r>
            <w:r>
              <w:rPr>
                <w:rFonts w:hint="eastAsia" w:ascii="仿宋" w:hAnsi="仿宋" w:eastAsia="仿宋" w:cs="仿宋_GB2312"/>
                <w:snapToGrid/>
                <w:szCs w:val="24"/>
                <w:lang w:val="en-US" w:eastAsia="zh-Hans"/>
              </w:rPr>
              <w:t>3.</w:t>
            </w:r>
            <w:r>
              <w:rPr>
                <w:rFonts w:hint="eastAsia" w:ascii="仿宋" w:hAnsi="仿宋" w:eastAsia="仿宋" w:cs="仿宋_GB2312"/>
                <w:snapToGrid/>
                <w:szCs w:val="24"/>
                <w:lang w:val="en-US"/>
              </w:rPr>
              <w:t>对</w:t>
            </w:r>
            <w:r>
              <w:rPr>
                <w:rFonts w:hint="eastAsia" w:ascii="仿宋" w:hAnsi="仿宋" w:eastAsia="仿宋" w:cs="仿宋_GB2312"/>
                <w:snapToGrid/>
                <w:szCs w:val="24"/>
                <w:lang w:val="en-US" w:eastAsia="zh-Hans"/>
              </w:rPr>
              <w:t>政务资源云管家系统政务云资源模块功能</w:t>
            </w:r>
            <w:r>
              <w:rPr>
                <w:rFonts w:hint="eastAsia" w:ascii="仿宋" w:hAnsi="仿宋" w:eastAsia="仿宋" w:cs="仿宋_GB2312"/>
                <w:snapToGrid/>
                <w:szCs w:val="24"/>
                <w:lang w:val="en-US"/>
              </w:rPr>
              <w:t>进行演示</w:t>
            </w:r>
            <w:r>
              <w:rPr>
                <w:rFonts w:hint="eastAsia" w:ascii="仿宋" w:hAnsi="仿宋" w:eastAsia="仿宋" w:cs="仿宋_GB2312"/>
                <w:snapToGrid/>
                <w:szCs w:val="24"/>
                <w:lang w:val="en-US" w:eastAsia="zh-Hans"/>
              </w:rPr>
              <w:t>，</w:t>
            </w:r>
            <w:r>
              <w:rPr>
                <w:rFonts w:hint="eastAsia" w:ascii="仿宋" w:hAnsi="仿宋" w:eastAsia="仿宋" w:cs="仿宋_GB2312"/>
                <w:snapToGrid/>
                <w:szCs w:val="24"/>
                <w:lang w:val="en-US"/>
              </w:rPr>
              <w:t>包括</w:t>
            </w:r>
            <w:r>
              <w:rPr>
                <w:rFonts w:hint="eastAsia" w:ascii="仿宋" w:hAnsi="仿宋" w:eastAsia="仿宋" w:cs="仿宋_GB2312"/>
                <w:snapToGrid/>
                <w:szCs w:val="24"/>
                <w:lang w:val="en-US" w:eastAsia="zh-Hans"/>
              </w:rPr>
              <w:t>①政务资源实例情况；②政务资源应用情况；③政务资源部门情况；每</w:t>
            </w:r>
            <w:r>
              <w:rPr>
                <w:rFonts w:hint="eastAsia" w:ascii="仿宋" w:hAnsi="仿宋" w:eastAsia="仿宋" w:cs="仿宋_GB2312"/>
                <w:snapToGrid/>
                <w:szCs w:val="24"/>
                <w:lang w:val="en-US"/>
              </w:rPr>
              <w:t>成功演示</w:t>
            </w:r>
            <w:r>
              <w:rPr>
                <w:rFonts w:hint="eastAsia" w:ascii="仿宋" w:hAnsi="仿宋" w:eastAsia="仿宋" w:cs="仿宋_GB2312"/>
                <w:snapToGrid/>
                <w:szCs w:val="24"/>
                <w:lang w:val="en-US" w:eastAsia="zh-Hans"/>
              </w:rPr>
              <w:t>一项得1分，否则不得分，</w:t>
            </w:r>
            <w:r>
              <w:rPr>
                <w:rFonts w:hint="eastAsia" w:ascii="仿宋" w:hAnsi="仿宋" w:eastAsia="仿宋" w:cs="仿宋_GB2312"/>
                <w:snapToGrid/>
                <w:szCs w:val="24"/>
                <w:lang w:val="en-US"/>
              </w:rPr>
              <w:t>共3</w:t>
            </w:r>
            <w:r>
              <w:rPr>
                <w:rFonts w:hint="eastAsia" w:ascii="仿宋" w:hAnsi="仿宋" w:eastAsia="仿宋" w:cs="仿宋_GB2312"/>
                <w:snapToGrid/>
                <w:szCs w:val="24"/>
                <w:lang w:val="en-US" w:eastAsia="zh-Hans"/>
              </w:rPr>
              <w:t>分</w:t>
            </w:r>
            <w:r>
              <w:rPr>
                <w:rFonts w:hint="eastAsia" w:ascii="仿宋" w:hAnsi="仿宋" w:eastAsia="仿宋" w:cs="仿宋_GB2312"/>
                <w:snapToGrid/>
                <w:szCs w:val="24"/>
                <w:lang w:val="en-US"/>
              </w:rPr>
              <w:t>。</w:t>
            </w:r>
          </w:p>
          <w:p>
            <w:pPr>
              <w:pStyle w:val="2"/>
              <w:rPr>
                <w:rFonts w:ascii="仿宋" w:hAnsi="仿宋" w:eastAsia="仿宋" w:cs="仿宋_GB2312"/>
                <w:snapToGrid/>
                <w:szCs w:val="24"/>
                <w:lang w:val="en-US" w:eastAsia="zh-Hans"/>
              </w:rPr>
            </w:pPr>
            <w:r>
              <w:rPr>
                <w:rFonts w:hint="eastAsia" w:ascii="仿宋" w:hAnsi="仿宋" w:eastAsia="仿宋" w:cs="仿宋_GB2312"/>
                <w:snapToGrid/>
                <w:szCs w:val="24"/>
                <w:lang w:val="en-US" w:eastAsia="zh-Hans"/>
              </w:rPr>
              <w:t>4.</w:t>
            </w:r>
            <w:r>
              <w:rPr>
                <w:rFonts w:hint="eastAsia" w:ascii="仿宋" w:hAnsi="仿宋" w:eastAsia="仿宋" w:cs="仿宋_GB2312"/>
                <w:snapToGrid/>
                <w:szCs w:val="24"/>
                <w:lang w:val="en-US"/>
              </w:rPr>
              <w:t>对</w:t>
            </w:r>
            <w:r>
              <w:rPr>
                <w:rFonts w:hint="eastAsia" w:ascii="仿宋" w:hAnsi="仿宋" w:eastAsia="仿宋" w:cs="仿宋_GB2312"/>
                <w:snapToGrid/>
                <w:szCs w:val="24"/>
                <w:lang w:val="en-US" w:eastAsia="zh-Hans"/>
              </w:rPr>
              <w:t>政务资源云管家系统通知公告功能</w:t>
            </w:r>
            <w:r>
              <w:rPr>
                <w:rFonts w:hint="eastAsia" w:ascii="仿宋" w:hAnsi="仿宋" w:eastAsia="仿宋" w:cs="仿宋_GB2312"/>
                <w:snapToGrid/>
                <w:szCs w:val="24"/>
                <w:lang w:val="en-US"/>
              </w:rPr>
              <w:t>进行演示</w:t>
            </w:r>
            <w:r>
              <w:rPr>
                <w:rFonts w:hint="eastAsia" w:ascii="仿宋" w:hAnsi="仿宋" w:eastAsia="仿宋" w:cs="仿宋_GB2312"/>
                <w:snapToGrid/>
                <w:szCs w:val="24"/>
                <w:lang w:val="en-US" w:eastAsia="zh-Hans"/>
              </w:rPr>
              <w:t>，包</w:t>
            </w:r>
            <w:r>
              <w:rPr>
                <w:rFonts w:hint="eastAsia" w:ascii="仿宋" w:hAnsi="仿宋" w:eastAsia="仿宋" w:cs="仿宋_GB2312"/>
                <w:snapToGrid/>
                <w:szCs w:val="24"/>
                <w:lang w:val="en-US"/>
              </w:rPr>
              <w:t>括</w:t>
            </w:r>
            <w:r>
              <w:rPr>
                <w:rFonts w:hint="eastAsia" w:ascii="仿宋" w:hAnsi="仿宋" w:eastAsia="仿宋" w:cs="仿宋_GB2312"/>
                <w:snapToGrid/>
                <w:szCs w:val="24"/>
                <w:lang w:val="en-US" w:eastAsia="zh-Hans"/>
              </w:rPr>
              <w:t>①新增公告；②已发送公告；③已撤回公告；④草稿箱功能演示；每</w:t>
            </w:r>
            <w:r>
              <w:rPr>
                <w:rFonts w:hint="eastAsia" w:ascii="仿宋" w:hAnsi="仿宋" w:eastAsia="仿宋" w:cs="仿宋_GB2312"/>
                <w:snapToGrid/>
                <w:szCs w:val="24"/>
                <w:lang w:val="en-US"/>
              </w:rPr>
              <w:t>成功演示</w:t>
            </w:r>
            <w:r>
              <w:rPr>
                <w:rFonts w:hint="eastAsia" w:ascii="仿宋" w:hAnsi="仿宋" w:eastAsia="仿宋" w:cs="仿宋_GB2312"/>
                <w:snapToGrid/>
                <w:szCs w:val="24"/>
                <w:lang w:val="en-US" w:eastAsia="zh-Hans"/>
              </w:rPr>
              <w:t>一项得1分，否则不得分，</w:t>
            </w:r>
            <w:r>
              <w:rPr>
                <w:rFonts w:hint="eastAsia" w:ascii="仿宋" w:hAnsi="仿宋" w:eastAsia="仿宋" w:cs="仿宋_GB2312"/>
                <w:snapToGrid/>
                <w:szCs w:val="24"/>
                <w:lang w:val="en-US"/>
              </w:rPr>
              <w:t>共4</w:t>
            </w:r>
            <w:r>
              <w:rPr>
                <w:rFonts w:hint="eastAsia" w:ascii="仿宋" w:hAnsi="仿宋" w:eastAsia="仿宋" w:cs="仿宋_GB2312"/>
                <w:snapToGrid/>
                <w:szCs w:val="24"/>
                <w:lang w:val="en-US" w:eastAsia="zh-Hans"/>
              </w:rPr>
              <w:t>分</w:t>
            </w:r>
            <w:r>
              <w:rPr>
                <w:rFonts w:hint="eastAsia" w:ascii="仿宋" w:hAnsi="仿宋" w:eastAsia="仿宋" w:cs="仿宋_GB2312"/>
                <w:snapToGrid/>
                <w:szCs w:val="24"/>
                <w:lang w:val="en-US"/>
              </w:rPr>
              <w:t>。</w:t>
            </w:r>
          </w:p>
          <w:p>
            <w:pPr>
              <w:pStyle w:val="2"/>
              <w:rPr>
                <w:rFonts w:ascii="仿宋" w:hAnsi="仿宋" w:eastAsia="仿宋" w:cs="仿宋_GB2312"/>
                <w:lang w:val="en-US"/>
              </w:rPr>
            </w:pPr>
            <w:r>
              <w:rPr>
                <w:rFonts w:hint="eastAsia" w:ascii="仿宋" w:hAnsi="仿宋" w:eastAsia="仿宋" w:cs="仿宋_GB2312"/>
                <w:snapToGrid/>
                <w:szCs w:val="24"/>
                <w:lang w:val="en-US" w:eastAsia="zh-Hans"/>
              </w:rPr>
              <w:t>5.</w:t>
            </w:r>
            <w:r>
              <w:rPr>
                <w:rFonts w:hint="eastAsia" w:ascii="仿宋" w:hAnsi="仿宋" w:eastAsia="仿宋" w:cs="仿宋_GB2312"/>
                <w:snapToGrid/>
                <w:szCs w:val="24"/>
                <w:lang w:val="en-US"/>
              </w:rPr>
              <w:t>对</w:t>
            </w:r>
            <w:r>
              <w:rPr>
                <w:rFonts w:hint="eastAsia" w:ascii="仿宋" w:hAnsi="仿宋" w:eastAsia="仿宋" w:cs="仿宋_GB2312"/>
                <w:snapToGrid/>
                <w:szCs w:val="24"/>
                <w:lang w:val="en-US" w:eastAsia="zh-Hans"/>
              </w:rPr>
              <w:t>政务资源云管家浙政钉应用功能</w:t>
            </w:r>
            <w:r>
              <w:rPr>
                <w:rFonts w:hint="eastAsia" w:ascii="仿宋" w:hAnsi="仿宋" w:eastAsia="仿宋" w:cs="仿宋_GB2312"/>
                <w:snapToGrid/>
                <w:szCs w:val="24"/>
                <w:lang w:val="en-US"/>
              </w:rPr>
              <w:t>进行演示</w:t>
            </w:r>
            <w:r>
              <w:rPr>
                <w:rFonts w:hint="eastAsia" w:ascii="仿宋" w:hAnsi="仿宋" w:eastAsia="仿宋" w:cs="仿宋_GB2312"/>
                <w:snapToGrid/>
                <w:szCs w:val="24"/>
                <w:lang w:val="en-US" w:eastAsia="zh-Hans"/>
              </w:rPr>
              <w:t>，包</w:t>
            </w:r>
            <w:r>
              <w:rPr>
                <w:rFonts w:hint="eastAsia" w:ascii="仿宋" w:hAnsi="仿宋" w:eastAsia="仿宋" w:cs="仿宋_GB2312"/>
                <w:snapToGrid/>
                <w:szCs w:val="24"/>
                <w:lang w:val="en-US"/>
              </w:rPr>
              <w:t>括</w:t>
            </w:r>
            <w:r>
              <w:rPr>
                <w:rFonts w:hint="eastAsia" w:ascii="仿宋" w:hAnsi="仿宋" w:eastAsia="仿宋" w:cs="仿宋_GB2312"/>
                <w:snapToGrid/>
                <w:szCs w:val="24"/>
                <w:lang w:val="en-US" w:eastAsia="zh-Hans"/>
              </w:rPr>
              <w:t>①待指派；②待办理；③已办理；④全部模块</w:t>
            </w:r>
            <w:r>
              <w:rPr>
                <w:rFonts w:hint="eastAsia" w:ascii="仿宋" w:hAnsi="仿宋" w:eastAsia="仿宋" w:cs="仿宋_GB2312"/>
                <w:snapToGrid/>
                <w:szCs w:val="24"/>
                <w:lang w:val="en-US"/>
              </w:rPr>
              <w:t>；</w:t>
            </w:r>
            <w:r>
              <w:rPr>
                <w:rFonts w:hint="eastAsia" w:ascii="仿宋" w:hAnsi="仿宋" w:eastAsia="仿宋" w:cs="仿宋_GB2312"/>
                <w:snapToGrid/>
                <w:szCs w:val="24"/>
                <w:lang w:val="en-US" w:eastAsia="zh-Hans"/>
              </w:rPr>
              <w:t>每</w:t>
            </w:r>
            <w:r>
              <w:rPr>
                <w:rFonts w:hint="eastAsia" w:ascii="仿宋" w:hAnsi="仿宋" w:eastAsia="仿宋" w:cs="仿宋_GB2312"/>
                <w:snapToGrid/>
                <w:szCs w:val="24"/>
                <w:lang w:val="en-US"/>
              </w:rPr>
              <w:t>成功演示</w:t>
            </w:r>
            <w:r>
              <w:rPr>
                <w:rFonts w:hint="eastAsia" w:ascii="仿宋" w:hAnsi="仿宋" w:eastAsia="仿宋" w:cs="仿宋_GB2312"/>
                <w:snapToGrid/>
                <w:szCs w:val="24"/>
                <w:lang w:val="en-US" w:eastAsia="zh-Hans"/>
              </w:rPr>
              <w:t>一项得1分，否则不得分，</w:t>
            </w:r>
            <w:r>
              <w:rPr>
                <w:rFonts w:hint="eastAsia" w:ascii="仿宋" w:hAnsi="仿宋" w:eastAsia="仿宋" w:cs="仿宋_GB2312"/>
                <w:snapToGrid/>
                <w:szCs w:val="24"/>
                <w:lang w:val="en-US"/>
              </w:rPr>
              <w:t>共4</w:t>
            </w:r>
            <w:r>
              <w:rPr>
                <w:rFonts w:hint="eastAsia" w:ascii="仿宋" w:hAnsi="仿宋" w:eastAsia="仿宋" w:cs="仿宋_GB2312"/>
                <w:snapToGrid/>
                <w:szCs w:val="24"/>
                <w:lang w:val="en-US" w:eastAsia="zh-Hans"/>
              </w:rPr>
              <w:t>分</w:t>
            </w:r>
            <w:r>
              <w:rPr>
                <w:rFonts w:hint="eastAsia" w:ascii="仿宋" w:hAnsi="仿宋" w:eastAsia="仿宋" w:cs="仿宋_GB2312"/>
                <w:snapToGrid/>
                <w:szCs w:val="24"/>
                <w:lang w:val="en-US"/>
              </w:rPr>
              <w:t>。</w:t>
            </w:r>
          </w:p>
        </w:tc>
        <w:tc>
          <w:tcPr>
            <w:tcW w:w="370" w:type="pct"/>
            <w:vAlign w:val="center"/>
          </w:tcPr>
          <w:p>
            <w:pPr>
              <w:jc w:val="center"/>
              <w:rPr>
                <w:rFonts w:ascii="仿宋" w:hAnsi="仿宋" w:eastAsia="仿宋" w:cs="仿宋"/>
                <w:sz w:val="24"/>
              </w:rPr>
            </w:pPr>
            <w:r>
              <w:rPr>
                <w:rFonts w:hint="eastAsia" w:ascii="仿宋" w:hAnsi="仿宋" w:eastAsia="仿宋" w:cs="仿宋"/>
                <w:sz w:val="24"/>
              </w:rPr>
              <w:t>19</w:t>
            </w:r>
          </w:p>
        </w:tc>
        <w:tc>
          <w:tcPr>
            <w:tcW w:w="1206" w:type="pct"/>
            <w:vAlign w:val="center"/>
          </w:tcPr>
          <w:p>
            <w:pPr>
              <w:jc w:val="cente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11</w:t>
            </w:r>
          </w:p>
        </w:tc>
        <w:tc>
          <w:tcPr>
            <w:tcW w:w="2971" w:type="pct"/>
            <w:vAlign w:val="center"/>
          </w:tcPr>
          <w:p>
            <w:pPr>
              <w:spacing w:line="360" w:lineRule="auto"/>
              <w:outlineLvl w:val="0"/>
              <w:rPr>
                <w:rFonts w:ascii="仿宋" w:hAnsi="仿宋" w:eastAsia="仿宋" w:cs="仿宋_GB2312"/>
                <w:sz w:val="24"/>
                <w:szCs w:val="22"/>
              </w:rPr>
            </w:pPr>
            <w:r>
              <w:rPr>
                <w:rFonts w:hint="eastAsia" w:ascii="仿宋" w:hAnsi="仿宋" w:eastAsia="仿宋" w:cs="仿宋_GB2312"/>
                <w:sz w:val="24"/>
                <w:lang w:eastAsia="zh-Hans"/>
              </w:rPr>
              <w:t>投标人具有ISO9001质量管理体系证书</w:t>
            </w:r>
            <w:r>
              <w:rPr>
                <w:rFonts w:hint="eastAsia" w:ascii="仿宋" w:hAnsi="仿宋" w:eastAsia="仿宋" w:cs="仿宋_GB2312"/>
                <w:sz w:val="24"/>
              </w:rPr>
              <w:t>、ISO20000信息技术服务管理体系认证证书、ISO27001信息安全管理体系认证证书，提供相关证书，每个证书</w:t>
            </w:r>
            <w:r>
              <w:rPr>
                <w:rFonts w:hint="eastAsia" w:ascii="仿宋" w:hAnsi="仿宋" w:eastAsia="仿宋" w:cs="仿宋_GB2312"/>
                <w:sz w:val="24"/>
                <w:lang w:eastAsia="zh-Hans"/>
              </w:rPr>
              <w:t>得</w:t>
            </w:r>
            <w:r>
              <w:rPr>
                <w:rFonts w:hint="eastAsia" w:ascii="仿宋" w:hAnsi="仿宋" w:eastAsia="仿宋" w:cs="仿宋_GB2312"/>
                <w:sz w:val="24"/>
              </w:rPr>
              <w:t>1</w:t>
            </w:r>
            <w:r>
              <w:rPr>
                <w:rFonts w:hint="eastAsia" w:ascii="仿宋" w:hAnsi="仿宋" w:eastAsia="仿宋" w:cs="仿宋_GB2312"/>
                <w:sz w:val="24"/>
                <w:lang w:eastAsia="zh-Hans"/>
              </w:rPr>
              <w:t>分，</w:t>
            </w:r>
            <w:r>
              <w:rPr>
                <w:rFonts w:hint="eastAsia" w:ascii="仿宋" w:hAnsi="仿宋" w:eastAsia="仿宋" w:cs="仿宋_GB2312"/>
                <w:sz w:val="24"/>
              </w:rPr>
              <w:t>共3分。</w:t>
            </w:r>
          </w:p>
        </w:tc>
        <w:tc>
          <w:tcPr>
            <w:tcW w:w="370" w:type="pct"/>
            <w:vAlign w:val="center"/>
          </w:tcPr>
          <w:p>
            <w:pPr>
              <w:jc w:val="center"/>
              <w:rPr>
                <w:rFonts w:ascii="仿宋" w:hAnsi="仿宋" w:eastAsia="仿宋" w:cs="仿宋"/>
                <w:sz w:val="24"/>
              </w:rPr>
            </w:pPr>
            <w:r>
              <w:rPr>
                <w:rFonts w:hint="eastAsia" w:ascii="仿宋" w:hAnsi="仿宋" w:eastAsia="仿宋" w:cs="仿宋"/>
                <w:sz w:val="24"/>
              </w:rPr>
              <w:t>3</w:t>
            </w:r>
          </w:p>
        </w:tc>
        <w:tc>
          <w:tcPr>
            <w:tcW w:w="1206" w:type="pct"/>
            <w:vMerge w:val="restart"/>
            <w:vAlign w:val="center"/>
          </w:tcPr>
          <w:p>
            <w:pPr>
              <w:jc w:val="center"/>
              <w:rPr>
                <w:rFonts w:ascii="仿宋" w:hAnsi="仿宋" w:eastAsia="仿宋" w:cs="仿宋"/>
              </w:rPr>
            </w:pPr>
            <w:r>
              <w:rPr>
                <w:rFonts w:hint="eastAsia" w:ascii="仿宋" w:hAnsi="仿宋" w:eastAsia="仿宋" w:cs="仿宋"/>
                <w:sz w:val="24"/>
              </w:rPr>
              <w:t>（十）综合实力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12</w:t>
            </w:r>
          </w:p>
        </w:tc>
        <w:tc>
          <w:tcPr>
            <w:tcW w:w="2971"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lang w:eastAsia="zh-Hans"/>
              </w:rPr>
              <w:t>项目建设的成功经验</w:t>
            </w:r>
            <w:r>
              <w:rPr>
                <w:rFonts w:hint="eastAsia" w:ascii="仿宋" w:hAnsi="仿宋" w:eastAsia="仿宋" w:cs="仿宋_GB2312"/>
                <w:sz w:val="24"/>
              </w:rPr>
              <w:t>：</w:t>
            </w:r>
            <w:r>
              <w:rPr>
                <w:rFonts w:hint="eastAsia" w:ascii="仿宋" w:hAnsi="仿宋" w:eastAsia="仿宋" w:cs="仿宋_GB2312"/>
                <w:sz w:val="24"/>
                <w:lang w:eastAsia="zh-Hans"/>
              </w:rPr>
              <w:t>投标人提供</w:t>
            </w:r>
            <w:r>
              <w:rPr>
                <w:rFonts w:hint="eastAsia" w:ascii="仿宋" w:hAnsi="仿宋" w:eastAsia="仿宋" w:cs="仿宋_GB2312"/>
                <w:sz w:val="24"/>
              </w:rPr>
              <w:t>自2019</w:t>
            </w:r>
            <w:r>
              <w:rPr>
                <w:rFonts w:hint="eastAsia" w:ascii="仿宋" w:hAnsi="仿宋" w:eastAsia="仿宋" w:cs="仿宋_GB2312"/>
                <w:sz w:val="24"/>
                <w:lang w:eastAsia="zh-Hans"/>
              </w:rPr>
              <w:t>年</w:t>
            </w:r>
            <w:r>
              <w:rPr>
                <w:rFonts w:hint="eastAsia" w:ascii="仿宋" w:hAnsi="仿宋" w:eastAsia="仿宋" w:cs="仿宋_GB2312"/>
                <w:sz w:val="24"/>
              </w:rPr>
              <w:t>9</w:t>
            </w:r>
            <w:r>
              <w:rPr>
                <w:rFonts w:hint="eastAsia" w:ascii="仿宋" w:hAnsi="仿宋" w:eastAsia="仿宋" w:cs="仿宋_GB2312"/>
                <w:sz w:val="24"/>
                <w:lang w:eastAsia="zh-Hans"/>
              </w:rPr>
              <w:t>月1日至</w:t>
            </w:r>
            <w:r>
              <w:rPr>
                <w:rFonts w:hint="eastAsia" w:ascii="仿宋" w:hAnsi="仿宋" w:eastAsia="仿宋" w:cs="仿宋_GB2312"/>
                <w:sz w:val="24"/>
              </w:rPr>
              <w:t>开标时间止</w:t>
            </w:r>
            <w:r>
              <w:rPr>
                <w:rFonts w:hint="eastAsia" w:ascii="仿宋" w:hAnsi="仿宋" w:eastAsia="仿宋" w:cs="仿宋_GB2312"/>
                <w:sz w:val="24"/>
                <w:lang w:eastAsia="zh-Hans"/>
              </w:rPr>
              <w:t>（以合同签订时间为准</w:t>
            </w:r>
            <w:r>
              <w:rPr>
                <w:rFonts w:hint="eastAsia" w:ascii="仿宋" w:hAnsi="仿宋" w:eastAsia="仿宋" w:cs="仿宋_GB2312"/>
                <w:sz w:val="24"/>
              </w:rPr>
              <w:t>）完成过门户项目同类</w:t>
            </w:r>
            <w:r>
              <w:rPr>
                <w:rFonts w:hint="eastAsia" w:ascii="仿宋" w:hAnsi="仿宋" w:eastAsia="仿宋" w:cs="仿宋_GB2312"/>
                <w:sz w:val="24"/>
                <w:lang w:eastAsia="zh-Hans"/>
              </w:rPr>
              <w:t>案例情况，</w:t>
            </w:r>
            <w:r>
              <w:rPr>
                <w:rFonts w:hint="eastAsia" w:ascii="仿宋" w:hAnsi="仿宋" w:eastAsia="仿宋" w:cs="仿宋_GB2312"/>
                <w:sz w:val="24"/>
              </w:rPr>
              <w:t>需同时提供合同及中标（成交）通知书，</w:t>
            </w:r>
            <w:r>
              <w:rPr>
                <w:rFonts w:hint="eastAsia" w:ascii="仿宋" w:hAnsi="仿宋" w:eastAsia="仿宋" w:cs="仿宋_GB2312"/>
                <w:sz w:val="24"/>
                <w:lang w:eastAsia="zh-Hans"/>
              </w:rPr>
              <w:t>每个案例得</w:t>
            </w:r>
            <w:r>
              <w:rPr>
                <w:rFonts w:hint="eastAsia" w:ascii="仿宋" w:hAnsi="仿宋" w:eastAsia="仿宋" w:cs="仿宋_GB2312"/>
                <w:sz w:val="24"/>
              </w:rPr>
              <w:t>1</w:t>
            </w:r>
            <w:r>
              <w:rPr>
                <w:rFonts w:hint="eastAsia" w:ascii="仿宋" w:hAnsi="仿宋" w:eastAsia="仿宋" w:cs="仿宋_GB2312"/>
                <w:sz w:val="24"/>
                <w:lang w:eastAsia="zh-Hans"/>
              </w:rPr>
              <w:t>分，</w:t>
            </w:r>
            <w:r>
              <w:rPr>
                <w:rFonts w:hint="eastAsia" w:ascii="仿宋" w:hAnsi="仿宋" w:eastAsia="仿宋" w:cs="仿宋_GB2312"/>
                <w:sz w:val="24"/>
              </w:rPr>
              <w:t>共3</w:t>
            </w:r>
            <w:r>
              <w:rPr>
                <w:rFonts w:hint="eastAsia" w:ascii="仿宋" w:hAnsi="仿宋" w:eastAsia="仿宋" w:cs="仿宋_GB2312"/>
                <w:sz w:val="24"/>
                <w:lang w:eastAsia="zh-Hans"/>
              </w:rPr>
              <w:t>分</w:t>
            </w:r>
            <w:r>
              <w:rPr>
                <w:rFonts w:hint="eastAsia" w:ascii="仿宋" w:hAnsi="仿宋" w:eastAsia="仿宋" w:cs="仿宋_GB2312"/>
                <w:sz w:val="24"/>
              </w:rPr>
              <w:t>。</w:t>
            </w:r>
          </w:p>
        </w:tc>
        <w:tc>
          <w:tcPr>
            <w:tcW w:w="370" w:type="pct"/>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3</w:t>
            </w:r>
          </w:p>
        </w:tc>
        <w:tc>
          <w:tcPr>
            <w:tcW w:w="1206" w:type="pct"/>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52"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13</w:t>
            </w:r>
          </w:p>
        </w:tc>
        <w:tc>
          <w:tcPr>
            <w:tcW w:w="2971"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有效投标报价的最低价作为评标基准价，其最低报价为满分；按［投标报价得分=（评标基准价/投标报价）*30］的计算公式计算。</w:t>
            </w:r>
          </w:p>
          <w:p>
            <w:pPr>
              <w:spacing w:line="360" w:lineRule="auto"/>
              <w:outlineLvl w:val="0"/>
              <w:rPr>
                <w:rFonts w:ascii="仿宋" w:hAnsi="仿宋" w:eastAsia="仿宋" w:cs="仿宋_GB2312"/>
                <w:sz w:val="24"/>
              </w:rPr>
            </w:pPr>
            <w:r>
              <w:rPr>
                <w:rFonts w:hint="eastAsia" w:ascii="仿宋" w:hAnsi="仿宋" w:eastAsia="仿宋" w:cs="仿宋_GB2312"/>
                <w:sz w:val="24"/>
              </w:rPr>
              <w:t>评标过程中，不得去掉报价中的最高报价和最低报价。</w:t>
            </w:r>
          </w:p>
          <w:p>
            <w:pPr>
              <w:spacing w:line="360" w:lineRule="auto"/>
              <w:outlineLvl w:val="0"/>
              <w:rPr>
                <w:rFonts w:ascii="仿宋" w:hAnsi="仿宋" w:eastAsia="仿宋" w:cs="仿宋_GB2312"/>
                <w:sz w:val="24"/>
              </w:rPr>
            </w:pPr>
            <w:r>
              <w:rPr>
                <w:rFonts w:hint="eastAsia" w:ascii="仿宋" w:hAnsi="仿宋" w:eastAsia="仿宋" w:cs="仿宋_GB2312"/>
                <w:sz w:val="24"/>
              </w:rPr>
              <w:t>因落实政府采购政策需要进行价格调整的，以调整后的价格计算评标基准价和投标报价。</w:t>
            </w:r>
          </w:p>
        </w:tc>
        <w:tc>
          <w:tcPr>
            <w:tcW w:w="370"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30</w:t>
            </w:r>
          </w:p>
        </w:tc>
        <w:tc>
          <w:tcPr>
            <w:tcW w:w="1206"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w:t>
            </w:r>
          </w:p>
        </w:tc>
      </w:tr>
    </w:tbl>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4"/>
        </w:rPr>
      </w:pP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4"/>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4"/>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仿宋"/>
        </w:rPr>
      </w:pPr>
    </w:p>
    <w:bookmarkEnd w:id="27"/>
    <w:p>
      <w:pPr>
        <w:spacing w:line="360" w:lineRule="auto"/>
        <w:ind w:left="720" w:leftChars="343" w:firstLine="1084" w:firstLineChars="300"/>
        <w:outlineLvl w:val="0"/>
        <w:rPr>
          <w:rFonts w:ascii="仿宋" w:hAnsi="仿宋" w:eastAsia="仿宋" w:cs="仿宋"/>
          <w:b/>
          <w:sz w:val="36"/>
          <w:szCs w:val="36"/>
        </w:rPr>
      </w:pPr>
      <w:bookmarkStart w:id="393" w:name="第五部分"/>
      <w:bookmarkStart w:id="394" w:name="_Toc86217003"/>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pPr>
        <w:pStyle w:val="699"/>
        <w:ind w:firstLine="2843" w:firstLineChars="1180"/>
        <w:rPr>
          <w:rFonts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ascii="仿宋" w:hAnsi="仿宋" w:eastAsia="仿宋" w:cs="仿宋"/>
          <w:sz w:val="24"/>
        </w:rPr>
      </w:pPr>
    </w:p>
    <w:p>
      <w:pPr>
        <w:pStyle w:val="4"/>
        <w:rPr>
          <w:rFonts w:ascii="仿宋" w:eastAsia="仿宋" w:cs="仿宋"/>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6"/>
        <w:spacing w:before="120" w:line="22" w:lineRule="atLeast"/>
        <w:rPr>
          <w:rFonts w:ascii="仿宋" w:hAnsi="仿宋" w:eastAsia="仿宋" w:cs="仿宋"/>
          <w:szCs w:val="24"/>
        </w:rPr>
      </w:pPr>
    </w:p>
    <w:p>
      <w:pPr>
        <w:pStyle w:val="596"/>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sz w:val="24"/>
        </w:rPr>
      </w:pPr>
      <w:bookmarkStart w:id="395" w:name="_Toc20421"/>
      <w:bookmarkStart w:id="396" w:name="_Toc19273"/>
      <w:bookmarkStart w:id="397" w:name="_Toc22967"/>
      <w:bookmarkStart w:id="398" w:name="_Toc15367"/>
      <w:bookmarkStart w:id="399" w:name="_Toc28855"/>
      <w:r>
        <w:rPr>
          <w:rFonts w:hint="eastAsia" w:ascii="仿宋" w:hAnsi="仿宋" w:eastAsia="仿宋" w:cs="仿宋"/>
          <w:b/>
          <w:sz w:val="24"/>
        </w:rPr>
        <w:t>1.1 合同组成部分</w:t>
      </w:r>
      <w:bookmarkEnd w:id="395"/>
      <w:bookmarkEnd w:id="396"/>
      <w:bookmarkEnd w:id="397"/>
      <w:bookmarkEnd w:id="398"/>
      <w:bookmarkEnd w:id="399"/>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400" w:name="_Toc6773"/>
      <w:bookmarkStart w:id="401" w:name="_Toc22185"/>
      <w:bookmarkStart w:id="402" w:name="_Toc18585"/>
      <w:bookmarkStart w:id="403" w:name="_Toc6311"/>
      <w:bookmarkStart w:id="404" w:name="_Toc2918"/>
      <w:r>
        <w:rPr>
          <w:rFonts w:hint="eastAsia" w:ascii="仿宋" w:hAnsi="仿宋" w:eastAsia="仿宋" w:cs="仿宋"/>
          <w:b/>
          <w:sz w:val="24"/>
        </w:rPr>
        <w:t>1.2 标的</w:t>
      </w:r>
      <w:bookmarkEnd w:id="400"/>
      <w:bookmarkEnd w:id="401"/>
      <w:bookmarkEnd w:id="402"/>
      <w:bookmarkEnd w:id="403"/>
      <w:bookmarkEnd w:id="404"/>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05" w:name="_Toc13918"/>
      <w:bookmarkStart w:id="406" w:name="_Toc4929"/>
      <w:bookmarkStart w:id="407" w:name="_Toc21124"/>
      <w:bookmarkStart w:id="408" w:name="_Toc1386"/>
      <w:bookmarkStart w:id="409" w:name="_Toc5635"/>
      <w:r>
        <w:rPr>
          <w:rFonts w:hint="eastAsia" w:ascii="仿宋" w:hAnsi="仿宋" w:eastAsia="仿宋" w:cs="仿宋"/>
          <w:b/>
          <w:sz w:val="24"/>
        </w:rPr>
        <w:t>1.3 价款</w:t>
      </w:r>
      <w:bookmarkEnd w:id="405"/>
      <w:bookmarkEnd w:id="406"/>
      <w:bookmarkEnd w:id="407"/>
      <w:bookmarkEnd w:id="408"/>
      <w:bookmarkEnd w:id="409"/>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7"/>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s="仿宋"/>
                <w:sz w:val="24"/>
                <w:szCs w:val="24"/>
              </w:rPr>
            </w:pPr>
          </w:p>
        </w:tc>
        <w:tc>
          <w:tcPr>
            <w:tcW w:w="3402" w:type="dxa"/>
            <w:vAlign w:val="center"/>
          </w:tcPr>
          <w:p>
            <w:pPr>
              <w:pStyle w:val="317"/>
              <w:spacing w:line="560" w:lineRule="exact"/>
              <w:ind w:firstLine="200"/>
              <w:jc w:val="center"/>
              <w:rPr>
                <w:rFonts w:ascii="仿宋" w:hAnsi="仿宋" w:eastAsia="仿宋" w:cs="仿宋"/>
                <w:sz w:val="24"/>
                <w:szCs w:val="24"/>
              </w:rPr>
            </w:pPr>
          </w:p>
        </w:tc>
        <w:tc>
          <w:tcPr>
            <w:tcW w:w="2552" w:type="dxa"/>
            <w:vAlign w:val="center"/>
          </w:tcPr>
          <w:p>
            <w:pPr>
              <w:pStyle w:val="31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s="仿宋"/>
                <w:sz w:val="24"/>
                <w:szCs w:val="24"/>
              </w:rPr>
            </w:pPr>
          </w:p>
        </w:tc>
        <w:tc>
          <w:tcPr>
            <w:tcW w:w="3402" w:type="dxa"/>
            <w:vAlign w:val="center"/>
          </w:tcPr>
          <w:p>
            <w:pPr>
              <w:pStyle w:val="317"/>
              <w:spacing w:line="560" w:lineRule="exact"/>
              <w:ind w:firstLine="200"/>
              <w:jc w:val="center"/>
              <w:rPr>
                <w:rFonts w:ascii="仿宋" w:hAnsi="仿宋" w:eastAsia="仿宋" w:cs="仿宋"/>
                <w:sz w:val="24"/>
                <w:szCs w:val="24"/>
              </w:rPr>
            </w:pPr>
          </w:p>
        </w:tc>
        <w:tc>
          <w:tcPr>
            <w:tcW w:w="2552" w:type="dxa"/>
            <w:vAlign w:val="center"/>
          </w:tcPr>
          <w:p>
            <w:pPr>
              <w:pStyle w:val="31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s="仿宋"/>
                <w:sz w:val="24"/>
                <w:szCs w:val="24"/>
              </w:rPr>
            </w:pPr>
          </w:p>
        </w:tc>
        <w:tc>
          <w:tcPr>
            <w:tcW w:w="3402" w:type="dxa"/>
            <w:vAlign w:val="center"/>
          </w:tcPr>
          <w:p>
            <w:pPr>
              <w:pStyle w:val="317"/>
              <w:spacing w:line="560" w:lineRule="exact"/>
              <w:ind w:firstLine="200"/>
              <w:jc w:val="center"/>
              <w:rPr>
                <w:rFonts w:ascii="仿宋" w:hAnsi="仿宋" w:eastAsia="仿宋" w:cs="仿宋"/>
                <w:sz w:val="24"/>
                <w:szCs w:val="24"/>
              </w:rPr>
            </w:pPr>
          </w:p>
        </w:tc>
        <w:tc>
          <w:tcPr>
            <w:tcW w:w="2552" w:type="dxa"/>
            <w:vAlign w:val="center"/>
          </w:tcPr>
          <w:p>
            <w:pPr>
              <w:pStyle w:val="31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s="仿宋"/>
                <w:sz w:val="24"/>
                <w:szCs w:val="24"/>
              </w:rPr>
            </w:pPr>
          </w:p>
        </w:tc>
        <w:tc>
          <w:tcPr>
            <w:tcW w:w="3402" w:type="dxa"/>
            <w:vAlign w:val="center"/>
          </w:tcPr>
          <w:p>
            <w:pPr>
              <w:pStyle w:val="317"/>
              <w:spacing w:line="560" w:lineRule="exact"/>
              <w:ind w:firstLine="200"/>
              <w:jc w:val="center"/>
              <w:rPr>
                <w:rFonts w:ascii="仿宋" w:hAnsi="仿宋" w:eastAsia="仿宋" w:cs="仿宋"/>
                <w:sz w:val="24"/>
                <w:szCs w:val="24"/>
              </w:rPr>
            </w:pPr>
          </w:p>
        </w:tc>
        <w:tc>
          <w:tcPr>
            <w:tcW w:w="2552" w:type="dxa"/>
            <w:vAlign w:val="center"/>
          </w:tcPr>
          <w:p>
            <w:pPr>
              <w:pStyle w:val="31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7"/>
              <w:spacing w:line="560" w:lineRule="exact"/>
              <w:ind w:firstLine="200"/>
              <w:jc w:val="center"/>
              <w:rPr>
                <w:rFonts w:ascii="仿宋" w:hAnsi="仿宋" w:eastAsia="仿宋" w:cs="仿宋"/>
                <w:sz w:val="24"/>
                <w:szCs w:val="24"/>
              </w:rPr>
            </w:pPr>
          </w:p>
        </w:tc>
      </w:tr>
    </w:tbl>
    <w:p>
      <w:pPr>
        <w:spacing w:line="560" w:lineRule="exact"/>
        <w:ind w:firstLine="482" w:firstLineChars="200"/>
        <w:outlineLvl w:val="0"/>
        <w:rPr>
          <w:rFonts w:ascii="仿宋" w:hAnsi="仿宋" w:eastAsia="仿宋" w:cs="仿宋"/>
          <w:b/>
          <w:sz w:val="24"/>
        </w:rPr>
      </w:pPr>
      <w:bookmarkStart w:id="410" w:name="_Toc30158"/>
      <w:bookmarkStart w:id="411" w:name="_Toc30506"/>
      <w:bookmarkStart w:id="412" w:name="_Toc26916"/>
      <w:bookmarkStart w:id="413" w:name="_Toc14993"/>
      <w:bookmarkStart w:id="414" w:name="_Toc3654"/>
      <w:r>
        <w:rPr>
          <w:rFonts w:hint="eastAsia" w:ascii="仿宋" w:hAnsi="仿宋" w:eastAsia="仿宋" w:cs="仿宋"/>
          <w:b/>
          <w:sz w:val="24"/>
        </w:rPr>
        <w:t>1.4 付款方式和发票开具方式</w:t>
      </w:r>
      <w:bookmarkEnd w:id="410"/>
      <w:bookmarkEnd w:id="411"/>
      <w:bookmarkEnd w:id="412"/>
      <w:bookmarkEnd w:id="413"/>
      <w:bookmarkEnd w:id="414"/>
    </w:p>
    <w:p>
      <w:pPr>
        <w:pStyle w:val="957"/>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仿宋" w:hAnsi="仿宋" w:eastAsia="仿宋" w:cs="仿宋"/>
          <w:b/>
          <w:sz w:val="24"/>
        </w:rPr>
      </w:pPr>
      <w:bookmarkStart w:id="415" w:name="_Toc4760"/>
      <w:bookmarkStart w:id="416" w:name="_Toc3625"/>
      <w:bookmarkStart w:id="417" w:name="_Toc8772"/>
      <w:bookmarkStart w:id="418" w:name="_Toc11108"/>
      <w:bookmarkStart w:id="419" w:name="_Toc31421"/>
      <w:r>
        <w:rPr>
          <w:rFonts w:hint="eastAsia" w:ascii="仿宋" w:hAnsi="仿宋" w:eastAsia="仿宋" w:cs="仿宋"/>
          <w:b/>
          <w:sz w:val="24"/>
        </w:rPr>
        <w:t>1.5 履行期限、地点和方式</w:t>
      </w:r>
      <w:bookmarkEnd w:id="415"/>
      <w:bookmarkEnd w:id="416"/>
      <w:bookmarkEnd w:id="417"/>
      <w:bookmarkEnd w:id="418"/>
      <w:bookmarkEnd w:id="419"/>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sz w:val="24"/>
          <w:u w:val="single"/>
        </w:rPr>
      </w:pPr>
      <w:bookmarkStart w:id="420" w:name="_Toc3079"/>
      <w:bookmarkStart w:id="421" w:name="_Toc2375"/>
      <w:bookmarkStart w:id="422" w:name="_Toc5698"/>
      <w:bookmarkStart w:id="423" w:name="_Toc8586"/>
      <w:bookmarkStart w:id="424" w:name="_Toc24662"/>
      <w:r>
        <w:rPr>
          <w:rFonts w:hint="eastAsia" w:ascii="仿宋" w:hAnsi="仿宋" w:eastAsia="仿宋" w:cs="仿宋"/>
          <w:b/>
          <w:sz w:val="24"/>
        </w:rPr>
        <w:t>1.6 违约责任</w:t>
      </w:r>
      <w:bookmarkEnd w:id="420"/>
      <w:bookmarkEnd w:id="421"/>
      <w:bookmarkEnd w:id="422"/>
      <w:bookmarkEnd w:id="423"/>
      <w:bookmarkEnd w:id="424"/>
    </w:p>
    <w:p>
      <w:pPr>
        <w:spacing w:line="56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bookmarkStart w:id="425" w:name="_Toc26807"/>
      <w:bookmarkStart w:id="426" w:name="_Toc30329"/>
      <w:bookmarkStart w:id="427" w:name="_Toc9497"/>
      <w:bookmarkStart w:id="428" w:name="_Toc32454"/>
      <w:bookmarkStart w:id="429" w:name="_Toc18683"/>
      <w:r>
        <w:rPr>
          <w:rFonts w:hint="eastAsia" w:ascii="仿宋" w:hAnsi="仿宋" w:eastAsia="仿宋" w:cs="仿宋"/>
          <w:b/>
          <w:sz w:val="24"/>
        </w:rPr>
        <w:t>1.7 合同争议的解决</w:t>
      </w:r>
      <w:bookmarkEnd w:id="425"/>
      <w:bookmarkEnd w:id="426"/>
      <w:bookmarkEnd w:id="427"/>
      <w:bookmarkEnd w:id="428"/>
      <w:bookmarkEnd w:id="429"/>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ascii="仿宋" w:hAnsi="仿宋" w:eastAsia="仿宋" w:cs="仿宋"/>
          <w:b/>
          <w:sz w:val="24"/>
        </w:rPr>
      </w:pPr>
      <w:bookmarkStart w:id="430" w:name="_Toc15827"/>
      <w:bookmarkStart w:id="431" w:name="_Toc23784"/>
      <w:bookmarkStart w:id="432" w:name="_Toc12273"/>
      <w:bookmarkStart w:id="433" w:name="_Toc16417"/>
      <w:bookmarkStart w:id="434" w:name="_Toc26227"/>
      <w:r>
        <w:rPr>
          <w:rFonts w:hint="eastAsia" w:ascii="仿宋" w:hAnsi="仿宋" w:eastAsia="仿宋" w:cs="仿宋"/>
          <w:b/>
          <w:sz w:val="24"/>
        </w:rPr>
        <w:t>1.8 合同生效</w:t>
      </w:r>
      <w:bookmarkEnd w:id="430"/>
      <w:bookmarkEnd w:id="431"/>
      <w:bookmarkEnd w:id="432"/>
      <w:bookmarkEnd w:id="433"/>
      <w:bookmarkEnd w:id="434"/>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ascii="仿宋" w:hAnsi="仿宋" w:eastAsia="仿宋" w:cs="仿宋"/>
          <w:b/>
          <w:sz w:val="24"/>
        </w:rPr>
      </w:pPr>
    </w:p>
    <w:p>
      <w:pPr>
        <w:pStyle w:val="699"/>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ascii="仿宋" w:hAnsi="仿宋" w:eastAsia="仿宋" w:cs="仿宋"/>
          <w:b/>
          <w:sz w:val="24"/>
        </w:rPr>
      </w:pPr>
      <w:bookmarkStart w:id="435" w:name="_Toc5228"/>
      <w:bookmarkStart w:id="436" w:name="_Toc19680"/>
      <w:bookmarkStart w:id="437" w:name="_Toc25079"/>
      <w:bookmarkStart w:id="438" w:name="_Toc31297"/>
      <w:bookmarkStart w:id="439" w:name="_Toc14021"/>
      <w:r>
        <w:rPr>
          <w:rFonts w:hint="eastAsia" w:ascii="仿宋" w:hAnsi="仿宋" w:eastAsia="仿宋" w:cs="仿宋"/>
          <w:b/>
          <w:sz w:val="24"/>
        </w:rPr>
        <w:t>2.1 定义</w:t>
      </w:r>
      <w:bookmarkEnd w:id="435"/>
      <w:bookmarkEnd w:id="436"/>
      <w:bookmarkEnd w:id="437"/>
      <w:bookmarkEnd w:id="438"/>
      <w:bookmarkEnd w:id="439"/>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ascii="仿宋" w:hAnsi="仿宋" w:eastAsia="仿宋" w:cs="仿宋"/>
          <w:b/>
          <w:sz w:val="24"/>
        </w:rPr>
      </w:pPr>
      <w:bookmarkStart w:id="440" w:name="_Toc3769"/>
      <w:bookmarkStart w:id="441" w:name="_Toc19539"/>
      <w:bookmarkStart w:id="442" w:name="_Toc31402"/>
      <w:bookmarkStart w:id="443" w:name="_Toc23289"/>
      <w:bookmarkStart w:id="444" w:name="_Toc16752"/>
      <w:r>
        <w:rPr>
          <w:rFonts w:hint="eastAsia" w:ascii="仿宋" w:hAnsi="仿宋" w:eastAsia="仿宋" w:cs="仿宋"/>
          <w:b/>
          <w:sz w:val="24"/>
        </w:rPr>
        <w:t>2.2 技术规范</w:t>
      </w:r>
      <w:bookmarkEnd w:id="440"/>
      <w:bookmarkEnd w:id="441"/>
      <w:bookmarkEnd w:id="442"/>
      <w:bookmarkEnd w:id="443"/>
      <w:bookmarkEnd w:id="444"/>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445" w:name="_Toc4133"/>
      <w:bookmarkStart w:id="446" w:name="_Toc13673"/>
      <w:bookmarkStart w:id="447" w:name="_Toc9161"/>
      <w:bookmarkStart w:id="448" w:name="_Toc12412"/>
      <w:bookmarkStart w:id="449" w:name="_Toc27945"/>
      <w:r>
        <w:rPr>
          <w:rFonts w:hint="eastAsia" w:ascii="仿宋" w:hAnsi="仿宋" w:eastAsia="仿宋" w:cs="仿宋"/>
          <w:b/>
          <w:sz w:val="24"/>
        </w:rPr>
        <w:t>2.3 知识产权</w:t>
      </w:r>
      <w:bookmarkEnd w:id="445"/>
      <w:bookmarkEnd w:id="446"/>
      <w:bookmarkEnd w:id="447"/>
      <w:bookmarkEnd w:id="448"/>
      <w:bookmarkEnd w:id="449"/>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sz w:val="24"/>
        </w:rPr>
      </w:pPr>
      <w:bookmarkStart w:id="450" w:name="_Toc15447"/>
      <w:bookmarkStart w:id="451" w:name="_Toc22011"/>
      <w:bookmarkStart w:id="452" w:name="_Toc31233"/>
      <w:bookmarkStart w:id="453" w:name="_Toc32670"/>
      <w:bookmarkStart w:id="454" w:name="_Toc26555"/>
      <w:r>
        <w:rPr>
          <w:rFonts w:hint="eastAsia" w:ascii="仿宋" w:hAnsi="仿宋" w:eastAsia="仿宋" w:cs="仿宋"/>
          <w:b/>
          <w:sz w:val="24"/>
        </w:rPr>
        <w:t>2.5 结算方式和付款条件</w:t>
      </w:r>
      <w:bookmarkEnd w:id="450"/>
      <w:bookmarkEnd w:id="451"/>
      <w:bookmarkEnd w:id="452"/>
      <w:bookmarkEnd w:id="453"/>
      <w:bookmarkEnd w:id="454"/>
    </w:p>
    <w:p>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55" w:name="_Toc30507"/>
      <w:bookmarkStart w:id="456" w:name="_Toc16163"/>
      <w:bookmarkStart w:id="457" w:name="_Toc13467"/>
      <w:bookmarkStart w:id="458" w:name="_Toc13154"/>
      <w:bookmarkStart w:id="459" w:name="_Toc18990"/>
      <w:r>
        <w:rPr>
          <w:rFonts w:hint="eastAsia" w:ascii="仿宋" w:hAnsi="仿宋" w:eastAsia="仿宋" w:cs="仿宋"/>
          <w:b/>
          <w:sz w:val="24"/>
        </w:rPr>
        <w:t>2.6 技术资料和保密义务</w:t>
      </w:r>
      <w:bookmarkEnd w:id="455"/>
      <w:bookmarkEnd w:id="456"/>
      <w:bookmarkEnd w:id="457"/>
      <w:bookmarkEnd w:id="458"/>
      <w:bookmarkEnd w:id="459"/>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460" w:name="_Toc19069"/>
      <w:r>
        <w:rPr>
          <w:rFonts w:hint="eastAsia" w:ascii="仿宋" w:hAnsi="仿宋" w:eastAsia="仿宋" w:cs="仿宋"/>
          <w:b/>
          <w:sz w:val="24"/>
        </w:rPr>
        <w:t>2.7 质量保证</w:t>
      </w:r>
      <w:bookmarkEnd w:id="460"/>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461" w:name="_Toc22267"/>
      <w:r>
        <w:rPr>
          <w:rFonts w:hint="eastAsia" w:ascii="仿宋" w:hAnsi="仿宋" w:eastAsia="仿宋" w:cs="仿宋"/>
          <w:b/>
          <w:sz w:val="24"/>
        </w:rPr>
        <w:t>2.8 延迟履行</w:t>
      </w:r>
      <w:bookmarkEnd w:id="461"/>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sz w:val="24"/>
        </w:rPr>
      </w:pPr>
      <w:bookmarkStart w:id="462" w:name="_Toc10611"/>
      <w:r>
        <w:rPr>
          <w:rFonts w:hint="eastAsia" w:ascii="仿宋" w:hAnsi="仿宋" w:eastAsia="仿宋" w:cs="仿宋"/>
          <w:b/>
          <w:sz w:val="24"/>
        </w:rPr>
        <w:t>2.9 合同变更</w:t>
      </w:r>
      <w:bookmarkEnd w:id="462"/>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463" w:name="_Toc23368"/>
      <w:bookmarkStart w:id="464" w:name="_Toc21830"/>
      <w:bookmarkStart w:id="465" w:name="_Toc42"/>
      <w:bookmarkStart w:id="466" w:name="_Toc26689"/>
      <w:bookmarkStart w:id="467" w:name="_Toc10663"/>
      <w:r>
        <w:rPr>
          <w:rFonts w:hint="eastAsia" w:ascii="仿宋" w:hAnsi="仿宋" w:eastAsia="仿宋" w:cs="仿宋"/>
          <w:b/>
          <w:sz w:val="24"/>
        </w:rPr>
        <w:t>2.10 合同转让和分包</w:t>
      </w:r>
      <w:bookmarkEnd w:id="463"/>
      <w:bookmarkEnd w:id="464"/>
      <w:bookmarkEnd w:id="465"/>
      <w:bookmarkEnd w:id="466"/>
      <w:bookmarkEnd w:id="467"/>
    </w:p>
    <w:p>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sz w:val="24"/>
        </w:rPr>
      </w:pPr>
      <w:bookmarkStart w:id="468" w:name="_Toc32494"/>
      <w:bookmarkStart w:id="469" w:name="_Toc25571"/>
      <w:bookmarkStart w:id="470" w:name="_Toc4720"/>
      <w:bookmarkStart w:id="471" w:name="_Toc26633"/>
      <w:bookmarkStart w:id="472" w:name="_Toc14371"/>
      <w:r>
        <w:rPr>
          <w:rFonts w:hint="eastAsia" w:ascii="仿宋" w:hAnsi="仿宋" w:eastAsia="仿宋" w:cs="仿宋"/>
          <w:b/>
          <w:sz w:val="24"/>
        </w:rPr>
        <w:t>2.11 不可抗力</w:t>
      </w:r>
      <w:bookmarkEnd w:id="468"/>
      <w:bookmarkEnd w:id="469"/>
      <w:bookmarkEnd w:id="470"/>
      <w:bookmarkEnd w:id="471"/>
      <w:bookmarkEnd w:id="472"/>
    </w:p>
    <w:p>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473" w:name="_Toc14115"/>
      <w:bookmarkStart w:id="474" w:name="_Toc24465"/>
      <w:bookmarkStart w:id="475" w:name="_Toc23854"/>
      <w:bookmarkStart w:id="476" w:name="_Toc25783"/>
      <w:bookmarkStart w:id="477" w:name="_Toc3638"/>
      <w:r>
        <w:rPr>
          <w:rFonts w:hint="eastAsia" w:ascii="仿宋" w:hAnsi="仿宋" w:eastAsia="仿宋" w:cs="仿宋"/>
          <w:b/>
          <w:sz w:val="24"/>
        </w:rPr>
        <w:t>2.12 税费</w:t>
      </w:r>
      <w:bookmarkEnd w:id="473"/>
      <w:bookmarkEnd w:id="474"/>
      <w:bookmarkEnd w:id="475"/>
      <w:bookmarkEnd w:id="476"/>
      <w:bookmarkEnd w:id="477"/>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sz w:val="24"/>
        </w:rPr>
      </w:pPr>
      <w:bookmarkStart w:id="478" w:name="_Toc25525"/>
      <w:bookmarkStart w:id="479" w:name="_Toc7315"/>
      <w:bookmarkStart w:id="480" w:name="_Toc14814"/>
      <w:bookmarkStart w:id="481" w:name="_Toc26883"/>
      <w:bookmarkStart w:id="482" w:name="_Toc30105"/>
      <w:r>
        <w:rPr>
          <w:rFonts w:hint="eastAsia" w:ascii="仿宋" w:hAnsi="仿宋" w:eastAsia="仿宋" w:cs="仿宋"/>
          <w:b/>
          <w:sz w:val="24"/>
        </w:rPr>
        <w:t>2.13 乙方破产</w:t>
      </w:r>
      <w:bookmarkEnd w:id="478"/>
      <w:bookmarkEnd w:id="479"/>
      <w:bookmarkEnd w:id="480"/>
      <w:bookmarkEnd w:id="481"/>
      <w:bookmarkEnd w:id="482"/>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483" w:name="_Toc23323"/>
      <w:bookmarkStart w:id="484" w:name="_Toc2016"/>
      <w:bookmarkStart w:id="485" w:name="_Toc1123"/>
      <w:r>
        <w:rPr>
          <w:rFonts w:hint="eastAsia" w:ascii="仿宋" w:hAnsi="仿宋" w:eastAsia="仿宋" w:cs="仿宋"/>
          <w:b/>
          <w:sz w:val="24"/>
        </w:rPr>
        <w:t>2.14 合同中止、终止</w:t>
      </w:r>
      <w:bookmarkEnd w:id="483"/>
      <w:bookmarkEnd w:id="484"/>
      <w:bookmarkEnd w:id="485"/>
    </w:p>
    <w:p>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486" w:name="_Toc1969"/>
      <w:bookmarkStart w:id="487" w:name="_Toc17363"/>
      <w:bookmarkStart w:id="488" w:name="_Toc14525"/>
      <w:r>
        <w:rPr>
          <w:rFonts w:hint="eastAsia" w:ascii="仿宋" w:hAnsi="仿宋" w:eastAsia="仿宋" w:cs="仿宋"/>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ascii="仿宋" w:hAnsi="仿宋" w:eastAsia="仿宋" w:cs="仿宋"/>
          <w:b/>
          <w:sz w:val="24"/>
        </w:rPr>
      </w:pPr>
      <w:bookmarkStart w:id="489" w:name="_Toc31892"/>
      <w:bookmarkStart w:id="490" w:name="_Toc12666"/>
      <w:bookmarkStart w:id="491" w:name="_Toc9808"/>
      <w:bookmarkStart w:id="492" w:name="_Toc25198"/>
      <w:bookmarkStart w:id="493" w:name="_Toc2308"/>
      <w:r>
        <w:rPr>
          <w:rFonts w:hint="eastAsia" w:ascii="仿宋" w:hAnsi="仿宋" w:eastAsia="仿宋" w:cs="仿宋"/>
          <w:b/>
          <w:sz w:val="24"/>
        </w:rPr>
        <w:t>2.16 通知和送达</w:t>
      </w:r>
      <w:bookmarkEnd w:id="489"/>
      <w:bookmarkEnd w:id="490"/>
      <w:bookmarkEnd w:id="491"/>
      <w:bookmarkEnd w:id="492"/>
      <w:bookmarkEnd w:id="493"/>
    </w:p>
    <w:p>
      <w:pPr>
        <w:spacing w:line="560" w:lineRule="exact"/>
        <w:ind w:firstLine="480" w:firstLineChars="200"/>
        <w:rPr>
          <w:rFonts w:ascii="仿宋" w:hAnsi="仿宋" w:eastAsia="仿宋" w:cs="仿宋"/>
          <w:sz w:val="24"/>
        </w:rPr>
      </w:pPr>
      <w:bookmarkStart w:id="494" w:name="_Toc18401"/>
      <w:bookmarkStart w:id="495"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pacing w:line="560" w:lineRule="exact"/>
        <w:ind w:firstLine="482" w:firstLineChars="200"/>
        <w:outlineLvl w:val="0"/>
        <w:rPr>
          <w:rFonts w:ascii="仿宋" w:hAnsi="仿宋" w:eastAsia="仿宋" w:cs="仿宋"/>
          <w:b/>
          <w:sz w:val="24"/>
        </w:rPr>
      </w:pPr>
      <w:bookmarkStart w:id="496" w:name="_Toc20808"/>
      <w:bookmarkStart w:id="497" w:name="_Toc12254"/>
      <w:bookmarkStart w:id="498" w:name="_Toc28906"/>
      <w:bookmarkStart w:id="499" w:name="_Toc27644"/>
      <w:bookmarkStart w:id="500" w:name="_Toc5063"/>
      <w:r>
        <w:rPr>
          <w:rFonts w:hint="eastAsia" w:ascii="仿宋" w:hAnsi="仿宋" w:eastAsia="仿宋" w:cs="仿宋"/>
          <w:b/>
          <w:sz w:val="24"/>
        </w:rPr>
        <w:t>2.17 合同使用的文字和适用的法律</w:t>
      </w:r>
      <w:bookmarkEnd w:id="496"/>
      <w:bookmarkEnd w:id="497"/>
      <w:bookmarkEnd w:id="498"/>
      <w:bookmarkEnd w:id="499"/>
      <w:bookmarkEnd w:id="500"/>
    </w:p>
    <w:p>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ascii="仿宋" w:hAnsi="仿宋" w:eastAsia="仿宋" w:cs="仿宋"/>
          <w:b/>
          <w:sz w:val="24"/>
        </w:rPr>
      </w:pPr>
      <w:bookmarkStart w:id="501" w:name="_Toc27127"/>
      <w:bookmarkStart w:id="502" w:name="_Toc30096"/>
      <w:bookmarkStart w:id="503" w:name="_Toc27403"/>
      <w:bookmarkStart w:id="504" w:name="_Toc1492"/>
      <w:bookmarkStart w:id="505" w:name="_Toc22266"/>
      <w:r>
        <w:rPr>
          <w:rFonts w:hint="eastAsia" w:ascii="仿宋" w:hAnsi="仿宋" w:eastAsia="仿宋" w:cs="仿宋"/>
          <w:b/>
          <w:sz w:val="24"/>
        </w:rPr>
        <w:t>2.18 履约保证金</w:t>
      </w:r>
      <w:bookmarkEnd w:id="501"/>
      <w:bookmarkEnd w:id="502"/>
      <w:bookmarkEnd w:id="503"/>
      <w:bookmarkEnd w:id="504"/>
      <w:bookmarkEnd w:id="505"/>
    </w:p>
    <w:p>
      <w:pPr>
        <w:pStyle w:val="957"/>
        <w:spacing w:before="0" w:beforeAutospacing="0" w:after="0" w:afterAutospacing="0" w:line="360" w:lineRule="auto"/>
        <w:ind w:firstLine="420"/>
        <w:rPr>
          <w:rFonts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699"/>
        <w:spacing w:line="560" w:lineRule="exact"/>
        <w:jc w:val="center"/>
        <w:rPr>
          <w:rFonts w:ascii="仿宋" w:hAnsi="仿宋" w:eastAsia="仿宋" w:cs="仿宋"/>
          <w:b/>
          <w:szCs w:val="24"/>
        </w:rPr>
      </w:pPr>
      <w:r>
        <w:rPr>
          <w:rFonts w:hint="eastAsia" w:ascii="仿宋" w:hAnsi="仿宋" w:eastAsia="仿宋" w:cs="仿宋"/>
          <w:kern w:val="0"/>
          <w:szCs w:val="24"/>
        </w:rPr>
        <w:br w:type="page"/>
      </w:r>
      <w:bookmarkStart w:id="506" w:name="_Toc331685784"/>
      <w:r>
        <w:rPr>
          <w:rFonts w:hint="eastAsia" w:ascii="仿宋" w:hAnsi="仿宋" w:eastAsia="仿宋" w:cs="仿宋"/>
          <w:b/>
          <w:szCs w:val="24"/>
        </w:rPr>
        <w:t xml:space="preserve"> </w:t>
      </w:r>
      <w:bookmarkEnd w:id="506"/>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533"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4533" w:type="pct"/>
            <w:vAlign w:val="center"/>
          </w:tcPr>
          <w:p>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资金支付：</w:t>
            </w:r>
            <w:r>
              <w:rPr>
                <w:rFonts w:hint="eastAsia" w:ascii="仿宋" w:hAnsi="仿宋" w:eastAsia="仿宋" w:cs="仿宋"/>
                <w:sz w:val="24"/>
                <w:highlight w:val="none"/>
              </w:rPr>
              <w:t>1、第一期付款：采购合同签订生效后的7个工作日内，甲方向乙方支付合同总价40%的预付款项；</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2、第二期付款：项目完成系统部署，通过初验并且甲方出具初验通过证明后7个工作日内，甲方向乙方支付合同总价的30%；</w:t>
            </w:r>
          </w:p>
          <w:p>
            <w:pPr>
              <w:spacing w:line="360" w:lineRule="auto"/>
              <w:rPr>
                <w:rFonts w:ascii="仿宋" w:hAnsi="仿宋" w:eastAsia="仿宋" w:cs="仿宋"/>
                <w:sz w:val="24"/>
                <w:highlight w:val="green"/>
              </w:rPr>
            </w:pPr>
            <w:r>
              <w:rPr>
                <w:rFonts w:hint="eastAsia" w:ascii="仿宋" w:hAnsi="仿宋" w:eastAsia="仿宋" w:cs="仿宋"/>
                <w:sz w:val="24"/>
                <w:highlight w:val="none"/>
              </w:rPr>
              <w:t>3、第三期付款：系统上线试运行3个月，系统通过终验且甲方出具终验通过证明后5个工作日内，甲方向乙方支付合同总价的30%；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4533" w:type="pct"/>
            <w:vAlign w:val="center"/>
          </w:tcPr>
          <w:p>
            <w:pPr>
              <w:spacing w:line="360" w:lineRule="auto"/>
              <w:rPr>
                <w:rFonts w:ascii="仿宋" w:hAnsi="仿宋" w:eastAsia="仿宋" w:cs="仿宋"/>
                <w:sz w:val="24"/>
                <w:highlight w:val="green"/>
              </w:rPr>
            </w:pPr>
            <w:r>
              <w:rPr>
                <w:rFonts w:hint="eastAsia" w:ascii="仿宋" w:hAnsi="仿宋" w:eastAsia="仿宋" w:cs="仿宋"/>
                <w:sz w:val="24"/>
                <w:highlight w:val="none"/>
              </w:rPr>
              <w:t>交付期限：</w:t>
            </w:r>
            <w:r>
              <w:rPr>
                <w:rFonts w:hint="eastAsia" w:ascii="仿宋" w:hAnsi="仿宋" w:eastAsia="仿宋" w:cs="仿宋"/>
                <w:bCs/>
                <w:sz w:val="24"/>
                <w:highlight w:val="none"/>
              </w:rPr>
              <w:t>本项目建设周期3个月。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交付地点：甲方指定地点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交付方式：/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1.6.7</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4533" w:type="pct"/>
            <w:vAlign w:val="center"/>
          </w:tcPr>
          <w:p>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2.5</w:t>
            </w:r>
          </w:p>
        </w:tc>
        <w:tc>
          <w:tcPr>
            <w:tcW w:w="4533" w:type="pct"/>
            <w:vAlign w:val="center"/>
          </w:tcPr>
          <w:p>
            <w:pPr>
              <w:spacing w:line="360" w:lineRule="auto"/>
              <w:ind w:firstLine="120" w:firstLineChars="50"/>
              <w:rPr>
                <w:rFonts w:ascii="仿宋" w:hAnsi="仿宋" w:eastAsia="仿宋" w:cs="仿宋"/>
                <w:color w:val="auto"/>
                <w:sz w:val="24"/>
              </w:rPr>
            </w:pPr>
            <w:r>
              <w:rPr>
                <w:rFonts w:hint="eastAsia" w:ascii="仿宋" w:hAnsi="仿宋" w:eastAsia="仿宋" w:cs="仿宋"/>
                <w:b/>
                <w:bCs/>
                <w:sz w:val="24"/>
                <w:highlight w:val="none"/>
              </w:rPr>
              <w:t>结算方式和付款条件：</w:t>
            </w:r>
            <w:r>
              <w:rPr>
                <w:rFonts w:hint="eastAsia" w:ascii="仿宋" w:hAnsi="仿宋" w:eastAsia="仿宋" w:cs="仿宋"/>
                <w:color w:val="auto"/>
                <w:sz w:val="24"/>
              </w:rPr>
              <w:t>1、第一期付款：采购合同签订生效后的7个工作日内，甲方向乙方支付合同总价40%的预付款项；</w:t>
            </w:r>
          </w:p>
          <w:p>
            <w:pPr>
              <w:spacing w:line="360" w:lineRule="auto"/>
              <w:ind w:firstLine="120" w:firstLineChars="50"/>
              <w:rPr>
                <w:rFonts w:ascii="仿宋" w:hAnsi="仿宋" w:eastAsia="仿宋" w:cs="仿宋"/>
                <w:color w:val="auto"/>
                <w:sz w:val="24"/>
              </w:rPr>
            </w:pPr>
            <w:r>
              <w:rPr>
                <w:rFonts w:hint="eastAsia" w:ascii="仿宋" w:hAnsi="仿宋" w:eastAsia="仿宋" w:cs="仿宋"/>
                <w:color w:val="auto"/>
                <w:sz w:val="24"/>
              </w:rPr>
              <w:t>2、第二期付款：项目完成系统部署，通过初验并且甲方出具初验通过证明后7个工作日内，甲方向乙方支付合同总价的30%；</w:t>
            </w:r>
          </w:p>
          <w:p>
            <w:pPr>
              <w:spacing w:line="360" w:lineRule="auto"/>
              <w:ind w:firstLine="120" w:firstLineChars="50"/>
              <w:rPr>
                <w:rFonts w:ascii="仿宋" w:hAnsi="仿宋" w:eastAsia="仿宋" w:cs="仿宋"/>
                <w:sz w:val="24"/>
              </w:rPr>
            </w:pPr>
            <w:r>
              <w:rPr>
                <w:rFonts w:hint="eastAsia" w:ascii="仿宋" w:hAnsi="仿宋" w:eastAsia="仿宋" w:cs="仿宋"/>
                <w:color w:val="auto"/>
                <w:sz w:val="24"/>
              </w:rPr>
              <w:t>3、第三期付款：系统上线试运行3个月，系统通过终验且甲方出具终验通过证明后5个工作日内，甲方向乙方支付合同总价的</w:t>
            </w:r>
            <w:r>
              <w:rPr>
                <w:rFonts w:hint="eastAsia" w:ascii="仿宋" w:hAnsi="仿宋" w:eastAsia="仿宋" w:cs="仿宋"/>
                <w:color w:val="auto"/>
                <w:sz w:val="24"/>
                <w:lang w:val="en-US" w:eastAsia="zh-CN"/>
              </w:rPr>
              <w:t>30</w:t>
            </w: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2.11.3</w:t>
            </w:r>
          </w:p>
        </w:tc>
        <w:tc>
          <w:tcPr>
            <w:tcW w:w="8275" w:type="dxa"/>
            <w:vAlign w:val="center"/>
          </w:tcPr>
          <w:p>
            <w:pPr>
              <w:spacing w:line="360" w:lineRule="auto"/>
              <w:jc w:val="left"/>
              <w:rPr>
                <w:rFonts w:ascii="仿宋" w:hAnsi="仿宋" w:eastAsia="仿宋" w:cs="仿宋"/>
                <w:sz w:val="24"/>
              </w:rPr>
            </w:pPr>
            <w:r>
              <w:rPr>
                <w:rFonts w:hint="eastAsia" w:ascii="仿宋" w:hAnsi="仿宋" w:eastAsia="仿宋" w:cs="仿宋"/>
                <w:sz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2.11.4 </w:t>
            </w:r>
          </w:p>
        </w:tc>
        <w:tc>
          <w:tcPr>
            <w:tcW w:w="8275" w:type="dxa"/>
            <w:vAlign w:val="center"/>
          </w:tcPr>
          <w:p>
            <w:pPr>
              <w:spacing w:line="360" w:lineRule="auto"/>
              <w:jc w:val="left"/>
              <w:rPr>
                <w:rFonts w:ascii="仿宋" w:hAnsi="仿宋" w:eastAsia="仿宋" w:cs="仿宋"/>
                <w:sz w:val="24"/>
              </w:rPr>
            </w:pPr>
            <w:r>
              <w:rPr>
                <w:rFonts w:hint="eastAsia" w:ascii="仿宋" w:hAnsi="仿宋" w:eastAsia="仿宋" w:cs="仿宋"/>
                <w:sz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2.15.1</w:t>
            </w:r>
          </w:p>
        </w:tc>
        <w:tc>
          <w:tcPr>
            <w:tcW w:w="453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2.15.3</w:t>
            </w:r>
          </w:p>
        </w:tc>
        <w:tc>
          <w:tcPr>
            <w:tcW w:w="4533" w:type="pct"/>
            <w:vAlign w:val="center"/>
          </w:tcPr>
          <w:p>
            <w:pPr>
              <w:spacing w:line="360" w:lineRule="auto"/>
              <w:rPr>
                <w:rFonts w:ascii="仿宋" w:hAnsi="仿宋" w:eastAsia="仿宋" w:cs="仿宋"/>
                <w:sz w:val="24"/>
              </w:rPr>
            </w:pPr>
            <w:r>
              <w:rPr>
                <w:rFonts w:hint="eastAsia" w:ascii="仿宋" w:hAnsi="仿宋" w:eastAsia="仿宋" w:cs="仿宋"/>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2.18.1</w:t>
            </w:r>
          </w:p>
        </w:tc>
        <w:tc>
          <w:tcPr>
            <w:tcW w:w="8275" w:type="dxa"/>
            <w:vAlign w:val="center"/>
          </w:tcPr>
          <w:p>
            <w:pPr>
              <w:spacing w:line="360" w:lineRule="auto"/>
              <w:jc w:val="left"/>
              <w:rPr>
                <w:rFonts w:ascii="仿宋" w:hAnsi="仿宋" w:eastAsia="仿宋" w:cs="仿宋"/>
                <w:sz w:val="24"/>
              </w:rPr>
            </w:pPr>
            <w:r>
              <w:rPr>
                <w:rFonts w:hint="eastAsia" w:ascii="仿宋" w:hAnsi="仿宋" w:eastAsia="仿宋" w:cs="仿宋"/>
                <w:sz w:val="24"/>
              </w:rPr>
              <w:t>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2.18.2</w:t>
            </w:r>
          </w:p>
        </w:tc>
        <w:tc>
          <w:tcPr>
            <w:tcW w:w="8275" w:type="dxa"/>
            <w:vAlign w:val="center"/>
          </w:tcPr>
          <w:p>
            <w:pPr>
              <w:spacing w:line="360" w:lineRule="auto"/>
              <w:jc w:val="left"/>
              <w:rPr>
                <w:rFonts w:ascii="仿宋" w:hAnsi="仿宋" w:eastAsia="仿宋" w:cs="仿宋"/>
                <w:sz w:val="24"/>
              </w:rPr>
            </w:pPr>
            <w:r>
              <w:rPr>
                <w:rFonts w:hint="eastAsia" w:ascii="仿宋" w:hAnsi="仿宋" w:eastAsia="仿宋" w:cs="仿宋"/>
                <w:sz w:val="24"/>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2.20</w:t>
            </w:r>
          </w:p>
        </w:tc>
        <w:tc>
          <w:tcPr>
            <w:tcW w:w="4533" w:type="pct"/>
          </w:tcPr>
          <w:p>
            <w:pPr>
              <w:spacing w:line="360" w:lineRule="auto"/>
              <w:rPr>
                <w:rFonts w:ascii="仿宋" w:hAnsi="仿宋" w:eastAsia="仿宋" w:cs="仿宋"/>
                <w:sz w:val="24"/>
              </w:rPr>
            </w:pPr>
            <w:r>
              <w:rPr>
                <w:rFonts w:hint="eastAsia" w:ascii="仿宋" w:hAnsi="仿宋" w:eastAsia="仿宋" w:cs="仿宋"/>
                <w:sz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sz w:val="24"/>
              </w:rPr>
            </w:pPr>
          </w:p>
        </w:tc>
        <w:tc>
          <w:tcPr>
            <w:tcW w:w="4533"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p>
        </w:tc>
        <w:tc>
          <w:tcPr>
            <w:tcW w:w="4533" w:type="pct"/>
            <w:vAlign w:val="center"/>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pStyle w:val="2"/>
        <w:rPr>
          <w:rFonts w:ascii="仿宋" w:hAnsi="仿宋" w:eastAsia="仿宋" w:cs="仿宋"/>
          <w:b/>
          <w:sz w:val="36"/>
          <w:szCs w:val="20"/>
        </w:rPr>
      </w:pPr>
    </w:p>
    <w:p>
      <w:pPr>
        <w:rPr>
          <w:rFonts w:ascii="仿宋" w:hAnsi="仿宋" w:eastAsia="仿宋" w:cs="仿宋"/>
          <w:b/>
          <w:sz w:val="36"/>
          <w:szCs w:val="20"/>
        </w:rPr>
      </w:pPr>
    </w:p>
    <w:p>
      <w:pPr>
        <w:pStyle w:val="2"/>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b/>
          <w:bCs/>
          <w:kern w:val="0"/>
          <w:sz w:val="24"/>
          <w:u w:val="single"/>
        </w:rPr>
        <w:t>临安区浙政钉门户建设</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kern w:val="0"/>
          <w:sz w:val="24"/>
          <w:u w:val="single"/>
        </w:rPr>
        <w:t>软件和信息技术服务业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rFonts w:ascii="仿宋" w:hAnsi="仿宋" w:eastAsia="仿宋" w:cs="仿宋"/>
          <w:sz w:val="24"/>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4"/>
        <w:rPr>
          <w:rFonts w:ascii="仿宋" w:eastAsia="仿宋" w:cs="仿宋"/>
          <w:b w:val="0"/>
        </w:rPr>
      </w:pPr>
    </w:p>
    <w:p>
      <w:pPr>
        <w:snapToGrid w:val="0"/>
        <w:spacing w:line="360" w:lineRule="auto"/>
        <w:ind w:right="480"/>
        <w:jc w:val="center"/>
        <w:rPr>
          <w:rFonts w:ascii="仿宋" w:hAnsi="仿宋" w:eastAsia="仿宋" w:cs="仿宋"/>
          <w:b/>
          <w:kern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2"/>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pStyle w:val="4"/>
        <w:rPr>
          <w:rFonts w:ascii="仿宋" w:eastAsia="仿宋" w:cs="仿宋"/>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7" w:name="_Hlk101257010"/>
      <w:r>
        <w:rPr>
          <w:rFonts w:hint="eastAsia" w:ascii="仿宋" w:hAnsi="仿宋" w:eastAsia="仿宋" w:cs="仿宋"/>
          <w:snapToGrid w:val="0"/>
          <w:kern w:val="28"/>
          <w:sz w:val="24"/>
          <w:szCs w:val="20"/>
        </w:rPr>
        <w:t>（如果有)</w:t>
      </w:r>
      <w:bookmarkEnd w:id="507"/>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4"/>
        <w:rPr>
          <w:rFonts w:ascii="仿宋" w:eastAsia="仿宋" w:cs="仿宋"/>
          <w:lang w:val="en-US"/>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ascii="仿宋" w:hAnsi="仿宋" w:eastAsia="仿宋" w:cs="仿宋"/>
          <w:kern w:val="0"/>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4"/>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003"/>
        <w:gridCol w:w="5528"/>
        <w:gridCol w:w="1649"/>
        <w:gridCol w:w="1923"/>
        <w:gridCol w:w="1709"/>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07"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673"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56"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554"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646"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574"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报价</w:t>
            </w:r>
          </w:p>
        </w:tc>
        <w:tc>
          <w:tcPr>
            <w:tcW w:w="387" w:type="pct"/>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7"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673" w:type="pct"/>
            <w:vAlign w:val="center"/>
          </w:tcPr>
          <w:p>
            <w:pPr>
              <w:widowControl/>
              <w:adjustRightInd/>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“浙政钉”工作台门户建设</w:t>
            </w:r>
          </w:p>
        </w:tc>
        <w:tc>
          <w:tcPr>
            <w:tcW w:w="1856" w:type="pct"/>
            <w:vAlign w:val="center"/>
          </w:tcPr>
          <w:p>
            <w:pPr>
              <w:widowControl/>
              <w:adjustRightInd/>
              <w:spacing w:line="400" w:lineRule="exact"/>
              <w:jc w:val="left"/>
              <w:textAlignment w:val="center"/>
              <w:rPr>
                <w:rFonts w:ascii="仿宋" w:hAnsi="仿宋" w:eastAsia="仿宋" w:cs="仿宋"/>
                <w:color w:val="000000"/>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ascii="仿宋" w:hAnsi="仿宋" w:eastAsia="仿宋" w:cs="仿宋"/>
                <w:sz w:val="24"/>
              </w:rPr>
            </w:pPr>
            <w:r>
              <w:rPr>
                <w:rFonts w:hint="eastAsia" w:ascii="仿宋" w:hAnsi="仿宋" w:eastAsia="仿宋" w:cs="仿宋"/>
                <w:sz w:val="24"/>
              </w:rPr>
              <w:t>遵循项目监理的相关要求</w:t>
            </w: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07" w:type="pct"/>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673" w:type="pct"/>
            <w:vAlign w:val="center"/>
          </w:tcPr>
          <w:p>
            <w:pPr>
              <w:widowControl/>
              <w:adjustRightInd/>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OA系统升级</w:t>
            </w:r>
          </w:p>
        </w:tc>
        <w:tc>
          <w:tcPr>
            <w:tcW w:w="1856" w:type="pct"/>
            <w:vAlign w:val="center"/>
          </w:tcPr>
          <w:p>
            <w:pPr>
              <w:widowControl/>
              <w:adjustRightInd/>
              <w:spacing w:line="400" w:lineRule="exact"/>
              <w:jc w:val="left"/>
              <w:textAlignment w:val="center"/>
              <w:rPr>
                <w:rFonts w:ascii="仿宋" w:hAnsi="仿宋" w:eastAsia="仿宋" w:cs="仿宋"/>
                <w:color w:val="000000"/>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ascii="仿宋" w:hAnsi="仿宋" w:eastAsia="仿宋" w:cs="仿宋"/>
                <w:sz w:val="24"/>
              </w:rPr>
            </w:pPr>
            <w:r>
              <w:rPr>
                <w:rFonts w:hint="eastAsia" w:ascii="仿宋" w:hAnsi="仿宋" w:eastAsia="仿宋" w:cs="仿宋"/>
                <w:sz w:val="24"/>
              </w:rPr>
              <w:t>遵循项目监理的相关要求</w:t>
            </w: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7" w:type="pct"/>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673" w:type="pct"/>
            <w:vAlign w:val="center"/>
          </w:tcPr>
          <w:p>
            <w:pPr>
              <w:widowControl/>
              <w:adjustRightInd/>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政务资源云管家（PC端）</w:t>
            </w:r>
          </w:p>
        </w:tc>
        <w:tc>
          <w:tcPr>
            <w:tcW w:w="1856" w:type="pct"/>
            <w:vAlign w:val="center"/>
          </w:tcPr>
          <w:p>
            <w:pPr>
              <w:widowControl/>
              <w:adjustRightInd/>
              <w:spacing w:line="400" w:lineRule="exact"/>
              <w:jc w:val="left"/>
              <w:textAlignment w:val="center"/>
              <w:rPr>
                <w:rFonts w:ascii="仿宋" w:hAnsi="仿宋" w:eastAsia="仿宋" w:cs="仿宋"/>
                <w:color w:val="000000"/>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ascii="仿宋" w:hAnsi="仿宋" w:eastAsia="仿宋" w:cs="仿宋"/>
                <w:sz w:val="24"/>
              </w:rPr>
            </w:pPr>
            <w:r>
              <w:rPr>
                <w:rFonts w:hint="eastAsia" w:ascii="仿宋" w:hAnsi="仿宋" w:eastAsia="仿宋" w:cs="仿宋"/>
                <w:sz w:val="24"/>
              </w:rPr>
              <w:t>遵循项目监理的相关要求</w:t>
            </w: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7" w:type="pct"/>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673" w:type="pct"/>
            <w:vAlign w:val="center"/>
          </w:tcPr>
          <w:p>
            <w:pPr>
              <w:widowControl/>
              <w:adjustRightInd/>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浙政钉应用</w:t>
            </w:r>
          </w:p>
          <w:p>
            <w:pPr>
              <w:widowControl/>
              <w:adjustRightInd/>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（移动端）</w:t>
            </w:r>
          </w:p>
        </w:tc>
        <w:tc>
          <w:tcPr>
            <w:tcW w:w="1856" w:type="pct"/>
            <w:vAlign w:val="center"/>
          </w:tcPr>
          <w:p>
            <w:pPr>
              <w:widowControl/>
              <w:adjustRightInd/>
              <w:spacing w:line="400" w:lineRule="exact"/>
              <w:jc w:val="left"/>
              <w:textAlignment w:val="center"/>
              <w:rPr>
                <w:rFonts w:ascii="仿宋" w:hAnsi="仿宋" w:eastAsia="仿宋" w:cs="仿宋"/>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ascii="仿宋" w:hAnsi="仿宋" w:eastAsia="仿宋" w:cs="仿宋"/>
                <w:sz w:val="24"/>
              </w:rPr>
            </w:pPr>
            <w:r>
              <w:rPr>
                <w:rFonts w:hint="eastAsia" w:ascii="仿宋" w:hAnsi="仿宋" w:eastAsia="仿宋" w:cs="仿宋"/>
                <w:sz w:val="24"/>
              </w:rPr>
              <w:t>遵循项目监理的相关要求</w:t>
            </w: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7"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673" w:type="pct"/>
            <w:vAlign w:val="center"/>
          </w:tcPr>
          <w:p>
            <w:pPr>
              <w:widowControl/>
              <w:adjustRightInd/>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浙政钉应用（桌面端）</w:t>
            </w:r>
          </w:p>
        </w:tc>
        <w:tc>
          <w:tcPr>
            <w:tcW w:w="1856" w:type="pct"/>
            <w:vAlign w:val="center"/>
          </w:tcPr>
          <w:p>
            <w:pPr>
              <w:widowControl/>
              <w:adjustRightInd/>
              <w:spacing w:line="400" w:lineRule="exact"/>
              <w:jc w:val="left"/>
              <w:textAlignment w:val="center"/>
              <w:rPr>
                <w:rFonts w:ascii="仿宋" w:hAnsi="仿宋" w:eastAsia="仿宋" w:cs="仿宋"/>
                <w:color w:val="000000"/>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ascii="仿宋" w:hAnsi="仿宋" w:eastAsia="仿宋" w:cs="仿宋"/>
                <w:sz w:val="24"/>
              </w:rPr>
            </w:pPr>
            <w:r>
              <w:rPr>
                <w:rFonts w:hint="eastAsia" w:ascii="仿宋" w:hAnsi="仿宋" w:eastAsia="仿宋" w:cs="仿宋"/>
                <w:sz w:val="24"/>
              </w:rPr>
              <w:t>遵循项目监理的相关要求</w:t>
            </w: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7" w:type="pct"/>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673" w:type="pct"/>
            <w:vAlign w:val="center"/>
          </w:tcPr>
          <w:p>
            <w:pPr>
              <w:widowControl/>
              <w:adjustRightInd/>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驾驶舱</w:t>
            </w:r>
          </w:p>
        </w:tc>
        <w:tc>
          <w:tcPr>
            <w:tcW w:w="1856" w:type="pct"/>
            <w:vAlign w:val="center"/>
          </w:tcPr>
          <w:p>
            <w:pPr>
              <w:widowControl/>
              <w:adjustRightInd/>
              <w:spacing w:line="400" w:lineRule="exact"/>
              <w:jc w:val="left"/>
              <w:textAlignment w:val="center"/>
              <w:rPr>
                <w:rFonts w:ascii="仿宋" w:hAnsi="仿宋" w:eastAsia="仿宋" w:cs="仿宋"/>
                <w:color w:val="000000"/>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ascii="仿宋" w:hAnsi="仿宋" w:eastAsia="仿宋" w:cs="仿宋"/>
                <w:sz w:val="24"/>
              </w:rPr>
            </w:pPr>
            <w:r>
              <w:rPr>
                <w:rFonts w:hint="eastAsia" w:ascii="仿宋" w:hAnsi="仿宋" w:eastAsia="仿宋" w:cs="仿宋"/>
                <w:sz w:val="24"/>
              </w:rPr>
              <w:t>遵循项目监理的相关要求</w:t>
            </w: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7" w:type="pct"/>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673" w:type="pct"/>
            <w:vAlign w:val="center"/>
          </w:tcPr>
          <w:p>
            <w:pPr>
              <w:widowControl/>
              <w:adjustRightInd/>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组件对接</w:t>
            </w:r>
          </w:p>
        </w:tc>
        <w:tc>
          <w:tcPr>
            <w:tcW w:w="1856" w:type="pct"/>
            <w:vAlign w:val="center"/>
          </w:tcPr>
          <w:p>
            <w:pPr>
              <w:widowControl/>
              <w:adjustRightInd/>
              <w:spacing w:line="400" w:lineRule="exact"/>
              <w:jc w:val="left"/>
              <w:textAlignment w:val="center"/>
              <w:rPr>
                <w:rFonts w:ascii="仿宋" w:hAnsi="仿宋" w:eastAsia="仿宋" w:cs="仿宋"/>
                <w:color w:val="000000"/>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ascii="仿宋" w:hAnsi="仿宋" w:eastAsia="仿宋" w:cs="仿宋"/>
                <w:sz w:val="24"/>
              </w:rPr>
            </w:pPr>
            <w:r>
              <w:rPr>
                <w:rFonts w:hint="eastAsia" w:ascii="仿宋" w:hAnsi="仿宋" w:eastAsia="仿宋" w:cs="仿宋"/>
                <w:sz w:val="24"/>
              </w:rPr>
              <w:t>遵循项目监理的相关要求</w:t>
            </w: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7" w:type="pct"/>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673" w:type="pct"/>
            <w:vAlign w:val="center"/>
          </w:tcPr>
          <w:p>
            <w:pPr>
              <w:widowControl/>
              <w:adjustRightInd/>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信息化项目全流程管理平台升级</w:t>
            </w:r>
          </w:p>
        </w:tc>
        <w:tc>
          <w:tcPr>
            <w:tcW w:w="1856" w:type="pct"/>
            <w:vAlign w:val="center"/>
          </w:tcPr>
          <w:p>
            <w:pPr>
              <w:widowControl/>
              <w:adjustRightInd/>
              <w:spacing w:line="400" w:lineRule="exact"/>
              <w:jc w:val="left"/>
              <w:textAlignment w:val="center"/>
              <w:rPr>
                <w:rFonts w:ascii="仿宋" w:hAnsi="仿宋" w:eastAsia="仿宋" w:cs="仿宋"/>
                <w:color w:val="000000"/>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ascii="仿宋" w:hAnsi="仿宋" w:eastAsia="仿宋" w:cs="仿宋"/>
                <w:sz w:val="24"/>
              </w:rPr>
            </w:pPr>
            <w:r>
              <w:rPr>
                <w:rFonts w:hint="eastAsia" w:ascii="仿宋" w:hAnsi="仿宋" w:eastAsia="仿宋" w:cs="仿宋"/>
                <w:sz w:val="24"/>
              </w:rPr>
              <w:t>遵循项目监理的相关要求</w:t>
            </w: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7" w:type="pct"/>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673" w:type="pct"/>
            <w:vAlign w:val="center"/>
          </w:tcPr>
          <w:p>
            <w:pPr>
              <w:widowControl/>
              <w:adjustRightInd/>
              <w:spacing w:line="400" w:lineRule="exact"/>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二级等保</w:t>
            </w:r>
          </w:p>
        </w:tc>
        <w:tc>
          <w:tcPr>
            <w:tcW w:w="1856" w:type="pct"/>
            <w:vAlign w:val="center"/>
          </w:tcPr>
          <w:p>
            <w:pPr>
              <w:widowControl/>
              <w:adjustRightInd/>
              <w:spacing w:line="400" w:lineRule="exact"/>
              <w:jc w:val="left"/>
              <w:textAlignment w:val="center"/>
              <w:rPr>
                <w:rFonts w:ascii="仿宋" w:hAnsi="仿宋" w:eastAsia="仿宋" w:cs="仿宋"/>
                <w:color w:val="000000"/>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遵循项目监理的相关要求</w:t>
            </w: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7" w:type="pct"/>
            <w:vAlign w:val="center"/>
          </w:tcPr>
          <w:p>
            <w:pPr>
              <w:spacing w:line="360" w:lineRule="auto"/>
              <w:jc w:val="center"/>
              <w:rPr>
                <w:rFonts w:ascii="仿宋" w:hAnsi="仿宋" w:eastAsia="仿宋" w:cs="仿宋"/>
                <w:sz w:val="24"/>
              </w:rPr>
            </w:pPr>
          </w:p>
        </w:tc>
        <w:tc>
          <w:tcPr>
            <w:tcW w:w="673" w:type="pc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1856" w:type="pct"/>
            <w:vAlign w:val="center"/>
          </w:tcPr>
          <w:p>
            <w:pPr>
              <w:snapToGrid w:val="0"/>
              <w:spacing w:line="360" w:lineRule="auto"/>
              <w:jc w:val="center"/>
              <w:rPr>
                <w:rFonts w:ascii="仿宋" w:hAnsi="仿宋" w:eastAsia="仿宋" w:cs="仿宋"/>
                <w:sz w:val="24"/>
              </w:rPr>
            </w:pPr>
          </w:p>
        </w:tc>
        <w:tc>
          <w:tcPr>
            <w:tcW w:w="554" w:type="pct"/>
            <w:vAlign w:val="center"/>
          </w:tcPr>
          <w:p>
            <w:pPr>
              <w:snapToGrid w:val="0"/>
              <w:spacing w:line="360" w:lineRule="auto"/>
              <w:jc w:val="center"/>
              <w:rPr>
                <w:rFonts w:ascii="仿宋" w:hAnsi="仿宋" w:eastAsia="仿宋" w:cs="仿宋"/>
                <w:sz w:val="24"/>
              </w:rPr>
            </w:pPr>
          </w:p>
        </w:tc>
        <w:tc>
          <w:tcPr>
            <w:tcW w:w="646" w:type="pct"/>
            <w:vAlign w:val="center"/>
          </w:tcPr>
          <w:p>
            <w:pPr>
              <w:spacing w:line="360" w:lineRule="auto"/>
              <w:jc w:val="center"/>
              <w:rPr>
                <w:rFonts w:ascii="仿宋" w:hAnsi="仿宋" w:eastAsia="仿宋" w:cs="仿宋"/>
                <w:sz w:val="24"/>
              </w:rPr>
            </w:pPr>
          </w:p>
        </w:tc>
        <w:tc>
          <w:tcPr>
            <w:tcW w:w="574" w:type="pct"/>
          </w:tcPr>
          <w:p>
            <w:pPr>
              <w:spacing w:line="360" w:lineRule="auto"/>
              <w:jc w:val="center"/>
              <w:rPr>
                <w:rFonts w:ascii="仿宋" w:hAnsi="仿宋" w:eastAsia="仿宋" w:cs="仿宋"/>
                <w:sz w:val="24"/>
              </w:rPr>
            </w:pPr>
          </w:p>
        </w:tc>
        <w:tc>
          <w:tcPr>
            <w:tcW w:w="387"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7" w:type="pct"/>
            <w:gridSpan w:val="3"/>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1774" w:type="pct"/>
            <w:gridSpan w:val="3"/>
          </w:tcPr>
          <w:p>
            <w:pPr>
              <w:spacing w:line="360" w:lineRule="auto"/>
              <w:jc w:val="center"/>
              <w:rPr>
                <w:rFonts w:ascii="仿宋" w:hAnsi="仿宋" w:eastAsia="仿宋" w:cs="仿宋"/>
                <w:sz w:val="24"/>
              </w:rPr>
            </w:pPr>
          </w:p>
        </w:tc>
        <w:tc>
          <w:tcPr>
            <w:tcW w:w="387" w:type="pct"/>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837" w:type="pct"/>
            <w:gridSpan w:val="3"/>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1774" w:type="pct"/>
            <w:gridSpan w:val="3"/>
          </w:tcPr>
          <w:p>
            <w:pPr>
              <w:spacing w:line="360" w:lineRule="auto"/>
              <w:jc w:val="center"/>
              <w:rPr>
                <w:rFonts w:ascii="仿宋" w:hAnsi="仿宋" w:eastAsia="仿宋" w:cs="仿宋"/>
                <w:sz w:val="24"/>
              </w:rPr>
            </w:pPr>
          </w:p>
        </w:tc>
        <w:tc>
          <w:tcPr>
            <w:tcW w:w="387" w:type="pct"/>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255"/>
          <w:numId w:val="0"/>
        </w:numPr>
        <w:ind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4"/>
        <w:numPr>
          <w:ilvl w:val="255"/>
          <w:numId w:val="0"/>
        </w:numPr>
        <w:ind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508" w:name="_Toc465665161"/>
      <w:r>
        <w:rPr>
          <w:rFonts w:hint="eastAsia" w:ascii="仿宋" w:hAnsi="仿宋" w:eastAsia="仿宋" w:cs="仿宋"/>
        </w:rPr>
        <w:t>附件</w:t>
      </w:r>
      <w:bookmarkEnd w:id="508"/>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09" w:name="OLE_LINK14"/>
      <w:bookmarkStart w:id="510" w:name="OLE_LINK13"/>
      <w:r>
        <w:rPr>
          <w:rFonts w:hint="eastAsia" w:ascii="仿宋" w:hAnsi="仿宋" w:eastAsia="仿宋" w:cs="仿宋"/>
          <w:b/>
          <w:spacing w:val="6"/>
          <w:sz w:val="32"/>
          <w:szCs w:val="32"/>
        </w:rPr>
        <w:t>残疾人福利性单位声明函</w:t>
      </w:r>
    </w:p>
    <w:bookmarkEnd w:id="509"/>
    <w:bookmarkEnd w:id="510"/>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1" w:name="_Hlk101131882"/>
      <w:r>
        <w:rPr>
          <w:rFonts w:hint="eastAsia" w:ascii="仿宋" w:hAnsi="仿宋" w:eastAsia="仿宋" w:cs="仿宋"/>
          <w:kern w:val="0"/>
          <w:sz w:val="24"/>
          <w:u w:val="single"/>
        </w:rPr>
        <w:t>联合体成员X,……</w:t>
      </w:r>
      <w:bookmarkEnd w:id="51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2"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12"/>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3"/>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ind w:firstLine="3666" w:firstLineChars="1100"/>
        <w:rPr>
          <w:rFonts w:ascii="仿宋" w:hAnsi="仿宋" w:eastAsia="仿宋" w:cs="仿宋"/>
          <w:b/>
          <w:spacing w:val="6"/>
          <w:sz w:val="32"/>
          <w:szCs w:val="32"/>
        </w:rPr>
      </w:pPr>
    </w:p>
    <w:p>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rPr>
          <w:rFonts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514" w:name="_Toc36110187"/>
    <w:bookmarkStart w:id="515" w:name="_Toc131845147"/>
    <w:bookmarkStart w:id="516" w:name="_Toc91899912"/>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w:t>
    </w:r>
    <w:r>
      <w:rPr>
        <w:rFonts w:hint="eastAsia"/>
      </w:rPr>
      <w:t>临安区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w:t>
    </w:r>
    <w:r>
      <w:rPr>
        <w:rFonts w:hint="eastAsia"/>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rPr>
      <w:t>临安区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w:t>
    </w:r>
    <w:r>
      <w:rPr>
        <w:rFonts w:hint="eastAsia"/>
      </w:rPr>
      <w:t>临安区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F2BDA"/>
    <w:multiLevelType w:val="singleLevel"/>
    <w:tmpl w:val="034F2BDA"/>
    <w:lvl w:ilvl="0" w:tentative="0">
      <w:start w:val="1"/>
      <w:numFmt w:val="decimal"/>
      <w:lvlText w:val="%1."/>
      <w:lvlJc w:val="left"/>
      <w:pPr>
        <w:tabs>
          <w:tab w:val="left" w:pos="312"/>
        </w:tabs>
      </w:pPr>
    </w:lvl>
  </w:abstractNum>
  <w:abstractNum w:abstractNumId="1">
    <w:nsid w:val="6BFC7959"/>
    <w:multiLevelType w:val="multilevel"/>
    <w:tmpl w:val="6BFC7959"/>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61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68E"/>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4E0"/>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07F"/>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A5F83"/>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379BD"/>
    <w:rsid w:val="10646583"/>
    <w:rsid w:val="107D4B15"/>
    <w:rsid w:val="108A3C80"/>
    <w:rsid w:val="10C26171"/>
    <w:rsid w:val="10F33360"/>
    <w:rsid w:val="10FC16EA"/>
    <w:rsid w:val="110F1D40"/>
    <w:rsid w:val="11266F33"/>
    <w:rsid w:val="118963A1"/>
    <w:rsid w:val="11C6522A"/>
    <w:rsid w:val="11E104CC"/>
    <w:rsid w:val="11E20309"/>
    <w:rsid w:val="120E74A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5166C"/>
    <w:rsid w:val="154A6454"/>
    <w:rsid w:val="15762120"/>
    <w:rsid w:val="16A8729C"/>
    <w:rsid w:val="16B33777"/>
    <w:rsid w:val="16BC70A7"/>
    <w:rsid w:val="16C6339E"/>
    <w:rsid w:val="172F2D79"/>
    <w:rsid w:val="17557BEF"/>
    <w:rsid w:val="17D349C1"/>
    <w:rsid w:val="1830729E"/>
    <w:rsid w:val="1870062C"/>
    <w:rsid w:val="187B710B"/>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0746C"/>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846B0"/>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8785D"/>
    <w:rsid w:val="239C0061"/>
    <w:rsid w:val="23B908A4"/>
    <w:rsid w:val="23CB1B9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452F3"/>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E160E"/>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753DC"/>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C24EB"/>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440A0"/>
    <w:rsid w:val="5B2E1A1D"/>
    <w:rsid w:val="5B843A1C"/>
    <w:rsid w:val="5B873E3F"/>
    <w:rsid w:val="5BB77B36"/>
    <w:rsid w:val="5C02690E"/>
    <w:rsid w:val="5C196DA7"/>
    <w:rsid w:val="5C2A048C"/>
    <w:rsid w:val="5C44359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81E7B"/>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53DE7"/>
    <w:rsid w:val="75D20F1D"/>
    <w:rsid w:val="75DA2C18"/>
    <w:rsid w:val="75F54412"/>
    <w:rsid w:val="761D08E0"/>
    <w:rsid w:val="76351396"/>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06A5A"/>
    <w:rsid w:val="7B257FFD"/>
    <w:rsid w:val="7B343476"/>
    <w:rsid w:val="7B5A2978"/>
    <w:rsid w:val="7B5A7E4C"/>
    <w:rsid w:val="7B667AF9"/>
    <w:rsid w:val="7B7468F8"/>
    <w:rsid w:val="7B87726D"/>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7A6DD-CC69-4559-941C-90923590E8D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42274</Words>
  <Characters>44313</Characters>
  <Lines>366</Lines>
  <Paragraphs>103</Paragraphs>
  <TotalTime>16</TotalTime>
  <ScaleCrop>false</ScaleCrop>
  <LinksUpToDate>false</LinksUpToDate>
  <CharactersWithSpaces>49595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2022-10-17T06:47:07Z</dcterms:modified>
  <dc:title>杭州市市民卡扩大发卡工程</dc:title>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