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24"/>
          <w14:textFill>
            <w14:solidFill>
              <w14:schemeClr w14:val="tx1"/>
            </w14:solidFill>
          </w14:textFill>
        </w:rPr>
      </w:pP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p>
    <w:p>
      <w:pPr>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hint="eastAsia" w:ascii="仿宋" w:hAnsi="仿宋" w:eastAsia="仿宋" w:cs="仿宋_GB2312"/>
          <w:b/>
          <w:color w:val="000000" w:themeColor="text1"/>
          <w:sz w:val="44"/>
          <w:szCs w:val="44"/>
          <w14:textFill>
            <w14:solidFill>
              <w14:schemeClr w14:val="tx1"/>
            </w14:solidFill>
          </w14:textFill>
        </w:rPr>
        <w:t xml:space="preserve"> </w:t>
      </w: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hint="eastAsia" w:ascii="仿宋" w:hAnsi="仿宋" w:eastAsia="仿宋" w:cs="仿宋_GB2312"/>
          <w:color w:val="000000" w:themeColor="text1"/>
          <w:sz w:val="48"/>
          <w:szCs w:val="48"/>
          <w14:textFill>
            <w14:solidFill>
              <w14:schemeClr w14:val="tx1"/>
            </w14:solidFill>
          </w14:textFill>
        </w:rPr>
        <w:t xml:space="preserve">临安区国际商务中心2号楼密集架等设备采购项目 </w:t>
      </w:r>
    </w:p>
    <w:p>
      <w:pPr>
        <w:adjustRightInd/>
        <w:spacing w:line="360" w:lineRule="auto"/>
        <w:jc w:val="center"/>
        <w:rPr>
          <w:rFonts w:ascii="仿宋" w:hAnsi="仿宋" w:eastAsia="仿宋" w:cs="仿宋_GB2312"/>
          <w:b/>
          <w:color w:val="000000" w:themeColor="text1"/>
          <w:sz w:val="72"/>
          <w:szCs w:val="72"/>
          <w14:textFill>
            <w14:solidFill>
              <w14:schemeClr w14:val="tx1"/>
            </w14:solidFill>
          </w14:textFill>
        </w:rPr>
      </w:pPr>
      <w:r>
        <w:rPr>
          <w:rFonts w:hint="eastAsia" w:ascii="仿宋" w:hAnsi="仿宋" w:eastAsia="仿宋" w:cs="仿宋_GB2312"/>
          <w:b/>
          <w:color w:val="000000" w:themeColor="text1"/>
          <w:sz w:val="72"/>
          <w:szCs w:val="72"/>
          <w14:textFill>
            <w14:solidFill>
              <w14:schemeClr w14:val="tx1"/>
            </w14:solidFill>
          </w14:textFill>
        </w:rPr>
        <w:t>招标文件</w:t>
      </w: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hint="eastAsia" w:ascii="仿宋" w:hAnsi="仿宋" w:eastAsia="仿宋" w:cs="仿宋_GB2312"/>
          <w:b/>
          <w:color w:val="000000" w:themeColor="text1"/>
          <w:sz w:val="44"/>
          <w:szCs w:val="44"/>
          <w14:textFill>
            <w14:solidFill>
              <w14:schemeClr w14:val="tx1"/>
            </w14:solidFill>
          </w14:textFill>
        </w:rPr>
        <w:t xml:space="preserve"> （电子招投标）</w:t>
      </w: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hint="eastAsia" w:ascii="仿宋" w:hAnsi="仿宋" w:eastAsia="仿宋" w:cs="仿宋_GB2312"/>
          <w:b/>
          <w:color w:val="000000" w:themeColor="text1"/>
          <w:sz w:val="44"/>
          <w:szCs w:val="44"/>
          <w14:textFill>
            <w14:solidFill>
              <w14:schemeClr w14:val="tx1"/>
            </w14:solidFill>
          </w14:textFill>
        </w:rPr>
        <w:t xml:space="preserve"> </w:t>
      </w:r>
    </w:p>
    <w:p>
      <w:pPr>
        <w:spacing w:line="360" w:lineRule="auto"/>
        <w:jc w:val="center"/>
        <w:rPr>
          <w:rFonts w:ascii="仿宋" w:hAnsi="仿宋" w:eastAsia="仿宋" w:cs="仿宋_GB2312"/>
          <w:b/>
          <w:color w:val="000000" w:themeColor="text1"/>
          <w:sz w:val="24"/>
          <w14:textFill>
            <w14:solidFill>
              <w14:schemeClr w14:val="tx1"/>
            </w14:solidFill>
          </w14:textFill>
        </w:rPr>
      </w:pPr>
    </w:p>
    <w:p>
      <w:pPr>
        <w:snapToGrid w:val="0"/>
        <w:spacing w:line="360" w:lineRule="auto"/>
        <w:jc w:val="center"/>
        <w:rPr>
          <w:rFonts w:hint="default" w:ascii="仿宋" w:hAnsi="仿宋" w:eastAsia="仿宋" w:cs="仿宋_GB2312"/>
          <w:color w:val="000000" w:themeColor="text1"/>
          <w:sz w:val="30"/>
          <w:szCs w:val="30"/>
          <w:highlight w:val="none"/>
          <w:lang w:val="en-US" w:eastAsia="zh-CN"/>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编</w:t>
      </w:r>
      <w:r>
        <w:rPr>
          <w:rFonts w:hint="eastAsia" w:ascii="仿宋" w:hAnsi="仿宋" w:eastAsia="仿宋" w:cs="仿宋_GB2312"/>
          <w:color w:val="000000" w:themeColor="text1"/>
          <w:sz w:val="30"/>
          <w:szCs w:val="30"/>
          <w:highlight w:val="none"/>
          <w14:textFill>
            <w14:solidFill>
              <w14:schemeClr w14:val="tx1"/>
            </w14:solidFill>
          </w14:textFill>
        </w:rPr>
        <w:t>号:</w:t>
      </w:r>
      <w:r>
        <w:rPr>
          <w:rFonts w:hint="eastAsia" w:ascii="仿宋" w:hAnsi="仿宋" w:eastAsia="仿宋" w:cs="仿宋_GB2312"/>
          <w:color w:val="000000" w:themeColor="text1"/>
          <w:sz w:val="30"/>
          <w:szCs w:val="30"/>
          <w:highlight w:val="none"/>
          <w:lang w:val="en-US" w:eastAsia="zh-CN"/>
          <w14:textFill>
            <w14:solidFill>
              <w14:schemeClr w14:val="tx1"/>
            </w14:solidFill>
          </w14:textFill>
        </w:rPr>
        <w:t>LZC-GK-2021-01001</w:t>
      </w: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spacing w:line="360" w:lineRule="auto"/>
        <w:jc w:val="center"/>
        <w:rPr>
          <w:rFonts w:ascii="仿宋" w:hAnsi="仿宋" w:eastAsia="仿宋" w:cs="仿宋_GB2312"/>
          <w:color w:val="000000" w:themeColor="text1"/>
          <w:sz w:val="24"/>
          <w14:textFill>
            <w14:solidFill>
              <w14:schemeClr w14:val="tx1"/>
            </w14:solidFill>
          </w14:textFill>
        </w:rPr>
      </w:pPr>
    </w:p>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sz w:val="44"/>
          <w:szCs w:val="44"/>
          <w14:textFill>
            <w14:solidFill>
              <w14:schemeClr w14:val="tx1"/>
            </w14:solidFill>
          </w14:textFill>
        </w:rPr>
        <w:t xml:space="preserve"> </w:t>
      </w:r>
    </w:p>
    <w:p>
      <w:pPr>
        <w:spacing w:line="360" w:lineRule="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                                      </w:t>
      </w:r>
    </w:p>
    <w:p>
      <w:pPr>
        <w:snapToGrid w:val="0"/>
        <w:spacing w:line="360" w:lineRule="auto"/>
        <w:jc w:val="center"/>
        <w:rPr>
          <w:rFonts w:hint="eastAsia" w:ascii="仿宋" w:hAnsi="仿宋" w:eastAsia="仿宋" w:cs="仿宋_GB2312"/>
          <w:color w:val="000000" w:themeColor="text1"/>
          <w:sz w:val="32"/>
          <w:szCs w:val="32"/>
          <w:highlight w:val="green"/>
          <w:lang w:eastAsia="zh-CN"/>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采购</w:t>
      </w:r>
      <w:r>
        <w:rPr>
          <w:rFonts w:hint="eastAsia" w:ascii="仿宋" w:hAnsi="仿宋" w:eastAsia="仿宋" w:cs="仿宋_GB2312"/>
          <w:bCs/>
          <w:color w:val="000000" w:themeColor="text1"/>
          <w:sz w:val="32"/>
          <w:szCs w:val="32"/>
          <w:lang w:eastAsia="zh-CN"/>
          <w14:textFill>
            <w14:solidFill>
              <w14:schemeClr w14:val="tx1"/>
            </w14:solidFill>
          </w14:textFill>
        </w:rPr>
        <w:t>单位</w:t>
      </w:r>
      <w:r>
        <w:rPr>
          <w:rFonts w:hint="eastAsia" w:ascii="仿宋" w:hAnsi="仿宋" w:eastAsia="仿宋" w:cs="仿宋_GB2312"/>
          <w:bCs/>
          <w:color w:val="000000" w:themeColor="text1"/>
          <w:sz w:val="32"/>
          <w:szCs w:val="32"/>
          <w14:textFill>
            <w14:solidFill>
              <w14:schemeClr w14:val="tx1"/>
            </w14:solidFill>
          </w14:textFill>
        </w:rPr>
        <w:t>：</w:t>
      </w:r>
      <w:r>
        <w:rPr>
          <w:rFonts w:hint="eastAsia" w:ascii="仿宋" w:hAnsi="仿宋" w:eastAsia="仿宋" w:cs="仿宋_GB2312"/>
          <w:bCs/>
          <w:color w:val="000000" w:themeColor="text1"/>
          <w:sz w:val="32"/>
          <w:szCs w:val="32"/>
          <w:lang w:eastAsia="zh-CN"/>
          <w14:textFill>
            <w14:solidFill>
              <w14:schemeClr w14:val="tx1"/>
            </w14:solidFill>
          </w14:textFill>
        </w:rPr>
        <w:t>浙江青山湖科研创新基地投资有限公司</w:t>
      </w:r>
    </w:p>
    <w:p>
      <w:pPr>
        <w:spacing w:line="360" w:lineRule="auto"/>
        <w:jc w:val="center"/>
        <w:rPr>
          <w:rFonts w:hint="eastAsia" w:ascii="仿宋" w:hAnsi="仿宋" w:eastAsia="仿宋" w:cs="仿宋_GB2312"/>
          <w:bCs/>
          <w:color w:val="000000" w:themeColor="text1"/>
          <w:sz w:val="32"/>
          <w:szCs w:val="32"/>
          <w:lang w:eastAsia="zh-CN"/>
          <w14:textFill>
            <w14:solidFill>
              <w14:schemeClr w14:val="tx1"/>
            </w14:solidFill>
          </w14:textFill>
        </w:rPr>
      </w:pPr>
      <w:r>
        <w:rPr>
          <w:rFonts w:hint="eastAsia" w:ascii="仿宋" w:hAnsi="仿宋" w:eastAsia="仿宋" w:cs="仿宋_GB2312"/>
          <w:bCs/>
          <w:color w:val="000000" w:themeColor="text1"/>
          <w:sz w:val="32"/>
          <w:szCs w:val="32"/>
          <w:lang w:eastAsia="zh-CN"/>
          <w14:textFill>
            <w14:solidFill>
              <w14:schemeClr w14:val="tx1"/>
            </w14:solidFill>
          </w14:textFill>
        </w:rPr>
        <w:t>采购机构</w:t>
      </w:r>
      <w:r>
        <w:rPr>
          <w:rFonts w:hint="eastAsia" w:ascii="仿宋" w:hAnsi="仿宋" w:eastAsia="仿宋" w:cs="仿宋_GB2312"/>
          <w:bCs/>
          <w:color w:val="000000" w:themeColor="text1"/>
          <w:sz w:val="32"/>
          <w:szCs w:val="32"/>
          <w:lang w:val="en-US" w:eastAsia="zh-CN"/>
          <w14:textFill>
            <w14:solidFill>
              <w14:schemeClr w14:val="tx1"/>
            </w14:solidFill>
          </w14:textFill>
        </w:rPr>
        <w:t>：</w:t>
      </w:r>
      <w:r>
        <w:rPr>
          <w:rFonts w:hint="eastAsia" w:ascii="仿宋" w:hAnsi="仿宋" w:eastAsia="仿宋" w:cs="仿宋_GB2312"/>
          <w:bCs/>
          <w:color w:val="000000" w:themeColor="text1"/>
          <w:sz w:val="32"/>
          <w:szCs w:val="32"/>
          <w:lang w:eastAsia="zh-CN"/>
          <w14:textFill>
            <w14:solidFill>
              <w14:schemeClr w14:val="tx1"/>
            </w14:solidFill>
          </w14:textFill>
        </w:rPr>
        <w:t>杭</w:t>
      </w:r>
      <w:r>
        <w:rPr>
          <w:rFonts w:hint="eastAsia" w:ascii="仿宋" w:hAnsi="仿宋" w:eastAsia="仿宋" w:cs="仿宋_GB2312"/>
          <w:bCs/>
          <w:color w:val="000000" w:themeColor="text1"/>
          <w:sz w:val="32"/>
          <w:szCs w:val="32"/>
          <w14:textFill>
            <w14:solidFill>
              <w14:schemeClr w14:val="tx1"/>
            </w14:solidFill>
          </w14:textFill>
        </w:rPr>
        <w:t>州市公共资源交易中心</w:t>
      </w:r>
      <w:r>
        <w:rPr>
          <w:rFonts w:hint="eastAsia" w:ascii="仿宋" w:hAnsi="仿宋" w:eastAsia="仿宋" w:cs="仿宋_GB2312"/>
          <w:bCs/>
          <w:color w:val="000000" w:themeColor="text1"/>
          <w:sz w:val="32"/>
          <w:szCs w:val="32"/>
          <w:lang w:eastAsia="zh-CN"/>
          <w14:textFill>
            <w14:solidFill>
              <w14:schemeClr w14:val="tx1"/>
            </w14:solidFill>
          </w14:textFill>
        </w:rPr>
        <w:t>临安分中心</w:t>
      </w:r>
    </w:p>
    <w:p>
      <w:pPr>
        <w:snapToGrid w:val="0"/>
        <w:spacing w:line="360" w:lineRule="auto"/>
        <w:jc w:val="center"/>
        <w:rPr>
          <w:rFonts w:hint="eastAsia"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二</w:t>
      </w:r>
      <w:r>
        <w:rPr>
          <w:rFonts w:hint="eastAsia" w:ascii="仿宋" w:hAnsi="仿宋" w:eastAsia="仿宋" w:cs="宋体"/>
          <w:bCs/>
          <w:color w:val="000000" w:themeColor="text1"/>
          <w:sz w:val="32"/>
          <w:szCs w:val="32"/>
          <w:highlight w:val="none"/>
          <w14:textFill>
            <w14:solidFill>
              <w14:schemeClr w14:val="tx1"/>
            </w14:solidFill>
          </w14:textFill>
        </w:rPr>
        <w:t>〇</w:t>
      </w: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宋体"/>
          <w:bCs/>
          <w:color w:val="000000" w:themeColor="text1"/>
          <w:sz w:val="32"/>
          <w:szCs w:val="32"/>
          <w:highlight w:val="none"/>
          <w:lang w:eastAsia="zh-CN"/>
          <w14:textFill>
            <w14:solidFill>
              <w14:schemeClr w14:val="tx1"/>
            </w14:solidFill>
          </w14:textFill>
        </w:rPr>
        <w:t>一</w:t>
      </w:r>
      <w:r>
        <w:rPr>
          <w:rFonts w:hint="eastAsia" w:ascii="仿宋" w:hAnsi="仿宋" w:eastAsia="仿宋" w:cs="仿宋_GB2312"/>
          <w:bCs/>
          <w:color w:val="000000" w:themeColor="text1"/>
          <w:sz w:val="32"/>
          <w:szCs w:val="32"/>
          <w:highlight w:val="none"/>
          <w14:textFill>
            <w14:solidFill>
              <w14:schemeClr w14:val="tx1"/>
            </w14:solidFill>
          </w14:textFill>
        </w:rPr>
        <w:t>年</w:t>
      </w:r>
      <w:r>
        <w:rPr>
          <w:rFonts w:hint="eastAsia" w:ascii="仿宋" w:hAnsi="仿宋" w:eastAsia="仿宋" w:cs="仿宋_GB2312"/>
          <w:bCs/>
          <w:color w:val="000000" w:themeColor="text1"/>
          <w:sz w:val="32"/>
          <w:szCs w:val="32"/>
          <w:highlight w:val="none"/>
          <w:lang w:eastAsia="zh-CN"/>
          <w14:textFill>
            <w14:solidFill>
              <w14:schemeClr w14:val="tx1"/>
            </w14:solidFill>
          </w14:textFill>
        </w:rPr>
        <w:t>一</w:t>
      </w:r>
      <w:r>
        <w:rPr>
          <w:rFonts w:hint="eastAsia" w:ascii="仿宋" w:hAnsi="仿宋" w:eastAsia="仿宋" w:cs="仿宋_GB2312"/>
          <w:bCs/>
          <w:color w:val="000000" w:themeColor="text1"/>
          <w:sz w:val="32"/>
          <w:szCs w:val="32"/>
          <w:highlight w:val="none"/>
          <w14:textFill>
            <w14:solidFill>
              <w14:schemeClr w14:val="tx1"/>
            </w14:solidFill>
          </w14:textFill>
        </w:rPr>
        <w:t>月十</w:t>
      </w:r>
      <w:r>
        <w:rPr>
          <w:rFonts w:hint="eastAsia" w:ascii="仿宋" w:hAnsi="仿宋" w:eastAsia="仿宋" w:cs="仿宋_GB2312"/>
          <w:bCs/>
          <w:color w:val="000000" w:themeColor="text1"/>
          <w:sz w:val="32"/>
          <w:szCs w:val="32"/>
          <w:highlight w:val="none"/>
          <w:lang w:eastAsia="zh-CN"/>
          <w14:textFill>
            <w14:solidFill>
              <w14:schemeClr w14:val="tx1"/>
            </w14:solidFill>
          </w14:textFill>
        </w:rPr>
        <w:t>三</w:t>
      </w:r>
      <w:r>
        <w:rPr>
          <w:rFonts w:hint="eastAsia" w:ascii="仿宋" w:hAnsi="仿宋" w:eastAsia="仿宋" w:cs="仿宋_GB2312"/>
          <w:bCs/>
          <w:color w:val="000000" w:themeColor="text1"/>
          <w:sz w:val="32"/>
          <w:szCs w:val="32"/>
          <w:highlight w:val="none"/>
          <w14:textFill>
            <w14:solidFill>
              <w14:schemeClr w14:val="tx1"/>
            </w14:solidFill>
          </w14:textFill>
        </w:rPr>
        <w:t>日</w:t>
      </w:r>
    </w:p>
    <w:p>
      <w:pPr>
        <w:spacing w:line="360" w:lineRule="auto"/>
        <w:jc w:val="center"/>
        <w:rPr>
          <w:rFonts w:hint="eastAsia" w:ascii="仿宋" w:hAnsi="仿宋" w:eastAsia="仿宋" w:cs="仿宋_GB2312"/>
          <w:b/>
          <w:color w:val="000000" w:themeColor="text1"/>
          <w:sz w:val="48"/>
          <w:szCs w:val="48"/>
          <w14:textFill>
            <w14:solidFill>
              <w14:schemeClr w14:val="tx1"/>
            </w14:solidFill>
          </w14:textFill>
        </w:rPr>
      </w:pPr>
    </w:p>
    <w:p>
      <w:pPr>
        <w:spacing w:line="360" w:lineRule="auto"/>
        <w:jc w:val="both"/>
        <w:rPr>
          <w:rFonts w:hint="eastAsia" w:ascii="仿宋" w:hAnsi="仿宋" w:eastAsia="仿宋" w:cs="仿宋_GB2312"/>
          <w:b/>
          <w:color w:val="000000" w:themeColor="text1"/>
          <w:sz w:val="48"/>
          <w:szCs w:val="48"/>
          <w14:textFill>
            <w14:solidFill>
              <w14:schemeClr w14:val="tx1"/>
            </w14:solidFill>
          </w14:textFill>
        </w:rPr>
      </w:pPr>
    </w:p>
    <w:p>
      <w:pPr>
        <w:spacing w:line="360" w:lineRule="auto"/>
        <w:jc w:val="center"/>
        <w:rPr>
          <w:rFonts w:hint="eastAsia" w:ascii="仿宋" w:hAnsi="仿宋" w:eastAsia="仿宋" w:cs="仿宋_GB2312"/>
          <w:b/>
          <w:color w:val="000000" w:themeColor="text1"/>
          <w:sz w:val="48"/>
          <w:szCs w:val="48"/>
          <w14:textFill>
            <w14:solidFill>
              <w14:schemeClr w14:val="tx1"/>
            </w14:solidFill>
          </w14:textFill>
        </w:rPr>
      </w:pPr>
    </w:p>
    <w:p>
      <w:pPr>
        <w:spacing w:line="360" w:lineRule="auto"/>
        <w:jc w:val="center"/>
        <w:rPr>
          <w:rFonts w:ascii="仿宋" w:hAnsi="仿宋" w:eastAsia="仿宋" w:cs="仿宋_GB2312"/>
          <w:b/>
          <w:color w:val="000000" w:themeColor="text1"/>
          <w:sz w:val="48"/>
          <w:szCs w:val="48"/>
          <w14:textFill>
            <w14:solidFill>
              <w14:schemeClr w14:val="tx1"/>
            </w14:solidFill>
          </w14:textFill>
        </w:rPr>
      </w:pPr>
      <w:r>
        <w:rPr>
          <w:rFonts w:hint="eastAsia" w:ascii="仿宋" w:hAnsi="仿宋" w:eastAsia="仿宋" w:cs="仿宋_GB2312"/>
          <w:b/>
          <w:color w:val="000000" w:themeColor="text1"/>
          <w:sz w:val="48"/>
          <w:szCs w:val="48"/>
          <w14:textFill>
            <w14:solidFill>
              <w14:schemeClr w14:val="tx1"/>
            </w14:solidFill>
          </w14:textFill>
        </w:rPr>
        <w:t>目  录</w:t>
      </w: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第一部分      招标公告</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第二部分      投标人须知</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第三部分      采购需求</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第四部分      评标方法及评分标准</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第五部分      拟签订的合同文本</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第六部分      应提交的有关格式范例</w:t>
      </w:r>
    </w:p>
    <w:p/>
    <w:p/>
    <w:p/>
    <w:p/>
    <w:p/>
    <w:p/>
    <w:p/>
    <w:p/>
    <w:p/>
    <w:p/>
    <w:p/>
    <w:p/>
    <w:p/>
    <w:p/>
    <w:p/>
    <w:p/>
    <w:p>
      <w:pPr>
        <w:pStyle w:val="12"/>
      </w:pPr>
    </w:p>
    <w:p>
      <w:pPr>
        <w:pStyle w:val="12"/>
      </w:pPr>
    </w:p>
    <w:p>
      <w:pPr>
        <w:pStyle w:val="12"/>
      </w:pPr>
    </w:p>
    <w:p>
      <w:pPr>
        <w:pStyle w:val="12"/>
      </w:pPr>
    </w:p>
    <w:p>
      <w:pPr>
        <w:pStyle w:val="12"/>
      </w:pPr>
    </w:p>
    <w:p>
      <w:pPr>
        <w:pStyle w:val="12"/>
      </w:pPr>
    </w:p>
    <w:p>
      <w:pPr>
        <w:pStyle w:val="12"/>
      </w:pPr>
    </w:p>
    <w:p/>
    <w:p>
      <w:pPr>
        <w:adjustRightInd/>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spacing w:line="360" w:lineRule="auto"/>
        <w:ind w:firstLine="480" w:firstLineChars="200"/>
        <w:rPr>
          <w:rFonts w:hint="eastAsia" w:ascii="仿宋_GB2312" w:hAnsi="仿宋" w:eastAsia="仿宋_GB2312"/>
          <w:b w:val="0"/>
          <w:bCs/>
          <w:sz w:val="24"/>
        </w:rPr>
      </w:pPr>
      <w:r>
        <w:rPr>
          <w:rFonts w:hint="eastAsia" w:ascii="仿宋" w:hAnsi="仿宋" w:eastAsia="仿宋" w:cs="仿宋"/>
          <w:sz w:val="24"/>
        </w:rPr>
        <w:t>受</w:t>
      </w:r>
      <w:r>
        <w:rPr>
          <w:rFonts w:hint="eastAsia" w:ascii="仿宋" w:hAnsi="仿宋" w:eastAsia="仿宋" w:cs="仿宋"/>
          <w:sz w:val="24"/>
          <w:lang w:eastAsia="zh-CN"/>
        </w:rPr>
        <w:t>浙江青山湖科研创新基地投资有限公司</w:t>
      </w:r>
      <w:r>
        <w:rPr>
          <w:rFonts w:hint="eastAsia" w:ascii="仿宋" w:hAnsi="仿宋" w:eastAsia="仿宋" w:cs="仿宋"/>
          <w:sz w:val="24"/>
          <w:highlight w:val="none"/>
        </w:rPr>
        <w:t>的</w:t>
      </w:r>
      <w:r>
        <w:rPr>
          <w:rFonts w:hint="eastAsia" w:ascii="仿宋" w:hAnsi="仿宋" w:eastAsia="仿宋" w:cs="仿宋"/>
          <w:sz w:val="24"/>
        </w:rPr>
        <w:t>委托，杭州市公共资源交易中心临安分中心（以下简称“采购机构”），就以下临安区国际商务中心2号楼密集架等设备采购项目进行公开采购，</w:t>
      </w:r>
      <w:r>
        <w:rPr>
          <w:rFonts w:hint="eastAsia" w:ascii="仿宋_GB2312" w:hAnsi="仿宋_GB2312" w:eastAsia="仿宋_GB2312" w:cs="仿宋_GB2312"/>
          <w:sz w:val="24"/>
        </w:rPr>
        <w:t>邀请符合条件的供应商参加投标</w:t>
      </w:r>
      <w:r>
        <w:rPr>
          <w:rFonts w:hint="eastAsia" w:ascii="仿宋" w:hAnsi="仿宋" w:eastAsia="仿宋" w:cs="仿宋"/>
          <w:sz w:val="24"/>
        </w:rPr>
        <w:t>。</w:t>
      </w:r>
    </w:p>
    <w:p>
      <w:pPr>
        <w:spacing w:line="360" w:lineRule="auto"/>
        <w:rPr>
          <w:rFonts w:ascii="仿宋_GB2312" w:hAnsi="仿宋" w:eastAsia="仿宋_GB2312"/>
          <w:b/>
          <w:sz w:val="24"/>
        </w:rPr>
      </w:pPr>
      <w:r>
        <w:rPr>
          <w:rFonts w:hint="eastAsia" w:ascii="仿宋_GB2312" w:hAnsi="仿宋" w:eastAsia="仿宋_GB2312"/>
          <w:b/>
          <w:sz w:val="24"/>
        </w:rPr>
        <w:t xml:space="preserve">一、项目基本情况                                            </w:t>
      </w:r>
    </w:p>
    <w:p>
      <w:pPr>
        <w:spacing w:line="360" w:lineRule="auto"/>
        <w:rPr>
          <w:rFonts w:hint="default" w:ascii="仿宋_GB2312" w:hAnsi="仿宋" w:eastAsia="仿宋"/>
          <w:sz w:val="24"/>
          <w:highlight w:val="none"/>
          <w:lang w:val="en-US" w:eastAsia="zh-CN"/>
        </w:rPr>
      </w:pPr>
      <w:r>
        <w:rPr>
          <w:rFonts w:hint="eastAsia"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highlight w:val="none"/>
        </w:rPr>
        <w:t>：</w:t>
      </w:r>
      <w:r>
        <w:rPr>
          <w:rFonts w:hint="eastAsia" w:ascii="仿宋" w:hAnsi="仿宋" w:eastAsia="仿宋" w:cs="仿宋"/>
          <w:sz w:val="24"/>
          <w:highlight w:val="none"/>
        </w:rPr>
        <w:t>LZC-GK-202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01001</w:t>
      </w:r>
    </w:p>
    <w:p>
      <w:pPr>
        <w:spacing w:line="360" w:lineRule="auto"/>
        <w:ind w:firstLine="480"/>
        <w:rPr>
          <w:rFonts w:hint="eastAsia" w:ascii="仿宋" w:hAnsi="仿宋" w:eastAsia="仿宋" w:cs="仿宋"/>
          <w:sz w:val="24"/>
          <w:highlight w:val="none"/>
        </w:rPr>
      </w:pPr>
      <w:r>
        <w:rPr>
          <w:rFonts w:hint="eastAsia" w:ascii="仿宋_GB2312" w:hAnsi="仿宋" w:eastAsia="仿宋_GB2312"/>
          <w:b/>
          <w:sz w:val="24"/>
          <w:highlight w:val="none"/>
        </w:rPr>
        <w:t>项目名称：</w:t>
      </w:r>
      <w:r>
        <w:rPr>
          <w:rFonts w:hint="eastAsia" w:ascii="仿宋" w:hAnsi="仿宋" w:eastAsia="仿宋" w:cs="仿宋"/>
          <w:sz w:val="24"/>
          <w:highlight w:val="none"/>
          <w:lang w:val="en-US" w:eastAsia="zh-CN"/>
        </w:rPr>
        <w:t>临安区国际商务中心2号楼密集架等设备采购项目</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预算金额：</w:t>
      </w:r>
      <w:r>
        <w:rPr>
          <w:rFonts w:hint="eastAsia" w:ascii="仿宋_GB2312" w:hAnsi="仿宋" w:eastAsia="仿宋_GB2312"/>
          <w:b/>
          <w:sz w:val="24"/>
          <w:highlight w:val="none"/>
          <w:lang w:val="en-US" w:eastAsia="zh-CN"/>
        </w:rPr>
        <w:t>1500</w:t>
      </w:r>
      <w:r>
        <w:rPr>
          <w:rFonts w:hint="eastAsia" w:ascii="仿宋_GB2312" w:hAnsi="仿宋" w:eastAsia="仿宋_GB2312"/>
          <w:b/>
          <w:sz w:val="24"/>
          <w:highlight w:val="none"/>
        </w:rPr>
        <w:t>万元</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w:t>
      </w:r>
      <w:r>
        <w:rPr>
          <w:rFonts w:hint="eastAsia" w:ascii="仿宋_GB2312" w:hAnsi="仿宋" w:eastAsia="仿宋_GB2312"/>
          <w:b/>
          <w:sz w:val="24"/>
          <w:highlight w:val="none"/>
          <w:lang w:val="en-US" w:eastAsia="zh-CN"/>
        </w:rPr>
        <w:t>1500</w:t>
      </w:r>
      <w:r>
        <w:rPr>
          <w:rFonts w:hint="eastAsia" w:ascii="仿宋_GB2312" w:hAnsi="仿宋" w:eastAsia="仿宋_GB2312"/>
          <w:b/>
          <w:sz w:val="24"/>
          <w:highlight w:val="none"/>
        </w:rPr>
        <w:t>万元</w:t>
      </w:r>
    </w:p>
    <w:p>
      <w:pPr>
        <w:spacing w:line="360" w:lineRule="auto"/>
        <w:ind w:firstLine="482" w:firstLineChars="200"/>
        <w:rPr>
          <w:rFonts w:hint="eastAsia" w:ascii="仿宋_GB2312" w:hAnsi="仿宋" w:eastAsia="仿宋_GB2312"/>
          <w:bCs/>
          <w:sz w:val="24"/>
        </w:rPr>
      </w:pPr>
      <w:r>
        <w:rPr>
          <w:rFonts w:hint="eastAsia" w:ascii="仿宋_GB2312" w:hAnsi="仿宋" w:eastAsia="仿宋_GB2312"/>
          <w:b/>
          <w:sz w:val="24"/>
        </w:rPr>
        <w:t>采购需求：</w:t>
      </w:r>
      <w:r>
        <w:rPr>
          <w:rFonts w:hint="eastAsia" w:ascii="仿宋_GB2312" w:hAnsi="仿宋" w:eastAsia="仿宋_GB2312"/>
          <w:b w:val="0"/>
          <w:bCs/>
          <w:sz w:val="24"/>
        </w:rPr>
        <w:t>国际商务中心2号楼密集架、档案库房相应配套设备、消杀设备采购。</w:t>
      </w:r>
    </w:p>
    <w:p>
      <w:pPr>
        <w:pStyle w:val="19"/>
        <w:spacing w:before="0"/>
        <w:ind w:firstLineChars="0"/>
        <w:outlineLvl w:val="2"/>
        <w:rPr>
          <w:rFonts w:ascii="仿宋_GB2312" w:hAnsi="仿宋" w:eastAsia="仿宋_GB2312"/>
          <w:b/>
        </w:rPr>
      </w:pPr>
      <w:r>
        <w:rPr>
          <w:rFonts w:hint="eastAsia" w:ascii="仿宋_GB2312" w:hAnsi="仿宋" w:eastAsia="仿宋_GB2312"/>
          <w:b/>
        </w:rPr>
        <w:t>本项目</w:t>
      </w:r>
      <w:r>
        <w:rPr>
          <w:rFonts w:hint="eastAsia" w:ascii="仿宋_GB2312" w:hAnsi="仿宋" w:eastAsia="仿宋_GB2312"/>
          <w:b/>
          <w:lang w:eastAsia="zh-CN"/>
        </w:rPr>
        <w:t>不</w:t>
      </w:r>
      <w:r>
        <w:rPr>
          <w:rFonts w:hint="eastAsia" w:ascii="仿宋_GB2312" w:hAnsi="仿宋" w:eastAsia="仿宋_GB2312"/>
          <w:b/>
        </w:rPr>
        <w:t>接受联合体投标。</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1.满足《中华人民共和国政府采购法》第二十二条规定；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2.落实政府采购政策需满足的资格要求：无</w:t>
      </w:r>
      <w:r>
        <w:rPr>
          <w:rFonts w:hint="eastAsia" w:ascii="仿宋_GB2312" w:hAnsi="仿宋" w:eastAsia="仿宋_GB2312"/>
          <w:sz w:val="24"/>
          <w:lang w:eastAsia="zh-CN"/>
        </w:rPr>
        <w:t>；</w:t>
      </w:r>
      <w:r>
        <w:rPr>
          <w:rFonts w:hint="eastAsia" w:ascii="仿宋_GB2312" w:hAnsi="仿宋" w:eastAsia="仿宋_GB2312"/>
          <w:sz w:val="24"/>
        </w:rPr>
        <w:t xml:space="preserve"> </w:t>
      </w:r>
    </w:p>
    <w:p>
      <w:pPr>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rPr>
        <w:t>3.本项目的特定资格要求：无</w:t>
      </w:r>
      <w:r>
        <w:rPr>
          <w:rFonts w:hint="eastAsia" w:ascii="仿宋_GB2312" w:hAnsi="仿宋" w:eastAsia="仿宋_GB2312"/>
          <w:sz w:val="24"/>
          <w:lang w:eastAsia="zh-CN"/>
        </w:rPr>
        <w:t>。</w:t>
      </w:r>
    </w:p>
    <w:p>
      <w:pPr>
        <w:spacing w:line="360" w:lineRule="auto"/>
        <w:rPr>
          <w:rFonts w:ascii="仿宋_GB2312" w:hAnsi="仿宋" w:eastAsia="仿宋_GB2312"/>
          <w:b/>
          <w:sz w:val="24"/>
        </w:rPr>
      </w:pPr>
      <w:r>
        <w:rPr>
          <w:rFonts w:hint="eastAsia" w:ascii="仿宋_GB2312" w:hAnsi="仿宋" w:eastAsia="仿宋_GB2312"/>
          <w:b/>
          <w:sz w:val="24"/>
        </w:rPr>
        <w:t xml:space="preserve">三、获取招标文件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rPr>
        <w:t>/至</w:t>
      </w:r>
      <w:r>
        <w:rPr>
          <w:rFonts w:hint="eastAsia" w:ascii="仿宋_GB2312" w:hAnsi="仿宋" w:eastAsia="仿宋_GB2312"/>
          <w:sz w:val="24"/>
          <w:highlight w:val="none"/>
        </w:rPr>
        <w:t>202</w:t>
      </w:r>
      <w:r>
        <w:rPr>
          <w:rFonts w:hint="eastAsia" w:ascii="仿宋_GB2312" w:hAnsi="仿宋" w:eastAsia="仿宋_GB2312"/>
          <w:sz w:val="24"/>
          <w:highlight w:val="none"/>
          <w:lang w:val="en-US" w:eastAsia="zh-CN"/>
        </w:rPr>
        <w:t>1</w:t>
      </w:r>
      <w:r>
        <w:rPr>
          <w:rFonts w:hint="eastAsia" w:ascii="仿宋_GB2312" w:hAnsi="仿宋" w:eastAsia="仿宋_GB2312"/>
          <w:sz w:val="24"/>
          <w:highlight w:val="none"/>
        </w:rPr>
        <w:t>年</w:t>
      </w:r>
      <w:r>
        <w:rPr>
          <w:rFonts w:hint="eastAsia" w:ascii="仿宋_GB2312" w:hAnsi="仿宋" w:eastAsia="仿宋_GB2312"/>
          <w:sz w:val="24"/>
          <w:highlight w:val="none"/>
          <w:lang w:val="en-US" w:eastAsia="zh-CN"/>
        </w:rPr>
        <w:t>2</w:t>
      </w:r>
      <w:r>
        <w:rPr>
          <w:rFonts w:hint="eastAsia" w:ascii="仿宋_GB2312" w:hAnsi="仿宋" w:eastAsia="仿宋_GB2312"/>
          <w:sz w:val="24"/>
          <w:highlight w:val="none"/>
        </w:rPr>
        <w:t>月</w:t>
      </w:r>
      <w:r>
        <w:rPr>
          <w:rFonts w:hint="eastAsia" w:ascii="仿宋_GB2312" w:hAnsi="仿宋" w:eastAsia="仿宋_GB2312"/>
          <w:sz w:val="24"/>
          <w:highlight w:val="none"/>
          <w:lang w:val="en-US" w:eastAsia="zh-CN"/>
        </w:rPr>
        <w:t>9</w:t>
      </w:r>
      <w:r>
        <w:rPr>
          <w:rFonts w:hint="eastAsia" w:ascii="仿宋_GB2312" w:hAnsi="仿宋" w:eastAsia="仿宋_GB2312"/>
          <w:sz w:val="24"/>
          <w:highlight w:val="none"/>
        </w:rPr>
        <w:t>日 ，每</w:t>
      </w:r>
      <w:r>
        <w:rPr>
          <w:rFonts w:hint="eastAsia" w:ascii="仿宋_GB2312" w:hAnsi="仿宋" w:eastAsia="仿宋_GB2312"/>
          <w:sz w:val="24"/>
        </w:rPr>
        <w:t>天上午00:00至12:00 ，下午12:00至23:59（北京时间，线上获取法定节假日均可，线下获取文件法定节假日除外）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lang w:eastAsia="zh-CN"/>
        </w:rPr>
        <w:t>浙江政府采购网</w:t>
      </w:r>
      <w:r>
        <w:rPr>
          <w:rFonts w:hint="eastAsia" w:ascii="仿宋_GB2312" w:hAnsi="仿宋" w:eastAsia="仿宋_GB2312"/>
          <w:sz w:val="24"/>
        </w:rPr>
        <w:t xml:space="preserve">（https://zfcg.czt.zj.gov.cn/）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hint="eastAsia" w:ascii="仿宋_GB2312" w:hAnsi="仿宋" w:eastAsia="仿宋_GB2312"/>
          <w:sz w:val="24"/>
          <w:lang w:val="en-US" w:eastAsia="zh-CN"/>
        </w:rPr>
        <w:t>0</w:t>
      </w:r>
      <w:r>
        <w:rPr>
          <w:rFonts w:hint="eastAsia" w:ascii="仿宋_GB2312" w:hAnsi="仿宋" w:eastAsia="仿宋_GB2312"/>
          <w:sz w:val="24"/>
        </w:rPr>
        <w:t xml:space="preserve"> </w:t>
      </w:r>
    </w:p>
    <w:p>
      <w:pPr>
        <w:spacing w:line="360" w:lineRule="auto"/>
        <w:rPr>
          <w:rFonts w:ascii="仿宋_GB2312" w:hAnsi="仿宋" w:eastAsia="仿宋_GB2312"/>
          <w:b/>
          <w:sz w:val="24"/>
          <w:highlight w:val="none"/>
        </w:rPr>
      </w:pPr>
      <w:r>
        <w:rPr>
          <w:rFonts w:hint="eastAsia" w:ascii="仿宋_GB2312" w:hAnsi="仿宋" w:eastAsia="仿宋_GB2312"/>
          <w:b/>
          <w:sz w:val="24"/>
        </w:rPr>
        <w:t>四、提交投标文件截止时间、</w:t>
      </w:r>
      <w:r>
        <w:rPr>
          <w:rFonts w:hint="eastAsia" w:ascii="仿宋_GB2312" w:hAnsi="仿宋" w:eastAsia="仿宋_GB2312"/>
          <w:b/>
          <w:sz w:val="24"/>
          <w:highlight w:val="none"/>
        </w:rPr>
        <w:t>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1</w:t>
      </w:r>
      <w:r>
        <w:rPr>
          <w:rFonts w:hint="eastAsia"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10</w:t>
      </w:r>
      <w:r>
        <w:rPr>
          <w:rFonts w:hint="eastAsia" w:ascii="仿宋_GB2312" w:hAnsi="仿宋" w:eastAsia="仿宋_GB2312"/>
          <w:bCs/>
          <w:sz w:val="24"/>
          <w:highlight w:val="none"/>
          <w:u w:val="single"/>
        </w:rPr>
        <w:t>点</w:t>
      </w:r>
      <w:r>
        <w:rPr>
          <w:rFonts w:hint="eastAsia" w:ascii="仿宋_GB2312" w:hAnsi="仿宋" w:eastAsia="仿宋_GB2312"/>
          <w:bCs/>
          <w:sz w:val="24"/>
          <w:highlight w:val="none"/>
          <w:u w:val="single"/>
          <w:lang w:val="en-US" w:eastAsia="zh-CN"/>
        </w:rPr>
        <w:t>3</w:t>
      </w:r>
      <w:r>
        <w:rPr>
          <w:rFonts w:hint="eastAsia" w:ascii="仿宋_GB2312" w:hAnsi="仿宋" w:eastAsia="仿宋_GB2312"/>
          <w:bCs/>
          <w:sz w:val="24"/>
          <w:highlight w:val="none"/>
          <w:u w:val="single"/>
        </w:rPr>
        <w:t>0分00秒</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 xml:space="preserve">政府采购云平台（www.zcygov.cn）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1</w:t>
      </w:r>
      <w:r>
        <w:rPr>
          <w:rFonts w:hint="eastAsia"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10</w:t>
      </w:r>
      <w:r>
        <w:rPr>
          <w:rFonts w:hint="eastAsia" w:ascii="仿宋_GB2312" w:hAnsi="仿宋" w:eastAsia="仿宋_GB2312"/>
          <w:bCs/>
          <w:sz w:val="24"/>
          <w:highlight w:val="none"/>
          <w:u w:val="single"/>
        </w:rPr>
        <w:t>点</w:t>
      </w:r>
      <w:r>
        <w:rPr>
          <w:rFonts w:hint="eastAsia" w:ascii="仿宋_GB2312" w:hAnsi="仿宋" w:eastAsia="仿宋_GB2312"/>
          <w:bCs/>
          <w:sz w:val="24"/>
          <w:highlight w:val="none"/>
          <w:u w:val="single"/>
          <w:lang w:val="en-US" w:eastAsia="zh-CN"/>
        </w:rPr>
        <w:t>3</w:t>
      </w:r>
      <w:r>
        <w:rPr>
          <w:rFonts w:hint="eastAsia" w:ascii="仿宋_GB2312" w:hAnsi="仿宋" w:eastAsia="仿宋_GB2312"/>
          <w:bCs/>
          <w:sz w:val="24"/>
          <w:highlight w:val="none"/>
          <w:u w:val="single"/>
        </w:rPr>
        <w:t>0分00秒</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w:t>
      </w:r>
      <w:r>
        <w:rPr>
          <w:rFonts w:hint="eastAsia" w:ascii="仿宋_GB2312" w:hAnsi="仿宋" w:eastAsia="仿宋_GB2312"/>
          <w:sz w:val="24"/>
        </w:rPr>
        <w:t xml:space="preserve">在政府采购云平台（www.zcygov.cn）上开启投标文件  </w:t>
      </w:r>
    </w:p>
    <w:p>
      <w:pPr>
        <w:spacing w:line="360" w:lineRule="auto"/>
        <w:rPr>
          <w:rFonts w:ascii="仿宋_GB2312" w:hAnsi="仿宋" w:eastAsia="仿宋_GB2312"/>
          <w:b/>
          <w:sz w:val="24"/>
        </w:rPr>
      </w:pPr>
      <w:r>
        <w:rPr>
          <w:rFonts w:hint="eastAsia" w:ascii="仿宋_GB2312" w:hAnsi="仿宋" w:eastAsia="仿宋_GB2312"/>
          <w:b/>
          <w:sz w:val="24"/>
        </w:rPr>
        <w:t xml:space="preserve">五、公告期限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2. 需要落实的政府采购政策：包括保护环境、节约能源、促进中小企业发展等。详见招标文件的第二部分总则。</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sz w:val="24"/>
        </w:rPr>
        <w:t>3.电子招投标的说明：</w:t>
      </w:r>
      <w:r>
        <w:rPr>
          <w:rFonts w:hint="eastAsia" w:ascii="仿宋_GB2312" w:hAnsi="仿宋" w:eastAsia="仿宋_GB2312" w:cs="仿宋_GB2312"/>
          <w:sz w:val="24"/>
        </w:rPr>
        <w:t xml:space="preserve"> </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1）电子招投标：本项目以数据电文形式，依托“政府采购云平台（www.zcygov.cn）”进行招投标活动，不接受纸质投标文件。</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3）招标文件的获取：使用账号登录或者使用CA登录政采云平台；进入“项目采购”应用，在获取采购文件菜单中选择项目，获取招标文件。</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4）投标文件的制作：在“政采云电子交易客户端”中完成“填写基本信息”、“导入投标文件”、“标书关联”、“标书检查”、“电子签名”、“生成电子标书”等操作。</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5）采购人、采购机构将依托政采云平台完成本项目的电子交易活动，平台不接受未按上述方式获取招标文件的供应商进行投标活动；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6）对未按上述方式获取招标文件的供应商对该文件提出的质疑，采购人或采购代理机构将不予处理；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7）不提供招标文件纸质版。</w:t>
      </w:r>
    </w:p>
    <w:p>
      <w:pPr>
        <w:spacing w:line="360" w:lineRule="auto"/>
        <w:ind w:firstLine="480" w:firstLineChars="200"/>
        <w:rPr>
          <w:rFonts w:hint="eastAsia" w:ascii="仿宋_GB2312" w:hAnsi="仿宋" w:eastAsia="仿宋_GB2312" w:cs="仿宋_GB2312"/>
          <w:sz w:val="24"/>
          <w:highlight w:val="none"/>
        </w:rPr>
      </w:pPr>
      <w:r>
        <w:rPr>
          <w:rFonts w:hint="eastAsia" w:ascii="仿宋_GB2312" w:hAnsi="仿宋" w:eastAsia="仿宋_GB2312" w:cs="仿宋_GB2312"/>
          <w:sz w:val="24"/>
        </w:rPr>
        <w:t>8）投标文件的传输递交：投标人在投标截止时间前将加密的投标文件上传至政府采购云平台，还可以在投标截止时间前直接提</w:t>
      </w:r>
      <w:r>
        <w:rPr>
          <w:rFonts w:hint="eastAsia" w:ascii="仿宋_GB2312" w:hAnsi="仿宋" w:eastAsia="仿宋_GB2312" w:cs="仿宋_GB2312"/>
          <w:sz w:val="24"/>
          <w:highlight w:val="none"/>
        </w:rPr>
        <w:t>交或者以邮政快递方式递交备份投标文件1份。备份投标文件的制作、存储、密封详见招标文件第二部分第15点—“备份投标文件”。</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sz w:val="24"/>
        </w:rPr>
        <w:t>9）</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10）具体操作指南：详见政采云平台“服务中心-帮助文档-项目采购-操作流程-电子招投标-政府采购项目电子交易管理操作指南-供应商”。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hint="eastAsia" w:ascii="仿宋_GB2312" w:hAnsi="仿宋" w:eastAsia="仿宋_GB2312"/>
          <w:sz w:val="24"/>
        </w:rPr>
        <w:t xml:space="preserve">    1.采购人信息</w:t>
      </w:r>
    </w:p>
    <w:p>
      <w:pPr>
        <w:spacing w:line="360" w:lineRule="auto"/>
        <w:ind w:firstLine="480" w:firstLineChars="200"/>
        <w:rPr>
          <w:rFonts w:hint="eastAsia" w:ascii="仿宋" w:hAnsi="仿宋" w:eastAsia="仿宋"/>
          <w:sz w:val="24"/>
          <w:lang w:eastAsia="zh-CN"/>
        </w:rPr>
      </w:pPr>
      <w:r>
        <w:rPr>
          <w:rFonts w:hint="eastAsia" w:ascii="仿宋" w:hAnsi="仿宋" w:eastAsia="仿宋"/>
          <w:sz w:val="24"/>
        </w:rPr>
        <w:t>名    称：</w:t>
      </w:r>
      <w:r>
        <w:rPr>
          <w:rFonts w:hint="eastAsia" w:ascii="仿宋" w:hAnsi="仿宋" w:eastAsia="仿宋"/>
          <w:sz w:val="24"/>
          <w:lang w:eastAsia="zh-CN"/>
        </w:rPr>
        <w:t>浙江青山湖科研创新基地投资有限公司</w:t>
      </w:r>
    </w:p>
    <w:p>
      <w:pPr>
        <w:spacing w:line="360" w:lineRule="auto"/>
        <w:ind w:firstLine="480" w:firstLineChars="200"/>
        <w:rPr>
          <w:rFonts w:hint="default" w:ascii="仿宋" w:hAnsi="仿宋" w:eastAsia="仿宋"/>
          <w:sz w:val="24"/>
          <w:lang w:val="en-US" w:eastAsia="zh-CN"/>
        </w:rPr>
      </w:pPr>
      <w:r>
        <w:rPr>
          <w:rFonts w:hint="eastAsia" w:ascii="仿宋" w:hAnsi="仿宋" w:eastAsia="仿宋"/>
          <w:sz w:val="24"/>
        </w:rPr>
        <w:t>地    址：</w:t>
      </w:r>
      <w:r>
        <w:rPr>
          <w:rFonts w:hint="eastAsia" w:ascii="仿宋" w:hAnsi="仿宋" w:eastAsia="仿宋"/>
          <w:sz w:val="24"/>
          <w:lang w:eastAsia="zh-CN"/>
        </w:rPr>
        <w:t>浙江省杭州市临安区青山湖科技城星港路</w:t>
      </w:r>
      <w:r>
        <w:rPr>
          <w:rFonts w:hint="eastAsia" w:ascii="仿宋" w:hAnsi="仿宋" w:eastAsia="仿宋"/>
          <w:sz w:val="24"/>
          <w:lang w:val="en-US" w:eastAsia="zh-CN"/>
        </w:rPr>
        <w:t>1519号</w:t>
      </w:r>
    </w:p>
    <w:p>
      <w:pPr>
        <w:spacing w:line="360" w:lineRule="auto"/>
        <w:ind w:firstLine="480" w:firstLineChars="200"/>
        <w:rPr>
          <w:rFonts w:hint="eastAsia" w:ascii="仿宋" w:hAnsi="仿宋" w:eastAsia="仿宋"/>
          <w:sz w:val="24"/>
        </w:rPr>
      </w:pPr>
      <w:r>
        <w:rPr>
          <w:rFonts w:hint="eastAsia" w:ascii="仿宋" w:hAnsi="仿宋" w:eastAsia="仿宋"/>
          <w:sz w:val="24"/>
        </w:rPr>
        <w:t>项目联系人：</w:t>
      </w:r>
      <w:r>
        <w:rPr>
          <w:rFonts w:hint="eastAsia" w:ascii="仿宋" w:hAnsi="仿宋" w:eastAsia="仿宋" w:cs="仿宋"/>
          <w:sz w:val="24"/>
          <w:highlight w:val="none"/>
          <w:lang w:eastAsia="zh-CN"/>
        </w:rPr>
        <w:t>吴月娣</w:t>
      </w:r>
    </w:p>
    <w:p>
      <w:pPr>
        <w:spacing w:line="360" w:lineRule="auto"/>
        <w:ind w:firstLine="480" w:firstLineChars="200"/>
        <w:rPr>
          <w:rFonts w:ascii="仿宋" w:hAnsi="仿宋" w:eastAsia="仿宋"/>
          <w:sz w:val="24"/>
        </w:rPr>
      </w:pPr>
      <w:r>
        <w:rPr>
          <w:rFonts w:hint="eastAsia" w:ascii="仿宋" w:hAnsi="仿宋" w:eastAsia="仿宋"/>
          <w:sz w:val="24"/>
        </w:rPr>
        <w:t>项目联系方式：</w:t>
      </w:r>
      <w:r>
        <w:rPr>
          <w:rFonts w:hint="eastAsia" w:ascii="仿宋" w:hAnsi="仿宋" w:eastAsia="仿宋" w:cs="仿宋"/>
          <w:sz w:val="24"/>
          <w:highlight w:val="none"/>
        </w:rPr>
        <w:t>0571-63811861</w:t>
      </w:r>
    </w:p>
    <w:p>
      <w:pPr>
        <w:spacing w:line="360" w:lineRule="auto"/>
        <w:rPr>
          <w:rFonts w:ascii="仿宋_GB2312" w:hAnsi="仿宋" w:eastAsia="仿宋_GB2312"/>
          <w:sz w:val="24"/>
        </w:rPr>
      </w:pPr>
      <w:r>
        <w:rPr>
          <w:rFonts w:hint="eastAsia"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名    称：杭州市公共资源交易中心</w:t>
      </w:r>
      <w:r>
        <w:rPr>
          <w:rFonts w:hint="eastAsia" w:ascii="仿宋_GB2312" w:hAnsi="仿宋" w:eastAsia="仿宋_GB2312"/>
          <w:sz w:val="24"/>
          <w:lang w:eastAsia="zh-CN"/>
        </w:rPr>
        <w:t>临安分中心</w:t>
      </w:r>
    </w:p>
    <w:p>
      <w:pPr>
        <w:spacing w:line="360" w:lineRule="auto"/>
        <w:ind w:firstLine="480"/>
        <w:rPr>
          <w:rFonts w:hint="default" w:ascii="仿宋_GB2312" w:hAnsi="仿宋" w:eastAsia="仿宋_GB2312"/>
          <w:sz w:val="24"/>
          <w:lang w:val="en-US" w:eastAsia="zh-CN"/>
        </w:rPr>
      </w:pPr>
      <w:r>
        <w:rPr>
          <w:rFonts w:hint="eastAsia" w:ascii="仿宋_GB2312" w:hAnsi="仿宋" w:eastAsia="仿宋_GB2312"/>
          <w:sz w:val="24"/>
        </w:rPr>
        <w:t>地    址：</w:t>
      </w:r>
      <w:r>
        <w:rPr>
          <w:rFonts w:hint="eastAsia" w:ascii="仿宋_GB2312" w:hAnsi="仿宋" w:eastAsia="仿宋_GB2312"/>
          <w:sz w:val="24"/>
          <w:lang w:eastAsia="zh-CN"/>
        </w:rPr>
        <w:t>浙江省杭州市临安区锦北街道科技大道</w:t>
      </w:r>
      <w:r>
        <w:rPr>
          <w:rFonts w:hint="eastAsia" w:ascii="仿宋_GB2312" w:hAnsi="仿宋" w:eastAsia="仿宋_GB2312"/>
          <w:sz w:val="24"/>
          <w:lang w:val="en-US" w:eastAsia="zh-CN"/>
        </w:rPr>
        <w:t>4398号市民中心B座B448政府采购办公室</w:t>
      </w:r>
    </w:p>
    <w:p>
      <w:pPr>
        <w:spacing w:line="360" w:lineRule="auto"/>
        <w:rPr>
          <w:rFonts w:ascii="仿宋_GB2312" w:hAnsi="仿宋" w:eastAsia="仿宋_GB2312"/>
          <w:sz w:val="24"/>
        </w:rPr>
      </w:pPr>
      <w:r>
        <w:rPr>
          <w:rFonts w:hint="eastAsia" w:ascii="仿宋_GB2312" w:hAnsi="仿宋" w:eastAsia="仿宋_GB2312"/>
          <w:sz w:val="24"/>
        </w:rPr>
        <w:t xml:space="preserve">    传    真：</w:t>
      </w:r>
      <w:r>
        <w:rPr>
          <w:rFonts w:hint="eastAsia" w:ascii="仿宋_GB2312" w:hAnsi="仿宋" w:eastAsia="仿宋_GB2312"/>
          <w:sz w:val="24"/>
          <w:lang w:val="en-US" w:eastAsia="zh-CN"/>
        </w:rPr>
        <w:t>0571-23616016</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项目联系人：</w:t>
      </w:r>
      <w:r>
        <w:rPr>
          <w:rFonts w:hint="eastAsia" w:ascii="仿宋_GB2312" w:hAnsi="仿宋" w:eastAsia="仿宋_GB2312"/>
          <w:sz w:val="24"/>
          <w:lang w:eastAsia="zh-CN"/>
        </w:rPr>
        <w:t>胡旭晨</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项目联系方式：0571-</w:t>
      </w:r>
      <w:r>
        <w:rPr>
          <w:rFonts w:hint="eastAsia" w:ascii="仿宋_GB2312" w:hAnsi="仿宋" w:eastAsia="仿宋_GB2312"/>
          <w:sz w:val="24"/>
          <w:lang w:val="en-US" w:eastAsia="zh-CN"/>
        </w:rPr>
        <w:t>23616011</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质疑联系人：</w:t>
      </w:r>
      <w:r>
        <w:rPr>
          <w:rFonts w:hint="eastAsia" w:ascii="仿宋_GB2312" w:hAnsi="仿宋" w:eastAsia="仿宋_GB2312"/>
          <w:sz w:val="24"/>
          <w:lang w:eastAsia="zh-CN"/>
        </w:rPr>
        <w:t>张晨</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质疑联系方式：0571-</w:t>
      </w:r>
      <w:r>
        <w:rPr>
          <w:rFonts w:hint="eastAsia" w:ascii="仿宋_GB2312" w:hAnsi="仿宋" w:eastAsia="仿宋_GB2312"/>
          <w:sz w:val="24"/>
          <w:lang w:val="en-US" w:eastAsia="zh-CN"/>
        </w:rPr>
        <w:t>23616016</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hint="eastAsia" w:ascii="仿宋_GB2312" w:hAnsi="仿宋" w:eastAsia="仿宋_GB2312"/>
          <w:sz w:val="24"/>
        </w:rPr>
        <w:t xml:space="preserve">    名    称：</w:t>
      </w:r>
      <w:r>
        <w:rPr>
          <w:rFonts w:hint="eastAsia" w:ascii="仿宋_GB2312" w:hAnsi="仿宋" w:eastAsia="仿宋_GB2312" w:cs="Times New Roman"/>
          <w:sz w:val="24"/>
        </w:rPr>
        <w:t xml:space="preserve">浙江杭州青山湖科技城管委会财政局 </w:t>
      </w:r>
    </w:p>
    <w:p>
      <w:pPr>
        <w:spacing w:line="360" w:lineRule="auto"/>
        <w:rPr>
          <w:rFonts w:ascii="仿宋_GB2312" w:hAnsi="仿宋" w:eastAsia="仿宋_GB2312"/>
          <w:sz w:val="24"/>
        </w:rPr>
      </w:pPr>
      <w:r>
        <w:rPr>
          <w:rFonts w:hint="eastAsia" w:ascii="仿宋_GB2312" w:hAnsi="仿宋" w:eastAsia="仿宋_GB2312"/>
          <w:sz w:val="24"/>
        </w:rPr>
        <w:t xml:space="preserve">    地    址：</w:t>
      </w:r>
      <w:r>
        <w:rPr>
          <w:rFonts w:hint="eastAsia" w:ascii="仿宋_GB2312" w:hAnsi="仿宋" w:eastAsia="仿宋_GB2312" w:cs="Times New Roman"/>
          <w:sz w:val="24"/>
        </w:rPr>
        <w:t>浙江杭州青山湖科技城管委会</w:t>
      </w:r>
      <w:r>
        <w:rPr>
          <w:rFonts w:hint="eastAsia" w:ascii="仿宋_GB2312" w:hAnsi="仿宋" w:eastAsia="仿宋_GB2312"/>
          <w:sz w:val="24"/>
        </w:rPr>
        <w:t xml:space="preserve"> </w:t>
      </w:r>
    </w:p>
    <w:p>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传    真：0571-58615225 </w:t>
      </w:r>
    </w:p>
    <w:p>
      <w:pPr>
        <w:spacing w:line="360" w:lineRule="auto"/>
        <w:rPr>
          <w:rFonts w:ascii="仿宋_GB2312" w:hAnsi="仿宋" w:eastAsia="仿宋_GB2312"/>
          <w:sz w:val="24"/>
        </w:rPr>
      </w:pPr>
      <w:r>
        <w:rPr>
          <w:rFonts w:hint="eastAsia" w:ascii="仿宋_GB2312" w:hAnsi="仿宋" w:eastAsia="仿宋_GB2312"/>
          <w:sz w:val="24"/>
        </w:rPr>
        <w:t xml:space="preserve">    联</w:t>
      </w:r>
      <w:r>
        <w:rPr>
          <w:rFonts w:hint="eastAsia" w:ascii="仿宋_GB2312" w:hAnsi="仿宋" w:eastAsia="仿宋_GB2312"/>
          <w:sz w:val="24"/>
          <w:lang w:val="en-US" w:eastAsia="zh-CN"/>
        </w:rPr>
        <w:t xml:space="preserve"> </w:t>
      </w:r>
      <w:r>
        <w:rPr>
          <w:rFonts w:hint="eastAsia" w:ascii="仿宋_GB2312" w:hAnsi="仿宋" w:eastAsia="仿宋_GB2312"/>
          <w:sz w:val="24"/>
        </w:rPr>
        <w:t>系</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人 ：周向荣 </w:t>
      </w:r>
    </w:p>
    <w:p>
      <w:pPr>
        <w:spacing w:line="360" w:lineRule="auto"/>
        <w:rPr>
          <w:rFonts w:ascii="仿宋_GB2312" w:hAnsi="仿宋" w:eastAsia="仿宋_GB2312"/>
          <w:sz w:val="24"/>
        </w:rPr>
      </w:pPr>
      <w:r>
        <w:rPr>
          <w:rFonts w:hint="eastAsia" w:ascii="仿宋_GB2312" w:hAnsi="仿宋" w:eastAsia="仿宋_GB2312"/>
          <w:sz w:val="24"/>
        </w:rPr>
        <w:t xml:space="preserve">    监督投诉电话：0571-58615225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CA问题联系电话（人工）：汇信CA 400-888-4636；天谷CA 400-087-8198。</w:t>
      </w:r>
    </w:p>
    <w:p>
      <w:pPr>
        <w:pStyle w:val="7"/>
        <w:spacing w:line="360" w:lineRule="auto"/>
        <w:ind w:firstLine="472" w:firstLineChars="196"/>
        <w:rPr>
          <w:rFonts w:ascii="仿宋_GB2312" w:hAnsi="仿宋" w:eastAsia="仿宋_GB2312" w:cs="仿宋_GB2312"/>
          <w:b/>
          <w:sz w:val="24"/>
          <w:szCs w:val="24"/>
        </w:rPr>
      </w:pPr>
    </w:p>
    <w:p>
      <w:pPr>
        <w:spacing w:line="360" w:lineRule="auto"/>
        <w:ind w:firstLine="200"/>
        <w:jc w:val="center"/>
        <w:rPr>
          <w:rFonts w:ascii="仿宋_GB2312" w:hAnsi="仿宋" w:eastAsia="仿宋_GB2312" w:cs="仿宋_GB2312"/>
          <w:sz w:val="24"/>
        </w:rPr>
      </w:pPr>
      <w:r>
        <w:rPr>
          <w:rFonts w:hint="eastAsia" w:ascii="仿宋_GB2312" w:hAnsi="仿宋" w:eastAsia="仿宋_GB2312" w:cs="仿宋_GB2312"/>
          <w:sz w:val="24"/>
        </w:rPr>
        <w:t xml:space="preserve">                    </w:t>
      </w:r>
    </w:p>
    <w:p>
      <w:pPr>
        <w:spacing w:line="360" w:lineRule="auto"/>
        <w:ind w:firstLine="200"/>
        <w:jc w:val="center"/>
        <w:rPr>
          <w:rFonts w:hint="eastAsia" w:ascii="仿宋_GB2312" w:hAnsi="仿宋" w:eastAsia="仿宋_GB2312" w:cs="仿宋_GB2312"/>
          <w:sz w:val="24"/>
          <w:lang w:eastAsia="zh-CN"/>
        </w:rPr>
      </w:pPr>
      <w:r>
        <w:rPr>
          <w:rFonts w:hint="eastAsia" w:ascii="仿宋_GB2312" w:hAnsi="仿宋" w:eastAsia="仿宋_GB2312" w:cs="仿宋_GB2312"/>
          <w:sz w:val="24"/>
        </w:rPr>
        <w:t xml:space="preserve">                               </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杭州市公共资源交易中心</w:t>
      </w:r>
      <w:r>
        <w:rPr>
          <w:rFonts w:hint="eastAsia" w:ascii="仿宋_GB2312" w:hAnsi="仿宋" w:eastAsia="仿宋_GB2312" w:cs="仿宋_GB2312"/>
          <w:sz w:val="24"/>
          <w:lang w:eastAsia="zh-CN"/>
        </w:rPr>
        <w:t>临安分中心</w:t>
      </w:r>
    </w:p>
    <w:p>
      <w:pPr>
        <w:pStyle w:val="7"/>
        <w:spacing w:line="360" w:lineRule="auto"/>
        <w:ind w:firstLine="480" w:firstLineChars="200"/>
        <w:rPr>
          <w:rFonts w:ascii="仿宋_GB2312" w:hAnsi="仿宋" w:eastAsia="仿宋_GB2312" w:cs="仿宋_GB2312"/>
          <w:sz w:val="24"/>
          <w:szCs w:val="24"/>
          <w:highlight w:val="none"/>
        </w:rPr>
      </w:pPr>
      <w:r>
        <w:rPr>
          <w:rFonts w:hint="eastAsia" w:ascii="仿宋_GB2312" w:hAnsi="仿宋" w:eastAsia="仿宋_GB2312" w:cs="仿宋_GB2312"/>
          <w:sz w:val="24"/>
          <w:szCs w:val="24"/>
        </w:rPr>
        <w:t xml:space="preserve">                                      </w:t>
      </w:r>
      <w:r>
        <w:rPr>
          <w:rFonts w:hint="eastAsia" w:ascii="仿宋_GB2312" w:hAnsi="仿宋" w:eastAsia="仿宋_GB2312" w:cs="仿宋_GB2312"/>
          <w:sz w:val="24"/>
          <w:szCs w:val="24"/>
          <w:highlight w:val="none"/>
        </w:rPr>
        <w:t xml:space="preserve">   二○二</w:t>
      </w:r>
      <w:r>
        <w:rPr>
          <w:rFonts w:hint="eastAsia" w:ascii="仿宋_GB2312" w:hAnsi="仿宋" w:eastAsia="仿宋_GB2312" w:cs="仿宋_GB2312"/>
          <w:sz w:val="24"/>
          <w:szCs w:val="24"/>
          <w:highlight w:val="none"/>
          <w:lang w:eastAsia="zh-CN"/>
        </w:rPr>
        <w:t>一</w:t>
      </w:r>
      <w:r>
        <w:rPr>
          <w:rFonts w:hint="eastAsia" w:ascii="仿宋_GB2312" w:hAnsi="仿宋" w:eastAsia="仿宋_GB2312" w:cs="仿宋_GB2312"/>
          <w:sz w:val="24"/>
          <w:szCs w:val="24"/>
          <w:highlight w:val="none"/>
        </w:rPr>
        <w:t>年</w:t>
      </w:r>
      <w:r>
        <w:rPr>
          <w:rFonts w:hint="eastAsia" w:ascii="仿宋_GB2312" w:hAnsi="仿宋" w:eastAsia="仿宋_GB2312" w:cs="仿宋_GB2312"/>
          <w:sz w:val="24"/>
          <w:szCs w:val="24"/>
          <w:highlight w:val="none"/>
          <w:lang w:val="en-US" w:eastAsia="zh-CN"/>
        </w:rPr>
        <w:t>一</w:t>
      </w:r>
      <w:r>
        <w:rPr>
          <w:rFonts w:hint="eastAsia" w:ascii="仿宋_GB2312" w:hAnsi="仿宋" w:eastAsia="仿宋_GB2312" w:cs="仿宋_GB2312"/>
          <w:sz w:val="24"/>
          <w:szCs w:val="24"/>
          <w:highlight w:val="none"/>
        </w:rPr>
        <w:t>月</w:t>
      </w:r>
      <w:r>
        <w:rPr>
          <w:rFonts w:hint="eastAsia" w:ascii="仿宋_GB2312" w:hAnsi="仿宋" w:eastAsia="仿宋_GB2312" w:cs="仿宋_GB2312"/>
          <w:sz w:val="24"/>
          <w:szCs w:val="24"/>
          <w:highlight w:val="none"/>
          <w:lang w:eastAsia="zh-CN"/>
        </w:rPr>
        <w:t>一十九</w:t>
      </w:r>
      <w:r>
        <w:rPr>
          <w:rFonts w:hint="eastAsia" w:ascii="仿宋_GB2312" w:hAnsi="仿宋" w:eastAsia="仿宋_GB2312" w:cs="仿宋_GB2312"/>
          <w:sz w:val="24"/>
          <w:szCs w:val="24"/>
          <w:highlight w:val="none"/>
        </w:rPr>
        <w:t>日</w:t>
      </w:r>
    </w:p>
    <w:p/>
    <w:p>
      <w:pPr>
        <w:pStyle w:val="18"/>
      </w:pPr>
    </w:p>
    <w:p>
      <w:pPr>
        <w:adjustRightInd/>
        <w:spacing w:line="360" w:lineRule="auto"/>
        <w:jc w:val="both"/>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t>第二部分 投标人须知</w:t>
      </w:r>
    </w:p>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前附表</w:t>
      </w:r>
    </w:p>
    <w:tbl>
      <w:tblPr>
        <w:tblStyle w:val="14"/>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8"/>
        <w:gridCol w:w="1409"/>
        <w:gridCol w:w="70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序号</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事项</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8"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报价要求</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《投标（开标）一览表》是报价的唯一载体</w:t>
            </w:r>
            <w:r>
              <w:rPr>
                <w:rFonts w:hint="eastAsia" w:ascii="仿宋" w:hAnsi="仿宋" w:eastAsia="仿宋" w:cs="仿宋_GB2312"/>
                <w:color w:val="000000" w:themeColor="text1"/>
                <w:kern w:val="0"/>
                <w:sz w:val="24"/>
                <w:lang w:val="zh-CN"/>
                <w14:textFill>
                  <w14:solidFill>
                    <w14:schemeClr w14:val="tx1"/>
                  </w14:solidFill>
                </w14:textFill>
              </w:rPr>
              <w:t>。投标文件中价格全部采用人民币报价。招标文件未列明，而投标人认为必需的费用也需列入报</w:t>
            </w:r>
            <w:r>
              <w:rPr>
                <w:rFonts w:hint="eastAsia" w:ascii="仿宋" w:hAnsi="仿宋" w:eastAsia="仿宋" w:cs="仿宋_GB2312"/>
                <w:b w:val="0"/>
                <w:bCs w:val="0"/>
                <w:color w:val="000000" w:themeColor="text1"/>
                <w:kern w:val="0"/>
                <w:sz w:val="24"/>
                <w:lang w:val="zh-CN"/>
                <w14:textFill>
                  <w14:solidFill>
                    <w14:schemeClr w14:val="tx1"/>
                  </w14:solidFill>
                </w14:textFill>
              </w:rPr>
              <w:t>价。</w:t>
            </w:r>
          </w:p>
          <w:p>
            <w:pPr>
              <w:snapToGrid w:val="0"/>
              <w:spacing w:line="360" w:lineRule="auto"/>
              <w:jc w:val="left"/>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cs="仿宋_GB2312"/>
                <w:b/>
                <w:color w:val="000000" w:themeColor="text1"/>
                <w:kern w:val="0"/>
                <w:sz w:val="24"/>
                <w:lang w:val="zh-CN"/>
                <w14:textFill>
                  <w14:solidFill>
                    <w14:schemeClr w14:val="tx1"/>
                  </w14:solidFill>
                </w14:textFill>
              </w:rPr>
              <w:t>投标报价出现下列情形的，投标无效：</w:t>
            </w:r>
          </w:p>
          <w:p>
            <w:pPr>
              <w:snapToGrid w:val="0"/>
              <w:spacing w:line="360" w:lineRule="auto"/>
              <w:jc w:val="left"/>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投标报价高于本项目采购预算或者最高限价的;</w:t>
            </w:r>
          </w:p>
          <w:p>
            <w:pPr>
              <w:spacing w:line="360" w:lineRule="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szCs w:val="21"/>
                <w14:textFill>
                  <w14:solidFill>
                    <w14:schemeClr w14:val="tx1"/>
                  </w14:solidFill>
                </w14:textFill>
              </w:rPr>
              <w:t>;</w:t>
            </w:r>
          </w:p>
          <w:p>
            <w:pPr>
              <w:spacing w:line="360" w:lineRule="auto"/>
              <w:rPr>
                <w:rFonts w:ascii="仿宋" w:hAnsi="仿宋" w:eastAsia="仿宋" w:cs="仿宋_GB2312"/>
                <w:color w:val="000000" w:themeColor="text1"/>
                <w:sz w:val="24"/>
                <w:szCs w:val="2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▲《投标（开标）一览表》</w:t>
            </w:r>
            <w:r>
              <w:rPr>
                <w:rFonts w:hint="eastAsia" w:ascii="仿宋" w:hAnsi="仿宋" w:eastAsia="仿宋"/>
                <w:b/>
                <w:color w:val="000000" w:themeColor="text1"/>
                <w:sz w:val="24"/>
                <w:lang w:eastAsia="zh-CN"/>
                <w14:textFill>
                  <w14:solidFill>
                    <w14:schemeClr w14:val="tx1"/>
                  </w14:solidFill>
                </w14:textFill>
              </w:rPr>
              <w:t>重要信息</w:t>
            </w:r>
            <w:r>
              <w:rPr>
                <w:rFonts w:hint="eastAsia" w:ascii="仿宋" w:hAnsi="仿宋" w:eastAsia="仿宋"/>
                <w:b/>
                <w:color w:val="000000" w:themeColor="text1"/>
                <w:sz w:val="24"/>
                <w14:textFill>
                  <w14:solidFill>
                    <w14:schemeClr w14:val="tx1"/>
                  </w14:solidFill>
                </w14:textFill>
              </w:rPr>
              <w:t>填写不完整或字迹不能辨认或有漏项的；</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7"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2</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投标人应当提供的资格、资信证明文件</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（1）资格证明文件：见招标文件第二部分</w:t>
            </w:r>
            <w:r>
              <w:rPr>
                <w:rFonts w:hint="eastAsia" w:ascii="仿宋" w:hAnsi="仿宋" w:eastAsia="仿宋" w:cs="仿宋_GB2312"/>
                <w:color w:val="000000" w:themeColor="text1"/>
                <w:sz w:val="24"/>
                <w:highlight w:val="none"/>
                <w14:textFill>
                  <w14:solidFill>
                    <w14:schemeClr w14:val="tx1"/>
                  </w14:solidFill>
                </w14:textFill>
              </w:rPr>
              <w:t>11.1。</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（2）资信证明文件：根据招标文件第四部分具体评标标准提供。</w:t>
            </w:r>
          </w:p>
          <w:p>
            <w:pPr>
              <w:spacing w:line="360"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2" w:hRule="atLeast"/>
          <w:tblHeader/>
        </w:trPr>
        <w:tc>
          <w:tcPr>
            <w:tcW w:w="3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3</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开标前答疑会或现场考察</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仿宋" w:hAnsi="仿宋" w:eastAsia="仿宋"/>
                <w:color w:val="000000" w:themeColor="text1"/>
                <w:sz w:val="24"/>
                <w:szCs w:val="20"/>
                <w:lang w:eastAsia="zh-CN"/>
                <w14:textFill>
                  <w14:solidFill>
                    <w14:schemeClr w14:val="tx1"/>
                  </w14:solidFill>
                </w14:textFill>
              </w:rPr>
            </w:pPr>
            <w:r>
              <w:rPr>
                <w:rFonts w:hint="eastAsia" w:ascii="仿宋_GB2312" w:hAnsi="仿宋" w:eastAsia="仿宋_GB2312"/>
                <w:sz w:val="24"/>
                <w:lang w:eastAsia="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blHeader/>
        </w:trPr>
        <w:tc>
          <w:tcPr>
            <w:tcW w:w="3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4</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样品提供</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Arial"/>
                <w:snapToGrid w:val="0"/>
                <w:color w:val="000000" w:themeColor="text1"/>
                <w:kern w:val="2"/>
                <w:sz w:val="24"/>
                <w:szCs w:val="21"/>
                <w:lang w:val="en-US" w:eastAsia="zh-CN" w:bidi="ar-SA"/>
                <w14:textFill>
                  <w14:solidFill>
                    <w14:schemeClr w14:val="tx1"/>
                  </w14:solidFill>
                </w14:textFill>
              </w:rPr>
            </w:pPr>
            <w:r>
              <w:rPr>
                <w:rFonts w:hint="eastAsia" w:ascii="仿宋" w:hAnsi="仿宋" w:eastAsia="仿宋" w:cs="Arial"/>
                <w:snapToGrid w:val="0"/>
                <w:color w:val="000000" w:themeColor="text1"/>
                <w:kern w:val="2"/>
                <w:sz w:val="24"/>
                <w:szCs w:val="21"/>
                <w:lang w:val="en-US" w:eastAsia="zh-CN" w:bidi="ar-SA"/>
                <w14:textFill>
                  <w14:solidFill>
                    <w14:schemeClr w14:val="tx1"/>
                  </w14:solidFill>
                </w14:textFill>
              </w:rPr>
              <w:t>（1）手电动密集架样品要求：按投标产品材质要求提供模型小样，要求两节型两列，两边安装门（固定列为第一列），每列规格为长1000mm*宽580mm*高800mm（两层），样品长、高允许误差±100mm，架体含导轨。在尺寸允许范围内投标单位根据自家产品特点提供投标样品（不符合尺寸要求范围的样品不得分），样品通电能正常使用，投标人须派代表进行演示。</w:t>
            </w:r>
          </w:p>
          <w:p>
            <w:pPr>
              <w:spacing w:line="360" w:lineRule="auto"/>
              <w:rPr>
                <w:rFonts w:hint="eastAsia" w:ascii="仿宋" w:hAnsi="仿宋" w:eastAsia="仿宋" w:cs="Arial"/>
                <w:snapToGrid w:val="0"/>
                <w:color w:val="000000" w:themeColor="text1"/>
                <w:kern w:val="2"/>
                <w:sz w:val="24"/>
                <w:szCs w:val="21"/>
                <w:lang w:val="en-US" w:eastAsia="zh-CN" w:bidi="ar-SA"/>
                <w14:textFill>
                  <w14:solidFill>
                    <w14:schemeClr w14:val="tx1"/>
                  </w14:solidFill>
                </w14:textFill>
              </w:rPr>
            </w:pPr>
            <w:r>
              <w:rPr>
                <w:rFonts w:hint="eastAsia" w:ascii="仿宋" w:hAnsi="仿宋" w:eastAsia="仿宋" w:cs="Arial"/>
                <w:snapToGrid w:val="0"/>
                <w:color w:val="000000" w:themeColor="text1"/>
                <w:kern w:val="2"/>
                <w:sz w:val="24"/>
                <w:szCs w:val="21"/>
                <w:lang w:val="en-US" w:eastAsia="zh-CN" w:bidi="ar-SA"/>
                <w14:textFill>
                  <w14:solidFill>
                    <w14:schemeClr w14:val="tx1"/>
                  </w14:solidFill>
                </w14:textFill>
              </w:rPr>
              <w:t>（2）提供材料小样：①轨道一根，尺寸为：长600mm，宽150 mm；②搁板一块，尺寸为：长600mm，宽270mm；③立柱一根，尺寸为：长600mm，宽50mm。</w:t>
            </w:r>
          </w:p>
          <w:p>
            <w:pPr>
              <w:spacing w:line="360" w:lineRule="auto"/>
              <w:rPr>
                <w:rFonts w:hint="eastAsia" w:ascii="仿宋" w:hAnsi="仿宋" w:eastAsia="仿宋" w:cs="Arial"/>
                <w:snapToGrid w:val="0"/>
                <w:color w:val="000000" w:themeColor="text1"/>
                <w:kern w:val="2"/>
                <w:sz w:val="24"/>
                <w:szCs w:val="21"/>
                <w:lang w:val="en-US" w:eastAsia="zh-CN" w:bidi="ar-SA"/>
                <w14:textFill>
                  <w14:solidFill>
                    <w14:schemeClr w14:val="tx1"/>
                  </w14:solidFill>
                </w14:textFill>
              </w:rPr>
            </w:pPr>
            <w:r>
              <w:rPr>
                <w:rFonts w:hint="eastAsia" w:ascii="仿宋" w:hAnsi="仿宋" w:eastAsia="仿宋" w:cs="Arial"/>
                <w:snapToGrid w:val="0"/>
                <w:color w:val="000000" w:themeColor="text1"/>
                <w:kern w:val="2"/>
                <w:sz w:val="24"/>
                <w:szCs w:val="21"/>
                <w:lang w:val="en-US" w:eastAsia="zh-CN" w:bidi="ar-SA"/>
                <w14:textFill>
                  <w14:solidFill>
                    <w14:schemeClr w14:val="tx1"/>
                  </w14:solidFill>
                </w14:textFill>
              </w:rPr>
              <w:t>（3）样品摆放时间地点：样品</w:t>
            </w:r>
            <w:r>
              <w:rPr>
                <w:rFonts w:hint="eastAsia" w:ascii="仿宋" w:hAnsi="仿宋" w:eastAsia="仿宋" w:cs="Arial"/>
                <w:snapToGrid w:val="0"/>
                <w:color w:val="000000" w:themeColor="text1"/>
                <w:kern w:val="2"/>
                <w:sz w:val="24"/>
                <w:szCs w:val="21"/>
                <w:highlight w:val="none"/>
                <w:lang w:val="en-US" w:eastAsia="zh-CN" w:bidi="ar-SA"/>
                <w14:textFill>
                  <w14:solidFill>
                    <w14:schemeClr w14:val="tx1"/>
                  </w14:solidFill>
                </w14:textFill>
              </w:rPr>
              <w:t>于2021年2月9日上午10：30前</w:t>
            </w:r>
            <w:r>
              <w:rPr>
                <w:rFonts w:hint="eastAsia" w:ascii="仿宋" w:hAnsi="仿宋" w:eastAsia="仿宋" w:cs="Arial"/>
                <w:snapToGrid w:val="0"/>
                <w:color w:val="000000" w:themeColor="text1"/>
                <w:kern w:val="2"/>
                <w:sz w:val="24"/>
                <w:szCs w:val="21"/>
                <w:lang w:val="en-US" w:eastAsia="zh-CN" w:bidi="ar-SA"/>
                <w14:textFill>
                  <w14:solidFill>
                    <w14:schemeClr w14:val="tx1"/>
                  </w14:solidFill>
                </w14:textFill>
              </w:rPr>
              <w:t>送至浙江省杭州市临安区锦北街道科技大道4398号市民中心B座四楼询标室B436安装完毕并在样品签到表上签到，否则视为未提供；若投标截止时间到，样品未提交、提交不全、提供的样品实质上偏离招标需求的或者提供的样品与投标文件中所投产品不符的，则其样品分为零。样品的生产、安装、运输费、保全费等一切费用由投标人自理。</w:t>
            </w:r>
          </w:p>
          <w:p>
            <w:pPr>
              <w:spacing w:line="360" w:lineRule="auto"/>
              <w:rPr>
                <w:rFonts w:hint="eastAsia"/>
                <w:lang w:eastAsia="zh-CN"/>
              </w:rPr>
            </w:pPr>
            <w:r>
              <w:rPr>
                <w:rFonts w:hint="eastAsia" w:ascii="仿宋" w:hAnsi="仿宋" w:eastAsia="仿宋" w:cs="Arial"/>
                <w:snapToGrid w:val="0"/>
                <w:color w:val="000000" w:themeColor="text1"/>
                <w:kern w:val="2"/>
                <w:sz w:val="24"/>
                <w:szCs w:val="21"/>
                <w:lang w:val="en-US" w:eastAsia="zh-CN" w:bidi="ar-SA"/>
                <w14:textFill>
                  <w14:solidFill>
                    <w14:schemeClr w14:val="tx1"/>
                  </w14:solidFill>
                </w14:textFill>
              </w:rPr>
              <w:t>（4）未中标的样品投标人自行处理，对于中标人提供的样品，中标人与采购人、采购代理机构共同清点、检查和密封样品，由中标人送至采购人指定地点进行保管、封存，并作为履约验收的参考。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1"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5</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_GB2312"/>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方案讲解演示</w:t>
            </w:r>
          </w:p>
        </w:tc>
        <w:tc>
          <w:tcPr>
            <w:tcW w:w="3861" w:type="pct"/>
            <w:tcBorders>
              <w:top w:val="single" w:color="000000" w:sz="8" w:space="0"/>
              <w:left w:val="single" w:color="000000" w:sz="2" w:space="0"/>
              <w:bottom w:val="single" w:color="000000" w:sz="8" w:space="0"/>
              <w:right w:val="single" w:color="000000" w:sz="8" w:space="0"/>
            </w:tcBorders>
            <w:vAlign w:val="center"/>
          </w:tcPr>
          <w:p>
            <w:pPr>
              <w:pStyle w:val="7"/>
              <w:jc w:val="left"/>
              <w:rPr>
                <w:rFonts w:hint="eastAsia" w:ascii="仿宋" w:hAnsi="仿宋" w:eastAsia="仿宋" w:cs="仿宋_GB2312"/>
                <w:b/>
                <w:snapToGrid/>
                <w:color w:val="000000" w:themeColor="text1"/>
                <w:kern w:val="0"/>
                <w:sz w:val="24"/>
                <w:szCs w:val="20"/>
                <w:lang w:val="zh-CN" w:eastAsia="zh-CN" w:bidi="ar-SA"/>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详见</w:t>
            </w:r>
            <w:r>
              <w:rPr>
                <w:rFonts w:hint="eastAsia" w:ascii="仿宋" w:hAnsi="仿宋" w:eastAsia="仿宋"/>
                <w:color w:val="000000" w:themeColor="text1"/>
                <w:sz w:val="24"/>
                <w:lang w:val="en-US" w:eastAsia="zh-CN"/>
                <w14:textFill>
                  <w14:solidFill>
                    <w14:schemeClr w14:val="tx1"/>
                  </w14:solidFill>
                </w14:textFill>
              </w:rPr>
              <w:t>4样品提供</w:t>
            </w:r>
            <w:r>
              <w:rPr>
                <w:rFonts w:hint="eastAsia" w:ascii="仿宋" w:hAnsi="仿宋" w:eastAsia="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6</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项目属性</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_GB2312" w:cs="仿宋_GB2312"/>
                <w:b/>
                <w:snapToGrid/>
                <w:color w:val="000000" w:themeColor="text1"/>
                <w:kern w:val="0"/>
                <w:sz w:val="24"/>
                <w:szCs w:val="20"/>
                <w:lang w:val="zh-CN" w:eastAsia="zh-CN"/>
                <w14:textFill>
                  <w14:solidFill>
                    <w14:schemeClr w14:val="tx1"/>
                  </w14:solidFill>
                </w14:textFill>
              </w:rPr>
            </w:pPr>
            <w:r>
              <w:rPr>
                <w:rFonts w:hint="eastAsia" w:ascii="仿宋_GB2312" w:hAnsi="仿宋" w:eastAsia="仿宋_GB2312"/>
                <w:sz w:val="24"/>
                <w:highlight w:val="none"/>
                <w:lang w:eastAsia="zh-CN"/>
              </w:rPr>
              <w:t>货物</w:t>
            </w:r>
            <w:r>
              <w:rPr>
                <w:rFonts w:hint="eastAsia" w:ascii="仿宋_GB2312" w:hAnsi="仿宋" w:eastAsia="仿宋_GB2312"/>
                <w:sz w:val="24"/>
                <w:highlight w:val="none"/>
              </w:rPr>
              <w:t>类</w:t>
            </w:r>
            <w:r>
              <w:rPr>
                <w:rFonts w:hint="eastAsia" w:ascii="仿宋_GB2312" w:hAnsi="仿宋" w:eastAsia="仿宋_GB2312"/>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6" w:type="pct"/>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sz w:val="24"/>
              </w:rPr>
            </w:pPr>
          </w:p>
          <w:p>
            <w:pPr>
              <w:snapToGrid w:val="0"/>
              <w:spacing w:line="360" w:lineRule="auto"/>
              <w:jc w:val="center"/>
              <w:rPr>
                <w:rFonts w:hint="eastAsia" w:ascii="仿宋_GB2312" w:hAnsi="仿宋" w:eastAsia="仿宋_GB2312" w:cs="仿宋_GB2312"/>
                <w:kern w:val="2"/>
                <w:sz w:val="24"/>
                <w:szCs w:val="24"/>
                <w:lang w:val="en-US" w:eastAsia="zh-CN" w:bidi="ar-SA"/>
              </w:rPr>
            </w:pPr>
            <w:r>
              <w:rPr>
                <w:rFonts w:hint="eastAsia" w:ascii="仿宋_GB2312" w:hAnsi="仿宋" w:eastAsia="仿宋_GB2312" w:cs="仿宋_GB2312"/>
                <w:sz w:val="24"/>
                <w:lang w:val="en-US" w:eastAsia="zh-CN"/>
              </w:rPr>
              <w:t>7</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kern w:val="2"/>
                <w:sz w:val="24"/>
                <w:szCs w:val="24"/>
                <w:lang w:val="en-US" w:eastAsia="zh-CN" w:bidi="ar-SA"/>
              </w:rPr>
            </w:pPr>
            <w:r>
              <w:rPr>
                <w:rFonts w:hint="eastAsia" w:ascii="仿宋_GB2312" w:hAnsi="仿宋" w:eastAsia="仿宋_GB2312" w:cs="仿宋_GB2312"/>
                <w:b/>
                <w:sz w:val="24"/>
              </w:rPr>
              <w:t>中小企业划分标准所属行业</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Times New Roman"/>
                <w:kern w:val="2"/>
                <w:sz w:val="24"/>
                <w:szCs w:val="24"/>
                <w:lang w:val="en-US" w:eastAsia="zh-CN" w:bidi="ar-SA"/>
              </w:rPr>
            </w:pPr>
            <w:r>
              <w:rPr>
                <w:rFonts w:hint="eastAsia" w:ascii="仿宋_GB2312" w:hAnsi="仿宋" w:eastAsia="仿宋_GB2312"/>
                <w:sz w:val="24"/>
              </w:rPr>
              <w:t>采购标的：</w:t>
            </w:r>
            <w:r>
              <w:rPr>
                <w:rFonts w:hint="eastAsia" w:ascii="仿宋_GB2312" w:hAnsi="仿宋" w:eastAsia="仿宋_GB2312"/>
                <w:sz w:val="24"/>
                <w:u w:val="single"/>
                <w:lang w:eastAsia="zh-CN"/>
              </w:rPr>
              <w:t>详见</w:t>
            </w:r>
            <w:r>
              <w:rPr>
                <w:rFonts w:hint="eastAsia" w:ascii="仿宋" w:hAnsi="仿宋" w:eastAsia="仿宋" w:cs="仿宋"/>
                <w:sz w:val="24"/>
                <w:u w:val="single"/>
              </w:rPr>
              <w:t>采购货物清单</w:t>
            </w:r>
            <w:r>
              <w:rPr>
                <w:rFonts w:hint="eastAsia" w:ascii="仿宋" w:hAnsi="仿宋" w:eastAsia="仿宋" w:cs="仿宋"/>
                <w:sz w:val="24"/>
                <w:u w:val="single"/>
                <w:lang w:val="en-US" w:eastAsia="zh-CN"/>
              </w:rPr>
              <w:t>1-21项</w:t>
            </w:r>
            <w:r>
              <w:rPr>
                <w:rFonts w:hint="eastAsia" w:ascii="仿宋_GB2312" w:hAnsi="仿宋" w:eastAsia="仿宋_GB2312"/>
                <w:sz w:val="24"/>
              </w:rPr>
              <w:t>；所属行业：</w:t>
            </w:r>
            <w:r>
              <w:rPr>
                <w:rFonts w:hint="eastAsia" w:ascii="仿宋_GB2312" w:hAnsi="仿宋" w:eastAsia="仿宋_GB2312"/>
                <w:sz w:val="24"/>
                <w:highlight w:val="none"/>
                <w:u w:val="single"/>
                <w:lang w:eastAsia="zh-CN"/>
              </w:rPr>
              <w:t>工</w:t>
            </w:r>
            <w:r>
              <w:rPr>
                <w:rFonts w:hint="eastAsia" w:ascii="仿宋_GB2312" w:hAnsi="仿宋" w:eastAsia="仿宋_GB2312"/>
                <w:sz w:val="24"/>
                <w:highlight w:val="none"/>
                <w:u w:val="single"/>
              </w:rPr>
              <w:t>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_GB2312"/>
                <w:color w:val="000000" w:themeColor="text1"/>
                <w:sz w:val="24"/>
                <w:lang w:val="en-US"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8</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中小企业信用融资</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tc>
      </w:tr>
    </w:tbl>
    <w:p>
      <w:pPr>
        <w:adjustRightInd/>
        <w:spacing w:line="360" w:lineRule="auto"/>
        <w:jc w:val="center"/>
        <w:outlineLvl w:val="0"/>
        <w:rPr>
          <w:rFonts w:hint="eastAsia" w:ascii="仿宋" w:hAnsi="仿宋" w:eastAsia="仿宋" w:cs="仿宋_GB2312"/>
          <w:b/>
          <w:sz w:val="32"/>
          <w:szCs w:val="20"/>
        </w:rPr>
      </w:pPr>
    </w:p>
    <w:p>
      <w:pPr>
        <w:adjustRightInd/>
        <w:spacing w:line="360" w:lineRule="auto"/>
        <w:jc w:val="center"/>
        <w:outlineLvl w:val="0"/>
        <w:rPr>
          <w:rFonts w:hint="eastAsia" w:ascii="仿宋" w:hAnsi="仿宋" w:eastAsia="仿宋" w:cs="仿宋_GB2312"/>
          <w:b/>
          <w:sz w:val="32"/>
          <w:szCs w:val="20"/>
        </w:rPr>
      </w:pPr>
      <w:r>
        <w:rPr>
          <w:rFonts w:hint="eastAsia" w:ascii="仿宋" w:hAnsi="仿宋" w:eastAsia="仿宋" w:cs="仿宋_GB2312"/>
          <w:b/>
          <w:sz w:val="32"/>
          <w:szCs w:val="20"/>
        </w:rPr>
        <w:t>一、总则</w:t>
      </w:r>
    </w:p>
    <w:p>
      <w:pPr>
        <w:snapToGrid w:val="0"/>
        <w:spacing w:line="360" w:lineRule="auto"/>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适用范围</w:t>
      </w:r>
    </w:p>
    <w:p>
      <w:pPr>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snapToGrid w:val="0"/>
        <w:spacing w:line="360" w:lineRule="auto"/>
        <w:jc w:val="left"/>
        <w:rPr>
          <w:rFonts w:hint="eastAsia" w:ascii="仿宋" w:hAnsi="仿宋" w:eastAsia="仿宋" w:cs="仿宋_GB2312"/>
          <w:b/>
          <w:sz w:val="24"/>
        </w:rPr>
      </w:pPr>
      <w:r>
        <w:rPr>
          <w:rFonts w:hint="eastAsia" w:ascii="仿宋" w:hAnsi="仿宋" w:eastAsia="仿宋" w:cs="仿宋_GB2312"/>
          <w:b/>
          <w:sz w:val="24"/>
        </w:rPr>
        <w:t>2.定义</w:t>
      </w:r>
    </w:p>
    <w:p>
      <w:pPr>
        <w:spacing w:line="360" w:lineRule="auto"/>
        <w:ind w:firstLine="480" w:firstLineChars="200"/>
        <w:rPr>
          <w:rFonts w:hint="eastAsia"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rPr>
          <w:rFonts w:hint="eastAsia" w:ascii="仿宋" w:hAnsi="仿宋" w:eastAsia="仿宋"/>
          <w:sz w:val="24"/>
        </w:rPr>
      </w:pPr>
      <w:r>
        <w:rPr>
          <w:rFonts w:hint="eastAsia" w:ascii="仿宋" w:hAnsi="仿宋" w:eastAsia="仿宋"/>
          <w:sz w:val="24"/>
        </w:rPr>
        <w:t>2.2</w:t>
      </w:r>
      <w:r>
        <w:rPr>
          <w:rFonts w:ascii="仿宋" w:hAnsi="仿宋" w:eastAsia="仿宋"/>
          <w:sz w:val="24"/>
        </w:rPr>
        <w:t xml:space="preserve"> </w:t>
      </w:r>
      <w:r>
        <w:rPr>
          <w:rFonts w:hint="eastAsia" w:ascii="仿宋" w:hAnsi="仿宋" w:eastAsia="仿宋"/>
          <w:sz w:val="24"/>
        </w:rPr>
        <w:t>“采购机构”系指招标公告中载明的本项目的采购机构。</w:t>
      </w:r>
    </w:p>
    <w:p>
      <w:pPr>
        <w:spacing w:line="360" w:lineRule="auto"/>
        <w:ind w:firstLine="480" w:firstLineChars="200"/>
        <w:rPr>
          <w:rFonts w:hint="eastAsia"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pPr>
        <w:spacing w:line="360" w:lineRule="auto"/>
        <w:ind w:firstLine="480" w:firstLineChars="200"/>
        <w:rPr>
          <w:rFonts w:hint="eastAsia" w:ascii="仿宋" w:hAnsi="仿宋" w:eastAsia="仿宋"/>
          <w:sz w:val="24"/>
        </w:rPr>
      </w:pPr>
      <w:r>
        <w:rPr>
          <w:rFonts w:hint="eastAsia" w:ascii="仿宋" w:hAnsi="仿宋" w:eastAsia="仿宋"/>
          <w:sz w:val="24"/>
        </w:rPr>
        <w:t>2.4</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pPr>
        <w:spacing w:line="360" w:lineRule="auto"/>
        <w:ind w:firstLine="480" w:firstLineChars="200"/>
        <w:rPr>
          <w:rFonts w:hint="eastAsia" w:ascii="仿宋" w:hAnsi="仿宋" w:eastAsia="仿宋"/>
          <w:sz w:val="24"/>
        </w:rPr>
      </w:pPr>
      <w:r>
        <w:rPr>
          <w:rFonts w:hint="eastAsia" w:ascii="仿宋" w:hAnsi="仿宋" w:eastAsia="仿宋"/>
          <w:sz w:val="24"/>
        </w:rPr>
        <w:t>2.5“电子签名”系指数据电文中以电子形式所含、所附用于识别签名人身份并表明签名人认可其中内容的数据。</w:t>
      </w:r>
    </w:p>
    <w:p>
      <w:pPr>
        <w:spacing w:line="360" w:lineRule="auto"/>
        <w:ind w:firstLine="480" w:firstLineChars="200"/>
        <w:rPr>
          <w:rFonts w:hint="eastAsia" w:ascii="仿宋" w:hAnsi="仿宋" w:eastAsia="仿宋"/>
          <w:sz w:val="24"/>
        </w:rPr>
      </w:pPr>
      <w:r>
        <w:rPr>
          <w:rFonts w:hint="eastAsia" w:ascii="仿宋" w:hAnsi="仿宋" w:eastAsia="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sz w:val="24"/>
        </w:rPr>
      </w:pPr>
      <w:r>
        <w:rPr>
          <w:rFonts w:hint="eastAsia" w:ascii="仿宋" w:hAnsi="仿宋" w:eastAsia="仿宋"/>
          <w:sz w:val="24"/>
        </w:rPr>
        <w:t>2.7</w:t>
      </w:r>
      <w:r>
        <w:rPr>
          <w:rFonts w:ascii="仿宋" w:hAnsi="仿宋" w:eastAsia="仿宋"/>
          <w:sz w:val="24"/>
        </w:rPr>
        <w:t xml:space="preserve"> </w:t>
      </w:r>
      <w:r>
        <w:rPr>
          <w:rFonts w:hint="eastAsia" w:ascii="仿宋" w:hAnsi="仿宋" w:eastAsia="仿宋"/>
          <w:sz w:val="24"/>
        </w:rPr>
        <w:t>“▲” 系指实质性要求条款，“★”系产品采购项目中单一产品或核心产品。</w:t>
      </w:r>
    </w:p>
    <w:p>
      <w:pPr>
        <w:spacing w:line="360" w:lineRule="auto"/>
        <w:rPr>
          <w:rFonts w:hint="eastAsia" w:ascii="仿宋" w:hAnsi="仿宋" w:eastAsia="仿宋"/>
          <w:b/>
          <w:sz w:val="24"/>
        </w:rPr>
      </w:pPr>
      <w:r>
        <w:rPr>
          <w:rFonts w:hint="eastAsia" w:ascii="仿宋" w:hAnsi="仿宋" w:eastAsia="仿宋"/>
          <w:b/>
          <w:sz w:val="24"/>
        </w:rPr>
        <w:t>3.采购项目需要落实的政府采购政策</w:t>
      </w:r>
    </w:p>
    <w:p>
      <w:pPr>
        <w:spacing w:line="360" w:lineRule="auto"/>
        <w:ind w:firstLine="480" w:firstLineChars="200"/>
        <w:rPr>
          <w:rFonts w:hint="eastAsia" w:ascii="仿宋" w:hAnsi="仿宋" w:eastAsia="仿宋"/>
          <w:sz w:val="24"/>
        </w:rPr>
      </w:pPr>
      <w:r>
        <w:rPr>
          <w:rFonts w:hint="eastAsia" w:ascii="仿宋" w:hAnsi="仿宋" w:eastAsia="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仿宋" w:hAnsi="仿宋" w:eastAsia="仿宋"/>
          <w:sz w:val="24"/>
        </w:rPr>
      </w:pPr>
      <w:r>
        <w:rPr>
          <w:rFonts w:hint="eastAsia" w:ascii="仿宋" w:hAnsi="仿宋" w:eastAsia="仿宋"/>
          <w:sz w:val="24"/>
        </w:rPr>
        <w:t>3.2 节能环保要求</w:t>
      </w:r>
    </w:p>
    <w:p>
      <w:pPr>
        <w:spacing w:line="360" w:lineRule="auto"/>
        <w:ind w:firstLine="480" w:firstLineChars="200"/>
        <w:rPr>
          <w:rFonts w:hint="eastAsia" w:ascii="仿宋" w:hAnsi="仿宋" w:eastAsia="仿宋"/>
          <w:sz w:val="24"/>
        </w:rPr>
      </w:pPr>
      <w:r>
        <w:rPr>
          <w:rFonts w:hint="eastAsia" w:ascii="仿宋" w:hAnsi="仿宋" w:eastAsia="仿宋"/>
          <w:sz w:val="24"/>
        </w:rPr>
        <w:t>3.2.1</w:t>
      </w:r>
      <w:r>
        <w:rPr>
          <w:rFonts w:ascii="仿宋" w:hAnsi="仿宋" w:eastAsia="仿宋"/>
          <w:sz w:val="24"/>
        </w:rPr>
        <w:t>采购人拟采购的产品属于品目清单范围的，采购人及其委托的采购代理机构</w:t>
      </w:r>
      <w:r>
        <w:rPr>
          <w:rFonts w:hint="eastAsia" w:ascii="仿宋" w:hAnsi="仿宋" w:eastAsia="仿宋"/>
          <w:sz w:val="24"/>
        </w:rPr>
        <w:t>将</w:t>
      </w:r>
      <w:r>
        <w:rPr>
          <w:rFonts w:ascii="仿宋" w:hAnsi="仿宋" w:eastAsia="仿宋"/>
          <w:sz w:val="24"/>
        </w:rPr>
        <w:t>依据国家确定的认证机构出具的、处于有效期之内的节能产品、环境标志产品认证证书，对获得证书的产品实施政府优先采购或强制采购。</w:t>
      </w:r>
      <w:r>
        <w:rPr>
          <w:rFonts w:hint="eastAsia" w:ascii="仿宋" w:hAnsi="仿宋" w:eastAsia="仿宋"/>
          <w:sz w:val="24"/>
        </w:rPr>
        <w:t>投标人须按招标文件要求提供相关产品认证证书。</w:t>
      </w:r>
    </w:p>
    <w:p>
      <w:pPr>
        <w:spacing w:line="360" w:lineRule="auto"/>
        <w:ind w:firstLine="480" w:firstLineChars="200"/>
        <w:rPr>
          <w:rFonts w:hint="eastAsia" w:ascii="仿宋" w:hAnsi="仿宋" w:eastAsia="仿宋"/>
          <w:b/>
          <w:sz w:val="24"/>
        </w:rPr>
      </w:pPr>
      <w:r>
        <w:rPr>
          <w:rFonts w:hint="eastAsia" w:ascii="仿宋" w:hAnsi="仿宋" w:eastAsia="仿宋"/>
          <w:sz w:val="24"/>
        </w:rPr>
        <w:t>3.2.2</w:t>
      </w:r>
      <w:r>
        <w:rPr>
          <w:rFonts w:ascii="仿宋" w:hAnsi="仿宋" w:eastAsia="仿宋"/>
          <w:b/>
          <w:sz w:val="24"/>
        </w:rPr>
        <w:t>采购人拟采购的产品属于</w:t>
      </w:r>
      <w:r>
        <w:rPr>
          <w:rFonts w:hint="eastAsia" w:ascii="仿宋" w:hAnsi="仿宋" w:eastAsia="仿宋"/>
          <w:b/>
          <w:sz w:val="24"/>
        </w:rPr>
        <w:t>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3.3</w:t>
      </w:r>
      <w:r>
        <w:rPr>
          <w:rFonts w:hint="eastAsia" w:ascii="仿宋_GB2312" w:eastAsia="仿宋_GB2312"/>
          <w:bCs/>
          <w:sz w:val="24"/>
        </w:rPr>
        <w:t>支持中小企业发展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3.3.1中小企业</w:t>
      </w:r>
      <w:r>
        <w:rPr>
          <w:rFonts w:ascii="仿宋_GB2312" w:hAnsi="仿宋" w:eastAsia="仿宋_GB2312"/>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3.3.2对于未预留份额专门面向中小企业的政府采购货物或服务项目，以及预留份额政府采购货物或服务项目中的非预留部分标项，对小型和微型企业的投标报价给予10 %的扣除，用扣除后的价格参与评审。对于专面向中小企业的政府采购货物或服务项目项目，对小型和微型企业的投标报价给予8%的扣除，用扣除后的价格参与评审。</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3.3.3</w:t>
      </w:r>
      <w:r>
        <w:rPr>
          <w:rFonts w:ascii="仿宋_GB2312" w:hAnsi="仿宋" w:eastAsia="仿宋_GB2312"/>
          <w:sz w:val="24"/>
        </w:rPr>
        <w:t>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3.3.6可享受</w:t>
      </w:r>
      <w:r>
        <w:rPr>
          <w:rFonts w:hint="eastAsia" w:ascii="仿宋_GB2312" w:hAnsi="宋体" w:eastAsia="仿宋_GB2312" w:cs="宋体"/>
          <w:kern w:val="0"/>
          <w:sz w:val="24"/>
        </w:rPr>
        <w:t>中小企业扶持政策</w:t>
      </w:r>
      <w:r>
        <w:rPr>
          <w:rFonts w:hint="eastAsia" w:ascii="仿宋_GB2312" w:hAnsi="仿宋" w:eastAsia="仿宋_GB2312"/>
          <w:sz w:val="24"/>
        </w:rPr>
        <w:t>的投标人应按照招标文件格式要求提供《中小企业声明函》。</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3.3.7中小企业</w:t>
      </w:r>
      <w:r>
        <w:rPr>
          <w:rFonts w:ascii="仿宋_GB2312" w:hAnsi="仿宋" w:eastAsia="仿宋_GB2312"/>
          <w:sz w:val="24"/>
        </w:rPr>
        <w:t>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480" w:firstLineChars="200"/>
        <w:rPr>
          <w:rFonts w:hint="eastAsia" w:ascii="仿宋" w:hAnsi="仿宋" w:eastAsia="仿宋"/>
          <w:b/>
          <w:sz w:val="24"/>
        </w:rPr>
      </w:pPr>
      <w:r>
        <w:rPr>
          <w:rFonts w:hint="eastAsia" w:ascii="仿宋" w:hAnsi="仿宋" w:eastAsia="仿宋"/>
          <w:sz w:val="24"/>
        </w:rPr>
        <w:t>3.4企业信用融资：凡已在浙江政府采购网网上注册入库，并取得临安区政府采购合同的中小企业供应商，均可申请政府采购信用融资</w:t>
      </w:r>
      <w:r>
        <w:rPr>
          <w:rFonts w:hint="eastAsia" w:ascii="仿宋" w:hAnsi="仿宋" w:eastAsia="仿宋"/>
          <w:sz w:val="24"/>
          <w:lang w:eastAsia="zh-CN"/>
        </w:rPr>
        <w:t>，</w:t>
      </w:r>
      <w:r>
        <w:rPr>
          <w:rFonts w:hint="eastAsia" w:ascii="仿宋" w:hAnsi="仿宋" w:eastAsia="仿宋"/>
          <w:sz w:val="24"/>
        </w:rPr>
        <w:t>联系方式见附表（政府采购融资畅通工程金融机构联系信息表）</w:t>
      </w:r>
      <w:r>
        <w:rPr>
          <w:rFonts w:hint="eastAsia" w:ascii="仿宋" w:hAnsi="仿宋" w:eastAsia="仿宋"/>
          <w:sz w:val="24"/>
          <w:lang w:eastAsia="zh-CN"/>
        </w:rPr>
        <w:t>。</w:t>
      </w:r>
      <w:r>
        <w:rPr>
          <w:rFonts w:hint="eastAsia" w:ascii="仿宋" w:hAnsi="仿宋" w:eastAsia="仿宋"/>
          <w:sz w:val="24"/>
        </w:rPr>
        <w:cr/>
      </w:r>
      <w:r>
        <w:rPr>
          <w:rFonts w:hint="eastAsia" w:ascii="仿宋" w:hAnsi="仿宋" w:eastAsia="仿宋"/>
          <w:b/>
          <w:sz w:val="24"/>
        </w:rPr>
        <w:t>4.询问、质疑、投诉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4.1供应商询问</w:t>
      </w:r>
    </w:p>
    <w:p>
      <w:pPr>
        <w:pStyle w:val="7"/>
        <w:spacing w:line="360" w:lineRule="auto"/>
        <w:ind w:firstLine="480" w:firstLineChars="200"/>
        <w:rPr>
          <w:rFonts w:ascii="仿宋" w:hAnsi="仿宋" w:eastAsia="仿宋"/>
          <w:sz w:val="24"/>
        </w:rPr>
      </w:pPr>
      <w:r>
        <w:rPr>
          <w:rFonts w:hint="eastAsia" w:ascii="仿宋" w:hAnsi="仿宋" w:eastAsia="仿宋"/>
          <w:sz w:val="24"/>
        </w:rPr>
        <w:t>根据采购人与采购机构签订的《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4.2供应商质疑</w:t>
      </w:r>
    </w:p>
    <w:p>
      <w:pPr>
        <w:pStyle w:val="7"/>
        <w:spacing w:line="360" w:lineRule="auto"/>
        <w:ind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.1提出质疑的供应商应当是参与所质疑项目采购活动的供应商。潜在供应商已依法获取其可质疑的采购文件的，可以对该文件提出质疑。</w:t>
      </w:r>
    </w:p>
    <w:p>
      <w:pPr>
        <w:pStyle w:val="7"/>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4"/>
        <w:keepNext w:val="0"/>
        <w:keepLines w:val="0"/>
        <w:pageBreakBefore w:val="0"/>
        <w:kinsoku/>
        <w:wordWrap/>
        <w:overflowPunct/>
        <w:topLinePunct w:val="0"/>
        <w:autoSpaceDE/>
        <w:autoSpaceDN/>
        <w:bidi w:val="0"/>
        <w:adjustRightInd w:val="0"/>
        <w:spacing w:line="360" w:lineRule="auto"/>
        <w:ind w:firstLine="434" w:firstLineChars="181"/>
        <w:textAlignment w:val="auto"/>
        <w:rPr>
          <w:rFonts w:hint="eastAsia" w:ascii="仿宋" w:hAnsi="仿宋" w:eastAsia="仿宋"/>
          <w:snapToGrid/>
          <w:color w:val="auto"/>
          <w:kern w:val="2"/>
          <w:sz w:val="24"/>
        </w:rPr>
      </w:pPr>
      <w:r>
        <w:rPr>
          <w:rFonts w:hint="eastAsia" w:ascii="仿宋" w:hAnsi="仿宋" w:eastAsia="仿宋"/>
          <w:snapToGrid/>
          <w:color w:val="auto"/>
          <w:kern w:val="2"/>
          <w:sz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集中采购年度委托协议》的规定：对采购文件中特定资格条件、采购需求、评分办法提出的质疑，原则上由采购人负责答复；对采购文件中其他内容提出的质疑，原则上由采购机构负责答复。</w:t>
      </w:r>
    </w:p>
    <w:p>
      <w:pPr>
        <w:pStyle w:val="7"/>
        <w:spacing w:line="360" w:lineRule="auto"/>
        <w:ind w:firstLine="480" w:firstLineChars="200"/>
        <w:rPr>
          <w:rFonts w:hint="eastAsia" w:ascii="仿宋" w:hAnsi="仿宋" w:eastAsia="仿宋"/>
          <w:sz w:val="24"/>
        </w:rPr>
      </w:pPr>
      <w:r>
        <w:rPr>
          <w:rFonts w:hint="eastAsia" w:ascii="仿宋" w:hAnsi="仿宋" w:eastAsia="仿宋"/>
          <w:sz w:val="24"/>
        </w:rPr>
        <w:t>（2）对采购过程提出质疑的，质疑期限为各采购程序环节结束之日起计算。对同一采购程序环节的质疑，供应商须一次性提出。根据采购人与采购机构签订的《集中采购年度委托协议》的规定：对采购过程中有关现场考察或开标前答疑会事项提出的质疑，原则上由采购人负责答复；对采购过程中其它事项提出的质疑，原则上由采购机构负责答复。</w:t>
      </w:r>
    </w:p>
    <w:p>
      <w:pPr>
        <w:pStyle w:val="7"/>
        <w:spacing w:line="360" w:lineRule="auto"/>
        <w:ind w:firstLine="480" w:firstLineChars="200"/>
        <w:rPr>
          <w:rFonts w:ascii="仿宋" w:hAnsi="仿宋" w:eastAsia="仿宋"/>
          <w:sz w:val="24"/>
        </w:rPr>
      </w:pPr>
      <w:r>
        <w:rPr>
          <w:rFonts w:hint="eastAsia" w:ascii="仿宋" w:hAnsi="仿宋" w:eastAsia="仿宋"/>
          <w:sz w:val="24"/>
        </w:rPr>
        <w:t>（3）对采购结果提出质疑的，质疑期限自采购结果公告期限届满之日起计算。对采购结果提出质疑的，采购机构负责答复。</w:t>
      </w:r>
    </w:p>
    <w:p>
      <w:pPr>
        <w:pStyle w:val="7"/>
        <w:snapToGrid w:val="0"/>
        <w:spacing w:line="360" w:lineRule="auto"/>
        <w:ind w:firstLine="480" w:firstLineChars="200"/>
        <w:contextualSpacing/>
        <w:rPr>
          <w:rFonts w:ascii="仿宋" w:hAnsi="仿宋" w:eastAsia="仿宋"/>
          <w:sz w:val="24"/>
        </w:rPr>
      </w:pPr>
      <w:r>
        <w:rPr>
          <w:rFonts w:hint="eastAsia" w:ascii="仿宋" w:hAnsi="仿宋" w:eastAsia="仿宋" w:cs="微软雅黑"/>
          <w:kern w:val="0"/>
          <w:sz w:val="24"/>
          <w:lang w:val="zh-CN"/>
        </w:rPr>
        <w:t>4.2.3</w:t>
      </w:r>
      <w:r>
        <w:rPr>
          <w:rFonts w:ascii="仿宋" w:hAnsi="仿宋" w:eastAsia="仿宋"/>
          <w:sz w:val="24"/>
        </w:rPr>
        <w:t>供应商提出质疑应当提交质疑函和必要的证明材料。质疑函应当包括下列内容：</w:t>
      </w:r>
    </w:p>
    <w:p>
      <w:pPr>
        <w:pStyle w:val="20"/>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4.2.3.1</w:t>
      </w:r>
      <w:r>
        <w:rPr>
          <w:rFonts w:ascii="仿宋" w:hAnsi="仿宋" w:eastAsia="仿宋" w:cs="Arial"/>
          <w:snapToGrid w:val="0"/>
          <w:kern w:val="2"/>
          <w:szCs w:val="21"/>
        </w:rPr>
        <w:t>供应商的姓名或者名称、地址、邮编、联系人及联系电话；</w:t>
      </w:r>
    </w:p>
    <w:p>
      <w:pPr>
        <w:pStyle w:val="20"/>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4.2.3.2</w:t>
      </w:r>
      <w:r>
        <w:rPr>
          <w:rFonts w:ascii="仿宋" w:hAnsi="仿宋" w:eastAsia="仿宋" w:cs="Arial"/>
          <w:snapToGrid w:val="0"/>
          <w:kern w:val="2"/>
          <w:szCs w:val="21"/>
        </w:rPr>
        <w:t>质疑项目的名称、编号；</w:t>
      </w:r>
    </w:p>
    <w:p>
      <w:pPr>
        <w:pStyle w:val="20"/>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4.2.3.3</w:t>
      </w:r>
      <w:r>
        <w:rPr>
          <w:rFonts w:ascii="仿宋" w:hAnsi="仿宋" w:eastAsia="仿宋" w:cs="Arial"/>
          <w:snapToGrid w:val="0"/>
          <w:kern w:val="2"/>
          <w:szCs w:val="21"/>
        </w:rPr>
        <w:t>具体、明确的质疑事项和与质疑事项相关的请求；</w:t>
      </w:r>
    </w:p>
    <w:p>
      <w:pPr>
        <w:pStyle w:val="20"/>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4.2.3.4</w:t>
      </w:r>
      <w:r>
        <w:rPr>
          <w:rFonts w:ascii="仿宋" w:hAnsi="仿宋" w:eastAsia="仿宋" w:cs="Arial"/>
          <w:snapToGrid w:val="0"/>
          <w:kern w:val="2"/>
          <w:szCs w:val="21"/>
        </w:rPr>
        <w:t>事实依据；</w:t>
      </w:r>
    </w:p>
    <w:p>
      <w:pPr>
        <w:pStyle w:val="20"/>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4.2.3.5</w:t>
      </w:r>
      <w:r>
        <w:rPr>
          <w:rFonts w:ascii="仿宋" w:hAnsi="仿宋" w:eastAsia="仿宋" w:cs="Arial"/>
          <w:snapToGrid w:val="0"/>
          <w:kern w:val="2"/>
          <w:szCs w:val="21"/>
        </w:rPr>
        <w:t>必要的法律依据；</w:t>
      </w:r>
    </w:p>
    <w:p>
      <w:pPr>
        <w:pStyle w:val="20"/>
        <w:shd w:val="clear" w:color="auto"/>
        <w:snapToGrid w:val="0"/>
        <w:spacing w:after="240" w:afterAutospacing="0" w:line="360" w:lineRule="auto"/>
        <w:ind w:firstLine="480"/>
        <w:contextualSpacing/>
        <w:rPr>
          <w:rFonts w:hint="eastAsia" w:ascii="仿宋" w:hAnsi="仿宋" w:eastAsia="仿宋" w:cs="Arial"/>
          <w:snapToGrid w:val="0"/>
          <w:kern w:val="2"/>
          <w:szCs w:val="21"/>
        </w:rPr>
      </w:pPr>
      <w:r>
        <w:rPr>
          <w:rFonts w:hint="eastAsia" w:ascii="仿宋" w:hAnsi="仿宋" w:eastAsia="仿宋" w:cs="微软雅黑"/>
          <w:lang w:val="zh-CN"/>
        </w:rPr>
        <w:t>4.2.3.6</w:t>
      </w:r>
      <w:r>
        <w:rPr>
          <w:rFonts w:ascii="仿宋" w:hAnsi="仿宋" w:eastAsia="仿宋" w:cs="Arial"/>
          <w:snapToGrid w:val="0"/>
          <w:kern w:val="2"/>
          <w:szCs w:val="21"/>
        </w:rPr>
        <w:t>提出质疑的日期。</w:t>
      </w:r>
    </w:p>
    <w:p>
      <w:pPr>
        <w:pStyle w:val="20"/>
        <w:shd w:val="clear" w:color="auto"/>
        <w:snapToGrid w:val="0"/>
        <w:spacing w:after="240" w:afterAutospacing="0" w:line="360" w:lineRule="auto"/>
        <w:ind w:firstLine="480"/>
        <w:contextualSpacing/>
        <w:rPr>
          <w:rFonts w:hint="eastAsia"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pPr>
        <w:pStyle w:val="20"/>
        <w:shd w:val="clear" w:color="auto"/>
        <w:snapToGrid w:val="0"/>
        <w:spacing w:after="240" w:afterAutospacing="0" w:line="360" w:lineRule="auto"/>
        <w:ind w:firstLine="480"/>
        <w:contextualSpacing/>
        <w:rPr>
          <w:rFonts w:hint="eastAsia" w:ascii="仿宋" w:hAnsi="仿宋" w:eastAsia="仿宋"/>
          <w:highlight w:val="yellow"/>
        </w:rPr>
      </w:pPr>
      <w:r>
        <w:rPr>
          <w:rFonts w:hint="eastAsia" w:ascii="仿宋" w:hAnsi="仿宋" w:eastAsia="仿宋"/>
          <w:highlight w:val="none"/>
        </w:rPr>
        <w:t>质疑函范本及制作说明详见附件2。</w:t>
      </w:r>
    </w:p>
    <w:p>
      <w:pPr>
        <w:pStyle w:val="20"/>
        <w:shd w:val="clear" w:color="auto"/>
        <w:snapToGrid w:val="0"/>
        <w:spacing w:after="240" w:afterAutospacing="0" w:line="360" w:lineRule="auto"/>
        <w:ind w:firstLine="480"/>
        <w:contextualSpacing/>
        <w:rPr>
          <w:rFonts w:hint="eastAsia" w:ascii="仿宋" w:hAnsi="仿宋" w:eastAsia="仿宋"/>
        </w:rPr>
      </w:pPr>
      <w:r>
        <w:rPr>
          <w:rFonts w:hint="eastAsia" w:ascii="仿宋" w:hAnsi="仿宋" w:eastAsia="仿宋" w:cs="微软雅黑"/>
          <w:lang w:val="zh-CN"/>
        </w:rPr>
        <w:t>4.2</w:t>
      </w:r>
      <w:r>
        <w:rPr>
          <w:rFonts w:hint="eastAsia" w:ascii="仿宋" w:hAnsi="仿宋" w:eastAsia="仿宋"/>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20"/>
        <w:shd w:val="clear" w:color="auto"/>
        <w:snapToGrid w:val="0"/>
        <w:spacing w:after="240" w:afterAutospacing="0" w:line="360" w:lineRule="auto"/>
        <w:ind w:firstLine="480"/>
        <w:contextualSpacing/>
        <w:rPr>
          <w:rFonts w:hint="eastAsia" w:ascii="仿宋" w:hAnsi="仿宋" w:eastAsia="仿宋"/>
        </w:rPr>
      </w:pPr>
      <w:r>
        <w:rPr>
          <w:rFonts w:hint="eastAsia" w:ascii="仿宋" w:hAnsi="仿宋" w:eastAsia="仿宋" w:cs="微软雅黑"/>
          <w:lang w:val="zh-CN"/>
        </w:rPr>
        <w:t>4.2</w:t>
      </w:r>
      <w:r>
        <w:rPr>
          <w:rFonts w:hint="eastAsia" w:ascii="仿宋" w:hAnsi="仿宋" w:eastAsia="仿宋"/>
        </w:rPr>
        <w:t>.5询问或者质疑事项可能影响采购结果的，采购人应当暂停签订合同，已经签订合同的，应当中止履行合同。</w:t>
      </w:r>
    </w:p>
    <w:p>
      <w:pPr>
        <w:pStyle w:val="20"/>
        <w:shd w:val="clear" w:color="auto"/>
        <w:snapToGrid w:val="0"/>
        <w:spacing w:after="240" w:afterAutospacing="0" w:line="360" w:lineRule="auto"/>
        <w:ind w:firstLine="480"/>
        <w:contextualSpacing/>
        <w:rPr>
          <w:rFonts w:hint="eastAsia" w:ascii="仿宋" w:hAnsi="仿宋" w:eastAsia="仿宋" w:cs="微软雅黑"/>
          <w:lang w:val="zh-CN"/>
        </w:rPr>
      </w:pPr>
      <w:r>
        <w:rPr>
          <w:rFonts w:hint="eastAsia" w:ascii="仿宋" w:hAnsi="仿宋" w:eastAsia="仿宋" w:cs="微软雅黑"/>
          <w:lang w:val="zh-CN"/>
        </w:rPr>
        <w:t>4.3供应商投诉</w:t>
      </w:r>
    </w:p>
    <w:p>
      <w:pPr>
        <w:pStyle w:val="20"/>
        <w:shd w:val="clear" w:color="auto"/>
        <w:snapToGrid w:val="0"/>
        <w:spacing w:after="240" w:afterAutospacing="0" w:line="360" w:lineRule="auto"/>
        <w:ind w:firstLine="480"/>
        <w:contextualSpacing/>
        <w:rPr>
          <w:rFonts w:hint="eastAsia" w:ascii="仿宋" w:hAnsi="仿宋" w:eastAsia="仿宋"/>
        </w:rPr>
      </w:pPr>
      <w:r>
        <w:rPr>
          <w:rFonts w:ascii="仿宋" w:hAnsi="仿宋" w:eastAsia="仿宋"/>
        </w:rPr>
        <w:t>4.3</w:t>
      </w:r>
      <w:r>
        <w:rPr>
          <w:rFonts w:hint="eastAsia" w:ascii="仿宋" w:hAnsi="仿宋" w:eastAsia="仿宋"/>
        </w:rPr>
        <w:t>.1质疑供应商对采购人、采购机构的答复不满意或者采购人、采购机构未在规定的时间内作出答复的，可以在答复期满后十五个工作日内向同级政府采购监督管理部门提出投诉。</w:t>
      </w:r>
    </w:p>
    <w:p>
      <w:pPr>
        <w:pStyle w:val="20"/>
        <w:shd w:val="clear" w:color="auto"/>
        <w:snapToGrid w:val="0"/>
        <w:spacing w:after="240" w:afterAutospacing="0" w:line="360" w:lineRule="auto"/>
        <w:ind w:firstLine="480"/>
        <w:contextualSpacing/>
        <w:rPr>
          <w:rFonts w:hint="eastAsia" w:ascii="仿宋" w:hAnsi="仿宋" w:eastAsia="仿宋"/>
        </w:rPr>
      </w:pPr>
      <w:r>
        <w:rPr>
          <w:rFonts w:ascii="仿宋" w:hAnsi="仿宋" w:eastAsia="仿宋"/>
        </w:rPr>
        <w:t>4.3</w:t>
      </w:r>
      <w:r>
        <w:rPr>
          <w:rFonts w:hint="eastAsia" w:ascii="仿宋" w:hAnsi="仿宋" w:eastAsia="仿宋"/>
        </w:rPr>
        <w:t>.</w:t>
      </w:r>
      <w:r>
        <w:rPr>
          <w:rFonts w:hint="eastAsia"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20"/>
        <w:shd w:val="clear" w:color="auto"/>
        <w:snapToGrid w:val="0"/>
        <w:spacing w:after="240" w:afterAutospacing="0" w:line="360" w:lineRule="auto"/>
        <w:ind w:firstLine="480"/>
        <w:contextualSpacing/>
        <w:rPr>
          <w:rFonts w:hint="eastAsia" w:ascii="仿宋" w:hAnsi="仿宋" w:eastAsia="仿宋"/>
        </w:rPr>
      </w:pPr>
      <w:r>
        <w:rPr>
          <w:rFonts w:ascii="仿宋" w:hAnsi="仿宋" w:eastAsia="仿宋"/>
        </w:rPr>
        <w:t>4.3</w:t>
      </w:r>
      <w:r>
        <w:rPr>
          <w:rFonts w:hint="eastAsia" w:ascii="仿宋" w:hAnsi="仿宋" w:eastAsia="仿宋"/>
        </w:rPr>
        <w:t>.3供应商投诉应当有明确的请求和必要的证明材料。</w:t>
      </w:r>
    </w:p>
    <w:p>
      <w:pPr>
        <w:pStyle w:val="20"/>
        <w:shd w:val="clear" w:color="auto"/>
        <w:snapToGrid w:val="0"/>
        <w:spacing w:after="240" w:afterAutospacing="0" w:line="360" w:lineRule="auto"/>
        <w:ind w:firstLine="480"/>
        <w:contextualSpacing/>
        <w:rPr>
          <w:rFonts w:hint="eastAsia" w:ascii="仿宋" w:hAnsi="仿宋" w:eastAsia="仿宋"/>
        </w:rPr>
      </w:pPr>
      <w:r>
        <w:rPr>
          <w:rFonts w:ascii="仿宋" w:hAnsi="仿宋" w:eastAsia="仿宋"/>
        </w:rPr>
        <w:t>4.3</w:t>
      </w:r>
      <w:r>
        <w:rPr>
          <w:rFonts w:hint="eastAsia" w:ascii="仿宋" w:hAnsi="仿宋" w:eastAsia="仿宋"/>
        </w:rPr>
        <w:t>.5 以联合体形式参加政府采购活动的，其投诉应当由组成联合体的所有供应商共同提出。</w:t>
      </w:r>
    </w:p>
    <w:p>
      <w:pPr>
        <w:pStyle w:val="20"/>
        <w:shd w:val="clear" w:color="auto"/>
        <w:snapToGrid w:val="0"/>
        <w:spacing w:after="240" w:afterAutospacing="0" w:line="360" w:lineRule="auto"/>
        <w:ind w:firstLine="480"/>
        <w:contextualSpacing/>
      </w:pPr>
      <w:r>
        <w:rPr>
          <w:rFonts w:hint="eastAsia" w:ascii="仿宋" w:hAnsi="仿宋" w:eastAsia="仿宋"/>
          <w:highlight w:val="none"/>
        </w:rPr>
        <w:t>投诉书范本及制作说明详见附件3。</w:t>
      </w:r>
    </w:p>
    <w:p>
      <w:pPr>
        <w:adjustRightInd/>
        <w:spacing w:line="360" w:lineRule="auto"/>
        <w:jc w:val="center"/>
        <w:outlineLvl w:val="0"/>
        <w:rPr>
          <w:rFonts w:hint="eastAsia" w:ascii="仿宋" w:hAnsi="仿宋" w:eastAsia="仿宋" w:cs="仿宋_GB2312"/>
          <w:b/>
          <w:sz w:val="32"/>
          <w:szCs w:val="20"/>
        </w:rPr>
      </w:pPr>
      <w:bookmarkStart w:id="0" w:name="_Toc91899879"/>
    </w:p>
    <w:p>
      <w:pPr>
        <w:adjustRightInd/>
        <w:spacing w:line="360" w:lineRule="auto"/>
        <w:jc w:val="center"/>
        <w:outlineLvl w:val="0"/>
        <w:rPr>
          <w:rFonts w:hint="eastAsia" w:ascii="仿宋" w:hAnsi="仿宋" w:eastAsia="仿宋" w:cs="仿宋_GB2312"/>
          <w:b/>
          <w:sz w:val="32"/>
          <w:szCs w:val="20"/>
        </w:rPr>
      </w:pPr>
      <w:r>
        <w:rPr>
          <w:rFonts w:hint="eastAsia" w:ascii="仿宋" w:hAnsi="仿宋" w:eastAsia="仿宋" w:cs="仿宋_GB2312"/>
          <w:b/>
          <w:sz w:val="32"/>
          <w:szCs w:val="20"/>
        </w:rPr>
        <w:t>二、招标文件</w:t>
      </w:r>
      <w:bookmarkEnd w:id="0"/>
      <w:r>
        <w:rPr>
          <w:rFonts w:hint="eastAsia" w:ascii="仿宋" w:hAnsi="仿宋" w:eastAsia="仿宋" w:cs="仿宋_GB2312"/>
          <w:b/>
          <w:sz w:val="32"/>
          <w:szCs w:val="20"/>
        </w:rPr>
        <w:t>的构成、澄清、修改</w:t>
      </w:r>
    </w:p>
    <w:p>
      <w:pPr>
        <w:pStyle w:val="7"/>
        <w:spacing w:line="360" w:lineRule="auto"/>
        <w:rPr>
          <w:rFonts w:hint="eastAsia" w:ascii="仿宋" w:hAnsi="仿宋" w:eastAsia="仿宋" w:cs="仿宋_GB2312"/>
          <w:b/>
          <w:sz w:val="24"/>
          <w:szCs w:val="24"/>
        </w:rPr>
      </w:pPr>
      <w:bookmarkStart w:id="1" w:name="_Toc91899880"/>
      <w:bookmarkStart w:id="2" w:name="_Hlt74730307"/>
      <w:r>
        <w:rPr>
          <w:rFonts w:hint="eastAsia" w:ascii="仿宋" w:hAnsi="仿宋" w:eastAsia="仿宋" w:cs="仿宋_GB2312"/>
          <w:b/>
          <w:sz w:val="24"/>
          <w:szCs w:val="24"/>
        </w:rPr>
        <w:t>5</w:t>
      </w:r>
      <w:r>
        <w:rPr>
          <w:rFonts w:hint="eastAsia" w:ascii="仿宋" w:hAnsi="仿宋" w:eastAsia="仿宋" w:cs="仿宋_GB2312"/>
          <w:b/>
          <w:sz w:val="24"/>
          <w:szCs w:val="24"/>
          <w:lang w:val="en-US" w:eastAsia="zh-CN"/>
        </w:rPr>
        <w:t>.</w:t>
      </w:r>
      <w:r>
        <w:rPr>
          <w:rFonts w:hint="eastAsia" w:ascii="仿宋" w:hAnsi="仿宋" w:eastAsia="仿宋" w:cs="仿宋_GB2312"/>
          <w:b/>
          <w:sz w:val="24"/>
          <w:szCs w:val="24"/>
        </w:rPr>
        <w:t>招标文件的构成</w:t>
      </w:r>
      <w:bookmarkEnd w:id="1"/>
    </w:p>
    <w:bookmarkEnd w:id="2"/>
    <w:p>
      <w:pPr>
        <w:pStyle w:val="7"/>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5.1 招标文件包括下列文件及附件</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第一部分 招标公告</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第二部分 投标人须知</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第三部分 采购需求</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第四部分 评标方法及评分标准</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第五部分 拟签订的合同文本</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第六部分 应提交的有关格式范例</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6.招标文件的澄清、修改</w:t>
      </w:r>
    </w:p>
    <w:p>
      <w:pPr>
        <w:pStyle w:val="19"/>
        <w:snapToGrid w:val="0"/>
        <w:spacing w:before="0"/>
        <w:ind w:firstLine="480"/>
        <w:rPr>
          <w:rFonts w:hint="eastAsia" w:ascii="仿宋" w:hAnsi="仿宋" w:eastAsia="仿宋" w:cs="仿宋_GB2312"/>
        </w:rPr>
      </w:pPr>
      <w:r>
        <w:rPr>
          <w:rFonts w:hint="eastAsia" w:ascii="仿宋" w:hAnsi="仿宋" w:eastAsia="仿宋" w:cs="仿宋_GB2312"/>
        </w:rPr>
        <w:t>6.1已获取招标文件的潜在投标人，若有问题需要澄清，应于投标截止时间前，以书面形式向采购机构提出。</w:t>
      </w:r>
    </w:p>
    <w:p>
      <w:pPr>
        <w:pStyle w:val="19"/>
        <w:snapToGrid w:val="0"/>
        <w:spacing w:before="0"/>
        <w:ind w:firstLine="480"/>
        <w:rPr>
          <w:rFonts w:hint="eastAsia" w:ascii="仿宋" w:hAnsi="仿宋" w:eastAsia="仿宋"/>
        </w:rPr>
      </w:pPr>
      <w:r>
        <w:rPr>
          <w:rFonts w:hint="eastAsia" w:ascii="仿宋" w:hAnsi="仿宋" w:eastAsia="仿宋"/>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2" w:firstLineChars="200"/>
        <w:rPr>
          <w:rFonts w:hint="eastAsia"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投标文件未按招标文件的澄清、修改的内容编制，又不符合实质性要求的，投标无效。</w:t>
      </w:r>
    </w:p>
    <w:p>
      <w:pPr>
        <w:adjustRightInd/>
        <w:spacing w:line="360" w:lineRule="auto"/>
        <w:jc w:val="center"/>
        <w:outlineLvl w:val="0"/>
        <w:rPr>
          <w:rFonts w:hint="eastAsia" w:ascii="仿宋" w:hAnsi="仿宋" w:eastAsia="仿宋" w:cs="仿宋_GB2312"/>
          <w:b/>
          <w:sz w:val="30"/>
          <w:szCs w:val="20"/>
        </w:rPr>
      </w:pPr>
      <w:bookmarkStart w:id="3" w:name="_Toc91899884"/>
    </w:p>
    <w:p>
      <w:pPr>
        <w:adjustRightInd/>
        <w:spacing w:line="360" w:lineRule="auto"/>
        <w:jc w:val="center"/>
        <w:outlineLvl w:val="0"/>
        <w:rPr>
          <w:rFonts w:hint="eastAsia" w:ascii="仿宋" w:hAnsi="仿宋" w:eastAsia="仿宋" w:cs="仿宋_GB2312"/>
          <w:b/>
          <w:sz w:val="30"/>
          <w:szCs w:val="20"/>
        </w:rPr>
      </w:pPr>
      <w:r>
        <w:rPr>
          <w:rFonts w:hint="eastAsia" w:ascii="仿宋" w:hAnsi="仿宋" w:eastAsia="仿宋" w:cs="仿宋_GB2312"/>
          <w:b/>
          <w:sz w:val="30"/>
          <w:szCs w:val="20"/>
        </w:rPr>
        <w:t>三、投标</w:t>
      </w:r>
      <w:bookmarkEnd w:id="3"/>
    </w:p>
    <w:p>
      <w:pPr>
        <w:pStyle w:val="7"/>
        <w:spacing w:line="360" w:lineRule="auto"/>
        <w:rPr>
          <w:rFonts w:hint="eastAsia" w:ascii="仿宋" w:hAnsi="仿宋" w:eastAsia="仿宋" w:cs="仿宋_GB2312"/>
          <w:b/>
          <w:sz w:val="24"/>
          <w:szCs w:val="24"/>
        </w:rPr>
      </w:pPr>
      <w:bookmarkStart w:id="4" w:name="_Toc86216991"/>
      <w:bookmarkStart w:id="5" w:name="_Toc91899892"/>
      <w:r>
        <w:rPr>
          <w:rFonts w:hint="eastAsia" w:ascii="仿宋" w:hAnsi="仿宋" w:eastAsia="仿宋" w:cs="仿宋_GB2312"/>
          <w:b/>
          <w:sz w:val="24"/>
          <w:szCs w:val="24"/>
        </w:rPr>
        <w:t>7.招标文件的获取</w:t>
      </w:r>
    </w:p>
    <w:p>
      <w:pPr>
        <w:spacing w:line="360" w:lineRule="auto"/>
        <w:ind w:firstLine="480" w:firstLineChars="200"/>
      </w:pPr>
      <w:r>
        <w:rPr>
          <w:rFonts w:hint="eastAsia" w:ascii="仿宋" w:hAnsi="仿宋" w:eastAsia="仿宋" w:cs="仿宋_GB2312"/>
          <w:snapToGrid w:val="0"/>
          <w:kern w:val="28"/>
          <w:sz w:val="24"/>
        </w:rPr>
        <w:t>详见招标公告中获取招标文件的时间期限、地点、方式及招标文件售价。</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8.开标前答疑会或现场考察</w:t>
      </w:r>
    </w:p>
    <w:p>
      <w:pPr>
        <w:pStyle w:val="7"/>
        <w:spacing w:line="360" w:lineRule="auto"/>
        <w:ind w:firstLine="480" w:firstLineChars="200"/>
        <w:rPr>
          <w:rFonts w:hint="eastAsia" w:ascii="仿宋" w:hAnsi="仿宋" w:eastAsia="仿宋"/>
          <w:sz w:val="24"/>
          <w:szCs w:val="24"/>
        </w:rPr>
      </w:pPr>
      <w:r>
        <w:rPr>
          <w:rFonts w:hint="eastAsia" w:ascii="仿宋" w:hAnsi="仿宋" w:eastAsia="仿宋"/>
          <w:sz w:val="24"/>
          <w:szCs w:val="24"/>
        </w:rPr>
        <w:t>采购人组织潜在投标人现场考察或者召开开标前答疑会的，潜在投标人按前附表的规定参加现场考察或者开标前答疑会。</w:t>
      </w:r>
      <w:r>
        <w:rPr>
          <w:rFonts w:hint="eastAsia" w:ascii="仿宋" w:hAnsi="仿宋" w:eastAsia="仿宋"/>
          <w:b/>
          <w:sz w:val="24"/>
          <w:szCs w:val="24"/>
        </w:rPr>
        <w:t>采购人不单独或分别组织只有一个供应商参加的现场考察和答疑会。</w:t>
      </w:r>
    </w:p>
    <w:p>
      <w:pPr>
        <w:pStyle w:val="7"/>
        <w:spacing w:line="360" w:lineRule="auto"/>
        <w:rPr>
          <w:rFonts w:hint="eastAsia" w:ascii="仿宋" w:hAnsi="仿宋" w:eastAsia="仿宋" w:cs="仿宋_GB2312"/>
          <w:b/>
          <w:szCs w:val="24"/>
        </w:rPr>
      </w:pPr>
      <w:r>
        <w:rPr>
          <w:rFonts w:hint="eastAsia" w:ascii="仿宋" w:hAnsi="仿宋" w:eastAsia="仿宋"/>
          <w:b/>
          <w:kern w:val="28"/>
          <w:sz w:val="24"/>
          <w:szCs w:val="24"/>
        </w:rPr>
        <w:t>9.投标保证金</w:t>
      </w:r>
    </w:p>
    <w:p>
      <w:pPr>
        <w:pStyle w:val="4"/>
        <w:spacing w:line="360" w:lineRule="auto"/>
        <w:ind w:firstLine="470" w:firstLineChars="196"/>
        <w:rPr>
          <w:rFonts w:hint="eastAsia" w:ascii="仿宋" w:hAnsi="仿宋" w:eastAsia="仿宋" w:cs="仿宋_GB2312"/>
          <w:color w:val="auto"/>
          <w:sz w:val="24"/>
        </w:rPr>
      </w:pPr>
      <w:r>
        <w:rPr>
          <w:rFonts w:hint="eastAsia" w:ascii="仿宋" w:hAnsi="仿宋" w:eastAsia="仿宋" w:cs="仿宋_GB2312"/>
          <w:color w:val="auto"/>
          <w:sz w:val="24"/>
        </w:rPr>
        <w:t>本项目不需要交纳投标保证金。</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10.投标文件的语言</w:t>
      </w:r>
    </w:p>
    <w:p>
      <w:pPr>
        <w:autoSpaceDE w:val="0"/>
        <w:autoSpaceDN w:val="0"/>
        <w:spacing w:line="360" w:lineRule="auto"/>
        <w:ind w:firstLine="480" w:firstLineChars="200"/>
        <w:rPr>
          <w:rFonts w:hint="eastAsia"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11.投标文件的组成</w:t>
      </w:r>
    </w:p>
    <w:p>
      <w:pPr>
        <w:pStyle w:val="7"/>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kern w:val="0"/>
          <w:sz w:val="24"/>
          <w:szCs w:val="24"/>
        </w:rPr>
        <w:t>投标文件应当包括以下主要内容：</w:t>
      </w:r>
      <w:r>
        <w:rPr>
          <w:rFonts w:hint="eastAsia" w:ascii="仿宋" w:hAnsi="仿宋" w:eastAsia="仿宋" w:cs="仿宋_GB2312"/>
          <w:b/>
          <w:sz w:val="24"/>
          <w:szCs w:val="24"/>
        </w:rPr>
        <w:t>资格文件、报价文件、商务技术文件</w:t>
      </w:r>
      <w:r>
        <w:rPr>
          <w:rFonts w:hint="eastAsia" w:ascii="仿宋" w:hAnsi="仿宋" w:eastAsia="仿宋" w:cs="仿宋_GB2312"/>
          <w:sz w:val="24"/>
          <w:szCs w:val="24"/>
        </w:rPr>
        <w:t>。投标文件应当对招标文件提出的要求和条件作出明确响应。</w:t>
      </w:r>
    </w:p>
    <w:p>
      <w:pPr>
        <w:snapToGrid w:val="0"/>
        <w:spacing w:line="360" w:lineRule="auto"/>
        <w:ind w:firstLine="480" w:firstLineChars="200"/>
        <w:rPr>
          <w:rFonts w:hint="eastAsia" w:ascii="仿宋" w:hAnsi="仿宋" w:eastAsia="仿宋" w:cs="仿宋_GB2312"/>
          <w:b/>
          <w:kern w:val="0"/>
          <w:sz w:val="24"/>
        </w:rPr>
      </w:pPr>
      <w:r>
        <w:rPr>
          <w:rFonts w:hint="eastAsia"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应包括以下内容（均需使用电子签名）：</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规定的供应商基本条件和采购项目对供应商的特定条件</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r>
        <w:rPr>
          <w:rFonts w:hint="eastAsia" w:ascii="仿宋" w:hAnsi="仿宋" w:eastAsia="仿宋" w:cs="仿宋_GB2312"/>
          <w:b/>
          <w:kern w:val="0"/>
          <w:sz w:val="24"/>
        </w:rPr>
        <w:t>（以联合体形式进行政府采购的，参加联合体的供应商均应当提供）</w:t>
      </w:r>
    </w:p>
    <w:p>
      <w:pPr>
        <w:pStyle w:val="7"/>
        <w:spacing w:line="360" w:lineRule="auto"/>
        <w:ind w:firstLine="480" w:firstLineChars="200"/>
        <w:rPr>
          <w:rFonts w:hint="eastAsia" w:ascii="仿宋" w:hAnsi="仿宋" w:eastAsia="仿宋"/>
          <w:sz w:val="24"/>
        </w:rPr>
      </w:pPr>
      <w:bookmarkStart w:id="6" w:name="_Hlt68073093"/>
      <w:bookmarkEnd w:id="6"/>
      <w:bookmarkStart w:id="7" w:name="_Hlt68403820"/>
      <w:bookmarkEnd w:id="7"/>
      <w:bookmarkStart w:id="8" w:name="_Hlt68072998"/>
      <w:bookmarkEnd w:id="8"/>
      <w:r>
        <w:rPr>
          <w:rFonts w:hint="eastAsia" w:ascii="仿宋" w:hAnsi="仿宋" w:eastAsia="仿宋" w:cs="仿宋_GB2312"/>
          <w:sz w:val="24"/>
        </w:rPr>
        <w:t>11.1.1</w:t>
      </w:r>
      <w:r>
        <w:rPr>
          <w:rFonts w:hint="eastAsia" w:ascii="仿宋" w:hAnsi="仿宋" w:eastAsia="仿宋"/>
          <w:sz w:val="24"/>
        </w:rPr>
        <w:t>营业执照(或事业法人登记证或其他工商等登记证明材料)复印件（投标人为自然人的，提供</w:t>
      </w:r>
      <w:r>
        <w:rPr>
          <w:rFonts w:hint="eastAsia" w:ascii="仿宋_GB2312" w:hAnsi="Helvetica" w:eastAsia="仿宋_GB2312" w:cs="Helvetica"/>
          <w:kern w:val="0"/>
          <w:sz w:val="24"/>
        </w:rPr>
        <w:t>自然人的身份证明</w:t>
      </w:r>
      <w:r>
        <w:rPr>
          <w:rFonts w:hint="eastAsia" w:ascii="仿宋" w:hAnsi="仿宋" w:eastAsia="仿宋"/>
          <w:sz w:val="24"/>
        </w:rPr>
        <w:t>）、税务登记证(</w:t>
      </w:r>
      <w:r>
        <w:rPr>
          <w:rFonts w:hint="eastAsia" w:ascii="仿宋_GB2312" w:hAnsi="Helvetica" w:eastAsia="仿宋_GB2312" w:cs="Helvetica"/>
          <w:kern w:val="0"/>
          <w:sz w:val="24"/>
        </w:rPr>
        <w:t>或其它依法缴纳税收的相关材料</w:t>
      </w:r>
      <w:r>
        <w:rPr>
          <w:rFonts w:hint="eastAsia" w:ascii="仿宋" w:hAnsi="仿宋" w:eastAsia="仿宋"/>
          <w:sz w:val="24"/>
        </w:rPr>
        <w:t>)复印件、社保登记证（</w:t>
      </w:r>
      <w:r>
        <w:rPr>
          <w:rFonts w:hint="eastAsia" w:ascii="仿宋_GB2312" w:hAnsi="Helvetica" w:eastAsia="仿宋_GB2312" w:cs="Helvetica"/>
          <w:kern w:val="0"/>
          <w:sz w:val="24"/>
        </w:rPr>
        <w:t>或其它依法缴纳社会保障资金的相关材料</w:t>
      </w:r>
      <w:r>
        <w:rPr>
          <w:rFonts w:hint="eastAsia" w:ascii="仿宋" w:hAnsi="仿宋" w:eastAsia="仿宋"/>
          <w:sz w:val="24"/>
        </w:rPr>
        <w:t>）复印件；实施“多证合一、一照一码”登记制度改革的，只需提供改革后取得的营业执照复印件；</w:t>
      </w:r>
    </w:p>
    <w:p>
      <w:pPr>
        <w:pStyle w:val="7"/>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仿宋_GB2312" w:hAnsi="仿宋" w:eastAsia="仿宋_GB2312" w:cs="仿宋_GB2312"/>
          <w:sz w:val="24"/>
          <w:highlight w:val="none"/>
        </w:rPr>
      </w:pPr>
      <w:r>
        <w:rPr>
          <w:rFonts w:hint="eastAsia" w:ascii="仿宋" w:hAnsi="仿宋" w:eastAsia="仿宋" w:cs="仿宋_GB2312"/>
          <w:sz w:val="24"/>
        </w:rPr>
        <w:t>11.1.2</w:t>
      </w:r>
      <w:r>
        <w:rPr>
          <w:rFonts w:hint="eastAsia" w:ascii="仿宋_GB2312" w:hAnsi="仿宋" w:eastAsia="仿宋_GB2312"/>
          <w:sz w:val="24"/>
        </w:rPr>
        <w:t>法人授权书（如法定代表人直接参加投标并对相应文件签字的，只需提供其身份证复印件正反面；如以联合体形式参加政府采购活动的，按招标文件有关格式范例提供联合</w:t>
      </w:r>
      <w:r>
        <w:rPr>
          <w:rFonts w:hint="eastAsia" w:ascii="仿宋_GB2312" w:hAnsi="仿宋" w:eastAsia="仿宋_GB2312"/>
          <w:sz w:val="24"/>
          <w:highlight w:val="none"/>
        </w:rPr>
        <w:t>体投标授权书）；▲</w:t>
      </w:r>
      <w:r>
        <w:rPr>
          <w:rFonts w:hint="eastAsia" w:ascii="仿宋_GB2312" w:hAnsi="仿宋" w:eastAsia="仿宋_GB2312" w:cs="仿宋_GB2312"/>
          <w:b/>
          <w:sz w:val="24"/>
          <w:highlight w:val="none"/>
        </w:rPr>
        <w:t>投标文件中法人授权书所载内容与本项目内容有异的，投标无效</w:t>
      </w:r>
    </w:p>
    <w:p>
      <w:pPr>
        <w:snapToGrid w:val="0"/>
        <w:spacing w:line="360" w:lineRule="auto"/>
        <w:ind w:firstLine="480" w:firstLineChars="200"/>
        <w:rPr>
          <w:rFonts w:hint="eastAsia" w:ascii="仿宋" w:hAnsi="仿宋" w:eastAsia="仿宋" w:cs="仿宋_GB2312"/>
          <w:sz w:val="24"/>
          <w:highlight w:val="none"/>
        </w:rPr>
      </w:pPr>
    </w:p>
    <w:p>
      <w:pPr>
        <w:pStyle w:val="7"/>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11.1.3法定代表人及其授权代表的身份证（复印件）</w:t>
      </w:r>
    </w:p>
    <w:p>
      <w:pPr>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11.1.4</w:t>
      </w:r>
      <w:r>
        <w:rPr>
          <w:rFonts w:hint="eastAsia" w:ascii="仿宋" w:hAnsi="仿宋" w:eastAsia="仿宋" w:cs="仿宋_GB2312"/>
          <w:sz w:val="24"/>
          <w:highlight w:val="none"/>
          <w:lang w:val="en-US" w:eastAsia="zh-CN"/>
        </w:rPr>
        <w:t xml:space="preserve"> 2019</w:t>
      </w:r>
      <w:r>
        <w:rPr>
          <w:rFonts w:hint="eastAsia" w:ascii="仿宋" w:hAnsi="仿宋" w:eastAsia="仿宋" w:cs="仿宋_GB2312"/>
          <w:sz w:val="24"/>
          <w:highlight w:val="none"/>
        </w:rPr>
        <w:t>年度资产负债表等财务报表资料文件 (或其它</w:t>
      </w:r>
      <w:r>
        <w:rPr>
          <w:rFonts w:hint="eastAsia" w:ascii="仿宋_GB2312" w:hAnsi="Helvetica" w:eastAsia="仿宋_GB2312" w:cs="Helvetica"/>
          <w:kern w:val="0"/>
          <w:sz w:val="24"/>
          <w:highlight w:val="none"/>
        </w:rPr>
        <w:t>财务状况报告，</w:t>
      </w:r>
      <w:r>
        <w:rPr>
          <w:rFonts w:hint="eastAsia" w:ascii="仿宋" w:hAnsi="仿宋" w:eastAsia="仿宋" w:cs="仿宋_GB2312"/>
          <w:sz w:val="24"/>
          <w:highlight w:val="none"/>
        </w:rPr>
        <w:t>新成立的公司，必须提供情况说明)；</w:t>
      </w:r>
    </w:p>
    <w:p>
      <w:pPr>
        <w:pStyle w:val="7"/>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11.1.5具有履行合同所必需的设备和专业技术能力的承诺函；</w:t>
      </w:r>
    </w:p>
    <w:p>
      <w:pPr>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11.1.6参加政府采购活动前三年内，在经营活动中没有重大违法记录的声明；</w:t>
      </w:r>
    </w:p>
    <w:p>
      <w:pPr>
        <w:snapToGrid w:val="0"/>
        <w:spacing w:line="360" w:lineRule="auto"/>
        <w:ind w:firstLine="480" w:firstLineChars="20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11.1.7</w:t>
      </w:r>
      <w:r>
        <w:rPr>
          <w:rFonts w:hint="eastAsia" w:ascii="仿宋" w:hAnsi="仿宋" w:eastAsia="仿宋" w:cs="仿宋_GB2312"/>
          <w:sz w:val="24"/>
          <w:szCs w:val="20"/>
          <w:highlight w:val="none"/>
        </w:rPr>
        <w:t>具有良好商业信誉的特别声明；</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en-US" w:eastAsia="zh-CN"/>
        </w:rPr>
        <w:t>11.1.8</w:t>
      </w:r>
      <w:r>
        <w:rPr>
          <w:rFonts w:hint="eastAsia" w:ascii="仿宋" w:hAnsi="仿宋" w:eastAsia="仿宋" w:cs="仿宋_GB2312"/>
          <w:sz w:val="24"/>
        </w:rPr>
        <w:t>符合特定资格条件（如果项目要求）的有关证明材料（复印件）；</w:t>
      </w:r>
    </w:p>
    <w:p>
      <w:pPr>
        <w:pStyle w:val="12"/>
        <w:ind w:left="0" w:leftChars="0" w:firstLine="480" w:firstLineChars="200"/>
        <w:rPr>
          <w:rFonts w:hint="eastAsia"/>
        </w:rPr>
      </w:pPr>
      <w:r>
        <w:rPr>
          <w:rFonts w:hint="eastAsia" w:ascii="仿宋" w:hAnsi="仿宋" w:eastAsia="仿宋" w:cs="仿宋_GB2312"/>
          <w:sz w:val="24"/>
        </w:rPr>
        <w:t>11.1.</w:t>
      </w:r>
      <w:r>
        <w:rPr>
          <w:rFonts w:hint="eastAsia" w:ascii="仿宋" w:hAnsi="仿宋" w:eastAsia="仿宋" w:cs="仿宋_GB2312"/>
          <w:sz w:val="24"/>
          <w:lang w:val="en-US" w:eastAsia="zh-CN"/>
        </w:rPr>
        <w:t>9</w:t>
      </w:r>
      <w:r>
        <w:rPr>
          <w:rFonts w:hint="eastAsia" w:ascii="仿宋" w:hAnsi="仿宋" w:eastAsia="仿宋" w:cs="仿宋_GB2312"/>
          <w:sz w:val="24"/>
        </w:rPr>
        <w:t>以联合体形式投标的，提供联合体协议；本项目不接受联合体投标或者投标人不以联合体形式投标的，则不需要提供</w:t>
      </w:r>
      <w:r>
        <w:rPr>
          <w:rFonts w:hint="eastAsia" w:ascii="仿宋_GB2312" w:hAnsi="仿宋" w:eastAsia="仿宋_GB2312" w:cs="仿宋_GB2312"/>
          <w:sz w:val="24"/>
        </w:rPr>
        <w:t>。</w:t>
      </w:r>
    </w:p>
    <w:p>
      <w:pPr>
        <w:snapToGrid w:val="0"/>
        <w:spacing w:line="360" w:lineRule="auto"/>
        <w:ind w:firstLine="480" w:firstLineChars="200"/>
        <w:rPr>
          <w:rFonts w:hint="eastAsia" w:ascii="仿宋" w:hAnsi="仿宋" w:eastAsia="仿宋" w:cs="仿宋_GB2312"/>
          <w:sz w:val="24"/>
          <w:u w:val="single"/>
          <w:lang w:val="zh-CN"/>
        </w:rPr>
      </w:pPr>
      <w:r>
        <w:rPr>
          <w:rFonts w:hint="eastAsia" w:ascii="仿宋" w:hAnsi="仿宋" w:eastAsia="仿宋" w:cs="仿宋_GB2312"/>
          <w:kern w:val="0"/>
          <w:sz w:val="24"/>
          <w:lang w:val="zh-CN"/>
        </w:rPr>
        <w:t xml:space="preserve">11.2 </w:t>
      </w:r>
      <w:r>
        <w:rPr>
          <w:rFonts w:hint="eastAsia" w:ascii="仿宋" w:hAnsi="仿宋" w:eastAsia="仿宋" w:cs="仿宋_GB2312"/>
          <w:sz w:val="24"/>
        </w:rPr>
        <w:t>投标人的</w:t>
      </w:r>
      <w:r>
        <w:rPr>
          <w:rFonts w:hint="eastAsia" w:ascii="仿宋" w:hAnsi="仿宋" w:eastAsia="仿宋" w:cs="仿宋_GB2312"/>
          <w:b/>
          <w:sz w:val="24"/>
        </w:rPr>
        <w:t>报价文件</w:t>
      </w:r>
      <w:r>
        <w:rPr>
          <w:rFonts w:hint="eastAsia" w:ascii="仿宋" w:hAnsi="仿宋" w:eastAsia="仿宋" w:cs="仿宋_GB2312"/>
          <w:sz w:val="24"/>
        </w:rPr>
        <w:t>应包括以下内容（均需使用电子签名）：</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11.2.1</w:t>
      </w:r>
      <w:r>
        <w:rPr>
          <w:rFonts w:hint="eastAsia" w:ascii="仿宋" w:hAnsi="仿宋" w:eastAsia="仿宋" w:cs="仿宋_GB2312"/>
          <w:kern w:val="0"/>
          <w:sz w:val="24"/>
        </w:rPr>
        <w:t>投标响应函</w:t>
      </w:r>
      <w:r>
        <w:rPr>
          <w:rFonts w:hint="eastAsia" w:ascii="仿宋" w:hAnsi="仿宋" w:eastAsia="仿宋" w:cs="仿宋_GB2312"/>
          <w:sz w:val="24"/>
        </w:rPr>
        <w:t>；</w:t>
      </w:r>
    </w:p>
    <w:p>
      <w:pPr>
        <w:pStyle w:val="7"/>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11.2.2投标(开标)一览表；</w:t>
      </w:r>
    </w:p>
    <w:p>
      <w:pPr>
        <w:pStyle w:val="7"/>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11.2.3中小企业声明函。</w:t>
      </w:r>
    </w:p>
    <w:p>
      <w:pPr>
        <w:pStyle w:val="7"/>
        <w:spacing w:line="360" w:lineRule="auto"/>
        <w:ind w:firstLine="480" w:firstLineChars="200"/>
        <w:rPr>
          <w:rFonts w:hint="eastAsia" w:ascii="仿宋" w:hAnsi="仿宋" w:eastAsia="仿宋" w:cs="仿宋_GB2312"/>
          <w:sz w:val="24"/>
          <w:szCs w:val="24"/>
          <w:lang w:val="zh-CN"/>
        </w:rPr>
      </w:pPr>
      <w:r>
        <w:rPr>
          <w:rFonts w:hint="eastAsia" w:ascii="仿宋" w:hAnsi="仿宋" w:eastAsia="仿宋" w:cs="仿宋_GB2312"/>
          <w:kern w:val="0"/>
          <w:sz w:val="24"/>
          <w:szCs w:val="24"/>
          <w:lang w:val="zh-CN"/>
        </w:rPr>
        <w:t>11.3  投标人的</w:t>
      </w:r>
      <w:r>
        <w:rPr>
          <w:rFonts w:hint="eastAsia" w:ascii="仿宋" w:hAnsi="仿宋" w:eastAsia="仿宋" w:cs="仿宋_GB2312"/>
          <w:b/>
          <w:sz w:val="24"/>
          <w:szCs w:val="24"/>
        </w:rPr>
        <w:t>商务技术</w:t>
      </w:r>
      <w:r>
        <w:rPr>
          <w:rFonts w:hint="eastAsia" w:ascii="仿宋" w:hAnsi="仿宋" w:eastAsia="仿宋" w:cs="仿宋_GB2312"/>
          <w:b/>
          <w:kern w:val="0"/>
          <w:sz w:val="24"/>
          <w:szCs w:val="24"/>
          <w:lang w:val="zh-CN"/>
        </w:rPr>
        <w:t>文件应</w:t>
      </w:r>
      <w:r>
        <w:rPr>
          <w:rFonts w:hint="eastAsia" w:ascii="仿宋" w:hAnsi="仿宋" w:eastAsia="仿宋" w:cs="仿宋_GB2312"/>
          <w:kern w:val="0"/>
          <w:sz w:val="24"/>
          <w:szCs w:val="24"/>
          <w:lang w:val="zh-CN"/>
        </w:rPr>
        <w:t>包括以下内容</w:t>
      </w:r>
      <w:r>
        <w:rPr>
          <w:rFonts w:hint="eastAsia" w:ascii="仿宋" w:hAnsi="仿宋" w:eastAsia="仿宋" w:cs="仿宋_GB2312"/>
          <w:sz w:val="24"/>
          <w:szCs w:val="24"/>
        </w:rPr>
        <w:t>（均需使用电子签名）</w:t>
      </w:r>
      <w:r>
        <w:rPr>
          <w:rFonts w:hint="eastAsia" w:ascii="仿宋" w:hAnsi="仿宋" w:eastAsia="仿宋" w:cs="仿宋_GB2312"/>
          <w:kern w:val="0"/>
          <w:sz w:val="24"/>
          <w:szCs w:val="24"/>
          <w:lang w:val="zh-CN"/>
        </w:rPr>
        <w:t>：</w:t>
      </w:r>
      <w:r>
        <w:rPr>
          <w:rFonts w:hint="eastAsia" w:ascii="仿宋" w:hAnsi="仿宋" w:eastAsia="仿宋" w:cs="仿宋_GB2312"/>
          <w:sz w:val="24"/>
          <w:szCs w:val="24"/>
          <w:lang w:val="zh-CN"/>
        </w:rPr>
        <w:t xml:space="preserve"> </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11.3.</w:t>
      </w:r>
      <w:r>
        <w:rPr>
          <w:rFonts w:hint="eastAsia" w:ascii="仿宋" w:hAnsi="仿宋" w:eastAsia="仿宋" w:cs="仿宋_GB2312"/>
          <w:sz w:val="24"/>
          <w:lang w:val="en-US" w:eastAsia="zh-CN"/>
        </w:rPr>
        <w:t>1</w:t>
      </w:r>
      <w:r>
        <w:rPr>
          <w:rFonts w:hint="eastAsia" w:ascii="仿宋" w:hAnsi="仿宋" w:eastAsia="仿宋" w:cs="仿宋_GB2312"/>
          <w:sz w:val="24"/>
        </w:rPr>
        <w:t>资信文件：</w:t>
      </w:r>
      <w:r>
        <w:rPr>
          <w:rFonts w:hint="eastAsia" w:ascii="仿宋" w:hAnsi="仿宋" w:eastAsia="仿宋" w:cs="仿宋_GB2312"/>
          <w:kern w:val="0"/>
          <w:sz w:val="24"/>
          <w:szCs w:val="20"/>
        </w:rPr>
        <w:t>见投标须知前附表所述；</w:t>
      </w:r>
    </w:p>
    <w:p>
      <w:pPr>
        <w:pStyle w:val="19"/>
        <w:snapToGrid w:val="0"/>
        <w:spacing w:before="0"/>
        <w:ind w:firstLine="480"/>
        <w:rPr>
          <w:rFonts w:hint="eastAsia" w:ascii="仿宋" w:hAnsi="仿宋" w:eastAsia="仿宋"/>
          <w:kern w:val="0"/>
          <w:lang w:val="zh-CN"/>
        </w:rPr>
      </w:pPr>
      <w:r>
        <w:rPr>
          <w:rFonts w:hint="eastAsia" w:ascii="仿宋" w:hAnsi="仿宋" w:eastAsia="仿宋" w:cs="仿宋_GB2312"/>
          <w:lang w:val="zh-CN"/>
        </w:rPr>
        <w:t>11.3.</w:t>
      </w:r>
      <w:r>
        <w:rPr>
          <w:rFonts w:hint="eastAsia" w:ascii="仿宋" w:hAnsi="仿宋" w:eastAsia="仿宋" w:cs="仿宋_GB2312"/>
          <w:lang w:val="en-US" w:eastAsia="zh-CN"/>
        </w:rPr>
        <w:t>2</w:t>
      </w:r>
      <w:r>
        <w:rPr>
          <w:rFonts w:hint="eastAsia" w:ascii="仿宋" w:hAnsi="仿宋" w:eastAsia="仿宋" w:cs="宋体"/>
          <w:kern w:val="0"/>
        </w:rPr>
        <w:t>投标人的主要业绩证明材料即</w:t>
      </w:r>
      <w:r>
        <w:rPr>
          <w:rFonts w:hint="eastAsia" w:ascii="仿宋" w:hAnsi="仿宋" w:eastAsia="仿宋"/>
          <w:lang w:val="zh-CN"/>
        </w:rPr>
        <w:t>合同</w:t>
      </w:r>
      <w:r>
        <w:rPr>
          <w:rFonts w:hint="eastAsia" w:ascii="仿宋" w:hAnsi="仿宋" w:eastAsia="仿宋"/>
        </w:rPr>
        <w:t>和用户验收报告</w:t>
      </w:r>
      <w:r>
        <w:rPr>
          <w:rFonts w:hint="eastAsia" w:ascii="仿宋" w:hAnsi="仿宋" w:eastAsia="仿宋"/>
          <w:lang w:eastAsia="zh-CN"/>
        </w:rPr>
        <w:t>（如需要）</w:t>
      </w:r>
      <w:r>
        <w:rPr>
          <w:rFonts w:hint="eastAsia" w:ascii="仿宋" w:hAnsi="仿宋" w:eastAsia="仿宋"/>
          <w:szCs w:val="24"/>
        </w:rPr>
        <w:t>（</w:t>
      </w:r>
      <w:r>
        <w:rPr>
          <w:rFonts w:hint="eastAsia" w:ascii="仿宋" w:hAnsi="仿宋" w:eastAsia="仿宋" w:cs="Arial"/>
        </w:rPr>
        <w:t>联合体投标的，联合体各方</w:t>
      </w:r>
      <w:r>
        <w:rPr>
          <w:rFonts w:hint="eastAsia" w:ascii="仿宋" w:hAnsi="仿宋" w:eastAsia="仿宋" w:cs="Helvetica"/>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szCs w:val="24"/>
        </w:rPr>
        <w:t>)</w:t>
      </w:r>
      <w:r>
        <w:rPr>
          <w:rFonts w:hint="eastAsia" w:ascii="仿宋" w:hAnsi="仿宋" w:eastAsia="仿宋" w:cs="宋体"/>
          <w:kern w:val="0"/>
        </w:rPr>
        <w:t>；</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11.3.</w:t>
      </w:r>
      <w:r>
        <w:rPr>
          <w:rFonts w:hint="eastAsia" w:ascii="仿宋" w:hAnsi="仿宋" w:eastAsia="仿宋" w:cs="仿宋_GB2312"/>
          <w:sz w:val="24"/>
          <w:lang w:val="en-US" w:eastAsia="zh-CN"/>
        </w:rPr>
        <w:t>3</w:t>
      </w:r>
      <w:r>
        <w:rPr>
          <w:rFonts w:hint="eastAsia" w:ascii="仿宋" w:hAnsi="仿宋" w:eastAsia="仿宋" w:cs="仿宋_GB2312"/>
          <w:kern w:val="0"/>
          <w:sz w:val="24"/>
          <w:lang w:val="zh-CN"/>
        </w:rPr>
        <w:t>投标人认为需要的其他商务文件或说明；</w:t>
      </w:r>
      <w:r>
        <w:rPr>
          <w:rFonts w:hint="eastAsia" w:ascii="仿宋" w:hAnsi="仿宋" w:eastAsia="仿宋" w:cs="仿宋_GB2312"/>
          <w:sz w:val="24"/>
        </w:rPr>
        <w:t xml:space="preserve"> </w:t>
      </w:r>
    </w:p>
    <w:p>
      <w:pPr>
        <w:pStyle w:val="7"/>
        <w:snapToGrid w:val="0"/>
        <w:spacing w:line="360" w:lineRule="auto"/>
        <w:ind w:firstLine="480" w:firstLineChars="200"/>
        <w:rPr>
          <w:rFonts w:hint="eastAsia" w:ascii="仿宋" w:hAnsi="仿宋" w:eastAsia="仿宋" w:cs="仿宋_GB2312"/>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4</w:t>
      </w:r>
      <w:r>
        <w:rPr>
          <w:rFonts w:hint="eastAsia" w:ascii="仿宋" w:hAnsi="仿宋" w:eastAsia="仿宋" w:cs="仿宋_GB2312"/>
          <w:sz w:val="24"/>
          <w:lang w:val="zh-CN"/>
        </w:rPr>
        <w:t>投标人应提供针对项目的完整技术解决方案；</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针对本项目的完整技术解决方案和实施方案；详细阐述项目方案的实现思路及关键技术；符合本项目对当前和未来发展的要求；以及对功能设计和实施计划的建议；</w:t>
      </w:r>
    </w:p>
    <w:p>
      <w:pPr>
        <w:pStyle w:val="7"/>
        <w:snapToGrid w:val="0"/>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b/>
          <w:sz w:val="24"/>
        </w:rPr>
        <w:t>）</w:t>
      </w:r>
      <w:r>
        <w:rPr>
          <w:rFonts w:hint="eastAsia" w:ascii="仿宋" w:hAnsi="仿宋" w:eastAsia="仿宋" w:cs="仿宋_GB2312"/>
          <w:b/>
          <w:sz w:val="24"/>
        </w:rPr>
        <w:t>。否则</w:t>
      </w:r>
      <w:r>
        <w:rPr>
          <w:rFonts w:hint="eastAsia" w:ascii="仿宋" w:hAnsi="仿宋" w:eastAsia="仿宋" w:cs="仿宋_GB2312"/>
          <w:b/>
          <w:kern w:val="0"/>
          <w:sz w:val="24"/>
          <w:lang w:val="zh-CN"/>
        </w:rPr>
        <w:t>任何含糊不清的</w:t>
      </w:r>
      <w:r>
        <w:rPr>
          <w:rFonts w:hint="eastAsia" w:ascii="仿宋" w:hAnsi="仿宋" w:eastAsia="仿宋" w:cs="仿宋_GB2312"/>
          <w:b/>
          <w:sz w:val="24"/>
        </w:rPr>
        <w:t>表述导致</w:t>
      </w:r>
      <w:r>
        <w:rPr>
          <w:rFonts w:hint="eastAsia" w:ascii="仿宋" w:hAnsi="仿宋" w:eastAsia="仿宋" w:cs="仿宋_GB2312"/>
          <w:b/>
          <w:kern w:val="0"/>
          <w:sz w:val="24"/>
          <w:lang w:val="zh-CN"/>
        </w:rPr>
        <w:t>评标委员会技术扣分直至认定为投标无效都将是投标人的责任</w:t>
      </w:r>
      <w:r>
        <w:rPr>
          <w:rFonts w:hint="eastAsia" w:ascii="仿宋" w:hAnsi="仿宋" w:eastAsia="仿宋" w:cs="仿宋_GB2312"/>
          <w:sz w:val="24"/>
        </w:rPr>
        <w:t>。</w:t>
      </w:r>
    </w:p>
    <w:p>
      <w:pPr>
        <w:pStyle w:val="7"/>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本项目如需采购政府强制采购的节能产品的或</w:t>
      </w:r>
      <w:r>
        <w:rPr>
          <w:rFonts w:hint="eastAsia" w:ascii="仿宋" w:hAnsi="仿宋" w:eastAsia="仿宋"/>
          <w:sz w:val="24"/>
        </w:rPr>
        <w:t>投标人提供的产品是环境标志产品，</w:t>
      </w:r>
      <w:r>
        <w:rPr>
          <w:rFonts w:hint="eastAsia" w:ascii="仿宋" w:hAnsi="仿宋" w:eastAsia="仿宋" w:cs="仿宋_GB2312"/>
          <w:sz w:val="24"/>
        </w:rPr>
        <w:t>投标人按格式提供节能产品、环境标志产品认证证书复印件；</w:t>
      </w:r>
    </w:p>
    <w:p>
      <w:pPr>
        <w:pStyle w:val="7"/>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5</w:t>
      </w:r>
      <w:r>
        <w:rPr>
          <w:rFonts w:hint="eastAsia" w:ascii="仿宋" w:hAnsi="仿宋" w:eastAsia="仿宋" w:cs="仿宋_GB2312"/>
          <w:sz w:val="24"/>
        </w:rPr>
        <w:t>投标人在投标文件技术偏离说明表中，</w:t>
      </w:r>
      <w:r>
        <w:rPr>
          <w:rFonts w:hint="eastAsia" w:ascii="仿宋" w:hAnsi="仿宋" w:eastAsia="仿宋" w:cs="仿宋_GB2312"/>
          <w:kern w:val="0"/>
          <w:sz w:val="24"/>
          <w:lang w:val="zh-CN"/>
        </w:rPr>
        <w:t>应对</w:t>
      </w:r>
      <w:r>
        <w:rPr>
          <w:rFonts w:hint="eastAsia" w:ascii="仿宋" w:hAnsi="仿宋" w:eastAsia="仿宋" w:cs="仿宋_GB2312"/>
          <w:sz w:val="24"/>
        </w:rPr>
        <w:t>采购需求</w:t>
      </w:r>
      <w:r>
        <w:rPr>
          <w:rFonts w:hint="eastAsia" w:ascii="仿宋" w:hAnsi="仿宋" w:eastAsia="仿宋" w:cs="仿宋_GB2312"/>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.6</w:t>
      </w:r>
      <w:r>
        <w:rPr>
          <w:rFonts w:hint="eastAsia" w:ascii="仿宋" w:hAnsi="仿宋" w:eastAsia="仿宋" w:cs="仿宋_GB2312"/>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7</w:t>
      </w:r>
      <w:r>
        <w:rPr>
          <w:rFonts w:hint="eastAsia" w:ascii="仿宋" w:hAnsi="仿宋" w:eastAsia="仿宋" w:cs="仿宋_GB2312"/>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8</w:t>
      </w:r>
      <w:r>
        <w:rPr>
          <w:rFonts w:hint="eastAsia" w:ascii="仿宋" w:hAnsi="仿宋" w:eastAsia="仿宋" w:cs="仿宋_GB2312"/>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9</w:t>
      </w:r>
      <w:r>
        <w:rPr>
          <w:rFonts w:hint="eastAsia" w:ascii="仿宋" w:hAnsi="仿宋" w:eastAsia="仿宋" w:cs="仿宋_GB2312"/>
          <w:kern w:val="0"/>
          <w:sz w:val="24"/>
          <w:lang w:val="zh-CN"/>
        </w:rPr>
        <w:t>优惠条件及特殊承诺；</w:t>
      </w:r>
    </w:p>
    <w:p>
      <w:pPr>
        <w:tabs>
          <w:tab w:val="left" w:pos="0"/>
          <w:tab w:val="left" w:pos="84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10</w:t>
      </w:r>
      <w:r>
        <w:rPr>
          <w:rFonts w:hint="eastAsia" w:ascii="仿宋" w:hAnsi="仿宋" w:eastAsia="仿宋" w:cs="仿宋_GB2312"/>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hint="default" w:ascii="仿宋" w:hAnsi="仿宋" w:eastAsia="仿宋" w:cs="仿宋_GB2312"/>
          <w:kern w:val="0"/>
          <w:sz w:val="24"/>
          <w:lang w:val="en-US" w:eastAsia="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11</w:t>
      </w:r>
      <w:r>
        <w:rPr>
          <w:rFonts w:hint="eastAsia" w:ascii="仿宋" w:hAnsi="仿宋" w:eastAsia="仿宋" w:cs="仿宋_GB2312"/>
          <w:kern w:val="0"/>
          <w:sz w:val="24"/>
          <w:lang w:val="zh-CN"/>
        </w:rPr>
        <w:t>培训计划；（如果有）</w:t>
      </w:r>
    </w:p>
    <w:p>
      <w:pPr>
        <w:tabs>
          <w:tab w:val="left" w:pos="0"/>
          <w:tab w:val="left" w:pos="840"/>
        </w:tabs>
        <w:autoSpaceDE w:val="0"/>
        <w:autoSpaceDN w:val="0"/>
        <w:spacing w:line="360" w:lineRule="auto"/>
        <w:ind w:firstLine="360" w:firstLineChars="150"/>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11.3.12验收计划；</w:t>
      </w:r>
    </w:p>
    <w:p>
      <w:pPr>
        <w:tabs>
          <w:tab w:val="left" w:pos="0"/>
          <w:tab w:val="left" w:pos="840"/>
        </w:tabs>
        <w:autoSpaceDE w:val="0"/>
        <w:autoSpaceDN w:val="0"/>
        <w:spacing w:line="360" w:lineRule="auto"/>
        <w:ind w:firstLine="360" w:firstLineChars="150"/>
        <w:rPr>
          <w:rFonts w:hint="eastAsia" w:ascii="仿宋" w:hAnsi="仿宋" w:eastAsia="仿宋" w:cs="仿宋_GB2312"/>
          <w:kern w:val="0"/>
          <w:sz w:val="24"/>
          <w:szCs w:val="24"/>
          <w:lang w:val="zh-CN"/>
        </w:rPr>
      </w:pPr>
      <w:r>
        <w:rPr>
          <w:rFonts w:hint="eastAsia" w:ascii="仿宋" w:hAnsi="仿宋" w:eastAsia="仿宋" w:cs="仿宋_GB2312"/>
          <w:kern w:val="0"/>
          <w:sz w:val="24"/>
          <w:lang w:val="zh-CN"/>
        </w:rPr>
        <w:t>11.3.</w:t>
      </w:r>
      <w:r>
        <w:rPr>
          <w:rFonts w:hint="eastAsia" w:ascii="仿宋" w:hAnsi="仿宋" w:eastAsia="仿宋" w:cs="仿宋_GB2312"/>
          <w:kern w:val="0"/>
          <w:sz w:val="24"/>
          <w:lang w:val="en-US" w:eastAsia="zh-CN"/>
        </w:rPr>
        <w:t>13</w:t>
      </w:r>
      <w:r>
        <w:rPr>
          <w:rFonts w:hint="eastAsia" w:ascii="仿宋" w:hAnsi="仿宋" w:eastAsia="仿宋" w:cs="仿宋_GB2312"/>
          <w:kern w:val="0"/>
          <w:sz w:val="24"/>
          <w:lang w:val="zh-CN"/>
        </w:rPr>
        <w:t>投标人认</w:t>
      </w:r>
      <w:r>
        <w:rPr>
          <w:rFonts w:hint="eastAsia" w:ascii="仿宋" w:hAnsi="仿宋" w:eastAsia="仿宋" w:cs="仿宋_GB2312"/>
          <w:kern w:val="0"/>
          <w:sz w:val="24"/>
          <w:szCs w:val="24"/>
          <w:lang w:val="zh-CN"/>
        </w:rPr>
        <w:t>为需要的其他技术文件或说明；</w:t>
      </w:r>
    </w:p>
    <w:p>
      <w:pPr>
        <w:tabs>
          <w:tab w:val="left" w:pos="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14</w:t>
      </w:r>
      <w:r>
        <w:rPr>
          <w:rFonts w:hint="eastAsia" w:ascii="仿宋" w:hAnsi="仿宋" w:eastAsia="仿宋" w:cs="仿宋_GB2312"/>
          <w:kern w:val="0"/>
          <w:sz w:val="24"/>
          <w:lang w:val="zh-CN"/>
        </w:rPr>
        <w:t>关于对招标文件商务、合同中有关条款的拒绝声明。（如果有）</w:t>
      </w:r>
    </w:p>
    <w:p>
      <w:pPr>
        <w:spacing w:line="360" w:lineRule="auto"/>
        <w:ind w:firstLine="482" w:firstLineChars="200"/>
        <w:rPr>
          <w:rFonts w:hint="eastAsia" w:ascii="仿宋" w:hAnsi="仿宋" w:eastAsia="仿宋" w:cs="仿宋_GB2312"/>
          <w:b/>
          <w:sz w:val="24"/>
        </w:rPr>
      </w:pPr>
      <w:r>
        <w:rPr>
          <w:rFonts w:hint="eastAsia" w:ascii="仿宋" w:hAnsi="仿宋" w:eastAsia="仿宋"/>
          <w:b/>
          <w:sz w:val="24"/>
        </w:rPr>
        <w:t>▲</w:t>
      </w:r>
      <w:r>
        <w:rPr>
          <w:rFonts w:hint="eastAsia" w:ascii="仿宋" w:hAnsi="仿宋" w:eastAsia="仿宋" w:cs="仿宋_GB2312"/>
          <w:b/>
          <w:sz w:val="24"/>
        </w:rPr>
        <w:t>投标文件组成漏项，内容不全或内容字迹模糊辨认不清的，投标无效；</w:t>
      </w:r>
    </w:p>
    <w:p>
      <w:pPr>
        <w:spacing w:line="360" w:lineRule="auto"/>
        <w:ind w:firstLine="482" w:firstLineChars="200"/>
        <w:rPr>
          <w:rFonts w:hint="eastAsia"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482" w:firstLineChars="200"/>
        <w:rPr>
          <w:rFonts w:hint="eastAsia" w:ascii="仿宋" w:hAnsi="仿宋" w:eastAsia="仿宋" w:cs="仿宋_GB2312"/>
          <w:b/>
          <w:sz w:val="24"/>
          <w:szCs w:val="21"/>
        </w:rPr>
      </w:pPr>
      <w:r>
        <w:rPr>
          <w:rFonts w:hint="eastAsia" w:ascii="仿宋" w:hAnsi="仿宋" w:eastAsia="仿宋"/>
          <w:b/>
          <w:sz w:val="24"/>
        </w:rPr>
        <w:t>▲投标人提供虚假材料投标的，投标无效。</w:t>
      </w:r>
    </w:p>
    <w:p>
      <w:pPr>
        <w:pStyle w:val="19"/>
        <w:snapToGrid w:val="0"/>
        <w:spacing w:before="0"/>
        <w:ind w:firstLine="0" w:firstLineChars="0"/>
        <w:outlineLvl w:val="0"/>
        <w:rPr>
          <w:rFonts w:hint="eastAsia" w:ascii="仿宋" w:hAnsi="仿宋" w:eastAsia="仿宋" w:cs="仿宋_GB2312"/>
          <w:b/>
          <w:szCs w:val="24"/>
        </w:rPr>
      </w:pPr>
      <w:bookmarkStart w:id="9" w:name="_Toc91899887"/>
      <w:r>
        <w:rPr>
          <w:rFonts w:hint="eastAsia" w:ascii="仿宋" w:hAnsi="仿宋" w:eastAsia="仿宋" w:cs="仿宋_GB2312"/>
          <w:b/>
          <w:szCs w:val="24"/>
        </w:rPr>
        <w:t>12</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pPr>
        <w:spacing w:line="360" w:lineRule="auto"/>
        <w:ind w:firstLine="480" w:firstLineChars="200"/>
        <w:rPr>
          <w:rFonts w:hint="eastAsia" w:ascii="仿宋" w:hAnsi="仿宋" w:eastAsia="仿宋" w:cs="仿宋_GB2312"/>
          <w:b/>
          <w:sz w:val="24"/>
          <w:lang w:eastAsia="zh-CN"/>
        </w:rPr>
      </w:pPr>
      <w:r>
        <w:rPr>
          <w:rFonts w:hint="eastAsia" w:ascii="仿宋" w:hAnsi="仿宋" w:eastAsia="仿宋"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 w:hAnsi="仿宋" w:eastAsia="仿宋"/>
          <w:b/>
          <w:sz w:val="24"/>
        </w:rPr>
        <w:t>▲</w:t>
      </w:r>
      <w:r>
        <w:rPr>
          <w:rFonts w:hint="eastAsia" w:ascii="仿宋" w:hAnsi="仿宋" w:eastAsia="仿宋" w:cs="仿宋_GB2312"/>
          <w:b/>
          <w:sz w:val="24"/>
        </w:rPr>
        <w:t>投标文件未按规定的格式编制的，投标无效</w:t>
      </w:r>
      <w:r>
        <w:rPr>
          <w:rFonts w:hint="eastAsia" w:ascii="仿宋" w:hAnsi="仿宋" w:eastAsia="仿宋" w:cs="仿宋_GB2312"/>
          <w:b/>
          <w:sz w:val="24"/>
          <w:lang w:eastAsia="zh-CN"/>
        </w:rPr>
        <w:t>。</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bookmarkEnd w:id="9"/>
    <w:p>
      <w:pPr>
        <w:snapToGrid w:val="0"/>
        <w:spacing w:line="360" w:lineRule="auto"/>
        <w:rPr>
          <w:rFonts w:hint="eastAsia" w:ascii="仿宋" w:hAnsi="仿宋" w:eastAsia="仿宋"/>
          <w:b/>
          <w:sz w:val="24"/>
        </w:rPr>
      </w:pPr>
      <w:r>
        <w:rPr>
          <w:rFonts w:hint="eastAsia" w:ascii="仿宋" w:hAnsi="仿宋" w:eastAsia="仿宋"/>
          <w:b/>
          <w:sz w:val="24"/>
        </w:rPr>
        <w:t>13.投标文件的签署、盖章</w:t>
      </w:r>
    </w:p>
    <w:p>
      <w:pPr>
        <w:pStyle w:val="19"/>
        <w:snapToGrid w:val="0"/>
        <w:spacing w:before="0"/>
        <w:ind w:firstLine="480"/>
        <w:rPr>
          <w:rFonts w:hint="eastAsia" w:ascii="仿宋" w:hAnsi="仿宋" w:eastAsia="仿宋" w:cs="仿宋_GB2312"/>
          <w:b/>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r>
        <w:rPr>
          <w:rFonts w:hint="eastAsia" w:ascii="仿宋" w:hAnsi="仿宋" w:eastAsia="仿宋"/>
          <w:b/>
          <w:sz w:val="24"/>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19"/>
        <w:keepNext w:val="0"/>
        <w:keepLines w:val="0"/>
        <w:pageBreakBefore w:val="0"/>
        <w:widowControl w:val="0"/>
        <w:kinsoku/>
        <w:wordWrap/>
        <w:overflowPunct/>
        <w:topLinePunct w:val="0"/>
        <w:autoSpaceDE/>
        <w:autoSpaceDN/>
        <w:bidi w:val="0"/>
        <w:adjustRightInd w:val="0"/>
        <w:snapToGrid w:val="0"/>
        <w:spacing w:before="0"/>
        <w:ind w:firstLine="482"/>
        <w:textAlignment w:val="auto"/>
        <w:rPr>
          <w:rFonts w:hint="eastAsia" w:ascii="仿宋" w:hAnsi="仿宋" w:eastAsia="仿宋" w:cs="仿宋_GB2312"/>
          <w:szCs w:val="24"/>
        </w:rPr>
      </w:pPr>
      <w:r>
        <w:rPr>
          <w:rFonts w:hint="eastAsia" w:ascii="仿宋" w:hAnsi="仿宋" w:eastAsia="仿宋" w:cs="仿宋_GB2312"/>
          <w:b w:val="0"/>
          <w:bCs/>
        </w:rPr>
        <w:t>13.2</w:t>
      </w:r>
      <w:r>
        <w:rPr>
          <w:rFonts w:hint="eastAsia" w:ascii="仿宋" w:hAnsi="仿宋" w:eastAsia="仿宋" w:cs="仿宋_GB2312"/>
        </w:rPr>
        <w:t>为确保网上操作合法、有效和安全，投标人应当在投标截止时间前完成在“政府采购云平台”的身份认证，确保在电子投标过程中能够对相关数据电文进行加密和使用电子签名。</w:t>
      </w:r>
    </w:p>
    <w:p>
      <w:pPr>
        <w:pStyle w:val="19"/>
        <w:keepNext w:val="0"/>
        <w:keepLines w:val="0"/>
        <w:pageBreakBefore w:val="0"/>
        <w:widowControl w:val="0"/>
        <w:kinsoku/>
        <w:wordWrap/>
        <w:overflowPunct/>
        <w:topLinePunct w:val="0"/>
        <w:autoSpaceDE/>
        <w:autoSpaceDN/>
        <w:bidi w:val="0"/>
        <w:adjustRightInd w:val="0"/>
        <w:spacing w:before="0"/>
        <w:ind w:firstLine="0" w:firstLineChars="0"/>
        <w:textAlignment w:val="auto"/>
        <w:rPr>
          <w:rFonts w:hint="eastAsia" w:ascii="仿宋" w:hAnsi="仿宋" w:eastAsia="仿宋" w:cs="仿宋_GB2312"/>
          <w:b/>
          <w:szCs w:val="24"/>
        </w:rPr>
      </w:pPr>
      <w:r>
        <w:rPr>
          <w:rFonts w:hint="eastAsia" w:ascii="仿宋" w:hAnsi="仿宋" w:eastAsia="仿宋" w:cs="仿宋_GB2312"/>
          <w:b/>
          <w:szCs w:val="24"/>
        </w:rPr>
        <w:t>14. 投标文件的提交、补充、修改、撤回</w:t>
      </w:r>
    </w:p>
    <w:p>
      <w:pPr>
        <w:pStyle w:val="19"/>
        <w:keepNext w:val="0"/>
        <w:keepLines w:val="0"/>
        <w:pageBreakBefore w:val="0"/>
        <w:widowControl w:val="0"/>
        <w:kinsoku/>
        <w:wordWrap/>
        <w:overflowPunct/>
        <w:topLinePunct w:val="0"/>
        <w:autoSpaceDE/>
        <w:autoSpaceDN/>
        <w:bidi w:val="0"/>
        <w:adjustRightInd w:val="0"/>
        <w:ind w:firstLine="480"/>
        <w:textAlignment w:val="auto"/>
        <w:rPr>
          <w:rFonts w:hint="eastAsia" w:ascii="仿宋" w:hAnsi="仿宋" w:eastAsia="仿宋" w:cs="仿宋_GB2312"/>
          <w:szCs w:val="24"/>
        </w:rPr>
      </w:pPr>
      <w:r>
        <w:rPr>
          <w:rFonts w:hint="eastAsia" w:ascii="仿宋" w:hAnsi="仿宋" w:eastAsia="仿宋"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9"/>
        <w:keepNext w:val="0"/>
        <w:keepLines w:val="0"/>
        <w:pageBreakBefore w:val="0"/>
        <w:widowControl w:val="0"/>
        <w:kinsoku/>
        <w:wordWrap/>
        <w:overflowPunct/>
        <w:topLinePunct w:val="0"/>
        <w:autoSpaceDE/>
        <w:autoSpaceDN/>
        <w:bidi w:val="0"/>
        <w:adjustRightInd w:val="0"/>
        <w:spacing w:before="0"/>
        <w:textAlignment w:val="auto"/>
        <w:rPr>
          <w:rFonts w:hint="eastAsia" w:ascii="仿宋" w:hAnsi="仿宋" w:eastAsia="仿宋" w:cs="仿宋_GB2312"/>
          <w:szCs w:val="24"/>
        </w:rPr>
      </w:pPr>
      <w:r>
        <w:rPr>
          <w:rFonts w:hint="eastAsia" w:ascii="仿宋" w:hAnsi="仿宋" w:eastAsia="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9"/>
        <w:spacing w:before="0"/>
        <w:ind w:firstLine="480"/>
        <w:rPr>
          <w:rFonts w:hint="eastAsia" w:ascii="仿宋" w:hAnsi="仿宋" w:eastAsia="仿宋" w:cs="仿宋_GB2312"/>
          <w:szCs w:val="24"/>
        </w:rPr>
      </w:pPr>
      <w:r>
        <w:rPr>
          <w:rFonts w:hint="eastAsia" w:ascii="仿宋" w:hAnsi="仿宋" w:eastAsia="仿宋" w:cs="仿宋_GB2312"/>
          <w:szCs w:val="24"/>
        </w:rPr>
        <w:t>14.3采购机构可以视情况延长投标文件提交的截止时间。在上述情况下，采购机构与投标人以前在投标截止期方面的全部权利、责任和义务，将适用于延长至新的投标截止期。</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15.备份投标文件</w:t>
      </w:r>
    </w:p>
    <w:p>
      <w:pPr>
        <w:pStyle w:val="7"/>
        <w:spacing w:line="360" w:lineRule="auto"/>
        <w:ind w:firstLine="360" w:firstLineChars="150"/>
        <w:rPr>
          <w:rFonts w:hint="eastAsia" w:ascii="仿宋" w:hAnsi="仿宋" w:eastAsia="仿宋" w:cs="仿宋_GB2312"/>
          <w:b/>
          <w:sz w:val="24"/>
          <w:szCs w:val="24"/>
        </w:rPr>
      </w:pPr>
      <w:r>
        <w:rPr>
          <w:rFonts w:hint="eastAsia" w:ascii="仿宋" w:hAnsi="仿宋" w:eastAsia="仿宋" w:cs="仿宋_GB2312"/>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sz w:val="24"/>
          <w:szCs w:val="24"/>
        </w:rPr>
        <w:t>但采购人、采购机构不强制或变相强制投标人提交备份投标文件。</w:t>
      </w:r>
    </w:p>
    <w:p>
      <w:pPr>
        <w:pStyle w:val="7"/>
        <w:spacing w:line="360" w:lineRule="auto"/>
        <w:ind w:firstLine="480" w:firstLineChars="200"/>
        <w:rPr>
          <w:rFonts w:hint="eastAsia" w:ascii="仿宋" w:hAnsi="仿宋" w:eastAsia="仿宋" w:cs="仿宋_GB2312"/>
          <w:b/>
          <w:sz w:val="24"/>
          <w:szCs w:val="24"/>
        </w:rPr>
      </w:pPr>
      <w:r>
        <w:rPr>
          <w:rFonts w:hint="eastAsia" w:ascii="仿宋" w:hAnsi="仿宋" w:eastAsia="仿宋" w:cs="仿宋_GB2312"/>
          <w:sz w:val="24"/>
          <w:szCs w:val="24"/>
        </w:rPr>
        <w:t>15.2备份投标文件须在“政采云投标客户端”制作生成，并储存在</w:t>
      </w:r>
      <w:r>
        <w:rPr>
          <w:rFonts w:hint="eastAsia" w:ascii="仿宋" w:hAnsi="仿宋" w:eastAsia="仿宋"/>
          <w:sz w:val="24"/>
        </w:rPr>
        <w:t>DVD光盘</w:t>
      </w:r>
      <w:r>
        <w:rPr>
          <w:rFonts w:hint="eastAsia" w:ascii="仿宋" w:hAnsi="仿宋" w:eastAsia="仿宋" w:cs="仿宋_GB2312"/>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b/>
          <w:sz w:val="24"/>
        </w:rPr>
        <w:t>▲不符合上述制作、</w:t>
      </w:r>
      <w:r>
        <w:rPr>
          <w:rFonts w:hint="eastAsia" w:ascii="仿宋" w:hAnsi="仿宋" w:eastAsia="仿宋" w:cs="仿宋_GB2312"/>
          <w:b/>
          <w:sz w:val="24"/>
          <w:szCs w:val="24"/>
        </w:rPr>
        <w:t>存储、密封规定的备份投标文件将被视为无效或者被拒绝接收。</w:t>
      </w:r>
    </w:p>
    <w:p>
      <w:pPr>
        <w:pStyle w:val="7"/>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15.2直接提交备份投标文件的，投标人应于投标截止时间前在招标公告中载明的开标地点将备份投标文件提交给采购机构，采购机构将拒绝接受逾期送达的备份投标文件。</w:t>
      </w:r>
    </w:p>
    <w:p>
      <w:pPr>
        <w:pStyle w:val="7"/>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15.3以快递方式递交备份投标文件的，投标人应先将备份投标文件按要求密封和标记，再进行快递包装后邮寄。备份投标文件须在投标截止时间之前送达</w:t>
      </w:r>
      <w:r>
        <w:rPr>
          <w:rFonts w:hint="eastAsia" w:ascii="仿宋" w:hAnsi="仿宋" w:eastAsia="仿宋" w:cs="仿宋"/>
          <w:color w:val="000000" w:themeColor="text1"/>
          <w:sz w:val="24"/>
          <w:szCs w:val="24"/>
          <w:lang w:eastAsia="zh-CN"/>
          <w14:textFill>
            <w14:solidFill>
              <w14:schemeClr w14:val="tx1"/>
            </w14:solidFill>
          </w14:textFill>
        </w:rPr>
        <w:t>浙江省杭州市临安区锦北街道科技大道</w:t>
      </w:r>
      <w:r>
        <w:rPr>
          <w:rFonts w:hint="eastAsia" w:ascii="仿宋" w:hAnsi="仿宋" w:eastAsia="仿宋" w:cs="仿宋"/>
          <w:color w:val="000000" w:themeColor="text1"/>
          <w:sz w:val="24"/>
          <w:szCs w:val="24"/>
          <w:lang w:val="en-US" w:eastAsia="zh-CN"/>
          <w14:textFill>
            <w14:solidFill>
              <w14:schemeClr w14:val="tx1"/>
            </w14:solidFill>
          </w14:textFill>
        </w:rPr>
        <w:t>4398号B座4楼B448办公室</w:t>
      </w:r>
      <w:r>
        <w:rPr>
          <w:rFonts w:hint="eastAsia" w:ascii="仿宋" w:hAnsi="仿宋" w:eastAsia="仿宋" w:cs="仿宋_GB2312"/>
          <w:sz w:val="24"/>
          <w:szCs w:val="24"/>
        </w:rPr>
        <w:t>（杭州市公共资源交易中心政府采购</w:t>
      </w:r>
      <w:r>
        <w:rPr>
          <w:rFonts w:hint="eastAsia" w:ascii="仿宋" w:hAnsi="仿宋" w:eastAsia="仿宋" w:cs="仿宋_GB2312"/>
          <w:sz w:val="24"/>
          <w:szCs w:val="24"/>
          <w:lang w:eastAsia="zh-CN"/>
        </w:rPr>
        <w:t>科</w:t>
      </w:r>
      <w:r>
        <w:rPr>
          <w:rFonts w:hint="eastAsia" w:ascii="仿宋" w:hAnsi="仿宋" w:eastAsia="仿宋" w:cs="仿宋_GB2312"/>
          <w:sz w:val="24"/>
          <w:szCs w:val="24"/>
        </w:rPr>
        <w:t>）；送达时间以签收人签收时间为准（</w:t>
      </w:r>
      <w:r>
        <w:rPr>
          <w:rFonts w:hint="eastAsia" w:ascii="仿宋" w:hAnsi="仿宋" w:eastAsia="仿宋" w:cs="仿宋"/>
          <w:color w:val="000000" w:themeColor="text1"/>
          <w:sz w:val="24"/>
          <w:szCs w:val="24"/>
          <w14:textFill>
            <w14:solidFill>
              <w14:schemeClr w14:val="tx1"/>
            </w14:solidFill>
          </w14:textFill>
        </w:rPr>
        <w:t>签收人：</w:t>
      </w:r>
      <w:r>
        <w:rPr>
          <w:rFonts w:hint="eastAsia" w:ascii="仿宋" w:hAnsi="仿宋" w:eastAsia="仿宋" w:cs="仿宋"/>
          <w:color w:val="000000" w:themeColor="text1"/>
          <w:sz w:val="24"/>
          <w:szCs w:val="24"/>
          <w:lang w:eastAsia="zh-CN"/>
          <w14:textFill>
            <w14:solidFill>
              <w14:schemeClr w14:val="tx1"/>
            </w14:solidFill>
          </w14:textFill>
        </w:rPr>
        <w:t>杨颖，</w:t>
      </w:r>
      <w:r>
        <w:rPr>
          <w:rFonts w:hint="eastAsia" w:ascii="仿宋" w:hAnsi="仿宋" w:eastAsia="仿宋" w:cs="仿宋"/>
          <w:color w:val="000000" w:themeColor="text1"/>
          <w:sz w:val="24"/>
          <w:szCs w:val="24"/>
          <w14:textFill>
            <w14:solidFill>
              <w14:schemeClr w14:val="tx1"/>
            </w14:solidFill>
          </w14:textFill>
        </w:rPr>
        <w:t>联系电话：</w:t>
      </w:r>
      <w:r>
        <w:rPr>
          <w:rFonts w:hint="eastAsia" w:ascii="仿宋" w:hAnsi="仿宋" w:eastAsia="仿宋" w:cs="仿宋"/>
          <w:color w:val="000000" w:themeColor="text1"/>
          <w:sz w:val="24"/>
          <w:szCs w:val="24"/>
          <w:lang w:val="en-US" w:eastAsia="zh-CN"/>
          <w14:textFill>
            <w14:solidFill>
              <w14:schemeClr w14:val="tx1"/>
            </w14:solidFill>
          </w14:textFill>
        </w:rPr>
        <w:t>0571-23616011</w:t>
      </w:r>
      <w:r>
        <w:rPr>
          <w:rFonts w:hint="eastAsia" w:ascii="仿宋" w:hAnsi="仿宋" w:eastAsia="仿宋" w:cs="仿宋_GB2312"/>
          <w:sz w:val="24"/>
          <w:szCs w:val="24"/>
        </w:rPr>
        <w:t>）。采购机构将拒绝接受逾期送达的备份投标文件。邮寄过程中，电子备份投标文件发生泄露、遗失、损坏或延期送达等情况的，由投标人自行负责。</w:t>
      </w:r>
    </w:p>
    <w:p>
      <w:pPr>
        <w:pStyle w:val="7"/>
        <w:spacing w:line="360" w:lineRule="auto"/>
        <w:ind w:firstLine="361" w:firstLineChars="150"/>
        <w:rPr>
          <w:rFonts w:hint="eastAsia" w:ascii="仿宋" w:hAnsi="仿宋" w:eastAsia="仿宋" w:cs="仿宋_GB2312"/>
          <w:b/>
          <w:sz w:val="24"/>
          <w:szCs w:val="24"/>
        </w:rPr>
      </w:pPr>
      <w:r>
        <w:rPr>
          <w:rFonts w:hint="eastAsia" w:ascii="仿宋" w:hAnsi="仿宋" w:eastAsia="仿宋" w:cs="仿宋_GB2312"/>
          <w:b/>
          <w:sz w:val="24"/>
          <w:szCs w:val="24"/>
        </w:rPr>
        <w:t>15.4</w:t>
      </w:r>
      <w:r>
        <w:rPr>
          <w:rFonts w:hint="eastAsia" w:ascii="仿宋" w:hAnsi="仿宋" w:eastAsia="仿宋" w:cs="仿宋_GB2312"/>
          <w:sz w:val="24"/>
          <w:szCs w:val="20"/>
        </w:rPr>
        <w:t>▲</w:t>
      </w:r>
      <w:r>
        <w:rPr>
          <w:rFonts w:hint="eastAsia" w:ascii="仿宋" w:hAnsi="仿宋" w:eastAsia="仿宋" w:cs="仿宋_GB2312"/>
          <w:b/>
          <w:sz w:val="24"/>
          <w:szCs w:val="24"/>
        </w:rPr>
        <w:t>投标人仅提交备份投标文件，没有在电子交易平台传输递交投标文件的，投标无效。</w:t>
      </w:r>
    </w:p>
    <w:bookmarkEnd w:id="4"/>
    <w:bookmarkEnd w:id="5"/>
    <w:p>
      <w:pPr>
        <w:pStyle w:val="19"/>
        <w:spacing w:before="0"/>
        <w:ind w:firstLine="0" w:firstLineChars="0"/>
        <w:rPr>
          <w:rFonts w:hint="eastAsia" w:ascii="仿宋" w:hAnsi="仿宋" w:eastAsia="仿宋" w:cs="仿宋_GB2312"/>
          <w:b/>
          <w:szCs w:val="24"/>
        </w:rPr>
      </w:pPr>
      <w:r>
        <w:rPr>
          <w:rFonts w:hint="eastAsia" w:ascii="仿宋" w:hAnsi="仿宋" w:eastAsia="仿宋" w:cs="仿宋_GB2312"/>
          <w:b/>
          <w:szCs w:val="24"/>
        </w:rPr>
        <w:t>16.投标文件的无效处理</w:t>
      </w:r>
    </w:p>
    <w:p>
      <w:pPr>
        <w:pStyle w:val="6"/>
        <w:spacing w:line="360" w:lineRule="auto"/>
        <w:ind w:left="0" w:leftChars="0" w:firstLine="480" w:firstLineChars="200"/>
        <w:rPr>
          <w:rFonts w:hint="eastAsia" w:ascii="仿宋" w:hAnsi="仿宋" w:eastAsia="仿宋" w:cs="仿宋_GB2312"/>
          <w:szCs w:val="21"/>
          <w:highlight w:val="none"/>
        </w:rPr>
      </w:pPr>
      <w:r>
        <w:rPr>
          <w:rFonts w:hint="eastAsia" w:ascii="仿宋" w:hAnsi="仿宋" w:eastAsia="仿宋" w:cs="仿宋_GB2312"/>
          <w:szCs w:val="21"/>
          <w:highlight w:val="none"/>
        </w:rPr>
        <w:t>有招标文件第四部分</w:t>
      </w:r>
      <w:r>
        <w:rPr>
          <w:rFonts w:hint="eastAsia" w:ascii="仿宋" w:hAnsi="仿宋" w:eastAsia="仿宋"/>
          <w:highlight w:val="none"/>
        </w:rPr>
        <w:t>第13项规定</w:t>
      </w:r>
      <w:r>
        <w:rPr>
          <w:rFonts w:hint="eastAsia" w:ascii="仿宋" w:hAnsi="仿宋" w:eastAsia="仿宋" w:cs="仿宋_GB2312"/>
          <w:szCs w:val="21"/>
          <w:highlight w:val="none"/>
        </w:rPr>
        <w:t>的情形之一的，投标无效：</w:t>
      </w:r>
    </w:p>
    <w:p>
      <w:pPr>
        <w:pStyle w:val="19"/>
        <w:spacing w:before="0"/>
        <w:ind w:firstLine="0" w:firstLineChars="0"/>
        <w:rPr>
          <w:rFonts w:hint="eastAsia" w:ascii="仿宋" w:hAnsi="仿宋" w:eastAsia="仿宋" w:cs="仿宋_GB2312"/>
          <w:b/>
          <w:szCs w:val="24"/>
        </w:rPr>
      </w:pPr>
      <w:r>
        <w:rPr>
          <w:rFonts w:hint="eastAsia" w:ascii="仿宋" w:hAnsi="仿宋" w:eastAsia="仿宋" w:cs="仿宋_GB2312"/>
          <w:b/>
          <w:szCs w:val="24"/>
        </w:rPr>
        <w:t>17.投标有效期</w:t>
      </w:r>
    </w:p>
    <w:p>
      <w:pPr>
        <w:spacing w:line="360" w:lineRule="auto"/>
        <w:ind w:firstLine="480" w:firstLineChars="200"/>
        <w:rPr>
          <w:rFonts w:hint="eastAsia" w:ascii="仿宋" w:hAnsi="仿宋" w:eastAsia="仿宋" w:cs="仿宋_GB2312"/>
          <w:b/>
          <w:sz w:val="24"/>
          <w:szCs w:val="21"/>
        </w:rPr>
      </w:pPr>
      <w:r>
        <w:rPr>
          <w:rFonts w:hint="eastAsia" w:ascii="仿宋" w:hAnsi="仿宋" w:eastAsia="仿宋" w:cs="仿宋_GB2312"/>
          <w:sz w:val="24"/>
          <w:szCs w:val="20"/>
        </w:rPr>
        <w:t>17.1投标有效期为从提交投标文件的截止之日起90天。▲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19"/>
        <w:spacing w:before="0"/>
        <w:ind w:firstLine="480"/>
        <w:rPr>
          <w:rFonts w:hint="eastAsia" w:ascii="仿宋" w:hAnsi="仿宋" w:eastAsia="仿宋" w:cs="仿宋_GB2312"/>
        </w:rPr>
      </w:pPr>
      <w:r>
        <w:rPr>
          <w:rFonts w:hint="eastAsia" w:ascii="仿宋" w:hAnsi="仿宋" w:eastAsia="仿宋" w:cs="仿宋_GB2312"/>
        </w:rPr>
        <w:t>17.2投标文件合格投递后，自投标截止日期起，在投标有效期内有效。</w:t>
      </w:r>
    </w:p>
    <w:p>
      <w:pPr>
        <w:pStyle w:val="18"/>
        <w:shd w:val="clear"/>
        <w:ind w:firstLine="480" w:firstLineChars="200"/>
        <w:rPr>
          <w:rFonts w:hint="eastAsia" w:ascii="仿宋" w:hAnsi="仿宋" w:eastAsia="仿宋" w:cs="仿宋_GB2312"/>
        </w:rPr>
      </w:pPr>
      <w:r>
        <w:rPr>
          <w:rFonts w:hint="eastAsia" w:ascii="仿宋" w:hAnsi="仿宋" w:eastAsia="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9"/>
        <w:spacing w:before="0"/>
        <w:ind w:firstLine="1928" w:firstLineChars="600"/>
        <w:rPr>
          <w:rFonts w:hint="eastAsia" w:ascii="仿宋" w:hAnsi="仿宋" w:eastAsia="仿宋" w:cs="仿宋_GB2312"/>
          <w:b/>
          <w:sz w:val="32"/>
        </w:rPr>
      </w:pPr>
    </w:p>
    <w:p>
      <w:pPr>
        <w:pStyle w:val="19"/>
        <w:spacing w:before="0"/>
        <w:ind w:firstLine="1928" w:firstLineChars="600"/>
        <w:rPr>
          <w:rFonts w:hint="eastAsia" w:ascii="仿宋" w:hAnsi="仿宋" w:eastAsia="仿宋" w:cs="仿宋_GB2312"/>
          <w:b/>
          <w:sz w:val="32"/>
        </w:rPr>
      </w:pPr>
      <w:r>
        <w:rPr>
          <w:rFonts w:hint="eastAsia" w:ascii="仿宋" w:hAnsi="仿宋" w:eastAsia="仿宋" w:cs="仿宋_GB2312"/>
          <w:b/>
          <w:sz w:val="32"/>
        </w:rPr>
        <w:t>四、开标、资格审查与信用信息查询</w:t>
      </w:r>
    </w:p>
    <w:p>
      <w:pPr>
        <w:pStyle w:val="21"/>
        <w:spacing w:before="0" w:line="360" w:lineRule="auto"/>
        <w:ind w:left="0" w:leftChars="0" w:firstLine="0" w:firstLineChars="0"/>
        <w:contextualSpacing/>
        <w:rPr>
          <w:rFonts w:hint="eastAsia" w:ascii="仿宋_GB2312" w:eastAsia="仿宋_GB2312"/>
          <w:sz w:val="24"/>
        </w:rPr>
      </w:pPr>
      <w:r>
        <w:rPr>
          <w:rFonts w:hint="eastAsia" w:ascii="仿宋" w:hAnsi="仿宋" w:eastAsia="仿宋" w:cs="仿宋_GB2312"/>
          <w:b/>
          <w:sz w:val="24"/>
          <w:szCs w:val="24"/>
        </w:rPr>
        <w:t>18.开标</w:t>
      </w:r>
      <w:r>
        <w:rPr>
          <w:rFonts w:hint="eastAsia" w:ascii="仿宋_GB2312" w:eastAsia="仿宋_GB2312"/>
          <w:sz w:val="24"/>
        </w:rPr>
        <w:t xml:space="preserve"> </w:t>
      </w:r>
    </w:p>
    <w:p>
      <w:pPr>
        <w:pStyle w:val="21"/>
        <w:spacing w:before="0" w:line="360" w:lineRule="auto"/>
        <w:ind w:left="0" w:leftChars="0" w:firstLine="480" w:firstLineChars="200"/>
        <w:contextualSpacing/>
        <w:rPr>
          <w:rFonts w:hint="eastAsia" w:ascii="仿宋" w:hAnsi="仿宋" w:eastAsia="仿宋" w:cs="仿宋_GB2312"/>
          <w:sz w:val="24"/>
        </w:rPr>
      </w:pPr>
      <w:r>
        <w:rPr>
          <w:rFonts w:hint="eastAsia" w:ascii="仿宋" w:hAnsi="仿宋" w:eastAsia="仿宋" w:cs="仿宋_GB2312"/>
          <w:sz w:val="24"/>
        </w:rPr>
        <w:t>18.1采购机构按照招标文件规定的时间通过电子交易平台组织开标，所有投标人均应当准时在线参加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21"/>
        <w:spacing w:before="0" w:line="360" w:lineRule="auto"/>
        <w:ind w:left="0" w:leftChars="0" w:firstLine="480" w:firstLineChars="200"/>
        <w:contextualSpacing/>
        <w:rPr>
          <w:rFonts w:hint="eastAsia" w:ascii="仿宋" w:hAnsi="仿宋" w:eastAsia="仿宋" w:cs="仿宋_GB2312"/>
          <w:sz w:val="24"/>
          <w:szCs w:val="22"/>
        </w:rPr>
      </w:pPr>
      <w:r>
        <w:rPr>
          <w:rFonts w:hint="eastAsia" w:ascii="仿宋" w:hAnsi="仿宋" w:eastAsia="仿宋" w:cs="仿宋_GB2312"/>
          <w:sz w:val="24"/>
        </w:rPr>
        <w:t>18.2开标时，电子交易平台按开标时间自动提取所有投标文件。采购机构依托电子交</w:t>
      </w:r>
      <w:r>
        <w:rPr>
          <w:rFonts w:hint="eastAsia" w:ascii="仿宋" w:hAnsi="仿宋" w:eastAsia="仿宋" w:cs="仿宋_GB2312"/>
          <w:sz w:val="24"/>
          <w:szCs w:val="22"/>
        </w:rPr>
        <w:t>易平台发起开始解密指令，投标人按照平台提示和招标文件的规定在半小时内完成在线解密。</w:t>
      </w:r>
    </w:p>
    <w:p>
      <w:pPr>
        <w:pStyle w:val="21"/>
        <w:spacing w:before="0" w:line="360" w:lineRule="auto"/>
        <w:ind w:left="0" w:leftChars="0" w:firstLine="482" w:firstLineChars="200"/>
        <w:contextualSpacing/>
        <w:rPr>
          <w:rFonts w:hint="eastAsia" w:ascii="仿宋" w:hAnsi="仿宋" w:eastAsia="仿宋" w:cs="仿宋_GB2312"/>
          <w:b/>
          <w:bCs/>
          <w:sz w:val="24"/>
          <w:szCs w:val="22"/>
        </w:rPr>
      </w:pPr>
      <w:r>
        <w:rPr>
          <w:rFonts w:hint="eastAsia" w:ascii="仿宋" w:hAnsi="仿宋" w:eastAsia="仿宋" w:cs="仿宋_GB2312"/>
          <w:b/>
          <w:bCs/>
          <w:sz w:val="24"/>
          <w:szCs w:val="22"/>
        </w:rPr>
        <w:t>18.3投标文件未按时解密，投标人提供了备份投标文件的，以备份投标文件作为依据，否则视为投标文件撤回。投标文件已按时解密的，备份投标文件自动失效。</w:t>
      </w:r>
    </w:p>
    <w:p>
      <w:pPr>
        <w:pStyle w:val="21"/>
        <w:spacing w:before="0" w:line="360" w:lineRule="auto"/>
        <w:ind w:left="0" w:leftChars="0" w:firstLine="0" w:firstLineChars="0"/>
        <w:contextualSpacing/>
        <w:rPr>
          <w:rFonts w:hint="eastAsia" w:ascii="仿宋" w:hAnsi="仿宋" w:eastAsia="仿宋" w:cs="仿宋_GB2312"/>
          <w:b/>
          <w:bCs/>
          <w:sz w:val="24"/>
          <w:szCs w:val="22"/>
        </w:rPr>
      </w:pPr>
      <w:r>
        <w:rPr>
          <w:rFonts w:hint="eastAsia" w:ascii="仿宋" w:hAnsi="仿宋" w:eastAsia="仿宋" w:cs="仿宋_GB2312"/>
          <w:b/>
          <w:bCs/>
          <w:sz w:val="24"/>
          <w:szCs w:val="22"/>
        </w:rPr>
        <w:t>19、资格审查</w:t>
      </w:r>
    </w:p>
    <w:p>
      <w:pPr>
        <w:pStyle w:val="21"/>
        <w:spacing w:before="0" w:line="360" w:lineRule="auto"/>
        <w:ind w:left="0" w:leftChars="0" w:firstLine="480" w:firstLineChars="200"/>
        <w:contextualSpacing/>
        <w:rPr>
          <w:rFonts w:hint="eastAsia" w:ascii="仿宋" w:hAnsi="仿宋" w:eastAsia="仿宋" w:cs="仿宋_GB2312"/>
          <w:sz w:val="24"/>
          <w:szCs w:val="22"/>
        </w:rPr>
      </w:pPr>
      <w:r>
        <w:rPr>
          <w:rFonts w:hint="eastAsia" w:ascii="仿宋" w:hAnsi="仿宋" w:eastAsia="仿宋" w:cs="仿宋_GB2312"/>
          <w:sz w:val="24"/>
          <w:szCs w:val="22"/>
        </w:rPr>
        <w:t>19.1开标后，采购人或采购机构将依法对投标人的资格进行审查。</w:t>
      </w:r>
    </w:p>
    <w:p>
      <w:pPr>
        <w:pStyle w:val="21"/>
        <w:spacing w:before="0" w:line="360" w:lineRule="auto"/>
        <w:ind w:left="0" w:leftChars="0" w:firstLine="480" w:firstLineChars="200"/>
        <w:contextualSpacing/>
        <w:rPr>
          <w:rFonts w:hint="eastAsia" w:ascii="仿宋" w:hAnsi="仿宋" w:eastAsia="仿宋" w:cs="仿宋_GB2312"/>
          <w:sz w:val="24"/>
        </w:rPr>
      </w:pPr>
      <w:r>
        <w:rPr>
          <w:rFonts w:hint="eastAsia" w:ascii="仿宋" w:hAnsi="仿宋" w:eastAsia="仿宋" w:cs="仿宋_GB2312"/>
          <w:sz w:val="24"/>
          <w:szCs w:val="22"/>
        </w:rPr>
        <w:t>19.2采购人或采购</w:t>
      </w:r>
      <w:r>
        <w:rPr>
          <w:rFonts w:hint="eastAsia" w:ascii="仿宋" w:hAnsi="仿宋" w:eastAsia="仿宋" w:cs="仿宋_GB2312"/>
          <w:sz w:val="24"/>
        </w:rPr>
        <w:t>机构依据法律法规和招标文件的规定，对投标人的基本资格条件、特定资格条件进行审查。</w:t>
      </w:r>
    </w:p>
    <w:p>
      <w:pPr>
        <w:pStyle w:val="19"/>
        <w:spacing w:before="0"/>
        <w:ind w:firstLine="480"/>
        <w:rPr>
          <w:rFonts w:hint="eastAsia" w:ascii="仿宋" w:hAnsi="仿宋" w:eastAsia="仿宋" w:cs="仿宋_GB2312"/>
        </w:rPr>
      </w:pPr>
      <w:r>
        <w:rPr>
          <w:rFonts w:hint="eastAsia" w:ascii="仿宋" w:hAnsi="仿宋" w:eastAsia="仿宋" w:cs="Arial"/>
          <w:kern w:val="0"/>
          <w:szCs w:val="24"/>
        </w:rPr>
        <w:t>19.3投标人未按照招标文件要求提供与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19"/>
        <w:spacing w:before="0"/>
        <w:ind w:firstLine="480"/>
        <w:rPr>
          <w:rFonts w:hint="eastAsia" w:ascii="仿宋" w:hAnsi="仿宋" w:eastAsia="仿宋" w:cs="仿宋_GB2312"/>
        </w:rPr>
      </w:pPr>
      <w:r>
        <w:rPr>
          <w:rFonts w:hint="eastAsia" w:ascii="仿宋" w:hAnsi="仿宋" w:eastAsia="仿宋" w:cs="Arial"/>
          <w:kern w:val="0"/>
          <w:szCs w:val="24"/>
        </w:rPr>
        <w:t>19.</w:t>
      </w:r>
      <w:r>
        <w:rPr>
          <w:rFonts w:hint="eastAsia" w:ascii="仿宋" w:hAnsi="仿宋" w:eastAsia="仿宋" w:cs="仿宋_GB2312"/>
        </w:rPr>
        <w:t>4对未通过资格审查的投标人，采购人或采购机构告知其未通过的原因。</w:t>
      </w:r>
    </w:p>
    <w:p>
      <w:pPr>
        <w:pStyle w:val="19"/>
        <w:spacing w:before="0"/>
        <w:ind w:firstLine="480"/>
        <w:rPr>
          <w:rFonts w:hint="eastAsia" w:ascii="仿宋" w:hAnsi="仿宋" w:eastAsia="仿宋" w:cs="仿宋_GB2312"/>
        </w:rPr>
      </w:pPr>
      <w:r>
        <w:rPr>
          <w:rFonts w:hint="eastAsia" w:ascii="仿宋" w:hAnsi="仿宋" w:eastAsia="仿宋" w:cs="Arial"/>
          <w:kern w:val="0"/>
          <w:szCs w:val="24"/>
        </w:rPr>
        <w:t>19.</w:t>
      </w:r>
      <w:r>
        <w:rPr>
          <w:rFonts w:hint="eastAsia" w:ascii="仿宋" w:hAnsi="仿宋" w:eastAsia="仿宋" w:cs="仿宋_GB2312"/>
        </w:rPr>
        <w:t>5合格投标人不足3家的，不再评标。</w:t>
      </w:r>
    </w:p>
    <w:p>
      <w:pPr>
        <w:pStyle w:val="19"/>
        <w:spacing w:before="0"/>
        <w:ind w:firstLine="0" w:firstLineChars="0"/>
        <w:rPr>
          <w:rFonts w:hint="eastAsia" w:ascii="仿宋" w:hAnsi="仿宋" w:eastAsia="仿宋" w:cs="仿宋_GB2312"/>
          <w:b/>
          <w:szCs w:val="24"/>
        </w:rPr>
      </w:pPr>
      <w:r>
        <w:rPr>
          <w:rFonts w:hint="eastAsia" w:ascii="仿宋" w:hAnsi="仿宋" w:eastAsia="仿宋" w:cs="仿宋_GB2312"/>
          <w:b/>
          <w:szCs w:val="24"/>
        </w:rPr>
        <w:t>20、信用信息查询</w:t>
      </w:r>
    </w:p>
    <w:p>
      <w:pPr>
        <w:pStyle w:val="19"/>
        <w:spacing w:before="0"/>
        <w:ind w:firstLine="495" w:firstLineChars="0"/>
        <w:rPr>
          <w:rFonts w:hint="eastAsia"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.1信用信息查询渠道及截止时间：采购机构将通过“信用中国”网站(www.creditchina.gov.cn)、中国政府采购网(www.ccgp.gov.cn)渠道查询投标人投标截止时间当天的信用记录。</w:t>
      </w:r>
    </w:p>
    <w:p>
      <w:pPr>
        <w:pStyle w:val="19"/>
        <w:spacing w:before="0"/>
        <w:ind w:firstLine="495" w:firstLineChars="0"/>
        <w:rPr>
          <w:rFonts w:hint="eastAsia"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.2</w:t>
      </w:r>
      <w:r>
        <w:rPr>
          <w:rFonts w:hint="eastAsia" w:ascii="仿宋" w:hAnsi="仿宋" w:eastAsia="仿宋" w:cs="Arial"/>
          <w:kern w:val="0"/>
          <w:szCs w:val="24"/>
          <w:highlight w:val="none"/>
        </w:rPr>
        <w:t>信用信息查询记录和证据留存的具体方式：现场查询的投标人的信用记录、查询结果将与采购文件一起存档。</w:t>
      </w:r>
    </w:p>
    <w:p>
      <w:pPr>
        <w:pStyle w:val="19"/>
        <w:spacing w:before="0"/>
        <w:ind w:firstLine="495" w:firstLineChars="0"/>
        <w:rPr>
          <w:rFonts w:hint="eastAsia"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.3信用信息的使用规则：经查询列入失信被执行人名单、重大税收违法案件当事人名单、政府采购严重违法失信行为记录名单的投标人将被拒绝参与政府采购活动。</w:t>
      </w:r>
    </w:p>
    <w:p>
      <w:pPr>
        <w:pStyle w:val="19"/>
        <w:spacing w:before="0"/>
        <w:ind w:firstLine="480"/>
        <w:rPr>
          <w:rFonts w:hint="eastAsia" w:ascii="仿宋" w:hAnsi="仿宋" w:eastAsia="仿宋" w:cs="仿宋_GB2312"/>
        </w:rPr>
      </w:pPr>
      <w:r>
        <w:rPr>
          <w:rFonts w:ascii="仿宋" w:hAnsi="仿宋" w:eastAsia="仿宋" w:cs="Arial"/>
          <w:kern w:val="0"/>
          <w:szCs w:val="24"/>
        </w:rPr>
        <w:t>20</w:t>
      </w:r>
      <w:r>
        <w:rPr>
          <w:rFonts w:hint="eastAsia" w:ascii="仿宋" w:hAnsi="仿宋" w:eastAsia="仿宋" w:cs="Arial"/>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19"/>
        <w:spacing w:before="0"/>
        <w:ind w:firstLine="0" w:firstLineChars="0"/>
        <w:rPr>
          <w:rFonts w:hint="eastAsia" w:ascii="仿宋" w:hAnsi="仿宋" w:eastAsia="仿宋" w:cs="Arial"/>
          <w:kern w:val="0"/>
          <w:szCs w:val="24"/>
        </w:rPr>
      </w:pPr>
    </w:p>
    <w:p>
      <w:pPr>
        <w:snapToGrid w:val="0"/>
        <w:spacing w:line="360" w:lineRule="auto"/>
        <w:jc w:val="center"/>
        <w:outlineLvl w:val="0"/>
        <w:rPr>
          <w:rFonts w:hint="eastAsia" w:ascii="仿宋" w:hAnsi="仿宋" w:eastAsia="仿宋" w:cs="仿宋_GB2312"/>
          <w:b/>
          <w:sz w:val="36"/>
          <w:szCs w:val="36"/>
        </w:rPr>
      </w:pPr>
      <w:bookmarkStart w:id="10" w:name="_Toc91899902"/>
      <w:r>
        <w:rPr>
          <w:rFonts w:hint="eastAsia" w:ascii="仿宋" w:hAnsi="仿宋" w:eastAsia="仿宋" w:cs="仿宋_GB2312"/>
          <w:b/>
          <w:sz w:val="36"/>
          <w:szCs w:val="36"/>
        </w:rPr>
        <w:t>五、评标</w:t>
      </w:r>
      <w:bookmarkEnd w:id="10"/>
    </w:p>
    <w:p>
      <w:pPr>
        <w:spacing w:line="360" w:lineRule="auto"/>
        <w:rPr>
          <w:rFonts w:hint="eastAsia" w:ascii="仿宋" w:hAnsi="仿宋" w:eastAsia="仿宋" w:cs="仿宋_GB2312"/>
          <w:b/>
          <w:sz w:val="24"/>
        </w:rPr>
      </w:pPr>
      <w:r>
        <w:rPr>
          <w:rFonts w:hint="eastAsia" w:ascii="仿宋" w:hAnsi="仿宋" w:eastAsia="仿宋" w:cs="仿宋_GB2312"/>
          <w:b/>
          <w:sz w:val="24"/>
        </w:rPr>
        <w:t>21.</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详见招标文件第四部分“评标方法及评分标准”</w:t>
      </w:r>
    </w:p>
    <w:p>
      <w:pPr>
        <w:pStyle w:val="18"/>
        <w:rPr>
          <w:rFonts w:hint="eastAsia" w:ascii="仿宋" w:hAnsi="仿宋" w:eastAsia="仿宋" w:cs="仿宋_GB2312"/>
          <w:b/>
          <w:sz w:val="24"/>
        </w:rPr>
      </w:pPr>
    </w:p>
    <w:p>
      <w:pPr>
        <w:pStyle w:val="18"/>
        <w:rPr>
          <w:rFonts w:hint="eastAsia" w:ascii="仿宋" w:hAnsi="仿宋" w:eastAsia="仿宋" w:cs="仿宋_GB2312"/>
          <w:b/>
          <w:sz w:val="24"/>
        </w:rPr>
      </w:pPr>
    </w:p>
    <w:p>
      <w:pPr>
        <w:snapToGrid w:val="0"/>
        <w:spacing w:line="360" w:lineRule="auto"/>
        <w:jc w:val="center"/>
        <w:outlineLvl w:val="0"/>
        <w:rPr>
          <w:rFonts w:hint="eastAsia" w:ascii="仿宋" w:hAnsi="仿宋" w:eastAsia="仿宋" w:cs="仿宋_GB2312"/>
          <w:b/>
          <w:sz w:val="36"/>
          <w:szCs w:val="36"/>
        </w:rPr>
      </w:pPr>
      <w:r>
        <w:rPr>
          <w:rFonts w:hint="eastAsia" w:ascii="仿宋" w:hAnsi="仿宋" w:eastAsia="仿宋" w:cs="仿宋_GB2312"/>
          <w:b/>
          <w:sz w:val="36"/>
          <w:szCs w:val="36"/>
        </w:rPr>
        <w:t>六、定 标</w:t>
      </w:r>
    </w:p>
    <w:p>
      <w:pPr>
        <w:pStyle w:val="6"/>
        <w:spacing w:line="360" w:lineRule="auto"/>
        <w:ind w:left="479" w:hanging="479" w:hangingChars="199"/>
        <w:rPr>
          <w:rFonts w:hint="eastAsia" w:ascii="仿宋" w:hAnsi="仿宋" w:eastAsia="仿宋" w:cs="仿宋_GB2312"/>
          <w:b/>
        </w:rPr>
      </w:pPr>
      <w:r>
        <w:rPr>
          <w:rFonts w:hint="eastAsia" w:ascii="仿宋" w:hAnsi="仿宋" w:eastAsia="仿宋" w:cs="仿宋_GB2312"/>
          <w:b/>
        </w:rPr>
        <w:t>22.确定中标供应商</w:t>
      </w:r>
    </w:p>
    <w:p>
      <w:pPr>
        <w:pStyle w:val="19"/>
        <w:snapToGrid w:val="0"/>
        <w:spacing w:before="0"/>
        <w:ind w:firstLine="480"/>
        <w:rPr>
          <w:rFonts w:hint="eastAsia" w:ascii="仿宋" w:hAnsi="仿宋" w:eastAsia="仿宋" w:cs="仿宋_GB2312"/>
          <w:b/>
          <w:szCs w:val="24"/>
        </w:rPr>
      </w:pPr>
      <w:r>
        <w:rPr>
          <w:rFonts w:hint="eastAsia" w:ascii="仿宋" w:hAnsi="仿宋" w:eastAsia="仿宋" w:cs="仿宋_GB2312"/>
          <w:szCs w:val="24"/>
        </w:rPr>
        <w:t>采购人将自收到评审报告之日起5个工作日内通过电子交易平台在评审报告推荐的中标候选人中按顺序确定中标供应商。</w:t>
      </w:r>
    </w:p>
    <w:p>
      <w:pPr>
        <w:pStyle w:val="19"/>
        <w:snapToGrid w:val="0"/>
        <w:spacing w:before="0"/>
        <w:ind w:left="0" w:leftChars="0" w:firstLine="0" w:firstLineChars="0"/>
        <w:jc w:val="left"/>
        <w:rPr>
          <w:rFonts w:hint="eastAsia" w:ascii="仿宋" w:hAnsi="仿宋" w:eastAsia="仿宋" w:cs="仿宋_GB2312"/>
          <w:szCs w:val="24"/>
        </w:rPr>
      </w:pPr>
      <w:r>
        <w:rPr>
          <w:rFonts w:hint="eastAsia" w:ascii="仿宋" w:hAnsi="仿宋" w:eastAsia="仿宋" w:cs="仿宋_GB2312"/>
          <w:b/>
          <w:bCs/>
          <w:szCs w:val="24"/>
        </w:rPr>
        <w:t>23.中标通知与中标结果公告</w:t>
      </w:r>
    </w:p>
    <w:p>
      <w:pPr>
        <w:pStyle w:val="19"/>
        <w:snapToGrid w:val="0"/>
        <w:spacing w:before="0"/>
        <w:ind w:firstLine="480"/>
        <w:rPr>
          <w:rFonts w:hint="eastAsia" w:ascii="仿宋" w:hAnsi="仿宋" w:eastAsia="仿宋" w:cs="仿宋_GB2312"/>
          <w:szCs w:val="24"/>
        </w:rPr>
      </w:pPr>
      <w:r>
        <w:rPr>
          <w:rFonts w:hint="eastAsia" w:ascii="仿宋" w:hAnsi="仿宋" w:eastAsia="仿宋" w:cs="仿宋_GB2312"/>
          <w:szCs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spacing w:line="360" w:lineRule="auto"/>
        <w:ind w:firstLine="480"/>
        <w:jc w:val="left"/>
        <w:rPr>
          <w:rFonts w:ascii="仿宋" w:hAnsi="仿宋" w:eastAsia="仿宋" w:cs="仿宋_GB2312"/>
          <w:sz w:val="24"/>
        </w:rPr>
      </w:pPr>
      <w:r>
        <w:rPr>
          <w:rFonts w:hint="eastAsia" w:ascii="仿宋" w:hAnsi="仿宋" w:eastAsia="仿宋" w:cs="仿宋_GB2312"/>
          <w:sz w:val="24"/>
        </w:rPr>
        <w:t>23.2</w:t>
      </w:r>
      <w:r>
        <w:rPr>
          <w:rFonts w:ascii="仿宋" w:hAnsi="仿宋" w:eastAsia="仿宋" w:cs="仿宋_GB2312"/>
          <w:sz w:val="24"/>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spacing w:line="360" w:lineRule="auto"/>
        <w:ind w:firstLine="480"/>
        <w:jc w:val="left"/>
        <w:rPr>
          <w:rFonts w:ascii="仿宋" w:hAnsi="仿宋" w:eastAsia="仿宋" w:cs="仿宋_GB2312"/>
          <w:sz w:val="24"/>
        </w:rPr>
      </w:pPr>
      <w:r>
        <w:rPr>
          <w:rFonts w:hint="eastAsia" w:ascii="仿宋" w:hAnsi="仿宋" w:eastAsia="仿宋" w:cs="仿宋_GB2312"/>
          <w:sz w:val="24"/>
        </w:rPr>
        <w:t>23.3</w:t>
      </w:r>
      <w:r>
        <w:rPr>
          <w:rFonts w:ascii="仿宋" w:hAnsi="仿宋" w:eastAsia="仿宋" w:cs="仿宋_GB2312"/>
          <w:sz w:val="24"/>
        </w:rPr>
        <w:t>公告期限为1个工作日。</w:t>
      </w:r>
    </w:p>
    <w:p>
      <w:pPr>
        <w:pStyle w:val="18"/>
        <w:rPr>
          <w:rFonts w:ascii="仿宋" w:hAnsi="仿宋" w:eastAsia="仿宋" w:cs="仿宋_GB2312"/>
          <w:sz w:val="24"/>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七、合同授予</w:t>
      </w:r>
    </w:p>
    <w:p>
      <w:pPr>
        <w:pStyle w:val="6"/>
        <w:spacing w:line="360" w:lineRule="auto"/>
        <w:ind w:left="479" w:hanging="479" w:hangingChars="199"/>
        <w:rPr>
          <w:rFonts w:hint="eastAsia" w:ascii="仿宋" w:hAnsi="仿宋" w:eastAsia="仿宋" w:cs="仿宋_GB2312"/>
          <w:b/>
        </w:rPr>
      </w:pPr>
      <w:r>
        <w:rPr>
          <w:rFonts w:hint="eastAsia" w:ascii="仿宋" w:hAnsi="仿宋" w:eastAsia="仿宋" w:cs="仿宋_GB2312"/>
          <w:b/>
        </w:rPr>
        <w:t>24.</w:t>
      </w:r>
      <w:r>
        <w:rPr>
          <w:rFonts w:hint="eastAsia" w:ascii="仿宋" w:hAnsi="仿宋" w:eastAsia="仿宋" w:cs="仿宋_GB2312"/>
        </w:rPr>
        <w:t>合同主要条款详见第五部分拟签订的合同文本。</w:t>
      </w:r>
    </w:p>
    <w:p>
      <w:pPr>
        <w:pStyle w:val="6"/>
        <w:spacing w:line="360" w:lineRule="auto"/>
        <w:ind w:left="479" w:hanging="479" w:hangingChars="199"/>
        <w:rPr>
          <w:rFonts w:hint="eastAsia" w:ascii="仿宋" w:hAnsi="仿宋" w:eastAsia="仿宋" w:cs="仿宋_GB2312"/>
          <w:b/>
        </w:rPr>
      </w:pPr>
      <w:r>
        <w:rPr>
          <w:rFonts w:hint="eastAsia" w:ascii="仿宋" w:hAnsi="仿宋" w:eastAsia="仿宋" w:cs="仿宋_GB2312"/>
          <w:b/>
        </w:rPr>
        <w:t>25.合同的签订</w:t>
      </w:r>
    </w:p>
    <w:p>
      <w:pPr>
        <w:widowControl/>
        <w:shd w:val="clear" w:color="auto"/>
        <w:spacing w:line="360" w:lineRule="auto"/>
        <w:ind w:firstLine="480"/>
        <w:jc w:val="left"/>
        <w:rPr>
          <w:rFonts w:hint="eastAsia" w:ascii="仿宋" w:hAnsi="仿宋" w:eastAsia="仿宋" w:cs="Arial"/>
          <w:kern w:val="0"/>
          <w:sz w:val="24"/>
        </w:rPr>
      </w:pPr>
      <w:r>
        <w:rPr>
          <w:rFonts w:hint="eastAsia" w:ascii="仿宋" w:hAnsi="仿宋" w:eastAsia="仿宋" w:cs="仿宋_GB2312"/>
          <w:sz w:val="24"/>
        </w:rPr>
        <w:t>25.1</w:t>
      </w:r>
      <w:r>
        <w:rPr>
          <w:rFonts w:hint="eastAsia" w:ascii="仿宋" w:hAnsi="仿宋" w:eastAsia="仿宋" w:cs="Arial"/>
          <w:kern w:val="0"/>
          <w:sz w:val="24"/>
        </w:rPr>
        <w:t xml:space="preserve"> 采购人与中标人应当通过电子交易平台在中标通知书发出之日起三十日内，按照招标文件确定的事项签订政府采购合同，并在规定时间内依法发布合同公告。</w:t>
      </w:r>
    </w:p>
    <w:p>
      <w:pPr>
        <w:pStyle w:val="19"/>
        <w:shd w:val="clear"/>
        <w:snapToGrid w:val="0"/>
        <w:spacing w:before="0"/>
        <w:ind w:firstLine="480"/>
        <w:rPr>
          <w:rFonts w:hint="eastAsia" w:ascii="仿宋" w:hAnsi="仿宋" w:eastAsia="仿宋"/>
          <w:kern w:val="0"/>
        </w:rPr>
      </w:pPr>
      <w:r>
        <w:rPr>
          <w:rFonts w:hint="eastAsia" w:ascii="仿宋" w:hAnsi="仿宋" w:eastAsia="仿宋" w:cs="仿宋_GB2312"/>
          <w:kern w:val="0"/>
          <w:lang w:val="zh-CN"/>
        </w:rPr>
        <w:t>25.2</w:t>
      </w:r>
      <w:r>
        <w:rPr>
          <w:rFonts w:hint="eastAsia" w:ascii="仿宋" w:hAnsi="仿宋" w:eastAsia="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9"/>
        <w:snapToGrid w:val="0"/>
        <w:spacing w:before="0"/>
        <w:ind w:firstLine="480"/>
        <w:rPr>
          <w:rFonts w:hint="eastAsia" w:ascii="仿宋" w:hAnsi="仿宋" w:eastAsia="仿宋" w:cs="仿宋_GB2312"/>
        </w:rPr>
      </w:pPr>
      <w:r>
        <w:rPr>
          <w:rFonts w:hint="eastAsia" w:ascii="仿宋" w:hAnsi="仿宋" w:eastAsia="仿宋" w:cs="仿宋_GB2312"/>
        </w:rPr>
        <w:t>25.3如签订合同并生效后，供应商无故拒绝或延期，除按照合同条款处理外，列入不良行为记录一次，并给予通报。</w:t>
      </w:r>
    </w:p>
    <w:p>
      <w:pPr>
        <w:pStyle w:val="19"/>
        <w:snapToGrid w:val="0"/>
        <w:spacing w:before="0"/>
        <w:ind w:firstLine="480"/>
        <w:rPr>
          <w:rFonts w:hint="eastAsia" w:ascii="仿宋" w:hAnsi="仿宋" w:eastAsia="仿宋" w:cs="仿宋_GB2312"/>
        </w:rPr>
      </w:pPr>
      <w:r>
        <w:rPr>
          <w:rFonts w:hint="eastAsia" w:ascii="仿宋" w:hAnsi="仿宋" w:eastAsia="仿宋" w:cs="仿宋_GB2312"/>
        </w:rPr>
        <w:t>25.4中标供应商拒绝与采购人签订合同的，采购人可以按照评审报告推荐的中标或者成交候选人名单排序，确定下一候选人为中标供应商，也可以重新开展政府采购活动。</w:t>
      </w:r>
    </w:p>
    <w:p>
      <w:pPr>
        <w:pStyle w:val="6"/>
        <w:spacing w:line="360" w:lineRule="auto"/>
        <w:ind w:left="479" w:hanging="479" w:hangingChars="199"/>
        <w:rPr>
          <w:rFonts w:hint="eastAsia" w:ascii="仿宋" w:hAnsi="仿宋" w:eastAsia="仿宋" w:cs="仿宋_GB2312"/>
          <w:b/>
        </w:rPr>
      </w:pPr>
      <w:r>
        <w:rPr>
          <w:rFonts w:hint="eastAsia" w:ascii="仿宋" w:hAnsi="仿宋" w:eastAsia="仿宋" w:cs="仿宋_GB2312"/>
          <w:b/>
        </w:rPr>
        <w:t>26.履约保证金</w:t>
      </w:r>
    </w:p>
    <w:p>
      <w:pPr>
        <w:tabs>
          <w:tab w:val="left" w:pos="0"/>
        </w:tabs>
        <w:spacing w:line="360" w:lineRule="auto"/>
        <w:ind w:firstLine="480"/>
        <w:rPr>
          <w:rFonts w:hint="eastAsia" w:ascii="仿宋" w:hAnsi="仿宋" w:eastAsia="仿宋"/>
          <w:sz w:val="24"/>
        </w:rPr>
      </w:pPr>
      <w:r>
        <w:rPr>
          <w:rFonts w:hint="eastAsia" w:ascii="仿宋"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。履约保证金的数额不得超过政府采购合同金额的5%。</w:t>
      </w:r>
    </w:p>
    <w:p>
      <w:pPr>
        <w:pStyle w:val="18"/>
        <w:rPr>
          <w:rFonts w:hint="eastAsia" w:ascii="仿宋" w:hAnsi="仿宋" w:eastAsia="仿宋" w:cs="仿宋_GB2312"/>
          <w:sz w:val="24"/>
        </w:rPr>
      </w:pPr>
    </w:p>
    <w:p>
      <w:pPr>
        <w:snapToGrid w:val="0"/>
        <w:spacing w:line="360" w:lineRule="auto"/>
        <w:ind w:firstLine="3357" w:firstLineChars="1045"/>
        <w:rPr>
          <w:rFonts w:hint="eastAsia" w:ascii="仿宋" w:hAnsi="仿宋" w:eastAsia="仿宋"/>
          <w:b/>
          <w:sz w:val="24"/>
        </w:rPr>
      </w:pPr>
      <w:r>
        <w:rPr>
          <w:rFonts w:hint="eastAsia" w:ascii="仿宋" w:hAnsi="仿宋" w:eastAsia="仿宋" w:cs="仿宋_GB2312"/>
          <w:b/>
          <w:sz w:val="32"/>
        </w:rPr>
        <w:t>八、</w:t>
      </w:r>
      <w:r>
        <w:rPr>
          <w:rFonts w:ascii="仿宋" w:hAnsi="仿宋" w:eastAsia="仿宋" w:cs="仿宋_GB2312"/>
          <w:b/>
          <w:sz w:val="32"/>
        </w:rPr>
        <w:t>电子</w:t>
      </w:r>
      <w:r>
        <w:rPr>
          <w:rFonts w:hint="eastAsia" w:ascii="仿宋" w:hAnsi="仿宋" w:eastAsia="仿宋" w:cs="仿宋_GB2312"/>
          <w:b/>
          <w:sz w:val="32"/>
        </w:rPr>
        <w:t>交易活动的中止</w:t>
      </w:r>
    </w:p>
    <w:p>
      <w:pPr>
        <w:pStyle w:val="19"/>
        <w:snapToGrid w:val="0"/>
        <w:spacing w:before="0"/>
        <w:ind w:firstLine="0" w:firstLineChars="0"/>
        <w:rPr>
          <w:rFonts w:hint="eastAsia" w:ascii="仿宋" w:hAnsi="仿宋" w:eastAsia="仿宋" w:cs="仿宋_GB2312"/>
          <w:b/>
          <w:szCs w:val="24"/>
        </w:rPr>
      </w:pPr>
      <w:r>
        <w:rPr>
          <w:rFonts w:hint="eastAsia" w:ascii="仿宋" w:hAnsi="仿宋" w:eastAsia="仿宋" w:cs="仿宋_GB2312"/>
          <w:b/>
          <w:bCs/>
        </w:rPr>
        <w:t>2</w:t>
      </w:r>
      <w:r>
        <w:rPr>
          <w:rFonts w:hint="eastAsia" w:ascii="仿宋" w:hAnsi="仿宋" w:eastAsia="仿宋" w:cs="仿宋_GB2312"/>
          <w:b/>
          <w:bCs/>
          <w:szCs w:val="24"/>
        </w:rPr>
        <w:t>7.</w:t>
      </w:r>
      <w:r>
        <w:rPr>
          <w:rFonts w:hint="eastAsia" w:ascii="仿宋" w:hAnsi="仿宋" w:eastAsia="仿宋" w:cs="仿宋_GB2312"/>
          <w:b/>
          <w:szCs w:val="24"/>
        </w:rPr>
        <w:t>电子交易活动的中止</w:t>
      </w:r>
    </w:p>
    <w:p>
      <w:pPr>
        <w:pStyle w:val="19"/>
        <w:snapToGrid w:val="0"/>
        <w:spacing w:before="0"/>
        <w:ind w:firstLine="480" w:firstLineChars="200"/>
        <w:rPr>
          <w:rFonts w:ascii="仿宋" w:hAnsi="仿宋" w:eastAsia="仿宋" w:cs="仿宋_GB2312"/>
        </w:rPr>
      </w:pP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19"/>
        <w:snapToGrid w:val="0"/>
        <w:spacing w:before="0"/>
        <w:ind w:firstLine="480"/>
        <w:rPr>
          <w:rFonts w:ascii="仿宋" w:hAnsi="仿宋" w:eastAsia="仿宋" w:cs="仿宋_GB2312"/>
        </w:rPr>
      </w:pPr>
      <w:r>
        <w:rPr>
          <w:rFonts w:hint="eastAsia" w:ascii="仿宋" w:hAnsi="仿宋" w:eastAsia="仿宋" w:cs="仿宋_GB2312"/>
        </w:rPr>
        <w:t>27.1电子交易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19"/>
        <w:snapToGrid w:val="0"/>
        <w:spacing w:before="0"/>
        <w:ind w:firstLine="480"/>
        <w:rPr>
          <w:rFonts w:ascii="仿宋" w:hAnsi="仿宋" w:eastAsia="仿宋" w:cs="仿宋_GB2312"/>
        </w:rPr>
      </w:pPr>
      <w:r>
        <w:rPr>
          <w:rFonts w:hint="eastAsia" w:ascii="仿宋" w:hAnsi="仿宋" w:eastAsia="仿宋" w:cs="仿宋_GB2312"/>
        </w:rPr>
        <w:t>27.2电子交易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19"/>
        <w:snapToGrid w:val="0"/>
        <w:spacing w:before="0"/>
        <w:ind w:firstLine="480"/>
        <w:rPr>
          <w:rFonts w:ascii="仿宋" w:hAnsi="仿宋" w:eastAsia="仿宋" w:cs="仿宋_GB2312"/>
        </w:rPr>
      </w:pPr>
      <w:r>
        <w:rPr>
          <w:rFonts w:hint="eastAsia" w:ascii="仿宋" w:hAnsi="仿宋" w:eastAsia="仿宋" w:cs="仿宋_GB2312"/>
        </w:rPr>
        <w:t>27.3电子交易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19"/>
        <w:snapToGrid w:val="0"/>
        <w:spacing w:before="0"/>
        <w:ind w:firstLine="480"/>
        <w:rPr>
          <w:rFonts w:ascii="仿宋" w:hAnsi="仿宋" w:eastAsia="仿宋" w:cs="仿宋_GB2312"/>
        </w:rPr>
      </w:pPr>
      <w:r>
        <w:rPr>
          <w:rFonts w:hint="eastAsia" w:ascii="仿宋" w:hAnsi="仿宋" w:eastAsia="仿宋" w:cs="仿宋_GB2312"/>
        </w:rPr>
        <w:t>27.4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19"/>
        <w:snapToGrid w:val="0"/>
        <w:spacing w:before="0"/>
        <w:ind w:firstLine="480"/>
        <w:rPr>
          <w:rFonts w:hint="eastAsia" w:ascii="仿宋" w:hAnsi="仿宋" w:eastAsia="仿宋" w:cs="仿宋_GB2312"/>
        </w:rPr>
      </w:pPr>
      <w:r>
        <w:rPr>
          <w:rFonts w:hint="eastAsia" w:ascii="仿宋" w:hAnsi="仿宋" w:eastAsia="仿宋" w:cs="仿宋_GB2312"/>
        </w:rPr>
        <w:t>27.5其他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19"/>
        <w:snapToGrid w:val="0"/>
        <w:spacing w:before="0"/>
        <w:ind w:firstLine="0" w:firstLineChars="0"/>
        <w:rPr>
          <w:rFonts w:ascii="仿宋" w:hAnsi="仿宋" w:eastAsia="仿宋" w:cs="仿宋_GB2312"/>
          <w:b/>
          <w:bCs/>
        </w:rPr>
      </w:pPr>
      <w:r>
        <w:rPr>
          <w:rFonts w:hint="eastAsia" w:ascii="仿宋" w:hAnsi="仿宋" w:eastAsia="仿宋" w:cs="仿宋_GB2312"/>
          <w:b/>
          <w:bCs/>
        </w:rPr>
        <w:t>28.</w:t>
      </w:r>
      <w:r>
        <w:rPr>
          <w:rFonts w:ascii="仿宋" w:hAnsi="仿宋" w:eastAsia="仿宋" w:cs="仿宋_GB2312"/>
          <w:b/>
          <w:bCs/>
        </w:rPr>
        <w:t>出现</w:t>
      </w:r>
      <w:r>
        <w:rPr>
          <w:rFonts w:hint="eastAsia" w:ascii="仿宋" w:hAnsi="仿宋" w:eastAsia="仿宋" w:cs="仿宋_GB2312"/>
          <w:b/>
          <w:bCs/>
        </w:rPr>
        <w:t>以上情形</w:t>
      </w:r>
      <w:r>
        <w:rPr>
          <w:rFonts w:ascii="仿宋" w:hAnsi="仿宋" w:eastAsia="仿宋" w:cs="仿宋_GB2312"/>
          <w:b/>
          <w:bCs/>
        </w:rPr>
        <w:t>，</w:t>
      </w:r>
      <w:r>
        <w:rPr>
          <w:rFonts w:hint="eastAsia" w:ascii="仿宋" w:hAnsi="仿宋" w:eastAsia="仿宋" w:cs="仿宋_GB2312"/>
          <w:b/>
          <w:bCs/>
        </w:rPr>
        <w:t>不影响采购公平、公正性的，采购组织机构可以</w:t>
      </w:r>
      <w:r>
        <w:rPr>
          <w:rFonts w:ascii="仿宋" w:hAnsi="仿宋" w:eastAsia="仿宋" w:cs="仿宋_GB2312"/>
          <w:b/>
          <w:bCs/>
        </w:rPr>
        <w:t>待上述情形消除后继续</w:t>
      </w:r>
      <w:r>
        <w:rPr>
          <w:rFonts w:hint="eastAsia" w:ascii="仿宋" w:hAnsi="仿宋" w:eastAsia="仿宋" w:cs="仿宋_GB2312"/>
          <w:b/>
          <w:bCs/>
        </w:rPr>
        <w:t>组织电子交易</w:t>
      </w:r>
      <w:r>
        <w:rPr>
          <w:rFonts w:ascii="仿宋" w:hAnsi="仿宋" w:eastAsia="仿宋" w:cs="仿宋_GB2312"/>
          <w:b/>
          <w:bCs/>
        </w:rPr>
        <w:t>活动</w:t>
      </w:r>
      <w:r>
        <w:rPr>
          <w:rFonts w:hint="eastAsia" w:ascii="仿宋" w:hAnsi="仿宋" w:eastAsia="仿宋" w:cs="仿宋_GB2312"/>
          <w:b/>
          <w:bCs/>
        </w:rPr>
        <w:t>，也可以决定某些环节以纸质形式进行；影响或可能影响</w:t>
      </w:r>
      <w:r>
        <w:rPr>
          <w:rFonts w:ascii="仿宋" w:hAnsi="仿宋" w:eastAsia="仿宋" w:cs="仿宋_GB2312"/>
          <w:b/>
          <w:bCs/>
        </w:rPr>
        <w:t>采购公平、公正</w:t>
      </w:r>
      <w:r>
        <w:rPr>
          <w:rFonts w:hint="eastAsia" w:ascii="仿宋" w:hAnsi="仿宋" w:eastAsia="仿宋" w:cs="仿宋_GB2312"/>
          <w:b/>
          <w:bCs/>
        </w:rPr>
        <w:t>性</w:t>
      </w:r>
      <w:r>
        <w:rPr>
          <w:rFonts w:ascii="仿宋" w:hAnsi="仿宋" w:eastAsia="仿宋" w:cs="仿宋_GB2312"/>
          <w:b/>
          <w:bCs/>
        </w:rPr>
        <w:t>的，</w:t>
      </w:r>
      <w:r>
        <w:rPr>
          <w:rFonts w:hint="eastAsia" w:ascii="仿宋" w:hAnsi="仿宋" w:eastAsia="仿宋" w:cs="仿宋_GB2312"/>
          <w:b/>
          <w:bCs/>
        </w:rPr>
        <w:t>应当重新采购</w:t>
      </w:r>
      <w:r>
        <w:rPr>
          <w:rFonts w:ascii="仿宋" w:hAnsi="仿宋" w:eastAsia="仿宋" w:cs="仿宋_GB2312"/>
          <w:b/>
          <w:bCs/>
        </w:rPr>
        <w:t>。</w:t>
      </w:r>
    </w:p>
    <w:p>
      <w:pPr>
        <w:pStyle w:val="18"/>
        <w:rPr>
          <w:rFonts w:hint="eastAsia" w:ascii="仿宋" w:hAnsi="仿宋" w:eastAsia="仿宋" w:cs="仿宋_GB2312"/>
          <w:sz w:val="24"/>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九、验收</w:t>
      </w:r>
    </w:p>
    <w:p>
      <w:pPr>
        <w:pStyle w:val="6"/>
        <w:spacing w:line="360" w:lineRule="auto"/>
        <w:ind w:firstLine="0" w:firstLineChars="0"/>
        <w:rPr>
          <w:rFonts w:hint="eastAsia" w:ascii="仿宋" w:hAnsi="仿宋" w:eastAsia="仿宋" w:cs="仿宋_GB2312"/>
          <w:b/>
        </w:rPr>
      </w:pPr>
      <w:r>
        <w:rPr>
          <w:rFonts w:hint="eastAsia" w:ascii="仿宋" w:hAnsi="仿宋" w:eastAsia="仿宋" w:cs="仿宋_GB2312"/>
          <w:b/>
        </w:rPr>
        <w:t>29.验收</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w:t>
      </w:r>
      <w:r>
        <w:rPr>
          <w:rFonts w:hint="eastAsia" w:ascii="仿宋" w:hAnsi="仿宋" w:eastAsia="仿宋" w:cs="Helvetica"/>
          <w:kern w:val="0"/>
          <w:sz w:val="24"/>
          <w:lang w:eastAsia="zh-CN"/>
        </w:rPr>
        <w:t>中华人民共和国民法典</w:t>
      </w:r>
      <w:r>
        <w:rPr>
          <w:rFonts w:hint="eastAsia" w:ascii="仿宋" w:hAnsi="仿宋" w:eastAsia="仿宋" w:cs="Helvetica"/>
          <w:kern w:val="0"/>
          <w:sz w:val="24"/>
        </w:rPr>
        <w:t>》。供应商在履约过程中有政府采购法律法规规定的违法违规情形的，采购人应当及时报告本级财政部门。</w:t>
      </w:r>
    </w:p>
    <w:p>
      <w:pPr>
        <w:pStyle w:val="18"/>
        <w:rPr>
          <w:rFonts w:hint="eastAsia" w:ascii="仿宋" w:hAnsi="仿宋" w:eastAsia="仿宋" w:cs="Helvetica"/>
          <w:kern w:val="0"/>
          <w:sz w:val="24"/>
        </w:rPr>
      </w:pPr>
    </w:p>
    <w:p>
      <w:pPr>
        <w:pStyle w:val="18"/>
        <w:rPr>
          <w:rFonts w:hint="eastAsia" w:ascii="仿宋" w:hAnsi="仿宋" w:eastAsia="仿宋" w:cs="Helvetica"/>
          <w:kern w:val="0"/>
          <w:sz w:val="24"/>
        </w:rPr>
      </w:pPr>
    </w:p>
    <w:p>
      <w:pPr>
        <w:pStyle w:val="18"/>
        <w:numPr>
          <w:ilvl w:val="0"/>
          <w:numId w:val="3"/>
        </w:numPr>
        <w:jc w:val="center"/>
        <w:rPr>
          <w:rFonts w:hint="eastAsia" w:ascii="仿宋" w:hAnsi="仿宋" w:eastAsia="仿宋" w:cs="仿宋_GB2312"/>
          <w:b/>
          <w:sz w:val="36"/>
          <w:szCs w:val="36"/>
        </w:rPr>
      </w:pPr>
      <w:r>
        <w:rPr>
          <w:rFonts w:hint="eastAsia" w:ascii="仿宋" w:hAnsi="仿宋" w:eastAsia="仿宋" w:cs="仿宋_GB2312"/>
          <w:b/>
          <w:sz w:val="36"/>
          <w:szCs w:val="36"/>
        </w:rPr>
        <w:t xml:space="preserve">  采购需求</w:t>
      </w:r>
    </w:p>
    <w:p>
      <w:pPr>
        <w:numPr>
          <w:ilvl w:val="0"/>
          <w:numId w:val="4"/>
        </w:numPr>
        <w:spacing w:line="360" w:lineRule="auto"/>
        <w:rPr>
          <w:rFonts w:ascii="仿宋" w:hAnsi="仿宋" w:eastAsia="仿宋" w:cs="仿宋"/>
          <w:b/>
          <w:bCs/>
          <w:sz w:val="32"/>
          <w:szCs w:val="32"/>
        </w:rPr>
      </w:pPr>
      <w:r>
        <w:rPr>
          <w:rFonts w:hint="eastAsia" w:ascii="仿宋" w:hAnsi="仿宋" w:eastAsia="仿宋" w:cs="仿宋"/>
          <w:b/>
          <w:bCs/>
          <w:sz w:val="32"/>
          <w:szCs w:val="32"/>
        </w:rPr>
        <w:t>采购需求：</w:t>
      </w:r>
    </w:p>
    <w:p>
      <w:pPr>
        <w:spacing w:line="360" w:lineRule="auto"/>
        <w:rPr>
          <w:rFonts w:ascii="仿宋" w:hAnsi="仿宋" w:eastAsia="仿宋" w:cs="仿宋"/>
          <w:b/>
          <w:bCs/>
          <w:sz w:val="32"/>
          <w:szCs w:val="32"/>
        </w:rPr>
      </w:pPr>
      <w:r>
        <w:rPr>
          <w:rFonts w:hint="eastAsia" w:ascii="仿宋" w:hAnsi="仿宋" w:eastAsia="仿宋" w:cs="仿宋"/>
          <w:sz w:val="24"/>
        </w:rPr>
        <w:t xml:space="preserve">采购货物清单    </w:t>
      </w:r>
      <w:r>
        <w:rPr>
          <w:rFonts w:hint="eastAsia" w:ascii="仿宋" w:hAnsi="仿宋" w:eastAsia="仿宋" w:cs="仿宋"/>
          <w:color w:val="000000"/>
          <w:sz w:val="24"/>
        </w:rPr>
        <w:t xml:space="preserve">   </w:t>
      </w:r>
    </w:p>
    <w:tbl>
      <w:tblPr>
        <w:tblStyle w:val="14"/>
        <w:tblW w:w="54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908"/>
        <w:gridCol w:w="1470"/>
        <w:gridCol w:w="3885"/>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5" w:type="pct"/>
            <w:vAlign w:val="center"/>
          </w:tcPr>
          <w:p>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序号</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产品名称</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安装位置</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规格型号（mm）</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智能密集架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五楼南面库房</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一列7节，每节6格，6面门板，每列规格：W6860*D580*H2450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53列，517m³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sz w:val="24"/>
              </w:rPr>
              <w:t>★</w:t>
            </w:r>
            <w:r>
              <w:rPr>
                <w:rFonts w:hint="eastAsia" w:ascii="仿宋" w:hAnsi="仿宋" w:eastAsia="仿宋" w:cs="仿宋"/>
                <w:color w:val="000000"/>
                <w:sz w:val="24"/>
              </w:rPr>
              <w:t>手电动密集架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六-八楼北面、南面库房</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一列7节，每节6格，6面门板，每列规格：W6860*D580*H2450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318列，3100m³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sz w:val="24"/>
              </w:rPr>
              <w:t>★</w:t>
            </w:r>
            <w:r>
              <w:rPr>
                <w:rFonts w:hint="eastAsia" w:ascii="仿宋" w:hAnsi="仿宋" w:eastAsia="仿宋" w:cs="仿宋"/>
                <w:color w:val="000000"/>
                <w:sz w:val="24"/>
              </w:rPr>
              <w:t>手电动密集架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六-八楼东面、西面库房</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一列4节，每节6格，2面门板，每列规格：W3920*D580*H2450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90列，501m³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sz w:val="24"/>
              </w:rPr>
              <w:t>★</w:t>
            </w:r>
            <w:r>
              <w:rPr>
                <w:rFonts w:hint="eastAsia" w:ascii="仿宋" w:hAnsi="仿宋" w:eastAsia="仿宋" w:cs="仿宋"/>
                <w:color w:val="000000"/>
                <w:sz w:val="24"/>
              </w:rPr>
              <w:t>手电动密集架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九—十二楼南、北面库房</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一列7节，每节6格，4面门板，每列规格：W6860*D580*H2450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440列，4289m³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sz w:val="24"/>
              </w:rPr>
              <w:t>★</w:t>
            </w:r>
            <w:r>
              <w:rPr>
                <w:rFonts w:hint="eastAsia" w:ascii="仿宋" w:hAnsi="仿宋" w:eastAsia="仿宋" w:cs="仿宋"/>
                <w:color w:val="000000"/>
                <w:sz w:val="24"/>
              </w:rPr>
              <w:t>手电动密集架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九--十二楼东、西面库房</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一列4节，每节6格，2面门板，每列规格：W3920*D580*H2450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120列，668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手电动图书期刊密集架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十三楼北面库房西侧</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一列7节，每节6格，2面门板，每列规格：W6860*D580*H2450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26列，253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手电动报纸密集架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十三楼北面库房东侧</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一列5节，每节12格，2面门板，每列规格：W6860*D900*H2450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16列，242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手电动实物密集架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十三楼南面库房东侧</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一列7节，每节6格，双面门板，每列规格：W6860*D580*H2450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26列，253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9</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手电动奖牌、奖杯密集架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十三楼南面库房中间</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一列7节，每节6格，单面门板，每列规格：W6860*D580*H2450，其中八列为插入式奖牌密集架，六列为奖杯密集架。</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14列，136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手电动抽屉柜密集架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十三楼西面库房南侧</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抽屉柜类，一列4节， 每节平分12格抽屉，抽屉内四周铺樟木板。每列规格：W3920*D700*H2450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2列，13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手电动网格挂画架密集架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十三楼西面库房南侧</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一列4节，左边两节450mm以下平分2层抽屉，450mm以上部分平分4格抽拉挡板(安装滑轨)，右边两节安装挂网架（双面使用），挂画网采用直径5mm钢管，配置醒目标签牌。</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每列规格：W3920*D1000*H2450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2列，19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手电动书画架（卷轴装盒插入平放）</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十三楼西面库房北侧</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书画架类：一列4节，每节平分10格，（卷轴装盒插入平放）每列规格：W3920*D1000*H2450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3列，29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13</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樟木柜</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十三楼西面库房南侧</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全实木，四层，</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每只规格：W900*D450*H2000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12只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14</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防磁柜</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十三楼东面库房</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高度1800</w:t>
            </w:r>
            <w:r>
              <w:rPr>
                <w:rFonts w:hint="eastAsia" w:ascii="仿宋" w:hAnsi="仿宋" w:eastAsia="仿宋" w:cs="仿宋"/>
                <w:color w:val="000000"/>
                <w:kern w:val="0"/>
                <w:sz w:val="24"/>
              </w:rPr>
              <w:t xml:space="preserve"> mm，宽度和深度500 mm左右，</w:t>
            </w:r>
            <w:r>
              <w:rPr>
                <w:rFonts w:hint="eastAsia" w:ascii="仿宋" w:hAnsi="仿宋" w:eastAsia="仿宋" w:cs="仿宋"/>
                <w:color w:val="000000"/>
                <w:sz w:val="24"/>
              </w:rPr>
              <w:t>容量≥300L，7-9个抽屉。</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10只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15</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挂板、搁板</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各楼层加配</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手电动密集架同款</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1000套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16</w:t>
            </w:r>
          </w:p>
        </w:tc>
        <w:tc>
          <w:tcPr>
            <w:tcW w:w="945" w:type="pct"/>
            <w:vAlign w:val="center"/>
          </w:tcPr>
          <w:p>
            <w:pPr>
              <w:spacing w:line="300" w:lineRule="exact"/>
              <w:jc w:val="center"/>
              <w:rPr>
                <w:rFonts w:ascii="仿宋" w:hAnsi="仿宋" w:eastAsia="仿宋" w:cs="仿宋"/>
                <w:b/>
                <w:color w:val="000000"/>
                <w:sz w:val="24"/>
              </w:rPr>
            </w:pPr>
            <w:r>
              <w:rPr>
                <w:rFonts w:hint="eastAsia" w:ascii="仿宋" w:hAnsi="仿宋" w:eastAsia="仿宋" w:cs="仿宋"/>
                <w:color w:val="000000"/>
                <w:sz w:val="24"/>
              </w:rPr>
              <w:t>真空充氮杀虫灭菌消毒机</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负一层档案消毒室</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一体机，W2800×D2500×H2200mm，容积≥5立方米，制氮量每小时大于5立方，氮气纯度达99.99%以上。</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17</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臭氧消毒柜</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负一层档案消毒室</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消毒柜(全钢)容积：≥320L</w:t>
            </w:r>
            <w:r>
              <w:rPr>
                <w:rFonts w:hint="eastAsia" w:ascii="仿宋" w:hAnsi="仿宋" w:eastAsia="仿宋" w:cs="仿宋"/>
                <w:color w:val="000000"/>
                <w:sz w:val="24"/>
              </w:rPr>
              <w:br w:type="textWrapping"/>
            </w:r>
            <w:r>
              <w:rPr>
                <w:rFonts w:hint="eastAsia" w:ascii="仿宋" w:hAnsi="仿宋" w:eastAsia="仿宋" w:cs="仿宋"/>
                <w:color w:val="000000"/>
                <w:sz w:val="24"/>
              </w:rPr>
              <w:t>托盘层数：4层，电源：220V/50Hz</w:t>
            </w:r>
            <w:r>
              <w:rPr>
                <w:rFonts w:hint="eastAsia" w:ascii="仿宋" w:hAnsi="仿宋" w:eastAsia="仿宋" w:cs="仿宋"/>
                <w:color w:val="000000"/>
                <w:sz w:val="24"/>
              </w:rPr>
              <w:br w:type="textWrapping"/>
            </w:r>
            <w:r>
              <w:rPr>
                <w:rFonts w:hint="eastAsia" w:ascii="仿宋" w:hAnsi="仿宋" w:eastAsia="仿宋" w:cs="仿宋"/>
                <w:color w:val="000000"/>
                <w:sz w:val="24"/>
              </w:rPr>
              <w:t>臭氧发生量：1000 mg/h</w:t>
            </w:r>
            <w:r>
              <w:rPr>
                <w:rFonts w:hint="eastAsia" w:ascii="仿宋" w:hAnsi="仿宋" w:eastAsia="仿宋" w:cs="仿宋"/>
                <w:color w:val="000000"/>
                <w:sz w:val="24"/>
              </w:rPr>
              <w:br w:type="textWrapping"/>
            </w:r>
            <w:r>
              <w:rPr>
                <w:rFonts w:hint="eastAsia" w:ascii="仿宋" w:hAnsi="仿宋" w:eastAsia="仿宋" w:cs="仿宋"/>
                <w:color w:val="000000"/>
                <w:sz w:val="24"/>
              </w:rPr>
              <w:t>控制方式：微电脑自动控制</w:t>
            </w:r>
            <w:r>
              <w:rPr>
                <w:rFonts w:hint="eastAsia" w:ascii="仿宋" w:hAnsi="仿宋" w:eastAsia="仿宋" w:cs="仿宋"/>
                <w:color w:val="000000"/>
                <w:sz w:val="24"/>
              </w:rPr>
              <w:br w:type="textWrapping"/>
            </w:r>
            <w:r>
              <w:rPr>
                <w:rFonts w:hint="eastAsia" w:ascii="仿宋" w:hAnsi="仿宋" w:eastAsia="仿宋" w:cs="仿宋"/>
                <w:color w:val="000000"/>
                <w:sz w:val="24"/>
              </w:rPr>
              <w:t>尺寸：500*550*1650mm左右</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18</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三层小推车</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各楼层库房</w:t>
            </w:r>
          </w:p>
        </w:tc>
        <w:tc>
          <w:tcPr>
            <w:tcW w:w="1924" w:type="pct"/>
            <w:vAlign w:val="center"/>
          </w:tcPr>
          <w:p>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rPr>
              <w:t>车外框采用壁厚≥1.2mm,隔板采用≥1.2mm,底层采用≥2mm。滚轮采用优质万向轮，车轮直径≥120mm，满载后灵活无噪音，车轮可自由调换。</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35辆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19</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折叠平板手推车</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库房各楼层</w:t>
            </w:r>
          </w:p>
        </w:tc>
        <w:tc>
          <w:tcPr>
            <w:tcW w:w="1924" w:type="pct"/>
            <w:vAlign w:val="center"/>
          </w:tcPr>
          <w:p>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rPr>
              <w:t>载重≥300KG,尺寸：</w:t>
            </w:r>
            <w:r>
              <w:rPr>
                <w:rFonts w:hint="eastAsia" w:ascii="仿宋" w:hAnsi="仿宋" w:eastAsia="仿宋" w:cs="仿宋"/>
                <w:color w:val="000000"/>
                <w:sz w:val="24"/>
              </w:rPr>
              <w:t>W1000×D600mm左右，车把可折叠式。</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9辆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三步登高梯</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各楼层库房</w:t>
            </w:r>
          </w:p>
        </w:tc>
        <w:tc>
          <w:tcPr>
            <w:tcW w:w="1924" w:type="pct"/>
            <w:vAlign w:val="center"/>
          </w:tcPr>
          <w:p>
            <w:pPr>
              <w:spacing w:line="300" w:lineRule="exact"/>
              <w:jc w:val="center"/>
              <w:rPr>
                <w:rFonts w:ascii="仿宋" w:hAnsi="仿宋" w:eastAsia="仿宋" w:cs="仿宋"/>
                <w:b/>
                <w:color w:val="000000"/>
                <w:sz w:val="24"/>
              </w:rPr>
            </w:pPr>
            <w:r>
              <w:rPr>
                <w:rFonts w:hint="eastAsia" w:ascii="仿宋" w:hAnsi="仿宋" w:eastAsia="仿宋" w:cs="仿宋"/>
                <w:color w:val="000000"/>
                <w:sz w:val="24"/>
              </w:rPr>
              <w:t>可折叠，承重</w:t>
            </w:r>
            <w:r>
              <w:rPr>
                <w:rFonts w:hint="eastAsia" w:ascii="仿宋" w:hAnsi="仿宋" w:eastAsia="仿宋" w:cs="仿宋"/>
                <w:bCs/>
                <w:color w:val="000000"/>
                <w:sz w:val="24"/>
              </w:rPr>
              <w:t>≥100KG,触及高度≥2.7mm,</w:t>
            </w:r>
            <w:r>
              <w:rPr>
                <w:rFonts w:hint="eastAsia" w:ascii="仿宋" w:hAnsi="仿宋" w:eastAsia="仿宋" w:cs="仿宋"/>
                <w:b/>
                <w:color w:val="000000"/>
                <w:sz w:val="24"/>
                <w:shd w:val="clear" w:color="auto" w:fill="FFFFFF"/>
              </w:rPr>
              <w:t xml:space="preserve"> </w:t>
            </w:r>
            <w:r>
              <w:rPr>
                <w:rStyle w:val="16"/>
                <w:rFonts w:hint="eastAsia" w:ascii="仿宋" w:hAnsi="仿宋" w:eastAsia="仿宋" w:cs="仿宋"/>
                <w:b w:val="0"/>
                <w:color w:val="000000"/>
                <w:sz w:val="24"/>
                <w:shd w:val="clear" w:color="auto" w:fill="FFFFFF"/>
              </w:rPr>
              <w:t>踏板间距</w:t>
            </w:r>
            <w:r>
              <w:rPr>
                <w:rFonts w:hint="eastAsia" w:ascii="仿宋" w:hAnsi="仿宋" w:eastAsia="仿宋" w:cs="仿宋"/>
                <w:bCs/>
                <w:color w:val="000000"/>
                <w:sz w:val="24"/>
              </w:rPr>
              <w:t>≥24cm，</w:t>
            </w:r>
            <w:r>
              <w:rPr>
                <w:rStyle w:val="16"/>
                <w:rFonts w:hint="eastAsia" w:ascii="仿宋" w:hAnsi="仿宋" w:eastAsia="仿宋" w:cs="仿宋"/>
                <w:b w:val="0"/>
                <w:color w:val="000000"/>
                <w:sz w:val="24"/>
                <w:shd w:val="clear" w:color="auto" w:fill="FFFFFF"/>
              </w:rPr>
              <w:t>底脚防滑处理，颜色黑、白或黑白混色。</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35部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21</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移动式升降梯</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库房各楼层</w:t>
            </w:r>
          </w:p>
        </w:tc>
        <w:tc>
          <w:tcPr>
            <w:tcW w:w="1924" w:type="pct"/>
            <w:vAlign w:val="center"/>
          </w:tcPr>
          <w:p>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rPr>
              <w:t>载重负荷≥300KG，起升高度：</w:t>
            </w:r>
          </w:p>
          <w:p>
            <w:pPr>
              <w:spacing w:line="300" w:lineRule="exact"/>
              <w:rPr>
                <w:rFonts w:ascii="仿宋" w:hAnsi="仿宋" w:eastAsia="仿宋" w:cs="仿宋"/>
                <w:bCs/>
                <w:color w:val="000000"/>
                <w:sz w:val="24"/>
              </w:rPr>
            </w:pPr>
            <w:r>
              <w:rPr>
                <w:rFonts w:hint="eastAsia" w:ascii="仿宋" w:hAnsi="仿宋" w:eastAsia="仿宋" w:cs="仿宋"/>
                <w:bCs/>
                <w:color w:val="000000"/>
                <w:sz w:val="24"/>
              </w:rPr>
              <w:t>4M，功率：220V电源，设有液压安全保护系统，外型尺寸：</w:t>
            </w:r>
            <w:r>
              <w:rPr>
                <w:rFonts w:hint="eastAsia" w:ascii="仿宋" w:hAnsi="仿宋" w:eastAsia="仿宋" w:cs="仿宋"/>
                <w:color w:val="000000"/>
                <w:sz w:val="24"/>
              </w:rPr>
              <w:t>W2000×D1000×H1000mm左右，工作台面1500×750 mm左右，整机重量≤500KG.</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2部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spacing w:line="320" w:lineRule="exact"/>
              <w:ind w:firstLine="482" w:firstLineChars="200"/>
              <w:rPr>
                <w:rFonts w:hint="eastAsia" w:ascii="仿宋" w:hAnsi="仿宋" w:eastAsia="仿宋" w:cs="仿宋"/>
                <w:b/>
                <w:color w:val="000000"/>
                <w:sz w:val="24"/>
              </w:rPr>
            </w:pPr>
          </w:p>
        </w:tc>
        <w:tc>
          <w:tcPr>
            <w:tcW w:w="4564" w:type="pct"/>
            <w:gridSpan w:val="4"/>
            <w:vAlign w:val="center"/>
          </w:tcPr>
          <w:p>
            <w:pPr>
              <w:spacing w:line="32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1、预留轨道间距160mm,实际间距不得≤130 mm。</w:t>
            </w:r>
          </w:p>
          <w:p>
            <w:pPr>
              <w:spacing w:line="32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2、工期60天（日历日），安装时间视装修情况而定。</w:t>
            </w:r>
          </w:p>
          <w:p>
            <w:pPr>
              <w:spacing w:line="320" w:lineRule="exact"/>
              <w:ind w:firstLine="482" w:firstLineChars="200"/>
              <w:rPr>
                <w:rFonts w:ascii="仿宋" w:hAnsi="仿宋" w:eastAsia="仿宋" w:cs="仿宋"/>
                <w:color w:val="000000"/>
                <w:sz w:val="24"/>
              </w:rPr>
            </w:pPr>
            <w:r>
              <w:rPr>
                <w:rFonts w:hint="eastAsia" w:ascii="仿宋" w:hAnsi="仿宋" w:eastAsia="仿宋" w:cs="仿宋"/>
                <w:b/>
                <w:color w:val="000000"/>
                <w:sz w:val="24"/>
              </w:rPr>
              <w:t>3、以上密集架数量为暂定，结算时按实际供货数量×各规格密集架单价以合价调整结算总价。</w:t>
            </w:r>
          </w:p>
        </w:tc>
      </w:tr>
    </w:tbl>
    <w:p>
      <w:pPr>
        <w:spacing w:line="400" w:lineRule="exact"/>
        <w:jc w:val="left"/>
        <w:rPr>
          <w:rFonts w:ascii="仿宋" w:hAnsi="仿宋" w:eastAsia="仿宋" w:cs="仿宋"/>
          <w:b/>
          <w:color w:val="000000"/>
          <w:sz w:val="24"/>
        </w:rPr>
      </w:pPr>
      <w:r>
        <w:rPr>
          <w:rFonts w:hint="eastAsia" w:ascii="仿宋" w:hAnsi="仿宋" w:eastAsia="仿宋" w:cs="仿宋"/>
          <w:color w:val="000000"/>
          <w:sz w:val="24"/>
        </w:rPr>
        <w:t xml:space="preserve">   </w:t>
      </w:r>
      <w:r>
        <w:rPr>
          <w:rFonts w:hint="eastAsia" w:ascii="仿宋" w:hAnsi="仿宋" w:eastAsia="仿宋" w:cs="仿宋"/>
          <w:b/>
          <w:color w:val="000000"/>
          <w:sz w:val="24"/>
        </w:rPr>
        <w:t xml:space="preserve"> </w:t>
      </w:r>
    </w:p>
    <w:p>
      <w:pPr>
        <w:spacing w:line="400" w:lineRule="exact"/>
        <w:rPr>
          <w:rFonts w:ascii="仿宋" w:hAnsi="仿宋" w:eastAsia="仿宋" w:cs="仿宋"/>
          <w:b/>
          <w:color w:val="000000"/>
          <w:sz w:val="24"/>
        </w:rPr>
      </w:pPr>
      <w:r>
        <w:rPr>
          <w:rFonts w:hint="eastAsia" w:ascii="仿宋" w:hAnsi="仿宋" w:eastAsia="仿宋" w:cs="仿宋"/>
          <w:b/>
          <w:color w:val="000000"/>
          <w:sz w:val="24"/>
        </w:rPr>
        <w:t>主要执行标准：</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DA/T7-92  直列式档案密集架</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DA/T65-2017档案密集架智能管理系统技术要求</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GB/T13667.1—2015《钢制书架通用技术条件》</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GB/T13667.3-2013　手动密集架技术条件</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GB/T13667.4-2013  电动密集架技术条件</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GB/T3325-2008《金属家具通用技术条件》</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GB/T1951.2-1994《金属家具质量检验及质量评定》</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kern w:val="0"/>
          <w:sz w:val="24"/>
        </w:rPr>
        <w:t>GB/T 27703—2011 信息与文献 图书馆和档案馆的文献保存要求</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GB/T11253-2007《碳素结构钢冷轧薄钢板和钢带》</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GB/T13237-1991优质碳素结构钢冷轧薄钢板和钢带</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GB/T710-1991  优质碳素结构钢热轧薄钢板和钢带</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GB/T711-2008  优质碳素结构钢热轧厚钢板和钢带</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GB/T708-2006  冷轧钢板和钢带的尺寸、外型、重量及允许公差</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GB/T709-2006  热轧钢板和钢带的尺寸、外型、重量及允许公差</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kern w:val="0"/>
          <w:sz w:val="24"/>
        </w:rPr>
        <w:t>GB 5226.1—2008 机械电气安全 机械电气设备 第1部分：通用技术条件</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GB6807-86  钢铁工业涂漆前磷化处理技术条件</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GB1720-1979（1989）漆膜附着力测定法</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GB1732-1993   漆膜耐冲击测定法</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GB1763-1979（1989）漆膜耐化学试剂性测定法</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GB1764-1979（1989）漆膜厚度测定法</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GB1804-2000   公差与配合未注公差尺寸的极限偏差</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GB8162-2008   结构用无缝管</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GB4357-1989   碳素弹簧钢丝</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 19517-2004 《国家电器设备安全技术规范》</w:t>
      </w:r>
    </w:p>
    <w:p>
      <w:pPr>
        <w:pStyle w:val="28"/>
        <w:spacing w:line="480" w:lineRule="exact"/>
        <w:ind w:firstLine="480"/>
        <w:rPr>
          <w:rFonts w:ascii="仿宋" w:hAnsi="仿宋" w:eastAsia="仿宋" w:cs="仿宋"/>
          <w:color w:val="000000"/>
        </w:rPr>
      </w:pPr>
      <w:r>
        <w:rPr>
          <w:rFonts w:hint="eastAsia" w:ascii="仿宋" w:hAnsi="仿宋" w:eastAsia="仿宋" w:cs="仿宋"/>
          <w:color w:val="000000"/>
          <w:sz w:val="24"/>
        </w:rPr>
        <w:t>本项目不限于上述所列标准，如上述所列标准和现行最新标准或新增标准</w:t>
      </w:r>
      <w:r>
        <w:rPr>
          <w:rFonts w:hint="eastAsia" w:ascii="仿宋" w:hAnsi="仿宋" w:eastAsia="仿宋" w:cs="仿宋"/>
          <w:color w:val="000000"/>
          <w:sz w:val="24"/>
          <w:lang w:eastAsia="zh-CN"/>
        </w:rPr>
        <w:t>，</w:t>
      </w:r>
      <w:r>
        <w:rPr>
          <w:rFonts w:hint="eastAsia" w:ascii="仿宋" w:hAnsi="仿宋" w:eastAsia="仿宋" w:cs="仿宋"/>
          <w:color w:val="000000"/>
          <w:sz w:val="24"/>
        </w:rPr>
        <w:t>有冲突的，以现行或新增的标准为准。</w:t>
      </w:r>
    </w:p>
    <w:p>
      <w:pPr>
        <w:jc w:val="left"/>
        <w:rPr>
          <w:rFonts w:ascii="仿宋" w:hAnsi="仿宋" w:eastAsia="仿宋" w:cs="仿宋"/>
          <w:b/>
          <w:bCs/>
          <w:color w:val="000000"/>
          <w:sz w:val="28"/>
          <w:szCs w:val="28"/>
        </w:rPr>
      </w:pPr>
      <w:r>
        <w:rPr>
          <w:rFonts w:hint="eastAsia" w:ascii="仿宋" w:hAnsi="仿宋" w:eastAsia="仿宋" w:cs="仿宋"/>
          <w:b/>
          <w:bCs/>
          <w:color w:val="000000"/>
          <w:sz w:val="28"/>
          <w:szCs w:val="28"/>
        </w:rPr>
        <w:t>手电动密集架基本要求</w:t>
      </w:r>
    </w:p>
    <w:p>
      <w:pPr>
        <w:spacing w:line="400" w:lineRule="exact"/>
        <w:rPr>
          <w:rFonts w:ascii="仿宋" w:hAnsi="仿宋" w:eastAsia="仿宋" w:cs="仿宋"/>
          <w:b/>
          <w:color w:val="000000"/>
          <w:sz w:val="24"/>
        </w:rPr>
      </w:pPr>
      <w:r>
        <w:rPr>
          <w:rFonts w:hint="eastAsia" w:ascii="仿宋" w:hAnsi="仿宋" w:eastAsia="仿宋" w:cs="仿宋"/>
          <w:b/>
          <w:color w:val="000000"/>
          <w:sz w:val="24"/>
        </w:rPr>
        <w:t>（一）功能要求</w:t>
      </w:r>
    </w:p>
    <w:tbl>
      <w:tblPr>
        <w:tblStyle w:val="14"/>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55"/>
        <w:gridCol w:w="82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ind w:right="-107" w:hanging="107"/>
              <w:jc w:val="center"/>
              <w:rPr>
                <w:rFonts w:ascii="仿宋" w:hAnsi="仿宋" w:eastAsia="仿宋" w:cs="仿宋"/>
                <w:color w:val="000000"/>
                <w:sz w:val="24"/>
              </w:rPr>
            </w:pPr>
            <w:r>
              <w:rPr>
                <w:rFonts w:hint="eastAsia" w:ascii="仿宋" w:hAnsi="仿宋" w:eastAsia="仿宋" w:cs="仿宋"/>
                <w:b/>
                <w:color w:val="000000"/>
                <w:kern w:val="0"/>
                <w:sz w:val="24"/>
              </w:rPr>
              <w:t>序号</w:t>
            </w: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tcPr>
          <w:p>
            <w:pPr>
              <w:widowControl/>
              <w:spacing w:before="100" w:beforeAutospacing="1" w:after="100" w:afterAutospacing="1" w:line="400" w:lineRule="atLeast"/>
              <w:ind w:left="-51" w:right="-51"/>
              <w:jc w:val="center"/>
              <w:rPr>
                <w:rFonts w:ascii="仿宋" w:hAnsi="仿宋" w:eastAsia="仿宋" w:cs="仿宋"/>
                <w:color w:val="000000"/>
                <w:sz w:val="24"/>
              </w:rPr>
            </w:pPr>
            <w:r>
              <w:rPr>
                <w:rFonts w:hint="eastAsia" w:ascii="仿宋" w:hAnsi="仿宋" w:eastAsia="仿宋" w:cs="仿宋"/>
                <w:b/>
                <w:color w:val="000000"/>
                <w:kern w:val="0"/>
                <w:sz w:val="24"/>
              </w:rPr>
              <w:t>功能要求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568" w:type="pct"/>
            <w:vMerge w:val="restart"/>
            <w:tcBorders>
              <w:top w:val="single" w:color="auto" w:sz="8" w:space="0"/>
              <w:left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ind w:left="-51" w:right="-51"/>
              <w:jc w:val="center"/>
              <w:rPr>
                <w:rFonts w:ascii="仿宋" w:hAnsi="仿宋" w:eastAsia="仿宋" w:cs="仿宋"/>
                <w:color w:val="000000"/>
                <w:sz w:val="24"/>
              </w:rPr>
            </w:pPr>
            <w:r>
              <w:rPr>
                <w:rFonts w:hint="eastAsia" w:ascii="仿宋" w:hAnsi="仿宋" w:eastAsia="仿宋" w:cs="仿宋"/>
                <w:color w:val="000000"/>
                <w:kern w:val="0"/>
                <w:sz w:val="24"/>
              </w:rPr>
              <w:t>第一部分基本功能</w:t>
            </w: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sz w:val="24"/>
              </w:rPr>
            </w:pPr>
            <w:r>
              <w:rPr>
                <w:rFonts w:hint="eastAsia" w:ascii="仿宋" w:hAnsi="仿宋" w:eastAsia="仿宋" w:cs="仿宋"/>
                <w:color w:val="000000"/>
                <w:kern w:val="0"/>
                <w:sz w:val="24"/>
              </w:rPr>
              <w:t>手动、电动控制为一体，可分开独立操作，互相独立，互不影响，支持无缝升级。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63" w:hRule="atLeast"/>
          <w:jc w:val="center"/>
        </w:trPr>
        <w:tc>
          <w:tcPr>
            <w:tcW w:w="568" w:type="pct"/>
            <w:vMerge w:val="continue"/>
            <w:tcBorders>
              <w:left w:val="single" w:color="auto" w:sz="8" w:space="0"/>
              <w:right w:val="single" w:color="auto" w:sz="8" w:space="0"/>
            </w:tcBorders>
            <w:tcMar>
              <w:left w:w="108" w:type="dxa"/>
              <w:right w:w="108" w:type="dxa"/>
            </w:tcMar>
            <w:vAlign w:val="center"/>
          </w:tcPr>
          <w:p>
            <w:pPr>
              <w:rPr>
                <w:rFonts w:ascii="仿宋" w:hAnsi="仿宋" w:eastAsia="仿宋" w:cs="仿宋"/>
                <w:color w:val="000000"/>
                <w:sz w:val="24"/>
              </w:rPr>
            </w:pP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sz w:val="24"/>
              </w:rPr>
            </w:pPr>
            <w:r>
              <w:rPr>
                <w:rFonts w:hint="eastAsia" w:ascii="仿宋" w:hAnsi="仿宋" w:eastAsia="仿宋" w:cs="仿宋"/>
                <w:color w:val="000000"/>
                <w:kern w:val="0"/>
                <w:sz w:val="24"/>
              </w:rPr>
              <w:t>架体运行具有低速起动、高速运行，无碰撞着陆功能。</w:t>
            </w:r>
            <w:r>
              <w:rPr>
                <w:rFonts w:hint="eastAsia" w:ascii="仿宋" w:hAnsi="仿宋" w:eastAsia="仿宋" w:cs="仿宋"/>
                <w:color w:val="000000"/>
                <w:sz w:val="24"/>
              </w:rPr>
              <w:t>电动时速度每分钟不小于3.8m。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568" w:type="pct"/>
            <w:vMerge w:val="continue"/>
            <w:tcBorders>
              <w:left w:val="single" w:color="auto" w:sz="8" w:space="0"/>
              <w:right w:val="single" w:color="auto" w:sz="8" w:space="0"/>
            </w:tcBorders>
            <w:tcMar>
              <w:left w:w="108" w:type="dxa"/>
              <w:right w:w="108" w:type="dxa"/>
            </w:tcMar>
            <w:vAlign w:val="center"/>
          </w:tcPr>
          <w:p>
            <w:pPr>
              <w:rPr>
                <w:rFonts w:ascii="仿宋" w:hAnsi="仿宋" w:eastAsia="仿宋" w:cs="仿宋"/>
                <w:color w:val="000000"/>
                <w:sz w:val="24"/>
              </w:rPr>
            </w:pP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sz w:val="24"/>
              </w:rPr>
            </w:pPr>
            <w:r>
              <w:rPr>
                <w:rFonts w:hint="eastAsia" w:ascii="仿宋" w:hAnsi="仿宋" w:eastAsia="仿宋" w:cs="仿宋"/>
                <w:color w:val="000000"/>
                <w:kern w:val="0"/>
                <w:sz w:val="24"/>
              </w:rPr>
              <w:t>电动控制系统故障自检功能：具有断电保护，故障诊断和信息保护及恢复。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568" w:type="pct"/>
            <w:vMerge w:val="continue"/>
            <w:tcBorders>
              <w:left w:val="single" w:color="auto" w:sz="8" w:space="0"/>
              <w:right w:val="single" w:color="auto" w:sz="8" w:space="0"/>
            </w:tcBorders>
            <w:tcMar>
              <w:left w:w="108" w:type="dxa"/>
              <w:right w:w="108" w:type="dxa"/>
            </w:tcMar>
            <w:vAlign w:val="center"/>
          </w:tcPr>
          <w:p>
            <w:pPr>
              <w:rPr>
                <w:rFonts w:ascii="仿宋" w:hAnsi="仿宋" w:eastAsia="仿宋" w:cs="仿宋"/>
                <w:color w:val="000000"/>
                <w:sz w:val="24"/>
              </w:rPr>
            </w:pP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sz w:val="24"/>
              </w:rPr>
            </w:pPr>
            <w:r>
              <w:rPr>
                <w:rFonts w:hint="eastAsia" w:ascii="仿宋" w:hAnsi="仿宋" w:eastAsia="仿宋" w:cs="仿宋"/>
                <w:color w:val="000000"/>
                <w:kern w:val="0"/>
                <w:sz w:val="24"/>
              </w:rPr>
              <w:t>具备左动、右动及左右动双开架体结构。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568" w:type="pct"/>
            <w:vMerge w:val="continue"/>
            <w:tcBorders>
              <w:left w:val="single" w:color="auto" w:sz="8" w:space="0"/>
              <w:right w:val="single" w:color="auto" w:sz="8" w:space="0"/>
            </w:tcBorders>
            <w:tcMar>
              <w:left w:w="108" w:type="dxa"/>
              <w:right w:w="108" w:type="dxa"/>
            </w:tcMar>
            <w:vAlign w:val="center"/>
          </w:tcPr>
          <w:p>
            <w:pPr>
              <w:rPr>
                <w:rFonts w:ascii="仿宋" w:hAnsi="仿宋" w:eastAsia="仿宋" w:cs="仿宋"/>
                <w:color w:val="000000"/>
                <w:sz w:val="24"/>
              </w:rPr>
            </w:pP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sz w:val="24"/>
              </w:rPr>
            </w:pPr>
            <w:r>
              <w:rPr>
                <w:rFonts w:hint="eastAsia" w:ascii="仿宋" w:hAnsi="仿宋" w:eastAsia="仿宋" w:cs="仿宋"/>
                <w:color w:val="000000"/>
                <w:kern w:val="0"/>
                <w:sz w:val="24"/>
              </w:rPr>
              <w:t>电机需配备电子离合器，在停电时自动切换手动状态，方便手动操作时运行轻便。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568" w:type="pct"/>
            <w:vMerge w:val="continue"/>
            <w:tcBorders>
              <w:left w:val="single" w:color="auto" w:sz="8" w:space="0"/>
              <w:right w:val="single" w:color="auto" w:sz="8" w:space="0"/>
            </w:tcBorders>
            <w:tcMar>
              <w:left w:w="108" w:type="dxa"/>
              <w:right w:w="108" w:type="dxa"/>
            </w:tcMar>
            <w:vAlign w:val="center"/>
          </w:tcPr>
          <w:p>
            <w:pPr>
              <w:rPr>
                <w:rFonts w:ascii="仿宋" w:hAnsi="仿宋" w:eastAsia="仿宋" w:cs="仿宋"/>
                <w:color w:val="000000"/>
                <w:sz w:val="24"/>
              </w:rPr>
            </w:pP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kern w:val="0"/>
                <w:sz w:val="24"/>
              </w:rPr>
            </w:pPr>
            <w:r>
              <w:rPr>
                <w:rFonts w:hint="eastAsia" w:ascii="仿宋" w:hAnsi="仿宋" w:eastAsia="仿宋" w:cs="仿宋"/>
                <w:color w:val="000000"/>
                <w:kern w:val="0"/>
                <w:sz w:val="24"/>
              </w:rPr>
              <w:t>触控开关操作：通过按钮能完成开启、停止、关灯等所有操作，使操作更架简单、便利。触控开关上配有LED指定灯。移动列运行时有通道显示灯闪烁指示，移动停止时长明指示灯。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568" w:type="pct"/>
            <w:vMerge w:val="continue"/>
            <w:tcBorders>
              <w:left w:val="single" w:color="auto" w:sz="8" w:space="0"/>
              <w:bottom w:val="single" w:color="auto" w:sz="8" w:space="0"/>
              <w:right w:val="single" w:color="auto" w:sz="8" w:space="0"/>
            </w:tcBorders>
            <w:tcMar>
              <w:left w:w="108" w:type="dxa"/>
              <w:right w:w="108" w:type="dxa"/>
            </w:tcMar>
            <w:vAlign w:val="center"/>
          </w:tcPr>
          <w:p>
            <w:pPr>
              <w:rPr>
                <w:rFonts w:ascii="仿宋" w:hAnsi="仿宋" w:eastAsia="仿宋" w:cs="仿宋"/>
                <w:color w:val="000000"/>
                <w:sz w:val="24"/>
              </w:rPr>
            </w:pP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60" w:lineRule="auto"/>
              <w:rPr>
                <w:rFonts w:ascii="仿宋" w:hAnsi="仿宋" w:eastAsia="仿宋" w:cs="仿宋"/>
                <w:color w:val="000000"/>
                <w:sz w:val="24"/>
              </w:rPr>
            </w:pPr>
            <w:r>
              <w:rPr>
                <w:rFonts w:hint="eastAsia" w:ascii="仿宋" w:hAnsi="仿宋" w:eastAsia="仿宋" w:cs="仿宋"/>
                <w:color w:val="000000"/>
                <w:kern w:val="0"/>
                <w:sz w:val="24"/>
              </w:rPr>
              <w:t>照明系统：每列顶部安装有LED灯。每个区域主控列上还需安装电源控制装置；灯具应为知名品牌。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46" w:hRule="atLeast"/>
          <w:jc w:val="center"/>
        </w:trPr>
        <w:tc>
          <w:tcPr>
            <w:tcW w:w="568" w:type="pct"/>
            <w:vMerge w:val="restart"/>
            <w:tcBorders>
              <w:top w:val="single" w:color="auto" w:sz="8" w:space="0"/>
              <w:left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ind w:left="-51" w:right="-51"/>
              <w:jc w:val="center"/>
              <w:rPr>
                <w:rFonts w:ascii="仿宋" w:hAnsi="仿宋" w:eastAsia="仿宋" w:cs="仿宋"/>
                <w:color w:val="000000"/>
                <w:sz w:val="24"/>
              </w:rPr>
            </w:pPr>
            <w:r>
              <w:rPr>
                <w:rFonts w:hint="eastAsia" w:ascii="仿宋" w:hAnsi="仿宋" w:eastAsia="仿宋" w:cs="仿宋"/>
                <w:color w:val="000000"/>
                <w:kern w:val="0"/>
                <w:sz w:val="24"/>
              </w:rPr>
              <w:t>第二部分人体安全保护功能</w:t>
            </w: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sz w:val="24"/>
              </w:rPr>
            </w:pPr>
            <w:r>
              <w:rPr>
                <w:rFonts w:hint="eastAsia" w:ascii="仿宋" w:hAnsi="仿宋" w:eastAsia="仿宋" w:cs="仿宋"/>
                <w:color w:val="000000"/>
                <w:kern w:val="0"/>
                <w:sz w:val="24"/>
              </w:rPr>
              <w:t>红外安全保护功能。架体两侧具有红外传感器，当人体或物体进入通道，架体应立即启动自锁保护功能，系统进入安全保护状态，且无盲点。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568" w:type="pct"/>
            <w:vMerge w:val="continue"/>
            <w:tcBorders>
              <w:left w:val="single" w:color="auto" w:sz="8" w:space="0"/>
              <w:right w:val="single" w:color="auto" w:sz="8" w:space="0"/>
            </w:tcBorders>
            <w:tcMar>
              <w:left w:w="108" w:type="dxa"/>
              <w:right w:w="108" w:type="dxa"/>
            </w:tcMar>
            <w:vAlign w:val="center"/>
          </w:tcPr>
          <w:p>
            <w:pPr>
              <w:rPr>
                <w:rFonts w:ascii="仿宋" w:hAnsi="仿宋" w:eastAsia="仿宋" w:cs="仿宋"/>
                <w:color w:val="000000"/>
                <w:sz w:val="24"/>
              </w:rPr>
            </w:pP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sz w:val="24"/>
              </w:rPr>
            </w:pPr>
            <w:r>
              <w:rPr>
                <w:rFonts w:hint="eastAsia" w:ascii="仿宋" w:hAnsi="仿宋" w:eastAsia="仿宋" w:cs="仿宋"/>
                <w:color w:val="000000"/>
                <w:kern w:val="0"/>
                <w:sz w:val="24"/>
              </w:rPr>
              <w:t>安全锁保护、自动锁定、防误操作保护；漏电、短路及过载自动断电保护功能。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568" w:type="pct"/>
            <w:vMerge w:val="continue"/>
            <w:tcBorders>
              <w:left w:val="single" w:color="auto" w:sz="8" w:space="0"/>
              <w:bottom w:val="single" w:color="auto" w:sz="4" w:space="0"/>
              <w:right w:val="single" w:color="auto" w:sz="8" w:space="0"/>
            </w:tcBorders>
            <w:tcMar>
              <w:left w:w="108" w:type="dxa"/>
              <w:right w:w="108" w:type="dxa"/>
            </w:tcMar>
            <w:vAlign w:val="center"/>
          </w:tcPr>
          <w:p>
            <w:pPr>
              <w:rPr>
                <w:rFonts w:ascii="仿宋" w:hAnsi="仿宋" w:eastAsia="仿宋" w:cs="仿宋"/>
                <w:color w:val="000000"/>
                <w:sz w:val="24"/>
              </w:rPr>
            </w:pP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sz w:val="24"/>
              </w:rPr>
            </w:pPr>
            <w:r>
              <w:rPr>
                <w:rFonts w:hint="eastAsia" w:ascii="仿宋" w:hAnsi="仿宋" w:eastAsia="仿宋" w:cs="仿宋"/>
                <w:color w:val="000000"/>
                <w:kern w:val="0"/>
                <w:sz w:val="24"/>
              </w:rPr>
              <w:t>架体运行阻碍自动保护功能。当目标列出现故障，无法打开时，系统智能识别故障位置并报警，故障排除后，该列自动复位。</w:t>
            </w:r>
          </w:p>
        </w:tc>
      </w:tr>
    </w:tbl>
    <w:p>
      <w:pPr>
        <w:spacing w:line="400" w:lineRule="exact"/>
        <w:rPr>
          <w:rFonts w:ascii="仿宋" w:hAnsi="仿宋" w:eastAsia="仿宋" w:cs="仿宋"/>
          <w:b/>
          <w:color w:val="000000"/>
          <w:sz w:val="24"/>
        </w:rPr>
      </w:pPr>
    </w:p>
    <w:p>
      <w:pPr>
        <w:shd w:val="clear"/>
        <w:spacing w:line="400" w:lineRule="exact"/>
        <w:rPr>
          <w:rFonts w:ascii="仿宋" w:hAnsi="仿宋" w:eastAsia="仿宋" w:cs="仿宋"/>
          <w:b/>
          <w:color w:val="000000"/>
          <w:sz w:val="24"/>
        </w:rPr>
      </w:pPr>
      <w:r>
        <w:rPr>
          <w:rFonts w:hint="eastAsia" w:ascii="仿宋" w:hAnsi="仿宋" w:eastAsia="仿宋" w:cs="仿宋"/>
          <w:b/>
          <w:color w:val="000000"/>
          <w:sz w:val="24"/>
        </w:rPr>
        <w:t>（二）结构要求</w:t>
      </w:r>
    </w:p>
    <w:p>
      <w:pPr>
        <w:shd w:val="clear"/>
        <w:spacing w:line="400" w:lineRule="exact"/>
        <w:ind w:firstLine="420"/>
        <w:rPr>
          <w:rFonts w:ascii="仿宋" w:hAnsi="仿宋" w:eastAsia="仿宋" w:cs="仿宋"/>
          <w:color w:val="000000"/>
          <w:sz w:val="24"/>
        </w:rPr>
      </w:pPr>
      <w:r>
        <w:rPr>
          <w:rFonts w:hint="eastAsia" w:ascii="仿宋" w:hAnsi="仿宋" w:eastAsia="仿宋" w:cs="仿宋"/>
          <w:color w:val="000000"/>
          <w:sz w:val="24"/>
        </w:rPr>
        <w:t>1、密集架为装配组合式结构，主要由立柱、搁板、挂板、侧面板、底盘、地轨和传动装置等零部件组合而成。</w:t>
      </w:r>
      <w:r>
        <w:rPr>
          <w:rFonts w:hint="eastAsia" w:ascii="仿宋" w:hAnsi="仿宋" w:eastAsia="仿宋" w:cs="仿宋"/>
          <w:color w:val="000000"/>
          <w:sz w:val="24"/>
          <w:highlight w:val="none"/>
        </w:rPr>
        <w:t>每层搁板承重不应少于80kg，</w:t>
      </w:r>
      <w:r>
        <w:rPr>
          <w:rFonts w:hint="eastAsia" w:ascii="仿宋" w:hAnsi="仿宋" w:eastAsia="仿宋" w:cs="仿宋"/>
          <w:color w:val="000000"/>
          <w:sz w:val="24"/>
        </w:rPr>
        <w:t>每标准节在满负载的情况下，架体、立柱不应变形。</w:t>
      </w:r>
    </w:p>
    <w:p>
      <w:pPr>
        <w:shd w:val="clear"/>
        <w:spacing w:line="400" w:lineRule="exact"/>
        <w:ind w:firstLine="420"/>
        <w:rPr>
          <w:rFonts w:ascii="仿宋" w:hAnsi="仿宋" w:eastAsia="仿宋" w:cs="仿宋"/>
          <w:color w:val="000000"/>
          <w:sz w:val="24"/>
        </w:rPr>
      </w:pPr>
      <w:r>
        <w:rPr>
          <w:rFonts w:hint="eastAsia" w:ascii="仿宋" w:hAnsi="仿宋" w:eastAsia="仿宋" w:cs="仿宋"/>
          <w:color w:val="000000"/>
          <w:sz w:val="24"/>
        </w:rPr>
        <w:t>2、搁板、挂板应可沿立柱的垂直方向自由调整高度，搁板孔间距为17.5mm。</w:t>
      </w:r>
    </w:p>
    <w:p>
      <w:pPr>
        <w:shd w:val="clear"/>
        <w:spacing w:line="400" w:lineRule="exact"/>
        <w:ind w:firstLine="420"/>
        <w:rPr>
          <w:rFonts w:ascii="仿宋" w:hAnsi="仿宋" w:eastAsia="仿宋" w:cs="仿宋"/>
          <w:color w:val="000000"/>
          <w:sz w:val="24"/>
        </w:rPr>
      </w:pPr>
      <w:r>
        <w:rPr>
          <w:rFonts w:hint="eastAsia" w:ascii="仿宋" w:hAnsi="仿宋" w:eastAsia="仿宋" w:cs="仿宋"/>
          <w:color w:val="000000"/>
          <w:sz w:val="24"/>
        </w:rPr>
        <w:t>3、应按规定安装传动机构、制动装置等。</w:t>
      </w:r>
    </w:p>
    <w:p>
      <w:pPr>
        <w:shd w:val="clear"/>
        <w:spacing w:line="400" w:lineRule="exact"/>
        <w:ind w:firstLine="420"/>
        <w:rPr>
          <w:rFonts w:ascii="仿宋" w:hAnsi="仿宋" w:eastAsia="仿宋" w:cs="仿宋"/>
          <w:color w:val="000000"/>
          <w:sz w:val="24"/>
        </w:rPr>
      </w:pPr>
      <w:r>
        <w:rPr>
          <w:rFonts w:hint="eastAsia" w:ascii="仿宋" w:hAnsi="仿宋" w:eastAsia="仿宋" w:cs="仿宋"/>
          <w:color w:val="000000"/>
          <w:sz w:val="24"/>
        </w:rPr>
        <w:t>4、每列架体均需设有安全限位及防倾斜装置，确保通道内人员的安全，边架需装有锁具，用于整体闭锁。</w:t>
      </w:r>
    </w:p>
    <w:p>
      <w:pPr>
        <w:shd w:val="clear"/>
        <w:spacing w:line="400" w:lineRule="exact"/>
        <w:ind w:firstLine="420"/>
        <w:rPr>
          <w:rFonts w:ascii="仿宋" w:hAnsi="仿宋" w:eastAsia="仿宋" w:cs="仿宋"/>
          <w:color w:val="000000"/>
          <w:sz w:val="24"/>
        </w:rPr>
      </w:pPr>
      <w:r>
        <w:rPr>
          <w:rFonts w:hint="eastAsia" w:ascii="仿宋" w:hAnsi="仿宋" w:eastAsia="仿宋" w:cs="仿宋"/>
          <w:color w:val="000000"/>
          <w:sz w:val="24"/>
        </w:rPr>
        <w:t xml:space="preserve">5、顶部应设置防尘装置等。                                 </w:t>
      </w:r>
    </w:p>
    <w:p>
      <w:pPr>
        <w:shd w:val="clear"/>
        <w:spacing w:line="400" w:lineRule="exact"/>
        <w:ind w:firstLine="420"/>
        <w:rPr>
          <w:rFonts w:ascii="仿宋" w:hAnsi="仿宋" w:eastAsia="仿宋" w:cs="仿宋"/>
          <w:color w:val="000000"/>
          <w:sz w:val="24"/>
        </w:rPr>
      </w:pPr>
      <w:r>
        <w:rPr>
          <w:rFonts w:hint="eastAsia" w:ascii="仿宋" w:hAnsi="仿宋" w:eastAsia="仿宋" w:cs="仿宋"/>
          <w:color w:val="000000"/>
          <w:sz w:val="24"/>
        </w:rPr>
        <w:t>6、轨道应焊接固定，轨道与地面齐平。</w:t>
      </w:r>
    </w:p>
    <w:p>
      <w:pPr>
        <w:shd w:val="clear"/>
        <w:spacing w:line="400" w:lineRule="exact"/>
        <w:rPr>
          <w:rFonts w:ascii="仿宋" w:hAnsi="仿宋" w:eastAsia="仿宋" w:cs="仿宋"/>
          <w:b/>
          <w:color w:val="000000"/>
          <w:sz w:val="24"/>
        </w:rPr>
      </w:pPr>
      <w:r>
        <w:rPr>
          <w:rFonts w:hint="eastAsia" w:ascii="仿宋" w:hAnsi="仿宋" w:eastAsia="仿宋" w:cs="仿宋"/>
          <w:b/>
          <w:color w:val="000000"/>
          <w:sz w:val="24"/>
        </w:rPr>
        <w:t>（三）加工制造要求</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1、所有钣金件、机加件加工后应打磨毛刺，无裂痕及伤痕。</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2、所有焊接件应焊接牢固，焊痕光滑、平整。</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3、产品各零件、组合件之间应能保持互换性。</w:t>
      </w:r>
    </w:p>
    <w:p>
      <w:pPr>
        <w:shd w:val="clear"/>
        <w:spacing w:line="400" w:lineRule="exact"/>
        <w:ind w:firstLine="480" w:firstLineChars="200"/>
        <w:rPr>
          <w:rFonts w:ascii="仿宋" w:hAnsi="仿宋" w:eastAsia="仿宋" w:cs="仿宋"/>
          <w:b/>
          <w:color w:val="000000"/>
          <w:sz w:val="24"/>
        </w:rPr>
      </w:pPr>
      <w:r>
        <w:rPr>
          <w:rFonts w:hint="eastAsia" w:ascii="仿宋" w:hAnsi="仿宋" w:eastAsia="仿宋" w:cs="仿宋"/>
          <w:color w:val="000000"/>
          <w:sz w:val="24"/>
        </w:rPr>
        <w:t>4、所有标准件、紧固件均需镀锌处理。</w:t>
      </w:r>
    </w:p>
    <w:p>
      <w:pPr>
        <w:shd w:val="clear"/>
        <w:spacing w:line="400" w:lineRule="exact"/>
        <w:rPr>
          <w:rFonts w:ascii="仿宋" w:hAnsi="仿宋" w:eastAsia="仿宋" w:cs="仿宋"/>
          <w:b/>
          <w:color w:val="000000"/>
          <w:sz w:val="24"/>
        </w:rPr>
      </w:pPr>
      <w:r>
        <w:rPr>
          <w:rFonts w:hint="eastAsia" w:ascii="仿宋" w:hAnsi="仿宋" w:eastAsia="仿宋" w:cs="仿宋"/>
          <w:b/>
          <w:color w:val="000000"/>
          <w:sz w:val="24"/>
        </w:rPr>
        <w:t>（四）制造公差要求</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1、每标准节组装后，外廓尺寸（长、宽、高）的极限偏差为±2mm。</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2、每标准节组装后，侧面板与中腰板的对缝处的间隙应小于2mm。</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3、相关轨道之间的平行度偏差小于1.5mm，对应点水平偏差小于1mm。</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4、缝隙应均匀一致，间隙小于2mm。</w:t>
      </w:r>
    </w:p>
    <w:p>
      <w:pPr>
        <w:shd w:val="clear"/>
        <w:spacing w:line="400" w:lineRule="exact"/>
        <w:rPr>
          <w:rFonts w:ascii="仿宋" w:hAnsi="仿宋" w:eastAsia="仿宋" w:cs="仿宋"/>
          <w:b/>
          <w:color w:val="000000"/>
          <w:sz w:val="24"/>
        </w:rPr>
      </w:pPr>
      <w:r>
        <w:rPr>
          <w:rFonts w:hint="eastAsia" w:ascii="仿宋" w:hAnsi="仿宋" w:eastAsia="仿宋" w:cs="仿宋"/>
          <w:b/>
          <w:color w:val="000000"/>
          <w:sz w:val="24"/>
        </w:rPr>
        <w:t>（五）材质要求</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1、密集架架体用材要求</w:t>
      </w:r>
      <w:r>
        <w:rPr>
          <w:rFonts w:hint="eastAsia" w:ascii="仿宋" w:hAnsi="仿宋" w:eastAsia="仿宋" w:cs="仿宋"/>
          <w:color w:val="000000"/>
          <w:sz w:val="24"/>
          <w:lang w:eastAsia="zh-CN"/>
        </w:rPr>
        <w:t>（</w:t>
      </w:r>
      <w:r>
        <w:rPr>
          <w:rFonts w:hint="eastAsia" w:ascii="仿宋" w:hAnsi="仿宋" w:eastAsia="仿宋" w:cs="仿宋"/>
          <w:color w:val="000000"/>
          <w:sz w:val="24"/>
        </w:rPr>
        <w:t>所列标准和现行最新标准或新增标准</w:t>
      </w:r>
      <w:r>
        <w:rPr>
          <w:rFonts w:hint="eastAsia" w:ascii="仿宋" w:hAnsi="仿宋" w:eastAsia="仿宋" w:cs="仿宋"/>
          <w:color w:val="000000"/>
          <w:sz w:val="24"/>
          <w:lang w:eastAsia="zh-CN"/>
        </w:rPr>
        <w:t>，</w:t>
      </w:r>
      <w:r>
        <w:rPr>
          <w:rFonts w:hint="eastAsia" w:ascii="仿宋" w:hAnsi="仿宋" w:eastAsia="仿宋" w:cs="仿宋"/>
          <w:color w:val="000000"/>
          <w:sz w:val="24"/>
        </w:rPr>
        <w:t>有冲突的，以现行或新增的标准为准</w:t>
      </w:r>
      <w:r>
        <w:rPr>
          <w:rFonts w:hint="eastAsia" w:ascii="仿宋" w:hAnsi="仿宋" w:eastAsia="仿宋" w:cs="仿宋"/>
          <w:color w:val="000000"/>
          <w:sz w:val="24"/>
          <w:lang w:eastAsia="zh-CN"/>
        </w:rPr>
        <w:t>）</w:t>
      </w:r>
      <w:r>
        <w:rPr>
          <w:rFonts w:hint="eastAsia" w:ascii="仿宋" w:hAnsi="仿宋" w:eastAsia="仿宋" w:cs="仿宋"/>
          <w:color w:val="000000"/>
          <w:sz w:val="24"/>
        </w:rPr>
        <w:t>：</w:t>
      </w:r>
    </w:p>
    <w:tbl>
      <w:tblPr>
        <w:tblStyle w:val="14"/>
        <w:tblW w:w="9310"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1075"/>
        <w:gridCol w:w="1150"/>
        <w:gridCol w:w="988"/>
        <w:gridCol w:w="1750"/>
        <w:gridCol w:w="1037"/>
        <w:gridCol w:w="24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812" w:type="dxa"/>
            <w:tcBorders>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b/>
                <w:sz w:val="24"/>
              </w:rPr>
              <w:t>序号</w:t>
            </w:r>
          </w:p>
        </w:tc>
        <w:tc>
          <w:tcPr>
            <w:tcW w:w="1075" w:type="dxa"/>
            <w:tcBorders>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b/>
                <w:sz w:val="24"/>
              </w:rPr>
              <w:t>部件</w:t>
            </w:r>
          </w:p>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b/>
                <w:sz w:val="24"/>
              </w:rPr>
              <w:t>名称</w:t>
            </w:r>
          </w:p>
        </w:tc>
        <w:tc>
          <w:tcPr>
            <w:tcW w:w="1150" w:type="dxa"/>
            <w:tcBorders>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b/>
                <w:sz w:val="24"/>
              </w:rPr>
              <w:t>配置</w:t>
            </w:r>
          </w:p>
        </w:tc>
        <w:tc>
          <w:tcPr>
            <w:tcW w:w="988" w:type="dxa"/>
            <w:tcBorders>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b/>
                <w:sz w:val="24"/>
              </w:rPr>
              <w:t>要求</w:t>
            </w:r>
          </w:p>
        </w:tc>
        <w:tc>
          <w:tcPr>
            <w:tcW w:w="1750" w:type="dxa"/>
            <w:tcBorders>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b/>
                <w:sz w:val="24"/>
              </w:rPr>
              <w:t>采用标准</w:t>
            </w:r>
          </w:p>
        </w:tc>
        <w:tc>
          <w:tcPr>
            <w:tcW w:w="1037" w:type="dxa"/>
            <w:tcBorders>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b/>
                <w:sz w:val="24"/>
              </w:rPr>
              <w:t>技术参数</w:t>
            </w:r>
          </w:p>
        </w:tc>
        <w:tc>
          <w:tcPr>
            <w:tcW w:w="2498" w:type="dxa"/>
            <w:tcBorders>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b/>
                <w:sz w:val="24"/>
              </w:rPr>
              <w:t>性能备注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12" w:type="dxa"/>
            <w:vMerge w:val="restart"/>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sz w:val="24"/>
              </w:rPr>
              <w:t>1</w:t>
            </w:r>
          </w:p>
        </w:tc>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sz w:val="24"/>
              </w:rPr>
              <w:t>轨道</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Cs/>
                <w:sz w:val="24"/>
              </w:rPr>
            </w:pPr>
            <w:r>
              <w:rPr>
                <w:rFonts w:hint="eastAsia" w:ascii="仿宋" w:hAnsi="仿宋" w:eastAsia="仿宋" w:cs="仿宋"/>
                <w:bCs/>
                <w:sz w:val="24"/>
              </w:rPr>
              <w:t>导轨</w:t>
            </w:r>
          </w:p>
          <w:p>
            <w:pPr>
              <w:widowControl/>
              <w:shd w:val="clear"/>
              <w:spacing w:line="340" w:lineRule="exact"/>
              <w:jc w:val="center"/>
              <w:textAlignment w:val="baseline"/>
              <w:rPr>
                <w:rFonts w:ascii="仿宋" w:hAnsi="仿宋" w:eastAsia="仿宋" w:cs="仿宋"/>
                <w:bCs/>
                <w:sz w:val="24"/>
              </w:rPr>
            </w:pPr>
            <w:r>
              <w:rPr>
                <w:rFonts w:hint="eastAsia" w:ascii="仿宋" w:hAnsi="仿宋" w:eastAsia="仿宋" w:cs="仿宋"/>
                <w:bCs/>
                <w:sz w:val="24"/>
              </w:rPr>
              <w:t>底座</w:t>
            </w:r>
          </w:p>
        </w:tc>
        <w:tc>
          <w:tcPr>
            <w:tcW w:w="988" w:type="dxa"/>
            <w:tcBorders>
              <w:top w:val="single" w:color="000000" w:sz="4" w:space="0"/>
              <w:left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bCs/>
                <w:sz w:val="24"/>
              </w:rPr>
              <w:t>不锈钢</w:t>
            </w:r>
          </w:p>
        </w:tc>
        <w:tc>
          <w:tcPr>
            <w:tcW w:w="1750" w:type="dxa"/>
            <w:tcBorders>
              <w:top w:val="single" w:color="000000" w:sz="4" w:space="0"/>
              <w:left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GB/T20878-2009</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Cs/>
                <w:sz w:val="24"/>
              </w:rPr>
            </w:pPr>
            <w:r>
              <w:rPr>
                <w:rFonts w:hint="eastAsia" w:ascii="仿宋" w:hAnsi="仿宋" w:eastAsia="仿宋" w:cs="仿宋"/>
                <w:bCs/>
                <w:sz w:val="24"/>
              </w:rPr>
              <w:t>δ=3.0mm</w:t>
            </w:r>
          </w:p>
        </w:tc>
        <w:tc>
          <w:tcPr>
            <w:tcW w:w="2498" w:type="dxa"/>
            <w:vMerge w:val="restart"/>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bCs/>
                <w:sz w:val="24"/>
              </w:rPr>
            </w:pPr>
            <w:r>
              <w:rPr>
                <w:rFonts w:hint="eastAsia" w:ascii="仿宋" w:hAnsi="仿宋" w:eastAsia="仿宋" w:cs="仿宋"/>
                <w:bCs/>
                <w:sz w:val="24"/>
              </w:rPr>
              <w:t>结构合理、承重力大,</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bCs/>
                <w:sz w:val="24"/>
              </w:rPr>
              <w:t>与导轨无缝连接。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导轨</w:t>
            </w:r>
          </w:p>
        </w:tc>
        <w:tc>
          <w:tcPr>
            <w:tcW w:w="988" w:type="dxa"/>
            <w:tcBorders>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实心方钢</w:t>
            </w:r>
          </w:p>
        </w:tc>
        <w:tc>
          <w:tcPr>
            <w:tcW w:w="1750" w:type="dxa"/>
            <w:tcBorders>
              <w:left w:val="single" w:color="000000" w:sz="4" w:space="0"/>
              <w:bottom w:val="single" w:color="000000" w:sz="4" w:space="0"/>
              <w:right w:val="single" w:color="000000" w:sz="4" w:space="0"/>
            </w:tcBorders>
            <w:noWrap/>
            <w:vAlign w:val="center"/>
          </w:tcPr>
          <w:p>
            <w:pPr>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GB/T3094-2000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bCs/>
                <w:sz w:val="24"/>
              </w:rPr>
              <w:t>20*25mm</w:t>
            </w: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812" w:type="dxa"/>
            <w:vMerge w:val="restart"/>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2</w:t>
            </w:r>
          </w:p>
        </w:tc>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底盘</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底梁</w:t>
            </w:r>
          </w:p>
        </w:tc>
        <w:tc>
          <w:tcPr>
            <w:tcW w:w="98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热轧</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钢板</w:t>
            </w:r>
          </w:p>
        </w:tc>
        <w:tc>
          <w:tcPr>
            <w:tcW w:w="17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GB/T710-2008</w:t>
            </w:r>
          </w:p>
        </w:tc>
        <w:tc>
          <w:tcPr>
            <w:tcW w:w="103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δ=3.0mm</w:t>
            </w:r>
          </w:p>
        </w:tc>
        <w:tc>
          <w:tcPr>
            <w:tcW w:w="2498" w:type="dxa"/>
            <w:vMerge w:val="restart"/>
            <w:tcBorders>
              <w:top w:val="single" w:color="000000" w:sz="4" w:space="0"/>
              <w:left w:val="single" w:color="000000" w:sz="4" w:space="0"/>
              <w:bottom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底盘采用焊接，钢性好，不变形，表面喷塑。移动列底盘上装有防倾倒装置。</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轴承档</w:t>
            </w:r>
          </w:p>
        </w:tc>
        <w:tc>
          <w:tcPr>
            <w:tcW w:w="98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75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3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夹紧板</w:t>
            </w:r>
          </w:p>
        </w:tc>
        <w:tc>
          <w:tcPr>
            <w:tcW w:w="98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75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3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2" w:type="dxa"/>
            <w:vMerge w:val="restart"/>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3</w:t>
            </w:r>
          </w:p>
        </w:tc>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架体</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立柱</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冷轧</w:t>
            </w:r>
          </w:p>
          <w:p>
            <w:pPr>
              <w:shd w:val="clear"/>
              <w:spacing w:line="340" w:lineRule="exact"/>
              <w:jc w:val="center"/>
              <w:rPr>
                <w:rFonts w:ascii="仿宋" w:hAnsi="仿宋" w:eastAsia="仿宋" w:cs="仿宋"/>
                <w:sz w:val="24"/>
              </w:rPr>
            </w:pPr>
            <w:r>
              <w:rPr>
                <w:rFonts w:hint="eastAsia" w:ascii="仿宋" w:hAnsi="仿宋" w:eastAsia="仿宋" w:cs="仿宋"/>
                <w:sz w:val="24"/>
              </w:rPr>
              <w:t>钢板</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pacing w:val="-6"/>
                <w:sz w:val="24"/>
              </w:rPr>
              <w:t>GB/T11253-2007</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δ=1.5mm</w:t>
            </w:r>
          </w:p>
        </w:tc>
        <w:tc>
          <w:tcPr>
            <w:tcW w:w="2498" w:type="dxa"/>
            <w:vMerge w:val="restart"/>
            <w:tcBorders>
              <w:top w:val="single" w:color="000000" w:sz="4" w:space="0"/>
              <w:left w:val="single" w:color="000000" w:sz="4" w:space="0"/>
            </w:tcBorders>
            <w:noWrap/>
            <w:vAlign w:val="center"/>
          </w:tcPr>
          <w:p>
            <w:pPr>
              <w:shd w:val="clear"/>
              <w:spacing w:line="340" w:lineRule="exact"/>
              <w:rPr>
                <w:rFonts w:ascii="仿宋" w:hAnsi="仿宋" w:eastAsia="仿宋" w:cs="仿宋"/>
                <w:sz w:val="24"/>
              </w:rPr>
            </w:pPr>
            <w:r>
              <w:rPr>
                <w:rFonts w:hint="eastAsia" w:ascii="仿宋" w:hAnsi="仿宋" w:eastAsia="仿宋" w:cs="仿宋"/>
                <w:sz w:val="24"/>
              </w:rPr>
              <w:t>每列密集架双面搁板能独立管理。</w:t>
            </w:r>
          </w:p>
          <w:p>
            <w:pPr>
              <w:widowControl/>
              <w:shd w:val="clear"/>
              <w:spacing w:line="340" w:lineRule="exact"/>
              <w:textAlignment w:val="baseline"/>
              <w:rPr>
                <w:rFonts w:ascii="仿宋" w:hAnsi="仿宋" w:eastAsia="仿宋" w:cs="仿宋"/>
                <w:bCs/>
                <w:sz w:val="24"/>
              </w:rPr>
            </w:pPr>
            <w:r>
              <w:rPr>
                <w:rFonts w:hint="eastAsia" w:ascii="仿宋" w:hAnsi="仿宋" w:eastAsia="仿宋" w:cs="仿宋"/>
                <w:sz w:val="24"/>
              </w:rPr>
              <w:t>架体结实，坚固，层数和间距可自自由由调整，表面亚光喷塑。</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搁板</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冷轧</w:t>
            </w:r>
          </w:p>
          <w:p>
            <w:pPr>
              <w:shd w:val="clear"/>
              <w:spacing w:line="340" w:lineRule="exact"/>
              <w:jc w:val="center"/>
              <w:rPr>
                <w:rFonts w:ascii="仿宋" w:hAnsi="仿宋" w:eastAsia="仿宋" w:cs="仿宋"/>
                <w:sz w:val="24"/>
              </w:rPr>
            </w:pPr>
            <w:r>
              <w:rPr>
                <w:rFonts w:hint="eastAsia" w:ascii="仿宋" w:hAnsi="仿宋" w:eastAsia="仿宋" w:cs="仿宋"/>
                <w:sz w:val="24"/>
              </w:rPr>
              <w:t>钢板</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pacing w:val="-6"/>
                <w:sz w:val="24"/>
              </w:rPr>
              <w:t>GB/T11253-2007</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δ=1.0mm</w:t>
            </w:r>
          </w:p>
        </w:tc>
        <w:tc>
          <w:tcPr>
            <w:tcW w:w="2498" w:type="dxa"/>
            <w:vMerge w:val="continue"/>
            <w:tcBorders>
              <w:left w:val="single" w:color="000000" w:sz="4" w:space="0"/>
            </w:tcBorders>
            <w:noWrap/>
            <w:vAlign w:val="center"/>
          </w:tcPr>
          <w:p>
            <w:pPr>
              <w:widowControl/>
              <w:shd w:val="clear"/>
              <w:spacing w:line="340" w:lineRule="exact"/>
              <w:jc w:val="left"/>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顶板</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冷轧</w:t>
            </w:r>
          </w:p>
          <w:p>
            <w:pPr>
              <w:shd w:val="clear"/>
              <w:spacing w:line="340" w:lineRule="exact"/>
              <w:jc w:val="center"/>
              <w:rPr>
                <w:rFonts w:ascii="仿宋" w:hAnsi="仿宋" w:eastAsia="仿宋" w:cs="仿宋"/>
                <w:sz w:val="24"/>
              </w:rPr>
            </w:pPr>
            <w:r>
              <w:rPr>
                <w:rFonts w:hint="eastAsia" w:ascii="仿宋" w:hAnsi="仿宋" w:eastAsia="仿宋" w:cs="仿宋"/>
                <w:sz w:val="24"/>
              </w:rPr>
              <w:t>钢板</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pacing w:val="-6"/>
                <w:sz w:val="24"/>
              </w:rPr>
              <w:t>GB/T11253-2007</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δ=1.0mm</w:t>
            </w:r>
          </w:p>
        </w:tc>
        <w:tc>
          <w:tcPr>
            <w:tcW w:w="2498" w:type="dxa"/>
            <w:vMerge w:val="continue"/>
            <w:tcBorders>
              <w:left w:val="single" w:color="000000" w:sz="4" w:space="0"/>
            </w:tcBorders>
            <w:noWrap/>
            <w:vAlign w:val="center"/>
          </w:tcPr>
          <w:p>
            <w:pPr>
              <w:widowControl/>
              <w:shd w:val="clear"/>
              <w:spacing w:line="340" w:lineRule="exact"/>
              <w:jc w:val="left"/>
              <w:textAlignment w:val="baseline"/>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挂板</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冷轧</w:t>
            </w:r>
          </w:p>
          <w:p>
            <w:pPr>
              <w:shd w:val="clear"/>
              <w:spacing w:line="340" w:lineRule="exact"/>
              <w:jc w:val="center"/>
              <w:rPr>
                <w:rFonts w:ascii="仿宋" w:hAnsi="仿宋" w:eastAsia="仿宋" w:cs="仿宋"/>
                <w:sz w:val="24"/>
              </w:rPr>
            </w:pPr>
            <w:r>
              <w:rPr>
                <w:rFonts w:hint="eastAsia" w:ascii="仿宋" w:hAnsi="仿宋" w:eastAsia="仿宋" w:cs="仿宋"/>
                <w:sz w:val="24"/>
              </w:rPr>
              <w:t>钢板</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pacing w:val="-6"/>
                <w:sz w:val="24"/>
              </w:rPr>
              <w:t>GB/T11253-2007</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δ=1.0mm</w:t>
            </w:r>
          </w:p>
        </w:tc>
        <w:tc>
          <w:tcPr>
            <w:tcW w:w="2498" w:type="dxa"/>
            <w:vMerge w:val="continue"/>
            <w:tcBorders>
              <w:left w:val="single" w:color="000000" w:sz="4" w:space="0"/>
            </w:tcBorders>
            <w:noWrap/>
            <w:vAlign w:val="center"/>
          </w:tcPr>
          <w:p>
            <w:pPr>
              <w:widowControl/>
              <w:shd w:val="clear"/>
              <w:spacing w:line="340" w:lineRule="exact"/>
              <w:jc w:val="left"/>
              <w:textAlignment w:val="baseline"/>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02" w:hRule="atLeast"/>
          <w:jc w:val="center"/>
        </w:trPr>
        <w:tc>
          <w:tcPr>
            <w:tcW w:w="812" w:type="dxa"/>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4</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面板</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门板、门档</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冷轧钢板</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GB/T11253-2007</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δ=1.0mm</w:t>
            </w:r>
          </w:p>
        </w:tc>
        <w:tc>
          <w:tcPr>
            <w:tcW w:w="2498" w:type="dxa"/>
            <w:tcBorders>
              <w:top w:val="single" w:color="000000" w:sz="4" w:space="0"/>
              <w:left w:val="single" w:color="000000" w:sz="4" w:space="0"/>
              <w:bottom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门面列需保证门面全部打开90°，不倾斜，能保持正常使用。门板背面中间点焊加强筋右门上装有密集架专用豪华锁，组装后缝隙均匀，锁定紧密，开启灵活。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17" w:hRule="atLeast"/>
          <w:jc w:val="center"/>
        </w:trPr>
        <w:tc>
          <w:tcPr>
            <w:tcW w:w="812" w:type="dxa"/>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5</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侧面板</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前后侧面板</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 xml:space="preserve">冷轧钢板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GB/T11253-2007</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δ=1.0mm</w:t>
            </w:r>
          </w:p>
        </w:tc>
        <w:tc>
          <w:tcPr>
            <w:tcW w:w="2498" w:type="dxa"/>
            <w:tcBorders>
              <w:top w:val="single" w:color="000000" w:sz="4" w:space="0"/>
              <w:left w:val="single" w:color="000000" w:sz="4" w:space="0"/>
              <w:bottom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强度高，正面按压不变形，表面喷塑，线条流畅。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12" w:type="dxa"/>
            <w:vMerge w:val="restart"/>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6</w:t>
            </w:r>
          </w:p>
        </w:tc>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传动</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机构</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轴承</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UCP</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GB/T307-2005</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P204</w:t>
            </w:r>
          </w:p>
        </w:tc>
        <w:tc>
          <w:tcPr>
            <w:tcW w:w="2498" w:type="dxa"/>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精密度高，方向灵活，材料质量好，耐压与耐磨性能好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实心轴</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45#钢</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HB220-290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Ф20</w:t>
            </w:r>
          </w:p>
        </w:tc>
        <w:tc>
          <w:tcPr>
            <w:tcW w:w="2498" w:type="dxa"/>
            <w:vMerge w:val="restart"/>
            <w:tcBorders>
              <w:top w:val="single" w:color="000000" w:sz="4" w:space="0"/>
              <w:left w:val="single" w:color="000000" w:sz="4" w:space="0"/>
              <w:bottom w:val="single" w:color="000000" w:sz="4" w:space="0"/>
            </w:tcBorders>
            <w:noWrap/>
            <w:vAlign w:val="center"/>
          </w:tcPr>
          <w:p>
            <w:pPr>
              <w:widowControl/>
              <w:shd w:val="clear"/>
              <w:spacing w:line="340" w:lineRule="exact"/>
              <w:jc w:val="left"/>
              <w:textAlignment w:val="baseline"/>
              <w:rPr>
                <w:rFonts w:ascii="仿宋" w:hAnsi="仿宋" w:eastAsia="仿宋" w:cs="仿宋"/>
                <w:sz w:val="24"/>
              </w:rPr>
            </w:pPr>
            <w:r>
              <w:rPr>
                <w:rFonts w:hint="eastAsia" w:ascii="仿宋" w:hAnsi="仿宋" w:eastAsia="仿宋" w:cs="仿宋"/>
                <w:sz w:val="24"/>
              </w:rPr>
              <w:t>传动机构配合精密度高，定位可靠，传动轻便灵活，摇手轻，运行平稳性能达到和超过国家标准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连接管</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无缝管</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GB/T228-2010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Ф25*2.5</w:t>
            </w: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铁滚轮</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高强度铸铁、发黑</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pacing w:val="-6"/>
                <w:sz w:val="24"/>
              </w:rPr>
            </w:pPr>
            <w:r>
              <w:rPr>
                <w:rFonts w:hint="eastAsia" w:ascii="仿宋" w:hAnsi="仿宋" w:eastAsia="仿宋" w:cs="仿宋"/>
                <w:spacing w:val="-6"/>
                <w:sz w:val="24"/>
              </w:rPr>
              <w:t>GB/T230</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-2009</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Ф120</w:t>
            </w: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链轮</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滚轮精制ZG45</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GB/T10885</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-2016</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链条</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（摩托车）</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Ф8.5节距12.7</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JB/T10348</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-2013</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摇手机构</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摇手体</w:t>
            </w:r>
          </w:p>
        </w:tc>
        <w:tc>
          <w:tcPr>
            <w:tcW w:w="17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国内优质</w:t>
            </w:r>
          </w:p>
        </w:tc>
        <w:tc>
          <w:tcPr>
            <w:tcW w:w="103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ind w:left="-126" w:leftChars="-60" w:right="-92" w:rightChars="-44"/>
              <w:jc w:val="center"/>
              <w:textAlignment w:val="baseline"/>
              <w:rPr>
                <w:rFonts w:ascii="仿宋" w:hAnsi="仿宋" w:eastAsia="仿宋" w:cs="仿宋"/>
                <w:sz w:val="24"/>
              </w:rPr>
            </w:pPr>
            <w:r>
              <w:rPr>
                <w:rFonts w:hint="eastAsia" w:ascii="仿宋" w:hAnsi="仿宋" w:eastAsia="仿宋" w:cs="仿宋"/>
                <w:sz w:val="24"/>
              </w:rPr>
              <w:t>GB/T307</w:t>
            </w:r>
          </w:p>
          <w:p>
            <w:pPr>
              <w:widowControl/>
              <w:shd w:val="clear"/>
              <w:spacing w:line="340" w:lineRule="exact"/>
              <w:ind w:left="-126" w:leftChars="-60" w:right="-92" w:rightChars="-44"/>
              <w:jc w:val="center"/>
              <w:textAlignment w:val="baseline"/>
              <w:rPr>
                <w:rFonts w:ascii="仿宋" w:hAnsi="仿宋" w:eastAsia="仿宋" w:cs="仿宋"/>
                <w:sz w:val="24"/>
              </w:rPr>
            </w:pPr>
            <w:r>
              <w:rPr>
                <w:rFonts w:hint="eastAsia" w:ascii="仿宋" w:hAnsi="仿宋" w:eastAsia="仿宋" w:cs="仿宋"/>
                <w:sz w:val="24"/>
              </w:rPr>
              <w:t>-2005</w:t>
            </w:r>
          </w:p>
        </w:tc>
        <w:tc>
          <w:tcPr>
            <w:tcW w:w="2498" w:type="dxa"/>
            <w:vMerge w:val="restart"/>
            <w:tcBorders>
              <w:top w:val="single" w:color="000000" w:sz="4" w:space="0"/>
              <w:lef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滚珠轴承</w:t>
            </w:r>
          </w:p>
        </w:tc>
        <w:tc>
          <w:tcPr>
            <w:tcW w:w="175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p>
        </w:tc>
        <w:tc>
          <w:tcPr>
            <w:tcW w:w="103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ind w:left="-126" w:leftChars="-60" w:right="-92" w:rightChars="-44"/>
              <w:jc w:val="center"/>
              <w:textAlignment w:val="baseline"/>
              <w:rPr>
                <w:rFonts w:ascii="仿宋" w:hAnsi="仿宋" w:eastAsia="仿宋" w:cs="仿宋"/>
                <w:sz w:val="24"/>
              </w:rPr>
            </w:pPr>
          </w:p>
        </w:tc>
        <w:tc>
          <w:tcPr>
            <w:tcW w:w="2498" w:type="dxa"/>
            <w:vMerge w:val="continue"/>
            <w:tcBorders>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38" w:hRule="atLeast"/>
          <w:jc w:val="center"/>
        </w:trPr>
        <w:tc>
          <w:tcPr>
            <w:tcW w:w="812" w:type="dxa"/>
            <w:vMerge w:val="restart"/>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7</w:t>
            </w:r>
          </w:p>
        </w:tc>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制动装置</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highlight w:val="none"/>
              </w:rPr>
            </w:pPr>
            <w:r>
              <w:rPr>
                <w:rFonts w:hint="eastAsia" w:ascii="仿宋" w:hAnsi="仿宋" w:eastAsia="仿宋" w:cs="仿宋"/>
                <w:sz w:val="24"/>
              </w:rPr>
              <w:t>边列</w:t>
            </w:r>
            <w:r>
              <w:rPr>
                <w:rFonts w:hint="eastAsia" w:ascii="仿宋" w:hAnsi="仿宋" w:eastAsia="仿宋" w:cs="仿宋"/>
                <w:sz w:val="24"/>
                <w:highlight w:val="none"/>
              </w:rPr>
              <w:t>锁定</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highlight w:val="none"/>
              </w:rPr>
              <w:t>装具</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808锁</w:t>
            </w:r>
          </w:p>
        </w:tc>
        <w:tc>
          <w:tcPr>
            <w:tcW w:w="2498" w:type="dxa"/>
            <w:vMerge w:val="restart"/>
            <w:tcBorders>
              <w:top w:val="single" w:color="000000" w:sz="4" w:space="0"/>
              <w:left w:val="single" w:color="000000" w:sz="4" w:space="0"/>
              <w:bottom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每列均装有制动装置，操作方便、可靠。当人进入相邻二架体时，可用制动装置锁定二架体，以防止架体意外移动而挤伤人。边列有锁定装具，用于锁定整密集架，便于资料的保密。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512"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中间列制动装置</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优质</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04" w:hRule="atLeast"/>
          <w:jc w:val="center"/>
        </w:trPr>
        <w:tc>
          <w:tcPr>
            <w:tcW w:w="812" w:type="dxa"/>
            <w:vMerge w:val="restart"/>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8</w:t>
            </w:r>
          </w:p>
        </w:tc>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防护装置</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密封条</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抗老化型</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bCs/>
                <w:sz w:val="24"/>
              </w:rPr>
              <w:t>磁性冰箱缓冲防震密封条或三角交叉式密封条</w:t>
            </w:r>
          </w:p>
        </w:tc>
        <w:tc>
          <w:tcPr>
            <w:tcW w:w="2498" w:type="dxa"/>
            <w:vMerge w:val="restart"/>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列与列之间的缓冲及密封装置及顶部的防尘密封装置，具有优秀的防尘、防鼠、防潮、防火功能。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防尘板</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顶板</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GB/T11253-2007</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δ=1.0</w:t>
            </w: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防鼠板</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GB/T11253-2007</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δ=1.0</w:t>
            </w: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防倾倒</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装置</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燕尾式</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GB/T710-2008</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δ=3.0</w:t>
            </w: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12" w:type="dxa"/>
            <w:vMerge w:val="restart"/>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9</w:t>
            </w:r>
          </w:p>
        </w:tc>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表面处理</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前处理</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药剂</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pacing w:val="-6"/>
                <w:sz w:val="24"/>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Zn系磷化</w:t>
            </w:r>
          </w:p>
        </w:tc>
        <w:tc>
          <w:tcPr>
            <w:tcW w:w="2498" w:type="dxa"/>
            <w:vMerge w:val="restart"/>
            <w:tcBorders>
              <w:top w:val="single" w:color="000000" w:sz="4" w:space="0"/>
              <w:lef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亚光静电喷塑，高温塑化而成，防锈蚀性能卓越，颜色由用户多种选择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亚光静电喷塑</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pacing w:val="-6"/>
                <w:sz w:val="24"/>
              </w:rPr>
            </w:pPr>
            <w:r>
              <w:rPr>
                <w:rFonts w:hint="eastAsia" w:ascii="仿宋" w:hAnsi="仿宋" w:eastAsia="仿宋" w:cs="仿宋"/>
                <w:sz w:val="24"/>
              </w:rPr>
              <w:t>GB/T2006-2006</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环氧型聚脂混合粉</w:t>
            </w:r>
          </w:p>
        </w:tc>
        <w:tc>
          <w:tcPr>
            <w:tcW w:w="2498" w:type="dxa"/>
            <w:vMerge w:val="continue"/>
            <w:tcBorders>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812" w:type="dxa"/>
            <w:tcBorders>
              <w:top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10</w:t>
            </w:r>
          </w:p>
        </w:tc>
        <w:tc>
          <w:tcPr>
            <w:tcW w:w="1075" w:type="dxa"/>
            <w:tcBorders>
              <w:top w:val="single" w:color="000000" w:sz="4" w:space="0"/>
              <w:left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紧固件</w:t>
            </w:r>
          </w:p>
        </w:tc>
        <w:tc>
          <w:tcPr>
            <w:tcW w:w="1150" w:type="dxa"/>
            <w:tcBorders>
              <w:top w:val="single" w:color="000000" w:sz="4" w:space="0"/>
              <w:left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螺丝、螺帽</w:t>
            </w:r>
          </w:p>
        </w:tc>
        <w:tc>
          <w:tcPr>
            <w:tcW w:w="988" w:type="dxa"/>
            <w:tcBorders>
              <w:top w:val="single" w:color="000000" w:sz="4" w:space="0"/>
              <w:left w:val="single" w:color="000000" w:sz="4" w:space="0"/>
              <w:right w:val="single" w:color="000000" w:sz="4" w:space="0"/>
            </w:tcBorders>
            <w:noWrap/>
            <w:vAlign w:val="center"/>
          </w:tcPr>
          <w:p>
            <w:pPr>
              <w:widowControl/>
              <w:shd w:val="clear"/>
              <w:spacing w:line="360" w:lineRule="auto"/>
              <w:textAlignment w:val="baseline"/>
              <w:rPr>
                <w:rFonts w:ascii="仿宋" w:hAnsi="仿宋" w:eastAsia="仿宋" w:cs="仿宋"/>
                <w:sz w:val="24"/>
              </w:rPr>
            </w:pPr>
          </w:p>
        </w:tc>
        <w:tc>
          <w:tcPr>
            <w:tcW w:w="1750" w:type="dxa"/>
            <w:tcBorders>
              <w:top w:val="single" w:color="000000" w:sz="4" w:space="0"/>
              <w:left w:val="single" w:color="000000" w:sz="4" w:space="0"/>
              <w:right w:val="single" w:color="000000" w:sz="4" w:space="0"/>
            </w:tcBorders>
            <w:noWrap/>
            <w:vAlign w:val="center"/>
          </w:tcPr>
          <w:p>
            <w:pPr>
              <w:widowControl/>
              <w:shd w:val="clear"/>
              <w:spacing w:line="360" w:lineRule="auto"/>
              <w:jc w:val="center"/>
              <w:textAlignment w:val="baseline"/>
              <w:rPr>
                <w:rFonts w:ascii="仿宋" w:hAnsi="仿宋" w:eastAsia="仿宋" w:cs="仿宋"/>
                <w:sz w:val="24"/>
              </w:rPr>
            </w:pPr>
            <w:r>
              <w:rPr>
                <w:rFonts w:hint="eastAsia" w:ascii="仿宋" w:hAnsi="仿宋" w:eastAsia="仿宋" w:cs="仿宋"/>
                <w:sz w:val="24"/>
              </w:rPr>
              <w:t>GB699</w:t>
            </w:r>
          </w:p>
        </w:tc>
        <w:tc>
          <w:tcPr>
            <w:tcW w:w="1037" w:type="dxa"/>
            <w:tcBorders>
              <w:top w:val="single" w:color="000000" w:sz="4" w:space="0"/>
              <w:left w:val="single" w:color="000000" w:sz="4" w:space="0"/>
              <w:right w:val="single" w:color="000000" w:sz="4" w:space="0"/>
            </w:tcBorders>
            <w:noWrap/>
            <w:vAlign w:val="center"/>
          </w:tcPr>
          <w:p>
            <w:pPr>
              <w:widowControl/>
              <w:shd w:val="clear"/>
              <w:spacing w:line="360" w:lineRule="auto"/>
              <w:jc w:val="center"/>
              <w:textAlignment w:val="baseline"/>
              <w:rPr>
                <w:rFonts w:ascii="仿宋" w:hAnsi="仿宋" w:eastAsia="仿宋" w:cs="仿宋"/>
                <w:sz w:val="24"/>
              </w:rPr>
            </w:pPr>
            <w:r>
              <w:rPr>
                <w:rFonts w:hint="eastAsia" w:ascii="仿宋" w:hAnsi="仿宋" w:eastAsia="仿宋" w:cs="仿宋"/>
                <w:sz w:val="24"/>
              </w:rPr>
              <w:t>45#Q235A</w:t>
            </w:r>
          </w:p>
        </w:tc>
        <w:tc>
          <w:tcPr>
            <w:tcW w:w="2498" w:type="dxa"/>
            <w:tcBorders>
              <w:top w:val="single" w:color="000000" w:sz="4" w:space="0"/>
              <w:left w:val="single" w:color="000000" w:sz="4" w:space="0"/>
            </w:tcBorders>
            <w:noWrap/>
            <w:vAlign w:val="center"/>
          </w:tcPr>
          <w:p>
            <w:pPr>
              <w:widowControl/>
              <w:shd w:val="clear"/>
              <w:spacing w:line="360" w:lineRule="auto"/>
              <w:textAlignment w:val="baseline"/>
              <w:rPr>
                <w:rFonts w:ascii="仿宋" w:hAnsi="仿宋" w:eastAsia="仿宋" w:cs="仿宋"/>
                <w:sz w:val="24"/>
              </w:rPr>
            </w:pPr>
            <w:r>
              <w:rPr>
                <w:rFonts w:hint="eastAsia" w:ascii="仿宋" w:hAnsi="仿宋" w:eastAsia="仿宋" w:cs="仿宋"/>
                <w:sz w:val="24"/>
              </w:rPr>
              <w:t>ISO9002认证产品</w:t>
            </w:r>
          </w:p>
        </w:tc>
      </w:tr>
    </w:tbl>
    <w:p>
      <w:pPr>
        <w:shd w:val="clear"/>
        <w:spacing w:line="400" w:lineRule="exact"/>
        <w:rPr>
          <w:rFonts w:ascii="仿宋" w:hAnsi="仿宋" w:eastAsia="仿宋" w:cs="仿宋"/>
          <w:color w:val="000000"/>
          <w:sz w:val="24"/>
        </w:rPr>
      </w:pP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2、电气部件及RFID设备要求：</w:t>
      </w:r>
    </w:p>
    <w:p>
      <w:pPr>
        <w:shd w:val="clear"/>
        <w:spacing w:line="400" w:lineRule="exact"/>
        <w:ind w:firstLine="480" w:firstLineChars="200"/>
        <w:rPr>
          <w:rFonts w:ascii="仿宋" w:hAnsi="仿宋" w:eastAsia="仿宋" w:cs="仿宋"/>
          <w:b/>
          <w:color w:val="000000"/>
          <w:sz w:val="24"/>
        </w:rPr>
      </w:pPr>
      <w:r>
        <w:rPr>
          <w:rFonts w:hint="eastAsia" w:ascii="仿宋" w:hAnsi="仿宋" w:eastAsia="仿宋" w:cs="仿宋"/>
          <w:color w:val="000000"/>
          <w:sz w:val="24"/>
        </w:rPr>
        <w:t>各主要部件规格如下：</w:t>
      </w:r>
    </w:p>
    <w:tbl>
      <w:tblPr>
        <w:tblStyle w:val="14"/>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3893"/>
        <w:gridCol w:w="3224"/>
        <w:gridCol w:w="21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b/>
                <w:color w:val="000000"/>
                <w:kern w:val="0"/>
                <w:sz w:val="24"/>
              </w:rPr>
              <w:t>部件名称</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b/>
                <w:color w:val="000000"/>
                <w:kern w:val="0"/>
                <w:sz w:val="24"/>
              </w:rPr>
              <w:t>规格型号</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b/>
                <w:color w:val="000000"/>
                <w:kern w:val="0"/>
                <w:sz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一体化调速直流电动机</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功率90W-200W </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控制模块</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完成密集架开启、移动、停止等控制 </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驱动模块</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完成密集架开启、移动、停止等控制  </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固定列彩色触摸</w:t>
            </w:r>
          </w:p>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液晶显示屏</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12寸以上</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移动列彩色触摸</w:t>
            </w:r>
          </w:p>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液晶显示屏</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8寸以上</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开关电源</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220V</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接近开关</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 与密集架配套</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空气开关</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 与密集架配套</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1/区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通信电缆</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超五类网线 </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电源电线</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 3*2.5mm</w:t>
            </w:r>
            <w:r>
              <w:rPr>
                <w:rFonts w:hint="eastAsia" w:ascii="仿宋" w:hAnsi="仿宋" w:eastAsia="仿宋" w:cs="仿宋"/>
                <w:color w:val="000000"/>
                <w:sz w:val="24"/>
              </w:rPr>
              <w:t xml:space="preserve"> </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LED灯</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 5W</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漏电保护器</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与密集架配套</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行程开关</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开关寿命1000万次以上;电气50万次,触点功率AC250V 1A</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红外发射/接收装置</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电源DC12V;对射型;PNP输出;最大有效距离2米 </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系统管理软件</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与密集架配套 </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1/库</w:t>
            </w:r>
          </w:p>
        </w:tc>
      </w:tr>
    </w:tbl>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3、传动部件要求</w:t>
      </w:r>
    </w:p>
    <w:p>
      <w:pPr>
        <w:shd w:val="clear"/>
        <w:tabs>
          <w:tab w:val="left" w:pos="210"/>
        </w:tabs>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摇手柄：手柄可折叠，摇动轻便、手柄摇力不大于12N/标准节。</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传动轴：45#钢，精加工，热处理调质 。</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轴承：E级。</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链轮：采用45#钢，经锻压加工成型，回火去除应力，加工车、滚齿、插键槽、齿部经高频淬火HRC60—62。</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链条：采用12.7节距滚珠链条。链条破断力≥1800kg。</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滚轮：采用HT15—33，铸铁，经加工成型。</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轨道；20mm×25mm实心不锈方钢。</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连接管：采用无缝钢管。</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密封：密集柜顶部采用防尘板密封，列与列之间采用密封条密封，满足防火、防尘要求。底部设防潮、防鼠装置。</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表面喷涂材料要求：符合GB-1720、1732、1734标准。</w:t>
      </w:r>
    </w:p>
    <w:p>
      <w:pPr>
        <w:shd w:val="clear"/>
        <w:spacing w:line="400" w:lineRule="exact"/>
        <w:rPr>
          <w:rFonts w:ascii="仿宋" w:hAnsi="仿宋" w:eastAsia="仿宋" w:cs="仿宋"/>
          <w:b/>
          <w:color w:val="000000"/>
          <w:sz w:val="24"/>
        </w:rPr>
      </w:pPr>
      <w:r>
        <w:rPr>
          <w:rFonts w:hint="eastAsia" w:ascii="仿宋" w:hAnsi="仿宋" w:eastAsia="仿宋" w:cs="仿宋"/>
          <w:b/>
          <w:color w:val="000000"/>
          <w:sz w:val="24"/>
        </w:rPr>
        <w:t>（六）传动机构要求</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传动机构采用中间驱动，传动至两边滚轮，在负载情况下保持轻便、灵活、平稳，不得有失灵现象。电动时速度每分钟不小于3.8m。</w:t>
      </w:r>
    </w:p>
    <w:p>
      <w:pPr>
        <w:shd w:val="clear"/>
        <w:spacing w:line="400" w:lineRule="exact"/>
        <w:rPr>
          <w:rFonts w:ascii="仿宋" w:hAnsi="仿宋" w:eastAsia="仿宋" w:cs="仿宋"/>
          <w:b/>
          <w:color w:val="000000"/>
          <w:sz w:val="24"/>
        </w:rPr>
      </w:pPr>
      <w:r>
        <w:rPr>
          <w:rFonts w:hint="eastAsia" w:ascii="仿宋" w:hAnsi="仿宋" w:eastAsia="仿宋" w:cs="仿宋"/>
          <w:b/>
          <w:color w:val="000000"/>
          <w:sz w:val="24"/>
        </w:rPr>
        <w:t>（七）载重性能要求</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1、单面搁板</w:t>
      </w:r>
      <w:r>
        <w:rPr>
          <w:rFonts w:hint="eastAsia" w:ascii="仿宋" w:hAnsi="仿宋" w:eastAsia="仿宋" w:cs="仿宋"/>
          <w:color w:val="000000"/>
          <w:sz w:val="24"/>
          <w:highlight w:val="none"/>
        </w:rPr>
        <w:t>上均布载重40Kg，双面均布负载80Kg，最</w:t>
      </w:r>
      <w:r>
        <w:rPr>
          <w:rFonts w:hint="eastAsia" w:ascii="仿宋" w:hAnsi="仿宋" w:eastAsia="仿宋" w:cs="仿宋"/>
          <w:color w:val="000000"/>
          <w:sz w:val="24"/>
        </w:rPr>
        <w:t>大挠度为3mm，24h 卸载后，不得有裂纹及永久变形。</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2、标准节（搁板）在全负载（每块单面搁板均布载重40Kg）的情况下，架体、立柱不应有明显变形，架体不应产生倾倒现象。</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3、全负载的情况下，各列密集架在手动操纵下，都应运行自如，不得有阻滞现象。</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4、在受全部载荷1/20外力（沿X、Y轴两个方向的水平外力）的作用反复100次后，取消外力，架体所产生的倾斜不得大于总高的1%，支架、立柱不得有明显的变形。</w:t>
      </w:r>
    </w:p>
    <w:p>
      <w:pPr>
        <w:spacing w:line="400" w:lineRule="exact"/>
        <w:rPr>
          <w:rFonts w:ascii="仿宋" w:hAnsi="仿宋" w:eastAsia="仿宋" w:cs="仿宋"/>
          <w:b/>
          <w:color w:val="000000"/>
          <w:sz w:val="24"/>
        </w:rPr>
      </w:pPr>
      <w:r>
        <w:rPr>
          <w:rFonts w:hint="eastAsia" w:ascii="仿宋" w:hAnsi="仿宋" w:eastAsia="仿宋" w:cs="仿宋_GB2312"/>
          <w:sz w:val="24"/>
          <w:szCs w:val="20"/>
        </w:rPr>
        <w:t>▲</w:t>
      </w:r>
      <w:r>
        <w:rPr>
          <w:rFonts w:hint="eastAsia" w:ascii="仿宋" w:hAnsi="仿宋" w:eastAsia="仿宋" w:cs="仿宋"/>
          <w:b/>
          <w:color w:val="000000"/>
          <w:sz w:val="24"/>
        </w:rPr>
        <w:t>（八）安装标准</w:t>
      </w:r>
    </w:p>
    <w:p>
      <w:pPr>
        <w:tabs>
          <w:tab w:val="left" w:pos="720"/>
          <w:tab w:val="left" w:pos="780"/>
        </w:tabs>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1、密集架埋入轨道要求：每两条轨平行偏差不大于1.5mm，在任何1m长度内水平偏差不大于1mm，全长不大于4mm。</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2、密集架整体外观要求：架体安装调试后，要求达到横平竖直，架体摇动轻便无阻力和响声，架体干净整洁。</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3、架体平行度：±1~2mm/列。</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4、架体垂直度：±1~2mm/列。</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5、架体纵向同步度：±1~2mm/列。</w:t>
      </w:r>
    </w:p>
    <w:p>
      <w:pPr>
        <w:spacing w:line="400" w:lineRule="exact"/>
        <w:rPr>
          <w:rFonts w:ascii="仿宋" w:hAnsi="仿宋" w:eastAsia="仿宋" w:cs="仿宋"/>
          <w:b/>
          <w:color w:val="000000"/>
          <w:sz w:val="24"/>
        </w:rPr>
      </w:pPr>
      <w:r>
        <w:rPr>
          <w:rFonts w:hint="eastAsia" w:ascii="仿宋" w:hAnsi="仿宋" w:eastAsia="仿宋" w:cs="仿宋"/>
          <w:b/>
          <w:color w:val="000000"/>
          <w:sz w:val="24"/>
        </w:rPr>
        <w:t>（九）防护装置</w:t>
      </w:r>
    </w:p>
    <w:p>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每列的接触面均有缓冲及密封装置，具有良好的防震、防尘、防鼠、防潮、防火功能。</w:t>
      </w:r>
    </w:p>
    <w:p>
      <w:pPr>
        <w:spacing w:line="400" w:lineRule="exact"/>
        <w:rPr>
          <w:rFonts w:ascii="仿宋" w:hAnsi="仿宋" w:eastAsia="仿宋" w:cs="仿宋"/>
          <w:b/>
          <w:color w:val="000000"/>
          <w:sz w:val="24"/>
        </w:rPr>
      </w:pPr>
      <w:r>
        <w:rPr>
          <w:rFonts w:hint="eastAsia" w:ascii="仿宋" w:hAnsi="仿宋" w:eastAsia="仿宋" w:cs="仿宋"/>
          <w:b/>
          <w:color w:val="000000"/>
          <w:sz w:val="24"/>
        </w:rPr>
        <w:t>（十）表面处理要求</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喷塑质量控制标准：</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1、除油、去锈处理工艺：</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（1）工件表面的油污、锈斑及氧化层，经化学法清除脱脂后，不应有油脂、浮浊液等污物，其表面应被水完全浸湿。</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（2）酸洗后的工件，不应有目视可见的氧化物、锈斑等腐蚀现象，其表面应色泽基本均匀。</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2、磷化处理工艺：</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（1）磷化处理主要采用浸渍法进行。</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（2）磷化处理以锌钙的磷酸二氢盐为主要成份溶液，经磷化槽液的配制、调整，按工艺规程要求进行。</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（3）磷化后的工件，应采用流动水彻底清洗，提高工件表面的清洗质量，同时采用热的铬酸溶液作封闭处理。</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（4）工件经磷化、水洗后，采用烘干机处理干燥后方可喷塑。</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（5）经磷化处理后的工件与喷塑时间相隔一般不超过24小时。</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3、磷化膜外观：</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（1）磷化后工件的颜色应为灰色，膜层应结晶致密，连续和均匀。</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（2）膜层厚度一般控制为5微米。</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（3）磷化表面检验，采用检验溶液，观察滴液从天兰色变为淡黄色或淡红色，并在规定时间内不变色为合格。成品入库转入喷塑工序。</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4、静电喷塑技术工艺：</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（1）塑粉经高频、高压静电设备喷涂固化成膜。固化温度应控制在180℃，时间控制在10~15分钟范围内。</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（2）颜色按客户要求，色泽一致，塑面均匀光滑、无划伤。</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（3）检验标准：</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厚度：60～70微米        按磁性测厚仪</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附着力：2级             按GB－1720－79</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抗冲击：60Kg/cm</w:t>
      </w:r>
      <w:r>
        <w:rPr>
          <w:rFonts w:hint="eastAsia" w:ascii="仿宋" w:hAnsi="仿宋" w:eastAsia="仿宋" w:cs="仿宋"/>
          <w:color w:val="000000"/>
          <w:sz w:val="24"/>
          <w:vertAlign w:val="superscript"/>
        </w:rPr>
        <w:t xml:space="preserve">2 </w:t>
      </w:r>
      <w:r>
        <w:rPr>
          <w:rFonts w:hint="eastAsia" w:ascii="仿宋" w:hAnsi="仿宋" w:eastAsia="仿宋" w:cs="仿宋"/>
          <w:color w:val="000000"/>
          <w:sz w:val="24"/>
        </w:rPr>
        <w:t xml:space="preserve">        按GB－1732－79</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光泽：&gt;85%              按GB－1734－79</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盐雾试验48小时无涂膜脱落现象。</w:t>
      </w:r>
    </w:p>
    <w:p>
      <w:pPr>
        <w:spacing w:line="400" w:lineRule="exact"/>
        <w:ind w:firstLine="480" w:firstLineChars="200"/>
        <w:rPr>
          <w:rFonts w:ascii="仿宋" w:hAnsi="仿宋" w:eastAsia="仿宋" w:cs="仿宋"/>
          <w:b/>
          <w:color w:val="000000"/>
          <w:sz w:val="24"/>
        </w:rPr>
      </w:pPr>
      <w:r>
        <w:rPr>
          <w:rFonts w:hint="eastAsia" w:ascii="仿宋" w:hAnsi="仿宋" w:eastAsia="仿宋" w:cs="仿宋"/>
          <w:color w:val="000000"/>
          <w:sz w:val="24"/>
        </w:rPr>
        <w:t>外观：不得有明显流痕、渍痕、气泡。</w:t>
      </w:r>
    </w:p>
    <w:p>
      <w:pPr>
        <w:spacing w:line="400" w:lineRule="exact"/>
        <w:rPr>
          <w:rFonts w:ascii="仿宋" w:hAnsi="仿宋" w:eastAsia="仿宋" w:cs="仿宋"/>
          <w:b/>
          <w:color w:val="000000"/>
          <w:sz w:val="24"/>
        </w:rPr>
      </w:pPr>
      <w:r>
        <w:rPr>
          <w:rFonts w:hint="eastAsia" w:ascii="仿宋" w:hAnsi="仿宋" w:eastAsia="仿宋" w:cs="仿宋"/>
          <w:b/>
          <w:color w:val="000000"/>
          <w:sz w:val="24"/>
        </w:rPr>
        <w:t>（十一）外观质量要求</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1、密集架架体外观应精美、线条流畅、操作应轻便灵活、运行平稳，并应是组合装配，便于搬迁和拆卸。各零件、组合件表面应光滑平整，不得有尖角、凸起。</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2、颜色按用户要求（用户提供Logol和色系），表面经静电喷粉，高温塑化处理，色泽应一致，喷涂无死角，漆面应均匀光滑、无划痕。</w:t>
      </w:r>
    </w:p>
    <w:p>
      <w:pPr>
        <w:jc w:val="left"/>
        <w:rPr>
          <w:rFonts w:ascii="仿宋" w:hAnsi="仿宋" w:eastAsia="仿宋" w:cs="仿宋"/>
          <w:b/>
          <w:bCs/>
          <w:color w:val="000000"/>
          <w:sz w:val="28"/>
          <w:szCs w:val="28"/>
        </w:rPr>
      </w:pPr>
      <w:r>
        <w:rPr>
          <w:rFonts w:hint="eastAsia" w:ascii="仿宋" w:hAnsi="仿宋" w:eastAsia="仿宋" w:cs="仿宋"/>
          <w:b/>
          <w:bCs/>
          <w:color w:val="000000"/>
          <w:sz w:val="28"/>
          <w:szCs w:val="28"/>
        </w:rPr>
        <w:t>智能密集架管理系统要求</w:t>
      </w:r>
    </w:p>
    <w:p>
      <w:pPr>
        <w:autoSpaceDE w:val="0"/>
        <w:autoSpaceDN w:val="0"/>
        <w:adjustRightInd w:val="0"/>
        <w:spacing w:line="360" w:lineRule="exact"/>
        <w:jc w:val="left"/>
        <w:rPr>
          <w:rFonts w:ascii="仿宋" w:hAnsi="仿宋" w:eastAsia="仿宋" w:cs="仿宋"/>
          <w:b/>
          <w:color w:val="000000"/>
          <w:kern w:val="0"/>
          <w:sz w:val="24"/>
        </w:rPr>
      </w:pPr>
      <w:r>
        <w:rPr>
          <w:rFonts w:hint="eastAsia" w:ascii="仿宋" w:hAnsi="仿宋" w:eastAsia="仿宋" w:cs="仿宋"/>
          <w:b/>
          <w:color w:val="000000"/>
          <w:kern w:val="0"/>
          <w:sz w:val="24"/>
        </w:rPr>
        <w:t>（一）功能要求</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 自检功能</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集架智能管理系统在开始通电工作时，应能自动检测密集架各部件是否正常，自检结果应以直观形式进行显现或提示。</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2、操作功能</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在密集架智能管理系统的主界面中应能进行以下操作：</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a) 锁定：应对密集架整个区域内的活动架进行锁定，锁定后活动架应不能被动力驱动装置驱动；</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b) 解除锁定：应对已经被锁定的所有活动架进行解除锁定操作，解除锁定后活动架应能被动力驱动装置驱动；</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c) 向左移动：应在活动架解除锁定情况下，被动力驱动装置驱动，向左手方向（人正面对活动架的前置面板时左手方向）移动；</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d) 向右移动：应在活动架解除锁定情况下，被动力驱动装置驱动，向右手方向（人正面对活动架的前置面板时右手方向）移动；</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e) 停止移动：应使处于向左移动或向右移动过程中的活动架停止移动；</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f) 合架：应使整个区域的所有活动架向其固定架靠拢；</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g) 通风：密集架的所有活动架应能依次自动打开固定的一段时间，以使密集架内能够通风换气。</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3、状态显示功能</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密集架智能管理系统的主界面上应显示温度值、湿度值等实时架内环境数据，密集架的操作状态、人员进出通道的实时状态以及各项报警信息。显示内容清晰，界面布局合理。</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4、查询定位</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能够通过显示屏查询出密集架上的档案或资料，显示其结果，可打开存放档案或资料的密集架，并通过定位引导装置指示档案或资料所在位置。外部设备或应用可通过密集架控制系统提供的数据通信协议进行查询定位操作。</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5、 照明控制功能</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密集架关闭时，通道照明灯应熄灭；密集架打开时，通道照明灯应点亮。超过30s通道中无人员作业，则通道照明灯应自动熄灭；当有人员进入通道时，通道照明灯应立即自动点亮。</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6、语音播报功能</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密集架操作及报警信息，应以普通话语音提示，语音清晰、语速平稳。</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7、日志功能</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密集架所有操作及报警信息，应记录日志，并永久保存。日志内容能够以文件形式导出。</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8、数据通信协议</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密集架控制系统应同时具备总线协议方式以及Web Service协议方式，供外部设备或外部应用进行调用；</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总线协议标准采用RS485接口，通过区域控制总线进行通信，但不排除同时使用其它总线通信方式的可能，总线数据通信、网络通信、密集架位置标识码组成规则参见《DAT65-2017档案密集架智能管理系统技术要求》。</w:t>
      </w:r>
    </w:p>
    <w:p>
      <w:pPr>
        <w:autoSpaceDE w:val="0"/>
        <w:autoSpaceDN w:val="0"/>
        <w:adjustRightInd w:val="0"/>
        <w:spacing w:line="360" w:lineRule="exact"/>
        <w:jc w:val="left"/>
        <w:rPr>
          <w:rFonts w:ascii="仿宋" w:hAnsi="仿宋" w:eastAsia="仿宋" w:cs="仿宋"/>
          <w:b/>
          <w:color w:val="000000"/>
          <w:kern w:val="0"/>
          <w:sz w:val="24"/>
        </w:rPr>
      </w:pPr>
      <w:r>
        <w:rPr>
          <w:rFonts w:hint="eastAsia" w:ascii="仿宋" w:hAnsi="仿宋" w:eastAsia="仿宋" w:cs="仿宋"/>
          <w:b/>
          <w:color w:val="000000"/>
          <w:kern w:val="0"/>
          <w:sz w:val="24"/>
        </w:rPr>
        <w:t>（二）工控机要求</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工控机是智能密集架的核心部件，通过安装在工控机上的密集架控制系统实现架体操作、查询定位、照明控制、语音播报、安全防护、架内环境监控等智能化功能。</w:t>
      </w:r>
    </w:p>
    <w:p>
      <w:pPr>
        <w:autoSpaceDE w:val="0"/>
        <w:autoSpaceDN w:val="0"/>
        <w:adjustRightInd w:val="0"/>
        <w:spacing w:line="360" w:lineRule="exact"/>
        <w:jc w:val="left"/>
        <w:rPr>
          <w:rFonts w:ascii="仿宋" w:hAnsi="仿宋" w:eastAsia="仿宋" w:cs="仿宋"/>
          <w:color w:val="000000"/>
          <w:kern w:val="0"/>
          <w:sz w:val="24"/>
        </w:rPr>
      </w:pPr>
      <w:r>
        <w:rPr>
          <w:rFonts w:hint="eastAsia" w:ascii="仿宋" w:hAnsi="仿宋" w:eastAsia="仿宋" w:cs="仿宋"/>
          <w:color w:val="000000"/>
          <w:kern w:val="0"/>
          <w:sz w:val="24"/>
        </w:rPr>
        <w:t>工控机应符合以下要求：</w:t>
      </w:r>
    </w:p>
    <w:p>
      <w:pPr>
        <w:autoSpaceDE w:val="0"/>
        <w:autoSpaceDN w:val="0"/>
        <w:adjustRightInd w:val="0"/>
        <w:spacing w:line="360" w:lineRule="exact"/>
        <w:jc w:val="left"/>
        <w:rPr>
          <w:rFonts w:ascii="仿宋" w:hAnsi="仿宋" w:eastAsia="仿宋" w:cs="仿宋"/>
          <w:color w:val="000000"/>
          <w:kern w:val="0"/>
          <w:sz w:val="24"/>
        </w:rPr>
      </w:pPr>
      <w:r>
        <w:rPr>
          <w:rFonts w:hint="eastAsia" w:ascii="仿宋" w:hAnsi="仿宋" w:eastAsia="仿宋" w:cs="仿宋"/>
          <w:color w:val="000000"/>
          <w:kern w:val="0"/>
          <w:sz w:val="24"/>
        </w:rPr>
        <w:t>a) 固定架工控机应具有操作系统支持；</w:t>
      </w:r>
    </w:p>
    <w:p>
      <w:pPr>
        <w:autoSpaceDE w:val="0"/>
        <w:autoSpaceDN w:val="0"/>
        <w:adjustRightInd w:val="0"/>
        <w:spacing w:line="360" w:lineRule="exact"/>
        <w:jc w:val="left"/>
        <w:rPr>
          <w:rFonts w:ascii="仿宋" w:hAnsi="仿宋" w:eastAsia="仿宋" w:cs="仿宋"/>
          <w:color w:val="000000"/>
          <w:kern w:val="0"/>
          <w:sz w:val="24"/>
        </w:rPr>
      </w:pPr>
      <w:r>
        <w:rPr>
          <w:rFonts w:hint="eastAsia" w:ascii="仿宋" w:hAnsi="仿宋" w:eastAsia="仿宋" w:cs="仿宋"/>
          <w:color w:val="000000"/>
          <w:kern w:val="0"/>
          <w:sz w:val="24"/>
        </w:rPr>
        <w:t>b) 固定架工控机应提供常用的接口，包括USB 接口、RS-232接口及RS-485接口等；</w:t>
      </w:r>
    </w:p>
    <w:p>
      <w:pPr>
        <w:autoSpaceDE w:val="0"/>
        <w:autoSpaceDN w:val="0"/>
        <w:adjustRightInd w:val="0"/>
        <w:spacing w:line="360" w:lineRule="exact"/>
        <w:jc w:val="left"/>
        <w:rPr>
          <w:rFonts w:ascii="仿宋" w:hAnsi="仿宋" w:eastAsia="仿宋" w:cs="仿宋"/>
          <w:color w:val="000000"/>
          <w:kern w:val="0"/>
          <w:sz w:val="24"/>
        </w:rPr>
      </w:pPr>
      <w:r>
        <w:rPr>
          <w:rFonts w:hint="eastAsia" w:ascii="仿宋" w:hAnsi="仿宋" w:eastAsia="仿宋" w:cs="仿宋"/>
          <w:color w:val="000000"/>
          <w:kern w:val="0"/>
          <w:sz w:val="24"/>
        </w:rPr>
        <w:t>c) 固定架工控机应支持每天不少于8 h（小时）的开机时长，累计使用时长应不少于30000 h；</w:t>
      </w:r>
    </w:p>
    <w:p>
      <w:pPr>
        <w:autoSpaceDE w:val="0"/>
        <w:autoSpaceDN w:val="0"/>
        <w:adjustRightInd w:val="0"/>
        <w:spacing w:line="360" w:lineRule="exact"/>
        <w:jc w:val="left"/>
        <w:rPr>
          <w:rFonts w:ascii="仿宋" w:hAnsi="仿宋" w:eastAsia="仿宋" w:cs="仿宋"/>
          <w:color w:val="000000"/>
          <w:kern w:val="0"/>
          <w:sz w:val="24"/>
        </w:rPr>
      </w:pPr>
      <w:r>
        <w:rPr>
          <w:rFonts w:hint="eastAsia" w:ascii="仿宋" w:hAnsi="仿宋" w:eastAsia="仿宋" w:cs="仿宋"/>
          <w:color w:val="000000"/>
          <w:kern w:val="0"/>
          <w:sz w:val="24"/>
        </w:rPr>
        <w:t>d) 固定架和活动架上的工控机显示屏均应支持触摸方式操作；</w:t>
      </w:r>
    </w:p>
    <w:p>
      <w:pPr>
        <w:autoSpaceDE w:val="0"/>
        <w:autoSpaceDN w:val="0"/>
        <w:adjustRightInd w:val="0"/>
        <w:spacing w:line="360" w:lineRule="exact"/>
        <w:jc w:val="left"/>
        <w:rPr>
          <w:rFonts w:ascii="仿宋" w:hAnsi="仿宋" w:eastAsia="仿宋" w:cs="仿宋"/>
          <w:color w:val="000000"/>
          <w:kern w:val="0"/>
          <w:sz w:val="24"/>
        </w:rPr>
      </w:pPr>
      <w:r>
        <w:rPr>
          <w:rFonts w:hint="eastAsia" w:ascii="仿宋" w:hAnsi="仿宋" w:eastAsia="仿宋" w:cs="仿宋"/>
          <w:color w:val="000000"/>
          <w:kern w:val="0"/>
          <w:sz w:val="24"/>
        </w:rPr>
        <w:t>e) 显示屏应无明显划痕、无坏点、无色相缺失等异常；</w:t>
      </w:r>
    </w:p>
    <w:p>
      <w:pPr>
        <w:autoSpaceDE w:val="0"/>
        <w:autoSpaceDN w:val="0"/>
        <w:adjustRightInd w:val="0"/>
        <w:spacing w:line="360" w:lineRule="exact"/>
        <w:jc w:val="left"/>
        <w:rPr>
          <w:rFonts w:ascii="仿宋" w:hAnsi="仿宋" w:eastAsia="仿宋" w:cs="仿宋"/>
          <w:color w:val="000000"/>
          <w:kern w:val="0"/>
          <w:sz w:val="24"/>
        </w:rPr>
      </w:pPr>
      <w:r>
        <w:rPr>
          <w:rFonts w:hint="eastAsia" w:ascii="仿宋" w:hAnsi="仿宋" w:eastAsia="仿宋" w:cs="仿宋"/>
          <w:color w:val="000000"/>
          <w:kern w:val="0"/>
          <w:sz w:val="24"/>
        </w:rPr>
        <w:t>f) 固定架和活动架上的工控机显示屏应安装在固定架和活动架前置面板上，位置左右居中高度合</w:t>
      </w:r>
    </w:p>
    <w:p>
      <w:pPr>
        <w:autoSpaceDE w:val="0"/>
        <w:autoSpaceDN w:val="0"/>
        <w:adjustRightInd w:val="0"/>
        <w:spacing w:line="360" w:lineRule="exact"/>
        <w:jc w:val="left"/>
        <w:rPr>
          <w:rFonts w:ascii="仿宋" w:hAnsi="仿宋" w:eastAsia="仿宋" w:cs="仿宋"/>
          <w:color w:val="000000"/>
          <w:kern w:val="0"/>
          <w:sz w:val="24"/>
        </w:rPr>
      </w:pPr>
      <w:r>
        <w:rPr>
          <w:rFonts w:hint="eastAsia" w:ascii="仿宋" w:hAnsi="仿宋" w:eastAsia="仿宋" w:cs="仿宋"/>
          <w:color w:val="000000"/>
          <w:kern w:val="0"/>
          <w:sz w:val="24"/>
        </w:rPr>
        <w:t>适，便于操作。</w:t>
      </w:r>
    </w:p>
    <w:p>
      <w:pPr>
        <w:autoSpaceDE w:val="0"/>
        <w:autoSpaceDN w:val="0"/>
        <w:adjustRightInd w:val="0"/>
        <w:spacing w:line="380" w:lineRule="exact"/>
        <w:jc w:val="left"/>
        <w:rPr>
          <w:rFonts w:ascii="仿宋" w:hAnsi="仿宋" w:eastAsia="仿宋" w:cs="仿宋"/>
          <w:b/>
          <w:color w:val="000000"/>
          <w:kern w:val="0"/>
          <w:sz w:val="24"/>
        </w:rPr>
      </w:pPr>
      <w:r>
        <w:rPr>
          <w:rFonts w:hint="eastAsia" w:ascii="仿宋" w:hAnsi="仿宋" w:eastAsia="仿宋" w:cs="仿宋"/>
          <w:b/>
          <w:color w:val="000000"/>
          <w:kern w:val="0"/>
          <w:sz w:val="24"/>
        </w:rPr>
        <w:t>（三）安全保护要求</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1、架体运行安全要求</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为确保档案数据的安全和管理员的人身安全，应符合以下要求：</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a) 密集架最边上的一列应加装锁定装置，防止无权限的人员进行操作或查看档案；</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b) 每一个区域密集架的最外侧活动架均安装有保险锁，保险锁锁定状态下，活动架不能被移动；</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c) 应采用防挤压保护装置如区域光幕装置、通道光幕传感器、通道出入红外传感器中的2种或2种以上的防护措施，并确保止动灵敏可靠；活动架处于打开状态时，所有的防挤压保护装置应处于工作状态；</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d) 每一列活动架均需安装到位检测装置，以检测活动架的到位状态；</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e) 活动架应采用电机运行电流检测装置，用以检测活动架动力驱动装置的运行是否受阻，防止架体运行异常可能造成的设备损坏和人员危险；</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f) 活动架操作动作或通道人员进出，均应同时进行语音广播。要求语速平稳、语音清晰；</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g) 活动架在移动时，应缓慢起动、平稳运行、缓慢停止，平均速度为3 m/min～6 m/min；</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h) 活动架动力驱动装置不得存在继电器,避免产生火花。</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2、数据传输安全</w:t>
      </w:r>
    </w:p>
    <w:p>
      <w:pPr>
        <w:autoSpaceDE w:val="0"/>
        <w:autoSpaceDN w:val="0"/>
        <w:adjustRightInd w:val="0"/>
        <w:spacing w:line="380" w:lineRule="exact"/>
        <w:jc w:val="left"/>
        <w:rPr>
          <w:rFonts w:ascii="仿宋" w:hAnsi="仿宋" w:eastAsia="仿宋" w:cs="仿宋"/>
          <w:color w:val="000000"/>
          <w:kern w:val="0"/>
          <w:sz w:val="24"/>
        </w:rPr>
      </w:pPr>
      <w:r>
        <w:rPr>
          <w:rFonts w:hint="eastAsia" w:ascii="仿宋" w:hAnsi="仿宋" w:eastAsia="仿宋" w:cs="仿宋"/>
          <w:color w:val="000000"/>
          <w:kern w:val="0"/>
          <w:sz w:val="24"/>
        </w:rPr>
        <w:t>数据传输过程中应加密,以防档案或资料数据在传输过程中被非法截获破解。</w:t>
      </w:r>
    </w:p>
    <w:p>
      <w:pPr>
        <w:autoSpaceDE w:val="0"/>
        <w:autoSpaceDN w:val="0"/>
        <w:adjustRightInd w:val="0"/>
        <w:spacing w:line="380" w:lineRule="exact"/>
        <w:jc w:val="left"/>
        <w:rPr>
          <w:rFonts w:ascii="仿宋" w:hAnsi="仿宋" w:eastAsia="仿宋" w:cs="仿宋"/>
          <w:color w:val="000000"/>
          <w:kern w:val="0"/>
          <w:sz w:val="24"/>
        </w:rPr>
      </w:pPr>
      <w:r>
        <w:rPr>
          <w:rFonts w:hint="eastAsia" w:ascii="仿宋" w:hAnsi="仿宋" w:eastAsia="仿宋" w:cs="仿宋"/>
          <w:color w:val="000000"/>
          <w:kern w:val="0"/>
          <w:sz w:val="24"/>
        </w:rPr>
        <w:t>密集架智能管理系统在使用时应先通过人脸识别、指纹、虹膜、密码等身份认证装置进行身份认证，身份认证通过后，智能密集架方可使用。</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3、用电安全</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3.1 当密集架长时间无人操作时，除固定架工控机和控制器外所有活动架断电，当人为在工控机界面任意位置触摸时立即自动通电。</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3.2 密集架架体需接地良好，采用额定输出电压不超过36 V 的直流电源，确保金属架体不会有</w:t>
      </w:r>
    </w:p>
    <w:p>
      <w:pPr>
        <w:autoSpaceDE w:val="0"/>
        <w:autoSpaceDN w:val="0"/>
        <w:adjustRightInd w:val="0"/>
        <w:spacing w:line="380" w:lineRule="exact"/>
        <w:jc w:val="left"/>
        <w:rPr>
          <w:rFonts w:ascii="仿宋" w:hAnsi="仿宋" w:eastAsia="仿宋" w:cs="仿宋"/>
          <w:color w:val="000000"/>
          <w:kern w:val="0"/>
          <w:sz w:val="24"/>
        </w:rPr>
      </w:pPr>
      <w:r>
        <w:rPr>
          <w:rFonts w:hint="eastAsia" w:ascii="仿宋" w:hAnsi="仿宋" w:eastAsia="仿宋" w:cs="仿宋"/>
          <w:color w:val="000000"/>
          <w:kern w:val="0"/>
          <w:sz w:val="24"/>
        </w:rPr>
        <w:t>危害人身安全的电压存在。</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3.3 连接导线，应符合以下要求：</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a) 应采用阻燃导线；</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b) 对易老化的导线应注明使用年限，到期更换；</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c) 对所有导线均应有适当保护，以保证其绝缘层不被损伤；</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d) 当导线需穿越金属孔时，应装有衬套。金属穿线孔应进行倒角，不得有锋利的边缘；</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e) 接线要整齐布置，并使用线夹、电缆套、电缆卷固定，线束内的导线要有序编扎。</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3.4 插接器，应符合以下要求：</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a) 使用插接器时，插头两端的线色应相同；</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b) 在接插完毕后，插头和插座的连接应牢固可靠，不应有松动、接触不良现象。</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3.5 电器线路必须要有可靠的短路保护装置。短路保护装置应符合GB 5226.1—2008中5.3的规定。</w:t>
      </w:r>
    </w:p>
    <w:p>
      <w:pPr>
        <w:autoSpaceDE w:val="0"/>
        <w:autoSpaceDN w:val="0"/>
        <w:adjustRightInd w:val="0"/>
        <w:spacing w:line="380" w:lineRule="exact"/>
        <w:jc w:val="left"/>
        <w:rPr>
          <w:rFonts w:ascii="仿宋" w:hAnsi="仿宋" w:eastAsia="仿宋" w:cs="仿宋"/>
          <w:b/>
          <w:color w:val="000000"/>
          <w:kern w:val="0"/>
          <w:sz w:val="24"/>
        </w:rPr>
      </w:pPr>
      <w:r>
        <w:rPr>
          <w:rFonts w:hint="eastAsia" w:ascii="仿宋" w:hAnsi="仿宋" w:eastAsia="仿宋" w:cs="仿宋"/>
          <w:b/>
          <w:color w:val="000000"/>
          <w:kern w:val="0"/>
          <w:sz w:val="24"/>
        </w:rPr>
        <w:t>（四）架内环境监控</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应符合以下要求：</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a) 智能密集架应支持采集密集架内温湿度数据；</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b) 智能密集架应支持全天记录温湿度；</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c) 永久保存温湿度数据，并提供温湿度数据的删除功能；</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d) 智能密集架应能支持手动通风换气，同时也可支持根据设置的温度、湿度阈值自动通风换气，使密集架所在区域满足档案或资料的存放条件。当密集架采集的环境数据不满足存放条件时应立即进行提示,并在界面的醒目位置显示提示信息。</w:t>
      </w:r>
    </w:p>
    <w:p>
      <w:pPr>
        <w:autoSpaceDE w:val="0"/>
        <w:autoSpaceDN w:val="0"/>
        <w:adjustRightInd w:val="0"/>
        <w:spacing w:line="380" w:lineRule="exact"/>
        <w:jc w:val="left"/>
        <w:rPr>
          <w:rFonts w:ascii="仿宋" w:hAnsi="仿宋" w:eastAsia="仿宋" w:cs="仿宋"/>
          <w:b/>
          <w:color w:val="000000"/>
          <w:kern w:val="0"/>
          <w:sz w:val="24"/>
        </w:rPr>
      </w:pPr>
      <w:r>
        <w:rPr>
          <w:rFonts w:hint="eastAsia" w:ascii="仿宋" w:hAnsi="仿宋" w:eastAsia="仿宋" w:cs="仿宋"/>
          <w:b/>
          <w:color w:val="000000"/>
          <w:kern w:val="0"/>
          <w:sz w:val="24"/>
        </w:rPr>
        <w:t>（五）标志</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智能密集架上使用的文字、图形、标志应符合如下要求：</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a) 耐久、醒目、规范；</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b) 显示器、显示输出、操作说明、铭牌、标志中的文字必须使用中文，根据需要也可以同时使用其他文字；</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c) 智能密集架、显示屏、控制器、动力装置、安全装置应有铭牌；</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d) 铭牌应安装或打印在以上设备外表面的醒目位置，铭牌尺寸应与主机结构尺寸相适宜；</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e) 铭牌上应标出制造商名称、地址、商标、产品中文名称、规格型号、制造日期等内容。当铭牌尺寸不足以表示上述所有信息时，至少应标识出制造商名称、商标以及产品名称。</w:t>
      </w:r>
    </w:p>
    <w:p>
      <w:pPr>
        <w:autoSpaceDE w:val="0"/>
        <w:autoSpaceDN w:val="0"/>
        <w:adjustRightInd w:val="0"/>
        <w:spacing w:line="380" w:lineRule="exact"/>
        <w:jc w:val="left"/>
        <w:rPr>
          <w:rFonts w:ascii="仿宋" w:hAnsi="仿宋" w:eastAsia="仿宋" w:cs="仿宋"/>
          <w:b/>
          <w:color w:val="000000"/>
          <w:kern w:val="0"/>
          <w:sz w:val="24"/>
        </w:rPr>
      </w:pPr>
      <w:r>
        <w:rPr>
          <w:rFonts w:hint="eastAsia" w:ascii="仿宋" w:hAnsi="仿宋" w:eastAsia="仿宋" w:cs="仿宋"/>
          <w:b/>
          <w:color w:val="000000"/>
          <w:kern w:val="0"/>
          <w:sz w:val="24"/>
        </w:rPr>
        <w:t>(六)其他要求</w:t>
      </w:r>
    </w:p>
    <w:p>
      <w:pPr>
        <w:pStyle w:val="13"/>
        <w:spacing w:line="380" w:lineRule="exact"/>
        <w:ind w:left="0" w:leftChars="0" w:firstLine="465" w:firstLineChars="0"/>
        <w:rPr>
          <w:rFonts w:ascii="仿宋" w:hAnsi="仿宋" w:eastAsia="仿宋" w:cs="仿宋"/>
          <w:color w:val="000000"/>
          <w:szCs w:val="24"/>
        </w:rPr>
      </w:pPr>
      <w:r>
        <w:rPr>
          <w:rFonts w:hint="eastAsia" w:ascii="仿宋" w:hAnsi="仿宋" w:eastAsia="仿宋" w:cs="仿宋"/>
          <w:color w:val="000000"/>
          <w:szCs w:val="24"/>
        </w:rPr>
        <w:t>1、为实现智能管理目标而采取的技术手段必须相当于或优于目前市场通用技术水平，其中涉及系统管理软件、各种电子标签、终端辅助设备等产品报价一并含在智能密集架设备采购报价中，不另行报价。</w:t>
      </w:r>
    </w:p>
    <w:p>
      <w:pPr>
        <w:pStyle w:val="13"/>
        <w:spacing w:line="380" w:lineRule="exact"/>
        <w:ind w:left="0" w:leftChars="0" w:firstLine="465" w:firstLineChars="0"/>
        <w:rPr>
          <w:rFonts w:hint="eastAsia" w:ascii="仿宋" w:hAnsi="仿宋" w:eastAsia="仿宋" w:cs="仿宋"/>
          <w:color w:val="000000"/>
          <w:szCs w:val="24"/>
        </w:rPr>
      </w:pPr>
      <w:r>
        <w:rPr>
          <w:rFonts w:hint="eastAsia" w:ascii="仿宋" w:hAnsi="仿宋" w:eastAsia="仿宋" w:cs="仿宋"/>
          <w:color w:val="000000"/>
          <w:szCs w:val="24"/>
        </w:rPr>
        <w:t>▲2、业主单位智能库房档案存放数量约为5万卷，如采用电子标签或相同方式处理的，需完成相应数量的标签粘贴、读取和写入工作,此项工作工期为合同签订后六个月内。</w:t>
      </w:r>
    </w:p>
    <w:p>
      <w:pPr>
        <w:pStyle w:val="13"/>
        <w:spacing w:line="380" w:lineRule="exact"/>
        <w:ind w:left="0" w:leftChars="0" w:firstLine="465" w:firstLineChars="0"/>
        <w:rPr>
          <w:rFonts w:hint="eastAsia" w:ascii="仿宋" w:hAnsi="仿宋" w:eastAsia="仿宋" w:cs="仿宋"/>
          <w:color w:val="000000"/>
          <w:szCs w:val="24"/>
        </w:rPr>
      </w:pPr>
      <w:r>
        <w:rPr>
          <w:rFonts w:hint="eastAsia" w:ascii="仿宋" w:hAnsi="仿宋" w:eastAsia="仿宋" w:cs="仿宋"/>
          <w:color w:val="000000"/>
          <w:szCs w:val="24"/>
        </w:rPr>
        <w:t>▲3、智能密集架管理系统需与业主单位数字档案馆系统实现接口对接（符合智能密集架功能要求中的数据通信协议要求），纳入数字档案馆系统虚拟库房管理。</w:t>
      </w:r>
    </w:p>
    <w:p>
      <w:pPr>
        <w:autoSpaceDE w:val="0"/>
        <w:autoSpaceDN w:val="0"/>
        <w:adjustRightInd w:val="0"/>
        <w:spacing w:line="38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sz w:val="28"/>
          <w:szCs w:val="28"/>
        </w:rPr>
        <w:t>真空充氮杀虫灭菌消毒机参数要求</w:t>
      </w:r>
    </w:p>
    <w:p>
      <w:pPr>
        <w:autoSpaceDE w:val="0"/>
        <w:autoSpaceDN w:val="0"/>
        <w:adjustRightInd w:val="0"/>
        <w:spacing w:line="3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1、设备结构。设备为一体机，由真空消毒室、真空泵、空气压缩机、制氮机、加热器、温湿度传感器、压力传感器和自动控制系统组成。</w:t>
      </w:r>
    </w:p>
    <w:p>
      <w:pPr>
        <w:spacing w:line="3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2、尺寸要求。设备占地面积≤10平方米。外形尺寸(mm)中长、宽≤3000 mm，高≤2500 mm。真空消毒室容积≥5立方米，消毒室(包含小推车)使用碳钢材料Q235A或更高质量材料制作，小推车能直接往返库房。 </w:t>
      </w:r>
    </w:p>
    <w:p>
      <w:pPr>
        <w:spacing w:line="3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3、运行环境。工作电压380V,三相五线，耗电功率：≤10KW。设备运行室内噪音≤75db(A) 。</w:t>
      </w:r>
    </w:p>
    <w:p>
      <w:pPr>
        <w:autoSpaceDE w:val="0"/>
        <w:autoSpaceDN w:val="0"/>
        <w:adjustRightInd w:val="0"/>
        <w:spacing w:line="3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4、工作模式。支持手动操作和全自动操作两套工作模式。开启电源后进入自动工作状态时，自动完成开门、关门、锁门、抽真空、制氮气、充氮气、充氮置换、自动保压、自动放气等步骤，所有参数可通过触摸显示屏显示和设置。手动操作时可单项操作开门、关门、开锁、关锁、抽真空、制氮气、充氮气、放气等，以满足各种不同的状态需要。</w:t>
      </w:r>
    </w:p>
    <w:p>
      <w:pPr>
        <w:autoSpaceDE w:val="0"/>
        <w:autoSpaceDN w:val="0"/>
        <w:adjustRightInd w:val="0"/>
        <w:spacing w:line="3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5、注氮方式：通过程序自动进行注入置换。制氮机制氮量每小时大于5立</w:t>
      </w:r>
    </w:p>
    <w:p>
      <w:pPr>
        <w:spacing w:line="380" w:lineRule="exact"/>
        <w:jc w:val="left"/>
        <w:rPr>
          <w:rFonts w:ascii="仿宋" w:hAnsi="仿宋" w:eastAsia="仿宋" w:cs="仿宋"/>
          <w:color w:val="000000"/>
          <w:sz w:val="24"/>
        </w:rPr>
      </w:pPr>
      <w:r>
        <w:rPr>
          <w:rFonts w:hint="eastAsia" w:ascii="仿宋" w:hAnsi="仿宋" w:eastAsia="仿宋" w:cs="仿宋"/>
          <w:color w:val="000000"/>
          <w:sz w:val="24"/>
        </w:rPr>
        <w:t>方，氮气纯度要求达到99.99%以上。</w:t>
      </w:r>
    </w:p>
    <w:p>
      <w:pPr>
        <w:pStyle w:val="28"/>
        <w:numPr>
          <w:ilvl w:val="0"/>
          <w:numId w:val="6"/>
        </w:numPr>
        <w:spacing w:line="380" w:lineRule="exact"/>
        <w:ind w:firstLineChars="0"/>
        <w:jc w:val="left"/>
        <w:rPr>
          <w:rFonts w:ascii="仿宋" w:hAnsi="仿宋" w:eastAsia="仿宋" w:cs="仿宋"/>
          <w:color w:val="000000"/>
          <w:sz w:val="24"/>
        </w:rPr>
      </w:pPr>
      <w:r>
        <w:rPr>
          <w:rFonts w:hint="eastAsia" w:ascii="仿宋" w:hAnsi="仿宋" w:eastAsia="仿宋" w:cs="仿宋"/>
          <w:color w:val="000000"/>
          <w:sz w:val="24"/>
        </w:rPr>
        <w:t>温湿度传感器能在设备运行过程中，测量消毒室内的温湿度。压力传感</w:t>
      </w:r>
    </w:p>
    <w:p>
      <w:pPr>
        <w:spacing w:line="380" w:lineRule="exact"/>
        <w:jc w:val="left"/>
        <w:rPr>
          <w:rFonts w:ascii="仿宋" w:hAnsi="仿宋" w:eastAsia="仿宋" w:cs="仿宋"/>
          <w:color w:val="000000"/>
          <w:sz w:val="24"/>
        </w:rPr>
      </w:pPr>
      <w:r>
        <w:rPr>
          <w:rFonts w:hint="eastAsia" w:ascii="仿宋" w:hAnsi="仿宋" w:eastAsia="仿宋" w:cs="仿宋"/>
          <w:color w:val="000000"/>
          <w:sz w:val="24"/>
        </w:rPr>
        <w:t>器能精确测量正负压,加热器要求是水加热系统，不能直接加热，危害档案。</w:t>
      </w:r>
    </w:p>
    <w:p>
      <w:pPr>
        <w:pStyle w:val="28"/>
        <w:numPr>
          <w:ilvl w:val="0"/>
          <w:numId w:val="6"/>
        </w:numPr>
        <w:spacing w:line="380" w:lineRule="exact"/>
        <w:ind w:firstLineChars="0"/>
        <w:rPr>
          <w:rFonts w:ascii="仿宋" w:hAnsi="仿宋" w:eastAsia="仿宋" w:cs="仿宋"/>
          <w:color w:val="000000"/>
          <w:sz w:val="24"/>
        </w:rPr>
      </w:pPr>
      <w:r>
        <w:rPr>
          <w:rFonts w:hint="eastAsia" w:ascii="仿宋" w:hAnsi="仿宋" w:eastAsia="仿宋" w:cs="仿宋"/>
          <w:color w:val="000000"/>
          <w:sz w:val="24"/>
        </w:rPr>
        <w:t>杀虫效果。对档案内的主要害虫（米象虫、杂拟谷盗、皮蠹、窃蠹、蠹</w:t>
      </w:r>
    </w:p>
    <w:p>
      <w:pPr>
        <w:spacing w:line="380" w:lineRule="exact"/>
        <w:rPr>
          <w:rFonts w:ascii="仿宋" w:hAnsi="仿宋" w:eastAsia="仿宋" w:cs="仿宋"/>
          <w:color w:val="000000"/>
          <w:sz w:val="24"/>
          <w:highlight w:val="none"/>
        </w:rPr>
      </w:pPr>
      <w:r>
        <w:rPr>
          <w:rFonts w:hint="eastAsia" w:ascii="仿宋" w:hAnsi="仿宋" w:eastAsia="仿宋" w:cs="仿宋"/>
          <w:color w:val="000000"/>
          <w:sz w:val="24"/>
        </w:rPr>
        <w:t>虫、蜚蠊、书虱、德国小蠊、黄粉虫、毛衣鱼虫，包括虫蛹、虫卵）具有明显消杀作用，真空充氮杀虫时间不超过72小时，杀灭率达到100%。杀虫灭菌前后，对纸质、绢丝、竹木、皮革等各类藏品的分子结构不发生任何物理化学变化，无任何不良影响。</w:t>
      </w:r>
      <w:r>
        <w:rPr>
          <w:rFonts w:hint="eastAsia" w:ascii="仿宋" w:hAnsi="仿宋" w:eastAsia="仿宋" w:cs="仿宋"/>
          <w:color w:val="000000"/>
          <w:sz w:val="24"/>
          <w:highlight w:val="none"/>
        </w:rPr>
        <w:t>提供通过CMA认证的第三方检测机构出具的有关杀虫灭菌后纸张菌落数变化、抗张强度、耐破度检测报告。</w:t>
      </w:r>
    </w:p>
    <w:p>
      <w:pPr>
        <w:pStyle w:val="28"/>
        <w:numPr>
          <w:ilvl w:val="0"/>
          <w:numId w:val="6"/>
        </w:numPr>
        <w:spacing w:line="380" w:lineRule="exact"/>
        <w:ind w:firstLineChars="0"/>
        <w:jc w:val="left"/>
        <w:rPr>
          <w:rFonts w:ascii="仿宋" w:hAnsi="仿宋" w:eastAsia="仿宋" w:cs="仿宋"/>
          <w:color w:val="000000"/>
          <w:sz w:val="24"/>
        </w:rPr>
      </w:pPr>
      <w:r>
        <w:rPr>
          <w:rFonts w:hint="eastAsia" w:ascii="仿宋" w:hAnsi="仿宋" w:eastAsia="仿宋" w:cs="仿宋"/>
          <w:color w:val="000000"/>
          <w:sz w:val="24"/>
        </w:rPr>
        <w:t>智能管理。产品具有远程控制接口,具备5年运行参数数据储存功能，可</w:t>
      </w:r>
    </w:p>
    <w:p>
      <w:pPr>
        <w:spacing w:line="380" w:lineRule="exact"/>
        <w:jc w:val="left"/>
        <w:rPr>
          <w:rFonts w:ascii="仿宋" w:hAnsi="仿宋" w:eastAsia="仿宋" w:cs="仿宋"/>
          <w:color w:val="000000"/>
          <w:sz w:val="24"/>
        </w:rPr>
      </w:pPr>
      <w:r>
        <w:rPr>
          <w:rFonts w:hint="eastAsia" w:ascii="仿宋" w:hAnsi="仿宋" w:eastAsia="仿宋" w:cs="仿宋"/>
          <w:color w:val="000000"/>
          <w:sz w:val="24"/>
        </w:rPr>
        <w:t>以随时查阅，可以打印输出。</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sz w:val="24"/>
        </w:rPr>
        <w:t>9、安全性能。制氮机内装有内置式安全阀，在气体超压时自动排压。空气储气罐装有安全阀，在气压超过0.8MPa时，安全阀自动打开，保证储气罐内气体压力0.8MPa以内。主要设备故障报警显示能通过程序自动切断总电源，并报警显示，精确显示故障项目。</w:t>
      </w:r>
    </w:p>
    <w:p>
      <w:pPr>
        <w:autoSpaceDE w:val="0"/>
        <w:autoSpaceDN w:val="0"/>
        <w:adjustRightInd w:val="0"/>
        <w:spacing w:line="3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10、售后维保。为了避免设备故障、失误操作等对档案造成损害，要求在本市生产或有常驻售后服务点，在</w:t>
      </w:r>
      <w:r>
        <w:rPr>
          <w:rFonts w:hint="eastAsia" w:ascii="仿宋" w:hAnsi="仿宋" w:eastAsia="仿宋" w:cs="仿宋"/>
          <w:bCs/>
          <w:color w:val="000000"/>
          <w:sz w:val="24"/>
        </w:rPr>
        <w:t>产品维保期内</w:t>
      </w:r>
      <w:r>
        <w:rPr>
          <w:rFonts w:hint="eastAsia" w:ascii="仿宋" w:hAnsi="仿宋" w:eastAsia="仿宋" w:cs="仿宋"/>
          <w:color w:val="000000"/>
          <w:sz w:val="24"/>
        </w:rPr>
        <w:t>每个季度对设备进行一次免费保养和维护，7*24小时电话响应，4小时内到达现场服务。</w:t>
      </w:r>
    </w:p>
    <w:p>
      <w:pPr>
        <w:spacing w:line="380" w:lineRule="exact"/>
        <w:rPr>
          <w:rFonts w:ascii="仿宋" w:hAnsi="仿宋" w:eastAsia="仿宋" w:cs="仿宋"/>
          <w:b/>
          <w:color w:val="000000"/>
          <w:sz w:val="24"/>
        </w:rPr>
      </w:pPr>
      <w:r>
        <w:rPr>
          <w:rFonts w:hint="eastAsia" w:ascii="仿宋" w:hAnsi="仿宋" w:eastAsia="仿宋" w:cs="仿宋"/>
          <w:b/>
          <w:color w:val="000000"/>
          <w:sz w:val="28"/>
          <w:szCs w:val="28"/>
        </w:rPr>
        <w:t>其他要求</w:t>
      </w:r>
    </w:p>
    <w:p>
      <w:pPr>
        <w:spacing w:line="380" w:lineRule="exact"/>
        <w:ind w:firstLine="480" w:firstLineChars="200"/>
      </w:pPr>
      <w:r>
        <w:rPr>
          <w:rFonts w:hint="eastAsia" w:ascii="仿宋" w:hAnsi="仿宋" w:eastAsia="仿宋" w:cs="仿宋"/>
          <w:bCs/>
          <w:color w:val="000000"/>
          <w:sz w:val="24"/>
          <w:highlight w:val="none"/>
          <w:lang w:eastAsia="zh-CN"/>
        </w:rPr>
        <w:t>手电动</w:t>
      </w:r>
      <w:r>
        <w:rPr>
          <w:rFonts w:hint="eastAsia" w:ascii="仿宋" w:hAnsi="仿宋" w:eastAsia="仿宋" w:cs="仿宋"/>
          <w:bCs/>
          <w:color w:val="000000"/>
          <w:sz w:val="24"/>
          <w:highlight w:val="none"/>
        </w:rPr>
        <w:t>图书</w:t>
      </w:r>
      <w:r>
        <w:rPr>
          <w:rFonts w:hint="eastAsia" w:ascii="仿宋" w:hAnsi="仿宋" w:eastAsia="仿宋" w:cs="仿宋"/>
          <w:bCs/>
          <w:color w:val="000000"/>
          <w:sz w:val="24"/>
          <w:highlight w:val="none"/>
          <w:lang w:eastAsia="zh-CN"/>
        </w:rPr>
        <w:t>期刊</w:t>
      </w:r>
      <w:r>
        <w:rPr>
          <w:rFonts w:hint="eastAsia" w:ascii="仿宋" w:hAnsi="仿宋" w:eastAsia="仿宋" w:cs="仿宋"/>
          <w:bCs/>
          <w:color w:val="000000"/>
          <w:sz w:val="24"/>
          <w:highlight w:val="none"/>
        </w:rPr>
        <w:t>密集架、</w:t>
      </w:r>
      <w:r>
        <w:rPr>
          <w:rFonts w:hint="eastAsia" w:ascii="仿宋" w:hAnsi="仿宋" w:eastAsia="仿宋" w:cs="仿宋"/>
          <w:bCs/>
          <w:color w:val="000000"/>
          <w:sz w:val="24"/>
          <w:highlight w:val="none"/>
          <w:lang w:eastAsia="zh-CN"/>
        </w:rPr>
        <w:t>手电动</w:t>
      </w:r>
      <w:r>
        <w:rPr>
          <w:rFonts w:hint="eastAsia" w:ascii="仿宋" w:hAnsi="仿宋" w:eastAsia="仿宋" w:cs="仿宋"/>
          <w:bCs/>
          <w:color w:val="000000"/>
          <w:sz w:val="24"/>
          <w:highlight w:val="none"/>
        </w:rPr>
        <w:t>报纸密集架、</w:t>
      </w:r>
      <w:r>
        <w:rPr>
          <w:rFonts w:hint="eastAsia" w:ascii="仿宋" w:hAnsi="仿宋" w:eastAsia="仿宋" w:cs="仿宋"/>
          <w:bCs/>
          <w:color w:val="000000"/>
          <w:sz w:val="24"/>
          <w:highlight w:val="none"/>
          <w:lang w:eastAsia="zh-CN"/>
        </w:rPr>
        <w:t>手电动</w:t>
      </w:r>
      <w:r>
        <w:rPr>
          <w:rFonts w:hint="eastAsia" w:ascii="仿宋" w:hAnsi="仿宋" w:eastAsia="仿宋" w:cs="仿宋"/>
          <w:bCs/>
          <w:color w:val="000000"/>
          <w:sz w:val="24"/>
          <w:highlight w:val="none"/>
        </w:rPr>
        <w:t>实物密集架、</w:t>
      </w:r>
      <w:r>
        <w:rPr>
          <w:rFonts w:hint="eastAsia" w:ascii="仿宋" w:hAnsi="仿宋" w:eastAsia="仿宋" w:cs="仿宋"/>
          <w:bCs/>
          <w:color w:val="000000"/>
          <w:sz w:val="24"/>
          <w:highlight w:val="none"/>
          <w:lang w:eastAsia="zh-CN"/>
        </w:rPr>
        <w:t>手电动</w:t>
      </w:r>
      <w:r>
        <w:rPr>
          <w:rFonts w:hint="eastAsia" w:ascii="仿宋" w:hAnsi="仿宋" w:eastAsia="仿宋" w:cs="仿宋"/>
          <w:bCs/>
          <w:color w:val="000000"/>
          <w:sz w:val="24"/>
          <w:highlight w:val="none"/>
        </w:rPr>
        <w:t>奖牌密集架、</w:t>
      </w:r>
      <w:r>
        <w:rPr>
          <w:rFonts w:hint="eastAsia" w:ascii="仿宋" w:hAnsi="仿宋" w:eastAsia="仿宋" w:cs="仿宋"/>
          <w:bCs/>
          <w:color w:val="000000"/>
          <w:sz w:val="24"/>
          <w:highlight w:val="none"/>
          <w:lang w:eastAsia="zh-CN"/>
        </w:rPr>
        <w:t>手电动</w:t>
      </w:r>
      <w:r>
        <w:rPr>
          <w:rFonts w:hint="eastAsia" w:ascii="仿宋" w:hAnsi="仿宋" w:eastAsia="仿宋" w:cs="仿宋"/>
          <w:bCs/>
          <w:color w:val="000000"/>
          <w:sz w:val="24"/>
          <w:highlight w:val="none"/>
        </w:rPr>
        <w:t>奖杯密集架、</w:t>
      </w:r>
      <w:r>
        <w:rPr>
          <w:rFonts w:hint="eastAsia" w:ascii="仿宋" w:hAnsi="仿宋" w:eastAsia="仿宋" w:cs="仿宋"/>
          <w:bCs/>
          <w:color w:val="000000"/>
          <w:sz w:val="24"/>
          <w:highlight w:val="none"/>
          <w:lang w:eastAsia="zh-CN"/>
        </w:rPr>
        <w:t>手电动</w:t>
      </w:r>
      <w:r>
        <w:rPr>
          <w:rFonts w:hint="eastAsia" w:ascii="仿宋" w:hAnsi="仿宋" w:eastAsia="仿宋" w:cs="仿宋"/>
          <w:bCs/>
          <w:color w:val="000000"/>
          <w:sz w:val="24"/>
          <w:highlight w:val="none"/>
        </w:rPr>
        <w:t>抽屉柜密集架、</w:t>
      </w:r>
      <w:r>
        <w:rPr>
          <w:rFonts w:hint="eastAsia" w:ascii="仿宋" w:hAnsi="仿宋" w:eastAsia="仿宋" w:cs="仿宋"/>
          <w:bCs/>
          <w:color w:val="000000"/>
          <w:sz w:val="24"/>
          <w:highlight w:val="none"/>
          <w:lang w:eastAsia="zh-CN"/>
        </w:rPr>
        <w:t>手电动</w:t>
      </w:r>
      <w:r>
        <w:rPr>
          <w:rFonts w:hint="eastAsia" w:ascii="仿宋" w:hAnsi="仿宋" w:eastAsia="仿宋" w:cs="仿宋"/>
          <w:bCs/>
          <w:color w:val="000000"/>
          <w:sz w:val="24"/>
          <w:highlight w:val="none"/>
        </w:rPr>
        <w:t>网格挂画架密集架、</w:t>
      </w:r>
      <w:r>
        <w:rPr>
          <w:rFonts w:hint="eastAsia" w:ascii="仿宋" w:hAnsi="仿宋" w:eastAsia="仿宋" w:cs="仿宋"/>
          <w:bCs/>
          <w:color w:val="000000"/>
          <w:sz w:val="24"/>
          <w:highlight w:val="none"/>
          <w:lang w:eastAsia="zh-CN"/>
        </w:rPr>
        <w:t>手电动</w:t>
      </w:r>
      <w:r>
        <w:rPr>
          <w:rFonts w:hint="eastAsia" w:ascii="仿宋" w:hAnsi="仿宋" w:eastAsia="仿宋" w:cs="仿宋"/>
          <w:bCs/>
          <w:color w:val="000000"/>
          <w:sz w:val="24"/>
          <w:highlight w:val="none"/>
        </w:rPr>
        <w:t>书画架的材质、结构等基本要求参照手电动密集架，投标人必须提供所投标物品的详细技术参数。</w:t>
      </w:r>
      <w:r>
        <w:rPr>
          <w:rFonts w:hint="eastAsia" w:ascii="仿宋" w:hAnsi="仿宋" w:eastAsia="仿宋" w:cs="仿宋"/>
          <w:bCs/>
          <w:color w:val="000000"/>
          <w:sz w:val="24"/>
          <w:highlight w:val="none"/>
          <w:lang w:eastAsia="zh-CN"/>
        </w:rPr>
        <w:t>供应商</w:t>
      </w:r>
      <w:r>
        <w:rPr>
          <w:rFonts w:hint="eastAsia" w:ascii="仿宋" w:hAnsi="仿宋" w:eastAsia="仿宋" w:cs="仿宋"/>
          <w:bCs/>
          <w:color w:val="000000"/>
          <w:sz w:val="24"/>
          <w:highlight w:val="none"/>
        </w:rPr>
        <w:t>中标后需与业主对接深化方案设计。</w:t>
      </w:r>
    </w:p>
    <w:p>
      <w:pPr>
        <w:numPr>
          <w:ilvl w:val="0"/>
          <w:numId w:val="4"/>
        </w:numPr>
        <w:spacing w:line="360" w:lineRule="auto"/>
        <w:rPr>
          <w:rFonts w:ascii="仿宋" w:hAnsi="仿宋" w:eastAsia="仿宋" w:cs="仿宋"/>
          <w:b/>
          <w:bCs/>
          <w:sz w:val="32"/>
          <w:szCs w:val="32"/>
        </w:rPr>
      </w:pPr>
      <w:r>
        <w:rPr>
          <w:rFonts w:hint="eastAsia" w:ascii="仿宋" w:hAnsi="仿宋" w:eastAsia="仿宋" w:cs="仿宋"/>
          <w:b/>
          <w:bCs/>
          <w:sz w:val="32"/>
          <w:szCs w:val="32"/>
        </w:rPr>
        <w:t>其他</w:t>
      </w:r>
    </w:p>
    <w:p>
      <w:pPr>
        <w:spacing w:line="380" w:lineRule="exact"/>
        <w:ind w:firstLine="480" w:firstLineChars="200"/>
      </w:pPr>
      <w:r>
        <w:rPr>
          <w:rFonts w:hint="eastAsia" w:ascii="仿宋" w:hAnsi="仿宋" w:eastAsia="仿宋" w:cs="仿宋"/>
          <w:bCs/>
          <w:color w:val="000000"/>
          <w:sz w:val="24"/>
        </w:rPr>
        <w:t>1.维保及售后服务</w:t>
      </w:r>
    </w:p>
    <w:p>
      <w:pPr>
        <w:spacing w:line="380" w:lineRule="exact"/>
        <w:ind w:firstLine="480" w:firstLineChars="200"/>
        <w:rPr>
          <w:rFonts w:ascii="仿宋" w:hAnsi="仿宋" w:eastAsia="仿宋" w:cs="仿宋"/>
          <w:bCs/>
          <w:color w:val="000000"/>
          <w:sz w:val="24"/>
          <w:highlight w:val="yellow"/>
        </w:rPr>
      </w:pPr>
      <w:r>
        <w:rPr>
          <w:rFonts w:hint="eastAsia" w:ascii="仿宋" w:hAnsi="仿宋" w:eastAsia="仿宋" w:cs="仿宋"/>
          <w:bCs/>
          <w:color w:val="000000"/>
          <w:sz w:val="24"/>
        </w:rPr>
        <w:t>投标所有产品维保期为五年，在发生故障时，要求4小时内到现场，24小时内排除故障，24个小时内无法修复的，必须采取临时调换等措施，以保证采购人的正常使用。临时调换的设备要求不低于原有的设备要求。并提供相应的使用免费培训服务。</w:t>
      </w:r>
    </w:p>
    <w:p>
      <w:pPr>
        <w:pStyle w:val="28"/>
        <w:autoSpaceDE w:val="0"/>
        <w:autoSpaceDN w:val="0"/>
        <w:adjustRightInd w:val="0"/>
        <w:spacing w:line="380" w:lineRule="exact"/>
        <w:ind w:firstLine="480"/>
        <w:jc w:val="left"/>
        <w:rPr>
          <w:rFonts w:ascii="仿宋" w:hAnsi="仿宋" w:eastAsia="仿宋" w:cs="仿宋"/>
          <w:color w:val="000000"/>
          <w:kern w:val="0"/>
          <w:sz w:val="24"/>
        </w:rPr>
      </w:pPr>
      <w:r>
        <w:rPr>
          <w:rFonts w:hint="eastAsia" w:ascii="仿宋" w:hAnsi="仿宋" w:eastAsia="仿宋" w:cs="仿宋"/>
          <w:color w:val="000000"/>
          <w:kern w:val="0"/>
          <w:sz w:val="24"/>
        </w:rPr>
        <w:t>3.项目验收</w:t>
      </w:r>
    </w:p>
    <w:p>
      <w:pPr>
        <w:pStyle w:val="28"/>
        <w:autoSpaceDE w:val="0"/>
        <w:autoSpaceDN w:val="0"/>
        <w:adjustRightInd w:val="0"/>
        <w:spacing w:line="380" w:lineRule="exact"/>
        <w:ind w:firstLine="480"/>
        <w:jc w:val="left"/>
        <w:rPr>
          <w:rFonts w:ascii="仿宋" w:hAnsi="仿宋" w:eastAsia="仿宋" w:cs="仿宋"/>
          <w:color w:val="000000"/>
          <w:kern w:val="0"/>
          <w:sz w:val="24"/>
        </w:rPr>
      </w:pPr>
      <w:r>
        <w:rPr>
          <w:rFonts w:hint="eastAsia" w:ascii="仿宋" w:hAnsi="仿宋" w:eastAsia="仿宋" w:cs="仿宋"/>
          <w:color w:val="000000"/>
          <w:kern w:val="0"/>
          <w:sz w:val="24"/>
          <w:lang w:val="zh-CN"/>
        </w:rPr>
        <w:t>投标人需按招标文件的采购清单完成所有设备的运输、安装、调试、试运行、培训及售后服务等工作，直至</w:t>
      </w:r>
      <w:r>
        <w:rPr>
          <w:rFonts w:hint="eastAsia" w:ascii="仿宋" w:hAnsi="仿宋" w:eastAsia="仿宋" w:cs="仿宋"/>
          <w:color w:val="000000"/>
          <w:kern w:val="0"/>
          <w:sz w:val="24"/>
        </w:rPr>
        <w:t>由业主单位组成项目竣工验收组进行专项验收</w:t>
      </w:r>
      <w:r>
        <w:rPr>
          <w:rFonts w:hint="eastAsia" w:ascii="仿宋" w:hAnsi="仿宋" w:eastAsia="仿宋" w:cs="仿宋"/>
          <w:color w:val="000000"/>
          <w:sz w:val="24"/>
        </w:rPr>
        <w:t>。</w:t>
      </w:r>
    </w:p>
    <w:p>
      <w:pPr>
        <w:pStyle w:val="28"/>
        <w:autoSpaceDE w:val="0"/>
        <w:autoSpaceDN w:val="0"/>
        <w:adjustRightInd w:val="0"/>
        <w:spacing w:line="380" w:lineRule="exact"/>
        <w:ind w:firstLine="48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付款方式</w:t>
      </w:r>
    </w:p>
    <w:p>
      <w:pPr>
        <w:pStyle w:val="2"/>
        <w:ind w:firstLine="480" w:firstLineChars="200"/>
        <w:rPr>
          <w:rFonts w:hint="eastAsia" w:ascii="仿宋" w:hAnsi="仿宋" w:eastAsia="仿宋" w:cs="仿宋"/>
          <w:color w:val="000000"/>
          <w:kern w:val="0"/>
          <w:sz w:val="24"/>
          <w:szCs w:val="24"/>
          <w:lang w:val="zh-CN" w:eastAsia="zh-CN" w:bidi="ar-SA"/>
        </w:rPr>
      </w:pPr>
      <w:r>
        <w:rPr>
          <w:rFonts w:hint="eastAsia" w:ascii="仿宋" w:hAnsi="仿宋" w:eastAsia="仿宋" w:cs="仿宋"/>
          <w:color w:val="000000"/>
          <w:kern w:val="0"/>
          <w:sz w:val="24"/>
          <w:szCs w:val="24"/>
          <w:lang w:val="zh-CN" w:eastAsia="zh-CN" w:bidi="ar-SA"/>
        </w:rPr>
        <w:t>（</w:t>
      </w:r>
      <w:r>
        <w:rPr>
          <w:rFonts w:hint="eastAsia" w:ascii="仿宋" w:hAnsi="仿宋" w:eastAsia="仿宋" w:cs="仿宋"/>
          <w:color w:val="000000"/>
          <w:kern w:val="0"/>
          <w:sz w:val="24"/>
          <w:szCs w:val="24"/>
          <w:lang w:val="en-US" w:eastAsia="zh-CN" w:bidi="ar-SA"/>
        </w:rPr>
        <w:t>1</w:t>
      </w:r>
      <w:r>
        <w:rPr>
          <w:rFonts w:hint="eastAsia" w:ascii="仿宋" w:hAnsi="仿宋" w:eastAsia="仿宋" w:cs="仿宋"/>
          <w:color w:val="000000"/>
          <w:kern w:val="0"/>
          <w:sz w:val="24"/>
          <w:szCs w:val="24"/>
          <w:lang w:val="zh-CN" w:eastAsia="zh-CN" w:bidi="ar-SA"/>
        </w:rPr>
        <w:t>）合同签订5个工作日内，乙方提供合同金额5%的履约保函，甲方支付合同金额的30%作为预付款，乙方需提供相应金额发票；</w:t>
      </w:r>
    </w:p>
    <w:p>
      <w:pPr>
        <w:pStyle w:val="2"/>
        <w:ind w:firstLine="480" w:firstLineChars="200"/>
        <w:rPr>
          <w:rFonts w:hint="eastAsia" w:ascii="仿宋" w:hAnsi="仿宋" w:eastAsia="仿宋" w:cs="仿宋"/>
          <w:color w:val="000000"/>
          <w:kern w:val="0"/>
          <w:sz w:val="24"/>
          <w:szCs w:val="24"/>
          <w:lang w:val="zh-CN" w:eastAsia="zh-CN" w:bidi="ar-SA"/>
        </w:rPr>
      </w:pPr>
      <w:r>
        <w:rPr>
          <w:rFonts w:hint="eastAsia" w:ascii="仿宋" w:hAnsi="仿宋" w:eastAsia="仿宋" w:cs="仿宋"/>
          <w:color w:val="000000"/>
          <w:kern w:val="0"/>
          <w:sz w:val="24"/>
          <w:szCs w:val="24"/>
          <w:lang w:val="zh-CN" w:eastAsia="zh-CN" w:bidi="ar-SA"/>
        </w:rPr>
        <w:t>（</w:t>
      </w:r>
      <w:r>
        <w:rPr>
          <w:rFonts w:hint="eastAsia" w:ascii="仿宋" w:hAnsi="仿宋" w:eastAsia="仿宋" w:cs="仿宋"/>
          <w:color w:val="000000"/>
          <w:kern w:val="0"/>
          <w:sz w:val="24"/>
          <w:szCs w:val="24"/>
          <w:lang w:val="en-US" w:eastAsia="zh-CN" w:bidi="ar-SA"/>
        </w:rPr>
        <w:t>2</w:t>
      </w:r>
      <w:r>
        <w:rPr>
          <w:rFonts w:hint="eastAsia" w:ascii="仿宋" w:hAnsi="仿宋" w:eastAsia="仿宋" w:cs="仿宋"/>
          <w:color w:val="000000"/>
          <w:kern w:val="0"/>
          <w:sz w:val="24"/>
          <w:szCs w:val="24"/>
          <w:lang w:val="zh-CN" w:eastAsia="zh-CN" w:bidi="ar-SA"/>
        </w:rPr>
        <w:t>）预付款支付后乙方开始发货，供货完成并且项目验收合格后1个月内，甲方支付合同总金额的65%，同时乙方需提供相应金额的发票；</w:t>
      </w:r>
    </w:p>
    <w:p>
      <w:pPr>
        <w:pStyle w:val="2"/>
        <w:ind w:firstLine="480" w:firstLineChars="200"/>
        <w:rPr>
          <w:rFonts w:hint="eastAsia" w:ascii="仿宋" w:hAnsi="仿宋" w:eastAsia="仿宋" w:cs="仿宋"/>
          <w:color w:val="000000"/>
          <w:kern w:val="0"/>
          <w:sz w:val="24"/>
          <w:szCs w:val="24"/>
          <w:lang w:val="zh-CN" w:eastAsia="zh-CN" w:bidi="ar-SA"/>
        </w:rPr>
      </w:pPr>
      <w:r>
        <w:rPr>
          <w:rFonts w:hint="eastAsia" w:ascii="仿宋" w:hAnsi="仿宋" w:eastAsia="仿宋" w:cs="仿宋"/>
          <w:color w:val="000000"/>
          <w:kern w:val="0"/>
          <w:sz w:val="24"/>
          <w:szCs w:val="24"/>
          <w:lang w:val="zh-CN" w:eastAsia="zh-CN" w:bidi="ar-SA"/>
        </w:rPr>
        <w:t>（</w:t>
      </w:r>
      <w:r>
        <w:rPr>
          <w:rFonts w:hint="eastAsia" w:ascii="仿宋" w:hAnsi="仿宋" w:eastAsia="仿宋" w:cs="仿宋"/>
          <w:color w:val="000000"/>
          <w:kern w:val="0"/>
          <w:sz w:val="24"/>
          <w:szCs w:val="24"/>
          <w:lang w:val="en-US" w:eastAsia="zh-CN" w:bidi="ar-SA"/>
        </w:rPr>
        <w:t>3</w:t>
      </w:r>
      <w:r>
        <w:rPr>
          <w:rFonts w:hint="eastAsia" w:ascii="仿宋" w:hAnsi="仿宋" w:eastAsia="仿宋" w:cs="仿宋"/>
          <w:color w:val="000000"/>
          <w:kern w:val="0"/>
          <w:sz w:val="24"/>
          <w:szCs w:val="24"/>
          <w:lang w:val="zh-CN" w:eastAsia="zh-CN" w:bidi="ar-SA"/>
        </w:rPr>
        <w:t>）设备质保期满且无质量问题后5个工作日内，甲方支付剩余合同金额的5%。</w:t>
      </w:r>
    </w:p>
    <w:p>
      <w:pPr>
        <w:pStyle w:val="2"/>
        <w:ind w:firstLine="480" w:firstLineChars="200"/>
        <w:rPr>
          <w:rFonts w:hint="eastAsia" w:ascii="仿宋" w:hAnsi="仿宋" w:eastAsia="仿宋" w:cs="仿宋"/>
          <w:color w:val="000000"/>
          <w:kern w:val="0"/>
          <w:sz w:val="24"/>
          <w:szCs w:val="24"/>
          <w:lang w:val="zh-CN" w:eastAsia="zh-CN" w:bidi="ar-SA"/>
        </w:rPr>
      </w:pPr>
      <w:r>
        <w:rPr>
          <w:rFonts w:hint="eastAsia" w:ascii="仿宋" w:hAnsi="仿宋" w:eastAsia="仿宋" w:cs="仿宋"/>
          <w:color w:val="000000"/>
          <w:kern w:val="0"/>
          <w:sz w:val="24"/>
          <w:szCs w:val="24"/>
          <w:lang w:val="zh-CN" w:eastAsia="zh-CN" w:bidi="ar-SA"/>
        </w:rPr>
        <w:t>中标人在签订合同时必须提供投标文件中提供的检测报告及证书原件。</w:t>
      </w:r>
    </w:p>
    <w:p>
      <w:pPr>
        <w:numPr>
          <w:ilvl w:val="0"/>
          <w:numId w:val="7"/>
        </w:numPr>
        <w:spacing w:line="320" w:lineRule="exact"/>
        <w:rPr>
          <w:rFonts w:ascii="仿宋" w:hAnsi="仿宋" w:eastAsia="仿宋" w:cs="仿宋"/>
          <w:sz w:val="24"/>
        </w:rPr>
      </w:pPr>
      <w:r>
        <w:rPr>
          <w:rFonts w:hint="eastAsia" w:ascii="仿宋" w:hAnsi="仿宋" w:eastAsia="仿宋" w:cs="仿宋"/>
          <w:sz w:val="24"/>
        </w:rPr>
        <w:t>样品</w:t>
      </w:r>
    </w:p>
    <w:p>
      <w:pPr>
        <w:spacing w:line="300" w:lineRule="exact"/>
        <w:ind w:firstLine="480" w:firstLineChars="200"/>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
          <w:bCs/>
          <w:sz w:val="24"/>
        </w:rPr>
        <w:t>手电动密集架</w:t>
      </w:r>
      <w:r>
        <w:rPr>
          <w:rFonts w:hint="eastAsia" w:ascii="仿宋" w:hAnsi="仿宋" w:eastAsia="仿宋" w:cs="仿宋"/>
          <w:bCs/>
          <w:sz w:val="24"/>
        </w:rPr>
        <w:t>样品要求：按投标产品材质要求提供模型小样，要求两节型两列，两边安装门（固定列为第一列），每列规格为长1000mm*宽580mm*高800mm（两层），样品长、高允许误差±100mm，架体含导轨。在尺寸允许范围内投标单位根据自家产品特点提供投标样品（不符合尺寸要求范围的样品不得分），样品通电能正常使用</w:t>
      </w:r>
      <w:r>
        <w:rPr>
          <w:rFonts w:hint="eastAsia" w:ascii="仿宋" w:hAnsi="仿宋" w:eastAsia="仿宋" w:cs="仿宋"/>
          <w:bCs/>
          <w:sz w:val="24"/>
          <w:lang w:val="en-US" w:eastAsia="zh-CN"/>
        </w:rPr>
        <w:t>，投标人须派代表进行演示。</w:t>
      </w:r>
    </w:p>
    <w:p>
      <w:pPr>
        <w:spacing w:line="300" w:lineRule="exact"/>
        <w:ind w:firstLine="480" w:firstLineChars="200"/>
        <w:rPr>
          <w:rFonts w:ascii="仿宋" w:hAnsi="仿宋" w:eastAsia="仿宋" w:cs="仿宋"/>
          <w:bCs/>
          <w:sz w:val="24"/>
        </w:rPr>
      </w:pPr>
      <w:r>
        <w:rPr>
          <w:rFonts w:hint="eastAsia" w:ascii="仿宋" w:hAnsi="仿宋" w:eastAsia="仿宋" w:cs="仿宋"/>
          <w:bCs/>
          <w:sz w:val="24"/>
        </w:rPr>
        <w:t>（2）提供材料小样：①轨道一根，尺寸为：长600mm，宽150 mm；②搁板一块，尺寸为：长600mm，宽270mm；③立柱一根，尺寸为：长600mm，宽50mm。</w:t>
      </w:r>
    </w:p>
    <w:p>
      <w:pPr>
        <w:spacing w:line="300" w:lineRule="exact"/>
        <w:ind w:firstLine="480" w:firstLineChars="200"/>
        <w:rPr>
          <w:rFonts w:ascii="仿宋" w:hAnsi="仿宋" w:eastAsia="仿宋" w:cs="仿宋"/>
          <w:bCs/>
          <w:sz w:val="24"/>
        </w:rPr>
      </w:pPr>
      <w:r>
        <w:rPr>
          <w:rFonts w:hint="eastAsia" w:ascii="仿宋" w:hAnsi="仿宋" w:eastAsia="仿宋" w:cs="仿宋"/>
          <w:bCs/>
          <w:sz w:val="24"/>
        </w:rPr>
        <w:t>（3）样品摆放时间地点：样品</w:t>
      </w:r>
      <w:r>
        <w:rPr>
          <w:rFonts w:hint="eastAsia" w:ascii="仿宋" w:hAnsi="仿宋" w:eastAsia="仿宋" w:cs="仿宋"/>
          <w:bCs/>
          <w:sz w:val="24"/>
          <w:highlight w:val="none"/>
        </w:rPr>
        <w:t>于</w:t>
      </w:r>
      <w:r>
        <w:rPr>
          <w:rFonts w:hint="eastAsia" w:ascii="仿宋" w:hAnsi="仿宋" w:eastAsia="仿宋" w:cs="仿宋"/>
          <w:b/>
          <w:sz w:val="24"/>
          <w:highlight w:val="none"/>
        </w:rPr>
        <w:t>2021年</w:t>
      </w: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月</w:t>
      </w:r>
      <w:r>
        <w:rPr>
          <w:rFonts w:hint="eastAsia" w:ascii="仿宋" w:hAnsi="仿宋" w:eastAsia="仿宋" w:cs="仿宋"/>
          <w:b/>
          <w:sz w:val="24"/>
          <w:highlight w:val="none"/>
          <w:lang w:val="en-US" w:eastAsia="zh-CN"/>
        </w:rPr>
        <w:t>9</w:t>
      </w:r>
      <w:r>
        <w:rPr>
          <w:rFonts w:hint="eastAsia" w:ascii="仿宋" w:hAnsi="仿宋" w:eastAsia="仿宋" w:cs="仿宋"/>
          <w:b/>
          <w:sz w:val="24"/>
          <w:highlight w:val="none"/>
        </w:rPr>
        <w:t>日上午</w:t>
      </w:r>
      <w:r>
        <w:rPr>
          <w:rFonts w:hint="eastAsia" w:ascii="仿宋" w:hAnsi="仿宋" w:eastAsia="仿宋" w:cs="仿宋"/>
          <w:b/>
          <w:sz w:val="24"/>
          <w:highlight w:val="none"/>
          <w:lang w:val="en-US" w:eastAsia="zh-CN"/>
        </w:rPr>
        <w:t>10</w:t>
      </w: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0前送</w:t>
      </w:r>
      <w:r>
        <w:rPr>
          <w:rFonts w:hint="eastAsia" w:ascii="仿宋" w:hAnsi="仿宋" w:eastAsia="仿宋" w:cs="仿宋"/>
          <w:b/>
          <w:sz w:val="24"/>
        </w:rPr>
        <w:t>至浙江省杭州市临安区锦北街道科技大道4398号市民中心B座四楼询标室B436</w:t>
      </w:r>
      <w:r>
        <w:rPr>
          <w:rFonts w:hint="eastAsia" w:ascii="仿宋" w:hAnsi="仿宋" w:eastAsia="仿宋" w:cs="仿宋"/>
          <w:bCs/>
          <w:sz w:val="24"/>
        </w:rPr>
        <w:t>安装完毕并在样品签到表上签到，否则视为未提供；若投标截止时间到，样品未提交、提交不全、提供的样品实质上偏离招标需求的或者提供的样品与投标文件中所投产品不符的，则其样品分为零。样品的生产、安装、运输费、保全费等一切费用由投标人自理。</w:t>
      </w:r>
    </w:p>
    <w:p>
      <w:pPr>
        <w:spacing w:line="300" w:lineRule="exact"/>
        <w:ind w:firstLine="480" w:firstLineChars="200"/>
        <w:rPr>
          <w:rFonts w:ascii="仿宋" w:hAnsi="仿宋" w:eastAsia="仿宋" w:cs="仿宋"/>
          <w:bCs/>
          <w:sz w:val="24"/>
        </w:rPr>
      </w:pPr>
      <w:r>
        <w:rPr>
          <w:rFonts w:hint="eastAsia" w:ascii="仿宋" w:hAnsi="仿宋" w:eastAsia="仿宋" w:cs="仿宋"/>
          <w:bCs/>
          <w:sz w:val="24"/>
        </w:rPr>
        <w:t>（4）未中标的样品投标人自行处理，对于中标人提供的样品，中标人与采购人、采购代理机构共同清点、检查和密封样品，由中标人送至采购人指定地点进行保管、封存，并作为履约验收的参考。</w:t>
      </w:r>
    </w:p>
    <w:p>
      <w:pPr>
        <w:pStyle w:val="18"/>
        <w:numPr>
          <w:ilvl w:val="0"/>
          <w:numId w:val="0"/>
        </w:numPr>
        <w:jc w:val="both"/>
        <w:rPr>
          <w:rFonts w:hint="eastAsia" w:ascii="仿宋" w:hAnsi="仿宋" w:eastAsia="仿宋" w:cs="仿宋_GB2312"/>
          <w:b/>
          <w:sz w:val="36"/>
          <w:szCs w:val="36"/>
        </w:rPr>
      </w:pPr>
    </w:p>
    <w:p>
      <w:pPr>
        <w:adjustRightInd/>
        <w:spacing w:line="360" w:lineRule="auto"/>
        <w:jc w:val="both"/>
        <w:rPr>
          <w:rFonts w:hint="eastAsia" w:ascii="仿宋" w:hAnsi="仿宋" w:eastAsia="仿宋" w:cs="仿宋_GB2312"/>
          <w:b/>
          <w:sz w:val="36"/>
          <w:szCs w:val="36"/>
        </w:rPr>
      </w:pPr>
    </w:p>
    <w:p>
      <w:pPr>
        <w:adjustRightInd/>
        <w:spacing w:line="360" w:lineRule="auto"/>
        <w:jc w:val="center"/>
        <w:rPr>
          <w:rFonts w:hint="eastAsia" w:ascii="仿宋" w:hAnsi="仿宋" w:eastAsia="仿宋" w:cs="仿宋_GB2312"/>
          <w:b/>
          <w:sz w:val="36"/>
          <w:szCs w:val="36"/>
        </w:rPr>
      </w:pPr>
      <w:r>
        <w:rPr>
          <w:rFonts w:hint="eastAsia" w:ascii="仿宋" w:hAnsi="仿宋" w:eastAsia="仿宋" w:cs="仿宋_GB2312"/>
          <w:b/>
          <w:sz w:val="36"/>
          <w:szCs w:val="36"/>
        </w:rPr>
        <w:t xml:space="preserve">第四部分   </w:t>
      </w:r>
      <w:bookmarkStart w:id="11" w:name="_Toc184313308"/>
      <w:bookmarkEnd w:id="11"/>
      <w:bookmarkStart w:id="12" w:name="_Toc184310278"/>
      <w:bookmarkEnd w:id="12"/>
      <w:bookmarkStart w:id="13" w:name="_Toc184310316"/>
      <w:bookmarkEnd w:id="13"/>
      <w:bookmarkStart w:id="14" w:name="_Toc184308044"/>
      <w:bookmarkEnd w:id="14"/>
      <w:bookmarkStart w:id="15" w:name="_Toc184312136"/>
      <w:bookmarkEnd w:id="15"/>
      <w:bookmarkStart w:id="16" w:name="_Toc184314479"/>
      <w:bookmarkEnd w:id="16"/>
      <w:bookmarkStart w:id="17" w:name="_Toc184313260"/>
      <w:bookmarkEnd w:id="17"/>
      <w:bookmarkStart w:id="18" w:name="_Toc184310329"/>
      <w:bookmarkEnd w:id="18"/>
      <w:bookmarkStart w:id="19" w:name="_Toc184312084"/>
      <w:bookmarkEnd w:id="19"/>
      <w:bookmarkStart w:id="20" w:name="_Toc184312086"/>
      <w:bookmarkEnd w:id="20"/>
      <w:bookmarkStart w:id="21" w:name="_Toc184308079"/>
      <w:bookmarkEnd w:id="21"/>
      <w:bookmarkStart w:id="22" w:name="_Toc184310320"/>
      <w:bookmarkEnd w:id="22"/>
      <w:bookmarkStart w:id="23" w:name="_Toc184310273"/>
      <w:bookmarkEnd w:id="23"/>
      <w:bookmarkStart w:id="24" w:name="_Toc184308042"/>
      <w:bookmarkEnd w:id="24"/>
      <w:bookmarkStart w:id="25" w:name="_Toc184310277"/>
      <w:bookmarkEnd w:id="25"/>
      <w:bookmarkStart w:id="26" w:name="_Toc184308057"/>
      <w:bookmarkEnd w:id="26"/>
      <w:bookmarkStart w:id="27" w:name="_Toc184312080"/>
      <w:bookmarkEnd w:id="27"/>
      <w:bookmarkStart w:id="28" w:name="_Toc184308096"/>
      <w:bookmarkEnd w:id="28"/>
      <w:bookmarkStart w:id="29" w:name="_Toc184312088"/>
      <w:bookmarkEnd w:id="29"/>
      <w:bookmarkStart w:id="30" w:name="_Toc184314456"/>
      <w:bookmarkEnd w:id="30"/>
      <w:bookmarkStart w:id="31" w:name="_Toc184310319"/>
      <w:bookmarkEnd w:id="31"/>
      <w:bookmarkStart w:id="32" w:name="_Toc184314414"/>
      <w:bookmarkEnd w:id="32"/>
      <w:bookmarkStart w:id="33" w:name="_Toc184312125"/>
      <w:bookmarkEnd w:id="33"/>
      <w:bookmarkStart w:id="34" w:name="_Toc184308090"/>
      <w:bookmarkEnd w:id="34"/>
      <w:bookmarkStart w:id="35" w:name="_Toc184312093"/>
      <w:bookmarkEnd w:id="35"/>
      <w:bookmarkStart w:id="36" w:name="_Toc184310331"/>
      <w:bookmarkEnd w:id="36"/>
      <w:bookmarkStart w:id="37" w:name="_Toc184314454"/>
      <w:bookmarkEnd w:id="37"/>
      <w:bookmarkStart w:id="38" w:name="_Toc184313289"/>
      <w:bookmarkEnd w:id="38"/>
      <w:bookmarkStart w:id="39" w:name="_Toc184314418"/>
      <w:bookmarkEnd w:id="39"/>
      <w:bookmarkStart w:id="40" w:name="_Toc184314416"/>
      <w:bookmarkEnd w:id="40"/>
      <w:bookmarkStart w:id="41" w:name="_Toc184308062"/>
      <w:bookmarkEnd w:id="41"/>
      <w:bookmarkStart w:id="42" w:name="_Toc184314440"/>
      <w:bookmarkEnd w:id="42"/>
      <w:bookmarkStart w:id="43" w:name="_Toc184310336"/>
      <w:bookmarkEnd w:id="43"/>
      <w:bookmarkStart w:id="44" w:name="_Toc184310342"/>
      <w:bookmarkEnd w:id="44"/>
      <w:bookmarkStart w:id="45" w:name="_Toc184314412"/>
      <w:bookmarkEnd w:id="45"/>
      <w:bookmarkStart w:id="46" w:name="_Toc184312085"/>
      <w:bookmarkEnd w:id="46"/>
      <w:bookmarkStart w:id="47" w:name="_Toc184314429"/>
      <w:bookmarkEnd w:id="47"/>
      <w:bookmarkStart w:id="48" w:name="_Toc184308064"/>
      <w:bookmarkEnd w:id="48"/>
      <w:bookmarkStart w:id="49" w:name="_Toc184313267"/>
      <w:bookmarkEnd w:id="49"/>
      <w:bookmarkStart w:id="50" w:name="_Toc184308070"/>
      <w:bookmarkEnd w:id="50"/>
      <w:bookmarkStart w:id="51" w:name="_Toc184308043"/>
      <w:bookmarkEnd w:id="51"/>
      <w:bookmarkStart w:id="52" w:name="_Toc184313244"/>
      <w:bookmarkEnd w:id="52"/>
      <w:bookmarkStart w:id="53" w:name="_Toc184310274"/>
      <w:bookmarkEnd w:id="53"/>
      <w:bookmarkStart w:id="54" w:name="_Toc184308053"/>
      <w:bookmarkEnd w:id="54"/>
      <w:bookmarkStart w:id="55" w:name="_Toc184312091"/>
      <w:bookmarkEnd w:id="55"/>
      <w:bookmarkStart w:id="56" w:name="_Toc184308065"/>
      <w:bookmarkEnd w:id="56"/>
      <w:bookmarkStart w:id="57" w:name="_Toc184314455"/>
      <w:bookmarkEnd w:id="57"/>
      <w:bookmarkStart w:id="58" w:name="_Toc184314463"/>
      <w:bookmarkEnd w:id="58"/>
      <w:bookmarkStart w:id="59" w:name="_Toc184313251"/>
      <w:bookmarkEnd w:id="59"/>
      <w:bookmarkStart w:id="60" w:name="_Toc184308087"/>
      <w:bookmarkEnd w:id="60"/>
      <w:bookmarkStart w:id="61" w:name="_Toc184308067"/>
      <w:bookmarkEnd w:id="61"/>
      <w:bookmarkStart w:id="62" w:name="_Toc184313256"/>
      <w:bookmarkEnd w:id="62"/>
      <w:bookmarkStart w:id="63" w:name="_Toc184313307"/>
      <w:bookmarkEnd w:id="63"/>
      <w:bookmarkStart w:id="64" w:name="_Toc184308060"/>
      <w:bookmarkEnd w:id="64"/>
      <w:bookmarkStart w:id="65" w:name="_Toc184308095"/>
      <w:bookmarkEnd w:id="65"/>
      <w:bookmarkStart w:id="66" w:name="_Toc184313266"/>
      <w:bookmarkEnd w:id="66"/>
      <w:bookmarkStart w:id="67" w:name="_Toc184308106"/>
      <w:bookmarkEnd w:id="67"/>
      <w:bookmarkStart w:id="68" w:name="_Toc184314441"/>
      <w:bookmarkEnd w:id="68"/>
      <w:bookmarkStart w:id="69" w:name="_Toc184314450"/>
      <w:bookmarkEnd w:id="69"/>
      <w:bookmarkStart w:id="70" w:name="_Toc184313280"/>
      <w:bookmarkEnd w:id="70"/>
      <w:bookmarkStart w:id="71" w:name="_Toc184314428"/>
      <w:bookmarkEnd w:id="71"/>
      <w:bookmarkStart w:id="72" w:name="_Toc184312096"/>
      <w:bookmarkEnd w:id="72"/>
      <w:bookmarkStart w:id="73" w:name="_Toc184314439"/>
      <w:bookmarkEnd w:id="73"/>
      <w:bookmarkStart w:id="74" w:name="_Toc184314436"/>
      <w:bookmarkEnd w:id="74"/>
      <w:bookmarkStart w:id="75" w:name="_Toc184313270"/>
      <w:bookmarkEnd w:id="75"/>
      <w:bookmarkStart w:id="76" w:name="_Toc184313295"/>
      <w:bookmarkEnd w:id="76"/>
      <w:bookmarkStart w:id="77" w:name="_Toc184313268"/>
      <w:bookmarkEnd w:id="77"/>
      <w:bookmarkStart w:id="78" w:name="_Toc184313258"/>
      <w:bookmarkEnd w:id="78"/>
      <w:bookmarkStart w:id="79" w:name="_Toc184310299"/>
      <w:bookmarkEnd w:id="79"/>
      <w:bookmarkStart w:id="80" w:name="_Toc184310288"/>
      <w:bookmarkEnd w:id="80"/>
      <w:bookmarkStart w:id="81" w:name="_Toc184308054"/>
      <w:bookmarkEnd w:id="81"/>
      <w:bookmarkStart w:id="82" w:name="_Toc184312094"/>
      <w:bookmarkEnd w:id="82"/>
      <w:bookmarkStart w:id="83" w:name="_Toc184308049"/>
      <w:bookmarkEnd w:id="83"/>
      <w:bookmarkStart w:id="84" w:name="_Toc184314413"/>
      <w:bookmarkEnd w:id="84"/>
      <w:bookmarkStart w:id="85" w:name="_Toc184312067"/>
      <w:bookmarkEnd w:id="85"/>
      <w:bookmarkStart w:id="86" w:name="_Toc184314435"/>
      <w:bookmarkEnd w:id="86"/>
      <w:bookmarkStart w:id="87" w:name="_Toc184310281"/>
      <w:bookmarkEnd w:id="87"/>
      <w:bookmarkStart w:id="88" w:name="_Toc184310330"/>
      <w:bookmarkEnd w:id="88"/>
      <w:bookmarkStart w:id="89" w:name="_Toc184310309"/>
      <w:bookmarkEnd w:id="89"/>
      <w:bookmarkStart w:id="90" w:name="_Toc184308059"/>
      <w:bookmarkEnd w:id="90"/>
      <w:bookmarkStart w:id="91" w:name="_Toc184312087"/>
      <w:bookmarkEnd w:id="91"/>
      <w:bookmarkStart w:id="92" w:name="_Toc184314464"/>
      <w:bookmarkEnd w:id="92"/>
      <w:bookmarkStart w:id="93" w:name="_Toc184314480"/>
      <w:bookmarkEnd w:id="93"/>
      <w:bookmarkStart w:id="94" w:name="_Toc184310314"/>
      <w:bookmarkEnd w:id="94"/>
      <w:bookmarkStart w:id="95" w:name="_Toc184308040"/>
      <w:bookmarkEnd w:id="95"/>
      <w:bookmarkStart w:id="96" w:name="_Toc184308085"/>
      <w:bookmarkEnd w:id="96"/>
      <w:bookmarkStart w:id="97" w:name="_Toc184314415"/>
      <w:bookmarkEnd w:id="97"/>
      <w:bookmarkStart w:id="98" w:name="_Toc184313299"/>
      <w:bookmarkEnd w:id="98"/>
      <w:bookmarkStart w:id="99" w:name="_Toc184308069"/>
      <w:bookmarkEnd w:id="99"/>
      <w:bookmarkStart w:id="100" w:name="_Toc184310321"/>
      <w:bookmarkEnd w:id="100"/>
      <w:bookmarkStart w:id="101" w:name="_Toc184310294"/>
      <w:bookmarkEnd w:id="101"/>
      <w:bookmarkStart w:id="102" w:name="_Toc184308041"/>
      <w:bookmarkEnd w:id="102"/>
      <w:bookmarkStart w:id="103" w:name="_Toc184308075"/>
      <w:bookmarkEnd w:id="103"/>
      <w:bookmarkStart w:id="104" w:name="_Toc184312074"/>
      <w:bookmarkEnd w:id="104"/>
      <w:bookmarkStart w:id="105" w:name="_Toc184314475"/>
      <w:bookmarkEnd w:id="105"/>
      <w:bookmarkStart w:id="106" w:name="_Toc184308089"/>
      <w:bookmarkEnd w:id="106"/>
      <w:bookmarkStart w:id="107" w:name="_Toc184313282"/>
      <w:bookmarkEnd w:id="107"/>
      <w:bookmarkStart w:id="108" w:name="_Toc184308055"/>
      <w:bookmarkEnd w:id="108"/>
      <w:bookmarkStart w:id="109" w:name="_Toc184312075"/>
      <w:bookmarkEnd w:id="109"/>
      <w:bookmarkStart w:id="110" w:name="_Toc184310298"/>
      <w:bookmarkEnd w:id="110"/>
      <w:bookmarkStart w:id="111" w:name="_Toc184313288"/>
      <w:bookmarkEnd w:id="111"/>
      <w:bookmarkStart w:id="112" w:name="_Toc184312117"/>
      <w:bookmarkEnd w:id="112"/>
      <w:bookmarkStart w:id="113" w:name="_Toc184312070"/>
      <w:bookmarkEnd w:id="113"/>
      <w:bookmarkStart w:id="114" w:name="_Toc184310323"/>
      <w:bookmarkEnd w:id="114"/>
      <w:bookmarkStart w:id="115" w:name="_Toc184312135"/>
      <w:bookmarkEnd w:id="115"/>
      <w:bookmarkStart w:id="116" w:name="_Toc184310318"/>
      <w:bookmarkEnd w:id="116"/>
      <w:bookmarkStart w:id="117" w:name="_Toc184310338"/>
      <w:bookmarkEnd w:id="117"/>
      <w:bookmarkStart w:id="118" w:name="_Toc184313276"/>
      <w:bookmarkEnd w:id="118"/>
      <w:bookmarkStart w:id="119" w:name="_Toc184313265"/>
      <w:bookmarkEnd w:id="119"/>
      <w:bookmarkStart w:id="120" w:name="_Toc184310276"/>
      <w:bookmarkEnd w:id="120"/>
      <w:bookmarkStart w:id="121" w:name="_Toc184313285"/>
      <w:bookmarkEnd w:id="121"/>
      <w:bookmarkStart w:id="122" w:name="_Toc184310290"/>
      <w:bookmarkEnd w:id="122"/>
      <w:bookmarkStart w:id="123" w:name="_Toc184310312"/>
      <w:bookmarkEnd w:id="123"/>
      <w:bookmarkStart w:id="124" w:name="_Toc184313286"/>
      <w:bookmarkEnd w:id="124"/>
      <w:bookmarkStart w:id="125" w:name="_Toc184314427"/>
      <w:bookmarkEnd w:id="125"/>
      <w:bookmarkStart w:id="126" w:name="_Toc184312110"/>
      <w:bookmarkEnd w:id="126"/>
      <w:bookmarkStart w:id="127" w:name="_Toc184312107"/>
      <w:bookmarkEnd w:id="127"/>
      <w:bookmarkStart w:id="128" w:name="_Toc184308076"/>
      <w:bookmarkEnd w:id="128"/>
      <w:bookmarkStart w:id="129" w:name="_Toc184308046"/>
      <w:bookmarkEnd w:id="129"/>
      <w:bookmarkStart w:id="130" w:name="_Toc184313278"/>
      <w:bookmarkEnd w:id="130"/>
      <w:bookmarkStart w:id="131" w:name="_Toc184314424"/>
      <w:bookmarkEnd w:id="131"/>
      <w:bookmarkStart w:id="132" w:name="_Toc184310287"/>
      <w:bookmarkEnd w:id="132"/>
      <w:bookmarkStart w:id="133" w:name="_Toc184308050"/>
      <w:bookmarkEnd w:id="133"/>
      <w:bookmarkStart w:id="134" w:name="_Toc184312132"/>
      <w:bookmarkEnd w:id="134"/>
      <w:bookmarkStart w:id="135" w:name="_Toc184310339"/>
      <w:bookmarkEnd w:id="135"/>
      <w:bookmarkStart w:id="136" w:name="_Toc184310335"/>
      <w:bookmarkEnd w:id="136"/>
      <w:bookmarkStart w:id="137" w:name="_Toc184312130"/>
      <w:bookmarkEnd w:id="137"/>
      <w:bookmarkStart w:id="138" w:name="_Toc184308103"/>
      <w:bookmarkEnd w:id="138"/>
      <w:bookmarkStart w:id="139" w:name="_Toc184310333"/>
      <w:bookmarkEnd w:id="139"/>
      <w:bookmarkStart w:id="140" w:name="_Toc184308098"/>
      <w:bookmarkEnd w:id="140"/>
      <w:bookmarkStart w:id="141" w:name="_Toc184312090"/>
      <w:bookmarkEnd w:id="141"/>
      <w:bookmarkStart w:id="142" w:name="_Toc184308107"/>
      <w:bookmarkEnd w:id="142"/>
      <w:bookmarkStart w:id="143" w:name="_Toc184313250"/>
      <w:bookmarkEnd w:id="143"/>
      <w:bookmarkStart w:id="144" w:name="_Toc184314461"/>
      <w:bookmarkEnd w:id="144"/>
      <w:bookmarkStart w:id="145" w:name="_Toc184314423"/>
      <w:bookmarkEnd w:id="145"/>
      <w:bookmarkStart w:id="146" w:name="_Toc184314444"/>
      <w:bookmarkEnd w:id="146"/>
      <w:bookmarkStart w:id="147" w:name="_Toc184308071"/>
      <w:bookmarkEnd w:id="147"/>
      <w:bookmarkStart w:id="148" w:name="_Toc184310311"/>
      <w:bookmarkEnd w:id="148"/>
      <w:bookmarkStart w:id="149" w:name="_Toc184310286"/>
      <w:bookmarkEnd w:id="149"/>
      <w:bookmarkStart w:id="150" w:name="_Toc184312100"/>
      <w:bookmarkEnd w:id="150"/>
      <w:bookmarkStart w:id="151" w:name="_Toc184310285"/>
      <w:bookmarkEnd w:id="151"/>
      <w:bookmarkStart w:id="152" w:name="_Toc184314443"/>
      <w:bookmarkEnd w:id="152"/>
      <w:bookmarkStart w:id="153" w:name="_Toc184312119"/>
      <w:bookmarkEnd w:id="153"/>
      <w:bookmarkStart w:id="154" w:name="_Toc184313273"/>
      <w:bookmarkEnd w:id="154"/>
      <w:bookmarkStart w:id="155" w:name="_Toc184312138"/>
      <w:bookmarkEnd w:id="155"/>
      <w:bookmarkStart w:id="156" w:name="_Toc184313271"/>
      <w:bookmarkEnd w:id="156"/>
      <w:bookmarkStart w:id="157" w:name="_Toc184312105"/>
      <w:bookmarkEnd w:id="157"/>
      <w:bookmarkStart w:id="158" w:name="_Toc184308082"/>
      <w:bookmarkEnd w:id="158"/>
      <w:bookmarkStart w:id="159" w:name="_Toc184310313"/>
      <w:bookmarkEnd w:id="159"/>
      <w:bookmarkStart w:id="160" w:name="_Toc184313272"/>
      <w:bookmarkEnd w:id="160"/>
      <w:bookmarkStart w:id="161" w:name="_Toc184313264"/>
      <w:bookmarkEnd w:id="161"/>
      <w:bookmarkStart w:id="162" w:name="_Toc184314432"/>
      <w:bookmarkEnd w:id="162"/>
      <w:bookmarkStart w:id="163" w:name="_Toc184310322"/>
      <w:bookmarkEnd w:id="163"/>
      <w:bookmarkStart w:id="164" w:name="_Toc184312069"/>
      <w:bookmarkEnd w:id="164"/>
      <w:bookmarkStart w:id="165" w:name="_Toc184312112"/>
      <w:bookmarkEnd w:id="165"/>
      <w:bookmarkStart w:id="166" w:name="_Toc184314473"/>
      <w:bookmarkEnd w:id="166"/>
      <w:bookmarkStart w:id="167" w:name="_Toc184308061"/>
      <w:bookmarkEnd w:id="167"/>
      <w:bookmarkStart w:id="168" w:name="_Toc184313292"/>
      <w:bookmarkEnd w:id="168"/>
      <w:bookmarkStart w:id="169" w:name="_Toc184310297"/>
      <w:bookmarkEnd w:id="169"/>
      <w:bookmarkStart w:id="170" w:name="_Toc184312127"/>
      <w:bookmarkEnd w:id="170"/>
      <w:bookmarkStart w:id="171" w:name="_Toc184314452"/>
      <w:bookmarkEnd w:id="171"/>
      <w:bookmarkStart w:id="172" w:name="_Toc184310317"/>
      <w:bookmarkEnd w:id="172"/>
      <w:bookmarkStart w:id="173" w:name="_Toc184310275"/>
      <w:bookmarkEnd w:id="173"/>
      <w:bookmarkStart w:id="174" w:name="_Toc184308058"/>
      <w:bookmarkEnd w:id="174"/>
      <w:bookmarkStart w:id="175" w:name="_Toc184313309"/>
      <w:bookmarkEnd w:id="175"/>
      <w:bookmarkStart w:id="176" w:name="_Toc184314457"/>
      <w:bookmarkEnd w:id="176"/>
      <w:bookmarkStart w:id="177" w:name="_Toc184314437"/>
      <w:bookmarkEnd w:id="177"/>
      <w:bookmarkStart w:id="178" w:name="_Toc184308081"/>
      <w:bookmarkEnd w:id="178"/>
      <w:bookmarkStart w:id="179" w:name="_Toc184313291"/>
      <w:bookmarkEnd w:id="179"/>
      <w:bookmarkStart w:id="180" w:name="_Toc184310325"/>
      <w:bookmarkEnd w:id="180"/>
      <w:bookmarkStart w:id="181" w:name="_Toc184313293"/>
      <w:bookmarkEnd w:id="181"/>
      <w:bookmarkStart w:id="182" w:name="_Toc184312122"/>
      <w:bookmarkEnd w:id="182"/>
      <w:bookmarkStart w:id="183" w:name="_Toc184313240"/>
      <w:bookmarkEnd w:id="183"/>
      <w:bookmarkStart w:id="184" w:name="_Toc184312131"/>
      <w:bookmarkEnd w:id="184"/>
      <w:bookmarkStart w:id="185" w:name="_Toc184308072"/>
      <w:bookmarkEnd w:id="185"/>
      <w:bookmarkStart w:id="186" w:name="_Toc184312109"/>
      <w:bookmarkEnd w:id="186"/>
      <w:bookmarkStart w:id="187" w:name="_Toc184310315"/>
      <w:bookmarkEnd w:id="187"/>
      <w:bookmarkStart w:id="188" w:name="_Toc184313241"/>
      <w:bookmarkEnd w:id="188"/>
      <w:bookmarkStart w:id="189" w:name="_Toc184308066"/>
      <w:bookmarkEnd w:id="189"/>
      <w:bookmarkStart w:id="190" w:name="_Toc184314453"/>
      <w:bookmarkEnd w:id="190"/>
      <w:bookmarkStart w:id="191" w:name="_Toc184310301"/>
      <w:bookmarkEnd w:id="191"/>
      <w:bookmarkStart w:id="192" w:name="_Toc184312071"/>
      <w:bookmarkEnd w:id="192"/>
      <w:bookmarkStart w:id="193" w:name="_Toc184310341"/>
      <w:bookmarkEnd w:id="193"/>
      <w:bookmarkStart w:id="194" w:name="_Toc184310284"/>
      <w:bookmarkEnd w:id="194"/>
      <w:bookmarkStart w:id="195" w:name="_Toc184314482"/>
      <w:bookmarkEnd w:id="195"/>
      <w:bookmarkStart w:id="196" w:name="_Toc184314445"/>
      <w:bookmarkEnd w:id="196"/>
      <w:bookmarkStart w:id="197" w:name="_Toc184308086"/>
      <w:bookmarkEnd w:id="197"/>
      <w:bookmarkStart w:id="198" w:name="_Toc184308088"/>
      <w:bookmarkEnd w:id="198"/>
      <w:bookmarkStart w:id="199" w:name="_Toc184312102"/>
      <w:bookmarkEnd w:id="199"/>
      <w:bookmarkStart w:id="200" w:name="_Toc184312098"/>
      <w:bookmarkEnd w:id="200"/>
      <w:bookmarkStart w:id="201" w:name="_Toc184312078"/>
      <w:bookmarkEnd w:id="201"/>
      <w:bookmarkStart w:id="202" w:name="_Toc184313281"/>
      <w:bookmarkEnd w:id="202"/>
      <w:bookmarkStart w:id="203" w:name="_Toc184314447"/>
      <w:bookmarkEnd w:id="203"/>
      <w:bookmarkStart w:id="204" w:name="_Toc184308063"/>
      <w:bookmarkEnd w:id="204"/>
      <w:bookmarkStart w:id="205" w:name="_Toc184312081"/>
      <w:bookmarkEnd w:id="205"/>
      <w:bookmarkStart w:id="206" w:name="_Toc184314419"/>
      <w:bookmarkEnd w:id="206"/>
      <w:bookmarkStart w:id="207" w:name="_Toc184314438"/>
      <w:bookmarkEnd w:id="207"/>
      <w:bookmarkStart w:id="208" w:name="_Toc184313247"/>
      <w:bookmarkEnd w:id="208"/>
      <w:bookmarkStart w:id="209" w:name="_Toc184312123"/>
      <w:bookmarkEnd w:id="209"/>
      <w:bookmarkStart w:id="210" w:name="_Toc184308074"/>
      <w:bookmarkEnd w:id="210"/>
      <w:bookmarkStart w:id="211" w:name="_Toc184312121"/>
      <w:bookmarkEnd w:id="211"/>
      <w:bookmarkStart w:id="212" w:name="_Toc184313283"/>
      <w:bookmarkEnd w:id="212"/>
      <w:bookmarkStart w:id="213" w:name="_Toc184310328"/>
      <w:bookmarkEnd w:id="213"/>
      <w:bookmarkStart w:id="214" w:name="_Toc184312118"/>
      <w:bookmarkEnd w:id="214"/>
      <w:bookmarkStart w:id="215" w:name="_Toc184313274"/>
      <w:bookmarkEnd w:id="215"/>
      <w:bookmarkStart w:id="216" w:name="_Toc184310343"/>
      <w:bookmarkEnd w:id="216"/>
      <w:bookmarkStart w:id="217" w:name="_Toc184308078"/>
      <w:bookmarkEnd w:id="217"/>
      <w:bookmarkStart w:id="218" w:name="_Toc184314481"/>
      <w:bookmarkEnd w:id="218"/>
      <w:bookmarkStart w:id="219" w:name="_Toc184312114"/>
      <w:bookmarkEnd w:id="219"/>
      <w:bookmarkStart w:id="220" w:name="_Toc184313310"/>
      <w:bookmarkEnd w:id="220"/>
      <w:bookmarkStart w:id="221" w:name="_Toc184314442"/>
      <w:bookmarkEnd w:id="221"/>
      <w:bookmarkStart w:id="222" w:name="_Toc184313279"/>
      <w:bookmarkEnd w:id="222"/>
      <w:bookmarkStart w:id="223" w:name="_Toc184312083"/>
      <w:bookmarkEnd w:id="223"/>
      <w:bookmarkStart w:id="224" w:name="_Toc184314421"/>
      <w:bookmarkEnd w:id="224"/>
      <w:bookmarkStart w:id="225" w:name="_Toc184312097"/>
      <w:bookmarkEnd w:id="225"/>
      <w:bookmarkStart w:id="226" w:name="_Toc184312079"/>
      <w:bookmarkEnd w:id="226"/>
      <w:bookmarkStart w:id="227" w:name="_Toc184310324"/>
      <w:bookmarkEnd w:id="227"/>
      <w:bookmarkStart w:id="228" w:name="_Toc184313269"/>
      <w:bookmarkEnd w:id="228"/>
      <w:bookmarkStart w:id="229" w:name="_Toc184308102"/>
      <w:bookmarkEnd w:id="229"/>
      <w:bookmarkStart w:id="230" w:name="_Toc184310326"/>
      <w:bookmarkEnd w:id="230"/>
      <w:bookmarkStart w:id="231" w:name="_Toc184312101"/>
      <w:bookmarkEnd w:id="231"/>
      <w:bookmarkStart w:id="232" w:name="_Toc184312099"/>
      <w:bookmarkEnd w:id="232"/>
      <w:bookmarkStart w:id="233" w:name="_Toc184314410"/>
      <w:bookmarkEnd w:id="233"/>
      <w:bookmarkStart w:id="234" w:name="_Toc184308052"/>
      <w:bookmarkEnd w:id="234"/>
      <w:bookmarkStart w:id="235" w:name="_Toc184308083"/>
      <w:bookmarkEnd w:id="235"/>
      <w:bookmarkStart w:id="236" w:name="_Toc184314426"/>
      <w:bookmarkEnd w:id="236"/>
      <w:bookmarkStart w:id="237" w:name="_Toc184313238"/>
      <w:bookmarkEnd w:id="237"/>
      <w:bookmarkStart w:id="238" w:name="_Toc184310305"/>
      <w:bookmarkEnd w:id="238"/>
      <w:bookmarkStart w:id="239" w:name="_Toc184310308"/>
      <w:bookmarkEnd w:id="239"/>
      <w:bookmarkStart w:id="240" w:name="_Toc184310337"/>
      <w:bookmarkEnd w:id="240"/>
      <w:bookmarkStart w:id="241" w:name="_Toc184312068"/>
      <w:bookmarkEnd w:id="241"/>
      <w:bookmarkStart w:id="242" w:name="_Toc184314451"/>
      <w:bookmarkEnd w:id="242"/>
      <w:bookmarkStart w:id="243" w:name="_Toc184312133"/>
      <w:bookmarkEnd w:id="243"/>
      <w:bookmarkStart w:id="244" w:name="_Toc184308080"/>
      <w:bookmarkEnd w:id="244"/>
      <w:bookmarkStart w:id="245" w:name="_Toc184310340"/>
      <w:bookmarkEnd w:id="245"/>
      <w:bookmarkStart w:id="246" w:name="_Toc184312134"/>
      <w:bookmarkEnd w:id="246"/>
      <w:bookmarkStart w:id="247" w:name="_Toc184312077"/>
      <w:bookmarkEnd w:id="247"/>
      <w:bookmarkStart w:id="248" w:name="_Toc184313305"/>
      <w:bookmarkEnd w:id="248"/>
      <w:bookmarkStart w:id="249" w:name="_Toc184313304"/>
      <w:bookmarkEnd w:id="249"/>
      <w:bookmarkStart w:id="250" w:name="_Toc184308104"/>
      <w:bookmarkEnd w:id="250"/>
      <w:bookmarkStart w:id="251" w:name="_Toc184314477"/>
      <w:bookmarkEnd w:id="251"/>
      <w:bookmarkStart w:id="252" w:name="_Toc184314476"/>
      <w:bookmarkEnd w:id="252"/>
      <w:bookmarkStart w:id="253" w:name="_Toc184310334"/>
      <w:bookmarkEnd w:id="253"/>
      <w:bookmarkStart w:id="254" w:name="_Toc184313300"/>
      <w:bookmarkEnd w:id="254"/>
      <w:bookmarkStart w:id="255" w:name="_Toc184313301"/>
      <w:bookmarkEnd w:id="255"/>
      <w:bookmarkStart w:id="256" w:name="_Toc184312129"/>
      <w:bookmarkEnd w:id="256"/>
      <w:bookmarkStart w:id="257" w:name="_Toc184312092"/>
      <w:bookmarkEnd w:id="257"/>
      <w:bookmarkStart w:id="258" w:name="_Toc184312111"/>
      <w:bookmarkEnd w:id="258"/>
      <w:bookmarkStart w:id="259" w:name="_Toc184308099"/>
      <w:bookmarkEnd w:id="259"/>
      <w:bookmarkStart w:id="260" w:name="_Toc184314472"/>
      <w:bookmarkEnd w:id="260"/>
      <w:bookmarkStart w:id="261" w:name="_Toc184314471"/>
      <w:bookmarkEnd w:id="261"/>
      <w:bookmarkStart w:id="262" w:name="_Toc184310282"/>
      <w:bookmarkEnd w:id="262"/>
      <w:bookmarkStart w:id="263" w:name="_Toc184310300"/>
      <w:bookmarkEnd w:id="263"/>
      <w:bookmarkStart w:id="264" w:name="_Toc184313290"/>
      <w:bookmarkEnd w:id="264"/>
      <w:bookmarkStart w:id="265" w:name="_Toc184308073"/>
      <w:bookmarkEnd w:id="265"/>
      <w:bookmarkStart w:id="266" w:name="_Toc184310272"/>
      <w:bookmarkEnd w:id="266"/>
      <w:bookmarkStart w:id="267" w:name="_Toc184308038"/>
      <w:bookmarkEnd w:id="267"/>
      <w:bookmarkStart w:id="268" w:name="_Toc184314411"/>
      <w:bookmarkEnd w:id="268"/>
      <w:bookmarkStart w:id="269" w:name="_Toc184313261"/>
      <w:bookmarkEnd w:id="269"/>
      <w:bookmarkStart w:id="270" w:name="_Toc184314425"/>
      <w:bookmarkEnd w:id="270"/>
      <w:bookmarkStart w:id="271" w:name="_Toc184308036"/>
      <w:bookmarkEnd w:id="271"/>
      <w:bookmarkStart w:id="272" w:name="_Toc184312076"/>
      <w:bookmarkEnd w:id="272"/>
      <w:bookmarkStart w:id="273" w:name="_Toc184310295"/>
      <w:bookmarkEnd w:id="273"/>
      <w:bookmarkStart w:id="274" w:name="_Toc184310304"/>
      <w:bookmarkEnd w:id="274"/>
      <w:bookmarkStart w:id="275" w:name="_Toc184308045"/>
      <w:bookmarkEnd w:id="275"/>
      <w:bookmarkStart w:id="276" w:name="_Toc184312116"/>
      <w:bookmarkEnd w:id="276"/>
      <w:bookmarkStart w:id="277" w:name="_Toc184310344"/>
      <w:bookmarkEnd w:id="277"/>
      <w:bookmarkStart w:id="278" w:name="_Toc184314474"/>
      <w:bookmarkEnd w:id="278"/>
      <w:bookmarkStart w:id="279" w:name="_Toc184314458"/>
      <w:bookmarkEnd w:id="279"/>
      <w:bookmarkStart w:id="280" w:name="_Toc184313262"/>
      <w:bookmarkEnd w:id="280"/>
      <w:bookmarkStart w:id="281" w:name="_Toc184314449"/>
      <w:bookmarkEnd w:id="281"/>
      <w:bookmarkStart w:id="282" w:name="_Toc184313277"/>
      <w:bookmarkEnd w:id="282"/>
      <w:bookmarkStart w:id="283" w:name="_Toc184308039"/>
      <w:bookmarkEnd w:id="283"/>
      <w:bookmarkStart w:id="284" w:name="_Toc184314431"/>
      <w:bookmarkEnd w:id="284"/>
      <w:bookmarkStart w:id="285" w:name="_Toc184312095"/>
      <w:bookmarkEnd w:id="285"/>
      <w:bookmarkStart w:id="286" w:name="_Toc184312139"/>
      <w:bookmarkEnd w:id="286"/>
      <w:bookmarkStart w:id="287" w:name="_Toc184310327"/>
      <w:bookmarkEnd w:id="287"/>
      <w:bookmarkStart w:id="288" w:name="_Toc184308047"/>
      <w:bookmarkEnd w:id="288"/>
      <w:bookmarkStart w:id="289" w:name="_Toc184314420"/>
      <w:bookmarkEnd w:id="289"/>
      <w:bookmarkStart w:id="290" w:name="_Toc184310310"/>
      <w:bookmarkEnd w:id="290"/>
      <w:bookmarkStart w:id="291" w:name="_Toc184313252"/>
      <w:bookmarkEnd w:id="291"/>
      <w:bookmarkStart w:id="292" w:name="_Toc184308084"/>
      <w:bookmarkEnd w:id="292"/>
      <w:bookmarkStart w:id="293" w:name="_Toc184310283"/>
      <w:bookmarkEnd w:id="293"/>
      <w:bookmarkStart w:id="294" w:name="_Toc184313239"/>
      <w:bookmarkEnd w:id="294"/>
      <w:bookmarkStart w:id="295" w:name="_Toc184312126"/>
      <w:bookmarkEnd w:id="295"/>
      <w:bookmarkStart w:id="296" w:name="_Toc184314422"/>
      <w:bookmarkEnd w:id="296"/>
      <w:bookmarkStart w:id="297" w:name="_Toc184314462"/>
      <w:bookmarkEnd w:id="297"/>
      <w:bookmarkStart w:id="298" w:name="_Toc184310303"/>
      <w:bookmarkEnd w:id="298"/>
      <w:bookmarkStart w:id="299" w:name="_Toc184308100"/>
      <w:bookmarkEnd w:id="299"/>
      <w:bookmarkStart w:id="300" w:name="_Toc184313257"/>
      <w:bookmarkEnd w:id="300"/>
      <w:bookmarkStart w:id="301" w:name="_Toc184310292"/>
      <w:bookmarkEnd w:id="301"/>
      <w:bookmarkStart w:id="302" w:name="_Toc184313242"/>
      <w:bookmarkEnd w:id="302"/>
      <w:bookmarkStart w:id="303" w:name="_Toc184308105"/>
      <w:bookmarkEnd w:id="303"/>
      <w:bookmarkStart w:id="304" w:name="_Toc184314466"/>
      <w:bookmarkEnd w:id="304"/>
      <w:bookmarkStart w:id="305" w:name="_Toc184312115"/>
      <w:bookmarkEnd w:id="305"/>
      <w:bookmarkStart w:id="306" w:name="_Toc184312120"/>
      <w:bookmarkEnd w:id="306"/>
      <w:bookmarkStart w:id="307" w:name="_Toc184312089"/>
      <w:bookmarkEnd w:id="307"/>
      <w:bookmarkStart w:id="308" w:name="_Toc184310302"/>
      <w:bookmarkEnd w:id="308"/>
      <w:bookmarkStart w:id="309" w:name="_Toc184314470"/>
      <w:bookmarkEnd w:id="309"/>
      <w:bookmarkStart w:id="310" w:name="_Toc184308093"/>
      <w:bookmarkEnd w:id="310"/>
      <w:bookmarkStart w:id="311" w:name="_Toc184312128"/>
      <w:bookmarkEnd w:id="311"/>
      <w:bookmarkStart w:id="312" w:name="_Toc184308108"/>
      <w:bookmarkEnd w:id="312"/>
      <w:bookmarkStart w:id="313" w:name="_Toc184308048"/>
      <w:bookmarkEnd w:id="313"/>
      <w:bookmarkStart w:id="314" w:name="_Toc184310307"/>
      <w:bookmarkEnd w:id="314"/>
      <w:bookmarkStart w:id="315" w:name="_Toc184310280"/>
      <w:bookmarkEnd w:id="315"/>
      <w:bookmarkStart w:id="316" w:name="_Toc184314430"/>
      <w:bookmarkEnd w:id="316"/>
      <w:bookmarkStart w:id="317" w:name="_Toc184313254"/>
      <w:bookmarkEnd w:id="317"/>
      <w:bookmarkStart w:id="318" w:name="_Toc184308101"/>
      <w:bookmarkEnd w:id="318"/>
      <w:bookmarkStart w:id="319" w:name="_Toc184308056"/>
      <w:bookmarkEnd w:id="319"/>
      <w:bookmarkStart w:id="320" w:name="_Toc184313284"/>
      <w:bookmarkEnd w:id="320"/>
      <w:bookmarkStart w:id="321" w:name="_Toc184312124"/>
      <w:bookmarkEnd w:id="321"/>
      <w:bookmarkStart w:id="322" w:name="_Toc184314434"/>
      <w:bookmarkEnd w:id="322"/>
      <w:bookmarkStart w:id="323" w:name="_Toc184312106"/>
      <w:bookmarkEnd w:id="323"/>
      <w:bookmarkStart w:id="324" w:name="_Toc184314478"/>
      <w:bookmarkEnd w:id="324"/>
      <w:bookmarkStart w:id="325" w:name="_Toc184308051"/>
      <w:bookmarkEnd w:id="325"/>
      <w:bookmarkStart w:id="326" w:name="_Toc184312108"/>
      <w:bookmarkEnd w:id="326"/>
      <w:bookmarkStart w:id="327" w:name="_Toc184310291"/>
      <w:bookmarkEnd w:id="327"/>
      <w:bookmarkStart w:id="328" w:name="_Toc184308077"/>
      <w:bookmarkEnd w:id="328"/>
      <w:bookmarkStart w:id="329" w:name="_Toc184310289"/>
      <w:bookmarkEnd w:id="329"/>
      <w:bookmarkStart w:id="330" w:name="_Toc184312103"/>
      <w:bookmarkEnd w:id="330"/>
      <w:bookmarkStart w:id="331" w:name="_Toc184312137"/>
      <w:bookmarkEnd w:id="331"/>
      <w:bookmarkStart w:id="332" w:name="_Toc184312072"/>
      <w:bookmarkEnd w:id="332"/>
      <w:bookmarkStart w:id="333" w:name="_Toc184313263"/>
      <w:bookmarkEnd w:id="333"/>
      <w:bookmarkStart w:id="334" w:name="_Toc184313248"/>
      <w:bookmarkEnd w:id="334"/>
      <w:bookmarkStart w:id="335" w:name="_Toc184314446"/>
      <w:bookmarkEnd w:id="335"/>
      <w:bookmarkStart w:id="336" w:name="_Toc184312082"/>
      <w:bookmarkEnd w:id="336"/>
      <w:bookmarkStart w:id="337" w:name="_Toc184313298"/>
      <w:bookmarkEnd w:id="337"/>
      <w:bookmarkStart w:id="338" w:name="_Toc184314448"/>
      <w:bookmarkEnd w:id="338"/>
      <w:bookmarkStart w:id="339" w:name="_Toc184313259"/>
      <w:bookmarkEnd w:id="339"/>
      <w:bookmarkStart w:id="340" w:name="_Toc184312073"/>
      <w:bookmarkEnd w:id="340"/>
      <w:bookmarkStart w:id="341" w:name="_Toc184308037"/>
      <w:bookmarkEnd w:id="341"/>
      <w:bookmarkStart w:id="342" w:name="_Toc184314469"/>
      <w:bookmarkEnd w:id="342"/>
      <w:bookmarkStart w:id="343" w:name="_Toc184312113"/>
      <w:bookmarkEnd w:id="343"/>
      <w:bookmarkStart w:id="344" w:name="_Toc184313249"/>
      <w:bookmarkEnd w:id="344"/>
      <w:bookmarkStart w:id="345" w:name="_Toc184308092"/>
      <w:bookmarkEnd w:id="345"/>
      <w:bookmarkStart w:id="346" w:name="_Toc184313255"/>
      <w:bookmarkEnd w:id="346"/>
      <w:bookmarkStart w:id="347" w:name="_Toc184313297"/>
      <w:bookmarkEnd w:id="347"/>
      <w:bookmarkStart w:id="348" w:name="_Toc184313302"/>
      <w:bookmarkEnd w:id="348"/>
      <w:bookmarkStart w:id="349" w:name="_Toc184314417"/>
      <w:bookmarkEnd w:id="349"/>
      <w:bookmarkStart w:id="350" w:name="_Toc184313303"/>
      <w:bookmarkEnd w:id="350"/>
      <w:bookmarkStart w:id="351" w:name="_Toc184313253"/>
      <w:bookmarkEnd w:id="351"/>
      <w:bookmarkStart w:id="352" w:name="_Toc184308091"/>
      <w:bookmarkEnd w:id="352"/>
      <w:bookmarkStart w:id="353" w:name="_Toc184308097"/>
      <w:bookmarkEnd w:id="353"/>
      <w:bookmarkStart w:id="354" w:name="_Toc184310296"/>
      <w:bookmarkEnd w:id="354"/>
      <w:bookmarkStart w:id="355" w:name="_Toc184314465"/>
      <w:bookmarkEnd w:id="355"/>
      <w:bookmarkStart w:id="356" w:name="_Toc184313296"/>
      <w:bookmarkEnd w:id="356"/>
      <w:bookmarkStart w:id="357" w:name="_Toc184308094"/>
      <w:bookmarkEnd w:id="357"/>
      <w:bookmarkStart w:id="358" w:name="_Toc184310293"/>
      <w:bookmarkEnd w:id="358"/>
      <w:bookmarkStart w:id="359" w:name="_Toc184313243"/>
      <w:bookmarkEnd w:id="359"/>
      <w:bookmarkStart w:id="360" w:name="_Toc184313294"/>
      <w:bookmarkEnd w:id="360"/>
      <w:bookmarkStart w:id="361" w:name="_Toc184314460"/>
      <w:bookmarkEnd w:id="361"/>
      <w:bookmarkStart w:id="362" w:name="_Toc184313287"/>
      <w:bookmarkEnd w:id="362"/>
      <w:bookmarkStart w:id="363" w:name="_Toc184312104"/>
      <w:bookmarkEnd w:id="363"/>
      <w:bookmarkStart w:id="364" w:name="_Toc184314433"/>
      <w:bookmarkEnd w:id="364"/>
      <w:bookmarkStart w:id="365" w:name="_Toc184310279"/>
      <w:bookmarkEnd w:id="365"/>
      <w:bookmarkStart w:id="366" w:name="_Toc184308068"/>
      <w:bookmarkEnd w:id="366"/>
      <w:bookmarkStart w:id="367" w:name="_Toc184313246"/>
      <w:bookmarkEnd w:id="367"/>
      <w:bookmarkStart w:id="368" w:name="_Toc184310306"/>
      <w:bookmarkEnd w:id="368"/>
      <w:bookmarkStart w:id="369" w:name="_Toc184314468"/>
      <w:bookmarkEnd w:id="369"/>
      <w:bookmarkStart w:id="370" w:name="_Toc184314459"/>
      <w:bookmarkEnd w:id="370"/>
      <w:bookmarkStart w:id="371" w:name="_Toc184313245"/>
      <w:bookmarkEnd w:id="371"/>
      <w:bookmarkStart w:id="372" w:name="_Toc184313306"/>
      <w:bookmarkEnd w:id="372"/>
      <w:bookmarkStart w:id="373" w:name="_Toc184314467"/>
      <w:bookmarkEnd w:id="373"/>
      <w:bookmarkStart w:id="374" w:name="_Toc184310332"/>
      <w:bookmarkEnd w:id="374"/>
      <w:bookmarkStart w:id="375" w:name="_Toc184313275"/>
      <w:bookmarkEnd w:id="375"/>
      <w:r>
        <w:rPr>
          <w:rFonts w:hint="eastAsia" w:ascii="仿宋" w:hAnsi="仿宋" w:eastAsia="仿宋" w:cs="仿宋_GB2312"/>
          <w:b/>
          <w:sz w:val="36"/>
          <w:szCs w:val="36"/>
        </w:rPr>
        <w:t>评标方法及评分标准</w:t>
      </w:r>
    </w:p>
    <w:p>
      <w:pPr>
        <w:snapToGrid w:val="0"/>
        <w:spacing w:line="360" w:lineRule="auto"/>
        <w:jc w:val="center"/>
        <w:rPr>
          <w:rFonts w:hint="eastAsia" w:ascii="仿宋" w:hAnsi="仿宋" w:eastAsia="仿宋" w:cs="仿宋_GB2312"/>
          <w:b/>
          <w:sz w:val="32"/>
        </w:rPr>
      </w:pPr>
    </w:p>
    <w:p>
      <w:pPr>
        <w:snapToGrid w:val="0"/>
        <w:spacing w:line="360" w:lineRule="auto"/>
        <w:jc w:val="center"/>
        <w:rPr>
          <w:rFonts w:hint="eastAsia" w:ascii="仿宋" w:hAnsi="仿宋" w:eastAsia="仿宋"/>
          <w:b/>
          <w:sz w:val="28"/>
          <w:szCs w:val="28"/>
        </w:rPr>
      </w:pPr>
      <w:r>
        <w:rPr>
          <w:rFonts w:hint="eastAsia" w:ascii="仿宋" w:hAnsi="仿宋" w:eastAsia="仿宋" w:cs="仿宋_GB2312"/>
          <w:b/>
          <w:sz w:val="32"/>
        </w:rPr>
        <w:t>一、评标方法</w:t>
      </w:r>
    </w:p>
    <w:p>
      <w:pPr>
        <w:adjustRightInd/>
        <w:spacing w:line="360" w:lineRule="auto"/>
        <w:rPr>
          <w:rFonts w:hint="eastAsia" w:ascii="仿宋" w:hAnsi="仿宋" w:eastAsia="仿宋" w:cs="Arial"/>
          <w:kern w:val="0"/>
          <w:sz w:val="24"/>
        </w:rPr>
      </w:pPr>
      <w:r>
        <w:rPr>
          <w:rFonts w:hint="eastAsia" w:ascii="仿宋" w:hAnsi="仿宋" w:eastAsia="仿宋" w:cs="Arial"/>
          <w:b/>
          <w:kern w:val="0"/>
          <w:sz w:val="24"/>
        </w:rPr>
        <w:t>1.综合评分法。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snapToGrid w:val="0"/>
        <w:spacing w:line="360" w:lineRule="auto"/>
        <w:jc w:val="both"/>
        <w:rPr>
          <w:rFonts w:hint="eastAsia" w:ascii="仿宋" w:hAnsi="仿宋" w:eastAsia="仿宋"/>
          <w:b/>
          <w:sz w:val="28"/>
          <w:szCs w:val="28"/>
        </w:rPr>
      </w:pPr>
    </w:p>
    <w:p>
      <w:pPr>
        <w:snapToGrid w:val="0"/>
        <w:spacing w:line="360" w:lineRule="auto"/>
        <w:jc w:val="center"/>
        <w:rPr>
          <w:rFonts w:hint="eastAsia" w:ascii="仿宋" w:hAnsi="仿宋" w:eastAsia="仿宋" w:cs="仿宋_GB2312"/>
          <w:b/>
          <w:sz w:val="32"/>
        </w:rPr>
      </w:pPr>
      <w:r>
        <w:rPr>
          <w:rFonts w:hint="eastAsia" w:ascii="仿宋" w:hAnsi="仿宋" w:eastAsia="仿宋" w:cs="仿宋_GB2312"/>
          <w:b/>
          <w:sz w:val="32"/>
        </w:rPr>
        <w:t>二、评标委员会的组成</w:t>
      </w:r>
    </w:p>
    <w:p>
      <w:pPr>
        <w:snapToGrid w:val="0"/>
        <w:spacing w:line="360" w:lineRule="auto"/>
        <w:rPr>
          <w:rFonts w:hint="eastAsia" w:ascii="仿宋" w:hAnsi="仿宋" w:eastAsia="仿宋" w:cs="Arial"/>
          <w:kern w:val="0"/>
          <w:sz w:val="24"/>
        </w:rPr>
      </w:pPr>
      <w:r>
        <w:rPr>
          <w:rFonts w:hint="eastAsia" w:ascii="仿宋" w:hAnsi="仿宋" w:eastAsia="仿宋" w:cs="Arial"/>
          <w:b/>
          <w:kern w:val="0"/>
          <w:sz w:val="24"/>
        </w:rPr>
        <w:t>2.评标委员会的组成。</w:t>
      </w:r>
      <w:r>
        <w:rPr>
          <w:rFonts w:ascii="仿宋" w:hAnsi="仿宋" w:eastAsia="仿宋" w:cs="Arial"/>
          <w:kern w:val="0"/>
          <w:sz w:val="24"/>
        </w:rPr>
        <w:t>评标委员会由采购人代表和评审专家组成，成员人数为5人以上单数，其中评审专家不少于成员总数的三分之二。</w:t>
      </w:r>
    </w:p>
    <w:p>
      <w:pPr>
        <w:pStyle w:val="19"/>
        <w:spacing w:before="0"/>
        <w:ind w:firstLine="0" w:firstLineChars="0"/>
        <w:rPr>
          <w:rFonts w:hint="eastAsia" w:ascii="仿宋" w:hAnsi="仿宋" w:eastAsia="仿宋" w:cs="Arial"/>
          <w:kern w:val="0"/>
        </w:rPr>
      </w:pPr>
      <w:r>
        <w:rPr>
          <w:rFonts w:hint="eastAsia" w:ascii="仿宋" w:hAnsi="仿宋" w:eastAsia="仿宋" w:cs="Arial"/>
          <w:b/>
          <w:kern w:val="0"/>
        </w:rPr>
        <w:t>3.评</w:t>
      </w:r>
      <w:r>
        <w:rPr>
          <w:rFonts w:hint="eastAsia" w:ascii="仿宋" w:hAnsi="仿宋" w:eastAsia="仿宋" w:cs="Arial"/>
          <w:b/>
          <w:kern w:val="0"/>
          <w:szCs w:val="24"/>
        </w:rPr>
        <w:t>标委员会的组成人员的回避。</w:t>
      </w:r>
      <w:r>
        <w:rPr>
          <w:rFonts w:hint="eastAsia" w:ascii="仿宋" w:hAnsi="仿宋" w:eastAsia="仿宋" w:cs="Arial"/>
          <w:kern w:val="0"/>
        </w:rPr>
        <w:t>在政府采购活动中，评标委员会的组成人员与供应商有下列利害关系之一的，应当回避：</w:t>
      </w:r>
    </w:p>
    <w:p>
      <w:pPr>
        <w:pStyle w:val="19"/>
        <w:spacing w:before="0"/>
        <w:ind w:firstLine="0" w:firstLineChars="0"/>
        <w:rPr>
          <w:rFonts w:hint="eastAsia" w:ascii="仿宋" w:hAnsi="仿宋" w:eastAsia="仿宋" w:cs="Arial"/>
          <w:kern w:val="0"/>
        </w:rPr>
      </w:pPr>
      <w:r>
        <w:rPr>
          <w:rFonts w:hint="eastAsia" w:ascii="仿宋" w:hAnsi="仿宋" w:eastAsia="仿宋" w:cs="Arial"/>
          <w:kern w:val="0"/>
        </w:rPr>
        <w:t>　　3.1参加采购活动前3年内与供应商存在劳动关系；</w:t>
      </w:r>
    </w:p>
    <w:p>
      <w:pPr>
        <w:pStyle w:val="19"/>
        <w:spacing w:before="0"/>
        <w:ind w:firstLine="0" w:firstLineChars="0"/>
        <w:rPr>
          <w:rFonts w:hint="eastAsia" w:ascii="仿宋" w:hAnsi="仿宋" w:eastAsia="仿宋" w:cs="Arial"/>
          <w:kern w:val="0"/>
        </w:rPr>
      </w:pPr>
      <w:r>
        <w:rPr>
          <w:rFonts w:hint="eastAsia" w:ascii="仿宋" w:hAnsi="仿宋" w:eastAsia="仿宋" w:cs="Arial"/>
          <w:kern w:val="0"/>
        </w:rPr>
        <w:t>　　3.2参加采购活动前3年内担任供应商的董事、监事；</w:t>
      </w:r>
    </w:p>
    <w:p>
      <w:pPr>
        <w:pStyle w:val="19"/>
        <w:spacing w:before="0"/>
        <w:ind w:firstLine="0" w:firstLineChars="0"/>
        <w:rPr>
          <w:rFonts w:hint="eastAsia" w:ascii="仿宋" w:hAnsi="仿宋" w:eastAsia="仿宋" w:cs="Arial"/>
          <w:kern w:val="0"/>
        </w:rPr>
      </w:pPr>
      <w:r>
        <w:rPr>
          <w:rFonts w:hint="eastAsia" w:ascii="仿宋" w:hAnsi="仿宋" w:eastAsia="仿宋" w:cs="Arial"/>
          <w:kern w:val="0"/>
        </w:rPr>
        <w:t>　　3.3参加采购活动前3年内是供应商的控股股东或者实际控制人；</w:t>
      </w:r>
    </w:p>
    <w:p>
      <w:pPr>
        <w:pStyle w:val="19"/>
        <w:spacing w:before="0"/>
        <w:ind w:firstLine="0" w:firstLineChars="0"/>
        <w:rPr>
          <w:rFonts w:hint="eastAsia" w:ascii="仿宋" w:hAnsi="仿宋" w:eastAsia="仿宋" w:cs="Arial"/>
          <w:kern w:val="0"/>
        </w:rPr>
      </w:pPr>
      <w:r>
        <w:rPr>
          <w:rFonts w:hint="eastAsia" w:ascii="仿宋" w:hAnsi="仿宋" w:eastAsia="仿宋" w:cs="Arial"/>
          <w:kern w:val="0"/>
        </w:rPr>
        <w:t>　　3.4与供应商的法定代表人或者负责人有夫妻、直系血亲、三代以内旁系血亲或者近姻亲关系；</w:t>
      </w:r>
    </w:p>
    <w:p>
      <w:pPr>
        <w:pStyle w:val="19"/>
        <w:spacing w:before="0"/>
        <w:ind w:firstLine="0" w:firstLineChars="0"/>
        <w:rPr>
          <w:rFonts w:hint="eastAsia" w:ascii="仿宋" w:hAnsi="仿宋" w:eastAsia="仿宋" w:cs="Arial"/>
          <w:kern w:val="0"/>
        </w:rPr>
      </w:pPr>
      <w:r>
        <w:rPr>
          <w:rFonts w:hint="eastAsia" w:ascii="仿宋" w:hAnsi="仿宋" w:eastAsia="仿宋" w:cs="Arial"/>
          <w:kern w:val="0"/>
        </w:rPr>
        <w:t xml:space="preserve">　 </w:t>
      </w:r>
      <w:r>
        <w:rPr>
          <w:rFonts w:hint="eastAsia" w:ascii="仿宋" w:hAnsi="仿宋" w:eastAsia="仿宋" w:cs="Arial"/>
          <w:kern w:val="0"/>
          <w:lang w:val="en-US" w:eastAsia="zh-CN"/>
        </w:rPr>
        <w:t xml:space="preserve"> </w:t>
      </w:r>
      <w:r>
        <w:rPr>
          <w:rFonts w:hint="eastAsia" w:ascii="仿宋" w:hAnsi="仿宋" w:eastAsia="仿宋" w:cs="Arial"/>
          <w:kern w:val="0"/>
        </w:rPr>
        <w:t>3.5与供应商有其他可能影响政府采购活动公平、公正进行的关系。</w:t>
      </w:r>
    </w:p>
    <w:p>
      <w:pPr>
        <w:snapToGrid w:val="0"/>
        <w:spacing w:line="360" w:lineRule="auto"/>
        <w:jc w:val="center"/>
        <w:rPr>
          <w:rFonts w:hint="eastAsia" w:ascii="仿宋" w:hAnsi="仿宋" w:eastAsia="仿宋" w:cs="仿宋_GB2312"/>
          <w:b/>
          <w:sz w:val="32"/>
        </w:rPr>
      </w:pPr>
    </w:p>
    <w:p>
      <w:pPr>
        <w:snapToGrid w:val="0"/>
        <w:spacing w:line="360" w:lineRule="auto"/>
        <w:jc w:val="center"/>
        <w:rPr>
          <w:rFonts w:hint="eastAsia" w:ascii="仿宋" w:hAnsi="仿宋" w:eastAsia="仿宋"/>
          <w:b/>
          <w:sz w:val="32"/>
          <w:szCs w:val="32"/>
        </w:rPr>
      </w:pPr>
      <w:r>
        <w:rPr>
          <w:rFonts w:hint="eastAsia" w:ascii="仿宋" w:hAnsi="仿宋" w:eastAsia="仿宋" w:cs="仿宋_GB2312"/>
          <w:b/>
          <w:sz w:val="32"/>
        </w:rPr>
        <w:t>三、评标委员会的职责</w:t>
      </w:r>
    </w:p>
    <w:p>
      <w:pPr>
        <w:pStyle w:val="19"/>
        <w:spacing w:before="0"/>
        <w:ind w:firstLine="0" w:firstLineChars="0"/>
        <w:rPr>
          <w:rFonts w:hint="eastAsia" w:ascii="仿宋" w:hAnsi="仿宋" w:eastAsia="仿宋" w:cs="Arial"/>
          <w:b/>
          <w:kern w:val="0"/>
          <w:szCs w:val="24"/>
        </w:rPr>
      </w:pPr>
      <w:r>
        <w:rPr>
          <w:rFonts w:hint="eastAsia" w:ascii="仿宋" w:hAnsi="仿宋" w:eastAsia="仿宋" w:cs="Arial"/>
          <w:b/>
          <w:kern w:val="0"/>
          <w:szCs w:val="24"/>
        </w:rPr>
        <w:t>4.</w:t>
      </w:r>
      <w:r>
        <w:rPr>
          <w:rFonts w:ascii="仿宋" w:hAnsi="仿宋" w:eastAsia="仿宋" w:cs="Arial"/>
          <w:b/>
          <w:kern w:val="0"/>
          <w:szCs w:val="24"/>
        </w:rPr>
        <w:t>评标委员会负责具体评标事务，并独立履行下列职责：</w:t>
      </w:r>
    </w:p>
    <w:p>
      <w:pPr>
        <w:pStyle w:val="19"/>
        <w:spacing w:before="0"/>
        <w:ind w:firstLine="480" w:firstLineChars="200"/>
        <w:rPr>
          <w:rFonts w:hint="eastAsia" w:ascii="仿宋" w:hAnsi="仿宋" w:eastAsia="仿宋" w:cs="Arial"/>
          <w:kern w:val="0"/>
        </w:rPr>
      </w:pPr>
      <w:r>
        <w:rPr>
          <w:rFonts w:hint="eastAsia" w:ascii="仿宋" w:hAnsi="仿宋" w:eastAsia="仿宋" w:cs="Arial"/>
          <w:kern w:val="0"/>
        </w:rPr>
        <w:t>4.1</w:t>
      </w:r>
      <w:r>
        <w:rPr>
          <w:rFonts w:ascii="仿宋" w:hAnsi="仿宋" w:eastAsia="仿宋" w:cs="Arial"/>
          <w:kern w:val="0"/>
        </w:rPr>
        <w:t>审查、评价投标文件是否符合招标文件的商务、技术等实质性要求；</w:t>
      </w:r>
    </w:p>
    <w:p>
      <w:pPr>
        <w:pStyle w:val="19"/>
        <w:spacing w:before="0"/>
        <w:ind w:firstLine="480" w:firstLineChars="200"/>
        <w:rPr>
          <w:rFonts w:hint="eastAsia" w:ascii="仿宋" w:hAnsi="仿宋" w:eastAsia="仿宋" w:cs="Arial"/>
          <w:kern w:val="0"/>
        </w:rPr>
      </w:pPr>
      <w:r>
        <w:rPr>
          <w:rFonts w:hint="eastAsia" w:ascii="仿宋" w:hAnsi="仿宋" w:eastAsia="仿宋" w:cs="Arial"/>
          <w:kern w:val="0"/>
        </w:rPr>
        <w:t>4.2</w:t>
      </w:r>
      <w:r>
        <w:rPr>
          <w:rFonts w:ascii="仿宋" w:hAnsi="仿宋" w:eastAsia="仿宋" w:cs="Arial"/>
          <w:kern w:val="0"/>
        </w:rPr>
        <w:t>要求投标人对投标文件有关事项作出澄清或者说明；</w:t>
      </w:r>
    </w:p>
    <w:p>
      <w:pPr>
        <w:pStyle w:val="19"/>
        <w:spacing w:before="0"/>
        <w:ind w:firstLine="480" w:firstLineChars="200"/>
        <w:rPr>
          <w:rFonts w:hint="eastAsia" w:ascii="仿宋" w:hAnsi="仿宋" w:eastAsia="仿宋" w:cs="Arial"/>
          <w:kern w:val="0"/>
        </w:rPr>
      </w:pPr>
      <w:r>
        <w:rPr>
          <w:rFonts w:hint="eastAsia" w:ascii="仿宋" w:hAnsi="仿宋" w:eastAsia="仿宋" w:cs="Arial"/>
          <w:kern w:val="0"/>
        </w:rPr>
        <w:t>4.3</w:t>
      </w:r>
      <w:r>
        <w:rPr>
          <w:rFonts w:ascii="仿宋" w:hAnsi="仿宋" w:eastAsia="仿宋" w:cs="Arial"/>
          <w:kern w:val="0"/>
        </w:rPr>
        <w:t>对投标文件进行比较和评价；</w:t>
      </w:r>
    </w:p>
    <w:p>
      <w:pPr>
        <w:pStyle w:val="19"/>
        <w:spacing w:before="0"/>
        <w:ind w:firstLine="480" w:firstLineChars="200"/>
        <w:rPr>
          <w:rFonts w:hint="eastAsia" w:ascii="仿宋" w:hAnsi="仿宋" w:eastAsia="仿宋" w:cs="Arial"/>
          <w:kern w:val="0"/>
        </w:rPr>
      </w:pPr>
      <w:r>
        <w:rPr>
          <w:rFonts w:hint="eastAsia" w:ascii="仿宋" w:hAnsi="仿宋" w:eastAsia="仿宋" w:cs="Arial"/>
          <w:kern w:val="0"/>
        </w:rPr>
        <w:t>4.4</w:t>
      </w:r>
      <w:r>
        <w:rPr>
          <w:rFonts w:ascii="仿宋" w:hAnsi="仿宋" w:eastAsia="仿宋" w:cs="Arial"/>
          <w:kern w:val="0"/>
        </w:rPr>
        <w:t>确定中标候选人名单，以及根据采购人委托直接确定中标人；</w:t>
      </w:r>
    </w:p>
    <w:p>
      <w:pPr>
        <w:pStyle w:val="19"/>
        <w:spacing w:before="0"/>
        <w:ind w:firstLine="480" w:firstLineChars="200"/>
        <w:rPr>
          <w:rFonts w:hint="eastAsia" w:ascii="仿宋" w:hAnsi="仿宋" w:eastAsia="仿宋" w:cs="Arial"/>
          <w:kern w:val="0"/>
        </w:rPr>
      </w:pPr>
      <w:r>
        <w:rPr>
          <w:rFonts w:hint="eastAsia" w:ascii="仿宋" w:hAnsi="仿宋" w:eastAsia="仿宋" w:cs="Arial"/>
          <w:kern w:val="0"/>
        </w:rPr>
        <w:t>4.5</w:t>
      </w:r>
      <w:r>
        <w:rPr>
          <w:rFonts w:ascii="仿宋" w:hAnsi="仿宋" w:eastAsia="仿宋" w:cs="Arial"/>
          <w:kern w:val="0"/>
        </w:rPr>
        <w:t>向采购人、采购机构或者有关部门报告评标中发现的违法行为</w:t>
      </w:r>
      <w:r>
        <w:rPr>
          <w:rFonts w:hint="eastAsia" w:ascii="仿宋" w:hAnsi="仿宋" w:eastAsia="仿宋" w:cs="Arial"/>
          <w:kern w:val="0"/>
        </w:rPr>
        <w:t>；</w:t>
      </w:r>
    </w:p>
    <w:p>
      <w:pPr>
        <w:pStyle w:val="19"/>
        <w:spacing w:before="0"/>
        <w:ind w:firstLine="480" w:firstLineChars="200"/>
        <w:rPr>
          <w:rFonts w:hint="eastAsia" w:ascii="仿宋" w:hAnsi="仿宋" w:eastAsia="仿宋" w:cs="Arial"/>
          <w:kern w:val="0"/>
        </w:rPr>
      </w:pPr>
      <w:r>
        <w:rPr>
          <w:rFonts w:hint="eastAsia" w:ascii="仿宋" w:hAnsi="仿宋" w:eastAsia="仿宋" w:cs="Arial"/>
          <w:kern w:val="0"/>
        </w:rPr>
        <w:t>4.6法律、法规、规章、招标文件等规定的其它事项。</w:t>
      </w:r>
    </w:p>
    <w:p>
      <w:pPr>
        <w:pStyle w:val="19"/>
        <w:spacing w:before="0"/>
        <w:ind w:firstLine="0" w:firstLineChars="0"/>
        <w:rPr>
          <w:rFonts w:ascii="仿宋" w:hAnsi="仿宋" w:eastAsia="仿宋" w:cs="Arial"/>
          <w:b/>
          <w:kern w:val="0"/>
          <w:szCs w:val="24"/>
        </w:rPr>
      </w:pPr>
      <w:r>
        <w:rPr>
          <w:rFonts w:hint="eastAsia" w:ascii="仿宋" w:hAnsi="仿宋" w:eastAsia="仿宋" w:cs="Arial"/>
          <w:b/>
          <w:kern w:val="0"/>
          <w:szCs w:val="24"/>
        </w:rPr>
        <w:t>5.</w:t>
      </w:r>
      <w:r>
        <w:rPr>
          <w:rFonts w:ascii="仿宋" w:hAnsi="仿宋" w:eastAsia="仿宋" w:cs="Arial"/>
          <w:b/>
          <w:kern w:val="0"/>
          <w:szCs w:val="24"/>
        </w:rPr>
        <w:t>评标委员会及其成员不得有下列行为：</w:t>
      </w:r>
    </w:p>
    <w:p>
      <w:pPr>
        <w:pStyle w:val="19"/>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lang w:val="en-US" w:eastAsia="zh-CN"/>
        </w:rPr>
        <w:t xml:space="preserve">  </w:t>
      </w:r>
      <w:r>
        <w:rPr>
          <w:rFonts w:hint="eastAsia" w:ascii="仿宋" w:hAnsi="仿宋" w:eastAsia="仿宋" w:cs="Arial"/>
          <w:kern w:val="0"/>
        </w:rPr>
        <w:t>5.1</w:t>
      </w:r>
      <w:r>
        <w:rPr>
          <w:rFonts w:ascii="仿宋" w:hAnsi="仿宋" w:eastAsia="仿宋" w:cs="Arial"/>
          <w:kern w:val="0"/>
        </w:rPr>
        <w:t>确定参与评标至评标结束前私自接触投标人；</w:t>
      </w:r>
    </w:p>
    <w:p>
      <w:pPr>
        <w:pStyle w:val="19"/>
        <w:spacing w:before="0"/>
        <w:ind w:firstLine="481" w:firstLineChars="0"/>
        <w:rPr>
          <w:rFonts w:hint="eastAsia" w:ascii="仿宋_GB2312" w:hAnsi="仿宋" w:eastAsia="仿宋_GB2312" w:cs="Arial"/>
          <w:kern w:val="0"/>
        </w:rPr>
      </w:pPr>
      <w:r>
        <w:rPr>
          <w:rFonts w:hint="eastAsia" w:ascii="仿宋" w:hAnsi="仿宋" w:eastAsia="仿宋" w:cs="Arial"/>
          <w:kern w:val="0"/>
        </w:rPr>
        <w:t>5.2</w:t>
      </w:r>
      <w:r>
        <w:rPr>
          <w:rFonts w:ascii="仿宋" w:hAnsi="仿宋" w:eastAsia="仿宋" w:cs="Arial"/>
          <w:kern w:val="0"/>
        </w:rPr>
        <w:t>接受投标人提出的与投标文件不一致的澄清或者说明，</w:t>
      </w:r>
      <w:r>
        <w:rPr>
          <w:rFonts w:hint="eastAsia" w:ascii="仿宋_GB2312" w:hAnsi="仿宋" w:eastAsia="仿宋_GB2312" w:cs="Arial"/>
          <w:kern w:val="0"/>
        </w:rPr>
        <w:t>《政府采购货物和服务招标投标管理办法》（财政部令第87号）第五十一条规定的情形除外；</w:t>
      </w:r>
    </w:p>
    <w:p>
      <w:pPr>
        <w:pStyle w:val="19"/>
        <w:spacing w:before="0"/>
        <w:rPr>
          <w:rFonts w:ascii="仿宋" w:hAnsi="仿宋" w:eastAsia="仿宋" w:cs="Arial"/>
          <w:kern w:val="0"/>
        </w:rPr>
      </w:pPr>
      <w:r>
        <w:rPr>
          <w:rFonts w:hint="eastAsia" w:ascii="仿宋" w:hAnsi="仿宋" w:eastAsia="仿宋" w:cs="Arial"/>
          <w:kern w:val="0"/>
        </w:rPr>
        <w:t>5.3</w:t>
      </w:r>
      <w:r>
        <w:rPr>
          <w:rFonts w:ascii="仿宋" w:hAnsi="仿宋" w:eastAsia="仿宋" w:cs="Arial"/>
          <w:kern w:val="0"/>
        </w:rPr>
        <w:t>违反评标纪律发表倾向性意见或者征询采购人的倾向性意见；</w:t>
      </w:r>
    </w:p>
    <w:p>
      <w:pPr>
        <w:pStyle w:val="19"/>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lang w:val="en-US" w:eastAsia="zh-CN"/>
        </w:rPr>
        <w:t xml:space="preserve">  </w:t>
      </w:r>
      <w:r>
        <w:rPr>
          <w:rFonts w:hint="eastAsia" w:ascii="仿宋" w:hAnsi="仿宋" w:eastAsia="仿宋" w:cs="Arial"/>
          <w:kern w:val="0"/>
        </w:rPr>
        <w:t>5.4</w:t>
      </w:r>
      <w:r>
        <w:rPr>
          <w:rFonts w:ascii="仿宋" w:hAnsi="仿宋" w:eastAsia="仿宋" w:cs="Arial"/>
          <w:kern w:val="0"/>
        </w:rPr>
        <w:t>对需要专业判断的主观评审因素协商评分；</w:t>
      </w:r>
    </w:p>
    <w:p>
      <w:pPr>
        <w:pStyle w:val="19"/>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lang w:val="en-US" w:eastAsia="zh-CN"/>
        </w:rPr>
        <w:t xml:space="preserve">  </w:t>
      </w:r>
      <w:r>
        <w:rPr>
          <w:rFonts w:hint="eastAsia" w:ascii="仿宋" w:hAnsi="仿宋" w:eastAsia="仿宋" w:cs="Arial"/>
          <w:kern w:val="0"/>
        </w:rPr>
        <w:t>5.5</w:t>
      </w:r>
      <w:r>
        <w:rPr>
          <w:rFonts w:ascii="仿宋" w:hAnsi="仿宋" w:eastAsia="仿宋" w:cs="Arial"/>
          <w:kern w:val="0"/>
        </w:rPr>
        <w:t>在评标过程中擅离职守，影响评标程序正常进行的；</w:t>
      </w:r>
    </w:p>
    <w:p>
      <w:pPr>
        <w:pStyle w:val="19"/>
        <w:spacing w:before="0"/>
        <w:rPr>
          <w:rFonts w:ascii="仿宋" w:hAnsi="仿宋" w:eastAsia="仿宋" w:cs="Arial"/>
          <w:kern w:val="0"/>
        </w:rPr>
      </w:pPr>
      <w:r>
        <w:rPr>
          <w:rFonts w:hint="eastAsia" w:ascii="仿宋" w:hAnsi="仿宋" w:eastAsia="仿宋" w:cs="Arial"/>
          <w:kern w:val="0"/>
        </w:rPr>
        <w:t>5.6</w:t>
      </w:r>
      <w:r>
        <w:rPr>
          <w:rFonts w:ascii="仿宋" w:hAnsi="仿宋" w:eastAsia="仿宋" w:cs="Arial"/>
          <w:kern w:val="0"/>
        </w:rPr>
        <w:t>记录、复制或者带走任何评标资料；</w:t>
      </w:r>
    </w:p>
    <w:p>
      <w:pPr>
        <w:pStyle w:val="19"/>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lang w:val="en-US" w:eastAsia="zh-CN"/>
        </w:rPr>
        <w:t xml:space="preserve">  </w:t>
      </w:r>
      <w:r>
        <w:rPr>
          <w:rFonts w:hint="eastAsia" w:ascii="仿宋" w:hAnsi="仿宋" w:eastAsia="仿宋" w:cs="Arial"/>
          <w:kern w:val="0"/>
        </w:rPr>
        <w:t>5.7</w:t>
      </w:r>
      <w:r>
        <w:rPr>
          <w:rFonts w:ascii="仿宋" w:hAnsi="仿宋" w:eastAsia="仿宋" w:cs="Arial"/>
          <w:kern w:val="0"/>
        </w:rPr>
        <w:t>其他不遵守评标纪律的行为。</w:t>
      </w:r>
    </w:p>
    <w:p>
      <w:pPr>
        <w:pStyle w:val="19"/>
        <w:spacing w:before="0"/>
        <w:ind w:firstLine="0" w:firstLineChars="0"/>
        <w:rPr>
          <w:rFonts w:ascii="仿宋" w:hAnsi="仿宋" w:eastAsia="仿宋" w:cs="Arial"/>
          <w:kern w:val="0"/>
        </w:rPr>
      </w:pPr>
      <w:r>
        <w:rPr>
          <w:rFonts w:ascii="仿宋" w:hAnsi="仿宋" w:eastAsia="仿宋" w:cs="Arial"/>
          <w:kern w:val="0"/>
        </w:rPr>
        <w:t>　　评标委员会成员有</w:t>
      </w:r>
      <w:r>
        <w:rPr>
          <w:rFonts w:hint="eastAsia" w:ascii="仿宋" w:hAnsi="仿宋" w:eastAsia="仿宋" w:cs="Arial"/>
          <w:kern w:val="0"/>
        </w:rPr>
        <w:t>5.1-5.</w:t>
      </w:r>
      <w:r>
        <w:rPr>
          <w:rFonts w:hint="eastAsia" w:ascii="仿宋" w:hAnsi="仿宋" w:eastAsia="仿宋" w:cs="Arial"/>
          <w:kern w:val="0"/>
          <w:lang w:val="en-US" w:eastAsia="zh-CN"/>
        </w:rPr>
        <w:t>7</w:t>
      </w:r>
      <w:r>
        <w:rPr>
          <w:rFonts w:ascii="仿宋" w:hAnsi="仿宋" w:eastAsia="仿宋" w:cs="Arial"/>
          <w:kern w:val="0"/>
        </w:rPr>
        <w:t>行为之一的，其评审意见无效，并不得获取评审劳务报酬和报销异地评审差旅费。</w:t>
      </w:r>
    </w:p>
    <w:p>
      <w:pPr>
        <w:pStyle w:val="19"/>
        <w:spacing w:before="0"/>
        <w:ind w:firstLine="0" w:firstLineChars="0"/>
        <w:rPr>
          <w:rFonts w:hint="eastAsia" w:ascii="仿宋" w:hAnsi="仿宋" w:eastAsia="仿宋" w:cs="Arial"/>
          <w:kern w:val="0"/>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四、评审程序</w:t>
      </w:r>
    </w:p>
    <w:p>
      <w:pPr>
        <w:pStyle w:val="19"/>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6.符合性审查。</w:t>
      </w:r>
      <w:r>
        <w:rPr>
          <w:rFonts w:ascii="仿宋" w:hAnsi="仿宋" w:eastAsia="仿宋" w:cs="Arial"/>
          <w:kern w:val="0"/>
          <w:szCs w:val="24"/>
        </w:rPr>
        <w:t>评标委员会应当对符合资格的投标人的投标文件进行符合性审查，以确定其是否满足招标文件的实质性要求</w:t>
      </w:r>
      <w:r>
        <w:rPr>
          <w:rFonts w:hint="eastAsia" w:ascii="仿宋" w:hAnsi="仿宋" w:eastAsia="仿宋" w:cs="Arial"/>
          <w:kern w:val="0"/>
          <w:szCs w:val="24"/>
        </w:rPr>
        <w:t>。符合投标无效情形的，投标无效</w:t>
      </w:r>
      <w:r>
        <w:rPr>
          <w:rFonts w:ascii="仿宋" w:hAnsi="仿宋" w:eastAsia="仿宋" w:cs="Arial"/>
          <w:kern w:val="0"/>
          <w:szCs w:val="24"/>
        </w:rPr>
        <w:t>。</w:t>
      </w:r>
    </w:p>
    <w:p>
      <w:pPr>
        <w:pStyle w:val="19"/>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对于投标文件中含义不明确、同类问题表述不一致或者有明显文字和计算错误的内容需要投标人作出必要的澄清、说明或者补正的，评</w:t>
      </w:r>
      <w:r>
        <w:rPr>
          <w:rFonts w:hint="eastAsia" w:ascii="仿宋" w:hAnsi="仿宋" w:eastAsia="仿宋" w:cs="Arial"/>
          <w:kern w:val="0"/>
          <w:szCs w:val="24"/>
        </w:rPr>
        <w:t>标</w:t>
      </w:r>
      <w:r>
        <w:rPr>
          <w:rFonts w:ascii="仿宋" w:hAnsi="仿宋" w:eastAsia="仿宋" w:cs="Arial"/>
          <w:kern w:val="0"/>
          <w:szCs w:val="24"/>
        </w:rPr>
        <w:t>委员会和投标人通过电子交易平台交换数据电文，</w:t>
      </w:r>
      <w:r>
        <w:rPr>
          <w:rFonts w:hint="eastAsia" w:ascii="仿宋" w:hAnsi="仿宋" w:eastAsia="仿宋" w:cs="Arial"/>
          <w:kern w:val="0"/>
          <w:szCs w:val="24"/>
        </w:rPr>
        <w:t>投标人提交使用电子签名的</w:t>
      </w:r>
      <w:r>
        <w:rPr>
          <w:rFonts w:ascii="仿宋" w:hAnsi="仿宋" w:eastAsia="仿宋" w:cs="Arial"/>
          <w:kern w:val="0"/>
          <w:szCs w:val="24"/>
        </w:rPr>
        <w:t>相关数据电文</w:t>
      </w:r>
      <w:r>
        <w:rPr>
          <w:rFonts w:hint="eastAsia" w:ascii="仿宋" w:hAnsi="仿宋" w:eastAsia="仿宋" w:cs="Arial"/>
          <w:kern w:val="0"/>
          <w:szCs w:val="24"/>
        </w:rPr>
        <w:t>或通过平台上传加盖公章的扫描件</w:t>
      </w:r>
      <w:r>
        <w:rPr>
          <w:rFonts w:ascii="仿宋" w:hAnsi="仿宋" w:eastAsia="仿宋" w:cs="Arial"/>
          <w:kern w:val="0"/>
          <w:szCs w:val="24"/>
        </w:rPr>
        <w:t>。给予投标人提交澄清、说明或补正的时间不得少于半小时，</w:t>
      </w:r>
      <w:r>
        <w:rPr>
          <w:rFonts w:hint="eastAsia" w:ascii="仿宋" w:hAnsi="仿宋" w:eastAsia="仿宋" w:cs="Arial"/>
          <w:kern w:val="0"/>
          <w:szCs w:val="24"/>
        </w:rPr>
        <w:t>投标人</w:t>
      </w:r>
      <w:r>
        <w:rPr>
          <w:rFonts w:ascii="仿宋" w:hAnsi="仿宋" w:eastAsia="仿宋" w:cs="Arial"/>
          <w:kern w:val="0"/>
          <w:szCs w:val="24"/>
        </w:rPr>
        <w:t>已经明确表示澄清说明或补正完毕的除外。投标人的澄清、说明或者补正不得超出投标文件的范围或者改变投标文件的实质性内容</w:t>
      </w:r>
      <w:r>
        <w:rPr>
          <w:rFonts w:hint="eastAsia" w:ascii="仿宋" w:hAnsi="仿宋" w:eastAsia="仿宋" w:cs="Arial"/>
          <w:kern w:val="0"/>
          <w:szCs w:val="24"/>
        </w:rPr>
        <w:t>。</w:t>
      </w:r>
    </w:p>
    <w:p>
      <w:pPr>
        <w:pStyle w:val="19"/>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比较与评价</w:t>
      </w:r>
      <w:r>
        <w:rPr>
          <w:rFonts w:hint="eastAsia" w:ascii="仿宋" w:hAnsi="仿宋" w:eastAsia="仿宋" w:cs="Arial"/>
          <w:b/>
          <w:kern w:val="0"/>
          <w:szCs w:val="24"/>
        </w:rPr>
        <w:t>。</w:t>
      </w:r>
      <w:r>
        <w:rPr>
          <w:rFonts w:hint="eastAsia" w:ascii="仿宋" w:hAnsi="仿宋" w:eastAsia="仿宋" w:cs="Arial"/>
          <w:kern w:val="0"/>
          <w:szCs w:val="24"/>
        </w:rPr>
        <w:t>评</w:t>
      </w:r>
      <w:r>
        <w:rPr>
          <w:rFonts w:ascii="仿宋" w:hAnsi="仿宋" w:eastAsia="仿宋" w:cs="Arial"/>
          <w:kern w:val="0"/>
          <w:szCs w:val="24"/>
        </w:rPr>
        <w:t>标委员会应当按照评标标准，对符合性审查合格的投标文件进行商务和技术评估，综合比较与评价。</w:t>
      </w:r>
    </w:p>
    <w:p>
      <w:pPr>
        <w:pStyle w:val="19"/>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19"/>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10.报价审核。</w:t>
      </w:r>
      <w:r>
        <w:rPr>
          <w:rFonts w:hint="eastAsia" w:ascii="仿宋" w:hAnsi="仿宋" w:eastAsia="仿宋" w:cs="Arial"/>
          <w:kern w:val="0"/>
          <w:szCs w:val="24"/>
        </w:rPr>
        <w:t>对经商务和技术评审符合采购需求的投标人的报价的合理性、准确性等进行审查核实。</w:t>
      </w:r>
    </w:p>
    <w:p>
      <w:pPr>
        <w:pStyle w:val="19"/>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19"/>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10.2根据财政部发布</w:t>
      </w:r>
      <w:r>
        <w:rPr>
          <w:rFonts w:hint="eastAsia" w:ascii="仿宋" w:hAnsi="仿宋" w:eastAsia="仿宋" w:cs="Arial"/>
          <w:kern w:val="0"/>
          <w:szCs w:val="24"/>
          <w:highlight w:val="none"/>
        </w:rPr>
        <w:t>的《政府采购促进中小企业发展</w:t>
      </w:r>
      <w:r>
        <w:rPr>
          <w:rFonts w:hint="eastAsia" w:ascii="仿宋" w:hAnsi="仿宋" w:eastAsia="仿宋" w:cs="Arial"/>
          <w:kern w:val="0"/>
          <w:szCs w:val="24"/>
          <w:highlight w:val="none"/>
          <w:lang w:eastAsia="zh-CN"/>
        </w:rPr>
        <w:t>管理</w:t>
      </w:r>
      <w:r>
        <w:rPr>
          <w:rFonts w:hint="eastAsia" w:ascii="仿宋" w:hAnsi="仿宋" w:eastAsia="仿宋" w:cs="Arial"/>
          <w:kern w:val="0"/>
          <w:szCs w:val="24"/>
          <w:highlight w:val="none"/>
        </w:rPr>
        <w:t>办法》规</w:t>
      </w:r>
      <w:r>
        <w:rPr>
          <w:rFonts w:hint="eastAsia" w:ascii="仿宋" w:hAnsi="仿宋" w:eastAsia="仿宋" w:cs="Arial"/>
          <w:kern w:val="0"/>
          <w:szCs w:val="24"/>
        </w:rPr>
        <w:t>定，对于非专门面向中小企业的项目，对小型和微型企业产品的价格给予一定的扣除，用扣除后的价格参与评审。</w:t>
      </w:r>
    </w:p>
    <w:p>
      <w:pPr>
        <w:pStyle w:val="19"/>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10.3投标价格的修正原则。投标文件报价出现前后不一致的，按照下列规定修正：</w:t>
      </w:r>
    </w:p>
    <w:p>
      <w:pPr>
        <w:pStyle w:val="19"/>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10.3.1投标文件中开标一览表(报价表)内容与投标文件中相应内容不一致的，以开标一览表(报价表)为准;</w:t>
      </w:r>
    </w:p>
    <w:p>
      <w:pPr>
        <w:pStyle w:val="19"/>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10.3.2大写金额和小写金额不一致的，以大写金额为准;</w:t>
      </w:r>
    </w:p>
    <w:p>
      <w:pPr>
        <w:pStyle w:val="19"/>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10.3.3单价金额小数点或者百分比有明显错位的，以开标一览表的总价为准，并修改单价;</w:t>
      </w:r>
    </w:p>
    <w:p>
      <w:pPr>
        <w:pStyle w:val="19"/>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10.3.4总价金额与按单价汇总金额不一致的，以单价金额计算结果为准。</w:t>
      </w:r>
    </w:p>
    <w:p>
      <w:pPr>
        <w:pStyle w:val="19"/>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int="eastAsia"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投标人对根据修正原则修正后的报价不确认的，投标无效。</w:t>
      </w:r>
    </w:p>
    <w:p>
      <w:pPr>
        <w:spacing w:line="360" w:lineRule="auto"/>
        <w:rPr>
          <w:rFonts w:hint="eastAsia"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rPr>
          <w:rFonts w:hint="eastAsia" w:ascii="仿宋" w:hAnsi="仿宋" w:eastAsia="仿宋" w:cs="Arial"/>
          <w:b/>
          <w:kern w:val="0"/>
          <w:sz w:val="24"/>
        </w:rPr>
      </w:pPr>
      <w:r>
        <w:rPr>
          <w:rFonts w:hint="eastAsia" w:ascii="仿宋" w:hAnsi="仿宋" w:eastAsia="仿宋" w:cs="Arial"/>
          <w:b/>
          <w:kern w:val="0"/>
          <w:sz w:val="24"/>
        </w:rPr>
        <w:t>12.</w:t>
      </w:r>
      <w:r>
        <w:rPr>
          <w:rFonts w:ascii="仿宋" w:hAnsi="仿宋" w:eastAsia="仿宋" w:cs="Arial"/>
          <w:b/>
          <w:kern w:val="0"/>
          <w:sz w:val="24"/>
        </w:rPr>
        <w:t>顺序排列</w:t>
      </w:r>
      <w:r>
        <w:rPr>
          <w:rFonts w:hint="eastAsia" w:ascii="仿宋" w:hAnsi="仿宋" w:eastAsia="仿宋" w:cs="Arial"/>
          <w:b/>
          <w:kern w:val="0"/>
          <w:sz w:val="24"/>
        </w:rPr>
        <w:t>与中标候选推荐。</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12.1</w:t>
      </w:r>
      <w:r>
        <w:rPr>
          <w:rFonts w:ascii="仿宋" w:hAnsi="仿宋" w:eastAsia="仿宋" w:cs="仿宋_GB2312"/>
          <w:sz w:val="24"/>
          <w:szCs w:val="21"/>
        </w:rPr>
        <w:t>评标结果按评审后得分由高到低顺序排列。得分相同的，按投标报价由低到高顺序排列。得分且投标报价相同的并列。得分最高的投标人为排名第一的中标候选人。</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12.2多家投标人</w:t>
      </w:r>
      <w:r>
        <w:rPr>
          <w:rFonts w:ascii="仿宋" w:hAnsi="仿宋" w:eastAsia="仿宋" w:cs="仿宋_GB2312"/>
          <w:sz w:val="24"/>
          <w:szCs w:val="21"/>
        </w:rPr>
        <w:t>提供相同品牌产品</w:t>
      </w:r>
      <w:r>
        <w:rPr>
          <w:rFonts w:hint="eastAsia" w:ascii="仿宋" w:hAnsi="仿宋" w:eastAsia="仿宋" w:cs="仿宋_GB2312"/>
          <w:sz w:val="24"/>
          <w:szCs w:val="21"/>
        </w:rPr>
        <w:t>（</w:t>
      </w:r>
      <w:r>
        <w:rPr>
          <w:rFonts w:ascii="仿宋" w:hAnsi="仿宋" w:eastAsia="仿宋" w:cs="仿宋_GB2312"/>
          <w:sz w:val="24"/>
          <w:szCs w:val="21"/>
        </w:rPr>
        <w:t>单一产品采购项目</w:t>
      </w:r>
      <w:r>
        <w:rPr>
          <w:rFonts w:hint="eastAsia" w:ascii="仿宋" w:hAnsi="仿宋" w:eastAsia="仿宋" w:cs="仿宋_GB2312"/>
          <w:sz w:val="24"/>
          <w:szCs w:val="21"/>
        </w:rPr>
        <w:t>中的该产品或者非</w:t>
      </w:r>
      <w:r>
        <w:rPr>
          <w:rFonts w:ascii="仿宋" w:hAnsi="仿宋" w:eastAsia="仿宋" w:cs="仿宋_GB2312"/>
          <w:sz w:val="24"/>
          <w:szCs w:val="21"/>
        </w:rPr>
        <w:t>单一产品采购项目</w:t>
      </w:r>
      <w:r>
        <w:rPr>
          <w:rFonts w:hint="eastAsia" w:ascii="仿宋" w:hAnsi="仿宋" w:eastAsia="仿宋" w:cs="仿宋_GB2312"/>
          <w:sz w:val="24"/>
          <w:szCs w:val="21"/>
        </w:rPr>
        <w:t>的核心产品）</w:t>
      </w:r>
      <w:r>
        <w:rPr>
          <w:rFonts w:ascii="仿宋" w:hAnsi="仿宋" w:eastAsia="仿宋" w:cs="仿宋_GB2312"/>
          <w:sz w:val="24"/>
          <w:szCs w:val="21"/>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6"/>
        <w:spacing w:line="360" w:lineRule="auto"/>
        <w:ind w:left="559" w:hanging="559" w:hangingChars="199"/>
        <w:rPr>
          <w:rFonts w:hint="eastAsia" w:ascii="仿宋" w:hAnsi="仿宋" w:eastAsia="仿宋" w:cs="仿宋_GB2312"/>
          <w:szCs w:val="21"/>
        </w:rPr>
      </w:pPr>
      <w:r>
        <w:rPr>
          <w:rFonts w:hint="eastAsia" w:ascii="仿宋" w:hAnsi="仿宋" w:eastAsia="仿宋" w:cs="仿宋_GB2312"/>
          <w:b/>
          <w:spacing w:val="20"/>
        </w:rPr>
        <w:t>13.投标无效。</w:t>
      </w:r>
      <w:r>
        <w:rPr>
          <w:rFonts w:hint="eastAsia" w:ascii="仿宋" w:hAnsi="仿宋" w:eastAsia="仿宋" w:cs="仿宋_GB2312"/>
          <w:b/>
          <w:bCs w:val="0"/>
          <w:sz w:val="24"/>
        </w:rPr>
        <w:t>▲</w:t>
      </w:r>
      <w:r>
        <w:rPr>
          <w:rFonts w:hint="eastAsia" w:ascii="仿宋" w:hAnsi="仿宋" w:eastAsia="仿宋" w:cs="仿宋_GB2312"/>
          <w:b/>
          <w:bCs w:val="0"/>
          <w:szCs w:val="21"/>
        </w:rPr>
        <w:t>有下列情况之一的，投标无效：</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 xml:space="preserve">13.2为采购项目提供整体设计、规范编制或者项目管理、监理、检测等服务的供应商再参加该采购项目的其他采购活动的； </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13.3投标人不具备招标文件中规定的资格要求的（投标人未提供有效的资格证明文件的，视为投标人不具备招标文件中规定的资格要求）；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13.4如以联合体形式参加政府采购活动的，联合体协议不符合招标文件规定的联合体协议要求的；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13.5投标文件未按规定的格式编制的；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13.6投标文件未按招标文件的澄清、修改的内容编制，又不符合实质性要求的；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13.7投标文件组成漏项，内容不全或内容字迹模糊辨认不清的；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13.8投标文件中法定代表人授权书所载内容与本项目内容有异的；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13.9投标文件未按照招标文件要求签署、盖章的；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13.10采购人拟采购的产品属于政府强制采购的节能产品品目清单范围的，投标人未按招标文件要求提供国家确定的认证机构出具的、处于有效期之内的节能产品认证证书的；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13.11投标文件含有采购人不能接受的附加条件的；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13.12投标文件中承诺的投标有效期少于招标文件中载明的投标有效期的；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13.13投标人所投内容不符合采购需求中实质性要求的；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13.14投标文件出现不是唯一的、有选择性投标报价的;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13.15投标报价高于本项目采购预算或者最高限价的;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13.16报价明显低于其他通过符合性审查投标人的报价，有可能影响产品质量或者不能诚信履约的，未能按要求提供书面说明或者提交相关证明材料，不能证明其报价合理性的;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13.17《投标（开标）一览表》</w:t>
      </w:r>
      <w:r>
        <w:rPr>
          <w:rFonts w:hint="eastAsia" w:ascii="仿宋" w:hAnsi="仿宋" w:eastAsia="仿宋" w:cs="仿宋_GB2312"/>
          <w:sz w:val="24"/>
          <w:szCs w:val="21"/>
          <w:lang w:eastAsia="zh-CN"/>
        </w:rPr>
        <w:t>重要信息</w:t>
      </w:r>
      <w:r>
        <w:rPr>
          <w:rFonts w:hint="eastAsia" w:ascii="仿宋" w:hAnsi="仿宋" w:eastAsia="仿宋" w:cs="仿宋_GB2312"/>
          <w:sz w:val="24"/>
          <w:szCs w:val="21"/>
        </w:rPr>
        <w:t>填写不完整或字迹不能辨认或有漏项的；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13.18投标人对根据修正原则修正后的报价不确认的；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13.19投标人提供虚假材料投标的（包括但不限于以下情节）；</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13.19.1使用伪造、变造的许可证件；</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w:t>
      </w:r>
      <w:r>
        <w:rPr>
          <w:rFonts w:hint="eastAsia" w:ascii="仿宋" w:hAnsi="仿宋" w:eastAsia="仿宋" w:cs="仿宋_GB2312"/>
          <w:sz w:val="24"/>
          <w:szCs w:val="21"/>
          <w:lang w:val="en-US" w:eastAsia="zh-CN"/>
        </w:rPr>
        <w:t xml:space="preserve"> </w:t>
      </w:r>
      <w:r>
        <w:rPr>
          <w:rFonts w:hint="eastAsia" w:ascii="仿宋" w:hAnsi="仿宋" w:eastAsia="仿宋" w:cs="仿宋_GB2312"/>
          <w:sz w:val="24"/>
          <w:szCs w:val="21"/>
        </w:rPr>
        <w:t>13.19.2提供虚假的财务状况或者业绩；</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w:t>
      </w:r>
      <w:r>
        <w:rPr>
          <w:rFonts w:hint="eastAsia" w:ascii="仿宋" w:hAnsi="仿宋" w:eastAsia="仿宋" w:cs="仿宋_GB2312"/>
          <w:sz w:val="24"/>
          <w:szCs w:val="21"/>
          <w:lang w:val="en-US" w:eastAsia="zh-CN"/>
        </w:rPr>
        <w:t xml:space="preserve"> </w:t>
      </w:r>
      <w:r>
        <w:rPr>
          <w:rFonts w:hint="eastAsia" w:ascii="仿宋" w:hAnsi="仿宋" w:eastAsia="仿宋" w:cs="仿宋_GB2312"/>
          <w:sz w:val="24"/>
          <w:szCs w:val="21"/>
        </w:rPr>
        <w:t>13.19.3提供虚假的项目负责人或者主要技术人员简历、劳动关系证明；</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w:t>
      </w:r>
      <w:r>
        <w:rPr>
          <w:rFonts w:hint="eastAsia" w:ascii="仿宋" w:hAnsi="仿宋" w:eastAsia="仿宋" w:cs="仿宋_GB2312"/>
          <w:sz w:val="24"/>
          <w:szCs w:val="21"/>
          <w:lang w:val="en-US" w:eastAsia="zh-CN"/>
        </w:rPr>
        <w:t xml:space="preserve"> </w:t>
      </w:r>
      <w:r>
        <w:rPr>
          <w:rFonts w:hint="eastAsia" w:ascii="仿宋" w:hAnsi="仿宋" w:eastAsia="仿宋" w:cs="仿宋_GB2312"/>
          <w:sz w:val="24"/>
          <w:szCs w:val="21"/>
        </w:rPr>
        <w:t>13.19.4提供虚假的信用状况；</w:t>
      </w:r>
    </w:p>
    <w:p>
      <w:pPr>
        <w:spacing w:line="360" w:lineRule="auto"/>
        <w:ind w:firstLine="480" w:firstLineChars="200"/>
        <w:rPr>
          <w:rFonts w:hint="eastAsia" w:ascii="仿宋" w:hAnsi="仿宋" w:eastAsia="仿宋" w:cs="仿宋_GB2312"/>
          <w:sz w:val="24"/>
          <w:szCs w:val="21"/>
        </w:rPr>
      </w:pPr>
      <w:r>
        <w:rPr>
          <w:rFonts w:ascii="仿宋" w:hAnsi="仿宋" w:eastAsia="仿宋" w:cs="仿宋_GB2312"/>
          <w:sz w:val="24"/>
          <w:szCs w:val="21"/>
        </w:rPr>
        <w:t>13.</w:t>
      </w:r>
      <w:r>
        <w:rPr>
          <w:rFonts w:hint="eastAsia" w:ascii="仿宋" w:hAnsi="仿宋" w:eastAsia="仿宋" w:cs="仿宋_GB2312"/>
          <w:sz w:val="24"/>
          <w:szCs w:val="21"/>
        </w:rPr>
        <w:t>19</w:t>
      </w:r>
      <w:r>
        <w:rPr>
          <w:rFonts w:ascii="仿宋" w:hAnsi="仿宋" w:eastAsia="仿宋" w:cs="仿宋_GB2312"/>
          <w:sz w:val="24"/>
          <w:szCs w:val="21"/>
        </w:rPr>
        <w:t>.</w:t>
      </w:r>
      <w:r>
        <w:rPr>
          <w:rFonts w:hint="eastAsia" w:ascii="仿宋" w:hAnsi="仿宋" w:eastAsia="仿宋" w:cs="仿宋_GB2312"/>
          <w:sz w:val="24"/>
          <w:szCs w:val="21"/>
        </w:rPr>
        <w:t>5其他弄虚作假的行为。</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w:t>
      </w:r>
      <w:r>
        <w:rPr>
          <w:rFonts w:hint="eastAsia" w:ascii="仿宋" w:hAnsi="仿宋" w:eastAsia="仿宋" w:cs="仿宋_GB2312"/>
          <w:sz w:val="24"/>
          <w:szCs w:val="21"/>
          <w:lang w:val="en-US" w:eastAsia="zh-CN"/>
        </w:rPr>
        <w:t xml:space="preserve"> </w:t>
      </w:r>
      <w:r>
        <w:rPr>
          <w:rFonts w:hint="eastAsia" w:ascii="仿宋" w:hAnsi="仿宋" w:eastAsia="仿宋" w:cs="仿宋_GB2312"/>
          <w:sz w:val="24"/>
          <w:szCs w:val="21"/>
        </w:rPr>
        <w:t xml:space="preserve"> 13.20投标人有恶意串通、妨碍其他投标人的竞争行为、损害采购人或者其他投标人的合法权益情形的；有下列情形之一的，属于或视为恶意串通，其投标无效：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13.20.1供应商直接或者间接从采购人或者采购机构处获得其他供应商的相关情况并修改其投标文件或者响应文件；</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13.20.2供应商按照采购人或者采购机构的授意撤换、修改投标文件或者响应文件；</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13.20.3供应商之间协商报价、技术方案等投标文件或者响应文件的实质性内容；</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13.20.4属于同一集团、协会、商会等组织成员的供应商按照该组织要求协同参加政府采购活动；</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13.20.5供应商之间事先约定由某一特定供应商中标、成交；</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13.20.6供应商之间商定部分供应商放弃参加政府采购活动或者放弃中标、成交；</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13.20.7供应商与采购人或者采购机构之间、供应商相互之间，为谋求特定供应商中标、成交或者排斥其他供应商的其他串通行为。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13.20.8不同投标人的投标文件由同一单位或者个人编制；</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13.20.9不同投标人委托同一单位或者个人办理投标事宜；</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13.20.10不同投标人的投标文件载明的项目管理成员或者联系人员为同一人；</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13.20.11不同投标人的投标文件异常一致或者投标报价呈规律性差异；</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13.20.12不同投标人的投标文件相互混装；</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13.21法律、法规、规章（适用本市的）及省级以上规范性文件（适用本市的）规定的其他无效情形。</w:t>
      </w:r>
    </w:p>
    <w:p>
      <w:pPr>
        <w:spacing w:line="360" w:lineRule="auto"/>
        <w:ind w:firstLine="240" w:firstLineChars="100"/>
        <w:rPr>
          <w:rFonts w:hint="eastAsia" w:ascii="仿宋" w:hAnsi="仿宋" w:eastAsia="仿宋" w:cs="仿宋_GB2312"/>
          <w:sz w:val="24"/>
          <w:szCs w:val="21"/>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五、评标报告。</w:t>
      </w:r>
      <w:r>
        <w:rPr>
          <w:rFonts w:ascii="仿宋" w:hAnsi="仿宋" w:eastAsia="仿宋" w:cs="仿宋_GB2312"/>
          <w:b/>
          <w:sz w:val="32"/>
        </w:rPr>
        <w:t xml:space="preserve"> </w:t>
      </w:r>
    </w:p>
    <w:p>
      <w:pPr>
        <w:pStyle w:val="19"/>
        <w:spacing w:before="0"/>
        <w:ind w:firstLine="0" w:firstLineChars="0"/>
        <w:rPr>
          <w:rFonts w:hint="eastAsia" w:ascii="仿宋" w:hAnsi="仿宋" w:eastAsia="仿宋" w:cs="仿宋_GB2312"/>
          <w:szCs w:val="24"/>
        </w:rPr>
      </w:pPr>
      <w:r>
        <w:rPr>
          <w:rFonts w:hint="eastAsia" w:ascii="仿宋" w:hAnsi="仿宋" w:eastAsia="仿宋" w:cs="仿宋_GB2312"/>
          <w:b/>
          <w:szCs w:val="24"/>
        </w:rPr>
        <w:t>14.</w:t>
      </w:r>
      <w:r>
        <w:rPr>
          <w:rFonts w:ascii="仿宋" w:hAnsi="仿宋" w:eastAsia="仿宋" w:cs="仿宋_GB2312"/>
          <w:b/>
          <w:szCs w:val="24"/>
        </w:rPr>
        <w:t>评标报告</w:t>
      </w:r>
      <w:r>
        <w:rPr>
          <w:rFonts w:hint="eastAsia" w:ascii="仿宋" w:hAnsi="仿宋" w:eastAsia="仿宋" w:cs="仿宋_GB2312"/>
          <w:b/>
          <w:szCs w:val="24"/>
        </w:rPr>
        <w:t>与推荐</w:t>
      </w:r>
      <w:r>
        <w:rPr>
          <w:rFonts w:ascii="仿宋" w:hAnsi="仿宋" w:eastAsia="仿宋" w:cs="仿宋_GB2312"/>
          <w:b/>
          <w:szCs w:val="24"/>
        </w:rPr>
        <w:t>中标候选人</w:t>
      </w:r>
      <w:r>
        <w:rPr>
          <w:rFonts w:hint="eastAsia" w:ascii="仿宋" w:hAnsi="仿宋" w:eastAsia="仿宋" w:cs="仿宋_GB2312"/>
          <w:b/>
          <w:szCs w:val="24"/>
        </w:rPr>
        <w:t>。</w:t>
      </w:r>
      <w:r>
        <w:rPr>
          <w:rFonts w:ascii="仿宋" w:hAnsi="仿宋" w:eastAsia="仿宋" w:cs="仿宋_GB2312"/>
          <w:szCs w:val="24"/>
        </w:rPr>
        <w:t>评标委员会根据原始评标记录和评标结果编写评标报告</w:t>
      </w:r>
      <w:r>
        <w:rPr>
          <w:rFonts w:hint="eastAsia" w:ascii="仿宋" w:hAnsi="仿宋" w:eastAsia="仿宋" w:cs="仿宋_GB2312"/>
          <w:szCs w:val="24"/>
        </w:rPr>
        <w:t>，并通过电子交易平台向采购人、采购机构提交。</w:t>
      </w:r>
    </w:p>
    <w:p>
      <w:pPr>
        <w:widowControl/>
        <w:adjustRightInd/>
        <w:spacing w:before="100" w:beforeAutospacing="1" w:after="100" w:afterAutospacing="1" w:line="360" w:lineRule="auto"/>
        <w:jc w:val="left"/>
        <w:rPr>
          <w:rFonts w:ascii="ˎ̥" w:hAnsi="ˎ̥" w:cs="宋体"/>
          <w:kern w:val="0"/>
          <w:sz w:val="24"/>
        </w:rPr>
      </w:pPr>
      <w:r>
        <w:rPr>
          <w:rFonts w:hint="eastAsia" w:ascii="仿宋" w:hAnsi="仿宋" w:eastAsia="仿宋" w:cs="仿宋_GB2312"/>
          <w:b/>
          <w:sz w:val="24"/>
        </w:rPr>
        <w:t>15.评标争议</w:t>
      </w:r>
      <w:r>
        <w:rPr>
          <w:rFonts w:ascii="仿宋" w:hAnsi="仿宋" w:eastAsia="仿宋" w:cs="仿宋_GB2312"/>
          <w:b/>
          <w:sz w:val="24"/>
        </w:rPr>
        <w:t>事项</w:t>
      </w:r>
      <w:r>
        <w:rPr>
          <w:rFonts w:hint="eastAsia" w:ascii="仿宋" w:hAnsi="仿宋" w:eastAsia="仿宋" w:cs="仿宋_GB2312"/>
          <w:b/>
          <w:sz w:val="24"/>
        </w:rPr>
        <w:t>处理。</w:t>
      </w:r>
      <w:r>
        <w:rPr>
          <w:rFonts w:ascii="仿宋" w:hAnsi="仿宋" w:eastAsia="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center"/>
        <w:rPr>
          <w:rFonts w:hint="eastAsia" w:ascii="仿宋" w:hAnsi="仿宋" w:eastAsia="仿宋" w:cs="仿宋_GB2312"/>
          <w:b/>
          <w:sz w:val="32"/>
        </w:rPr>
      </w:pPr>
      <w:r>
        <w:rPr>
          <w:rFonts w:hint="eastAsia" w:ascii="仿宋" w:hAnsi="仿宋" w:eastAsia="仿宋" w:cs="仿宋_GB2312"/>
          <w:b/>
          <w:sz w:val="32"/>
        </w:rPr>
        <w:t>六、 废标</w:t>
      </w:r>
    </w:p>
    <w:p>
      <w:pPr>
        <w:pStyle w:val="6"/>
        <w:snapToGrid w:val="0"/>
        <w:spacing w:line="360" w:lineRule="auto"/>
        <w:ind w:firstLine="0" w:firstLineChars="0"/>
        <w:rPr>
          <w:rFonts w:hint="eastAsia" w:ascii="仿宋" w:hAnsi="仿宋" w:eastAsia="仿宋" w:cs="仿宋_GB2312"/>
        </w:rPr>
      </w:pPr>
      <w:r>
        <w:rPr>
          <w:rFonts w:hint="eastAsia" w:ascii="仿宋" w:hAnsi="仿宋" w:eastAsia="仿宋" w:cs="仿宋_GB2312"/>
          <w:b/>
        </w:rPr>
        <w:t>16.废标。</w:t>
      </w:r>
      <w:r>
        <w:rPr>
          <w:rFonts w:hint="eastAsia" w:ascii="仿宋" w:hAnsi="仿宋" w:eastAsia="仿宋" w:cs="仿宋_GB2312"/>
        </w:rPr>
        <w:t>根据《中华人民共和国政府采购法》第三十六条之规定，在采购中，出现下列情形之一的，应予废标：</w:t>
      </w:r>
    </w:p>
    <w:p>
      <w:pPr>
        <w:pStyle w:val="6"/>
        <w:snapToGrid w:val="0"/>
        <w:spacing w:line="360" w:lineRule="auto"/>
        <w:rPr>
          <w:rFonts w:hint="eastAsia" w:ascii="仿宋" w:hAnsi="仿宋" w:eastAsia="仿宋" w:cs="仿宋_GB2312"/>
        </w:rPr>
      </w:pPr>
      <w:r>
        <w:rPr>
          <w:rFonts w:hint="eastAsia" w:ascii="仿宋" w:hAnsi="仿宋" w:eastAsia="仿宋" w:cs="仿宋_GB2312"/>
        </w:rPr>
        <w:t>16.1符合专业条件的供应商或者对招标文件作实质响应的供应商不足3家的；</w:t>
      </w:r>
    </w:p>
    <w:p>
      <w:pPr>
        <w:pStyle w:val="6"/>
        <w:snapToGrid w:val="0"/>
        <w:spacing w:line="360" w:lineRule="auto"/>
        <w:rPr>
          <w:rFonts w:hint="eastAsia" w:ascii="仿宋" w:hAnsi="仿宋" w:eastAsia="仿宋" w:cs="仿宋_GB2312"/>
        </w:rPr>
      </w:pPr>
      <w:r>
        <w:rPr>
          <w:rFonts w:hint="eastAsia" w:ascii="仿宋" w:hAnsi="仿宋" w:eastAsia="仿宋" w:cs="仿宋_GB2312"/>
        </w:rPr>
        <w:t>16.2出现影响采购公正的违法、违规行为的；</w:t>
      </w:r>
    </w:p>
    <w:p>
      <w:pPr>
        <w:pStyle w:val="6"/>
        <w:snapToGrid w:val="0"/>
        <w:spacing w:line="360" w:lineRule="auto"/>
        <w:rPr>
          <w:rFonts w:hint="eastAsia" w:ascii="仿宋" w:hAnsi="仿宋" w:eastAsia="仿宋" w:cs="仿宋_GB2312"/>
        </w:rPr>
      </w:pPr>
      <w:r>
        <w:rPr>
          <w:rFonts w:hint="eastAsia" w:ascii="仿宋" w:hAnsi="仿宋" w:eastAsia="仿宋" w:cs="仿宋_GB2312"/>
        </w:rPr>
        <w:t>16.3投标人的报价均超过了采购预算，采购人不能支付的；</w:t>
      </w:r>
    </w:p>
    <w:p>
      <w:pPr>
        <w:pStyle w:val="6"/>
        <w:snapToGrid w:val="0"/>
        <w:spacing w:line="360" w:lineRule="auto"/>
        <w:rPr>
          <w:rFonts w:hint="eastAsia" w:ascii="仿宋" w:hAnsi="仿宋" w:eastAsia="仿宋" w:cs="仿宋_GB2312"/>
        </w:rPr>
      </w:pPr>
      <w:r>
        <w:rPr>
          <w:rFonts w:hint="eastAsia" w:ascii="仿宋" w:hAnsi="仿宋" w:eastAsia="仿宋" w:cs="仿宋_GB2312"/>
        </w:rPr>
        <w:t>16.4因重大变故，采购任务取消的。</w:t>
      </w:r>
    </w:p>
    <w:p>
      <w:pPr>
        <w:pStyle w:val="6"/>
        <w:snapToGrid w:val="0"/>
        <w:spacing w:line="360" w:lineRule="auto"/>
        <w:rPr>
          <w:rFonts w:hint="eastAsia" w:ascii="仿宋" w:hAnsi="仿宋" w:eastAsia="仿宋" w:cs="仿宋_GB2312"/>
        </w:rPr>
      </w:pPr>
      <w:r>
        <w:rPr>
          <w:rFonts w:hint="eastAsia" w:ascii="仿宋" w:hAnsi="仿宋" w:eastAsia="仿宋" w:cs="仿宋_GB2312"/>
        </w:rPr>
        <w:t>废标后，采购机构应当将废标理由通知所有投标人。</w:t>
      </w:r>
    </w:p>
    <w:p>
      <w:pPr>
        <w:pStyle w:val="6"/>
        <w:snapToGrid w:val="0"/>
        <w:spacing w:line="360" w:lineRule="auto"/>
        <w:rPr>
          <w:rFonts w:hint="eastAsia" w:ascii="仿宋" w:hAnsi="仿宋" w:eastAsia="仿宋" w:cs="仿宋_GB2312"/>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七、 重新组织采购</w:t>
      </w:r>
    </w:p>
    <w:p>
      <w:pPr>
        <w:pStyle w:val="6"/>
        <w:snapToGrid w:val="0"/>
        <w:spacing w:line="360" w:lineRule="auto"/>
        <w:ind w:left="0" w:leftChars="0" w:firstLine="0" w:firstLineChars="0"/>
        <w:rPr>
          <w:rFonts w:hint="eastAsia" w:ascii="仿宋" w:hAnsi="仿宋" w:eastAsia="仿宋" w:cs="仿宋_GB2312"/>
        </w:rPr>
      </w:pPr>
      <w:r>
        <w:rPr>
          <w:rFonts w:hint="eastAsia" w:ascii="仿宋" w:hAnsi="仿宋" w:eastAsia="仿宋" w:cs="仿宋_GB2312"/>
          <w:b/>
        </w:rPr>
        <w:t>17.修改招标文件，重新组织采购活动。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6"/>
        <w:snapToGrid w:val="0"/>
        <w:spacing w:line="360" w:lineRule="auto"/>
        <w:ind w:left="0" w:leftChars="0" w:firstLine="0" w:firstLineChars="0"/>
        <w:rPr>
          <w:rFonts w:hint="eastAsia" w:ascii="仿宋" w:hAnsi="仿宋" w:eastAsia="仿宋" w:cs="仿宋_GB2312"/>
        </w:rPr>
      </w:pPr>
      <w:r>
        <w:rPr>
          <w:rFonts w:hint="eastAsia" w:ascii="仿宋_GB2312" w:hAnsi="Helvetica" w:eastAsia="仿宋_GB2312" w:cs="Helvetica"/>
          <w:b/>
          <w:kern w:val="0"/>
        </w:rPr>
        <w:t>18.重新开展采购。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6"/>
        <w:snapToGrid w:val="0"/>
        <w:spacing w:line="360" w:lineRule="auto"/>
        <w:rPr>
          <w:rFonts w:hint="eastAsia" w:ascii="仿宋" w:hAnsi="仿宋" w:eastAsia="仿宋" w:cs="仿宋_GB2312"/>
        </w:rPr>
      </w:pPr>
      <w:r>
        <w:rPr>
          <w:rFonts w:hint="eastAsia" w:ascii="仿宋" w:hAnsi="仿宋" w:eastAsia="仿宋" w:cs="仿宋_GB2312"/>
        </w:rPr>
        <w:t>18.1未确定中标或者成交供应商的，终止本次政府采购活动，重新开展政府采购活动。</w:t>
      </w:r>
    </w:p>
    <w:p>
      <w:pPr>
        <w:pStyle w:val="6"/>
        <w:snapToGrid w:val="0"/>
        <w:spacing w:line="360" w:lineRule="auto"/>
        <w:rPr>
          <w:rFonts w:hint="eastAsia" w:ascii="仿宋" w:hAnsi="仿宋" w:eastAsia="仿宋" w:cs="仿宋_GB2312"/>
        </w:rPr>
      </w:pPr>
      <w:r>
        <w:rPr>
          <w:rFonts w:hint="eastAsia" w:ascii="仿宋" w:hAnsi="仿宋" w:eastAsia="仿宋" w:cs="仿宋_GB2312"/>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6"/>
        <w:snapToGrid w:val="0"/>
        <w:spacing w:line="360" w:lineRule="auto"/>
        <w:rPr>
          <w:rFonts w:hint="eastAsia" w:ascii="仿宋" w:hAnsi="仿宋" w:eastAsia="仿宋" w:cs="仿宋_GB2312"/>
        </w:rPr>
      </w:pPr>
      <w:r>
        <w:rPr>
          <w:rFonts w:hint="eastAsia" w:ascii="仿宋" w:hAnsi="仿宋" w:eastAsia="仿宋" w:cs="仿宋_GB2312"/>
        </w:rPr>
        <w:t>18.3政府采购合同已签订但尚未履行的，撤销合同，从合格的中标或者成交候选人中另行确定中标或者成交供应商；没有合格的中标或者成交候选人的，重新开展政府采购活动。</w:t>
      </w:r>
    </w:p>
    <w:p>
      <w:pPr>
        <w:pStyle w:val="6"/>
        <w:snapToGrid w:val="0"/>
        <w:spacing w:line="360" w:lineRule="auto"/>
        <w:rPr>
          <w:rFonts w:hint="eastAsia" w:ascii="仿宋" w:hAnsi="仿宋" w:eastAsia="仿宋" w:cs="仿宋_GB2312"/>
        </w:rPr>
      </w:pPr>
      <w:r>
        <w:rPr>
          <w:rFonts w:hint="eastAsia" w:ascii="仿宋" w:hAnsi="仿宋" w:eastAsia="仿宋" w:cs="仿宋_GB2312"/>
        </w:rPr>
        <w:t>18.4政府采购合同已经履行，给采购人、供应商造成损失的，由责任人承担赔偿责任。</w:t>
      </w:r>
    </w:p>
    <w:p>
      <w:pPr>
        <w:pStyle w:val="6"/>
        <w:snapToGrid w:val="0"/>
        <w:spacing w:line="360" w:lineRule="auto"/>
        <w:rPr>
          <w:rFonts w:hint="eastAsia" w:ascii="仿宋" w:hAnsi="仿宋" w:eastAsia="仿宋" w:cs="仿宋_GB2312"/>
        </w:rPr>
      </w:pPr>
      <w:r>
        <w:rPr>
          <w:rFonts w:hint="eastAsia" w:ascii="仿宋" w:hAnsi="仿宋" w:eastAsia="仿宋" w:cs="仿宋_GB2312"/>
        </w:rPr>
        <w:t>18.5政府采购当事人有其他违反政府采购法或者本条例规定的行为，经改正后仍然影响或者可能影响中标、成交结果或者依法被认定为中标、成交无效的，依照18.1-18.4规定处理。</w:t>
      </w:r>
    </w:p>
    <w:p>
      <w:pPr>
        <w:pStyle w:val="6"/>
        <w:snapToGrid w:val="0"/>
        <w:spacing w:line="360" w:lineRule="auto"/>
        <w:rPr>
          <w:rFonts w:hint="eastAsia" w:ascii="仿宋" w:hAnsi="仿宋" w:eastAsia="仿宋" w:cs="仿宋_GB2312"/>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八、评审过程的保密与录像</w:t>
      </w:r>
    </w:p>
    <w:p>
      <w:pPr>
        <w:widowControl/>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19.保密。</w:t>
      </w:r>
      <w:r>
        <w:rPr>
          <w:rFonts w:ascii="仿宋" w:hAnsi="仿宋" w:eastAsia="仿宋" w:cs="仿宋_GB2312"/>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hint="eastAsia" w:ascii="仿宋" w:hAnsi="仿宋" w:eastAsia="仿宋" w:cs="仿宋_GB2312"/>
          <w:sz w:val="24"/>
          <w:lang w:eastAsia="zh-CN"/>
        </w:rPr>
      </w:pPr>
      <w:r>
        <w:rPr>
          <w:rFonts w:hint="eastAsia" w:ascii="仿宋" w:hAnsi="仿宋" w:eastAsia="仿宋" w:cs="仿宋_GB2312"/>
          <w:b/>
          <w:sz w:val="24"/>
        </w:rPr>
        <w:t>20.录音录像。</w:t>
      </w:r>
      <w:r>
        <w:rPr>
          <w:rFonts w:hint="eastAsia" w:ascii="仿宋" w:hAnsi="仿宋" w:eastAsia="仿宋" w:cs="仿宋_GB2312"/>
          <w:sz w:val="24"/>
        </w:rPr>
        <w:t>采购机构对评审工作现场进行全过程录音录像</w:t>
      </w:r>
      <w:r>
        <w:rPr>
          <w:rFonts w:hint="eastAsia" w:ascii="仿宋" w:hAnsi="仿宋" w:eastAsia="仿宋" w:cs="仿宋_GB2312"/>
          <w:sz w:val="24"/>
          <w:lang w:eastAsia="zh-CN"/>
        </w:rPr>
        <w:t>。</w:t>
      </w:r>
    </w:p>
    <w:p>
      <w:pPr>
        <w:snapToGrid w:val="0"/>
        <w:spacing w:line="360" w:lineRule="auto"/>
        <w:ind w:left="120" w:leftChars="57" w:firstLine="482" w:firstLineChars="150"/>
        <w:jc w:val="center"/>
        <w:rPr>
          <w:rFonts w:hint="eastAsia" w:ascii="仿宋" w:hAnsi="仿宋" w:eastAsia="仿宋" w:cs="仿宋_GB2312"/>
          <w:b/>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九、具体评标标准</w:t>
      </w:r>
    </w:p>
    <w:p>
      <w:pPr>
        <w:autoSpaceDE w:val="0"/>
        <w:autoSpaceDN w:val="0"/>
        <w:spacing w:line="360" w:lineRule="auto"/>
        <w:ind w:firstLine="482" w:firstLineChars="200"/>
        <w:rPr>
          <w:rFonts w:ascii="仿宋" w:hAnsi="仿宋" w:eastAsia="仿宋" w:cs="仿宋_GB2312"/>
          <w:sz w:val="24"/>
        </w:rPr>
      </w:pPr>
      <w:r>
        <w:rPr>
          <w:rFonts w:hint="eastAsia" w:ascii="仿宋_GB2312" w:hAnsi="宋体" w:eastAsia="仿宋_GB2312"/>
          <w:b/>
          <w:sz w:val="24"/>
        </w:rPr>
        <w:t>一、本项目采用综合评分法</w:t>
      </w:r>
      <w:r>
        <w:rPr>
          <w:rFonts w:hint="eastAsia" w:ascii="仿宋_GB2312" w:hAnsi="宋体" w:eastAsia="仿宋_GB2312"/>
          <w:sz w:val="24"/>
        </w:rPr>
        <w:t>，评</w:t>
      </w:r>
      <w:r>
        <w:rPr>
          <w:rFonts w:hint="eastAsia" w:ascii="仿宋" w:hAnsi="仿宋" w:eastAsia="仿宋" w:cs="仿宋_GB2312"/>
          <w:sz w:val="24"/>
        </w:rPr>
        <w:t xml:space="preserve">标委员会将对各投标人的投标报价、技术和服务方案、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按技术指标优劣顺序排列，并形成评标意见。 </w:t>
      </w:r>
    </w:p>
    <w:p>
      <w:pPr>
        <w:spacing w:line="360" w:lineRule="auto"/>
        <w:ind w:left="105" w:leftChars="50" w:firstLine="427" w:firstLineChars="178"/>
        <w:rPr>
          <w:rFonts w:ascii="仿宋_GB2312" w:hAnsi="仿宋_GB2312" w:eastAsia="仿宋_GB2312" w:cs="仿宋_GB2312"/>
          <w:b/>
          <w:sz w:val="24"/>
          <w:highlight w:val="none"/>
        </w:rPr>
      </w:pPr>
      <w:r>
        <w:rPr>
          <w:rFonts w:hint="eastAsia" w:ascii="仿宋_GB2312" w:hAnsi="仿宋_GB2312" w:eastAsia="仿宋_GB2312" w:cs="仿宋_GB2312"/>
          <w:sz w:val="24"/>
        </w:rPr>
        <w:t>各投标人的综合得分为：投</w:t>
      </w:r>
      <w:r>
        <w:rPr>
          <w:rFonts w:hint="eastAsia" w:ascii="仿宋_GB2312" w:hAnsi="仿宋_GB2312" w:eastAsia="仿宋_GB2312" w:cs="仿宋_GB2312"/>
          <w:sz w:val="24"/>
          <w:highlight w:val="none"/>
        </w:rPr>
        <w:t>标价格得分+</w:t>
      </w:r>
      <w:r>
        <w:rPr>
          <w:rFonts w:hint="eastAsia" w:ascii="仿宋_GB2312" w:hAnsi="仿宋_GB2312" w:eastAsia="仿宋_GB2312" w:cs="仿宋_GB2312"/>
          <w:bCs/>
          <w:sz w:val="24"/>
          <w:highlight w:val="none"/>
        </w:rPr>
        <w:t>技术和服务方案</w:t>
      </w:r>
      <w:r>
        <w:rPr>
          <w:rFonts w:hint="eastAsia" w:ascii="仿宋_GB2312" w:hAnsi="仿宋_GB2312" w:eastAsia="仿宋_GB2312" w:cs="仿宋_GB2312"/>
          <w:sz w:val="24"/>
          <w:highlight w:val="none"/>
        </w:rPr>
        <w:t>得分的得分之和，</w:t>
      </w:r>
      <w:r>
        <w:rPr>
          <w:rFonts w:hint="eastAsia" w:ascii="仿宋_GB2312" w:hAnsi="仿宋_GB2312" w:eastAsia="仿宋_GB2312" w:cs="仿宋_GB2312"/>
          <w:b/>
          <w:sz w:val="24"/>
          <w:highlight w:val="none"/>
        </w:rPr>
        <w:t>总和为100分</w:t>
      </w:r>
      <w:r>
        <w:rPr>
          <w:rFonts w:hint="eastAsia" w:ascii="仿宋_GB2312" w:hAnsi="仿宋_GB2312" w:eastAsia="仿宋_GB2312" w:cs="仿宋_GB2312"/>
          <w:sz w:val="24"/>
          <w:highlight w:val="none"/>
        </w:rPr>
        <w:t>，其中：</w:t>
      </w:r>
      <w:r>
        <w:rPr>
          <w:rFonts w:hint="eastAsia" w:ascii="仿宋_GB2312" w:hAnsi="仿宋_GB2312" w:eastAsia="仿宋_GB2312" w:cs="仿宋_GB2312"/>
          <w:b/>
          <w:sz w:val="24"/>
          <w:szCs w:val="22"/>
          <w:highlight w:val="none"/>
        </w:rPr>
        <w:t>投标价格得分</w:t>
      </w:r>
      <w:r>
        <w:rPr>
          <w:rFonts w:hint="eastAsia" w:ascii="仿宋_GB2312" w:hAnsi="仿宋_GB2312" w:eastAsia="仿宋_GB2312" w:cs="仿宋_GB2312"/>
          <w:b/>
          <w:sz w:val="24"/>
          <w:szCs w:val="22"/>
          <w:highlight w:val="none"/>
          <w:lang w:val="en-US" w:eastAsia="zh-CN"/>
        </w:rPr>
        <w:t>30</w:t>
      </w:r>
      <w:r>
        <w:rPr>
          <w:rFonts w:hint="eastAsia" w:ascii="仿宋_GB2312" w:hAnsi="仿宋_GB2312" w:eastAsia="仿宋_GB2312" w:cs="仿宋_GB2312"/>
          <w:b/>
          <w:sz w:val="24"/>
          <w:szCs w:val="22"/>
          <w:highlight w:val="none"/>
        </w:rPr>
        <w:t>分，</w:t>
      </w:r>
      <w:r>
        <w:rPr>
          <w:rFonts w:hint="eastAsia" w:ascii="仿宋_GB2312" w:hAnsi="宋体" w:eastAsia="仿宋_GB2312"/>
          <w:b/>
          <w:sz w:val="24"/>
          <w:highlight w:val="none"/>
        </w:rPr>
        <w:t>投标人的</w:t>
      </w:r>
      <w:r>
        <w:rPr>
          <w:rFonts w:hint="eastAsia" w:ascii="仿宋_GB2312" w:hAnsi="仿宋_GB2312" w:eastAsia="仿宋_GB2312" w:cs="仿宋_GB2312"/>
          <w:b/>
          <w:sz w:val="24"/>
          <w:szCs w:val="22"/>
          <w:highlight w:val="none"/>
        </w:rPr>
        <w:t>技术和服务方案</w:t>
      </w:r>
      <w:r>
        <w:rPr>
          <w:rFonts w:hint="eastAsia" w:ascii="仿宋_GB2312" w:hAnsi="仿宋_GB2312" w:eastAsia="仿宋_GB2312" w:cs="仿宋_GB2312"/>
          <w:b/>
          <w:sz w:val="24"/>
          <w:szCs w:val="22"/>
          <w:highlight w:val="none"/>
          <w:lang w:eastAsia="zh-CN"/>
        </w:rPr>
        <w:t>、</w:t>
      </w:r>
      <w:r>
        <w:rPr>
          <w:rFonts w:hint="eastAsia" w:ascii="仿宋_GB2312" w:hAnsi="宋体" w:eastAsia="仿宋_GB2312"/>
          <w:b/>
          <w:sz w:val="24"/>
          <w:highlight w:val="none"/>
        </w:rPr>
        <w:t>资质和业绩情况</w:t>
      </w:r>
      <w:r>
        <w:rPr>
          <w:rFonts w:hint="eastAsia" w:ascii="仿宋_GB2312" w:hAnsi="仿宋_GB2312" w:eastAsia="仿宋_GB2312" w:cs="仿宋_GB2312"/>
          <w:b/>
          <w:sz w:val="24"/>
          <w:szCs w:val="22"/>
          <w:highlight w:val="none"/>
        </w:rPr>
        <w:t>得分</w:t>
      </w:r>
      <w:r>
        <w:rPr>
          <w:rFonts w:hint="eastAsia" w:ascii="仿宋_GB2312" w:hAnsi="仿宋_GB2312" w:eastAsia="仿宋_GB2312" w:cs="仿宋_GB2312"/>
          <w:b/>
          <w:sz w:val="24"/>
          <w:szCs w:val="22"/>
          <w:highlight w:val="none"/>
          <w:lang w:val="en-US" w:eastAsia="zh-CN"/>
        </w:rPr>
        <w:t>70</w:t>
      </w:r>
      <w:r>
        <w:rPr>
          <w:rFonts w:hint="eastAsia" w:ascii="仿宋_GB2312" w:hAnsi="仿宋_GB2312" w:eastAsia="仿宋_GB2312" w:cs="仿宋_GB2312"/>
          <w:b/>
          <w:sz w:val="24"/>
          <w:szCs w:val="22"/>
          <w:highlight w:val="none"/>
        </w:rPr>
        <w:t>分。</w:t>
      </w:r>
      <w:r>
        <w:rPr>
          <w:rFonts w:hint="eastAsia" w:ascii="仿宋_GB2312" w:hAnsi="仿宋_GB2312" w:eastAsia="仿宋_GB2312" w:cs="仿宋_GB2312"/>
          <w:b/>
          <w:sz w:val="24"/>
          <w:highlight w:val="none"/>
        </w:rPr>
        <w:t>各投标人总分为：综合得分</w:t>
      </w:r>
      <w:r>
        <w:rPr>
          <w:rFonts w:hint="eastAsia" w:ascii="仿宋_GB2312" w:hAnsi="仿宋_GB2312" w:eastAsia="仿宋_GB2312" w:cs="仿宋_GB2312"/>
          <w:sz w:val="24"/>
          <w:highlight w:val="none"/>
        </w:rPr>
        <w:t>-</w:t>
      </w:r>
      <w:r>
        <w:rPr>
          <w:rFonts w:hint="eastAsia" w:ascii="仿宋_GB2312" w:hAnsi="仿宋_GB2312" w:eastAsia="仿宋_GB2312" w:cs="仿宋_GB2312"/>
          <w:b/>
          <w:sz w:val="24"/>
          <w:highlight w:val="none"/>
        </w:rPr>
        <w:t>投标人的信誉情况扣分。</w:t>
      </w:r>
    </w:p>
    <w:p>
      <w:pPr>
        <w:tabs>
          <w:tab w:val="left" w:pos="0"/>
        </w:tabs>
        <w:spacing w:line="360" w:lineRule="auto"/>
        <w:ind w:firstLine="542" w:firstLineChars="225"/>
        <w:rPr>
          <w:rFonts w:ascii="仿宋_GB2312" w:hAnsi="仿宋_GB2312" w:eastAsia="仿宋_GB2312" w:cs="仿宋_GB2312"/>
          <w:sz w:val="24"/>
        </w:rPr>
      </w:pPr>
      <w:r>
        <w:rPr>
          <w:rFonts w:hint="eastAsia" w:ascii="仿宋_GB2312" w:hAnsi="仿宋_GB2312" w:eastAsia="仿宋_GB2312" w:cs="仿宋_GB2312"/>
          <w:b/>
          <w:sz w:val="24"/>
        </w:rPr>
        <w:t>各投标人的技术和服务方案、投标人的业绩情况得分为：评标委员会各成员评分的算术平均值。各投标人的投标价格得分按投标价格评分</w:t>
      </w:r>
      <w:r>
        <w:rPr>
          <w:rFonts w:hint="eastAsia" w:ascii="仿宋_GB2312" w:hAnsi="仿宋_GB2312" w:eastAsia="仿宋_GB2312" w:cs="仿宋_GB2312"/>
          <w:b/>
          <w:kern w:val="0"/>
          <w:sz w:val="24"/>
        </w:rPr>
        <w:t>公式由采购机构计算，</w:t>
      </w:r>
      <w:r>
        <w:rPr>
          <w:rFonts w:hint="eastAsia" w:ascii="仿宋_GB2312" w:hAnsi="仿宋_GB2312" w:eastAsia="仿宋_GB2312" w:cs="仿宋_GB2312"/>
          <w:b/>
          <w:sz w:val="24"/>
        </w:rPr>
        <w:t>评标委员会审核。</w:t>
      </w:r>
      <w:r>
        <w:rPr>
          <w:rFonts w:hint="eastAsia" w:ascii="仿宋_GB2312" w:hAnsi="仿宋_GB2312" w:eastAsia="仿宋_GB2312" w:cs="仿宋_GB2312"/>
          <w:sz w:val="24"/>
        </w:rPr>
        <w:t>根据上述评标原则，分值安排如下：</w:t>
      </w:r>
    </w:p>
    <w:p>
      <w:pPr>
        <w:tabs>
          <w:tab w:val="left" w:pos="6425"/>
        </w:tabs>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投标价格【</w:t>
      </w: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rPr>
        <w:t>0分】：</w:t>
      </w:r>
      <w:r>
        <w:rPr>
          <w:rFonts w:hint="eastAsia" w:ascii="仿宋_GB2312" w:hAnsi="仿宋_GB2312" w:eastAsia="仿宋_GB2312" w:cs="仿宋_GB2312"/>
          <w:b/>
          <w:sz w:val="24"/>
        </w:rPr>
        <w:tab/>
      </w:r>
    </w:p>
    <w:p>
      <w:pPr>
        <w:autoSpaceDE w:val="0"/>
        <w:autoSpaceDN w:val="0"/>
        <w:spacing w:line="360" w:lineRule="auto"/>
        <w:ind w:firstLine="482"/>
        <w:rPr>
          <w:rFonts w:ascii="仿宋_GB2312" w:hAnsi="仿宋_GB2312" w:eastAsia="仿宋_GB2312" w:cs="仿宋_GB2312"/>
          <w:sz w:val="24"/>
          <w:lang w:val="zh-CN"/>
        </w:rPr>
      </w:pPr>
      <w:r>
        <w:rPr>
          <w:rFonts w:hint="eastAsia" w:ascii="仿宋_GB2312" w:hAnsi="仿宋_GB2312" w:eastAsia="仿宋_GB2312" w:cs="仿宋_GB2312"/>
          <w:sz w:val="18"/>
          <w:szCs w:val="18"/>
        </w:rPr>
        <w:t xml:space="preserve">● </w:t>
      </w:r>
      <w:r>
        <w:rPr>
          <w:rFonts w:hint="eastAsia" w:ascii="仿宋_GB2312" w:hAnsi="仿宋_GB2312" w:eastAsia="仿宋_GB2312" w:cs="仿宋_GB2312"/>
          <w:b/>
          <w:sz w:val="24"/>
        </w:rPr>
        <w:t>投标价格的合理性</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分析总报价及各个分项报价是否合理，报价范围是否完整，有否重大错漏项</w:t>
      </w:r>
      <w:r>
        <w:rPr>
          <w:rFonts w:hint="eastAsia" w:ascii="仿宋_GB2312" w:hAnsi="仿宋_GB2312" w:eastAsia="仿宋_GB2312" w:cs="仿宋_GB2312"/>
          <w:sz w:val="24"/>
        </w:rPr>
        <w:t>，评标委员会认为投标报价出现异常时，有权要求投标人在评标期间对投标报价的详细组成和投标设备的供应渠道等事项作出解释和澄清，并确认其投标报价是否有效</w:t>
      </w:r>
      <w:r>
        <w:rPr>
          <w:rFonts w:hint="eastAsia" w:ascii="仿宋_GB2312" w:hAnsi="仿宋_GB2312" w:eastAsia="仿宋_GB2312" w:cs="仿宋_GB2312"/>
          <w:sz w:val="24"/>
          <w:lang w:val="zh-CN"/>
        </w:rPr>
        <w:t>。</w:t>
      </w:r>
    </w:p>
    <w:p>
      <w:pPr>
        <w:snapToGrid w:val="0"/>
        <w:spacing w:line="360" w:lineRule="auto"/>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报价分计算方法：根据各投标人的有效投标报价，以满足招标文件要求且有效投标价格的最低的投标报价为评标基准价，其价格分为</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0分</w:t>
      </w:r>
      <w:r>
        <w:rPr>
          <w:rFonts w:hint="eastAsia" w:ascii="仿宋_GB2312" w:hAnsi="仿宋_GB2312" w:eastAsia="仿宋_GB2312" w:cs="仿宋_GB2312"/>
          <w:sz w:val="24"/>
          <w:lang w:val="zh-CN"/>
        </w:rPr>
        <w:t>。其他投标人的价格分统一按照下列公式计算：投标报价得分＝(评标基准价/有效投标报价)</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价格权值</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100(精确到小数点后二位，由采购机构当场统一计算)。</w:t>
      </w:r>
    </w:p>
    <w:p>
      <w:pPr>
        <w:spacing w:line="360" w:lineRule="exact"/>
        <w:ind w:left="-315" w:leftChars="-150" w:firstLine="472" w:firstLineChars="196"/>
        <w:rPr>
          <w:rFonts w:ascii="仿宋" w:hAnsi="仿宋" w:eastAsia="仿宋" w:cs="仿宋"/>
          <w:b/>
          <w:bCs/>
          <w:sz w:val="36"/>
          <w:szCs w:val="36"/>
        </w:rPr>
      </w:pPr>
      <w:r>
        <w:rPr>
          <w:rFonts w:hint="eastAsia" w:ascii="仿宋" w:hAnsi="仿宋" w:eastAsia="仿宋" w:cs="仿宋"/>
          <w:b/>
          <w:bCs/>
          <w:sz w:val="24"/>
        </w:rPr>
        <w:t>资信技术文件具体评分标准</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70</w:t>
      </w:r>
      <w:r>
        <w:rPr>
          <w:rFonts w:hint="eastAsia" w:ascii="仿宋_GB2312" w:hAnsi="仿宋_GB2312" w:eastAsia="仿宋_GB2312" w:cs="仿宋_GB2312"/>
          <w:b/>
          <w:sz w:val="24"/>
        </w:rPr>
        <w:t>分】</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7123"/>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评分因素</w:t>
            </w:r>
          </w:p>
        </w:tc>
        <w:tc>
          <w:tcPr>
            <w:tcW w:w="38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技术指标响应度</w:t>
            </w:r>
            <w:r>
              <w:rPr>
                <w:rFonts w:hint="eastAsia" w:ascii="仿宋" w:hAnsi="仿宋" w:eastAsia="仿宋" w:cs="仿宋"/>
                <w:sz w:val="24"/>
                <w:szCs w:val="24"/>
                <w:highlight w:val="none"/>
              </w:rPr>
              <w:t>20</w:t>
            </w:r>
            <w:r>
              <w:rPr>
                <w:rFonts w:hint="eastAsia" w:ascii="仿宋" w:hAnsi="仿宋" w:eastAsia="仿宋" w:cs="仿宋"/>
                <w:sz w:val="24"/>
                <w:szCs w:val="24"/>
                <w:highlight w:val="none"/>
                <w:lang w:val="zh-CN"/>
              </w:rPr>
              <w:t>分</w:t>
            </w:r>
          </w:p>
        </w:tc>
        <w:tc>
          <w:tcPr>
            <w:tcW w:w="3835" w:type="pct"/>
            <w:tcBorders>
              <w:top w:val="single" w:color="auto" w:sz="4" w:space="0"/>
              <w:left w:val="single" w:color="auto" w:sz="4" w:space="0"/>
              <w:right w:val="single" w:color="auto" w:sz="4" w:space="0"/>
            </w:tcBorders>
          </w:tcPr>
          <w:p>
            <w:pPr>
              <w:adjustRightInd w:val="0"/>
              <w:snapToGrid w:val="0"/>
              <w:spacing w:line="360" w:lineRule="exact"/>
              <w:rPr>
                <w:rFonts w:hint="eastAsia" w:ascii="仿宋" w:hAnsi="仿宋" w:eastAsia="仿宋" w:cs="仿宋"/>
                <w:sz w:val="24"/>
                <w:szCs w:val="24"/>
                <w:lang w:val="zh-CN"/>
              </w:rPr>
            </w:pPr>
            <w:r>
              <w:rPr>
                <w:rFonts w:hint="eastAsia" w:ascii="仿宋" w:hAnsi="仿宋" w:eastAsia="仿宋" w:cs="仿宋"/>
                <w:sz w:val="24"/>
                <w:szCs w:val="24"/>
              </w:rPr>
              <w:t>投标人提供的货物的性能及技术指标要求满足采购文件要求的，得17分；所有不可偏离指标（打</w:t>
            </w:r>
            <w:r>
              <w:rPr>
                <w:rFonts w:hint="eastAsia" w:ascii="仿宋" w:hAnsi="仿宋" w:eastAsia="仿宋" w:cs="仿宋"/>
                <w:b/>
                <w:bCs w:val="0"/>
                <w:sz w:val="24"/>
                <w:szCs w:val="24"/>
              </w:rPr>
              <w:t>▲</w:t>
            </w:r>
            <w:r>
              <w:rPr>
                <w:rFonts w:hint="eastAsia" w:ascii="仿宋" w:hAnsi="仿宋" w:eastAsia="仿宋" w:cs="仿宋"/>
                <w:sz w:val="24"/>
                <w:szCs w:val="24"/>
              </w:rPr>
              <w:t>项）出现偏离作无效标处理；属非实质性负偏离的，每项扣1分，扣完为止；评标委员会一致认定其投标文件属实质性偏离采购文件要求的，作无效标处理。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highlight w:val="none"/>
                <w:lang w:val="zh-CN"/>
              </w:rPr>
            </w:pPr>
          </w:p>
        </w:tc>
        <w:tc>
          <w:tcPr>
            <w:tcW w:w="3835" w:type="pct"/>
            <w:tcBorders>
              <w:top w:val="single" w:color="auto" w:sz="4" w:space="0"/>
              <w:left w:val="single" w:color="auto" w:sz="4" w:space="0"/>
              <w:right w:val="single" w:color="auto" w:sz="4" w:space="0"/>
            </w:tcBorders>
          </w:tcPr>
          <w:p>
            <w:pPr>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均满足且多数指标明显优于采购需求的，由评标委员会根据投标人提供的资料从投标产品的配置、兼容性、实际运行能力等方面酌情加分，最高3分。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restart"/>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项目实施方案</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rPr>
              <w:t>分</w:t>
            </w:r>
          </w:p>
        </w:tc>
        <w:tc>
          <w:tcPr>
            <w:tcW w:w="3835" w:type="pct"/>
            <w:tcBorders>
              <w:top w:val="single" w:color="auto" w:sz="4" w:space="0"/>
              <w:left w:val="single" w:color="auto" w:sz="4" w:space="0"/>
              <w:right w:val="single" w:color="auto" w:sz="4" w:space="0"/>
            </w:tcBorders>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项目实施方案：投标人针对该项目的工期安排、程序步骤、安全管理、交验货和竣工情况安排的合理性综合打分，最高3分，无项目实施方案的不得分。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highlight w:val="lightGray"/>
                <w:lang w:val="zh-CN"/>
              </w:rPr>
            </w:pPr>
          </w:p>
        </w:tc>
        <w:tc>
          <w:tcPr>
            <w:tcW w:w="3835" w:type="pct"/>
            <w:tcBorders>
              <w:top w:val="single" w:color="auto" w:sz="4" w:space="0"/>
              <w:left w:val="single" w:color="auto" w:sz="4" w:space="0"/>
              <w:right w:val="single" w:color="auto" w:sz="4" w:space="0"/>
            </w:tcBorders>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项目生产方案：投标人针对该项目产品的生产流程、工艺流程控制方案的合理性综合打分，最高</w:t>
            </w:r>
            <w:r>
              <w:rPr>
                <w:rFonts w:hint="eastAsia" w:ascii="仿宋" w:hAnsi="仿宋" w:eastAsia="仿宋" w:cs="仿宋"/>
                <w:sz w:val="24"/>
                <w:szCs w:val="24"/>
                <w:lang w:val="en-US" w:eastAsia="zh-CN"/>
              </w:rPr>
              <w:t>3</w:t>
            </w:r>
            <w:r>
              <w:rPr>
                <w:rFonts w:hint="eastAsia" w:ascii="仿宋" w:hAnsi="仿宋" w:eastAsia="仿宋" w:cs="仿宋"/>
                <w:sz w:val="24"/>
                <w:szCs w:val="24"/>
              </w:rPr>
              <w:t>分，无项目生产方案的不得分。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highlight w:val="lightGray"/>
                <w:lang w:val="zh-CN"/>
              </w:rPr>
            </w:pPr>
          </w:p>
        </w:tc>
        <w:tc>
          <w:tcPr>
            <w:tcW w:w="3835" w:type="pct"/>
            <w:tcBorders>
              <w:top w:val="single" w:color="auto" w:sz="4" w:space="0"/>
              <w:left w:val="single" w:color="auto" w:sz="4" w:space="0"/>
              <w:right w:val="single" w:color="auto" w:sz="4" w:space="0"/>
            </w:tcBorders>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项目产品检验方案：投标产品原材料选用及生产过程检测控制程序、保障投标产品生产质量的控制检验措施的合理性综合打分，最高</w:t>
            </w:r>
            <w:r>
              <w:rPr>
                <w:rFonts w:hint="eastAsia" w:ascii="仿宋" w:hAnsi="仿宋" w:eastAsia="仿宋" w:cs="仿宋"/>
                <w:sz w:val="24"/>
                <w:szCs w:val="24"/>
                <w:lang w:val="en-US" w:eastAsia="zh-CN"/>
              </w:rPr>
              <w:t>2</w:t>
            </w:r>
            <w:r>
              <w:rPr>
                <w:rFonts w:hint="eastAsia" w:ascii="仿宋" w:hAnsi="仿宋" w:eastAsia="仿宋" w:cs="仿宋"/>
                <w:sz w:val="24"/>
                <w:szCs w:val="24"/>
              </w:rPr>
              <w:t>分，无项目产品检验方案的不得分。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highlight w:val="lightGray"/>
                <w:lang w:val="zh-CN"/>
              </w:rPr>
            </w:pPr>
          </w:p>
        </w:tc>
        <w:tc>
          <w:tcPr>
            <w:tcW w:w="3835" w:type="pct"/>
            <w:tcBorders>
              <w:top w:val="single" w:color="auto" w:sz="4" w:space="0"/>
              <w:left w:val="single" w:color="auto" w:sz="4" w:space="0"/>
              <w:right w:val="single" w:color="auto" w:sz="4" w:space="0"/>
            </w:tcBorders>
          </w:tcPr>
          <w:p>
            <w:pPr>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项目安装管理方案：投标人针对该项目的现场安装管理计划方案的合理性综合打分，最高2分，无项目安装管理方案的不得分。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710"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项目质量</w:t>
            </w:r>
          </w:p>
          <w:p>
            <w:pPr>
              <w:spacing w:line="36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控制方案</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分</w:t>
            </w:r>
          </w:p>
        </w:tc>
        <w:tc>
          <w:tcPr>
            <w:tcW w:w="383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提供经省级及以上质量监督检验中心出具的电动或智能密集架合格检验报告，检测项目结果包括：</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①表面涂层理化性能硬度≧0.4、冲击强度40CM符合要求、附着力不低于2级、耐腐蚀性100小时符合国家标准或行业标准，得1分；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②载重性能之搁板静载荷、全静载荷、载重运行符合国家标准或行业标准，得1分；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③装配要求之外形尺寸偏差±4mm、垂直度不大于2mm、间隙不大于2.0mm、可调性、互换性、传动装置的性能、防倾倒、限位装置、固定装置符合要求，得3分。</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pct"/>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lang w:val="zh-CN"/>
              </w:rPr>
            </w:pPr>
          </w:p>
        </w:tc>
        <w:tc>
          <w:tcPr>
            <w:tcW w:w="3835" w:type="pct"/>
            <w:tcBorders>
              <w:top w:val="single" w:color="auto" w:sz="4" w:space="0"/>
              <w:left w:val="single" w:color="auto" w:sz="4" w:space="0"/>
              <w:bottom w:val="single" w:color="auto" w:sz="4" w:space="0"/>
              <w:right w:val="single" w:color="auto" w:sz="4" w:space="0"/>
            </w:tcBorders>
          </w:tcPr>
          <w:p>
            <w:pPr>
              <w:pStyle w:val="19"/>
              <w:spacing w:before="0" w:line="400" w:lineRule="atLeast"/>
              <w:ind w:firstLine="0" w:firstLineChars="0"/>
              <w:rPr>
                <w:rFonts w:hint="eastAsia" w:ascii="仿宋" w:hAnsi="仿宋" w:eastAsia="仿宋" w:cs="仿宋"/>
                <w:sz w:val="24"/>
                <w:szCs w:val="24"/>
                <w:lang w:val="en-US"/>
              </w:rPr>
            </w:pPr>
            <w:r>
              <w:rPr>
                <w:rFonts w:hint="eastAsia" w:ascii="仿宋" w:hAnsi="仿宋" w:eastAsia="仿宋" w:cs="仿宋"/>
                <w:sz w:val="24"/>
                <w:szCs w:val="24"/>
                <w:lang w:val="en-US"/>
              </w:rPr>
              <w:t>提供经</w:t>
            </w:r>
            <w:r>
              <w:rPr>
                <w:rFonts w:hint="eastAsia" w:ascii="仿宋" w:hAnsi="仿宋" w:eastAsia="仿宋" w:cs="仿宋"/>
                <w:sz w:val="24"/>
                <w:szCs w:val="24"/>
                <w:highlight w:val="none"/>
                <w:lang w:val="en-US"/>
              </w:rPr>
              <w:t>省级及以上质量监督检验中心出具的本项目所投产品所采用的原材料、零部件检测报告，冷轧钢板（不同板厚</w:t>
            </w:r>
            <w:r>
              <w:rPr>
                <w:rFonts w:hint="eastAsia" w:ascii="仿宋" w:hAnsi="仿宋" w:eastAsia="仿宋" w:cs="仿宋"/>
                <w:sz w:val="24"/>
                <w:szCs w:val="24"/>
                <w:lang w:val="en-US"/>
              </w:rPr>
              <w:t>算一份）、轨道、底盘</w:t>
            </w:r>
            <w:r>
              <w:rPr>
                <w:rFonts w:hint="eastAsia" w:ascii="仿宋" w:hAnsi="仿宋" w:eastAsia="仿宋" w:cs="仿宋"/>
                <w:sz w:val="24"/>
                <w:szCs w:val="24"/>
                <w:highlight w:val="none"/>
                <w:lang w:val="en-US"/>
              </w:rPr>
              <w:t>、</w:t>
            </w:r>
            <w:r>
              <w:rPr>
                <w:rFonts w:hint="eastAsia" w:ascii="仿宋" w:hAnsi="仿宋" w:eastAsia="仿宋" w:cs="仿宋"/>
                <w:sz w:val="24"/>
                <w:szCs w:val="24"/>
                <w:highlight w:val="none"/>
                <w:lang w:val="en-US" w:eastAsia="zh-CN"/>
              </w:rPr>
              <w:t>搁板</w:t>
            </w:r>
            <w:r>
              <w:rPr>
                <w:rFonts w:hint="eastAsia" w:ascii="仿宋" w:hAnsi="仿宋" w:eastAsia="仿宋" w:cs="仿宋"/>
                <w:sz w:val="24"/>
                <w:szCs w:val="24"/>
                <w:highlight w:val="none"/>
                <w:lang w:val="en-US"/>
              </w:rPr>
              <w:t>、挂板、</w:t>
            </w:r>
            <w:r>
              <w:rPr>
                <w:rFonts w:hint="eastAsia" w:ascii="仿宋" w:hAnsi="仿宋" w:eastAsia="仿宋" w:cs="仿宋"/>
                <w:sz w:val="24"/>
                <w:szCs w:val="24"/>
                <w:lang w:val="en-US"/>
              </w:rPr>
              <w:t>轴承、</w:t>
            </w:r>
            <w:r>
              <w:rPr>
                <w:rFonts w:hint="eastAsia" w:ascii="仿宋" w:hAnsi="仿宋" w:eastAsia="仿宋" w:cs="仿宋"/>
                <w:sz w:val="24"/>
                <w:szCs w:val="24"/>
                <w:highlight w:val="none"/>
                <w:lang w:val="en-US"/>
              </w:rPr>
              <w:t>链条、锁定装具</w:t>
            </w:r>
            <w:r>
              <w:rPr>
                <w:rFonts w:hint="eastAsia" w:ascii="仿宋" w:hAnsi="仿宋" w:eastAsia="仿宋" w:cs="仿宋"/>
                <w:sz w:val="24"/>
                <w:szCs w:val="24"/>
                <w:lang w:val="en-US"/>
              </w:rPr>
              <w:t>、传动机构、手摇柄检测报告，</w:t>
            </w:r>
            <w:r>
              <w:rPr>
                <w:rFonts w:hint="eastAsia" w:ascii="仿宋" w:hAnsi="仿宋" w:eastAsia="仿宋" w:cs="仿宋"/>
                <w:sz w:val="24"/>
                <w:szCs w:val="24"/>
              </w:rPr>
              <w:t>每个</w:t>
            </w:r>
            <w:r>
              <w:rPr>
                <w:rFonts w:hint="eastAsia" w:ascii="仿宋" w:hAnsi="仿宋" w:eastAsia="仿宋" w:cs="仿宋"/>
                <w:sz w:val="24"/>
                <w:szCs w:val="24"/>
                <w:lang w:val="en-US"/>
              </w:rPr>
              <w:t>0.5分，最高5分</w:t>
            </w:r>
            <w:r>
              <w:rPr>
                <w:rFonts w:hint="eastAsia" w:ascii="仿宋" w:hAnsi="仿宋" w:eastAsia="仿宋" w:cs="仿宋"/>
                <w:sz w:val="24"/>
                <w:szCs w:val="24"/>
              </w:rPr>
              <w:t>。</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样品展示</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分</w:t>
            </w:r>
          </w:p>
        </w:tc>
        <w:tc>
          <w:tcPr>
            <w:tcW w:w="3835" w:type="pct"/>
            <w:tcBorders>
              <w:top w:val="single" w:color="auto" w:sz="4" w:space="0"/>
              <w:left w:val="single" w:color="auto" w:sz="4" w:space="0"/>
              <w:right w:val="single" w:color="auto" w:sz="4" w:space="0"/>
            </w:tcBorders>
            <w:vAlign w:val="center"/>
          </w:tcPr>
          <w:p>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评标委员会根据投标人现场样品的外观、用材用料、工艺、稳定性、实用性、功能性等是否满足本项目要求进行打分：</w:t>
            </w:r>
          </w:p>
          <w:p>
            <w:pPr>
              <w:pStyle w:val="2"/>
              <w:rPr>
                <w:rFonts w:hint="eastAsia"/>
              </w:rPr>
            </w:pPr>
            <w:r>
              <w:rPr>
                <w:rFonts w:hint="eastAsia" w:ascii="仿宋" w:hAnsi="仿宋" w:eastAsia="仿宋" w:cs="仿宋"/>
                <w:sz w:val="24"/>
                <w:szCs w:val="24"/>
              </w:rPr>
              <w:t>外观式样（0-3分）：各零部件表面应光滑、平整、不应有尖角和突起；焊接件应焊接牢固，焊痕光滑平整；涂层表面应平整光滑，色泽均匀一致，没有有流挂、起粒、皱皮、露底、剥落、伤痕等缺陷；电镀件镀层应明亮，外露部位不应有烧焦、气泡、针孔、裂纹、花斑、明显划痕和毛刺等缺陷。</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0" w:type="pct"/>
            <w:vMerge w:val="continue"/>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p>
        </w:tc>
        <w:tc>
          <w:tcPr>
            <w:tcW w:w="3835" w:type="pct"/>
            <w:tcBorders>
              <w:top w:val="single" w:color="auto" w:sz="4" w:space="0"/>
              <w:left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根据材料小样规格、材质的比较（0-3分）。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0" w:type="pct"/>
            <w:vMerge w:val="continue"/>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p>
        </w:tc>
        <w:tc>
          <w:tcPr>
            <w:tcW w:w="3835" w:type="pct"/>
            <w:tcBorders>
              <w:top w:val="single" w:color="auto" w:sz="4" w:space="0"/>
              <w:left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密集架款式造型、制作质量、工艺水平、结构合理性（0-3分）。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0" w:type="pct"/>
            <w:vMerge w:val="continue"/>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p>
        </w:tc>
        <w:tc>
          <w:tcPr>
            <w:tcW w:w="3835" w:type="pct"/>
            <w:tcBorders>
              <w:top w:val="single" w:color="auto" w:sz="4" w:space="0"/>
              <w:left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实用性、功能性、安全性及技术含量（0-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0" w:type="pct"/>
            <w:vMerge w:val="continue"/>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p>
        </w:tc>
        <w:tc>
          <w:tcPr>
            <w:tcW w:w="3835" w:type="pct"/>
            <w:tcBorders>
              <w:top w:val="single" w:color="auto" w:sz="4" w:space="0"/>
              <w:left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装配精度、结构牢固度以及稳定性（0-3分）。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pct"/>
            <w:vMerge w:val="restart"/>
            <w:tcBorders>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售后服务保障能力</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w:t>
            </w:r>
          </w:p>
        </w:tc>
        <w:tc>
          <w:tcPr>
            <w:tcW w:w="3835" w:type="pct"/>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在满足采购需求五年的质量保质期前提下每增加1年得1分，最高得3分。</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pct"/>
            <w:vMerge w:val="continue"/>
            <w:tcBorders>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p>
        </w:tc>
        <w:tc>
          <w:tcPr>
            <w:tcW w:w="3835"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投标人的提供详细完整的售后服务方案，专家根据方案完整性、合理性、可行性情况综合评议。其中：售后服务响应时间、到场时间、售后服务方式：0-</w:t>
            </w:r>
            <w:r>
              <w:rPr>
                <w:rFonts w:hint="eastAsia" w:ascii="仿宋" w:hAnsi="仿宋" w:eastAsia="仿宋" w:cs="仿宋"/>
                <w:sz w:val="24"/>
                <w:szCs w:val="24"/>
                <w:lang w:val="en-US" w:eastAsia="zh-CN"/>
              </w:rPr>
              <w:t>1</w:t>
            </w:r>
            <w:r>
              <w:rPr>
                <w:rFonts w:hint="eastAsia" w:ascii="仿宋" w:hAnsi="仿宋" w:eastAsia="仿宋" w:cs="仿宋"/>
                <w:sz w:val="24"/>
                <w:szCs w:val="24"/>
              </w:rPr>
              <w:t>分；售后服务承诺、售后服务网点情况：0-2分；培训内容及方式：0-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pct"/>
            <w:tcBorders>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企业资质3分</w:t>
            </w:r>
          </w:p>
        </w:tc>
        <w:tc>
          <w:tcPr>
            <w:tcW w:w="3835" w:type="pct"/>
            <w:tcBorders>
              <w:top w:val="single" w:color="auto" w:sz="4" w:space="0"/>
              <w:left w:val="single" w:color="auto" w:sz="4" w:space="0"/>
              <w:bottom w:val="single" w:color="auto" w:sz="4" w:space="0"/>
              <w:right w:val="single" w:color="auto" w:sz="4" w:space="0"/>
            </w:tcBorders>
            <w:vAlign w:val="center"/>
          </w:tcPr>
          <w:p>
            <w:pPr>
              <w:pStyle w:val="28"/>
              <w:numPr>
                <w:ilvl w:val="0"/>
                <w:numId w:val="0"/>
              </w:numPr>
              <w:spacing w:line="360" w:lineRule="exact"/>
              <w:ind w:left="-360" w:leftChars="0"/>
              <w:rPr>
                <w:rFonts w:hint="eastAsia" w:ascii="仿宋" w:hAnsi="仿宋" w:eastAsia="仿宋" w:cs="仿宋"/>
                <w:b/>
                <w:sz w:val="24"/>
                <w:szCs w:val="24"/>
                <w:highlight w:val="none"/>
              </w:rPr>
            </w:pPr>
            <w:r>
              <w:rPr>
                <w:rFonts w:hint="eastAsia" w:ascii="仿宋" w:hAnsi="仿宋" w:eastAsia="仿宋" w:cs="仿宋"/>
                <w:sz w:val="24"/>
                <w:szCs w:val="24"/>
                <w:highlight w:val="none"/>
              </w:rPr>
              <w:t>投标人获得质量管理体系认证证书的，得1分；获得环境管理体系认证证书的，得1分；获得职业健康安全管理体系认证证书的，得1分（提供相关证书复印件，不提供不得分）。</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pct"/>
            <w:tcBorders>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成功案例</w:t>
            </w:r>
          </w:p>
          <w:p>
            <w:pPr>
              <w:adjustRightInd w:val="0"/>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3分</w:t>
            </w:r>
          </w:p>
        </w:tc>
        <w:tc>
          <w:tcPr>
            <w:tcW w:w="38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投标人具有</w:t>
            </w:r>
            <w:r>
              <w:rPr>
                <w:rFonts w:hint="eastAsia" w:ascii="仿宋" w:hAnsi="仿宋" w:eastAsia="仿宋" w:cs="仿宋"/>
                <w:sz w:val="24"/>
                <w:szCs w:val="24"/>
                <w:highlight w:val="none"/>
                <w:lang w:eastAsia="zh-CN"/>
              </w:rPr>
              <w:t>手电动密集架或智能密集架</w:t>
            </w:r>
            <w:r>
              <w:rPr>
                <w:rFonts w:hint="eastAsia" w:ascii="仿宋" w:hAnsi="仿宋" w:eastAsia="仿宋" w:cs="仿宋"/>
                <w:sz w:val="24"/>
                <w:szCs w:val="24"/>
                <w:highlight w:val="none"/>
              </w:rPr>
              <w:t>类似项目业绩，每提供一个得1分，最高得3分（提供相关合同复印件、用户单位出具的供货验收单复印件，缺一项不得分）</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pct"/>
            <w:tcBorders>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标书质量</w:t>
            </w:r>
          </w:p>
          <w:p>
            <w:pPr>
              <w:adjustRightInd w:val="0"/>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38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相关资料的提供情况，是否真实、完整、清晰、有序、合理；投标文件是否格式规范、内容齐全、表述准确、条理清晰，是否与采购文件的评分要点准确设置关联点、文本图片清晰、符合招标文件要求，得1分；采购文件存在其他错漏的，每项（次）扣 0.2分；投标文件有关内容前后矛盾、与采购文件要求不一致等，评标委员会允许且需要通过询标等程序进行澄清的，该项不得分。</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r>
    </w:tbl>
    <w:p>
      <w:pPr>
        <w:rPr>
          <w:rFonts w:ascii="仿宋" w:hAnsi="仿宋" w:eastAsia="仿宋" w:cs="仿宋"/>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spacing w:line="360" w:lineRule="auto"/>
        <w:ind w:left="720" w:leftChars="343" w:firstLine="1265" w:firstLineChars="350"/>
        <w:outlineLvl w:val="0"/>
        <w:rPr>
          <w:rFonts w:hint="eastAsia" w:ascii="仿宋" w:hAnsi="仿宋" w:eastAsia="仿宋" w:cs="仿宋_GB2312"/>
          <w:b/>
          <w:sz w:val="36"/>
          <w:szCs w:val="36"/>
        </w:rPr>
      </w:pPr>
    </w:p>
    <w:p>
      <w:pPr>
        <w:pStyle w:val="2"/>
        <w:rPr>
          <w:rFonts w:hint="eastAsia" w:ascii="仿宋" w:hAnsi="仿宋" w:eastAsia="仿宋" w:cs="仿宋_GB2312"/>
          <w:b/>
          <w:sz w:val="36"/>
          <w:szCs w:val="36"/>
        </w:rPr>
      </w:pPr>
    </w:p>
    <w:p>
      <w:pPr>
        <w:pStyle w:val="2"/>
        <w:rPr>
          <w:rFonts w:hint="eastAsia" w:ascii="仿宋" w:hAnsi="仿宋" w:eastAsia="仿宋" w:cs="仿宋_GB2312"/>
          <w:b/>
          <w:sz w:val="36"/>
          <w:szCs w:val="36"/>
        </w:rPr>
      </w:pPr>
    </w:p>
    <w:p>
      <w:pPr>
        <w:pStyle w:val="2"/>
        <w:rPr>
          <w:rFonts w:hint="eastAsia" w:ascii="仿宋" w:hAnsi="仿宋" w:eastAsia="仿宋" w:cs="仿宋_GB2312"/>
          <w:b/>
          <w:sz w:val="36"/>
          <w:szCs w:val="36"/>
        </w:rPr>
      </w:pPr>
    </w:p>
    <w:p>
      <w:pPr>
        <w:spacing w:line="360" w:lineRule="auto"/>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bookmarkStart w:id="541" w:name="_GoBack"/>
      <w:bookmarkEnd w:id="541"/>
      <w:r>
        <w:rPr>
          <w:rFonts w:hint="eastAsia" w:ascii="仿宋" w:hAnsi="仿宋" w:eastAsia="仿宋" w:cs="仿宋_GB2312"/>
          <w:b/>
          <w:sz w:val="36"/>
          <w:szCs w:val="36"/>
        </w:rPr>
        <w:t>第五部分 拟签订的合同文本</w:t>
      </w:r>
    </w:p>
    <w:p>
      <w:pPr>
        <w:spacing w:line="360" w:lineRule="auto"/>
        <w:rPr>
          <w:rFonts w:hint="eastAsia" w:ascii="仿宋_GB2312" w:hAnsi="楷体" w:eastAsia="仿宋_GB2312"/>
          <w:sz w:val="24"/>
          <w:u w:val="single"/>
        </w:rPr>
      </w:pPr>
      <w:r>
        <w:rPr>
          <w:rFonts w:hint="eastAsia" w:ascii="仿宋_GB2312" w:hAnsi="楷体" w:eastAsia="仿宋_GB2312"/>
          <w:sz w:val="24"/>
        </w:rPr>
        <w:t>合同编号：</w:t>
      </w:r>
      <w:r>
        <w:rPr>
          <w:rFonts w:hint="eastAsia" w:ascii="仿宋_GB2312" w:hAnsi="楷体" w:eastAsia="仿宋_GB2312"/>
          <w:sz w:val="24"/>
          <w:u w:val="single"/>
        </w:rPr>
        <w:t xml:space="preserve">           </w:t>
      </w:r>
    </w:p>
    <w:p>
      <w:pPr>
        <w:pStyle w:val="22"/>
        <w:ind w:firstLine="482"/>
        <w:jc w:val="center"/>
        <w:rPr>
          <w:rFonts w:hint="eastAsia" w:ascii="仿宋_GB2312" w:hAnsi="楷体" w:eastAsia="仿宋_GB2312"/>
          <w:b/>
          <w:szCs w:val="24"/>
        </w:rPr>
      </w:pPr>
      <w:r>
        <w:rPr>
          <w:rFonts w:hint="eastAsia" w:ascii="仿宋_GB2312" w:hAnsi="楷体" w:eastAsia="仿宋_GB2312"/>
          <w:b/>
          <w:szCs w:val="24"/>
        </w:rPr>
        <w:t>第一部分 合同书</w:t>
      </w:r>
    </w:p>
    <w:p>
      <w:pPr>
        <w:pStyle w:val="22"/>
        <w:rPr>
          <w:rFonts w:hint="eastAsia" w:ascii="仿宋_GB2312" w:hAnsi="楷体" w:eastAsia="仿宋_GB2312"/>
          <w:szCs w:val="24"/>
        </w:rPr>
      </w:pPr>
    </w:p>
    <w:p>
      <w:pPr>
        <w:pStyle w:val="22"/>
        <w:rPr>
          <w:rFonts w:hint="eastAsia" w:ascii="仿宋_GB2312" w:hAnsi="楷体" w:eastAsia="仿宋_GB2312"/>
          <w:szCs w:val="24"/>
        </w:rPr>
      </w:pPr>
    </w:p>
    <w:p>
      <w:pPr>
        <w:spacing w:before="120" w:line="360" w:lineRule="auto"/>
        <w:rPr>
          <w:rFonts w:hint="eastAsia" w:ascii="仿宋_GB2312" w:hAnsi="楷体" w:eastAsia="仿宋_GB2312"/>
          <w:sz w:val="24"/>
        </w:rPr>
      </w:pPr>
    </w:p>
    <w:p>
      <w:pPr>
        <w:spacing w:before="120" w:line="360" w:lineRule="auto"/>
        <w:ind w:left="960"/>
        <w:rPr>
          <w:rFonts w:hint="eastAsia" w:ascii="仿宋_GB2312" w:hAnsi="楷体" w:eastAsia="仿宋_GB2312"/>
          <w:sz w:val="24"/>
        </w:rPr>
      </w:pPr>
      <w:r>
        <w:rPr>
          <w:rFonts w:hint="eastAsia" w:ascii="仿宋_GB2312" w:hAnsi="楷体" w:eastAsia="仿宋_GB2312"/>
          <w:sz w:val="24"/>
        </w:rPr>
        <w:t>项目名称：</w:t>
      </w:r>
      <w:r>
        <w:rPr>
          <w:rFonts w:hint="eastAsia" w:ascii="仿宋_GB2312" w:hAnsi="楷体" w:eastAsia="仿宋_GB2312"/>
          <w:sz w:val="24"/>
          <w:u w:val="single"/>
        </w:rPr>
        <w:t xml:space="preserve">                                   </w:t>
      </w:r>
    </w:p>
    <w:p>
      <w:pPr>
        <w:pStyle w:val="23"/>
        <w:spacing w:before="120"/>
        <w:rPr>
          <w:rFonts w:hint="eastAsia" w:hAnsi="楷体"/>
          <w:szCs w:val="24"/>
        </w:rPr>
      </w:pPr>
    </w:p>
    <w:p>
      <w:pPr>
        <w:pStyle w:val="23"/>
        <w:spacing w:before="120"/>
        <w:rPr>
          <w:rFonts w:hint="eastAsia" w:hAnsi="楷体"/>
          <w:szCs w:val="24"/>
        </w:rPr>
      </w:pPr>
    </w:p>
    <w:p>
      <w:pPr>
        <w:spacing w:line="360" w:lineRule="auto"/>
        <w:rPr>
          <w:rFonts w:hint="eastAsia" w:ascii="仿宋_GB2312" w:eastAsia="仿宋_GB2312"/>
          <w:sz w:val="24"/>
        </w:rPr>
      </w:pPr>
    </w:p>
    <w:p>
      <w:pPr>
        <w:spacing w:before="120" w:line="360" w:lineRule="auto"/>
        <w:ind w:left="960"/>
        <w:rPr>
          <w:rFonts w:hint="eastAsia"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left="960"/>
        <w:rPr>
          <w:rFonts w:hint="eastAsia"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firstLine="960" w:firstLineChars="400"/>
        <w:rPr>
          <w:rFonts w:hint="eastAsia"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firstLine="960" w:firstLineChars="400"/>
        <w:rPr>
          <w:rFonts w:hint="eastAsia"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autoSpaceDE w:val="0"/>
        <w:autoSpaceDN w:val="0"/>
        <w:spacing w:line="360" w:lineRule="auto"/>
        <w:ind w:firstLine="640"/>
        <w:jc w:val="center"/>
        <w:rPr>
          <w:rFonts w:hint="eastAsia" w:ascii="仿宋_GB2312" w:hAnsi="宋体" w:eastAsia="仿宋_GB2312"/>
          <w:sz w:val="24"/>
        </w:rPr>
        <w:sectPr>
          <w:headerReference r:id="rId3" w:type="default"/>
          <w:footerReference r:id="rId4" w:type="default"/>
          <w:pgSz w:w="11907" w:h="16840"/>
          <w:pgMar w:top="680" w:right="1417" w:bottom="471" w:left="1417" w:header="851" w:footer="851" w:gutter="0"/>
          <w:pgNumType w:fmt="decimal"/>
          <w:cols w:space="720" w:num="1"/>
          <w:docGrid w:linePitch="462" w:charSpace="0"/>
        </w:sect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楷体" w:eastAsia="仿宋_GB2312"/>
          <w:sz w:val="24"/>
          <w:u w:val="single"/>
        </w:rPr>
        <w:t xml:space="preserve">   （采购人名称）   </w:t>
      </w:r>
      <w:r>
        <w:rPr>
          <w:rFonts w:hint="eastAsia" w:ascii="仿宋_GB2312" w:hAnsi="楷体" w:eastAsia="仿宋_GB2312"/>
          <w:sz w:val="24"/>
        </w:rPr>
        <w:t>以</w:t>
      </w:r>
      <w:r>
        <w:rPr>
          <w:rFonts w:hint="eastAsia" w:ascii="仿宋_GB2312" w:hAnsi="楷体" w:eastAsia="仿宋_GB2312"/>
          <w:sz w:val="24"/>
          <w:u w:val="single"/>
        </w:rPr>
        <w:t xml:space="preserve">   （政府采购方式）  </w:t>
      </w:r>
      <w:r>
        <w:rPr>
          <w:rFonts w:hint="eastAsia" w:ascii="仿宋_GB2312" w:hAnsi="楷体" w:eastAsia="仿宋_GB2312"/>
          <w:sz w:val="24"/>
        </w:rPr>
        <w:t>对</w:t>
      </w:r>
      <w:r>
        <w:rPr>
          <w:rFonts w:hint="eastAsia" w:ascii="仿宋_GB2312" w:hAnsi="楷体" w:eastAsia="仿宋_GB2312"/>
          <w:sz w:val="24"/>
          <w:u w:val="single"/>
        </w:rPr>
        <w:t xml:space="preserve">   （同前页项目名称）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（中标供应商名称）</w:t>
      </w:r>
      <w:r>
        <w:rPr>
          <w:rFonts w:hint="eastAsia" w:ascii="仿宋_GB2312" w:hAnsi="楷体" w:eastAsia="仿宋_GB2312"/>
          <w:sz w:val="24"/>
        </w:rPr>
        <w:t>为该项目中标供应商。现于中标通知书发出之日起三十日内，按照采购文件确定的事项签订本合同。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（中标供应商名称）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outlineLvl w:val="0"/>
        <w:rPr>
          <w:rFonts w:hint="eastAsia" w:ascii="仿宋_GB2312" w:hAnsi="楷体" w:eastAsia="仿宋_GB2312"/>
          <w:b/>
          <w:sz w:val="24"/>
        </w:rPr>
      </w:pPr>
      <w:bookmarkStart w:id="376" w:name="_Toc2232"/>
      <w:bookmarkStart w:id="377" w:name="_Toc24059"/>
      <w:bookmarkStart w:id="378" w:name="_Toc3029"/>
      <w:r>
        <w:rPr>
          <w:rFonts w:hint="eastAsia" w:ascii="仿宋_GB2312" w:hAnsi="楷体" w:eastAsia="仿宋_GB2312"/>
          <w:b/>
          <w:sz w:val="24"/>
        </w:rPr>
        <w:t>1.1 合同组成部分</w:t>
      </w:r>
      <w:bookmarkEnd w:id="376"/>
      <w:bookmarkEnd w:id="377"/>
      <w:bookmarkEnd w:id="37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下列文件为本合同的组成部分，并构成一个整体，需综合解释、相互补充。如果下列文件内容出现不一致的情形，那么在保证按照采购文件确定的事项的前提下，组成本合同的多个文件如下：</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中标通知书；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投标文件（含澄清或者说明文件）；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招标文件（含澄清或者修改文件）；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outlineLvl w:val="0"/>
        <w:rPr>
          <w:rFonts w:hint="eastAsia" w:ascii="仿宋_GB2312" w:hAnsi="仿宋" w:eastAsia="仿宋_GB2312"/>
          <w:b/>
          <w:sz w:val="24"/>
        </w:rPr>
      </w:pPr>
      <w:r>
        <w:rPr>
          <w:rFonts w:hint="eastAsia" w:ascii="仿宋_GB2312" w:hAnsi="仿宋" w:eastAsia="仿宋_GB2312"/>
          <w:b/>
          <w:sz w:val="24"/>
        </w:rPr>
        <w:t>1.2 标的物</w:t>
      </w:r>
    </w:p>
    <w:p>
      <w:pPr>
        <w:spacing w:line="360" w:lineRule="auto"/>
        <w:ind w:firstLine="480" w:firstLineChars="200"/>
        <w:rPr>
          <w:rFonts w:hint="eastAsia" w:ascii="仿宋_GB2312" w:hAnsi="仿宋" w:eastAsia="仿宋_GB2312"/>
          <w:sz w:val="24"/>
          <w:u w:val="single"/>
        </w:rPr>
      </w:pPr>
      <w:r>
        <w:rPr>
          <w:rFonts w:hint="eastAsia" w:ascii="仿宋_GB2312" w:hAnsi="仿宋" w:eastAsia="仿宋_GB2312"/>
          <w:sz w:val="24"/>
        </w:rPr>
        <w:t>1.2.1 标的物名称：</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ind w:firstLine="480" w:firstLineChars="200"/>
        <w:rPr>
          <w:rFonts w:hint="eastAsia" w:ascii="仿宋_GB2312" w:hAnsi="仿宋" w:eastAsia="仿宋_GB2312"/>
          <w:sz w:val="24"/>
          <w:u w:val="single"/>
        </w:rPr>
      </w:pPr>
      <w:r>
        <w:rPr>
          <w:rFonts w:hint="eastAsia" w:ascii="仿宋_GB2312" w:hAnsi="仿宋" w:eastAsia="仿宋_GB2312"/>
          <w:sz w:val="24"/>
        </w:rPr>
        <w:t>1.2.2 标的物数量：</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1.2.3 标的物质量：</w:t>
      </w:r>
      <w:r>
        <w:rPr>
          <w:rFonts w:hint="eastAsia" w:ascii="仿宋_GB2312" w:hAnsi="仿宋" w:eastAsia="仿宋_GB2312"/>
          <w:sz w:val="24"/>
          <w:u w:val="single"/>
        </w:rPr>
        <w:t xml:space="preserve">　　　合格　　　　                      　      </w:t>
      </w:r>
      <w:r>
        <w:rPr>
          <w:rFonts w:hint="eastAsia" w:ascii="仿宋_GB2312" w:hAnsi="仿宋" w:eastAsia="仿宋_GB2312"/>
          <w:sz w:val="24"/>
        </w:rPr>
        <w:t>。</w:t>
      </w:r>
    </w:p>
    <w:p>
      <w:pPr>
        <w:spacing w:line="360" w:lineRule="auto"/>
        <w:ind w:firstLine="482" w:firstLineChars="200"/>
        <w:outlineLvl w:val="0"/>
        <w:rPr>
          <w:rFonts w:hint="eastAsia" w:ascii="仿宋_GB2312" w:hAnsi="楷体" w:eastAsia="仿宋_GB2312"/>
          <w:b/>
          <w:sz w:val="24"/>
        </w:rPr>
      </w:pPr>
      <w:bookmarkStart w:id="379" w:name="_Toc21631"/>
      <w:bookmarkStart w:id="380" w:name="_Toc21551"/>
      <w:bookmarkStart w:id="381" w:name="_Toc23292"/>
      <w:r>
        <w:rPr>
          <w:rFonts w:hint="eastAsia" w:ascii="仿宋_GB2312" w:hAnsi="楷体" w:eastAsia="仿宋_GB2312"/>
          <w:b/>
          <w:sz w:val="24"/>
        </w:rPr>
        <w:t>1.3 价款</w:t>
      </w:r>
      <w:bookmarkEnd w:id="379"/>
      <w:bookmarkEnd w:id="380"/>
      <w:bookmarkEnd w:id="38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元人民币）。（清单附后）</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4"/>
              <w:spacing w:line="360" w:lineRule="auto"/>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序号</w:t>
            </w:r>
          </w:p>
        </w:tc>
        <w:tc>
          <w:tcPr>
            <w:tcW w:w="340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分项名称</w:t>
            </w:r>
          </w:p>
        </w:tc>
        <w:tc>
          <w:tcPr>
            <w:tcW w:w="2552" w:type="dxa"/>
            <w:noWrap w:val="0"/>
            <w:vAlign w:val="center"/>
          </w:tcPr>
          <w:p>
            <w:pPr>
              <w:pStyle w:val="24"/>
              <w:spacing w:line="360" w:lineRule="auto"/>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c>
          <w:tcPr>
            <w:tcW w:w="340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c>
          <w:tcPr>
            <w:tcW w:w="255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c>
          <w:tcPr>
            <w:tcW w:w="340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c>
          <w:tcPr>
            <w:tcW w:w="255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c>
          <w:tcPr>
            <w:tcW w:w="340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c>
          <w:tcPr>
            <w:tcW w:w="255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c>
          <w:tcPr>
            <w:tcW w:w="340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c>
          <w:tcPr>
            <w:tcW w:w="255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24"/>
              <w:spacing w:line="360" w:lineRule="auto"/>
              <w:ind w:firstLine="200"/>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总价</w:t>
            </w:r>
          </w:p>
        </w:tc>
        <w:tc>
          <w:tcPr>
            <w:tcW w:w="255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r>
    </w:tbl>
    <w:p>
      <w:pPr>
        <w:spacing w:line="360" w:lineRule="auto"/>
        <w:ind w:firstLine="482" w:firstLineChars="200"/>
        <w:outlineLvl w:val="0"/>
        <w:rPr>
          <w:rFonts w:hint="eastAsia" w:ascii="仿宋_GB2312" w:hAnsi="楷体" w:eastAsia="仿宋_GB2312"/>
          <w:b/>
          <w:sz w:val="24"/>
        </w:rPr>
      </w:pPr>
      <w:bookmarkStart w:id="382" w:name="_Toc22618"/>
      <w:bookmarkStart w:id="383" w:name="_Toc1814"/>
      <w:bookmarkStart w:id="384" w:name="_Toc10340"/>
      <w:r>
        <w:rPr>
          <w:rFonts w:hint="eastAsia" w:ascii="仿宋_GB2312" w:hAnsi="楷体" w:eastAsia="仿宋_GB2312"/>
          <w:b/>
          <w:sz w:val="24"/>
        </w:rPr>
        <w:t>1.4 付款方式和发票开具方式</w:t>
      </w:r>
      <w:bookmarkEnd w:id="382"/>
      <w:bookmarkEnd w:id="383"/>
      <w:bookmarkEnd w:id="384"/>
    </w:p>
    <w:p>
      <w:pPr>
        <w:spacing w:line="360" w:lineRule="auto"/>
        <w:ind w:left="482"/>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w:t>
      </w:r>
    </w:p>
    <w:p>
      <w:pPr>
        <w:spacing w:line="360" w:lineRule="auto"/>
        <w:ind w:left="482"/>
        <w:rPr>
          <w:rFonts w:hint="eastAsia" w:ascii="仿宋_GB2312" w:hAnsi="楷体" w:eastAsia="仿宋_GB2312"/>
          <w:sz w:val="24"/>
          <w:u w:val="single"/>
        </w:rPr>
      </w:pPr>
      <w:r>
        <w:rPr>
          <w:rFonts w:hint="eastAsia" w:ascii="仿宋_GB2312" w:hAnsi="楷体" w:eastAsia="仿宋_GB2312"/>
          <w:sz w:val="24"/>
        </w:rPr>
        <w:t>1.4.2付款时间：</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1.4.3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left="482"/>
        <w:rPr>
          <w:rFonts w:hint="eastAsia" w:ascii="仿宋_GB2312" w:hAnsi="楷体" w:eastAsia="仿宋_GB2312"/>
          <w:sz w:val="24"/>
          <w:u w:val="single"/>
        </w:rPr>
      </w:pPr>
      <w:r>
        <w:rPr>
          <w:rFonts w:hint="eastAsia" w:ascii="仿宋_GB2312" w:hAnsi="楷体" w:eastAsia="仿宋_GB2312"/>
          <w:sz w:val="24"/>
          <w:u w:val="single"/>
        </w:rPr>
        <w:t>1.4.4甲方拒绝或迟延支付中小企业款项，可向有关部门投诉。</w:t>
      </w:r>
    </w:p>
    <w:p>
      <w:pPr>
        <w:spacing w:line="360" w:lineRule="auto"/>
        <w:ind w:firstLine="482" w:firstLineChars="200"/>
        <w:outlineLvl w:val="0"/>
        <w:rPr>
          <w:rFonts w:hint="eastAsia" w:ascii="仿宋_GB2312" w:hAnsi="楷体" w:eastAsia="仿宋_GB2312"/>
          <w:b/>
          <w:sz w:val="24"/>
        </w:rPr>
      </w:pPr>
      <w:bookmarkStart w:id="385" w:name="_Toc2846"/>
      <w:bookmarkStart w:id="386" w:name="_Toc19304"/>
      <w:bookmarkStart w:id="387" w:name="_Toc32071"/>
      <w:r>
        <w:rPr>
          <w:rFonts w:hint="eastAsia" w:ascii="仿宋_GB2312" w:hAnsi="楷体" w:eastAsia="仿宋_GB2312"/>
          <w:b/>
          <w:sz w:val="24"/>
        </w:rPr>
        <w:t>1.5 货物交付期限、地点和方式</w:t>
      </w:r>
      <w:bookmarkEnd w:id="385"/>
      <w:bookmarkEnd w:id="386"/>
      <w:bookmarkEnd w:id="387"/>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ascii="仿宋_GB2312" w:hAnsi="楷体" w:eastAsia="仿宋_GB2312"/>
          <w:sz w:val="24"/>
          <w:u w:val="single"/>
        </w:rPr>
        <w:t>：</w:t>
      </w:r>
      <w:r>
        <w:rPr>
          <w:rFonts w:hint="eastAsia" w:ascii="仿宋_GB2312" w:hAnsi="楷体" w:eastAsia="仿宋_GB2312"/>
          <w:sz w:val="24"/>
          <w:u w:val="single"/>
        </w:rPr>
        <w:t xml:space="preserve">合同签订生效后30天内需要交货完毕、安装调试完成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甲方指定地点</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w:t>
      </w:r>
      <w:r>
        <w:rPr>
          <w:rFonts w:ascii="仿宋_GB2312" w:hAnsi="楷体" w:eastAsia="仿宋_GB2312"/>
          <w:sz w:val="24"/>
          <w:u w:val="single"/>
        </w:rPr>
        <w:t xml:space="preserve">   </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　</w:t>
      </w:r>
      <w:r>
        <w:rPr>
          <w:rFonts w:hint="eastAsia" w:ascii="仿宋_GB2312" w:hAnsi="楷体" w:eastAsia="仿宋_GB2312"/>
          <w:sz w:val="24"/>
        </w:rPr>
        <w:t>。</w:t>
      </w:r>
    </w:p>
    <w:p>
      <w:pPr>
        <w:spacing w:line="360" w:lineRule="auto"/>
        <w:ind w:firstLine="482" w:firstLineChars="200"/>
        <w:outlineLvl w:val="0"/>
        <w:rPr>
          <w:rFonts w:hint="eastAsia" w:ascii="仿宋_GB2312" w:hAnsi="仿宋" w:eastAsia="仿宋_GB2312"/>
          <w:b/>
          <w:sz w:val="24"/>
        </w:rPr>
      </w:pPr>
      <w:r>
        <w:rPr>
          <w:rFonts w:hint="eastAsia" w:ascii="仿宋_GB2312" w:hAnsi="仿宋" w:eastAsia="仿宋_GB2312"/>
          <w:b/>
          <w:sz w:val="24"/>
        </w:rPr>
        <w:t>1.6 违约责任</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仿宋" w:eastAsia="仿宋_GB2312"/>
          <w:sz w:val="24"/>
          <w:u w:val="single"/>
        </w:rPr>
        <w:t xml:space="preserve">  0.5  </w:t>
      </w:r>
      <w:r>
        <w:rPr>
          <w:rFonts w:hint="eastAsia" w:ascii="仿宋_GB2312" w:hAnsi="仿宋" w:eastAsia="仿宋_GB2312"/>
          <w:sz w:val="24"/>
        </w:rPr>
        <w:t>%计算，最高限额为本合同总价的</w:t>
      </w:r>
      <w:r>
        <w:rPr>
          <w:rFonts w:hint="eastAsia" w:ascii="仿宋_GB2312" w:hAnsi="仿宋" w:eastAsia="仿宋_GB2312"/>
          <w:sz w:val="24"/>
          <w:u w:val="single"/>
        </w:rPr>
        <w:t xml:space="preserve">  20  </w:t>
      </w:r>
      <w:r>
        <w:rPr>
          <w:rFonts w:hint="eastAsia" w:ascii="仿宋_GB2312" w:hAnsi="仿宋" w:eastAsia="仿宋_GB2312"/>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1.6.2 除不可抗力外，如果甲方没有按照本合同约定的付款方式付款，那么乙方可要求甲方支付违约金，违约金按每迟延付款一日的应付而未付款的</w:t>
      </w:r>
      <w:r>
        <w:rPr>
          <w:rFonts w:hint="eastAsia" w:ascii="仿宋_GB2312" w:hAnsi="仿宋" w:eastAsia="仿宋_GB2312"/>
          <w:sz w:val="24"/>
          <w:u w:val="single"/>
        </w:rPr>
        <w:t xml:space="preserve"> 0.5  </w:t>
      </w:r>
      <w:r>
        <w:rPr>
          <w:rFonts w:hint="eastAsia" w:ascii="仿宋_GB2312" w:hAnsi="仿宋" w:eastAsia="仿宋_GB2312"/>
          <w:sz w:val="24"/>
        </w:rPr>
        <w:t>%计算，最高限额为本合同总价的</w:t>
      </w:r>
      <w:r>
        <w:rPr>
          <w:rFonts w:hint="eastAsia" w:ascii="仿宋_GB2312" w:hAnsi="仿宋" w:eastAsia="仿宋_GB2312"/>
          <w:sz w:val="24"/>
          <w:u w:val="single"/>
        </w:rPr>
        <w:t xml:space="preserve">  20 </w:t>
      </w:r>
      <w:r>
        <w:rPr>
          <w:rFonts w:hint="eastAsia" w:ascii="仿宋_GB2312" w:hAnsi="仿宋"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w:t>
      </w:r>
      <w:r>
        <w:rPr>
          <w:rFonts w:hint="eastAsia" w:ascii="仿宋_GB2312" w:hAnsi="楷体" w:eastAsia="仿宋_GB2312"/>
          <w:b/>
          <w:sz w:val="24"/>
          <w:lang w:val="en-US" w:eastAsia="zh-CN"/>
        </w:rPr>
        <w:t>7</w:t>
      </w:r>
      <w:r>
        <w:rPr>
          <w:rFonts w:hint="eastAsia" w:ascii="仿宋_GB2312" w:hAnsi="楷体" w:eastAsia="仿宋_GB2312"/>
          <w:b/>
          <w:sz w:val="24"/>
        </w:rPr>
        <w:t xml:space="preserve"> 售后服务</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w:t>
      </w:r>
      <w:r>
        <w:rPr>
          <w:rFonts w:hint="eastAsia" w:ascii="仿宋_GB2312" w:hAnsi="楷体" w:eastAsia="仿宋_GB2312"/>
          <w:sz w:val="24"/>
          <w:lang w:val="en-US" w:eastAsia="zh-CN"/>
        </w:rPr>
        <w:t>7</w:t>
      </w:r>
      <w:r>
        <w:rPr>
          <w:rFonts w:hint="eastAsia" w:ascii="仿宋_GB2312" w:hAnsi="楷体" w:eastAsia="仿宋_GB2312"/>
          <w:sz w:val="24"/>
        </w:rPr>
        <w:t>．1本合同标的质保期为最终验收合格之日起</w:t>
      </w:r>
      <w:r>
        <w:rPr>
          <w:rFonts w:ascii="仿宋_GB2312" w:hAnsi="楷体" w:eastAsia="仿宋_GB2312"/>
          <w:sz w:val="24"/>
          <w:u w:val="single"/>
        </w:rPr>
        <w:t xml:space="preserve"> </w:t>
      </w:r>
      <w:r>
        <w:rPr>
          <w:rFonts w:hint="eastAsia" w:ascii="仿宋_GB2312" w:hAnsi="楷体" w:eastAsia="仿宋_GB2312"/>
          <w:sz w:val="24"/>
          <w:u w:val="single"/>
        </w:rPr>
        <w:t xml:space="preserve"> </w:t>
      </w:r>
      <w:r>
        <w:rPr>
          <w:rFonts w:hint="eastAsia" w:ascii="仿宋_GB2312" w:hAnsi="楷体" w:eastAsia="仿宋_GB2312"/>
          <w:sz w:val="24"/>
        </w:rPr>
        <w:t>月，在质保期内发生的乙方责任范围内的一切部件更换及设备维修费等费用均由乙方承担。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w:t>
      </w:r>
      <w:r>
        <w:rPr>
          <w:rFonts w:hint="eastAsia" w:ascii="仿宋_GB2312" w:hAnsi="楷体" w:eastAsia="仿宋_GB2312"/>
          <w:sz w:val="24"/>
          <w:lang w:val="en-US" w:eastAsia="zh-CN"/>
        </w:rPr>
        <w:t>7</w:t>
      </w:r>
      <w:r>
        <w:rPr>
          <w:rFonts w:hint="eastAsia" w:ascii="仿宋_GB2312" w:hAnsi="楷体" w:eastAsia="仿宋_GB2312"/>
          <w:sz w:val="24"/>
        </w:rPr>
        <w:t>.2 乙方在质保期内的工作应包括对所有合同标的检查和调整等。</w:t>
      </w:r>
    </w:p>
    <w:p>
      <w:pPr>
        <w:spacing w:line="360" w:lineRule="auto"/>
        <w:ind w:firstLine="482" w:firstLineChars="200"/>
        <w:outlineLvl w:val="0"/>
        <w:rPr>
          <w:rFonts w:hint="eastAsia" w:ascii="仿宋_GB2312" w:hAnsi="楷体" w:eastAsia="仿宋_GB2312"/>
          <w:b/>
          <w:sz w:val="24"/>
        </w:rPr>
      </w:pPr>
      <w:bookmarkStart w:id="388" w:name="_Toc28375"/>
      <w:bookmarkStart w:id="389" w:name="_Toc15583"/>
      <w:bookmarkStart w:id="390" w:name="_Toc16021"/>
      <w:r>
        <w:rPr>
          <w:rFonts w:hint="eastAsia" w:ascii="仿宋_GB2312" w:hAnsi="楷体" w:eastAsia="仿宋_GB2312"/>
          <w:b/>
          <w:sz w:val="24"/>
          <w:lang w:val="en-US" w:eastAsia="zh-CN"/>
        </w:rPr>
        <w:t>1.8</w:t>
      </w:r>
      <w:r>
        <w:rPr>
          <w:rFonts w:hint="eastAsia" w:ascii="仿宋_GB2312" w:hAnsi="楷体" w:eastAsia="仿宋_GB2312"/>
          <w:b/>
          <w:sz w:val="24"/>
        </w:rPr>
        <w:t xml:space="preserve"> 合同争议的解决</w:t>
      </w:r>
      <w:bookmarkEnd w:id="388"/>
      <w:bookmarkEnd w:id="389"/>
      <w:bookmarkEnd w:id="39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2  </w:t>
      </w:r>
      <w:r>
        <w:rPr>
          <w:rFonts w:hint="eastAsia" w:ascii="仿宋_GB2312" w:hAnsi="楷体" w:eastAsia="仿宋_GB2312"/>
          <w:sz w:val="24"/>
        </w:rPr>
        <w:t>种方式解决：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en-US" w:eastAsia="zh-CN"/>
        </w:rPr>
        <w:t>1.8</w:t>
      </w:r>
      <w:r>
        <w:rPr>
          <w:rFonts w:ascii="仿宋_GB2312" w:hAnsi="楷体" w:eastAsia="仿宋_GB2312"/>
          <w:sz w:val="24"/>
        </w:rPr>
        <w:t>.</w:t>
      </w:r>
      <w:r>
        <w:rPr>
          <w:rFonts w:hint="eastAsia" w:ascii="仿宋_GB2312" w:hAnsi="楷体" w:eastAsia="仿宋_GB2312"/>
          <w:sz w:val="24"/>
        </w:rPr>
        <w:t>1 将争议提交</w:t>
      </w:r>
      <w:r>
        <w:rPr>
          <w:rFonts w:hint="eastAsia" w:ascii="仿宋_GB2312" w:hAnsi="楷体" w:eastAsia="仿宋_GB2312"/>
          <w:sz w:val="24"/>
          <w:u w:val="single"/>
        </w:rPr>
        <w:t xml:space="preserve">              </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en-US" w:eastAsia="zh-CN"/>
        </w:rPr>
        <w:t>1.8</w:t>
      </w:r>
      <w:r>
        <w:rPr>
          <w:rFonts w:ascii="仿宋_GB2312" w:hAnsi="楷体" w:eastAsia="仿宋_GB2312"/>
          <w:sz w:val="24"/>
        </w:rPr>
        <w:t>.</w:t>
      </w:r>
      <w:r>
        <w:rPr>
          <w:rFonts w:hint="eastAsia" w:ascii="仿宋_GB2312" w:hAnsi="楷体" w:eastAsia="仿宋_GB2312"/>
          <w:sz w:val="24"/>
        </w:rPr>
        <w:t xml:space="preserve">2 </w:t>
      </w:r>
      <w:r>
        <w:rPr>
          <w:rFonts w:hint="eastAsia" w:ascii="仿宋_GB2312" w:hAnsi="仿宋" w:eastAsia="仿宋_GB2312"/>
          <w:sz w:val="24"/>
        </w:rPr>
        <w:t>向</w:t>
      </w:r>
      <w:r>
        <w:rPr>
          <w:rFonts w:hint="eastAsia" w:ascii="仿宋_GB2312" w:hAnsi="仿宋" w:eastAsia="仿宋_GB2312"/>
          <w:sz w:val="24"/>
          <w:u w:val="single"/>
        </w:rPr>
        <w:t xml:space="preserve">   （被告住所地、合同履行地、合同签订地、原告住所地、标的物所在地等与争议有实际联系的地点中选出的人民法院名称）    </w:t>
      </w:r>
      <w:r>
        <w:rPr>
          <w:rFonts w:hint="eastAsia" w:ascii="仿宋_GB2312" w:hAnsi="仿宋" w:eastAsia="仿宋_GB2312"/>
          <w:sz w:val="24"/>
        </w:rPr>
        <w:t>人民法院起诉。</w:t>
      </w:r>
    </w:p>
    <w:p>
      <w:pPr>
        <w:spacing w:line="360" w:lineRule="auto"/>
        <w:ind w:firstLine="482" w:firstLineChars="200"/>
        <w:outlineLvl w:val="0"/>
        <w:rPr>
          <w:rFonts w:hint="eastAsia" w:ascii="仿宋_GB2312" w:hAnsi="楷体" w:eastAsia="仿宋_GB2312"/>
          <w:b/>
          <w:sz w:val="24"/>
        </w:rPr>
      </w:pPr>
      <w:bookmarkStart w:id="391" w:name="_Toc11173"/>
      <w:bookmarkStart w:id="392" w:name="_Toc7245"/>
      <w:bookmarkStart w:id="393" w:name="_Toc15322"/>
      <w:r>
        <w:rPr>
          <w:rFonts w:hint="eastAsia" w:ascii="仿宋_GB2312" w:hAnsi="楷体" w:eastAsia="仿宋_GB2312"/>
          <w:b/>
          <w:sz w:val="24"/>
          <w:lang w:val="en-US" w:eastAsia="zh-CN"/>
        </w:rPr>
        <w:t>1.9</w:t>
      </w:r>
      <w:r>
        <w:rPr>
          <w:rFonts w:hint="eastAsia" w:ascii="仿宋_GB2312" w:hAnsi="楷体" w:eastAsia="仿宋_GB2312"/>
          <w:b/>
          <w:sz w:val="24"/>
        </w:rPr>
        <w:t>合同生效</w:t>
      </w:r>
      <w:bookmarkEnd w:id="391"/>
      <w:bookmarkEnd w:id="392"/>
      <w:bookmarkEnd w:id="393"/>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本合同自双方当事人盖章或者签字时生效。</w:t>
      </w:r>
    </w:p>
    <w:p>
      <w:pPr>
        <w:autoSpaceDE w:val="0"/>
        <w:autoSpaceDN w:val="0"/>
        <w:spacing w:line="360" w:lineRule="auto"/>
        <w:rPr>
          <w:rFonts w:hint="eastAsia" w:ascii="仿宋_GB2312" w:hAnsi="楷体" w:eastAsia="仿宋_GB2312"/>
          <w:sz w:val="24"/>
          <w:lang w:val="zh-CN"/>
        </w:rPr>
      </w:pP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b/>
          <w:sz w:val="24"/>
          <w:lang w:val="zh-CN"/>
        </w:rPr>
        <w:t>甲方</w:t>
      </w:r>
      <w:r>
        <w:rPr>
          <w:rFonts w:hint="eastAsia" w:ascii="仿宋_GB2312" w:hAnsi="楷体" w:eastAsia="仿宋_GB2312"/>
          <w:sz w:val="24"/>
          <w:lang w:val="zh-CN"/>
        </w:rPr>
        <w:t xml:space="preserve">：                             </w:t>
      </w:r>
      <w:r>
        <w:rPr>
          <w:rFonts w:hint="eastAsia" w:ascii="仿宋_GB2312" w:hAnsi="楷体" w:eastAsia="仿宋_GB2312"/>
          <w:b/>
          <w:sz w:val="24"/>
          <w:lang w:val="zh-CN"/>
        </w:rPr>
        <w:t xml:space="preserve">      乙方</w:t>
      </w:r>
      <w:r>
        <w:rPr>
          <w:rFonts w:hint="eastAsia" w:ascii="仿宋_GB2312" w:hAnsi="楷体" w:eastAsia="仿宋_GB2312"/>
          <w:sz w:val="24"/>
          <w:lang w:val="zh-CN"/>
        </w:rPr>
        <w:t>：</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autoSpaceDE w:val="0"/>
        <w:autoSpaceDN w:val="0"/>
        <w:spacing w:line="360" w:lineRule="auto"/>
        <w:rPr>
          <w:rFonts w:hint="eastAsia" w:ascii="仿宋_GB2312" w:hAnsi="楷体" w:eastAsia="仿宋_GB2312"/>
          <w:sz w:val="24"/>
          <w:lang w:val="zh-CN"/>
        </w:rPr>
      </w:pP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住所：                                   住所：</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联系人：                                 联系人：</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邮政编码：                               邮政编码：</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传真:                                    传真:</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lang w:val="zh-CN"/>
        </w:rPr>
        <w:t>电子邮箱：                               电子邮箱：</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 xml:space="preserve">开户银行：                               开户银行： </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 xml:space="preserve">开户名称：                               开户名称： </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pStyle w:val="22"/>
        <w:ind w:firstLine="482"/>
        <w:jc w:val="center"/>
        <w:rPr>
          <w:rFonts w:hint="eastAsia" w:ascii="仿宋_GB2312" w:hAnsi="楷体" w:eastAsia="仿宋_GB2312"/>
          <w:b/>
          <w:szCs w:val="24"/>
        </w:rPr>
      </w:pPr>
      <w:bookmarkStart w:id="394" w:name="_Toc331685783"/>
      <w:r>
        <w:rPr>
          <w:rFonts w:ascii="仿宋_GB2312" w:hAnsi="楷体" w:eastAsia="仿宋_GB2312"/>
          <w:b/>
          <w:szCs w:val="24"/>
        </w:rPr>
        <w:br w:type="page"/>
      </w:r>
      <w:r>
        <w:rPr>
          <w:rFonts w:hint="eastAsia" w:ascii="仿宋_GB2312" w:hAnsi="楷体" w:eastAsia="仿宋_GB2312"/>
          <w:b/>
          <w:szCs w:val="24"/>
        </w:rPr>
        <w:t>第二部分 合同一般条款</w:t>
      </w:r>
      <w:bookmarkEnd w:id="394"/>
    </w:p>
    <w:p>
      <w:pPr>
        <w:spacing w:line="360" w:lineRule="auto"/>
        <w:ind w:firstLine="482" w:firstLineChars="200"/>
        <w:outlineLvl w:val="0"/>
        <w:rPr>
          <w:rFonts w:hint="eastAsia" w:ascii="仿宋_GB2312" w:hAnsi="楷体" w:eastAsia="仿宋_GB2312"/>
          <w:b/>
          <w:sz w:val="24"/>
        </w:rPr>
      </w:pPr>
      <w:bookmarkStart w:id="395" w:name="_Ref467379195"/>
      <w:bookmarkStart w:id="396" w:name="_Ref467379109"/>
      <w:bookmarkStart w:id="397" w:name="_Ref467379225"/>
      <w:bookmarkStart w:id="398" w:name="_Toc259093669"/>
      <w:bookmarkStart w:id="399" w:name="_Ref467378463"/>
      <w:bookmarkStart w:id="400" w:name="_Ref467379205"/>
      <w:bookmarkStart w:id="401" w:name="_Toc279701240"/>
      <w:bookmarkStart w:id="402" w:name="_Ref467378499"/>
      <w:bookmarkStart w:id="403" w:name="_Ref467378404"/>
      <w:bookmarkStart w:id="404" w:name="_Ref467379214"/>
      <w:bookmarkStart w:id="405" w:name="_Toc16917"/>
      <w:bookmarkStart w:id="406" w:name="_Ref467379101"/>
      <w:bookmarkStart w:id="407" w:name="_Toc28763"/>
      <w:bookmarkStart w:id="408" w:name="_Ref467379094"/>
      <w:bookmarkStart w:id="409" w:name="_Toc487900349"/>
      <w:bookmarkStart w:id="410" w:name="_Toc19614"/>
      <w:r>
        <w:rPr>
          <w:rFonts w:hint="eastAsia" w:ascii="仿宋_GB2312" w:hAnsi="楷体" w:eastAsia="仿宋_GB2312"/>
          <w:b/>
          <w:sz w:val="24"/>
        </w:rPr>
        <w:t>2.1 定义</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“合同价”系指根据合同约定，中标供应商在完全履行合同义务后，采购人应支付给中标供应商的价格。</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hint="eastAsia" w:ascii="仿宋_GB2312" w:hAnsi="楷体" w:eastAsia="仿宋_GB2312"/>
          <w:sz w:val="24"/>
        </w:rPr>
      </w:pPr>
      <w:bookmarkStart w:id="411" w:name="_Ref467378840"/>
      <w:r>
        <w:rPr>
          <w:rFonts w:hint="eastAsia" w:ascii="仿宋_GB2312" w:hAnsi="楷体" w:eastAsia="仿宋_GB2312"/>
          <w:sz w:val="24"/>
        </w:rPr>
        <w:t>2.1.4 “甲方”系指与中标供应商签署合同的采购人</w:t>
      </w:r>
      <w:bookmarkEnd w:id="411"/>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sz w:val="24"/>
        </w:rPr>
      </w:pPr>
      <w:bookmarkStart w:id="412" w:name="_Ref467379400"/>
      <w:r>
        <w:rPr>
          <w:rFonts w:hint="eastAsia" w:ascii="仿宋_GB2312" w:hAnsi="楷体" w:eastAsia="仿宋_GB2312"/>
          <w:sz w:val="24"/>
        </w:rPr>
        <w:t>2.1.5 “乙方”系指根据合同约定交付货物的中标供应商</w:t>
      </w:r>
      <w:bookmarkEnd w:id="412"/>
      <w:r>
        <w:rPr>
          <w:rFonts w:hint="eastAsia" w:ascii="仿宋_GB2312" w:hAnsi="楷体"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rPr>
      </w:pPr>
      <w:bookmarkStart w:id="413" w:name="_Ref467379436"/>
      <w:r>
        <w:rPr>
          <w:rFonts w:hint="eastAsia" w:ascii="仿宋_GB2312" w:hAnsi="楷体" w:eastAsia="仿宋_GB2312"/>
          <w:sz w:val="24"/>
        </w:rPr>
        <w:t>2.1.6 “现场”系指合同约定货物将要运至或者安装的地点。</w:t>
      </w:r>
      <w:bookmarkEnd w:id="413"/>
    </w:p>
    <w:p>
      <w:pPr>
        <w:spacing w:line="360" w:lineRule="auto"/>
        <w:ind w:firstLine="482" w:firstLineChars="200"/>
        <w:outlineLvl w:val="0"/>
        <w:rPr>
          <w:rFonts w:hint="eastAsia" w:ascii="仿宋_GB2312" w:hAnsi="楷体" w:eastAsia="仿宋_GB2312"/>
          <w:b/>
          <w:sz w:val="24"/>
        </w:rPr>
      </w:pPr>
      <w:bookmarkStart w:id="414" w:name="_Toc27635"/>
      <w:bookmarkStart w:id="415" w:name="_Toc32504"/>
      <w:bookmarkStart w:id="416" w:name="_Toc487900350"/>
      <w:bookmarkStart w:id="417" w:name="_Toc259093670"/>
      <w:bookmarkStart w:id="418" w:name="_Toc13336"/>
      <w:bookmarkStart w:id="419" w:name="_Toc279701241"/>
      <w:r>
        <w:rPr>
          <w:rFonts w:hint="eastAsia" w:ascii="仿宋_GB2312" w:hAnsi="楷体" w:eastAsia="仿宋_GB2312"/>
          <w:b/>
          <w:sz w:val="24"/>
        </w:rPr>
        <w:t>2.2 技术规范</w:t>
      </w:r>
      <w:bookmarkEnd w:id="414"/>
      <w:bookmarkEnd w:id="415"/>
      <w:bookmarkEnd w:id="416"/>
      <w:bookmarkEnd w:id="417"/>
      <w:bookmarkEnd w:id="418"/>
      <w:bookmarkEnd w:id="41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_GB2312" w:hAnsi="楷体" w:eastAsia="仿宋_GB2312"/>
          <w:b/>
          <w:sz w:val="24"/>
        </w:rPr>
      </w:pPr>
      <w:bookmarkStart w:id="420" w:name="_Toc31634"/>
      <w:bookmarkStart w:id="421" w:name="_Toc259093671"/>
      <w:bookmarkStart w:id="422" w:name="_Toc9829"/>
      <w:bookmarkStart w:id="423" w:name="_Toc487900351"/>
      <w:bookmarkStart w:id="424" w:name="_Toc27853"/>
      <w:bookmarkStart w:id="425" w:name="_Toc279701242"/>
      <w:r>
        <w:rPr>
          <w:rFonts w:hint="eastAsia" w:ascii="仿宋_GB2312" w:hAnsi="楷体" w:eastAsia="仿宋_GB2312"/>
          <w:b/>
          <w:sz w:val="24"/>
        </w:rPr>
        <w:t>2.3 知识产权</w:t>
      </w:r>
      <w:bookmarkEnd w:id="420"/>
      <w:bookmarkEnd w:id="421"/>
      <w:bookmarkEnd w:id="422"/>
      <w:bookmarkEnd w:id="423"/>
      <w:bookmarkEnd w:id="424"/>
      <w:bookmarkEnd w:id="42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2.3.2具有知识产权的计算机软件等货物的知识产权归属，详见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26" w:name="_Toc11932"/>
      <w:bookmarkStart w:id="427" w:name="_Toc4194"/>
      <w:bookmarkStart w:id="428" w:name="_Toc29149"/>
      <w:r>
        <w:rPr>
          <w:rFonts w:hint="eastAsia" w:ascii="仿宋_GB2312" w:hAnsi="楷体" w:eastAsia="仿宋_GB2312"/>
          <w:b/>
          <w:sz w:val="24"/>
        </w:rPr>
        <w:t>2.4 包装和装运</w:t>
      </w:r>
      <w:bookmarkEnd w:id="426"/>
      <w:bookmarkEnd w:id="427"/>
      <w:bookmarkEnd w:id="42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装运货物的要求和通知，详见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29" w:name="_Ref467379536"/>
      <w:bookmarkStart w:id="430" w:name="_Ref467379542"/>
      <w:bookmarkStart w:id="431" w:name="_Ref467378541"/>
      <w:bookmarkStart w:id="432" w:name="_Ref467379527"/>
      <w:bookmarkStart w:id="433" w:name="_Toc279701245"/>
      <w:bookmarkStart w:id="434" w:name="_Ref467378591"/>
      <w:bookmarkStart w:id="435" w:name="_Toc259093674"/>
      <w:bookmarkStart w:id="436" w:name="_Toc487900354"/>
      <w:bookmarkStart w:id="437" w:name="_Toc26182"/>
      <w:bookmarkStart w:id="438" w:name="_Toc30272"/>
      <w:bookmarkStart w:id="439" w:name="_Toc19074"/>
      <w:r>
        <w:rPr>
          <w:rFonts w:hint="eastAsia" w:ascii="仿宋_GB2312" w:hAnsi="楷体" w:eastAsia="仿宋_GB2312"/>
          <w:b/>
          <w:sz w:val="24"/>
        </w:rPr>
        <w:t>2.</w:t>
      </w:r>
      <w:bookmarkEnd w:id="429"/>
      <w:bookmarkEnd w:id="430"/>
      <w:bookmarkEnd w:id="431"/>
      <w:bookmarkEnd w:id="432"/>
      <w:bookmarkEnd w:id="433"/>
      <w:bookmarkEnd w:id="434"/>
      <w:bookmarkEnd w:id="435"/>
      <w:bookmarkEnd w:id="436"/>
      <w:r>
        <w:rPr>
          <w:rFonts w:hint="eastAsia" w:ascii="仿宋_GB2312" w:hAnsi="楷体" w:eastAsia="仿宋_GB2312"/>
          <w:b/>
          <w:sz w:val="24"/>
        </w:rPr>
        <w:t>5 履约检查和问题反馈</w:t>
      </w:r>
      <w:bookmarkEnd w:id="437"/>
      <w:bookmarkEnd w:id="438"/>
      <w:bookmarkEnd w:id="439"/>
    </w:p>
    <w:p>
      <w:pPr>
        <w:spacing w:line="360" w:lineRule="auto"/>
        <w:ind w:firstLine="480" w:firstLineChars="200"/>
        <w:rPr>
          <w:rFonts w:hint="eastAsia" w:ascii="仿宋_GB2312" w:hAnsi="楷体" w:eastAsia="仿宋_GB2312"/>
          <w:sz w:val="24"/>
        </w:rPr>
      </w:pPr>
      <w:bookmarkStart w:id="440" w:name="_Ref467379657"/>
      <w:r>
        <w:rPr>
          <w:rFonts w:hint="eastAsia" w:ascii="仿宋_GB2312" w:hAnsi="楷体" w:eastAsia="仿宋_GB2312"/>
          <w:sz w:val="24"/>
        </w:rPr>
        <w:t>2.5.1</w:t>
      </w:r>
      <w:bookmarkEnd w:id="440"/>
      <w:bookmarkStart w:id="441" w:name="_Toc186431854"/>
      <w:bookmarkStart w:id="442" w:name="_Ref467379807"/>
      <w:bookmarkStart w:id="443" w:name="_Ref467379793"/>
      <w:bookmarkStart w:id="444" w:name="_Toc279701247"/>
      <w:bookmarkStart w:id="445" w:name="_Toc259093676"/>
      <w:bookmarkStart w:id="446" w:name="_Toc487900357"/>
      <w:r>
        <w:rPr>
          <w:rFonts w:hint="eastAsia" w:ascii="仿宋_GB2312" w:hAnsi="楷体" w:eastAsia="仿宋_GB2312"/>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441"/>
      <w:bookmarkStart w:id="447" w:name="_Toc186431855"/>
      <w:r>
        <w:rPr>
          <w:rFonts w:hint="eastAsia" w:ascii="仿宋_GB2312" w:hAnsi="楷体" w:eastAsia="仿宋_GB2312"/>
          <w:sz w:val="24"/>
        </w:rPr>
        <w:t>。</w:t>
      </w:r>
    </w:p>
    <w:bookmarkEnd w:id="447"/>
    <w:p>
      <w:pPr>
        <w:spacing w:line="360" w:lineRule="auto"/>
        <w:ind w:firstLine="482" w:firstLineChars="200"/>
        <w:outlineLvl w:val="0"/>
        <w:rPr>
          <w:rFonts w:hint="eastAsia" w:ascii="仿宋_GB2312" w:hAnsi="楷体" w:eastAsia="仿宋_GB2312"/>
          <w:b/>
          <w:sz w:val="24"/>
        </w:rPr>
      </w:pPr>
      <w:bookmarkStart w:id="448" w:name="_Toc7836"/>
      <w:bookmarkStart w:id="449" w:name="_Toc28451"/>
      <w:bookmarkStart w:id="450" w:name="_Toc19219"/>
      <w:r>
        <w:rPr>
          <w:rFonts w:hint="eastAsia" w:ascii="仿宋_GB2312" w:hAnsi="楷体" w:eastAsia="仿宋_GB2312"/>
          <w:b/>
          <w:sz w:val="24"/>
        </w:rPr>
        <w:t>2.6 结算方式和付款条件</w:t>
      </w:r>
      <w:bookmarkEnd w:id="442"/>
      <w:bookmarkEnd w:id="443"/>
      <w:bookmarkEnd w:id="444"/>
      <w:bookmarkEnd w:id="445"/>
      <w:bookmarkEnd w:id="446"/>
      <w:bookmarkEnd w:id="448"/>
      <w:bookmarkEnd w:id="449"/>
      <w:bookmarkEnd w:id="45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51" w:name="_Ref467379863"/>
      <w:bookmarkStart w:id="452" w:name="_Toc487900358"/>
      <w:bookmarkStart w:id="453" w:name="_Ref467379852"/>
      <w:bookmarkStart w:id="454" w:name="_Toc259093677"/>
      <w:bookmarkStart w:id="455" w:name="_Toc279701248"/>
      <w:bookmarkStart w:id="456" w:name="_Ref467379923"/>
      <w:bookmarkStart w:id="457" w:name="_Toc774"/>
      <w:bookmarkStart w:id="458" w:name="_Toc16110"/>
      <w:bookmarkStart w:id="459" w:name="_Toc3225"/>
      <w:r>
        <w:rPr>
          <w:rFonts w:hint="eastAsia" w:ascii="仿宋_GB2312" w:hAnsi="楷体" w:eastAsia="仿宋_GB2312"/>
          <w:b/>
          <w:sz w:val="24"/>
        </w:rPr>
        <w:t>2.7 技术资料</w:t>
      </w:r>
      <w:bookmarkEnd w:id="451"/>
      <w:bookmarkEnd w:id="452"/>
      <w:bookmarkEnd w:id="453"/>
      <w:bookmarkEnd w:id="454"/>
      <w:bookmarkEnd w:id="455"/>
      <w:bookmarkEnd w:id="456"/>
      <w:r>
        <w:rPr>
          <w:rFonts w:hint="eastAsia" w:ascii="仿宋_GB2312" w:hAnsi="楷体" w:eastAsia="仿宋_GB2312"/>
          <w:b/>
          <w:sz w:val="24"/>
        </w:rPr>
        <w:t>和保密义务</w:t>
      </w:r>
      <w:bookmarkEnd w:id="457"/>
      <w:bookmarkEnd w:id="458"/>
      <w:bookmarkEnd w:id="45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_GB2312" w:hAnsi="楷体" w:eastAsia="仿宋_GB2312"/>
          <w:b/>
          <w:sz w:val="24"/>
        </w:rPr>
      </w:pPr>
      <w:bookmarkStart w:id="460" w:name="_Toc7860"/>
      <w:r>
        <w:rPr>
          <w:rFonts w:hint="eastAsia" w:ascii="仿宋_GB2312" w:hAnsi="楷体" w:eastAsia="仿宋_GB2312"/>
          <w:b/>
          <w:sz w:val="24"/>
        </w:rPr>
        <w:t>2.8 质量保证</w:t>
      </w:r>
      <w:bookmarkEnd w:id="46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_GB2312" w:hAnsi="楷体" w:eastAsia="仿宋_GB2312"/>
          <w:b/>
          <w:sz w:val="24"/>
        </w:rPr>
      </w:pPr>
      <w:bookmarkStart w:id="461" w:name="_Toc17244"/>
      <w:bookmarkStart w:id="462" w:name="_Toc279701252"/>
      <w:bookmarkStart w:id="463" w:name="_Toc487900362"/>
      <w:bookmarkStart w:id="464" w:name="_Toc259093681"/>
      <w:r>
        <w:rPr>
          <w:rFonts w:hint="eastAsia" w:ascii="仿宋_GB2312" w:hAnsi="楷体" w:eastAsia="仿宋_GB2312"/>
          <w:b/>
          <w:sz w:val="24"/>
        </w:rPr>
        <w:t>2.9 货物的风险负担</w:t>
      </w:r>
      <w:bookmarkEnd w:id="461"/>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货物或者在途货物或者交付给第一承运人后的货物毁损、灭失的风险负担详见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65" w:name="_Toc14055"/>
      <w:r>
        <w:rPr>
          <w:rFonts w:hint="eastAsia" w:ascii="仿宋_GB2312" w:hAnsi="楷体" w:eastAsia="仿宋_GB2312"/>
          <w:b/>
          <w:sz w:val="24"/>
        </w:rPr>
        <w:t>2.10 延迟交货</w:t>
      </w:r>
      <w:bookmarkEnd w:id="462"/>
      <w:bookmarkEnd w:id="463"/>
      <w:bookmarkEnd w:id="464"/>
      <w:bookmarkEnd w:id="46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仿宋_GB2312" w:hAnsi="楷体" w:eastAsia="仿宋_GB2312"/>
          <w:b/>
          <w:sz w:val="24"/>
        </w:rPr>
      </w:pPr>
      <w:bookmarkStart w:id="466" w:name="_Toc7502"/>
      <w:bookmarkStart w:id="467" w:name="_Toc487900364"/>
      <w:bookmarkStart w:id="468" w:name="_Ref467378121"/>
      <w:bookmarkStart w:id="469" w:name="_Toc279701254"/>
      <w:bookmarkStart w:id="470" w:name="_Toc259093683"/>
      <w:r>
        <w:rPr>
          <w:rFonts w:hint="eastAsia" w:ascii="仿宋_GB2312" w:hAnsi="楷体" w:eastAsia="仿宋_GB2312"/>
          <w:b/>
          <w:sz w:val="24"/>
        </w:rPr>
        <w:t>2.11 合同变更</w:t>
      </w:r>
      <w:bookmarkEnd w:id="46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471" w:name="_Toc279701259"/>
      <w:bookmarkStart w:id="472" w:name="_Toc487900369"/>
      <w:bookmarkStart w:id="473" w:name="_Toc259093688"/>
    </w:p>
    <w:p>
      <w:pPr>
        <w:spacing w:line="360" w:lineRule="auto"/>
        <w:ind w:firstLine="482" w:firstLineChars="200"/>
        <w:outlineLvl w:val="0"/>
        <w:rPr>
          <w:rFonts w:hint="eastAsia" w:ascii="仿宋_GB2312" w:hAnsi="楷体" w:eastAsia="仿宋_GB2312"/>
          <w:b/>
          <w:sz w:val="24"/>
        </w:rPr>
      </w:pPr>
      <w:bookmarkStart w:id="474" w:name="_Toc15237"/>
      <w:bookmarkStart w:id="475" w:name="_Toc22955"/>
      <w:bookmarkStart w:id="476" w:name="_Toc10366"/>
      <w:r>
        <w:rPr>
          <w:rFonts w:hint="eastAsia" w:ascii="仿宋_GB2312" w:hAnsi="楷体" w:eastAsia="仿宋_GB2312"/>
          <w:b/>
          <w:sz w:val="24"/>
        </w:rPr>
        <w:t>2.12 合同转让</w:t>
      </w:r>
      <w:bookmarkEnd w:id="471"/>
      <w:bookmarkEnd w:id="472"/>
      <w:bookmarkEnd w:id="473"/>
      <w:r>
        <w:rPr>
          <w:rFonts w:hint="eastAsia" w:ascii="仿宋_GB2312" w:hAnsi="楷体" w:eastAsia="仿宋_GB2312"/>
          <w:b/>
          <w:sz w:val="24"/>
        </w:rPr>
        <w:t>和分包</w:t>
      </w:r>
      <w:bookmarkEnd w:id="474"/>
      <w:bookmarkEnd w:id="475"/>
      <w:bookmarkEnd w:id="47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0"/>
        <w:rPr>
          <w:rFonts w:hint="eastAsia" w:ascii="仿宋_GB2312" w:hAnsi="楷体" w:eastAsia="仿宋_GB2312"/>
          <w:b/>
          <w:sz w:val="24"/>
        </w:rPr>
      </w:pPr>
      <w:bookmarkStart w:id="477" w:name="_Toc16508"/>
      <w:bookmarkStart w:id="478" w:name="_Toc13566"/>
      <w:bookmarkStart w:id="479" w:name="_Toc14066"/>
      <w:r>
        <w:rPr>
          <w:rFonts w:hint="eastAsia" w:ascii="仿宋_GB2312" w:hAnsi="楷体" w:eastAsia="仿宋_GB2312"/>
          <w:b/>
          <w:sz w:val="24"/>
        </w:rPr>
        <w:t>2.13 不可抗力</w:t>
      </w:r>
      <w:bookmarkEnd w:id="477"/>
      <w:bookmarkEnd w:id="478"/>
      <w:bookmarkEnd w:id="47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 因不可抗力致使不能实现合同目的的，当事人可以解除合同；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2" w:firstLineChars="200"/>
        <w:outlineLvl w:val="0"/>
        <w:rPr>
          <w:rFonts w:hint="eastAsia" w:ascii="仿宋_GB2312" w:hAnsi="楷体" w:eastAsia="仿宋_GB2312"/>
          <w:b/>
          <w:sz w:val="24"/>
        </w:rPr>
      </w:pPr>
      <w:bookmarkStart w:id="480" w:name="_Toc30676"/>
      <w:bookmarkStart w:id="481" w:name="_Toc6969"/>
      <w:bookmarkStart w:id="482" w:name="_Toc259093684"/>
      <w:bookmarkStart w:id="483" w:name="_Toc689"/>
      <w:bookmarkStart w:id="484" w:name="_Toc279701255"/>
      <w:bookmarkStart w:id="485" w:name="_Toc487900365"/>
      <w:r>
        <w:rPr>
          <w:rFonts w:hint="eastAsia" w:ascii="仿宋_GB2312" w:hAnsi="楷体" w:eastAsia="仿宋_GB2312"/>
          <w:b/>
          <w:sz w:val="24"/>
        </w:rPr>
        <w:t>2.14 税费</w:t>
      </w:r>
      <w:bookmarkEnd w:id="480"/>
      <w:bookmarkEnd w:id="481"/>
      <w:bookmarkEnd w:id="482"/>
      <w:bookmarkEnd w:id="483"/>
      <w:bookmarkEnd w:id="484"/>
      <w:bookmarkEnd w:id="48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w:t>
      </w:r>
    </w:p>
    <w:p>
      <w:pPr>
        <w:spacing w:line="360" w:lineRule="auto"/>
        <w:ind w:firstLine="482" w:firstLineChars="200"/>
        <w:outlineLvl w:val="0"/>
        <w:rPr>
          <w:rFonts w:hint="eastAsia" w:ascii="仿宋_GB2312" w:hAnsi="楷体" w:eastAsia="仿宋_GB2312"/>
          <w:b/>
          <w:sz w:val="24"/>
        </w:rPr>
      </w:pPr>
      <w:bookmarkStart w:id="486" w:name="_Toc279701258"/>
      <w:bookmarkStart w:id="487" w:name="_Toc16959"/>
      <w:bookmarkStart w:id="488" w:name="_Toc259093687"/>
      <w:bookmarkStart w:id="489" w:name="_Toc487900368"/>
      <w:bookmarkStart w:id="490" w:name="_Toc7102"/>
      <w:bookmarkStart w:id="491" w:name="_Toc8298"/>
      <w:r>
        <w:rPr>
          <w:rFonts w:hint="eastAsia" w:ascii="仿宋_GB2312" w:hAnsi="楷体" w:eastAsia="仿宋_GB2312"/>
          <w:b/>
          <w:sz w:val="24"/>
        </w:rPr>
        <w:t>2.15 乙方破产</w:t>
      </w:r>
      <w:bookmarkEnd w:id="486"/>
      <w:bookmarkEnd w:id="487"/>
      <w:bookmarkEnd w:id="488"/>
      <w:bookmarkEnd w:id="489"/>
      <w:bookmarkEnd w:id="490"/>
      <w:bookmarkEnd w:id="49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_GB2312" w:hAnsi="楷体" w:eastAsia="仿宋_GB2312"/>
          <w:b/>
          <w:sz w:val="24"/>
        </w:rPr>
      </w:pPr>
      <w:bookmarkStart w:id="492" w:name="_Toc6134"/>
      <w:bookmarkStart w:id="493" w:name="_Toc15387"/>
      <w:bookmarkStart w:id="494" w:name="_Toc29333"/>
      <w:r>
        <w:rPr>
          <w:rFonts w:hint="eastAsia" w:ascii="仿宋_GB2312" w:hAnsi="楷体" w:eastAsia="仿宋_GB2312"/>
          <w:b/>
          <w:sz w:val="24"/>
        </w:rPr>
        <w:t>2.16 合同中止、终止</w:t>
      </w:r>
      <w:bookmarkEnd w:id="492"/>
      <w:bookmarkEnd w:id="493"/>
      <w:bookmarkEnd w:id="49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2.16.3因甲方原因导致变更、中止或终止合同的，甲方应对乙方受到的损失予以赔偿或者补偿。</w:t>
      </w:r>
    </w:p>
    <w:p>
      <w:pPr>
        <w:spacing w:line="360" w:lineRule="auto"/>
        <w:ind w:firstLine="482" w:firstLineChars="200"/>
        <w:outlineLvl w:val="0"/>
        <w:rPr>
          <w:rFonts w:hint="eastAsia" w:ascii="仿宋_GB2312" w:hAnsi="楷体" w:eastAsia="仿宋_GB2312"/>
          <w:b/>
          <w:sz w:val="24"/>
        </w:rPr>
      </w:pPr>
      <w:bookmarkStart w:id="495" w:name="_Toc1125"/>
      <w:bookmarkStart w:id="496" w:name="_Toc6596"/>
      <w:bookmarkStart w:id="497" w:name="_Toc14563"/>
      <w:r>
        <w:rPr>
          <w:rFonts w:hint="eastAsia" w:ascii="仿宋_GB2312" w:hAnsi="楷体" w:eastAsia="仿宋_GB2312"/>
          <w:b/>
          <w:sz w:val="24"/>
        </w:rPr>
        <w:t>2.17 检验和验收</w:t>
      </w:r>
      <w:bookmarkEnd w:id="495"/>
      <w:bookmarkEnd w:id="496"/>
      <w:bookmarkEnd w:id="497"/>
    </w:p>
    <w:p>
      <w:pPr>
        <w:tabs>
          <w:tab w:val="left" w:pos="360"/>
          <w:tab w:val="left" w:pos="540"/>
          <w:tab w:val="left" w:pos="1080"/>
        </w:tabs>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2.17.1货物交付前，乙方应对货物的质量、数量等方面进行详细、全面的检验，并向甲方出具证明货物符合合同约定的文件；货物交付时，乙方在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467"/>
    <w:bookmarkEnd w:id="468"/>
    <w:bookmarkEnd w:id="469"/>
    <w:bookmarkEnd w:id="470"/>
    <w:p>
      <w:pPr>
        <w:spacing w:line="360" w:lineRule="auto"/>
        <w:ind w:firstLine="482" w:firstLineChars="200"/>
        <w:outlineLvl w:val="0"/>
        <w:rPr>
          <w:rFonts w:hint="eastAsia" w:ascii="仿宋_GB2312" w:hAnsi="楷体" w:eastAsia="仿宋_GB2312"/>
          <w:b/>
          <w:sz w:val="24"/>
        </w:rPr>
      </w:pPr>
      <w:bookmarkStart w:id="498" w:name="_Toc487900371"/>
      <w:bookmarkStart w:id="499" w:name="_Toc279701261"/>
      <w:bookmarkStart w:id="500" w:name="_Toc259093690"/>
      <w:bookmarkStart w:id="501" w:name="_Toc25182"/>
      <w:bookmarkStart w:id="502" w:name="_Toc11284"/>
      <w:bookmarkStart w:id="503" w:name="_Toc19604"/>
      <w:r>
        <w:rPr>
          <w:rFonts w:hint="eastAsia" w:ascii="仿宋_GB2312" w:hAnsi="楷体" w:eastAsia="仿宋_GB2312"/>
          <w:b/>
          <w:sz w:val="24"/>
        </w:rPr>
        <w:t>2.18 通知</w:t>
      </w:r>
      <w:bookmarkEnd w:id="498"/>
      <w:bookmarkEnd w:id="499"/>
      <w:bookmarkEnd w:id="500"/>
      <w:r>
        <w:rPr>
          <w:rFonts w:hint="eastAsia" w:ascii="仿宋_GB2312" w:hAnsi="楷体" w:eastAsia="仿宋_GB2312"/>
          <w:b/>
          <w:sz w:val="24"/>
        </w:rPr>
        <w:t>和送达</w:t>
      </w:r>
      <w:bookmarkEnd w:id="501"/>
      <w:bookmarkEnd w:id="502"/>
      <w:bookmarkEnd w:id="503"/>
    </w:p>
    <w:p>
      <w:pPr>
        <w:spacing w:line="360" w:lineRule="auto"/>
        <w:ind w:firstLine="480" w:firstLineChars="200"/>
        <w:rPr>
          <w:rFonts w:hint="eastAsia" w:ascii="仿宋_GB2312" w:hAnsi="楷体" w:eastAsia="仿宋_GB2312"/>
          <w:sz w:val="24"/>
        </w:rPr>
      </w:pPr>
      <w:bookmarkStart w:id="504" w:name="_Toc6698"/>
      <w:bookmarkStart w:id="505" w:name="_Toc3135"/>
      <w:bookmarkStart w:id="506" w:name="_Toc487900372"/>
      <w:bookmarkStart w:id="507" w:name="_Toc279701262"/>
      <w:bookmarkStart w:id="508" w:name="_Toc259093691"/>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 xml:space="preserve">          </w:t>
      </w:r>
      <w:r>
        <w:rPr>
          <w:rFonts w:hint="eastAsia" w:ascii="仿宋_GB2312" w:hAnsi="楷体" w:eastAsia="仿宋_GB2312"/>
          <w:sz w:val="24"/>
        </w:rPr>
        <w:t>发出的所有通知、文件、材料，均视为已向对方当事人送达；任何一方变更上述送达方式或者地址的，应于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504"/>
      <w:bookmarkEnd w:id="505"/>
    </w:p>
    <w:p>
      <w:pPr>
        <w:spacing w:line="360" w:lineRule="auto"/>
        <w:ind w:firstLine="480" w:firstLineChars="200"/>
        <w:rPr>
          <w:rFonts w:hint="eastAsia" w:ascii="仿宋_GB2312" w:hAnsi="楷体" w:eastAsia="仿宋_GB2312"/>
          <w:sz w:val="24"/>
        </w:rPr>
      </w:pPr>
      <w:bookmarkStart w:id="509" w:name="_Toc23294"/>
      <w:bookmarkStart w:id="510" w:name="_Toc23128"/>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9"/>
      <w:bookmarkEnd w:id="510"/>
    </w:p>
    <w:p>
      <w:pPr>
        <w:spacing w:line="360" w:lineRule="auto"/>
        <w:ind w:firstLine="482" w:firstLineChars="200"/>
        <w:outlineLvl w:val="0"/>
        <w:rPr>
          <w:rFonts w:hint="eastAsia" w:ascii="仿宋_GB2312" w:hAnsi="楷体" w:eastAsia="仿宋_GB2312"/>
          <w:b/>
          <w:sz w:val="24"/>
        </w:rPr>
      </w:pPr>
      <w:bookmarkStart w:id="511" w:name="_Toc18540"/>
      <w:bookmarkStart w:id="512" w:name="_Toc30599"/>
      <w:bookmarkStart w:id="513" w:name="_Toc4355"/>
      <w:r>
        <w:rPr>
          <w:rFonts w:hint="eastAsia" w:ascii="仿宋_GB2312" w:hAnsi="楷体" w:eastAsia="仿宋_GB2312"/>
          <w:b/>
          <w:sz w:val="24"/>
        </w:rPr>
        <w:t>2.19 计量单位</w:t>
      </w:r>
      <w:bookmarkEnd w:id="506"/>
      <w:bookmarkEnd w:id="507"/>
      <w:bookmarkEnd w:id="508"/>
      <w:bookmarkEnd w:id="511"/>
      <w:bookmarkEnd w:id="512"/>
      <w:bookmarkEnd w:id="51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outlineLvl w:val="0"/>
        <w:rPr>
          <w:rFonts w:hint="eastAsia" w:ascii="仿宋_GB2312" w:hAnsi="楷体" w:eastAsia="仿宋_GB2312"/>
          <w:b/>
          <w:sz w:val="24"/>
        </w:rPr>
      </w:pPr>
      <w:bookmarkStart w:id="514" w:name="_Toc487900373"/>
      <w:bookmarkStart w:id="515" w:name="_Toc12773"/>
      <w:bookmarkStart w:id="516" w:name="_Toc10330"/>
      <w:bookmarkStart w:id="517" w:name="_Toc279701263"/>
      <w:bookmarkStart w:id="518" w:name="_Toc259093692"/>
      <w:bookmarkStart w:id="519" w:name="_Toc18567"/>
      <w:r>
        <w:rPr>
          <w:rFonts w:hint="eastAsia" w:ascii="仿宋_GB2312" w:hAnsi="楷体" w:eastAsia="仿宋_GB2312"/>
          <w:b/>
          <w:sz w:val="24"/>
        </w:rPr>
        <w:t>2.20 合同使用的文字和适用的法律</w:t>
      </w:r>
      <w:bookmarkEnd w:id="514"/>
      <w:bookmarkEnd w:id="515"/>
      <w:bookmarkEnd w:id="516"/>
      <w:bookmarkEnd w:id="517"/>
      <w:bookmarkEnd w:id="518"/>
      <w:bookmarkEnd w:id="51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outlineLvl w:val="0"/>
        <w:rPr>
          <w:rFonts w:hint="eastAsia" w:ascii="仿宋_GB2312" w:hAnsi="楷体" w:eastAsia="仿宋_GB2312"/>
          <w:b/>
          <w:sz w:val="24"/>
        </w:rPr>
      </w:pPr>
      <w:bookmarkStart w:id="520" w:name="_Toc12004"/>
      <w:bookmarkStart w:id="521" w:name="_Toc279701264"/>
      <w:bookmarkStart w:id="522" w:name="_Toc259093693"/>
      <w:bookmarkStart w:id="523" w:name="_Toc3148"/>
      <w:bookmarkStart w:id="524" w:name="_Toc16673"/>
      <w:bookmarkStart w:id="525" w:name="_Toc487900374"/>
      <w:r>
        <w:rPr>
          <w:rFonts w:hint="eastAsia" w:ascii="仿宋_GB2312" w:hAnsi="楷体" w:eastAsia="仿宋_GB2312"/>
          <w:b/>
          <w:sz w:val="24"/>
        </w:rPr>
        <w:t>2.21 履约保证金</w:t>
      </w:r>
      <w:bookmarkEnd w:id="520"/>
      <w:bookmarkEnd w:id="521"/>
      <w:bookmarkEnd w:id="522"/>
      <w:bookmarkEnd w:id="523"/>
      <w:bookmarkEnd w:id="52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2.21.1 采购文件要求乙方提交履约保证金的，乙方应按</w:t>
      </w:r>
      <w:r>
        <w:rPr>
          <w:rFonts w:hint="eastAsia" w:ascii="仿宋_GB2312" w:hAnsi="楷体" w:eastAsia="仿宋_GB2312"/>
          <w:b/>
          <w:i/>
          <w:sz w:val="24"/>
          <w:u w:val="single"/>
        </w:rPr>
        <w:t>合同专用条款</w:t>
      </w:r>
      <w:r>
        <w:rPr>
          <w:rFonts w:hint="eastAsia" w:ascii="仿宋_GB2312" w:hAnsi="楷体" w:eastAsia="仿宋_GB2312"/>
          <w:sz w:val="24"/>
        </w:rPr>
        <w:t>约定的方式，以支票、汇票、本票或者金融机构、担保机构出具的保函等非现金形式，提交不超过合同价5%的履约保证金；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2.21.2  履约保证金在</w:t>
      </w:r>
      <w:r>
        <w:rPr>
          <w:rFonts w:hint="eastAsia" w:ascii="仿宋_GB2312" w:hAnsi="楷体" w:eastAsia="仿宋_GB2312"/>
          <w:b/>
          <w:i/>
          <w:sz w:val="24"/>
          <w:u w:val="single"/>
        </w:rPr>
        <w:t>合同专用条款</w:t>
      </w:r>
      <w:r>
        <w:rPr>
          <w:rFonts w:hint="eastAsia" w:ascii="仿宋_GB2312" w:hAnsi="楷体" w:eastAsia="仿宋_GB2312"/>
          <w:sz w:val="24"/>
        </w:rPr>
        <w:t>约定期间内或者货物质量保证期内不予退还或者应完全有效，前述约定期间届满或者货物质量保证期届满之日起</w:t>
      </w:r>
      <w:r>
        <w:rPr>
          <w:rFonts w:hint="eastAsia" w:ascii="仿宋_GB2312" w:hAnsi="楷体" w:eastAsia="仿宋_GB2312"/>
          <w:sz w:val="24"/>
          <w:u w:val="single"/>
        </w:rPr>
        <w:t xml:space="preserve">  </w:t>
      </w:r>
      <w:r>
        <w:rPr>
          <w:rFonts w:hint="eastAsia" w:ascii="仿宋_GB2312" w:hAnsi="楷体" w:eastAsia="仿宋_GB2312"/>
          <w:sz w:val="24"/>
        </w:rPr>
        <w:t>个工作日内，甲方应将履约保证金退还乙方；</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25"/>
    <w:p>
      <w:pPr>
        <w:spacing w:line="360" w:lineRule="auto"/>
        <w:ind w:firstLine="482" w:firstLineChars="200"/>
        <w:outlineLvl w:val="0"/>
        <w:rPr>
          <w:rFonts w:hint="eastAsia" w:ascii="仿宋_GB2312" w:hAnsi="楷体" w:eastAsia="仿宋_GB2312"/>
          <w:b/>
          <w:sz w:val="24"/>
        </w:rPr>
      </w:pPr>
      <w:bookmarkStart w:id="526" w:name="_Toc19890"/>
      <w:bookmarkStart w:id="527" w:name="_Toc6885"/>
      <w:bookmarkStart w:id="528" w:name="_Toc14001"/>
      <w:r>
        <w:rPr>
          <w:rFonts w:hint="eastAsia" w:ascii="仿宋_GB2312" w:hAnsi="楷体" w:eastAsia="仿宋_GB2312"/>
          <w:b/>
          <w:sz w:val="24"/>
        </w:rPr>
        <w:t>2.22 合同份数</w:t>
      </w:r>
      <w:bookmarkEnd w:id="526"/>
      <w:bookmarkEnd w:id="527"/>
      <w:bookmarkEnd w:id="52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合同份数按</w:t>
      </w:r>
      <w:r>
        <w:rPr>
          <w:rFonts w:hint="eastAsia" w:ascii="仿宋_GB2312" w:hAnsi="楷体" w:eastAsia="仿宋_GB2312"/>
          <w:b/>
          <w:i/>
          <w:sz w:val="24"/>
          <w:u w:val="single"/>
        </w:rPr>
        <w:t>合同专用条款</w:t>
      </w:r>
      <w:r>
        <w:rPr>
          <w:rFonts w:hint="eastAsia" w:ascii="仿宋_GB2312" w:hAnsi="楷体" w:eastAsia="仿宋_GB2312"/>
          <w:sz w:val="24"/>
        </w:rPr>
        <w:t>规定，每份均具有同等法律效力。</w:t>
      </w:r>
    </w:p>
    <w:p>
      <w:pPr>
        <w:pStyle w:val="22"/>
        <w:jc w:val="center"/>
        <w:rPr>
          <w:rFonts w:hint="eastAsia" w:ascii="仿宋_GB2312" w:hAnsi="楷体" w:eastAsia="仿宋_GB2312"/>
          <w:b/>
          <w:szCs w:val="24"/>
        </w:rPr>
      </w:pPr>
      <w:r>
        <w:rPr>
          <w:rFonts w:hint="eastAsia" w:ascii="仿宋_GB2312" w:hAnsi="楷体" w:eastAsia="仿宋_GB2312"/>
          <w:szCs w:val="24"/>
        </w:rPr>
        <w:br w:type="page"/>
      </w:r>
      <w:bookmarkStart w:id="529" w:name="_Toc331685784"/>
      <w:r>
        <w:rPr>
          <w:rFonts w:hint="eastAsia" w:ascii="仿宋_GB2312" w:hAnsi="楷体" w:eastAsia="仿宋_GB2312"/>
          <w:b/>
          <w:szCs w:val="24"/>
        </w:rPr>
        <w:t>第三部分  合同专用条款</w:t>
      </w:r>
      <w:bookmarkEnd w:id="52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pPr>
              <w:spacing w:line="360" w:lineRule="auto"/>
              <w:jc w:val="center"/>
              <w:rPr>
                <w:rFonts w:hint="eastAsia" w:ascii="仿宋_GB2312" w:hAnsi="楷体" w:eastAsia="仿宋_GB2312"/>
                <w:b/>
                <w:sz w:val="24"/>
              </w:rPr>
            </w:pPr>
            <w:r>
              <w:rPr>
                <w:rFonts w:hint="eastAsia" w:ascii="仿宋_GB2312" w:hAnsi="楷体" w:eastAsia="仿宋_GB2312"/>
                <w:b/>
                <w:sz w:val="24"/>
              </w:rPr>
              <w:t>条款号</w:t>
            </w:r>
          </w:p>
        </w:tc>
        <w:tc>
          <w:tcPr>
            <w:tcW w:w="7633" w:type="dxa"/>
            <w:noWrap w:val="0"/>
            <w:vAlign w:val="center"/>
          </w:tcPr>
          <w:p>
            <w:pPr>
              <w:spacing w:line="360" w:lineRule="auto"/>
              <w:jc w:val="center"/>
              <w:rPr>
                <w:rFonts w:hint="eastAsia"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仿宋_GB2312" w:hAnsi="楷体" w:eastAsia="仿宋_GB2312"/>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仿宋_GB2312" w:hAnsi="楷体" w:eastAsia="仿宋_GB2312"/>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楷体" w:eastAsia="仿宋_GB2312"/>
                <w:sz w:val="24"/>
              </w:rPr>
            </w:pPr>
          </w:p>
        </w:tc>
      </w:tr>
    </w:tbl>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snapToGrid w:val="0"/>
        <w:spacing w:line="360" w:lineRule="auto"/>
        <w:jc w:val="both"/>
        <w:rPr>
          <w:rFonts w:hint="eastAsia" w:ascii="仿宋_GB2312" w:hAnsi="仿宋" w:eastAsia="仿宋_GB2312" w:cs="仿宋_GB2312"/>
          <w:b/>
          <w:sz w:val="36"/>
        </w:rPr>
      </w:pPr>
    </w:p>
    <w:p>
      <w:pPr>
        <w:snapToGrid w:val="0"/>
        <w:spacing w:line="360" w:lineRule="auto"/>
        <w:jc w:val="center"/>
        <w:rPr>
          <w:rFonts w:ascii="仿宋_GB2312" w:hAnsi="仿宋" w:eastAsia="仿宋_GB2312" w:cs="仿宋_GB2312"/>
          <w:b/>
          <w:sz w:val="36"/>
        </w:rPr>
      </w:pPr>
      <w:r>
        <w:rPr>
          <w:rFonts w:hint="eastAsia" w:ascii="仿宋_GB2312" w:hAnsi="仿宋" w:eastAsia="仿宋_GB2312" w:cs="仿宋_GB2312"/>
          <w:b/>
          <w:sz w:val="36"/>
        </w:rPr>
        <w:t>第六部分 应提交的有关格式范例</w:t>
      </w:r>
    </w:p>
    <w:p>
      <w:pPr>
        <w:spacing w:line="360" w:lineRule="auto"/>
        <w:ind w:firstLine="480" w:firstLineChars="200"/>
        <w:outlineLvl w:val="0"/>
        <w:rPr>
          <w:rFonts w:hint="eastAsia" w:ascii="仿宋_GB2312" w:hAnsi="仿宋" w:eastAsia="仿宋_GB2312" w:cs="仿宋_GB2312"/>
          <w:sz w:val="24"/>
          <w:lang w:eastAsia="zh-CN"/>
        </w:rPr>
      </w:pPr>
      <w:r>
        <w:rPr>
          <w:rFonts w:hint="eastAsia" w:ascii="仿宋_GB2312" w:hAnsi="仿宋" w:eastAsia="仿宋_GB2312" w:cs="仿宋_GB2312"/>
          <w:sz w:val="24"/>
        </w:rPr>
        <w:t>投标人按照以下格式编制投标文件</w:t>
      </w:r>
      <w:r>
        <w:rPr>
          <w:rFonts w:hint="eastAsia" w:ascii="仿宋_GB2312" w:hAnsi="仿宋" w:eastAsia="仿宋_GB2312" w:cs="仿宋_GB2312"/>
          <w:sz w:val="24"/>
          <w:lang w:eastAsia="zh-CN"/>
        </w:rPr>
        <w:t>。</w:t>
      </w:r>
    </w:p>
    <w:p>
      <w:pPr>
        <w:spacing w:line="360" w:lineRule="auto"/>
        <w:jc w:val="center"/>
        <w:outlineLvl w:val="0"/>
        <w:rPr>
          <w:rFonts w:ascii="仿宋_GB2312" w:hAnsi="仿宋" w:eastAsia="仿宋_GB2312" w:cs="仿宋_GB2312"/>
          <w:sz w:val="36"/>
          <w:szCs w:val="36"/>
          <w:lang w:val="zh-CN"/>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sz w:val="36"/>
          <w:szCs w:val="36"/>
          <w:lang w:val="zh-CN"/>
        </w:rPr>
        <w:t>▲</w:t>
      </w: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（1）</w:t>
      </w:r>
      <w:r>
        <w:rPr>
          <w:rFonts w:hint="eastAsia" w:ascii="仿宋_GB2312" w:hAnsi="仿宋" w:eastAsia="仿宋_GB2312"/>
          <w:sz w:val="24"/>
        </w:rPr>
        <w:t>营业执照(或事业法人登记证或其他工商等登记证明材料)复印件（投标人为自然人的，须提供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sz w:val="24"/>
        </w:rPr>
        <w:t>、税务登记证(或其它缴纳证明材料)复印件、社保登记证</w:t>
      </w:r>
      <w:r>
        <w:rPr>
          <w:rFonts w:hint="eastAsia" w:ascii="仿宋_GB2312" w:hAnsi="仿宋" w:eastAsia="仿宋_GB2312"/>
          <w:sz w:val="24"/>
        </w:rPr>
        <w:t>（或其它缴纳证明材料）</w:t>
      </w:r>
      <w:r>
        <w:rPr>
          <w:rFonts w:hint="eastAsia" w:ascii="仿宋_GB2312" w:hAnsi="仿宋" w:eastAsia="仿宋_GB2312" w:cs="仿宋_GB2312"/>
          <w:sz w:val="24"/>
        </w:rPr>
        <w:t>复印件</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sz w:val="24"/>
        </w:rPr>
      </w:pPr>
      <w:r>
        <w:rPr>
          <w:rFonts w:hint="eastAsia" w:ascii="仿宋_GB2312" w:hAnsi="仿宋" w:eastAsia="仿宋_GB2312"/>
          <w:sz w:val="24"/>
        </w:rPr>
        <w:t>（2）法定代表人授权书 ……………………………………………………………（页码）</w:t>
      </w:r>
    </w:p>
    <w:p>
      <w:pPr>
        <w:snapToGrid w:val="0"/>
        <w:spacing w:line="360" w:lineRule="auto"/>
        <w:rPr>
          <w:rFonts w:ascii="仿宋_GB2312" w:hAnsi="仿宋" w:eastAsia="仿宋_GB2312"/>
          <w:sz w:val="24"/>
        </w:rPr>
      </w:pPr>
      <w:r>
        <w:rPr>
          <w:rFonts w:hint="eastAsia" w:ascii="仿宋_GB2312" w:hAnsi="仿宋" w:eastAsia="仿宋_GB2312"/>
          <w:sz w:val="24"/>
        </w:rPr>
        <w:t>（3）法定代表人及其授权代表的身份证（复印件）………………………………（页码）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kern w:val="0"/>
          <w:sz w:val="24"/>
        </w:rPr>
        <w:t>（4）</w:t>
      </w:r>
      <w:r>
        <w:rPr>
          <w:rFonts w:hint="eastAsia" w:ascii="仿宋_GB2312" w:hAnsi="仿宋" w:eastAsia="仿宋_GB2312" w:cs="仿宋_GB2312"/>
          <w:sz w:val="24"/>
          <w:lang w:val="en-US" w:eastAsia="zh-CN"/>
        </w:rPr>
        <w:t>2019</w:t>
      </w:r>
      <w:r>
        <w:rPr>
          <w:rFonts w:hint="eastAsia" w:ascii="仿宋_GB2312" w:hAnsi="仿宋" w:eastAsia="仿宋_GB2312" w:cs="仿宋_GB2312"/>
          <w:sz w:val="24"/>
        </w:rPr>
        <w:t>年度资产负债表等财务报表资料文件(新成立的公司，提供情况说明)</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（5）具有履行合同所必需的设备和专业技术能力的承诺函………………………（页码）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（6）参加政府采购活动前三年内，在经营活动中没有重大违法记录的声明</w:t>
      </w:r>
      <w:r>
        <w:rPr>
          <w:rFonts w:hint="eastAsia" w:ascii="仿宋_GB2312" w:hAnsi="仿宋" w:eastAsia="仿宋_GB2312" w:cs="仿宋_GB2312"/>
          <w:kern w:val="0"/>
          <w:sz w:val="24"/>
        </w:rPr>
        <w:t xml:space="preserve">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（7）具有良好商业信誉特别声明</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（8）</w:t>
      </w:r>
      <w:r>
        <w:rPr>
          <w:rFonts w:hint="eastAsia" w:ascii="仿宋_GB2312" w:hAnsi="仿宋" w:eastAsia="仿宋_GB2312" w:cs="仿宋_GB2312"/>
          <w:sz w:val="24"/>
        </w:rPr>
        <w:t>符合特定资格条件（如果项目要求）的有关证明材料（复印件）</w:t>
      </w:r>
      <w:r>
        <w:rPr>
          <w:rFonts w:hint="eastAsia" w:ascii="仿宋_GB2312" w:hAnsi="仿宋" w:eastAsia="仿宋_GB2312" w:cs="仿宋_GB2312"/>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w:t>
      </w:r>
      <w:r>
        <w:rPr>
          <w:rFonts w:hint="eastAsia" w:ascii="仿宋" w:hAnsi="仿宋" w:eastAsia="仿宋" w:cs="仿宋_GB2312"/>
          <w:sz w:val="24"/>
        </w:rPr>
        <w:t>以联合体形式投标的，提供联合体协议；本项目不接受联合体投标或者投标人不以联合体形式投标的，则不需要提供</w:t>
      </w:r>
      <w:r>
        <w:rPr>
          <w:rFonts w:hint="eastAsia" w:ascii="仿宋" w:hAnsi="仿宋" w:eastAsia="仿宋" w:cs="仿宋_GB2312"/>
          <w:kern w:val="0"/>
          <w:sz w:val="24"/>
        </w:rPr>
        <w:t>…………………………………………………（页码）</w:t>
      </w:r>
    </w:p>
    <w:p>
      <w:pPr>
        <w:pStyle w:val="12"/>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napToGrid w:val="0"/>
        <w:spacing w:line="360" w:lineRule="auto"/>
        <w:rPr>
          <w:rFonts w:hint="eastAsia"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营业执照或事业法人登记证证明材料（复印件）、税务缴纳证明文件（复印件）、社保缴纳证明文件（复印件）</w:t>
      </w:r>
    </w:p>
    <w:p>
      <w:pPr>
        <w:spacing w:line="360" w:lineRule="auto"/>
        <w:jc w:val="center"/>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kern w:val="0"/>
          <w:sz w:val="24"/>
          <w:lang w:val="zh-CN"/>
        </w:rPr>
        <w:t xml:space="preserve">                   日期：  年  月</w:t>
      </w:r>
    </w:p>
    <w:p>
      <w:pPr>
        <w:spacing w:line="360" w:lineRule="auto"/>
        <w:jc w:val="center"/>
        <w:rPr>
          <w:rFonts w:ascii="仿宋_GB2312" w:hAnsi="仿宋" w:eastAsia="仿宋_GB2312" w:cs="仿宋_GB2312"/>
          <w:b/>
          <w:sz w:val="30"/>
          <w:szCs w:val="30"/>
        </w:rPr>
      </w:pPr>
    </w:p>
    <w:p>
      <w:pPr>
        <w:spacing w:line="360" w:lineRule="auto"/>
        <w:jc w:val="center"/>
        <w:rPr>
          <w:rFonts w:ascii="仿宋_GB2312" w:hAnsi="仿宋" w:eastAsia="仿宋_GB2312" w:cs="仿宋_GB2312"/>
          <w:b/>
          <w:sz w:val="30"/>
          <w:szCs w:val="30"/>
        </w:rPr>
      </w:pPr>
    </w:p>
    <w:p>
      <w:pPr>
        <w:snapToGrid w:val="0"/>
        <w:spacing w:line="360" w:lineRule="auto"/>
        <w:ind w:firstLine="2570" w:firstLineChars="800"/>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二、法定代表人授权书</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浙江青山湖科研创新基地投资有限公司</w:t>
      </w:r>
      <w:r>
        <w:rPr>
          <w:rFonts w:hint="eastAsia" w:ascii="仿宋_GB2312" w:hAnsi="仿宋" w:eastAsia="仿宋_GB2312" w:cs="仿宋_GB2312"/>
          <w:sz w:val="24"/>
        </w:rPr>
        <w:t>、杭州市公共资源交易中心下</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lang w:val="zh-CN"/>
        </w:rPr>
        <w:t>兹委派我公司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先生/女士(其在本公司的职务是：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)，代表我公司全权处理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】政府采购投标的一切事项，若中标则全权代表本公司签订相关合同，并负责处理合同履行等事宜。</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w:t>
      </w:r>
    </w:p>
    <w:p>
      <w:pPr>
        <w:snapToGrid w:val="0"/>
        <w:spacing w:line="360" w:lineRule="auto"/>
        <w:ind w:right="240"/>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签发日期：  年  月   日</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napToGrid w:val="0"/>
        <w:spacing w:line="360" w:lineRule="auto"/>
        <w:jc w:val="center"/>
        <w:rPr>
          <w:rFonts w:hint="eastAsia"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 xml:space="preserve"> 联合体投标授权书（适用联合体投标）</w:t>
      </w:r>
    </w:p>
    <w:p>
      <w:pPr>
        <w:snapToGrid w:val="0"/>
        <w:spacing w:line="360" w:lineRule="auto"/>
        <w:ind w:firstLine="576"/>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兹委派</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)；……，代表本联合体全权处理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】政府采购投标的一切事项，若中标则全权代表本联合体签订相关合同，并负责处理合同履行等事宜。</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单位：            （电子签名）         单位：          （电子签名）</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             日期：    年   月   日</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pacing w:line="360" w:lineRule="auto"/>
        <w:rPr>
          <w:rFonts w:hint="eastAsia" w:ascii="仿宋_GB2312" w:hAnsi="仿宋" w:eastAsia="仿宋_GB2312" w:cs="仿宋_GB2312"/>
          <w:sz w:val="28"/>
          <w:szCs w:val="28"/>
        </w:rPr>
      </w:pPr>
    </w:p>
    <w:p>
      <w:pPr>
        <w:spacing w:line="360" w:lineRule="auto"/>
        <w:rPr>
          <w:rFonts w:hint="eastAsia" w:ascii="仿宋_GB2312" w:hAnsi="仿宋" w:eastAsia="仿宋_GB2312" w:cs="仿宋_GB2312"/>
          <w:sz w:val="28"/>
          <w:szCs w:val="28"/>
        </w:rPr>
      </w:pP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b/>
          <w:bCs/>
          <w:sz w:val="30"/>
          <w:szCs w:val="30"/>
        </w:rPr>
        <w:br w:type="page"/>
      </w:r>
      <w:r>
        <w:rPr>
          <w:rFonts w:hint="eastAsia" w:ascii="仿宋_GB2312" w:hAnsi="仿宋" w:eastAsia="仿宋_GB2312" w:cs="仿宋_GB2312"/>
          <w:b/>
          <w:bCs/>
          <w:sz w:val="30"/>
          <w:szCs w:val="30"/>
        </w:rPr>
        <w:t>三、</w:t>
      </w:r>
      <w:r>
        <w:rPr>
          <w:rFonts w:hint="eastAsia" w:ascii="仿宋_GB2312" w:hAnsi="仿宋" w:eastAsia="仿宋_GB2312" w:cs="仿宋_GB2312"/>
          <w:b/>
          <w:sz w:val="30"/>
          <w:szCs w:val="30"/>
        </w:rPr>
        <w:t>法定代表人及其授权代表的身份证（复印件）</w:t>
      </w:r>
    </w:p>
    <w:p>
      <w:pPr>
        <w:pStyle w:val="25"/>
        <w:spacing w:line="360" w:lineRule="auto"/>
        <w:rPr>
          <w:rFonts w:ascii="仿宋_GB2312" w:hAnsi="仿宋" w:eastAsia="仿宋_GB2312"/>
          <w:bCs/>
          <w:sz w:val="24"/>
        </w:rPr>
      </w:pPr>
      <w:r>
        <w:rPr>
          <w:rFonts w:hint="eastAsia" w:ascii="仿宋_GB2312" w:hAnsi="仿宋" w:eastAsia="仿宋_GB2312"/>
          <w:bCs/>
          <w:sz w:val="24"/>
        </w:rPr>
        <w:t>法定代表人身份证件扫描件：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5"/>
              <w:spacing w:line="360" w:lineRule="auto"/>
              <w:rPr>
                <w:rFonts w:ascii="仿宋_GB2312" w:hAnsi="仿宋" w:eastAsia="仿宋_GB2312"/>
                <w:bCs/>
                <w:sz w:val="24"/>
              </w:rPr>
            </w:pPr>
            <w:r>
              <w:rPr>
                <w:rFonts w:hint="eastAsia" w:ascii="仿宋_GB2312" w:hAnsi="仿宋" w:eastAsia="仿宋_GB2312"/>
                <w:bCs/>
                <w:sz w:val="24"/>
              </w:rPr>
              <w:t>正面：                                 反面：</w:t>
            </w:r>
          </w:p>
          <w:p>
            <w:pPr>
              <w:pStyle w:val="25"/>
              <w:spacing w:line="360" w:lineRule="auto"/>
              <w:rPr>
                <w:rFonts w:ascii="仿宋_GB2312" w:hAnsi="仿宋" w:eastAsia="仿宋_GB2312"/>
                <w:bCs/>
                <w:sz w:val="24"/>
              </w:rPr>
            </w:pPr>
          </w:p>
        </w:tc>
      </w:tr>
    </w:tbl>
    <w:p>
      <w:pPr>
        <w:pStyle w:val="25"/>
        <w:spacing w:line="360" w:lineRule="auto"/>
        <w:rPr>
          <w:rFonts w:ascii="仿宋_GB2312" w:hAnsi="仿宋" w:eastAsia="仿宋_GB2312"/>
          <w:bCs/>
          <w:sz w:val="24"/>
        </w:rPr>
      </w:pPr>
      <w:r>
        <w:rPr>
          <w:rFonts w:hint="eastAsia" w:ascii="仿宋_GB2312" w:hAnsi="仿宋" w:eastAsia="仿宋_GB2312"/>
          <w:bCs/>
          <w:sz w:val="24"/>
        </w:rPr>
        <w:t>授权代表身份证件扫描件：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5"/>
              <w:spacing w:line="360" w:lineRule="auto"/>
              <w:rPr>
                <w:rFonts w:ascii="仿宋_GB2312" w:hAnsi="仿宋" w:eastAsia="仿宋_GB2312"/>
                <w:bCs/>
                <w:sz w:val="24"/>
              </w:rPr>
            </w:pPr>
            <w:r>
              <w:rPr>
                <w:rFonts w:hint="eastAsia" w:ascii="仿宋_GB2312" w:hAnsi="仿宋" w:eastAsia="仿宋_GB2312"/>
                <w:bCs/>
                <w:sz w:val="24"/>
              </w:rPr>
              <w:t>正面：                                 反面：</w:t>
            </w:r>
          </w:p>
          <w:p>
            <w:pPr>
              <w:pStyle w:val="25"/>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pacing w:line="360" w:lineRule="auto"/>
        <w:rPr>
          <w:rFonts w:ascii="仿宋_GB2312" w:hAnsi="仿宋" w:eastAsia="仿宋_GB2312" w:cs="仿宋_GB2312"/>
          <w:b/>
          <w:sz w:val="30"/>
          <w:szCs w:val="30"/>
        </w:rPr>
      </w:pPr>
      <w:r>
        <w:rPr>
          <w:rFonts w:hint="eastAsia" w:ascii="仿宋_GB2312" w:hAnsi="仿宋" w:eastAsia="仿宋_GB2312" w:cs="仿宋_GB2312"/>
          <w:b/>
          <w:sz w:val="30"/>
          <w:szCs w:val="30"/>
        </w:rPr>
        <w:t>四、</w:t>
      </w:r>
      <w:r>
        <w:rPr>
          <w:rFonts w:hint="eastAsia" w:ascii="仿宋_GB2312" w:hAnsi="仿宋" w:eastAsia="仿宋_GB2312" w:cs="仿宋_GB2312"/>
          <w:b/>
          <w:sz w:val="30"/>
          <w:szCs w:val="30"/>
          <w:lang w:val="en-US" w:eastAsia="zh-CN"/>
        </w:rPr>
        <w:t>2019</w:t>
      </w:r>
      <w:r>
        <w:rPr>
          <w:rFonts w:hint="eastAsia" w:ascii="仿宋_GB2312" w:hAnsi="仿宋" w:eastAsia="仿宋_GB2312" w:cs="仿宋_GB2312"/>
          <w:b/>
          <w:sz w:val="30"/>
          <w:szCs w:val="30"/>
        </w:rPr>
        <w:t>年度资产负债表等财务报表资料文件（复印件）</w:t>
      </w:r>
    </w:p>
    <w:p>
      <w:pPr>
        <w:spacing w:line="360" w:lineRule="auto"/>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napToGrid w:val="0"/>
        <w:spacing w:line="360" w:lineRule="auto"/>
        <w:ind w:right="480"/>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pPr>
        <w:snapToGrid w:val="0"/>
        <w:spacing w:line="360" w:lineRule="auto"/>
        <w:ind w:right="480"/>
        <w:jc w:val="center"/>
        <w:rPr>
          <w:rFonts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五、具有履行合同所必需的设备和专业技术能力的承诺函</w:t>
      </w:r>
    </w:p>
    <w:p>
      <w:pPr>
        <w:snapToGrid w:val="0"/>
        <w:spacing w:line="360" w:lineRule="auto"/>
        <w:rPr>
          <w:rFonts w:ascii="仿宋_GB2312" w:hAnsi="仿宋" w:eastAsia="仿宋_GB2312" w:cs="仿宋_GB2312"/>
          <w:sz w:val="24"/>
        </w:rPr>
      </w:pPr>
      <w:r>
        <w:rPr>
          <w:rFonts w:hint="eastAsia" w:ascii="仿宋" w:hAnsi="仿宋" w:eastAsia="仿宋" w:cs="仿宋"/>
          <w:sz w:val="24"/>
          <w:highlight w:val="none"/>
          <w:lang w:eastAsia="zh-CN"/>
        </w:rPr>
        <w:t>浙江青山湖科研创新基地投资有限公司</w:t>
      </w:r>
      <w:r>
        <w:rPr>
          <w:rFonts w:hint="eastAsia" w:ascii="仿宋_GB2312" w:hAnsi="仿宋" w:eastAsia="仿宋_GB2312" w:cs="仿宋_GB2312"/>
          <w:sz w:val="24"/>
        </w:rPr>
        <w:t>、杭州市公共资源交易中心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我方郑重承诺，我方具有履行</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合同所必需的设备和专业技术能力。如中标，我方将保证合同顺利履行。</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_GB2312" w:hAnsi="仿宋" w:eastAsia="仿宋_GB2312" w:cs="仿宋_GB2312"/>
          <w:b/>
          <w:kern w:val="0"/>
          <w:sz w:val="32"/>
          <w:szCs w:val="32"/>
        </w:rPr>
      </w:pPr>
    </w:p>
    <w:p>
      <w:pPr>
        <w:spacing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六、参加政府采购活动前三年内，在经营活动中</w:t>
      </w: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没有重大违法记录的声明</w:t>
      </w:r>
    </w:p>
    <w:p>
      <w:pPr>
        <w:snapToGrid w:val="0"/>
        <w:spacing w:line="360" w:lineRule="auto"/>
        <w:rPr>
          <w:rFonts w:ascii="仿宋_GB2312" w:hAnsi="仿宋" w:eastAsia="仿宋_GB2312" w:cs="仿宋_GB2312"/>
          <w:kern w:val="0"/>
          <w:sz w:val="24"/>
        </w:rPr>
      </w:pPr>
      <w:r>
        <w:rPr>
          <w:rFonts w:hint="eastAsia" w:ascii="仿宋" w:hAnsi="仿宋" w:eastAsia="仿宋" w:cs="仿宋"/>
          <w:sz w:val="24"/>
          <w:highlight w:val="none"/>
          <w:lang w:eastAsia="zh-CN"/>
        </w:rPr>
        <w:t>浙江青山湖科研创新基地投资有限公司</w:t>
      </w:r>
      <w:r>
        <w:rPr>
          <w:rFonts w:hint="eastAsia" w:ascii="仿宋_GB2312" w:hAnsi="仿宋" w:eastAsia="仿宋_GB2312" w:cs="仿宋_GB2312"/>
          <w:sz w:val="24"/>
        </w:rPr>
        <w:t>、杭州市公共资源交易中心下</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kern w:val="0"/>
          <w:sz w:val="24"/>
          <w:lang w:val="zh-CN"/>
        </w:rPr>
        <w:t>我方</w:t>
      </w:r>
      <w:r>
        <w:rPr>
          <w:rFonts w:hint="eastAsia" w:ascii="仿宋_GB2312" w:hAnsi="仿宋" w:eastAsia="仿宋_GB2312" w:cs="仿宋_GB2312"/>
          <w:sz w:val="24"/>
        </w:rPr>
        <w:t>声明投标截止时间前三年，在</w:t>
      </w:r>
      <w:r>
        <w:rPr>
          <w:rFonts w:hint="eastAsia" w:ascii="仿宋_GB2312" w:hAnsi="仿宋" w:eastAsia="仿宋_GB2312" w:cs="仿宋_GB2312"/>
          <w:kern w:val="0"/>
          <w:sz w:val="24"/>
        </w:rPr>
        <w:t>经营活动中</w:t>
      </w:r>
      <w:r>
        <w:rPr>
          <w:rFonts w:hint="eastAsia" w:ascii="仿宋_GB2312" w:hAnsi="仿宋" w:eastAsia="仿宋_GB2312" w:cs="仿宋_GB2312"/>
          <w:sz w:val="24"/>
        </w:rPr>
        <w:t xml:space="preserve">没有重大违法记录。 </w:t>
      </w:r>
    </w:p>
    <w:p>
      <w:pPr>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napToGrid w:val="0"/>
        <w:spacing w:line="360" w:lineRule="auto"/>
        <w:ind w:firstLine="1606" w:firstLineChars="500"/>
        <w:rPr>
          <w:rFonts w:hint="eastAsia" w:ascii="仿宋_GB2312" w:hAnsi="仿宋" w:eastAsia="仿宋_GB2312" w:cs="仿宋_GB2312"/>
          <w:b/>
          <w:kern w:val="0"/>
          <w:sz w:val="32"/>
          <w:szCs w:val="32"/>
        </w:rPr>
      </w:pPr>
    </w:p>
    <w:p>
      <w:pPr>
        <w:snapToGrid w:val="0"/>
        <w:spacing w:line="360" w:lineRule="auto"/>
        <w:ind w:firstLine="1606" w:firstLineChars="5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七、具有良好商业信誉特别声明</w:t>
      </w:r>
    </w:p>
    <w:p>
      <w:pPr>
        <w:snapToGrid w:val="0"/>
        <w:spacing w:line="360" w:lineRule="auto"/>
        <w:rPr>
          <w:rFonts w:ascii="仿宋_GB2312" w:hAnsi="仿宋" w:eastAsia="仿宋_GB2312" w:cs="仿宋_GB2312"/>
          <w:kern w:val="0"/>
          <w:sz w:val="24"/>
        </w:rPr>
      </w:pPr>
      <w:r>
        <w:rPr>
          <w:rFonts w:hint="eastAsia" w:ascii="仿宋" w:hAnsi="仿宋" w:eastAsia="仿宋" w:cs="仿宋"/>
          <w:sz w:val="24"/>
          <w:highlight w:val="none"/>
          <w:lang w:eastAsia="zh-CN"/>
        </w:rPr>
        <w:t>浙江青山湖科研创新基地投资有限公司</w:t>
      </w:r>
      <w:r>
        <w:rPr>
          <w:rFonts w:hint="eastAsia" w:ascii="仿宋_GB2312" w:hAnsi="仿宋" w:eastAsia="仿宋_GB2312" w:cs="仿宋_GB2312"/>
          <w:sz w:val="24"/>
        </w:rPr>
        <w:t>、杭州市公共资源交易中心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r>
        <w:rPr>
          <w:rFonts w:hint="eastAsia" w:ascii="仿宋_GB2312" w:hAnsi="仿宋" w:eastAsia="仿宋_GB2312" w:cs="仿宋_GB2312"/>
          <w:kern w:val="0"/>
          <w:sz w:val="24"/>
          <w:lang w:val="zh-CN"/>
        </w:rPr>
        <w:t>：</w:t>
      </w:r>
    </w:p>
    <w:p>
      <w:pPr>
        <w:snapToGrid w:val="0"/>
        <w:spacing w:line="360" w:lineRule="auto"/>
        <w:ind w:firstLine="480"/>
        <w:rPr>
          <w:rFonts w:ascii="仿宋_GB2312" w:hAnsi="仿宋" w:eastAsia="仿宋_GB2312" w:cs="仿宋_GB2312"/>
          <w:kern w:val="0"/>
          <w:sz w:val="24"/>
          <w:lang w:val="zh-CN"/>
        </w:rPr>
      </w:pPr>
      <w:r>
        <w:rPr>
          <w:rFonts w:hint="eastAsia" w:ascii="仿宋_GB2312" w:hAnsi="仿宋" w:eastAsia="仿宋_GB2312" w:cs="仿宋_GB2312"/>
          <w:sz w:val="24"/>
        </w:rPr>
        <w:t>截至投标截止时间，我方具有良好的商业信誉，不存在下列情形（包括但不限于）。否则，我方将承担在资格审查时不被通过的后果。</w:t>
      </w:r>
    </w:p>
    <w:p>
      <w:pPr>
        <w:pStyle w:val="19"/>
        <w:spacing w:before="0"/>
        <w:ind w:firstLine="495" w:firstLineChars="0"/>
        <w:rPr>
          <w:rFonts w:ascii="仿宋_GB2312" w:hAnsi="仿宋" w:eastAsia="仿宋_GB2312"/>
        </w:rPr>
      </w:pPr>
      <w:r>
        <w:rPr>
          <w:rFonts w:hint="eastAsia" w:ascii="仿宋_GB2312" w:hAnsi="仿宋" w:eastAsia="仿宋_GB2312"/>
        </w:rPr>
        <w:t>1</w:t>
      </w:r>
      <w:r>
        <w:rPr>
          <w:rFonts w:hint="eastAsia" w:ascii="仿宋_GB2312" w:hAnsi="仿宋" w:eastAsia="仿宋_GB2312" w:cs="仿宋_GB2312"/>
          <w:b/>
          <w:szCs w:val="24"/>
        </w:rPr>
        <w:t>、</w:t>
      </w:r>
      <w:r>
        <w:rPr>
          <w:rFonts w:hint="eastAsia" w:ascii="仿宋_GB2312" w:hAnsi="仿宋" w:eastAsia="仿宋_GB2312"/>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_GB2312" w:hAnsi="仿宋" w:eastAsia="仿宋_GB2312"/>
          <w:sz w:val="24"/>
        </w:rPr>
      </w:pPr>
    </w:p>
    <w:p>
      <w:pPr>
        <w:snapToGrid w:val="0"/>
        <w:spacing w:line="360" w:lineRule="auto"/>
        <w:ind w:firstLine="4680" w:firstLineChars="19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_GB2312" w:hAnsi="仿宋" w:eastAsia="仿宋_GB2312" w:cs="仿宋_GB2312"/>
          <w:b/>
          <w:sz w:val="30"/>
          <w:szCs w:val="30"/>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八、特定资格条件要求的资质文件（复印件）</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before="50" w:after="50" w:line="360" w:lineRule="auto"/>
        <w:jc w:val="center"/>
        <w:rPr>
          <w:rFonts w:ascii="仿宋" w:hAnsi="仿宋" w:eastAsia="仿宋" w:cs="仿宋_GB2312"/>
          <w:b/>
          <w:sz w:val="30"/>
          <w:szCs w:val="30"/>
        </w:rPr>
      </w:pPr>
      <w:r>
        <w:rPr>
          <w:rFonts w:hint="eastAsia" w:ascii="仿宋" w:hAnsi="仿宋" w:eastAsia="仿宋" w:cs="仿宋_GB2312"/>
          <w:b/>
          <w:sz w:val="32"/>
          <w:szCs w:val="32"/>
          <w:lang w:eastAsia="zh-CN"/>
        </w:rPr>
        <w:t>九</w:t>
      </w:r>
      <w:r>
        <w:rPr>
          <w:rFonts w:hint="eastAsia" w:ascii="仿宋" w:hAnsi="仿宋" w:eastAsia="仿宋" w:cs="仿宋_GB2312"/>
          <w:b/>
          <w:sz w:val="30"/>
          <w:szCs w:val="30"/>
        </w:rPr>
        <w:t>、联合体协议</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（以联合体形式投标的，提供联合体协议；本项目不接受联合体投标或者投标人不以联合体形式投标的，则不需要提供）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各方经协商一致，决定组成一个联合体，以一个投标人的身份就项目名称：</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sz w:val="24"/>
        </w:rPr>
        <w:t>【招标编号：</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rPr>
        <w:t>】</w:t>
      </w:r>
      <w:r>
        <w:rPr>
          <w:rFonts w:hint="eastAsia" w:ascii="仿宋" w:hAnsi="仿宋" w:eastAsia="仿宋" w:cs="仿宋_GB2312"/>
          <w:kern w:val="0"/>
          <w:sz w:val="24"/>
          <w:lang w:val="zh-CN"/>
        </w:rPr>
        <w:t xml:space="preserve">共同投标。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Arial"/>
          <w:sz w:val="24"/>
        </w:rPr>
        <w:t>指定</w:t>
      </w:r>
      <w:r>
        <w:rPr>
          <w:rFonts w:hint="eastAsia" w:ascii="仿宋" w:hAnsi="仿宋" w:eastAsia="仿宋"/>
          <w:u w:val="single"/>
        </w:rPr>
        <w:t xml:space="preserve">   </w:t>
      </w:r>
      <w:r>
        <w:rPr>
          <w:rFonts w:hint="eastAsia" w:ascii="仿宋" w:hAnsi="仿宋" w:eastAsia="仿宋" w:cs="Arial"/>
          <w:sz w:val="24"/>
        </w:rPr>
        <w:t>方牵头人，代表所有联合体成员负责投标和合同实施阶段的主办、协调工作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三、本次联合投标中，分工如下：甲方承担的工作和义务为：</w:t>
      </w:r>
      <w:r>
        <w:rPr>
          <w:rFonts w:hint="eastAsia" w:ascii="仿宋" w:hAnsi="仿宋" w:eastAsia="仿宋"/>
          <w:u w:val="single"/>
        </w:rPr>
        <w:t xml:space="preserve">             </w:t>
      </w:r>
      <w:r>
        <w:rPr>
          <w:rFonts w:hint="eastAsia" w:ascii="仿宋" w:hAnsi="仿宋" w:eastAsia="仿宋" w:cs="仿宋_GB2312"/>
          <w:kern w:val="0"/>
          <w:sz w:val="24"/>
          <w:lang w:val="zh-CN"/>
        </w:rPr>
        <w:t>；乙方承担的工作和义务为：</w:t>
      </w:r>
      <w:r>
        <w:rPr>
          <w:rFonts w:hint="eastAsia" w:ascii="仿宋" w:hAnsi="仿宋" w:eastAsia="仿宋"/>
          <w:u w:val="single"/>
        </w:rPr>
        <w:t xml:space="preserve">            </w:t>
      </w:r>
      <w:r>
        <w:rPr>
          <w:rFonts w:hint="eastAsia"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五、有关本次联合投标的其他事宜：</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甲方单位：         （电子签名）          乙方单位：          （电子签名）</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kern w:val="0"/>
          <w:sz w:val="24"/>
          <w:lang w:val="zh-CN"/>
        </w:rPr>
        <w:t>日期：    年   月   日                  日期：    年   月   日</w:t>
      </w:r>
    </w:p>
    <w:p>
      <w:pPr>
        <w:spacing w:line="360" w:lineRule="auto"/>
        <w:ind w:firstLine="480" w:firstLineChars="200"/>
        <w:rPr>
          <w:rFonts w:hint="eastAsia" w:ascii="仿宋_GB2312" w:hAnsi="仿宋" w:eastAsia="仿宋_GB2312" w:cs="仿宋_GB2312"/>
          <w:sz w:val="24"/>
        </w:rPr>
      </w:pPr>
    </w:p>
    <w:p>
      <w:pPr>
        <w:snapToGrid w:val="0"/>
        <w:spacing w:line="360" w:lineRule="auto"/>
        <w:jc w:val="center"/>
        <w:rPr>
          <w:rFonts w:ascii="仿宋_GB2312" w:hAnsi="仿宋" w:eastAsia="仿宋_GB2312" w:cs="仿宋_GB2312"/>
          <w:b/>
          <w:kern w:val="0"/>
          <w:sz w:val="36"/>
          <w:szCs w:val="36"/>
        </w:rPr>
      </w:pPr>
      <w:r>
        <w:rPr>
          <w:rFonts w:hint="eastAsia" w:ascii="仿宋_GB2312" w:hAnsi="仿宋" w:eastAsia="仿宋_GB2312" w:cs="仿宋_GB2312"/>
          <w:b/>
          <w:bCs/>
          <w:sz w:val="32"/>
          <w:szCs w:val="32"/>
        </w:rPr>
        <w:br w:type="page"/>
      </w:r>
      <w:r>
        <w:rPr>
          <w:rFonts w:hint="eastAsia" w:ascii="仿宋_GB2312" w:hAnsi="仿宋" w:eastAsia="仿宋_GB2312" w:cs="仿宋_GB2312"/>
          <w:sz w:val="36"/>
          <w:szCs w:val="36"/>
          <w:lang w:val="zh-CN"/>
        </w:rPr>
        <w:t>▲</w:t>
      </w: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outlineLvl w:val="0"/>
        <w:rPr>
          <w:rFonts w:ascii="仿宋_GB2312" w:hAnsi="仿宋" w:eastAsia="仿宋_GB2312" w:cs="仿宋_GB2312"/>
          <w:kern w:val="0"/>
          <w:sz w:val="24"/>
        </w:rPr>
      </w:pPr>
      <w:r>
        <w:rPr>
          <w:rFonts w:hint="eastAsia" w:ascii="仿宋_GB2312" w:hAnsi="仿宋" w:eastAsia="仿宋_GB2312" w:cs="仿宋_GB2312"/>
          <w:kern w:val="0"/>
          <w:sz w:val="24"/>
        </w:rPr>
        <w:t>（1）投标响应函……………………………………………………（页码）</w:t>
      </w:r>
    </w:p>
    <w:p>
      <w:pPr>
        <w:spacing w:line="360" w:lineRule="auto"/>
        <w:outlineLvl w:val="0"/>
        <w:rPr>
          <w:rFonts w:ascii="仿宋_GB2312" w:hAnsi="仿宋" w:eastAsia="仿宋_GB2312" w:cs="仿宋_GB2312"/>
          <w:kern w:val="0"/>
          <w:sz w:val="24"/>
        </w:rPr>
      </w:pPr>
      <w:r>
        <w:rPr>
          <w:rFonts w:hint="eastAsia" w:ascii="仿宋_GB2312" w:hAnsi="仿宋" w:eastAsia="仿宋_GB2312" w:cs="仿宋_GB2312"/>
          <w:kern w:val="0"/>
          <w:sz w:val="24"/>
        </w:rPr>
        <w:t>（2）投标（开标）一览表…………………………………………（页码）</w:t>
      </w:r>
    </w:p>
    <w:p>
      <w:pPr>
        <w:spacing w:line="360" w:lineRule="auto"/>
        <w:outlineLvl w:val="0"/>
        <w:rPr>
          <w:rFonts w:ascii="仿宋_GB2312" w:hAnsi="仿宋" w:eastAsia="仿宋_GB2312" w:cs="仿宋_GB2312"/>
          <w:kern w:val="0"/>
          <w:sz w:val="24"/>
        </w:rPr>
      </w:pPr>
      <w:r>
        <w:rPr>
          <w:rFonts w:hint="eastAsia" w:ascii="仿宋_GB2312" w:hAnsi="仿宋" w:eastAsia="仿宋_GB2312" w:cs="仿宋_GB2312"/>
          <w:kern w:val="0"/>
          <w:sz w:val="24"/>
        </w:rPr>
        <w:t>（3）中小企业声明函………………………………………………（页码）</w:t>
      </w: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一、投标响应</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 w:hAnsi="仿宋" w:eastAsia="仿宋" w:cs="仿宋"/>
          <w:sz w:val="24"/>
          <w:highlight w:val="none"/>
          <w:lang w:eastAsia="zh-CN"/>
        </w:rPr>
        <w:t>浙江青山湖科研创新基地投资有限公司</w:t>
      </w:r>
      <w:r>
        <w:rPr>
          <w:rFonts w:hint="eastAsia" w:ascii="仿宋_GB2312" w:hAnsi="仿宋" w:eastAsia="仿宋_GB2312" w:cs="仿宋_GB2312"/>
          <w:sz w:val="24"/>
        </w:rPr>
        <w:t>、杭州市公共资源交易中心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sz w:val="24"/>
        </w:rPr>
        <w:t>(投标人全称)授权</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sz w:val="24"/>
        </w:rPr>
        <w:t>(全权代表姓名)</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sz w:val="24"/>
        </w:rPr>
        <w:t>(职务、职称)为全权代表，参加贵方组织的</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1、我方同意在投标人</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规定的开标日期起遵守本投标文件中的承诺且在投标有效期满之前均具有约束力。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2、我方承诺已经具备《中华人民共和国政府采购法》中规定的参加政府采购活动的供应商应当具备的条件：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(1)具有独立承担民事责任的能力；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(2)遵守国家法律、行政法规，具有良好的信誉和商业道德；</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(3)具有履行合同的能力和良好的履行合同记录；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(4)良好的资金、财务状况；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(5)产品及生产所需装备符合中国政府规定的相应技术标准和环保标准；</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(6)没有违反政府采购法规、政策的记录；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(7)没有发生重大经济纠纷和走私犯罪记录。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3、我方中标后拟在中标后将</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工作分包，分包承担主体是</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，我方承诺分包承担主体具备相应资质条件</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，且不再次分包。（不再将工作进行分包或本项目不允许分包的，下划线处填写“/”。）</w:t>
      </w:r>
    </w:p>
    <w:p>
      <w:pPr>
        <w:pStyle w:val="7"/>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4、提供</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规定的全部投标文件</w:t>
      </w:r>
      <w:r>
        <w:rPr>
          <w:rFonts w:hint="eastAsia" w:ascii="仿宋_GB2312" w:hAnsi="仿宋" w:eastAsia="仿宋_GB2312" w:cs="仿宋_GB2312"/>
          <w:kern w:val="44"/>
          <w:sz w:val="24"/>
        </w:rPr>
        <w:t>。</w:t>
      </w:r>
      <w:r>
        <w:rPr>
          <w:rFonts w:hint="eastAsia" w:ascii="仿宋_GB2312" w:hAnsi="仿宋" w:eastAsia="仿宋_GB2312" w:cs="仿宋_GB2312"/>
          <w:sz w:val="24"/>
        </w:rPr>
        <w:t>具体内容为：</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(1)投标(开标)一览表；</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(2)投标</w:t>
      </w:r>
      <w:r>
        <w:rPr>
          <w:rFonts w:hint="eastAsia" w:ascii="仿宋_GB2312" w:hAnsi="仿宋" w:eastAsia="仿宋_GB2312" w:cs="仿宋_GB2312"/>
          <w:kern w:val="0"/>
          <w:sz w:val="24"/>
          <w:lang w:val="zh-CN"/>
        </w:rPr>
        <w:t>技术文件和</w:t>
      </w:r>
      <w:r>
        <w:rPr>
          <w:rFonts w:hint="eastAsia" w:ascii="仿宋_GB2312" w:hAnsi="仿宋" w:eastAsia="仿宋_GB2312" w:cs="仿宋_GB2312"/>
          <w:sz w:val="24"/>
          <w:lang w:val="zh-CN"/>
        </w:rPr>
        <w:t>商务文件</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要求投标人提交的全部文件；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(4)按招标文件要求提供和交付的货物和服务的投标报价详见投标(开标)一览表；</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(5)保证忠实地执行双方所签订的合同，并承担合同规定的责任和义务；</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(6)保证遵守招标文件中的其他有关规定。</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5、我方承诺投标有效期从提交投标文件的截止之日起</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天，不少于招标文件中载明的投标有效期（从提交投标文件的截止之日起90天）。</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6、我方完全理解贵方不一定要接受最低价的投标。</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8、我方已详细审核全部招标文件，包括招标文件修改书(如果有)、参考资料及有关附件，确认无误。</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a)提供虚假材料谋取中标、成交的；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b)采取不正当手段诋毁、排挤其他供应商的；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c)与采购人、其它供应商或者采购机构恶意串通的；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d)向采购人、采购机构行贿或者提供其他不正当利益的；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e)在招标采购过程中与采购人进行协商谈判的；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f)拒绝有关部门监督检查或提供虚假情况的。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供应商有前款第a)至e)项情形之一的，中标、成交无效。</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投标人名称（电子签名）：                          </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联系人：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联系电话： </w:t>
      </w:r>
      <w:r>
        <w:rPr>
          <w:rFonts w:hint="eastAsia" w:ascii="仿宋_GB2312" w:hAnsi="仿宋" w:eastAsia="仿宋_GB2312" w:cs="仿宋_GB2312"/>
          <w:kern w:val="0"/>
          <w:sz w:val="24"/>
          <w:u w:val="single"/>
          <w:lang w:val="zh-CN"/>
        </w:rPr>
        <w:t xml:space="preserve">                </w:t>
      </w: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联系地址：</w:t>
      </w:r>
      <w:r>
        <w:rPr>
          <w:rFonts w:hint="eastAsia" w:ascii="仿宋_GB2312" w:hAnsi="仿宋" w:eastAsia="仿宋_GB2312" w:cs="仿宋_GB2312"/>
          <w:kern w:val="0"/>
          <w:sz w:val="24"/>
          <w:u w:val="single"/>
          <w:lang w:val="zh-CN"/>
        </w:rPr>
        <w:t xml:space="preserve">                                                    </w:t>
      </w: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邮政编码：</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传真号码：</w:t>
      </w:r>
      <w:r>
        <w:rPr>
          <w:rFonts w:hint="eastAsia" w:ascii="仿宋_GB2312" w:hAnsi="仿宋" w:eastAsia="仿宋_GB2312" w:cs="仿宋_GB2312"/>
          <w:kern w:val="0"/>
          <w:sz w:val="24"/>
          <w:u w:val="single"/>
          <w:lang w:val="zh-CN"/>
        </w:rPr>
        <w:t xml:space="preserve">                     </w:t>
      </w:r>
    </w:p>
    <w:p>
      <w:pPr>
        <w:snapToGrid w:val="0"/>
        <w:spacing w:line="360" w:lineRule="auto"/>
        <w:rPr>
          <w:rFonts w:ascii="仿宋_GB2312" w:hAnsi="仿宋" w:eastAsia="仿宋_GB2312" w:cs="仿宋_GB2312"/>
          <w:sz w:val="24"/>
        </w:rPr>
      </w:pPr>
      <w:r>
        <w:rPr>
          <w:rFonts w:hint="eastAsia" w:ascii="仿宋_GB2312" w:hAnsi="仿宋" w:eastAsia="仿宋_GB2312" w:cs="仿宋_GB2312"/>
          <w:b/>
          <w:kern w:val="0"/>
          <w:sz w:val="24"/>
          <w:lang w:val="zh-CN"/>
        </w:rPr>
        <w:t>注：未按照本投标响应函要求填报的将被视为非实质性响应投标，从而可能导致该投标被拒绝。</w:t>
      </w: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rPr>
          <w:rFonts w:hint="eastAsia" w:ascii="仿宋_GB2312" w:hAnsi="仿宋" w:eastAsia="仿宋_GB2312" w:cs="仿宋_GB2312"/>
          <w:kern w:val="2"/>
          <w:sz w:val="32"/>
          <w:szCs w:val="32"/>
        </w:rPr>
        <w:sectPr>
          <w:pgSz w:w="11906" w:h="16838"/>
          <w:pgMar w:top="680" w:right="1417" w:bottom="471" w:left="1417" w:header="851" w:footer="992" w:gutter="0"/>
          <w:pgNumType w:fmt="decimal"/>
          <w:cols w:space="425" w:num="1"/>
          <w:docGrid w:type="lines" w:linePitch="312" w:charSpace="0"/>
        </w:sectPr>
      </w:pPr>
    </w:p>
    <w:p>
      <w:pPr>
        <w:pStyle w:val="5"/>
        <w:rPr>
          <w:rFonts w:hint="eastAsia"/>
        </w:rPr>
      </w:pPr>
    </w:p>
    <w:p>
      <w:pPr>
        <w:pStyle w:val="27"/>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二、投标(开标)一览表</w:t>
      </w:r>
    </w:p>
    <w:p>
      <w:pPr>
        <w:snapToGrid w:val="0"/>
        <w:spacing w:line="360" w:lineRule="auto"/>
        <w:rPr>
          <w:rFonts w:ascii="仿宋_GB2312" w:hAnsi="仿宋" w:eastAsia="仿宋_GB2312" w:cs="仿宋_GB2312"/>
          <w:kern w:val="0"/>
          <w:sz w:val="24"/>
        </w:rPr>
      </w:pPr>
      <w:bookmarkStart w:id="530" w:name="_Toc86217005"/>
      <w:r>
        <w:rPr>
          <w:rFonts w:hint="eastAsia" w:ascii="仿宋" w:hAnsi="仿宋" w:eastAsia="仿宋" w:cs="仿宋"/>
          <w:sz w:val="24"/>
          <w:highlight w:val="none"/>
          <w:lang w:eastAsia="zh-CN"/>
        </w:rPr>
        <w:t>浙江青山湖科研创新基地投资有限公司</w:t>
      </w:r>
      <w:r>
        <w:rPr>
          <w:rFonts w:hint="eastAsia" w:ascii="仿宋_GB2312" w:hAnsi="仿宋" w:eastAsia="仿宋_GB2312" w:cs="仿宋_GB2312"/>
          <w:sz w:val="24"/>
        </w:rPr>
        <w:t>、杭州市公共资源交易中心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投标(开标)一览表(单位均为人民币元)</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7"/>
        <w:gridCol w:w="1972"/>
        <w:gridCol w:w="791"/>
        <w:gridCol w:w="798"/>
        <w:gridCol w:w="1248"/>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46"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477"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623" w:type="pct"/>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1062"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426"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430"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672"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062" w:type="pct"/>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477" w:type="pct"/>
            <w:vAlign w:val="center"/>
          </w:tcPr>
          <w:p>
            <w:pPr>
              <w:snapToGrid w:val="0"/>
              <w:spacing w:line="360" w:lineRule="auto"/>
              <w:jc w:val="center"/>
              <w:rPr>
                <w:rFonts w:ascii="仿宋_GB2312" w:hAnsi="仿宋" w:eastAsia="仿宋_GB2312" w:cs="仿宋_GB2312"/>
                <w:sz w:val="24"/>
              </w:rPr>
            </w:pPr>
          </w:p>
        </w:tc>
        <w:tc>
          <w:tcPr>
            <w:tcW w:w="623" w:type="pct"/>
            <w:vAlign w:val="center"/>
          </w:tcPr>
          <w:p>
            <w:pPr>
              <w:snapToGrid w:val="0"/>
              <w:spacing w:line="360" w:lineRule="auto"/>
              <w:jc w:val="center"/>
              <w:rPr>
                <w:rFonts w:ascii="仿宋_GB2312" w:hAnsi="仿宋" w:eastAsia="仿宋_GB2312" w:cs="仿宋_GB2312"/>
                <w:sz w:val="24"/>
              </w:rPr>
            </w:pPr>
          </w:p>
        </w:tc>
        <w:tc>
          <w:tcPr>
            <w:tcW w:w="1062" w:type="pct"/>
            <w:vAlign w:val="center"/>
          </w:tcPr>
          <w:p>
            <w:pPr>
              <w:snapToGrid w:val="0"/>
              <w:spacing w:line="360" w:lineRule="auto"/>
              <w:jc w:val="center"/>
              <w:rPr>
                <w:rFonts w:ascii="仿宋_GB2312" w:hAnsi="仿宋" w:eastAsia="仿宋_GB2312" w:cs="仿宋_GB2312"/>
                <w:sz w:val="24"/>
              </w:rPr>
            </w:pPr>
          </w:p>
        </w:tc>
        <w:tc>
          <w:tcPr>
            <w:tcW w:w="426" w:type="pct"/>
            <w:vAlign w:val="center"/>
          </w:tcPr>
          <w:p>
            <w:pPr>
              <w:snapToGrid w:val="0"/>
              <w:spacing w:line="360" w:lineRule="auto"/>
              <w:jc w:val="center"/>
              <w:rPr>
                <w:rFonts w:ascii="仿宋_GB2312" w:hAnsi="仿宋" w:eastAsia="仿宋_GB2312" w:cs="仿宋_GB2312"/>
                <w:sz w:val="24"/>
              </w:rPr>
            </w:pPr>
          </w:p>
        </w:tc>
        <w:tc>
          <w:tcPr>
            <w:tcW w:w="430" w:type="pct"/>
            <w:vAlign w:val="center"/>
          </w:tcPr>
          <w:p>
            <w:pPr>
              <w:spacing w:line="360" w:lineRule="auto"/>
              <w:jc w:val="center"/>
              <w:rPr>
                <w:rFonts w:ascii="仿宋_GB2312" w:hAnsi="仿宋" w:eastAsia="仿宋_GB2312" w:cs="仿宋_GB2312"/>
                <w:sz w:val="24"/>
              </w:rPr>
            </w:pPr>
          </w:p>
        </w:tc>
        <w:tc>
          <w:tcPr>
            <w:tcW w:w="672" w:type="pct"/>
            <w:vAlign w:val="center"/>
          </w:tcPr>
          <w:p>
            <w:pPr>
              <w:spacing w:line="360" w:lineRule="auto"/>
              <w:jc w:val="center"/>
              <w:rPr>
                <w:rFonts w:ascii="仿宋_GB2312" w:hAnsi="仿宋" w:eastAsia="仿宋_GB2312" w:cs="仿宋_GB2312"/>
                <w:sz w:val="24"/>
              </w:rPr>
            </w:pPr>
          </w:p>
        </w:tc>
        <w:tc>
          <w:tcPr>
            <w:tcW w:w="1062" w:type="pct"/>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477" w:type="pct"/>
            <w:vAlign w:val="center"/>
          </w:tcPr>
          <w:p>
            <w:pPr>
              <w:snapToGrid w:val="0"/>
              <w:spacing w:line="360" w:lineRule="auto"/>
              <w:jc w:val="center"/>
              <w:rPr>
                <w:rFonts w:ascii="仿宋_GB2312" w:hAnsi="仿宋" w:eastAsia="仿宋_GB2312" w:cs="仿宋_GB2312"/>
                <w:sz w:val="24"/>
              </w:rPr>
            </w:pPr>
          </w:p>
        </w:tc>
        <w:tc>
          <w:tcPr>
            <w:tcW w:w="623" w:type="pct"/>
            <w:vAlign w:val="center"/>
          </w:tcPr>
          <w:p>
            <w:pPr>
              <w:snapToGrid w:val="0"/>
              <w:spacing w:line="360" w:lineRule="auto"/>
              <w:jc w:val="center"/>
              <w:rPr>
                <w:rFonts w:ascii="仿宋_GB2312" w:hAnsi="仿宋" w:eastAsia="仿宋_GB2312" w:cs="仿宋_GB2312"/>
                <w:sz w:val="24"/>
              </w:rPr>
            </w:pPr>
          </w:p>
        </w:tc>
        <w:tc>
          <w:tcPr>
            <w:tcW w:w="1062" w:type="pct"/>
            <w:vAlign w:val="center"/>
          </w:tcPr>
          <w:p>
            <w:pPr>
              <w:snapToGrid w:val="0"/>
              <w:spacing w:line="360" w:lineRule="auto"/>
              <w:jc w:val="center"/>
              <w:rPr>
                <w:rFonts w:ascii="仿宋_GB2312" w:hAnsi="仿宋" w:eastAsia="仿宋_GB2312" w:cs="仿宋_GB2312"/>
                <w:sz w:val="24"/>
              </w:rPr>
            </w:pPr>
          </w:p>
        </w:tc>
        <w:tc>
          <w:tcPr>
            <w:tcW w:w="426" w:type="pct"/>
            <w:vAlign w:val="center"/>
          </w:tcPr>
          <w:p>
            <w:pPr>
              <w:snapToGrid w:val="0"/>
              <w:spacing w:line="360" w:lineRule="auto"/>
              <w:jc w:val="center"/>
              <w:rPr>
                <w:rFonts w:ascii="仿宋_GB2312" w:hAnsi="仿宋" w:eastAsia="仿宋_GB2312" w:cs="仿宋_GB2312"/>
                <w:sz w:val="24"/>
              </w:rPr>
            </w:pPr>
          </w:p>
        </w:tc>
        <w:tc>
          <w:tcPr>
            <w:tcW w:w="430" w:type="pct"/>
            <w:vAlign w:val="center"/>
          </w:tcPr>
          <w:p>
            <w:pPr>
              <w:spacing w:line="360" w:lineRule="auto"/>
              <w:jc w:val="center"/>
              <w:rPr>
                <w:rFonts w:ascii="仿宋_GB2312" w:hAnsi="仿宋" w:eastAsia="仿宋_GB2312" w:cs="仿宋_GB2312"/>
                <w:sz w:val="24"/>
              </w:rPr>
            </w:pPr>
          </w:p>
        </w:tc>
        <w:tc>
          <w:tcPr>
            <w:tcW w:w="672" w:type="pct"/>
            <w:vAlign w:val="center"/>
          </w:tcPr>
          <w:p>
            <w:pPr>
              <w:spacing w:line="360" w:lineRule="auto"/>
              <w:jc w:val="center"/>
              <w:rPr>
                <w:rFonts w:ascii="仿宋_GB2312" w:hAnsi="仿宋" w:eastAsia="仿宋_GB2312" w:cs="仿宋_GB2312"/>
                <w:sz w:val="24"/>
              </w:rPr>
            </w:pPr>
          </w:p>
        </w:tc>
        <w:tc>
          <w:tcPr>
            <w:tcW w:w="1062" w:type="pct"/>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477" w:type="pct"/>
            <w:vAlign w:val="center"/>
          </w:tcPr>
          <w:p>
            <w:pPr>
              <w:snapToGrid w:val="0"/>
              <w:spacing w:line="360" w:lineRule="auto"/>
              <w:jc w:val="center"/>
              <w:rPr>
                <w:rFonts w:ascii="仿宋_GB2312" w:hAnsi="仿宋" w:eastAsia="仿宋_GB2312" w:cs="仿宋_GB2312"/>
                <w:sz w:val="24"/>
              </w:rPr>
            </w:pPr>
          </w:p>
        </w:tc>
        <w:tc>
          <w:tcPr>
            <w:tcW w:w="623" w:type="pct"/>
            <w:vAlign w:val="center"/>
          </w:tcPr>
          <w:p>
            <w:pPr>
              <w:snapToGrid w:val="0"/>
              <w:spacing w:line="360" w:lineRule="auto"/>
              <w:jc w:val="center"/>
              <w:rPr>
                <w:rFonts w:ascii="仿宋_GB2312" w:hAnsi="仿宋" w:eastAsia="仿宋_GB2312" w:cs="仿宋_GB2312"/>
                <w:sz w:val="24"/>
              </w:rPr>
            </w:pPr>
          </w:p>
        </w:tc>
        <w:tc>
          <w:tcPr>
            <w:tcW w:w="1062" w:type="pct"/>
            <w:vAlign w:val="center"/>
          </w:tcPr>
          <w:p>
            <w:pPr>
              <w:snapToGrid w:val="0"/>
              <w:spacing w:line="360" w:lineRule="auto"/>
              <w:jc w:val="center"/>
              <w:rPr>
                <w:rFonts w:ascii="仿宋_GB2312" w:hAnsi="仿宋" w:eastAsia="仿宋_GB2312" w:cs="仿宋_GB2312"/>
                <w:sz w:val="24"/>
              </w:rPr>
            </w:pPr>
          </w:p>
        </w:tc>
        <w:tc>
          <w:tcPr>
            <w:tcW w:w="426" w:type="pct"/>
            <w:vAlign w:val="center"/>
          </w:tcPr>
          <w:p>
            <w:pPr>
              <w:snapToGrid w:val="0"/>
              <w:spacing w:line="360" w:lineRule="auto"/>
              <w:jc w:val="center"/>
              <w:rPr>
                <w:rFonts w:ascii="仿宋_GB2312" w:hAnsi="仿宋" w:eastAsia="仿宋_GB2312" w:cs="仿宋_GB2312"/>
                <w:sz w:val="24"/>
              </w:rPr>
            </w:pPr>
          </w:p>
        </w:tc>
        <w:tc>
          <w:tcPr>
            <w:tcW w:w="430" w:type="pct"/>
            <w:vAlign w:val="center"/>
          </w:tcPr>
          <w:p>
            <w:pPr>
              <w:spacing w:line="360" w:lineRule="auto"/>
              <w:jc w:val="center"/>
              <w:rPr>
                <w:rFonts w:ascii="仿宋_GB2312" w:hAnsi="仿宋" w:eastAsia="仿宋_GB2312" w:cs="仿宋_GB2312"/>
                <w:sz w:val="24"/>
              </w:rPr>
            </w:pPr>
          </w:p>
        </w:tc>
        <w:tc>
          <w:tcPr>
            <w:tcW w:w="672" w:type="pct"/>
            <w:vAlign w:val="center"/>
          </w:tcPr>
          <w:p>
            <w:pPr>
              <w:spacing w:line="360" w:lineRule="auto"/>
              <w:jc w:val="center"/>
              <w:rPr>
                <w:rFonts w:ascii="仿宋_GB2312" w:hAnsi="仿宋" w:eastAsia="仿宋_GB2312" w:cs="仿宋_GB2312"/>
                <w:sz w:val="24"/>
              </w:rPr>
            </w:pPr>
          </w:p>
        </w:tc>
        <w:tc>
          <w:tcPr>
            <w:tcW w:w="1062" w:type="pct"/>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08" w:type="pct"/>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2591" w:type="pct"/>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08" w:type="pct"/>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2591" w:type="pct"/>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p>
    <w:p>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2、有关本项目实施所涉及的一切费用（详见前附表）均计入报价。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各项明细费用请按实填写（不得出现“0元”“免费赠送”等形式的无偿报价）。</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3600" w:firstLineChars="1500"/>
        <w:rPr>
          <w:rFonts w:hint="eastAsia" w:ascii="仿宋_GB2312" w:hAnsi="仿宋" w:eastAsia="仿宋_GB2312" w:cs="仿宋_GB2312"/>
          <w:sz w:val="24"/>
        </w:rPr>
      </w:pP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投标人名称（电子签名）：                          </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spacing w:line="360" w:lineRule="auto"/>
        <w:ind w:right="480"/>
        <w:jc w:val="center"/>
        <w:rPr>
          <w:rFonts w:ascii="仿宋_GB2312" w:hAnsi="仿宋" w:eastAsia="仿宋_GB2312" w:cs="仿宋_GB2312"/>
          <w:sz w:val="24"/>
        </w:rPr>
      </w:pPr>
    </w:p>
    <w:bookmarkEnd w:id="530"/>
    <w:p>
      <w:pPr>
        <w:spacing w:line="360" w:lineRule="auto"/>
        <w:jc w:val="both"/>
        <w:outlineLvl w:val="0"/>
        <w:rPr>
          <w:rFonts w:hint="eastAsia" w:ascii="仿宋_GB2312" w:hAnsi="仿宋" w:eastAsia="仿宋_GB2312" w:cs="仿宋_GB2312"/>
          <w:sz w:val="36"/>
          <w:szCs w:val="36"/>
          <w:lang w:val="zh-CN"/>
        </w:rPr>
      </w:pPr>
    </w:p>
    <w:p>
      <w:pPr>
        <w:pStyle w:val="27"/>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r>
        <w:rPr>
          <w:rFonts w:hint="eastAsia" w:ascii="仿宋_GB2312" w:hAnsi="仿宋" w:eastAsia="仿宋_GB2312" w:cs="仿宋_GB2312"/>
          <w:kern w:val="2"/>
          <w:sz w:val="32"/>
          <w:szCs w:val="32"/>
          <w:lang w:eastAsia="zh-CN"/>
        </w:rPr>
        <w:t>三、</w:t>
      </w:r>
      <w:r>
        <w:rPr>
          <w:rFonts w:hint="eastAsia" w:ascii="仿宋_GB2312" w:hAnsi="仿宋" w:eastAsia="仿宋_GB2312" w:cs="仿宋_GB2312"/>
          <w:kern w:val="2"/>
          <w:sz w:val="32"/>
          <w:szCs w:val="32"/>
        </w:rPr>
        <w:t>中小企业声明函</w:t>
      </w:r>
      <w:r>
        <w:rPr>
          <w:rFonts w:hint="eastAsia" w:ascii="仿宋_GB2312" w:hAnsi="仿宋" w:eastAsia="仿宋_GB2312" w:cs="仿宋_GB2312"/>
          <w:kern w:val="2"/>
          <w:sz w:val="32"/>
          <w:szCs w:val="32"/>
          <w:lang w:eastAsia="zh-CN"/>
        </w:rPr>
        <w:t>（货物）</w:t>
      </w:r>
    </w:p>
    <w:p>
      <w:pPr>
        <w:spacing w:line="360" w:lineRule="auto"/>
        <w:ind w:firstLine="600" w:firstLineChars="2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w:t>
      </w:r>
      <w:r>
        <w:rPr>
          <w:rFonts w:hint="eastAsia" w:ascii="仿宋_GB2312" w:hAnsi="宋体" w:eastAsia="仿宋_GB2312"/>
          <w:sz w:val="24"/>
          <w:lang w:eastAsia="zh-CN"/>
        </w:rPr>
        <w:t>制造商</w:t>
      </w:r>
      <w:r>
        <w:rPr>
          <w:rFonts w:hint="eastAsia" w:ascii="仿宋_GB2312" w:hAnsi="宋体" w:eastAsia="仿宋_GB2312"/>
          <w:sz w:val="24"/>
        </w:rPr>
        <w:t xml:space="preserve">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w:t>
      </w:r>
      <w:r>
        <w:rPr>
          <w:rFonts w:hint="eastAsia" w:ascii="仿宋_GB2312" w:hAnsi="宋体" w:eastAsia="仿宋_GB2312"/>
          <w:sz w:val="24"/>
          <w:lang w:eastAsia="zh-CN"/>
        </w:rPr>
        <w:t>，</w:t>
      </w:r>
      <w:r>
        <w:rPr>
          <w:rFonts w:hint="eastAsia" w:ascii="仿宋_GB2312" w:hAnsi="宋体" w:eastAsia="仿宋_GB2312"/>
          <w:sz w:val="24"/>
        </w:rPr>
        <w:t>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（标的名称） </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w:t>
      </w:r>
      <w:r>
        <w:rPr>
          <w:rFonts w:hint="eastAsia" w:ascii="仿宋_GB2312" w:hAnsi="宋体" w:eastAsia="仿宋_GB2312"/>
          <w:sz w:val="24"/>
          <w:lang w:eastAsia="zh-CN"/>
        </w:rPr>
        <w:t>制造商</w:t>
      </w:r>
      <w:r>
        <w:rPr>
          <w:rFonts w:hint="eastAsia" w:ascii="仿宋_GB2312" w:hAnsi="宋体" w:eastAsia="仿宋_GB2312"/>
          <w:sz w:val="24"/>
        </w:rPr>
        <w:t xml:space="preserve">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 xml:space="preserve">万元，属于 </w:t>
      </w:r>
      <w:r>
        <w:rPr>
          <w:rFonts w:hint="eastAsia" w:ascii="仿宋_GB2312" w:hAnsi="宋体" w:eastAsia="仿宋_GB2312"/>
          <w:sz w:val="24"/>
          <w:u w:val="single"/>
        </w:rPr>
        <w:t>（中型企业、小型企业、微型企业）</w:t>
      </w:r>
      <w:r>
        <w:rPr>
          <w:rFonts w:hint="eastAsia" w:ascii="仿宋_GB2312" w:hAnsi="宋体" w:eastAsia="仿宋_GB2312"/>
          <w:sz w:val="24"/>
        </w:rPr>
        <w:t xml:space="preserve"> ；</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 xml:space="preserve">名称（ </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5160" w:firstLineChars="21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12"/>
        <w:ind w:left="0" w:leftChars="0" w:firstLine="0" w:firstLineChars="0"/>
        <w:rPr>
          <w:rFonts w:hint="eastAsia" w:ascii="仿宋_GB2312" w:hAnsi="仿宋" w:eastAsia="仿宋_GB2312" w:cs="仿宋_GB2312"/>
          <w:sz w:val="36"/>
          <w:szCs w:val="36"/>
          <w:lang w:val="zh-CN"/>
        </w:rPr>
      </w:pPr>
    </w:p>
    <w:p>
      <w:pPr>
        <w:pStyle w:val="12"/>
        <w:ind w:left="0" w:leftChars="0" w:firstLine="0" w:firstLineChars="0"/>
        <w:rPr>
          <w:rFonts w:hint="eastAsia" w:ascii="仿宋_GB2312" w:hAnsi="仿宋" w:eastAsia="仿宋_GB2312" w:cs="仿宋_GB2312"/>
          <w:sz w:val="36"/>
          <w:szCs w:val="36"/>
          <w:lang w:val="zh-CN"/>
        </w:rPr>
      </w:pPr>
    </w:p>
    <w:p>
      <w:pPr>
        <w:pStyle w:val="12"/>
        <w:ind w:left="0" w:leftChars="0" w:firstLine="0" w:firstLineChars="0"/>
        <w:rPr>
          <w:rFonts w:hint="eastAsia" w:ascii="仿宋_GB2312" w:hAnsi="仿宋" w:eastAsia="仿宋_GB2312" w:cs="仿宋_GB2312"/>
          <w:sz w:val="36"/>
          <w:szCs w:val="36"/>
          <w:lang w:val="zh-CN"/>
        </w:rPr>
      </w:pPr>
    </w:p>
    <w:p>
      <w:pPr>
        <w:pStyle w:val="12"/>
        <w:ind w:left="0" w:leftChars="0" w:firstLine="0" w:firstLineChars="0"/>
        <w:rPr>
          <w:rFonts w:hint="eastAsia" w:ascii="仿宋_GB2312" w:hAnsi="仿宋" w:eastAsia="仿宋_GB2312" w:cs="仿宋_GB2312"/>
          <w:sz w:val="36"/>
          <w:szCs w:val="36"/>
          <w:lang w:val="zh-CN"/>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sz w:val="36"/>
          <w:szCs w:val="36"/>
          <w:lang w:val="zh-CN"/>
        </w:rPr>
        <w:t>▲</w:t>
      </w: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pStyle w:val="29"/>
        <w:spacing w:line="360" w:lineRule="auto"/>
        <w:rPr>
          <w:rFonts w:cs="仿宋_GB2312"/>
        </w:rPr>
      </w:pPr>
      <w:r>
        <w:rPr>
          <w:rFonts w:hint="eastAsia" w:cs="仿宋_GB2312"/>
        </w:rPr>
        <w:t>（</w:t>
      </w:r>
      <w:r>
        <w:rPr>
          <w:rFonts w:hint="eastAsia" w:cs="仿宋_GB2312"/>
          <w:lang w:val="en-US" w:eastAsia="zh-CN"/>
        </w:rPr>
        <w:t>1</w:t>
      </w:r>
      <w:r>
        <w:rPr>
          <w:rFonts w:hint="eastAsia" w:cs="仿宋_GB2312"/>
        </w:rPr>
        <w:t>）资信文件复印件（如果要求提供）…………………………… （页码）</w:t>
      </w:r>
    </w:p>
    <w:p>
      <w:pPr>
        <w:pStyle w:val="29"/>
        <w:spacing w:line="360" w:lineRule="auto"/>
        <w:rPr>
          <w:rFonts w:cs="仿宋_GB2312"/>
        </w:rPr>
      </w:pPr>
      <w:r>
        <w:rPr>
          <w:rFonts w:hint="eastAsia" w:cs="仿宋_GB2312"/>
        </w:rPr>
        <w:t>（</w:t>
      </w:r>
      <w:r>
        <w:rPr>
          <w:rFonts w:hint="eastAsia" w:cs="仿宋_GB2312"/>
          <w:lang w:val="en-US" w:eastAsia="zh-CN"/>
        </w:rPr>
        <w:t>2</w:t>
      </w:r>
      <w:r>
        <w:rPr>
          <w:rFonts w:hint="eastAsia" w:cs="仿宋_GB2312"/>
        </w:rPr>
        <w:t>）</w:t>
      </w:r>
      <w:r>
        <w:rPr>
          <w:rFonts w:hint="eastAsia" w:cs="仿宋_GB2312"/>
          <w:lang w:val="zh-CN"/>
        </w:rPr>
        <w:t>主要业绩证明… …………………………………………………</w:t>
      </w:r>
      <w:r>
        <w:rPr>
          <w:rFonts w:hint="eastAsia" w:cs="仿宋_GB2312"/>
        </w:rPr>
        <w:t>（页码）</w:t>
      </w:r>
    </w:p>
    <w:p>
      <w:pPr>
        <w:pStyle w:val="29"/>
        <w:spacing w:line="360" w:lineRule="auto"/>
        <w:rPr>
          <w:rFonts w:cs="仿宋_GB2312"/>
        </w:rPr>
      </w:pPr>
      <w:bookmarkStart w:id="531" w:name="OLE_LINK7"/>
      <w:bookmarkStart w:id="532" w:name="OLE_LINK6"/>
      <w:bookmarkStart w:id="533" w:name="OLE_LINK5"/>
      <w:r>
        <w:rPr>
          <w:rFonts w:hint="eastAsia" w:cs="仿宋_GB2312"/>
        </w:rPr>
        <w:t>（</w:t>
      </w:r>
      <w:r>
        <w:rPr>
          <w:rFonts w:hint="eastAsia" w:cs="仿宋_GB2312"/>
          <w:lang w:val="en-US" w:eastAsia="zh-CN"/>
        </w:rPr>
        <w:t>3</w:t>
      </w:r>
      <w:r>
        <w:rPr>
          <w:rFonts w:hint="eastAsia" w:cs="仿宋_GB2312"/>
        </w:rPr>
        <w:t>）其他商务文件或说明</w:t>
      </w:r>
      <w:r>
        <w:rPr>
          <w:rFonts w:hint="eastAsia" w:cs="仿宋_GB2312"/>
          <w:lang w:val="zh-CN"/>
        </w:rPr>
        <w:t xml:space="preserve">…………………………………………… </w:t>
      </w:r>
      <w:r>
        <w:rPr>
          <w:rFonts w:hint="eastAsia" w:cs="仿宋_GB2312"/>
        </w:rPr>
        <w:t>（页码）</w:t>
      </w:r>
      <w:bookmarkEnd w:id="531"/>
      <w:bookmarkEnd w:id="532"/>
    </w:p>
    <w:bookmarkEnd w:id="533"/>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4</w:t>
      </w:r>
      <w:r>
        <w:rPr>
          <w:rFonts w:hint="eastAsia" w:ascii="仿宋_GB2312" w:hAnsi="仿宋" w:eastAsia="仿宋_GB2312" w:cs="仿宋_GB2312"/>
          <w:kern w:val="0"/>
          <w:sz w:val="24"/>
        </w:rPr>
        <w:t>）技术解决方案…………………………………………………… （页码）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5</w:t>
      </w:r>
      <w:r>
        <w:rPr>
          <w:rFonts w:hint="eastAsia" w:ascii="仿宋_GB2312" w:hAnsi="仿宋" w:eastAsia="仿宋_GB2312" w:cs="仿宋_GB2312"/>
          <w:kern w:val="0"/>
          <w:sz w:val="24"/>
        </w:rPr>
        <w:t>）技术偏离说明表………………………………………………… （页码）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6</w:t>
      </w:r>
      <w:r>
        <w:rPr>
          <w:rFonts w:hint="eastAsia" w:ascii="仿宋_GB2312" w:hAnsi="仿宋" w:eastAsia="仿宋_GB2312" w:cs="仿宋_GB2312"/>
          <w:kern w:val="0"/>
          <w:sz w:val="24"/>
        </w:rPr>
        <w:t>）组织实施方案…………………………………………………… （页码）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7</w:t>
      </w:r>
      <w:r>
        <w:rPr>
          <w:rFonts w:hint="eastAsia" w:ascii="仿宋_GB2312" w:hAnsi="仿宋" w:eastAsia="仿宋_GB2312" w:cs="仿宋_GB2312"/>
          <w:kern w:val="0"/>
          <w:sz w:val="24"/>
        </w:rPr>
        <w:t>）售后服务方案…………………………………………………… （页码）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8</w:t>
      </w:r>
      <w:r>
        <w:rPr>
          <w:rFonts w:hint="eastAsia" w:ascii="仿宋_GB2312" w:hAnsi="仿宋" w:eastAsia="仿宋_GB2312" w:cs="仿宋_GB2312"/>
          <w:kern w:val="0"/>
          <w:sz w:val="24"/>
        </w:rPr>
        <w:t>）项目小组人员名单………………………………………………（页码）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9</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优惠条件及特殊承诺……………………………………………</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10</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备品备件及供选择的配套零部件清单（若有）………………</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11</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培训计划（若有）………………………………………………</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12</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验收计划…………………………………………………………</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b/>
          <w:bCs/>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13</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认为需要的其他技术文件或说明………………………………</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14</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关于对招标文件中商务、合同有关条款的拒绝声明…………</w:t>
      </w:r>
      <w:r>
        <w:rPr>
          <w:rFonts w:hint="eastAsia" w:ascii="仿宋_GB2312" w:hAnsi="仿宋" w:eastAsia="仿宋_GB2312" w:cs="仿宋_GB2312"/>
          <w:kern w:val="0"/>
          <w:sz w:val="24"/>
        </w:rPr>
        <w:t>（页码）</w:t>
      </w:r>
    </w:p>
    <w:p>
      <w:pPr>
        <w:pStyle w:val="5"/>
        <w:ind w:firstLine="480" w:firstLineChars="200"/>
        <w:rPr>
          <w:rFonts w:ascii="Arial" w:hAnsi="Arial" w:eastAsia="黑体"/>
          <w:snapToGrid w:val="0"/>
          <w:kern w:val="0"/>
          <w:sz w:val="20"/>
          <w:szCs w:val="21"/>
        </w:rPr>
      </w:pPr>
      <w:r>
        <w:rPr>
          <w:rFonts w:hint="eastAsia" w:ascii="仿宋_GB2312" w:hAnsi="仿宋" w:eastAsia="仿宋_GB2312" w:cs="仿宋_GB2312"/>
          <w:kern w:val="0"/>
          <w:sz w:val="24"/>
        </w:rPr>
        <w:t>（1</w:t>
      </w:r>
      <w:r>
        <w:rPr>
          <w:rFonts w:hint="eastAsia" w:ascii="仿宋_GB2312" w:hAnsi="仿宋" w:eastAsia="仿宋_GB2312" w:cs="仿宋_GB2312"/>
          <w:kern w:val="0"/>
          <w:sz w:val="24"/>
          <w:lang w:val="en-US" w:eastAsia="zh-CN"/>
        </w:rPr>
        <w:t>5</w:t>
      </w:r>
      <w:r>
        <w:rPr>
          <w:rFonts w:hint="eastAsia" w:ascii="仿宋_GB2312" w:hAnsi="仿宋" w:eastAsia="仿宋_GB2312" w:cs="仿宋_GB2312"/>
          <w:kern w:val="0"/>
          <w:sz w:val="24"/>
        </w:rPr>
        <w:t>）</w:t>
      </w:r>
      <w:r>
        <w:rPr>
          <w:rFonts w:hint="eastAsia" w:ascii="仿宋_GB2312" w:hAnsi="仿宋" w:eastAsia="仿宋_GB2312" w:cs="仿宋_GB2312"/>
          <w:kern w:val="0"/>
          <w:sz w:val="24"/>
          <w:lang w:eastAsia="zh-CN"/>
        </w:rPr>
        <w:t>其他</w:t>
      </w: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rPr>
        <w:t>（页码）</w:t>
      </w:r>
    </w:p>
    <w:p>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注：以上目录是基本格式要求，各投标人可根据自身情况进一步细化。</w:t>
      </w:r>
    </w:p>
    <w:p>
      <w:pPr>
        <w:pStyle w:val="18"/>
        <w:numPr>
          <w:ilvl w:val="0"/>
          <w:numId w:val="0"/>
        </w:numPr>
        <w:jc w:val="both"/>
        <w:rPr>
          <w:rFonts w:hint="eastAsia" w:ascii="仿宋" w:hAnsi="仿宋" w:eastAsia="仿宋" w:cs="仿宋_GB2312"/>
          <w:b/>
          <w:sz w:val="36"/>
          <w:szCs w:val="36"/>
        </w:rPr>
        <w:sectPr>
          <w:pgSz w:w="11906" w:h="16838"/>
          <w:pgMar w:top="680" w:right="1417" w:bottom="471" w:left="1417" w:header="851" w:footer="992" w:gutter="0"/>
          <w:pgNumType w:fmt="decimal"/>
          <w:cols w:space="425" w:num="1"/>
          <w:docGrid w:type="lines" w:linePitch="312" w:charSpace="0"/>
        </w:sect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lang w:eastAsia="zh-CN"/>
        </w:rPr>
        <w:t>一</w:t>
      </w:r>
      <w:r>
        <w:rPr>
          <w:rFonts w:hint="eastAsia" w:ascii="仿宋_GB2312" w:hAnsi="仿宋" w:eastAsia="仿宋_GB2312" w:cs="仿宋_GB2312"/>
          <w:b/>
          <w:sz w:val="32"/>
          <w:szCs w:val="32"/>
        </w:rPr>
        <w:t>、资信文件复印件（如果要求提供）</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pacing w:line="360" w:lineRule="auto"/>
        <w:jc w:val="center"/>
        <w:rPr>
          <w:rFonts w:ascii="仿宋_GB2312" w:hAnsi="仿宋" w:eastAsia="仿宋_GB2312" w:cs="仿宋_GB2312"/>
          <w:b/>
          <w:bCs/>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w:t>
      </w:r>
      <w:r>
        <w:rPr>
          <w:rFonts w:hint="eastAsia" w:ascii="仿宋_GB2312" w:hAnsi="仿宋" w:eastAsia="仿宋_GB2312" w:cs="仿宋_GB2312"/>
          <w:sz w:val="24"/>
        </w:rPr>
        <w:t>电子签名</w:t>
      </w:r>
      <w:r>
        <w:rPr>
          <w:rFonts w:hint="eastAsia"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kern w:val="0"/>
          <w:sz w:val="24"/>
          <w:lang w:val="zh-CN"/>
        </w:rPr>
        <w:t xml:space="preserve">                   日期：  年  月</w:t>
      </w: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二</w:t>
      </w:r>
      <w:r>
        <w:rPr>
          <w:rFonts w:hint="eastAsia" w:ascii="仿宋_GB2312" w:hAnsi="仿宋" w:eastAsia="仿宋_GB2312" w:cs="仿宋_GB2312"/>
          <w:b/>
          <w:bCs/>
          <w:sz w:val="32"/>
          <w:szCs w:val="32"/>
        </w:rPr>
        <w:t>、</w:t>
      </w:r>
      <w:r>
        <w:rPr>
          <w:rFonts w:hint="eastAsia" w:ascii="仿宋_GB2312" w:hAnsi="仿宋" w:eastAsia="仿宋_GB2312" w:cs="仿宋_GB2312"/>
          <w:b/>
          <w:kern w:val="0"/>
          <w:sz w:val="32"/>
          <w:szCs w:val="32"/>
          <w:lang w:val="zh-CN"/>
        </w:rPr>
        <w:t>主要业绩证明</w:t>
      </w:r>
    </w:p>
    <w:p>
      <w:pPr>
        <w:autoSpaceDE w:val="0"/>
        <w:autoSpaceDN w:val="0"/>
        <w:spacing w:line="360" w:lineRule="auto"/>
        <w:ind w:firstLine="120"/>
        <w:rPr>
          <w:rFonts w:ascii="仿宋_GB2312" w:hAnsi="仿宋" w:eastAsia="仿宋_GB2312" w:cs="仿宋_GB2312"/>
          <w:b/>
          <w:sz w:val="24"/>
        </w:rPr>
      </w:pPr>
      <w:r>
        <w:rPr>
          <w:rFonts w:hint="eastAsia" w:ascii="仿宋_GB2312" w:hAnsi="仿宋" w:eastAsia="仿宋_GB2312" w:cs="仿宋_GB2312"/>
          <w:b/>
          <w:sz w:val="24"/>
        </w:rPr>
        <w:t>附表 :相关项目建设业绩一览表</w:t>
      </w:r>
    </w:p>
    <w:tbl>
      <w:tblPr>
        <w:tblStyle w:val="14"/>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投资</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b/>
          <w:sz w:val="24"/>
        </w:rPr>
        <w:t>注：投标人可按上述的格式自行编制，须随表提交相应的合同复印件和用户单位验收证明</w:t>
      </w:r>
      <w:r>
        <w:rPr>
          <w:rFonts w:hint="eastAsia" w:ascii="仿宋_GB2312" w:hAnsi="仿宋" w:eastAsia="仿宋_GB2312" w:cs="仿宋_GB2312"/>
          <w:b/>
          <w:sz w:val="24"/>
          <w:lang w:eastAsia="zh-CN"/>
        </w:rPr>
        <w:t>（若需要）</w:t>
      </w:r>
      <w:r>
        <w:rPr>
          <w:rFonts w:hint="eastAsia" w:ascii="仿宋_GB2312" w:hAnsi="仿宋" w:eastAsia="仿宋_GB2312" w:cs="仿宋_GB2312"/>
          <w:b/>
          <w:sz w:val="24"/>
        </w:rPr>
        <w:t>并注明所在投标人商务文件页码。</w:t>
      </w:r>
    </w:p>
    <w:p>
      <w:pPr>
        <w:autoSpaceDE w:val="0"/>
        <w:autoSpaceDN w:val="0"/>
        <w:spacing w:line="360" w:lineRule="auto"/>
        <w:ind w:firstLine="4560" w:firstLineChars="1900"/>
        <w:rPr>
          <w:rFonts w:ascii="仿宋_GB2312" w:hAnsi="仿宋" w:eastAsia="仿宋_GB2312" w:cs="仿宋_GB2312"/>
          <w:kern w:val="0"/>
          <w:sz w:val="24"/>
        </w:rPr>
      </w:pPr>
    </w:p>
    <w:p>
      <w:pPr>
        <w:autoSpaceDE w:val="0"/>
        <w:autoSpaceDN w:val="0"/>
        <w:spacing w:line="360" w:lineRule="auto"/>
        <w:ind w:firstLine="4560" w:firstLineChars="1900"/>
        <w:rPr>
          <w:rFonts w:ascii="仿宋_GB2312" w:hAnsi="仿宋" w:eastAsia="仿宋_GB2312" w:cs="仿宋_GB2312"/>
          <w:kern w:val="0"/>
          <w:sz w:val="24"/>
        </w:rPr>
      </w:pPr>
      <w:r>
        <w:rPr>
          <w:rFonts w:hint="eastAsia" w:ascii="仿宋_GB2312" w:hAnsi="仿宋" w:eastAsia="仿宋_GB2312" w:cs="仿宋_GB2312"/>
          <w:kern w:val="0"/>
          <w:sz w:val="24"/>
        </w:rPr>
        <w:t>投标人名称（</w:t>
      </w:r>
      <w:r>
        <w:rPr>
          <w:rFonts w:hint="eastAsia" w:ascii="仿宋_GB2312" w:hAnsi="仿宋" w:eastAsia="仿宋_GB2312" w:cs="仿宋_GB2312"/>
          <w:sz w:val="24"/>
        </w:rPr>
        <w:t>电子签名</w:t>
      </w:r>
      <w:r>
        <w:rPr>
          <w:rFonts w:hint="eastAsia" w:ascii="仿宋_GB2312" w:hAnsi="仿宋" w:eastAsia="仿宋_GB2312" w:cs="仿宋_GB2312"/>
          <w:kern w:val="0"/>
          <w:sz w:val="24"/>
        </w:rPr>
        <w:t xml:space="preserve">）：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日期：  年  月   日</w:t>
      </w: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三</w:t>
      </w:r>
      <w:r>
        <w:rPr>
          <w:rFonts w:hint="eastAsia" w:ascii="仿宋_GB2312" w:hAnsi="仿宋" w:eastAsia="仿宋_GB2312" w:cs="仿宋_GB2312"/>
          <w:b/>
          <w:bCs/>
          <w:sz w:val="32"/>
          <w:szCs w:val="32"/>
        </w:rPr>
        <w:t>、</w:t>
      </w:r>
      <w:bookmarkStart w:id="534" w:name="OLE_LINK17"/>
      <w:bookmarkStart w:id="535" w:name="OLE_LINK16"/>
      <w:r>
        <w:rPr>
          <w:rFonts w:hint="eastAsia" w:ascii="仿宋_GB2312" w:hAnsi="仿宋" w:eastAsia="仿宋_GB2312" w:cs="仿宋_GB2312"/>
          <w:b/>
          <w:bCs/>
          <w:sz w:val="32"/>
          <w:szCs w:val="32"/>
        </w:rPr>
        <w:t>其他商务文件或说明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bookmarkStart w:id="536" w:name="OLE_LINK11"/>
      <w:bookmarkStart w:id="537" w:name="OLE_LINK10"/>
      <w:r>
        <w:rPr>
          <w:rFonts w:hint="eastAsia" w:ascii="仿宋_GB2312" w:hAnsi="仿宋" w:eastAsia="仿宋_GB2312" w:cs="仿宋_GB2312"/>
          <w:sz w:val="24"/>
        </w:rPr>
        <w:t>其他商务文件或说明由投标人根据采购需求自行编制</w:t>
      </w:r>
      <w:bookmarkEnd w:id="536"/>
      <w:bookmarkEnd w:id="537"/>
      <w:r>
        <w:rPr>
          <w:rFonts w:hint="eastAsia" w:ascii="仿宋_GB2312" w:hAnsi="仿宋" w:eastAsia="仿宋_GB2312" w:cs="仿宋_GB2312"/>
          <w:sz w:val="24"/>
        </w:rPr>
        <w:t>）</w:t>
      </w:r>
    </w:p>
    <w:bookmarkEnd w:id="534"/>
    <w:bookmarkEnd w:id="535"/>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 w:eastAsia="仿宋_GB2312" w:cs="仿宋_GB2312"/>
          <w:kern w:val="0"/>
          <w:sz w:val="24"/>
          <w:lang w:val="zh-CN"/>
        </w:rPr>
        <w:t xml:space="preserve">）：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autoSpaceDE w:val="0"/>
        <w:autoSpaceDN w:val="0"/>
        <w:spacing w:line="360" w:lineRule="auto"/>
        <w:rPr>
          <w:rFonts w:ascii="仿宋_GB2312" w:hAnsi="仿宋" w:eastAsia="仿宋_GB2312" w:cs="仿宋_GB2312"/>
          <w:kern w:val="0"/>
          <w:sz w:val="24"/>
          <w:lang w:val="zh-CN"/>
        </w:rPr>
      </w:pPr>
    </w:p>
    <w:p>
      <w:pPr>
        <w:autoSpaceDE w:val="0"/>
        <w:autoSpaceDN w:val="0"/>
        <w:spacing w:line="360" w:lineRule="auto"/>
        <w:rPr>
          <w:rFonts w:ascii="仿宋_GB2312" w:hAnsi="仿宋" w:eastAsia="仿宋_GB2312" w:cs="仿宋_GB2312"/>
          <w:kern w:val="0"/>
          <w:sz w:val="24"/>
          <w:lang w:val="zh-CN"/>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sz w:val="32"/>
          <w:szCs w:val="32"/>
          <w:lang w:eastAsia="zh-CN"/>
        </w:rPr>
        <w:t>四</w:t>
      </w:r>
      <w:r>
        <w:rPr>
          <w:rFonts w:hint="eastAsia" w:ascii="仿宋_GB2312" w:hAnsi="仿宋" w:eastAsia="仿宋_GB2312" w:cs="仿宋_GB2312"/>
          <w:b/>
          <w:bCs/>
          <w:sz w:val="32"/>
          <w:szCs w:val="32"/>
        </w:rPr>
        <w:t>、技术解决方案</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napToGrid w:val="0"/>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（一）投标产品规格配置清单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531"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设备名称</w:t>
            </w:r>
          </w:p>
        </w:tc>
        <w:tc>
          <w:tcPr>
            <w:tcW w:w="216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投标品牌及型号</w:t>
            </w:r>
          </w:p>
        </w:tc>
        <w:tc>
          <w:tcPr>
            <w:tcW w:w="234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规格配置详细说明</w:t>
            </w:r>
          </w:p>
        </w:tc>
        <w:tc>
          <w:tcPr>
            <w:tcW w:w="108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数量</w:t>
            </w:r>
          </w:p>
        </w:tc>
        <w:tc>
          <w:tcPr>
            <w:tcW w:w="133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ab/>
      </w:r>
      <w:r>
        <w:rPr>
          <w:rFonts w:hint="eastAsia" w:ascii="仿宋_GB2312" w:hAnsi="仿宋" w:eastAsia="仿宋_GB2312" w:cs="仿宋_GB2312"/>
          <w:b/>
          <w:bCs/>
          <w:kern w:val="0"/>
          <w:sz w:val="24"/>
          <w:lang w:val="zh-CN"/>
        </w:rPr>
        <w:tab/>
      </w:r>
      <w:r>
        <w:rPr>
          <w:rFonts w:hint="eastAsia" w:ascii="仿宋_GB2312" w:hAnsi="仿宋" w:eastAsia="仿宋_GB2312" w:cs="仿宋_GB2312"/>
          <w:b/>
          <w:bCs/>
          <w:kern w:val="0"/>
          <w:sz w:val="24"/>
          <w:lang w:val="zh-CN"/>
        </w:rPr>
        <w:t xml:space="preserve">                        </w:t>
      </w:r>
    </w:p>
    <w:p>
      <w:pPr>
        <w:spacing w:line="360" w:lineRule="auto"/>
        <w:ind w:firstLine="1333" w:firstLineChars="400"/>
        <w:jc w:val="left"/>
        <w:rPr>
          <w:rFonts w:ascii="仿宋_GB2312" w:hAnsi="仿宋" w:eastAsia="仿宋_GB2312"/>
          <w:b/>
          <w:spacing w:val="6"/>
          <w:sz w:val="32"/>
          <w:szCs w:val="32"/>
        </w:rPr>
      </w:pPr>
      <w:r>
        <w:rPr>
          <w:rFonts w:hint="eastAsia" w:ascii="仿宋_GB2312" w:hAnsi="仿宋" w:eastAsia="仿宋_GB2312"/>
          <w:b/>
          <w:spacing w:val="6"/>
          <w:sz w:val="32"/>
          <w:szCs w:val="32"/>
        </w:rPr>
        <w:t>（二）节能产品认证证书复印件（电子签名）</w:t>
      </w:r>
    </w:p>
    <w:p>
      <w:pPr>
        <w:spacing w:line="360" w:lineRule="auto"/>
        <w:ind w:firstLine="1333" w:firstLineChars="400"/>
        <w:jc w:val="left"/>
        <w:rPr>
          <w:rFonts w:ascii="仿宋_GB2312" w:hAnsi="仿宋" w:eastAsia="仿宋_GB2312"/>
          <w:b/>
          <w:spacing w:val="6"/>
          <w:sz w:val="32"/>
          <w:szCs w:val="32"/>
        </w:rPr>
      </w:pPr>
    </w:p>
    <w:p>
      <w:pPr>
        <w:spacing w:line="360" w:lineRule="auto"/>
        <w:rPr>
          <w:rFonts w:ascii="仿宋_GB2312" w:hAnsi="仿宋" w:eastAsia="仿宋_GB2312"/>
          <w:b/>
          <w:bCs/>
          <w:sz w:val="24"/>
        </w:rPr>
      </w:pPr>
      <w:r>
        <w:rPr>
          <w:rFonts w:hint="eastAsia" w:ascii="仿宋_GB2312" w:hAnsi="仿宋" w:eastAsia="仿宋_GB2312"/>
          <w:b/>
          <w:bCs/>
          <w:sz w:val="24"/>
        </w:rPr>
        <w:t xml:space="preserve"> </w:t>
      </w:r>
    </w:p>
    <w:p>
      <w:pPr>
        <w:spacing w:line="360" w:lineRule="auto"/>
        <w:ind w:firstLine="1000" w:firstLineChars="300"/>
        <w:jc w:val="left"/>
        <w:rPr>
          <w:rFonts w:ascii="仿宋_GB2312" w:hAnsi="仿宋" w:eastAsia="仿宋_GB2312"/>
          <w:b/>
          <w:spacing w:val="6"/>
          <w:sz w:val="32"/>
          <w:szCs w:val="32"/>
        </w:rPr>
      </w:pPr>
      <w:r>
        <w:rPr>
          <w:rFonts w:hint="eastAsia" w:ascii="仿宋_GB2312" w:hAnsi="仿宋" w:eastAsia="仿宋_GB2312"/>
          <w:b/>
          <w:spacing w:val="6"/>
          <w:sz w:val="32"/>
          <w:szCs w:val="32"/>
        </w:rPr>
        <w:t>（三）环境标志产品认证证书复印件（电子签名）</w:t>
      </w: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r>
        <w:rPr>
          <w:rFonts w:hint="eastAsia" w:ascii="仿宋_GB2312" w:hAnsi="仿宋" w:eastAsia="仿宋_GB2312"/>
          <w:kern w:val="0"/>
          <w:sz w:val="24"/>
        </w:rPr>
        <w:t xml:space="preserve">供应商名称（电子签名）：                       </w:t>
      </w:r>
    </w:p>
    <w:p>
      <w:pPr>
        <w:autoSpaceDE w:val="0"/>
        <w:autoSpaceDN w:val="0"/>
        <w:spacing w:line="360" w:lineRule="auto"/>
        <w:rPr>
          <w:rFonts w:ascii="仿宋_GB2312" w:hAnsi="仿宋" w:eastAsia="仿宋_GB2312"/>
          <w:kern w:val="0"/>
          <w:sz w:val="24"/>
        </w:rPr>
      </w:pPr>
      <w:r>
        <w:rPr>
          <w:rFonts w:hint="eastAsia" w:ascii="仿宋_GB2312" w:hAnsi="仿宋" w:eastAsia="仿宋_GB2312"/>
          <w:kern w:val="0"/>
          <w:sz w:val="24"/>
        </w:rPr>
        <w:t xml:space="preserve">                                      日期：   年  月   日</w:t>
      </w: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五</w:t>
      </w:r>
      <w:r>
        <w:rPr>
          <w:rFonts w:hint="eastAsia" w:ascii="仿宋_GB2312" w:hAnsi="仿宋" w:eastAsia="仿宋_GB2312" w:cs="仿宋_GB2312"/>
          <w:b/>
          <w:bCs/>
          <w:sz w:val="32"/>
          <w:szCs w:val="32"/>
        </w:rPr>
        <w:t>、技术偏离说明表</w:t>
      </w:r>
    </w:p>
    <w:p>
      <w:pPr>
        <w:spacing w:line="360" w:lineRule="auto"/>
        <w:jc w:val="center"/>
        <w:rPr>
          <w:rFonts w:ascii="仿宋_GB2312" w:hAnsi="仿宋" w:eastAsia="仿宋_GB2312" w:cs="仿宋_GB2312"/>
          <w:b/>
          <w:bCs/>
          <w:sz w:val="18"/>
          <w:szCs w:val="18"/>
        </w:rPr>
      </w:pP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bl>
    <w:p>
      <w:pPr>
        <w:autoSpaceDE w:val="0"/>
        <w:autoSpaceDN w:val="0"/>
        <w:spacing w:line="360" w:lineRule="auto"/>
        <w:ind w:firstLine="5040" w:firstLineChars="2100"/>
        <w:rPr>
          <w:rFonts w:ascii="仿宋_GB2312" w:hAnsi="仿宋" w:eastAsia="仿宋_GB2312" w:cs="仿宋_GB2312"/>
          <w:kern w:val="0"/>
          <w:sz w:val="24"/>
          <w:lang w:val="zh-CN"/>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投标人名称（电子签名）：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r>
        <w:rPr>
          <w:rFonts w:hint="eastAsia" w:ascii="仿宋_GB2312" w:hAnsi="仿宋" w:eastAsia="仿宋_GB2312" w:cs="仿宋_GB2312"/>
          <w:b/>
          <w:bCs/>
          <w:kern w:val="0"/>
          <w:sz w:val="32"/>
          <w:szCs w:val="32"/>
          <w:lang w:val="zh-CN"/>
        </w:rPr>
        <w:t>六、组织实施方案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_GB2312" w:hAnsi="仿宋" w:eastAsia="仿宋_GB2312" w:cs="仿宋_GB2312"/>
          <w:b/>
          <w:bCs/>
          <w:kern w:val="0"/>
          <w:sz w:val="24"/>
          <w:lang w:val="zh-CN"/>
        </w:rPr>
      </w:pP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ind w:firstLine="5400" w:firstLineChars="2250"/>
        <w:rPr>
          <w:rFonts w:ascii="仿宋_GB2312" w:hAnsi="仿宋" w:eastAsia="仿宋_GB2312" w:cs="仿宋_GB2312"/>
          <w:kern w:val="0"/>
          <w:sz w:val="24"/>
        </w:rPr>
      </w:pPr>
    </w:p>
    <w:p>
      <w:pPr>
        <w:autoSpaceDE w:val="0"/>
        <w:autoSpaceDN w:val="0"/>
        <w:spacing w:line="360" w:lineRule="auto"/>
        <w:ind w:firstLine="5400" w:firstLineChars="2250"/>
        <w:rPr>
          <w:rFonts w:ascii="仿宋_GB2312" w:hAnsi="仿宋" w:eastAsia="仿宋_GB2312" w:cs="仿宋_GB2312"/>
          <w:kern w:val="0"/>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2"/>
          <w:szCs w:val="32"/>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七</w:t>
      </w:r>
      <w:r>
        <w:rPr>
          <w:rFonts w:hint="eastAsia" w:ascii="仿宋_GB2312" w:hAnsi="仿宋" w:eastAsia="仿宋_GB2312" w:cs="仿宋_GB2312"/>
          <w:b/>
          <w:bCs/>
          <w:sz w:val="32"/>
          <w:szCs w:val="32"/>
        </w:rPr>
        <w:t>、售后服务方案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八</w:t>
      </w:r>
      <w:r>
        <w:rPr>
          <w:rFonts w:hint="eastAsia" w:ascii="仿宋_GB2312" w:hAnsi="仿宋" w:eastAsia="仿宋_GB2312" w:cs="仿宋_GB2312"/>
          <w:b/>
          <w:bCs/>
          <w:sz w:val="32"/>
          <w:szCs w:val="32"/>
        </w:rPr>
        <w:t>、项目小组人员名单</w:t>
      </w:r>
    </w:p>
    <w:p>
      <w:pPr>
        <w:spacing w:line="360" w:lineRule="auto"/>
        <w:jc w:val="center"/>
        <w:rPr>
          <w:rFonts w:ascii="仿宋_GB2312" w:hAnsi="仿宋" w:eastAsia="仿宋_GB2312" w:cs="仿宋_GB2312"/>
          <w:b/>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本项目的项目小组人员情况表</w:t>
      </w:r>
      <w:r>
        <w:rPr>
          <w:rFonts w:hint="eastAsia" w:ascii="仿宋_GB2312" w:hAnsi="仿宋" w:eastAsia="仿宋_GB2312" w:cs="仿宋_GB2312"/>
          <w:sz w:val="24"/>
        </w:rPr>
        <w:t>（按此格式自制）</w:t>
      </w:r>
    </w:p>
    <w:tbl>
      <w:tblPr>
        <w:tblStyle w:val="14"/>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w:t>
      </w:r>
      <w:r>
        <w:rPr>
          <w:rFonts w:hint="eastAsia" w:ascii="仿宋_GB2312" w:hAnsi="仿宋" w:eastAsia="仿宋_GB2312" w:cs="仿宋_GB2312"/>
          <w:b/>
          <w:sz w:val="24"/>
          <w:lang w:eastAsia="zh-CN"/>
        </w:rPr>
        <w:t>及</w:t>
      </w:r>
      <w:r>
        <w:rPr>
          <w:rFonts w:hint="eastAsia" w:ascii="仿宋_GB2312" w:hAnsi="仿宋" w:eastAsia="仿宋_GB2312" w:cs="仿宋_GB2312"/>
          <w:b/>
          <w:sz w:val="24"/>
        </w:rPr>
        <w:t>小组人员近3个月交纳社保记录。</w:t>
      </w: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hint="eastAsia" w:ascii="仿宋" w:hAnsi="仿宋" w:eastAsia="仿宋" w:cs="仿宋_GB2312"/>
          <w:b/>
          <w:sz w:val="36"/>
          <w:szCs w:val="36"/>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32"/>
          <w:szCs w:val="32"/>
          <w:lang w:eastAsia="zh-CN"/>
        </w:rPr>
        <w:t>九</w:t>
      </w:r>
      <w:r>
        <w:rPr>
          <w:rFonts w:hint="eastAsia" w:ascii="仿宋_GB2312" w:hAnsi="仿宋" w:eastAsia="仿宋_GB2312" w:cs="仿宋_GB2312"/>
          <w:b/>
          <w:bCs/>
          <w:sz w:val="32"/>
          <w:szCs w:val="32"/>
        </w:rPr>
        <w:t>、</w:t>
      </w:r>
      <w:r>
        <w:rPr>
          <w:rFonts w:hint="eastAsia" w:ascii="仿宋_GB2312" w:hAnsi="仿宋" w:eastAsia="仿宋_GB2312" w:cs="仿宋_GB2312"/>
          <w:b/>
          <w:kern w:val="0"/>
          <w:sz w:val="32"/>
          <w:szCs w:val="32"/>
          <w:lang w:val="zh-CN"/>
        </w:rPr>
        <w:t>优惠条件及特殊承诺</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18"/>
          <w:szCs w:val="18"/>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32"/>
          <w:szCs w:val="32"/>
        </w:rPr>
        <w:t>十、</w:t>
      </w:r>
      <w:r>
        <w:rPr>
          <w:rFonts w:hint="eastAsia" w:ascii="仿宋_GB2312" w:hAnsi="仿宋" w:eastAsia="仿宋_GB2312" w:cs="仿宋_GB2312"/>
          <w:b/>
          <w:kern w:val="0"/>
          <w:sz w:val="32"/>
          <w:szCs w:val="32"/>
          <w:lang w:val="zh-CN"/>
        </w:rPr>
        <w:t>备品备件及供选择的配套零部件清单（若有）</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32"/>
          <w:szCs w:val="32"/>
        </w:rPr>
        <w:t>十</w:t>
      </w:r>
      <w:r>
        <w:rPr>
          <w:rFonts w:hint="eastAsia" w:ascii="仿宋_GB2312" w:hAnsi="仿宋" w:eastAsia="仿宋_GB2312" w:cs="仿宋_GB2312"/>
          <w:b/>
          <w:bCs/>
          <w:sz w:val="32"/>
          <w:szCs w:val="32"/>
          <w:lang w:eastAsia="zh-CN"/>
        </w:rPr>
        <w:t>一</w:t>
      </w:r>
      <w:r>
        <w:rPr>
          <w:rFonts w:hint="eastAsia" w:ascii="仿宋_GB2312" w:hAnsi="仿宋" w:eastAsia="仿宋_GB2312" w:cs="仿宋_GB2312"/>
          <w:b/>
          <w:bCs/>
          <w:sz w:val="32"/>
          <w:szCs w:val="32"/>
        </w:rPr>
        <w:t>、</w:t>
      </w:r>
      <w:r>
        <w:rPr>
          <w:rFonts w:hint="eastAsia" w:ascii="仿宋_GB2312" w:hAnsi="仿宋" w:eastAsia="仿宋_GB2312" w:cs="仿宋_GB2312"/>
          <w:b/>
          <w:kern w:val="0"/>
          <w:sz w:val="32"/>
          <w:szCs w:val="32"/>
          <w:lang w:val="zh-CN"/>
        </w:rPr>
        <w:t>培训计划（若有）</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800" w:firstLineChars="2000"/>
        <w:rPr>
          <w:rFonts w:hint="eastAsia" w:ascii="仿宋_GB2312" w:hAnsi="仿宋" w:eastAsia="仿宋_GB2312" w:cs="仿宋_GB2312"/>
          <w:kern w:val="0"/>
          <w:sz w:val="24"/>
        </w:rPr>
      </w:pPr>
    </w:p>
    <w:p>
      <w:pPr>
        <w:autoSpaceDE w:val="0"/>
        <w:autoSpaceDN w:val="0"/>
        <w:spacing w:line="360" w:lineRule="auto"/>
        <w:ind w:firstLine="4800" w:firstLineChars="2000"/>
        <w:rPr>
          <w:rFonts w:hint="eastAsia" w:ascii="仿宋_GB2312" w:hAnsi="仿宋" w:eastAsia="仿宋_GB2312" w:cs="仿宋_GB2312"/>
          <w:kern w:val="0"/>
          <w:sz w:val="24"/>
        </w:rPr>
      </w:pPr>
    </w:p>
    <w:p>
      <w:pPr>
        <w:autoSpaceDE w:val="0"/>
        <w:autoSpaceDN w:val="0"/>
        <w:spacing w:line="360" w:lineRule="auto"/>
        <w:ind w:firstLine="4800" w:firstLineChars="2000"/>
        <w:rPr>
          <w:rFonts w:hint="eastAsia" w:ascii="仿宋_GB2312" w:hAnsi="仿宋" w:eastAsia="仿宋_GB2312" w:cs="仿宋_GB2312"/>
          <w:kern w:val="0"/>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spacing w:line="360" w:lineRule="auto"/>
        <w:rPr>
          <w:rFonts w:ascii="仿宋_GB2312" w:hAnsi="仿宋" w:eastAsia="仿宋_GB2312" w:cs="仿宋_GB2312"/>
          <w:b/>
          <w:bCs/>
          <w:sz w:val="32"/>
          <w:szCs w:val="32"/>
        </w:rPr>
      </w:pPr>
    </w:p>
    <w:p>
      <w:pPr>
        <w:autoSpaceDE w:val="0"/>
        <w:autoSpaceDN w:val="0"/>
        <w:spacing w:line="360" w:lineRule="auto"/>
        <w:jc w:val="center"/>
        <w:rPr>
          <w:rFonts w:hint="eastAsia" w:ascii="仿宋_GB2312" w:hAnsi="仿宋" w:eastAsia="仿宋_GB2312" w:cs="仿宋_GB2312"/>
          <w:b/>
          <w:bCs/>
          <w:sz w:val="32"/>
          <w:szCs w:val="32"/>
        </w:rPr>
      </w:pPr>
    </w:p>
    <w:p>
      <w:pPr>
        <w:autoSpaceDE w:val="0"/>
        <w:autoSpaceDN w:val="0"/>
        <w:spacing w:line="360" w:lineRule="auto"/>
        <w:jc w:val="center"/>
        <w:rPr>
          <w:rFonts w:hint="eastAsia" w:ascii="仿宋_GB2312" w:hAnsi="仿宋" w:eastAsia="仿宋_GB2312" w:cs="仿宋_GB2312"/>
          <w:b/>
          <w:bCs/>
          <w:sz w:val="32"/>
          <w:szCs w:val="32"/>
        </w:rPr>
      </w:pPr>
    </w:p>
    <w:p>
      <w:pPr>
        <w:autoSpaceDE w:val="0"/>
        <w:autoSpaceDN w:val="0"/>
        <w:spacing w:line="360" w:lineRule="auto"/>
        <w:jc w:val="center"/>
        <w:rPr>
          <w:rFonts w:hint="eastAsia" w:ascii="仿宋_GB2312" w:hAnsi="仿宋" w:eastAsia="仿宋_GB2312" w:cs="仿宋_GB2312"/>
          <w:b/>
          <w:bCs/>
          <w:sz w:val="32"/>
          <w:szCs w:val="32"/>
        </w:rPr>
      </w:pPr>
    </w:p>
    <w:p>
      <w:pPr>
        <w:autoSpaceDE w:val="0"/>
        <w:autoSpaceDN w:val="0"/>
        <w:spacing w:line="360" w:lineRule="auto"/>
        <w:jc w:val="center"/>
        <w:rPr>
          <w:rFonts w:hint="eastAsia" w:ascii="仿宋_GB2312" w:hAnsi="仿宋" w:eastAsia="仿宋_GB2312" w:cs="仿宋_GB2312"/>
          <w:b/>
          <w:bCs/>
          <w:sz w:val="32"/>
          <w:szCs w:val="32"/>
        </w:rPr>
      </w:pPr>
    </w:p>
    <w:p>
      <w:pPr>
        <w:autoSpaceDE w:val="0"/>
        <w:autoSpaceDN w:val="0"/>
        <w:spacing w:line="360" w:lineRule="auto"/>
        <w:jc w:val="both"/>
        <w:rPr>
          <w:rFonts w:hint="eastAsia" w:ascii="仿宋_GB2312" w:hAnsi="仿宋" w:eastAsia="仿宋_GB2312" w:cs="仿宋_GB2312"/>
          <w:b/>
          <w:bCs/>
          <w:sz w:val="32"/>
          <w:szCs w:val="32"/>
        </w:rPr>
      </w:pPr>
    </w:p>
    <w:p>
      <w:pPr>
        <w:autoSpaceDE w:val="0"/>
        <w:autoSpaceDN w:val="0"/>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十</w:t>
      </w:r>
      <w:r>
        <w:rPr>
          <w:rFonts w:hint="eastAsia" w:ascii="仿宋_GB2312" w:hAnsi="仿宋" w:eastAsia="仿宋_GB2312" w:cs="仿宋_GB2312"/>
          <w:b/>
          <w:bCs/>
          <w:sz w:val="32"/>
          <w:szCs w:val="32"/>
          <w:lang w:eastAsia="zh-CN"/>
        </w:rPr>
        <w:t>二</w:t>
      </w:r>
      <w:r>
        <w:rPr>
          <w:rFonts w:hint="eastAsia" w:ascii="仿宋_GB2312" w:hAnsi="仿宋" w:eastAsia="仿宋_GB2312" w:cs="仿宋_GB2312"/>
          <w:b/>
          <w:bCs/>
          <w:sz w:val="32"/>
          <w:szCs w:val="32"/>
        </w:rPr>
        <w:t>、验收计划</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b/>
          <w:bCs/>
          <w:sz w:val="32"/>
          <w:szCs w:val="32"/>
          <w:lang w:val="zh-CN"/>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spacing w:line="360" w:lineRule="auto"/>
        <w:ind w:firstLine="120"/>
        <w:rPr>
          <w:rFonts w:ascii="仿宋_GB2312" w:hAnsi="仿宋" w:eastAsia="仿宋_GB2312" w:cs="仿宋_GB2312"/>
          <w:sz w:val="24"/>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十</w:t>
      </w:r>
      <w:r>
        <w:rPr>
          <w:rFonts w:hint="eastAsia" w:ascii="仿宋_GB2312" w:hAnsi="仿宋" w:eastAsia="仿宋_GB2312" w:cs="仿宋_GB2312"/>
          <w:b/>
          <w:bCs/>
          <w:sz w:val="32"/>
          <w:szCs w:val="32"/>
          <w:lang w:eastAsia="zh-CN"/>
        </w:rPr>
        <w:t>三</w:t>
      </w:r>
      <w:r>
        <w:rPr>
          <w:rFonts w:hint="eastAsia" w:ascii="仿宋_GB2312" w:hAnsi="仿宋" w:eastAsia="仿宋_GB2312" w:cs="仿宋_GB2312"/>
          <w:b/>
          <w:bCs/>
          <w:sz w:val="32"/>
          <w:szCs w:val="32"/>
        </w:rPr>
        <w:t>、认为需要的其他技术文件或说明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0"/>
          <w:szCs w:val="30"/>
        </w:rPr>
      </w:pPr>
    </w:p>
    <w:p>
      <w:pPr>
        <w:spacing w:line="360" w:lineRule="auto"/>
        <w:jc w:val="center"/>
        <w:rPr>
          <w:rFonts w:ascii="仿宋_GB2312" w:hAnsi="仿宋" w:eastAsia="仿宋_GB2312" w:cs="仿宋_GB2312"/>
          <w:b/>
          <w:kern w:val="0"/>
          <w:sz w:val="30"/>
          <w:szCs w:val="30"/>
          <w:lang w:val="zh-CN"/>
        </w:rPr>
      </w:pPr>
      <w:r>
        <w:rPr>
          <w:rFonts w:hint="eastAsia" w:ascii="仿宋_GB2312" w:hAnsi="仿宋" w:eastAsia="仿宋_GB2312" w:cs="仿宋_GB2312"/>
          <w:b/>
          <w:bCs/>
          <w:sz w:val="30"/>
          <w:szCs w:val="30"/>
        </w:rPr>
        <w:t>十</w:t>
      </w:r>
      <w:r>
        <w:rPr>
          <w:rFonts w:hint="eastAsia" w:ascii="仿宋_GB2312" w:hAnsi="仿宋" w:eastAsia="仿宋_GB2312" w:cs="仿宋_GB2312"/>
          <w:b/>
          <w:bCs/>
          <w:sz w:val="30"/>
          <w:szCs w:val="30"/>
          <w:lang w:eastAsia="zh-CN"/>
        </w:rPr>
        <w:t>四</w:t>
      </w:r>
      <w:r>
        <w:rPr>
          <w:rFonts w:hint="eastAsia" w:ascii="仿宋_GB2312" w:hAnsi="仿宋" w:eastAsia="仿宋_GB2312" w:cs="仿宋_GB2312"/>
          <w:b/>
          <w:bCs/>
          <w:sz w:val="30"/>
          <w:szCs w:val="30"/>
        </w:rPr>
        <w:t>、关于</w:t>
      </w:r>
      <w:r>
        <w:rPr>
          <w:rFonts w:hint="eastAsia" w:ascii="仿宋_GB2312" w:hAnsi="仿宋" w:eastAsia="仿宋_GB2312" w:cs="仿宋_GB2312"/>
          <w:b/>
          <w:kern w:val="0"/>
          <w:sz w:val="30"/>
          <w:szCs w:val="30"/>
          <w:lang w:val="zh-CN"/>
        </w:rPr>
        <w:t>对招标文件中有关商务、合同条款的拒绝声明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rPr>
          <w:rFonts w:ascii="仿宋_GB2312" w:hAnsi="仿宋" w:eastAsia="仿宋_GB2312" w:cs="仿宋_GB2312"/>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hint="eastAsia" w:ascii="仿宋_GB2312" w:hAnsi="仿宋" w:eastAsia="仿宋_GB2312" w:cs="仿宋_GB2312"/>
          <w:kern w:val="0"/>
          <w:sz w:val="24"/>
        </w:rPr>
        <w:t>电子签名</w:t>
      </w:r>
      <w:r>
        <w:rPr>
          <w:rFonts w:hint="eastAsia" w:ascii="仿宋_GB2312" w:hAnsi="仿宋" w:eastAsia="仿宋_GB2312" w:cs="仿宋_GB2312"/>
          <w:kern w:val="0"/>
          <w:sz w:val="24"/>
          <w:lang w:val="zh-CN"/>
        </w:rPr>
        <w:t xml:space="preserve">）：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pStyle w:val="5"/>
        <w:rPr>
          <w:rFonts w:ascii="Arial" w:hAnsi="Arial" w:eastAsia="黑体"/>
          <w:snapToGrid w:val="0"/>
          <w:kern w:val="0"/>
          <w:sz w:val="20"/>
          <w:szCs w:val="21"/>
          <w:lang w:val="zh-CN"/>
        </w:rPr>
      </w:pPr>
    </w:p>
    <w:p>
      <w:pPr>
        <w:pStyle w:val="5"/>
        <w:rPr>
          <w:rFonts w:ascii="Arial" w:hAnsi="Arial" w:eastAsia="黑体"/>
          <w:snapToGrid w:val="0"/>
          <w:kern w:val="0"/>
          <w:sz w:val="20"/>
          <w:szCs w:val="21"/>
          <w:lang w:val="zh-CN"/>
        </w:rPr>
      </w:pPr>
    </w:p>
    <w:p>
      <w:pPr>
        <w:autoSpaceDE w:val="0"/>
        <w:autoSpaceDN w:val="0"/>
        <w:jc w:val="center"/>
        <w:rPr>
          <w:rFonts w:hint="eastAsia" w:ascii="仿宋_GB2312" w:hAnsi="仿宋" w:eastAsia="仿宋_GB2312"/>
          <w:b/>
          <w:bCs/>
          <w:sz w:val="32"/>
          <w:szCs w:val="32"/>
          <w:lang w:eastAsia="zh-CN"/>
        </w:rPr>
      </w:pPr>
      <w:r>
        <w:rPr>
          <w:rFonts w:hint="eastAsia" w:ascii="仿宋_GB2312" w:hAnsi="仿宋" w:eastAsia="仿宋_GB2312"/>
          <w:b/>
          <w:spacing w:val="6"/>
          <w:sz w:val="32"/>
          <w:szCs w:val="32"/>
        </w:rPr>
        <w:t>十</w:t>
      </w:r>
      <w:r>
        <w:rPr>
          <w:rFonts w:hint="eastAsia" w:ascii="仿宋_GB2312" w:hAnsi="仿宋" w:eastAsia="仿宋_GB2312"/>
          <w:b/>
          <w:spacing w:val="6"/>
          <w:sz w:val="32"/>
          <w:szCs w:val="32"/>
          <w:lang w:eastAsia="zh-CN"/>
        </w:rPr>
        <w:t>五</w:t>
      </w:r>
      <w:r>
        <w:rPr>
          <w:rFonts w:hint="eastAsia" w:ascii="仿宋_GB2312" w:hAnsi="仿宋" w:eastAsia="仿宋_GB2312"/>
          <w:b/>
          <w:spacing w:val="6"/>
          <w:sz w:val="32"/>
          <w:szCs w:val="32"/>
        </w:rPr>
        <w:t>、</w:t>
      </w:r>
      <w:r>
        <w:rPr>
          <w:rFonts w:hint="eastAsia" w:ascii="仿宋_GB2312" w:hAnsi="仿宋" w:eastAsia="仿宋_GB2312"/>
          <w:b/>
          <w:bCs/>
          <w:sz w:val="32"/>
          <w:szCs w:val="32"/>
          <w:lang w:eastAsia="zh-CN"/>
        </w:rPr>
        <w:t>其他</w:t>
      </w:r>
    </w:p>
    <w:p>
      <w:pPr>
        <w:pStyle w:val="5"/>
        <w:rPr>
          <w:rFonts w:ascii="Arial" w:hAnsi="Arial" w:eastAsia="黑体"/>
          <w:snapToGrid w:val="0"/>
          <w:kern w:val="0"/>
          <w:sz w:val="20"/>
          <w:szCs w:val="21"/>
        </w:rPr>
      </w:pP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jc w:val="left"/>
        <w:rPr>
          <w:rFonts w:ascii="仿宋_GB2312" w:hAnsi="仿宋" w:eastAsia="仿宋_GB2312" w:cs="仿宋_GB2312"/>
          <w:b/>
          <w:bCs/>
          <w:sz w:val="24"/>
        </w:rPr>
        <w:sectPr>
          <w:pgSz w:w="11906" w:h="16838"/>
          <w:pgMar w:top="1247" w:right="1418" w:bottom="1276" w:left="1418" w:header="851" w:footer="992" w:gutter="0"/>
          <w:pgNumType w:fmt="decimal"/>
          <w:cols w:space="720" w:num="1"/>
          <w:titlePg/>
          <w:docGrid w:linePitch="312" w:charSpace="0"/>
        </w:sect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 xml:space="preserve">日期：  年  月   日 </w:t>
      </w:r>
    </w:p>
    <w:p>
      <w:pPr>
        <w:pStyle w:val="3"/>
        <w:keepNext w:val="0"/>
        <w:keepLines w:val="0"/>
        <w:pageBreakBefore/>
        <w:widowControl/>
        <w:numPr>
          <w:ilvl w:val="0"/>
          <w:numId w:val="0"/>
        </w:numPr>
        <w:spacing w:before="100" w:beforeAutospacing="1" w:after="100" w:afterAutospacing="1" w:line="360" w:lineRule="auto"/>
        <w:jc w:val="center"/>
        <w:rPr>
          <w:rFonts w:hint="eastAsia" w:ascii="仿宋_GB2312" w:hAnsi="仿宋" w:eastAsia="仿宋_GB2312"/>
        </w:rPr>
      </w:pPr>
      <w:bookmarkStart w:id="538" w:name="_Toc465665161"/>
      <w:r>
        <w:rPr>
          <w:rFonts w:hint="eastAsia" w:ascii="仿宋_GB2312" w:hAnsi="仿宋" w:eastAsia="仿宋_GB2312"/>
        </w:rPr>
        <w:t>附件</w:t>
      </w:r>
      <w:bookmarkEnd w:id="538"/>
    </w:p>
    <w:p>
      <w:pPr>
        <w:spacing w:line="360" w:lineRule="auto"/>
        <w:rPr>
          <w:rFonts w:hint="eastAsia" w:ascii="仿宋_GB2312" w:hAnsi="仿宋" w:eastAsia="仿宋_GB2312"/>
          <w:b/>
          <w:spacing w:val="6"/>
          <w:sz w:val="32"/>
          <w:szCs w:val="32"/>
        </w:rPr>
      </w:pPr>
      <w:r>
        <w:rPr>
          <w:rFonts w:hint="eastAsia" w:ascii="仿宋_GB2312" w:hAnsi="仿宋" w:eastAsia="仿宋_GB2312"/>
          <w:b/>
          <w:spacing w:val="6"/>
          <w:sz w:val="32"/>
          <w:szCs w:val="32"/>
        </w:rPr>
        <w:t>附件1：</w:t>
      </w:r>
    </w:p>
    <w:p>
      <w:pPr>
        <w:spacing w:line="360" w:lineRule="auto"/>
        <w:jc w:val="center"/>
        <w:rPr>
          <w:rFonts w:hint="eastAsia" w:ascii="仿宋_GB2312" w:hAnsi="仿宋" w:eastAsia="仿宋_GB2312"/>
          <w:b/>
          <w:spacing w:val="6"/>
          <w:sz w:val="32"/>
          <w:szCs w:val="32"/>
        </w:rPr>
      </w:pPr>
      <w:bookmarkStart w:id="539" w:name="OLE_LINK14"/>
      <w:bookmarkStart w:id="540" w:name="OLE_LINK13"/>
      <w:r>
        <w:rPr>
          <w:rFonts w:hint="eastAsia" w:ascii="仿宋_GB2312" w:hAnsi="仿宋" w:eastAsia="仿宋_GB2312"/>
          <w:b/>
          <w:spacing w:val="6"/>
          <w:sz w:val="32"/>
          <w:szCs w:val="32"/>
        </w:rPr>
        <w:t>残疾人福利性单位声明函</w:t>
      </w:r>
    </w:p>
    <w:bookmarkEnd w:id="539"/>
    <w:bookmarkEnd w:id="540"/>
    <w:p>
      <w:pPr>
        <w:spacing w:line="360" w:lineRule="auto"/>
        <w:rPr>
          <w:rFonts w:hint="eastAsia" w:ascii="仿宋_GB2312" w:hAnsi="仿宋" w:eastAsia="仿宋_GB2312"/>
          <w:b/>
          <w:spacing w:val="6"/>
          <w:sz w:val="30"/>
          <w:szCs w:val="30"/>
        </w:rPr>
      </w:pP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hint="eastAsia" w:ascii="仿宋_GB2312" w:hAnsi="仿宋" w:eastAsia="仿宋_GB2312" w:cs="仿宋_GB2312"/>
          <w:sz w:val="24"/>
        </w:rPr>
      </w:pPr>
    </w:p>
    <w:p>
      <w:pPr>
        <w:spacing w:line="360" w:lineRule="auto"/>
        <w:ind w:firstLine="480" w:firstLineChars="200"/>
        <w:rPr>
          <w:rFonts w:hint="eastAsia" w:ascii="仿宋_GB2312" w:hAnsi="仿宋" w:eastAsia="仿宋_GB2312" w:cs="仿宋_GB2312"/>
          <w:sz w:val="24"/>
        </w:rPr>
      </w:pPr>
    </w:p>
    <w:p>
      <w:pPr>
        <w:tabs>
          <w:tab w:val="left" w:pos="4860"/>
        </w:tabs>
        <w:spacing w:line="360" w:lineRule="auto"/>
        <w:ind w:right="1560" w:firstLine="480" w:firstLineChars="200"/>
        <w:jc w:val="center"/>
        <w:rPr>
          <w:rFonts w:hint="eastAsia" w:ascii="仿宋_GB2312" w:hAnsi="仿宋" w:eastAsia="仿宋_GB2312" w:cs="仿宋_GB2312"/>
          <w:sz w:val="24"/>
        </w:rPr>
      </w:pPr>
      <w:r>
        <w:rPr>
          <w:rFonts w:hint="eastAsia"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hint="eastAsia" w:ascii="仿宋_GB2312" w:hAnsi="仿宋" w:eastAsia="仿宋_GB2312" w:cs="仿宋_GB2312"/>
          <w:sz w:val="24"/>
        </w:rPr>
      </w:pPr>
      <w:r>
        <w:rPr>
          <w:rFonts w:hint="eastAsia" w:ascii="仿宋_GB2312" w:hAnsi="仿宋" w:eastAsia="仿宋_GB2312" w:cs="仿宋_GB2312"/>
          <w:sz w:val="24"/>
        </w:rPr>
        <w:t xml:space="preserve">       日  期：</w:t>
      </w:r>
    </w:p>
    <w:p>
      <w:pPr>
        <w:spacing w:line="360" w:lineRule="auto"/>
        <w:ind w:firstLine="480" w:firstLineChars="200"/>
        <w:rPr>
          <w:rFonts w:hint="eastAsia" w:ascii="仿宋_GB2312" w:hAnsi="仿宋" w:eastAsia="仿宋_GB2312" w:cs="仿宋_GB2312"/>
          <w:sz w:val="24"/>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pStyle w:val="12"/>
        <w:rPr>
          <w:rFonts w:hint="eastAsia" w:ascii="仿宋_GB2312" w:hAnsi="仿宋" w:eastAsia="仿宋_GB2312" w:cs="仿宋_GB2312"/>
          <w:b/>
          <w:sz w:val="24"/>
        </w:rPr>
      </w:pPr>
    </w:p>
    <w:p>
      <w:pPr>
        <w:spacing w:line="360" w:lineRule="auto"/>
        <w:jc w:val="left"/>
        <w:rPr>
          <w:rFonts w:hint="eastAsia" w:ascii="仿宋_GB2312" w:hAnsi="仿宋" w:eastAsia="仿宋_GB2312"/>
          <w:b/>
          <w:spacing w:val="6"/>
          <w:sz w:val="32"/>
          <w:szCs w:val="32"/>
        </w:rPr>
      </w:pPr>
      <w:r>
        <w:rPr>
          <w:rFonts w:hint="eastAsia" w:ascii="仿宋_GB2312" w:hAnsi="仿宋" w:eastAsia="仿宋_GB2312"/>
          <w:b/>
          <w:spacing w:val="6"/>
          <w:sz w:val="32"/>
          <w:szCs w:val="32"/>
        </w:rPr>
        <w:t>附件2：质疑函范本及制作说明</w:t>
      </w:r>
    </w:p>
    <w:p>
      <w:pPr>
        <w:spacing w:line="360" w:lineRule="auto"/>
        <w:jc w:val="center"/>
        <w:rPr>
          <w:rFonts w:hint="eastAsia"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hint="eastAsia"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质疑供应商：</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地址：</w:t>
      </w:r>
      <w:r>
        <w:rPr>
          <w:rFonts w:hint="eastAsia" w:ascii="仿宋_GB2312" w:hAnsi="仿宋" w:eastAsia="仿宋_GB2312" w:cs="仿宋"/>
          <w:sz w:val="24"/>
          <w:u w:val="dotted"/>
        </w:rPr>
        <w:t xml:space="preserve">                          </w:t>
      </w:r>
      <w:r>
        <w:rPr>
          <w:rFonts w:hint="eastAsia" w:ascii="仿宋_GB2312" w:hAnsi="仿宋" w:eastAsia="仿宋_GB2312" w:cs="仿宋"/>
          <w:sz w:val="24"/>
        </w:rPr>
        <w:t>邮编：</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联系人：</w:t>
      </w:r>
      <w:r>
        <w:rPr>
          <w:rFonts w:hint="eastAsia" w:ascii="仿宋_GB2312" w:hAnsi="仿宋" w:eastAsia="仿宋_GB2312" w:cs="仿宋"/>
          <w:sz w:val="24"/>
          <w:u w:val="dotted"/>
        </w:rPr>
        <w:t xml:space="preserve">                      </w:t>
      </w:r>
      <w:r>
        <w:rPr>
          <w:rFonts w:hint="eastAsia" w:ascii="仿宋_GB2312" w:hAnsi="仿宋" w:eastAsia="仿宋_GB2312" w:cs="仿宋"/>
          <w:sz w:val="24"/>
        </w:rPr>
        <w:t>联系电话：</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授权代表：</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联系电话：</w:t>
      </w:r>
      <w:r>
        <w:rPr>
          <w:rFonts w:hint="eastAsia" w:ascii="仿宋_GB2312" w:hAnsi="仿宋" w:eastAsia="仿宋_GB2312" w:cs="仿宋"/>
          <w:sz w:val="24"/>
          <w:u w:val="dotted"/>
        </w:rPr>
        <w:t xml:space="preserve">                                           </w:t>
      </w:r>
      <w:r>
        <w:rPr>
          <w:rFonts w:hint="eastAsia" w:ascii="仿宋_GB2312" w:hAnsi="仿宋" w:eastAsia="仿宋_GB2312" w:cs="仿宋"/>
          <w:sz w:val="24"/>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 xml:space="preserve">地址： </w:t>
      </w:r>
      <w:r>
        <w:rPr>
          <w:rFonts w:hint="eastAsia" w:ascii="仿宋_GB2312" w:hAnsi="仿宋" w:eastAsia="仿宋_GB2312" w:cs="仿宋"/>
          <w:sz w:val="24"/>
          <w:u w:val="dotted"/>
        </w:rPr>
        <w:t xml:space="preserve">                        </w:t>
      </w:r>
      <w:r>
        <w:rPr>
          <w:rFonts w:hint="eastAsia" w:ascii="仿宋_GB2312" w:hAnsi="仿宋" w:eastAsia="仿宋_GB2312" w:cs="仿宋"/>
          <w:sz w:val="24"/>
        </w:rPr>
        <w:t>邮编：</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质疑项目的名称：</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质疑项目的编号：</w:t>
      </w:r>
      <w:r>
        <w:rPr>
          <w:rFonts w:hint="eastAsia" w:ascii="仿宋_GB2312" w:hAnsi="仿宋" w:eastAsia="仿宋_GB2312" w:cs="仿宋"/>
          <w:sz w:val="24"/>
          <w:u w:val="dotted"/>
        </w:rPr>
        <w:t xml:space="preserve">               </w:t>
      </w:r>
      <w:r>
        <w:rPr>
          <w:rFonts w:hint="eastAsia" w:ascii="仿宋_GB2312" w:hAnsi="仿宋" w:eastAsia="仿宋_GB2312" w:cs="仿宋"/>
          <w:sz w:val="24"/>
        </w:rPr>
        <w:t>包号：</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采购人名称：</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采购文件获取日期：</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质疑事项1：</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事实依据：</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法律依据：</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质疑事项2</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请求：</w:t>
      </w:r>
      <w:r>
        <w:rPr>
          <w:rFonts w:hint="eastAsia" w:ascii="仿宋_GB2312" w:hAnsi="仿宋" w:eastAsia="仿宋_GB2312" w:cs="仿宋"/>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签字(签章)：                   公章：                      </w:t>
      </w:r>
    </w:p>
    <w:p>
      <w:pPr>
        <w:spacing w:line="360" w:lineRule="auto"/>
        <w:rPr>
          <w:rFonts w:hint="eastAsia" w:ascii="仿宋_GB2312" w:hAnsi="仿宋" w:eastAsia="仿宋_GB2312"/>
          <w:sz w:val="24"/>
        </w:rPr>
      </w:pPr>
      <w:r>
        <w:rPr>
          <w:rFonts w:hint="eastAsia" w:ascii="仿宋_GB2312" w:hAnsi="仿宋" w:eastAsia="仿宋_GB2312"/>
          <w:sz w:val="24"/>
        </w:rPr>
        <w:t xml:space="preserve">日期：    </w:t>
      </w:r>
    </w:p>
    <w:p>
      <w:pPr>
        <w:spacing w:line="360" w:lineRule="auto"/>
        <w:jc w:val="center"/>
        <w:rPr>
          <w:rFonts w:hint="eastAsia" w:ascii="仿宋_GB2312" w:hAnsi="仿宋" w:eastAsia="仿宋_GB2312" w:cs="仿宋"/>
          <w:b/>
          <w:bCs/>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1.供应商提出质疑时，应提交质疑函和必要的证明材料。</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2.质疑供应商若委托代理人进行质疑的，质疑函应按要求列明“授权代表”的有关内容，并在附件中提交由质疑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5.质疑函的质疑请求应与质疑事项相关。</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_GB2312" w:hAnsi="仿宋" w:eastAsia="仿宋_GB2312"/>
          <w:sz w:val="30"/>
          <w:szCs w:val="30"/>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pStyle w:val="12"/>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r>
        <w:rPr>
          <w:rFonts w:hint="eastAsia" w:ascii="仿宋_GB2312" w:hAnsi="仿宋" w:eastAsia="仿宋_GB2312"/>
          <w:b/>
          <w:spacing w:val="6"/>
          <w:sz w:val="32"/>
          <w:szCs w:val="32"/>
        </w:rPr>
        <w:t>附件3：投诉书范本及制作说明</w:t>
      </w:r>
    </w:p>
    <w:p>
      <w:pPr>
        <w:spacing w:line="360" w:lineRule="auto"/>
        <w:jc w:val="center"/>
        <w:rPr>
          <w:rFonts w:hint="eastAsia" w:ascii="仿宋_GB2312" w:hAnsi="仿宋" w:eastAsia="仿宋_GB2312"/>
          <w:b/>
          <w:sz w:val="24"/>
        </w:rPr>
      </w:pPr>
    </w:p>
    <w:p>
      <w:pPr>
        <w:spacing w:line="360" w:lineRule="auto"/>
        <w:jc w:val="center"/>
        <w:rPr>
          <w:rFonts w:hint="eastAsia"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hint="eastAsia" w:ascii="仿宋_GB2312" w:hAnsi="仿宋" w:eastAsia="仿宋_GB2312"/>
          <w:sz w:val="24"/>
        </w:rPr>
      </w:pPr>
      <w:r>
        <w:rPr>
          <w:rFonts w:hint="eastAsia" w:ascii="仿宋_GB2312" w:hAnsi="仿宋" w:eastAsia="仿宋_GB2312"/>
          <w:sz w:val="24"/>
        </w:rPr>
        <w:t>一、投诉相关主体基本情况</w:t>
      </w:r>
    </w:p>
    <w:p>
      <w:pPr>
        <w:spacing w:line="360" w:lineRule="auto"/>
        <w:rPr>
          <w:rFonts w:hint="eastAsia" w:ascii="仿宋_GB2312" w:hAnsi="仿宋" w:eastAsia="仿宋_GB2312"/>
          <w:sz w:val="24"/>
          <w:u w:val="dotted"/>
        </w:rPr>
      </w:pPr>
      <w:r>
        <w:rPr>
          <w:rFonts w:hint="eastAsia" w:ascii="仿宋_GB2312" w:hAnsi="仿宋" w:eastAsia="仿宋_GB2312"/>
          <w:sz w:val="24"/>
        </w:rPr>
        <w:t>投诉人：</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tabs>
          <w:tab w:val="left" w:pos="6510"/>
        </w:tabs>
        <w:spacing w:line="360" w:lineRule="auto"/>
        <w:jc w:val="left"/>
        <w:rPr>
          <w:rFonts w:hint="eastAsia" w:ascii="仿宋_GB2312" w:hAnsi="仿宋" w:eastAsia="仿宋_GB2312"/>
          <w:sz w:val="24"/>
        </w:rPr>
      </w:pPr>
      <w:r>
        <w:rPr>
          <w:rFonts w:hint="eastAsia" w:ascii="仿宋_GB2312" w:hAnsi="仿宋" w:eastAsia="仿宋_GB2312"/>
          <w:sz w:val="24"/>
        </w:rPr>
        <w:t>法定代表人/主要负责人：</w:t>
      </w: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tabs>
          <w:tab w:val="left" w:pos="6510"/>
        </w:tabs>
        <w:spacing w:line="360" w:lineRule="auto"/>
        <w:rPr>
          <w:rFonts w:hint="eastAsia" w:ascii="仿宋_GB2312" w:hAnsi="仿宋" w:eastAsia="仿宋_GB2312"/>
          <w:sz w:val="24"/>
          <w:u w:val="dotted"/>
        </w:rPr>
      </w:pPr>
      <w:r>
        <w:rPr>
          <w:rFonts w:hint="eastAsia" w:ascii="仿宋_GB2312" w:hAnsi="仿宋" w:eastAsia="仿宋_GB2312"/>
          <w:sz w:val="24"/>
        </w:rPr>
        <w:t>联系电话：</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授权代表：</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被投诉人1：</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被投诉人2</w:t>
      </w:r>
    </w:p>
    <w:p>
      <w:pPr>
        <w:spacing w:line="360" w:lineRule="auto"/>
        <w:rPr>
          <w:rFonts w:hint="eastAsia" w:ascii="仿宋_GB2312" w:hAnsi="仿宋" w:eastAsia="仿宋_GB2312"/>
          <w:sz w:val="24"/>
          <w:u w:val="dotted"/>
        </w:rPr>
      </w:pPr>
      <w:r>
        <w:rPr>
          <w:rFonts w:hint="eastAsia" w:ascii="仿宋_GB2312" w:hAnsi="仿宋" w:eastAsia="仿宋_GB2312"/>
          <w:sz w:val="24"/>
        </w:rPr>
        <w:t>……</w:t>
      </w:r>
    </w:p>
    <w:p>
      <w:pPr>
        <w:spacing w:line="360" w:lineRule="auto"/>
        <w:rPr>
          <w:rFonts w:hint="eastAsia" w:ascii="仿宋_GB2312" w:hAnsi="仿宋" w:eastAsia="仿宋_GB2312"/>
          <w:sz w:val="24"/>
          <w:u w:val="single"/>
        </w:rPr>
      </w:pPr>
      <w:r>
        <w:rPr>
          <w:rFonts w:hint="eastAsia" w:ascii="仿宋_GB2312" w:hAnsi="仿宋" w:eastAsia="仿宋_GB2312"/>
          <w:sz w:val="24"/>
        </w:rPr>
        <w:t>相关供应商：</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二、投诉项目基本情况</w:t>
      </w:r>
    </w:p>
    <w:p>
      <w:pPr>
        <w:spacing w:line="360" w:lineRule="auto"/>
        <w:rPr>
          <w:rFonts w:hint="eastAsia" w:ascii="仿宋_GB2312" w:hAnsi="仿宋" w:eastAsia="仿宋_GB2312"/>
          <w:sz w:val="24"/>
          <w:u w:val="dotted"/>
        </w:rPr>
      </w:pPr>
      <w:r>
        <w:rPr>
          <w:rFonts w:hint="eastAsia" w:ascii="仿宋_GB2312" w:hAnsi="仿宋" w:eastAsia="仿宋_GB2312"/>
          <w:sz w:val="24"/>
        </w:rPr>
        <w:t>采购项目名称：</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采购项目编号：</w:t>
      </w:r>
      <w:r>
        <w:rPr>
          <w:rFonts w:hint="eastAsia" w:ascii="仿宋_GB2312" w:hAnsi="仿宋" w:eastAsia="仿宋_GB2312"/>
          <w:sz w:val="24"/>
          <w:u w:val="dotted"/>
        </w:rPr>
        <w:t xml:space="preserve">                 </w:t>
      </w:r>
      <w:r>
        <w:rPr>
          <w:rFonts w:hint="eastAsia" w:ascii="仿宋_GB2312" w:hAnsi="仿宋" w:eastAsia="仿宋_GB2312"/>
          <w:sz w:val="24"/>
        </w:rPr>
        <w:t>包号：</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采购人名称：</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代理机构名称：</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采购文件公告: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采购结果公告: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hint="eastAsia" w:ascii="仿宋_GB2312" w:hAnsi="仿宋" w:eastAsia="仿宋_GB2312"/>
          <w:sz w:val="24"/>
          <w:u w:val="dotted"/>
        </w:rPr>
      </w:pPr>
      <w:r>
        <w:rPr>
          <w:rFonts w:hint="eastAsia" w:ascii="仿宋_GB2312" w:hAnsi="仿宋" w:eastAsia="仿宋_GB2312"/>
          <w:sz w:val="24"/>
        </w:rPr>
        <w:t>投诉人于</w:t>
      </w:r>
      <w:r>
        <w:rPr>
          <w:rFonts w:hint="eastAsia" w:ascii="仿宋_GB2312" w:hAnsi="仿宋" w:eastAsia="仿宋_GB2312"/>
          <w:sz w:val="24"/>
          <w:u w:val="dotted"/>
        </w:rPr>
        <w:t xml:space="preserve">   </w:t>
      </w:r>
      <w:r>
        <w:rPr>
          <w:rFonts w:hint="eastAsia" w:ascii="仿宋_GB2312" w:hAnsi="仿宋" w:eastAsia="仿宋_GB2312"/>
          <w:sz w:val="24"/>
        </w:rPr>
        <w:t>年</w:t>
      </w:r>
      <w:r>
        <w:rPr>
          <w:rFonts w:hint="eastAsia" w:ascii="仿宋_GB2312" w:hAnsi="仿宋" w:eastAsia="仿宋_GB2312"/>
          <w:sz w:val="24"/>
          <w:u w:val="dotted"/>
        </w:rPr>
        <w:t xml:space="preserve">   </w:t>
      </w:r>
      <w:r>
        <w:rPr>
          <w:rFonts w:hint="eastAsia" w:ascii="仿宋_GB2312" w:hAnsi="仿宋" w:eastAsia="仿宋_GB2312"/>
          <w:sz w:val="24"/>
        </w:rPr>
        <w:t>月</w:t>
      </w:r>
      <w:r>
        <w:rPr>
          <w:rFonts w:hint="eastAsia" w:ascii="仿宋_GB2312" w:hAnsi="仿宋" w:eastAsia="仿宋_GB2312"/>
          <w:sz w:val="24"/>
          <w:u w:val="dotted"/>
        </w:rPr>
        <w:t xml:space="preserve">  </w:t>
      </w:r>
      <w:r>
        <w:rPr>
          <w:rFonts w:hint="eastAsia" w:ascii="仿宋_GB2312" w:hAnsi="仿宋" w:eastAsia="仿宋_GB2312"/>
          <w:sz w:val="24"/>
        </w:rPr>
        <w:t>日,向</w:t>
      </w:r>
      <w:r>
        <w:rPr>
          <w:rFonts w:hint="eastAsia" w:ascii="仿宋_GB2312" w:hAnsi="仿宋" w:eastAsia="仿宋_GB2312"/>
          <w:sz w:val="24"/>
          <w:u w:val="dotted"/>
        </w:rPr>
        <w:t xml:space="preserve">                   </w:t>
      </w:r>
      <w:r>
        <w:rPr>
          <w:rFonts w:hint="eastAsia" w:ascii="仿宋_GB2312" w:hAnsi="仿宋" w:eastAsia="仿宋_GB2312"/>
          <w:sz w:val="24"/>
        </w:rPr>
        <w:t>提出质疑，质疑事项为：</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spacing w:line="360" w:lineRule="auto"/>
        <w:ind w:firstLine="360" w:firstLineChars="150"/>
        <w:rPr>
          <w:rFonts w:hint="eastAsia" w:ascii="仿宋_GB2312" w:hAnsi="仿宋" w:eastAsia="仿宋_GB2312"/>
          <w:sz w:val="24"/>
        </w:rPr>
      </w:pPr>
      <w:r>
        <w:rPr>
          <w:rFonts w:hint="eastAsia" w:ascii="仿宋_GB2312" w:hAnsi="仿宋" w:eastAsia="仿宋_GB2312"/>
          <w:sz w:val="24"/>
          <w:u w:val="dotted"/>
        </w:rPr>
        <w:t>采购人/代理机构</w:t>
      </w:r>
      <w:r>
        <w:rPr>
          <w:rFonts w:hint="eastAsia" w:ascii="仿宋_GB2312" w:hAnsi="仿宋" w:eastAsia="仿宋_GB2312"/>
          <w:sz w:val="24"/>
        </w:rPr>
        <w:t>于</w:t>
      </w:r>
      <w:r>
        <w:rPr>
          <w:rFonts w:hint="eastAsia" w:ascii="仿宋_GB2312" w:hAnsi="仿宋" w:eastAsia="仿宋_GB2312"/>
          <w:sz w:val="24"/>
          <w:u w:val="dotted"/>
        </w:rPr>
        <w:t xml:space="preserve">   </w:t>
      </w:r>
      <w:r>
        <w:rPr>
          <w:rFonts w:hint="eastAsia" w:ascii="仿宋_GB2312" w:hAnsi="仿宋" w:eastAsia="仿宋_GB2312"/>
          <w:sz w:val="24"/>
        </w:rPr>
        <w:t>年</w:t>
      </w:r>
      <w:r>
        <w:rPr>
          <w:rFonts w:hint="eastAsia" w:ascii="仿宋_GB2312" w:hAnsi="仿宋" w:eastAsia="仿宋_GB2312"/>
          <w:sz w:val="24"/>
          <w:u w:val="dotted"/>
        </w:rPr>
        <w:t xml:space="preserve">   </w:t>
      </w:r>
      <w:r>
        <w:rPr>
          <w:rFonts w:hint="eastAsia" w:ascii="仿宋_GB2312" w:hAnsi="仿宋" w:eastAsia="仿宋_GB2312"/>
          <w:sz w:val="24"/>
        </w:rPr>
        <w:t>月</w:t>
      </w:r>
      <w:r>
        <w:rPr>
          <w:rFonts w:hint="eastAsia" w:ascii="仿宋_GB2312" w:hAnsi="仿宋" w:eastAsia="仿宋_GB2312"/>
          <w:sz w:val="24"/>
          <w:u w:val="dotted"/>
        </w:rPr>
        <w:t xml:space="preserve">   </w:t>
      </w:r>
      <w:r>
        <w:rPr>
          <w:rFonts w:hint="eastAsia" w:ascii="仿宋_GB2312" w:hAnsi="仿宋" w:eastAsia="仿宋_GB2312"/>
          <w:sz w:val="24"/>
        </w:rPr>
        <w:t>日,就质疑事项作出了答复/没有在法定期限内作出答复。</w:t>
      </w:r>
    </w:p>
    <w:p>
      <w:pPr>
        <w:spacing w:line="360" w:lineRule="auto"/>
        <w:rPr>
          <w:rFonts w:hint="eastAsia" w:ascii="仿宋_GB2312" w:hAnsi="仿宋" w:eastAsia="仿宋_GB2312"/>
          <w:sz w:val="24"/>
        </w:rPr>
      </w:pPr>
      <w:r>
        <w:rPr>
          <w:rFonts w:hint="eastAsia" w:ascii="仿宋_GB2312" w:hAnsi="仿宋" w:eastAsia="仿宋_GB2312"/>
          <w:sz w:val="24"/>
        </w:rPr>
        <w:t>四、投诉事项具体内容</w:t>
      </w:r>
    </w:p>
    <w:p>
      <w:pPr>
        <w:spacing w:line="360" w:lineRule="auto"/>
        <w:rPr>
          <w:rFonts w:hint="eastAsia" w:ascii="仿宋_GB2312" w:hAnsi="仿宋" w:eastAsia="仿宋_GB2312"/>
          <w:sz w:val="24"/>
          <w:u w:val="single"/>
        </w:rPr>
      </w:pPr>
      <w:r>
        <w:rPr>
          <w:rFonts w:hint="eastAsia" w:ascii="仿宋_GB2312" w:hAnsi="仿宋" w:eastAsia="仿宋_GB2312"/>
          <w:sz w:val="24"/>
        </w:rPr>
        <w:t>投诉事项 1：</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事实依据：</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法律依据：</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投诉事项2</w:t>
      </w:r>
    </w:p>
    <w:p>
      <w:pPr>
        <w:spacing w:line="360" w:lineRule="auto"/>
        <w:rPr>
          <w:rFonts w:hint="eastAsia" w:ascii="仿宋_GB2312" w:hAnsi="仿宋" w:eastAsia="仿宋_GB2312"/>
          <w:sz w:val="24"/>
          <w:u w:val="dotted"/>
        </w:rPr>
      </w:pPr>
      <w:r>
        <w:rPr>
          <w:rFonts w:hint="eastAsia" w:ascii="仿宋_GB2312" w:hAnsi="仿宋" w:eastAsia="仿宋_GB2312"/>
          <w:sz w:val="24"/>
        </w:rPr>
        <w:t>……</w:t>
      </w:r>
    </w:p>
    <w:p>
      <w:pPr>
        <w:spacing w:line="360" w:lineRule="auto"/>
        <w:rPr>
          <w:rFonts w:hint="eastAsia"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hint="eastAsia" w:ascii="仿宋_GB2312" w:hAnsi="仿宋" w:eastAsia="仿宋_GB2312"/>
          <w:sz w:val="24"/>
        </w:rPr>
      </w:pPr>
      <w:r>
        <w:rPr>
          <w:rFonts w:hint="eastAsia" w:ascii="仿宋_GB2312" w:hAnsi="仿宋" w:eastAsia="仿宋_GB2312"/>
          <w:sz w:val="24"/>
        </w:rPr>
        <w:t>请求：</w:t>
      </w: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签字(签章)：                   公章：                      </w:t>
      </w:r>
    </w:p>
    <w:p>
      <w:pPr>
        <w:spacing w:line="360" w:lineRule="auto"/>
        <w:rPr>
          <w:rFonts w:hint="eastAsia" w:ascii="仿宋_GB2312" w:hAnsi="仿宋" w:eastAsia="仿宋_GB2312"/>
          <w:sz w:val="24"/>
        </w:rPr>
      </w:pPr>
      <w:r>
        <w:rPr>
          <w:rFonts w:hint="eastAsia" w:ascii="仿宋_GB2312" w:hAnsi="仿宋" w:eastAsia="仿宋_GB2312"/>
          <w:sz w:val="24"/>
        </w:rPr>
        <w:t xml:space="preserve">日期：    </w:t>
      </w: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hint="eastAsia" w:ascii="仿宋_GB2312" w:hAnsi="仿宋" w:eastAsia="仿宋_GB2312" w:cs="宋体"/>
          <w:kern w:val="0"/>
          <w:sz w:val="24"/>
        </w:rPr>
      </w:pPr>
      <w:r>
        <w:rPr>
          <w:rFonts w:hint="eastAsia"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 w:eastAsia="仿宋_GB2312" w:cs="宋体"/>
          <w:kern w:val="0"/>
          <w:sz w:val="24"/>
        </w:rPr>
      </w:pPr>
      <w:r>
        <w:rPr>
          <w:rFonts w:hint="eastAsia"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6.投诉书的投诉请求应与投诉事项相关。</w:t>
      </w:r>
    </w:p>
    <w:p>
      <w:pPr>
        <w:widowControl/>
        <w:spacing w:line="360" w:lineRule="auto"/>
        <w:ind w:firstLine="480" w:firstLineChars="200"/>
        <w:jc w:val="left"/>
        <w:rPr>
          <w:rFonts w:hint="eastAsia" w:ascii="仿宋_GB2312" w:hAnsi="仿宋" w:eastAsia="仿宋_GB2312" w:cs="仿宋_GB2312"/>
          <w:b/>
          <w:sz w:val="24"/>
        </w:rPr>
      </w:pPr>
      <w:r>
        <w:rPr>
          <w:rFonts w:hint="eastAsia"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 w:eastAsia="仿宋_GB2312"/>
          <w:kern w:val="0"/>
          <w:sz w:val="24"/>
        </w:rPr>
      </w:pPr>
    </w:p>
    <w:p>
      <w:pPr>
        <w:pStyle w:val="18"/>
        <w:numPr>
          <w:ilvl w:val="0"/>
          <w:numId w:val="0"/>
        </w:numPr>
        <w:jc w:val="both"/>
        <w:rPr>
          <w:rFonts w:hint="eastAsia" w:ascii="仿宋" w:hAnsi="仿宋" w:eastAsia="仿宋" w:cs="仿宋_GB2312"/>
          <w:b/>
          <w:sz w:val="36"/>
          <w:szCs w:val="36"/>
        </w:rPr>
      </w:pPr>
    </w:p>
    <w:p>
      <w:pPr>
        <w:jc w:val="left"/>
        <w:rPr>
          <w:rFonts w:hint="eastAsia" w:ascii="仿宋_GB2312" w:hAnsi="仿宋" w:eastAsia="仿宋_GB2312"/>
          <w:b/>
          <w:spacing w:val="6"/>
          <w:sz w:val="32"/>
          <w:szCs w:val="32"/>
        </w:rPr>
      </w:pPr>
    </w:p>
    <w:p>
      <w:pPr>
        <w:jc w:val="left"/>
        <w:rPr>
          <w:rFonts w:hint="eastAsia" w:ascii="方正小标宋简体" w:hAnsi="宋体" w:eastAsia="方正小标宋简体"/>
          <w:sz w:val="28"/>
          <w:szCs w:val="28"/>
          <w:lang w:eastAsia="zh-CN"/>
        </w:rPr>
      </w:pPr>
      <w:r>
        <w:rPr>
          <w:rFonts w:hint="eastAsia" w:ascii="仿宋_GB2312" w:hAnsi="仿宋" w:eastAsia="仿宋_GB2312"/>
          <w:b/>
          <w:spacing w:val="6"/>
          <w:sz w:val="32"/>
          <w:szCs w:val="32"/>
        </w:rPr>
        <w:t>附件</w:t>
      </w:r>
      <w:r>
        <w:rPr>
          <w:rFonts w:hint="eastAsia" w:ascii="仿宋_GB2312" w:hAnsi="仿宋" w:eastAsia="仿宋_GB2312"/>
          <w:b/>
          <w:spacing w:val="6"/>
          <w:sz w:val="32"/>
          <w:szCs w:val="32"/>
          <w:lang w:val="en-US" w:eastAsia="zh-CN"/>
        </w:rPr>
        <w:t>4</w:t>
      </w:r>
      <w:r>
        <w:rPr>
          <w:rFonts w:hint="eastAsia" w:ascii="方正小标宋简体" w:hAnsi="宋体" w:eastAsia="方正小标宋简体"/>
          <w:sz w:val="28"/>
          <w:szCs w:val="28"/>
          <w:lang w:eastAsia="zh-CN"/>
        </w:rPr>
        <w:t>：</w:t>
      </w:r>
    </w:p>
    <w:p>
      <w:pPr>
        <w:widowControl/>
        <w:spacing w:line="360" w:lineRule="auto"/>
        <w:ind w:firstLine="723" w:firstLineChars="200"/>
        <w:jc w:val="center"/>
        <w:rPr>
          <w:rFonts w:hint="eastAsia" w:ascii="仿宋_GB2312" w:hAnsi="仿宋" w:eastAsia="仿宋_GB2312"/>
          <w:b/>
          <w:bCs/>
          <w:sz w:val="36"/>
          <w:szCs w:val="36"/>
        </w:rPr>
      </w:pPr>
      <w:r>
        <w:rPr>
          <w:rFonts w:hint="eastAsia" w:ascii="仿宋_GB2312" w:hAnsi="仿宋" w:eastAsia="仿宋_GB2312"/>
          <w:b/>
          <w:bCs/>
          <w:sz w:val="36"/>
          <w:szCs w:val="36"/>
        </w:rPr>
        <w:t>政府采购融资畅通工程金融机构联系信息表</w:t>
      </w:r>
    </w:p>
    <w:p>
      <w:pPr>
        <w:widowControl/>
        <w:spacing w:line="360" w:lineRule="auto"/>
        <w:ind w:firstLine="480" w:firstLineChars="200"/>
        <w:jc w:val="left"/>
        <w:rPr>
          <w:rFonts w:hint="eastAsia" w:ascii="仿宋_GB2312" w:hAnsi="仿宋" w:eastAsia="仿宋_GB2312"/>
          <w:sz w:val="24"/>
        </w:rPr>
      </w:pPr>
    </w:p>
    <w:tbl>
      <w:tblPr>
        <w:tblStyle w:val="14"/>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金融机构各称</w:t>
            </w:r>
          </w:p>
        </w:tc>
        <w:tc>
          <w:tcPr>
            <w:tcW w:w="1425" w:type="dxa"/>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联系人</w:t>
            </w:r>
          </w:p>
        </w:tc>
        <w:tc>
          <w:tcPr>
            <w:tcW w:w="2444" w:type="dxa"/>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联系电话</w:t>
            </w:r>
          </w:p>
        </w:tc>
        <w:tc>
          <w:tcPr>
            <w:tcW w:w="2775" w:type="dxa"/>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南浔银行</w:t>
            </w:r>
          </w:p>
        </w:tc>
        <w:tc>
          <w:tcPr>
            <w:tcW w:w="1425" w:type="dxa"/>
            <w:tcBorders>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方薇</w:t>
            </w:r>
          </w:p>
        </w:tc>
        <w:tc>
          <w:tcPr>
            <w:tcW w:w="2444" w:type="dxa"/>
            <w:tcBorders>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13868003773</w:t>
            </w:r>
          </w:p>
        </w:tc>
        <w:tc>
          <w:tcPr>
            <w:tcW w:w="2775" w:type="dxa"/>
            <w:tcBorders>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浦发银行临安分行</w:t>
            </w:r>
          </w:p>
        </w:tc>
        <w:tc>
          <w:tcPr>
            <w:tcW w:w="1425"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沈丹丹</w:t>
            </w:r>
          </w:p>
        </w:tc>
        <w:tc>
          <w:tcPr>
            <w:tcW w:w="2444"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61092936</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13777851690</w:t>
            </w:r>
          </w:p>
        </w:tc>
        <w:tc>
          <w:tcPr>
            <w:tcW w:w="2775"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杭州银行临安支行</w:t>
            </w:r>
          </w:p>
        </w:tc>
        <w:tc>
          <w:tcPr>
            <w:tcW w:w="1425"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金林妹</w:t>
            </w:r>
          </w:p>
        </w:tc>
        <w:tc>
          <w:tcPr>
            <w:tcW w:w="2444"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13666638571</w:t>
            </w:r>
          </w:p>
        </w:tc>
        <w:tc>
          <w:tcPr>
            <w:tcW w:w="2775"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临安中信村镇银行</w:t>
            </w:r>
          </w:p>
        </w:tc>
        <w:tc>
          <w:tcPr>
            <w:tcW w:w="1425"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吕祎</w:t>
            </w:r>
          </w:p>
        </w:tc>
        <w:tc>
          <w:tcPr>
            <w:tcW w:w="2444"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13787100002 61109033</w:t>
            </w:r>
          </w:p>
        </w:tc>
        <w:tc>
          <w:tcPr>
            <w:tcW w:w="2775"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石镜街777号</w:t>
            </w:r>
          </w:p>
        </w:tc>
      </w:tr>
    </w:tbl>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sectPr>
      <w:pgSz w:w="11906" w:h="16838"/>
      <w:pgMar w:top="680" w:right="1417" w:bottom="47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3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eastAsia="zh-CN"/>
      </w:rPr>
    </w:pPr>
    <w:r>
      <w:rPr>
        <w:rFonts w:hint="eastAsia"/>
        <w:lang w:val="en-US" w:eastAsia="zh-CN"/>
      </w:rPr>
      <w:t xml:space="preserve">                                       </w:t>
    </w:r>
    <w:r>
      <w:rPr>
        <w:rFonts w:hint="eastAsia"/>
        <w:lang w:eastAsia="zh-CN"/>
      </w:rPr>
      <w:t>杭州市公共资源交易中心临安分中心政府采购公开招标文件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3BBF95"/>
    <w:multiLevelType w:val="singleLevel"/>
    <w:tmpl w:val="F93BBF95"/>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20C1357"/>
    <w:multiLevelType w:val="singleLevel"/>
    <w:tmpl w:val="020C1357"/>
    <w:lvl w:ilvl="0" w:tentative="0">
      <w:start w:val="4"/>
      <w:numFmt w:val="decimal"/>
      <w:lvlText w:val="%1."/>
      <w:lvlJc w:val="left"/>
      <w:pPr>
        <w:tabs>
          <w:tab w:val="left" w:pos="312"/>
        </w:tabs>
        <w:ind w:left="481" w:firstLine="0"/>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2DC80E81"/>
    <w:multiLevelType w:val="multilevel"/>
    <w:tmpl w:val="2DC80E81"/>
    <w:lvl w:ilvl="0" w:tentative="0">
      <w:start w:val="6"/>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8E9AE5D"/>
    <w:multiLevelType w:val="singleLevel"/>
    <w:tmpl w:val="58E9AE5D"/>
    <w:lvl w:ilvl="0" w:tentative="0">
      <w:start w:val="3"/>
      <w:numFmt w:val="chineseCounting"/>
      <w:suff w:val="space"/>
      <w:lvlText w:val="第%1部分"/>
      <w:lvlJc w:val="left"/>
      <w:rPr>
        <w:rFonts w:hint="eastAsia"/>
      </w:rPr>
    </w:lvl>
  </w:abstractNum>
  <w:abstractNum w:abstractNumId="6">
    <w:nsid w:val="653319CA"/>
    <w:multiLevelType w:val="multilevel"/>
    <w:tmpl w:val="653319CA"/>
    <w:lvl w:ilvl="0" w:tentative="0">
      <w:start w:val="1"/>
      <w:numFmt w:val="bullet"/>
      <w:lvlText w:val=""/>
      <w:lvlJc w:val="left"/>
      <w:pPr>
        <w:ind w:left="703" w:hanging="420"/>
      </w:pPr>
      <w:rPr>
        <w:rFonts w:hint="default" w:ascii="Wingdings" w:hAnsi="Wingdings"/>
      </w:rPr>
    </w:lvl>
    <w:lvl w:ilvl="1" w:tentative="0">
      <w:start w:val="1"/>
      <w:numFmt w:val="bullet"/>
      <w:lvlText w:val=""/>
      <w:lvlJc w:val="left"/>
      <w:pPr>
        <w:ind w:left="1123" w:hanging="420"/>
      </w:pPr>
      <w:rPr>
        <w:rFonts w:hint="default" w:ascii="Wingdings" w:hAnsi="Wingdings"/>
      </w:rPr>
    </w:lvl>
    <w:lvl w:ilvl="2" w:tentative="0">
      <w:start w:val="1"/>
      <w:numFmt w:val="bullet"/>
      <w:lvlText w:val=""/>
      <w:lvlJc w:val="left"/>
      <w:pPr>
        <w:ind w:left="1543" w:hanging="420"/>
      </w:pPr>
      <w:rPr>
        <w:rFonts w:hint="default" w:ascii="Wingdings" w:hAnsi="Wingdings"/>
      </w:rPr>
    </w:lvl>
    <w:lvl w:ilvl="3" w:tentative="0">
      <w:start w:val="1"/>
      <w:numFmt w:val="bullet"/>
      <w:lvlText w:val=""/>
      <w:lvlJc w:val="left"/>
      <w:pPr>
        <w:ind w:left="1963" w:hanging="420"/>
      </w:pPr>
      <w:rPr>
        <w:rFonts w:hint="default" w:ascii="Wingdings" w:hAnsi="Wingdings"/>
      </w:rPr>
    </w:lvl>
    <w:lvl w:ilvl="4" w:tentative="0">
      <w:start w:val="1"/>
      <w:numFmt w:val="bullet"/>
      <w:lvlText w:val=""/>
      <w:lvlJc w:val="left"/>
      <w:pPr>
        <w:ind w:left="2383" w:hanging="420"/>
      </w:pPr>
      <w:rPr>
        <w:rFonts w:hint="default" w:ascii="Wingdings" w:hAnsi="Wingdings"/>
      </w:rPr>
    </w:lvl>
    <w:lvl w:ilvl="5" w:tentative="0">
      <w:start w:val="1"/>
      <w:numFmt w:val="bullet"/>
      <w:lvlText w:val=""/>
      <w:lvlJc w:val="left"/>
      <w:pPr>
        <w:ind w:left="2803" w:hanging="420"/>
      </w:pPr>
      <w:rPr>
        <w:rFonts w:hint="default" w:ascii="Wingdings" w:hAnsi="Wingdings"/>
      </w:rPr>
    </w:lvl>
    <w:lvl w:ilvl="6" w:tentative="0">
      <w:start w:val="1"/>
      <w:numFmt w:val="bullet"/>
      <w:lvlText w:val=""/>
      <w:lvlJc w:val="left"/>
      <w:pPr>
        <w:ind w:left="3223" w:hanging="420"/>
      </w:pPr>
      <w:rPr>
        <w:rFonts w:hint="default" w:ascii="Wingdings" w:hAnsi="Wingdings"/>
      </w:rPr>
    </w:lvl>
    <w:lvl w:ilvl="7" w:tentative="0">
      <w:start w:val="1"/>
      <w:numFmt w:val="bullet"/>
      <w:lvlText w:val=""/>
      <w:lvlJc w:val="left"/>
      <w:pPr>
        <w:ind w:left="3643" w:hanging="420"/>
      </w:pPr>
      <w:rPr>
        <w:rFonts w:hint="default" w:ascii="Wingdings" w:hAnsi="Wingdings"/>
      </w:rPr>
    </w:lvl>
    <w:lvl w:ilvl="8" w:tentative="0">
      <w:start w:val="1"/>
      <w:numFmt w:val="bullet"/>
      <w:lvlText w:val=""/>
      <w:lvlJc w:val="left"/>
      <w:pPr>
        <w:ind w:left="4063" w:hanging="420"/>
      </w:pPr>
      <w:rPr>
        <w:rFonts w:hint="default" w:ascii="Wingdings" w:hAnsi="Wingdings"/>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45AEF"/>
    <w:rsid w:val="03D7619B"/>
    <w:rsid w:val="054E57EF"/>
    <w:rsid w:val="064A310A"/>
    <w:rsid w:val="09D74605"/>
    <w:rsid w:val="0A4720EA"/>
    <w:rsid w:val="0A9351CB"/>
    <w:rsid w:val="0B077CD4"/>
    <w:rsid w:val="0D8D4BDD"/>
    <w:rsid w:val="0E502490"/>
    <w:rsid w:val="0EB300DC"/>
    <w:rsid w:val="0EDC6301"/>
    <w:rsid w:val="0F645588"/>
    <w:rsid w:val="0FBC17B6"/>
    <w:rsid w:val="0FC73B11"/>
    <w:rsid w:val="10600C7E"/>
    <w:rsid w:val="10954CCA"/>
    <w:rsid w:val="129D0DBB"/>
    <w:rsid w:val="13BC2DB6"/>
    <w:rsid w:val="14123508"/>
    <w:rsid w:val="14BC0166"/>
    <w:rsid w:val="14C71D7D"/>
    <w:rsid w:val="15227C1E"/>
    <w:rsid w:val="165C2E84"/>
    <w:rsid w:val="16626A2E"/>
    <w:rsid w:val="174A0133"/>
    <w:rsid w:val="182B35C8"/>
    <w:rsid w:val="184F512D"/>
    <w:rsid w:val="18D422D4"/>
    <w:rsid w:val="1BCB2B2C"/>
    <w:rsid w:val="1BDC62E7"/>
    <w:rsid w:val="1D7D27E3"/>
    <w:rsid w:val="1DB356E1"/>
    <w:rsid w:val="1EC50471"/>
    <w:rsid w:val="212270C2"/>
    <w:rsid w:val="216E383A"/>
    <w:rsid w:val="21914B91"/>
    <w:rsid w:val="24675B39"/>
    <w:rsid w:val="28930A7F"/>
    <w:rsid w:val="2AD9766F"/>
    <w:rsid w:val="2B266E75"/>
    <w:rsid w:val="2B5E2EBD"/>
    <w:rsid w:val="2CD9796B"/>
    <w:rsid w:val="2CDD30C9"/>
    <w:rsid w:val="2E05043F"/>
    <w:rsid w:val="31D32ED8"/>
    <w:rsid w:val="3351042D"/>
    <w:rsid w:val="3484736E"/>
    <w:rsid w:val="35BA34FD"/>
    <w:rsid w:val="36170204"/>
    <w:rsid w:val="36231BA4"/>
    <w:rsid w:val="37064315"/>
    <w:rsid w:val="371760AC"/>
    <w:rsid w:val="376F0000"/>
    <w:rsid w:val="37F91B98"/>
    <w:rsid w:val="3B4A1F91"/>
    <w:rsid w:val="3B9E02A9"/>
    <w:rsid w:val="3E6E4109"/>
    <w:rsid w:val="3EEC556F"/>
    <w:rsid w:val="3F0B0681"/>
    <w:rsid w:val="3F2019C8"/>
    <w:rsid w:val="41827629"/>
    <w:rsid w:val="41BD60AE"/>
    <w:rsid w:val="44577E24"/>
    <w:rsid w:val="483F1A45"/>
    <w:rsid w:val="48C346F8"/>
    <w:rsid w:val="491F38B0"/>
    <w:rsid w:val="4931667F"/>
    <w:rsid w:val="499E2556"/>
    <w:rsid w:val="4A503370"/>
    <w:rsid w:val="4A9B0C27"/>
    <w:rsid w:val="4C924959"/>
    <w:rsid w:val="4DE6274F"/>
    <w:rsid w:val="4E2812CC"/>
    <w:rsid w:val="4E594859"/>
    <w:rsid w:val="4EEA01A4"/>
    <w:rsid w:val="4F1256B6"/>
    <w:rsid w:val="50E05DC1"/>
    <w:rsid w:val="515D0E88"/>
    <w:rsid w:val="51A44449"/>
    <w:rsid w:val="53285B64"/>
    <w:rsid w:val="53462460"/>
    <w:rsid w:val="534E37E9"/>
    <w:rsid w:val="537153BE"/>
    <w:rsid w:val="540C525F"/>
    <w:rsid w:val="54F2111A"/>
    <w:rsid w:val="58281EEA"/>
    <w:rsid w:val="59405382"/>
    <w:rsid w:val="5E20394A"/>
    <w:rsid w:val="5E9E31A3"/>
    <w:rsid w:val="5FA3062A"/>
    <w:rsid w:val="5FBB4E4C"/>
    <w:rsid w:val="610F16BD"/>
    <w:rsid w:val="62055F7A"/>
    <w:rsid w:val="64415F1C"/>
    <w:rsid w:val="65444EC1"/>
    <w:rsid w:val="655F6911"/>
    <w:rsid w:val="6B784FAB"/>
    <w:rsid w:val="6C102087"/>
    <w:rsid w:val="6C6332E1"/>
    <w:rsid w:val="6C8E6D61"/>
    <w:rsid w:val="6D82602F"/>
    <w:rsid w:val="6FEA7926"/>
    <w:rsid w:val="714B2E4D"/>
    <w:rsid w:val="7253661F"/>
    <w:rsid w:val="73520B1B"/>
    <w:rsid w:val="751764E1"/>
    <w:rsid w:val="75834B7B"/>
    <w:rsid w:val="76C65413"/>
    <w:rsid w:val="76FD2EC9"/>
    <w:rsid w:val="77E37047"/>
    <w:rsid w:val="78FB7678"/>
    <w:rsid w:val="798C60CF"/>
    <w:rsid w:val="7A257611"/>
    <w:rsid w:val="7ADB1741"/>
    <w:rsid w:val="7AE25FEB"/>
    <w:rsid w:val="7BE27D24"/>
    <w:rsid w:val="7C7E465D"/>
    <w:rsid w:val="7CD97977"/>
    <w:rsid w:val="7DC9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4">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5">
    <w:name w:val="Body Text"/>
    <w:basedOn w:val="1"/>
    <w:qFormat/>
    <w:uiPriority w:val="0"/>
    <w:pPr>
      <w:spacing w:after="120"/>
    </w:pPr>
  </w:style>
  <w:style w:type="paragraph" w:styleId="6">
    <w:name w:val="Body Text Indent"/>
    <w:basedOn w:val="1"/>
    <w:qFormat/>
    <w:uiPriority w:val="0"/>
    <w:pPr>
      <w:spacing w:line="480" w:lineRule="exact"/>
      <w:ind w:firstLine="480" w:firstLineChars="200"/>
    </w:pPr>
    <w:rPr>
      <w:rFonts w:ascii="宋体" w:hAnsi="宋体"/>
      <w:sz w:val="24"/>
    </w:rPr>
  </w:style>
  <w:style w:type="paragraph" w:styleId="7">
    <w:name w:val="Plain Text"/>
    <w:basedOn w:val="1"/>
    <w:qFormat/>
    <w:uiPriority w:val="0"/>
    <w:rPr>
      <w:rFonts w:ascii="宋体" w:hAnsi="Courier New" w:cs="Arial"/>
      <w:snapToGrid w:val="0"/>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12">
    <w:name w:val="Body Text First Indent"/>
    <w:basedOn w:val="5"/>
    <w:qFormat/>
    <w:uiPriority w:val="0"/>
    <w:pPr>
      <w:ind w:firstLine="420"/>
    </w:pPr>
    <w:rPr>
      <w:rFonts w:hAnsi="Times New Roman" w:cs="Times New Roman"/>
      <w:snapToGrid/>
      <w:szCs w:val="20"/>
    </w:rPr>
  </w:style>
  <w:style w:type="paragraph" w:styleId="13">
    <w:name w:val="Body Text First Indent 2"/>
    <w:basedOn w:val="6"/>
    <w:qFormat/>
    <w:uiPriority w:val="99"/>
    <w:pPr>
      <w:ind w:firstLine="420" w:firstLineChars="200"/>
    </w:pPr>
  </w:style>
  <w:style w:type="character" w:styleId="16">
    <w:name w:val="Strong"/>
    <w:basedOn w:val="15"/>
    <w:qFormat/>
    <w:uiPriority w:val="22"/>
    <w:rPr>
      <w:b/>
      <w:bCs/>
    </w:rPr>
  </w:style>
  <w:style w:type="character" w:styleId="17">
    <w:name w:val="page number"/>
    <w:basedOn w:val="15"/>
    <w:qFormat/>
    <w:uiPriority w:val="0"/>
  </w:style>
  <w:style w:type="paragraph" w:customStyle="1" w:styleId="18">
    <w:name w:val="[Normal]"/>
    <w:qFormat/>
    <w:uiPriority w:val="0"/>
    <w:rPr>
      <w:rFonts w:ascii="宋体" w:hAnsi="宋体" w:eastAsia="宋体" w:cs="Times New Roman"/>
      <w:sz w:val="24"/>
      <w:szCs w:val="22"/>
      <w:lang w:val="zh-CN" w:eastAsia="zh-CN" w:bidi="ar-SA"/>
    </w:rPr>
  </w:style>
  <w:style w:type="paragraph" w:customStyle="1" w:styleId="19">
    <w:name w:val="正文2"/>
    <w:basedOn w:val="1"/>
    <w:qFormat/>
    <w:uiPriority w:val="0"/>
    <w:pPr>
      <w:spacing w:before="156" w:beforeLines="0" w:line="360" w:lineRule="auto"/>
      <w:ind w:firstLine="510" w:firstLineChars="200"/>
    </w:pPr>
    <w:rPr>
      <w:sz w:val="24"/>
      <w:szCs w:val="20"/>
    </w:rPr>
  </w:style>
  <w:style w:type="paragraph" w:customStyle="1" w:styleId="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正文缩进1"/>
    <w:basedOn w:val="1"/>
    <w:next w:val="6"/>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23">
    <w:name w:val="索引 11"/>
    <w:basedOn w:val="1"/>
    <w:next w:val="1"/>
    <w:qFormat/>
    <w:uiPriority w:val="0"/>
    <w:pPr>
      <w:adjustRightInd/>
      <w:spacing w:line="360" w:lineRule="auto"/>
    </w:pPr>
    <w:rPr>
      <w:rFonts w:ascii="仿宋_GB2312" w:eastAsia="仿宋_GB2312"/>
      <w:sz w:val="24"/>
      <w:szCs w:val="20"/>
    </w:rPr>
  </w:style>
  <w:style w:type="paragraph" w:customStyle="1" w:styleId="24">
    <w:name w:val="纯文本1"/>
    <w:basedOn w:val="1"/>
    <w:qFormat/>
    <w:uiPriority w:val="0"/>
    <w:pPr>
      <w:adjustRightInd/>
    </w:pPr>
    <w:rPr>
      <w:rFonts w:ascii="宋体" w:hAnsi="Courier New"/>
      <w:kern w:val="0"/>
      <w:sz w:val="20"/>
      <w:szCs w:val="20"/>
    </w:rPr>
  </w:style>
  <w:style w:type="paragraph" w:customStyle="1" w:styleId="25">
    <w:name w:val="纯文本_0_0"/>
    <w:basedOn w:val="26"/>
    <w:qFormat/>
    <w:uiPriority w:val="0"/>
    <w:rPr>
      <w:rFonts w:ascii="宋体" w:hAnsi="Courier New"/>
      <w:szCs w:val="21"/>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2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29">
    <w:name w:val="样式5"/>
    <w:basedOn w:val="1"/>
    <w:qFormat/>
    <w:uiPriority w:val="0"/>
    <w:pPr>
      <w:spacing w:line="440" w:lineRule="exact"/>
      <w:ind w:left="2" w:firstLine="480" w:firstLineChars="200"/>
    </w:pPr>
    <w:rPr>
      <w:rFonts w:ascii="仿宋_GB2312" w:hAnsi="仿宋" w:eastAsia="仿宋_GB231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2021-01-14T07:35:00Z</cp:lastPrinted>
  <dcterms:modified xsi:type="dcterms:W3CDTF">2021-01-19T08:26:03Z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