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color w:val="000000" w:themeColor="text1"/>
          <w:sz w:val="48"/>
          <w:szCs w:val="48"/>
          <w:highlight w:val="none"/>
          <w14:textFill>
            <w14:solidFill>
              <w14:schemeClr w14:val="tx1"/>
            </w14:solidFill>
          </w14:textFill>
        </w:rPr>
        <w:t>临安区国际商务中心2号楼、4号楼家具采购项目</w:t>
      </w:r>
      <w:r>
        <w:rPr>
          <w:rFonts w:hint="eastAsia" w:ascii="仿宋" w:hAnsi="仿宋" w:eastAsia="仿宋" w:cs="仿宋_GB2312"/>
          <w:color w:val="000000" w:themeColor="text1"/>
          <w:sz w:val="48"/>
          <w:szCs w:val="48"/>
          <w14:textFill>
            <w14:solidFill>
              <w14:schemeClr w14:val="tx1"/>
            </w14:solidFill>
          </w14:textFill>
        </w:rPr>
        <w:t xml:space="preserve"> </w:t>
      </w:r>
    </w:p>
    <w:p>
      <w:pPr>
        <w:adjustRightInd/>
        <w:spacing w:line="360" w:lineRule="auto"/>
        <w:jc w:val="center"/>
        <w:rPr>
          <w:rFonts w:ascii="仿宋" w:hAnsi="仿宋" w:eastAsia="仿宋" w:cs="仿宋_GB2312"/>
          <w:b/>
          <w:color w:val="000000" w:themeColor="text1"/>
          <w:sz w:val="72"/>
          <w:szCs w:val="72"/>
          <w14:textFill>
            <w14:solidFill>
              <w14:schemeClr w14:val="tx1"/>
            </w14:solidFill>
          </w14:textFill>
        </w:rPr>
      </w:pPr>
      <w:r>
        <w:rPr>
          <w:rFonts w:hint="eastAsia" w:ascii="仿宋" w:hAnsi="仿宋" w:eastAsia="仿宋" w:cs="仿宋_GB2312"/>
          <w:b/>
          <w:color w:val="000000" w:themeColor="text1"/>
          <w:sz w:val="72"/>
          <w:szCs w:val="72"/>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（电子招投标）</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24"/>
          <w14:textFill>
            <w14:solidFill>
              <w14:schemeClr w14:val="tx1"/>
            </w14:solidFill>
          </w14:textFill>
        </w:rPr>
      </w:pPr>
    </w:p>
    <w:p>
      <w:pPr>
        <w:snapToGrid w:val="0"/>
        <w:spacing w:line="360" w:lineRule="auto"/>
        <w:jc w:val="center"/>
        <w:rPr>
          <w:rFonts w:hint="default" w:ascii="仿宋" w:hAnsi="仿宋" w:eastAsia="仿宋" w:cs="仿宋_GB2312"/>
          <w:color w:val="000000" w:themeColor="text1"/>
          <w:sz w:val="30"/>
          <w:szCs w:val="30"/>
          <w:highlight w:val="none"/>
          <w:lang w:val="en-US" w:eastAsia="zh-CN"/>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编号</w:t>
      </w:r>
      <w:r>
        <w:rPr>
          <w:rFonts w:hint="eastAsia" w:ascii="仿宋" w:hAnsi="仿宋" w:eastAsia="仿宋" w:cs="仿宋_GB2312"/>
          <w:color w:val="000000" w:themeColor="text1"/>
          <w:sz w:val="30"/>
          <w:szCs w:val="30"/>
          <w:highlight w:val="none"/>
          <w14:textFill>
            <w14:solidFill>
              <w14:schemeClr w14:val="tx1"/>
            </w14:solidFill>
          </w14:textFill>
        </w:rPr>
        <w:t>:</w:t>
      </w:r>
      <w:r>
        <w:rPr>
          <w:rFonts w:hint="eastAsia" w:ascii="仿宋" w:hAnsi="仿宋" w:eastAsia="仿宋" w:cs="仿宋_GB2312"/>
          <w:color w:val="000000" w:themeColor="text1"/>
          <w:sz w:val="30"/>
          <w:szCs w:val="30"/>
          <w:highlight w:val="none"/>
          <w:lang w:val="en-US" w:eastAsia="zh-CN"/>
          <w14:textFill>
            <w14:solidFill>
              <w14:schemeClr w14:val="tx1"/>
            </w14:solidFill>
          </w14:textFill>
        </w:rPr>
        <w:t>LZC-GK-2021-01002</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w:t>
      </w:r>
    </w:p>
    <w:p>
      <w:pPr>
        <w:snapToGrid w:val="0"/>
        <w:spacing w:line="360" w:lineRule="auto"/>
        <w:jc w:val="center"/>
        <w:rPr>
          <w:rFonts w:hint="eastAsia" w:ascii="仿宋" w:hAnsi="仿宋" w:eastAsia="仿宋" w:cs="仿宋_GB2312"/>
          <w:color w:val="000000" w:themeColor="text1"/>
          <w:sz w:val="32"/>
          <w:szCs w:val="32"/>
          <w:highlight w:val="green"/>
          <w:lang w:eastAsia="zh-CN"/>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w:t>
      </w:r>
      <w:r>
        <w:rPr>
          <w:rFonts w:hint="eastAsia" w:ascii="仿宋" w:hAnsi="仿宋" w:eastAsia="仿宋" w:cs="仿宋_GB2312"/>
          <w:bCs/>
          <w:color w:val="000000" w:themeColor="text1"/>
          <w:sz w:val="32"/>
          <w:szCs w:val="32"/>
          <w:lang w:eastAsia="zh-CN"/>
          <w14:textFill>
            <w14:solidFill>
              <w14:schemeClr w14:val="tx1"/>
            </w14:solidFill>
          </w14:textFill>
        </w:rPr>
        <w:t>单位</w:t>
      </w:r>
      <w:r>
        <w:rPr>
          <w:rFonts w:hint="eastAsia" w:ascii="仿宋" w:hAnsi="仿宋" w:eastAsia="仿宋" w:cs="仿宋_GB2312"/>
          <w:bCs/>
          <w:color w:val="000000" w:themeColor="text1"/>
          <w:sz w:val="32"/>
          <w:szCs w:val="32"/>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浙江青山湖科研创新基地投资有限公司</w:t>
      </w:r>
    </w:p>
    <w:p>
      <w:pPr>
        <w:spacing w:line="360" w:lineRule="auto"/>
        <w:jc w:val="center"/>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_GB2312"/>
          <w:bCs/>
          <w:color w:val="000000" w:themeColor="text1"/>
          <w:sz w:val="32"/>
          <w:szCs w:val="32"/>
          <w:lang w:eastAsia="zh-CN"/>
          <w14:textFill>
            <w14:solidFill>
              <w14:schemeClr w14:val="tx1"/>
            </w14:solidFill>
          </w14:textFill>
        </w:rPr>
        <w:t>采购机构</w:t>
      </w:r>
      <w:r>
        <w:rPr>
          <w:rFonts w:hint="eastAsia" w:ascii="仿宋" w:hAnsi="仿宋" w:eastAsia="仿宋" w:cs="仿宋_GB2312"/>
          <w:bCs/>
          <w:color w:val="000000" w:themeColor="text1"/>
          <w:sz w:val="32"/>
          <w:szCs w:val="32"/>
          <w:lang w:val="en-US" w:eastAsia="zh-CN"/>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杭</w:t>
      </w:r>
      <w:r>
        <w:rPr>
          <w:rFonts w:hint="eastAsia" w:ascii="仿宋" w:hAnsi="仿宋" w:eastAsia="仿宋" w:cs="仿宋_GB2312"/>
          <w:bCs/>
          <w:color w:val="000000" w:themeColor="text1"/>
          <w:sz w:val="32"/>
          <w:szCs w:val="32"/>
          <w14:textFill>
            <w14:solidFill>
              <w14:schemeClr w14:val="tx1"/>
            </w14:solidFill>
          </w14:textFill>
        </w:rPr>
        <w:t>州市公共资源交易中心</w:t>
      </w:r>
      <w:r>
        <w:rPr>
          <w:rFonts w:hint="eastAsia" w:ascii="仿宋" w:hAnsi="仿宋" w:eastAsia="仿宋" w:cs="仿宋_GB2312"/>
          <w:bCs/>
          <w:color w:val="000000" w:themeColor="text1"/>
          <w:sz w:val="32"/>
          <w:szCs w:val="32"/>
          <w:lang w:eastAsia="zh-CN"/>
          <w14:textFill>
            <w14:solidFill>
              <w14:schemeClr w14:val="tx1"/>
            </w14:solidFill>
          </w14:textFill>
        </w:rPr>
        <w:t>临安分中心</w:t>
      </w:r>
    </w:p>
    <w:p>
      <w:pPr>
        <w:snapToGrid w:val="0"/>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月十</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both"/>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  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      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      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      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      评标方法及评分标准</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      应提交的有关格式范例</w:t>
      </w:r>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
      <w:pPr>
        <w:adjustRightInd/>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spacing w:line="360" w:lineRule="auto"/>
        <w:ind w:firstLine="480" w:firstLineChars="200"/>
        <w:rPr>
          <w:rFonts w:hint="eastAsia" w:ascii="仿宋_GB2312" w:hAnsi="仿宋" w:eastAsia="仿宋_GB2312"/>
          <w:b w:val="0"/>
          <w:bCs/>
          <w:sz w:val="24"/>
        </w:rPr>
      </w:pPr>
      <w:r>
        <w:rPr>
          <w:rFonts w:hint="eastAsia" w:ascii="仿宋" w:hAnsi="仿宋" w:eastAsia="仿宋" w:cs="仿宋"/>
          <w:sz w:val="24"/>
        </w:rPr>
        <w:t>受</w:t>
      </w:r>
      <w:r>
        <w:rPr>
          <w:rFonts w:hint="eastAsia" w:ascii="仿宋" w:hAnsi="仿宋" w:eastAsia="仿宋" w:cs="仿宋"/>
          <w:sz w:val="24"/>
          <w:lang w:eastAsia="zh-CN"/>
        </w:rPr>
        <w:t>浙江青山湖科研创新基地投资有限公司</w:t>
      </w:r>
      <w:r>
        <w:rPr>
          <w:rFonts w:hint="eastAsia" w:ascii="仿宋" w:hAnsi="仿宋" w:eastAsia="仿宋" w:cs="仿宋"/>
          <w:sz w:val="24"/>
          <w:highlight w:val="none"/>
        </w:rPr>
        <w:t>的</w:t>
      </w:r>
      <w:r>
        <w:rPr>
          <w:rFonts w:hint="eastAsia" w:ascii="仿宋" w:hAnsi="仿宋" w:eastAsia="仿宋" w:cs="仿宋"/>
          <w:sz w:val="24"/>
        </w:rPr>
        <w:t>委托，杭州市公共资源交易中心临安分中心（以下简称“采购机构”），就以下临安区国际商务中心2号楼、4号楼家具采购项目进行公开采购，</w:t>
      </w:r>
      <w:r>
        <w:rPr>
          <w:rFonts w:hint="eastAsia" w:ascii="仿宋_GB2312" w:hAnsi="仿宋_GB2312" w:eastAsia="仿宋_GB2312" w:cs="仿宋_GB2312"/>
          <w:sz w:val="24"/>
        </w:rPr>
        <w:t>邀请符合条件的供应商参加投标</w:t>
      </w:r>
      <w:r>
        <w:rPr>
          <w:rFonts w:hint="eastAsia" w:ascii="仿宋" w:hAnsi="仿宋" w:eastAsia="仿宋" w:cs="仿宋"/>
          <w:sz w:val="24"/>
        </w:rPr>
        <w:t>。</w:t>
      </w:r>
    </w:p>
    <w:p>
      <w:pPr>
        <w:spacing w:line="360" w:lineRule="auto"/>
        <w:rPr>
          <w:rFonts w:ascii="仿宋_GB2312" w:hAnsi="仿宋" w:eastAsia="仿宋_GB2312"/>
          <w:b/>
          <w:sz w:val="24"/>
        </w:rPr>
      </w:pPr>
      <w:r>
        <w:rPr>
          <w:rFonts w:hint="eastAsia" w:ascii="仿宋_GB2312" w:hAnsi="仿宋" w:eastAsia="仿宋_GB2312"/>
          <w:b/>
          <w:sz w:val="24"/>
        </w:rPr>
        <w:t xml:space="preserve">一、项目基本情况                                            </w:t>
      </w:r>
    </w:p>
    <w:p>
      <w:pPr>
        <w:spacing w:line="360" w:lineRule="auto"/>
        <w:rPr>
          <w:rFonts w:hint="default" w:ascii="仿宋_GB2312" w:hAnsi="仿宋" w:eastAsia="仿宋"/>
          <w:sz w:val="24"/>
          <w:lang w:val="en-US" w:eastAsia="zh-CN"/>
        </w:rPr>
      </w:pPr>
      <w:r>
        <w:rPr>
          <w:rFonts w:hint="eastAsia" w:ascii="仿宋_GB2312" w:hAnsi="仿宋" w:eastAsia="仿宋_GB2312"/>
          <w:sz w:val="24"/>
        </w:rPr>
        <w:t xml:space="preserve">    </w:t>
      </w:r>
      <w:r>
        <w:rPr>
          <w:rFonts w:hint="eastAsia" w:ascii="仿宋_GB2312" w:hAnsi="仿宋" w:eastAsia="仿宋_GB2312"/>
          <w:b/>
          <w:sz w:val="24"/>
        </w:rPr>
        <w:t>项目编号：</w:t>
      </w:r>
      <w:r>
        <w:rPr>
          <w:rFonts w:hint="eastAsia" w:ascii="仿宋" w:hAnsi="仿宋" w:eastAsia="仿宋" w:cs="仿宋"/>
          <w:sz w:val="24"/>
          <w:highlight w:val="none"/>
        </w:rPr>
        <w:t>LZC-GK-202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01002</w:t>
      </w:r>
    </w:p>
    <w:p>
      <w:pPr>
        <w:spacing w:line="360" w:lineRule="auto"/>
        <w:ind w:firstLine="480"/>
        <w:rPr>
          <w:rFonts w:hint="eastAsia" w:ascii="仿宋" w:hAnsi="仿宋" w:eastAsia="仿宋" w:cs="仿宋"/>
          <w:sz w:val="24"/>
          <w:highlight w:val="green"/>
        </w:rPr>
      </w:pPr>
      <w:r>
        <w:rPr>
          <w:rFonts w:hint="eastAsia" w:ascii="仿宋_GB2312" w:hAnsi="仿宋" w:eastAsia="仿宋_GB2312"/>
          <w:b/>
          <w:sz w:val="24"/>
        </w:rPr>
        <w:t>项目名称：</w:t>
      </w:r>
      <w:r>
        <w:rPr>
          <w:rFonts w:hint="eastAsia" w:ascii="仿宋_GB2312" w:hAnsi="仿宋" w:eastAsia="仿宋_GB2312"/>
          <w:b w:val="0"/>
          <w:bCs/>
          <w:sz w:val="24"/>
        </w:rPr>
        <w:t>临安区国际商务中心2号楼、4号楼家具采购项目</w:t>
      </w:r>
    </w:p>
    <w:p>
      <w:pPr>
        <w:spacing w:line="360" w:lineRule="auto"/>
        <w:ind w:firstLine="480"/>
        <w:rPr>
          <w:rFonts w:ascii="仿宋_GB2312" w:hAnsi="仿宋" w:eastAsia="仿宋_GB2312"/>
          <w:sz w:val="24"/>
          <w:highlight w:val="none"/>
        </w:rPr>
      </w:pPr>
      <w:r>
        <w:rPr>
          <w:rFonts w:hint="eastAsia" w:ascii="仿宋_GB2312" w:hAnsi="仿宋" w:eastAsia="仿宋_GB2312"/>
          <w:b/>
          <w:sz w:val="24"/>
        </w:rPr>
        <w:t>预算金额</w:t>
      </w:r>
      <w:r>
        <w:rPr>
          <w:rFonts w:hint="eastAsia" w:ascii="仿宋_GB2312" w:hAnsi="仿宋" w:eastAsia="仿宋_GB2312"/>
          <w:b/>
          <w:sz w:val="24"/>
          <w:highlight w:val="none"/>
        </w:rPr>
        <w:t>：</w:t>
      </w:r>
      <w:r>
        <w:rPr>
          <w:rFonts w:hint="eastAsia" w:ascii="仿宋_GB2312" w:hAnsi="仿宋" w:eastAsia="仿宋_GB2312"/>
          <w:b/>
          <w:sz w:val="24"/>
          <w:highlight w:val="none"/>
          <w:lang w:val="en-US" w:eastAsia="zh-CN"/>
        </w:rPr>
        <w:t>412</w:t>
      </w:r>
      <w:r>
        <w:rPr>
          <w:rFonts w:hint="eastAsia" w:ascii="仿宋_GB2312" w:hAnsi="仿宋" w:eastAsia="仿宋_GB2312"/>
          <w:b/>
          <w:sz w:val="24"/>
          <w:highlight w:val="none"/>
        </w:rPr>
        <w:t>万元</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w:t>
      </w:r>
      <w:r>
        <w:rPr>
          <w:rFonts w:hint="eastAsia" w:ascii="仿宋_GB2312" w:hAnsi="仿宋" w:eastAsia="仿宋_GB2312"/>
          <w:b/>
          <w:sz w:val="24"/>
          <w:highlight w:val="none"/>
          <w:lang w:val="en-US" w:eastAsia="zh-CN"/>
        </w:rPr>
        <w:t>412</w:t>
      </w:r>
      <w:r>
        <w:rPr>
          <w:rFonts w:hint="eastAsia" w:ascii="仿宋_GB2312" w:hAnsi="仿宋" w:eastAsia="仿宋_GB2312"/>
          <w:b/>
          <w:sz w:val="24"/>
          <w:highlight w:val="none"/>
        </w:rPr>
        <w:t>万元</w:t>
      </w:r>
    </w:p>
    <w:p>
      <w:pPr>
        <w:spacing w:line="360" w:lineRule="auto"/>
        <w:ind w:firstLine="482" w:firstLineChars="200"/>
        <w:rPr>
          <w:rFonts w:hint="eastAsia" w:ascii="仿宋_GB2312" w:hAnsi="仿宋" w:eastAsia="仿宋_GB2312"/>
          <w:bCs/>
          <w:sz w:val="24"/>
          <w:lang w:eastAsia="zh-CN"/>
        </w:rPr>
      </w:pPr>
      <w:r>
        <w:rPr>
          <w:rFonts w:hint="eastAsia" w:ascii="仿宋_GB2312" w:hAnsi="仿宋" w:eastAsia="仿宋_GB2312"/>
          <w:b/>
          <w:sz w:val="24"/>
        </w:rPr>
        <w:t>采购需求：</w:t>
      </w:r>
      <w:r>
        <w:rPr>
          <w:rFonts w:hint="eastAsia" w:ascii="仿宋_GB2312" w:hAnsi="仿宋" w:eastAsia="仿宋_GB2312"/>
          <w:b w:val="0"/>
          <w:bCs/>
          <w:sz w:val="24"/>
        </w:rPr>
        <w:t>临安区国际商务中心2号楼、4号楼家具</w:t>
      </w:r>
      <w:r>
        <w:rPr>
          <w:rFonts w:hint="eastAsia" w:ascii="仿宋_GB2312" w:hAnsi="仿宋" w:eastAsia="仿宋_GB2312"/>
          <w:b w:val="0"/>
          <w:bCs/>
          <w:sz w:val="24"/>
          <w:lang w:eastAsia="zh-CN"/>
        </w:rPr>
        <w:t>，详见采购文件第三部分采购需求。</w:t>
      </w:r>
    </w:p>
    <w:p>
      <w:pPr>
        <w:pStyle w:val="16"/>
        <w:spacing w:before="0"/>
        <w:ind w:firstLineChars="0"/>
        <w:outlineLvl w:val="2"/>
        <w:rPr>
          <w:rFonts w:ascii="仿宋_GB2312" w:hAnsi="仿宋" w:eastAsia="仿宋_GB2312"/>
          <w:b/>
        </w:rPr>
      </w:pPr>
      <w:r>
        <w:rPr>
          <w:rFonts w:hint="eastAsia" w:ascii="仿宋_GB2312" w:hAnsi="仿宋" w:eastAsia="仿宋_GB2312"/>
          <w:b/>
        </w:rPr>
        <w:t>本项目</w:t>
      </w:r>
      <w:r>
        <w:rPr>
          <w:rFonts w:hint="eastAsia" w:ascii="仿宋_GB2312" w:hAnsi="仿宋" w:eastAsia="仿宋_GB2312"/>
          <w:b/>
          <w:lang w:eastAsia="zh-CN"/>
        </w:rPr>
        <w:t>不</w:t>
      </w:r>
      <w:r>
        <w:rPr>
          <w:rFonts w:hint="eastAsia" w:ascii="仿宋_GB2312" w:hAnsi="仿宋" w:eastAsia="仿宋_GB2312"/>
          <w:b/>
        </w:rPr>
        <w:t>接受联合体投标。</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2.落实政府采购政策需满足的资格要求：无</w:t>
      </w:r>
      <w:r>
        <w:rPr>
          <w:rFonts w:hint="eastAsia" w:ascii="仿宋_GB2312" w:hAnsi="仿宋" w:eastAsia="仿宋_GB2312"/>
          <w:sz w:val="24"/>
          <w:lang w:eastAsia="zh-CN"/>
        </w:rPr>
        <w:t>；</w:t>
      </w:r>
      <w:r>
        <w:rPr>
          <w:rFonts w:hint="eastAsia" w:ascii="仿宋_GB2312" w:hAnsi="仿宋" w:eastAsia="仿宋_GB2312"/>
          <w:sz w:val="24"/>
        </w:rPr>
        <w:t xml:space="preserve"> </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3.本项目的特定资格要求：无</w:t>
      </w:r>
      <w:r>
        <w:rPr>
          <w:rFonts w:hint="eastAsia" w:ascii="仿宋_GB2312" w:hAnsi="仿宋" w:eastAsia="仿宋_GB2312"/>
          <w:sz w:val="24"/>
          <w:lang w:eastAsia="zh-CN"/>
        </w:rPr>
        <w:t>。</w:t>
      </w:r>
    </w:p>
    <w:p>
      <w:pPr>
        <w:spacing w:line="360" w:lineRule="auto"/>
        <w:rPr>
          <w:rFonts w:ascii="仿宋_GB2312" w:hAnsi="仿宋" w:eastAsia="仿宋_GB2312"/>
          <w:b/>
          <w:sz w:val="24"/>
        </w:rPr>
      </w:pPr>
      <w:r>
        <w:rPr>
          <w:rFonts w:hint="eastAsia" w:ascii="仿宋_GB2312" w:hAnsi="仿宋" w:eastAsia="仿宋_GB2312"/>
          <w:b/>
          <w:sz w:val="24"/>
        </w:rPr>
        <w:t xml:space="preserve">三、获取招标文件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highlight w:val="none"/>
        </w:rPr>
        <w:t>202</w:t>
      </w:r>
      <w:r>
        <w:rPr>
          <w:rFonts w:hint="eastAsia" w:ascii="仿宋_GB2312" w:hAnsi="仿宋" w:eastAsia="仿宋_GB2312"/>
          <w:sz w:val="24"/>
          <w:highlight w:val="none"/>
          <w:lang w:val="en-US" w:eastAsia="zh-CN"/>
        </w:rPr>
        <w:t>1</w:t>
      </w:r>
      <w:r>
        <w:rPr>
          <w:rFonts w:hint="eastAsia" w:ascii="仿宋_GB2312" w:hAnsi="仿宋" w:eastAsia="仿宋_GB2312"/>
          <w:sz w:val="24"/>
          <w:highlight w:val="none"/>
        </w:rPr>
        <w:t>年</w:t>
      </w:r>
      <w:r>
        <w:rPr>
          <w:rFonts w:hint="eastAsia" w:ascii="仿宋_GB2312" w:hAnsi="仿宋" w:eastAsia="仿宋_GB2312"/>
          <w:sz w:val="24"/>
          <w:highlight w:val="none"/>
          <w:lang w:val="en-US" w:eastAsia="zh-CN"/>
        </w:rPr>
        <w:t>2</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8</w:t>
      </w:r>
      <w:r>
        <w:rPr>
          <w:rFonts w:hint="eastAsia" w:ascii="仿宋_GB2312" w:hAnsi="仿宋" w:eastAsia="仿宋_GB2312"/>
          <w:sz w:val="24"/>
          <w:highlight w:val="none"/>
        </w:rPr>
        <w:t>日 ，每天</w:t>
      </w:r>
      <w:r>
        <w:rPr>
          <w:rFonts w:hint="eastAsia" w:ascii="仿宋_GB2312" w:hAnsi="仿宋" w:eastAsia="仿宋_GB2312"/>
          <w:sz w:val="24"/>
        </w:rPr>
        <w:t>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lang w:eastAsia="zh-CN"/>
        </w:rPr>
        <w:t>浙江政府采购网</w:t>
      </w:r>
      <w:r>
        <w:rPr>
          <w:rFonts w:hint="eastAsia" w:ascii="仿宋_GB2312" w:hAnsi="仿宋" w:eastAsia="仿宋_GB2312"/>
          <w:sz w:val="24"/>
        </w:rPr>
        <w:t xml:space="preserve">（https://zfcg.czt.zj.gov.cn/）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lang w:val="en-US" w:eastAsia="zh-CN"/>
        </w:rPr>
        <w:t>0</w:t>
      </w:r>
      <w:r>
        <w:rPr>
          <w:rFonts w:hint="eastAsia" w:ascii="仿宋_GB2312" w:hAnsi="仿宋" w:eastAsia="仿宋_GB2312"/>
          <w:sz w:val="24"/>
        </w:rPr>
        <w:t xml:space="preserve"> </w:t>
      </w:r>
    </w:p>
    <w:p>
      <w:pPr>
        <w:spacing w:line="360" w:lineRule="auto"/>
        <w:rPr>
          <w:rFonts w:ascii="仿宋_GB2312" w:hAnsi="仿宋" w:eastAsia="仿宋_GB2312"/>
          <w:b/>
          <w:sz w:val="24"/>
          <w:highlight w:val="none"/>
        </w:rPr>
      </w:pPr>
      <w:r>
        <w:rPr>
          <w:rFonts w:hint="eastAsia" w:ascii="仿宋_GB2312" w:hAnsi="仿宋" w:eastAsia="仿宋_GB2312"/>
          <w:b/>
          <w:sz w:val="24"/>
        </w:rPr>
        <w:t>四、提交投标文件截止</w:t>
      </w:r>
      <w:r>
        <w:rPr>
          <w:rFonts w:hint="eastAsia" w:ascii="仿宋_GB2312" w:hAnsi="仿宋" w:eastAsia="仿宋_GB2312"/>
          <w:b/>
          <w:sz w:val="24"/>
          <w:highlight w:val="none"/>
        </w:rPr>
        <w:t>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10</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0</w:t>
      </w:r>
      <w:r>
        <w:rPr>
          <w:rFonts w:hint="eastAsia" w:ascii="仿宋_GB2312" w:hAnsi="仿宋" w:eastAsia="仿宋_GB2312"/>
          <w:bCs/>
          <w:sz w:val="24"/>
          <w:highlight w:val="none"/>
          <w:u w:val="single"/>
        </w:rPr>
        <w:t>0分00秒</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 xml:space="preserve">政府采购云平台（www.zcygov.cn）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8</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10</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0</w:t>
      </w:r>
      <w:r>
        <w:rPr>
          <w:rFonts w:hint="eastAsia" w:ascii="仿宋_GB2312" w:hAnsi="仿宋" w:eastAsia="仿宋_GB2312"/>
          <w:bCs/>
          <w:sz w:val="24"/>
          <w:highlight w:val="none"/>
          <w:u w:val="single"/>
        </w:rPr>
        <w:t>0分00秒</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 xml:space="preserve">在政府采购云平台（www.zcygov.cn）上开启投标文件  </w:t>
      </w:r>
    </w:p>
    <w:p>
      <w:pPr>
        <w:spacing w:line="360" w:lineRule="auto"/>
        <w:rPr>
          <w:rFonts w:ascii="仿宋_GB2312" w:hAnsi="仿宋" w:eastAsia="仿宋_GB2312"/>
          <w:b/>
          <w:sz w:val="24"/>
        </w:rPr>
      </w:pPr>
      <w:r>
        <w:rPr>
          <w:rFonts w:hint="eastAsia" w:ascii="仿宋_GB2312" w:hAnsi="仿宋" w:eastAsia="仿宋_GB2312"/>
          <w:b/>
          <w:sz w:val="24"/>
        </w:rPr>
        <w:t xml:space="preserve">五、公告期限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2. 需要落实的政府采购政策：包括保护环境、节约能源、促进中小企业发展等。详见招标文件的第二部分总则。</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1）电子招投标：本项目以数据电文形式，依托“政府采购云平台（www.zcygov.cn）”进行招投标活动，不接受纸质投标文件。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6）对未按上述方式获取招标文件的供应商对该文件提出的质疑，采购人或采购代理机构将不予处理；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交或者以邮政快递方式递交备份投标文件1份。备份投标文件的制作、存储、密封详见招标文</w:t>
      </w:r>
      <w:r>
        <w:rPr>
          <w:rFonts w:hint="eastAsia" w:ascii="仿宋_GB2312" w:hAnsi="仿宋" w:eastAsia="仿宋_GB2312" w:cs="仿宋_GB2312"/>
          <w:sz w:val="24"/>
          <w:highlight w:val="none"/>
        </w:rPr>
        <w:t>件第二部分第15点—“备份投标文件”。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hint="eastAsia" w:ascii="仿宋_GB2312" w:hAnsi="仿宋" w:eastAsia="仿宋_GB2312"/>
          <w:sz w:val="24"/>
        </w:rPr>
        <w:t xml:space="preserve">    1.采购人信息</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名    称：</w:t>
      </w:r>
      <w:r>
        <w:rPr>
          <w:rFonts w:hint="eastAsia" w:ascii="仿宋" w:hAnsi="仿宋" w:eastAsia="仿宋"/>
          <w:sz w:val="24"/>
          <w:lang w:eastAsia="zh-CN"/>
        </w:rPr>
        <w:t>浙江青山湖科研创新基地投资有限公司</w:t>
      </w:r>
    </w:p>
    <w:p>
      <w:pPr>
        <w:spacing w:line="360" w:lineRule="auto"/>
        <w:ind w:firstLine="480" w:firstLineChars="200"/>
        <w:rPr>
          <w:rFonts w:hint="default" w:ascii="仿宋" w:hAnsi="仿宋" w:eastAsia="仿宋"/>
          <w:sz w:val="24"/>
          <w:lang w:val="en-US" w:eastAsia="zh-CN"/>
        </w:rPr>
      </w:pPr>
      <w:r>
        <w:rPr>
          <w:rFonts w:hint="eastAsia" w:ascii="仿宋" w:hAnsi="仿宋" w:eastAsia="仿宋"/>
          <w:sz w:val="24"/>
        </w:rPr>
        <w:t>地    址：</w:t>
      </w:r>
      <w:r>
        <w:rPr>
          <w:rFonts w:hint="eastAsia" w:ascii="仿宋" w:hAnsi="仿宋" w:eastAsia="仿宋"/>
          <w:sz w:val="24"/>
          <w:lang w:eastAsia="zh-CN"/>
        </w:rPr>
        <w:t>浙江省杭州市临安区青山湖科技城星港路</w:t>
      </w:r>
      <w:r>
        <w:rPr>
          <w:rFonts w:hint="eastAsia" w:ascii="仿宋" w:hAnsi="仿宋" w:eastAsia="仿宋"/>
          <w:sz w:val="24"/>
          <w:lang w:val="en-US" w:eastAsia="zh-CN"/>
        </w:rPr>
        <w:t>1519号</w:t>
      </w:r>
    </w:p>
    <w:p>
      <w:pPr>
        <w:spacing w:line="360" w:lineRule="auto"/>
        <w:ind w:firstLine="480" w:firstLineChars="200"/>
        <w:rPr>
          <w:rFonts w:hint="eastAsia" w:ascii="仿宋" w:hAnsi="仿宋" w:eastAsia="仿宋"/>
          <w:sz w:val="24"/>
        </w:rPr>
      </w:pPr>
      <w:r>
        <w:rPr>
          <w:rFonts w:hint="eastAsia" w:ascii="仿宋" w:hAnsi="仿宋" w:eastAsia="仿宋"/>
          <w:sz w:val="24"/>
        </w:rPr>
        <w:t>项目联系人：</w:t>
      </w:r>
      <w:r>
        <w:rPr>
          <w:rFonts w:hint="eastAsia" w:ascii="仿宋" w:hAnsi="仿宋" w:eastAsia="仿宋" w:cs="仿宋"/>
          <w:sz w:val="24"/>
          <w:highlight w:val="none"/>
          <w:lang w:eastAsia="zh-CN"/>
        </w:rPr>
        <w:t>吴月娣</w:t>
      </w:r>
    </w:p>
    <w:p>
      <w:pPr>
        <w:spacing w:line="360" w:lineRule="auto"/>
        <w:ind w:firstLine="480" w:firstLineChars="200"/>
        <w:rPr>
          <w:rFonts w:ascii="仿宋" w:hAnsi="仿宋" w:eastAsia="仿宋"/>
          <w:sz w:val="24"/>
        </w:rPr>
      </w:pPr>
      <w:r>
        <w:rPr>
          <w:rFonts w:hint="eastAsia" w:ascii="仿宋" w:hAnsi="仿宋" w:eastAsia="仿宋"/>
          <w:sz w:val="24"/>
        </w:rPr>
        <w:t>项目联系方式：</w:t>
      </w:r>
      <w:r>
        <w:rPr>
          <w:rFonts w:hint="eastAsia" w:ascii="仿宋" w:hAnsi="仿宋" w:eastAsia="仿宋" w:cs="仿宋"/>
          <w:sz w:val="24"/>
          <w:highlight w:val="none"/>
        </w:rPr>
        <w:t>0571-63811861</w:t>
      </w:r>
    </w:p>
    <w:p>
      <w:pPr>
        <w:spacing w:line="360" w:lineRule="auto"/>
        <w:rPr>
          <w:rFonts w:ascii="仿宋_GB2312" w:hAnsi="仿宋" w:eastAsia="仿宋_GB2312"/>
          <w:sz w:val="24"/>
        </w:rPr>
      </w:pPr>
      <w:r>
        <w:rPr>
          <w:rFonts w:hint="eastAsia"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    称：杭州市公共资源交易中心</w:t>
      </w:r>
      <w:r>
        <w:rPr>
          <w:rFonts w:hint="eastAsia" w:ascii="仿宋_GB2312" w:hAnsi="仿宋" w:eastAsia="仿宋_GB2312"/>
          <w:sz w:val="24"/>
          <w:lang w:eastAsia="zh-CN"/>
        </w:rPr>
        <w:t>临安分中心</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地    址：</w:t>
      </w:r>
      <w:r>
        <w:rPr>
          <w:rFonts w:hint="eastAsia" w:ascii="仿宋_GB2312" w:hAnsi="仿宋" w:eastAsia="仿宋_GB2312"/>
          <w:sz w:val="24"/>
          <w:lang w:eastAsia="zh-CN"/>
        </w:rPr>
        <w:t>浙江省杭州市临安区锦北街道科技大道</w:t>
      </w:r>
      <w:r>
        <w:rPr>
          <w:rFonts w:hint="eastAsia" w:ascii="仿宋_GB2312" w:hAnsi="仿宋" w:eastAsia="仿宋_GB2312"/>
          <w:sz w:val="24"/>
          <w:lang w:val="en-US" w:eastAsia="zh-CN"/>
        </w:rPr>
        <w:t>4398号市民中心B座B448政府采购办公室</w:t>
      </w:r>
    </w:p>
    <w:p>
      <w:pPr>
        <w:spacing w:line="360" w:lineRule="auto"/>
        <w:rPr>
          <w:rFonts w:ascii="仿宋_GB2312" w:hAnsi="仿宋" w:eastAsia="仿宋_GB2312"/>
          <w:sz w:val="24"/>
        </w:rPr>
      </w:pPr>
      <w:r>
        <w:rPr>
          <w:rFonts w:hint="eastAsia" w:ascii="仿宋_GB2312" w:hAnsi="仿宋" w:eastAsia="仿宋_GB2312"/>
          <w:sz w:val="24"/>
        </w:rPr>
        <w:t xml:space="preserve">    传    真：</w:t>
      </w:r>
      <w:r>
        <w:rPr>
          <w:rFonts w:hint="eastAsia" w:ascii="仿宋_GB2312" w:hAnsi="仿宋" w:eastAsia="仿宋_GB2312"/>
          <w:sz w:val="24"/>
          <w:lang w:val="en-US" w:eastAsia="zh-CN"/>
        </w:rPr>
        <w:t>0571-23616016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项目联系人：</w:t>
      </w:r>
      <w:r>
        <w:rPr>
          <w:rFonts w:hint="eastAsia" w:ascii="仿宋_GB2312" w:hAnsi="仿宋" w:eastAsia="仿宋_GB2312"/>
          <w:sz w:val="24"/>
          <w:lang w:eastAsia="zh-CN"/>
        </w:rPr>
        <w:t>胡旭晨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项目联系方式：0571-</w:t>
      </w:r>
      <w:r>
        <w:rPr>
          <w:rFonts w:hint="eastAsia" w:ascii="仿宋_GB2312" w:hAnsi="仿宋" w:eastAsia="仿宋_GB2312"/>
          <w:sz w:val="24"/>
          <w:lang w:val="en-US" w:eastAsia="zh-CN"/>
        </w:rPr>
        <w:t>23616011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质疑联系人：</w:t>
      </w:r>
      <w:r>
        <w:rPr>
          <w:rFonts w:hint="eastAsia" w:ascii="仿宋_GB2312" w:hAnsi="仿宋" w:eastAsia="仿宋_GB2312"/>
          <w:sz w:val="24"/>
          <w:lang w:eastAsia="zh-CN"/>
        </w:rPr>
        <w:t>张晨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质疑联系方式：0571-</w:t>
      </w:r>
      <w:r>
        <w:rPr>
          <w:rFonts w:hint="eastAsia" w:ascii="仿宋_GB2312" w:hAnsi="仿宋" w:eastAsia="仿宋_GB2312"/>
          <w:sz w:val="24"/>
          <w:lang w:val="en-US" w:eastAsia="zh-CN"/>
        </w:rPr>
        <w:t>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w:t>
      </w:r>
      <w:r>
        <w:rPr>
          <w:rFonts w:hint="eastAsia" w:ascii="仿宋_GB2312" w:hAnsi="仿宋" w:eastAsia="仿宋_GB2312" w:cs="Times New Roman"/>
          <w:sz w:val="24"/>
        </w:rPr>
        <w:t xml:space="preserve">浙江杭州青山湖科技城管委会财政局 </w:t>
      </w:r>
    </w:p>
    <w:p>
      <w:pPr>
        <w:spacing w:line="360" w:lineRule="auto"/>
        <w:rPr>
          <w:rFonts w:ascii="仿宋_GB2312" w:hAnsi="仿宋" w:eastAsia="仿宋_GB2312"/>
          <w:sz w:val="24"/>
        </w:rPr>
      </w:pPr>
      <w:r>
        <w:rPr>
          <w:rFonts w:hint="eastAsia" w:ascii="仿宋_GB2312" w:hAnsi="仿宋" w:eastAsia="仿宋_GB2312"/>
          <w:sz w:val="24"/>
        </w:rPr>
        <w:t xml:space="preserve">    地    址：</w:t>
      </w:r>
      <w:r>
        <w:rPr>
          <w:rFonts w:hint="eastAsia" w:ascii="仿宋_GB2312" w:hAnsi="仿宋" w:eastAsia="仿宋_GB2312" w:cs="Times New Roman"/>
          <w:sz w:val="24"/>
        </w:rPr>
        <w:t>浙江杭州青山湖科技城管委会</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真：0571-58615225 </w:t>
      </w:r>
    </w:p>
    <w:p>
      <w:pPr>
        <w:spacing w:line="360" w:lineRule="auto"/>
        <w:rPr>
          <w:rFonts w:ascii="仿宋_GB2312" w:hAnsi="仿宋" w:eastAsia="仿宋_GB2312"/>
          <w:sz w:val="24"/>
        </w:rPr>
      </w:pPr>
      <w:r>
        <w:rPr>
          <w:rFonts w:hint="eastAsia" w:ascii="仿宋_GB2312" w:hAnsi="仿宋" w:eastAsia="仿宋_GB2312"/>
          <w:sz w:val="24"/>
        </w:rPr>
        <w:t xml:space="preserve">    联</w:t>
      </w:r>
      <w:r>
        <w:rPr>
          <w:rFonts w:hint="eastAsia" w:ascii="仿宋_GB2312" w:hAnsi="仿宋" w:eastAsia="仿宋_GB2312"/>
          <w:sz w:val="24"/>
          <w:lang w:val="en-US" w:eastAsia="zh-CN"/>
        </w:rPr>
        <w:t xml:space="preserve"> </w:t>
      </w:r>
      <w:r>
        <w:rPr>
          <w:rFonts w:hint="eastAsia" w:ascii="仿宋_GB2312" w:hAnsi="仿宋" w:eastAsia="仿宋_GB2312"/>
          <w:sz w:val="24"/>
        </w:rPr>
        <w:t>系</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人 ：周向荣 </w:t>
      </w:r>
    </w:p>
    <w:p>
      <w:pPr>
        <w:spacing w:line="360" w:lineRule="auto"/>
        <w:rPr>
          <w:rFonts w:ascii="仿宋_GB2312" w:hAnsi="仿宋" w:eastAsia="仿宋_GB2312"/>
          <w:sz w:val="24"/>
        </w:rPr>
      </w:pPr>
      <w:r>
        <w:rPr>
          <w:rFonts w:hint="eastAsia" w:ascii="仿宋_GB2312" w:hAnsi="仿宋" w:eastAsia="仿宋_GB2312"/>
          <w:sz w:val="24"/>
        </w:rPr>
        <w:t xml:space="preserve">    监督投诉电话：0571-58615225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7"/>
        <w:spacing w:line="360" w:lineRule="auto"/>
        <w:ind w:firstLine="472" w:firstLineChars="196"/>
        <w:rPr>
          <w:rFonts w:ascii="仿宋_GB2312" w:hAnsi="仿宋" w:eastAsia="仿宋_GB2312" w:cs="仿宋_GB2312"/>
          <w:b/>
          <w:sz w:val="24"/>
          <w:szCs w:val="24"/>
        </w:rPr>
      </w:pPr>
    </w:p>
    <w:p>
      <w:pPr>
        <w:spacing w:line="360" w:lineRule="auto"/>
        <w:ind w:firstLine="200"/>
        <w:jc w:val="center"/>
        <w:rPr>
          <w:rFonts w:ascii="仿宋_GB2312" w:hAnsi="仿宋" w:eastAsia="仿宋_GB2312" w:cs="仿宋_GB2312"/>
          <w:sz w:val="24"/>
        </w:rPr>
      </w:pPr>
      <w:r>
        <w:rPr>
          <w:rFonts w:hint="eastAsia" w:ascii="仿宋_GB2312" w:hAnsi="仿宋" w:eastAsia="仿宋_GB2312" w:cs="仿宋_GB2312"/>
          <w:sz w:val="24"/>
        </w:rPr>
        <w:t xml:space="preserve">                    </w:t>
      </w:r>
    </w:p>
    <w:p>
      <w:pPr>
        <w:spacing w:line="360" w:lineRule="auto"/>
        <w:ind w:firstLine="200"/>
        <w:jc w:val="center"/>
        <w:rPr>
          <w:rFonts w:hint="eastAsia" w:ascii="仿宋_GB2312" w:hAnsi="仿宋" w:eastAsia="仿宋_GB2312" w:cs="仿宋_GB2312"/>
          <w:sz w:val="24"/>
          <w:lang w:eastAsia="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临安分中心</w:t>
      </w:r>
    </w:p>
    <w:p>
      <w:pPr>
        <w:pStyle w:val="7"/>
        <w:spacing w:line="360" w:lineRule="auto"/>
        <w:ind w:firstLine="4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4"/>
          <w:szCs w:val="24"/>
          <w:highlight w:val="none"/>
        </w:rPr>
        <w:t xml:space="preserve">  二○二</w:t>
      </w:r>
      <w:r>
        <w:rPr>
          <w:rFonts w:hint="eastAsia" w:ascii="仿宋_GB2312" w:hAnsi="仿宋" w:eastAsia="仿宋_GB2312" w:cs="仿宋_GB2312"/>
          <w:sz w:val="24"/>
          <w:szCs w:val="24"/>
          <w:highlight w:val="none"/>
          <w:lang w:eastAsia="zh-CN"/>
        </w:rPr>
        <w:t>一</w:t>
      </w:r>
      <w:r>
        <w:rPr>
          <w:rFonts w:hint="eastAsia" w:ascii="仿宋_GB2312" w:hAnsi="仿宋" w:eastAsia="仿宋_GB2312" w:cs="仿宋_GB2312"/>
          <w:sz w:val="24"/>
          <w:szCs w:val="24"/>
          <w:highlight w:val="none"/>
        </w:rPr>
        <w:t>年</w:t>
      </w:r>
      <w:r>
        <w:rPr>
          <w:rFonts w:hint="eastAsia" w:ascii="仿宋_GB2312" w:hAnsi="仿宋" w:eastAsia="仿宋_GB2312" w:cs="仿宋_GB2312"/>
          <w:sz w:val="24"/>
          <w:szCs w:val="24"/>
          <w:highlight w:val="none"/>
          <w:lang w:val="en-US" w:eastAsia="zh-CN"/>
        </w:rPr>
        <w:t>一</w:t>
      </w:r>
      <w:r>
        <w:rPr>
          <w:rFonts w:hint="eastAsia" w:ascii="仿宋_GB2312" w:hAnsi="仿宋" w:eastAsia="仿宋_GB2312" w:cs="仿宋_GB2312"/>
          <w:sz w:val="24"/>
          <w:szCs w:val="24"/>
          <w:highlight w:val="none"/>
        </w:rPr>
        <w:t>月</w:t>
      </w:r>
      <w:r>
        <w:rPr>
          <w:rFonts w:hint="eastAsia" w:ascii="仿宋_GB2312" w:hAnsi="仿宋" w:eastAsia="仿宋_GB2312" w:cs="仿宋_GB2312"/>
          <w:sz w:val="24"/>
          <w:szCs w:val="24"/>
          <w:highlight w:val="none"/>
          <w:lang w:eastAsia="zh-CN"/>
        </w:rPr>
        <w:t>一十五</w:t>
      </w:r>
      <w:r>
        <w:rPr>
          <w:rFonts w:hint="eastAsia" w:ascii="仿宋_GB2312" w:hAnsi="仿宋" w:eastAsia="仿宋_GB2312" w:cs="仿宋_GB2312"/>
          <w:sz w:val="24"/>
          <w:szCs w:val="24"/>
          <w:highlight w:val="none"/>
        </w:rPr>
        <w:t>日</w:t>
      </w:r>
    </w:p>
    <w:p/>
    <w:p>
      <w:pPr>
        <w:pStyle w:val="15"/>
      </w:pPr>
    </w:p>
    <w:p>
      <w:pPr>
        <w:adjustRightInd/>
        <w:spacing w:line="360" w:lineRule="auto"/>
        <w:jc w:val="both"/>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both"/>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 投标人须知</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1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409"/>
        <w:gridCol w:w="70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4"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《投标（开标）一览表》是报价的唯一载体</w:t>
            </w:r>
            <w:r>
              <w:rPr>
                <w:rFonts w:hint="eastAsia" w:ascii="仿宋" w:hAnsi="仿宋" w:eastAsia="仿宋" w:cs="仿宋_GB2312"/>
                <w:color w:val="000000" w:themeColor="text1"/>
                <w:kern w:val="0"/>
                <w:sz w:val="24"/>
                <w:lang w:val="zh-CN"/>
                <w14:textFill>
                  <w14:solidFill>
                    <w14:schemeClr w14:val="tx1"/>
                  </w14:solidFill>
                </w14:textFill>
              </w:rPr>
              <w:t>。投标文件中价格全部采用人民币报价。招标文件未列明，而投标人认为必需的费用也需列入报</w:t>
            </w:r>
            <w:r>
              <w:rPr>
                <w:rFonts w:hint="eastAsia" w:ascii="仿宋" w:hAnsi="仿宋" w:eastAsia="仿宋" w:cs="仿宋_GB2312"/>
                <w:b w:val="0"/>
                <w:bCs w:val="0"/>
                <w:color w:val="000000" w:themeColor="text1"/>
                <w:kern w:val="0"/>
                <w:sz w:val="24"/>
                <w:lang w:val="zh-CN"/>
                <w14:textFill>
                  <w14:solidFill>
                    <w14:schemeClr w14:val="tx1"/>
                  </w14:solidFill>
                </w14:textFill>
              </w:rPr>
              <w:t>价。</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投标报价高于本项目采购预算或者最高限价的;</w:t>
            </w:r>
          </w:p>
          <w:p>
            <w:pPr>
              <w:spacing w:line="360" w:lineRule="auto"/>
              <w:rPr>
                <w:rFonts w:hint="eastAsia" w:ascii="仿宋" w:hAnsi="仿宋" w:eastAsia="仿宋" w:cs="仿宋_GB2312"/>
                <w:b/>
                <w:color w:val="000000" w:themeColor="text1"/>
                <w:sz w:val="24"/>
                <w:lang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szCs w:val="21"/>
                <w:lang w:eastAsia="zh-CN"/>
                <w14:textFill>
                  <w14:solidFill>
                    <w14:schemeClr w14:val="tx1"/>
                  </w14:solidFill>
                </w14:textFill>
              </w:rPr>
              <w:t>，将按相关法律法规进行处理；</w:t>
            </w:r>
          </w:p>
          <w:p>
            <w:pPr>
              <w:spacing w:line="360" w:lineRule="auto"/>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▲《投标（开标）一览表》填写不完整或字迹不能辨认或有漏项的；</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2</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（1）资格证明文件：见招标文件第二部分</w:t>
            </w:r>
            <w:r>
              <w:rPr>
                <w:rFonts w:hint="eastAsia" w:ascii="仿宋" w:hAnsi="仿宋" w:eastAsia="仿宋" w:cs="仿宋_GB2312"/>
                <w:color w:val="000000" w:themeColor="text1"/>
                <w:sz w:val="24"/>
                <w:highlight w:val="none"/>
                <w14:textFill>
                  <w14:solidFill>
                    <w14:schemeClr w14:val="tx1"/>
                  </w14:solidFill>
                </w14:textFill>
              </w:rPr>
              <w:t>11.1。</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3</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olor w:val="000000" w:themeColor="text1"/>
                <w:sz w:val="24"/>
                <w:szCs w:val="20"/>
                <w:lang w:eastAsia="zh-CN"/>
                <w14:textFill>
                  <w14:solidFill>
                    <w14:schemeClr w14:val="tx1"/>
                  </w14:solidFill>
                </w14:textFill>
              </w:rPr>
            </w:pPr>
            <w:r>
              <w:rPr>
                <w:rFonts w:hint="eastAsia" w:ascii="仿宋_GB2312" w:hAnsi="仿宋" w:eastAsia="仿宋_GB2312"/>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4</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样品提供</w:t>
            </w:r>
          </w:p>
        </w:tc>
        <w:tc>
          <w:tcPr>
            <w:tcW w:w="3861" w:type="pct"/>
            <w:tcBorders>
              <w:top w:val="single" w:color="000000" w:sz="8" w:space="0"/>
              <w:left w:val="single" w:color="000000" w:sz="2" w:space="0"/>
              <w:bottom w:val="single" w:color="000000" w:sz="8" w:space="0"/>
              <w:right w:val="single" w:color="000000" w:sz="8" w:space="0"/>
            </w:tcBorders>
            <w:vAlign w:val="center"/>
          </w:tcPr>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2462"/>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样品编号</w:t>
                  </w:r>
                </w:p>
              </w:tc>
              <w:tc>
                <w:tcPr>
                  <w:tcW w:w="2462"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需求清单中对应编号</w:t>
                  </w:r>
                </w:p>
              </w:tc>
              <w:tc>
                <w:tcPr>
                  <w:tcW w:w="2245"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w:t>
                  </w:r>
                </w:p>
              </w:tc>
              <w:tc>
                <w:tcPr>
                  <w:tcW w:w="2462"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14</w:t>
                  </w:r>
                </w:p>
              </w:tc>
              <w:tc>
                <w:tcPr>
                  <w:tcW w:w="2245"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会议椅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w:t>
                  </w:r>
                </w:p>
              </w:tc>
              <w:tc>
                <w:tcPr>
                  <w:tcW w:w="2462"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20</w:t>
                  </w:r>
                </w:p>
              </w:tc>
              <w:tc>
                <w:tcPr>
                  <w:tcW w:w="2245"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休闲沙发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3</w:t>
                  </w:r>
                </w:p>
              </w:tc>
              <w:tc>
                <w:tcPr>
                  <w:tcW w:w="2462"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51</w:t>
                  </w:r>
                </w:p>
              </w:tc>
              <w:tc>
                <w:tcPr>
                  <w:tcW w:w="2245"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条桌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材料和五金件小样</w:t>
                  </w:r>
                </w:p>
              </w:tc>
              <w:tc>
                <w:tcPr>
                  <w:tcW w:w="2462"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p>
              </w:tc>
              <w:tc>
                <w:tcPr>
                  <w:tcW w:w="2245" w:type="dxa"/>
                  <w:noWrap w:val="0"/>
                  <w:vAlign w:val="top"/>
                </w:tcPr>
                <w:p>
                  <w:pPr>
                    <w:snapToGrid w:val="0"/>
                    <w:spacing w:line="360" w:lineRule="auto"/>
                    <w:jc w:val="center"/>
                    <w:rPr>
                      <w:rFonts w:hint="eastAsia"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材料和五金件小样</w:t>
                  </w:r>
                </w:p>
              </w:tc>
            </w:tr>
          </w:tbl>
          <w:p>
            <w:pPr>
              <w:widowControl/>
              <w:spacing w:before="100" w:beforeAutospacing="1" w:after="240" w:line="360" w:lineRule="auto"/>
              <w:jc w:val="left"/>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详见采购需求部分。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5</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7"/>
              <w:jc w:val="left"/>
              <w:rPr>
                <w:rFonts w:hint="eastAsia" w:ascii="仿宋" w:hAnsi="仿宋" w:eastAsia="仿宋" w:cs="仿宋_GB2312"/>
                <w:b/>
                <w:snapToGrid/>
                <w:color w:val="000000" w:themeColor="text1"/>
                <w:kern w:val="0"/>
                <w:sz w:val="24"/>
                <w:szCs w:val="20"/>
                <w:lang w:val="zh-CN"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6</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项目属性</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_GB2312" w:cs="仿宋_GB2312"/>
                <w:b/>
                <w:snapToGrid/>
                <w:color w:val="000000" w:themeColor="text1"/>
                <w:kern w:val="0"/>
                <w:sz w:val="24"/>
                <w:szCs w:val="20"/>
                <w:lang w:val="zh-CN" w:eastAsia="zh-CN"/>
                <w14:textFill>
                  <w14:solidFill>
                    <w14:schemeClr w14:val="tx1"/>
                  </w14:solidFill>
                </w14:textFill>
              </w:rPr>
            </w:pPr>
            <w:r>
              <w:rPr>
                <w:rFonts w:hint="eastAsia" w:ascii="仿宋_GB2312" w:hAnsi="仿宋" w:eastAsia="仿宋_GB2312"/>
                <w:sz w:val="24"/>
                <w:highlight w:val="none"/>
                <w:lang w:eastAsia="zh-CN"/>
              </w:rPr>
              <w:t>货物</w:t>
            </w:r>
            <w:r>
              <w:rPr>
                <w:rFonts w:hint="eastAsia" w:ascii="仿宋_GB2312" w:hAnsi="仿宋" w:eastAsia="仿宋_GB2312"/>
                <w:sz w:val="24"/>
                <w:highlight w:val="none"/>
              </w:rPr>
              <w:t>类</w:t>
            </w:r>
            <w:r>
              <w:rPr>
                <w:rFonts w:hint="eastAsia" w:ascii="仿宋_GB2312" w:hAnsi="仿宋"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7</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中小企业划分标准所属行业</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采购标的：</w:t>
            </w:r>
            <w:r>
              <w:rPr>
                <w:rFonts w:hint="eastAsia" w:ascii="仿宋_GB2312" w:hAnsi="仿宋" w:eastAsia="仿宋_GB2312"/>
                <w:sz w:val="24"/>
                <w:u w:val="single"/>
              </w:rPr>
              <w:t>产品清单</w:t>
            </w:r>
            <w:r>
              <w:rPr>
                <w:rFonts w:hint="eastAsia" w:ascii="仿宋_GB2312" w:hAnsi="仿宋" w:eastAsia="仿宋_GB2312"/>
                <w:sz w:val="24"/>
                <w:u w:val="single"/>
                <w:lang w:val="en-US" w:eastAsia="zh-CN"/>
              </w:rPr>
              <w:t>1-78项</w:t>
            </w:r>
            <w:r>
              <w:rPr>
                <w:rFonts w:hint="eastAsia" w:ascii="仿宋_GB2312" w:hAnsi="仿宋" w:eastAsia="仿宋_GB2312"/>
                <w:sz w:val="24"/>
              </w:rPr>
              <w:t>；所属行业</w:t>
            </w:r>
            <w:r>
              <w:rPr>
                <w:rFonts w:hint="eastAsia" w:ascii="仿宋_GB2312" w:hAnsi="仿宋" w:eastAsia="仿宋_GB2312"/>
                <w:sz w:val="24"/>
                <w:highlight w:val="none"/>
              </w:rPr>
              <w:t>：</w:t>
            </w:r>
            <w:r>
              <w:rPr>
                <w:rFonts w:hint="eastAsia" w:ascii="仿宋_GB2312" w:hAnsi="仿宋" w:eastAsia="仿宋_GB2312"/>
                <w:sz w:val="24"/>
                <w:highlight w:val="none"/>
                <w:u w:val="single"/>
                <w:lang w:eastAsia="zh-CN"/>
              </w:rPr>
              <w:t>工业</w:t>
            </w:r>
            <w:r>
              <w:rPr>
                <w:rFonts w:hint="eastAsia" w:ascii="仿宋_GB2312" w:hAnsi="仿宋" w:eastAsia="仿宋_GB2312"/>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8</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适用范围</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spacing w:line="360" w:lineRule="auto"/>
        <w:jc w:val="left"/>
        <w:rPr>
          <w:rFonts w:hint="eastAsia"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hint="eastAsia"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“采购机构”系指招标公告中载明的本项目的采购机构。</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hint="eastAsia"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sz w:val="24"/>
        </w:rPr>
      </w:pPr>
      <w:r>
        <w:rPr>
          <w:rFonts w:hint="eastAsia" w:ascii="仿宋" w:hAnsi="仿宋" w:eastAsia="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sz w:val="24"/>
        </w:rPr>
      </w:pPr>
      <w:r>
        <w:rPr>
          <w:rFonts w:hint="eastAsia" w:ascii="仿宋" w:hAnsi="仿宋" w:eastAsia="仿宋"/>
          <w:sz w:val="24"/>
        </w:rPr>
        <w:t>2.7</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rPr>
          <w:rFonts w:hint="eastAsia" w:ascii="仿宋" w:hAnsi="仿宋" w:eastAsia="仿宋"/>
          <w:b/>
          <w:sz w:val="24"/>
        </w:rPr>
      </w:pPr>
      <w:r>
        <w:rPr>
          <w:rFonts w:hint="eastAsia" w:ascii="仿宋" w:hAnsi="仿宋" w:eastAsia="仿宋"/>
          <w:b/>
          <w:sz w:val="24"/>
        </w:rPr>
        <w:t>3.采购项目需要落实的政府采购政策</w:t>
      </w:r>
    </w:p>
    <w:p>
      <w:pPr>
        <w:spacing w:line="360" w:lineRule="auto"/>
        <w:ind w:firstLine="480" w:firstLineChars="200"/>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sz w:val="24"/>
        </w:rPr>
      </w:pPr>
      <w:r>
        <w:rPr>
          <w:rFonts w:hint="eastAsia" w:ascii="仿宋" w:hAnsi="仿宋" w:eastAsia="仿宋"/>
          <w:sz w:val="24"/>
        </w:rPr>
        <w:t>3.2 节能环保要求</w:t>
      </w:r>
    </w:p>
    <w:p>
      <w:pPr>
        <w:spacing w:line="360" w:lineRule="auto"/>
        <w:ind w:firstLine="480" w:firstLineChars="200"/>
        <w:rPr>
          <w:rFonts w:hint="eastAsia" w:ascii="仿宋" w:hAnsi="仿宋" w:eastAsia="仿宋"/>
          <w:sz w:val="24"/>
        </w:rPr>
      </w:pPr>
      <w:r>
        <w:rPr>
          <w:rFonts w:hint="eastAsia" w:ascii="仿宋" w:hAnsi="仿宋" w:eastAsia="仿宋"/>
          <w:sz w:val="24"/>
        </w:rPr>
        <w:t>3.2.1</w:t>
      </w:r>
      <w:r>
        <w:rPr>
          <w:rFonts w:ascii="仿宋" w:hAnsi="仿宋" w:eastAsia="仿宋"/>
          <w:sz w:val="24"/>
        </w:rPr>
        <w:t>采购人拟采购的产品属于品目清单范围的，采购人及其委托的采购代理机构</w:t>
      </w:r>
      <w:r>
        <w:rPr>
          <w:rFonts w:hint="eastAsia" w:ascii="仿宋" w:hAnsi="仿宋" w:eastAsia="仿宋"/>
          <w:sz w:val="24"/>
        </w:rPr>
        <w:t>将</w:t>
      </w:r>
      <w:r>
        <w:rPr>
          <w:rFonts w:ascii="仿宋" w:hAnsi="仿宋" w:eastAsia="仿宋"/>
          <w:sz w:val="24"/>
        </w:rPr>
        <w:t>依据国家确定的认证机构出具的、处于有效期之内的节能产品、环境标志产品认证证书，对获得证书的产品实施政府优先采购或强制采购。</w:t>
      </w:r>
      <w:r>
        <w:rPr>
          <w:rFonts w:hint="eastAsia" w:ascii="仿宋" w:hAnsi="仿宋" w:eastAsia="仿宋"/>
          <w:sz w:val="24"/>
        </w:rPr>
        <w:t>投标人须按招标文件要求提供相关产品认证证书。</w:t>
      </w:r>
    </w:p>
    <w:p>
      <w:pPr>
        <w:spacing w:line="360" w:lineRule="auto"/>
        <w:ind w:firstLine="480" w:firstLineChars="200"/>
        <w:rPr>
          <w:rFonts w:hint="eastAsia" w:ascii="仿宋" w:hAnsi="仿宋" w:eastAsia="仿宋"/>
          <w:b/>
          <w:sz w:val="24"/>
        </w:rPr>
      </w:pPr>
      <w:r>
        <w:rPr>
          <w:rFonts w:hint="eastAsia" w:ascii="仿宋" w:hAnsi="仿宋" w:eastAsia="仿宋"/>
          <w:sz w:val="24"/>
        </w:rPr>
        <w:t>3.2.2</w:t>
      </w:r>
      <w:r>
        <w:rPr>
          <w:rFonts w:ascii="仿宋" w:hAnsi="仿宋" w:eastAsia="仿宋"/>
          <w:b/>
          <w:sz w:val="24"/>
        </w:rPr>
        <w:t>采购人拟采购的产品属于</w:t>
      </w:r>
      <w:r>
        <w:rPr>
          <w:rFonts w:hint="eastAsia" w:ascii="仿宋" w:hAnsi="仿宋" w:eastAsia="仿宋"/>
          <w:b/>
          <w:sz w:val="24"/>
        </w:rPr>
        <w:t>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3.3.2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项目，对小型和微型企业的投标报价给予8%的扣除，用扣除后的价格参与评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3.3.3</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3.3.7中小企业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hint="eastAsia" w:ascii="仿宋" w:hAnsi="仿宋" w:eastAsia="仿宋"/>
          <w:b/>
          <w:sz w:val="24"/>
        </w:rPr>
      </w:pPr>
      <w:r>
        <w:rPr>
          <w:rFonts w:hint="eastAsia" w:ascii="仿宋" w:hAnsi="仿宋" w:eastAsia="仿宋"/>
          <w:sz w:val="24"/>
        </w:rPr>
        <w:t>3.4企业信用融资：凡已在浙江政府采购网网上注册入库，并取得临安区政府采购合同的中小企业供应商，均可申请政府采购信用融资</w:t>
      </w:r>
      <w:r>
        <w:rPr>
          <w:rFonts w:hint="eastAsia" w:ascii="仿宋" w:hAnsi="仿宋" w:eastAsia="仿宋"/>
          <w:sz w:val="24"/>
          <w:lang w:eastAsia="zh-CN"/>
        </w:rPr>
        <w:t>，</w:t>
      </w:r>
      <w:r>
        <w:rPr>
          <w:rFonts w:hint="eastAsia" w:ascii="仿宋" w:hAnsi="仿宋" w:eastAsia="仿宋"/>
          <w:sz w:val="24"/>
        </w:rPr>
        <w:t>联系方式见附表（政府采购融资畅通工程金融机构联系信息表）</w:t>
      </w:r>
      <w:r>
        <w:rPr>
          <w:rFonts w:hint="eastAsia" w:ascii="仿宋" w:hAnsi="仿宋" w:eastAsia="仿宋"/>
          <w:sz w:val="24"/>
          <w:lang w:eastAsia="zh-CN"/>
        </w:rPr>
        <w:t>。</w:t>
      </w:r>
      <w:r>
        <w:rPr>
          <w:rFonts w:hint="eastAsia" w:ascii="仿宋" w:hAnsi="仿宋" w:eastAsia="仿宋"/>
          <w:sz w:val="24"/>
        </w:rPr>
        <w:cr/>
      </w:r>
      <w:r>
        <w:rPr>
          <w:rFonts w:hint="eastAsia" w:ascii="仿宋" w:hAnsi="仿宋" w:eastAsia="仿宋"/>
          <w:b/>
          <w:sz w:val="24"/>
        </w:rPr>
        <w:t>4.询问、质疑、投诉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7"/>
        <w:spacing w:line="360" w:lineRule="auto"/>
        <w:ind w:firstLine="480" w:firstLineChars="200"/>
        <w:rPr>
          <w:rFonts w:ascii="仿宋" w:hAnsi="仿宋" w:eastAsia="仿宋"/>
          <w:sz w:val="24"/>
        </w:rPr>
      </w:pPr>
      <w:r>
        <w:rPr>
          <w:rFonts w:hint="eastAsia" w:ascii="仿宋" w:hAnsi="仿宋" w:eastAsia="仿宋"/>
          <w:sz w:val="24"/>
        </w:rPr>
        <w:t>根据采购人与采购机构签订的《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7"/>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7"/>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5"/>
        <w:keepNext w:val="0"/>
        <w:keepLines w:val="0"/>
        <w:pageBreakBefore w:val="0"/>
        <w:kinsoku/>
        <w:wordWrap/>
        <w:overflowPunct/>
        <w:topLinePunct w:val="0"/>
        <w:autoSpaceDE/>
        <w:autoSpaceDN/>
        <w:bidi w:val="0"/>
        <w:adjustRightInd w:val="0"/>
        <w:spacing w:line="360" w:lineRule="auto"/>
        <w:ind w:firstLine="434" w:firstLineChars="181"/>
        <w:textAlignment w:val="auto"/>
        <w:rPr>
          <w:rFonts w:hint="eastAsia"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集中采购年度委托协议》的规定：对采购文件中特定资格条件、采购需求、评分办法提出的质疑，原则上由采购人负责答复；对采购文件中其他内容提出的质疑，原则上由采购机构负责答复。</w:t>
      </w:r>
    </w:p>
    <w:p>
      <w:pPr>
        <w:pStyle w:val="7"/>
        <w:spacing w:line="360" w:lineRule="auto"/>
        <w:ind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机构签订的《集中采购年度委托协议》的规定：对采购过程中有关现场考察或开标前答疑会事项提出的质疑，原则上由采购人负责答复；对采购过程中其它事项提出的质疑，原则上由采购机构负责答复。</w:t>
      </w:r>
    </w:p>
    <w:p>
      <w:pPr>
        <w:pStyle w:val="7"/>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（3）对采购结果提出质疑的，质疑期限自采购结果公告期限届满之日起计算。对采购结果提出质疑的，采购机构负责答复。</w:t>
      </w:r>
    </w:p>
    <w:p>
      <w:pPr>
        <w:pStyle w:val="7"/>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17"/>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17"/>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17"/>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17"/>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17"/>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17"/>
        <w:shd w:val="clear" w:color="auto"/>
        <w:snapToGrid w:val="0"/>
        <w:spacing w:after="240" w:afterAutospacing="0" w:line="360" w:lineRule="auto"/>
        <w:ind w:firstLine="480"/>
        <w:contextualSpacing/>
        <w:rPr>
          <w:rFonts w:hint="eastAsia"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17"/>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17"/>
        <w:shd w:val="clear" w:color="auto"/>
        <w:snapToGrid w:val="0"/>
        <w:spacing w:after="240" w:afterAutospacing="0" w:line="360" w:lineRule="auto"/>
        <w:ind w:firstLine="480"/>
        <w:contextualSpacing/>
        <w:rPr>
          <w:rFonts w:hint="eastAsia" w:ascii="仿宋" w:hAnsi="仿宋" w:eastAsia="仿宋"/>
          <w:highlight w:val="yellow"/>
        </w:rPr>
      </w:pPr>
      <w:r>
        <w:rPr>
          <w:rFonts w:hint="eastAsia" w:ascii="仿宋" w:hAnsi="仿宋" w:eastAsia="仿宋"/>
          <w:highlight w:val="none"/>
        </w:rPr>
        <w:t>质疑函范本及制作说明详见附件2。</w:t>
      </w:r>
    </w:p>
    <w:p>
      <w:pPr>
        <w:pStyle w:val="17"/>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17"/>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17"/>
        <w:shd w:val="clear" w:color="auto"/>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4.3供应商投诉</w:t>
      </w:r>
    </w:p>
    <w:p>
      <w:pPr>
        <w:pStyle w:val="17"/>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.1质疑供应商对采购人、采购机构的答复不满意或者采购人、采购机构未在规定的时间内作出答复的，可以在答复期满后十五个工作日内向同级政府采购监督管理部门提出投诉。</w:t>
      </w:r>
    </w:p>
    <w:p>
      <w:pPr>
        <w:pStyle w:val="17"/>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17"/>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17"/>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17"/>
        <w:shd w:val="clear" w:color="auto"/>
        <w:snapToGrid w:val="0"/>
        <w:spacing w:after="240" w:afterAutospacing="0" w:line="360" w:lineRule="auto"/>
        <w:ind w:firstLine="480"/>
        <w:contextualSpacing/>
      </w:pPr>
      <w:r>
        <w:rPr>
          <w:rFonts w:hint="eastAsia" w:ascii="仿宋" w:hAnsi="仿宋" w:eastAsia="仿宋"/>
          <w:highlight w:val="none"/>
        </w:rPr>
        <w:t>投诉书范本及制作说明详见附件3。</w:t>
      </w:r>
    </w:p>
    <w:p>
      <w:pPr>
        <w:adjustRightInd/>
        <w:spacing w:line="360" w:lineRule="auto"/>
        <w:jc w:val="center"/>
        <w:outlineLvl w:val="0"/>
        <w:rPr>
          <w:rFonts w:hint="eastAsia" w:ascii="仿宋" w:hAnsi="仿宋" w:eastAsia="仿宋" w:cs="仿宋_GB2312"/>
          <w:b/>
          <w:sz w:val="32"/>
          <w:szCs w:val="20"/>
        </w:rPr>
      </w:pPr>
      <w:bookmarkStart w:id="0" w:name="_Toc91899879"/>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二、招标文件</w:t>
      </w:r>
      <w:bookmarkEnd w:id="0"/>
      <w:r>
        <w:rPr>
          <w:rFonts w:hint="eastAsia" w:ascii="仿宋" w:hAnsi="仿宋" w:eastAsia="仿宋" w:cs="仿宋_GB2312"/>
          <w:b/>
          <w:sz w:val="32"/>
          <w:szCs w:val="20"/>
        </w:rPr>
        <w:t>的构成、澄清、修改</w:t>
      </w:r>
    </w:p>
    <w:p>
      <w:pPr>
        <w:pStyle w:val="7"/>
        <w:spacing w:line="360" w:lineRule="auto"/>
        <w:rPr>
          <w:rFonts w:hint="eastAsia" w:ascii="仿宋" w:hAnsi="仿宋" w:eastAsia="仿宋" w:cs="仿宋_GB2312"/>
          <w:b/>
          <w:sz w:val="24"/>
          <w:szCs w:val="24"/>
        </w:rPr>
      </w:pPr>
      <w:bookmarkStart w:id="1" w:name="_Toc91899880"/>
      <w:bookmarkStart w:id="2" w:name="_Hlt74730307"/>
      <w:r>
        <w:rPr>
          <w:rFonts w:hint="eastAsia" w:ascii="仿宋" w:hAnsi="仿宋" w:eastAsia="仿宋" w:cs="仿宋_GB2312"/>
          <w:b/>
          <w:sz w:val="24"/>
          <w:szCs w:val="24"/>
        </w:rPr>
        <w:t>5</w:t>
      </w:r>
      <w:r>
        <w:rPr>
          <w:rFonts w:hint="eastAsia" w:ascii="仿宋" w:hAnsi="仿宋" w:eastAsia="仿宋" w:cs="仿宋_GB2312"/>
          <w:b/>
          <w:sz w:val="24"/>
          <w:szCs w:val="24"/>
          <w:lang w:val="en-US" w:eastAsia="zh-CN"/>
        </w:rPr>
        <w:t>.</w:t>
      </w:r>
      <w:r>
        <w:rPr>
          <w:rFonts w:hint="eastAsia" w:ascii="仿宋" w:hAnsi="仿宋" w:eastAsia="仿宋" w:cs="仿宋_GB2312"/>
          <w:b/>
          <w:sz w:val="24"/>
          <w:szCs w:val="24"/>
        </w:rPr>
        <w:t>招标文件的构成</w:t>
      </w:r>
      <w:bookmarkEnd w:id="1"/>
    </w:p>
    <w:bookmarkEnd w:id="2"/>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第一部分 招标公告</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第二部分 投标人须知</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第三部分 采购需求</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6.招标文件的澄清、修改</w:t>
      </w:r>
    </w:p>
    <w:p>
      <w:pPr>
        <w:pStyle w:val="16"/>
        <w:snapToGrid w:val="0"/>
        <w:spacing w:before="0"/>
        <w:ind w:firstLine="480"/>
        <w:rPr>
          <w:rFonts w:hint="eastAsia"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w:t>
      </w:r>
    </w:p>
    <w:p>
      <w:pPr>
        <w:pStyle w:val="16"/>
        <w:snapToGrid w:val="0"/>
        <w:spacing w:before="0"/>
        <w:ind w:firstLine="480"/>
        <w:rPr>
          <w:rFonts w:hint="eastAsia" w:ascii="仿宋" w:hAnsi="仿宋" w:eastAsia="仿宋"/>
        </w:rPr>
      </w:pPr>
      <w:r>
        <w:rPr>
          <w:rFonts w:hint="eastAsia" w:ascii="仿宋" w:hAnsi="仿宋" w:eastAsia="仿宋"/>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adjustRightInd/>
        <w:spacing w:line="360" w:lineRule="auto"/>
        <w:jc w:val="center"/>
        <w:outlineLvl w:val="0"/>
        <w:rPr>
          <w:rFonts w:hint="eastAsia" w:ascii="仿宋" w:hAnsi="仿宋" w:eastAsia="仿宋" w:cs="仿宋_GB2312"/>
          <w:b/>
          <w:sz w:val="30"/>
          <w:szCs w:val="20"/>
        </w:rPr>
      </w:pPr>
      <w:bookmarkStart w:id="3" w:name="_Toc91899884"/>
    </w:p>
    <w:p>
      <w:pPr>
        <w:adjustRightInd/>
        <w:spacing w:line="360" w:lineRule="auto"/>
        <w:jc w:val="center"/>
        <w:outlineLvl w:val="0"/>
        <w:rPr>
          <w:rFonts w:hint="eastAsia" w:ascii="仿宋" w:hAnsi="仿宋" w:eastAsia="仿宋" w:cs="仿宋_GB2312"/>
          <w:b/>
          <w:sz w:val="30"/>
          <w:szCs w:val="20"/>
        </w:rPr>
      </w:pPr>
      <w:r>
        <w:rPr>
          <w:rFonts w:hint="eastAsia" w:ascii="仿宋" w:hAnsi="仿宋" w:eastAsia="仿宋" w:cs="仿宋_GB2312"/>
          <w:b/>
          <w:sz w:val="30"/>
          <w:szCs w:val="20"/>
        </w:rPr>
        <w:t>三、投标</w:t>
      </w:r>
      <w:bookmarkEnd w:id="3"/>
    </w:p>
    <w:p>
      <w:pPr>
        <w:pStyle w:val="7"/>
        <w:spacing w:line="360" w:lineRule="auto"/>
        <w:rPr>
          <w:rFonts w:hint="eastAsia" w:ascii="仿宋" w:hAnsi="仿宋" w:eastAsia="仿宋" w:cs="仿宋_GB2312"/>
          <w:b/>
          <w:sz w:val="24"/>
          <w:szCs w:val="24"/>
        </w:rPr>
      </w:pPr>
      <w:bookmarkStart w:id="4" w:name="_Toc86216991"/>
      <w:bookmarkStart w:id="5" w:name="_Toc91899892"/>
      <w:r>
        <w:rPr>
          <w:rFonts w:hint="eastAsia" w:ascii="仿宋" w:hAnsi="仿宋" w:eastAsia="仿宋" w:cs="仿宋_GB2312"/>
          <w:b/>
          <w:sz w:val="24"/>
          <w:szCs w:val="24"/>
        </w:rPr>
        <w:t>7.招标文件的获取</w:t>
      </w:r>
    </w:p>
    <w:p>
      <w:pPr>
        <w:spacing w:line="360" w:lineRule="auto"/>
        <w:ind w:firstLine="480" w:firstLineChars="200"/>
      </w:pPr>
      <w:r>
        <w:rPr>
          <w:rFonts w:hint="eastAsia" w:ascii="仿宋" w:hAnsi="仿宋" w:eastAsia="仿宋" w:cs="仿宋_GB2312"/>
          <w:snapToGrid w:val="0"/>
          <w:kern w:val="28"/>
          <w:sz w:val="24"/>
        </w:rPr>
        <w:t>详见招标公告中获取招标文件的时间期限、地点、方式及招标文件售价。</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7"/>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7"/>
        <w:spacing w:line="360" w:lineRule="auto"/>
        <w:rPr>
          <w:rFonts w:hint="eastAsia" w:ascii="仿宋" w:hAnsi="仿宋" w:eastAsia="仿宋" w:cs="仿宋_GB2312"/>
          <w:b/>
          <w:szCs w:val="24"/>
        </w:rPr>
      </w:pPr>
      <w:r>
        <w:rPr>
          <w:rFonts w:hint="eastAsia" w:ascii="仿宋" w:hAnsi="仿宋" w:eastAsia="仿宋"/>
          <w:b/>
          <w:kern w:val="28"/>
          <w:sz w:val="24"/>
          <w:szCs w:val="24"/>
        </w:rPr>
        <w:t>9.投标保证金</w:t>
      </w:r>
    </w:p>
    <w:p>
      <w:pPr>
        <w:pStyle w:val="5"/>
        <w:spacing w:line="360" w:lineRule="auto"/>
        <w:ind w:firstLine="470" w:firstLineChars="196"/>
        <w:rPr>
          <w:rFonts w:hint="eastAsia" w:ascii="仿宋" w:hAnsi="仿宋" w:eastAsia="仿宋" w:cs="仿宋_GB2312"/>
          <w:color w:val="auto"/>
          <w:sz w:val="24"/>
        </w:rPr>
      </w:pPr>
      <w:r>
        <w:rPr>
          <w:rFonts w:hint="eastAsia" w:ascii="仿宋" w:hAnsi="仿宋" w:eastAsia="仿宋" w:cs="仿宋_GB2312"/>
          <w:color w:val="auto"/>
          <w:sz w:val="24"/>
        </w:rPr>
        <w:t>本项目不需要交纳投标保证金。</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10.投标文件的语言</w:t>
      </w:r>
    </w:p>
    <w:p>
      <w:pPr>
        <w:autoSpaceDE w:val="0"/>
        <w:autoSpaceDN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11.投标文件的组成</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应包括以下内容（均需使用电子签名）：</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7"/>
        <w:spacing w:line="360" w:lineRule="auto"/>
        <w:ind w:firstLine="480" w:firstLineChars="200"/>
        <w:rPr>
          <w:rFonts w:hint="eastAsia" w:ascii="仿宋" w:hAnsi="仿宋" w:eastAsia="仿宋"/>
          <w:sz w:val="24"/>
        </w:rPr>
      </w:pPr>
      <w:bookmarkStart w:id="6" w:name="_Hlt68073093"/>
      <w:bookmarkEnd w:id="6"/>
      <w:bookmarkStart w:id="7" w:name="_Hlt68403820"/>
      <w:bookmarkEnd w:id="7"/>
      <w:bookmarkStart w:id="8" w:name="_Hlt68072998"/>
      <w:bookmarkEnd w:id="8"/>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营业执照(或事业法人登记证或其他工商等登记证明材料)复印件（投标人为自然人的，提供</w:t>
      </w:r>
      <w:r>
        <w:rPr>
          <w:rFonts w:hint="eastAsia" w:ascii="仿宋_GB2312" w:hAnsi="Helvetica" w:eastAsia="仿宋_GB2312" w:cs="Helvetica"/>
          <w:kern w:val="0"/>
          <w:sz w:val="24"/>
        </w:rPr>
        <w:t>自然人的身份证明</w:t>
      </w:r>
      <w:r>
        <w:rPr>
          <w:rFonts w:hint="eastAsia" w:ascii="仿宋" w:hAnsi="仿宋" w:eastAsia="仿宋"/>
          <w:sz w:val="24"/>
        </w:rPr>
        <w:t>）、税务登记证(</w:t>
      </w:r>
      <w:r>
        <w:rPr>
          <w:rFonts w:hint="eastAsia" w:ascii="仿宋_GB2312" w:hAnsi="Helvetica" w:eastAsia="仿宋_GB2312" w:cs="Helvetica"/>
          <w:kern w:val="0"/>
          <w:sz w:val="24"/>
        </w:rPr>
        <w:t>或其它依法缴纳税收的相关材料</w:t>
      </w:r>
      <w:r>
        <w:rPr>
          <w:rFonts w:hint="eastAsia" w:ascii="仿宋" w:hAnsi="仿宋" w:eastAsia="仿宋"/>
          <w:sz w:val="24"/>
        </w:rPr>
        <w:t>)复印件、社保登记证（</w:t>
      </w:r>
      <w:r>
        <w:rPr>
          <w:rFonts w:hint="eastAsia" w:ascii="仿宋_GB2312" w:hAnsi="Helvetica" w:eastAsia="仿宋_GB2312" w:cs="Helvetica"/>
          <w:kern w:val="0"/>
          <w:sz w:val="24"/>
        </w:rPr>
        <w:t>或其它依法缴纳社会保障资金的相关材料</w:t>
      </w:r>
      <w:r>
        <w:rPr>
          <w:rFonts w:hint="eastAsia" w:ascii="仿宋" w:hAnsi="仿宋" w:eastAsia="仿宋"/>
          <w:sz w:val="24"/>
        </w:rPr>
        <w:t>）复印件；实施“多证合一、一照一码”登记制度改革的，只需提供改革后取得的营业执照复印件；</w:t>
      </w:r>
    </w:p>
    <w:p>
      <w:pPr>
        <w:pStyle w:val="7"/>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 w:eastAsia="仿宋_GB2312" w:cs="仿宋_GB2312"/>
          <w:sz w:val="24"/>
          <w:highlight w:val="none"/>
        </w:rPr>
      </w:pPr>
      <w:r>
        <w:rPr>
          <w:rFonts w:hint="eastAsia" w:ascii="仿宋" w:hAnsi="仿宋" w:eastAsia="仿宋" w:cs="仿宋_GB2312"/>
          <w:sz w:val="24"/>
        </w:rPr>
        <w:t>11.1.2</w:t>
      </w:r>
      <w:r>
        <w:rPr>
          <w:rFonts w:hint="eastAsia" w:ascii="仿宋_GB2312" w:hAnsi="仿宋" w:eastAsia="仿宋_GB2312"/>
          <w:sz w:val="24"/>
        </w:rPr>
        <w:t>法人授权书（如法定代表人直接参加投标并对相应文件签字的，只需提供其身份证复印件正反面；如以联合体形式参加政府采购活动的，按招标文件有关格式范例提供联合</w:t>
      </w:r>
      <w:r>
        <w:rPr>
          <w:rFonts w:hint="eastAsia" w:ascii="仿宋_GB2312" w:hAnsi="仿宋" w:eastAsia="仿宋_GB2312"/>
          <w:sz w:val="24"/>
          <w:highlight w:val="none"/>
        </w:rPr>
        <w:t>体投标授权书）；▲</w:t>
      </w:r>
      <w:r>
        <w:rPr>
          <w:rFonts w:hint="eastAsia" w:ascii="仿宋_GB2312" w:hAnsi="仿宋" w:eastAsia="仿宋_GB2312" w:cs="仿宋_GB2312"/>
          <w:b/>
          <w:sz w:val="24"/>
          <w:highlight w:val="none"/>
        </w:rPr>
        <w:t>投标文件中法人授权书所载内容与本项目内容有异的，投标无效</w:t>
      </w:r>
    </w:p>
    <w:p>
      <w:pPr>
        <w:snapToGrid w:val="0"/>
        <w:spacing w:line="360" w:lineRule="auto"/>
        <w:ind w:firstLine="480" w:firstLineChars="200"/>
        <w:rPr>
          <w:rFonts w:hint="eastAsia" w:ascii="仿宋" w:hAnsi="仿宋" w:eastAsia="仿宋" w:cs="仿宋_GB2312"/>
          <w:sz w:val="24"/>
          <w:highlight w:val="none"/>
        </w:rPr>
      </w:pP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11.1.3法定代表人及其授权代表的身份证（复印件）</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11.1.4</w:t>
      </w:r>
      <w:r>
        <w:rPr>
          <w:rFonts w:hint="eastAsia" w:ascii="仿宋" w:hAnsi="仿宋" w:eastAsia="仿宋" w:cs="仿宋_GB2312"/>
          <w:sz w:val="24"/>
          <w:highlight w:val="none"/>
          <w:lang w:val="en-US" w:eastAsia="zh-CN"/>
        </w:rPr>
        <w:t xml:space="preserve"> 2019</w:t>
      </w:r>
      <w:r>
        <w:rPr>
          <w:rFonts w:hint="eastAsia" w:ascii="仿宋" w:hAnsi="仿宋" w:eastAsia="仿宋" w:cs="仿宋_GB2312"/>
          <w:sz w:val="24"/>
          <w:highlight w:val="none"/>
        </w:rPr>
        <w:t>年度资产负债表等财务报表资料文件 (或其它</w:t>
      </w:r>
      <w:r>
        <w:rPr>
          <w:rFonts w:hint="eastAsia" w:ascii="仿宋_GB2312" w:hAnsi="Helvetica" w:eastAsia="仿宋_GB2312" w:cs="Helvetica"/>
          <w:kern w:val="0"/>
          <w:sz w:val="24"/>
          <w:highlight w:val="none"/>
        </w:rPr>
        <w:t>财务状况报告，</w:t>
      </w:r>
      <w:r>
        <w:rPr>
          <w:rFonts w:hint="eastAsia" w:ascii="仿宋" w:hAnsi="仿宋" w:eastAsia="仿宋" w:cs="仿宋_GB2312"/>
          <w:sz w:val="24"/>
          <w:highlight w:val="none"/>
        </w:rPr>
        <w:t>新成立的公司，必须提供情况说明)；</w:t>
      </w: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11.1.5具有履行合同所必需的设备和专业技术能力的承诺函；</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11.1.6参加政府采购活动前三年内，在经营活动中没有重大违法记录的声明；</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11.1.7</w:t>
      </w:r>
      <w:r>
        <w:rPr>
          <w:rFonts w:hint="eastAsia" w:ascii="仿宋" w:hAnsi="仿宋" w:eastAsia="仿宋" w:cs="仿宋_GB2312"/>
          <w:sz w:val="24"/>
          <w:szCs w:val="20"/>
          <w:highlight w:val="none"/>
        </w:rPr>
        <w:t>具有良好商业信誉的特别声明；</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en-US" w:eastAsia="zh-CN"/>
        </w:rPr>
        <w:t>11.1.8</w:t>
      </w:r>
      <w:r>
        <w:rPr>
          <w:rFonts w:hint="eastAsia" w:ascii="仿宋" w:hAnsi="仿宋" w:eastAsia="仿宋" w:cs="仿宋_GB2312"/>
          <w:sz w:val="24"/>
        </w:rPr>
        <w:t>符合特定资格条件（如果项目要求）的有关证明材料（复印件）；</w:t>
      </w:r>
    </w:p>
    <w:p>
      <w:pPr>
        <w:pStyle w:val="2"/>
        <w:ind w:left="0" w:leftChars="0" w:firstLine="480" w:firstLineChars="200"/>
        <w:rPr>
          <w:rFonts w:hint="eastAsia"/>
        </w:rPr>
      </w:pPr>
      <w:r>
        <w:rPr>
          <w:rFonts w:hint="eastAsia" w:ascii="仿宋" w:hAnsi="仿宋" w:eastAsia="仿宋" w:cs="仿宋_GB2312"/>
          <w:sz w:val="24"/>
        </w:rPr>
        <w:t>11.1.</w:t>
      </w:r>
      <w:r>
        <w:rPr>
          <w:rFonts w:hint="eastAsia" w:ascii="仿宋" w:hAnsi="仿宋" w:eastAsia="仿宋" w:cs="仿宋_GB2312"/>
          <w:sz w:val="24"/>
          <w:lang w:val="en-US" w:eastAsia="zh-CN"/>
        </w:rPr>
        <w:t>9</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sz w:val="24"/>
        </w:rPr>
        <w:t>。</w:t>
      </w:r>
    </w:p>
    <w:p>
      <w:pPr>
        <w:snapToGrid w:val="0"/>
        <w:spacing w:line="360" w:lineRule="auto"/>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应包括以下内容（均需使用电子签名）：</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11.2.2投标(开标)一览表；</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11.2.3中小企业声明函。</w:t>
      </w:r>
    </w:p>
    <w:p>
      <w:pPr>
        <w:pStyle w:val="7"/>
        <w:spacing w:line="360" w:lineRule="auto"/>
        <w:ind w:firstLine="480" w:firstLineChars="200"/>
        <w:rPr>
          <w:rFonts w:hint="eastAsia"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sz w:val="24"/>
          <w:szCs w:val="24"/>
        </w:rPr>
        <w:t>（均需使用电子签名）</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1</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p>
    <w:p>
      <w:pPr>
        <w:pStyle w:val="16"/>
        <w:snapToGrid w:val="0"/>
        <w:spacing w:before="0"/>
        <w:ind w:firstLine="480"/>
        <w:rPr>
          <w:rFonts w:hint="eastAsia" w:ascii="仿宋" w:hAnsi="仿宋" w:eastAsia="仿宋"/>
          <w:kern w:val="0"/>
          <w:lang w:val="zh-CN"/>
        </w:rPr>
      </w:pPr>
      <w:r>
        <w:rPr>
          <w:rFonts w:hint="eastAsia" w:ascii="仿宋" w:hAnsi="仿宋" w:eastAsia="仿宋" w:cs="仿宋_GB2312"/>
          <w:lang w:val="zh-CN"/>
        </w:rPr>
        <w:t>11.3.</w:t>
      </w:r>
      <w:r>
        <w:rPr>
          <w:rFonts w:hint="eastAsia" w:ascii="仿宋" w:hAnsi="仿宋" w:eastAsia="仿宋" w:cs="仿宋_GB2312"/>
          <w:lang w:val="en-US" w:eastAsia="zh-CN"/>
        </w:rPr>
        <w:t>2</w:t>
      </w:r>
      <w:r>
        <w:rPr>
          <w:rFonts w:hint="eastAsia" w:ascii="仿宋" w:hAnsi="仿宋" w:eastAsia="仿宋" w:cs="宋体"/>
          <w:kern w:val="0"/>
        </w:rPr>
        <w:t>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lang w:eastAsia="zh-CN"/>
        </w:rPr>
        <w:t>（如需要）</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3</w:t>
      </w:r>
      <w:r>
        <w:rPr>
          <w:rFonts w:hint="eastAsia" w:ascii="仿宋" w:hAnsi="仿宋" w:eastAsia="仿宋" w:cs="仿宋_GB2312"/>
          <w:kern w:val="0"/>
          <w:sz w:val="24"/>
          <w:lang w:val="zh-CN"/>
        </w:rPr>
        <w:t>投标人认为需要的其他商务文件或说明；</w:t>
      </w:r>
      <w:r>
        <w:rPr>
          <w:rFonts w:hint="eastAsia" w:ascii="仿宋" w:hAnsi="仿宋" w:eastAsia="仿宋" w:cs="仿宋_GB2312"/>
          <w:sz w:val="24"/>
        </w:rPr>
        <w:t xml:space="preserve"> </w:t>
      </w:r>
    </w:p>
    <w:p>
      <w:pPr>
        <w:pStyle w:val="7"/>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4</w:t>
      </w:r>
      <w:r>
        <w:rPr>
          <w:rFonts w:hint="eastAsia" w:ascii="仿宋" w:hAnsi="仿宋" w:eastAsia="仿宋" w:cs="仿宋_GB2312"/>
          <w:sz w:val="24"/>
          <w:lang w:val="zh-CN"/>
        </w:rPr>
        <w:t>投标人应提供针对项目的完整技术解决方案；</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7"/>
        <w:snapToGrid w:val="0"/>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投标人按格式提供节能产品、环境标志产品认证证书复印件；</w:t>
      </w:r>
    </w:p>
    <w:p>
      <w:pPr>
        <w:pStyle w:val="7"/>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5</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.6</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7</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9</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10</w:t>
      </w:r>
      <w:r>
        <w:rPr>
          <w:rFonts w:hint="eastAsia" w:ascii="仿宋" w:hAnsi="仿宋" w:eastAsia="仿宋"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11</w:t>
      </w:r>
      <w:r>
        <w:rPr>
          <w:rFonts w:hint="eastAsia" w:ascii="仿宋" w:hAnsi="仿宋" w:eastAsia="仿宋"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11.3.12验收计划；</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szCs w:val="24"/>
          <w:lang w:val="zh-CN"/>
        </w:rPr>
      </w:pPr>
      <w:r>
        <w:rPr>
          <w:rFonts w:hint="eastAsia" w:ascii="仿宋" w:hAnsi="仿宋" w:eastAsia="仿宋" w:cs="仿宋_GB2312"/>
          <w:kern w:val="0"/>
          <w:sz w:val="24"/>
          <w:lang w:val="zh-CN"/>
        </w:rPr>
        <w:t>11.3.</w:t>
      </w:r>
      <w:r>
        <w:rPr>
          <w:rFonts w:hint="eastAsia" w:ascii="仿宋" w:hAnsi="仿宋" w:eastAsia="仿宋" w:cs="仿宋_GB2312"/>
          <w:kern w:val="0"/>
          <w:sz w:val="24"/>
          <w:lang w:val="en-US" w:eastAsia="zh-CN"/>
        </w:rPr>
        <w:t>13</w:t>
      </w:r>
      <w:r>
        <w:rPr>
          <w:rFonts w:hint="eastAsia" w:ascii="仿宋" w:hAnsi="仿宋" w:eastAsia="仿宋" w:cs="仿宋_GB2312"/>
          <w:kern w:val="0"/>
          <w:sz w:val="24"/>
          <w:lang w:val="zh-CN"/>
        </w:rPr>
        <w:t>投标人认</w:t>
      </w:r>
      <w:r>
        <w:rPr>
          <w:rFonts w:hint="eastAsia" w:ascii="仿宋" w:hAnsi="仿宋" w:eastAsia="仿宋" w:cs="仿宋_GB2312"/>
          <w:kern w:val="0"/>
          <w:sz w:val="24"/>
          <w:szCs w:val="24"/>
          <w:lang w:val="zh-CN"/>
        </w:rPr>
        <w:t>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14</w:t>
      </w:r>
      <w:r>
        <w:rPr>
          <w:rFonts w:hint="eastAsia" w:ascii="仿宋" w:hAnsi="仿宋" w:eastAsia="仿宋" w:cs="仿宋_GB2312"/>
          <w:kern w:val="0"/>
          <w:sz w:val="24"/>
          <w:lang w:val="zh-CN"/>
        </w:rPr>
        <w:t>关于对招标文件商务、合同中有关条款的拒绝声明。（如果有）</w:t>
      </w:r>
    </w:p>
    <w:p>
      <w:pPr>
        <w:spacing w:line="360" w:lineRule="auto"/>
        <w:ind w:firstLine="482" w:firstLineChars="200"/>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仿宋_GB2312"/>
          <w:b/>
          <w:sz w:val="24"/>
        </w:rPr>
        <w:t>投标文件组成漏项，内容不全或内容字迹模糊辨认不清的，投标无效；</w:t>
      </w:r>
    </w:p>
    <w:p>
      <w:pPr>
        <w:spacing w:line="360" w:lineRule="auto"/>
        <w:ind w:firstLine="482" w:firstLineChars="200"/>
        <w:rPr>
          <w:rFonts w:hint="eastAsia"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▲投标人提供虚假材料投标的，投标无效。</w:t>
      </w:r>
    </w:p>
    <w:p>
      <w:pPr>
        <w:pStyle w:val="16"/>
        <w:snapToGrid w:val="0"/>
        <w:spacing w:before="0"/>
        <w:ind w:firstLine="0" w:firstLineChars="0"/>
        <w:outlineLvl w:val="0"/>
        <w:rPr>
          <w:rFonts w:hint="eastAsia" w:ascii="仿宋" w:hAnsi="仿宋" w:eastAsia="仿宋" w:cs="仿宋_GB2312"/>
          <w:b/>
          <w:szCs w:val="24"/>
        </w:rPr>
      </w:pPr>
      <w:bookmarkStart w:id="9"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hint="eastAsia" w:ascii="仿宋" w:hAnsi="仿宋" w:eastAsia="仿宋" w:cs="仿宋_GB2312"/>
          <w:b/>
          <w:sz w:val="24"/>
          <w:lang w:eastAsia="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b/>
          <w:sz w:val="24"/>
        </w:rPr>
        <w:t>▲</w:t>
      </w:r>
      <w:r>
        <w:rPr>
          <w:rFonts w:hint="eastAsia" w:ascii="仿宋" w:hAnsi="仿宋" w:eastAsia="仿宋" w:cs="仿宋_GB2312"/>
          <w:b/>
          <w:sz w:val="24"/>
        </w:rPr>
        <w:t>投标文件未按规定的格式编制的，投标无效</w:t>
      </w:r>
      <w:r>
        <w:rPr>
          <w:rFonts w:hint="eastAsia" w:ascii="仿宋" w:hAnsi="仿宋" w:eastAsia="仿宋" w:cs="仿宋_GB2312"/>
          <w:b/>
          <w:sz w:val="24"/>
          <w:lang w:eastAsia="zh-CN"/>
        </w:rPr>
        <w:t>。</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bookmarkEnd w:id="9"/>
    <w:p>
      <w:pPr>
        <w:snapToGrid w:val="0"/>
        <w:spacing w:line="360" w:lineRule="auto"/>
        <w:rPr>
          <w:rFonts w:hint="eastAsia" w:ascii="仿宋" w:hAnsi="仿宋" w:eastAsia="仿宋"/>
          <w:b/>
          <w:sz w:val="24"/>
        </w:rPr>
      </w:pPr>
      <w:r>
        <w:rPr>
          <w:rFonts w:hint="eastAsia" w:ascii="仿宋" w:hAnsi="仿宋" w:eastAsia="仿宋"/>
          <w:b/>
          <w:sz w:val="24"/>
        </w:rPr>
        <w:t>13.投标文件的签署、盖章</w:t>
      </w:r>
    </w:p>
    <w:p>
      <w:pPr>
        <w:pStyle w:val="16"/>
        <w:snapToGrid w:val="0"/>
        <w:spacing w:before="0"/>
        <w:ind w:firstLine="480"/>
        <w:rPr>
          <w:rFonts w:hint="eastAsia"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sz w:val="24"/>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6"/>
        <w:keepNext w:val="0"/>
        <w:keepLines w:val="0"/>
        <w:pageBreakBefore w:val="0"/>
        <w:widowControl w:val="0"/>
        <w:kinsoku/>
        <w:wordWrap/>
        <w:overflowPunct/>
        <w:topLinePunct w:val="0"/>
        <w:autoSpaceDE/>
        <w:autoSpaceDN/>
        <w:bidi w:val="0"/>
        <w:adjustRightInd w:val="0"/>
        <w:snapToGrid w:val="0"/>
        <w:spacing w:before="0"/>
        <w:ind w:firstLine="482"/>
        <w:textAlignment w:val="auto"/>
        <w:rPr>
          <w:rFonts w:hint="eastAsia" w:ascii="仿宋" w:hAnsi="仿宋" w:eastAsia="仿宋" w:cs="仿宋_GB2312"/>
          <w:szCs w:val="24"/>
        </w:rPr>
      </w:pPr>
      <w:r>
        <w:rPr>
          <w:rFonts w:hint="eastAsia" w:ascii="仿宋" w:hAnsi="仿宋" w:eastAsia="仿宋" w:cs="仿宋_GB2312"/>
          <w:b w:val="0"/>
          <w:bCs/>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p>
    <w:p>
      <w:pPr>
        <w:pStyle w:val="16"/>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仿宋" w:hAnsi="仿宋" w:eastAsia="仿宋" w:cs="仿宋_GB2312"/>
          <w:b/>
          <w:szCs w:val="24"/>
        </w:rPr>
      </w:pPr>
      <w:r>
        <w:rPr>
          <w:rFonts w:hint="eastAsia" w:ascii="仿宋" w:hAnsi="仿宋" w:eastAsia="仿宋" w:cs="仿宋_GB2312"/>
          <w:b/>
          <w:szCs w:val="24"/>
        </w:rPr>
        <w:t>14. 投标文件的提交、补充、修改、撤回</w:t>
      </w:r>
    </w:p>
    <w:p>
      <w:pPr>
        <w:pStyle w:val="16"/>
        <w:keepNext w:val="0"/>
        <w:keepLines w:val="0"/>
        <w:pageBreakBefore w:val="0"/>
        <w:widowControl w:val="0"/>
        <w:kinsoku/>
        <w:wordWrap/>
        <w:overflowPunct/>
        <w:topLinePunct w:val="0"/>
        <w:autoSpaceDE/>
        <w:autoSpaceDN/>
        <w:bidi w:val="0"/>
        <w:adjustRightInd w:val="0"/>
        <w:ind w:firstLine="480"/>
        <w:textAlignment w:val="auto"/>
        <w:rPr>
          <w:rFonts w:hint="eastAsia"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
        <w:keepNext w:val="0"/>
        <w:keepLines w:val="0"/>
        <w:pageBreakBefore w:val="0"/>
        <w:widowControl w:val="0"/>
        <w:kinsoku/>
        <w:wordWrap/>
        <w:overflowPunct/>
        <w:topLinePunct w:val="0"/>
        <w:autoSpaceDE/>
        <w:autoSpaceDN/>
        <w:bidi w:val="0"/>
        <w:adjustRightInd w:val="0"/>
        <w:spacing w:before="0"/>
        <w:textAlignment w:val="auto"/>
        <w:rPr>
          <w:rFonts w:hint="eastAsia"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
        <w:spacing w:before="0"/>
        <w:ind w:firstLine="480"/>
        <w:rPr>
          <w:rFonts w:hint="eastAsia" w:ascii="仿宋" w:hAnsi="仿宋" w:eastAsia="仿宋" w:cs="仿宋_GB2312"/>
          <w:szCs w:val="24"/>
        </w:rPr>
      </w:pPr>
      <w:r>
        <w:rPr>
          <w:rFonts w:hint="eastAsia" w:ascii="仿宋" w:hAnsi="仿宋" w:eastAsia="仿宋" w:cs="仿宋_GB2312"/>
          <w:szCs w:val="24"/>
        </w:rPr>
        <w:t>14.3采购机构可以视情况延长投标文件提交的截止时间。在上述情况下，采购机构与投标人以前在投标截止期方面的全部权利、责任和义务，将适用于延长至新的投标截止期。</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15.备份投标文件</w:t>
      </w:r>
    </w:p>
    <w:p>
      <w:pPr>
        <w:pStyle w:val="7"/>
        <w:spacing w:line="360" w:lineRule="auto"/>
        <w:ind w:firstLine="360" w:firstLineChars="150"/>
        <w:rPr>
          <w:rFonts w:hint="eastAsia"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15.2直接提交备份投标文件的，投标人应于投标截止时间前在招标公告中载明的开标地点将备份投标文件提交给采购机构，采购机构将拒绝接受逾期送达的备份投标文件。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15.3以快递方式递交备份投标文件的，投标人应先将备份投标文件按要求密封和标记，再进行快递包装后邮寄。备份投标文件须在投标截止时间之前送达</w:t>
      </w:r>
      <w:r>
        <w:rPr>
          <w:rFonts w:hint="eastAsia" w:ascii="仿宋" w:hAnsi="仿宋" w:eastAsia="仿宋" w:cs="仿宋"/>
          <w:color w:val="000000" w:themeColor="text1"/>
          <w:sz w:val="24"/>
          <w:szCs w:val="24"/>
          <w:lang w:eastAsia="zh-CN"/>
          <w14:textFill>
            <w14:solidFill>
              <w14:schemeClr w14:val="tx1"/>
            </w14:solidFill>
          </w14:textFill>
        </w:rPr>
        <w:t>浙江省杭州市临安区锦北街道科技大道</w:t>
      </w:r>
      <w:r>
        <w:rPr>
          <w:rFonts w:hint="eastAsia" w:ascii="仿宋" w:hAnsi="仿宋" w:eastAsia="仿宋" w:cs="仿宋"/>
          <w:color w:val="000000" w:themeColor="text1"/>
          <w:sz w:val="24"/>
          <w:szCs w:val="24"/>
          <w:lang w:val="en-US" w:eastAsia="zh-CN"/>
          <w14:textFill>
            <w14:solidFill>
              <w14:schemeClr w14:val="tx1"/>
            </w14:solidFill>
          </w14:textFill>
        </w:rPr>
        <w:t>4398号B座4楼B448办公室</w:t>
      </w:r>
      <w:r>
        <w:rPr>
          <w:rFonts w:hint="eastAsia" w:ascii="仿宋" w:hAnsi="仿宋" w:eastAsia="仿宋" w:cs="仿宋_GB2312"/>
          <w:sz w:val="24"/>
          <w:szCs w:val="24"/>
        </w:rPr>
        <w:t>（杭州市公共资源交易中心政府采购</w:t>
      </w:r>
      <w:r>
        <w:rPr>
          <w:rFonts w:hint="eastAsia" w:ascii="仿宋" w:hAnsi="仿宋" w:eastAsia="仿宋" w:cs="仿宋_GB2312"/>
          <w:sz w:val="24"/>
          <w:szCs w:val="24"/>
          <w:lang w:eastAsia="zh-CN"/>
        </w:rPr>
        <w:t>科</w:t>
      </w:r>
      <w:r>
        <w:rPr>
          <w:rFonts w:hint="eastAsia" w:ascii="仿宋" w:hAnsi="仿宋" w:eastAsia="仿宋" w:cs="仿宋_GB2312"/>
          <w:sz w:val="24"/>
          <w:szCs w:val="24"/>
        </w:rPr>
        <w:t>）；送达时间以签收人签收时间为准（</w:t>
      </w:r>
      <w:r>
        <w:rPr>
          <w:rFonts w:hint="eastAsia" w:ascii="仿宋" w:hAnsi="仿宋" w:eastAsia="仿宋" w:cs="仿宋"/>
          <w:color w:val="000000" w:themeColor="text1"/>
          <w:sz w:val="24"/>
          <w:szCs w:val="24"/>
          <w14:textFill>
            <w14:solidFill>
              <w14:schemeClr w14:val="tx1"/>
            </w14:solidFill>
          </w14:textFill>
        </w:rPr>
        <w:t>签收人：</w:t>
      </w:r>
      <w:r>
        <w:rPr>
          <w:rFonts w:hint="eastAsia" w:ascii="仿宋" w:hAnsi="仿宋" w:eastAsia="仿宋" w:cs="仿宋"/>
          <w:color w:val="000000" w:themeColor="text1"/>
          <w:sz w:val="24"/>
          <w:szCs w:val="24"/>
          <w:lang w:eastAsia="zh-CN"/>
          <w14:textFill>
            <w14:solidFill>
              <w14:schemeClr w14:val="tx1"/>
            </w14:solidFill>
          </w14:textFill>
        </w:rPr>
        <w:t>杨颖，</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szCs w:val="24"/>
          <w:lang w:val="en-US" w:eastAsia="zh-CN"/>
          <w14:textFill>
            <w14:solidFill>
              <w14:schemeClr w14:val="tx1"/>
            </w14:solidFill>
          </w14:textFill>
        </w:rPr>
        <w:t>0571-23616011</w:t>
      </w:r>
      <w:r>
        <w:rPr>
          <w:rFonts w:hint="eastAsia" w:ascii="仿宋" w:hAnsi="仿宋" w:eastAsia="仿宋" w:cs="仿宋_GB2312"/>
          <w:sz w:val="24"/>
          <w:szCs w:val="24"/>
        </w:rPr>
        <w:t>）。采购机构将拒绝接受逾期送达的备份投标文件。邮寄过程中，电子备份投标文件发生泄露、遗失、损坏或延期送达等情况的，由投标人自行负责。</w:t>
      </w:r>
    </w:p>
    <w:p>
      <w:pPr>
        <w:pStyle w:val="7"/>
        <w:spacing w:line="360" w:lineRule="auto"/>
        <w:ind w:firstLine="361" w:firstLineChars="150"/>
        <w:rPr>
          <w:rFonts w:hint="eastAsia" w:ascii="仿宋" w:hAnsi="仿宋" w:eastAsia="仿宋" w:cs="仿宋_GB2312"/>
          <w:b/>
          <w:sz w:val="24"/>
          <w:szCs w:val="24"/>
        </w:rPr>
      </w:pPr>
      <w:r>
        <w:rPr>
          <w:rFonts w:hint="eastAsia" w:ascii="仿宋" w:hAnsi="仿宋" w:eastAsia="仿宋" w:cs="仿宋_GB2312"/>
          <w:b/>
          <w:sz w:val="24"/>
          <w:szCs w:val="24"/>
        </w:rPr>
        <w:t>15.4</w:t>
      </w:r>
      <w:r>
        <w:rPr>
          <w:rFonts w:hint="eastAsia" w:ascii="仿宋" w:hAnsi="仿宋" w:eastAsia="仿宋" w:cs="仿宋_GB2312"/>
          <w:sz w:val="24"/>
          <w:szCs w:val="20"/>
        </w:rPr>
        <w:t>▲</w:t>
      </w:r>
      <w:r>
        <w:rPr>
          <w:rFonts w:hint="eastAsia" w:ascii="仿宋" w:hAnsi="仿宋" w:eastAsia="仿宋" w:cs="仿宋_GB2312"/>
          <w:b/>
          <w:sz w:val="24"/>
          <w:szCs w:val="24"/>
        </w:rPr>
        <w:t>投标人仅提交备份投标文件，没有在电子交易平台传输递交投标文件的，投标无效。</w:t>
      </w:r>
    </w:p>
    <w:bookmarkEnd w:id="4"/>
    <w:bookmarkEnd w:id="5"/>
    <w:p>
      <w:pPr>
        <w:pStyle w:val="16"/>
        <w:spacing w:before="0"/>
        <w:ind w:firstLine="0" w:firstLineChars="0"/>
        <w:rPr>
          <w:rFonts w:hint="eastAsia" w:ascii="仿宋" w:hAnsi="仿宋" w:eastAsia="仿宋" w:cs="仿宋_GB2312"/>
          <w:b/>
          <w:szCs w:val="24"/>
        </w:rPr>
      </w:pPr>
      <w:r>
        <w:rPr>
          <w:rFonts w:hint="eastAsia" w:ascii="仿宋" w:hAnsi="仿宋" w:eastAsia="仿宋" w:cs="仿宋_GB2312"/>
          <w:b/>
          <w:szCs w:val="24"/>
        </w:rPr>
        <w:t>16.投标文件的无效处理</w:t>
      </w:r>
    </w:p>
    <w:p>
      <w:pPr>
        <w:pStyle w:val="6"/>
        <w:spacing w:line="360" w:lineRule="auto"/>
        <w:ind w:left="0" w:leftChars="0" w:firstLine="480" w:firstLineChars="200"/>
        <w:rPr>
          <w:rFonts w:hint="eastAsia" w:ascii="仿宋" w:hAnsi="仿宋" w:eastAsia="仿宋" w:cs="仿宋_GB2312"/>
          <w:szCs w:val="21"/>
          <w:highlight w:val="none"/>
        </w:rPr>
      </w:pPr>
      <w:r>
        <w:rPr>
          <w:rFonts w:hint="eastAsia" w:ascii="仿宋" w:hAnsi="仿宋" w:eastAsia="仿宋" w:cs="仿宋_GB2312"/>
          <w:szCs w:val="21"/>
          <w:highlight w:val="none"/>
        </w:rPr>
        <w:t>有招标文件第四部分</w:t>
      </w:r>
      <w:r>
        <w:rPr>
          <w:rFonts w:hint="eastAsia" w:ascii="仿宋" w:hAnsi="仿宋" w:eastAsia="仿宋"/>
          <w:highlight w:val="none"/>
        </w:rPr>
        <w:t>第13项规定</w:t>
      </w:r>
      <w:r>
        <w:rPr>
          <w:rFonts w:hint="eastAsia" w:ascii="仿宋" w:hAnsi="仿宋" w:eastAsia="仿宋" w:cs="仿宋_GB2312"/>
          <w:szCs w:val="21"/>
          <w:highlight w:val="none"/>
        </w:rPr>
        <w:t>的情形之一的，投标无效：</w:t>
      </w:r>
    </w:p>
    <w:p>
      <w:pPr>
        <w:pStyle w:val="16"/>
        <w:spacing w:before="0"/>
        <w:ind w:firstLine="0" w:firstLineChars="0"/>
        <w:rPr>
          <w:rFonts w:hint="eastAsia"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6"/>
        <w:spacing w:before="0"/>
        <w:ind w:firstLine="480"/>
        <w:rPr>
          <w:rFonts w:hint="eastAsia" w:ascii="仿宋" w:hAnsi="仿宋" w:eastAsia="仿宋" w:cs="仿宋_GB2312"/>
        </w:rPr>
      </w:pPr>
      <w:r>
        <w:rPr>
          <w:rFonts w:hint="eastAsia" w:ascii="仿宋" w:hAnsi="仿宋" w:eastAsia="仿宋" w:cs="仿宋_GB2312"/>
        </w:rPr>
        <w:t>17.2投标文件合格投递后，自投标截止日期起，在投标有效期内有效。</w:t>
      </w:r>
    </w:p>
    <w:p>
      <w:pPr>
        <w:pStyle w:val="15"/>
        <w:shd w:val="clear"/>
        <w:ind w:firstLine="480" w:firstLineChars="200"/>
        <w:rPr>
          <w:rFonts w:hint="eastAsia" w:ascii="仿宋" w:hAnsi="仿宋" w:eastAsia="仿宋" w:cs="仿宋_GB2312"/>
        </w:rPr>
      </w:pPr>
      <w:r>
        <w:rPr>
          <w:rFonts w:hint="eastAsia"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6"/>
        <w:spacing w:before="0"/>
        <w:ind w:firstLine="1928" w:firstLineChars="600"/>
        <w:rPr>
          <w:rFonts w:hint="eastAsia" w:ascii="仿宋" w:hAnsi="仿宋" w:eastAsia="仿宋" w:cs="仿宋_GB2312"/>
          <w:b/>
          <w:sz w:val="32"/>
        </w:rPr>
      </w:pPr>
    </w:p>
    <w:p>
      <w:pPr>
        <w:pStyle w:val="16"/>
        <w:spacing w:before="0"/>
        <w:ind w:firstLine="1928" w:firstLineChars="600"/>
        <w:rPr>
          <w:rFonts w:hint="eastAsia" w:ascii="仿宋" w:hAnsi="仿宋" w:eastAsia="仿宋" w:cs="仿宋_GB2312"/>
          <w:b/>
          <w:sz w:val="32"/>
        </w:rPr>
      </w:pPr>
      <w:r>
        <w:rPr>
          <w:rFonts w:hint="eastAsia" w:ascii="仿宋" w:hAnsi="仿宋" w:eastAsia="仿宋" w:cs="仿宋_GB2312"/>
          <w:b/>
          <w:sz w:val="32"/>
        </w:rPr>
        <w:t>四、开标、资格审查与信用信息查询</w:t>
      </w:r>
    </w:p>
    <w:p>
      <w:pPr>
        <w:pStyle w:val="18"/>
        <w:spacing w:before="0" w:line="360" w:lineRule="auto"/>
        <w:ind w:left="0" w:leftChars="0" w:firstLine="0" w:firstLineChars="0"/>
        <w:contextualSpacing/>
        <w:rPr>
          <w:rFonts w:hint="eastAsia" w:ascii="仿宋_GB2312" w:eastAsia="仿宋_GB2312"/>
          <w:sz w:val="24"/>
        </w:rPr>
      </w:pPr>
      <w:r>
        <w:rPr>
          <w:rFonts w:hint="eastAsia" w:ascii="仿宋" w:hAnsi="仿宋" w:eastAsia="仿宋" w:cs="仿宋_GB2312"/>
          <w:b/>
          <w:sz w:val="24"/>
          <w:szCs w:val="24"/>
        </w:rPr>
        <w:t>18.开标</w:t>
      </w:r>
      <w:r>
        <w:rPr>
          <w:rFonts w:hint="eastAsia" w:ascii="仿宋_GB2312" w:eastAsia="仿宋_GB2312"/>
          <w:sz w:val="24"/>
        </w:rPr>
        <w:t xml:space="preserve"> </w:t>
      </w:r>
    </w:p>
    <w:p>
      <w:pPr>
        <w:pStyle w:val="18"/>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rPr>
        <w:t>18.1采购机构按照招标文件规定的时间通过电子交易平台组织开标，所有投标人均应当准时在线参加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18"/>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rPr>
        <w:t>18.2开标时，电子交易平台按开标时间自动提取所有投标文件。采购机构依托电子交</w:t>
      </w:r>
      <w:r>
        <w:rPr>
          <w:rFonts w:hint="eastAsia" w:ascii="仿宋" w:hAnsi="仿宋" w:eastAsia="仿宋" w:cs="仿宋_GB2312"/>
          <w:sz w:val="24"/>
          <w:szCs w:val="22"/>
        </w:rPr>
        <w:t>易平台发起开始解密指令，投标人按照平台提示和招标文件的规定在半小时内完成在线解密。</w:t>
      </w:r>
    </w:p>
    <w:p>
      <w:pPr>
        <w:pStyle w:val="18"/>
        <w:spacing w:before="0" w:line="360" w:lineRule="auto"/>
        <w:ind w:left="0" w:leftChars="0" w:firstLine="482" w:firstLineChars="200"/>
        <w:contextualSpacing/>
        <w:rPr>
          <w:rFonts w:hint="eastAsia" w:ascii="仿宋" w:hAnsi="仿宋" w:eastAsia="仿宋" w:cs="仿宋_GB2312"/>
          <w:b/>
          <w:bCs/>
          <w:sz w:val="24"/>
          <w:szCs w:val="22"/>
        </w:rPr>
      </w:pPr>
      <w:r>
        <w:rPr>
          <w:rFonts w:hint="eastAsia" w:ascii="仿宋" w:hAnsi="仿宋" w:eastAsia="仿宋" w:cs="仿宋_GB2312"/>
          <w:b/>
          <w:bCs/>
          <w:sz w:val="24"/>
          <w:szCs w:val="22"/>
        </w:rPr>
        <w:t>18.3投标文件未按时解密，投标人提供了备份投标文件的，以备份投标文件作为依据，否则视为投标文件撤回。投标文件已按时解密的，备份投标文件自动失效。</w:t>
      </w:r>
    </w:p>
    <w:p>
      <w:pPr>
        <w:pStyle w:val="18"/>
        <w:spacing w:before="0" w:line="360" w:lineRule="auto"/>
        <w:ind w:left="0" w:leftChars="0" w:firstLine="0" w:firstLineChars="0"/>
        <w:contextualSpacing/>
        <w:rPr>
          <w:rFonts w:hint="eastAsia" w:ascii="仿宋" w:hAnsi="仿宋" w:eastAsia="仿宋" w:cs="仿宋_GB2312"/>
          <w:b/>
          <w:bCs/>
          <w:sz w:val="24"/>
          <w:szCs w:val="22"/>
        </w:rPr>
      </w:pPr>
      <w:r>
        <w:rPr>
          <w:rFonts w:hint="eastAsia" w:ascii="仿宋" w:hAnsi="仿宋" w:eastAsia="仿宋" w:cs="仿宋_GB2312"/>
          <w:b/>
          <w:bCs/>
          <w:sz w:val="24"/>
          <w:szCs w:val="22"/>
        </w:rPr>
        <w:t>19、资格审查</w:t>
      </w:r>
    </w:p>
    <w:p>
      <w:pPr>
        <w:pStyle w:val="18"/>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szCs w:val="22"/>
        </w:rPr>
        <w:t>19.1开标后，采购人或采购机构将依法对投标人的资格进行审查。</w:t>
      </w:r>
    </w:p>
    <w:p>
      <w:pPr>
        <w:pStyle w:val="18"/>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szCs w:val="22"/>
        </w:rPr>
        <w:t>19.2采购人或采购</w:t>
      </w:r>
      <w:r>
        <w:rPr>
          <w:rFonts w:hint="eastAsia" w:ascii="仿宋" w:hAnsi="仿宋" w:eastAsia="仿宋" w:cs="仿宋_GB2312"/>
          <w:sz w:val="24"/>
        </w:rPr>
        <w:t>机构依据法律法规和招标文件的规定，对投标人的基本资格条件、特定资格条件进行审查。</w:t>
      </w:r>
    </w:p>
    <w:p>
      <w:pPr>
        <w:pStyle w:val="16"/>
        <w:spacing w:before="0"/>
        <w:ind w:firstLine="480"/>
        <w:rPr>
          <w:rFonts w:hint="eastAsia" w:ascii="仿宋" w:hAnsi="仿宋" w:eastAsia="仿宋" w:cs="仿宋_GB2312"/>
        </w:rPr>
      </w:pPr>
      <w:r>
        <w:rPr>
          <w:rFonts w:hint="eastAsia"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6"/>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4对未通过资格审查的投标人，采购人或采购机构告知其未通过的原因。</w:t>
      </w:r>
    </w:p>
    <w:p>
      <w:pPr>
        <w:pStyle w:val="16"/>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5合格投标人不足3家的，不再评标。</w:t>
      </w:r>
    </w:p>
    <w:p>
      <w:pPr>
        <w:pStyle w:val="16"/>
        <w:spacing w:before="0"/>
        <w:ind w:firstLine="0" w:firstLineChars="0"/>
        <w:rPr>
          <w:rFonts w:hint="eastAsia" w:ascii="仿宋" w:hAnsi="仿宋" w:eastAsia="仿宋" w:cs="仿宋_GB2312"/>
          <w:b/>
          <w:szCs w:val="24"/>
        </w:rPr>
      </w:pPr>
      <w:r>
        <w:rPr>
          <w:rFonts w:hint="eastAsia" w:ascii="仿宋" w:hAnsi="仿宋" w:eastAsia="仿宋" w:cs="仿宋_GB2312"/>
          <w:b/>
          <w:szCs w:val="24"/>
        </w:rPr>
        <w:t>20、信用信息查询</w:t>
      </w:r>
    </w:p>
    <w:p>
      <w:pPr>
        <w:pStyle w:val="16"/>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.1信用信息查询渠道及截止时间：采购机构将通过“信用中国”网站(www.creditchina.gov.cn)、中国政府采购网(www.ccgp.gov.cn)渠道查询投标人投标截止时间当天的信用记录。</w:t>
      </w:r>
    </w:p>
    <w:p>
      <w:pPr>
        <w:pStyle w:val="16"/>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w:t>
      </w:r>
      <w:r>
        <w:rPr>
          <w:rFonts w:hint="eastAsia" w:ascii="仿宋" w:hAnsi="仿宋" w:eastAsia="仿宋" w:cs="Arial"/>
          <w:kern w:val="0"/>
          <w:szCs w:val="24"/>
          <w:highlight w:val="none"/>
        </w:rPr>
        <w:t>信用信息查询记录和证据留存的具体方式：现场查询的投标人的信用记录、查询结果将与采购文件一起存档。</w:t>
      </w:r>
    </w:p>
    <w:p>
      <w:pPr>
        <w:pStyle w:val="16"/>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.3信用信息的使用规则：经查询列入失信被执行人名单、重大税收违法案件当事人名单、政府采购严重违法失信行为记录名单的投标人将被拒绝参与政府采购活动。</w:t>
      </w:r>
    </w:p>
    <w:p>
      <w:pPr>
        <w:pStyle w:val="16"/>
        <w:spacing w:before="0"/>
        <w:ind w:firstLine="480"/>
        <w:rPr>
          <w:rFonts w:hint="eastAsia" w:ascii="仿宋" w:hAnsi="仿宋" w:eastAsia="仿宋" w:cs="仿宋_GB2312"/>
        </w:rPr>
      </w:pPr>
      <w:r>
        <w:rPr>
          <w:rFonts w:ascii="仿宋" w:hAnsi="仿宋" w:eastAsia="仿宋" w:cs="Arial"/>
          <w:kern w:val="0"/>
          <w:szCs w:val="24"/>
        </w:rPr>
        <w:t>20</w:t>
      </w:r>
      <w:r>
        <w:rPr>
          <w:rFonts w:hint="eastAsia" w:ascii="仿宋" w:hAnsi="仿宋" w:eastAsia="仿宋"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6"/>
        <w:spacing w:before="0"/>
        <w:ind w:firstLine="0" w:firstLineChars="0"/>
        <w:rPr>
          <w:rFonts w:hint="eastAsia" w:ascii="仿宋" w:hAnsi="仿宋" w:eastAsia="仿宋" w:cs="Arial"/>
          <w:kern w:val="0"/>
          <w:szCs w:val="24"/>
        </w:rPr>
      </w:pPr>
    </w:p>
    <w:p>
      <w:pPr>
        <w:snapToGrid w:val="0"/>
        <w:spacing w:line="360" w:lineRule="auto"/>
        <w:jc w:val="center"/>
        <w:outlineLvl w:val="0"/>
        <w:rPr>
          <w:rFonts w:hint="eastAsia" w:ascii="仿宋" w:hAnsi="仿宋" w:eastAsia="仿宋" w:cs="仿宋_GB2312"/>
          <w:b/>
          <w:sz w:val="36"/>
          <w:szCs w:val="36"/>
        </w:rPr>
      </w:pPr>
      <w:bookmarkStart w:id="10" w:name="_Toc91899902"/>
      <w:r>
        <w:rPr>
          <w:rFonts w:hint="eastAsia" w:ascii="仿宋" w:hAnsi="仿宋" w:eastAsia="仿宋" w:cs="仿宋_GB2312"/>
          <w:b/>
          <w:sz w:val="36"/>
          <w:szCs w:val="36"/>
        </w:rPr>
        <w:t>五、评标</w:t>
      </w:r>
      <w:bookmarkEnd w:id="10"/>
    </w:p>
    <w:p>
      <w:pPr>
        <w:spacing w:line="360" w:lineRule="auto"/>
        <w:rPr>
          <w:rFonts w:hint="eastAsia" w:ascii="仿宋" w:hAnsi="仿宋" w:eastAsia="仿宋" w:cs="仿宋_GB2312"/>
          <w:b/>
          <w:sz w:val="24"/>
        </w:rPr>
      </w:pPr>
      <w:r>
        <w:rPr>
          <w:rFonts w:hint="eastAsia"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pStyle w:val="15"/>
        <w:rPr>
          <w:rFonts w:hint="eastAsia" w:ascii="仿宋" w:hAnsi="仿宋" w:eastAsia="仿宋" w:cs="仿宋_GB2312"/>
          <w:b/>
          <w:sz w:val="24"/>
        </w:rPr>
      </w:pPr>
    </w:p>
    <w:p>
      <w:pPr>
        <w:pStyle w:val="15"/>
        <w:rPr>
          <w:rFonts w:hint="eastAsia" w:ascii="仿宋" w:hAnsi="仿宋" w:eastAsia="仿宋" w:cs="仿宋_GB2312"/>
          <w:b/>
          <w:sz w:val="24"/>
        </w:rPr>
      </w:pPr>
    </w:p>
    <w:p>
      <w:pPr>
        <w:snapToGrid w:val="0"/>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六、定 标</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22.确定中标供应商</w:t>
      </w:r>
    </w:p>
    <w:p>
      <w:pPr>
        <w:pStyle w:val="16"/>
        <w:snapToGrid w:val="0"/>
        <w:spacing w:before="0"/>
        <w:ind w:firstLine="480"/>
        <w:rPr>
          <w:rFonts w:hint="eastAsia" w:ascii="仿宋" w:hAnsi="仿宋" w:eastAsia="仿宋" w:cs="仿宋_GB2312"/>
          <w:b/>
          <w:szCs w:val="24"/>
        </w:rPr>
      </w:pPr>
      <w:r>
        <w:rPr>
          <w:rFonts w:hint="eastAsia" w:ascii="仿宋" w:hAnsi="仿宋" w:eastAsia="仿宋" w:cs="仿宋_GB2312"/>
          <w:szCs w:val="24"/>
        </w:rPr>
        <w:t>采购人将自收到评审报告之日起5个工作日内通过电子交易平台在评审报告推荐的中标候选人中按顺序确定中标供应商。</w:t>
      </w:r>
    </w:p>
    <w:p>
      <w:pPr>
        <w:pStyle w:val="16"/>
        <w:snapToGrid w:val="0"/>
        <w:spacing w:before="0"/>
        <w:ind w:left="0" w:leftChars="0" w:firstLine="0" w:firstLineChars="0"/>
        <w:jc w:val="left"/>
        <w:rPr>
          <w:rFonts w:hint="eastAsia" w:ascii="仿宋" w:hAnsi="仿宋" w:eastAsia="仿宋" w:cs="仿宋_GB2312"/>
          <w:szCs w:val="24"/>
        </w:rPr>
      </w:pPr>
      <w:r>
        <w:rPr>
          <w:rFonts w:hint="eastAsia" w:ascii="仿宋" w:hAnsi="仿宋" w:eastAsia="仿宋" w:cs="仿宋_GB2312"/>
          <w:b/>
          <w:bCs/>
          <w:szCs w:val="24"/>
        </w:rPr>
        <w:t>23.中标通知与中标结果公告</w:t>
      </w:r>
    </w:p>
    <w:p>
      <w:pPr>
        <w:pStyle w:val="16"/>
        <w:snapToGrid w:val="0"/>
        <w:spacing w:before="0"/>
        <w:ind w:firstLine="480"/>
        <w:rPr>
          <w:rFonts w:hint="eastAsia" w:ascii="仿宋" w:hAnsi="仿宋" w:eastAsia="仿宋" w:cs="仿宋_GB2312"/>
          <w:szCs w:val="24"/>
        </w:rPr>
      </w:pPr>
      <w:r>
        <w:rPr>
          <w:rFonts w:hint="eastAsia" w:ascii="仿宋" w:hAnsi="仿宋" w:eastAsia="仿宋" w:cs="仿宋_GB2312"/>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23.3</w:t>
      </w:r>
      <w:r>
        <w:rPr>
          <w:rFonts w:ascii="仿宋" w:hAnsi="仿宋" w:eastAsia="仿宋" w:cs="仿宋_GB2312"/>
          <w:sz w:val="24"/>
        </w:rPr>
        <w:t>公告期限为1个工作日。</w:t>
      </w:r>
    </w:p>
    <w:p>
      <w:pPr>
        <w:pStyle w:val="15"/>
        <w:rPr>
          <w:rFonts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七、合同授予</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24.</w:t>
      </w:r>
      <w:r>
        <w:rPr>
          <w:rFonts w:hint="eastAsia" w:ascii="仿宋" w:hAnsi="仿宋" w:eastAsia="仿宋" w:cs="仿宋_GB2312"/>
        </w:rPr>
        <w:t>合同主要条款详见第五部分拟签订的合同文本。</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25.合同的签订</w:t>
      </w:r>
    </w:p>
    <w:p>
      <w:pPr>
        <w:widowControl/>
        <w:shd w:val="clear" w:color="auto"/>
        <w:spacing w:line="360" w:lineRule="auto"/>
        <w:ind w:firstLine="480"/>
        <w:jc w:val="left"/>
        <w:rPr>
          <w:rFonts w:hint="eastAsia" w:ascii="仿宋" w:hAnsi="仿宋" w:eastAsia="仿宋" w:cs="Arial"/>
          <w:kern w:val="0"/>
          <w:sz w:val="24"/>
        </w:rPr>
      </w:pPr>
      <w:r>
        <w:rPr>
          <w:rFonts w:hint="eastAsia" w:ascii="仿宋" w:hAnsi="仿宋" w:eastAsia="仿宋" w:cs="仿宋_GB2312"/>
          <w:sz w:val="24"/>
        </w:rPr>
        <w:t>25.1</w:t>
      </w:r>
      <w:r>
        <w:rPr>
          <w:rFonts w:hint="eastAsia" w:ascii="仿宋" w:hAnsi="仿宋" w:eastAsia="仿宋" w:cs="Arial"/>
          <w:kern w:val="0"/>
          <w:sz w:val="24"/>
        </w:rPr>
        <w:t xml:space="preserve"> 采购人与中标人应当通过电子交易平台在中标通知书发出之日起三十日内，按照招标文件确定的事项签订政府采购合同，并在规定时间内依法发布合同公告。</w:t>
      </w:r>
    </w:p>
    <w:p>
      <w:pPr>
        <w:pStyle w:val="16"/>
        <w:shd w:val="clear"/>
        <w:snapToGrid w:val="0"/>
        <w:spacing w:before="0"/>
        <w:ind w:firstLine="480"/>
        <w:rPr>
          <w:rFonts w:hint="eastAsia" w:ascii="仿宋" w:hAnsi="仿宋" w:eastAsia="仿宋"/>
          <w:kern w:val="0"/>
        </w:rPr>
      </w:pPr>
      <w:r>
        <w:rPr>
          <w:rFonts w:hint="eastAsia"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
        <w:snapToGrid w:val="0"/>
        <w:spacing w:before="0"/>
        <w:ind w:firstLine="480"/>
        <w:rPr>
          <w:rFonts w:hint="eastAsia"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pPr>
        <w:pStyle w:val="16"/>
        <w:snapToGrid w:val="0"/>
        <w:spacing w:before="0"/>
        <w:ind w:firstLine="480"/>
        <w:rPr>
          <w:rFonts w:hint="eastAsia" w:ascii="仿宋" w:hAnsi="仿宋" w:eastAsia="仿宋" w:cs="仿宋_GB2312"/>
        </w:rPr>
      </w:pPr>
      <w:r>
        <w:rPr>
          <w:rFonts w:hint="eastAsia" w:ascii="仿宋" w:hAnsi="仿宋" w:eastAsia="仿宋" w:cs="仿宋_GB2312"/>
        </w:rPr>
        <w:t>25.4中标供应商拒绝与采购人签订合同的，采购人可以按照评审报告推荐的中标或者成交候选人名单排序，确定下一候选人为中标供应商，也可以重新开展政府采购活动。</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26.履约保证金</w:t>
      </w:r>
    </w:p>
    <w:p>
      <w:pPr>
        <w:tabs>
          <w:tab w:val="left" w:pos="0"/>
        </w:tabs>
        <w:spacing w:line="360" w:lineRule="auto"/>
        <w:ind w:firstLine="48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pStyle w:val="15"/>
        <w:rPr>
          <w:rFonts w:hint="eastAsia" w:ascii="仿宋" w:hAnsi="仿宋" w:eastAsia="仿宋" w:cs="仿宋_GB2312"/>
          <w:sz w:val="24"/>
        </w:rPr>
      </w:pPr>
    </w:p>
    <w:p>
      <w:pPr>
        <w:snapToGrid w:val="0"/>
        <w:spacing w:line="360" w:lineRule="auto"/>
        <w:ind w:firstLine="3357" w:firstLineChars="1045"/>
        <w:rPr>
          <w:rFonts w:hint="eastAsia"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16"/>
        <w:snapToGrid w:val="0"/>
        <w:spacing w:before="0"/>
        <w:ind w:firstLine="0" w:firstLineChars="0"/>
        <w:rPr>
          <w:rFonts w:hint="eastAsia" w:ascii="仿宋" w:hAnsi="仿宋" w:eastAsia="仿宋" w:cs="仿宋_GB2312"/>
          <w:b/>
          <w:szCs w:val="24"/>
        </w:rPr>
      </w:pPr>
      <w:r>
        <w:rPr>
          <w:rFonts w:hint="eastAsia" w:ascii="仿宋" w:hAnsi="仿宋" w:eastAsia="仿宋" w:cs="仿宋_GB2312"/>
          <w:b/>
          <w:bCs/>
        </w:rPr>
        <w:t>2</w:t>
      </w:r>
      <w:r>
        <w:rPr>
          <w:rFonts w:hint="eastAsia" w:ascii="仿宋" w:hAnsi="仿宋" w:eastAsia="仿宋" w:cs="仿宋_GB2312"/>
          <w:b/>
          <w:bCs/>
          <w:szCs w:val="24"/>
        </w:rPr>
        <w:t>7.</w:t>
      </w:r>
      <w:r>
        <w:rPr>
          <w:rFonts w:hint="eastAsia" w:ascii="仿宋" w:hAnsi="仿宋" w:eastAsia="仿宋" w:cs="仿宋_GB2312"/>
          <w:b/>
          <w:szCs w:val="24"/>
        </w:rPr>
        <w:t>电子交易活动的中止</w:t>
      </w:r>
    </w:p>
    <w:p>
      <w:pPr>
        <w:pStyle w:val="16"/>
        <w:snapToGrid w:val="0"/>
        <w:spacing w:before="0"/>
        <w:ind w:firstLine="480" w:firstLineChars="200"/>
        <w:rPr>
          <w:rFonts w:ascii="仿宋" w:hAnsi="仿宋" w:eastAsia="仿宋" w:cs="仿宋_GB2312"/>
        </w:rPr>
      </w:pP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16"/>
        <w:snapToGrid w:val="0"/>
        <w:spacing w:before="0"/>
        <w:ind w:firstLine="480"/>
        <w:rPr>
          <w:rFonts w:ascii="仿宋" w:hAnsi="仿宋" w:eastAsia="仿宋" w:cs="仿宋_GB2312"/>
        </w:rPr>
      </w:pPr>
      <w:r>
        <w:rPr>
          <w:rFonts w:hint="eastAsia" w:ascii="仿宋" w:hAnsi="仿宋" w:eastAsia="仿宋" w:cs="仿宋_GB2312"/>
        </w:rPr>
        <w:t>27.1电子交易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16"/>
        <w:snapToGrid w:val="0"/>
        <w:spacing w:before="0"/>
        <w:ind w:firstLine="480"/>
        <w:rPr>
          <w:rFonts w:ascii="仿宋" w:hAnsi="仿宋" w:eastAsia="仿宋" w:cs="仿宋_GB2312"/>
        </w:rPr>
      </w:pPr>
      <w:r>
        <w:rPr>
          <w:rFonts w:hint="eastAsia" w:ascii="仿宋" w:hAnsi="仿宋" w:eastAsia="仿宋" w:cs="仿宋_GB2312"/>
        </w:rPr>
        <w:t>27.2电子交易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16"/>
        <w:snapToGrid w:val="0"/>
        <w:spacing w:before="0"/>
        <w:ind w:firstLine="480"/>
        <w:rPr>
          <w:rFonts w:ascii="仿宋" w:hAnsi="仿宋" w:eastAsia="仿宋" w:cs="仿宋_GB2312"/>
        </w:rPr>
      </w:pPr>
      <w:r>
        <w:rPr>
          <w:rFonts w:hint="eastAsia" w:ascii="仿宋" w:hAnsi="仿宋" w:eastAsia="仿宋" w:cs="仿宋_GB2312"/>
        </w:rPr>
        <w:t>27.3电子交易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16"/>
        <w:snapToGrid w:val="0"/>
        <w:spacing w:before="0"/>
        <w:ind w:firstLine="480"/>
        <w:rPr>
          <w:rFonts w:ascii="仿宋" w:hAnsi="仿宋" w:eastAsia="仿宋" w:cs="仿宋_GB2312"/>
        </w:rPr>
      </w:pPr>
      <w:r>
        <w:rPr>
          <w:rFonts w:hint="eastAsia" w:ascii="仿宋" w:hAnsi="仿宋" w:eastAsia="仿宋" w:cs="仿宋_GB2312"/>
        </w:rPr>
        <w:t>27.4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16"/>
        <w:snapToGrid w:val="0"/>
        <w:spacing w:before="0"/>
        <w:ind w:firstLine="480"/>
        <w:rPr>
          <w:rFonts w:hint="eastAsia" w:ascii="仿宋" w:hAnsi="仿宋" w:eastAsia="仿宋" w:cs="仿宋_GB2312"/>
        </w:rPr>
      </w:pPr>
      <w:r>
        <w:rPr>
          <w:rFonts w:hint="eastAsia" w:ascii="仿宋" w:hAnsi="仿宋" w:eastAsia="仿宋" w:cs="仿宋_GB2312"/>
        </w:rPr>
        <w:t>27.5其他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16"/>
        <w:snapToGrid w:val="0"/>
        <w:spacing w:before="0"/>
        <w:ind w:firstLine="0" w:firstLineChars="0"/>
        <w:rPr>
          <w:rFonts w:ascii="仿宋" w:hAnsi="仿宋" w:eastAsia="仿宋" w:cs="仿宋_GB2312"/>
          <w:b/>
          <w:bCs/>
        </w:rPr>
      </w:pPr>
      <w:r>
        <w:rPr>
          <w:rFonts w:hint="eastAsia" w:ascii="仿宋" w:hAnsi="仿宋" w:eastAsia="仿宋" w:cs="仿宋_GB2312"/>
          <w:b/>
          <w:bCs/>
        </w:rPr>
        <w:t>28.</w:t>
      </w:r>
      <w:r>
        <w:rPr>
          <w:rFonts w:ascii="仿宋" w:hAnsi="仿宋" w:eastAsia="仿宋" w:cs="仿宋_GB2312"/>
          <w:b/>
          <w:bCs/>
        </w:rPr>
        <w:t>出现</w:t>
      </w:r>
      <w:r>
        <w:rPr>
          <w:rFonts w:hint="eastAsia" w:ascii="仿宋" w:hAnsi="仿宋" w:eastAsia="仿宋" w:cs="仿宋_GB2312"/>
          <w:b/>
          <w:bCs/>
        </w:rPr>
        <w:t>以上情形</w:t>
      </w:r>
      <w:r>
        <w:rPr>
          <w:rFonts w:ascii="仿宋" w:hAnsi="仿宋" w:eastAsia="仿宋" w:cs="仿宋_GB2312"/>
          <w:b/>
          <w:bCs/>
        </w:rPr>
        <w:t>，</w:t>
      </w:r>
      <w:r>
        <w:rPr>
          <w:rFonts w:hint="eastAsia" w:ascii="仿宋" w:hAnsi="仿宋" w:eastAsia="仿宋" w:cs="仿宋_GB2312"/>
          <w:b/>
          <w:bCs/>
        </w:rPr>
        <w:t>不影响采购公平、公正性的，采购组织机构可以</w:t>
      </w:r>
      <w:r>
        <w:rPr>
          <w:rFonts w:ascii="仿宋" w:hAnsi="仿宋" w:eastAsia="仿宋" w:cs="仿宋_GB2312"/>
          <w:b/>
          <w:bCs/>
        </w:rPr>
        <w:t>待上述情形消除后继续</w:t>
      </w:r>
      <w:r>
        <w:rPr>
          <w:rFonts w:hint="eastAsia" w:ascii="仿宋" w:hAnsi="仿宋" w:eastAsia="仿宋" w:cs="仿宋_GB2312"/>
          <w:b/>
          <w:bCs/>
        </w:rPr>
        <w:t>组织电子交易</w:t>
      </w:r>
      <w:r>
        <w:rPr>
          <w:rFonts w:ascii="仿宋" w:hAnsi="仿宋" w:eastAsia="仿宋" w:cs="仿宋_GB2312"/>
          <w:b/>
          <w:bCs/>
        </w:rPr>
        <w:t>活动</w:t>
      </w:r>
      <w:r>
        <w:rPr>
          <w:rFonts w:hint="eastAsia" w:ascii="仿宋" w:hAnsi="仿宋" w:eastAsia="仿宋" w:cs="仿宋_GB2312"/>
          <w:b/>
          <w:bCs/>
        </w:rPr>
        <w:t>，也可以决定某些环节以纸质形式进行；影响或可能影响</w:t>
      </w:r>
      <w:r>
        <w:rPr>
          <w:rFonts w:ascii="仿宋" w:hAnsi="仿宋" w:eastAsia="仿宋" w:cs="仿宋_GB2312"/>
          <w:b/>
          <w:bCs/>
        </w:rPr>
        <w:t>采购公平、公正</w:t>
      </w:r>
      <w:r>
        <w:rPr>
          <w:rFonts w:hint="eastAsia" w:ascii="仿宋" w:hAnsi="仿宋" w:eastAsia="仿宋" w:cs="仿宋_GB2312"/>
          <w:b/>
          <w:bCs/>
        </w:rPr>
        <w:t>性</w:t>
      </w:r>
      <w:r>
        <w:rPr>
          <w:rFonts w:ascii="仿宋" w:hAnsi="仿宋" w:eastAsia="仿宋" w:cs="仿宋_GB2312"/>
          <w:b/>
          <w:bCs/>
        </w:rPr>
        <w:t>的，</w:t>
      </w:r>
      <w:r>
        <w:rPr>
          <w:rFonts w:hint="eastAsia" w:ascii="仿宋" w:hAnsi="仿宋" w:eastAsia="仿宋" w:cs="仿宋_GB2312"/>
          <w:b/>
          <w:bCs/>
        </w:rPr>
        <w:t>应当重新采购</w:t>
      </w:r>
      <w:r>
        <w:rPr>
          <w:rFonts w:ascii="仿宋" w:hAnsi="仿宋" w:eastAsia="仿宋" w:cs="仿宋_GB2312"/>
          <w:b/>
          <w:bCs/>
        </w:rPr>
        <w:t>。</w:t>
      </w:r>
    </w:p>
    <w:p>
      <w:pPr>
        <w:pStyle w:val="15"/>
        <w:rPr>
          <w:rFonts w:hint="eastAsia"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九、验收</w:t>
      </w:r>
    </w:p>
    <w:p>
      <w:pPr>
        <w:pStyle w:val="6"/>
        <w:spacing w:line="360" w:lineRule="auto"/>
        <w:ind w:firstLine="0" w:firstLineChars="0"/>
        <w:rPr>
          <w:rFonts w:hint="eastAsia" w:ascii="仿宋" w:hAnsi="仿宋" w:eastAsia="仿宋" w:cs="仿宋_GB2312"/>
          <w:b/>
        </w:rPr>
      </w:pPr>
      <w:r>
        <w:rPr>
          <w:rFonts w:hint="eastAsia" w:ascii="仿宋" w:hAnsi="仿宋" w:eastAsia="仿宋" w:cs="仿宋_GB2312"/>
          <w:b/>
        </w:rPr>
        <w:t>29.验收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cs="Helvetica"/>
          <w:kern w:val="0"/>
          <w:sz w:val="24"/>
          <w:lang w:eastAsia="zh-CN"/>
        </w:rPr>
        <w:t>中华人民共和国民法典</w:t>
      </w:r>
      <w:r>
        <w:rPr>
          <w:rFonts w:hint="eastAsia" w:ascii="仿宋" w:hAnsi="仿宋" w:eastAsia="仿宋" w:cs="Helvetica"/>
          <w:kern w:val="0"/>
          <w:sz w:val="24"/>
        </w:rPr>
        <w:t>》。供应商在履约过程中有政府采购法律法规规定的违法违规情形的，采购人应当及时报告本级财政部门。</w:t>
      </w: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pPr>
    </w:p>
    <w:p>
      <w:pPr>
        <w:pStyle w:val="15"/>
        <w:rPr>
          <w:rFonts w:hint="eastAsia" w:ascii="仿宋" w:hAnsi="仿宋" w:eastAsia="仿宋" w:cs="Helvetica"/>
          <w:kern w:val="0"/>
          <w:sz w:val="24"/>
        </w:rPr>
        <w:sectPr>
          <w:headerReference r:id="rId3" w:type="default"/>
          <w:footerReference r:id="rId4" w:type="default"/>
          <w:pgSz w:w="11906" w:h="16838"/>
          <w:pgMar w:top="680" w:right="1417" w:bottom="471" w:left="1417" w:header="851" w:footer="992" w:gutter="0"/>
          <w:pgNumType w:fmt="decimal"/>
          <w:cols w:space="720" w:num="1"/>
          <w:docGrid w:linePitch="312" w:charSpace="0"/>
        </w:sectPr>
      </w:pPr>
    </w:p>
    <w:p>
      <w:pPr>
        <w:pStyle w:val="15"/>
        <w:rPr>
          <w:rFonts w:hint="eastAsia" w:ascii="仿宋" w:hAnsi="仿宋" w:eastAsia="仿宋" w:cs="Helvetica"/>
          <w:kern w:val="0"/>
          <w:sz w:val="24"/>
        </w:rPr>
      </w:pPr>
    </w:p>
    <w:p>
      <w:pPr>
        <w:pStyle w:val="15"/>
        <w:numPr>
          <w:ilvl w:val="0"/>
          <w:numId w:val="3"/>
        </w:numPr>
        <w:jc w:val="center"/>
        <w:rPr>
          <w:rFonts w:hint="eastAsia" w:ascii="仿宋" w:hAnsi="仿宋" w:eastAsia="仿宋" w:cs="仿宋_GB2312"/>
          <w:b/>
          <w:sz w:val="36"/>
          <w:szCs w:val="36"/>
        </w:rPr>
      </w:pPr>
      <w:r>
        <w:rPr>
          <w:rFonts w:hint="eastAsia" w:ascii="仿宋" w:hAnsi="仿宋" w:eastAsia="仿宋" w:cs="仿宋_GB2312"/>
          <w:b/>
          <w:sz w:val="36"/>
          <w:szCs w:val="36"/>
        </w:rPr>
        <w:t xml:space="preserve">  采购需求</w:t>
      </w:r>
    </w:p>
    <w:p>
      <w:pPr>
        <w:adjustRightInd w:val="0"/>
        <w:snapToGrid w:val="0"/>
        <w:spacing w:line="400" w:lineRule="exact"/>
        <w:rPr>
          <w:rFonts w:hint="eastAsia" w:ascii="宋体" w:hAnsi="宋体"/>
          <w:bCs/>
          <w:sz w:val="24"/>
        </w:rPr>
      </w:pPr>
      <w:r>
        <w:rPr>
          <w:rFonts w:hint="eastAsia" w:ascii="宋体" w:hAnsi="宋体" w:cs="宋体"/>
          <w:b/>
          <w:bCs/>
          <w:kern w:val="0"/>
          <w:sz w:val="24"/>
          <w:szCs w:val="32"/>
        </w:rPr>
        <w:t>本</w:t>
      </w:r>
      <w:r>
        <w:rPr>
          <w:rFonts w:ascii="宋体" w:hAnsi="宋体" w:cs="宋体"/>
          <w:b/>
          <w:bCs/>
          <w:kern w:val="0"/>
          <w:sz w:val="24"/>
          <w:szCs w:val="32"/>
        </w:rPr>
        <w:t>清单数量</w:t>
      </w:r>
      <w:r>
        <w:rPr>
          <w:rFonts w:hint="eastAsia" w:ascii="宋体" w:hAnsi="宋体" w:cs="宋体"/>
          <w:b/>
          <w:bCs/>
          <w:kern w:val="0"/>
          <w:sz w:val="24"/>
          <w:szCs w:val="32"/>
        </w:rPr>
        <w:t>非</w:t>
      </w:r>
      <w:r>
        <w:rPr>
          <w:rFonts w:ascii="宋体" w:hAnsi="宋体" w:cs="宋体"/>
          <w:b/>
          <w:bCs/>
          <w:kern w:val="0"/>
          <w:sz w:val="24"/>
          <w:szCs w:val="32"/>
        </w:rPr>
        <w:t>最后完全准确数量，最终</w:t>
      </w:r>
      <w:r>
        <w:rPr>
          <w:rFonts w:hint="eastAsia" w:ascii="宋体" w:hAnsi="宋体" w:cs="宋体"/>
          <w:b/>
          <w:bCs/>
          <w:kern w:val="0"/>
          <w:sz w:val="24"/>
          <w:szCs w:val="32"/>
        </w:rPr>
        <w:t>交付</w:t>
      </w:r>
      <w:r>
        <w:rPr>
          <w:rFonts w:ascii="宋体" w:hAnsi="宋体" w:cs="宋体"/>
          <w:b/>
          <w:bCs/>
          <w:kern w:val="0"/>
          <w:sz w:val="24"/>
          <w:szCs w:val="32"/>
        </w:rPr>
        <w:t>数量</w:t>
      </w:r>
      <w:r>
        <w:rPr>
          <w:rFonts w:hint="eastAsia" w:ascii="宋体" w:hAnsi="宋体" w:cs="宋体"/>
          <w:b/>
          <w:bCs/>
          <w:kern w:val="0"/>
          <w:sz w:val="24"/>
          <w:szCs w:val="32"/>
        </w:rPr>
        <w:t>或</w:t>
      </w:r>
      <w:r>
        <w:rPr>
          <w:rFonts w:ascii="宋体" w:hAnsi="宋体" w:cs="宋体"/>
          <w:b/>
          <w:bCs/>
          <w:kern w:val="0"/>
          <w:sz w:val="24"/>
          <w:szCs w:val="32"/>
        </w:rPr>
        <w:t>微</w:t>
      </w:r>
      <w:r>
        <w:rPr>
          <w:rFonts w:hint="eastAsia" w:ascii="宋体" w:hAnsi="宋体" w:cs="宋体"/>
          <w:b/>
          <w:bCs/>
          <w:kern w:val="0"/>
          <w:sz w:val="24"/>
          <w:szCs w:val="32"/>
        </w:rPr>
        <w:t>有</w:t>
      </w:r>
      <w:r>
        <w:rPr>
          <w:rFonts w:ascii="宋体" w:hAnsi="宋体" w:cs="宋体"/>
          <w:b/>
          <w:bCs/>
          <w:kern w:val="0"/>
          <w:sz w:val="24"/>
          <w:szCs w:val="32"/>
        </w:rPr>
        <w:t>调整，最终以实际交货为准，</w:t>
      </w:r>
      <w:r>
        <w:rPr>
          <w:rFonts w:hint="eastAsia" w:ascii="宋体" w:hAnsi="宋体" w:cs="宋体"/>
          <w:b/>
          <w:bCs/>
          <w:kern w:val="0"/>
          <w:sz w:val="24"/>
          <w:szCs w:val="32"/>
        </w:rPr>
        <w:t>付款结账</w:t>
      </w:r>
      <w:r>
        <w:rPr>
          <w:rFonts w:ascii="宋体" w:hAnsi="宋体" w:cs="宋体"/>
          <w:b/>
          <w:bCs/>
          <w:kern w:val="0"/>
          <w:sz w:val="24"/>
          <w:szCs w:val="32"/>
        </w:rPr>
        <w:t>以</w:t>
      </w:r>
      <w:r>
        <w:rPr>
          <w:rFonts w:hint="eastAsia" w:ascii="宋体" w:hAnsi="宋体" w:cs="宋体"/>
          <w:b/>
          <w:bCs/>
          <w:kern w:val="0"/>
          <w:sz w:val="24"/>
          <w:szCs w:val="32"/>
        </w:rPr>
        <w:t>中标</w:t>
      </w:r>
      <w:r>
        <w:rPr>
          <w:rFonts w:ascii="宋体" w:hAnsi="宋体" w:cs="宋体"/>
          <w:b/>
          <w:bCs/>
          <w:kern w:val="0"/>
          <w:sz w:val="24"/>
          <w:szCs w:val="32"/>
        </w:rPr>
        <w:t>单位</w:t>
      </w:r>
      <w:r>
        <w:rPr>
          <w:rFonts w:hint="eastAsia" w:ascii="宋体" w:hAnsi="宋体" w:cs="宋体"/>
          <w:b/>
          <w:bCs/>
          <w:kern w:val="0"/>
          <w:sz w:val="24"/>
          <w:szCs w:val="32"/>
        </w:rPr>
        <w:t>单项</w:t>
      </w:r>
      <w:r>
        <w:rPr>
          <w:rFonts w:ascii="宋体" w:hAnsi="宋体" w:cs="宋体"/>
          <w:b/>
          <w:bCs/>
          <w:kern w:val="0"/>
          <w:sz w:val="24"/>
          <w:szCs w:val="32"/>
        </w:rPr>
        <w:t>产品报价按实</w:t>
      </w:r>
      <w:r>
        <w:rPr>
          <w:rFonts w:hint="eastAsia" w:ascii="宋体" w:hAnsi="宋体" w:cs="宋体"/>
          <w:b/>
          <w:bCs/>
          <w:kern w:val="0"/>
          <w:sz w:val="24"/>
          <w:szCs w:val="32"/>
        </w:rPr>
        <w:t>结算</w:t>
      </w:r>
      <w:r>
        <w:rPr>
          <w:rFonts w:ascii="宋体" w:hAnsi="宋体" w:cs="宋体"/>
          <w:b/>
          <w:bCs/>
          <w:kern w:val="0"/>
          <w:sz w:val="24"/>
          <w:szCs w:val="32"/>
        </w:rPr>
        <w:t>。</w:t>
      </w:r>
    </w:p>
    <w:tbl>
      <w:tblPr>
        <w:tblStyle w:val="12"/>
        <w:tblW w:w="0" w:type="auto"/>
        <w:tblInd w:w="103" w:type="dxa"/>
        <w:tblLayout w:type="fixed"/>
        <w:tblCellMar>
          <w:top w:w="0" w:type="dxa"/>
          <w:left w:w="108" w:type="dxa"/>
          <w:bottom w:w="0" w:type="dxa"/>
          <w:right w:w="108" w:type="dxa"/>
        </w:tblCellMar>
      </w:tblPr>
      <w:tblGrid>
        <w:gridCol w:w="800"/>
        <w:gridCol w:w="985"/>
        <w:gridCol w:w="2277"/>
        <w:gridCol w:w="1409"/>
        <w:gridCol w:w="7718"/>
        <w:gridCol w:w="791"/>
      </w:tblGrid>
      <w:tr>
        <w:tblPrEx>
          <w:tblCellMar>
            <w:top w:w="0" w:type="dxa"/>
            <w:left w:w="108" w:type="dxa"/>
            <w:bottom w:w="0" w:type="dxa"/>
            <w:right w:w="108" w:type="dxa"/>
          </w:tblCellMar>
        </w:tblPrEx>
        <w:trPr>
          <w:trHeight w:val="53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9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品名</w:t>
            </w:r>
          </w:p>
        </w:tc>
        <w:tc>
          <w:tcPr>
            <w:tcW w:w="22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参考图片</w:t>
            </w:r>
          </w:p>
        </w:tc>
        <w:tc>
          <w:tcPr>
            <w:tcW w:w="14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规格</w:t>
            </w:r>
          </w:p>
        </w:tc>
        <w:tc>
          <w:tcPr>
            <w:tcW w:w="7718"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rPr>
              <w:t>材质要求</w:t>
            </w:r>
          </w:p>
        </w:tc>
        <w:tc>
          <w:tcPr>
            <w:tcW w:w="7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r>
      <w:tr>
        <w:tblPrEx>
          <w:tblCellMar>
            <w:top w:w="0" w:type="dxa"/>
            <w:left w:w="108" w:type="dxa"/>
            <w:bottom w:w="0" w:type="dxa"/>
            <w:right w:w="108" w:type="dxa"/>
          </w:tblCellMar>
        </w:tblPrEx>
        <w:trPr>
          <w:trHeight w:val="2052" w:hRule="atLeast"/>
        </w:trPr>
        <w:tc>
          <w:tcPr>
            <w:tcW w:w="8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8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接待台</w:t>
            </w:r>
          </w:p>
        </w:tc>
        <w:tc>
          <w:tcPr>
            <w:tcW w:w="2277"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485900" cy="914400"/>
                  <wp:effectExtent l="0" t="0" r="0" b="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12"/>
                          <a:stretch>
                            <a:fillRect/>
                          </a:stretch>
                        </pic:blipFill>
                        <pic:spPr>
                          <a:xfrm>
                            <a:off x="0" y="0"/>
                            <a:ext cx="1485900" cy="9144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2820*900*1075</w:t>
            </w:r>
          </w:p>
        </w:tc>
        <w:tc>
          <w:tcPr>
            <w:tcW w:w="7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p>
          <w:p>
            <w:pPr>
              <w:widowControl/>
              <w:jc w:val="left"/>
              <w:textAlignment w:val="center"/>
              <w:rPr>
                <w:rFonts w:ascii="宋体" w:hAnsi="宋体" w:cs="宋体"/>
                <w:color w:val="000000"/>
                <w:sz w:val="16"/>
                <w:szCs w:val="16"/>
              </w:rPr>
            </w:pPr>
            <w:r>
              <w:rPr>
                <w:rFonts w:hint="eastAsia" w:ascii="宋体" w:hAnsi="宋体" w:cs="宋体"/>
                <w:color w:val="000000"/>
                <w:kern w:val="0"/>
                <w:szCs w:val="21"/>
                <w:lang w:bidi="ar"/>
              </w:rPr>
              <w:t>2、</w:t>
            </w:r>
            <w:r>
              <w:rPr>
                <w:rFonts w:ascii="宋体" w:hAnsi="宋体" w:cs="宋体"/>
                <w:color w:val="000000"/>
                <w:kern w:val="0"/>
                <w:szCs w:val="21"/>
                <w:lang w:bidi="ar"/>
              </w:rPr>
              <w:t>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r>
      <w:tr>
        <w:tblPrEx>
          <w:tblCellMar>
            <w:top w:w="0" w:type="dxa"/>
            <w:left w:w="108" w:type="dxa"/>
            <w:bottom w:w="0" w:type="dxa"/>
            <w:right w:w="108" w:type="dxa"/>
          </w:tblCellMar>
        </w:tblPrEx>
        <w:trPr>
          <w:trHeight w:val="1980" w:hRule="atLeast"/>
        </w:trPr>
        <w:tc>
          <w:tcPr>
            <w:tcW w:w="8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8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办公椅</w:t>
            </w:r>
          </w:p>
        </w:tc>
        <w:tc>
          <w:tcPr>
            <w:tcW w:w="2277"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38200" cy="1190625"/>
                  <wp:effectExtent l="0" t="0" r="0" b="952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3"/>
                          <a:stretch>
                            <a:fillRect/>
                          </a:stretch>
                        </pic:blipFill>
                        <pic:spPr>
                          <a:xfrm>
                            <a:off x="0" y="0"/>
                            <a:ext cx="838200" cy="11906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615*585*955</w:t>
            </w:r>
          </w:p>
        </w:tc>
        <w:tc>
          <w:tcPr>
            <w:tcW w:w="7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1、面料：优质网布面料，甲醛含量不得检出，pH值合格，无异味，可分解致癌芳香胺染料不得检出，耐酸汗渍色牢度、耐碱汗渍色牢度、耐水色牢度、耐干摩擦色牢度、耐磨性能等合格，可萃取重金属不得检出。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3、胶合板：12mmE1级优质</w:t>
            </w:r>
            <w:r>
              <w:rPr>
                <w:rFonts w:hint="eastAsia" w:ascii="宋体" w:hAnsi="宋体" w:cs="宋体"/>
                <w:color w:val="000000"/>
                <w:kern w:val="0"/>
                <w:szCs w:val="21"/>
                <w:lang w:bidi="ar"/>
              </w:rPr>
              <w:t>胶合板</w:t>
            </w:r>
            <w:r>
              <w:rPr>
                <w:rFonts w:ascii="宋体" w:hAnsi="宋体" w:cs="宋体"/>
                <w:color w:val="000000"/>
                <w:kern w:val="0"/>
                <w:szCs w:val="21"/>
                <w:lang w:bidi="ar"/>
              </w:rPr>
              <w:t>甲醛释放量≤0.05mg/m³,一次性热压成型</w:t>
            </w:r>
            <w:r>
              <w:rPr>
                <w:rFonts w:ascii="宋体" w:hAnsi="宋体" w:cs="宋体"/>
                <w:color w:val="000000"/>
                <w:kern w:val="0"/>
                <w:szCs w:val="21"/>
                <w:lang w:bidi="ar"/>
              </w:rPr>
              <w:br w:type="textWrapping"/>
            </w:r>
            <w:r>
              <w:rPr>
                <w:rFonts w:ascii="宋体" w:hAnsi="宋体" w:cs="宋体"/>
                <w:color w:val="000000"/>
                <w:kern w:val="0"/>
                <w:szCs w:val="21"/>
                <w:lang w:bidi="ar"/>
              </w:rPr>
              <w:t>4、扶手：固定ABS扶手,采用一体成型工艺，</w:t>
            </w:r>
            <w:r>
              <w:rPr>
                <w:rFonts w:hint="eastAsia" w:ascii="宋体" w:hAnsi="宋体" w:cs="宋体"/>
                <w:color w:val="000000"/>
                <w:kern w:val="0"/>
                <w:szCs w:val="21"/>
                <w:lang w:bidi="ar"/>
              </w:rPr>
              <w:t>其中塑料件外观要求合格，重金属未检出</w:t>
            </w:r>
            <w:r>
              <w:rPr>
                <w:rFonts w:ascii="宋体" w:hAnsi="宋体" w:cs="宋体"/>
                <w:color w:val="000000"/>
                <w:kern w:val="0"/>
                <w:szCs w:val="21"/>
                <w:lang w:bidi="ar"/>
              </w:rPr>
              <w:t xml:space="preserve"> </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5、底盘：优质精铸合金底盘机构，自负重同步倾仰功能</w:t>
            </w:r>
            <w:r>
              <w:rPr>
                <w:rFonts w:hint="eastAsia" w:ascii="宋体" w:hAnsi="宋体" w:cs="宋体"/>
                <w:color w:val="000000"/>
                <w:kern w:val="0"/>
                <w:szCs w:val="21"/>
                <w:lang w:bidi="ar"/>
              </w:rPr>
              <w:t>，外观要求：塑料件、金属件、涂层和镀层、其它均合格；金属喷漆（塑）涂层附着力合格，金属电镀层抗盐雾合格，中性盐雾试验耐腐蚀合格。</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6、气杆：进口优质气压棒，金属件、涂层和镀层、其它外观要求合格，理化性能要求、安全性要求合格；金属件涂层24h耐盐雾合格</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7、椅脚：黑色尼龙五星脚,内置加强工艺处理；</w:t>
            </w:r>
          </w:p>
          <w:p>
            <w:pPr>
              <w:widowControl/>
              <w:jc w:val="left"/>
              <w:textAlignment w:val="center"/>
              <w:rPr>
                <w:rFonts w:ascii="宋体" w:hAnsi="宋体" w:cs="宋体"/>
                <w:color w:val="000000"/>
                <w:sz w:val="16"/>
                <w:szCs w:val="16"/>
              </w:rPr>
            </w:pPr>
            <w:r>
              <w:rPr>
                <w:rFonts w:ascii="宋体" w:hAnsi="宋体" w:cs="宋体"/>
                <w:color w:val="000000"/>
                <w:kern w:val="0"/>
                <w:szCs w:val="21"/>
                <w:lang w:bidi="ar"/>
              </w:rPr>
              <w:t>8、椅轮：合成尼龙纤维树脂材料制成；要求外观、脚轮往复磨损试验合格。</w:t>
            </w:r>
          </w:p>
        </w:tc>
        <w:tc>
          <w:tcPr>
            <w:tcW w:w="79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127</w:t>
            </w:r>
          </w:p>
        </w:tc>
      </w:tr>
      <w:tr>
        <w:tblPrEx>
          <w:tblCellMar>
            <w:top w:w="0" w:type="dxa"/>
            <w:left w:w="108" w:type="dxa"/>
            <w:bottom w:w="0" w:type="dxa"/>
            <w:right w:w="108" w:type="dxa"/>
          </w:tblCellMar>
        </w:tblPrEx>
        <w:trPr>
          <w:trHeight w:val="131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洽谈椅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90575" cy="1143000"/>
                  <wp:effectExtent l="0" t="0" r="9525" b="0"/>
                  <wp:docPr id="8" name="图片 3"/>
                  <wp:cNvGraphicFramePr/>
                  <a:graphic xmlns:a="http://schemas.openxmlformats.org/drawingml/2006/main">
                    <a:graphicData uri="http://schemas.openxmlformats.org/drawingml/2006/picture">
                      <pic:pic xmlns:pic="http://schemas.openxmlformats.org/drawingml/2006/picture">
                        <pic:nvPicPr>
                          <pic:cNvPr id="8" name="图片 3"/>
                          <pic:cNvPicPr/>
                        </pic:nvPicPr>
                        <pic:blipFill>
                          <a:blip r:embed="rId14"/>
                          <a:stretch>
                            <a:fillRect/>
                          </a:stretch>
                        </pic:blipFill>
                        <pic:spPr>
                          <a:xfrm>
                            <a:off x="0" y="0"/>
                            <a:ext cx="790575" cy="11430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555*535*780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1、面料：优质网布面料，甲醛含量不得检出，pH值合格，无异味，可分解致癌芳香胺染料不得检出，耐酸汗渍色牢度、耐碱汗渍色牢度、耐水色牢度、耐干摩擦色牢度、耐磨性能等合格，可萃取重金属不得检出。</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2、海绵：优质高密度回弹，密度≥50kg/m³，甲醛释放量≤0.05mg/㎡</w:t>
            </w:r>
          </w:p>
          <w:p>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Cs w:val="21"/>
                <w:lang w:bidi="ar"/>
              </w:rPr>
              <w:t>3、胶合板：12mmE1级优质胶合板甲醛释放量≤0.05mg/m³,一次性热压成型</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r>
      <w:tr>
        <w:tblPrEx>
          <w:tblCellMar>
            <w:top w:w="0" w:type="dxa"/>
            <w:left w:w="108" w:type="dxa"/>
            <w:bottom w:w="0" w:type="dxa"/>
            <w:right w:w="108" w:type="dxa"/>
          </w:tblCellMar>
        </w:tblPrEx>
        <w:trPr>
          <w:trHeight w:val="1272"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会议椅</w:t>
            </w:r>
          </w:p>
          <w:p>
            <w:pPr>
              <w:widowControl/>
              <w:jc w:val="left"/>
              <w:textAlignment w:val="center"/>
              <w:rPr>
                <w:rFonts w:hint="eastAsia" w:ascii="宋体" w:hAnsi="宋体" w:cs="宋体"/>
                <w:color w:val="000000"/>
                <w:sz w:val="18"/>
                <w:szCs w:val="18"/>
              </w:rPr>
            </w:pP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571500" cy="828675"/>
                  <wp:effectExtent l="0" t="0" r="0" b="952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15"/>
                          <a:stretch>
                            <a:fillRect/>
                          </a:stretch>
                        </pic:blipFill>
                        <pic:spPr>
                          <a:xfrm>
                            <a:off x="0" y="0"/>
                            <a:ext cx="571500" cy="8286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24"/>
              </w:rPr>
            </w:pPr>
            <w:r>
              <w:rPr>
                <w:rFonts w:ascii="宋体" w:hAnsi="宋体" w:cs="宋体"/>
                <w:color w:val="000000"/>
                <w:kern w:val="0"/>
                <w:sz w:val="24"/>
                <w:lang w:bidi="ar"/>
              </w:rPr>
              <w:t>630*605*990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1、面料：优质网布面料，甲醛含量不得检出，pH值合格，无异味，可分解致癌芳香胺染料不得检出，耐酸汗渍色牢度、耐碱汗渍色牢度、耐水色牢度、耐干摩擦色牢度、耐磨性能等合格，可萃取重金属不得检出。</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海绵：优质高密度回弹，密度≥50kg/m³，甲醛释放量</w:t>
            </w:r>
            <w:r>
              <w:rPr>
                <w:rFonts w:hint="eastAsia" w:ascii="宋体" w:hAnsi="宋体" w:cs="宋体"/>
                <w:color w:val="000000"/>
                <w:kern w:val="0"/>
                <w:szCs w:val="21"/>
                <w:lang w:bidi="ar"/>
              </w:rPr>
              <w:t>≤0.05mg/㎡</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3、胶合板：12mmE1级优质胶合板甲醛释放量≤0.05mg/m³,一次性热压成型</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4、扶手：固定ABS扶手,采用一体成型工艺，其中塑料件外观要求合格，重金属未检出</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5、底盘：优质精铸合金底盘机构，自负重同步倾仰功能，外观要求：塑料件、金属件、涂层和镀层、其它均合格；金属喷漆（塑）涂层附着力合格，金属电镀层抗盐雾合格，中性盐雾试验耐腐蚀合格。</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6、气杆：进口优质气压棒，金属件、涂层和镀层、其它外观要求合格，理化性能要求、安全性要求合格；金属件涂层24h耐盐雾合格</w:t>
            </w:r>
            <w:r>
              <w:rPr>
                <w:rFonts w:ascii="宋体" w:hAnsi="宋体" w:cs="宋体"/>
                <w:color w:val="000000"/>
                <w:kern w:val="0"/>
                <w:szCs w:val="21"/>
                <w:lang w:bidi="ar"/>
              </w:rPr>
              <w:t xml:space="preserve"> </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7、椅脚：黑色尼龙五星脚,内置加强工艺处理；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8、椅轮：合成尼龙纤维树脂材料制成；要求外观、脚轮往复磨损试验合格。</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r>
      <w:tr>
        <w:tblPrEx>
          <w:tblCellMar>
            <w:top w:w="0" w:type="dxa"/>
            <w:left w:w="108" w:type="dxa"/>
            <w:bottom w:w="0" w:type="dxa"/>
            <w:right w:w="108" w:type="dxa"/>
          </w:tblCellMar>
        </w:tblPrEx>
        <w:trPr>
          <w:trHeight w:val="56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椅子</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85215" cy="1419225"/>
                  <wp:effectExtent l="0" t="0" r="635" b="9525"/>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16"/>
                          <a:stretch>
                            <a:fillRect/>
                          </a:stretch>
                        </pic:blipFill>
                        <pic:spPr>
                          <a:xfrm>
                            <a:off x="0" y="0"/>
                            <a:ext cx="1085215" cy="14192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常规</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框架：采用橡胶木实木，经杀虫和干燥处理，含水率小于12%，保证长时间使用不开裂、不变形。加工平整光洁，倒棱均匀，无瑕疵，整体牢固可靠，光滑无痕，椅子结合采用指接和榫接工艺，不松动，不脱胶，不溢胶，椅脚加橡皮防滑垫。</w:t>
            </w:r>
            <w:r>
              <w:rPr>
                <w:rFonts w:ascii="宋体" w:hAnsi="宋体" w:cs="宋体"/>
                <w:color w:val="000000"/>
                <w:kern w:val="0"/>
                <w:szCs w:val="21"/>
                <w:lang w:bidi="ar"/>
              </w:rPr>
              <w:br w:type="textWrapping"/>
            </w:r>
            <w:r>
              <w:rPr>
                <w:rFonts w:ascii="宋体" w:hAnsi="宋体" w:cs="宋体"/>
                <w:color w:val="000000"/>
                <w:kern w:val="0"/>
                <w:szCs w:val="21"/>
                <w:lang w:bidi="ar"/>
              </w:rPr>
              <w:t>2、面料：采用优质超纤皮</w:t>
            </w:r>
            <w:r>
              <w:rPr>
                <w:rFonts w:hint="eastAsia" w:ascii="宋体" w:hAnsi="宋体" w:cs="宋体"/>
                <w:color w:val="000000"/>
                <w:kern w:val="0"/>
                <w:szCs w:val="21"/>
                <w:lang w:bidi="ar"/>
              </w:rPr>
              <w:t>：禁用偶氮不得检出，游离甲醛不得检出。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3、海棉：</w:t>
            </w:r>
            <w:r>
              <w:rPr>
                <w:rFonts w:hint="eastAsia" w:ascii="宋体" w:hAnsi="宋体" w:cs="宋体"/>
                <w:color w:val="000000"/>
                <w:kern w:val="0"/>
                <w:szCs w:val="21"/>
                <w:lang w:bidi="ar"/>
              </w:rPr>
              <w:t>优质高密度回弹，其中25%压缩硬度、75%压缩永久变形、回弹率、撕裂强度、干热老化拉伸强度、湿热老化拉伸强度合格，座面密度≥50kg/m³，甲醛释放量≤0.05mg/㎡TVOC≤0.20mg/㎡</w:t>
            </w:r>
            <w:r>
              <w:rPr>
                <w:rFonts w:ascii="宋体" w:hAnsi="宋体" w:cs="宋体"/>
                <w:color w:val="000000"/>
                <w:kern w:val="0"/>
                <w:szCs w:val="21"/>
                <w:lang w:bidi="ar"/>
              </w:rPr>
              <w:br w:type="textWrapping"/>
            </w:r>
            <w:r>
              <w:rPr>
                <w:rFonts w:ascii="宋体" w:hAnsi="宋体" w:cs="宋体"/>
                <w:color w:val="000000"/>
                <w:kern w:val="0"/>
                <w:szCs w:val="21"/>
                <w:lang w:bidi="ar"/>
              </w:rPr>
              <w:t>4、水性漆：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44</w:t>
            </w:r>
          </w:p>
        </w:tc>
      </w:tr>
      <w:tr>
        <w:tblPrEx>
          <w:tblCellMar>
            <w:top w:w="0" w:type="dxa"/>
            <w:left w:w="108" w:type="dxa"/>
            <w:bottom w:w="0" w:type="dxa"/>
            <w:right w:w="108" w:type="dxa"/>
          </w:tblCellMar>
        </w:tblPrEx>
        <w:trPr>
          <w:trHeight w:val="1691"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76325" cy="1323975"/>
                  <wp:effectExtent l="0" t="0" r="9525" b="9525"/>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7"/>
                          <a:stretch>
                            <a:fillRect/>
                          </a:stretch>
                        </pic:blipFill>
                        <pic:spPr>
                          <a:xfrm>
                            <a:off x="0" y="0"/>
                            <a:ext cx="1076325" cy="13239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655*635*990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1、采用优质</w:t>
            </w:r>
            <w:r>
              <w:rPr>
                <w:rFonts w:hint="eastAsia" w:ascii="宋体" w:hAnsi="宋体" w:cs="宋体"/>
                <w:color w:val="000000"/>
                <w:kern w:val="0"/>
                <w:szCs w:val="21"/>
                <w:lang w:bidi="ar"/>
              </w:rPr>
              <w:t>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3、胶合板：12mmE1级优质胶合板甲醛释放量≤0.05mg/m³,一次性热压成型</w:t>
            </w:r>
            <w:r>
              <w:rPr>
                <w:rFonts w:ascii="宋体" w:hAnsi="宋体" w:cs="宋体"/>
                <w:color w:val="000000"/>
                <w:kern w:val="0"/>
                <w:szCs w:val="21"/>
                <w:lang w:bidi="ar"/>
              </w:rPr>
              <w:br w:type="textWrapping"/>
            </w:r>
            <w:r>
              <w:rPr>
                <w:rFonts w:ascii="宋体" w:hAnsi="宋体" w:cs="宋体"/>
                <w:color w:val="000000"/>
                <w:kern w:val="0"/>
                <w:szCs w:val="21"/>
                <w:lang w:bidi="ar"/>
              </w:rPr>
              <w:t>4、下架：壁厚≥2mm，表面镀银，闪银光面、灰白磨砂两种处理效果</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204</w:t>
            </w:r>
          </w:p>
        </w:tc>
      </w:tr>
      <w:tr>
        <w:tblPrEx>
          <w:tblCellMar>
            <w:top w:w="0" w:type="dxa"/>
            <w:left w:w="108" w:type="dxa"/>
            <w:bottom w:w="0" w:type="dxa"/>
            <w:right w:w="108" w:type="dxa"/>
          </w:tblCellMar>
        </w:tblPrEx>
        <w:trPr>
          <w:trHeight w:val="1967"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90575" cy="942975"/>
                  <wp:effectExtent l="0" t="0" r="9525" b="9525"/>
                  <wp:docPr id="2" name="图片 7"/>
                  <wp:cNvGraphicFramePr/>
                  <a:graphic xmlns:a="http://schemas.openxmlformats.org/drawingml/2006/main">
                    <a:graphicData uri="http://schemas.openxmlformats.org/drawingml/2006/picture">
                      <pic:pic xmlns:pic="http://schemas.openxmlformats.org/drawingml/2006/picture">
                        <pic:nvPicPr>
                          <pic:cNvPr id="2" name="图片 7"/>
                          <pic:cNvPicPr/>
                        </pic:nvPicPr>
                        <pic:blipFill>
                          <a:blip r:embed="rId18"/>
                          <a:stretch>
                            <a:fillRect/>
                          </a:stretch>
                        </pic:blipFill>
                        <pic:spPr>
                          <a:xfrm>
                            <a:off x="0" y="0"/>
                            <a:ext cx="790575" cy="9429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595*710*950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3、胶合板：12mmE1级优质胶合板甲醛释放量≤0.05mg/m³,一次性热压成型</w:t>
            </w:r>
            <w:r>
              <w:rPr>
                <w:rFonts w:ascii="宋体" w:hAnsi="宋体" w:cs="宋体"/>
                <w:color w:val="000000"/>
                <w:kern w:val="0"/>
                <w:szCs w:val="21"/>
                <w:lang w:bidi="ar"/>
              </w:rPr>
              <w:br w:type="textWrapping"/>
            </w:r>
            <w:r>
              <w:rPr>
                <w:rFonts w:ascii="宋体" w:hAnsi="宋体" w:cs="宋体"/>
                <w:color w:val="000000"/>
                <w:kern w:val="0"/>
                <w:szCs w:val="21"/>
                <w:lang w:bidi="ar"/>
              </w:rPr>
              <w:t>4、下架：壁厚≥2mm，表面镀银，闪银光面、灰白磨砂两种处理效果</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104</w:t>
            </w:r>
          </w:p>
        </w:tc>
      </w:tr>
      <w:tr>
        <w:tblPrEx>
          <w:tblCellMar>
            <w:top w:w="0" w:type="dxa"/>
            <w:left w:w="108" w:type="dxa"/>
            <w:bottom w:w="0" w:type="dxa"/>
            <w:right w:w="108" w:type="dxa"/>
          </w:tblCellMar>
        </w:tblPrEx>
        <w:trPr>
          <w:trHeight w:val="1967"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highlight w:val="yellow"/>
              </w:rPr>
            </w:pPr>
            <w:r>
              <w:rPr>
                <w:rFonts w:hint="eastAsia" w:ascii="宋体" w:hAnsi="宋体" w:cs="宋体"/>
                <w:kern w:val="0"/>
                <w:sz w:val="22"/>
                <w:szCs w:val="22"/>
              </w:rPr>
              <w:t>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大班椅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81125" cy="1066800"/>
                  <wp:effectExtent l="0" t="0" r="9525" b="0"/>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19"/>
                          <a:stretch>
                            <a:fillRect/>
                          </a:stretch>
                        </pic:blipFill>
                        <pic:spPr>
                          <a:xfrm>
                            <a:off x="0" y="0"/>
                            <a:ext cx="1381125" cy="10668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630*650*1165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1、采用</w:t>
            </w:r>
            <w:r>
              <w:rPr>
                <w:rFonts w:hint="eastAsia" w:ascii="宋体" w:hAnsi="宋体" w:cs="宋体"/>
                <w:color w:val="000000"/>
                <w:kern w:val="0"/>
                <w:szCs w:val="21"/>
                <w:lang w:bidi="ar"/>
              </w:rPr>
              <w:t>优质</w:t>
            </w:r>
            <w:r>
              <w:rPr>
                <w:rFonts w:hint="eastAsia" w:ascii="宋体" w:hAnsi="宋体" w:cs="宋体"/>
                <w:color w:val="000000"/>
                <w:kern w:val="0"/>
                <w:szCs w:val="21"/>
                <w:lang w:eastAsia="zh-CN" w:bidi="ar"/>
              </w:rPr>
              <w:t>牛皮</w:t>
            </w:r>
            <w:r>
              <w:rPr>
                <w:rFonts w:hint="eastAsia" w:ascii="宋体" w:hAnsi="宋体" w:cs="宋体"/>
                <w:color w:val="000000"/>
                <w:kern w:val="0"/>
                <w:szCs w:val="21"/>
                <w:lang w:val="en-US" w:eastAsia="zh-CN" w:bidi="ar"/>
              </w:rPr>
              <w:t>(真皮)</w:t>
            </w:r>
            <w:r>
              <w:rPr>
                <w:rFonts w:hint="eastAsia" w:ascii="宋体" w:hAnsi="宋体" w:cs="宋体"/>
                <w:color w:val="000000"/>
                <w:kern w:val="0"/>
                <w:szCs w:val="21"/>
                <w:lang w:bidi="ar"/>
              </w:rPr>
              <w:t>：禁用偶氮不得检出，游离甲醛不得检出。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3、胶合板：12mmE1级优质胶合板甲醛释放量≤0.05mg/m³,一次性热压成型</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4、扶手：固定ABS扶手,采用一体成型工艺，重金属不得检出。</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5、底盘：采用优质精铸合金底盘机构，自负重同步倾仰功能,要求金属喷漆（塑）涂层附着力合格，金属电镀层抗盐雾合格，中性盐雾试验耐腐蚀合格。</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6、气杆：进口优质气压棒，要求金属件、涂层和镀层、其它外观合格，理化性能要求、安全性要求合格；金属件涂层24h耐盐雾合格。</w:t>
            </w:r>
            <w:r>
              <w:rPr>
                <w:rFonts w:ascii="宋体" w:hAnsi="宋体" w:cs="宋体"/>
                <w:color w:val="000000"/>
                <w:kern w:val="0"/>
                <w:szCs w:val="21"/>
                <w:lang w:bidi="ar"/>
              </w:rPr>
              <w:br w:type="textWrapping"/>
            </w:r>
            <w:r>
              <w:rPr>
                <w:rFonts w:ascii="宋体" w:hAnsi="宋体" w:cs="宋体"/>
                <w:color w:val="000000"/>
                <w:kern w:val="0"/>
                <w:szCs w:val="21"/>
                <w:lang w:bidi="ar"/>
              </w:rPr>
              <w:t>7、椅脚：铝合金五星脚,内置加强工艺处理；要求外观合格，底座静载荷合格，中性盐雾试验耐腐蚀等级9级</w:t>
            </w:r>
            <w:r>
              <w:rPr>
                <w:rFonts w:ascii="宋体" w:hAnsi="宋体" w:cs="宋体"/>
                <w:color w:val="000000"/>
                <w:kern w:val="0"/>
                <w:szCs w:val="21"/>
                <w:lang w:bidi="ar"/>
              </w:rPr>
              <w:br w:type="textWrapping"/>
            </w:r>
            <w:r>
              <w:rPr>
                <w:rFonts w:ascii="宋体" w:hAnsi="宋体" w:cs="宋体"/>
                <w:color w:val="000000"/>
                <w:kern w:val="0"/>
                <w:szCs w:val="21"/>
                <w:lang w:bidi="ar"/>
              </w:rPr>
              <w:t>8、椅轮：合成尼龙纤维树脂材料制成；要求脚轮往复磨损试验合格。</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28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会椅椅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76325" cy="1143000"/>
                  <wp:effectExtent l="0" t="0" r="9525" b="0"/>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20"/>
                          <a:stretch>
                            <a:fillRect/>
                          </a:stretch>
                        </pic:blipFill>
                        <pic:spPr>
                          <a:xfrm>
                            <a:off x="0" y="0"/>
                            <a:ext cx="1076325" cy="11430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590*610*890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3、胶合板：12mmE1级优质胶合板甲醛释放量≤0.05mg/m³,一次性热压成型</w:t>
            </w:r>
            <w:r>
              <w:rPr>
                <w:rFonts w:ascii="宋体" w:hAnsi="宋体" w:cs="宋体"/>
                <w:color w:val="000000"/>
                <w:kern w:val="0"/>
                <w:szCs w:val="21"/>
                <w:lang w:bidi="ar"/>
              </w:rPr>
              <w:br w:type="textWrapping"/>
            </w:r>
            <w:r>
              <w:rPr>
                <w:rFonts w:ascii="宋体" w:hAnsi="宋体" w:cs="宋体"/>
                <w:color w:val="000000"/>
                <w:kern w:val="0"/>
                <w:szCs w:val="21"/>
                <w:lang w:bidi="ar"/>
              </w:rPr>
              <w:t>4、下架：壁厚≥2mm，表面镀银，闪银光面、灰白磨砂两种处理效果</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568</w:t>
            </w:r>
          </w:p>
        </w:tc>
      </w:tr>
      <w:tr>
        <w:tblPrEx>
          <w:tblCellMar>
            <w:top w:w="0" w:type="dxa"/>
            <w:left w:w="108" w:type="dxa"/>
            <w:bottom w:w="0" w:type="dxa"/>
            <w:right w:w="108" w:type="dxa"/>
          </w:tblCellMar>
        </w:tblPrEx>
        <w:trPr>
          <w:trHeight w:val="346"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吧椅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33500" cy="981075"/>
                  <wp:effectExtent l="0" t="0" r="0" b="9525"/>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21"/>
                          <a:stretch>
                            <a:fillRect/>
                          </a:stretch>
                        </pic:blipFill>
                        <pic:spPr>
                          <a:xfrm>
                            <a:off x="0" y="0"/>
                            <a:ext cx="1333500" cy="9810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525*525*935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1、背框:PP+30%玻纤,可承受1001N载荷强度试验,可在座面载荷109kg时,施加445N的力于背架上,执行</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120000次往复循环;</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2、椅架:实木水性漆架,甲醛释放量≤1.5mg/L,可承受136kg冲击及57kg耐久100000次冲击</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71600" cy="1514475"/>
                  <wp:effectExtent l="0" t="0" r="0" b="9525"/>
                  <wp:docPr id="12" name="图片 11"/>
                  <wp:cNvGraphicFramePr/>
                  <a:graphic xmlns:a="http://schemas.openxmlformats.org/drawingml/2006/main">
                    <a:graphicData uri="http://schemas.openxmlformats.org/drawingml/2006/picture">
                      <pic:pic xmlns:pic="http://schemas.openxmlformats.org/drawingml/2006/picture">
                        <pic:nvPicPr>
                          <pic:cNvPr id="12" name="图片 11"/>
                          <pic:cNvPicPr/>
                        </pic:nvPicPr>
                        <pic:blipFill>
                          <a:blip r:embed="rId22"/>
                          <a:stretch>
                            <a:fillRect/>
                          </a:stretch>
                        </pic:blipFill>
                        <pic:spPr>
                          <a:xfrm>
                            <a:off x="0" y="0"/>
                            <a:ext cx="1371600" cy="15144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504*530*765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kern w:val="0"/>
                <w:szCs w:val="21"/>
              </w:rPr>
              <w:t>成型胶合板：采用多次实木板环保成型胶合板，面贴防火板。厚度≥12mm。</w:t>
            </w:r>
            <w:r>
              <w:rPr>
                <w:kern w:val="0"/>
                <w:szCs w:val="21"/>
              </w:rPr>
              <w:br w:type="textWrapping"/>
            </w:r>
            <w:r>
              <w:rPr>
                <w:kern w:val="0"/>
                <w:szCs w:val="21"/>
              </w:rPr>
              <w:t>椅架：优质钢制四脚椅架，钢管壁厚≥1.5mm，经除油去锈、酸洗磷化后优质环保处理。</w:t>
            </w:r>
            <w:r>
              <w:rPr>
                <w:kern w:val="0"/>
                <w:szCs w:val="21"/>
              </w:rPr>
              <w:br w:type="textWrapping"/>
            </w:r>
            <w:r>
              <w:rPr>
                <w:color w:val="000000"/>
                <w:kern w:val="0"/>
                <w:szCs w:val="21"/>
              </w:rPr>
              <w:t>整体符合GB/T24821-2009餐桌餐椅标准要求。</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828</w:t>
            </w:r>
          </w:p>
        </w:tc>
      </w:tr>
      <w:tr>
        <w:tblPrEx>
          <w:tblCellMar>
            <w:top w:w="0" w:type="dxa"/>
            <w:left w:w="108" w:type="dxa"/>
            <w:bottom w:w="0" w:type="dxa"/>
            <w:right w:w="108" w:type="dxa"/>
          </w:tblCellMar>
        </w:tblPrEx>
        <w:trPr>
          <w:trHeight w:val="2001"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47140" cy="1237615"/>
                  <wp:effectExtent l="0" t="0" r="10160" b="635"/>
                  <wp:docPr id="13" name="图片 12"/>
                  <wp:cNvGraphicFramePr/>
                  <a:graphic xmlns:a="http://schemas.openxmlformats.org/drawingml/2006/main">
                    <a:graphicData uri="http://schemas.openxmlformats.org/drawingml/2006/picture">
                      <pic:pic xmlns:pic="http://schemas.openxmlformats.org/drawingml/2006/picture">
                        <pic:nvPicPr>
                          <pic:cNvPr id="13" name="图片 12"/>
                          <pic:cNvPicPr/>
                        </pic:nvPicPr>
                        <pic:blipFill>
                          <a:blip r:embed="rId23"/>
                          <a:stretch>
                            <a:fillRect/>
                          </a:stretch>
                        </pic:blipFill>
                        <pic:spPr>
                          <a:xfrm>
                            <a:off x="0" y="0"/>
                            <a:ext cx="1247140" cy="123761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490*500*980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1.面材：采用优质麻绒</w:t>
            </w:r>
            <w:r>
              <w:rPr>
                <w:rFonts w:hint="eastAsia" w:ascii="宋体" w:hAnsi="宋体" w:cs="宋体"/>
                <w:color w:val="000000"/>
                <w:kern w:val="0"/>
                <w:szCs w:val="21"/>
                <w:lang w:bidi="ar"/>
              </w:rPr>
              <w:t>，甲醛不得检出，PH值5.0~8.0之间，异味检测项无异味。</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3、脚架：材料为优质纯实木脚</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66</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57250" cy="1095375"/>
                  <wp:effectExtent l="0" t="0" r="0" b="9525"/>
                  <wp:docPr id="14" name="图片 13"/>
                  <wp:cNvGraphicFramePr/>
                  <a:graphic xmlns:a="http://schemas.openxmlformats.org/drawingml/2006/main">
                    <a:graphicData uri="http://schemas.openxmlformats.org/drawingml/2006/picture">
                      <pic:pic xmlns:pic="http://schemas.openxmlformats.org/drawingml/2006/picture">
                        <pic:nvPicPr>
                          <pic:cNvPr id="14" name="图片 13"/>
                          <pic:cNvPicPr/>
                        </pic:nvPicPr>
                        <pic:blipFill>
                          <a:blip r:embed="rId24"/>
                          <a:stretch>
                            <a:fillRect/>
                          </a:stretch>
                        </pic:blipFill>
                        <pic:spPr>
                          <a:xfrm>
                            <a:off x="0" y="0"/>
                            <a:ext cx="857250" cy="10953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570*520*815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3、脚架：材料为优质纯实木脚</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40</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00"/>
                <w:lang w:bidi="ar"/>
              </w:rPr>
              <w:drawing>
                <wp:inline distT="0" distB="0" distL="114300" distR="114300">
                  <wp:extent cx="1333500" cy="1552575"/>
                  <wp:effectExtent l="0" t="0" r="0" b="9525"/>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ic:nvPicPr>
                        <pic:blipFill>
                          <a:blip r:embed="rId25"/>
                          <a:stretch>
                            <a:fillRect/>
                          </a:stretch>
                        </pic:blipFill>
                        <pic:spPr>
                          <a:xfrm>
                            <a:off x="0" y="0"/>
                            <a:ext cx="1333500" cy="15525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640*580*1020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材质说明:</w:t>
            </w:r>
            <w:r>
              <w:rPr>
                <w:rFonts w:ascii="宋体" w:hAnsi="宋体" w:cs="宋体"/>
                <w:color w:val="000000"/>
                <w:kern w:val="0"/>
                <w:szCs w:val="21"/>
                <w:lang w:bidi="ar"/>
              </w:rPr>
              <w:br w:type="textWrapping"/>
            </w:r>
            <w:r>
              <w:rPr>
                <w:rFonts w:ascii="宋体" w:hAnsi="宋体" w:cs="宋体"/>
                <w:color w:val="000000"/>
                <w:kern w:val="0"/>
                <w:szCs w:val="21"/>
                <w:lang w:bidi="ar"/>
              </w:rPr>
              <w:t>1)</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2)背架:钢管背架,壁厚1.8mm,可承受1001N载荷强度试验,可在座面载荷109kg时,施加445N的力于背架上,执行120000次往复循环</w:t>
            </w:r>
            <w:r>
              <w:rPr>
                <w:rFonts w:ascii="宋体" w:hAnsi="宋体" w:cs="宋体"/>
                <w:color w:val="000000"/>
                <w:kern w:val="0"/>
                <w:szCs w:val="21"/>
                <w:lang w:bidi="ar"/>
              </w:rPr>
              <w:br w:type="textWrapping"/>
            </w:r>
            <w:r>
              <w:rPr>
                <w:rFonts w:ascii="宋体" w:hAnsi="宋体" w:cs="宋体"/>
                <w:color w:val="000000"/>
                <w:kern w:val="0"/>
                <w:szCs w:val="21"/>
                <w:lang w:bidi="ar"/>
              </w:rPr>
              <w:t>3)海绵：优质高密度回弹，密度≥50kg/m³，甲醛释放量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4)胶合板:E1级成型胶合板,甲醛释放量≤0.05mg/m³</w:t>
            </w:r>
            <w:r>
              <w:rPr>
                <w:rFonts w:ascii="宋体" w:hAnsi="宋体" w:cs="宋体"/>
                <w:color w:val="000000"/>
                <w:kern w:val="0"/>
                <w:szCs w:val="21"/>
                <w:lang w:bidi="ar"/>
              </w:rPr>
              <w:br w:type="textWrapping"/>
            </w:r>
            <w:r>
              <w:rPr>
                <w:rFonts w:ascii="宋体" w:hAnsi="宋体" w:cs="宋体"/>
                <w:color w:val="000000"/>
                <w:kern w:val="0"/>
                <w:szCs w:val="21"/>
                <w:lang w:bidi="ar"/>
              </w:rPr>
              <w:t>5)扶手:升降PU面扶手,</w:t>
            </w:r>
            <w:r>
              <w:rPr>
                <w:rFonts w:hint="eastAsia" w:ascii="宋体" w:hAnsi="宋体" w:cs="宋体"/>
                <w:color w:val="000000"/>
                <w:kern w:val="0"/>
                <w:szCs w:val="21"/>
                <w:lang w:bidi="ar"/>
              </w:rPr>
              <w:t xml:space="preserve"> 其中塑料件外观要求合格，重金属未检出，DBP、BBP未检出</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6)底盘:优质底盘,</w:t>
            </w:r>
            <w:r>
              <w:rPr>
                <w:rFonts w:hint="eastAsia" w:ascii="宋体" w:hAnsi="宋体" w:cs="宋体"/>
                <w:color w:val="000000"/>
                <w:kern w:val="0"/>
                <w:szCs w:val="21"/>
                <w:lang w:bidi="ar"/>
              </w:rPr>
              <w:t xml:space="preserve"> 其中外观要求：塑料件、金属件、涂层和镀层、其它均合格；金属喷漆（塑）涂层附着力合格，金属电镀层抗盐雾合格，中性盐雾试验耐腐蚀合格。</w:t>
            </w:r>
            <w:r>
              <w:rPr>
                <w:rFonts w:ascii="宋体" w:hAnsi="宋体" w:cs="宋体"/>
                <w:color w:val="000000"/>
                <w:kern w:val="0"/>
                <w:szCs w:val="21"/>
                <w:lang w:bidi="ar"/>
              </w:rPr>
              <w:br w:type="textWrapping"/>
            </w:r>
            <w:r>
              <w:rPr>
                <w:rFonts w:ascii="宋体" w:hAnsi="宋体" w:cs="宋体"/>
                <w:color w:val="000000"/>
                <w:kern w:val="0"/>
                <w:szCs w:val="21"/>
                <w:lang w:bidi="ar"/>
              </w:rPr>
              <w:t>7)气杆:</w:t>
            </w:r>
            <w:r>
              <w:rPr>
                <w:rFonts w:hint="eastAsia" w:ascii="宋体" w:hAnsi="宋体" w:cs="宋体"/>
                <w:color w:val="000000"/>
                <w:kern w:val="0"/>
                <w:szCs w:val="21"/>
                <w:lang w:bidi="ar"/>
              </w:rPr>
              <w:t xml:space="preserve"> 使用优质气杆，其中外观要求：金属件、涂层和镀层、其它外观要求合格，理化性能要求、安全性要求合格；金属件涂层24h耐盐雾合格</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8)五星脚:钢制电镀五星脚,镀层耐盐雾18h,可承受垂直方向施力11120N持续1分钟</w:t>
            </w:r>
            <w:r>
              <w:rPr>
                <w:rFonts w:ascii="宋体" w:hAnsi="宋体" w:cs="宋体"/>
                <w:color w:val="000000"/>
                <w:kern w:val="0"/>
                <w:szCs w:val="21"/>
                <w:lang w:bidi="ar"/>
              </w:rPr>
              <w:br w:type="textWrapping"/>
            </w:r>
            <w:r>
              <w:rPr>
                <w:rFonts w:ascii="宋体" w:hAnsi="宋体" w:cs="宋体"/>
                <w:color w:val="000000"/>
                <w:kern w:val="0"/>
                <w:szCs w:val="21"/>
                <w:lang w:bidi="ar"/>
              </w:rPr>
              <w:t>9)椅轮:PA轮,</w:t>
            </w:r>
            <w:r>
              <w:rPr>
                <w:rFonts w:hint="eastAsia" w:ascii="宋体" w:hAnsi="宋体" w:cs="宋体"/>
                <w:color w:val="000000"/>
                <w:kern w:val="0"/>
                <w:szCs w:val="21"/>
                <w:lang w:bidi="ar"/>
              </w:rPr>
              <w:t xml:space="preserve"> 其中外观要求、脚轮往复磨损试验合格。</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100</w:t>
            </w:r>
          </w:p>
        </w:tc>
      </w:tr>
      <w:tr>
        <w:tblPrEx>
          <w:tblCellMar>
            <w:top w:w="0" w:type="dxa"/>
            <w:left w:w="108" w:type="dxa"/>
            <w:bottom w:w="0" w:type="dxa"/>
            <w:right w:w="108" w:type="dxa"/>
          </w:tblCellMar>
        </w:tblPrEx>
        <w:trPr>
          <w:trHeight w:val="93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三人位沙发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62075" cy="714375"/>
                  <wp:effectExtent l="0" t="0" r="9525" b="9525"/>
                  <wp:docPr id="16" name="图片 15"/>
                  <wp:cNvGraphicFramePr/>
                  <a:graphic xmlns:a="http://schemas.openxmlformats.org/drawingml/2006/main">
                    <a:graphicData uri="http://schemas.openxmlformats.org/drawingml/2006/picture">
                      <pic:pic xmlns:pic="http://schemas.openxmlformats.org/drawingml/2006/picture">
                        <pic:nvPicPr>
                          <pic:cNvPr id="16" name="图片 15"/>
                          <pic:cNvPicPr/>
                        </pic:nvPicPr>
                        <pic:blipFill>
                          <a:blip r:embed="rId26"/>
                          <a:stretch>
                            <a:fillRect/>
                          </a:stretch>
                        </pic:blipFill>
                        <pic:spPr>
                          <a:xfrm>
                            <a:off x="0" y="0"/>
                            <a:ext cx="1362075" cy="7143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1950*800*790*440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22</w:t>
            </w:r>
          </w:p>
        </w:tc>
      </w:tr>
      <w:tr>
        <w:tblPrEx>
          <w:tblCellMar>
            <w:top w:w="0" w:type="dxa"/>
            <w:left w:w="108" w:type="dxa"/>
            <w:bottom w:w="0" w:type="dxa"/>
            <w:right w:w="108" w:type="dxa"/>
          </w:tblCellMar>
        </w:tblPrEx>
        <w:trPr>
          <w:trHeight w:val="841"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单人沙发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62075" cy="714375"/>
                  <wp:effectExtent l="0" t="0" r="9525" b="9525"/>
                  <wp:docPr id="17" name="图片 16"/>
                  <wp:cNvGraphicFramePr/>
                  <a:graphic xmlns:a="http://schemas.openxmlformats.org/drawingml/2006/main">
                    <a:graphicData uri="http://schemas.openxmlformats.org/drawingml/2006/picture">
                      <pic:pic xmlns:pic="http://schemas.openxmlformats.org/drawingml/2006/picture">
                        <pic:nvPicPr>
                          <pic:cNvPr id="17" name="图片 16"/>
                          <pic:cNvPicPr/>
                        </pic:nvPicPr>
                        <pic:blipFill>
                          <a:blip r:embed="rId26"/>
                          <a:stretch>
                            <a:fillRect/>
                          </a:stretch>
                        </pic:blipFill>
                        <pic:spPr>
                          <a:xfrm>
                            <a:off x="0" y="0"/>
                            <a:ext cx="1362075" cy="7143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810*800*790*440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1.面材：采用优质水性皮：禁用偶氮不得检出，游离甲醛不得检出。</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海绵：优质高密度回弹，密度≥50kg/m³，甲醛释放量</w:t>
            </w:r>
            <w:r>
              <w:rPr>
                <w:rFonts w:hint="eastAsia" w:ascii="宋体" w:hAnsi="宋体" w:cs="宋体"/>
                <w:color w:val="000000"/>
                <w:kern w:val="0"/>
                <w:szCs w:val="21"/>
                <w:lang w:bidi="ar"/>
              </w:rPr>
              <w:t>≤0.05mg/㎡</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3、内架：材料为优质落叶松及E1级夹板</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4、沙发脚：采用金属喷涂沙发脚。</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沙发（1楼休息区）</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28090" cy="866775"/>
                  <wp:effectExtent l="0" t="0" r="10160" b="9525"/>
                  <wp:docPr id="18" name="图片 17"/>
                  <wp:cNvGraphicFramePr/>
                  <a:graphic xmlns:a="http://schemas.openxmlformats.org/drawingml/2006/main">
                    <a:graphicData uri="http://schemas.openxmlformats.org/drawingml/2006/picture">
                      <pic:pic xmlns:pic="http://schemas.openxmlformats.org/drawingml/2006/picture">
                        <pic:nvPicPr>
                          <pic:cNvPr id="18" name="图片 17"/>
                          <pic:cNvPicPr/>
                        </pic:nvPicPr>
                        <pic:blipFill>
                          <a:blip r:embed="rId27"/>
                          <a:stretch>
                            <a:fillRect/>
                          </a:stretch>
                        </pic:blipFill>
                        <pic:spPr>
                          <a:xfrm>
                            <a:off x="0" y="0"/>
                            <a:ext cx="1228090" cy="8667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1080*1000*780*430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1.面材：优质麻绒面料</w:t>
            </w:r>
            <w:r>
              <w:rPr>
                <w:rFonts w:hint="eastAsia" w:ascii="宋体" w:hAnsi="宋体" w:cs="宋体"/>
                <w:color w:val="000000"/>
                <w:kern w:val="0"/>
                <w:szCs w:val="21"/>
                <w:lang w:bidi="ar"/>
              </w:rPr>
              <w:t>：甲醛不得检出，PH值5.0~8.0之间，异味检测项无异味。</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62000" cy="819150"/>
                  <wp:effectExtent l="0" t="0" r="0" b="0"/>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28"/>
                          <a:stretch>
                            <a:fillRect/>
                          </a:stretch>
                        </pic:blipFill>
                        <pic:spPr>
                          <a:xfrm>
                            <a:off x="0" y="0"/>
                            <a:ext cx="762000" cy="8191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980*370*240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1、面材：胡桃木木皮贴面，其厚度不小于0.6mm，含水率合格，甲醛释放量不得检出。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三人位沙发（包厢）</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37615" cy="942975"/>
                  <wp:effectExtent l="0" t="0" r="635" b="9525"/>
                  <wp:docPr id="20" name="图片 19"/>
                  <wp:cNvGraphicFramePr/>
                  <a:graphic xmlns:a="http://schemas.openxmlformats.org/drawingml/2006/main">
                    <a:graphicData uri="http://schemas.openxmlformats.org/drawingml/2006/picture">
                      <pic:pic xmlns:pic="http://schemas.openxmlformats.org/drawingml/2006/picture">
                        <pic:nvPicPr>
                          <pic:cNvPr id="20" name="图片 19"/>
                          <pic:cNvPicPr/>
                        </pic:nvPicPr>
                        <pic:blipFill>
                          <a:blip r:embed="rId29"/>
                          <a:stretch>
                            <a:fillRect/>
                          </a:stretch>
                        </pic:blipFill>
                        <pic:spPr>
                          <a:xfrm>
                            <a:off x="0" y="0"/>
                            <a:ext cx="1237615" cy="9429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2260*1000*780*430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1.面材：优质麻绒面料：甲醛不得检出，PH值5.0~8.0之间，异味检测项无异味。</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海绵：优质高密度回弹，密度≥50kg/m³，甲醛释放量</w:t>
            </w:r>
            <w:r>
              <w:rPr>
                <w:rFonts w:hint="eastAsia" w:ascii="宋体" w:hAnsi="宋体" w:cs="宋体"/>
                <w:color w:val="000000"/>
                <w:kern w:val="0"/>
                <w:szCs w:val="21"/>
                <w:lang w:bidi="ar"/>
              </w:rPr>
              <w:t>≤0.05mg/㎡</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3、内架：材料为优质落叶松及E1级夹板</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4、沙发脚：采用金属喷涂沙发脚。</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休闲沙发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00"/>
                <w:lang w:bidi="ar"/>
              </w:rPr>
              <w:drawing>
                <wp:inline distT="0" distB="0" distL="114300" distR="114300">
                  <wp:extent cx="894715" cy="781050"/>
                  <wp:effectExtent l="0" t="0" r="635" b="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30"/>
                          <a:stretch>
                            <a:fillRect/>
                          </a:stretch>
                        </pic:blipFill>
                        <pic:spPr>
                          <a:xfrm>
                            <a:off x="0" y="0"/>
                            <a:ext cx="894715" cy="7810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720*860*830*480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1、面料:优质麻绒面料, 甲醛不得检出，PH值5.0~8.0之间，异味检测项无异味。</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海绵：优质高密度回弹，密度≥50kg/m³，甲醛释放量</w:t>
            </w:r>
            <w:r>
              <w:rPr>
                <w:rFonts w:hint="eastAsia" w:ascii="宋体" w:hAnsi="宋体" w:cs="宋体"/>
                <w:color w:val="000000"/>
                <w:kern w:val="0"/>
                <w:szCs w:val="21"/>
                <w:lang w:bidi="ar"/>
              </w:rPr>
              <w:t>≤0.05mg/㎡</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3、扶手</w:t>
            </w:r>
            <w:r>
              <w:rPr>
                <w:rFonts w:hint="eastAsia" w:ascii="宋体" w:hAnsi="宋体" w:cs="宋体"/>
                <w:color w:val="000000"/>
                <w:kern w:val="0"/>
                <w:szCs w:val="21"/>
                <w:highlight w:val="none"/>
                <w:lang w:bidi="ar"/>
              </w:rPr>
              <w:t>：真皮包覆</w:t>
            </w:r>
            <w:r>
              <w:rPr>
                <w:rFonts w:hint="eastAsia" w:ascii="宋体" w:hAnsi="宋体" w:cs="宋体"/>
                <w:color w:val="000000"/>
                <w:kern w:val="0"/>
                <w:szCs w:val="21"/>
                <w:lang w:bidi="ar"/>
              </w:rPr>
              <w:t>：禁用偶氮不得检出，游离甲醛不得检出。</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4、钢架:表面耐腐蚀中性盐雾测试100h后无锈蚀、剥落、起皱;表面附着力≥2级;升降/折叠/伸缩耐久性测定20000次后,零部件无断裂、曲、变形、磨损、变形</w:t>
            </w:r>
          </w:p>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钢脚:表面涂层硬度≥H,冲击强度≥3.92J,无剥落,裂纹;附着力≥2级,喷涂喷塑件,耐腐蚀100H内,无气泡产生,100H后,应无锈迹,剥落,起皱,变色、失光现象;电镀件盐雾试验1周期,锈点应≤20点/dm²,其中直径≥1.5㎜,锈点不超过5个</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42</w:t>
            </w:r>
          </w:p>
        </w:tc>
      </w:tr>
      <w:tr>
        <w:tblPrEx>
          <w:tblCellMar>
            <w:top w:w="0" w:type="dxa"/>
            <w:left w:w="108" w:type="dxa"/>
            <w:bottom w:w="0" w:type="dxa"/>
            <w:right w:w="108" w:type="dxa"/>
          </w:tblCellMar>
        </w:tblPrEx>
        <w:trPr>
          <w:trHeight w:val="55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沙发组合（含3个小圆凳，2个茶几）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28700" cy="847725"/>
                  <wp:effectExtent l="0" t="0" r="0" b="9525"/>
                  <wp:docPr id="22" name="图片 21"/>
                  <wp:cNvGraphicFramePr/>
                  <a:graphic xmlns:a="http://schemas.openxmlformats.org/drawingml/2006/main">
                    <a:graphicData uri="http://schemas.openxmlformats.org/drawingml/2006/picture">
                      <pic:pic xmlns:pic="http://schemas.openxmlformats.org/drawingml/2006/picture">
                        <pic:nvPicPr>
                          <pic:cNvPr id="22" name="图片 21"/>
                          <pic:cNvPicPr/>
                        </pic:nvPicPr>
                        <pic:blipFill>
                          <a:blip r:embed="rId31"/>
                          <a:stretch>
                            <a:fillRect/>
                          </a:stretch>
                        </pic:blipFill>
                        <pic:spPr>
                          <a:xfrm>
                            <a:off x="0" y="0"/>
                            <a:ext cx="1028700" cy="8477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定制</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1.面材：采用优质</w:t>
            </w:r>
            <w:r>
              <w:rPr>
                <w:rFonts w:hint="eastAsia" w:ascii="宋体" w:hAnsi="宋体" w:cs="宋体"/>
                <w:color w:val="000000"/>
                <w:kern w:val="0"/>
                <w:szCs w:val="21"/>
                <w:lang w:bidi="ar"/>
              </w:rPr>
              <w:t>麻绒</w:t>
            </w:r>
            <w:r>
              <w:rPr>
                <w:rFonts w:ascii="宋体" w:hAnsi="宋体" w:cs="宋体"/>
                <w:color w:val="000000"/>
                <w:kern w:val="0"/>
                <w:szCs w:val="21"/>
                <w:lang w:bidi="ar"/>
              </w:rPr>
              <w:t>面料</w:t>
            </w:r>
            <w:r>
              <w:rPr>
                <w:rFonts w:hint="eastAsia" w:ascii="宋体" w:hAnsi="宋体" w:cs="宋体"/>
                <w:color w:val="000000"/>
                <w:kern w:val="0"/>
                <w:szCs w:val="21"/>
                <w:lang w:bidi="ar"/>
              </w:rPr>
              <w:t>，甲醛不得检出，PH值5.0~8.0之间，异味检测项无异味。</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单人位沙发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562100" cy="857250"/>
                  <wp:effectExtent l="0" t="0" r="0" b="0"/>
                  <wp:docPr id="23" name="图片 22"/>
                  <wp:cNvGraphicFramePr/>
                  <a:graphic xmlns:a="http://schemas.openxmlformats.org/drawingml/2006/main">
                    <a:graphicData uri="http://schemas.openxmlformats.org/drawingml/2006/picture">
                      <pic:pic xmlns:pic="http://schemas.openxmlformats.org/drawingml/2006/picture">
                        <pic:nvPicPr>
                          <pic:cNvPr id="23" name="图片 22"/>
                          <pic:cNvPicPr/>
                        </pic:nvPicPr>
                        <pic:blipFill>
                          <a:blip r:embed="rId32"/>
                          <a:stretch>
                            <a:fillRect/>
                          </a:stretch>
                        </pic:blipFill>
                        <pic:spPr>
                          <a:xfrm>
                            <a:off x="0" y="0"/>
                            <a:ext cx="1562100" cy="8572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730*830*890*430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hint="eastAsia" w:ascii="宋体" w:hAnsi="宋体" w:cs="宋体"/>
                <w:color w:val="000000"/>
                <w:kern w:val="0"/>
                <w:szCs w:val="21"/>
                <w:lang w:bidi="ar"/>
              </w:rPr>
              <w:t>、</w:t>
            </w:r>
            <w:r>
              <w:rPr>
                <w:rFonts w:ascii="宋体" w:hAnsi="宋体" w:cs="宋体"/>
                <w:color w:val="000000"/>
                <w:kern w:val="0"/>
                <w:szCs w:val="21"/>
                <w:lang w:bidi="ar"/>
              </w:rPr>
              <w:t>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三人沙发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562100" cy="857250"/>
                  <wp:effectExtent l="0" t="0" r="0" b="0"/>
                  <wp:docPr id="24" name="图片 23"/>
                  <wp:cNvGraphicFramePr/>
                  <a:graphic xmlns:a="http://schemas.openxmlformats.org/drawingml/2006/main">
                    <a:graphicData uri="http://schemas.openxmlformats.org/drawingml/2006/picture">
                      <pic:pic xmlns:pic="http://schemas.openxmlformats.org/drawingml/2006/picture">
                        <pic:nvPicPr>
                          <pic:cNvPr id="24" name="图片 23"/>
                          <pic:cNvPicPr/>
                        </pic:nvPicPr>
                        <pic:blipFill>
                          <a:blip r:embed="rId32"/>
                          <a:stretch>
                            <a:fillRect/>
                          </a:stretch>
                        </pic:blipFill>
                        <pic:spPr>
                          <a:xfrm>
                            <a:off x="0" y="0"/>
                            <a:ext cx="1562100" cy="8572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2010*970*800*430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w:t>
            </w:r>
            <w:r>
              <w:rPr>
                <w:rFonts w:hint="eastAsia" w:ascii="宋体" w:hAnsi="宋体" w:cs="宋体"/>
                <w:color w:val="000000"/>
                <w:kern w:val="0"/>
                <w:szCs w:val="21"/>
                <w:lang w:bidi="ar"/>
              </w:rPr>
              <w:t>、</w:t>
            </w:r>
            <w:r>
              <w:rPr>
                <w:rFonts w:ascii="宋体" w:hAnsi="宋体" w:cs="宋体"/>
                <w:color w:val="000000"/>
                <w:kern w:val="0"/>
                <w:szCs w:val="21"/>
                <w:lang w:bidi="ar"/>
              </w:rPr>
              <w:t>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单人沙发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14425" cy="847725"/>
                  <wp:effectExtent l="0" t="0" r="9525" b="9525"/>
                  <wp:docPr id="25" name="图片 24"/>
                  <wp:cNvGraphicFramePr/>
                  <a:graphic xmlns:a="http://schemas.openxmlformats.org/drawingml/2006/main">
                    <a:graphicData uri="http://schemas.openxmlformats.org/drawingml/2006/picture">
                      <pic:pic xmlns:pic="http://schemas.openxmlformats.org/drawingml/2006/picture">
                        <pic:nvPicPr>
                          <pic:cNvPr id="25" name="图片 24"/>
                          <pic:cNvPicPr/>
                        </pic:nvPicPr>
                        <pic:blipFill>
                          <a:blip r:embed="rId33"/>
                          <a:stretch>
                            <a:fillRect/>
                          </a:stretch>
                        </pic:blipFill>
                        <pic:spPr>
                          <a:xfrm>
                            <a:off x="0" y="0"/>
                            <a:ext cx="1114425" cy="8477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1100*830*880*460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1237"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三人沙发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980440" cy="542925"/>
                  <wp:effectExtent l="0" t="0" r="10160" b="9525"/>
                  <wp:docPr id="26" name="图片 25"/>
                  <wp:cNvGraphicFramePr/>
                  <a:graphic xmlns:a="http://schemas.openxmlformats.org/drawingml/2006/main">
                    <a:graphicData uri="http://schemas.openxmlformats.org/drawingml/2006/picture">
                      <pic:pic xmlns:pic="http://schemas.openxmlformats.org/drawingml/2006/picture">
                        <pic:nvPicPr>
                          <pic:cNvPr id="26" name="图片 25"/>
                          <pic:cNvPicPr/>
                        </pic:nvPicPr>
                        <pic:blipFill>
                          <a:blip r:embed="rId34"/>
                          <a:stretch>
                            <a:fillRect/>
                          </a:stretch>
                        </pic:blipFill>
                        <pic:spPr>
                          <a:xfrm>
                            <a:off x="0" y="0"/>
                            <a:ext cx="980440" cy="542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2150*830*880*460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100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沙发组合</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19200" cy="828675"/>
                  <wp:effectExtent l="0" t="0" r="0" b="9525"/>
                  <wp:docPr id="27" name="图片 26"/>
                  <wp:cNvGraphicFramePr/>
                  <a:graphic xmlns:a="http://schemas.openxmlformats.org/drawingml/2006/main">
                    <a:graphicData uri="http://schemas.openxmlformats.org/drawingml/2006/picture">
                      <pic:pic xmlns:pic="http://schemas.openxmlformats.org/drawingml/2006/picture">
                        <pic:nvPicPr>
                          <pic:cNvPr id="27" name="图片 26"/>
                          <pic:cNvPicPr/>
                        </pic:nvPicPr>
                        <pic:blipFill>
                          <a:blip r:embed="rId35"/>
                          <a:stretch>
                            <a:fillRect/>
                          </a:stretch>
                        </pic:blipFill>
                        <pic:spPr>
                          <a:xfrm>
                            <a:off x="0" y="0"/>
                            <a:ext cx="1219200" cy="8286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4300*2584*780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1.面材：采用优质</w:t>
            </w:r>
            <w:r>
              <w:rPr>
                <w:rFonts w:hint="eastAsia" w:ascii="宋体" w:hAnsi="宋体" w:cs="宋体"/>
                <w:color w:val="000000"/>
                <w:kern w:val="0"/>
                <w:szCs w:val="21"/>
                <w:lang w:bidi="ar"/>
              </w:rPr>
              <w:t>麻绒：甲醛不得检出，PH值5.0~8.0之间，异味检测项无异味。</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4、沙发脚：采用实木胡桃木沙发脚。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457325" cy="800100"/>
                  <wp:effectExtent l="0" t="0" r="9525" b="0"/>
                  <wp:docPr id="28" name="图片 27"/>
                  <wp:cNvGraphicFramePr/>
                  <a:graphic xmlns:a="http://schemas.openxmlformats.org/drawingml/2006/main">
                    <a:graphicData uri="http://schemas.openxmlformats.org/drawingml/2006/picture">
                      <pic:pic xmlns:pic="http://schemas.openxmlformats.org/drawingml/2006/picture">
                        <pic:nvPicPr>
                          <pic:cNvPr id="28" name="图片 27"/>
                          <pic:cNvPicPr/>
                        </pic:nvPicPr>
                        <pic:blipFill>
                          <a:blip r:embed="rId36"/>
                          <a:stretch>
                            <a:fillRect/>
                          </a:stretch>
                        </pic:blipFill>
                        <pic:spPr>
                          <a:xfrm>
                            <a:off x="0" y="0"/>
                            <a:ext cx="1457325" cy="8001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3600*1500*870*430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1.面材：优质</w:t>
            </w:r>
            <w:r>
              <w:rPr>
                <w:rFonts w:hint="eastAsia" w:ascii="宋体" w:hAnsi="宋体" w:cs="宋体"/>
                <w:color w:val="000000"/>
                <w:kern w:val="0"/>
                <w:szCs w:val="21"/>
                <w:lang w:bidi="ar"/>
              </w:rPr>
              <w:t>麻绒</w:t>
            </w:r>
            <w:r>
              <w:rPr>
                <w:rFonts w:ascii="宋体" w:hAnsi="宋体" w:cs="宋体"/>
                <w:color w:val="000000"/>
                <w:kern w:val="0"/>
                <w:szCs w:val="21"/>
                <w:lang w:bidi="ar"/>
              </w:rPr>
              <w:t>面料，</w:t>
            </w:r>
            <w:r>
              <w:rPr>
                <w:rFonts w:hint="eastAsia" w:ascii="宋体" w:hAnsi="宋体" w:cs="宋体"/>
                <w:color w:val="000000"/>
                <w:kern w:val="0"/>
                <w:szCs w:val="21"/>
                <w:lang w:bidi="ar"/>
              </w:rPr>
              <w:t>甲醛不得检出，PH值5.0~8.0之间，异味检测项无异味。</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00075" cy="648335"/>
                  <wp:effectExtent l="0" t="0" r="9525" b="18415"/>
                  <wp:docPr id="29" name="图片 28"/>
                  <wp:cNvGraphicFramePr/>
                  <a:graphic xmlns:a="http://schemas.openxmlformats.org/drawingml/2006/main">
                    <a:graphicData uri="http://schemas.openxmlformats.org/drawingml/2006/picture">
                      <pic:pic xmlns:pic="http://schemas.openxmlformats.org/drawingml/2006/picture">
                        <pic:nvPicPr>
                          <pic:cNvPr id="29" name="图片 28"/>
                          <pic:cNvPicPr/>
                        </pic:nvPicPr>
                        <pic:blipFill>
                          <a:blip r:embed="rId37"/>
                          <a:stretch>
                            <a:fillRect/>
                          </a:stretch>
                        </pic:blipFill>
                        <pic:spPr>
                          <a:xfrm>
                            <a:off x="0" y="0"/>
                            <a:ext cx="600075" cy="64833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710*640*830*450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1.面材：采用优质麻绒</w:t>
            </w:r>
            <w:r>
              <w:rPr>
                <w:rFonts w:hint="eastAsia" w:ascii="宋体" w:hAnsi="宋体" w:cs="宋体"/>
                <w:color w:val="000000"/>
                <w:kern w:val="0"/>
                <w:szCs w:val="21"/>
                <w:lang w:bidi="ar"/>
              </w:rPr>
              <w:t>，甲醛不得检出，PH值5.0~8.0之间，异味检测项无异味。</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单人位沙发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33425" cy="523875"/>
                  <wp:effectExtent l="0" t="0" r="9525" b="9525"/>
                  <wp:docPr id="30" name="图片 29"/>
                  <wp:cNvGraphicFramePr/>
                  <a:graphic xmlns:a="http://schemas.openxmlformats.org/drawingml/2006/main">
                    <a:graphicData uri="http://schemas.openxmlformats.org/drawingml/2006/picture">
                      <pic:pic xmlns:pic="http://schemas.openxmlformats.org/drawingml/2006/picture">
                        <pic:nvPicPr>
                          <pic:cNvPr id="30" name="图片 29"/>
                          <pic:cNvPicPr/>
                        </pic:nvPicPr>
                        <pic:blipFill>
                          <a:blip r:embed="rId38"/>
                          <a:stretch>
                            <a:fillRect/>
                          </a:stretch>
                        </pic:blipFill>
                        <pic:spPr>
                          <a:xfrm>
                            <a:off x="0" y="0"/>
                            <a:ext cx="733425" cy="5238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910*880*600*380 </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三人位沙发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14425" cy="609600"/>
                  <wp:effectExtent l="0" t="0" r="9525" b="0"/>
                  <wp:docPr id="31" name="图片 30"/>
                  <wp:cNvGraphicFramePr/>
                  <a:graphic xmlns:a="http://schemas.openxmlformats.org/drawingml/2006/main">
                    <a:graphicData uri="http://schemas.openxmlformats.org/drawingml/2006/picture">
                      <pic:pic xmlns:pic="http://schemas.openxmlformats.org/drawingml/2006/picture">
                        <pic:nvPicPr>
                          <pic:cNvPr id="31" name="图片 30"/>
                          <pic:cNvPicPr/>
                        </pic:nvPicPr>
                        <pic:blipFill>
                          <a:blip r:embed="rId39"/>
                          <a:stretch>
                            <a:fillRect/>
                          </a:stretch>
                        </pic:blipFill>
                        <pic:spPr>
                          <a:xfrm>
                            <a:off x="0" y="0"/>
                            <a:ext cx="1114425" cy="6096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2310*880*600*380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三人位沙发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28725" cy="704850"/>
                  <wp:effectExtent l="0" t="0" r="9525" b="0"/>
                  <wp:docPr id="32" name="图片 31"/>
                  <wp:cNvGraphicFramePr/>
                  <a:graphic xmlns:a="http://schemas.openxmlformats.org/drawingml/2006/main">
                    <a:graphicData uri="http://schemas.openxmlformats.org/drawingml/2006/picture">
                      <pic:pic xmlns:pic="http://schemas.openxmlformats.org/drawingml/2006/picture">
                        <pic:nvPicPr>
                          <pic:cNvPr id="32" name="图片 31"/>
                          <pic:cNvPicPr/>
                        </pic:nvPicPr>
                        <pic:blipFill>
                          <a:blip r:embed="rId40"/>
                          <a:stretch>
                            <a:fillRect/>
                          </a:stretch>
                        </pic:blipFill>
                        <pic:spPr>
                          <a:xfrm>
                            <a:off x="0" y="0"/>
                            <a:ext cx="1228725" cy="7048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210*760*73*4400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94690" cy="628650"/>
                  <wp:effectExtent l="0" t="0" r="10160" b="0"/>
                  <wp:docPr id="33" name="图片 32"/>
                  <wp:cNvGraphicFramePr/>
                  <a:graphic xmlns:a="http://schemas.openxmlformats.org/drawingml/2006/main">
                    <a:graphicData uri="http://schemas.openxmlformats.org/drawingml/2006/picture">
                      <pic:pic xmlns:pic="http://schemas.openxmlformats.org/drawingml/2006/picture">
                        <pic:nvPicPr>
                          <pic:cNvPr id="33" name="图片 32"/>
                          <pic:cNvPicPr/>
                        </pic:nvPicPr>
                        <pic:blipFill>
                          <a:blip r:embed="rId41"/>
                          <a:stretch>
                            <a:fillRect/>
                          </a:stretch>
                        </pic:blipFill>
                        <pic:spPr>
                          <a:xfrm>
                            <a:off x="0" y="0"/>
                            <a:ext cx="694690" cy="6286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660*660*790*450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1.面材：采用</w:t>
            </w:r>
            <w:r>
              <w:rPr>
                <w:rFonts w:hint="eastAsia" w:ascii="宋体" w:hAnsi="宋体" w:cs="宋体"/>
                <w:color w:val="000000"/>
                <w:kern w:val="0"/>
                <w:szCs w:val="21"/>
                <w:lang w:bidi="ar"/>
              </w:rPr>
              <w:t>优质水性皮：禁用偶氮不得检出，游离甲醛不得检出。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12</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接待沙发</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990600" cy="600075"/>
                  <wp:effectExtent l="0" t="0" r="0" b="9525"/>
                  <wp:docPr id="34" name="图片 33"/>
                  <wp:cNvGraphicFramePr/>
                  <a:graphic xmlns:a="http://schemas.openxmlformats.org/drawingml/2006/main">
                    <a:graphicData uri="http://schemas.openxmlformats.org/drawingml/2006/picture">
                      <pic:pic xmlns:pic="http://schemas.openxmlformats.org/drawingml/2006/picture">
                        <pic:nvPicPr>
                          <pic:cNvPr id="34" name="图片 33"/>
                          <pic:cNvPicPr/>
                        </pic:nvPicPr>
                        <pic:blipFill>
                          <a:blip r:embed="rId42"/>
                          <a:stretch>
                            <a:fillRect/>
                          </a:stretch>
                        </pic:blipFill>
                        <pic:spPr>
                          <a:xfrm>
                            <a:off x="0" y="0"/>
                            <a:ext cx="990600" cy="6000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1100*880*880*440 </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面料：优质布艺面料，甲醛释放量≤30mg/kg经过防污、抗菌、抗静电、耐色牢固、抗强度等表面加工处理，无异味，可分解致癌芳香胺染料：≤3mg/kg；耐水色牢度≥3级；耐干摩擦色牢度≥3级；可分解致癌芳香胺染料不得检出；</w:t>
            </w:r>
            <w:r>
              <w:rPr>
                <w:rFonts w:ascii="宋体" w:hAnsi="宋体" w:cs="宋体"/>
                <w:color w:val="000000"/>
                <w:kern w:val="0"/>
                <w:szCs w:val="21"/>
                <w:lang w:bidi="ar"/>
              </w:rPr>
              <w:br w:type="textWrapping"/>
            </w:r>
            <w:r>
              <w:rPr>
                <w:rFonts w:ascii="宋体" w:hAnsi="宋体" w:cs="宋体"/>
                <w:color w:val="000000"/>
                <w:kern w:val="0"/>
                <w:szCs w:val="21"/>
                <w:lang w:bidi="ar"/>
              </w:rPr>
              <w:t>2、海绵：优质高密度回弹，密度≥50kg/m³，甲醛释放量</w:t>
            </w:r>
            <w:r>
              <w:rPr>
                <w:rFonts w:hint="eastAsia" w:ascii="宋体" w:hAnsi="宋体" w:cs="宋体"/>
                <w:color w:val="000000"/>
                <w:kern w:val="0"/>
                <w:szCs w:val="21"/>
                <w:lang w:bidi="ar"/>
              </w:rPr>
              <w:t>≤0.05mg/㎡</w:t>
            </w:r>
            <w:r>
              <w:rPr>
                <w:rFonts w:ascii="宋体" w:hAnsi="宋体" w:cs="宋体"/>
                <w:color w:val="000000"/>
                <w:kern w:val="0"/>
                <w:szCs w:val="21"/>
                <w:lang w:bidi="ar"/>
              </w:rPr>
              <w:br w:type="textWrapping"/>
            </w:r>
            <w:r>
              <w:rPr>
                <w:rFonts w:ascii="宋体" w:hAnsi="宋体" w:cs="宋体"/>
                <w:color w:val="000000"/>
                <w:kern w:val="0"/>
                <w:szCs w:val="21"/>
                <w:lang w:bidi="ar"/>
              </w:rPr>
              <w:t>3、内架：材料为优质落叶松及E1级夹板</w:t>
            </w:r>
            <w:r>
              <w:rPr>
                <w:rFonts w:ascii="宋体" w:hAnsi="宋体" w:cs="宋体"/>
                <w:color w:val="000000"/>
                <w:kern w:val="0"/>
                <w:szCs w:val="21"/>
                <w:lang w:bidi="ar"/>
              </w:rPr>
              <w:br w:type="textWrapping"/>
            </w:r>
            <w:r>
              <w:rPr>
                <w:rFonts w:ascii="宋体" w:hAnsi="宋体" w:cs="宋体"/>
                <w:color w:val="000000"/>
                <w:kern w:val="0"/>
                <w:szCs w:val="21"/>
                <w:lang w:bidi="ar"/>
              </w:rPr>
              <w:t>4、沙发脚：采用金属喷涂沙发脚。</w:t>
            </w:r>
            <w:r>
              <w:rPr>
                <w:rFonts w:ascii="宋体" w:hAnsi="宋体" w:cs="宋体"/>
                <w:color w:val="000000"/>
                <w:kern w:val="0"/>
                <w:szCs w:val="21"/>
                <w:lang w:bidi="ar"/>
              </w:rPr>
              <w:br w:type="textWrapping"/>
            </w:r>
            <w:r>
              <w:rPr>
                <w:rFonts w:ascii="宋体" w:hAnsi="宋体" w:cs="宋体"/>
                <w:color w:val="000000"/>
                <w:kern w:val="0"/>
                <w:szCs w:val="21"/>
                <w:lang w:bidi="ar"/>
              </w:rPr>
              <w:t>5、沙发耐久性：60000次</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20</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19150" cy="542925"/>
                  <wp:effectExtent l="0" t="0" r="0" b="9525"/>
                  <wp:docPr id="35" name="图片 34"/>
                  <wp:cNvGraphicFramePr/>
                  <a:graphic xmlns:a="http://schemas.openxmlformats.org/drawingml/2006/main">
                    <a:graphicData uri="http://schemas.openxmlformats.org/drawingml/2006/picture">
                      <pic:pic xmlns:pic="http://schemas.openxmlformats.org/drawingml/2006/picture">
                        <pic:nvPicPr>
                          <pic:cNvPr id="35" name="图片 34"/>
                          <pic:cNvPicPr/>
                        </pic:nvPicPr>
                        <pic:blipFill>
                          <a:blip r:embed="rId43"/>
                          <a:stretch>
                            <a:fillRect/>
                          </a:stretch>
                        </pic:blipFill>
                        <pic:spPr>
                          <a:xfrm>
                            <a:off x="0" y="0"/>
                            <a:ext cx="819150" cy="542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700*700*420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3、五金：流星灰钢制下脚。</w:t>
            </w:r>
            <w:r>
              <w:rPr>
                <w:rFonts w:ascii="宋体" w:hAnsi="宋体" w:cs="宋体"/>
                <w:color w:val="000000"/>
                <w:kern w:val="0"/>
                <w:szCs w:val="21"/>
                <w:lang w:bidi="ar"/>
              </w:rPr>
              <w:br w:type="textWrapping"/>
            </w:r>
            <w:r>
              <w:rPr>
                <w:rFonts w:ascii="宋体" w:hAnsi="宋体" w:cs="宋体"/>
                <w:color w:val="000000"/>
                <w:kern w:val="0"/>
                <w:szCs w:val="21"/>
                <w:lang w:bidi="ar"/>
              </w:rPr>
              <w:t>4、水性漆：采用“水性环保水性漆，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09625" cy="542925"/>
                  <wp:effectExtent l="0" t="0" r="9525" b="9525"/>
                  <wp:docPr id="36" name="图片 35"/>
                  <wp:cNvGraphicFramePr/>
                  <a:graphic xmlns:a="http://schemas.openxmlformats.org/drawingml/2006/main">
                    <a:graphicData uri="http://schemas.openxmlformats.org/drawingml/2006/picture">
                      <pic:pic xmlns:pic="http://schemas.openxmlformats.org/drawingml/2006/picture">
                        <pic:nvPicPr>
                          <pic:cNvPr id="36" name="图片 35"/>
                          <pic:cNvPicPr/>
                        </pic:nvPicPr>
                        <pic:blipFill>
                          <a:blip r:embed="rId44"/>
                          <a:stretch>
                            <a:fillRect/>
                          </a:stretch>
                        </pic:blipFill>
                        <pic:spPr>
                          <a:xfrm>
                            <a:off x="0" y="0"/>
                            <a:ext cx="809625" cy="542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700*700*420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3、五金：流星灰钢制下脚。</w:t>
            </w:r>
            <w:r>
              <w:rPr>
                <w:rFonts w:ascii="宋体" w:hAnsi="宋体" w:cs="宋体"/>
                <w:color w:val="000000"/>
                <w:kern w:val="0"/>
                <w:szCs w:val="21"/>
                <w:lang w:bidi="ar"/>
              </w:rPr>
              <w:br w:type="textWrapping"/>
            </w:r>
            <w:r>
              <w:rPr>
                <w:rFonts w:ascii="宋体" w:hAnsi="宋体" w:cs="宋体"/>
                <w:color w:val="000000"/>
                <w:kern w:val="0"/>
                <w:szCs w:val="21"/>
                <w:lang w:bidi="ar"/>
              </w:rPr>
              <w:t>4、水性漆：采用“水性环保水性漆，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94690" cy="771525"/>
                  <wp:effectExtent l="0" t="0" r="10160" b="9525"/>
                  <wp:docPr id="37" name="图片 36"/>
                  <wp:cNvGraphicFramePr/>
                  <a:graphic xmlns:a="http://schemas.openxmlformats.org/drawingml/2006/main">
                    <a:graphicData uri="http://schemas.openxmlformats.org/drawingml/2006/picture">
                      <pic:pic xmlns:pic="http://schemas.openxmlformats.org/drawingml/2006/picture">
                        <pic:nvPicPr>
                          <pic:cNvPr id="37" name="图片 36"/>
                          <pic:cNvPicPr/>
                        </pic:nvPicPr>
                        <pic:blipFill>
                          <a:blip r:embed="rId45"/>
                          <a:stretch>
                            <a:fillRect/>
                          </a:stretch>
                        </pic:blipFill>
                        <pic:spPr>
                          <a:xfrm>
                            <a:off x="0" y="0"/>
                            <a:ext cx="694690" cy="7715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400*400*600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3、五金：流星灰钢制下脚。</w:t>
            </w:r>
            <w:r>
              <w:rPr>
                <w:rFonts w:ascii="宋体" w:hAnsi="宋体" w:cs="宋体"/>
                <w:color w:val="000000"/>
                <w:kern w:val="0"/>
                <w:szCs w:val="21"/>
                <w:lang w:bidi="ar"/>
              </w:rPr>
              <w:br w:type="textWrapping"/>
            </w:r>
            <w:r>
              <w:rPr>
                <w:rFonts w:ascii="宋体" w:hAnsi="宋体" w:cs="宋体"/>
                <w:color w:val="000000"/>
                <w:kern w:val="0"/>
                <w:szCs w:val="21"/>
                <w:lang w:bidi="ar"/>
              </w:rPr>
              <w:t>4、水性漆：采用“水性环保水性漆，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7</w:t>
            </w:r>
          </w:p>
        </w:tc>
      </w:tr>
      <w:tr>
        <w:tblPrEx>
          <w:tblCellMar>
            <w:top w:w="0" w:type="dxa"/>
            <w:left w:w="108" w:type="dxa"/>
            <w:bottom w:w="0" w:type="dxa"/>
            <w:right w:w="108" w:type="dxa"/>
          </w:tblCellMar>
        </w:tblPrEx>
        <w:trPr>
          <w:trHeight w:val="111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19785" cy="609600"/>
                  <wp:effectExtent l="0" t="0" r="18415" b="0"/>
                  <wp:docPr id="38" name="图片 37"/>
                  <wp:cNvGraphicFramePr/>
                  <a:graphic xmlns:a="http://schemas.openxmlformats.org/drawingml/2006/main">
                    <a:graphicData uri="http://schemas.openxmlformats.org/drawingml/2006/picture">
                      <pic:pic xmlns:pic="http://schemas.openxmlformats.org/drawingml/2006/picture">
                        <pic:nvPicPr>
                          <pic:cNvPr id="38" name="图片 37"/>
                          <pic:cNvPicPr/>
                        </pic:nvPicPr>
                        <pic:blipFill>
                          <a:blip r:embed="rId46"/>
                          <a:stretch>
                            <a:fillRect/>
                          </a:stretch>
                        </pic:blipFill>
                        <pic:spPr>
                          <a:xfrm>
                            <a:off x="0" y="0"/>
                            <a:ext cx="819785" cy="6096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600*600*400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w:t>
            </w:r>
          </w:p>
        </w:tc>
      </w:tr>
      <w:tr>
        <w:tblPrEx>
          <w:tblCellMar>
            <w:top w:w="0" w:type="dxa"/>
            <w:left w:w="108" w:type="dxa"/>
            <w:bottom w:w="0" w:type="dxa"/>
            <w:right w:w="108" w:type="dxa"/>
          </w:tblCellMar>
        </w:tblPrEx>
        <w:trPr>
          <w:trHeight w:val="1112"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981075" cy="619125"/>
                  <wp:effectExtent l="0" t="0" r="9525" b="9525"/>
                  <wp:docPr id="39" name="图片 38"/>
                  <wp:cNvGraphicFramePr/>
                  <a:graphic xmlns:a="http://schemas.openxmlformats.org/drawingml/2006/main">
                    <a:graphicData uri="http://schemas.openxmlformats.org/drawingml/2006/picture">
                      <pic:pic xmlns:pic="http://schemas.openxmlformats.org/drawingml/2006/picture">
                        <pic:nvPicPr>
                          <pic:cNvPr id="39" name="图片 38"/>
                          <pic:cNvPicPr/>
                        </pic:nvPicPr>
                        <pic:blipFill>
                          <a:blip r:embed="rId47"/>
                          <a:stretch>
                            <a:fillRect/>
                          </a:stretch>
                        </pic:blipFill>
                        <pic:spPr>
                          <a:xfrm>
                            <a:off x="0" y="0"/>
                            <a:ext cx="981075" cy="6191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1400*700*420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104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38175" cy="419100"/>
                  <wp:effectExtent l="0" t="0" r="9525" b="0"/>
                  <wp:docPr id="40" name="图片 39"/>
                  <wp:cNvGraphicFramePr/>
                  <a:graphic xmlns:a="http://schemas.openxmlformats.org/drawingml/2006/main">
                    <a:graphicData uri="http://schemas.openxmlformats.org/drawingml/2006/picture">
                      <pic:pic xmlns:pic="http://schemas.openxmlformats.org/drawingml/2006/picture">
                        <pic:nvPicPr>
                          <pic:cNvPr id="40" name="图片 39"/>
                          <pic:cNvPicPr/>
                        </pic:nvPicPr>
                        <pic:blipFill>
                          <a:blip r:embed="rId48"/>
                          <a:stretch>
                            <a:fillRect/>
                          </a:stretch>
                        </pic:blipFill>
                        <pic:spPr>
                          <a:xfrm>
                            <a:off x="0" y="0"/>
                            <a:ext cx="638175" cy="4191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1400*700*325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90575" cy="457200"/>
                  <wp:effectExtent l="0" t="0" r="9525" b="0"/>
                  <wp:docPr id="41" name="图片 40"/>
                  <wp:cNvGraphicFramePr/>
                  <a:graphic xmlns:a="http://schemas.openxmlformats.org/drawingml/2006/main">
                    <a:graphicData uri="http://schemas.openxmlformats.org/drawingml/2006/picture">
                      <pic:pic xmlns:pic="http://schemas.openxmlformats.org/drawingml/2006/picture">
                        <pic:nvPicPr>
                          <pic:cNvPr id="41" name="图片 40"/>
                          <pic:cNvPicPr/>
                        </pic:nvPicPr>
                        <pic:blipFill>
                          <a:blip r:embed="rId49"/>
                          <a:stretch>
                            <a:fillRect/>
                          </a:stretch>
                        </pic:blipFill>
                        <pic:spPr>
                          <a:xfrm>
                            <a:off x="0" y="0"/>
                            <a:ext cx="790575" cy="4572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1400*700*325 </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476250" cy="419100"/>
                  <wp:effectExtent l="0" t="0" r="0" b="0"/>
                  <wp:docPr id="42" name="图片 41"/>
                  <wp:cNvGraphicFramePr/>
                  <a:graphic xmlns:a="http://schemas.openxmlformats.org/drawingml/2006/main">
                    <a:graphicData uri="http://schemas.openxmlformats.org/drawingml/2006/picture">
                      <pic:pic xmlns:pic="http://schemas.openxmlformats.org/drawingml/2006/picture">
                        <pic:nvPicPr>
                          <pic:cNvPr id="42" name="图片 41"/>
                          <pic:cNvPicPr/>
                        </pic:nvPicPr>
                        <pic:blipFill>
                          <a:blip r:embed="rId50"/>
                          <a:stretch>
                            <a:fillRect/>
                          </a:stretch>
                        </pic:blipFill>
                        <pic:spPr>
                          <a:xfrm>
                            <a:off x="0" y="0"/>
                            <a:ext cx="476250" cy="4191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700*450*500 </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洽谈桌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85800" cy="619125"/>
                  <wp:effectExtent l="0" t="0" r="0" b="9525"/>
                  <wp:docPr id="43" name="图片 42"/>
                  <wp:cNvGraphicFramePr/>
                  <a:graphic xmlns:a="http://schemas.openxmlformats.org/drawingml/2006/main">
                    <a:graphicData uri="http://schemas.openxmlformats.org/drawingml/2006/picture">
                      <pic:pic xmlns:pic="http://schemas.openxmlformats.org/drawingml/2006/picture">
                        <pic:nvPicPr>
                          <pic:cNvPr id="43" name="图片 42"/>
                          <pic:cNvPicPr/>
                        </pic:nvPicPr>
                        <pic:blipFill>
                          <a:blip r:embed="rId51"/>
                          <a:stretch>
                            <a:fillRect/>
                          </a:stretch>
                        </pic:blipFill>
                        <pic:spPr>
                          <a:xfrm>
                            <a:off x="0" y="0"/>
                            <a:ext cx="685800" cy="6191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800*800*750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t xml:space="preserve"> </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静曲强度≥14Mpa，握螺钉力板面≥1200N，板边≥1000N，甲醛释放含量≤0.05mg/m³或≤0.5mg/L</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55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76325" cy="771525"/>
                  <wp:effectExtent l="0" t="0" r="9525" b="9525"/>
                  <wp:docPr id="44" name="图片 43"/>
                  <wp:cNvGraphicFramePr/>
                  <a:graphic xmlns:a="http://schemas.openxmlformats.org/drawingml/2006/main">
                    <a:graphicData uri="http://schemas.openxmlformats.org/drawingml/2006/picture">
                      <pic:pic xmlns:pic="http://schemas.openxmlformats.org/drawingml/2006/picture">
                        <pic:nvPicPr>
                          <pic:cNvPr id="44" name="图片 43"/>
                          <pic:cNvPicPr/>
                        </pic:nvPicPr>
                        <pic:blipFill>
                          <a:blip r:embed="rId52"/>
                          <a:stretch>
                            <a:fillRect/>
                          </a:stretch>
                        </pic:blipFill>
                        <pic:spPr>
                          <a:xfrm>
                            <a:off x="0" y="0"/>
                            <a:ext cx="1076325" cy="7715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1600*700*750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静曲强度≥14Mpa，握螺钉力板面≥1200N，板边≥1000N，甲醛释放含量≤0.05mg/m³或≤0.5mg/L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r>
      <w:tr>
        <w:tblPrEx>
          <w:tblCellMar>
            <w:top w:w="0" w:type="dxa"/>
            <w:left w:w="108" w:type="dxa"/>
            <w:bottom w:w="0" w:type="dxa"/>
            <w:right w:w="108" w:type="dxa"/>
          </w:tblCellMar>
        </w:tblPrEx>
        <w:trPr>
          <w:trHeight w:val="74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阅览桌（含桌面线盒）</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09675" cy="828675"/>
                  <wp:effectExtent l="0" t="0" r="9525" b="9525"/>
                  <wp:docPr id="45" name="图片 44"/>
                  <wp:cNvGraphicFramePr/>
                  <a:graphic xmlns:a="http://schemas.openxmlformats.org/drawingml/2006/main">
                    <a:graphicData uri="http://schemas.openxmlformats.org/drawingml/2006/picture">
                      <pic:pic xmlns:pic="http://schemas.openxmlformats.org/drawingml/2006/picture">
                        <pic:nvPicPr>
                          <pic:cNvPr id="45" name="图片 44"/>
                          <pic:cNvPicPr/>
                        </pic:nvPicPr>
                        <pic:blipFill>
                          <a:blip r:embed="rId53"/>
                          <a:stretch>
                            <a:fillRect/>
                          </a:stretch>
                        </pic:blipFill>
                        <pic:spPr>
                          <a:xfrm>
                            <a:off x="0" y="0"/>
                            <a:ext cx="1209675" cy="8286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2000*1000*750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34</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阅览桌（含桌面线盒）</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43000" cy="1066800"/>
                  <wp:effectExtent l="0" t="0" r="0" b="0"/>
                  <wp:docPr id="46" name="图片 45"/>
                  <wp:cNvGraphicFramePr/>
                  <a:graphic xmlns:a="http://schemas.openxmlformats.org/drawingml/2006/main">
                    <a:graphicData uri="http://schemas.openxmlformats.org/drawingml/2006/picture">
                      <pic:pic xmlns:pic="http://schemas.openxmlformats.org/drawingml/2006/picture">
                        <pic:nvPicPr>
                          <pic:cNvPr id="46" name="图片 45"/>
                          <pic:cNvPicPr/>
                        </pic:nvPicPr>
                        <pic:blipFill>
                          <a:blip r:embed="rId54"/>
                          <a:stretch>
                            <a:fillRect/>
                          </a:stretch>
                        </pic:blipFill>
                        <pic:spPr>
                          <a:xfrm>
                            <a:off x="0" y="0"/>
                            <a:ext cx="1143000" cy="10668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1600*800*760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33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洽谈椅</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drawing>
                <wp:inline distT="0" distB="0" distL="114300" distR="114300">
                  <wp:extent cx="686435" cy="676275"/>
                  <wp:effectExtent l="0" t="0" r="18415" b="9525"/>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ChangeAspect="1"/>
                          </pic:cNvPicPr>
                        </pic:nvPicPr>
                        <pic:blipFill>
                          <a:blip r:embed="rId55"/>
                          <a:stretch>
                            <a:fillRect/>
                          </a:stretch>
                        </pic:blipFill>
                        <pic:spPr>
                          <a:xfrm>
                            <a:off x="0" y="0"/>
                            <a:ext cx="686435" cy="6762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570*520*815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1、塑框：PP+GF塑框，三色可选</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2、1.7mm壁厚电镀H形椅架</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办公桌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52525" cy="647700"/>
                  <wp:effectExtent l="0" t="0" r="9525" b="0"/>
                  <wp:docPr id="48" name="图片 47"/>
                  <wp:cNvGraphicFramePr/>
                  <a:graphic xmlns:a="http://schemas.openxmlformats.org/drawingml/2006/main">
                    <a:graphicData uri="http://schemas.openxmlformats.org/drawingml/2006/picture">
                      <pic:pic xmlns:pic="http://schemas.openxmlformats.org/drawingml/2006/picture">
                        <pic:nvPicPr>
                          <pic:cNvPr id="48" name="图片 47"/>
                          <pic:cNvPicPr/>
                        </pic:nvPicPr>
                        <pic:blipFill>
                          <a:blip r:embed="rId56"/>
                          <a:stretch>
                            <a:fillRect/>
                          </a:stretch>
                        </pic:blipFill>
                        <pic:spPr>
                          <a:xfrm>
                            <a:off x="0" y="0"/>
                            <a:ext cx="1152525" cy="6477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1200*600*750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44</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23950" cy="990600"/>
                  <wp:effectExtent l="0" t="0" r="0" b="0"/>
                  <wp:docPr id="49" name="图片 48"/>
                  <wp:cNvGraphicFramePr/>
                  <a:graphic xmlns:a="http://schemas.openxmlformats.org/drawingml/2006/main">
                    <a:graphicData uri="http://schemas.openxmlformats.org/drawingml/2006/picture">
                      <pic:pic xmlns:pic="http://schemas.openxmlformats.org/drawingml/2006/picture">
                        <pic:nvPicPr>
                          <pic:cNvPr id="49" name="图片 48"/>
                          <pic:cNvPicPr/>
                        </pic:nvPicPr>
                        <pic:blipFill>
                          <a:blip r:embed="rId57"/>
                          <a:stretch>
                            <a:fillRect/>
                          </a:stretch>
                        </pic:blipFill>
                        <pic:spPr>
                          <a:xfrm>
                            <a:off x="0" y="0"/>
                            <a:ext cx="1123950" cy="9906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2400*1200*750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431"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主席台</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19150" cy="533400"/>
                  <wp:effectExtent l="0" t="0" r="0" b="0"/>
                  <wp:docPr id="50" name="图片 49"/>
                  <wp:cNvGraphicFramePr/>
                  <a:graphic xmlns:a="http://schemas.openxmlformats.org/drawingml/2006/main">
                    <a:graphicData uri="http://schemas.openxmlformats.org/drawingml/2006/picture">
                      <pic:pic xmlns:pic="http://schemas.openxmlformats.org/drawingml/2006/picture">
                        <pic:nvPicPr>
                          <pic:cNvPr id="50" name="图片 49"/>
                          <pic:cNvPicPr/>
                        </pic:nvPicPr>
                        <pic:blipFill>
                          <a:blip r:embed="rId58"/>
                          <a:stretch>
                            <a:fillRect/>
                          </a:stretch>
                        </pic:blipFill>
                        <pic:spPr>
                          <a:xfrm>
                            <a:off x="0" y="0"/>
                            <a:ext cx="819150" cy="5334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2000*600*760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14</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主席台</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19150" cy="533400"/>
                  <wp:effectExtent l="0" t="0" r="0" b="0"/>
                  <wp:docPr id="51" name="图片 50"/>
                  <wp:cNvGraphicFramePr/>
                  <a:graphic xmlns:a="http://schemas.openxmlformats.org/drawingml/2006/main">
                    <a:graphicData uri="http://schemas.openxmlformats.org/drawingml/2006/picture">
                      <pic:pic xmlns:pic="http://schemas.openxmlformats.org/drawingml/2006/picture">
                        <pic:nvPicPr>
                          <pic:cNvPr id="51" name="图片 50"/>
                          <pic:cNvPicPr/>
                        </pic:nvPicPr>
                        <pic:blipFill>
                          <a:blip r:embed="rId58"/>
                          <a:stretch>
                            <a:fillRect/>
                          </a:stretch>
                        </pic:blipFill>
                        <pic:spPr>
                          <a:xfrm>
                            <a:off x="0" y="0"/>
                            <a:ext cx="819150" cy="5334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1600*600*760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1、面材：胡桃木木皮贴面，厚度≥0.5mm；甲醛释放量≤0.05mg/m³。</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717"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条桌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00"/>
                <w:lang w:bidi="ar"/>
              </w:rPr>
              <w:drawing>
                <wp:inline distT="0" distB="0" distL="114300" distR="114300">
                  <wp:extent cx="952500" cy="600075"/>
                  <wp:effectExtent l="0" t="0" r="0" b="9525"/>
                  <wp:docPr id="52" name="图片 51"/>
                  <wp:cNvGraphicFramePr/>
                  <a:graphic xmlns:a="http://schemas.openxmlformats.org/drawingml/2006/main">
                    <a:graphicData uri="http://schemas.openxmlformats.org/drawingml/2006/picture">
                      <pic:pic xmlns:pic="http://schemas.openxmlformats.org/drawingml/2006/picture">
                        <pic:nvPicPr>
                          <pic:cNvPr id="52" name="图片 51"/>
                          <pic:cNvPicPr/>
                        </pic:nvPicPr>
                        <pic:blipFill>
                          <a:blip r:embed="rId59"/>
                          <a:stretch>
                            <a:fillRect/>
                          </a:stretch>
                        </pic:blipFill>
                        <pic:spPr>
                          <a:xfrm>
                            <a:off x="0" y="0"/>
                            <a:ext cx="952500" cy="6000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1400*450*760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         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230</w:t>
            </w:r>
          </w:p>
        </w:tc>
      </w:tr>
      <w:tr>
        <w:tblPrEx>
          <w:tblCellMar>
            <w:top w:w="0" w:type="dxa"/>
            <w:left w:w="108" w:type="dxa"/>
            <w:bottom w:w="0" w:type="dxa"/>
            <w:right w:w="108" w:type="dxa"/>
          </w:tblCellMar>
        </w:tblPrEx>
        <w:trPr>
          <w:trHeight w:val="363"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条桌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933450" cy="781050"/>
                  <wp:effectExtent l="0" t="0" r="0" b="0"/>
                  <wp:docPr id="53" name="图片 52"/>
                  <wp:cNvGraphicFramePr/>
                  <a:graphic xmlns:a="http://schemas.openxmlformats.org/drawingml/2006/main">
                    <a:graphicData uri="http://schemas.openxmlformats.org/drawingml/2006/picture">
                      <pic:pic xmlns:pic="http://schemas.openxmlformats.org/drawingml/2006/picture">
                        <pic:nvPicPr>
                          <pic:cNvPr id="53" name="图片 52"/>
                          <pic:cNvPicPr/>
                        </pic:nvPicPr>
                        <pic:blipFill>
                          <a:blip r:embed="rId60"/>
                          <a:stretch>
                            <a:fillRect/>
                          </a:stretch>
                        </pic:blipFill>
                        <pic:spPr>
                          <a:xfrm>
                            <a:off x="0" y="0"/>
                            <a:ext cx="933450" cy="7810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1400*450*760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108</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大班台</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43000" cy="733425"/>
                  <wp:effectExtent l="0" t="0" r="0" b="9525"/>
                  <wp:docPr id="54" name="图片 53"/>
                  <wp:cNvGraphicFramePr/>
                  <a:graphic xmlns:a="http://schemas.openxmlformats.org/drawingml/2006/main">
                    <a:graphicData uri="http://schemas.openxmlformats.org/drawingml/2006/picture">
                      <pic:pic xmlns:pic="http://schemas.openxmlformats.org/drawingml/2006/picture">
                        <pic:nvPicPr>
                          <pic:cNvPr id="54" name="图片 53"/>
                          <pic:cNvPicPr/>
                        </pic:nvPicPr>
                        <pic:blipFill>
                          <a:blip r:embed="rId61"/>
                          <a:stretch>
                            <a:fillRect/>
                          </a:stretch>
                        </pic:blipFill>
                        <pic:spPr>
                          <a:xfrm>
                            <a:off x="0" y="0"/>
                            <a:ext cx="1143000" cy="7334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2000*1600*760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高脚桌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04900" cy="1000125"/>
                  <wp:effectExtent l="0" t="0" r="0" b="9525"/>
                  <wp:docPr id="55" name="图片 54"/>
                  <wp:cNvGraphicFramePr/>
                  <a:graphic xmlns:a="http://schemas.openxmlformats.org/drawingml/2006/main">
                    <a:graphicData uri="http://schemas.openxmlformats.org/drawingml/2006/picture">
                      <pic:pic xmlns:pic="http://schemas.openxmlformats.org/drawingml/2006/picture">
                        <pic:nvPicPr>
                          <pic:cNvPr id="55" name="图片 54"/>
                          <pic:cNvPicPr/>
                        </pic:nvPicPr>
                        <pic:blipFill>
                          <a:blip r:embed="rId62"/>
                          <a:stretch>
                            <a:fillRect/>
                          </a:stretch>
                        </pic:blipFill>
                        <pic:spPr>
                          <a:xfrm>
                            <a:off x="0" y="0"/>
                            <a:ext cx="1104900" cy="10001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1600*800*1100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会议桌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85875" cy="790575"/>
                  <wp:effectExtent l="0" t="0" r="9525" b="9525"/>
                  <wp:docPr id="56" name="图片 55"/>
                  <wp:cNvGraphicFramePr/>
                  <a:graphic xmlns:a="http://schemas.openxmlformats.org/drawingml/2006/main">
                    <a:graphicData uri="http://schemas.openxmlformats.org/drawingml/2006/picture">
                      <pic:pic xmlns:pic="http://schemas.openxmlformats.org/drawingml/2006/picture">
                        <pic:nvPicPr>
                          <pic:cNvPr id="56" name="图片 55"/>
                          <pic:cNvPicPr/>
                        </pic:nvPicPr>
                        <pic:blipFill>
                          <a:blip r:embed="rId63"/>
                          <a:stretch>
                            <a:fillRect/>
                          </a:stretch>
                        </pic:blipFill>
                        <pic:spPr>
                          <a:xfrm>
                            <a:off x="0" y="0"/>
                            <a:ext cx="1285875" cy="7905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4600*1200*760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CellMar>
            <w:top w:w="0" w:type="dxa"/>
            <w:left w:w="108" w:type="dxa"/>
            <w:bottom w:w="0" w:type="dxa"/>
            <w:right w:w="108" w:type="dxa"/>
          </w:tblCellMar>
        </w:tblPrEx>
        <w:trPr>
          <w:trHeight w:val="751"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52550" cy="676275"/>
                  <wp:effectExtent l="0" t="0" r="0" b="9525"/>
                  <wp:docPr id="57" name="图片 56"/>
                  <wp:cNvGraphicFramePr/>
                  <a:graphic xmlns:a="http://schemas.openxmlformats.org/drawingml/2006/main">
                    <a:graphicData uri="http://schemas.openxmlformats.org/drawingml/2006/picture">
                      <pic:pic xmlns:pic="http://schemas.openxmlformats.org/drawingml/2006/picture">
                        <pic:nvPicPr>
                          <pic:cNvPr id="57" name="图片 56"/>
                          <pic:cNvPicPr/>
                        </pic:nvPicPr>
                        <pic:blipFill>
                          <a:blip r:embed="rId64"/>
                          <a:stretch>
                            <a:fillRect/>
                          </a:stretch>
                        </pic:blipFill>
                        <pic:spPr>
                          <a:xfrm>
                            <a:off x="0" y="0"/>
                            <a:ext cx="1352550" cy="6762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4000*1620*760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会议桌（开20个话筒孔和2个电源模块）</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09675" cy="542925"/>
                  <wp:effectExtent l="0" t="0" r="9525" b="9525"/>
                  <wp:docPr id="58" name="图片 57"/>
                  <wp:cNvGraphicFramePr/>
                  <a:graphic xmlns:a="http://schemas.openxmlformats.org/drawingml/2006/main">
                    <a:graphicData uri="http://schemas.openxmlformats.org/drawingml/2006/picture">
                      <pic:pic xmlns:pic="http://schemas.openxmlformats.org/drawingml/2006/picture">
                        <pic:nvPicPr>
                          <pic:cNvPr id="58" name="图片 57"/>
                          <pic:cNvPicPr/>
                        </pic:nvPicPr>
                        <pic:blipFill>
                          <a:blip r:embed="rId65"/>
                          <a:stretch>
                            <a:fillRect/>
                          </a:stretch>
                        </pic:blipFill>
                        <pic:spPr>
                          <a:xfrm>
                            <a:off x="0" y="0"/>
                            <a:ext cx="1209675" cy="542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7000*2000*760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会议桌（开20个话筒孔和2个电源模块）</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09675" cy="542925"/>
                  <wp:effectExtent l="0" t="0" r="9525" b="9525"/>
                  <wp:docPr id="59" name="图片 58"/>
                  <wp:cNvGraphicFramePr/>
                  <a:graphic xmlns:a="http://schemas.openxmlformats.org/drawingml/2006/main">
                    <a:graphicData uri="http://schemas.openxmlformats.org/drawingml/2006/picture">
                      <pic:pic xmlns:pic="http://schemas.openxmlformats.org/drawingml/2006/picture">
                        <pic:nvPicPr>
                          <pic:cNvPr id="59" name="图片 58"/>
                          <pic:cNvPicPr/>
                        </pic:nvPicPr>
                        <pic:blipFill>
                          <a:blip r:embed="rId65"/>
                          <a:stretch>
                            <a:fillRect/>
                          </a:stretch>
                        </pic:blipFill>
                        <pic:spPr>
                          <a:xfrm>
                            <a:off x="0" y="0"/>
                            <a:ext cx="1209675" cy="542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4000*1600*760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CellMar>
            <w:top w:w="0" w:type="dxa"/>
            <w:left w:w="108" w:type="dxa"/>
            <w:bottom w:w="0" w:type="dxa"/>
            <w:right w:w="108" w:type="dxa"/>
          </w:tblCellMar>
        </w:tblPrEx>
        <w:trPr>
          <w:trHeight w:val="408"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会议桌（开12个话筒孔和含2个电源模块）</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209675" cy="542925"/>
                  <wp:effectExtent l="0" t="0" r="9525" b="9525"/>
                  <wp:docPr id="60" name="图片 59"/>
                  <wp:cNvGraphicFramePr/>
                  <a:graphic xmlns:a="http://schemas.openxmlformats.org/drawingml/2006/main">
                    <a:graphicData uri="http://schemas.openxmlformats.org/drawingml/2006/picture">
                      <pic:pic xmlns:pic="http://schemas.openxmlformats.org/drawingml/2006/picture">
                        <pic:nvPicPr>
                          <pic:cNvPr id="60" name="图片 59"/>
                          <pic:cNvPicPr/>
                        </pic:nvPicPr>
                        <pic:blipFill>
                          <a:blip r:embed="rId65"/>
                          <a:stretch>
                            <a:fillRect/>
                          </a:stretch>
                        </pic:blipFill>
                        <pic:spPr>
                          <a:xfrm>
                            <a:off x="0" y="0"/>
                            <a:ext cx="1209675" cy="542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5300*2000*760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会议桌（开22个升降屏孔和22话筒孔和含2个电源模块）</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90650" cy="628650"/>
                  <wp:effectExtent l="0" t="0" r="0" b="0"/>
                  <wp:docPr id="61" name="图片 60"/>
                  <wp:cNvGraphicFramePr/>
                  <a:graphic xmlns:a="http://schemas.openxmlformats.org/drawingml/2006/main">
                    <a:graphicData uri="http://schemas.openxmlformats.org/drawingml/2006/picture">
                      <pic:pic xmlns:pic="http://schemas.openxmlformats.org/drawingml/2006/picture">
                        <pic:nvPicPr>
                          <pic:cNvPr id="61" name="图片 60"/>
                          <pic:cNvPicPr/>
                        </pic:nvPicPr>
                        <pic:blipFill>
                          <a:blip r:embed="rId66"/>
                          <a:stretch>
                            <a:fillRect/>
                          </a:stretch>
                        </pic:blipFill>
                        <pic:spPr>
                          <a:xfrm>
                            <a:off x="0" y="0"/>
                            <a:ext cx="1390650" cy="6286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10000*2800*760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2、基材：甲醛释放含量≤0.05mg/m³或≤0.5mg/L</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两人文件柜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33425" cy="876300"/>
                  <wp:effectExtent l="0" t="0" r="9525" b="0"/>
                  <wp:docPr id="62" name="图片 61"/>
                  <wp:cNvGraphicFramePr/>
                  <a:graphic xmlns:a="http://schemas.openxmlformats.org/drawingml/2006/main">
                    <a:graphicData uri="http://schemas.openxmlformats.org/drawingml/2006/picture">
                      <pic:pic xmlns:pic="http://schemas.openxmlformats.org/drawingml/2006/picture">
                        <pic:nvPicPr>
                          <pic:cNvPr id="62" name="图片 61"/>
                          <pic:cNvPicPr/>
                        </pic:nvPicPr>
                        <pic:blipFill>
                          <a:blip r:embed="rId67"/>
                          <a:stretch>
                            <a:fillRect/>
                          </a:stretch>
                        </pic:blipFill>
                        <pic:spPr>
                          <a:xfrm>
                            <a:off x="0" y="0"/>
                            <a:ext cx="733425" cy="8763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1576*400*1840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茶水柜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94740" cy="971550"/>
                  <wp:effectExtent l="0" t="0" r="10160" b="0"/>
                  <wp:docPr id="63" name="图片 62"/>
                  <wp:cNvGraphicFramePr/>
                  <a:graphic xmlns:a="http://schemas.openxmlformats.org/drawingml/2006/main">
                    <a:graphicData uri="http://schemas.openxmlformats.org/drawingml/2006/picture">
                      <pic:pic xmlns:pic="http://schemas.openxmlformats.org/drawingml/2006/picture">
                        <pic:nvPicPr>
                          <pic:cNvPr id="63" name="图片 62"/>
                          <pic:cNvPicPr/>
                        </pic:nvPicPr>
                        <pic:blipFill>
                          <a:blip r:embed="rId68"/>
                          <a:stretch>
                            <a:fillRect/>
                          </a:stretch>
                        </pic:blipFill>
                        <pic:spPr>
                          <a:xfrm>
                            <a:off x="0" y="0"/>
                            <a:ext cx="1094740" cy="9715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800*400*750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w:t>
            </w:r>
          </w:p>
        </w:tc>
      </w:tr>
      <w:tr>
        <w:tblPrEx>
          <w:tblCellMar>
            <w:top w:w="0" w:type="dxa"/>
            <w:left w:w="108" w:type="dxa"/>
            <w:bottom w:w="0" w:type="dxa"/>
            <w:right w:w="108" w:type="dxa"/>
          </w:tblCellMar>
        </w:tblPrEx>
        <w:trPr>
          <w:trHeight w:val="76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侧柜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09625" cy="619125"/>
                  <wp:effectExtent l="0" t="0" r="9525" b="9525"/>
                  <wp:docPr id="64" name="图片 63"/>
                  <wp:cNvGraphicFramePr/>
                  <a:graphic xmlns:a="http://schemas.openxmlformats.org/drawingml/2006/main">
                    <a:graphicData uri="http://schemas.openxmlformats.org/drawingml/2006/picture">
                      <pic:pic xmlns:pic="http://schemas.openxmlformats.org/drawingml/2006/picture">
                        <pic:nvPicPr>
                          <pic:cNvPr id="64" name="图片 63"/>
                          <pic:cNvPicPr/>
                        </pic:nvPicPr>
                        <pic:blipFill>
                          <a:blip r:embed="rId69"/>
                          <a:stretch>
                            <a:fillRect/>
                          </a:stretch>
                        </pic:blipFill>
                        <pic:spPr>
                          <a:xfrm>
                            <a:off x="0" y="0"/>
                            <a:ext cx="809625" cy="619125"/>
                          </a:xfrm>
                          <a:prstGeom prst="rect">
                            <a:avLst/>
                          </a:prstGeom>
                          <a:noFill/>
                          <a:ln>
                            <a:noFill/>
                          </a:ln>
                        </pic:spPr>
                      </pic:pic>
                    </a:graphicData>
                  </a:graphic>
                </wp:inline>
              </w:drawing>
            </w:r>
            <w:r>
              <w:rPr>
                <w:rFonts w:ascii="宋体" w:hAnsi="宋体" w:cs="宋体"/>
                <w:color w:val="000000"/>
                <w:kern w:val="0"/>
                <w:sz w:val="18"/>
                <w:szCs w:val="18"/>
                <w:bdr w:val="single" w:color="000000" w:sz="4" w:space="0"/>
                <w:shd w:val="clear" w:color="auto" w:fill="FFFFFF"/>
                <w:lang w:bidi="ar"/>
              </w:rPr>
              <w:drawing>
                <wp:inline distT="0" distB="0" distL="114300" distR="114300">
                  <wp:extent cx="647700" cy="552450"/>
                  <wp:effectExtent l="0" t="0" r="0" b="0"/>
                  <wp:docPr id="65" name="图片 64"/>
                  <wp:cNvGraphicFramePr/>
                  <a:graphic xmlns:a="http://schemas.openxmlformats.org/drawingml/2006/main">
                    <a:graphicData uri="http://schemas.openxmlformats.org/drawingml/2006/picture">
                      <pic:pic xmlns:pic="http://schemas.openxmlformats.org/drawingml/2006/picture">
                        <pic:nvPicPr>
                          <pic:cNvPr id="65" name="图片 64"/>
                          <pic:cNvPicPr/>
                        </pic:nvPicPr>
                        <pic:blipFill>
                          <a:blip r:embed="rId70"/>
                          <a:stretch>
                            <a:fillRect/>
                          </a:stretch>
                        </pic:blipFill>
                        <pic:spPr>
                          <a:xfrm>
                            <a:off x="0" y="0"/>
                            <a:ext cx="647700" cy="5524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1500*450*650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24</w:t>
            </w:r>
          </w:p>
        </w:tc>
      </w:tr>
      <w:tr>
        <w:tblPrEx>
          <w:tblCellMar>
            <w:top w:w="0" w:type="dxa"/>
            <w:left w:w="108" w:type="dxa"/>
            <w:bottom w:w="0" w:type="dxa"/>
            <w:right w:w="108" w:type="dxa"/>
          </w:tblCellMar>
        </w:tblPrEx>
        <w:trPr>
          <w:trHeight w:val="895"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智能存包柜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333375" cy="676275"/>
                  <wp:effectExtent l="0" t="0" r="9525" b="9525"/>
                  <wp:docPr id="66" name="图片 65"/>
                  <wp:cNvGraphicFramePr/>
                  <a:graphic xmlns:a="http://schemas.openxmlformats.org/drawingml/2006/main">
                    <a:graphicData uri="http://schemas.openxmlformats.org/drawingml/2006/picture">
                      <pic:pic xmlns:pic="http://schemas.openxmlformats.org/drawingml/2006/picture">
                        <pic:nvPicPr>
                          <pic:cNvPr id="66" name="图片 65"/>
                          <pic:cNvPicPr/>
                        </pic:nvPicPr>
                        <pic:blipFill>
                          <a:blip r:embed="rId71"/>
                          <a:stretch>
                            <a:fillRect/>
                          </a:stretch>
                        </pic:blipFill>
                        <pic:spPr>
                          <a:xfrm>
                            <a:off x="0" y="0"/>
                            <a:ext cx="333375" cy="6762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850*480*1800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采用优质优质冷轧钢板，其中硬度、冲击强度、耐腐蚀、附着力、18h抗盐雾、耐液、耐干热均合格；有害物质限量未检出；钢板厚度≥1.020mm。</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9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定制柜子</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62075" cy="904875"/>
                  <wp:effectExtent l="0" t="0" r="9525" b="9525"/>
                  <wp:docPr id="67" name="图片 66"/>
                  <wp:cNvGraphicFramePr/>
                  <a:graphic xmlns:a="http://schemas.openxmlformats.org/drawingml/2006/main">
                    <a:graphicData uri="http://schemas.openxmlformats.org/drawingml/2006/picture">
                      <pic:pic xmlns:pic="http://schemas.openxmlformats.org/drawingml/2006/picture">
                        <pic:nvPicPr>
                          <pic:cNvPr id="67" name="图片 66"/>
                          <pic:cNvPicPr/>
                        </pic:nvPicPr>
                        <pic:blipFill>
                          <a:blip r:embed="rId72"/>
                          <a:stretch>
                            <a:fillRect/>
                          </a:stretch>
                        </pic:blipFill>
                        <pic:spPr>
                          <a:xfrm>
                            <a:off x="0" y="0"/>
                            <a:ext cx="1362075" cy="9048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1000*400*1800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1、面材：胡桃木木皮贴面，要求厚度不小于0.6mm，含水率合格，甲醛释放量不得检出。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2、基材：甲醛释放含量≤0.05mg/m³或≤0.5mg/L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3.水性漆：采用水性环保水性漆，可溶性重金属含量不得检出。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16米</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定制柜子</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57225" cy="838200"/>
                  <wp:effectExtent l="0" t="0" r="9525" b="0"/>
                  <wp:docPr id="68" name="图片 67"/>
                  <wp:cNvGraphicFramePr/>
                  <a:graphic xmlns:a="http://schemas.openxmlformats.org/drawingml/2006/main">
                    <a:graphicData uri="http://schemas.openxmlformats.org/drawingml/2006/picture">
                      <pic:pic xmlns:pic="http://schemas.openxmlformats.org/drawingml/2006/picture">
                        <pic:nvPicPr>
                          <pic:cNvPr id="68" name="图片 67"/>
                          <pic:cNvPicPr/>
                        </pic:nvPicPr>
                        <pic:blipFill>
                          <a:blip r:embed="rId73"/>
                          <a:stretch>
                            <a:fillRect/>
                          </a:stretch>
                        </pic:blipFill>
                        <pic:spPr>
                          <a:xfrm>
                            <a:off x="0" y="0"/>
                            <a:ext cx="657225" cy="8382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800*500*2000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1、面材：采用优质樟木制作，表面无明显疤痕；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2、框架：采用樟木实木制作；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3、水性漆：采用水性环保水性漆，可溶性重金属含量不得检出。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4、五金件：选用优质品牌五金件；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5、环保标准：总成品甲醛释放量≤1.5mg/L，胶黏剂符合国标要求；成品家具漆膜附着力不低于3级，耐磨性不低于3级，耐干热性（70℃）不低于3级，符合国标要求。                                                                                 6、木材含水率符合国标要求。</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43</w:t>
            </w:r>
          </w:p>
        </w:tc>
      </w:tr>
      <w:tr>
        <w:tblPrEx>
          <w:tblCellMar>
            <w:top w:w="0" w:type="dxa"/>
            <w:left w:w="108" w:type="dxa"/>
            <w:bottom w:w="0" w:type="dxa"/>
            <w:right w:w="108" w:type="dxa"/>
          </w:tblCellMar>
        </w:tblPrEx>
        <w:trPr>
          <w:trHeight w:val="1344"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茶水柜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57225" cy="628650"/>
                  <wp:effectExtent l="0" t="0" r="9525" b="0"/>
                  <wp:docPr id="69" name="图片 68"/>
                  <wp:cNvGraphicFramePr/>
                  <a:graphic xmlns:a="http://schemas.openxmlformats.org/drawingml/2006/main">
                    <a:graphicData uri="http://schemas.openxmlformats.org/drawingml/2006/picture">
                      <pic:pic xmlns:pic="http://schemas.openxmlformats.org/drawingml/2006/picture">
                        <pic:nvPicPr>
                          <pic:cNvPr id="69" name="图片 68"/>
                          <pic:cNvPicPr/>
                        </pic:nvPicPr>
                        <pic:blipFill>
                          <a:blip r:embed="rId74"/>
                          <a:stretch>
                            <a:fillRect/>
                          </a:stretch>
                        </pic:blipFill>
                        <pic:spPr>
                          <a:xfrm>
                            <a:off x="0" y="0"/>
                            <a:ext cx="657225" cy="62865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813*400*800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13</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边柜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352550" cy="847725"/>
                  <wp:effectExtent l="0" t="0" r="0" b="9525"/>
                  <wp:docPr id="70" name="图片 69"/>
                  <wp:cNvGraphicFramePr/>
                  <a:graphic xmlns:a="http://schemas.openxmlformats.org/drawingml/2006/main">
                    <a:graphicData uri="http://schemas.openxmlformats.org/drawingml/2006/picture">
                      <pic:pic xmlns:pic="http://schemas.openxmlformats.org/drawingml/2006/picture">
                        <pic:nvPicPr>
                          <pic:cNvPr id="70" name="图片 69"/>
                          <pic:cNvPicPr/>
                        </pic:nvPicPr>
                        <pic:blipFill>
                          <a:blip r:embed="rId75"/>
                          <a:stretch>
                            <a:fillRect/>
                          </a:stretch>
                        </pic:blipFill>
                        <pic:spPr>
                          <a:xfrm>
                            <a:off x="0" y="0"/>
                            <a:ext cx="1352550" cy="8477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1621*400*805</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16</w:t>
            </w:r>
          </w:p>
        </w:tc>
      </w:tr>
      <w:tr>
        <w:tblPrEx>
          <w:tblCellMar>
            <w:top w:w="0" w:type="dxa"/>
            <w:left w:w="108" w:type="dxa"/>
            <w:bottom w:w="0" w:type="dxa"/>
            <w:right w:w="108" w:type="dxa"/>
          </w:tblCellMar>
        </w:tblPrEx>
        <w:trPr>
          <w:trHeight w:val="67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十八门工具柜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723900" cy="723900"/>
                  <wp:effectExtent l="0" t="0" r="0" b="0"/>
                  <wp:docPr id="71" name="图片 70"/>
                  <wp:cNvGraphicFramePr/>
                  <a:graphic xmlns:a="http://schemas.openxmlformats.org/drawingml/2006/main">
                    <a:graphicData uri="http://schemas.openxmlformats.org/drawingml/2006/picture">
                      <pic:pic xmlns:pic="http://schemas.openxmlformats.org/drawingml/2006/picture">
                        <pic:nvPicPr>
                          <pic:cNvPr id="71" name="图片 70"/>
                          <pic:cNvPicPr/>
                        </pic:nvPicPr>
                        <pic:blipFill>
                          <a:blip r:embed="rId76"/>
                          <a:stretch>
                            <a:fillRect/>
                          </a:stretch>
                        </pic:blipFill>
                        <pic:spPr>
                          <a:xfrm>
                            <a:off x="0" y="0"/>
                            <a:ext cx="723900" cy="7239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900*400*1800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采用优质优质冷轧钢板，其中硬度、冲击强度、耐腐蚀、附着力、18h抗盐雾、耐液、耐干热均合格；有害物质限量未检出；钢板厚度≥1.020mm。</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文件柜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885190" cy="1038225"/>
                  <wp:effectExtent l="0" t="0" r="10160" b="9525"/>
                  <wp:docPr id="72" name="图片 71"/>
                  <wp:cNvGraphicFramePr/>
                  <a:graphic xmlns:a="http://schemas.openxmlformats.org/drawingml/2006/main">
                    <a:graphicData uri="http://schemas.openxmlformats.org/drawingml/2006/picture">
                      <pic:pic xmlns:pic="http://schemas.openxmlformats.org/drawingml/2006/picture">
                        <pic:nvPicPr>
                          <pic:cNvPr id="72" name="图片 71"/>
                          <pic:cNvPicPr/>
                        </pic:nvPicPr>
                        <pic:blipFill>
                          <a:blip r:embed="rId77"/>
                          <a:stretch>
                            <a:fillRect/>
                          </a:stretch>
                        </pic:blipFill>
                        <pic:spPr>
                          <a:xfrm>
                            <a:off x="0" y="0"/>
                            <a:ext cx="885190" cy="10382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hint="eastAsia" w:ascii="宋体" w:hAnsi="宋体" w:cs="宋体"/>
                <w:color w:val="000000"/>
                <w:sz w:val="18"/>
                <w:szCs w:val="18"/>
              </w:rPr>
            </w:pPr>
            <w:r>
              <w:rPr>
                <w:rFonts w:ascii="宋体" w:hAnsi="宋体" w:cs="宋体"/>
                <w:color w:val="000000"/>
                <w:kern w:val="0"/>
                <w:sz w:val="18"/>
                <w:szCs w:val="18"/>
                <w:lang w:bidi="ar"/>
              </w:rPr>
              <w:t>800*500*1490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16</w:t>
            </w:r>
          </w:p>
        </w:tc>
      </w:tr>
      <w:tr>
        <w:tblPrEx>
          <w:tblCellMar>
            <w:top w:w="0" w:type="dxa"/>
            <w:left w:w="108" w:type="dxa"/>
            <w:bottom w:w="0" w:type="dxa"/>
            <w:right w:w="108" w:type="dxa"/>
          </w:tblCellMar>
        </w:tblPrEx>
        <w:trPr>
          <w:trHeight w:val="118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文件柜（含挂衣杠）</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438275" cy="876300"/>
                  <wp:effectExtent l="0" t="0" r="9525" b="0"/>
                  <wp:docPr id="73" name="图片 72"/>
                  <wp:cNvGraphicFramePr/>
                  <a:graphic xmlns:a="http://schemas.openxmlformats.org/drawingml/2006/main">
                    <a:graphicData uri="http://schemas.openxmlformats.org/drawingml/2006/picture">
                      <pic:pic xmlns:pic="http://schemas.openxmlformats.org/drawingml/2006/picture">
                        <pic:nvPicPr>
                          <pic:cNvPr id="73" name="图片 72"/>
                          <pic:cNvPicPr/>
                        </pic:nvPicPr>
                        <pic:blipFill>
                          <a:blip r:embed="rId78"/>
                          <a:stretch>
                            <a:fillRect/>
                          </a:stretch>
                        </pic:blipFill>
                        <pic:spPr>
                          <a:xfrm>
                            <a:off x="0" y="0"/>
                            <a:ext cx="1438275" cy="8763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2400*400*1554</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w:t>
            </w:r>
          </w:p>
        </w:tc>
      </w:tr>
      <w:tr>
        <w:tblPrEx>
          <w:tblCellMar>
            <w:top w:w="0" w:type="dxa"/>
            <w:left w:w="108" w:type="dxa"/>
            <w:bottom w:w="0" w:type="dxa"/>
            <w:right w:w="108" w:type="dxa"/>
          </w:tblCellMar>
        </w:tblPrEx>
        <w:trPr>
          <w:trHeight w:val="1751"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文件柜</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466725" cy="800100"/>
                  <wp:effectExtent l="0" t="0" r="9525" b="0"/>
                  <wp:docPr id="74" name="图片 73"/>
                  <wp:cNvGraphicFramePr/>
                  <a:graphic xmlns:a="http://schemas.openxmlformats.org/drawingml/2006/main">
                    <a:graphicData uri="http://schemas.openxmlformats.org/drawingml/2006/picture">
                      <pic:pic xmlns:pic="http://schemas.openxmlformats.org/drawingml/2006/picture">
                        <pic:nvPicPr>
                          <pic:cNvPr id="74" name="图片 73"/>
                          <pic:cNvPicPr/>
                        </pic:nvPicPr>
                        <pic:blipFill>
                          <a:blip r:embed="rId79"/>
                          <a:stretch>
                            <a:fillRect/>
                          </a:stretch>
                        </pic:blipFill>
                        <pic:spPr>
                          <a:xfrm>
                            <a:off x="0" y="0"/>
                            <a:ext cx="466725" cy="8001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800*400*1840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静曲强度≥14Mpa，握螺钉力板面≥1200N，板边≥1000N，甲醛释放含量≤0.05mg/m³或≤0.5mg/L</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柜子</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609600" cy="714375"/>
                  <wp:effectExtent l="0" t="0" r="0" b="9525"/>
                  <wp:docPr id="75" name="图片 74"/>
                  <wp:cNvGraphicFramePr/>
                  <a:graphic xmlns:a="http://schemas.openxmlformats.org/drawingml/2006/main">
                    <a:graphicData uri="http://schemas.openxmlformats.org/drawingml/2006/picture">
                      <pic:pic xmlns:pic="http://schemas.openxmlformats.org/drawingml/2006/picture">
                        <pic:nvPicPr>
                          <pic:cNvPr id="75" name="图片 74"/>
                          <pic:cNvPicPr/>
                        </pic:nvPicPr>
                        <pic:blipFill>
                          <a:blip r:embed="rId80"/>
                          <a:stretch>
                            <a:fillRect/>
                          </a:stretch>
                        </pic:blipFill>
                        <pic:spPr>
                          <a:xfrm>
                            <a:off x="0" y="0"/>
                            <a:ext cx="609600" cy="71437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1600*400*1966</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2</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76325" cy="800100"/>
                  <wp:effectExtent l="0" t="0" r="9525" b="0"/>
                  <wp:docPr id="76" name="图片 75"/>
                  <wp:cNvGraphicFramePr/>
                  <a:graphic xmlns:a="http://schemas.openxmlformats.org/drawingml/2006/main">
                    <a:graphicData uri="http://schemas.openxmlformats.org/drawingml/2006/picture">
                      <pic:pic xmlns:pic="http://schemas.openxmlformats.org/drawingml/2006/picture">
                        <pic:nvPicPr>
                          <pic:cNvPr id="76" name="图片 75"/>
                          <pic:cNvPicPr/>
                        </pic:nvPicPr>
                        <pic:blipFill>
                          <a:blip r:embed="rId81"/>
                          <a:stretch>
                            <a:fillRect/>
                          </a:stretch>
                        </pic:blipFill>
                        <pic:spPr>
                          <a:xfrm>
                            <a:off x="0" y="0"/>
                            <a:ext cx="1076325" cy="8001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1400*800*750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r>
      <w:tr>
        <w:tblPrEx>
          <w:tblCellMar>
            <w:top w:w="0" w:type="dxa"/>
            <w:left w:w="108" w:type="dxa"/>
            <w:bottom w:w="0" w:type="dxa"/>
            <w:right w:w="108" w:type="dxa"/>
          </w:tblCellMar>
        </w:tblPrEx>
        <w:trPr>
          <w:trHeight w:val="550"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76325" cy="800100"/>
                  <wp:effectExtent l="0" t="0" r="9525" b="0"/>
                  <wp:docPr id="77" name="图片 76"/>
                  <wp:cNvGraphicFramePr/>
                  <a:graphic xmlns:a="http://schemas.openxmlformats.org/drawingml/2006/main">
                    <a:graphicData uri="http://schemas.openxmlformats.org/drawingml/2006/picture">
                      <pic:pic xmlns:pic="http://schemas.openxmlformats.org/drawingml/2006/picture">
                        <pic:nvPicPr>
                          <pic:cNvPr id="77" name="图片 76"/>
                          <pic:cNvPicPr/>
                        </pic:nvPicPr>
                        <pic:blipFill>
                          <a:blip r:embed="rId81"/>
                          <a:stretch>
                            <a:fillRect/>
                          </a:stretch>
                        </pic:blipFill>
                        <pic:spPr>
                          <a:xfrm>
                            <a:off x="0" y="0"/>
                            <a:ext cx="1076325" cy="800100"/>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 xml:space="preserve">1800*800*750 </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w:t>
            </w:r>
            <w:r>
              <w:rPr>
                <w:rFonts w:hint="eastAsia" w:ascii="宋体" w:hAnsi="宋体" w:cs="宋体"/>
                <w:color w:val="000000"/>
                <w:kern w:val="0"/>
                <w:szCs w:val="21"/>
                <w:lang w:bidi="ar"/>
              </w:rPr>
              <w:t>饰面刨花板：表面耐干热≥4级，甲醛释放量：≤0.05mg/m³，</w:t>
            </w:r>
            <w:r>
              <w:rPr>
                <w:rFonts w:ascii="宋体" w:hAnsi="宋体" w:cs="宋体"/>
                <w:color w:val="000000"/>
                <w:kern w:val="0"/>
                <w:szCs w:val="21"/>
                <w:lang w:bidi="ar"/>
              </w:rPr>
              <w:t>TVOC</w:t>
            </w:r>
            <w:r>
              <w:rPr>
                <w:rFonts w:hint="eastAsia" w:ascii="宋体" w:hAnsi="宋体" w:cs="宋体"/>
                <w:color w:val="000000"/>
                <w:kern w:val="0"/>
                <w:szCs w:val="21"/>
                <w:lang w:bidi="ar"/>
              </w:rPr>
              <w:t>≤0.50mg/㎡</w:t>
            </w:r>
            <w:r>
              <w:rPr>
                <w:rFonts w:ascii="宋体" w:hAnsi="宋体" w:cs="宋体"/>
                <w:color w:val="000000"/>
                <w:kern w:val="0"/>
                <w:szCs w:val="21"/>
                <w:lang w:bidi="ar"/>
              </w:rPr>
              <w:br w:type="textWrapping"/>
            </w:r>
            <w:r>
              <w:rPr>
                <w:rFonts w:ascii="宋体" w:hAnsi="宋体" w:cs="宋体"/>
                <w:color w:val="000000"/>
                <w:kern w:val="0"/>
                <w:szCs w:val="21"/>
                <w:lang w:bidi="ar"/>
              </w:rPr>
              <w:t>2、基材：</w:t>
            </w:r>
            <w:r>
              <w:rPr>
                <w:rFonts w:hint="eastAsia" w:ascii="宋体" w:hAnsi="宋体" w:cs="宋体"/>
                <w:color w:val="000000"/>
                <w:kern w:val="0"/>
                <w:szCs w:val="21"/>
                <w:lang w:bidi="ar"/>
              </w:rPr>
              <w:t xml:space="preserve">静曲强度≥14Mpa，握螺钉力板面≥1200N，板边≥1000N，甲醛释放含量≤0.05mg/m³或≤0.5mg/L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封边：ABS封边条，无缝封边，具有良好的耐气候性能，不易受环境、温度变化而产生收缩、膨胀的问题，保证板材封边质量，延长产品使用寿命，弹性好，耐撞击，塑料封边条外观合格，厚度及其偏差合格，塑料封边条理化性能合格，甲醛释放量、可迁移元素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96</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143000" cy="923925"/>
                  <wp:effectExtent l="0" t="0" r="0" b="9525"/>
                  <wp:docPr id="78" name="图片 77"/>
                  <wp:cNvGraphicFramePr/>
                  <a:graphic xmlns:a="http://schemas.openxmlformats.org/drawingml/2006/main">
                    <a:graphicData uri="http://schemas.openxmlformats.org/drawingml/2006/picture">
                      <pic:pic xmlns:pic="http://schemas.openxmlformats.org/drawingml/2006/picture">
                        <pic:nvPicPr>
                          <pic:cNvPr id="78" name="图片 77"/>
                          <pic:cNvPicPr/>
                        </pic:nvPicPr>
                        <pic:blipFill>
                          <a:blip r:embed="rId82"/>
                          <a:stretch>
                            <a:fillRect/>
                          </a:stretch>
                        </pic:blipFill>
                        <pic:spPr>
                          <a:xfrm>
                            <a:off x="0" y="0"/>
                            <a:ext cx="1143000" cy="9239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2400*2400*760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3、五金：流星灰钢制下脚。</w:t>
            </w:r>
            <w:r>
              <w:rPr>
                <w:rFonts w:ascii="宋体" w:hAnsi="宋体" w:cs="宋体"/>
                <w:color w:val="000000"/>
                <w:kern w:val="0"/>
                <w:szCs w:val="21"/>
                <w:lang w:bidi="ar"/>
              </w:rPr>
              <w:br w:type="textWrapping"/>
            </w:r>
            <w:r>
              <w:rPr>
                <w:rFonts w:ascii="宋体" w:hAnsi="宋体" w:cs="宋体"/>
                <w:color w:val="000000"/>
                <w:kern w:val="0"/>
                <w:szCs w:val="21"/>
                <w:lang w:bidi="ar"/>
              </w:rPr>
              <w:t>4、水性漆：采用水性环保水性漆，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95375" cy="885825"/>
                  <wp:effectExtent l="0" t="0" r="9525" b="9525"/>
                  <wp:docPr id="79" name="图片 78"/>
                  <wp:cNvGraphicFramePr/>
                  <a:graphic xmlns:a="http://schemas.openxmlformats.org/drawingml/2006/main">
                    <a:graphicData uri="http://schemas.openxmlformats.org/drawingml/2006/picture">
                      <pic:pic xmlns:pic="http://schemas.openxmlformats.org/drawingml/2006/picture">
                        <pic:nvPicPr>
                          <pic:cNvPr id="79" name="图片 78"/>
                          <pic:cNvPicPr/>
                        </pic:nvPicPr>
                        <pic:blipFill>
                          <a:blip r:embed="rId83"/>
                          <a:stretch>
                            <a:fillRect/>
                          </a:stretch>
                        </pic:blipFill>
                        <pic:spPr>
                          <a:xfrm>
                            <a:off x="0" y="0"/>
                            <a:ext cx="1095375" cy="8858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3600**3600*760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3、五金：流星灰钢制下脚。</w:t>
            </w:r>
            <w:r>
              <w:rPr>
                <w:rFonts w:ascii="宋体" w:hAnsi="宋体" w:cs="宋体"/>
                <w:color w:val="000000"/>
                <w:kern w:val="0"/>
                <w:szCs w:val="21"/>
                <w:lang w:bidi="ar"/>
              </w:rPr>
              <w:br w:type="textWrapping"/>
            </w:r>
            <w:r>
              <w:rPr>
                <w:rFonts w:ascii="宋体" w:hAnsi="宋体" w:cs="宋体"/>
                <w:color w:val="000000"/>
                <w:kern w:val="0"/>
                <w:szCs w:val="21"/>
                <w:lang w:bidi="ar"/>
              </w:rPr>
              <w:t>4、水性漆：采用水性环保水性漆，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CellMar>
            <w:top w:w="0" w:type="dxa"/>
            <w:left w:w="108" w:type="dxa"/>
            <w:bottom w:w="0" w:type="dxa"/>
            <w:right w:w="108" w:type="dxa"/>
          </w:tblCellMar>
        </w:tblPrEx>
        <w:trPr>
          <w:trHeight w:val="1549" w:hRule="atLeast"/>
        </w:trPr>
        <w:tc>
          <w:tcPr>
            <w:tcW w:w="80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985"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餐桌</w:t>
            </w:r>
          </w:p>
        </w:tc>
        <w:tc>
          <w:tcPr>
            <w:tcW w:w="2277"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bdr w:val="single" w:color="000000" w:sz="4" w:space="0"/>
                <w:shd w:val="clear" w:color="auto" w:fill="FFFFFF"/>
                <w:lang w:bidi="ar"/>
              </w:rPr>
              <w:drawing>
                <wp:inline distT="0" distB="0" distL="114300" distR="114300">
                  <wp:extent cx="1095375" cy="885825"/>
                  <wp:effectExtent l="0" t="0" r="9525" b="9525"/>
                  <wp:docPr id="80" name="图片 79"/>
                  <wp:cNvGraphicFramePr/>
                  <a:graphic xmlns:a="http://schemas.openxmlformats.org/drawingml/2006/main">
                    <a:graphicData uri="http://schemas.openxmlformats.org/drawingml/2006/picture">
                      <pic:pic xmlns:pic="http://schemas.openxmlformats.org/drawingml/2006/picture">
                        <pic:nvPicPr>
                          <pic:cNvPr id="80" name="图片 79"/>
                          <pic:cNvPicPr/>
                        </pic:nvPicPr>
                        <pic:blipFill>
                          <a:blip r:embed="rId83"/>
                          <a:stretch>
                            <a:fillRect/>
                          </a:stretch>
                        </pic:blipFill>
                        <pic:spPr>
                          <a:xfrm>
                            <a:off x="0" y="0"/>
                            <a:ext cx="1095375" cy="885825"/>
                          </a:xfrm>
                          <a:prstGeom prst="rect">
                            <a:avLst/>
                          </a:prstGeom>
                          <a:noFill/>
                          <a:ln>
                            <a:noFill/>
                          </a:ln>
                        </pic:spPr>
                      </pic:pic>
                    </a:graphicData>
                  </a:graphic>
                </wp:inline>
              </w:drawing>
            </w:r>
          </w:p>
        </w:tc>
        <w:tc>
          <w:tcPr>
            <w:tcW w:w="1409"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2000*2000*760</w:t>
            </w:r>
          </w:p>
        </w:tc>
        <w:tc>
          <w:tcPr>
            <w:tcW w:w="7718" w:type="dxa"/>
            <w:tcBorders>
              <w:top w:val="nil"/>
              <w:left w:val="nil"/>
              <w:bottom w:val="single" w:color="auto" w:sz="4" w:space="0"/>
              <w:right w:val="single" w:color="auto" w:sz="4" w:space="0"/>
            </w:tcBorders>
            <w:shd w:val="clear" w:color="000000" w:fill="FFFFFF"/>
            <w:noWrap w:val="0"/>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1、面材：胡桃木木皮贴面，要求厚度不小于0.6mm，含水率合格，甲醛释放量不得检出。</w:t>
            </w:r>
            <w:r>
              <w:rPr>
                <w:rFonts w:ascii="宋体" w:hAnsi="宋体" w:cs="宋体"/>
                <w:color w:val="000000"/>
                <w:kern w:val="0"/>
                <w:szCs w:val="21"/>
                <w:lang w:bidi="ar"/>
              </w:rPr>
              <w:br w:type="textWrapping"/>
            </w:r>
            <w:r>
              <w:rPr>
                <w:rFonts w:ascii="宋体" w:hAnsi="宋体" w:cs="宋体"/>
                <w:color w:val="000000"/>
                <w:kern w:val="0"/>
                <w:szCs w:val="21"/>
                <w:lang w:bidi="ar"/>
              </w:rPr>
              <w:t xml:space="preserve">2、基材：甲醛释放含量≤0.05mg/m³或≤0.5mg/L        </w:t>
            </w:r>
            <w:r>
              <w:rPr>
                <w:rFonts w:ascii="宋体" w:hAnsi="宋体" w:cs="宋体"/>
                <w:color w:val="000000"/>
                <w:kern w:val="0"/>
                <w:szCs w:val="21"/>
                <w:lang w:bidi="ar"/>
              </w:rPr>
              <w:br w:type="textWrapping"/>
            </w:r>
            <w:r>
              <w:rPr>
                <w:rFonts w:ascii="宋体" w:hAnsi="宋体" w:cs="宋体"/>
                <w:color w:val="000000"/>
                <w:kern w:val="0"/>
                <w:szCs w:val="21"/>
                <w:lang w:bidi="ar"/>
              </w:rPr>
              <w:t>3、五金：流星灰钢制下脚。</w:t>
            </w:r>
            <w:r>
              <w:rPr>
                <w:rFonts w:ascii="宋体" w:hAnsi="宋体" w:cs="宋体"/>
                <w:color w:val="000000"/>
                <w:kern w:val="0"/>
                <w:szCs w:val="21"/>
                <w:lang w:bidi="ar"/>
              </w:rPr>
              <w:br w:type="textWrapping"/>
            </w:r>
            <w:r>
              <w:rPr>
                <w:rFonts w:ascii="宋体" w:hAnsi="宋体" w:cs="宋体"/>
                <w:color w:val="000000"/>
                <w:kern w:val="0"/>
                <w:szCs w:val="21"/>
                <w:lang w:bidi="ar"/>
              </w:rPr>
              <w:t>4、水性漆：采用水性环保水性漆，</w:t>
            </w:r>
            <w:r>
              <w:rPr>
                <w:rFonts w:hint="eastAsia" w:ascii="宋体" w:hAnsi="宋体" w:cs="宋体"/>
                <w:color w:val="000000"/>
                <w:kern w:val="0"/>
                <w:szCs w:val="21"/>
                <w:lang w:bidi="ar"/>
              </w:rPr>
              <w:t>可溶性重金属含量不得检出。</w:t>
            </w:r>
          </w:p>
        </w:tc>
        <w:tc>
          <w:tcPr>
            <w:tcW w:w="791"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r>
      <w:tr>
        <w:tblPrEx>
          <w:tblCellMar>
            <w:top w:w="0" w:type="dxa"/>
            <w:left w:w="108" w:type="dxa"/>
            <w:bottom w:w="0" w:type="dxa"/>
            <w:right w:w="108" w:type="dxa"/>
          </w:tblCellMar>
        </w:tblPrEx>
        <w:trPr>
          <w:trHeight w:val="1019" w:hRule="atLeast"/>
        </w:trPr>
        <w:tc>
          <w:tcPr>
            <w:tcW w:w="13980" w:type="dxa"/>
            <w:gridSpan w:val="6"/>
            <w:tcBorders>
              <w:top w:val="single" w:color="auto" w:sz="4" w:space="0"/>
              <w:left w:val="single" w:color="auto" w:sz="4" w:space="0"/>
              <w:bottom w:val="single" w:color="auto" w:sz="4" w:space="0"/>
              <w:right w:val="single" w:color="auto" w:sz="4" w:space="0"/>
            </w:tcBorders>
            <w:noWrap w:val="0"/>
            <w:vAlign w:val="center"/>
          </w:tcPr>
          <w:p>
            <w:pPr>
              <w:widowControl/>
              <w:tabs>
                <w:tab w:val="left" w:pos="4152"/>
              </w:tabs>
              <w:jc w:val="center"/>
              <w:rPr>
                <w:rFonts w:hint="eastAsia" w:ascii="宋体" w:hAnsi="宋体" w:cs="宋体"/>
                <w:kern w:val="0"/>
                <w:sz w:val="18"/>
                <w:szCs w:val="18"/>
              </w:rPr>
            </w:pPr>
            <w:r>
              <w:rPr>
                <w:rFonts w:ascii="宋体" w:hAnsi="宋体" w:cs="Arial"/>
                <w:szCs w:val="21"/>
                <w:lang w:val="zh-CN"/>
              </w:rPr>
              <w:t>除采购文件明确的品牌外，欢迎其他能满足本项目技术需求且性能与所明确品牌相当的产品参加</w:t>
            </w:r>
            <w:r>
              <w:rPr>
                <w:rFonts w:hint="eastAsia" w:ascii="宋体" w:hAnsi="宋体" w:cs="Arial"/>
                <w:szCs w:val="21"/>
                <w:lang w:val="zh-CN"/>
              </w:rPr>
              <w:t>。</w:t>
            </w:r>
          </w:p>
        </w:tc>
      </w:tr>
    </w:tbl>
    <w:p/>
    <w:p>
      <w:pPr>
        <w:adjustRightInd w:val="0"/>
        <w:snapToGrid w:val="0"/>
        <w:spacing w:line="400" w:lineRule="exact"/>
        <w:rPr>
          <w:rFonts w:ascii="宋体" w:hAnsi="宋体"/>
          <w:bCs/>
          <w:sz w:val="24"/>
        </w:rPr>
        <w:sectPr>
          <w:pgSz w:w="16838" w:h="11906" w:orient="landscape"/>
          <w:pgMar w:top="1417" w:right="680" w:bottom="1417" w:left="471" w:header="851" w:footer="992" w:gutter="0"/>
          <w:pgNumType w:fmt="decimal"/>
          <w:cols w:space="720" w:num="1"/>
          <w:docGrid w:linePitch="312" w:charSpace="0"/>
        </w:sectPr>
      </w:pPr>
    </w:p>
    <w:p>
      <w:pPr>
        <w:spacing w:line="360" w:lineRule="auto"/>
        <w:ind w:left="3614" w:hanging="3614" w:hangingChars="1500"/>
        <w:jc w:val="left"/>
        <w:rPr>
          <w:rFonts w:ascii="宋体" w:hAnsi="宋体"/>
          <w:b/>
          <w:sz w:val="24"/>
        </w:rPr>
      </w:pPr>
      <w:r>
        <w:rPr>
          <w:rFonts w:hint="eastAsia" w:ascii="宋体" w:hAnsi="宋体"/>
          <w:b/>
          <w:sz w:val="24"/>
        </w:rPr>
        <w:t>2、商务需求</w:t>
      </w:r>
    </w:p>
    <w:p>
      <w:pPr>
        <w:spacing w:line="520" w:lineRule="exact"/>
        <w:rPr>
          <w:rFonts w:ascii="宋体" w:hAnsi="宋体"/>
          <w:sz w:val="24"/>
        </w:rPr>
      </w:pPr>
      <w:r>
        <w:rPr>
          <w:rFonts w:ascii="宋体" w:hAnsi="宋体" w:cs="宋体"/>
          <w:sz w:val="24"/>
        </w:rPr>
        <w:t>2.1</w:t>
      </w:r>
      <w:r>
        <w:rPr>
          <w:rFonts w:hint="eastAsia" w:ascii="宋体" w:hAnsi="宋体" w:cs="宋体"/>
          <w:sz w:val="24"/>
        </w:rPr>
        <w:t>交货时间及地点</w:t>
      </w:r>
    </w:p>
    <w:p>
      <w:pPr>
        <w:spacing w:line="520" w:lineRule="exact"/>
        <w:ind w:firstLine="420"/>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2021年2月26日前完成4#楼二层、三层餐厅家具供货完成并安装到位。</w:t>
      </w:r>
    </w:p>
    <w:p>
      <w:pPr>
        <w:spacing w:line="520" w:lineRule="exact"/>
        <w:ind w:firstLine="723" w:firstLineChars="300"/>
        <w:rPr>
          <w:rFonts w:hint="eastAsia" w:ascii="宋体" w:hAnsi="宋体" w:cs="宋体"/>
          <w:b/>
          <w:bCs/>
          <w:kern w:val="0"/>
          <w:sz w:val="24"/>
        </w:rPr>
      </w:pPr>
      <w:r>
        <w:rPr>
          <w:rFonts w:hint="eastAsia" w:ascii="宋体" w:hAnsi="宋体" w:cs="宋体"/>
          <w:b/>
          <w:bCs/>
          <w:sz w:val="24"/>
        </w:rPr>
        <w:t>2021年3月20日前完成剩余所有家具供货完成并安装到位。特殊情况须经采购人同意后调整供货时间。</w:t>
      </w:r>
    </w:p>
    <w:p>
      <w:pPr>
        <w:spacing w:line="520" w:lineRule="exact"/>
        <w:ind w:firstLine="537" w:firstLineChars="224"/>
        <w:rPr>
          <w:rFonts w:ascii="宋体" w:hAnsi="宋体" w:cs="宋体"/>
          <w:sz w:val="24"/>
        </w:rPr>
      </w:pPr>
      <w:r>
        <w:rPr>
          <w:rFonts w:ascii="宋体" w:hAnsi="宋体" w:cs="宋体"/>
          <w:sz w:val="24"/>
        </w:rPr>
        <w:t>(2)</w:t>
      </w:r>
      <w:r>
        <w:rPr>
          <w:rFonts w:hint="eastAsia" w:ascii="宋体" w:hAnsi="宋体" w:cs="宋体"/>
          <w:sz w:val="24"/>
        </w:rPr>
        <w:t>交货地点：采购人指定地点内。</w:t>
      </w:r>
    </w:p>
    <w:p>
      <w:pPr>
        <w:spacing w:line="520" w:lineRule="exact"/>
        <w:ind w:firstLine="537" w:firstLineChars="224"/>
        <w:rPr>
          <w:rFonts w:ascii="宋体" w:hAnsi="宋体"/>
          <w:sz w:val="24"/>
        </w:rPr>
      </w:pPr>
      <w:r>
        <w:rPr>
          <w:rFonts w:ascii="宋体" w:hAnsi="宋体" w:cs="宋体"/>
          <w:sz w:val="24"/>
        </w:rPr>
        <w:t>(3)</w:t>
      </w:r>
      <w:r>
        <w:rPr>
          <w:rFonts w:hint="eastAsia" w:ascii="宋体" w:hAnsi="宋体" w:cs="宋体"/>
          <w:sz w:val="24"/>
        </w:rPr>
        <w:t>中标人提供的中标物品，必须符合本招标文件要求、原包装送达采购单位；如有不符，采购人可以无条件退货，所造成的损失由中标人承担。更换后的零部件质保期按更换日起顺延。</w:t>
      </w:r>
    </w:p>
    <w:p>
      <w:pPr>
        <w:spacing w:line="520" w:lineRule="exact"/>
        <w:rPr>
          <w:rFonts w:ascii="宋体" w:hAnsi="宋体"/>
          <w:sz w:val="24"/>
        </w:rPr>
      </w:pPr>
      <w:r>
        <w:rPr>
          <w:rFonts w:ascii="宋体" w:hAnsi="宋体" w:cs="宋体"/>
          <w:sz w:val="24"/>
        </w:rPr>
        <w:t>2.2</w:t>
      </w:r>
      <w:r>
        <w:rPr>
          <w:rFonts w:hint="eastAsia" w:ascii="宋体" w:hAnsi="宋体" w:cs="宋体"/>
          <w:sz w:val="24"/>
        </w:rPr>
        <w:t>质保期及售后技术服务要求：</w:t>
      </w:r>
    </w:p>
    <w:p>
      <w:pPr>
        <w:snapToGrid w:val="0"/>
        <w:spacing w:line="520" w:lineRule="exact"/>
        <w:ind w:firstLine="361" w:firstLineChars="150"/>
        <w:jc w:val="left"/>
        <w:rPr>
          <w:rFonts w:ascii="宋体" w:hAnsi="宋体" w:cs="宋体"/>
          <w:b/>
          <w:bCs/>
          <w:sz w:val="24"/>
        </w:rPr>
      </w:pPr>
      <w:r>
        <w:rPr>
          <w:rFonts w:ascii="宋体" w:hAnsi="宋体" w:cs="宋体"/>
          <w:b/>
          <w:bCs/>
          <w:sz w:val="24"/>
        </w:rPr>
        <w:t>(1)</w:t>
      </w:r>
      <w:r>
        <w:rPr>
          <w:rFonts w:hint="eastAsia" w:ascii="宋体" w:hAnsi="宋体" w:cs="宋体"/>
          <w:b/>
          <w:bCs/>
          <w:sz w:val="24"/>
        </w:rPr>
        <w:t>质保期：5</w:t>
      </w:r>
      <w:r>
        <w:rPr>
          <w:rFonts w:hint="eastAsia" w:ascii="宋体" w:hAnsi="宋体"/>
          <w:b/>
          <w:bCs/>
          <w:sz w:val="24"/>
        </w:rPr>
        <w:t>年。</w:t>
      </w:r>
    </w:p>
    <w:p>
      <w:pPr>
        <w:spacing w:line="520" w:lineRule="exact"/>
        <w:ind w:left="360"/>
        <w:rPr>
          <w:rFonts w:ascii="宋体" w:hAnsi="宋体"/>
          <w:sz w:val="24"/>
        </w:rPr>
      </w:pPr>
      <w:r>
        <w:rPr>
          <w:rFonts w:ascii="宋体" w:hAnsi="宋体"/>
          <w:sz w:val="24"/>
        </w:rPr>
        <w:t>(2)</w:t>
      </w:r>
      <w:r>
        <w:rPr>
          <w:rFonts w:hint="eastAsia" w:ascii="宋体" w:hAnsi="宋体"/>
          <w:sz w:val="24"/>
        </w:rPr>
        <w:t>质量保证期内提供免费上门维护、升级服务，如设备出现故障，供货单位</w:t>
      </w:r>
    </w:p>
    <w:p>
      <w:pPr>
        <w:spacing w:line="520" w:lineRule="exact"/>
        <w:rPr>
          <w:rFonts w:ascii="宋体" w:hAnsi="宋体"/>
          <w:sz w:val="24"/>
        </w:rPr>
      </w:pPr>
      <w:r>
        <w:rPr>
          <w:rFonts w:hint="eastAsia" w:ascii="宋体" w:hAnsi="宋体"/>
          <w:sz w:val="24"/>
        </w:rPr>
        <w:t>在接到电话后，</w:t>
      </w:r>
      <w:r>
        <w:rPr>
          <w:rFonts w:hint="eastAsia" w:ascii="宋体" w:hAnsi="宋体"/>
          <w:kern w:val="0"/>
          <w:sz w:val="24"/>
        </w:rPr>
        <w:t>当即响应，</w:t>
      </w:r>
      <w:r>
        <w:rPr>
          <w:rFonts w:ascii="宋体" w:hAnsi="宋体"/>
          <w:kern w:val="0"/>
          <w:sz w:val="24"/>
        </w:rPr>
        <w:t>4</w:t>
      </w:r>
      <w:r>
        <w:rPr>
          <w:rFonts w:hint="eastAsia" w:ascii="宋体" w:hAnsi="宋体"/>
          <w:kern w:val="0"/>
          <w:sz w:val="24"/>
        </w:rPr>
        <w:t>小时以内到现场处理，</w:t>
      </w:r>
      <w:r>
        <w:rPr>
          <w:rFonts w:ascii="宋体" w:hAnsi="宋体"/>
          <w:kern w:val="0"/>
          <w:sz w:val="24"/>
        </w:rPr>
        <w:t>24</w:t>
      </w:r>
      <w:r>
        <w:rPr>
          <w:rFonts w:hint="eastAsia" w:ascii="宋体" w:hAnsi="宋体"/>
          <w:kern w:val="0"/>
          <w:sz w:val="24"/>
        </w:rPr>
        <w:t>小时内修复</w:t>
      </w:r>
      <w:r>
        <w:rPr>
          <w:rFonts w:hint="eastAsia" w:ascii="宋体" w:hAnsi="宋体"/>
          <w:sz w:val="24"/>
        </w:rPr>
        <w:t>，现场不能修复的，必须采取无偿提供采购物品的备用件或整机等措施，以保证用户单位的正常使用。</w:t>
      </w:r>
    </w:p>
    <w:p>
      <w:pPr>
        <w:spacing w:line="520" w:lineRule="exact"/>
        <w:ind w:left="360" w:firstLine="240" w:firstLineChars="100"/>
        <w:rPr>
          <w:rFonts w:ascii="宋体" w:hAnsi="宋体"/>
          <w:sz w:val="24"/>
        </w:rPr>
      </w:pPr>
      <w:r>
        <w:rPr>
          <w:rFonts w:ascii="宋体" w:hAnsi="宋体"/>
          <w:sz w:val="24"/>
        </w:rPr>
        <w:t>(3)</w:t>
      </w:r>
      <w:r>
        <w:rPr>
          <w:rFonts w:hint="eastAsia" w:ascii="宋体" w:hAnsi="宋体"/>
          <w:sz w:val="24"/>
        </w:rPr>
        <w:t>投标人应提供技术支持方案，内容由投标人根据实际选择以下要点：服</w:t>
      </w:r>
    </w:p>
    <w:p>
      <w:pPr>
        <w:spacing w:line="520" w:lineRule="exact"/>
        <w:rPr>
          <w:rFonts w:ascii="宋体" w:hAnsi="宋体"/>
          <w:sz w:val="24"/>
        </w:rPr>
      </w:pPr>
      <w:r>
        <w:rPr>
          <w:rFonts w:hint="eastAsia" w:ascii="宋体" w:hAnsi="宋体"/>
          <w:sz w:val="24"/>
        </w:rPr>
        <w:t>务机构（维保点）的地址、人员状况、维修能力、联系方式、营业执照、公司资质材料、相关案例等。</w:t>
      </w:r>
    </w:p>
    <w:p>
      <w:pPr>
        <w:spacing w:line="520" w:lineRule="exact"/>
        <w:ind w:firstLine="480" w:firstLineChars="200"/>
        <w:rPr>
          <w:rFonts w:ascii="宋体" w:hAnsi="宋体"/>
          <w:sz w:val="24"/>
        </w:rPr>
      </w:pPr>
      <w:r>
        <w:rPr>
          <w:rFonts w:ascii="宋体" w:hAnsi="宋体"/>
          <w:sz w:val="24"/>
        </w:rPr>
        <w:t>(4)</w:t>
      </w:r>
      <w:r>
        <w:rPr>
          <w:rFonts w:hint="eastAsia" w:ascii="宋体" w:hAnsi="宋体"/>
          <w:sz w:val="24"/>
        </w:rPr>
        <w:t>完整准确地表述原厂家的标准售后服务承诺（范围、标准及期限等）、投标人可能增加的服务承诺等。</w:t>
      </w:r>
    </w:p>
    <w:p>
      <w:pPr>
        <w:spacing w:line="520" w:lineRule="exact"/>
        <w:ind w:firstLine="480" w:firstLineChars="200"/>
        <w:rPr>
          <w:rFonts w:ascii="宋体" w:hAnsi="宋体"/>
          <w:sz w:val="24"/>
        </w:rPr>
      </w:pPr>
      <w:r>
        <w:rPr>
          <w:rFonts w:ascii="宋体" w:hAnsi="宋体"/>
          <w:sz w:val="24"/>
        </w:rPr>
        <w:t>(5)</w:t>
      </w:r>
      <w:r>
        <w:rPr>
          <w:rFonts w:hint="eastAsia" w:ascii="宋体" w:hAnsi="宋体"/>
          <w:sz w:val="24"/>
        </w:rPr>
        <w:t>明示服务承诺可能涉及的前提设定和费用，否则将被认为是无条件和免费的。</w:t>
      </w:r>
    </w:p>
    <w:p>
      <w:pPr>
        <w:snapToGrid w:val="0"/>
        <w:spacing w:line="520" w:lineRule="exact"/>
        <w:ind w:firstLine="240" w:firstLineChars="100"/>
        <w:rPr>
          <w:rFonts w:ascii="宋体" w:hAnsi="宋体"/>
          <w:bCs/>
          <w:sz w:val="24"/>
        </w:rPr>
      </w:pPr>
      <w:r>
        <w:rPr>
          <w:rFonts w:ascii="宋体" w:hAnsi="宋体" w:cs="宋体"/>
          <w:bCs/>
          <w:sz w:val="24"/>
        </w:rPr>
        <w:t>3</w:t>
      </w:r>
      <w:r>
        <w:rPr>
          <w:rFonts w:hint="eastAsia" w:ascii="宋体" w:hAnsi="宋体" w:cs="宋体"/>
          <w:bCs/>
          <w:sz w:val="24"/>
        </w:rPr>
        <w:t>、付款方式</w:t>
      </w:r>
    </w:p>
    <w:p>
      <w:pPr>
        <w:spacing w:line="360" w:lineRule="auto"/>
        <w:ind w:firstLine="480" w:firstLineChars="200"/>
        <w:rPr>
          <w:rFonts w:ascii="宋体" w:hAnsi="宋体"/>
          <w:bCs/>
          <w:sz w:val="24"/>
        </w:rPr>
      </w:pPr>
      <w:r>
        <w:rPr>
          <w:rFonts w:hint="eastAsia" w:ascii="宋体" w:hAnsi="宋体"/>
          <w:bCs/>
          <w:sz w:val="24"/>
        </w:rPr>
        <w:t>供货、安装完成且经验收合格后，采购人向中标单位支付95%货款，同时无息退还10%履约保证金，余款5%为质量保金，待质保期结束且无质量服务问题后采购人无息退还。</w:t>
      </w:r>
    </w:p>
    <w:p>
      <w:pPr>
        <w:spacing w:line="360" w:lineRule="auto"/>
        <w:ind w:firstLine="480" w:firstLineChars="200"/>
        <w:rPr>
          <w:rFonts w:hint="eastAsia" w:ascii="宋体" w:hAnsi="宋体"/>
          <w:bCs/>
          <w:sz w:val="24"/>
        </w:rPr>
      </w:pPr>
      <w:r>
        <w:rPr>
          <w:rFonts w:hint="eastAsia" w:ascii="宋体" w:hAnsi="宋体"/>
          <w:bCs/>
          <w:sz w:val="24"/>
        </w:rPr>
        <w:t>投标人</w:t>
      </w:r>
      <w:r>
        <w:rPr>
          <w:rFonts w:ascii="宋体" w:hAnsi="宋体"/>
          <w:bCs/>
          <w:sz w:val="24"/>
        </w:rPr>
        <w:t>报价须列</w:t>
      </w:r>
      <w:r>
        <w:rPr>
          <w:rFonts w:hint="eastAsia" w:ascii="宋体" w:hAnsi="宋体"/>
          <w:bCs/>
          <w:sz w:val="24"/>
        </w:rPr>
        <w:t>明</w:t>
      </w:r>
      <w:r>
        <w:rPr>
          <w:rFonts w:ascii="宋体" w:hAnsi="宋体"/>
          <w:bCs/>
          <w:sz w:val="24"/>
        </w:rPr>
        <w:t>所有完成项目所产生的及可能产生的费用，包括但不限于</w:t>
      </w:r>
      <w:r>
        <w:rPr>
          <w:rFonts w:hint="eastAsia" w:ascii="宋体" w:hAnsi="宋体"/>
          <w:bCs/>
          <w:sz w:val="24"/>
        </w:rPr>
        <w:t>货物</w:t>
      </w:r>
      <w:r>
        <w:rPr>
          <w:rFonts w:ascii="宋体" w:hAnsi="宋体"/>
          <w:bCs/>
          <w:sz w:val="24"/>
        </w:rPr>
        <w:t>标的及运送、安装</w:t>
      </w:r>
      <w:r>
        <w:rPr>
          <w:rFonts w:hint="eastAsia" w:ascii="宋体" w:hAnsi="宋体"/>
          <w:bCs/>
          <w:sz w:val="24"/>
        </w:rPr>
        <w:t>、仓储等一系列</w:t>
      </w:r>
      <w:r>
        <w:rPr>
          <w:rFonts w:ascii="宋体" w:hAnsi="宋体"/>
          <w:bCs/>
          <w:sz w:val="24"/>
        </w:rPr>
        <w:t>费用</w:t>
      </w:r>
      <w:r>
        <w:rPr>
          <w:rFonts w:hint="eastAsia" w:ascii="宋体" w:hAnsi="宋体"/>
          <w:bCs/>
          <w:sz w:val="24"/>
        </w:rPr>
        <w:t>，</w:t>
      </w:r>
      <w:r>
        <w:rPr>
          <w:rFonts w:ascii="宋体" w:hAnsi="宋体"/>
          <w:bCs/>
          <w:sz w:val="24"/>
        </w:rPr>
        <w:t>如产生投标人未列明费用，均视为含在总价中。</w:t>
      </w:r>
    </w:p>
    <w:p>
      <w:pPr>
        <w:spacing w:line="360" w:lineRule="auto"/>
        <w:ind w:firstLine="240" w:firstLineChars="100"/>
        <w:rPr>
          <w:rFonts w:ascii="宋体" w:hAnsi="宋体"/>
          <w:sz w:val="24"/>
        </w:rPr>
      </w:pPr>
      <w:r>
        <w:rPr>
          <w:rFonts w:ascii="宋体" w:hAnsi="宋体"/>
          <w:sz w:val="24"/>
        </w:rPr>
        <w:t>4</w:t>
      </w:r>
      <w:r>
        <w:rPr>
          <w:rFonts w:hint="eastAsia" w:ascii="宋体" w:hAnsi="宋体"/>
          <w:sz w:val="24"/>
        </w:rPr>
        <w:t>、中标人中标签订合同后10天内需提供采购需求清单中（基础</w:t>
      </w:r>
      <w:r>
        <w:rPr>
          <w:rFonts w:ascii="宋体" w:hAnsi="宋体"/>
          <w:sz w:val="24"/>
        </w:rPr>
        <w:t>板材、</w:t>
      </w:r>
      <w:r>
        <w:rPr>
          <w:rFonts w:hint="eastAsia" w:ascii="宋体" w:hAnsi="宋体"/>
          <w:sz w:val="24"/>
        </w:rPr>
        <w:t>面料</w:t>
      </w:r>
      <w:r>
        <w:rPr>
          <w:rFonts w:ascii="宋体" w:hAnsi="宋体"/>
          <w:sz w:val="24"/>
        </w:rPr>
        <w:t>及主要五金件</w:t>
      </w:r>
      <w:r>
        <w:rPr>
          <w:rFonts w:hint="eastAsia" w:ascii="宋体" w:hAnsi="宋体"/>
          <w:sz w:val="24"/>
        </w:rPr>
        <w:t>）原材料采购依据（合同及付款证明），如不能提供的视为弄虚作假，取消中标资格，并报</w:t>
      </w:r>
      <w:r>
        <w:rPr>
          <w:rFonts w:ascii="宋体" w:hAnsi="宋体"/>
          <w:sz w:val="24"/>
        </w:rPr>
        <w:t>监管部门</w:t>
      </w:r>
      <w:r>
        <w:rPr>
          <w:rFonts w:hint="eastAsia" w:ascii="宋体" w:hAnsi="宋体"/>
          <w:sz w:val="24"/>
        </w:rPr>
        <w:t>进行对应的处罚；</w:t>
      </w:r>
    </w:p>
    <w:p>
      <w:pPr>
        <w:spacing w:line="360" w:lineRule="auto"/>
        <w:ind w:firstLine="240" w:firstLineChars="100"/>
        <w:rPr>
          <w:rFonts w:ascii="宋体" w:hAnsi="宋体"/>
          <w:sz w:val="24"/>
        </w:rPr>
      </w:pPr>
      <w:r>
        <w:rPr>
          <w:rFonts w:ascii="宋体" w:hAnsi="宋体"/>
          <w:sz w:val="24"/>
        </w:rPr>
        <w:t>5</w:t>
      </w:r>
      <w:r>
        <w:rPr>
          <w:rFonts w:hint="eastAsia" w:ascii="宋体" w:hAnsi="宋体"/>
          <w:sz w:val="24"/>
        </w:rPr>
        <w:t>.中标人中标后生产过程中需配合需求方生产现场查验生产情况（材料/工艺/设备）；</w:t>
      </w:r>
    </w:p>
    <w:p>
      <w:pPr>
        <w:spacing w:line="360" w:lineRule="auto"/>
        <w:ind w:firstLine="241" w:firstLineChars="100"/>
        <w:rPr>
          <w:rFonts w:ascii="宋体" w:hAnsi="宋体"/>
          <w:b/>
          <w:sz w:val="24"/>
        </w:rPr>
      </w:pPr>
      <w:r>
        <w:rPr>
          <w:rFonts w:ascii="宋体" w:hAnsi="宋体"/>
          <w:b/>
          <w:sz w:val="24"/>
        </w:rPr>
        <w:t>6</w:t>
      </w:r>
      <w:r>
        <w:rPr>
          <w:rFonts w:hint="eastAsia" w:ascii="宋体" w:hAnsi="宋体"/>
          <w:b/>
          <w:sz w:val="24"/>
        </w:rPr>
        <w:t>.招标人将</w:t>
      </w:r>
      <w:r>
        <w:rPr>
          <w:rFonts w:ascii="宋体" w:hAnsi="宋体"/>
          <w:b/>
          <w:sz w:val="24"/>
        </w:rPr>
        <w:t>指定</w:t>
      </w:r>
      <w:r>
        <w:rPr>
          <w:rFonts w:hint="eastAsia" w:ascii="宋体" w:hAnsi="宋体"/>
          <w:b/>
          <w:sz w:val="24"/>
        </w:rPr>
        <w:t>专业的</w:t>
      </w:r>
      <w:r>
        <w:rPr>
          <w:rFonts w:ascii="宋体" w:hAnsi="宋体"/>
          <w:b/>
          <w:sz w:val="24"/>
        </w:rPr>
        <w:t>第三</w:t>
      </w:r>
      <w:r>
        <w:rPr>
          <w:rFonts w:hint="eastAsia" w:ascii="宋体" w:hAnsi="宋体"/>
          <w:b/>
          <w:sz w:val="24"/>
        </w:rPr>
        <w:t>方</w:t>
      </w:r>
      <w:r>
        <w:rPr>
          <w:rFonts w:ascii="宋体" w:hAnsi="宋体"/>
          <w:b/>
          <w:sz w:val="24"/>
        </w:rPr>
        <w:t>检测机构</w:t>
      </w:r>
      <w:r>
        <w:rPr>
          <w:rFonts w:hint="eastAsia" w:ascii="宋体" w:hAnsi="宋体"/>
          <w:b/>
          <w:sz w:val="24"/>
        </w:rPr>
        <w:t>进行第一次环境污染</w:t>
      </w:r>
      <w:r>
        <w:rPr>
          <w:rFonts w:ascii="宋体" w:hAnsi="宋体"/>
          <w:b/>
          <w:sz w:val="24"/>
        </w:rPr>
        <w:t>物</w:t>
      </w:r>
      <w:r>
        <w:rPr>
          <w:rFonts w:hint="eastAsia" w:ascii="宋体" w:hAnsi="宋体"/>
          <w:b/>
          <w:sz w:val="24"/>
        </w:rPr>
        <w:t>浓度</w:t>
      </w:r>
      <w:r>
        <w:rPr>
          <w:rFonts w:ascii="宋体" w:hAnsi="宋体"/>
          <w:b/>
          <w:sz w:val="24"/>
        </w:rPr>
        <w:t>（</w:t>
      </w:r>
      <w:r>
        <w:rPr>
          <w:rFonts w:hint="eastAsia" w:ascii="宋体" w:hAnsi="宋体"/>
          <w:b/>
          <w:sz w:val="24"/>
        </w:rPr>
        <w:t>空气质量</w:t>
      </w:r>
      <w:r>
        <w:rPr>
          <w:rFonts w:ascii="宋体" w:hAnsi="宋体"/>
          <w:b/>
          <w:sz w:val="24"/>
        </w:rPr>
        <w:t>）检测，</w:t>
      </w:r>
      <w:r>
        <w:rPr>
          <w:rFonts w:hint="eastAsia" w:ascii="宋体" w:hAnsi="宋体"/>
          <w:b/>
          <w:sz w:val="24"/>
        </w:rPr>
        <w:t>检测</w:t>
      </w:r>
      <w:r>
        <w:rPr>
          <w:rFonts w:ascii="宋体" w:hAnsi="宋体"/>
          <w:b/>
          <w:sz w:val="24"/>
        </w:rPr>
        <w:t>值记为Q1</w:t>
      </w:r>
      <w:r>
        <w:rPr>
          <w:rFonts w:hint="eastAsia" w:ascii="宋体" w:hAnsi="宋体"/>
          <w:b/>
          <w:sz w:val="24"/>
        </w:rPr>
        <w:t>，检测时间为</w:t>
      </w:r>
      <w:r>
        <w:rPr>
          <w:rFonts w:ascii="宋体" w:hAnsi="宋体"/>
          <w:b/>
          <w:sz w:val="24"/>
        </w:rPr>
        <w:t>招标人通知家具</w:t>
      </w:r>
      <w:r>
        <w:rPr>
          <w:rFonts w:hint="eastAsia" w:ascii="宋体" w:hAnsi="宋体"/>
          <w:b/>
          <w:sz w:val="24"/>
        </w:rPr>
        <w:t>中标人进行</w:t>
      </w:r>
      <w:r>
        <w:rPr>
          <w:rFonts w:ascii="宋体" w:hAnsi="宋体"/>
          <w:b/>
          <w:sz w:val="24"/>
        </w:rPr>
        <w:t>家具安装</w:t>
      </w:r>
      <w:r>
        <w:rPr>
          <w:rFonts w:hint="eastAsia" w:ascii="宋体" w:hAnsi="宋体"/>
          <w:b/>
          <w:sz w:val="24"/>
        </w:rPr>
        <w:t>的前一天（含）</w:t>
      </w:r>
      <w:r>
        <w:rPr>
          <w:rFonts w:ascii="宋体" w:hAnsi="宋体"/>
          <w:b/>
          <w:sz w:val="24"/>
        </w:rPr>
        <w:t>起</w:t>
      </w:r>
      <w:r>
        <w:rPr>
          <w:rFonts w:hint="eastAsia" w:ascii="宋体" w:hAnsi="宋体"/>
          <w:b/>
          <w:sz w:val="24"/>
        </w:rPr>
        <w:t>4天</w:t>
      </w:r>
      <w:r>
        <w:rPr>
          <w:rFonts w:ascii="宋体" w:hAnsi="宋体"/>
          <w:b/>
          <w:sz w:val="24"/>
        </w:rPr>
        <w:t>内。家具</w:t>
      </w:r>
      <w:r>
        <w:rPr>
          <w:rFonts w:hint="eastAsia" w:ascii="宋体" w:hAnsi="宋体"/>
          <w:b/>
          <w:sz w:val="24"/>
        </w:rPr>
        <w:t>安装完成后</w:t>
      </w:r>
      <w:r>
        <w:rPr>
          <w:rFonts w:ascii="宋体" w:hAnsi="宋体"/>
          <w:b/>
          <w:sz w:val="24"/>
        </w:rPr>
        <w:t>5</w:t>
      </w:r>
      <w:r>
        <w:rPr>
          <w:rFonts w:hint="eastAsia" w:ascii="宋体" w:hAnsi="宋体"/>
          <w:b/>
          <w:sz w:val="24"/>
        </w:rPr>
        <w:t>天</w:t>
      </w:r>
      <w:r>
        <w:rPr>
          <w:rFonts w:ascii="宋体" w:hAnsi="宋体"/>
          <w:b/>
          <w:sz w:val="24"/>
        </w:rPr>
        <w:t>内</w:t>
      </w:r>
      <w:r>
        <w:rPr>
          <w:rFonts w:hint="eastAsia" w:ascii="宋体" w:hAnsi="宋体"/>
          <w:b/>
          <w:sz w:val="24"/>
        </w:rPr>
        <w:t>，招标人委托</w:t>
      </w:r>
      <w:r>
        <w:rPr>
          <w:rFonts w:ascii="宋体" w:hAnsi="宋体"/>
          <w:b/>
          <w:sz w:val="24"/>
        </w:rPr>
        <w:t>同一家</w:t>
      </w:r>
      <w:r>
        <w:rPr>
          <w:rFonts w:hint="eastAsia" w:ascii="宋体" w:hAnsi="宋体"/>
          <w:b/>
          <w:sz w:val="24"/>
        </w:rPr>
        <w:t>检测</w:t>
      </w:r>
      <w:r>
        <w:rPr>
          <w:rFonts w:ascii="宋体" w:hAnsi="宋体"/>
          <w:b/>
          <w:sz w:val="24"/>
        </w:rPr>
        <w:t>机构以相同方式进行</w:t>
      </w:r>
      <w:r>
        <w:rPr>
          <w:rFonts w:hint="eastAsia" w:ascii="宋体" w:hAnsi="宋体"/>
          <w:b/>
          <w:sz w:val="24"/>
        </w:rPr>
        <w:t>第二次环境污染</w:t>
      </w:r>
      <w:r>
        <w:rPr>
          <w:rFonts w:ascii="宋体" w:hAnsi="宋体"/>
          <w:b/>
          <w:sz w:val="24"/>
        </w:rPr>
        <w:t>物</w:t>
      </w:r>
      <w:r>
        <w:rPr>
          <w:rFonts w:hint="eastAsia" w:ascii="宋体" w:hAnsi="宋体"/>
          <w:b/>
          <w:sz w:val="24"/>
        </w:rPr>
        <w:t>浓度</w:t>
      </w:r>
      <w:r>
        <w:rPr>
          <w:rFonts w:ascii="宋体" w:hAnsi="宋体"/>
          <w:b/>
          <w:sz w:val="24"/>
        </w:rPr>
        <w:t>（</w:t>
      </w:r>
      <w:r>
        <w:rPr>
          <w:rFonts w:hint="eastAsia" w:ascii="宋体" w:hAnsi="宋体"/>
          <w:b/>
          <w:sz w:val="24"/>
        </w:rPr>
        <w:t>空气质量</w:t>
      </w:r>
      <w:r>
        <w:rPr>
          <w:rFonts w:ascii="宋体" w:hAnsi="宋体"/>
          <w:b/>
          <w:sz w:val="24"/>
        </w:rPr>
        <w:t>）检测，检测值记为Q2</w:t>
      </w:r>
      <w:r>
        <w:rPr>
          <w:rFonts w:hint="eastAsia" w:ascii="宋体" w:hAnsi="宋体"/>
          <w:b/>
          <w:sz w:val="24"/>
        </w:rPr>
        <w:t>，差值</w:t>
      </w:r>
      <w:r>
        <w:rPr>
          <w:rFonts w:ascii="宋体" w:hAnsi="宋体"/>
          <w:b/>
          <w:sz w:val="24"/>
        </w:rPr>
        <w:t>P=Q2-Q1</w:t>
      </w:r>
      <w:r>
        <w:rPr>
          <w:rFonts w:hint="eastAsia" w:ascii="宋体" w:hAnsi="宋体"/>
          <w:b/>
          <w:sz w:val="24"/>
        </w:rPr>
        <w:t>，P即</w:t>
      </w:r>
      <w:r>
        <w:rPr>
          <w:rFonts w:ascii="宋体" w:hAnsi="宋体"/>
          <w:b/>
          <w:sz w:val="24"/>
        </w:rPr>
        <w:t>视为本次投标人提供的家具</w:t>
      </w:r>
      <w:r>
        <w:rPr>
          <w:rFonts w:hint="eastAsia" w:ascii="宋体" w:hAnsi="宋体"/>
          <w:b/>
          <w:sz w:val="24"/>
        </w:rPr>
        <w:t>的</w:t>
      </w:r>
      <w:r>
        <w:rPr>
          <w:rFonts w:ascii="宋体" w:hAnsi="宋体"/>
          <w:b/>
          <w:sz w:val="24"/>
        </w:rPr>
        <w:t>环境污染物浓度</w:t>
      </w:r>
      <w:r>
        <w:rPr>
          <w:rFonts w:hint="eastAsia" w:ascii="宋体" w:hAnsi="宋体"/>
          <w:b/>
          <w:sz w:val="24"/>
        </w:rPr>
        <w:t>。</w:t>
      </w:r>
      <w:r>
        <w:rPr>
          <w:rFonts w:ascii="宋体" w:hAnsi="宋体"/>
          <w:b/>
          <w:sz w:val="24"/>
        </w:rPr>
        <w:t>P</w:t>
      </w:r>
      <w:r>
        <w:rPr>
          <w:rFonts w:hint="eastAsia" w:ascii="宋体" w:hAnsi="宋体"/>
          <w:b/>
          <w:sz w:val="24"/>
        </w:rPr>
        <w:t>值</w:t>
      </w:r>
      <w:r>
        <w:rPr>
          <w:rFonts w:ascii="宋体" w:hAnsi="宋体"/>
          <w:b/>
          <w:sz w:val="24"/>
        </w:rPr>
        <w:t>必须符合国家环境污染物</w:t>
      </w:r>
      <w:r>
        <w:rPr>
          <w:rFonts w:hint="eastAsia" w:ascii="宋体" w:hAnsi="宋体"/>
          <w:b/>
          <w:sz w:val="24"/>
        </w:rPr>
        <w:t>浓度</w:t>
      </w:r>
      <w:r>
        <w:rPr>
          <w:rFonts w:ascii="宋体" w:hAnsi="宋体"/>
          <w:b/>
          <w:sz w:val="24"/>
        </w:rPr>
        <w:t>控制相关法规</w:t>
      </w:r>
      <w:r>
        <w:rPr>
          <w:rFonts w:hint="eastAsia" w:ascii="宋体" w:hAnsi="宋体"/>
          <w:b/>
          <w:sz w:val="24"/>
        </w:rPr>
        <w:t>标准（中华人民</w:t>
      </w:r>
      <w:r>
        <w:rPr>
          <w:rFonts w:ascii="宋体" w:hAnsi="宋体"/>
          <w:b/>
          <w:sz w:val="24"/>
        </w:rPr>
        <w:t>共和国国家标准</w:t>
      </w:r>
      <w:r>
        <w:rPr>
          <w:rFonts w:hint="eastAsia" w:ascii="宋体" w:hAnsi="宋体"/>
          <w:b/>
          <w:sz w:val="24"/>
        </w:rPr>
        <w:t xml:space="preserve"> 室内</w:t>
      </w:r>
      <w:r>
        <w:rPr>
          <w:rFonts w:ascii="宋体" w:hAnsi="宋体"/>
          <w:b/>
          <w:sz w:val="24"/>
        </w:rPr>
        <w:t>空气质量标准</w:t>
      </w:r>
      <w:r>
        <w:rPr>
          <w:rFonts w:hint="eastAsia" w:ascii="宋体" w:hAnsi="宋体"/>
          <w:b/>
          <w:sz w:val="24"/>
        </w:rPr>
        <w:t xml:space="preserve"> </w:t>
      </w:r>
      <w:r>
        <w:rPr>
          <w:rFonts w:ascii="宋体" w:hAnsi="宋体"/>
          <w:b/>
          <w:sz w:val="24"/>
        </w:rPr>
        <w:t>GB/T 18883-2002</w:t>
      </w:r>
      <w:r>
        <w:rPr>
          <w:rFonts w:hint="eastAsia" w:ascii="宋体" w:hAnsi="宋体"/>
          <w:b/>
          <w:sz w:val="24"/>
        </w:rPr>
        <w:t>，</w:t>
      </w:r>
      <w:r>
        <w:rPr>
          <w:rFonts w:ascii="宋体" w:hAnsi="宋体"/>
          <w:b/>
          <w:sz w:val="24"/>
        </w:rPr>
        <w:t>有新标准以新标准为准</w:t>
      </w:r>
      <w:r>
        <w:rPr>
          <w:rFonts w:hint="eastAsia" w:ascii="宋体" w:hAnsi="宋体"/>
          <w:b/>
          <w:sz w:val="24"/>
        </w:rPr>
        <w:t>）</w:t>
      </w:r>
      <w:r>
        <w:rPr>
          <w:rFonts w:ascii="宋体" w:hAnsi="宋体"/>
          <w:b/>
          <w:sz w:val="24"/>
        </w:rPr>
        <w:t>，标准将在合同中予以明确。</w:t>
      </w:r>
      <w:r>
        <w:rPr>
          <w:rFonts w:hint="eastAsia" w:ascii="宋体" w:hAnsi="宋体"/>
          <w:b/>
          <w:sz w:val="24"/>
        </w:rPr>
        <w:t>投标人参与</w:t>
      </w:r>
      <w:r>
        <w:rPr>
          <w:rFonts w:ascii="宋体" w:hAnsi="宋体"/>
          <w:b/>
          <w:sz w:val="24"/>
        </w:rPr>
        <w:t>本项目</w:t>
      </w:r>
      <w:r>
        <w:rPr>
          <w:rFonts w:hint="eastAsia" w:ascii="宋体" w:hAnsi="宋体"/>
          <w:b/>
          <w:sz w:val="24"/>
        </w:rPr>
        <w:t>即</w:t>
      </w:r>
      <w:r>
        <w:rPr>
          <w:rFonts w:ascii="宋体" w:hAnsi="宋体"/>
          <w:b/>
          <w:sz w:val="24"/>
        </w:rPr>
        <w:t>视为同意本条相关数据计算方式</w:t>
      </w:r>
      <w:r>
        <w:rPr>
          <w:rFonts w:hint="eastAsia" w:ascii="宋体" w:hAnsi="宋体"/>
          <w:b/>
          <w:sz w:val="24"/>
        </w:rPr>
        <w:t>等所有</w:t>
      </w:r>
      <w:r>
        <w:rPr>
          <w:rFonts w:ascii="宋体" w:hAnsi="宋体"/>
          <w:b/>
          <w:sz w:val="24"/>
        </w:rPr>
        <w:t>内容，</w:t>
      </w:r>
      <w:r>
        <w:rPr>
          <w:rFonts w:hint="eastAsia" w:ascii="宋体" w:hAnsi="宋体"/>
          <w:b/>
          <w:sz w:val="24"/>
        </w:rPr>
        <w:t>投标人</w:t>
      </w:r>
      <w:r>
        <w:rPr>
          <w:rFonts w:ascii="宋体" w:hAnsi="宋体"/>
          <w:b/>
          <w:sz w:val="24"/>
        </w:rPr>
        <w:t>中标后实施本条</w:t>
      </w:r>
      <w:r>
        <w:rPr>
          <w:rFonts w:hint="eastAsia" w:ascii="宋体" w:hAnsi="宋体"/>
          <w:b/>
          <w:sz w:val="24"/>
        </w:rPr>
        <w:t>义务时</w:t>
      </w:r>
      <w:r>
        <w:rPr>
          <w:rFonts w:ascii="宋体" w:hAnsi="宋体"/>
          <w:b/>
          <w:sz w:val="24"/>
        </w:rPr>
        <w:t>不得以</w:t>
      </w:r>
      <w:r>
        <w:rPr>
          <w:rFonts w:hint="eastAsia" w:ascii="宋体" w:hAnsi="宋体"/>
          <w:b/>
          <w:sz w:val="24"/>
        </w:rPr>
        <w:t>任何</w:t>
      </w:r>
      <w:r>
        <w:rPr>
          <w:rFonts w:ascii="宋体" w:hAnsi="宋体"/>
          <w:b/>
          <w:sz w:val="24"/>
        </w:rPr>
        <w:t>其他</w:t>
      </w:r>
      <w:r>
        <w:rPr>
          <w:rFonts w:hint="eastAsia" w:ascii="宋体" w:hAnsi="宋体"/>
          <w:b/>
          <w:sz w:val="24"/>
        </w:rPr>
        <w:t>因素作为</w:t>
      </w:r>
      <w:r>
        <w:rPr>
          <w:rFonts w:ascii="宋体" w:hAnsi="宋体"/>
          <w:b/>
          <w:sz w:val="24"/>
        </w:rPr>
        <w:t>理由或</w:t>
      </w:r>
      <w:r>
        <w:rPr>
          <w:rFonts w:hint="eastAsia" w:ascii="宋体" w:hAnsi="宋体"/>
          <w:b/>
          <w:sz w:val="24"/>
        </w:rPr>
        <w:t>借口</w:t>
      </w:r>
      <w:r>
        <w:rPr>
          <w:rFonts w:ascii="宋体" w:hAnsi="宋体"/>
          <w:b/>
          <w:sz w:val="24"/>
        </w:rPr>
        <w:t>推脱。</w:t>
      </w:r>
      <w:r>
        <w:rPr>
          <w:rFonts w:hint="eastAsia" w:ascii="宋体" w:hAnsi="宋体"/>
          <w:b/>
          <w:sz w:val="24"/>
        </w:rPr>
        <w:t>如</w:t>
      </w:r>
      <w:r>
        <w:rPr>
          <w:rFonts w:ascii="宋体" w:hAnsi="宋体"/>
          <w:b/>
          <w:sz w:val="24"/>
        </w:rPr>
        <w:t>P值超出</w:t>
      </w:r>
      <w:r>
        <w:rPr>
          <w:rFonts w:hint="eastAsia" w:ascii="宋体" w:hAnsi="宋体"/>
          <w:b/>
          <w:sz w:val="24"/>
        </w:rPr>
        <w:t>合同中</w:t>
      </w:r>
      <w:r>
        <w:rPr>
          <w:rFonts w:ascii="宋体" w:hAnsi="宋体"/>
          <w:b/>
          <w:sz w:val="24"/>
        </w:rPr>
        <w:t>明确的国家标准，由</w:t>
      </w:r>
      <w:r>
        <w:rPr>
          <w:rFonts w:hint="eastAsia" w:ascii="宋体" w:hAnsi="宋体"/>
          <w:b/>
          <w:sz w:val="24"/>
        </w:rPr>
        <w:t>招标人</w:t>
      </w:r>
      <w:r>
        <w:rPr>
          <w:rFonts w:ascii="宋体" w:hAnsi="宋体"/>
          <w:b/>
          <w:sz w:val="24"/>
        </w:rPr>
        <w:t>负责</w:t>
      </w:r>
      <w:r>
        <w:rPr>
          <w:rFonts w:hint="eastAsia" w:ascii="宋体" w:hAnsi="宋体"/>
          <w:b/>
          <w:sz w:val="24"/>
        </w:rPr>
        <w:t>指定专业</w:t>
      </w:r>
      <w:r>
        <w:rPr>
          <w:rFonts w:ascii="宋体" w:hAnsi="宋体"/>
          <w:b/>
          <w:sz w:val="24"/>
        </w:rPr>
        <w:t>空气治理机构进行空气质量治理，治理效果为</w:t>
      </w:r>
      <w:r>
        <w:rPr>
          <w:rFonts w:hint="eastAsia" w:ascii="宋体" w:hAnsi="宋体"/>
          <w:b/>
          <w:sz w:val="24"/>
        </w:rPr>
        <w:t>再次</w:t>
      </w:r>
      <w:r>
        <w:rPr>
          <w:rFonts w:ascii="宋体" w:hAnsi="宋体"/>
          <w:b/>
          <w:sz w:val="24"/>
        </w:rPr>
        <w:t>检测P值符合</w:t>
      </w:r>
      <w:r>
        <w:rPr>
          <w:rFonts w:hint="eastAsia" w:ascii="宋体" w:hAnsi="宋体"/>
          <w:b/>
          <w:sz w:val="24"/>
        </w:rPr>
        <w:t>合同中明确的国家标准</w:t>
      </w:r>
      <w:r>
        <w:rPr>
          <w:rFonts w:ascii="宋体" w:hAnsi="宋体"/>
          <w:b/>
          <w:sz w:val="24"/>
        </w:rPr>
        <w:t>为止</w:t>
      </w:r>
      <w:r>
        <w:rPr>
          <w:rFonts w:hint="eastAsia" w:ascii="宋体" w:hAnsi="宋体"/>
          <w:b/>
          <w:sz w:val="24"/>
        </w:rPr>
        <w:t>，</w:t>
      </w:r>
      <w:r>
        <w:rPr>
          <w:rFonts w:ascii="宋体" w:hAnsi="宋体"/>
          <w:b/>
          <w:sz w:val="24"/>
        </w:rPr>
        <w:t>由此产生的治理费用、</w:t>
      </w:r>
      <w:r>
        <w:rPr>
          <w:rFonts w:hint="eastAsia" w:ascii="宋体" w:hAnsi="宋体"/>
          <w:b/>
          <w:sz w:val="24"/>
        </w:rPr>
        <w:t>再</w:t>
      </w:r>
      <w:r>
        <w:rPr>
          <w:rFonts w:ascii="宋体" w:hAnsi="宋体"/>
          <w:b/>
          <w:sz w:val="24"/>
        </w:rPr>
        <w:t>次检测</w:t>
      </w:r>
      <w:r>
        <w:rPr>
          <w:rFonts w:hint="eastAsia" w:ascii="宋体" w:hAnsi="宋体"/>
          <w:b/>
          <w:sz w:val="24"/>
        </w:rPr>
        <w:t>费用</w:t>
      </w:r>
      <w:r>
        <w:rPr>
          <w:rFonts w:ascii="宋体" w:hAnsi="宋体"/>
          <w:b/>
          <w:sz w:val="24"/>
        </w:rPr>
        <w:t>等一切相关费用均由</w:t>
      </w:r>
      <w:r>
        <w:rPr>
          <w:rFonts w:hint="eastAsia" w:ascii="宋体" w:hAnsi="宋体"/>
          <w:b/>
          <w:sz w:val="24"/>
        </w:rPr>
        <w:t>中标人</w:t>
      </w:r>
      <w:r>
        <w:rPr>
          <w:rFonts w:ascii="宋体" w:hAnsi="宋体"/>
          <w:b/>
          <w:sz w:val="24"/>
        </w:rPr>
        <w:t>承担，</w:t>
      </w:r>
      <w:r>
        <w:rPr>
          <w:rFonts w:hint="eastAsia" w:ascii="宋体" w:hAnsi="宋体"/>
          <w:b/>
          <w:sz w:val="24"/>
        </w:rPr>
        <w:t>否则</w:t>
      </w:r>
      <w:r>
        <w:rPr>
          <w:rFonts w:ascii="宋体" w:hAnsi="宋体"/>
          <w:b/>
          <w:sz w:val="24"/>
        </w:rPr>
        <w:t>不予验收付款。投标人</w:t>
      </w:r>
      <w:r>
        <w:rPr>
          <w:rFonts w:hint="eastAsia" w:ascii="宋体" w:hAnsi="宋体"/>
          <w:b/>
          <w:sz w:val="24"/>
        </w:rPr>
        <w:t>须</w:t>
      </w:r>
      <w:r>
        <w:rPr>
          <w:rFonts w:ascii="宋体" w:hAnsi="宋体"/>
          <w:b/>
          <w:sz w:val="24"/>
        </w:rPr>
        <w:t>对本条作出明确响应，</w:t>
      </w:r>
      <w:r>
        <w:rPr>
          <w:rFonts w:hint="eastAsia" w:ascii="宋体" w:hAnsi="宋体"/>
          <w:b/>
          <w:sz w:val="24"/>
        </w:rPr>
        <w:t>未</w:t>
      </w:r>
      <w:r>
        <w:rPr>
          <w:rFonts w:ascii="宋体" w:hAnsi="宋体"/>
          <w:b/>
          <w:sz w:val="24"/>
        </w:rPr>
        <w:t>响应或负偏离</w:t>
      </w:r>
      <w:r>
        <w:rPr>
          <w:rFonts w:hint="eastAsia" w:ascii="宋体" w:hAnsi="宋体"/>
          <w:b/>
          <w:sz w:val="24"/>
        </w:rPr>
        <w:t>为无效标。</w:t>
      </w:r>
    </w:p>
    <w:p>
      <w:pPr>
        <w:spacing w:line="360" w:lineRule="auto"/>
        <w:rPr>
          <w:rFonts w:hint="eastAsia" w:ascii="宋体" w:hAnsi="宋体"/>
          <w:b/>
          <w:sz w:val="24"/>
        </w:rPr>
      </w:pPr>
      <w:r>
        <w:rPr>
          <w:rFonts w:hint="eastAsia" w:ascii="宋体" w:hAnsi="宋体"/>
          <w:b/>
          <w:sz w:val="24"/>
        </w:rPr>
        <w:t>注</w:t>
      </w:r>
      <w:r>
        <w:rPr>
          <w:rFonts w:ascii="宋体" w:hAnsi="宋体"/>
          <w:b/>
          <w:sz w:val="24"/>
        </w:rPr>
        <w:t>：Q1</w:t>
      </w:r>
      <w:r>
        <w:rPr>
          <w:rFonts w:hint="eastAsia" w:ascii="宋体" w:hAnsi="宋体"/>
          <w:b/>
          <w:sz w:val="24"/>
        </w:rPr>
        <w:t>、</w:t>
      </w:r>
      <w:r>
        <w:rPr>
          <w:rFonts w:ascii="宋体" w:hAnsi="宋体"/>
          <w:b/>
          <w:sz w:val="24"/>
        </w:rPr>
        <w:t>Q2、P值为</w:t>
      </w:r>
      <w:r>
        <w:rPr>
          <w:rFonts w:hint="eastAsia" w:ascii="宋体" w:hAnsi="宋体"/>
          <w:b/>
          <w:sz w:val="24"/>
        </w:rPr>
        <w:t>涉及空气质量</w:t>
      </w:r>
      <w:r>
        <w:rPr>
          <w:rFonts w:ascii="宋体" w:hAnsi="宋体"/>
          <w:b/>
          <w:sz w:val="24"/>
        </w:rPr>
        <w:t>指标的一</w:t>
      </w:r>
      <w:r>
        <w:rPr>
          <w:rFonts w:hint="eastAsia" w:ascii="宋体" w:hAnsi="宋体"/>
          <w:b/>
          <w:sz w:val="24"/>
        </w:rPr>
        <w:t>系列</w:t>
      </w:r>
      <w:r>
        <w:rPr>
          <w:rFonts w:ascii="宋体" w:hAnsi="宋体"/>
          <w:b/>
          <w:sz w:val="24"/>
        </w:rPr>
        <w:t>对应参数</w:t>
      </w:r>
      <w:r>
        <w:rPr>
          <w:rFonts w:hint="eastAsia" w:ascii="宋体" w:hAnsi="宋体"/>
          <w:b/>
          <w:sz w:val="24"/>
        </w:rPr>
        <w:t>项，</w:t>
      </w:r>
      <w:r>
        <w:rPr>
          <w:rFonts w:ascii="宋体" w:hAnsi="宋体"/>
          <w:b/>
          <w:sz w:val="24"/>
        </w:rPr>
        <w:t>在合同中予以明确。</w:t>
      </w:r>
    </w:p>
    <w:p>
      <w:pPr>
        <w:spacing w:line="360" w:lineRule="auto"/>
        <w:ind w:left="267" w:leftChars="127"/>
        <w:rPr>
          <w:rFonts w:ascii="宋体" w:hAnsi="宋体"/>
          <w:sz w:val="24"/>
        </w:rPr>
      </w:pPr>
      <w:r>
        <w:rPr>
          <w:rFonts w:hint="eastAsia" w:ascii="宋体" w:hAnsi="宋体"/>
          <w:sz w:val="24"/>
          <w:lang w:val="en-US" w:eastAsia="zh-CN"/>
        </w:rPr>
        <w:t>7</w:t>
      </w:r>
      <w:r>
        <w:rPr>
          <w:rFonts w:hint="eastAsia" w:ascii="宋体" w:hAnsi="宋体"/>
          <w:sz w:val="24"/>
        </w:rPr>
        <w:t>.产品交货后供应商需配合需求方在所交货产品中抽取产品部件送检并承担检验费用；</w:t>
      </w:r>
    </w:p>
    <w:p>
      <w:pPr>
        <w:spacing w:line="360" w:lineRule="auto"/>
        <w:ind w:left="267" w:leftChars="127"/>
        <w:rPr>
          <w:rFonts w:ascii="宋体" w:hAnsi="宋体"/>
          <w:sz w:val="24"/>
        </w:rPr>
      </w:pPr>
      <w:r>
        <w:rPr>
          <w:rFonts w:hint="eastAsia" w:ascii="宋体" w:hAnsi="宋体"/>
          <w:sz w:val="24"/>
          <w:lang w:val="en-US" w:eastAsia="zh-CN"/>
        </w:rPr>
        <w:t>8</w:t>
      </w:r>
      <w:r>
        <w:rPr>
          <w:rFonts w:hint="eastAsia" w:ascii="宋体" w:hAnsi="宋体"/>
          <w:sz w:val="24"/>
        </w:rPr>
        <w:t>.所有投标人需保证资料真实有效，如提供虚假资料经举报或发现，一经查实，取消资格并进行对应的处罚；</w:t>
      </w:r>
    </w:p>
    <w:p>
      <w:pPr>
        <w:spacing w:line="360" w:lineRule="auto"/>
        <w:ind w:firstLine="267"/>
        <w:rPr>
          <w:rFonts w:hint="eastAsia" w:ascii="宋体" w:hAnsi="宋体"/>
          <w:sz w:val="24"/>
        </w:rPr>
      </w:pPr>
      <w:r>
        <w:rPr>
          <w:rFonts w:hint="eastAsia" w:ascii="宋体" w:hAnsi="宋体"/>
          <w:sz w:val="24"/>
          <w:lang w:val="en-US" w:eastAsia="zh-CN"/>
        </w:rPr>
        <w:t>9</w:t>
      </w:r>
      <w:r>
        <w:rPr>
          <w:rFonts w:hint="eastAsia" w:ascii="宋体" w:hAnsi="宋体"/>
          <w:sz w:val="24"/>
        </w:rPr>
        <w:t>.任何弄虚</w:t>
      </w:r>
      <w:r>
        <w:rPr>
          <w:rFonts w:ascii="宋体" w:hAnsi="宋体"/>
          <w:sz w:val="24"/>
        </w:rPr>
        <w:t>作假</w:t>
      </w:r>
      <w:r>
        <w:rPr>
          <w:rFonts w:hint="eastAsia" w:ascii="宋体" w:hAnsi="宋体"/>
          <w:sz w:val="24"/>
        </w:rPr>
        <w:t>或</w:t>
      </w:r>
      <w:r>
        <w:rPr>
          <w:rFonts w:ascii="宋体" w:hAnsi="宋体"/>
          <w:sz w:val="24"/>
        </w:rPr>
        <w:t>有其他</w:t>
      </w:r>
      <w:r>
        <w:rPr>
          <w:rFonts w:hint="eastAsia" w:ascii="宋体" w:hAnsi="宋体"/>
          <w:sz w:val="24"/>
        </w:rPr>
        <w:t>导致无效标</w:t>
      </w:r>
      <w:r>
        <w:rPr>
          <w:rFonts w:ascii="宋体" w:hAnsi="宋体"/>
          <w:sz w:val="24"/>
        </w:rPr>
        <w:t>的行为的</w:t>
      </w:r>
      <w:r>
        <w:rPr>
          <w:rFonts w:hint="eastAsia" w:ascii="宋体" w:hAnsi="宋体"/>
          <w:sz w:val="24"/>
        </w:rPr>
        <w:t>中标</w:t>
      </w:r>
      <w:r>
        <w:rPr>
          <w:rFonts w:ascii="宋体" w:hAnsi="宋体"/>
          <w:sz w:val="24"/>
        </w:rPr>
        <w:t>人，由招标人</w:t>
      </w:r>
      <w:r>
        <w:rPr>
          <w:rFonts w:hint="eastAsia" w:ascii="宋体" w:hAnsi="宋体"/>
          <w:sz w:val="24"/>
        </w:rPr>
        <w:t>确定</w:t>
      </w:r>
      <w:r>
        <w:rPr>
          <w:rFonts w:ascii="宋体" w:hAnsi="宋体"/>
          <w:sz w:val="24"/>
        </w:rPr>
        <w:t>是否重新招标或直接</w:t>
      </w:r>
      <w:r>
        <w:rPr>
          <w:rFonts w:hint="eastAsia" w:ascii="宋体" w:hAnsi="宋体"/>
          <w:sz w:val="24"/>
        </w:rPr>
        <w:t>推荐</w:t>
      </w:r>
      <w:r>
        <w:rPr>
          <w:rFonts w:ascii="宋体" w:hAnsi="宋体"/>
          <w:sz w:val="24"/>
        </w:rPr>
        <w:t>下一顺序中标候选人。</w:t>
      </w:r>
    </w:p>
    <w:p>
      <w:pPr>
        <w:spacing w:line="360" w:lineRule="auto"/>
        <w:rPr>
          <w:rFonts w:hint="eastAsia" w:ascii="宋体" w:hAnsi="宋体"/>
          <w:sz w:val="24"/>
        </w:rPr>
      </w:pPr>
      <w:r>
        <w:rPr>
          <w:rFonts w:hint="eastAsia" w:ascii="宋体" w:hAnsi="宋体"/>
          <w:sz w:val="24"/>
        </w:rPr>
        <w:t>注：1.除采购文件标注的参考品牌外，欢迎其它能满足本项目技术需求且性能与所注品牌相当的产品参与。</w:t>
      </w:r>
    </w:p>
    <w:p>
      <w:pPr>
        <w:numPr>
          <w:ilvl w:val="0"/>
          <w:numId w:val="4"/>
        </w:numPr>
        <w:spacing w:line="360" w:lineRule="auto"/>
        <w:ind w:firstLine="482" w:firstLineChars="200"/>
        <w:rPr>
          <w:rFonts w:ascii="宋体" w:hAnsi="宋体"/>
          <w:b/>
          <w:sz w:val="24"/>
        </w:rPr>
        <w:sectPr>
          <w:footerReference r:id="rId8" w:type="first"/>
          <w:headerReference r:id="rId5" w:type="default"/>
          <w:footerReference r:id="rId6" w:type="default"/>
          <w:footerReference r:id="rId7" w:type="even"/>
          <w:pgSz w:w="11906" w:h="16838"/>
          <w:pgMar w:top="1440" w:right="1797" w:bottom="1440" w:left="1797" w:header="851" w:footer="992" w:gutter="0"/>
          <w:pgNumType w:fmt="decimal"/>
          <w:cols w:space="720" w:num="1"/>
          <w:docGrid w:type="lines" w:linePitch="312" w:charSpace="0"/>
        </w:sectPr>
      </w:pPr>
      <w:r>
        <w:rPr>
          <w:rFonts w:hint="eastAsia" w:ascii="宋体" w:hAnsi="宋体"/>
          <w:b/>
          <w:sz w:val="24"/>
        </w:rPr>
        <w:t>如有附图，仅作参考。</w:t>
      </w:r>
    </w:p>
    <w:p>
      <w:pPr>
        <w:spacing w:line="360" w:lineRule="auto"/>
        <w:ind w:firstLine="482" w:firstLineChars="200"/>
        <w:rPr>
          <w:rFonts w:hint="eastAsia"/>
          <w:b/>
          <w:sz w:val="24"/>
        </w:rPr>
      </w:pPr>
      <w:r>
        <w:rPr>
          <w:b/>
          <w:sz w:val="24"/>
        </w:rPr>
        <w:t>样品</w:t>
      </w:r>
      <w:r>
        <w:rPr>
          <w:rFonts w:hint="eastAsia"/>
          <w:b/>
          <w:sz w:val="24"/>
        </w:rPr>
        <w:t>明细</w:t>
      </w:r>
      <w:r>
        <w:rPr>
          <w:b/>
          <w:sz w:val="24"/>
        </w:rPr>
        <w:t>见</w:t>
      </w:r>
      <w:r>
        <w:rPr>
          <w:rFonts w:hint="eastAsia"/>
          <w:b/>
          <w:sz w:val="24"/>
        </w:rPr>
        <w:t>后续样品</w:t>
      </w:r>
      <w:r>
        <w:rPr>
          <w:b/>
          <w:sz w:val="24"/>
        </w:rPr>
        <w:t>部分</w:t>
      </w:r>
      <w:r>
        <w:rPr>
          <w:rFonts w:hint="eastAsia"/>
          <w:b/>
          <w:sz w:val="24"/>
        </w:rPr>
        <w:t>说明</w:t>
      </w:r>
      <w:r>
        <w:rPr>
          <w:b/>
          <w:sz w:val="24"/>
        </w:rPr>
        <w:t>清单，</w:t>
      </w:r>
      <w:r>
        <w:rPr>
          <w:rFonts w:hint="eastAsia"/>
          <w:b/>
          <w:sz w:val="24"/>
        </w:rPr>
        <w:t>所有样品</w:t>
      </w:r>
      <w:r>
        <w:rPr>
          <w:b/>
          <w:sz w:val="24"/>
        </w:rPr>
        <w:t>不得</w:t>
      </w:r>
      <w:r>
        <w:rPr>
          <w:rFonts w:hint="eastAsia"/>
          <w:b/>
          <w:sz w:val="24"/>
        </w:rPr>
        <w:t>出现带</w:t>
      </w:r>
      <w:r>
        <w:rPr>
          <w:b/>
          <w:sz w:val="24"/>
        </w:rPr>
        <w:t>投标人名字</w:t>
      </w:r>
      <w:r>
        <w:rPr>
          <w:rFonts w:hint="eastAsia"/>
          <w:b/>
          <w:sz w:val="24"/>
        </w:rPr>
        <w:t>或</w:t>
      </w:r>
      <w:r>
        <w:rPr>
          <w:b/>
          <w:sz w:val="24"/>
        </w:rPr>
        <w:t>其他明显可</w:t>
      </w:r>
      <w:r>
        <w:rPr>
          <w:rFonts w:hint="eastAsia"/>
          <w:b/>
          <w:sz w:val="24"/>
        </w:rPr>
        <w:t>辨别投标人</w:t>
      </w:r>
      <w:r>
        <w:rPr>
          <w:b/>
          <w:sz w:val="24"/>
        </w:rPr>
        <w:t>信息的标识，否则样品部分直接为</w:t>
      </w:r>
      <w:r>
        <w:rPr>
          <w:rFonts w:hint="eastAsia"/>
          <w:b/>
          <w:sz w:val="24"/>
        </w:rPr>
        <w:t>0分，</w:t>
      </w:r>
      <w:r>
        <w:rPr>
          <w:b/>
          <w:sz w:val="24"/>
        </w:rPr>
        <w:t>下表为家具样品对应的采购需求中的编号说明。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31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pPr>
              <w:spacing w:line="400" w:lineRule="exact"/>
              <w:jc w:val="center"/>
              <w:rPr>
                <w:rFonts w:hint="eastAsia" w:ascii="宋体" w:hAnsi="宋体"/>
                <w:b/>
                <w:sz w:val="24"/>
              </w:rPr>
            </w:pPr>
            <w:r>
              <w:rPr>
                <w:rFonts w:hint="eastAsia" w:ascii="宋体" w:hAnsi="宋体"/>
                <w:b/>
                <w:sz w:val="24"/>
              </w:rPr>
              <w:t>样品编号</w:t>
            </w:r>
          </w:p>
        </w:tc>
        <w:tc>
          <w:tcPr>
            <w:tcW w:w="3170" w:type="dxa"/>
            <w:noWrap w:val="0"/>
            <w:vAlign w:val="top"/>
          </w:tcPr>
          <w:p>
            <w:pPr>
              <w:spacing w:line="400" w:lineRule="exact"/>
              <w:jc w:val="center"/>
              <w:rPr>
                <w:rFonts w:hint="eastAsia" w:ascii="宋体" w:hAnsi="宋体"/>
                <w:b/>
                <w:sz w:val="24"/>
              </w:rPr>
            </w:pPr>
            <w:r>
              <w:rPr>
                <w:rFonts w:hint="eastAsia" w:ascii="宋体" w:hAnsi="宋体"/>
                <w:b/>
                <w:sz w:val="24"/>
              </w:rPr>
              <w:t>需求</w:t>
            </w:r>
            <w:r>
              <w:rPr>
                <w:rFonts w:ascii="宋体" w:hAnsi="宋体"/>
                <w:b/>
                <w:sz w:val="24"/>
              </w:rPr>
              <w:t>清单</w:t>
            </w:r>
            <w:r>
              <w:rPr>
                <w:rFonts w:hint="eastAsia" w:ascii="宋体" w:hAnsi="宋体"/>
                <w:b/>
                <w:sz w:val="24"/>
              </w:rPr>
              <w:t>中对应</w:t>
            </w:r>
            <w:r>
              <w:rPr>
                <w:rFonts w:ascii="宋体" w:hAnsi="宋体"/>
                <w:b/>
                <w:sz w:val="24"/>
              </w:rPr>
              <w:t>编号</w:t>
            </w:r>
          </w:p>
        </w:tc>
        <w:tc>
          <w:tcPr>
            <w:tcW w:w="2977" w:type="dxa"/>
            <w:noWrap w:val="0"/>
            <w:vAlign w:val="top"/>
          </w:tcPr>
          <w:p>
            <w:pPr>
              <w:spacing w:line="400" w:lineRule="exact"/>
              <w:jc w:val="center"/>
              <w:rPr>
                <w:rFonts w:hint="eastAsia" w:ascii="宋体" w:hAnsi="宋体"/>
                <w:b/>
                <w:sz w:val="24"/>
              </w:rPr>
            </w:pPr>
            <w:r>
              <w:rPr>
                <w:rFonts w:hint="eastAsia" w:ascii="宋体" w:hAnsi="宋体"/>
                <w:b/>
                <w:sz w:val="24"/>
              </w:rPr>
              <w:t>样品</w:t>
            </w:r>
            <w:r>
              <w:rPr>
                <w:rFonts w:ascii="宋体" w:hAnsi="宋体"/>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pPr>
              <w:spacing w:line="400" w:lineRule="exact"/>
              <w:jc w:val="center"/>
              <w:rPr>
                <w:rFonts w:hint="eastAsia" w:ascii="宋体" w:hAnsi="宋体"/>
                <w:b/>
                <w:sz w:val="24"/>
              </w:rPr>
            </w:pPr>
            <w:r>
              <w:rPr>
                <w:rFonts w:ascii="宋体" w:hAnsi="宋体"/>
                <w:b/>
                <w:sz w:val="24"/>
              </w:rPr>
              <w:t>1</w:t>
            </w:r>
          </w:p>
        </w:tc>
        <w:tc>
          <w:tcPr>
            <w:tcW w:w="3170" w:type="dxa"/>
            <w:noWrap w:val="0"/>
            <w:vAlign w:val="top"/>
          </w:tcPr>
          <w:p>
            <w:pPr>
              <w:spacing w:line="400" w:lineRule="exact"/>
              <w:jc w:val="center"/>
              <w:rPr>
                <w:rFonts w:hint="eastAsia" w:ascii="宋体" w:hAnsi="宋体"/>
                <w:b/>
                <w:sz w:val="24"/>
              </w:rPr>
            </w:pPr>
            <w:r>
              <w:rPr>
                <w:rFonts w:hint="eastAsia" w:ascii="宋体" w:hAnsi="宋体"/>
                <w:b/>
                <w:sz w:val="24"/>
              </w:rPr>
              <w:t>14</w:t>
            </w:r>
          </w:p>
        </w:tc>
        <w:tc>
          <w:tcPr>
            <w:tcW w:w="2977" w:type="dxa"/>
            <w:noWrap w:val="0"/>
            <w:vAlign w:val="top"/>
          </w:tcPr>
          <w:p>
            <w:pPr>
              <w:spacing w:line="400" w:lineRule="exact"/>
              <w:ind w:firstLine="120" w:firstLineChars="50"/>
              <w:jc w:val="center"/>
              <w:rPr>
                <w:rFonts w:ascii="宋体" w:hAnsi="宋体"/>
                <w:b/>
                <w:sz w:val="24"/>
              </w:rPr>
            </w:pPr>
            <w:r>
              <w:rPr>
                <w:rFonts w:hint="eastAsia" w:ascii="宋体" w:hAnsi="宋体"/>
                <w:b/>
                <w:sz w:val="24"/>
              </w:rPr>
              <w:t>会议椅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pPr>
              <w:spacing w:line="400" w:lineRule="exact"/>
              <w:jc w:val="center"/>
              <w:rPr>
                <w:rFonts w:hint="eastAsia" w:ascii="宋体" w:hAnsi="宋体"/>
                <w:b/>
                <w:sz w:val="24"/>
              </w:rPr>
            </w:pPr>
            <w:r>
              <w:rPr>
                <w:rFonts w:hint="eastAsia" w:ascii="宋体" w:hAnsi="宋体"/>
                <w:b/>
                <w:sz w:val="24"/>
              </w:rPr>
              <w:t>2</w:t>
            </w:r>
          </w:p>
        </w:tc>
        <w:tc>
          <w:tcPr>
            <w:tcW w:w="3170" w:type="dxa"/>
            <w:noWrap w:val="0"/>
            <w:vAlign w:val="top"/>
          </w:tcPr>
          <w:p>
            <w:pPr>
              <w:spacing w:line="400" w:lineRule="exact"/>
              <w:jc w:val="center"/>
              <w:rPr>
                <w:rFonts w:ascii="宋体" w:hAnsi="宋体"/>
                <w:b/>
                <w:sz w:val="24"/>
              </w:rPr>
            </w:pPr>
            <w:r>
              <w:rPr>
                <w:rFonts w:ascii="宋体" w:hAnsi="宋体"/>
                <w:b/>
                <w:sz w:val="24"/>
              </w:rPr>
              <w:t>20</w:t>
            </w:r>
          </w:p>
        </w:tc>
        <w:tc>
          <w:tcPr>
            <w:tcW w:w="2977" w:type="dxa"/>
            <w:noWrap w:val="0"/>
            <w:vAlign w:val="top"/>
          </w:tcPr>
          <w:p>
            <w:pPr>
              <w:spacing w:line="400" w:lineRule="exact"/>
              <w:ind w:firstLine="120" w:firstLineChars="50"/>
              <w:jc w:val="center"/>
              <w:rPr>
                <w:rFonts w:ascii="宋体" w:hAnsi="宋体"/>
                <w:b/>
                <w:sz w:val="24"/>
              </w:rPr>
            </w:pPr>
            <w:r>
              <w:rPr>
                <w:rFonts w:hint="eastAsia" w:ascii="宋体" w:hAnsi="宋体"/>
                <w:b/>
                <w:sz w:val="24"/>
              </w:rPr>
              <w:t>休闲沙发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pPr>
              <w:spacing w:line="400" w:lineRule="exact"/>
              <w:jc w:val="center"/>
              <w:rPr>
                <w:rFonts w:hint="eastAsia" w:ascii="宋体" w:hAnsi="宋体"/>
                <w:b/>
                <w:sz w:val="24"/>
              </w:rPr>
            </w:pPr>
            <w:r>
              <w:rPr>
                <w:rFonts w:hint="eastAsia" w:ascii="宋体" w:hAnsi="宋体"/>
                <w:b/>
                <w:sz w:val="24"/>
              </w:rPr>
              <w:t>3</w:t>
            </w:r>
          </w:p>
        </w:tc>
        <w:tc>
          <w:tcPr>
            <w:tcW w:w="3170" w:type="dxa"/>
            <w:noWrap w:val="0"/>
            <w:vAlign w:val="top"/>
          </w:tcPr>
          <w:p>
            <w:pPr>
              <w:spacing w:line="400" w:lineRule="exact"/>
              <w:jc w:val="center"/>
              <w:rPr>
                <w:rFonts w:ascii="宋体" w:hAnsi="宋体"/>
                <w:b/>
                <w:sz w:val="24"/>
              </w:rPr>
            </w:pPr>
            <w:r>
              <w:rPr>
                <w:rFonts w:ascii="宋体" w:hAnsi="宋体"/>
                <w:b/>
                <w:sz w:val="24"/>
              </w:rPr>
              <w:t>51</w:t>
            </w:r>
          </w:p>
        </w:tc>
        <w:tc>
          <w:tcPr>
            <w:tcW w:w="2977" w:type="dxa"/>
            <w:noWrap w:val="0"/>
            <w:vAlign w:val="top"/>
          </w:tcPr>
          <w:p>
            <w:pPr>
              <w:spacing w:line="400" w:lineRule="exact"/>
              <w:jc w:val="center"/>
              <w:rPr>
                <w:rFonts w:hint="eastAsia" w:ascii="宋体" w:hAnsi="宋体"/>
                <w:b/>
                <w:sz w:val="24"/>
              </w:rPr>
            </w:pPr>
            <w:r>
              <w:rPr>
                <w:rFonts w:hint="eastAsia" w:ascii="宋体" w:hAnsi="宋体"/>
                <w:b/>
                <w:sz w:val="24"/>
              </w:rPr>
              <w:t>条桌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top"/>
          </w:tcPr>
          <w:p>
            <w:pPr>
              <w:spacing w:line="400" w:lineRule="exact"/>
              <w:jc w:val="center"/>
              <w:rPr>
                <w:rFonts w:hint="eastAsia" w:ascii="宋体" w:hAnsi="宋体"/>
                <w:b/>
                <w:sz w:val="24"/>
              </w:rPr>
            </w:pPr>
            <w:r>
              <w:rPr>
                <w:rFonts w:hint="eastAsia" w:ascii="宋体" w:hAnsi="宋体"/>
                <w:b/>
                <w:sz w:val="24"/>
              </w:rPr>
              <w:t>材料</w:t>
            </w:r>
            <w:r>
              <w:rPr>
                <w:rFonts w:ascii="宋体" w:hAnsi="宋体"/>
                <w:b/>
                <w:sz w:val="24"/>
              </w:rPr>
              <w:t>和五金件小样</w:t>
            </w:r>
          </w:p>
        </w:tc>
        <w:tc>
          <w:tcPr>
            <w:tcW w:w="3170" w:type="dxa"/>
            <w:noWrap w:val="0"/>
            <w:vAlign w:val="top"/>
          </w:tcPr>
          <w:p>
            <w:pPr>
              <w:spacing w:line="400" w:lineRule="exact"/>
              <w:jc w:val="center"/>
              <w:rPr>
                <w:rFonts w:hint="eastAsia" w:ascii="宋体" w:hAnsi="宋体"/>
                <w:b/>
                <w:sz w:val="24"/>
              </w:rPr>
            </w:pPr>
          </w:p>
        </w:tc>
        <w:tc>
          <w:tcPr>
            <w:tcW w:w="2977" w:type="dxa"/>
            <w:noWrap w:val="0"/>
            <w:vAlign w:val="top"/>
          </w:tcPr>
          <w:p>
            <w:pPr>
              <w:spacing w:line="400" w:lineRule="exact"/>
              <w:jc w:val="center"/>
              <w:rPr>
                <w:rFonts w:hint="eastAsia" w:ascii="宋体" w:hAnsi="宋体"/>
                <w:b/>
                <w:sz w:val="24"/>
              </w:rPr>
            </w:pPr>
            <w:r>
              <w:rPr>
                <w:rFonts w:hint="eastAsia" w:ascii="宋体" w:hAnsi="宋体"/>
                <w:b/>
                <w:sz w:val="24"/>
              </w:rPr>
              <w:t>材料</w:t>
            </w:r>
            <w:r>
              <w:rPr>
                <w:rFonts w:ascii="宋体" w:hAnsi="宋体"/>
                <w:b/>
                <w:sz w:val="24"/>
              </w:rPr>
              <w:t>和五金件小样</w:t>
            </w:r>
          </w:p>
        </w:tc>
      </w:tr>
    </w:tbl>
    <w:p>
      <w:pPr>
        <w:ind w:firstLine="321" w:firstLineChars="100"/>
        <w:rPr>
          <w:rFonts w:hint="eastAsia"/>
          <w:b/>
          <w:sz w:val="32"/>
        </w:rPr>
      </w:pPr>
    </w:p>
    <w:p>
      <w:pPr>
        <w:ind w:firstLine="321" w:firstLineChars="100"/>
        <w:rPr>
          <w:b/>
          <w:sz w:val="32"/>
        </w:rPr>
      </w:pPr>
      <w:r>
        <w:rPr>
          <w:rFonts w:hint="eastAsia"/>
          <w:b/>
          <w:sz w:val="32"/>
        </w:rPr>
        <w:t>样品</w:t>
      </w:r>
      <w:r>
        <w:rPr>
          <w:b/>
          <w:sz w:val="32"/>
        </w:rPr>
        <w:t>部分</w:t>
      </w:r>
      <w:r>
        <w:rPr>
          <w:rFonts w:hint="eastAsia"/>
          <w:b/>
          <w:sz w:val="32"/>
        </w:rPr>
        <w:t>（本部分</w:t>
      </w:r>
      <w:r>
        <w:rPr>
          <w:b/>
          <w:sz w:val="32"/>
        </w:rPr>
        <w:t>为</w:t>
      </w:r>
      <w:r>
        <w:rPr>
          <w:rFonts w:hint="eastAsia"/>
          <w:b/>
          <w:sz w:val="32"/>
        </w:rPr>
        <w:t>投标</w:t>
      </w:r>
      <w:r>
        <w:rPr>
          <w:b/>
          <w:sz w:val="32"/>
        </w:rPr>
        <w:t>时</w:t>
      </w:r>
      <w:r>
        <w:rPr>
          <w:rFonts w:hint="eastAsia"/>
          <w:b/>
          <w:sz w:val="32"/>
        </w:rPr>
        <w:t>需要</w:t>
      </w:r>
      <w:r>
        <w:rPr>
          <w:b/>
          <w:sz w:val="32"/>
        </w:rPr>
        <w:t>的样品</w:t>
      </w:r>
      <w:r>
        <w:rPr>
          <w:rFonts w:hint="eastAsia"/>
          <w:b/>
          <w:sz w:val="32"/>
        </w:rPr>
        <w:t>）</w:t>
      </w:r>
    </w:p>
    <w:tbl>
      <w:tblPr>
        <w:tblStyle w:val="12"/>
        <w:tblW w:w="5035"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670"/>
        <w:gridCol w:w="706"/>
        <w:gridCol w:w="3098"/>
        <w:gridCol w:w="2016"/>
        <w:gridCol w:w="209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393" w:type="pct"/>
            <w:tcBorders>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413" w:type="pct"/>
            <w:tcBorders>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品名</w:t>
            </w:r>
          </w:p>
        </w:tc>
        <w:tc>
          <w:tcPr>
            <w:tcW w:w="1805" w:type="pct"/>
            <w:tcBorders>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示意图片</w:t>
            </w:r>
          </w:p>
        </w:tc>
        <w:tc>
          <w:tcPr>
            <w:tcW w:w="1163" w:type="pct"/>
            <w:tcBorders>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规格</w:t>
            </w:r>
          </w:p>
        </w:tc>
        <w:tc>
          <w:tcPr>
            <w:tcW w:w="1223" w:type="pct"/>
            <w:tcBorders>
              <w:left w:val="nil"/>
              <w:bottom w:val="single" w:color="auto" w:sz="4" w:space="0"/>
            </w:tcBorders>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清单序号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91" w:hRule="atLeast"/>
        </w:trPr>
        <w:tc>
          <w:tcPr>
            <w:tcW w:w="393" w:type="pct"/>
            <w:tcBorders>
              <w:top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13"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会议椅</w:t>
            </w:r>
          </w:p>
        </w:tc>
        <w:tc>
          <w:tcPr>
            <w:tcW w:w="1805"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drawing>
                <wp:inline distT="0" distB="0" distL="114300" distR="114300">
                  <wp:extent cx="1337310" cy="1555115"/>
                  <wp:effectExtent l="0" t="0" r="15240" b="6985"/>
                  <wp:docPr id="8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0"/>
                          <pic:cNvPicPr>
                            <a:picLocks noChangeAspect="1"/>
                          </pic:cNvPicPr>
                        </pic:nvPicPr>
                        <pic:blipFill>
                          <a:blip r:embed="rId84"/>
                          <a:stretch>
                            <a:fillRect/>
                          </a:stretch>
                        </pic:blipFill>
                        <pic:spPr>
                          <a:xfrm>
                            <a:off x="0" y="0"/>
                            <a:ext cx="1337310" cy="1555115"/>
                          </a:xfrm>
                          <a:prstGeom prst="rect">
                            <a:avLst/>
                          </a:prstGeom>
                          <a:noFill/>
                          <a:ln>
                            <a:noFill/>
                          </a:ln>
                        </pic:spPr>
                      </pic:pic>
                    </a:graphicData>
                  </a:graphic>
                </wp:inline>
              </w:drawing>
            </w:r>
          </w:p>
        </w:tc>
        <w:tc>
          <w:tcPr>
            <w:tcW w:w="1163"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640*580*1020</w:t>
            </w:r>
          </w:p>
        </w:tc>
        <w:tc>
          <w:tcPr>
            <w:tcW w:w="1223" w:type="pct"/>
            <w:tcBorders>
              <w:top w:val="nil"/>
              <w:left w:val="nil"/>
              <w:bottom w:val="single" w:color="auto" w:sz="4" w:space="0"/>
            </w:tcBorders>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5" w:hRule="atLeast"/>
        </w:trPr>
        <w:tc>
          <w:tcPr>
            <w:tcW w:w="393" w:type="pct"/>
            <w:tcBorders>
              <w:top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1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休闲沙发</w:t>
            </w:r>
          </w:p>
        </w:tc>
        <w:tc>
          <w:tcPr>
            <w:tcW w:w="1805"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drawing>
                <wp:inline distT="0" distB="0" distL="114300" distR="114300">
                  <wp:extent cx="897890" cy="785495"/>
                  <wp:effectExtent l="0" t="0" r="16510" b="14605"/>
                  <wp:docPr id="8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1"/>
                          <pic:cNvPicPr>
                            <a:picLocks noChangeAspect="1"/>
                          </pic:cNvPicPr>
                        </pic:nvPicPr>
                        <pic:blipFill>
                          <a:blip r:embed="rId85"/>
                          <a:stretch>
                            <a:fillRect/>
                          </a:stretch>
                        </pic:blipFill>
                        <pic:spPr>
                          <a:xfrm>
                            <a:off x="0" y="0"/>
                            <a:ext cx="897890" cy="785495"/>
                          </a:xfrm>
                          <a:prstGeom prst="rect">
                            <a:avLst/>
                          </a:prstGeom>
                          <a:noFill/>
                          <a:ln>
                            <a:noFill/>
                          </a:ln>
                        </pic:spPr>
                      </pic:pic>
                    </a:graphicData>
                  </a:graphic>
                </wp:inline>
              </w:drawing>
            </w:r>
          </w:p>
        </w:tc>
        <w:tc>
          <w:tcPr>
            <w:tcW w:w="1163" w:type="pct"/>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720*860*830*480</w:t>
            </w:r>
          </w:p>
        </w:tc>
        <w:tc>
          <w:tcPr>
            <w:tcW w:w="1223" w:type="pct"/>
            <w:tcBorders>
              <w:top w:val="nil"/>
              <w:left w:val="nil"/>
              <w:bottom w:val="single" w:color="auto" w:sz="4" w:space="0"/>
            </w:tcBorders>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4" w:hRule="atLeast"/>
        </w:trPr>
        <w:tc>
          <w:tcPr>
            <w:tcW w:w="393" w:type="pct"/>
            <w:tcBorders>
              <w:top w:val="nil"/>
              <w:right w:val="single" w:color="auto" w:sz="4" w:space="0"/>
            </w:tcBorders>
            <w:shd w:val="clear" w:color="auto" w:fill="auto"/>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13" w:type="pct"/>
            <w:tcBorders>
              <w:top w:val="nil"/>
              <w:left w:val="nil"/>
              <w:right w:val="single" w:color="auto" w:sz="4" w:space="0"/>
            </w:tcBorders>
            <w:shd w:val="clear" w:color="auto" w:fill="auto"/>
            <w:noWrap w:val="0"/>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条桌</w:t>
            </w:r>
          </w:p>
        </w:tc>
        <w:tc>
          <w:tcPr>
            <w:tcW w:w="1805" w:type="pct"/>
            <w:tcBorders>
              <w:top w:val="nil"/>
              <w:left w:val="nil"/>
              <w:right w:val="single" w:color="auto" w:sz="4" w:space="0"/>
            </w:tcBorders>
            <w:shd w:val="clear" w:color="auto" w:fill="auto"/>
            <w:noWrap w:val="0"/>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drawing>
                <wp:inline distT="0" distB="0" distL="114300" distR="114300">
                  <wp:extent cx="953135" cy="597535"/>
                  <wp:effectExtent l="0" t="0" r="18415" b="1206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86"/>
                          <a:stretch>
                            <a:fillRect/>
                          </a:stretch>
                        </pic:blipFill>
                        <pic:spPr>
                          <a:xfrm>
                            <a:off x="0" y="0"/>
                            <a:ext cx="953135" cy="597535"/>
                          </a:xfrm>
                          <a:prstGeom prst="rect">
                            <a:avLst/>
                          </a:prstGeom>
                          <a:noFill/>
                          <a:ln>
                            <a:noFill/>
                          </a:ln>
                        </pic:spPr>
                      </pic:pic>
                    </a:graphicData>
                  </a:graphic>
                </wp:inline>
              </w:drawing>
            </w:r>
          </w:p>
        </w:tc>
        <w:tc>
          <w:tcPr>
            <w:tcW w:w="1163" w:type="pct"/>
            <w:tcBorders>
              <w:top w:val="nil"/>
              <w:left w:val="nil"/>
              <w:right w:val="single" w:color="auto" w:sz="4" w:space="0"/>
            </w:tcBorders>
            <w:shd w:val="clear" w:color="auto" w:fill="auto"/>
            <w:noWrap w:val="0"/>
            <w:vAlign w:val="center"/>
          </w:tcPr>
          <w:p>
            <w:pPr>
              <w:widowControl/>
              <w:jc w:val="left"/>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1400*450*760</w:t>
            </w:r>
          </w:p>
        </w:tc>
        <w:tc>
          <w:tcPr>
            <w:tcW w:w="1223" w:type="pct"/>
            <w:tcBorders>
              <w:top w:val="nil"/>
              <w:left w:val="nil"/>
            </w:tcBorders>
            <w:noWrap w:val="0"/>
            <w:vAlign w:val="center"/>
          </w:tcPr>
          <w:p>
            <w:pPr>
              <w:widowControl/>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51</w:t>
            </w:r>
          </w:p>
        </w:tc>
      </w:tr>
    </w:tbl>
    <w:p/>
    <w:p>
      <w:pPr>
        <w:ind w:firstLine="480" w:firstLineChars="200"/>
        <w:rPr>
          <w:rFonts w:hint="eastAsia" w:ascii="仿宋" w:hAnsi="仿宋" w:eastAsia="仿宋" w:cs="仿宋"/>
          <w:b/>
          <w:sz w:val="24"/>
          <w:szCs w:val="24"/>
        </w:rPr>
      </w:pPr>
      <w:r>
        <w:rPr>
          <w:rFonts w:hint="eastAsia" w:ascii="仿宋" w:hAnsi="仿宋" w:eastAsia="仿宋" w:cs="仿宋"/>
          <w:bCs/>
          <w:color w:val="000000"/>
          <w:sz w:val="24"/>
          <w:szCs w:val="24"/>
        </w:rPr>
        <w:t>投标人须按本招标文件如下清单要求提供材料</w:t>
      </w:r>
      <w:r>
        <w:rPr>
          <w:rFonts w:hint="eastAsia" w:ascii="仿宋" w:hAnsi="仿宋" w:eastAsia="仿宋" w:cs="仿宋"/>
          <w:color w:val="000000"/>
          <w:sz w:val="24"/>
          <w:szCs w:val="24"/>
        </w:rPr>
        <w:t>小样</w:t>
      </w:r>
      <w:r>
        <w:rPr>
          <w:rFonts w:hint="eastAsia" w:ascii="仿宋" w:hAnsi="仿宋" w:eastAsia="仿宋" w:cs="仿宋"/>
          <w:sz w:val="24"/>
          <w:szCs w:val="24"/>
        </w:rPr>
        <w:t>。材质小样须固定在一起和成品样品一起摆放在指定地点。</w:t>
      </w:r>
    </w:p>
    <w:tbl>
      <w:tblPr>
        <w:tblStyle w:val="12"/>
        <w:tblpPr w:leftFromText="180" w:rightFromText="180" w:vertAnchor="text" w:horzAnchor="margin" w:tblpY="214"/>
        <w:tblOverlap w:val="never"/>
        <w:tblW w:w="4998" w:type="pct"/>
        <w:tblInd w:w="0" w:type="dxa"/>
        <w:tblLayout w:type="autofit"/>
        <w:tblCellMar>
          <w:top w:w="0" w:type="dxa"/>
          <w:left w:w="108" w:type="dxa"/>
          <w:bottom w:w="0" w:type="dxa"/>
          <w:right w:w="108" w:type="dxa"/>
        </w:tblCellMar>
      </w:tblPr>
      <w:tblGrid>
        <w:gridCol w:w="713"/>
        <w:gridCol w:w="2644"/>
        <w:gridCol w:w="701"/>
        <w:gridCol w:w="703"/>
        <w:gridCol w:w="2643"/>
        <w:gridCol w:w="1121"/>
      </w:tblGrid>
      <w:tr>
        <w:tblPrEx>
          <w:tblCellMar>
            <w:top w:w="0" w:type="dxa"/>
            <w:left w:w="108" w:type="dxa"/>
            <w:bottom w:w="0" w:type="dxa"/>
            <w:right w:w="108" w:type="dxa"/>
          </w:tblCellMar>
        </w:tblPrEx>
        <w:trPr>
          <w:trHeight w:val="443" w:hRule="atLeast"/>
        </w:trPr>
        <w:tc>
          <w:tcPr>
            <w:tcW w:w="418"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50"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411"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412"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49"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657"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r>
      <w:tr>
        <w:tblPrEx>
          <w:tblCellMar>
            <w:top w:w="0" w:type="dxa"/>
            <w:left w:w="108" w:type="dxa"/>
            <w:bottom w:w="0" w:type="dxa"/>
            <w:right w:w="108" w:type="dxa"/>
          </w:tblCellMar>
        </w:tblPrEx>
        <w:trPr>
          <w:trHeight w:val="364" w:hRule="atLeast"/>
        </w:trPr>
        <w:tc>
          <w:tcPr>
            <w:tcW w:w="418" w:type="pc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50"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 xml:space="preserve">三节导轨 </w:t>
            </w:r>
          </w:p>
        </w:tc>
        <w:tc>
          <w:tcPr>
            <w:tcW w:w="411"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1个</w:t>
            </w:r>
          </w:p>
        </w:tc>
        <w:tc>
          <w:tcPr>
            <w:tcW w:w="412"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1549"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正面锁头</w:t>
            </w:r>
          </w:p>
        </w:tc>
        <w:tc>
          <w:tcPr>
            <w:tcW w:w="657"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1个</w:t>
            </w:r>
          </w:p>
        </w:tc>
      </w:tr>
      <w:tr>
        <w:tblPrEx>
          <w:tblCellMar>
            <w:top w:w="0" w:type="dxa"/>
            <w:left w:w="108" w:type="dxa"/>
            <w:bottom w:w="0" w:type="dxa"/>
            <w:right w:w="108" w:type="dxa"/>
          </w:tblCellMar>
        </w:tblPrEx>
        <w:trPr>
          <w:trHeight w:val="285" w:hRule="atLeast"/>
        </w:trPr>
        <w:tc>
          <w:tcPr>
            <w:tcW w:w="418" w:type="pc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50"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阻尼铰链</w:t>
            </w:r>
          </w:p>
        </w:tc>
        <w:tc>
          <w:tcPr>
            <w:tcW w:w="411"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1个</w:t>
            </w:r>
          </w:p>
        </w:tc>
        <w:tc>
          <w:tcPr>
            <w:tcW w:w="412"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549"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100#气杆</w:t>
            </w:r>
          </w:p>
        </w:tc>
        <w:tc>
          <w:tcPr>
            <w:tcW w:w="657"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1个</w:t>
            </w:r>
          </w:p>
        </w:tc>
      </w:tr>
      <w:tr>
        <w:tblPrEx>
          <w:tblCellMar>
            <w:top w:w="0" w:type="dxa"/>
            <w:left w:w="108" w:type="dxa"/>
            <w:bottom w:w="0" w:type="dxa"/>
            <w:right w:w="108" w:type="dxa"/>
          </w:tblCellMar>
        </w:tblPrEx>
        <w:trPr>
          <w:trHeight w:val="204" w:hRule="atLeast"/>
        </w:trPr>
        <w:tc>
          <w:tcPr>
            <w:tcW w:w="418" w:type="pc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50"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隐蔽式全拉阻尼滑轨</w:t>
            </w:r>
          </w:p>
        </w:tc>
        <w:tc>
          <w:tcPr>
            <w:tcW w:w="411"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1个</w:t>
            </w:r>
          </w:p>
        </w:tc>
        <w:tc>
          <w:tcPr>
            <w:tcW w:w="412"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1549"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椅轮</w:t>
            </w:r>
          </w:p>
        </w:tc>
        <w:tc>
          <w:tcPr>
            <w:tcW w:w="657"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1个</w:t>
            </w:r>
          </w:p>
        </w:tc>
      </w:tr>
      <w:tr>
        <w:tblPrEx>
          <w:tblCellMar>
            <w:top w:w="0" w:type="dxa"/>
            <w:left w:w="108" w:type="dxa"/>
            <w:bottom w:w="0" w:type="dxa"/>
            <w:right w:w="108" w:type="dxa"/>
          </w:tblCellMar>
        </w:tblPrEx>
        <w:trPr>
          <w:trHeight w:val="280" w:hRule="atLeast"/>
        </w:trPr>
        <w:tc>
          <w:tcPr>
            <w:tcW w:w="418" w:type="pc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550"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阻燃高弹海绵</w:t>
            </w:r>
            <w:r>
              <w:rPr>
                <w:rFonts w:hint="eastAsia" w:ascii="仿宋" w:hAnsi="仿宋" w:eastAsia="仿宋" w:cs="仿宋"/>
                <w:color w:val="000000"/>
                <w:sz w:val="24"/>
                <w:szCs w:val="24"/>
              </w:rPr>
              <w:t>（</w:t>
            </w:r>
            <w:r>
              <w:rPr>
                <w:rFonts w:hint="eastAsia" w:ascii="仿宋" w:hAnsi="仿宋" w:eastAsia="仿宋" w:cs="仿宋"/>
                <w:sz w:val="24"/>
                <w:szCs w:val="24"/>
              </w:rPr>
              <w:t>200*200mm</w:t>
            </w:r>
            <w:r>
              <w:rPr>
                <w:rFonts w:hint="eastAsia" w:ascii="仿宋" w:hAnsi="仿宋" w:eastAsia="仿宋" w:cs="仿宋"/>
                <w:color w:val="000000"/>
                <w:sz w:val="24"/>
                <w:szCs w:val="24"/>
              </w:rPr>
              <w:t>）</w:t>
            </w:r>
          </w:p>
        </w:tc>
        <w:tc>
          <w:tcPr>
            <w:tcW w:w="411"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1块</w:t>
            </w:r>
          </w:p>
        </w:tc>
        <w:tc>
          <w:tcPr>
            <w:tcW w:w="412"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1549"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color w:val="000000"/>
                <w:sz w:val="24"/>
                <w:szCs w:val="24"/>
              </w:rPr>
              <w:t>E1级免漆板（</w:t>
            </w:r>
            <w:r>
              <w:rPr>
                <w:rFonts w:hint="eastAsia" w:ascii="仿宋" w:hAnsi="仿宋" w:eastAsia="仿宋" w:cs="仿宋"/>
                <w:sz w:val="24"/>
                <w:szCs w:val="24"/>
              </w:rPr>
              <w:t>200*200mm</w:t>
            </w:r>
            <w:r>
              <w:rPr>
                <w:rFonts w:hint="eastAsia" w:ascii="仿宋" w:hAnsi="仿宋" w:eastAsia="仿宋" w:cs="仿宋"/>
                <w:color w:val="000000"/>
                <w:sz w:val="24"/>
                <w:szCs w:val="24"/>
              </w:rPr>
              <w:t>）</w:t>
            </w:r>
          </w:p>
        </w:tc>
        <w:tc>
          <w:tcPr>
            <w:tcW w:w="657"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1块</w:t>
            </w:r>
          </w:p>
        </w:tc>
      </w:tr>
      <w:tr>
        <w:tblPrEx>
          <w:tblCellMar>
            <w:top w:w="0" w:type="dxa"/>
            <w:left w:w="108" w:type="dxa"/>
            <w:bottom w:w="0" w:type="dxa"/>
            <w:right w:w="108" w:type="dxa"/>
          </w:tblCellMar>
        </w:tblPrEx>
        <w:trPr>
          <w:trHeight w:val="201" w:hRule="atLeast"/>
        </w:trPr>
        <w:tc>
          <w:tcPr>
            <w:tcW w:w="418" w:type="pc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550"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color w:val="000000"/>
                <w:sz w:val="24"/>
                <w:szCs w:val="24"/>
              </w:rPr>
              <w:t>木皮（</w:t>
            </w:r>
            <w:r>
              <w:rPr>
                <w:rFonts w:hint="eastAsia" w:ascii="仿宋" w:hAnsi="仿宋" w:eastAsia="仿宋" w:cs="仿宋"/>
                <w:sz w:val="24"/>
                <w:szCs w:val="24"/>
              </w:rPr>
              <w:t>200*200mm</w:t>
            </w:r>
            <w:r>
              <w:rPr>
                <w:rFonts w:hint="eastAsia" w:ascii="仿宋" w:hAnsi="仿宋" w:eastAsia="仿宋" w:cs="仿宋"/>
                <w:color w:val="000000"/>
                <w:sz w:val="24"/>
                <w:szCs w:val="24"/>
              </w:rPr>
              <w:t>）</w:t>
            </w:r>
          </w:p>
        </w:tc>
        <w:tc>
          <w:tcPr>
            <w:tcW w:w="411"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1块</w:t>
            </w:r>
          </w:p>
        </w:tc>
        <w:tc>
          <w:tcPr>
            <w:tcW w:w="412"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1549" w:type="pct"/>
            <w:tcBorders>
              <w:top w:val="nil"/>
              <w:left w:val="nil"/>
              <w:bottom w:val="single" w:color="auto" w:sz="4" w:space="0"/>
              <w:right w:val="single" w:color="auto" w:sz="4" w:space="0"/>
            </w:tcBorders>
            <w:noWrap w:val="0"/>
            <w:vAlign w:val="center"/>
          </w:tcPr>
          <w:p>
            <w:pPr>
              <w:spacing w:line="380" w:lineRule="exact"/>
              <w:ind w:left="-107" w:leftChars="-51"/>
              <w:jc w:val="center"/>
              <w:rPr>
                <w:rFonts w:hint="eastAsia" w:ascii="仿宋" w:hAnsi="仿宋" w:eastAsia="仿宋" w:cs="仿宋"/>
                <w:sz w:val="24"/>
                <w:szCs w:val="24"/>
              </w:rPr>
            </w:pPr>
            <w:r>
              <w:rPr>
                <w:rFonts w:hint="eastAsia" w:ascii="仿宋" w:hAnsi="仿宋" w:eastAsia="仿宋" w:cs="仿宋"/>
                <w:color w:val="000000"/>
                <w:sz w:val="24"/>
                <w:szCs w:val="24"/>
              </w:rPr>
              <w:t>木皮贴面板（</w:t>
            </w:r>
            <w:r>
              <w:rPr>
                <w:rFonts w:hint="eastAsia" w:ascii="仿宋" w:hAnsi="仿宋" w:eastAsia="仿宋" w:cs="仿宋"/>
                <w:sz w:val="24"/>
                <w:szCs w:val="24"/>
              </w:rPr>
              <w:t>200*200mm</w:t>
            </w:r>
            <w:r>
              <w:rPr>
                <w:rFonts w:hint="eastAsia" w:ascii="仿宋" w:hAnsi="仿宋" w:eastAsia="仿宋" w:cs="仿宋"/>
                <w:color w:val="000000"/>
                <w:sz w:val="24"/>
                <w:szCs w:val="24"/>
              </w:rPr>
              <w:t>）</w:t>
            </w:r>
          </w:p>
        </w:tc>
        <w:tc>
          <w:tcPr>
            <w:tcW w:w="657"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1块</w:t>
            </w:r>
          </w:p>
        </w:tc>
      </w:tr>
      <w:tr>
        <w:tblPrEx>
          <w:tblCellMar>
            <w:top w:w="0" w:type="dxa"/>
            <w:left w:w="108" w:type="dxa"/>
            <w:bottom w:w="0" w:type="dxa"/>
            <w:right w:w="108" w:type="dxa"/>
          </w:tblCellMar>
        </w:tblPrEx>
        <w:trPr>
          <w:trHeight w:val="276" w:hRule="atLeast"/>
        </w:trPr>
        <w:tc>
          <w:tcPr>
            <w:tcW w:w="418" w:type="pct"/>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550"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超纤皮</w:t>
            </w:r>
            <w:r>
              <w:rPr>
                <w:rFonts w:hint="eastAsia" w:ascii="仿宋" w:hAnsi="仿宋" w:eastAsia="仿宋" w:cs="仿宋"/>
                <w:color w:val="000000"/>
                <w:sz w:val="24"/>
                <w:szCs w:val="24"/>
              </w:rPr>
              <w:t>（</w:t>
            </w:r>
            <w:r>
              <w:rPr>
                <w:rFonts w:hint="eastAsia" w:ascii="仿宋" w:hAnsi="仿宋" w:eastAsia="仿宋" w:cs="仿宋"/>
                <w:sz w:val="24"/>
                <w:szCs w:val="24"/>
              </w:rPr>
              <w:t>200*200mm</w:t>
            </w:r>
            <w:r>
              <w:rPr>
                <w:rFonts w:hint="eastAsia" w:ascii="仿宋" w:hAnsi="仿宋" w:eastAsia="仿宋" w:cs="仿宋"/>
                <w:color w:val="000000"/>
                <w:sz w:val="24"/>
                <w:szCs w:val="24"/>
              </w:rPr>
              <w:t>）</w:t>
            </w:r>
          </w:p>
        </w:tc>
        <w:tc>
          <w:tcPr>
            <w:tcW w:w="411"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1块</w:t>
            </w:r>
          </w:p>
        </w:tc>
        <w:tc>
          <w:tcPr>
            <w:tcW w:w="412"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549" w:type="pct"/>
            <w:tcBorders>
              <w:top w:val="nil"/>
              <w:left w:val="nil"/>
              <w:bottom w:val="single" w:color="auto" w:sz="4" w:space="0"/>
              <w:right w:val="single" w:color="auto" w:sz="4" w:space="0"/>
            </w:tcBorders>
            <w:noWrap w:val="0"/>
            <w:vAlign w:val="center"/>
          </w:tcPr>
          <w:p>
            <w:pPr>
              <w:spacing w:line="380" w:lineRule="exact"/>
              <w:ind w:left="-107" w:leftChars="-51"/>
              <w:jc w:val="center"/>
              <w:rPr>
                <w:rFonts w:hint="eastAsia" w:ascii="仿宋" w:hAnsi="仿宋" w:eastAsia="仿宋" w:cs="仿宋"/>
                <w:sz w:val="24"/>
                <w:szCs w:val="24"/>
              </w:rPr>
            </w:pPr>
            <w:r>
              <w:rPr>
                <w:rFonts w:hint="eastAsia" w:ascii="仿宋" w:hAnsi="仿宋" w:eastAsia="仿宋" w:cs="仿宋"/>
                <w:sz w:val="24"/>
                <w:szCs w:val="24"/>
              </w:rPr>
              <w:t>ABS封边条（600长）</w:t>
            </w:r>
          </w:p>
        </w:tc>
        <w:tc>
          <w:tcPr>
            <w:tcW w:w="657" w:type="pct"/>
            <w:tcBorders>
              <w:top w:val="nil"/>
              <w:left w:val="nil"/>
              <w:bottom w:val="single" w:color="auto" w:sz="4" w:space="0"/>
              <w:right w:val="single" w:color="auto" w:sz="4" w:space="0"/>
            </w:tcBorders>
            <w:noWrap w:val="0"/>
            <w:vAlign w:val="center"/>
          </w:tcPr>
          <w:p>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1条</w:t>
            </w:r>
          </w:p>
        </w:tc>
      </w:tr>
    </w:tbl>
    <w:p>
      <w:pPr>
        <w:spacing w:line="360" w:lineRule="auto"/>
        <w:rPr>
          <w:rFonts w:ascii="宋体" w:hAnsi="宋体"/>
          <w:bCs/>
          <w:color w:val="000000"/>
          <w:sz w:val="24"/>
        </w:rPr>
      </w:pPr>
      <w:r>
        <w:rPr>
          <w:rFonts w:hint="eastAsia" w:ascii="宋体" w:hAnsi="宋体"/>
          <w:b/>
          <w:bCs/>
          <w:sz w:val="24"/>
        </w:rPr>
        <w:t>要求：</w:t>
      </w:r>
      <w:r>
        <w:rPr>
          <w:rFonts w:ascii="宋体" w:hAnsi="宋体"/>
          <w:bCs/>
          <w:color w:val="000000"/>
          <w:sz w:val="24"/>
        </w:rPr>
        <w:t xml:space="preserve"> </w:t>
      </w:r>
    </w:p>
    <w:p>
      <w:pPr>
        <w:spacing w:line="360" w:lineRule="auto"/>
        <w:ind w:firstLine="480" w:firstLineChars="200"/>
        <w:rPr>
          <w:rFonts w:ascii="宋体" w:hAnsi="宋体"/>
          <w:bCs/>
          <w:color w:val="000000"/>
          <w:sz w:val="24"/>
        </w:rPr>
      </w:pPr>
      <w:r>
        <w:rPr>
          <w:rFonts w:hint="eastAsia" w:ascii="宋体" w:hAnsi="宋体"/>
          <w:bCs/>
          <w:color w:val="000000"/>
          <w:sz w:val="24"/>
        </w:rPr>
        <w:t>材料小样在递交</w:t>
      </w:r>
      <w:r>
        <w:rPr>
          <w:rFonts w:hint="eastAsia" w:ascii="宋体" w:hAnsi="宋体"/>
          <w:color w:val="000000"/>
          <w:sz w:val="24"/>
        </w:rPr>
        <w:t>办公家具</w:t>
      </w:r>
      <w:r>
        <w:rPr>
          <w:rFonts w:hint="eastAsia" w:ascii="宋体" w:hAnsi="宋体"/>
          <w:bCs/>
          <w:color w:val="000000"/>
          <w:sz w:val="24"/>
        </w:rPr>
        <w:t>实样时一并递交，所有</w:t>
      </w:r>
      <w:r>
        <w:rPr>
          <w:rFonts w:ascii="宋体" w:hAnsi="宋体"/>
          <w:bCs/>
          <w:color w:val="000000"/>
          <w:sz w:val="24"/>
        </w:rPr>
        <w:t>样品</w:t>
      </w:r>
      <w:r>
        <w:rPr>
          <w:rFonts w:ascii="宋体" w:hAnsi="宋体"/>
          <w:bCs/>
          <w:sz w:val="24"/>
        </w:rPr>
        <w:t>于开标当天</w:t>
      </w:r>
      <w:r>
        <w:rPr>
          <w:rFonts w:hint="eastAsia" w:ascii="宋体" w:hAnsi="宋体"/>
          <w:bCs/>
          <w:sz w:val="24"/>
        </w:rPr>
        <w:t>开标前</w:t>
      </w:r>
      <w:r>
        <w:rPr>
          <w:rFonts w:ascii="宋体" w:hAnsi="宋体"/>
          <w:bCs/>
          <w:sz w:val="24"/>
        </w:rPr>
        <w:t>送达</w:t>
      </w:r>
      <w:r>
        <w:rPr>
          <w:rFonts w:hint="eastAsia" w:ascii="宋体" w:hAnsi="宋体"/>
          <w:bCs/>
          <w:sz w:val="24"/>
        </w:rPr>
        <w:t>（开标</w:t>
      </w:r>
      <w:r>
        <w:rPr>
          <w:rFonts w:ascii="宋体" w:hAnsi="宋体"/>
          <w:bCs/>
          <w:sz w:val="24"/>
        </w:rPr>
        <w:t>当天送达务必</w:t>
      </w:r>
      <w:r>
        <w:rPr>
          <w:rFonts w:hint="eastAsia" w:ascii="宋体" w:hAnsi="宋体"/>
          <w:bCs/>
          <w:sz w:val="24"/>
        </w:rPr>
        <w:t>留够</w:t>
      </w:r>
      <w:r>
        <w:rPr>
          <w:rFonts w:ascii="宋体" w:hAnsi="宋体"/>
          <w:bCs/>
          <w:sz w:val="24"/>
        </w:rPr>
        <w:t>样品</w:t>
      </w:r>
      <w:r>
        <w:rPr>
          <w:rFonts w:hint="eastAsia" w:ascii="宋体" w:hAnsi="宋体"/>
          <w:bCs/>
          <w:sz w:val="24"/>
        </w:rPr>
        <w:t>摆放及递交</w:t>
      </w:r>
      <w:r>
        <w:rPr>
          <w:rFonts w:ascii="宋体" w:hAnsi="宋体"/>
          <w:bCs/>
          <w:sz w:val="24"/>
        </w:rPr>
        <w:t>投标</w:t>
      </w:r>
      <w:r>
        <w:rPr>
          <w:rFonts w:hint="eastAsia" w:ascii="宋体" w:hAnsi="宋体"/>
          <w:bCs/>
          <w:sz w:val="24"/>
        </w:rPr>
        <w:t>文件</w:t>
      </w:r>
      <w:r>
        <w:rPr>
          <w:rFonts w:ascii="宋体" w:hAnsi="宋体"/>
          <w:bCs/>
          <w:sz w:val="24"/>
        </w:rPr>
        <w:t>时间</w:t>
      </w:r>
      <w:r>
        <w:rPr>
          <w:rFonts w:hint="eastAsia" w:ascii="宋体" w:hAnsi="宋体"/>
          <w:bCs/>
          <w:sz w:val="24"/>
        </w:rPr>
        <w:t>）</w:t>
      </w:r>
      <w:r>
        <w:rPr>
          <w:rFonts w:ascii="宋体" w:hAnsi="宋体"/>
          <w:bCs/>
          <w:sz w:val="24"/>
        </w:rPr>
        <w:t>。</w:t>
      </w:r>
      <w:r>
        <w:rPr>
          <w:rFonts w:hint="eastAsia" w:ascii="宋体" w:hAnsi="宋体"/>
          <w:bCs/>
          <w:sz w:val="24"/>
        </w:rPr>
        <w:t>样品</w:t>
      </w:r>
      <w:r>
        <w:rPr>
          <w:rFonts w:ascii="宋体" w:hAnsi="宋体"/>
          <w:bCs/>
          <w:sz w:val="24"/>
        </w:rPr>
        <w:t>不得出现任何</w:t>
      </w:r>
      <w:r>
        <w:rPr>
          <w:rFonts w:hint="eastAsia" w:ascii="宋体" w:hAnsi="宋体"/>
          <w:bCs/>
          <w:sz w:val="24"/>
        </w:rPr>
        <w:t>投标</w:t>
      </w:r>
      <w:r>
        <w:rPr>
          <w:rFonts w:ascii="宋体" w:hAnsi="宋体"/>
          <w:bCs/>
          <w:sz w:val="24"/>
        </w:rPr>
        <w:t>人字样</w:t>
      </w:r>
      <w:r>
        <w:rPr>
          <w:rFonts w:hint="eastAsia" w:ascii="宋体" w:hAnsi="宋体"/>
          <w:bCs/>
          <w:sz w:val="24"/>
        </w:rPr>
        <w:t>或影响开标</w:t>
      </w:r>
      <w:r>
        <w:rPr>
          <w:rFonts w:ascii="宋体" w:hAnsi="宋体"/>
          <w:bCs/>
          <w:sz w:val="24"/>
        </w:rPr>
        <w:t>公正性的</w:t>
      </w:r>
      <w:r>
        <w:rPr>
          <w:rFonts w:hint="eastAsia" w:ascii="宋体" w:hAnsi="宋体"/>
          <w:bCs/>
          <w:sz w:val="24"/>
        </w:rPr>
        <w:t>信息</w:t>
      </w:r>
      <w:r>
        <w:rPr>
          <w:rFonts w:ascii="宋体" w:hAnsi="宋体"/>
          <w:bCs/>
          <w:sz w:val="24"/>
        </w:rPr>
        <w:t>。</w:t>
      </w:r>
      <w:r>
        <w:rPr>
          <w:rFonts w:hint="eastAsia" w:ascii="宋体" w:hAnsi="宋体"/>
          <w:bCs/>
          <w:sz w:val="24"/>
        </w:rPr>
        <w:t>开标截止时间过后不再接收样品。</w:t>
      </w:r>
      <w:r>
        <w:rPr>
          <w:rFonts w:hint="eastAsia" w:ascii="宋体" w:hAnsi="宋体"/>
          <w:bCs/>
          <w:color w:val="000000"/>
          <w:sz w:val="24"/>
        </w:rPr>
        <w:t>（送达地点：</w:t>
      </w:r>
      <w:r>
        <w:rPr>
          <w:rFonts w:hint="eastAsia" w:ascii="宋体" w:hAnsi="宋体"/>
          <w:bCs/>
          <w:color w:val="000000"/>
          <w:sz w:val="24"/>
          <w:lang w:val="en-US" w:eastAsia="zh-CN"/>
        </w:rPr>
        <w:t>浙江省杭州市临安区锦北街道科技大道4398号市民中心B座四楼询标室B436</w:t>
      </w:r>
      <w:r>
        <w:rPr>
          <w:rFonts w:ascii="宋体" w:hAnsi="宋体"/>
          <w:bCs/>
          <w:color w:val="000000"/>
          <w:sz w:val="24"/>
        </w:rPr>
        <w:t>）</w:t>
      </w:r>
    </w:p>
    <w:p>
      <w:pPr>
        <w:spacing w:line="360" w:lineRule="auto"/>
        <w:rPr>
          <w:rFonts w:hint="eastAsia" w:ascii="宋体" w:hAnsi="宋体"/>
          <w:b/>
          <w:sz w:val="24"/>
        </w:rPr>
      </w:pPr>
      <w:r>
        <w:rPr>
          <w:rFonts w:hint="eastAsia" w:ascii="宋体" w:hAnsi="宋体"/>
          <w:b/>
          <w:sz w:val="24"/>
        </w:rPr>
        <w:t>其他需说明事项</w:t>
      </w:r>
    </w:p>
    <w:p>
      <w:pPr>
        <w:spacing w:line="360" w:lineRule="auto"/>
        <w:ind w:firstLine="480" w:firstLineChars="200"/>
        <w:rPr>
          <w:rFonts w:ascii="宋体" w:hAnsi="宋体"/>
          <w:b/>
          <w:sz w:val="24"/>
        </w:rPr>
        <w:sectPr>
          <w:pgSz w:w="11906" w:h="16838"/>
          <w:pgMar w:top="1440" w:right="1797" w:bottom="1440" w:left="1797" w:header="851" w:footer="992" w:gutter="0"/>
          <w:pgNumType w:fmt="decimal"/>
          <w:cols w:space="720" w:num="1"/>
          <w:docGrid w:linePitch="312" w:charSpace="0"/>
        </w:sectPr>
      </w:pPr>
      <w:r>
        <w:rPr>
          <w:rFonts w:hint="eastAsia" w:ascii="宋体" w:hAnsi="宋体"/>
          <w:bCs/>
          <w:color w:val="000000"/>
          <w:sz w:val="24"/>
        </w:rPr>
        <w:t>中标</w:t>
      </w:r>
      <w:r>
        <w:rPr>
          <w:rFonts w:ascii="宋体" w:hAnsi="宋体"/>
          <w:bCs/>
          <w:color w:val="000000"/>
          <w:sz w:val="24"/>
        </w:rPr>
        <w:t>单位样品在开标结束后，当天送到采购人</w:t>
      </w:r>
      <w:r>
        <w:rPr>
          <w:rFonts w:hint="eastAsia" w:ascii="宋体" w:hAnsi="宋体"/>
          <w:bCs/>
          <w:color w:val="000000"/>
          <w:sz w:val="24"/>
        </w:rPr>
        <w:t>指定</w:t>
      </w:r>
      <w:r>
        <w:rPr>
          <w:rFonts w:ascii="宋体" w:hAnsi="宋体"/>
          <w:bCs/>
          <w:color w:val="000000"/>
          <w:sz w:val="24"/>
        </w:rPr>
        <w:t>地点封存，</w:t>
      </w:r>
      <w:r>
        <w:rPr>
          <w:rFonts w:hint="eastAsia" w:ascii="宋体" w:hAnsi="宋体"/>
          <w:bCs/>
          <w:color w:val="000000"/>
          <w:sz w:val="24"/>
        </w:rPr>
        <w:t>项目</w:t>
      </w:r>
      <w:r>
        <w:rPr>
          <w:rFonts w:ascii="宋体" w:hAnsi="宋体"/>
          <w:bCs/>
          <w:color w:val="000000"/>
          <w:sz w:val="24"/>
        </w:rPr>
        <w:t>执行时，</w:t>
      </w:r>
      <w:r>
        <w:rPr>
          <w:rFonts w:hint="eastAsia" w:ascii="宋体" w:hAnsi="宋体"/>
          <w:bCs/>
          <w:color w:val="000000"/>
          <w:sz w:val="24"/>
        </w:rPr>
        <w:t>投标人供货</w:t>
      </w:r>
      <w:r>
        <w:rPr>
          <w:rFonts w:ascii="宋体" w:hAnsi="宋体"/>
          <w:bCs/>
          <w:color w:val="000000"/>
          <w:sz w:val="24"/>
        </w:rPr>
        <w:t>标准必须</w:t>
      </w:r>
      <w:r>
        <w:rPr>
          <w:rFonts w:hint="eastAsia" w:ascii="宋体" w:hAnsi="宋体"/>
          <w:bCs/>
          <w:color w:val="000000"/>
          <w:sz w:val="24"/>
        </w:rPr>
        <w:t>不低于</w:t>
      </w:r>
      <w:r>
        <w:rPr>
          <w:rFonts w:ascii="宋体" w:hAnsi="宋体"/>
          <w:bCs/>
          <w:color w:val="000000"/>
          <w:sz w:val="24"/>
        </w:rPr>
        <w:t>样品品质，否则以虚假应标处置，</w:t>
      </w:r>
      <w:r>
        <w:rPr>
          <w:rFonts w:hint="eastAsia" w:ascii="宋体" w:hAnsi="宋体"/>
          <w:bCs/>
          <w:color w:val="000000"/>
          <w:sz w:val="24"/>
        </w:rPr>
        <w:t>不予</w:t>
      </w:r>
      <w:r>
        <w:rPr>
          <w:rFonts w:ascii="宋体" w:hAnsi="宋体"/>
          <w:bCs/>
          <w:color w:val="000000"/>
          <w:sz w:val="24"/>
        </w:rPr>
        <w:t>验收，报</w:t>
      </w:r>
      <w:r>
        <w:rPr>
          <w:rFonts w:hint="eastAsia" w:ascii="宋体" w:hAnsi="宋体"/>
          <w:bCs/>
          <w:color w:val="000000"/>
          <w:sz w:val="24"/>
        </w:rPr>
        <w:t>同级</w:t>
      </w:r>
      <w:r>
        <w:rPr>
          <w:rFonts w:ascii="宋体" w:hAnsi="宋体"/>
          <w:bCs/>
          <w:color w:val="000000"/>
          <w:sz w:val="24"/>
        </w:rPr>
        <w:t>监管部门处理</w:t>
      </w:r>
      <w:r>
        <w:rPr>
          <w:rFonts w:hint="eastAsia" w:ascii="宋体" w:hAnsi="宋体"/>
          <w:bCs/>
          <w:color w:val="000000"/>
          <w:sz w:val="24"/>
        </w:rPr>
        <w:t>，</w:t>
      </w:r>
      <w:r>
        <w:rPr>
          <w:rFonts w:ascii="宋体" w:hAnsi="宋体"/>
          <w:bCs/>
          <w:color w:val="000000"/>
          <w:sz w:val="24"/>
        </w:rPr>
        <w:t>所有不良后果</w:t>
      </w:r>
      <w:r>
        <w:rPr>
          <w:rFonts w:hint="eastAsia" w:ascii="宋体" w:hAnsi="宋体"/>
          <w:bCs/>
          <w:color w:val="000000"/>
          <w:sz w:val="24"/>
        </w:rPr>
        <w:t>投标人</w:t>
      </w:r>
      <w:r>
        <w:rPr>
          <w:rFonts w:ascii="宋体" w:hAnsi="宋体"/>
          <w:bCs/>
          <w:color w:val="000000"/>
          <w:sz w:val="24"/>
        </w:rPr>
        <w:t>自行负责。</w:t>
      </w:r>
      <w:r>
        <w:rPr>
          <w:rFonts w:hint="eastAsia" w:ascii="宋体" w:hAnsi="宋体"/>
          <w:bCs/>
          <w:color w:val="000000"/>
          <w:sz w:val="24"/>
        </w:rPr>
        <w:t>样品</w:t>
      </w:r>
      <w:r>
        <w:rPr>
          <w:rFonts w:ascii="宋体" w:hAnsi="宋体"/>
          <w:bCs/>
          <w:color w:val="000000"/>
          <w:sz w:val="24"/>
        </w:rPr>
        <w:t>于项目验收完毕，采购人</w:t>
      </w:r>
      <w:r>
        <w:rPr>
          <w:rFonts w:hint="eastAsia" w:ascii="宋体" w:hAnsi="宋体"/>
          <w:bCs/>
          <w:color w:val="000000"/>
          <w:sz w:val="24"/>
        </w:rPr>
        <w:t>付款后</w:t>
      </w:r>
      <w:r>
        <w:rPr>
          <w:rFonts w:ascii="宋体" w:hAnsi="宋体"/>
          <w:bCs/>
          <w:color w:val="000000"/>
          <w:sz w:val="24"/>
        </w:rPr>
        <w:t>退还（</w:t>
      </w:r>
      <w:r>
        <w:rPr>
          <w:rFonts w:hint="eastAsia" w:ascii="宋体" w:hAnsi="宋体"/>
          <w:bCs/>
          <w:color w:val="000000"/>
          <w:sz w:val="24"/>
        </w:rPr>
        <w:t>质量</w:t>
      </w:r>
      <w:r>
        <w:rPr>
          <w:rFonts w:ascii="宋体" w:hAnsi="宋体"/>
          <w:bCs/>
          <w:color w:val="000000"/>
          <w:sz w:val="24"/>
        </w:rPr>
        <w:t>保证金除外）</w:t>
      </w:r>
    </w:p>
    <w:p>
      <w:pPr>
        <w:pStyle w:val="15"/>
        <w:numPr>
          <w:ilvl w:val="0"/>
          <w:numId w:val="0"/>
        </w:numPr>
        <w:jc w:val="both"/>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11" w:name="_Toc184314419"/>
      <w:bookmarkEnd w:id="11"/>
      <w:bookmarkStart w:id="12" w:name="_Toc184308078"/>
      <w:bookmarkEnd w:id="12"/>
      <w:bookmarkStart w:id="13" w:name="_Toc184310343"/>
      <w:bookmarkEnd w:id="13"/>
      <w:bookmarkStart w:id="14" w:name="_Toc184312114"/>
      <w:bookmarkEnd w:id="14"/>
      <w:bookmarkStart w:id="15" w:name="_Toc184314481"/>
      <w:bookmarkEnd w:id="15"/>
      <w:bookmarkStart w:id="16" w:name="_Toc184314442"/>
      <w:bookmarkEnd w:id="16"/>
      <w:bookmarkStart w:id="17" w:name="_Toc184313279"/>
      <w:bookmarkEnd w:id="17"/>
      <w:bookmarkStart w:id="18" w:name="_Toc184313310"/>
      <w:bookmarkEnd w:id="18"/>
      <w:bookmarkStart w:id="19" w:name="_Toc184312097"/>
      <w:bookmarkEnd w:id="19"/>
      <w:bookmarkStart w:id="20" w:name="_Toc184310324"/>
      <w:bookmarkEnd w:id="20"/>
      <w:bookmarkStart w:id="21" w:name="_Toc184313269"/>
      <w:bookmarkEnd w:id="21"/>
      <w:bookmarkStart w:id="22" w:name="_Toc184312079"/>
      <w:bookmarkEnd w:id="22"/>
      <w:bookmarkStart w:id="23" w:name="_Toc184312101"/>
      <w:bookmarkEnd w:id="23"/>
      <w:bookmarkStart w:id="24" w:name="_Toc184310326"/>
      <w:bookmarkEnd w:id="24"/>
      <w:bookmarkStart w:id="25" w:name="_Toc184308102"/>
      <w:bookmarkEnd w:id="25"/>
      <w:bookmarkStart w:id="26" w:name="_Toc184310308"/>
      <w:bookmarkEnd w:id="26"/>
      <w:bookmarkStart w:id="27" w:name="_Toc184314410"/>
      <w:bookmarkEnd w:id="27"/>
      <w:bookmarkStart w:id="28" w:name="_Toc184313252"/>
      <w:bookmarkEnd w:id="28"/>
      <w:bookmarkStart w:id="29" w:name="_Toc184314421"/>
      <w:bookmarkEnd w:id="29"/>
      <w:bookmarkStart w:id="30" w:name="_Toc184312099"/>
      <w:bookmarkEnd w:id="30"/>
      <w:bookmarkStart w:id="31" w:name="_Toc184314426"/>
      <w:bookmarkEnd w:id="31"/>
      <w:bookmarkStart w:id="32" w:name="_Toc184308083"/>
      <w:bookmarkEnd w:id="32"/>
      <w:bookmarkStart w:id="33" w:name="_Toc184308052"/>
      <w:bookmarkEnd w:id="33"/>
      <w:bookmarkStart w:id="34" w:name="_Toc184310305"/>
      <w:bookmarkEnd w:id="34"/>
      <w:bookmarkStart w:id="35" w:name="_Toc184314451"/>
      <w:bookmarkEnd w:id="35"/>
      <w:bookmarkStart w:id="36" w:name="_Toc184310337"/>
      <w:bookmarkEnd w:id="36"/>
      <w:bookmarkStart w:id="37" w:name="_Toc184312068"/>
      <w:bookmarkEnd w:id="37"/>
      <w:bookmarkStart w:id="38" w:name="_Toc184310327"/>
      <w:bookmarkEnd w:id="38"/>
      <w:bookmarkStart w:id="39" w:name="_Toc184314420"/>
      <w:bookmarkEnd w:id="39"/>
      <w:bookmarkStart w:id="40" w:name="_Toc184314423"/>
      <w:bookmarkEnd w:id="40"/>
      <w:bookmarkStart w:id="41" w:name="_Toc184308047"/>
      <w:bookmarkEnd w:id="41"/>
      <w:bookmarkStart w:id="42" w:name="_Toc184310303"/>
      <w:bookmarkEnd w:id="42"/>
      <w:bookmarkStart w:id="43" w:name="_Toc184314462"/>
      <w:bookmarkEnd w:id="43"/>
      <w:bookmarkStart w:id="44" w:name="_Toc184308084"/>
      <w:bookmarkEnd w:id="44"/>
      <w:bookmarkStart w:id="45" w:name="_Toc184313238"/>
      <w:bookmarkEnd w:id="45"/>
      <w:bookmarkStart w:id="46" w:name="_Toc184310310"/>
      <w:bookmarkEnd w:id="46"/>
      <w:bookmarkStart w:id="47" w:name="_Toc184313239"/>
      <w:bookmarkEnd w:id="47"/>
      <w:bookmarkStart w:id="48" w:name="_Toc184310283"/>
      <w:bookmarkEnd w:id="48"/>
      <w:bookmarkStart w:id="49" w:name="_Toc184312139"/>
      <w:bookmarkEnd w:id="49"/>
      <w:bookmarkStart w:id="50" w:name="_Toc184312126"/>
      <w:bookmarkEnd w:id="50"/>
      <w:bookmarkStart w:id="51" w:name="_Toc184314422"/>
      <w:bookmarkEnd w:id="51"/>
      <w:bookmarkStart w:id="52" w:name="_Toc184313250"/>
      <w:bookmarkEnd w:id="52"/>
      <w:bookmarkStart w:id="53" w:name="_Toc184314461"/>
      <w:bookmarkEnd w:id="53"/>
      <w:bookmarkStart w:id="54" w:name="_Toc184310313"/>
      <w:bookmarkEnd w:id="54"/>
      <w:bookmarkStart w:id="55" w:name="_Toc184313271"/>
      <w:bookmarkEnd w:id="55"/>
      <w:bookmarkStart w:id="56" w:name="_Toc184312105"/>
      <w:bookmarkEnd w:id="56"/>
      <w:bookmarkStart w:id="57" w:name="_Toc184308107"/>
      <w:bookmarkEnd w:id="57"/>
      <w:bookmarkStart w:id="58" w:name="_Toc184312119"/>
      <w:bookmarkEnd w:id="58"/>
      <w:bookmarkStart w:id="59" w:name="_Toc184310311"/>
      <w:bookmarkEnd w:id="59"/>
      <w:bookmarkStart w:id="60" w:name="_Toc184312138"/>
      <w:bookmarkEnd w:id="60"/>
      <w:bookmarkStart w:id="61" w:name="_Toc184310286"/>
      <w:bookmarkEnd w:id="61"/>
      <w:bookmarkStart w:id="62" w:name="_Toc184314443"/>
      <w:bookmarkEnd w:id="62"/>
      <w:bookmarkStart w:id="63" w:name="_Toc184313272"/>
      <w:bookmarkEnd w:id="63"/>
      <w:bookmarkStart w:id="64" w:name="_Toc184314444"/>
      <w:bookmarkEnd w:id="64"/>
      <w:bookmarkStart w:id="65" w:name="_Toc184310285"/>
      <w:bookmarkEnd w:id="65"/>
      <w:bookmarkStart w:id="66" w:name="_Toc184308071"/>
      <w:bookmarkEnd w:id="66"/>
      <w:bookmarkStart w:id="67" w:name="_Toc184313273"/>
      <w:bookmarkEnd w:id="67"/>
      <w:bookmarkStart w:id="68" w:name="_Toc184308082"/>
      <w:bookmarkEnd w:id="68"/>
      <w:bookmarkStart w:id="69" w:name="_Toc184313264"/>
      <w:bookmarkEnd w:id="69"/>
      <w:bookmarkStart w:id="70" w:name="_Toc184308069"/>
      <w:bookmarkEnd w:id="70"/>
      <w:bookmarkStart w:id="71" w:name="_Toc184310309"/>
      <w:bookmarkEnd w:id="71"/>
      <w:bookmarkStart w:id="72" w:name="_Toc184312100"/>
      <w:bookmarkEnd w:id="72"/>
      <w:bookmarkStart w:id="73" w:name="_Toc184308048"/>
      <w:bookmarkEnd w:id="73"/>
      <w:bookmarkStart w:id="74" w:name="_Toc184312093"/>
      <w:bookmarkEnd w:id="74"/>
      <w:bookmarkStart w:id="75" w:name="_Toc184313268"/>
      <w:bookmarkEnd w:id="75"/>
      <w:bookmarkStart w:id="76" w:name="_Toc184313270"/>
      <w:bookmarkEnd w:id="76"/>
      <w:bookmarkStart w:id="77" w:name="_Toc184308070"/>
      <w:bookmarkEnd w:id="77"/>
      <w:bookmarkStart w:id="78" w:name="_Toc184312137"/>
      <w:bookmarkEnd w:id="78"/>
      <w:bookmarkStart w:id="79" w:name="_Toc184310302"/>
      <w:bookmarkEnd w:id="79"/>
      <w:bookmarkStart w:id="80" w:name="_Toc184308065"/>
      <w:bookmarkEnd w:id="80"/>
      <w:bookmarkStart w:id="81" w:name="_Toc184308067"/>
      <w:bookmarkEnd w:id="81"/>
      <w:bookmarkStart w:id="82" w:name="_Toc184313289"/>
      <w:bookmarkEnd w:id="82"/>
      <w:bookmarkStart w:id="83" w:name="_Toc184314441"/>
      <w:bookmarkEnd w:id="83"/>
      <w:bookmarkStart w:id="84" w:name="_Toc184314440"/>
      <w:bookmarkEnd w:id="84"/>
      <w:bookmarkStart w:id="85" w:name="_Toc184308108"/>
      <w:bookmarkEnd w:id="85"/>
      <w:bookmarkStart w:id="86" w:name="_Toc184310331"/>
      <w:bookmarkEnd w:id="86"/>
      <w:bookmarkStart w:id="87" w:name="_Toc184313248"/>
      <w:bookmarkEnd w:id="87"/>
      <w:bookmarkStart w:id="88" w:name="_Toc184310319"/>
      <w:bookmarkEnd w:id="88"/>
      <w:bookmarkStart w:id="89" w:name="_Toc184314456"/>
      <w:bookmarkEnd w:id="89"/>
      <w:bookmarkStart w:id="90" w:name="_Toc184313242"/>
      <w:bookmarkEnd w:id="90"/>
      <w:bookmarkStart w:id="91" w:name="_Toc184314479"/>
      <w:bookmarkEnd w:id="91"/>
      <w:bookmarkStart w:id="92" w:name="_Toc184313308"/>
      <w:bookmarkEnd w:id="92"/>
      <w:bookmarkStart w:id="93" w:name="_Toc184308079"/>
      <w:bookmarkEnd w:id="93"/>
      <w:bookmarkStart w:id="94" w:name="_Toc184312136"/>
      <w:bookmarkEnd w:id="94"/>
      <w:bookmarkStart w:id="95" w:name="_Toc184310306"/>
      <w:bookmarkEnd w:id="95"/>
      <w:bookmarkStart w:id="96" w:name="_Toc184308068"/>
      <w:bookmarkEnd w:id="96"/>
      <w:bookmarkStart w:id="97" w:name="_Toc184312080"/>
      <w:bookmarkEnd w:id="97"/>
      <w:bookmarkStart w:id="98" w:name="_Toc184312104"/>
      <w:bookmarkEnd w:id="98"/>
      <w:bookmarkStart w:id="99" w:name="_Toc184314460"/>
      <w:bookmarkEnd w:id="99"/>
      <w:bookmarkStart w:id="100" w:name="_Toc184313259"/>
      <w:bookmarkEnd w:id="100"/>
      <w:bookmarkStart w:id="101" w:name="_Toc184314428"/>
      <w:bookmarkEnd w:id="101"/>
      <w:bookmarkStart w:id="102" w:name="_Toc184308037"/>
      <w:bookmarkEnd w:id="102"/>
      <w:bookmarkStart w:id="103" w:name="_Toc184313258"/>
      <w:bookmarkEnd w:id="103"/>
      <w:bookmarkStart w:id="104" w:name="_Toc184310274"/>
      <w:bookmarkEnd w:id="104"/>
      <w:bookmarkStart w:id="105" w:name="_Toc184313246"/>
      <w:bookmarkEnd w:id="105"/>
      <w:bookmarkStart w:id="106" w:name="_Toc184313257"/>
      <w:bookmarkEnd w:id="106"/>
      <w:bookmarkStart w:id="107" w:name="_Toc184312124"/>
      <w:bookmarkEnd w:id="107"/>
      <w:bookmarkStart w:id="108" w:name="_Toc184313284"/>
      <w:bookmarkEnd w:id="108"/>
      <w:bookmarkStart w:id="109" w:name="_Toc184310280"/>
      <w:bookmarkEnd w:id="109"/>
      <w:bookmarkStart w:id="110" w:name="_Toc184313303"/>
      <w:bookmarkEnd w:id="110"/>
      <w:bookmarkStart w:id="111" w:name="_Toc184314463"/>
      <w:bookmarkEnd w:id="111"/>
      <w:bookmarkStart w:id="112" w:name="_Toc184310291"/>
      <w:bookmarkEnd w:id="112"/>
      <w:bookmarkStart w:id="113" w:name="_Toc184310296"/>
      <w:bookmarkEnd w:id="113"/>
      <w:bookmarkStart w:id="114" w:name="_Toc184314418"/>
      <w:bookmarkEnd w:id="114"/>
      <w:bookmarkStart w:id="115" w:name="_Toc184314468"/>
      <w:bookmarkEnd w:id="115"/>
      <w:bookmarkStart w:id="116" w:name="_Toc184312085"/>
      <w:bookmarkEnd w:id="116"/>
      <w:bookmarkStart w:id="117" w:name="_Toc184308105"/>
      <w:bookmarkEnd w:id="117"/>
      <w:bookmarkStart w:id="118" w:name="_Toc184314416"/>
      <w:bookmarkEnd w:id="118"/>
      <w:bookmarkStart w:id="119" w:name="_Toc184308040"/>
      <w:bookmarkEnd w:id="119"/>
      <w:bookmarkStart w:id="120" w:name="_Toc184313255"/>
      <w:bookmarkEnd w:id="120"/>
      <w:bookmarkStart w:id="121" w:name="_Toc184312125"/>
      <w:bookmarkEnd w:id="121"/>
      <w:bookmarkStart w:id="122" w:name="_Toc184310342"/>
      <w:bookmarkEnd w:id="122"/>
      <w:bookmarkStart w:id="123" w:name="_Toc184310278"/>
      <w:bookmarkEnd w:id="123"/>
      <w:bookmarkStart w:id="124" w:name="_Toc184310332"/>
      <w:bookmarkEnd w:id="124"/>
      <w:bookmarkStart w:id="125" w:name="_Toc184314415"/>
      <w:bookmarkEnd w:id="125"/>
      <w:bookmarkStart w:id="126" w:name="_Toc184313307"/>
      <w:bookmarkEnd w:id="126"/>
      <w:bookmarkStart w:id="127" w:name="_Toc184313294"/>
      <w:bookmarkEnd w:id="127"/>
      <w:bookmarkStart w:id="128" w:name="_Toc184314470"/>
      <w:bookmarkEnd w:id="128"/>
      <w:bookmarkStart w:id="129" w:name="_Toc184312115"/>
      <w:bookmarkEnd w:id="129"/>
      <w:bookmarkStart w:id="130" w:name="_Toc184312094"/>
      <w:bookmarkEnd w:id="130"/>
      <w:bookmarkStart w:id="131" w:name="_Toc184313295"/>
      <w:bookmarkEnd w:id="131"/>
      <w:bookmarkStart w:id="132" w:name="_Toc184312135"/>
      <w:bookmarkEnd w:id="132"/>
      <w:bookmarkStart w:id="133" w:name="_Toc184313263"/>
      <w:bookmarkEnd w:id="133"/>
      <w:bookmarkStart w:id="134" w:name="_Toc184310330"/>
      <w:bookmarkEnd w:id="134"/>
      <w:bookmarkStart w:id="135" w:name="_Toc184310298"/>
      <w:bookmarkEnd w:id="135"/>
      <w:bookmarkStart w:id="136" w:name="_Toc184313253"/>
      <w:bookmarkEnd w:id="136"/>
      <w:bookmarkStart w:id="137" w:name="_Toc184310314"/>
      <w:bookmarkEnd w:id="137"/>
      <w:bookmarkStart w:id="138" w:name="_Toc184308062"/>
      <w:bookmarkEnd w:id="138"/>
      <w:bookmarkStart w:id="139" w:name="_Toc184312074"/>
      <w:bookmarkEnd w:id="139"/>
      <w:bookmarkStart w:id="140" w:name="_Toc184314475"/>
      <w:bookmarkEnd w:id="140"/>
      <w:bookmarkStart w:id="141" w:name="_Toc184314455"/>
      <w:bookmarkEnd w:id="141"/>
      <w:bookmarkStart w:id="142" w:name="_Toc184312117"/>
      <w:bookmarkEnd w:id="142"/>
      <w:bookmarkStart w:id="143" w:name="_Toc184308041"/>
      <w:bookmarkEnd w:id="143"/>
      <w:bookmarkStart w:id="144" w:name="_Toc184310321"/>
      <w:bookmarkEnd w:id="144"/>
      <w:bookmarkStart w:id="145" w:name="_Toc184308059"/>
      <w:bookmarkEnd w:id="145"/>
      <w:bookmarkStart w:id="146" w:name="_Toc184314412"/>
      <w:bookmarkEnd w:id="146"/>
      <w:bookmarkStart w:id="147" w:name="_Toc184313243"/>
      <w:bookmarkEnd w:id="147"/>
      <w:bookmarkStart w:id="148" w:name="_Toc184308075"/>
      <w:bookmarkEnd w:id="148"/>
      <w:bookmarkStart w:id="149" w:name="_Toc184313282"/>
      <w:bookmarkEnd w:id="149"/>
      <w:bookmarkStart w:id="150" w:name="_Toc184308055"/>
      <w:bookmarkEnd w:id="150"/>
      <w:bookmarkStart w:id="151" w:name="_Toc184312120"/>
      <w:bookmarkEnd w:id="151"/>
      <w:bookmarkStart w:id="152" w:name="_Toc184308095"/>
      <w:bookmarkEnd w:id="152"/>
      <w:bookmarkStart w:id="153" w:name="_Toc184313244"/>
      <w:bookmarkEnd w:id="153"/>
      <w:bookmarkStart w:id="154" w:name="_Toc184308043"/>
      <w:bookmarkEnd w:id="154"/>
      <w:bookmarkStart w:id="155" w:name="_Toc184312075"/>
      <w:bookmarkEnd w:id="155"/>
      <w:bookmarkStart w:id="156" w:name="_Toc184312091"/>
      <w:bookmarkEnd w:id="156"/>
      <w:bookmarkStart w:id="157" w:name="_Toc184308093"/>
      <w:bookmarkEnd w:id="157"/>
      <w:bookmarkStart w:id="158" w:name="_Toc184312089"/>
      <w:bookmarkEnd w:id="158"/>
      <w:bookmarkStart w:id="159" w:name="_Toc184308089"/>
      <w:bookmarkEnd w:id="159"/>
      <w:bookmarkStart w:id="160" w:name="_Toc184308064"/>
      <w:bookmarkEnd w:id="160"/>
      <w:bookmarkStart w:id="161" w:name="_Toc184313266"/>
      <w:bookmarkEnd w:id="161"/>
      <w:bookmarkStart w:id="162" w:name="_Toc184313267"/>
      <w:bookmarkEnd w:id="162"/>
      <w:bookmarkStart w:id="163" w:name="_Toc184308060"/>
      <w:bookmarkEnd w:id="163"/>
      <w:bookmarkStart w:id="164" w:name="_Toc184308106"/>
      <w:bookmarkEnd w:id="164"/>
      <w:bookmarkStart w:id="165" w:name="_Toc184308090"/>
      <w:bookmarkEnd w:id="165"/>
      <w:bookmarkStart w:id="166" w:name="_Toc184314429"/>
      <w:bookmarkEnd w:id="166"/>
      <w:bookmarkStart w:id="167" w:name="_Toc184313251"/>
      <w:bookmarkEnd w:id="167"/>
      <w:bookmarkStart w:id="168" w:name="_Toc184312128"/>
      <w:bookmarkEnd w:id="168"/>
      <w:bookmarkStart w:id="169" w:name="_Toc184310277"/>
      <w:bookmarkEnd w:id="169"/>
      <w:bookmarkStart w:id="170" w:name="_Toc184314466"/>
      <w:bookmarkEnd w:id="170"/>
      <w:bookmarkStart w:id="171" w:name="_Toc184310292"/>
      <w:bookmarkEnd w:id="171"/>
      <w:bookmarkStart w:id="172" w:name="_Toc184314454"/>
      <w:bookmarkEnd w:id="172"/>
      <w:bookmarkStart w:id="173" w:name="_Toc184308054"/>
      <w:bookmarkEnd w:id="173"/>
      <w:bookmarkStart w:id="174" w:name="_Toc184310294"/>
      <w:bookmarkEnd w:id="174"/>
      <w:bookmarkStart w:id="175" w:name="_Toc184314446"/>
      <w:bookmarkEnd w:id="175"/>
      <w:bookmarkStart w:id="176" w:name="_Toc184314450"/>
      <w:bookmarkEnd w:id="176"/>
      <w:bookmarkStart w:id="177" w:name="_Toc184308057"/>
      <w:bookmarkEnd w:id="177"/>
      <w:bookmarkStart w:id="178" w:name="_Toc184312088"/>
      <w:bookmarkEnd w:id="178"/>
      <w:bookmarkStart w:id="179" w:name="_Toc184308042"/>
      <w:bookmarkEnd w:id="179"/>
      <w:bookmarkStart w:id="180" w:name="_Toc184312086"/>
      <w:bookmarkEnd w:id="180"/>
      <w:bookmarkStart w:id="181" w:name="_Toc184310320"/>
      <w:bookmarkEnd w:id="181"/>
      <w:bookmarkStart w:id="182" w:name="_Toc184313275"/>
      <w:bookmarkEnd w:id="182"/>
      <w:bookmarkStart w:id="183" w:name="_Toc184308044"/>
      <w:bookmarkEnd w:id="183"/>
      <w:bookmarkStart w:id="184" w:name="_Toc184313245"/>
      <w:bookmarkEnd w:id="184"/>
      <w:bookmarkStart w:id="185" w:name="_Toc184314467"/>
      <w:bookmarkEnd w:id="185"/>
      <w:bookmarkStart w:id="186" w:name="_Toc184314433"/>
      <w:bookmarkEnd w:id="186"/>
      <w:bookmarkStart w:id="187" w:name="_Toc184314459"/>
      <w:bookmarkEnd w:id="187"/>
      <w:bookmarkStart w:id="188" w:name="_Toc184310329"/>
      <w:bookmarkEnd w:id="188"/>
      <w:bookmarkStart w:id="189" w:name="_Toc184310316"/>
      <w:bookmarkEnd w:id="189"/>
      <w:bookmarkStart w:id="190" w:name="_Toc184310279"/>
      <w:bookmarkEnd w:id="190"/>
      <w:bookmarkStart w:id="191" w:name="_Toc184313287"/>
      <w:bookmarkEnd w:id="191"/>
      <w:bookmarkStart w:id="192" w:name="_Toc184313298"/>
      <w:bookmarkEnd w:id="192"/>
      <w:bookmarkStart w:id="193" w:name="_Toc184314448"/>
      <w:bookmarkEnd w:id="193"/>
      <w:bookmarkStart w:id="194" w:name="_Toc184308097"/>
      <w:bookmarkEnd w:id="194"/>
      <w:bookmarkStart w:id="195" w:name="_Toc184313296"/>
      <w:bookmarkEnd w:id="195"/>
      <w:bookmarkStart w:id="196" w:name="_Toc184313297"/>
      <w:bookmarkEnd w:id="196"/>
      <w:bookmarkStart w:id="197" w:name="_Toc184314417"/>
      <w:bookmarkEnd w:id="197"/>
      <w:bookmarkStart w:id="198" w:name="_Toc184314469"/>
      <w:bookmarkEnd w:id="198"/>
      <w:bookmarkStart w:id="199" w:name="_Toc184313280"/>
      <w:bookmarkEnd w:id="199"/>
      <w:bookmarkStart w:id="200" w:name="_Toc184308094"/>
      <w:bookmarkEnd w:id="200"/>
      <w:bookmarkStart w:id="201" w:name="_Toc184313299"/>
      <w:bookmarkEnd w:id="201"/>
      <w:bookmarkStart w:id="202" w:name="_Toc184313256"/>
      <w:bookmarkEnd w:id="202"/>
      <w:bookmarkStart w:id="203" w:name="_Toc184314439"/>
      <w:bookmarkEnd w:id="203"/>
      <w:bookmarkStart w:id="204" w:name="_Toc184312096"/>
      <w:bookmarkEnd w:id="204"/>
      <w:bookmarkStart w:id="205" w:name="_Toc184308085"/>
      <w:bookmarkEnd w:id="205"/>
      <w:bookmarkStart w:id="206" w:name="_Toc184308100"/>
      <w:bookmarkEnd w:id="206"/>
      <w:bookmarkStart w:id="207" w:name="_Toc184312103"/>
      <w:bookmarkEnd w:id="207"/>
      <w:bookmarkStart w:id="208" w:name="_Toc184310307"/>
      <w:bookmarkEnd w:id="208"/>
      <w:bookmarkStart w:id="209" w:name="_Toc184308077"/>
      <w:bookmarkEnd w:id="209"/>
      <w:bookmarkStart w:id="210" w:name="_Toc184308051"/>
      <w:bookmarkEnd w:id="210"/>
      <w:bookmarkStart w:id="211" w:name="_Toc184314436"/>
      <w:bookmarkEnd w:id="211"/>
      <w:bookmarkStart w:id="212" w:name="_Toc184308087"/>
      <w:bookmarkEnd w:id="212"/>
      <w:bookmarkStart w:id="213" w:name="_Toc184310323"/>
      <w:bookmarkEnd w:id="213"/>
      <w:bookmarkStart w:id="214" w:name="_Toc184314480"/>
      <w:bookmarkEnd w:id="214"/>
      <w:bookmarkStart w:id="215" w:name="_Toc184314464"/>
      <w:bookmarkEnd w:id="215"/>
      <w:bookmarkStart w:id="216" w:name="_Toc184312108"/>
      <w:bookmarkEnd w:id="216"/>
      <w:bookmarkStart w:id="217" w:name="_Toc184313288"/>
      <w:bookmarkEnd w:id="217"/>
      <w:bookmarkStart w:id="218" w:name="_Toc184310293"/>
      <w:bookmarkEnd w:id="218"/>
      <w:bookmarkStart w:id="219" w:name="_Toc184312113"/>
      <w:bookmarkEnd w:id="219"/>
      <w:bookmarkStart w:id="220" w:name="_Toc184308092"/>
      <w:bookmarkEnd w:id="220"/>
      <w:bookmarkStart w:id="221" w:name="_Toc184308091"/>
      <w:bookmarkEnd w:id="221"/>
      <w:bookmarkStart w:id="222" w:name="_Toc184313249"/>
      <w:bookmarkEnd w:id="222"/>
      <w:bookmarkStart w:id="223" w:name="_Toc184314465"/>
      <w:bookmarkEnd w:id="223"/>
      <w:bookmarkStart w:id="224" w:name="_Toc184313302"/>
      <w:bookmarkEnd w:id="224"/>
      <w:bookmarkStart w:id="225" w:name="_Toc184308096"/>
      <w:bookmarkEnd w:id="225"/>
      <w:bookmarkStart w:id="226" w:name="_Toc184314434"/>
      <w:bookmarkEnd w:id="226"/>
      <w:bookmarkStart w:id="227" w:name="_Toc184312073"/>
      <w:bookmarkEnd w:id="227"/>
      <w:bookmarkStart w:id="228" w:name="_Toc184314414"/>
      <w:bookmarkEnd w:id="228"/>
      <w:bookmarkStart w:id="229" w:name="_Toc184312072"/>
      <w:bookmarkEnd w:id="229"/>
      <w:bookmarkStart w:id="230" w:name="_Toc184308056"/>
      <w:bookmarkEnd w:id="230"/>
      <w:bookmarkStart w:id="231" w:name="_Toc184310273"/>
      <w:bookmarkEnd w:id="231"/>
      <w:bookmarkStart w:id="232" w:name="_Toc184310289"/>
      <w:bookmarkEnd w:id="232"/>
      <w:bookmarkStart w:id="233" w:name="_Toc184312087"/>
      <w:bookmarkEnd w:id="233"/>
      <w:bookmarkStart w:id="234" w:name="_Toc184314435"/>
      <w:bookmarkEnd w:id="234"/>
      <w:bookmarkStart w:id="235" w:name="_Toc184314430"/>
      <w:bookmarkEnd w:id="235"/>
      <w:bookmarkStart w:id="236" w:name="_Toc184312082"/>
      <w:bookmarkEnd w:id="236"/>
      <w:bookmarkStart w:id="237" w:name="_Toc184313260"/>
      <w:bookmarkEnd w:id="237"/>
      <w:bookmarkStart w:id="238" w:name="_Toc184312106"/>
      <w:bookmarkEnd w:id="238"/>
      <w:bookmarkStart w:id="239" w:name="_Toc184313306"/>
      <w:bookmarkEnd w:id="239"/>
      <w:bookmarkStart w:id="240" w:name="_Toc184313254"/>
      <w:bookmarkEnd w:id="240"/>
      <w:bookmarkStart w:id="241" w:name="_Toc184314478"/>
      <w:bookmarkEnd w:id="241"/>
      <w:bookmarkStart w:id="242" w:name="_Toc184308101"/>
      <w:bookmarkEnd w:id="242"/>
      <w:bookmarkStart w:id="243" w:name="_Toc184310299"/>
      <w:bookmarkEnd w:id="243"/>
      <w:bookmarkStart w:id="244" w:name="_Toc184314413"/>
      <w:bookmarkEnd w:id="244"/>
      <w:bookmarkStart w:id="245" w:name="_Toc184312067"/>
      <w:bookmarkEnd w:id="245"/>
      <w:bookmarkStart w:id="246" w:name="_Toc184308049"/>
      <w:bookmarkEnd w:id="246"/>
      <w:bookmarkStart w:id="247" w:name="_Toc184312084"/>
      <w:bookmarkEnd w:id="247"/>
      <w:bookmarkStart w:id="248" w:name="_Toc184310288"/>
      <w:bookmarkEnd w:id="248"/>
      <w:bookmarkStart w:id="249" w:name="_Toc184310336"/>
      <w:bookmarkEnd w:id="249"/>
      <w:bookmarkStart w:id="250" w:name="_Toc184312070"/>
      <w:bookmarkEnd w:id="250"/>
      <w:bookmarkStart w:id="251" w:name="_Toc184310281"/>
      <w:bookmarkEnd w:id="251"/>
      <w:bookmarkStart w:id="252" w:name="_Toc184308053"/>
      <w:bookmarkEnd w:id="252"/>
      <w:bookmarkStart w:id="253" w:name="_Toc184308081"/>
      <w:bookmarkEnd w:id="253"/>
      <w:bookmarkStart w:id="254" w:name="_Toc184314432"/>
      <w:bookmarkEnd w:id="254"/>
      <w:bookmarkStart w:id="255" w:name="_Toc184312069"/>
      <w:bookmarkEnd w:id="255"/>
      <w:bookmarkStart w:id="256" w:name="_Toc184312112"/>
      <w:bookmarkEnd w:id="256"/>
      <w:bookmarkStart w:id="257" w:name="_Toc184314473"/>
      <w:bookmarkEnd w:id="257"/>
      <w:bookmarkStart w:id="258" w:name="_Toc184308061"/>
      <w:bookmarkEnd w:id="258"/>
      <w:bookmarkStart w:id="259" w:name="_Toc184313292"/>
      <w:bookmarkEnd w:id="259"/>
      <w:bookmarkStart w:id="260" w:name="_Toc184310297"/>
      <w:bookmarkEnd w:id="260"/>
      <w:bookmarkStart w:id="261" w:name="_Toc184308058"/>
      <w:bookmarkEnd w:id="261"/>
      <w:bookmarkStart w:id="262" w:name="_Toc184310322"/>
      <w:bookmarkEnd w:id="262"/>
      <w:bookmarkStart w:id="263" w:name="_Toc184310317"/>
      <w:bookmarkEnd w:id="263"/>
      <w:bookmarkStart w:id="264" w:name="_Toc184310275"/>
      <w:bookmarkEnd w:id="264"/>
      <w:bookmarkStart w:id="265" w:name="_Toc184313309"/>
      <w:bookmarkEnd w:id="265"/>
      <w:bookmarkStart w:id="266" w:name="_Toc184314457"/>
      <w:bookmarkEnd w:id="266"/>
      <w:bookmarkStart w:id="267" w:name="_Toc184314437"/>
      <w:bookmarkEnd w:id="267"/>
      <w:bookmarkStart w:id="268" w:name="_Toc184312132"/>
      <w:bookmarkEnd w:id="268"/>
      <w:bookmarkStart w:id="269" w:name="_Toc184313286"/>
      <w:bookmarkEnd w:id="269"/>
      <w:bookmarkStart w:id="270" w:name="_Toc184313265"/>
      <w:bookmarkEnd w:id="270"/>
      <w:bookmarkStart w:id="271" w:name="_Toc184310276"/>
      <w:bookmarkEnd w:id="271"/>
      <w:bookmarkStart w:id="272" w:name="_Toc184310312"/>
      <w:bookmarkEnd w:id="272"/>
      <w:bookmarkStart w:id="273" w:name="_Toc184310290"/>
      <w:bookmarkEnd w:id="273"/>
      <w:bookmarkStart w:id="274" w:name="_Toc184308050"/>
      <w:bookmarkEnd w:id="274"/>
      <w:bookmarkStart w:id="275" w:name="_Toc184310287"/>
      <w:bookmarkEnd w:id="275"/>
      <w:bookmarkStart w:id="276" w:name="_Toc184314424"/>
      <w:bookmarkEnd w:id="276"/>
      <w:bookmarkStart w:id="277" w:name="_Toc184313278"/>
      <w:bookmarkEnd w:id="277"/>
      <w:bookmarkStart w:id="278" w:name="_Toc184308046"/>
      <w:bookmarkEnd w:id="278"/>
      <w:bookmarkStart w:id="279" w:name="_Toc184313285"/>
      <w:bookmarkEnd w:id="279"/>
      <w:bookmarkStart w:id="280" w:name="_Toc184308076"/>
      <w:bookmarkEnd w:id="280"/>
      <w:bookmarkStart w:id="281" w:name="_Toc184314452"/>
      <w:bookmarkEnd w:id="281"/>
      <w:bookmarkStart w:id="282" w:name="_Toc184312107"/>
      <w:bookmarkEnd w:id="282"/>
      <w:bookmarkStart w:id="283" w:name="_Toc184312110"/>
      <w:bookmarkEnd w:id="283"/>
      <w:bookmarkStart w:id="284" w:name="_Toc184314427"/>
      <w:bookmarkEnd w:id="284"/>
      <w:bookmarkStart w:id="285" w:name="_Toc184308103"/>
      <w:bookmarkEnd w:id="285"/>
      <w:bookmarkStart w:id="286" w:name="_Toc184312130"/>
      <w:bookmarkEnd w:id="286"/>
      <w:bookmarkStart w:id="287" w:name="_Toc184310339"/>
      <w:bookmarkEnd w:id="287"/>
      <w:bookmarkStart w:id="288" w:name="_Toc184308098"/>
      <w:bookmarkEnd w:id="288"/>
      <w:bookmarkStart w:id="289" w:name="_Toc184312090"/>
      <w:bookmarkEnd w:id="289"/>
      <w:bookmarkStart w:id="290" w:name="_Toc184310333"/>
      <w:bookmarkEnd w:id="290"/>
      <w:bookmarkStart w:id="291" w:name="_Toc184312127"/>
      <w:bookmarkEnd w:id="291"/>
      <w:bookmarkStart w:id="292" w:name="_Toc184310318"/>
      <w:bookmarkEnd w:id="292"/>
      <w:bookmarkStart w:id="293" w:name="_Toc184310338"/>
      <w:bookmarkEnd w:id="293"/>
      <w:bookmarkStart w:id="294" w:name="_Toc184310335"/>
      <w:bookmarkEnd w:id="294"/>
      <w:bookmarkStart w:id="295" w:name="_Toc184313276"/>
      <w:bookmarkEnd w:id="295"/>
      <w:bookmarkStart w:id="296" w:name="_Toc184310334"/>
      <w:bookmarkEnd w:id="296"/>
      <w:bookmarkStart w:id="297" w:name="_Toc184312133"/>
      <w:bookmarkEnd w:id="297"/>
      <w:bookmarkStart w:id="298" w:name="_Toc184308080"/>
      <w:bookmarkEnd w:id="298"/>
      <w:bookmarkStart w:id="299" w:name="_Toc184310340"/>
      <w:bookmarkEnd w:id="299"/>
      <w:bookmarkStart w:id="300" w:name="_Toc184312134"/>
      <w:bookmarkEnd w:id="300"/>
      <w:bookmarkStart w:id="301" w:name="_Toc184313304"/>
      <w:bookmarkEnd w:id="301"/>
      <w:bookmarkStart w:id="302" w:name="_Toc184312077"/>
      <w:bookmarkEnd w:id="302"/>
      <w:bookmarkStart w:id="303" w:name="_Toc184308104"/>
      <w:bookmarkEnd w:id="303"/>
      <w:bookmarkStart w:id="304" w:name="_Toc184314477"/>
      <w:bookmarkEnd w:id="304"/>
      <w:bookmarkStart w:id="305" w:name="_Toc184314476"/>
      <w:bookmarkEnd w:id="305"/>
      <w:bookmarkStart w:id="306" w:name="_Toc184313300"/>
      <w:bookmarkEnd w:id="306"/>
      <w:bookmarkStart w:id="307" w:name="_Toc184313301"/>
      <w:bookmarkEnd w:id="307"/>
      <w:bookmarkStart w:id="308" w:name="_Toc184312129"/>
      <w:bookmarkEnd w:id="308"/>
      <w:bookmarkStart w:id="309" w:name="_Toc184313305"/>
      <w:bookmarkEnd w:id="309"/>
      <w:bookmarkStart w:id="310" w:name="_Toc184312092"/>
      <w:bookmarkEnd w:id="310"/>
      <w:bookmarkStart w:id="311" w:name="_Toc184308038"/>
      <w:bookmarkEnd w:id="311"/>
      <w:bookmarkStart w:id="312" w:name="_Toc184312111"/>
      <w:bookmarkEnd w:id="312"/>
      <w:bookmarkStart w:id="313" w:name="_Toc184308099"/>
      <w:bookmarkEnd w:id="313"/>
      <w:bookmarkStart w:id="314" w:name="_Toc184314472"/>
      <w:bookmarkEnd w:id="314"/>
      <w:bookmarkStart w:id="315" w:name="_Toc184314471"/>
      <w:bookmarkEnd w:id="315"/>
      <w:bookmarkStart w:id="316" w:name="_Toc184313290"/>
      <w:bookmarkEnd w:id="316"/>
      <w:bookmarkStart w:id="317" w:name="_Toc184310282"/>
      <w:bookmarkEnd w:id="317"/>
      <w:bookmarkStart w:id="318" w:name="_Toc184310272"/>
      <w:bookmarkEnd w:id="318"/>
      <w:bookmarkStart w:id="319" w:name="_Toc184308073"/>
      <w:bookmarkEnd w:id="319"/>
      <w:bookmarkStart w:id="320" w:name="_Toc184314411"/>
      <w:bookmarkEnd w:id="320"/>
      <w:bookmarkStart w:id="321" w:name="_Toc184314425"/>
      <w:bookmarkEnd w:id="321"/>
      <w:bookmarkStart w:id="322" w:name="_Toc184313261"/>
      <w:bookmarkEnd w:id="322"/>
      <w:bookmarkStart w:id="323" w:name="_Toc184308036"/>
      <w:bookmarkEnd w:id="323"/>
      <w:bookmarkStart w:id="324" w:name="_Toc184312076"/>
      <w:bookmarkEnd w:id="324"/>
      <w:bookmarkStart w:id="325" w:name="_Toc184310295"/>
      <w:bookmarkEnd w:id="325"/>
      <w:bookmarkStart w:id="326" w:name="_Toc184313277"/>
      <w:bookmarkEnd w:id="326"/>
      <w:bookmarkStart w:id="327" w:name="_Toc184310300"/>
      <w:bookmarkEnd w:id="327"/>
      <w:bookmarkStart w:id="328" w:name="_Toc184310304"/>
      <w:bookmarkEnd w:id="328"/>
      <w:bookmarkStart w:id="329" w:name="_Toc184308045"/>
      <w:bookmarkEnd w:id="329"/>
      <w:bookmarkStart w:id="330" w:name="_Toc184312116"/>
      <w:bookmarkEnd w:id="330"/>
      <w:bookmarkStart w:id="331" w:name="_Toc184314474"/>
      <w:bookmarkEnd w:id="331"/>
      <w:bookmarkStart w:id="332" w:name="_Toc184310344"/>
      <w:bookmarkEnd w:id="332"/>
      <w:bookmarkStart w:id="333" w:name="_Toc184314458"/>
      <w:bookmarkEnd w:id="333"/>
      <w:bookmarkStart w:id="334" w:name="_Toc184314449"/>
      <w:bookmarkEnd w:id="334"/>
      <w:bookmarkStart w:id="335" w:name="_Toc184308039"/>
      <w:bookmarkEnd w:id="335"/>
      <w:bookmarkStart w:id="336" w:name="_Toc184314431"/>
      <w:bookmarkEnd w:id="336"/>
      <w:bookmarkStart w:id="337" w:name="_Toc184313293"/>
      <w:bookmarkEnd w:id="337"/>
      <w:bookmarkStart w:id="338" w:name="_Toc184312095"/>
      <w:bookmarkEnd w:id="338"/>
      <w:bookmarkStart w:id="339" w:name="_Toc184313240"/>
      <w:bookmarkEnd w:id="339"/>
      <w:bookmarkStart w:id="340" w:name="_Toc184312122"/>
      <w:bookmarkEnd w:id="340"/>
      <w:bookmarkStart w:id="341" w:name="_Toc184312131"/>
      <w:bookmarkEnd w:id="341"/>
      <w:bookmarkStart w:id="342" w:name="_Toc184310315"/>
      <w:bookmarkEnd w:id="342"/>
      <w:bookmarkStart w:id="343" w:name="_Toc184312109"/>
      <w:bookmarkEnd w:id="343"/>
      <w:bookmarkStart w:id="344" w:name="_Toc184308066"/>
      <w:bookmarkEnd w:id="344"/>
      <w:bookmarkStart w:id="345" w:name="_Toc184313262"/>
      <w:bookmarkEnd w:id="345"/>
      <w:bookmarkStart w:id="346" w:name="_Toc184313241"/>
      <w:bookmarkEnd w:id="346"/>
      <w:bookmarkStart w:id="347" w:name="_Toc184308072"/>
      <w:bookmarkEnd w:id="347"/>
      <w:bookmarkStart w:id="348" w:name="_Toc184310325"/>
      <w:bookmarkEnd w:id="348"/>
      <w:bookmarkStart w:id="349" w:name="_Toc184313291"/>
      <w:bookmarkEnd w:id="349"/>
      <w:bookmarkStart w:id="350" w:name="_Toc184310341"/>
      <w:bookmarkEnd w:id="350"/>
      <w:bookmarkStart w:id="351" w:name="_Toc184314453"/>
      <w:bookmarkEnd w:id="351"/>
      <w:bookmarkStart w:id="352" w:name="_Toc184312071"/>
      <w:bookmarkEnd w:id="352"/>
      <w:bookmarkStart w:id="353" w:name="_Toc184310284"/>
      <w:bookmarkEnd w:id="353"/>
      <w:bookmarkStart w:id="354" w:name="_Toc184310301"/>
      <w:bookmarkEnd w:id="354"/>
      <w:bookmarkStart w:id="355" w:name="_Toc184308086"/>
      <w:bookmarkEnd w:id="355"/>
      <w:bookmarkStart w:id="356" w:name="_Toc184314482"/>
      <w:bookmarkEnd w:id="356"/>
      <w:bookmarkStart w:id="357" w:name="_Toc184312078"/>
      <w:bookmarkEnd w:id="357"/>
      <w:bookmarkStart w:id="358" w:name="_Toc184314445"/>
      <w:bookmarkEnd w:id="358"/>
      <w:bookmarkStart w:id="359" w:name="_Toc184312102"/>
      <w:bookmarkEnd w:id="359"/>
      <w:bookmarkStart w:id="360" w:name="_Toc184308088"/>
      <w:bookmarkEnd w:id="360"/>
      <w:bookmarkStart w:id="361" w:name="_Toc184312098"/>
      <w:bookmarkEnd w:id="361"/>
      <w:bookmarkStart w:id="362" w:name="_Toc184314447"/>
      <w:bookmarkEnd w:id="362"/>
      <w:bookmarkStart w:id="363" w:name="_Toc184313281"/>
      <w:bookmarkEnd w:id="363"/>
      <w:bookmarkStart w:id="364" w:name="_Toc184312081"/>
      <w:bookmarkEnd w:id="364"/>
      <w:bookmarkStart w:id="365" w:name="_Toc184308063"/>
      <w:bookmarkEnd w:id="365"/>
      <w:bookmarkStart w:id="366" w:name="_Toc184314438"/>
      <w:bookmarkEnd w:id="366"/>
      <w:bookmarkStart w:id="367" w:name="_Toc184313283"/>
      <w:bookmarkEnd w:id="367"/>
      <w:bookmarkStart w:id="368" w:name="_Toc184312123"/>
      <w:bookmarkEnd w:id="368"/>
      <w:bookmarkStart w:id="369" w:name="_Toc184313247"/>
      <w:bookmarkEnd w:id="369"/>
      <w:bookmarkStart w:id="370" w:name="_Toc184312083"/>
      <w:bookmarkEnd w:id="370"/>
      <w:bookmarkStart w:id="371" w:name="_Toc184312121"/>
      <w:bookmarkEnd w:id="371"/>
      <w:bookmarkStart w:id="372" w:name="_Toc184310328"/>
      <w:bookmarkEnd w:id="372"/>
      <w:bookmarkStart w:id="373" w:name="_Toc184308074"/>
      <w:bookmarkEnd w:id="373"/>
      <w:bookmarkStart w:id="374" w:name="_Toc184313274"/>
      <w:bookmarkEnd w:id="374"/>
      <w:bookmarkStart w:id="375" w:name="_Toc184312118"/>
      <w:bookmarkEnd w:id="375"/>
      <w:r>
        <w:rPr>
          <w:rFonts w:hint="eastAsia" w:ascii="仿宋" w:hAnsi="仿宋" w:eastAsia="仿宋" w:cs="仿宋_GB2312"/>
          <w:b/>
          <w:sz w:val="36"/>
          <w:szCs w:val="36"/>
        </w:rPr>
        <w:t>评标方法及评分标准</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jc w:val="both"/>
        <w:rPr>
          <w:rFonts w:hint="eastAsia" w:ascii="仿宋" w:hAnsi="仿宋" w:eastAsia="仿宋"/>
          <w:b/>
          <w:sz w:val="28"/>
          <w:szCs w:val="28"/>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16"/>
        <w:spacing w:before="0"/>
        <w:ind w:firstLine="0" w:firstLineChars="0"/>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16"/>
        <w:spacing w:before="0"/>
        <w:ind w:firstLine="0" w:firstLineChars="0"/>
        <w:rPr>
          <w:rFonts w:hint="eastAsia" w:ascii="仿宋" w:hAnsi="仿宋" w:eastAsia="仿宋" w:cs="Arial"/>
          <w:kern w:val="0"/>
        </w:rPr>
      </w:pPr>
      <w:r>
        <w:rPr>
          <w:rFonts w:hint="eastAsia" w:ascii="仿宋" w:hAnsi="仿宋" w:eastAsia="仿宋" w:cs="Arial"/>
          <w:kern w:val="0"/>
        </w:rPr>
        <w:t>　　3.1参加采购活动前3年内与供应商存在劳动关系；</w:t>
      </w:r>
    </w:p>
    <w:p>
      <w:pPr>
        <w:pStyle w:val="16"/>
        <w:spacing w:before="0"/>
        <w:ind w:firstLine="0" w:firstLineChars="0"/>
        <w:rPr>
          <w:rFonts w:hint="eastAsia" w:ascii="仿宋" w:hAnsi="仿宋" w:eastAsia="仿宋" w:cs="Arial"/>
          <w:kern w:val="0"/>
        </w:rPr>
      </w:pPr>
      <w:r>
        <w:rPr>
          <w:rFonts w:hint="eastAsia" w:ascii="仿宋" w:hAnsi="仿宋" w:eastAsia="仿宋" w:cs="Arial"/>
          <w:kern w:val="0"/>
        </w:rPr>
        <w:t>　　3.2参加采购活动前3年内担任供应商的董事、监事；</w:t>
      </w:r>
    </w:p>
    <w:p>
      <w:pPr>
        <w:pStyle w:val="16"/>
        <w:spacing w:before="0"/>
        <w:ind w:firstLine="0" w:firstLineChars="0"/>
        <w:rPr>
          <w:rFonts w:hint="eastAsia" w:ascii="仿宋" w:hAnsi="仿宋" w:eastAsia="仿宋" w:cs="Arial"/>
          <w:kern w:val="0"/>
        </w:rPr>
      </w:pPr>
      <w:r>
        <w:rPr>
          <w:rFonts w:hint="eastAsia" w:ascii="仿宋" w:hAnsi="仿宋" w:eastAsia="仿宋" w:cs="Arial"/>
          <w:kern w:val="0"/>
        </w:rPr>
        <w:t>　　3.3参加采购活动前3年内是供应商的控股股东或者实际控制人；</w:t>
      </w:r>
    </w:p>
    <w:p>
      <w:pPr>
        <w:pStyle w:val="16"/>
        <w:spacing w:before="0"/>
        <w:ind w:firstLine="0" w:firstLineChars="0"/>
        <w:rPr>
          <w:rFonts w:hint="eastAsia" w:ascii="仿宋" w:hAnsi="仿宋" w:eastAsia="仿宋" w:cs="Arial"/>
          <w:kern w:val="0"/>
        </w:rPr>
      </w:pPr>
      <w:r>
        <w:rPr>
          <w:rFonts w:hint="eastAsia" w:ascii="仿宋" w:hAnsi="仿宋" w:eastAsia="仿宋" w:cs="Arial"/>
          <w:kern w:val="0"/>
        </w:rPr>
        <w:t>　　3.4与供应商的法定代表人或者负责人有夫妻、直系血亲、三代以内旁系血亲或者近姻亲关系；</w:t>
      </w:r>
    </w:p>
    <w:p>
      <w:pPr>
        <w:pStyle w:val="16"/>
        <w:spacing w:before="0"/>
        <w:ind w:firstLine="0" w:firstLineChars="0"/>
        <w:rPr>
          <w:rFonts w:hint="eastAsia" w:ascii="仿宋" w:hAnsi="仿宋" w:eastAsia="仿宋" w:cs="Arial"/>
          <w:kern w:val="0"/>
        </w:rPr>
      </w:pPr>
      <w:r>
        <w:rPr>
          <w:rFonts w:hint="eastAsia" w:ascii="仿宋" w:hAnsi="仿宋" w:eastAsia="仿宋" w:cs="Arial"/>
          <w:kern w:val="0"/>
        </w:rPr>
        <w:t xml:space="preserve">　 </w:t>
      </w:r>
      <w:r>
        <w:rPr>
          <w:rFonts w:hint="eastAsia" w:ascii="仿宋" w:hAnsi="仿宋" w:eastAsia="仿宋" w:cs="Arial"/>
          <w:kern w:val="0"/>
          <w:lang w:val="en-US" w:eastAsia="zh-CN"/>
        </w:rPr>
        <w:t xml:space="preserve"> </w:t>
      </w:r>
      <w:r>
        <w:rPr>
          <w:rFonts w:hint="eastAsia" w:ascii="仿宋" w:hAnsi="仿宋" w:eastAsia="仿宋" w:cs="Arial"/>
          <w:kern w:val="0"/>
        </w:rPr>
        <w:t>3.5与供应商有其他可能影响政府采购活动公平、公正进行的关系。</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32"/>
          <w:szCs w:val="32"/>
        </w:rPr>
      </w:pPr>
      <w:r>
        <w:rPr>
          <w:rFonts w:hint="eastAsia" w:ascii="仿宋" w:hAnsi="仿宋" w:eastAsia="仿宋" w:cs="仿宋_GB2312"/>
          <w:b/>
          <w:sz w:val="32"/>
        </w:rPr>
        <w:t>三、评标委员会的职责</w:t>
      </w:r>
    </w:p>
    <w:p>
      <w:pPr>
        <w:pStyle w:val="16"/>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16"/>
        <w:spacing w:before="0"/>
        <w:ind w:firstLine="480" w:firstLineChars="20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16"/>
        <w:spacing w:before="0"/>
        <w:ind w:firstLine="480" w:firstLineChars="20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16"/>
        <w:spacing w:before="0"/>
        <w:ind w:firstLine="480" w:firstLineChars="20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16"/>
        <w:spacing w:before="0"/>
        <w:ind w:firstLine="480" w:firstLineChars="20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16"/>
        <w:spacing w:before="0"/>
        <w:ind w:firstLine="480" w:firstLineChars="20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向采购人、采购机构或者有关部门报告评标中发现的违法行为</w:t>
      </w:r>
      <w:r>
        <w:rPr>
          <w:rFonts w:hint="eastAsia" w:ascii="仿宋" w:hAnsi="仿宋" w:eastAsia="仿宋" w:cs="Arial"/>
          <w:kern w:val="0"/>
        </w:rPr>
        <w:t>；</w:t>
      </w:r>
    </w:p>
    <w:p>
      <w:pPr>
        <w:pStyle w:val="16"/>
        <w:spacing w:before="0"/>
        <w:ind w:firstLine="480" w:firstLineChars="20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16"/>
        <w:spacing w:before="0"/>
        <w:ind w:firstLine="0" w:firstLineChars="0"/>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16"/>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16"/>
        <w:spacing w:before="0"/>
        <w:ind w:firstLine="481" w:firstLineChars="0"/>
        <w:rPr>
          <w:rFonts w:hint="eastAsia" w:ascii="仿宋_GB2312" w:hAnsi="仿宋" w:eastAsia="仿宋_GB2312"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_GB2312" w:hAnsi="仿宋" w:eastAsia="仿宋_GB2312" w:cs="Arial"/>
          <w:kern w:val="0"/>
        </w:rPr>
        <w:t>《政府采购货物和服务招标投标管理办法》（财政部令第87号）第五十一条规定的情形除外；</w:t>
      </w:r>
    </w:p>
    <w:p>
      <w:pPr>
        <w:pStyle w:val="16"/>
        <w:spacing w:before="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16"/>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5.4</w:t>
      </w:r>
      <w:r>
        <w:rPr>
          <w:rFonts w:ascii="仿宋" w:hAnsi="仿宋" w:eastAsia="仿宋" w:cs="Arial"/>
          <w:kern w:val="0"/>
        </w:rPr>
        <w:t>对需要专业判断的主观评审因素协商评分；</w:t>
      </w:r>
    </w:p>
    <w:p>
      <w:pPr>
        <w:pStyle w:val="16"/>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16"/>
        <w:spacing w:before="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16"/>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5.7</w:t>
      </w:r>
      <w:r>
        <w:rPr>
          <w:rFonts w:ascii="仿宋" w:hAnsi="仿宋" w:eastAsia="仿宋" w:cs="Arial"/>
          <w:kern w:val="0"/>
        </w:rPr>
        <w:t>其他不遵守评标纪律的行为。</w:t>
      </w:r>
    </w:p>
    <w:p>
      <w:pPr>
        <w:pStyle w:val="16"/>
        <w:spacing w:before="0"/>
        <w:ind w:firstLine="0" w:firstLineChars="0"/>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w:t>
      </w:r>
      <w:r>
        <w:rPr>
          <w:rFonts w:hint="eastAsia" w:ascii="仿宋" w:hAnsi="仿宋" w:eastAsia="仿宋" w:cs="Arial"/>
          <w:kern w:val="0"/>
          <w:lang w:val="en-US" w:eastAsia="zh-CN"/>
        </w:rPr>
        <w:t>7</w:t>
      </w:r>
      <w:r>
        <w:rPr>
          <w:rFonts w:ascii="仿宋" w:hAnsi="仿宋" w:eastAsia="仿宋" w:cs="Arial"/>
          <w:kern w:val="0"/>
        </w:rPr>
        <w:t>行为之一的，其评审意见无效，并不得获取评审劳务报酬和报销异地评审差旅费。</w:t>
      </w:r>
    </w:p>
    <w:p>
      <w:pPr>
        <w:pStyle w:val="16"/>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16"/>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16"/>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对于投标文件中含义不明确、同类问题表述不一致或者有明显文字和计算错误的内容需要投标人作出必要的澄清、说明或者补正的，评</w:t>
      </w:r>
      <w:r>
        <w:rPr>
          <w:rFonts w:hint="eastAsia" w:ascii="仿宋" w:hAnsi="仿宋" w:eastAsia="仿宋" w:cs="Arial"/>
          <w:kern w:val="0"/>
          <w:szCs w:val="24"/>
        </w:rPr>
        <w:t>标</w:t>
      </w:r>
      <w:r>
        <w:rPr>
          <w:rFonts w:ascii="仿宋" w:hAnsi="仿宋" w:eastAsia="仿宋" w:cs="Arial"/>
          <w:kern w:val="0"/>
          <w:szCs w:val="24"/>
        </w:rPr>
        <w:t>委员会和投标人通过电子交易平台交换数据电文，</w:t>
      </w:r>
      <w:r>
        <w:rPr>
          <w:rFonts w:hint="eastAsia" w:ascii="仿宋" w:hAnsi="仿宋" w:eastAsia="仿宋" w:cs="Arial"/>
          <w:kern w:val="0"/>
          <w:szCs w:val="24"/>
        </w:rPr>
        <w:t>投标人提交使用电子签名的</w:t>
      </w:r>
      <w:r>
        <w:rPr>
          <w:rFonts w:ascii="仿宋" w:hAnsi="仿宋" w:eastAsia="仿宋" w:cs="Arial"/>
          <w:kern w:val="0"/>
          <w:szCs w:val="24"/>
        </w:rPr>
        <w:t>相关数据电文</w:t>
      </w:r>
      <w:r>
        <w:rPr>
          <w:rFonts w:hint="eastAsia" w:ascii="仿宋" w:hAnsi="仿宋" w:eastAsia="仿宋" w:cs="Arial"/>
          <w:kern w:val="0"/>
          <w:szCs w:val="24"/>
        </w:rPr>
        <w:t>或通过平台上传加盖公章的扫描件</w:t>
      </w:r>
      <w:r>
        <w:rPr>
          <w:rFonts w:ascii="仿宋" w:hAnsi="仿宋" w:eastAsia="仿宋" w:cs="Arial"/>
          <w:kern w:val="0"/>
          <w:szCs w:val="24"/>
        </w:rPr>
        <w:t>。给予投标人提交澄清、说明或补正的时间不得少于半小时，</w:t>
      </w:r>
      <w:r>
        <w:rPr>
          <w:rFonts w:hint="eastAsia" w:ascii="仿宋" w:hAnsi="仿宋" w:eastAsia="仿宋" w:cs="Arial"/>
          <w:kern w:val="0"/>
          <w:szCs w:val="24"/>
        </w:rPr>
        <w:t>投标人</w:t>
      </w:r>
      <w:r>
        <w:rPr>
          <w:rFonts w:ascii="仿宋" w:hAnsi="仿宋" w:eastAsia="仿宋" w:cs="Arial"/>
          <w:kern w:val="0"/>
          <w:szCs w:val="24"/>
        </w:rPr>
        <w:t>已经明确表示澄清说明或补正完毕的除外。投标人的澄清、说明或者补正不得超出投标文件的范围或者改变投标文件的实质性内容</w:t>
      </w:r>
      <w:r>
        <w:rPr>
          <w:rFonts w:hint="eastAsia" w:ascii="仿宋" w:hAnsi="仿宋" w:eastAsia="仿宋" w:cs="Arial"/>
          <w:kern w:val="0"/>
          <w:szCs w:val="24"/>
        </w:rPr>
        <w:t>。</w:t>
      </w:r>
    </w:p>
    <w:p>
      <w:pPr>
        <w:pStyle w:val="16"/>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比较与评价</w:t>
      </w:r>
      <w:r>
        <w:rPr>
          <w:rFonts w:hint="eastAsia" w:ascii="仿宋" w:hAnsi="仿宋" w:eastAsia="仿宋" w:cs="Arial"/>
          <w:b/>
          <w:kern w:val="0"/>
          <w:szCs w:val="24"/>
        </w:rPr>
        <w:t>。</w:t>
      </w:r>
      <w:r>
        <w:rPr>
          <w:rFonts w:hint="eastAsia" w:ascii="仿宋" w:hAnsi="仿宋" w:eastAsia="仿宋" w:cs="Arial"/>
          <w:kern w:val="0"/>
          <w:szCs w:val="24"/>
        </w:rPr>
        <w:t>评</w:t>
      </w:r>
      <w:r>
        <w:rPr>
          <w:rFonts w:ascii="仿宋" w:hAnsi="仿宋" w:eastAsia="仿宋" w:cs="Arial"/>
          <w:kern w:val="0"/>
          <w:szCs w:val="24"/>
        </w:rPr>
        <w:t>标委员会应当按照评标标准，对符合性审查合格的投标文件进行商务和技术评估，综合比较与评价。</w:t>
      </w:r>
    </w:p>
    <w:p>
      <w:pPr>
        <w:pStyle w:val="16"/>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16"/>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10.报价审核。</w:t>
      </w:r>
      <w:r>
        <w:rPr>
          <w:rFonts w:hint="eastAsia" w:ascii="仿宋" w:hAnsi="仿宋" w:eastAsia="仿宋" w:cs="Arial"/>
          <w:kern w:val="0"/>
          <w:szCs w:val="24"/>
        </w:rPr>
        <w:t>对经商务和技术评审符合采购需求的投标人的报价的合理性、准确性等进行审查核实。</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10.2根据财政部发布</w:t>
      </w:r>
      <w:r>
        <w:rPr>
          <w:rFonts w:hint="eastAsia" w:ascii="仿宋" w:hAnsi="仿宋" w:eastAsia="仿宋" w:cs="Arial"/>
          <w:kern w:val="0"/>
          <w:szCs w:val="24"/>
          <w:highlight w:val="none"/>
        </w:rPr>
        <w:t>的《政府采购促进中小企业发展</w:t>
      </w:r>
      <w:r>
        <w:rPr>
          <w:rFonts w:hint="eastAsia" w:ascii="仿宋" w:hAnsi="仿宋" w:eastAsia="仿宋" w:cs="Arial"/>
          <w:kern w:val="0"/>
          <w:szCs w:val="24"/>
          <w:highlight w:val="none"/>
          <w:lang w:eastAsia="zh-CN"/>
        </w:rPr>
        <w:t>管理</w:t>
      </w:r>
      <w:r>
        <w:rPr>
          <w:rFonts w:hint="eastAsia" w:ascii="仿宋" w:hAnsi="仿宋" w:eastAsia="仿宋" w:cs="Arial"/>
          <w:kern w:val="0"/>
          <w:szCs w:val="24"/>
          <w:highlight w:val="none"/>
        </w:rPr>
        <w:t>办法》规</w:t>
      </w:r>
      <w:r>
        <w:rPr>
          <w:rFonts w:hint="eastAsia" w:ascii="仿宋" w:hAnsi="仿宋" w:eastAsia="仿宋" w:cs="Arial"/>
          <w:kern w:val="0"/>
          <w:szCs w:val="24"/>
        </w:rPr>
        <w:t>定，对于非专门面向中小企业的项目，对小型和微型企业产品的价格给予一定的扣除，用扣除后的价格参与评审。</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10.3投标价格的修正原则。投标文件报价出现前后不一致的，按照下列规定修正：</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10.3.1投标文件中开标一览表(报价表)内容与投标文件中相应内容不一致的，以开标一览表(报价表)为准;</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10.3.2大写金额和小写金额不一致的，以大写金额为准;</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10.3.3单价金额小数点或者百分比有明显错位的，以开标一览表的总价为准，并修改单价;</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16"/>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rPr>
          <w:rFonts w:hint="eastAsia"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6"/>
        <w:spacing w:line="360" w:lineRule="auto"/>
        <w:ind w:left="559" w:hanging="559" w:hangingChars="199"/>
        <w:rPr>
          <w:rFonts w:hint="eastAsia"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b/>
          <w:bCs w:val="0"/>
          <w:sz w:val="24"/>
        </w:rPr>
        <w:t>▲</w:t>
      </w:r>
      <w:r>
        <w:rPr>
          <w:rFonts w:hint="eastAsia" w:ascii="仿宋" w:hAnsi="仿宋" w:eastAsia="仿宋" w:cs="仿宋_GB2312"/>
          <w:b/>
          <w:bCs w:val="0"/>
          <w:szCs w:val="21"/>
        </w:rPr>
        <w:t>有下列情况之一的，投标无效：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13.4如以联合体形式参加政府采购活动的，联合体协议不符合招标文件规定的联合体协议要求的；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13.5投标文件未按规定的格式编制的；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13.6投标文件未按招标文件的澄清、修改的内容编制，又不符合实质性要求的；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13.7投标文件组成漏项，内容不全或内容字迹模糊辨认不清的；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13.8投标文件中法定代表人授权书所载内容与本项目内容有异的；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13.9投标文件未按照招标文件要求签署、盖章的；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13.11投标文件含有采购人不能接受的附加条件的；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13.12投标文件中承诺的投标有效期少于招标文件中载明的投标有效期的；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13.13投标人所投内容不符合采购需求中实质性要求的；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13.14投标文件出现不是唯一的、有选择性投标报价的;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13.15投标报价高于本项目采购预算或者最高限价的;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13.17《投标（开标）一览表》</w:t>
      </w:r>
      <w:r>
        <w:rPr>
          <w:rFonts w:hint="eastAsia" w:ascii="仿宋" w:hAnsi="仿宋" w:eastAsia="仿宋" w:cs="仿宋_GB2312"/>
          <w:sz w:val="24"/>
          <w:szCs w:val="21"/>
          <w:lang w:eastAsia="zh-CN"/>
        </w:rPr>
        <w:t>重要信息</w:t>
      </w:r>
      <w:r>
        <w:rPr>
          <w:rFonts w:hint="eastAsia" w:ascii="仿宋" w:hAnsi="仿宋" w:eastAsia="仿宋" w:cs="仿宋_GB2312"/>
          <w:sz w:val="24"/>
          <w:szCs w:val="21"/>
        </w:rPr>
        <w:t>填写不完整或字迹不能辨认或有漏项的；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13.18投标人对根据修正原则修正后的报价不确认的；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13.19投标人提供虚假材料投标的（包括但不限于以下情节）；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13.19.4提供虚假的信用状况；</w:t>
      </w:r>
    </w:p>
    <w:p>
      <w:pPr>
        <w:spacing w:line="360" w:lineRule="auto"/>
        <w:ind w:firstLine="480" w:firstLineChars="200"/>
        <w:rPr>
          <w:rFonts w:hint="eastAsia" w:ascii="仿宋" w:hAnsi="仿宋" w:eastAsia="仿宋" w:cs="仿宋_GB2312"/>
          <w:sz w:val="24"/>
          <w:szCs w:val="21"/>
        </w:rPr>
      </w:pPr>
      <w:r>
        <w:rPr>
          <w:rFonts w:ascii="仿宋" w:hAnsi="仿宋" w:eastAsia="仿宋" w:cs="仿宋_GB2312"/>
          <w:sz w:val="24"/>
          <w:szCs w:val="21"/>
        </w:rPr>
        <w:t>13.</w:t>
      </w:r>
      <w:r>
        <w:rPr>
          <w:rFonts w:hint="eastAsia" w:ascii="仿宋" w:hAnsi="仿宋" w:eastAsia="仿宋" w:cs="仿宋_GB2312"/>
          <w:sz w:val="24"/>
          <w:szCs w:val="21"/>
        </w:rPr>
        <w:t>19</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13.20.2供应商按照采购人或者采购机构的授意撤换、修改投标文件或者响应文件；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13.20.3供应商之间协商报价、技术方案等投标文件或者响应文件的实质性内容；</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13.20.5供应商之间事先约定由某一特定供应商中标、成交；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13.20.6供应商之间商定部分供应商放弃参加政府采购活动或者放弃中标、成交；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13.20.8不同投标人的投标文件由同一单位或者个人编制；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13.20.9不同投标人委托同一单位或者个人办理投标事宜；</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13.20.10不同投标人的投标文件载明的项目管理成员或者联系人员为同一人；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13.20.11不同投标人的投标文件异常一致或者投标报价呈规律性差异；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13.20.12不同投标人的投标文件相互混装；</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13.21法律、法规、规章（适用本市的）及省级以上规范性文件（适用本市的）规定的其他无效情形。</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16"/>
        <w:spacing w:before="0"/>
        <w:ind w:firstLine="0" w:firstLineChars="0"/>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评标委员会根据原始评标记录和评标结果编写评标报告</w:t>
      </w:r>
      <w:r>
        <w:rPr>
          <w:rFonts w:hint="eastAsia" w:ascii="仿宋" w:hAnsi="仿宋" w:eastAsia="仿宋" w:cs="仿宋_GB2312"/>
          <w:szCs w:val="24"/>
        </w:rPr>
        <w:t>，并通过电子交易平台向采购人、采购机构提交。</w:t>
      </w:r>
    </w:p>
    <w:p>
      <w:pPr>
        <w:widowControl/>
        <w:adjustRightInd/>
        <w:spacing w:before="100" w:beforeAutospacing="1" w:after="100" w:afterAutospacing="1" w:line="360" w:lineRule="auto"/>
        <w:jc w:val="left"/>
        <w:rPr>
          <w:rFonts w:ascii="ˎ̥" w:hAnsi="ˎ̥" w:cs="宋体"/>
          <w:kern w:val="0"/>
          <w:sz w:val="24"/>
        </w:rPr>
      </w:pPr>
      <w:r>
        <w:rPr>
          <w:rFonts w:hint="eastAsia" w:ascii="仿宋" w:hAnsi="仿宋" w:eastAsia="仿宋" w:cs="仿宋_GB2312"/>
          <w:b/>
          <w:sz w:val="24"/>
        </w:rPr>
        <w:t>15.评标争议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6"/>
        <w:snapToGrid w:val="0"/>
        <w:spacing w:line="360" w:lineRule="auto"/>
        <w:ind w:firstLine="0" w:firstLineChars="0"/>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6"/>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6"/>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6"/>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6"/>
        <w:snapToGrid w:val="0"/>
        <w:spacing w:line="360" w:lineRule="auto"/>
        <w:rPr>
          <w:rFonts w:hint="eastAsia" w:ascii="仿宋" w:hAnsi="仿宋" w:eastAsia="仿宋" w:cs="仿宋_GB2312"/>
        </w:rPr>
      </w:pPr>
      <w:r>
        <w:rPr>
          <w:rFonts w:hint="eastAsia" w:ascii="仿宋" w:hAnsi="仿宋" w:eastAsia="仿宋" w:cs="仿宋_GB2312"/>
        </w:rPr>
        <w:t>废标后，采购机构应当将废标理由通知所有投标人。</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 重新组织采购</w:t>
      </w:r>
    </w:p>
    <w:p>
      <w:pPr>
        <w:pStyle w:val="6"/>
        <w:snapToGrid w:val="0"/>
        <w:spacing w:line="360" w:lineRule="auto"/>
        <w:ind w:left="0" w:leftChars="0" w:firstLine="0" w:firstLineChars="0"/>
        <w:rPr>
          <w:rFonts w:hint="eastAsia"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left="0" w:leftChars="0" w:firstLine="0" w:firstLineChars="0"/>
        <w:rPr>
          <w:rFonts w:hint="eastAsia" w:ascii="仿宋" w:hAnsi="仿宋" w:eastAsia="仿宋" w:cs="仿宋_GB2312"/>
        </w:rPr>
      </w:pPr>
      <w:r>
        <w:rPr>
          <w:rFonts w:hint="eastAsia" w:ascii="仿宋_GB2312" w:hAnsi="Helvetica" w:eastAsia="仿宋_GB2312"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6"/>
        <w:snapToGrid w:val="0"/>
        <w:spacing w:line="360" w:lineRule="auto"/>
        <w:rPr>
          <w:rFonts w:hint="eastAsia"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6"/>
        <w:snapToGrid w:val="0"/>
        <w:spacing w:line="360" w:lineRule="auto"/>
        <w:rPr>
          <w:rFonts w:hint="eastAsia"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lang w:eastAsia="zh-CN"/>
        </w:rPr>
      </w:pPr>
      <w:r>
        <w:rPr>
          <w:rFonts w:hint="eastAsia" w:ascii="仿宋" w:hAnsi="仿宋" w:eastAsia="仿宋" w:cs="仿宋_GB2312"/>
          <w:b/>
          <w:sz w:val="24"/>
        </w:rPr>
        <w:t>20.录音录像。</w:t>
      </w:r>
      <w:r>
        <w:rPr>
          <w:rFonts w:hint="eastAsia" w:ascii="仿宋" w:hAnsi="仿宋" w:eastAsia="仿宋" w:cs="仿宋_GB2312"/>
          <w:sz w:val="24"/>
        </w:rPr>
        <w:t>采购机构对评审工作现场进行全过程录音录像</w:t>
      </w:r>
      <w:r>
        <w:rPr>
          <w:rFonts w:hint="eastAsia" w:ascii="仿宋" w:hAnsi="仿宋" w:eastAsia="仿宋" w:cs="仿宋_GB2312"/>
          <w:sz w:val="24"/>
          <w:lang w:eastAsia="zh-CN"/>
        </w:rPr>
        <w:t>。</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九、具体评标标准</w:t>
      </w:r>
    </w:p>
    <w:p>
      <w:pPr>
        <w:autoSpaceDE w:val="0"/>
        <w:autoSpaceDN w:val="0"/>
        <w:spacing w:line="360" w:lineRule="auto"/>
        <w:ind w:firstLine="482" w:firstLineChars="200"/>
        <w:rPr>
          <w:rFonts w:ascii="仿宋" w:hAnsi="仿宋" w:eastAsia="仿宋" w:cs="仿宋_GB2312"/>
          <w:sz w:val="24"/>
        </w:rPr>
      </w:pPr>
      <w:r>
        <w:rPr>
          <w:rFonts w:hint="eastAsia" w:ascii="仿宋_GB2312" w:hAnsi="宋体" w:eastAsia="仿宋_GB2312"/>
          <w:b/>
          <w:sz w:val="24"/>
        </w:rPr>
        <w:t>一、本项目采用综合评分法</w:t>
      </w:r>
      <w:r>
        <w:rPr>
          <w:rFonts w:hint="eastAsia" w:ascii="仿宋_GB2312" w:hAnsi="宋体" w:eastAsia="仿宋_GB2312"/>
          <w:sz w:val="24"/>
        </w:rPr>
        <w:t>，评</w:t>
      </w:r>
      <w:r>
        <w:rPr>
          <w:rFonts w:hint="eastAsia" w:ascii="仿宋" w:hAnsi="仿宋" w:eastAsia="仿宋" w:cs="仿宋_GB2312"/>
          <w:sz w:val="24"/>
        </w:rPr>
        <w:t xml:space="preserve">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ascii="仿宋_GB2312" w:hAnsi="仿宋_GB2312" w:eastAsia="仿宋_GB2312" w:cs="仿宋_GB2312"/>
          <w:b/>
          <w:sz w:val="24"/>
          <w:highlight w:val="none"/>
        </w:rPr>
      </w:pPr>
      <w:r>
        <w:rPr>
          <w:rFonts w:hint="eastAsia" w:ascii="仿宋_GB2312" w:hAnsi="仿宋_GB2312" w:eastAsia="仿宋_GB2312" w:cs="仿宋_GB2312"/>
          <w:sz w:val="24"/>
        </w:rPr>
        <w:t>各投标人的综合得分为：投标价格得分+</w:t>
      </w:r>
      <w:r>
        <w:rPr>
          <w:rFonts w:hint="eastAsia" w:ascii="仿宋_GB2312" w:hAnsi="仿宋_GB2312" w:eastAsia="仿宋_GB2312" w:cs="仿宋_GB2312"/>
          <w:bCs/>
          <w:sz w:val="24"/>
        </w:rPr>
        <w:t>技术和服务方案</w:t>
      </w:r>
      <w:r>
        <w:rPr>
          <w:rFonts w:hint="eastAsia" w:ascii="仿宋_GB2312" w:hAnsi="仿宋_GB2312" w:eastAsia="仿宋_GB2312" w:cs="仿宋_GB2312"/>
          <w:sz w:val="24"/>
        </w:rPr>
        <w:t>得分的得分之和，</w:t>
      </w:r>
      <w:r>
        <w:rPr>
          <w:rFonts w:hint="eastAsia" w:ascii="仿宋_GB2312" w:hAnsi="仿宋_GB2312" w:eastAsia="仿宋_GB2312" w:cs="仿宋_GB2312"/>
          <w:b/>
          <w:sz w:val="24"/>
        </w:rPr>
        <w:t>总和为100分</w:t>
      </w:r>
      <w:r>
        <w:rPr>
          <w:rFonts w:hint="eastAsia" w:ascii="仿宋_GB2312" w:hAnsi="仿宋_GB2312" w:eastAsia="仿宋_GB2312" w:cs="仿宋_GB2312"/>
          <w:sz w:val="24"/>
        </w:rPr>
        <w:t>，其中：</w:t>
      </w:r>
      <w:r>
        <w:rPr>
          <w:rFonts w:hint="eastAsia" w:ascii="仿宋_GB2312" w:hAnsi="仿宋_GB2312" w:eastAsia="仿宋_GB2312" w:cs="仿宋_GB2312"/>
          <w:b/>
          <w:sz w:val="24"/>
          <w:szCs w:val="22"/>
          <w:highlight w:val="none"/>
        </w:rPr>
        <w:t>投标价格得分</w:t>
      </w:r>
      <w:r>
        <w:rPr>
          <w:rFonts w:hint="eastAsia" w:ascii="仿宋_GB2312" w:hAnsi="仿宋_GB2312" w:eastAsia="仿宋_GB2312" w:cs="仿宋_GB2312"/>
          <w:b/>
          <w:sz w:val="24"/>
          <w:szCs w:val="22"/>
          <w:highlight w:val="none"/>
          <w:lang w:val="en-US" w:eastAsia="zh-CN"/>
        </w:rPr>
        <w:t>30</w:t>
      </w:r>
      <w:r>
        <w:rPr>
          <w:rFonts w:hint="eastAsia" w:ascii="仿宋_GB2312" w:hAnsi="仿宋_GB2312" w:eastAsia="仿宋_GB2312" w:cs="仿宋_GB2312"/>
          <w:b/>
          <w:sz w:val="24"/>
          <w:szCs w:val="22"/>
          <w:highlight w:val="none"/>
        </w:rPr>
        <w:t>分，</w:t>
      </w:r>
      <w:r>
        <w:rPr>
          <w:rFonts w:hint="eastAsia" w:ascii="仿宋_GB2312" w:hAnsi="宋体" w:eastAsia="仿宋_GB2312"/>
          <w:b/>
          <w:sz w:val="24"/>
          <w:highlight w:val="none"/>
        </w:rPr>
        <w:t>投标人的资质和业绩</w:t>
      </w:r>
      <w:r>
        <w:rPr>
          <w:rFonts w:hint="eastAsia" w:ascii="仿宋_GB2312" w:hAnsi="宋体" w:eastAsia="仿宋_GB2312"/>
          <w:b/>
          <w:sz w:val="24"/>
          <w:highlight w:val="none"/>
          <w:lang w:eastAsia="zh-CN"/>
        </w:rPr>
        <w:t>、</w:t>
      </w:r>
      <w:r>
        <w:rPr>
          <w:rFonts w:hint="eastAsia" w:ascii="仿宋_GB2312" w:hAnsi="仿宋_GB2312" w:eastAsia="仿宋_GB2312" w:cs="仿宋_GB2312"/>
          <w:b/>
          <w:sz w:val="24"/>
          <w:szCs w:val="22"/>
          <w:highlight w:val="none"/>
        </w:rPr>
        <w:t>技术和服务方案</w:t>
      </w:r>
      <w:r>
        <w:rPr>
          <w:rFonts w:hint="eastAsia" w:ascii="仿宋_GB2312" w:hAnsi="仿宋_GB2312" w:eastAsia="仿宋_GB2312" w:cs="仿宋_GB2312"/>
          <w:b/>
          <w:sz w:val="24"/>
          <w:szCs w:val="22"/>
          <w:highlight w:val="none"/>
          <w:lang w:eastAsia="zh-CN"/>
        </w:rPr>
        <w:t>等情况</w:t>
      </w:r>
      <w:r>
        <w:rPr>
          <w:rFonts w:hint="eastAsia" w:ascii="仿宋_GB2312" w:hAnsi="仿宋_GB2312" w:eastAsia="仿宋_GB2312" w:cs="仿宋_GB2312"/>
          <w:b/>
          <w:sz w:val="24"/>
          <w:szCs w:val="22"/>
          <w:highlight w:val="none"/>
        </w:rPr>
        <w:t>得分7</w:t>
      </w:r>
      <w:r>
        <w:rPr>
          <w:rFonts w:hint="eastAsia" w:ascii="仿宋_GB2312" w:hAnsi="仿宋_GB2312" w:eastAsia="仿宋_GB2312" w:cs="仿宋_GB2312"/>
          <w:b/>
          <w:sz w:val="24"/>
          <w:szCs w:val="22"/>
          <w:highlight w:val="none"/>
          <w:lang w:val="en-US" w:eastAsia="zh-CN"/>
        </w:rPr>
        <w:t>0</w:t>
      </w:r>
      <w:r>
        <w:rPr>
          <w:rFonts w:hint="eastAsia" w:ascii="仿宋_GB2312" w:hAnsi="仿宋_GB2312" w:eastAsia="仿宋_GB2312" w:cs="仿宋_GB2312"/>
          <w:b/>
          <w:sz w:val="24"/>
          <w:szCs w:val="22"/>
          <w:highlight w:val="none"/>
        </w:rPr>
        <w:t>分</w:t>
      </w:r>
      <w:r>
        <w:rPr>
          <w:rFonts w:hint="eastAsia" w:ascii="仿宋_GB2312" w:hAnsi="仿宋_GB2312" w:eastAsia="仿宋_GB2312" w:cs="仿宋_GB2312"/>
          <w:b/>
          <w:sz w:val="24"/>
          <w:highlight w:val="none"/>
        </w:rPr>
        <w:t>。</w:t>
      </w:r>
    </w:p>
    <w:p>
      <w:pPr>
        <w:tabs>
          <w:tab w:val="left" w:pos="0"/>
        </w:tabs>
        <w:spacing w:line="360" w:lineRule="auto"/>
        <w:ind w:firstLine="542" w:firstLineChars="225"/>
        <w:rPr>
          <w:rFonts w:ascii="仿宋_GB2312" w:hAnsi="仿宋_GB2312" w:eastAsia="仿宋_GB2312" w:cs="仿宋_GB2312"/>
          <w:sz w:val="24"/>
        </w:rPr>
      </w:pPr>
      <w:r>
        <w:rPr>
          <w:rFonts w:hint="eastAsia" w:ascii="仿宋_GB2312" w:hAnsi="仿宋_GB2312" w:eastAsia="仿宋_GB2312" w:cs="仿宋_GB2312"/>
          <w:b/>
          <w:sz w:val="24"/>
        </w:rPr>
        <w:t>各投标人的技术和服务方案、投标人的业绩情况得分为：评标委员会各成员评分的算术平均值。各投标人的投标价格得分按投标价格评分</w:t>
      </w:r>
      <w:r>
        <w:rPr>
          <w:rFonts w:hint="eastAsia" w:ascii="仿宋_GB2312" w:hAnsi="仿宋_GB2312" w:eastAsia="仿宋_GB2312" w:cs="仿宋_GB2312"/>
          <w:b/>
          <w:kern w:val="0"/>
          <w:sz w:val="24"/>
        </w:rPr>
        <w:t>公式由采购机构计算，</w:t>
      </w:r>
      <w:r>
        <w:rPr>
          <w:rFonts w:hint="eastAsia" w:ascii="仿宋_GB2312" w:hAnsi="仿宋_GB2312" w:eastAsia="仿宋_GB2312" w:cs="仿宋_GB2312"/>
          <w:b/>
          <w:sz w:val="24"/>
        </w:rPr>
        <w:t>评标委员会审核。</w:t>
      </w:r>
      <w:r>
        <w:rPr>
          <w:rFonts w:hint="eastAsia" w:ascii="仿宋_GB2312" w:hAnsi="仿宋_GB2312" w:eastAsia="仿宋_GB2312" w:cs="仿宋_GB2312"/>
          <w:sz w:val="24"/>
        </w:rPr>
        <w:t>根据上述评标原则，分值安排如下：</w:t>
      </w:r>
    </w:p>
    <w:p>
      <w:pPr>
        <w:tabs>
          <w:tab w:val="left" w:pos="6425"/>
        </w:tabs>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投标价格【</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0分】：</w:t>
      </w:r>
      <w:r>
        <w:rPr>
          <w:rFonts w:hint="eastAsia" w:ascii="仿宋_GB2312" w:hAnsi="仿宋_GB2312" w:eastAsia="仿宋_GB2312" w:cs="仿宋_GB2312"/>
          <w:b/>
          <w:sz w:val="24"/>
        </w:rPr>
        <w:tab/>
      </w:r>
    </w:p>
    <w:p>
      <w:pPr>
        <w:autoSpaceDE w:val="0"/>
        <w:autoSpaceDN w:val="0"/>
        <w:spacing w:line="360" w:lineRule="auto"/>
        <w:ind w:firstLine="482"/>
        <w:rPr>
          <w:rFonts w:ascii="仿宋_GB2312" w:hAnsi="仿宋_GB2312" w:eastAsia="仿宋_GB2312" w:cs="仿宋_GB2312"/>
          <w:sz w:val="24"/>
          <w:lang w:val="zh-CN"/>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b/>
          <w:sz w:val="24"/>
        </w:rPr>
        <w:t>投标价格的合理性</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分析总报价及各个分项报价是否合理，报价范围是否完整，有否重大错漏项</w:t>
      </w:r>
      <w:r>
        <w:rPr>
          <w:rFonts w:hint="eastAsia" w:ascii="仿宋_GB2312" w:hAnsi="仿宋_GB2312" w:eastAsia="仿宋_GB2312" w:cs="仿宋_GB2312"/>
          <w:sz w:val="24"/>
        </w:rPr>
        <w:t>，评标委员会认为投标报价出现异常时，有权要求投标人在评标期间对投标报价的详细组成和投标设备的供应渠道等事项作出解释和澄清，并确认其投标报价是否有效</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报价分计算方法：根据各投标人的有效投标报价，以满足招标文件要求且有效投标价格的最低的投标报价为评标基准价，其价格分为</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0分</w:t>
      </w:r>
      <w:r>
        <w:rPr>
          <w:rFonts w:hint="eastAsia" w:ascii="仿宋_GB2312" w:hAnsi="仿宋_GB2312" w:eastAsia="仿宋_GB2312" w:cs="仿宋_GB2312"/>
          <w:sz w:val="24"/>
          <w:lang w:val="zh-CN"/>
        </w:rPr>
        <w:t>。其他投标人的价格分统一按照下列公式计算：投标报价得分＝(评标基准价/有效投标报价)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价格权值</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100(精确到小数点后二位，由采购机构当场统一计算)。</w:t>
      </w:r>
    </w:p>
    <w:p>
      <w:pPr>
        <w:snapToGrid w:val="0"/>
        <w:spacing w:line="360" w:lineRule="auto"/>
        <w:ind w:firstLine="482" w:firstLineChars="200"/>
        <w:rPr>
          <w:rFonts w:hint="eastAsia" w:ascii="仿宋_GB2312" w:hAnsi="仿宋_GB2312" w:eastAsia="仿宋_GB2312" w:cs="仿宋_GB2312"/>
          <w:b/>
          <w:bCs/>
          <w:sz w:val="24"/>
        </w:rPr>
      </w:pPr>
      <w:r>
        <w:rPr>
          <w:rFonts w:hint="eastAsia" w:ascii="仿宋_GB2312" w:hAnsi="宋体" w:eastAsia="仿宋_GB2312"/>
          <w:b/>
          <w:sz w:val="24"/>
          <w:highlight w:val="none"/>
        </w:rPr>
        <w:t>投标人的资质和业绩</w:t>
      </w:r>
      <w:r>
        <w:rPr>
          <w:rFonts w:hint="eastAsia" w:ascii="仿宋_GB2312" w:hAnsi="宋体" w:eastAsia="仿宋_GB2312"/>
          <w:b/>
          <w:sz w:val="24"/>
          <w:highlight w:val="none"/>
          <w:lang w:eastAsia="zh-CN"/>
        </w:rPr>
        <w:t>、</w:t>
      </w:r>
      <w:r>
        <w:rPr>
          <w:rFonts w:hint="eastAsia" w:ascii="仿宋_GB2312" w:hAnsi="仿宋_GB2312" w:eastAsia="仿宋_GB2312" w:cs="仿宋_GB2312"/>
          <w:b/>
          <w:sz w:val="24"/>
          <w:szCs w:val="22"/>
          <w:highlight w:val="none"/>
        </w:rPr>
        <w:t>技术和服务方案</w:t>
      </w:r>
      <w:r>
        <w:rPr>
          <w:rFonts w:hint="eastAsia" w:ascii="仿宋_GB2312" w:hAnsi="仿宋_GB2312" w:eastAsia="仿宋_GB2312" w:cs="仿宋_GB2312"/>
          <w:b/>
          <w:sz w:val="24"/>
          <w:szCs w:val="22"/>
          <w:highlight w:val="none"/>
          <w:lang w:eastAsia="zh-CN"/>
        </w:rPr>
        <w:t>等情况</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7</w:t>
      </w:r>
      <w:r>
        <w:rPr>
          <w:rFonts w:hint="eastAsia" w:ascii="仿宋_GB2312" w:hAnsi="仿宋_GB2312" w:eastAsia="仿宋_GB2312" w:cs="仿宋_GB2312"/>
          <w:b/>
          <w:sz w:val="24"/>
        </w:rPr>
        <w:t>0分】</w:t>
      </w:r>
      <w:r>
        <w:rPr>
          <w:rFonts w:hint="eastAsia" w:ascii="仿宋_GB2312" w:hAnsi="仿宋_GB2312" w:eastAsia="仿宋_GB2312" w:cs="仿宋_GB2312"/>
          <w:b/>
          <w:bCs/>
          <w:sz w:val="24"/>
        </w:rPr>
        <w:t>：</w:t>
      </w:r>
    </w:p>
    <w:tbl>
      <w:tblPr>
        <w:tblStyle w:val="12"/>
        <w:tblW w:w="892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94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2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694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评分内容和标准</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4"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商务资信分（20分）</w:t>
            </w:r>
          </w:p>
        </w:tc>
        <w:tc>
          <w:tcPr>
            <w:tcW w:w="6946" w:type="dxa"/>
            <w:noWrap w:val="0"/>
            <w:vAlign w:val="center"/>
          </w:tcPr>
          <w:p>
            <w:pPr>
              <w:rPr>
                <w:rFonts w:hint="eastAsia" w:ascii="宋体" w:hAnsi="宋体" w:eastAsia="宋体"/>
                <w:color w:val="000000"/>
                <w:sz w:val="24"/>
                <w:shd w:val="clear" w:color="auto" w:fill="FFFFFF"/>
                <w:lang w:eastAsia="zh-CN"/>
              </w:rPr>
            </w:pPr>
            <w:r>
              <w:rPr>
                <w:rFonts w:hint="eastAsia" w:ascii="宋体" w:hAnsi="宋体"/>
                <w:color w:val="000000"/>
                <w:sz w:val="24"/>
                <w:shd w:val="clear" w:color="auto" w:fill="FFFFFF"/>
              </w:rPr>
              <w:t>投标人进入国家《环境标志产品政府采购清单》或取得环境标志产品认证证书（椅类、沙发类、桌类）每个类别得1分，最高得3分（提供相关证书及证书官网查询截图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r>
              <w:rPr>
                <w:rFonts w:hint="eastAsia" w:ascii="宋体" w:hAnsi="宋体"/>
                <w:color w:val="000000"/>
                <w:sz w:val="24"/>
                <w:shd w:val="clear" w:color="auto" w:fill="FFFFFF"/>
                <w:lang w:eastAsia="zh-CN"/>
              </w:rPr>
              <w:t>。</w:t>
            </w:r>
          </w:p>
        </w:tc>
        <w:tc>
          <w:tcPr>
            <w:tcW w:w="851" w:type="dxa"/>
            <w:noWrap w:val="0"/>
            <w:vAlign w:val="center"/>
          </w:tcPr>
          <w:p>
            <w:pPr>
              <w:widowControl/>
              <w:jc w:val="center"/>
              <w:rPr>
                <w:rFonts w:ascii="宋体" w:hAnsi="宋体"/>
                <w:sz w:val="24"/>
                <w:shd w:val="clear" w:color="auto" w:fill="FFFFFF"/>
              </w:rPr>
            </w:pPr>
            <w:r>
              <w:rPr>
                <w:rFonts w:ascii="宋体" w:hAnsi="宋体"/>
                <w:sz w:val="24"/>
                <w:shd w:val="clear" w:color="auto" w:fill="FFFFFF"/>
              </w:rPr>
              <w:t>0</w:t>
            </w:r>
            <w:r>
              <w:rPr>
                <w:rFonts w:hint="eastAsia" w:ascii="宋体" w:hAnsi="宋体"/>
                <w:sz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24" w:type="dxa"/>
            <w:vMerge w:val="continue"/>
            <w:noWrap w:val="0"/>
            <w:vAlign w:val="center"/>
          </w:tcPr>
          <w:p>
            <w:pPr>
              <w:widowControl/>
              <w:jc w:val="center"/>
              <w:rPr>
                <w:rFonts w:hint="eastAsia" w:ascii="宋体" w:hAnsi="宋体" w:cs="宋体"/>
                <w:color w:val="000000"/>
                <w:kern w:val="0"/>
                <w:szCs w:val="21"/>
              </w:rPr>
            </w:pPr>
          </w:p>
        </w:tc>
        <w:tc>
          <w:tcPr>
            <w:tcW w:w="6946" w:type="dxa"/>
            <w:noWrap w:val="0"/>
            <w:vAlign w:val="center"/>
          </w:tcPr>
          <w:p>
            <w:pPr>
              <w:widowControl/>
              <w:rPr>
                <w:rFonts w:hint="eastAsia" w:ascii="宋体" w:hAnsi="宋体" w:eastAsia="宋体"/>
                <w:color w:val="000000"/>
                <w:sz w:val="24"/>
                <w:shd w:val="clear" w:color="auto" w:fill="FFFFFF"/>
                <w:lang w:eastAsia="zh-CN"/>
              </w:rPr>
            </w:pPr>
            <w:r>
              <w:rPr>
                <w:rFonts w:hint="eastAsia" w:ascii="宋体" w:hAnsi="宋体"/>
                <w:color w:val="000000"/>
                <w:sz w:val="24"/>
                <w:shd w:val="clear" w:color="auto" w:fill="FFFFFF"/>
              </w:rPr>
              <w:t>获得CQC中国质量环保产品认证证书（椅类、柜类、沙发类、条桌类）,括号内获得每个</w:t>
            </w:r>
            <w:r>
              <w:rPr>
                <w:rFonts w:hint="eastAsia" w:ascii="宋体" w:hAnsi="宋体"/>
                <w:color w:val="000000"/>
                <w:sz w:val="24"/>
                <w:shd w:val="clear" w:color="auto" w:fill="FFFFFF"/>
                <w:lang w:eastAsia="zh-CN"/>
              </w:rPr>
              <w:t>类别</w:t>
            </w:r>
            <w:r>
              <w:rPr>
                <w:rFonts w:hint="eastAsia" w:ascii="宋体" w:hAnsi="宋体"/>
                <w:color w:val="000000"/>
                <w:sz w:val="24"/>
                <w:shd w:val="clear" w:color="auto" w:fill="FFFFFF"/>
              </w:rPr>
              <w:t>得0.5分，最高得2分（提供相关证书及证书官网查询截图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r>
              <w:rPr>
                <w:rFonts w:hint="eastAsia" w:ascii="宋体" w:hAnsi="宋体"/>
                <w:color w:val="000000"/>
                <w:sz w:val="24"/>
                <w:shd w:val="clear" w:color="auto" w:fill="FFFFFF"/>
                <w:lang w:eastAsia="zh-CN"/>
              </w:rPr>
              <w:t>。</w:t>
            </w:r>
          </w:p>
        </w:tc>
        <w:tc>
          <w:tcPr>
            <w:tcW w:w="851" w:type="dxa"/>
            <w:noWrap w:val="0"/>
            <w:vAlign w:val="center"/>
          </w:tcPr>
          <w:p>
            <w:pPr>
              <w:jc w:val="center"/>
              <w:rPr>
                <w:rFonts w:ascii="宋体" w:hAnsi="宋体"/>
                <w:sz w:val="24"/>
                <w:shd w:val="clear" w:color="auto" w:fill="FFFFFF"/>
              </w:rPr>
            </w:pPr>
            <w:r>
              <w:rPr>
                <w:rFonts w:hint="eastAsia" w:ascii="宋体" w:hAnsi="宋体"/>
                <w:sz w:val="24"/>
                <w:shd w:val="clear" w:color="auto" w:fill="FFFFFF"/>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24" w:type="dxa"/>
            <w:vMerge w:val="continue"/>
            <w:noWrap w:val="0"/>
            <w:vAlign w:val="center"/>
          </w:tcPr>
          <w:p>
            <w:pPr>
              <w:widowControl/>
              <w:jc w:val="center"/>
              <w:rPr>
                <w:rFonts w:hint="eastAsia" w:ascii="宋体" w:hAnsi="宋体" w:cs="宋体"/>
                <w:color w:val="000000"/>
                <w:kern w:val="0"/>
                <w:szCs w:val="21"/>
              </w:rPr>
            </w:pPr>
          </w:p>
        </w:tc>
        <w:tc>
          <w:tcPr>
            <w:tcW w:w="6946" w:type="dxa"/>
            <w:noWrap w:val="0"/>
            <w:vAlign w:val="center"/>
          </w:tcPr>
          <w:p>
            <w:pPr>
              <w:rPr>
                <w:rFonts w:hint="eastAsia" w:ascii="宋体" w:hAnsi="宋体"/>
                <w:color w:val="000000"/>
                <w:sz w:val="24"/>
                <w:shd w:val="clear" w:color="auto" w:fill="FFFFFF"/>
              </w:rPr>
            </w:pPr>
            <w:r>
              <w:rPr>
                <w:rFonts w:hint="eastAsia" w:ascii="宋体" w:hAnsi="宋体"/>
                <w:color w:val="000000"/>
                <w:sz w:val="24"/>
                <w:shd w:val="clear" w:color="auto" w:fill="FFFFFF"/>
              </w:rPr>
              <w:t>拥有家具产品环保卫士认证证书（椅类、柜类、沙发类、桌类）括号内获得每个</w:t>
            </w:r>
            <w:r>
              <w:rPr>
                <w:rFonts w:hint="eastAsia" w:ascii="宋体" w:hAnsi="宋体"/>
                <w:color w:val="000000"/>
                <w:sz w:val="24"/>
                <w:shd w:val="clear" w:color="auto" w:fill="FFFFFF"/>
                <w:lang w:eastAsia="zh-CN"/>
              </w:rPr>
              <w:t>类别</w:t>
            </w:r>
            <w:r>
              <w:rPr>
                <w:rFonts w:hint="eastAsia" w:ascii="宋体" w:hAnsi="宋体"/>
                <w:color w:val="000000"/>
                <w:sz w:val="24"/>
                <w:shd w:val="clear" w:color="auto" w:fill="FFFFFF"/>
              </w:rPr>
              <w:t>得0.5分，最高得2分（提供相关证书及证书官网查询截图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p>
        </w:tc>
        <w:tc>
          <w:tcPr>
            <w:tcW w:w="851" w:type="dxa"/>
            <w:noWrap w:val="0"/>
            <w:vAlign w:val="center"/>
          </w:tcPr>
          <w:p>
            <w:pPr>
              <w:jc w:val="center"/>
              <w:rPr>
                <w:rFonts w:ascii="宋体" w:hAnsi="宋体"/>
                <w:sz w:val="24"/>
                <w:shd w:val="clear" w:color="auto" w:fill="FFFFFF"/>
              </w:rPr>
            </w:pPr>
            <w:r>
              <w:rPr>
                <w:rFonts w:hint="eastAsia" w:ascii="宋体" w:hAnsi="宋体"/>
                <w:sz w:val="24"/>
                <w:shd w:val="clear" w:color="auto" w:fill="FFFFFF"/>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124" w:type="dxa"/>
            <w:vMerge w:val="continue"/>
            <w:noWrap w:val="0"/>
            <w:vAlign w:val="center"/>
          </w:tcPr>
          <w:p>
            <w:pPr>
              <w:widowControl/>
              <w:jc w:val="center"/>
              <w:rPr>
                <w:rFonts w:hint="eastAsia" w:ascii="宋体" w:hAnsi="宋体" w:cs="宋体"/>
                <w:color w:val="000000"/>
                <w:kern w:val="0"/>
                <w:szCs w:val="21"/>
              </w:rPr>
            </w:pPr>
          </w:p>
        </w:tc>
        <w:tc>
          <w:tcPr>
            <w:tcW w:w="6946" w:type="dxa"/>
            <w:noWrap w:val="0"/>
            <w:vAlign w:val="center"/>
          </w:tcPr>
          <w:p>
            <w:pPr>
              <w:rPr>
                <w:rFonts w:hint="eastAsia" w:ascii="宋体" w:hAnsi="宋体"/>
                <w:color w:val="000000"/>
                <w:sz w:val="24"/>
                <w:shd w:val="clear" w:color="auto" w:fill="FFFFFF"/>
              </w:rPr>
            </w:pPr>
            <w:r>
              <w:rPr>
                <w:rFonts w:hint="eastAsia" w:ascii="宋体" w:hAnsi="宋体"/>
                <w:color w:val="000000"/>
                <w:sz w:val="24"/>
                <w:shd w:val="clear" w:color="auto" w:fill="FFFFFF"/>
              </w:rPr>
              <w:t>主要产品的生产厂家具有有效期内的CQTA品质验证证书：（办公桌、办公椅、会议椅、会议桌、条桌、餐桌、参椅、沙发、茶几、文件柜），括号内获得每个</w:t>
            </w:r>
            <w:r>
              <w:rPr>
                <w:rFonts w:hint="eastAsia" w:ascii="宋体" w:hAnsi="宋体"/>
                <w:color w:val="000000"/>
                <w:sz w:val="24"/>
                <w:shd w:val="clear" w:color="auto" w:fill="FFFFFF"/>
                <w:lang w:eastAsia="zh-CN"/>
              </w:rPr>
              <w:t>类别</w:t>
            </w:r>
            <w:r>
              <w:rPr>
                <w:rFonts w:hint="eastAsia" w:ascii="宋体" w:hAnsi="宋体"/>
                <w:color w:val="000000"/>
                <w:sz w:val="24"/>
                <w:shd w:val="clear" w:color="auto" w:fill="FFFFFF"/>
              </w:rPr>
              <w:t>得0.5分，最高得3分（提供相关证书及证书官网查询截图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p>
        </w:tc>
        <w:tc>
          <w:tcPr>
            <w:tcW w:w="851" w:type="dxa"/>
            <w:noWrap w:val="0"/>
            <w:vAlign w:val="center"/>
          </w:tcPr>
          <w:p>
            <w:pPr>
              <w:jc w:val="center"/>
              <w:rPr>
                <w:rFonts w:hint="eastAsia" w:ascii="宋体" w:hAnsi="宋体"/>
                <w:sz w:val="24"/>
                <w:shd w:val="clear" w:color="auto" w:fill="FFFFFF"/>
              </w:rPr>
            </w:pPr>
            <w:r>
              <w:rPr>
                <w:rFonts w:hint="eastAsia" w:ascii="宋体" w:hAnsi="宋体"/>
                <w:sz w:val="24"/>
                <w:shd w:val="clear" w:color="auto" w:fill="FFFFFF"/>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24" w:type="dxa"/>
            <w:vMerge w:val="continue"/>
            <w:noWrap w:val="0"/>
            <w:vAlign w:val="center"/>
          </w:tcPr>
          <w:p>
            <w:pPr>
              <w:widowControl/>
              <w:jc w:val="left"/>
              <w:rPr>
                <w:rFonts w:ascii="宋体" w:hAnsi="宋体" w:cs="宋体"/>
                <w:color w:val="000000"/>
                <w:kern w:val="0"/>
                <w:szCs w:val="21"/>
              </w:rPr>
            </w:pPr>
          </w:p>
        </w:tc>
        <w:tc>
          <w:tcPr>
            <w:tcW w:w="6946" w:type="dxa"/>
            <w:noWrap w:val="0"/>
            <w:vAlign w:val="center"/>
          </w:tcPr>
          <w:p>
            <w:pPr>
              <w:widowControl/>
              <w:rPr>
                <w:rFonts w:hint="eastAsia" w:ascii="仿宋" w:hAnsi="仿宋" w:eastAsia="宋体" w:cs="仿宋_GB2312"/>
                <w:b/>
                <w:color w:val="000000"/>
                <w:sz w:val="24"/>
                <w:lang w:eastAsia="zh-CN"/>
              </w:rPr>
            </w:pPr>
            <w:r>
              <w:rPr>
                <w:rFonts w:hint="eastAsia" w:ascii="宋体" w:hAnsi="宋体"/>
                <w:color w:val="000000"/>
                <w:sz w:val="24"/>
                <w:shd w:val="clear" w:color="auto" w:fill="FFFFFF"/>
              </w:rPr>
              <w:t>拥有绿色供应链评价证书的，五星级的得2分，三星及以上的得1分，没有不得分（提供相关证书及证书官网查询截图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r>
              <w:rPr>
                <w:rFonts w:hint="eastAsia" w:ascii="宋体" w:hAnsi="宋体"/>
                <w:color w:val="000000"/>
                <w:sz w:val="24"/>
                <w:shd w:val="clear" w:color="auto" w:fill="FFFFFF"/>
                <w:lang w:eastAsia="zh-CN"/>
              </w:rPr>
              <w:t>。</w:t>
            </w:r>
          </w:p>
        </w:tc>
        <w:tc>
          <w:tcPr>
            <w:tcW w:w="851" w:type="dxa"/>
            <w:noWrap w:val="0"/>
            <w:vAlign w:val="center"/>
          </w:tcPr>
          <w:p>
            <w:pPr>
              <w:widowControl/>
              <w:jc w:val="center"/>
              <w:rPr>
                <w:rFonts w:ascii="宋体" w:hAnsi="宋体"/>
                <w:sz w:val="24"/>
                <w:shd w:val="clear" w:color="auto" w:fill="FFFFFF"/>
              </w:rPr>
            </w:pPr>
            <w:r>
              <w:rPr>
                <w:rFonts w:hint="eastAsia" w:ascii="宋体" w:hAnsi="宋体"/>
                <w:sz w:val="24"/>
                <w:shd w:val="clear" w:color="auto" w:fill="FFFFFF"/>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noWrap w:val="0"/>
            <w:vAlign w:val="center"/>
          </w:tcPr>
          <w:p>
            <w:pPr>
              <w:widowControl/>
              <w:jc w:val="left"/>
              <w:rPr>
                <w:rFonts w:ascii="宋体" w:hAnsi="宋体" w:cs="宋体"/>
                <w:color w:val="000000"/>
                <w:kern w:val="0"/>
                <w:szCs w:val="21"/>
              </w:rPr>
            </w:pPr>
          </w:p>
        </w:tc>
        <w:tc>
          <w:tcPr>
            <w:tcW w:w="6946" w:type="dxa"/>
            <w:noWrap w:val="0"/>
            <w:vAlign w:val="center"/>
          </w:tcPr>
          <w:p>
            <w:pPr>
              <w:widowControl/>
              <w:rPr>
                <w:rFonts w:ascii="宋体" w:hAnsi="宋体"/>
                <w:color w:val="000000"/>
                <w:sz w:val="24"/>
                <w:shd w:val="clear" w:color="auto" w:fill="FFFFFF"/>
              </w:rPr>
            </w:pPr>
            <w:r>
              <w:rPr>
                <w:rFonts w:hint="eastAsia" w:ascii="宋体" w:hAnsi="宋体"/>
                <w:color w:val="000000"/>
                <w:sz w:val="24"/>
                <w:shd w:val="clear" w:color="auto" w:fill="FFFFFF"/>
              </w:rPr>
              <w:t>获得全国售后服务认证证书五星级得2分，三星及以上的得1分，没有不得分（提供相关证书及证书官网查询截图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r>
              <w:rPr>
                <w:rFonts w:hint="eastAsia" w:ascii="宋体" w:hAnsi="宋体"/>
                <w:color w:val="000000"/>
                <w:sz w:val="24"/>
                <w:shd w:val="clear" w:color="auto" w:fill="FFFFFF"/>
                <w:lang w:eastAsia="zh-CN"/>
              </w:rPr>
              <w:t>。</w:t>
            </w:r>
          </w:p>
          <w:p>
            <w:pPr>
              <w:widowControl/>
              <w:rPr>
                <w:rFonts w:hint="eastAsia" w:ascii="宋体" w:hAnsi="宋体" w:eastAsia="宋体"/>
                <w:color w:val="000000"/>
                <w:sz w:val="24"/>
                <w:shd w:val="clear" w:color="auto" w:fill="FFFFFF"/>
                <w:lang w:eastAsia="zh-CN"/>
              </w:rPr>
            </w:pPr>
            <w:r>
              <w:rPr>
                <w:rFonts w:hint="eastAsia" w:ascii="宋体" w:hAnsi="宋体"/>
                <w:color w:val="000000"/>
                <w:sz w:val="24"/>
                <w:shd w:val="clear" w:color="auto" w:fill="FFFFFF"/>
              </w:rPr>
              <w:t>证书中售后服务高级管理师人员需提供人员证书，至少5人以上在职（</w:t>
            </w:r>
            <w:r>
              <w:rPr>
                <w:rFonts w:ascii="宋体" w:hAnsi="宋体"/>
                <w:color w:val="000000"/>
                <w:sz w:val="24"/>
                <w:shd w:val="clear" w:color="auto" w:fill="FFFFFF"/>
              </w:rPr>
              <w:t>提供</w:t>
            </w:r>
            <w:r>
              <w:rPr>
                <w:rFonts w:hint="eastAsia" w:ascii="宋体" w:hAnsi="宋体"/>
                <w:color w:val="000000"/>
                <w:sz w:val="24"/>
                <w:shd w:val="clear" w:color="auto" w:fill="FFFFFF"/>
              </w:rPr>
              <w:t>证书及前三个月社保证明</w:t>
            </w:r>
            <w:r>
              <w:rPr>
                <w:rFonts w:ascii="宋体" w:hAnsi="宋体"/>
                <w:color w:val="000000"/>
                <w:sz w:val="24"/>
                <w:shd w:val="clear" w:color="auto" w:fill="FFFFFF"/>
              </w:rPr>
              <w:t>，</w:t>
            </w:r>
            <w:r>
              <w:rPr>
                <w:rFonts w:hint="eastAsia" w:ascii="宋体" w:hAnsi="宋体"/>
                <w:color w:val="000000"/>
                <w:sz w:val="24"/>
                <w:shd w:val="clear" w:color="auto" w:fill="FFFFFF"/>
              </w:rPr>
              <w:t>未</w:t>
            </w:r>
            <w:r>
              <w:rPr>
                <w:rFonts w:ascii="宋体" w:hAnsi="宋体"/>
                <w:color w:val="000000"/>
                <w:sz w:val="24"/>
                <w:shd w:val="clear" w:color="auto" w:fill="FFFFFF"/>
              </w:rPr>
              <w:t>提供</w:t>
            </w:r>
            <w:r>
              <w:rPr>
                <w:rFonts w:hint="eastAsia" w:ascii="宋体" w:hAnsi="宋体"/>
                <w:color w:val="000000"/>
                <w:sz w:val="24"/>
                <w:shd w:val="clear" w:color="auto" w:fill="FFFFFF"/>
              </w:rPr>
              <w:t>者</w:t>
            </w:r>
            <w:r>
              <w:rPr>
                <w:rFonts w:ascii="宋体" w:hAnsi="宋体"/>
                <w:color w:val="000000"/>
                <w:sz w:val="24"/>
                <w:shd w:val="clear" w:color="auto" w:fill="FFFFFF"/>
              </w:rPr>
              <w:t>不得分</w:t>
            </w:r>
            <w:r>
              <w:rPr>
                <w:rFonts w:hint="eastAsia" w:ascii="宋体" w:hAnsi="宋体"/>
                <w:color w:val="000000"/>
                <w:sz w:val="24"/>
                <w:shd w:val="clear" w:color="auto" w:fill="FFFFFF"/>
              </w:rPr>
              <w:t>）</w:t>
            </w:r>
            <w:r>
              <w:rPr>
                <w:rFonts w:hint="eastAsia" w:ascii="宋体" w:hAnsi="宋体"/>
                <w:color w:val="000000"/>
                <w:sz w:val="24"/>
                <w:shd w:val="clear" w:color="auto" w:fill="FFFFFF"/>
                <w:lang w:eastAsia="zh-CN"/>
              </w:rPr>
              <w:t>。</w:t>
            </w:r>
          </w:p>
        </w:tc>
        <w:tc>
          <w:tcPr>
            <w:tcW w:w="851" w:type="dxa"/>
            <w:noWrap w:val="0"/>
            <w:vAlign w:val="center"/>
          </w:tcPr>
          <w:p>
            <w:pPr>
              <w:widowControl/>
              <w:jc w:val="center"/>
              <w:rPr>
                <w:rFonts w:ascii="宋体" w:hAnsi="宋体"/>
                <w:sz w:val="24"/>
                <w:shd w:val="clear" w:color="auto" w:fill="FFFFFF"/>
              </w:rPr>
            </w:pPr>
            <w:r>
              <w:rPr>
                <w:rFonts w:hint="eastAsia" w:ascii="宋体" w:hAnsi="宋体"/>
                <w:sz w:val="24"/>
                <w:shd w:val="clear" w:color="auto" w:fill="FFFFFF"/>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24" w:type="dxa"/>
            <w:vMerge w:val="continue"/>
            <w:noWrap w:val="0"/>
            <w:vAlign w:val="center"/>
          </w:tcPr>
          <w:p>
            <w:pPr>
              <w:widowControl/>
              <w:jc w:val="left"/>
              <w:rPr>
                <w:rFonts w:ascii="宋体" w:hAnsi="宋体" w:cs="宋体"/>
                <w:color w:val="000000"/>
                <w:kern w:val="0"/>
                <w:szCs w:val="21"/>
              </w:rPr>
            </w:pPr>
          </w:p>
        </w:tc>
        <w:tc>
          <w:tcPr>
            <w:tcW w:w="6946" w:type="dxa"/>
            <w:noWrap w:val="0"/>
            <w:vAlign w:val="center"/>
          </w:tcPr>
          <w:p>
            <w:pPr>
              <w:widowControl/>
              <w:rPr>
                <w:rFonts w:ascii="宋体" w:hAnsi="宋体"/>
                <w:color w:val="000000"/>
                <w:sz w:val="24"/>
                <w:shd w:val="clear" w:color="auto" w:fill="FFFFFF"/>
              </w:rPr>
            </w:pPr>
            <w:r>
              <w:rPr>
                <w:rFonts w:hint="eastAsia" w:ascii="宋体" w:hAnsi="宋体"/>
                <w:color w:val="000000"/>
                <w:sz w:val="24"/>
                <w:shd w:val="clear" w:color="auto" w:fill="FFFFFF"/>
              </w:rPr>
              <w:t>拥有家具中有害物质限量认证证书，（椅类、柜类、沙发类、桌类）括号内获得每个</w:t>
            </w:r>
            <w:r>
              <w:rPr>
                <w:rFonts w:hint="eastAsia" w:ascii="宋体" w:hAnsi="宋体"/>
                <w:color w:val="000000"/>
                <w:sz w:val="24"/>
                <w:shd w:val="clear" w:color="auto" w:fill="FFFFFF"/>
                <w:lang w:eastAsia="zh-CN"/>
              </w:rPr>
              <w:t>类别</w:t>
            </w:r>
            <w:r>
              <w:rPr>
                <w:rFonts w:hint="eastAsia" w:ascii="宋体" w:hAnsi="宋体"/>
                <w:color w:val="000000"/>
                <w:sz w:val="24"/>
                <w:shd w:val="clear" w:color="auto" w:fill="FFFFFF"/>
              </w:rPr>
              <w:t>得0.5分，最高得2分（提供相关证书及证书官网查询截图</w:t>
            </w:r>
            <w:r>
              <w:rPr>
                <w:rFonts w:hint="eastAsia" w:ascii="宋体" w:hAnsi="宋体"/>
                <w:color w:val="000000"/>
                <w:sz w:val="24"/>
                <w:shd w:val="clear" w:color="auto" w:fill="FFFFFF"/>
                <w:lang w:eastAsia="zh-CN"/>
              </w:rPr>
              <w:t>，</w:t>
            </w:r>
            <w:r>
              <w:rPr>
                <w:rFonts w:hint="eastAsia" w:ascii="宋体" w:hAnsi="宋体"/>
                <w:color w:val="000000"/>
                <w:sz w:val="24"/>
                <w:shd w:val="clear" w:color="auto" w:fill="FFFFFF"/>
              </w:rPr>
              <w:t>未提供者不得分）。</w:t>
            </w:r>
          </w:p>
        </w:tc>
        <w:tc>
          <w:tcPr>
            <w:tcW w:w="851" w:type="dxa"/>
            <w:noWrap w:val="0"/>
            <w:vAlign w:val="center"/>
          </w:tcPr>
          <w:p>
            <w:pPr>
              <w:widowControl/>
              <w:jc w:val="center"/>
              <w:rPr>
                <w:rFonts w:ascii="宋体" w:hAnsi="宋体"/>
                <w:sz w:val="24"/>
                <w:shd w:val="clear" w:color="auto" w:fill="FFFFFF"/>
              </w:rPr>
            </w:pPr>
            <w:r>
              <w:rPr>
                <w:rFonts w:hint="eastAsia" w:ascii="宋体" w:hAnsi="宋体"/>
                <w:sz w:val="24"/>
                <w:shd w:val="clear" w:color="auto" w:fill="FFFFFF"/>
              </w:rPr>
              <w:t>0</w:t>
            </w:r>
            <w:r>
              <w:rPr>
                <w:rFonts w:ascii="宋体" w:hAnsi="宋体"/>
                <w:sz w:val="24"/>
                <w:shd w:val="clear" w:color="auto" w:fill="FFFFFF"/>
              </w:rPr>
              <w:t>-</w:t>
            </w:r>
            <w:r>
              <w:rPr>
                <w:rFonts w:hint="eastAsia" w:ascii="宋体" w:hAnsi="宋体"/>
                <w:sz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24" w:type="dxa"/>
            <w:vMerge w:val="continue"/>
            <w:noWrap w:val="0"/>
            <w:vAlign w:val="center"/>
          </w:tcPr>
          <w:p>
            <w:pPr>
              <w:widowControl/>
              <w:jc w:val="left"/>
              <w:rPr>
                <w:rFonts w:ascii="宋体" w:hAnsi="宋体" w:cs="宋体"/>
                <w:color w:val="000000"/>
                <w:kern w:val="0"/>
                <w:szCs w:val="21"/>
              </w:rPr>
            </w:pPr>
          </w:p>
        </w:tc>
        <w:tc>
          <w:tcPr>
            <w:tcW w:w="6946" w:type="dxa"/>
            <w:noWrap w:val="0"/>
            <w:vAlign w:val="center"/>
          </w:tcPr>
          <w:p>
            <w:pPr>
              <w:widowControl/>
              <w:rPr>
                <w:rFonts w:hint="eastAsia" w:ascii="宋体" w:hAnsi="宋体"/>
                <w:color w:val="000000"/>
                <w:sz w:val="24"/>
                <w:shd w:val="clear" w:color="auto" w:fill="FFFFFF"/>
              </w:rPr>
            </w:pPr>
            <w:r>
              <w:rPr>
                <w:rFonts w:hint="eastAsia" w:ascii="宋体" w:hAnsi="宋体"/>
                <w:color w:val="000000"/>
                <w:sz w:val="24"/>
                <w:shd w:val="clear" w:color="auto" w:fill="FFFFFF"/>
              </w:rPr>
              <w:t>投标人2018年1月1日以来完成的类似项目（以签订合同时间为准）</w:t>
            </w:r>
            <w:r>
              <w:rPr>
                <w:rFonts w:hint="eastAsia" w:ascii="宋体" w:hAnsi="宋体"/>
                <w:color w:val="000000"/>
                <w:sz w:val="24"/>
                <w:shd w:val="clear" w:color="auto" w:fill="FFFFFF"/>
                <w:lang w:eastAsia="zh-CN"/>
              </w:rPr>
              <w:t>，每个合同得</w:t>
            </w:r>
            <w:r>
              <w:rPr>
                <w:rFonts w:hint="eastAsia" w:ascii="宋体" w:hAnsi="宋体"/>
                <w:color w:val="000000"/>
                <w:sz w:val="24"/>
                <w:shd w:val="clear" w:color="auto" w:fill="FFFFFF"/>
                <w:lang w:val="en-US" w:eastAsia="zh-CN"/>
              </w:rPr>
              <w:t>1分，最高得2分</w:t>
            </w:r>
            <w:r>
              <w:rPr>
                <w:rFonts w:hint="eastAsia" w:ascii="宋体" w:hAnsi="宋体"/>
                <w:color w:val="000000"/>
                <w:sz w:val="24"/>
                <w:shd w:val="clear" w:color="auto" w:fill="FFFFFF"/>
              </w:rPr>
              <w:t>（未</w:t>
            </w:r>
            <w:r>
              <w:rPr>
                <w:rFonts w:ascii="宋体" w:hAnsi="宋体"/>
                <w:color w:val="000000"/>
                <w:sz w:val="24"/>
                <w:shd w:val="clear" w:color="auto" w:fill="FFFFFF"/>
              </w:rPr>
              <w:t>提供</w:t>
            </w:r>
            <w:r>
              <w:rPr>
                <w:rFonts w:hint="eastAsia" w:ascii="宋体" w:hAnsi="宋体"/>
                <w:color w:val="000000"/>
                <w:sz w:val="24"/>
                <w:shd w:val="clear" w:color="auto" w:fill="FFFFFF"/>
              </w:rPr>
              <w:t>合同不得分）。</w:t>
            </w:r>
          </w:p>
        </w:tc>
        <w:tc>
          <w:tcPr>
            <w:tcW w:w="851" w:type="dxa"/>
            <w:noWrap w:val="0"/>
            <w:vAlign w:val="center"/>
          </w:tcPr>
          <w:p>
            <w:pPr>
              <w:widowControl/>
              <w:jc w:val="center"/>
              <w:rPr>
                <w:rFonts w:ascii="宋体" w:hAnsi="宋体"/>
                <w:sz w:val="24"/>
                <w:shd w:val="clear" w:color="auto" w:fill="FFFFFF"/>
              </w:rPr>
            </w:pPr>
            <w:r>
              <w:rPr>
                <w:rFonts w:ascii="宋体" w:hAnsi="宋体"/>
                <w:sz w:val="24"/>
                <w:shd w:val="clear" w:color="auto" w:fill="FFFFFF"/>
              </w:rPr>
              <w:t>0</w:t>
            </w:r>
            <w:r>
              <w:rPr>
                <w:rFonts w:hint="eastAsia" w:ascii="宋体" w:hAnsi="宋体"/>
                <w:sz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24" w:type="dxa"/>
            <w:vMerge w:val="continue"/>
            <w:noWrap w:val="0"/>
            <w:vAlign w:val="center"/>
          </w:tcPr>
          <w:p>
            <w:pPr>
              <w:widowControl/>
              <w:jc w:val="left"/>
              <w:rPr>
                <w:rFonts w:ascii="宋体" w:hAnsi="宋体" w:cs="宋体"/>
                <w:color w:val="000000"/>
                <w:kern w:val="0"/>
                <w:szCs w:val="21"/>
              </w:rPr>
            </w:pPr>
          </w:p>
        </w:tc>
        <w:tc>
          <w:tcPr>
            <w:tcW w:w="6946" w:type="dxa"/>
            <w:noWrap w:val="0"/>
            <w:vAlign w:val="center"/>
          </w:tcPr>
          <w:p>
            <w:pPr>
              <w:widowControl/>
              <w:rPr>
                <w:rFonts w:hint="eastAsia" w:ascii="宋体" w:hAnsi="宋体"/>
                <w:sz w:val="24"/>
                <w:shd w:val="clear" w:color="auto" w:fill="FFFFFF"/>
              </w:rPr>
            </w:pPr>
            <w:r>
              <w:rPr>
                <w:rFonts w:hint="eastAsia" w:ascii="宋体" w:hAnsi="宋体"/>
                <w:sz w:val="24"/>
                <w:shd w:val="clear" w:color="auto" w:fill="FFFFFF"/>
              </w:rPr>
              <w:t>投标</w:t>
            </w:r>
            <w:r>
              <w:rPr>
                <w:rFonts w:ascii="宋体" w:hAnsi="宋体"/>
                <w:sz w:val="24"/>
                <w:shd w:val="clear" w:color="auto" w:fill="FFFFFF"/>
              </w:rPr>
              <w:t>文件制作质量（</w:t>
            </w:r>
            <w:r>
              <w:rPr>
                <w:rFonts w:hint="eastAsia" w:ascii="宋体" w:hAnsi="宋体"/>
                <w:sz w:val="24"/>
                <w:shd w:val="clear" w:color="auto" w:fill="FFFFFF"/>
              </w:rPr>
              <w:t>根据</w:t>
            </w:r>
            <w:r>
              <w:rPr>
                <w:rFonts w:ascii="宋体" w:hAnsi="宋体"/>
                <w:sz w:val="24"/>
                <w:shd w:val="clear" w:color="auto" w:fill="FFFFFF"/>
              </w:rPr>
              <w:t>投标</w:t>
            </w:r>
            <w:r>
              <w:rPr>
                <w:rFonts w:hint="eastAsia" w:ascii="宋体" w:hAnsi="宋体"/>
                <w:sz w:val="24"/>
                <w:shd w:val="clear" w:color="auto" w:fill="FFFFFF"/>
              </w:rPr>
              <w:t>文件</w:t>
            </w:r>
            <w:r>
              <w:rPr>
                <w:rFonts w:ascii="宋体" w:hAnsi="宋体"/>
                <w:sz w:val="24"/>
                <w:shd w:val="clear" w:color="auto" w:fill="FFFFFF"/>
              </w:rPr>
              <w:t>编制有序、</w:t>
            </w:r>
            <w:r>
              <w:rPr>
                <w:rFonts w:hint="eastAsia" w:ascii="宋体" w:hAnsi="宋体"/>
                <w:sz w:val="24"/>
                <w:shd w:val="clear" w:color="auto" w:fill="FFFFFF"/>
              </w:rPr>
              <w:t>内容</w:t>
            </w:r>
            <w:r>
              <w:rPr>
                <w:rFonts w:ascii="宋体" w:hAnsi="宋体"/>
                <w:sz w:val="24"/>
                <w:shd w:val="clear" w:color="auto" w:fill="FFFFFF"/>
              </w:rPr>
              <w:t>规范、</w:t>
            </w:r>
            <w:r>
              <w:rPr>
                <w:rFonts w:hint="eastAsia" w:ascii="宋体" w:hAnsi="宋体"/>
                <w:sz w:val="24"/>
                <w:shd w:val="clear" w:color="auto" w:fill="FFFFFF"/>
              </w:rPr>
              <w:t>字句</w:t>
            </w:r>
            <w:r>
              <w:rPr>
                <w:rFonts w:ascii="宋体" w:hAnsi="宋体"/>
                <w:sz w:val="24"/>
                <w:shd w:val="clear" w:color="auto" w:fill="FFFFFF"/>
              </w:rPr>
              <w:t>清晰、表述完整等情况综合评定对比打分）</w:t>
            </w:r>
          </w:p>
        </w:tc>
        <w:tc>
          <w:tcPr>
            <w:tcW w:w="851" w:type="dxa"/>
            <w:noWrap w:val="0"/>
            <w:vAlign w:val="center"/>
          </w:tcPr>
          <w:p>
            <w:pPr>
              <w:widowControl/>
              <w:jc w:val="center"/>
              <w:rPr>
                <w:rFonts w:ascii="宋体" w:hAnsi="宋体"/>
                <w:sz w:val="24"/>
                <w:shd w:val="clear" w:color="auto" w:fill="FFFFFF"/>
              </w:rPr>
            </w:pPr>
            <w:r>
              <w:rPr>
                <w:rFonts w:ascii="宋体" w:hAnsi="宋体"/>
                <w:sz w:val="24"/>
                <w:shd w:val="clear" w:color="auto" w:fill="FFFFFF"/>
              </w:rPr>
              <w:t>0-</w:t>
            </w:r>
            <w:r>
              <w:rPr>
                <w:rFonts w:hint="eastAsia" w:ascii="宋体" w:hAnsi="宋体"/>
                <w:sz w:val="24"/>
                <w:shd w:val="clear" w:color="auto" w:fill="FFFFFF"/>
              </w:rPr>
              <w:t>2</w:t>
            </w:r>
          </w:p>
        </w:tc>
      </w:tr>
    </w:tbl>
    <w:p>
      <w:pPr>
        <w:widowControl/>
        <w:spacing w:line="360" w:lineRule="exact"/>
        <w:ind w:right="-514" w:rightChars="-245"/>
        <w:rPr>
          <w:rFonts w:ascii="宋体" w:hAnsi="宋体"/>
          <w:b/>
          <w:sz w:val="24"/>
        </w:rPr>
      </w:pPr>
    </w:p>
    <w:p>
      <w:pPr>
        <w:widowControl/>
        <w:spacing w:line="360" w:lineRule="exact"/>
        <w:ind w:right="-514" w:rightChars="-245"/>
        <w:rPr>
          <w:rFonts w:ascii="宋体" w:hAnsi="宋体"/>
          <w:b/>
          <w:sz w:val="24"/>
        </w:rPr>
      </w:pPr>
      <w:r>
        <w:rPr>
          <w:rFonts w:ascii="宋体" w:hAnsi="宋体"/>
          <w:b/>
          <w:sz w:val="24"/>
        </w:rPr>
        <w:br w:type="page"/>
      </w:r>
    </w:p>
    <w:tbl>
      <w:tblPr>
        <w:tblStyle w:val="12"/>
        <w:tblW w:w="8931" w:type="dxa"/>
        <w:tblInd w:w="108" w:type="dxa"/>
        <w:tblLayout w:type="fixed"/>
        <w:tblCellMar>
          <w:top w:w="0" w:type="dxa"/>
          <w:left w:w="108" w:type="dxa"/>
          <w:bottom w:w="0" w:type="dxa"/>
          <w:right w:w="108" w:type="dxa"/>
        </w:tblCellMar>
      </w:tblPr>
      <w:tblGrid>
        <w:gridCol w:w="10"/>
        <w:gridCol w:w="1124"/>
        <w:gridCol w:w="6946"/>
        <w:gridCol w:w="851"/>
      </w:tblGrid>
      <w:tr>
        <w:trPr>
          <w:gridBefore w:val="1"/>
          <w:wBefore w:w="10" w:type="dxa"/>
          <w:trHeight w:val="615" w:hRule="atLeast"/>
        </w:trPr>
        <w:tc>
          <w:tcPr>
            <w:tcW w:w="1124"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6946"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评分内容和标准</w:t>
            </w:r>
          </w:p>
        </w:tc>
        <w:tc>
          <w:tcPr>
            <w:tcW w:w="851"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分值区间</w:t>
            </w:r>
          </w:p>
        </w:tc>
      </w:tr>
      <w:tr>
        <w:tblPrEx>
          <w:tblCellMar>
            <w:top w:w="0" w:type="dxa"/>
            <w:left w:w="108" w:type="dxa"/>
            <w:bottom w:w="0" w:type="dxa"/>
            <w:right w:w="108" w:type="dxa"/>
          </w:tblCellMar>
        </w:tblPrEx>
        <w:trPr>
          <w:gridBefore w:val="1"/>
          <w:wBefore w:w="10" w:type="dxa"/>
          <w:trHeight w:val="3098" w:hRule="atLeast"/>
        </w:trPr>
        <w:tc>
          <w:tcPr>
            <w:tcW w:w="1124" w:type="dxa"/>
            <w:vMerge w:val="restart"/>
            <w:tcBorders>
              <w:top w:val="nil"/>
              <w:left w:val="single" w:color="auto" w:sz="4" w:space="0"/>
              <w:bottom w:val="single" w:color="000000" w:sz="8"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技术分产品部分（30分）</w:t>
            </w:r>
          </w:p>
        </w:tc>
        <w:tc>
          <w:tcPr>
            <w:tcW w:w="6946"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提供有效期内具有C</w:t>
            </w:r>
            <w:r>
              <w:rPr>
                <w:rFonts w:ascii="宋体" w:hAnsi="宋体" w:cs="宋体"/>
                <w:color w:val="000000"/>
                <w:kern w:val="0"/>
                <w:sz w:val="24"/>
              </w:rPr>
              <w:t>MA</w:t>
            </w:r>
            <w:r>
              <w:rPr>
                <w:rFonts w:hint="eastAsia" w:ascii="宋体" w:hAnsi="宋体" w:cs="宋体"/>
                <w:color w:val="000000"/>
                <w:kern w:val="0"/>
                <w:sz w:val="24"/>
              </w:rPr>
              <w:t>资质的检测机构出具的重要原材料检测报告，中标后原件备查：</w:t>
            </w:r>
          </w:p>
          <w:p>
            <w:pPr>
              <w:widowControl/>
              <w:jc w:val="left"/>
              <w:rPr>
                <w:rFonts w:ascii="宋体" w:hAnsi="宋体" w:cs="宋体"/>
                <w:color w:val="000000"/>
                <w:kern w:val="0"/>
                <w:sz w:val="24"/>
              </w:rPr>
            </w:pPr>
            <w:r>
              <w:rPr>
                <w:rFonts w:hint="eastAsia" w:ascii="宋体" w:hAnsi="宋体" w:cs="宋体"/>
                <w:color w:val="000000"/>
                <w:kern w:val="0"/>
                <w:sz w:val="24"/>
              </w:rPr>
              <w:t>提供项目所用主要原材料，每拥有一项得2分：</w:t>
            </w:r>
          </w:p>
          <w:p>
            <w:pPr>
              <w:widowControl/>
              <w:rPr>
                <w:rFonts w:hint="eastAsia" w:ascii="宋体" w:hAnsi="宋体"/>
                <w:color w:val="000000"/>
                <w:sz w:val="24"/>
                <w:shd w:val="clear" w:color="auto" w:fill="FFFFFF"/>
              </w:rPr>
            </w:pPr>
            <w:r>
              <w:rPr>
                <w:rFonts w:hint="eastAsia" w:ascii="宋体" w:hAnsi="宋体"/>
                <w:color w:val="000000"/>
                <w:sz w:val="24"/>
                <w:shd w:val="clear" w:color="auto" w:fill="FFFFFF"/>
              </w:rPr>
              <w:t>①饰面刨花板：表面耐干热≥4级，甲醛释放量：≤0.05mg/m³，</w:t>
            </w:r>
            <w:r>
              <w:rPr>
                <w:rFonts w:ascii="宋体" w:hAnsi="宋体"/>
                <w:color w:val="000000"/>
                <w:sz w:val="24"/>
                <w:shd w:val="clear" w:color="auto" w:fill="FFFFFF"/>
              </w:rPr>
              <w:t>TVOC</w:t>
            </w:r>
            <w:r>
              <w:rPr>
                <w:rFonts w:hint="eastAsia" w:ascii="宋体" w:hAnsi="宋体"/>
                <w:color w:val="000000"/>
                <w:sz w:val="24"/>
                <w:shd w:val="clear" w:color="auto" w:fill="FFFFFF"/>
              </w:rPr>
              <w:t>≤0.50mg/㎡</w:t>
            </w:r>
          </w:p>
          <w:p>
            <w:pPr>
              <w:widowControl/>
              <w:rPr>
                <w:rFonts w:ascii="宋体" w:hAnsi="宋体"/>
                <w:color w:val="000000"/>
                <w:sz w:val="24"/>
                <w:shd w:val="clear" w:color="auto" w:fill="FFFFFF"/>
              </w:rPr>
            </w:pPr>
            <w:r>
              <w:rPr>
                <w:rFonts w:hint="eastAsia" w:ascii="宋体" w:hAnsi="宋体"/>
                <w:color w:val="000000"/>
                <w:sz w:val="24"/>
                <w:shd w:val="clear" w:color="auto" w:fill="FFFFFF"/>
              </w:rPr>
              <w:t>②</w:t>
            </w:r>
            <w:r>
              <w:rPr>
                <w:rFonts w:ascii="宋体" w:hAnsi="宋体"/>
                <w:color w:val="000000"/>
                <w:sz w:val="24"/>
                <w:highlight w:val="none"/>
                <w:shd w:val="clear" w:color="auto" w:fill="FFFFFF"/>
              </w:rPr>
              <w:t>牛皮</w:t>
            </w:r>
            <w:r>
              <w:rPr>
                <w:rFonts w:hint="eastAsia" w:ascii="宋体" w:hAnsi="宋体"/>
                <w:color w:val="000000"/>
                <w:sz w:val="24"/>
                <w:highlight w:val="none"/>
                <w:shd w:val="clear" w:color="auto" w:fill="FFFFFF"/>
              </w:rPr>
              <w:t>（真皮）：禁</w:t>
            </w:r>
            <w:r>
              <w:rPr>
                <w:rFonts w:hint="eastAsia" w:ascii="宋体" w:hAnsi="宋体"/>
                <w:color w:val="000000"/>
                <w:sz w:val="24"/>
                <w:shd w:val="clear" w:color="auto" w:fill="FFFFFF"/>
              </w:rPr>
              <w:t>用偶氮不得检出，游离甲醛不得检出。</w:t>
            </w:r>
          </w:p>
          <w:p>
            <w:pPr>
              <w:widowControl/>
              <w:rPr>
                <w:rFonts w:hint="eastAsia" w:ascii="宋体" w:hAnsi="宋体"/>
                <w:color w:val="000000"/>
                <w:sz w:val="24"/>
                <w:shd w:val="clear" w:color="auto" w:fill="FFFFFF"/>
              </w:rPr>
            </w:pPr>
            <w:r>
              <w:rPr>
                <w:rFonts w:hint="eastAsia" w:ascii="宋体" w:hAnsi="宋体"/>
                <w:color w:val="000000"/>
                <w:sz w:val="24"/>
                <w:shd w:val="clear" w:color="auto" w:fill="FFFFFF"/>
              </w:rPr>
              <w:t>③超纤皮：禁用偶氮不得检出</w:t>
            </w:r>
            <w:bookmarkStart w:id="541" w:name="_GoBack"/>
            <w:bookmarkEnd w:id="541"/>
            <w:r>
              <w:rPr>
                <w:rFonts w:hint="eastAsia" w:ascii="宋体" w:hAnsi="宋体"/>
                <w:color w:val="000000"/>
                <w:sz w:val="24"/>
                <w:shd w:val="clear" w:color="auto" w:fill="FFFFFF"/>
              </w:rPr>
              <w:t>，游离甲醛不得检出。</w:t>
            </w:r>
          </w:p>
          <w:p>
            <w:pPr>
              <w:widowControl/>
              <w:rPr>
                <w:rFonts w:ascii="宋体" w:hAnsi="宋体"/>
                <w:color w:val="000000"/>
                <w:sz w:val="24"/>
                <w:shd w:val="clear" w:color="auto" w:fill="FFFFFF"/>
              </w:rPr>
            </w:pPr>
            <w:r>
              <w:rPr>
                <w:rFonts w:hint="eastAsia" w:ascii="宋体" w:hAnsi="宋体"/>
                <w:color w:val="000000"/>
                <w:sz w:val="24"/>
                <w:shd w:val="clear" w:color="auto" w:fill="FFFFFF"/>
              </w:rPr>
              <w:t>④麻绒：甲醛不得检出，PH值5.0~8.0之间，异味检测项无异味。</w:t>
            </w:r>
          </w:p>
          <w:p>
            <w:pPr>
              <w:widowControl/>
              <w:rPr>
                <w:rFonts w:hint="eastAsia" w:ascii="宋体" w:hAnsi="宋体"/>
                <w:sz w:val="24"/>
                <w:shd w:val="clear" w:color="auto" w:fill="FFFFFF"/>
              </w:rPr>
            </w:pPr>
            <w:r>
              <w:rPr>
                <w:rFonts w:hint="eastAsia" w:ascii="宋体" w:hAnsi="宋体"/>
                <w:color w:val="000000"/>
                <w:sz w:val="24"/>
                <w:shd w:val="clear" w:color="auto" w:fill="FFFFFF"/>
              </w:rPr>
              <w:t>⑤水性漆(底漆\面漆):可溶性重金属含量不得检出。</w:t>
            </w:r>
          </w:p>
        </w:tc>
        <w:tc>
          <w:tcPr>
            <w:tcW w:w="851" w:type="dxa"/>
            <w:tcBorders>
              <w:top w:val="nil"/>
              <w:left w:val="nil"/>
              <w:bottom w:val="single" w:color="auto" w:sz="4" w:space="0"/>
              <w:right w:val="single" w:color="auto" w:sz="8" w:space="0"/>
            </w:tcBorders>
            <w:noWrap w:val="0"/>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0-10</w:t>
            </w:r>
          </w:p>
        </w:tc>
      </w:tr>
      <w:tr>
        <w:tblPrEx>
          <w:tblCellMar>
            <w:top w:w="0" w:type="dxa"/>
            <w:left w:w="108" w:type="dxa"/>
            <w:bottom w:w="0" w:type="dxa"/>
            <w:right w:w="108" w:type="dxa"/>
          </w:tblCellMar>
        </w:tblPrEx>
        <w:trPr>
          <w:gridBefore w:val="1"/>
          <w:wBefore w:w="10" w:type="dxa"/>
          <w:trHeight w:val="3835" w:hRule="atLeast"/>
        </w:trPr>
        <w:tc>
          <w:tcPr>
            <w:tcW w:w="1124"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宋体" w:hAnsi="宋体" w:cs="宋体"/>
                <w:color w:val="000000"/>
                <w:kern w:val="0"/>
                <w:sz w:val="24"/>
              </w:rPr>
            </w:pPr>
          </w:p>
        </w:tc>
        <w:tc>
          <w:tcPr>
            <w:tcW w:w="6946" w:type="dxa"/>
            <w:tcBorders>
              <w:top w:val="nil"/>
              <w:left w:val="single" w:color="auto" w:sz="8" w:space="0"/>
              <w:bottom w:val="single" w:color="auto" w:sz="4" w:space="0"/>
              <w:right w:val="single" w:color="auto" w:sz="4" w:space="0"/>
            </w:tcBorders>
            <w:noWrap w:val="0"/>
            <w:vAlign w:val="center"/>
          </w:tcPr>
          <w:p>
            <w:pPr>
              <w:widowControl/>
              <w:rPr>
                <w:rFonts w:hint="eastAsia" w:ascii="宋体" w:hAnsi="宋体"/>
                <w:sz w:val="24"/>
                <w:shd w:val="clear" w:color="auto" w:fill="FFFFFF"/>
              </w:rPr>
            </w:pPr>
            <w:r>
              <w:rPr>
                <w:rFonts w:hint="eastAsia"/>
              </w:rPr>
              <w:t>提</w:t>
            </w:r>
            <w:r>
              <w:rPr>
                <w:rFonts w:hint="eastAsia" w:ascii="宋体" w:hAnsi="宋体"/>
                <w:sz w:val="24"/>
                <w:shd w:val="clear" w:color="auto" w:fill="FFFFFF"/>
              </w:rPr>
              <w:t>供有效期内具有CMA资质的检测机构出具的一般原材料合格检测报告</w:t>
            </w:r>
            <w:r>
              <w:rPr>
                <w:rFonts w:hint="eastAsia" w:ascii="宋体" w:hAnsi="宋体"/>
                <w:color w:val="000000"/>
                <w:sz w:val="24"/>
                <w:shd w:val="clear" w:color="auto" w:fill="FFFFFF"/>
              </w:rPr>
              <w:t>，中标后原件备查：</w:t>
            </w:r>
          </w:p>
          <w:p>
            <w:pPr>
              <w:widowControl/>
              <w:rPr>
                <w:rFonts w:ascii="宋体" w:hAnsi="宋体"/>
                <w:sz w:val="24"/>
                <w:shd w:val="clear" w:color="auto" w:fill="FFFFFF"/>
              </w:rPr>
            </w:pPr>
            <w:r>
              <w:rPr>
                <w:rFonts w:hint="eastAsia" w:ascii="宋体" w:hAnsi="宋体"/>
                <w:sz w:val="24"/>
                <w:shd w:val="clear" w:color="auto" w:fill="FFFFFF"/>
              </w:rPr>
              <w:t>所提供的检测报告，每拥有一项得0.5分</w:t>
            </w:r>
          </w:p>
          <w:p>
            <w:pPr>
              <w:widowControl/>
              <w:rPr>
                <w:rFonts w:ascii="宋体" w:hAnsi="宋体"/>
                <w:sz w:val="24"/>
                <w:shd w:val="clear" w:color="auto" w:fill="FFFFFF"/>
              </w:rPr>
            </w:pPr>
            <w:r>
              <w:rPr>
                <w:rFonts w:hint="eastAsia" w:ascii="宋体" w:hAnsi="宋体"/>
                <w:sz w:val="24"/>
                <w:shd w:val="clear" w:color="auto" w:fill="FFFFFF"/>
              </w:rPr>
              <w:t>1、胶黏剂：游离甲醛不得检出。</w:t>
            </w:r>
          </w:p>
          <w:p>
            <w:pPr>
              <w:widowControl/>
              <w:rPr>
                <w:rFonts w:hint="eastAsia" w:ascii="宋体" w:hAnsi="宋体"/>
                <w:sz w:val="24"/>
                <w:shd w:val="clear" w:color="auto" w:fill="FFFFFF"/>
              </w:rPr>
            </w:pPr>
            <w:r>
              <w:rPr>
                <w:rFonts w:hint="eastAsia" w:ascii="宋体" w:hAnsi="宋体"/>
                <w:sz w:val="24"/>
                <w:shd w:val="clear" w:color="auto" w:fill="FFFFFF"/>
              </w:rPr>
              <w:t>2、木皮：厚度≥0.</w:t>
            </w:r>
            <w:r>
              <w:rPr>
                <w:rFonts w:hint="eastAsia" w:ascii="宋体" w:hAnsi="宋体"/>
                <w:sz w:val="24"/>
                <w:shd w:val="clear" w:color="auto" w:fill="FFFFFF"/>
                <w:lang w:val="en-US" w:eastAsia="zh-CN"/>
              </w:rPr>
              <w:t>6</w:t>
            </w:r>
            <w:r>
              <w:rPr>
                <w:rFonts w:hint="eastAsia" w:ascii="宋体" w:hAnsi="宋体"/>
                <w:sz w:val="24"/>
                <w:shd w:val="clear" w:color="auto" w:fill="FFFFFF"/>
              </w:rPr>
              <w:t>mm，甲醛释放量不得检出。</w:t>
            </w:r>
          </w:p>
          <w:p>
            <w:pPr>
              <w:widowControl/>
              <w:rPr>
                <w:rFonts w:ascii="宋体" w:hAnsi="宋体"/>
                <w:sz w:val="24"/>
                <w:shd w:val="clear" w:color="auto" w:fill="FFFFFF"/>
              </w:rPr>
            </w:pPr>
            <w:r>
              <w:rPr>
                <w:rFonts w:hint="eastAsia" w:ascii="宋体" w:hAnsi="宋体"/>
                <w:sz w:val="24"/>
                <w:shd w:val="clear" w:color="auto" w:fill="FFFFFF"/>
              </w:rPr>
              <w:t>3、刨花板：甲醛释放含量≤0.05mg/m³或≤0.5mg/L</w:t>
            </w:r>
          </w:p>
          <w:p>
            <w:pPr>
              <w:widowControl/>
              <w:rPr>
                <w:rFonts w:ascii="宋体" w:hAnsi="宋体"/>
                <w:sz w:val="24"/>
                <w:shd w:val="clear" w:color="auto" w:fill="FFFFFF"/>
              </w:rPr>
            </w:pPr>
            <w:r>
              <w:rPr>
                <w:rFonts w:hint="eastAsia" w:ascii="宋体" w:hAnsi="宋体"/>
                <w:sz w:val="24"/>
                <w:shd w:val="clear" w:color="auto" w:fill="FFFFFF"/>
              </w:rPr>
              <w:t>4、喷胶：游离甲醛不得检出。</w:t>
            </w:r>
          </w:p>
          <w:p>
            <w:pPr>
              <w:widowControl/>
              <w:rPr>
                <w:rFonts w:ascii="宋体" w:hAnsi="宋体"/>
                <w:sz w:val="24"/>
                <w:shd w:val="clear" w:color="auto" w:fill="FFFFFF"/>
              </w:rPr>
            </w:pPr>
            <w:r>
              <w:rPr>
                <w:rFonts w:hint="eastAsia" w:ascii="宋体" w:hAnsi="宋体"/>
                <w:sz w:val="24"/>
                <w:shd w:val="clear" w:color="auto" w:fill="FFFFFF"/>
              </w:rPr>
              <w:t>5、热熔胶：苯类不得检出。</w:t>
            </w:r>
          </w:p>
          <w:p>
            <w:pPr>
              <w:widowControl/>
              <w:rPr>
                <w:rFonts w:ascii="宋体" w:hAnsi="宋体"/>
                <w:sz w:val="24"/>
                <w:shd w:val="clear" w:color="auto" w:fill="FFFFFF"/>
              </w:rPr>
            </w:pPr>
            <w:r>
              <w:rPr>
                <w:rFonts w:hint="eastAsia" w:ascii="宋体" w:hAnsi="宋体"/>
                <w:sz w:val="24"/>
                <w:shd w:val="clear" w:color="auto" w:fill="FFFFFF"/>
              </w:rPr>
              <w:t>6、中密度纤维板：甲醛释放含量≤0.05mg/m³或≤0.5mg/L</w:t>
            </w:r>
          </w:p>
          <w:p>
            <w:pPr>
              <w:widowControl/>
              <w:rPr>
                <w:rFonts w:ascii="宋体" w:hAnsi="宋体"/>
                <w:sz w:val="24"/>
                <w:shd w:val="clear" w:color="auto" w:fill="FFFFFF"/>
              </w:rPr>
            </w:pPr>
            <w:r>
              <w:rPr>
                <w:rFonts w:hint="eastAsia" w:ascii="宋体" w:hAnsi="宋体"/>
                <w:sz w:val="24"/>
                <w:shd w:val="clear" w:color="auto" w:fill="FFFFFF"/>
              </w:rPr>
              <w:t>7、导轨：中性雾试验100h合格，18h耐腐蚀试验合格。</w:t>
            </w:r>
          </w:p>
          <w:p>
            <w:pPr>
              <w:widowControl/>
              <w:rPr>
                <w:rFonts w:hint="eastAsia" w:ascii="宋体" w:hAnsi="宋体"/>
                <w:sz w:val="24"/>
                <w:shd w:val="clear" w:color="auto" w:fill="FFFFFF"/>
              </w:rPr>
            </w:pPr>
            <w:r>
              <w:rPr>
                <w:rFonts w:hint="eastAsia" w:ascii="宋体" w:hAnsi="宋体"/>
                <w:sz w:val="24"/>
                <w:shd w:val="clear" w:color="auto" w:fill="FFFFFF"/>
              </w:rPr>
              <w:t>8、铰链：18h抗盐雾试验合格，18h耐腐蚀试验合格。</w:t>
            </w:r>
          </w:p>
        </w:tc>
        <w:tc>
          <w:tcPr>
            <w:tcW w:w="851"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rPr>
              <w:t>0-</w:t>
            </w:r>
            <w:r>
              <w:rPr>
                <w:rFonts w:hint="eastAsia" w:ascii="宋体" w:hAnsi="宋体" w:cs="宋体"/>
                <w:bCs/>
                <w:color w:val="000000"/>
                <w:kern w:val="0"/>
                <w:sz w:val="24"/>
                <w:lang w:val="en-US" w:eastAsia="zh-CN"/>
              </w:rPr>
              <w:t>4</w:t>
            </w:r>
          </w:p>
        </w:tc>
      </w:tr>
      <w:tr>
        <w:tblPrEx>
          <w:tblCellMar>
            <w:top w:w="0" w:type="dxa"/>
            <w:left w:w="108" w:type="dxa"/>
            <w:bottom w:w="0" w:type="dxa"/>
            <w:right w:w="108" w:type="dxa"/>
          </w:tblCellMar>
        </w:tblPrEx>
        <w:trPr>
          <w:gridBefore w:val="1"/>
          <w:wBefore w:w="10" w:type="dxa"/>
          <w:trHeight w:val="1947" w:hRule="atLeast"/>
        </w:trPr>
        <w:tc>
          <w:tcPr>
            <w:tcW w:w="1124"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宋体" w:hAnsi="宋体" w:cs="宋体"/>
                <w:color w:val="000000"/>
                <w:kern w:val="0"/>
                <w:sz w:val="24"/>
              </w:rPr>
            </w:pPr>
          </w:p>
        </w:tc>
        <w:tc>
          <w:tcPr>
            <w:tcW w:w="6946" w:type="dxa"/>
            <w:tcBorders>
              <w:top w:val="nil"/>
              <w:left w:val="single" w:color="auto" w:sz="8" w:space="0"/>
              <w:bottom w:val="single" w:color="auto" w:sz="4" w:space="0"/>
              <w:right w:val="single" w:color="auto"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提供有效期内具有C</w:t>
            </w:r>
            <w:r>
              <w:rPr>
                <w:rFonts w:ascii="宋体" w:hAnsi="宋体" w:cs="宋体"/>
                <w:color w:val="000000"/>
                <w:kern w:val="0"/>
                <w:sz w:val="24"/>
              </w:rPr>
              <w:t>MA</w:t>
            </w:r>
            <w:r>
              <w:rPr>
                <w:rFonts w:hint="eastAsia" w:ascii="宋体" w:hAnsi="宋体" w:cs="宋体"/>
                <w:color w:val="000000"/>
                <w:kern w:val="0"/>
                <w:sz w:val="24"/>
              </w:rPr>
              <w:t>资质的检测机构出具的主要成品合格检测报告，中标后原件备查：</w:t>
            </w:r>
          </w:p>
          <w:p>
            <w:pPr>
              <w:widowControl/>
              <w:jc w:val="left"/>
              <w:rPr>
                <w:rFonts w:hint="eastAsia" w:ascii="宋体" w:hAnsi="宋体" w:cs="宋体"/>
                <w:color w:val="000000"/>
                <w:kern w:val="0"/>
                <w:sz w:val="24"/>
              </w:rPr>
            </w:pPr>
            <w:r>
              <w:rPr>
                <w:rFonts w:hint="eastAsia" w:ascii="宋体" w:hAnsi="宋体" w:cs="宋体"/>
                <w:color w:val="000000"/>
                <w:kern w:val="0"/>
                <w:sz w:val="24"/>
              </w:rPr>
              <w:t>会议椅、办公椅、洽谈椅、餐椅、茶水柜、条桌。</w:t>
            </w:r>
          </w:p>
          <w:p>
            <w:pPr>
              <w:widowControl/>
              <w:numPr>
                <w:ilvl w:val="0"/>
                <w:numId w:val="5"/>
              </w:numPr>
              <w:jc w:val="left"/>
              <w:rPr>
                <w:rFonts w:hint="eastAsia" w:ascii="宋体" w:hAnsi="宋体" w:cs="宋体"/>
                <w:color w:val="000000"/>
                <w:kern w:val="0"/>
                <w:sz w:val="24"/>
              </w:rPr>
            </w:pPr>
            <w:r>
              <w:rPr>
                <w:rFonts w:hint="eastAsia" w:ascii="宋体" w:hAnsi="宋体" w:cs="宋体"/>
                <w:color w:val="000000"/>
                <w:kern w:val="0"/>
                <w:sz w:val="24"/>
              </w:rPr>
              <w:t>按GB18580-2017执行，甲醛释放量≤0.05mg/m³</w:t>
            </w:r>
          </w:p>
          <w:p>
            <w:pPr>
              <w:widowControl/>
              <w:numPr>
                <w:ilvl w:val="0"/>
                <w:numId w:val="5"/>
              </w:numPr>
              <w:jc w:val="left"/>
              <w:rPr>
                <w:rFonts w:hint="eastAsia" w:ascii="宋体" w:hAnsi="宋体" w:cs="宋体"/>
                <w:color w:val="000000"/>
                <w:kern w:val="0"/>
                <w:sz w:val="24"/>
              </w:rPr>
            </w:pPr>
            <w:r>
              <w:rPr>
                <w:rFonts w:hint="eastAsia" w:ascii="宋体" w:hAnsi="宋体" w:cs="宋体"/>
                <w:color w:val="000000"/>
                <w:kern w:val="0"/>
                <w:sz w:val="24"/>
              </w:rPr>
              <w:t>按GB18584-2001执行，甲醛释放量≤0.5mg/L</w:t>
            </w:r>
          </w:p>
          <w:p>
            <w:pPr>
              <w:widowControl/>
              <w:jc w:val="left"/>
              <w:rPr>
                <w:rFonts w:hint="eastAsia" w:ascii="宋体" w:hAnsi="宋体" w:cs="宋体"/>
                <w:kern w:val="0"/>
                <w:sz w:val="24"/>
              </w:rPr>
            </w:pPr>
            <w:r>
              <w:rPr>
                <w:rFonts w:hint="eastAsia" w:ascii="宋体" w:hAnsi="宋体" w:cs="宋体"/>
                <w:color w:val="000000"/>
                <w:kern w:val="0"/>
                <w:sz w:val="24"/>
              </w:rPr>
              <w:t>本项所提供的检测报告，每拥有一项得0.5分</w:t>
            </w:r>
            <w:r>
              <w:rPr>
                <w:rFonts w:hint="eastAsia" w:ascii="宋体" w:hAnsi="宋体" w:cs="宋体"/>
                <w:color w:val="000000"/>
                <w:kern w:val="0"/>
                <w:sz w:val="24"/>
                <w:lang w:eastAsia="zh-CN"/>
              </w:rPr>
              <w:t>，</w:t>
            </w:r>
            <w:r>
              <w:rPr>
                <w:rFonts w:hint="eastAsia" w:ascii="宋体" w:hAnsi="宋体" w:cs="宋体"/>
                <w:color w:val="000000"/>
                <w:kern w:val="0"/>
                <w:sz w:val="24"/>
              </w:rPr>
              <w:t>最高得3分</w:t>
            </w:r>
            <w:r>
              <w:rPr>
                <w:rFonts w:hint="eastAsia" w:ascii="宋体" w:hAnsi="宋体" w:cs="宋体"/>
                <w:color w:val="000000"/>
                <w:kern w:val="0"/>
                <w:sz w:val="24"/>
                <w:lang w:eastAsia="zh-CN"/>
              </w:rPr>
              <w:t>。</w:t>
            </w:r>
          </w:p>
        </w:tc>
        <w:tc>
          <w:tcPr>
            <w:tcW w:w="851"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bCs/>
                <w:color w:val="000000"/>
                <w:kern w:val="0"/>
                <w:sz w:val="24"/>
              </w:rPr>
            </w:pPr>
            <w:r>
              <w:rPr>
                <w:rFonts w:hint="eastAsia" w:ascii="宋体" w:hAnsi="宋体" w:cs="宋体"/>
                <w:bCs/>
                <w:color w:val="000000"/>
                <w:kern w:val="0"/>
                <w:sz w:val="24"/>
              </w:rPr>
              <w:t>0-3</w:t>
            </w:r>
          </w:p>
        </w:tc>
      </w:tr>
      <w:tr>
        <w:trPr>
          <w:gridBefore w:val="1"/>
          <w:wBefore w:w="10" w:type="dxa"/>
          <w:trHeight w:val="615" w:hRule="atLeast"/>
        </w:trPr>
        <w:tc>
          <w:tcPr>
            <w:tcW w:w="1124"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宋体" w:hAnsi="宋体" w:cs="宋体"/>
                <w:color w:val="000000"/>
                <w:kern w:val="0"/>
                <w:sz w:val="24"/>
              </w:rPr>
            </w:pPr>
          </w:p>
        </w:tc>
        <w:tc>
          <w:tcPr>
            <w:tcW w:w="6946" w:type="dxa"/>
            <w:tcBorders>
              <w:top w:val="nil"/>
              <w:left w:val="single" w:color="auto" w:sz="8" w:space="0"/>
              <w:bottom w:val="single" w:color="auto" w:sz="4" w:space="0"/>
              <w:right w:val="single" w:color="auto" w:sz="4" w:space="0"/>
            </w:tcBorders>
            <w:noWrap w:val="0"/>
            <w:vAlign w:val="center"/>
          </w:tcPr>
          <w:p>
            <w:pPr>
              <w:widowControl/>
              <w:rPr>
                <w:rFonts w:hint="eastAsia" w:ascii="宋体" w:hAnsi="宋体" w:eastAsia="宋体"/>
                <w:sz w:val="24"/>
                <w:highlight w:val="none"/>
                <w:shd w:val="clear" w:color="auto" w:fill="FFFFFF"/>
                <w:lang w:eastAsia="zh-CN"/>
              </w:rPr>
            </w:pPr>
            <w:r>
              <w:rPr>
                <w:rFonts w:hint="eastAsia" w:ascii="宋体" w:hAnsi="宋体"/>
                <w:sz w:val="24"/>
                <w:highlight w:val="none"/>
                <w:shd w:val="clear" w:color="auto" w:fill="FFFFFF"/>
              </w:rPr>
              <w:t>1、公司现有设备数量：专家</w:t>
            </w:r>
            <w:r>
              <w:rPr>
                <w:rFonts w:ascii="宋体" w:hAnsi="宋体"/>
                <w:sz w:val="24"/>
                <w:highlight w:val="none"/>
                <w:shd w:val="clear" w:color="auto" w:fill="FFFFFF"/>
              </w:rPr>
              <w:t>根据投标人</w:t>
            </w:r>
            <w:r>
              <w:rPr>
                <w:rFonts w:hint="eastAsia" w:ascii="宋体" w:hAnsi="宋体"/>
                <w:sz w:val="24"/>
                <w:highlight w:val="none"/>
                <w:shd w:val="clear" w:color="auto" w:fill="FFFFFF"/>
              </w:rPr>
              <w:t>清单</w:t>
            </w:r>
            <w:r>
              <w:rPr>
                <w:rFonts w:ascii="宋体" w:hAnsi="宋体"/>
                <w:sz w:val="24"/>
                <w:highlight w:val="none"/>
                <w:shd w:val="clear" w:color="auto" w:fill="FFFFFF"/>
              </w:rPr>
              <w:t>中</w:t>
            </w:r>
            <w:r>
              <w:rPr>
                <w:rFonts w:hint="eastAsia" w:ascii="宋体" w:hAnsi="宋体"/>
                <w:sz w:val="24"/>
                <w:highlight w:val="none"/>
                <w:shd w:val="clear" w:color="auto" w:fill="FFFFFF"/>
              </w:rPr>
              <w:t>先进</w:t>
            </w:r>
            <w:r>
              <w:rPr>
                <w:rFonts w:ascii="宋体" w:hAnsi="宋体"/>
                <w:sz w:val="24"/>
                <w:highlight w:val="none"/>
                <w:shd w:val="clear" w:color="auto" w:fill="FFFFFF"/>
              </w:rPr>
              <w:t>设备数量</w:t>
            </w:r>
            <w:r>
              <w:rPr>
                <w:rFonts w:hint="eastAsia" w:ascii="宋体" w:hAnsi="宋体"/>
                <w:sz w:val="24"/>
                <w:highlight w:val="none"/>
                <w:shd w:val="clear" w:color="auto" w:fill="FFFFFF"/>
              </w:rPr>
              <w:t>多少</w:t>
            </w:r>
            <w:r>
              <w:rPr>
                <w:rFonts w:ascii="宋体" w:hAnsi="宋体"/>
                <w:sz w:val="24"/>
                <w:highlight w:val="none"/>
                <w:shd w:val="clear" w:color="auto" w:fill="FFFFFF"/>
              </w:rPr>
              <w:t>、价值功能</w:t>
            </w:r>
            <w:r>
              <w:rPr>
                <w:rFonts w:hint="eastAsia" w:ascii="宋体" w:hAnsi="宋体"/>
                <w:sz w:val="24"/>
                <w:highlight w:val="none"/>
                <w:shd w:val="clear" w:color="auto" w:fill="FFFFFF"/>
              </w:rPr>
              <w:t>、</w:t>
            </w:r>
            <w:r>
              <w:rPr>
                <w:rFonts w:ascii="宋体" w:hAnsi="宋体"/>
                <w:sz w:val="24"/>
                <w:highlight w:val="none"/>
                <w:shd w:val="clear" w:color="auto" w:fill="FFFFFF"/>
              </w:rPr>
              <w:t>生产能力、精密程度、自动化程度等综合</w:t>
            </w:r>
            <w:r>
              <w:rPr>
                <w:rFonts w:hint="eastAsia" w:ascii="宋体" w:hAnsi="宋体"/>
                <w:sz w:val="24"/>
                <w:highlight w:val="none"/>
                <w:shd w:val="clear" w:color="auto" w:fill="FFFFFF"/>
              </w:rPr>
              <w:t>评定</w:t>
            </w:r>
            <w:r>
              <w:rPr>
                <w:rFonts w:ascii="宋体" w:hAnsi="宋体"/>
                <w:sz w:val="24"/>
                <w:highlight w:val="none"/>
                <w:shd w:val="clear" w:color="auto" w:fill="FFFFFF"/>
              </w:rPr>
              <w:t>打分</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lang w:val="en-US" w:eastAsia="zh-CN"/>
              </w:rPr>
              <w:t>0-3分</w:t>
            </w:r>
            <w:r>
              <w:rPr>
                <w:rFonts w:hint="eastAsia" w:ascii="宋体" w:hAnsi="宋体"/>
                <w:sz w:val="24"/>
                <w:highlight w:val="none"/>
                <w:shd w:val="clear" w:color="auto" w:fill="FFFFFF"/>
                <w:lang w:eastAsia="zh-CN"/>
              </w:rPr>
              <w:t>）。</w:t>
            </w:r>
          </w:p>
          <w:p>
            <w:pPr>
              <w:widowControl/>
              <w:rPr>
                <w:rFonts w:ascii="宋体" w:hAnsi="宋体"/>
                <w:sz w:val="24"/>
                <w:highlight w:val="none"/>
                <w:shd w:val="clear" w:color="auto" w:fill="FFFFFF"/>
              </w:rPr>
            </w:pPr>
            <w:r>
              <w:rPr>
                <w:rFonts w:hint="eastAsia" w:ascii="宋体" w:hAnsi="宋体"/>
                <w:sz w:val="24"/>
                <w:highlight w:val="none"/>
                <w:shd w:val="clear" w:color="auto" w:fill="FFFFFF"/>
              </w:rPr>
              <w:t>2、关键设备状况：</w:t>
            </w:r>
          </w:p>
          <w:p>
            <w:pPr>
              <w:rPr>
                <w:rFonts w:hint="default" w:ascii="宋体" w:hAnsi="宋体" w:eastAsia="宋体"/>
                <w:sz w:val="24"/>
                <w:highlight w:val="none"/>
                <w:lang w:val="en-US" w:eastAsia="zh-CN"/>
              </w:rPr>
            </w:pPr>
            <w:r>
              <w:rPr>
                <w:rFonts w:hint="eastAsia" w:ascii="宋体" w:hAnsi="宋体"/>
                <w:sz w:val="24"/>
                <w:highlight w:val="none"/>
                <w:shd w:val="clear" w:color="auto" w:fill="FFFFFF"/>
              </w:rPr>
              <w:t>提供</w:t>
            </w:r>
            <w:r>
              <w:rPr>
                <w:rFonts w:ascii="宋体" w:hAnsi="宋体"/>
                <w:sz w:val="24"/>
                <w:highlight w:val="none"/>
                <w:shd w:val="clear" w:color="auto" w:fill="FFFFFF"/>
              </w:rPr>
              <w:t>投标人</w:t>
            </w:r>
            <w:r>
              <w:rPr>
                <w:rFonts w:hint="eastAsia" w:ascii="宋体" w:hAnsi="宋体"/>
                <w:sz w:val="24"/>
                <w:highlight w:val="none"/>
                <w:shd w:val="clear" w:color="auto" w:fill="FFFFFF"/>
              </w:rPr>
              <w:t>拥有的关键生产</w:t>
            </w:r>
            <w:r>
              <w:rPr>
                <w:rFonts w:ascii="宋体" w:hAnsi="宋体"/>
                <w:sz w:val="24"/>
                <w:highlight w:val="none"/>
                <w:shd w:val="clear" w:color="auto" w:fill="FFFFFF"/>
              </w:rPr>
              <w:t>设备</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激光封边机</w:t>
            </w:r>
            <w:r>
              <w:rPr>
                <w:rFonts w:hint="eastAsia" w:ascii="宋体" w:hAnsi="宋体"/>
                <w:color w:val="000000"/>
                <w:sz w:val="24"/>
                <w:highlight w:val="none"/>
                <w:shd w:val="clear" w:color="auto" w:fill="FFFFFF"/>
                <w:lang w:eastAsia="zh-CN"/>
              </w:rPr>
              <w:t>、</w:t>
            </w:r>
            <w:r>
              <w:rPr>
                <w:rFonts w:hint="eastAsia" w:ascii="宋体" w:hAnsi="宋体"/>
                <w:sz w:val="24"/>
                <w:highlight w:val="none"/>
                <w:shd w:val="clear" w:color="auto" w:fill="FFFFFF"/>
              </w:rPr>
              <w:t>全自动后上料电子开料锯</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计算机数控镭射激光加工中心</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真皮自动化裁剪系统</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左式/右式直线封边机</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电脑裁床（裁板</w:t>
            </w:r>
            <w:r>
              <w:rPr>
                <w:rFonts w:ascii="宋体" w:hAnsi="宋体"/>
                <w:sz w:val="24"/>
                <w:highlight w:val="none"/>
                <w:shd w:val="clear" w:color="auto" w:fill="FFFFFF"/>
              </w:rPr>
              <w:t>锯</w:t>
            </w:r>
            <w:r>
              <w:rPr>
                <w:rFonts w:hint="eastAsia" w:ascii="宋体" w:hAnsi="宋体"/>
                <w:sz w:val="24"/>
                <w:highlight w:val="none"/>
                <w:shd w:val="clear" w:color="auto" w:fill="FFFFFF"/>
              </w:rPr>
              <w:t>）</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四面刨</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短周期压贴线</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水性漆自动U</w:t>
            </w:r>
            <w:r>
              <w:rPr>
                <w:rFonts w:ascii="宋体" w:hAnsi="宋体"/>
                <w:sz w:val="24"/>
                <w:highlight w:val="none"/>
                <w:shd w:val="clear" w:color="auto" w:fill="FFFFFF"/>
              </w:rPr>
              <w:t>V</w:t>
            </w:r>
            <w:r>
              <w:rPr>
                <w:rFonts w:hint="eastAsia" w:ascii="宋体" w:hAnsi="宋体"/>
                <w:sz w:val="24"/>
                <w:highlight w:val="none"/>
                <w:shd w:val="clear" w:color="auto" w:fill="FFFFFF"/>
              </w:rPr>
              <w:t>生产线</w:t>
            </w:r>
            <w:r>
              <w:rPr>
                <w:rFonts w:hint="eastAsia" w:ascii="宋体" w:hAnsi="宋体"/>
                <w:sz w:val="24"/>
                <w:highlight w:val="none"/>
                <w:shd w:val="clear" w:color="auto" w:fill="FFFFFF"/>
                <w:lang w:eastAsia="zh-CN"/>
              </w:rPr>
              <w:t>、</w:t>
            </w:r>
            <w:r>
              <w:rPr>
                <w:rFonts w:hint="eastAsia" w:ascii="宋体" w:hAnsi="宋体"/>
                <w:sz w:val="24"/>
                <w:highlight w:val="none"/>
                <w:shd w:val="clear" w:color="auto" w:fill="FFFFFF"/>
              </w:rPr>
              <w:t>水性漆自动</w:t>
            </w:r>
            <w:r>
              <w:rPr>
                <w:rFonts w:ascii="宋体" w:hAnsi="宋体"/>
                <w:sz w:val="24"/>
                <w:highlight w:val="none"/>
                <w:shd w:val="clear" w:color="auto" w:fill="FFFFFF"/>
              </w:rPr>
              <w:t>PU</w:t>
            </w:r>
            <w:r>
              <w:rPr>
                <w:rFonts w:hint="eastAsia" w:ascii="宋体" w:hAnsi="宋体"/>
                <w:sz w:val="24"/>
                <w:highlight w:val="none"/>
                <w:shd w:val="clear" w:color="auto" w:fill="FFFFFF"/>
              </w:rPr>
              <w:t>生产线</w:t>
            </w:r>
            <w:r>
              <w:rPr>
                <w:rFonts w:hint="eastAsia" w:ascii="宋体" w:hAnsi="宋体"/>
                <w:sz w:val="24"/>
                <w:highlight w:val="none"/>
                <w:shd w:val="clear" w:color="auto" w:fill="FFFFFF"/>
                <w:lang w:eastAsia="zh-CN"/>
              </w:rPr>
              <w:t>，提供</w:t>
            </w:r>
            <w:r>
              <w:rPr>
                <w:rFonts w:hint="eastAsia" w:ascii="宋体" w:hAnsi="宋体"/>
                <w:sz w:val="24"/>
                <w:highlight w:val="none"/>
                <w:shd w:val="clear" w:color="auto" w:fill="FFFFFF"/>
              </w:rPr>
              <w:t>设备</w:t>
            </w:r>
            <w:r>
              <w:rPr>
                <w:rFonts w:ascii="宋体" w:hAnsi="宋体"/>
                <w:sz w:val="24"/>
                <w:highlight w:val="none"/>
                <w:shd w:val="clear" w:color="auto" w:fill="FFFFFF"/>
              </w:rPr>
              <w:t>的照片及发票复印件</w:t>
            </w:r>
            <w:r>
              <w:rPr>
                <w:rFonts w:hint="eastAsia" w:ascii="宋体" w:hAnsi="宋体"/>
                <w:sz w:val="24"/>
                <w:highlight w:val="none"/>
                <w:shd w:val="clear" w:color="auto" w:fill="FFFFFF"/>
                <w:lang w:eastAsia="zh-CN"/>
              </w:rPr>
              <w:t>，每提供一个</w:t>
            </w:r>
            <w:r>
              <w:rPr>
                <w:rFonts w:hint="eastAsia" w:ascii="宋体" w:hAnsi="宋体"/>
                <w:sz w:val="24"/>
                <w:highlight w:val="none"/>
                <w:shd w:val="clear" w:color="auto" w:fill="FFFFFF"/>
                <w:lang w:val="en-US" w:eastAsia="zh-CN"/>
              </w:rPr>
              <w:t>0.5分，最高3分。</w:t>
            </w:r>
          </w:p>
        </w:tc>
        <w:tc>
          <w:tcPr>
            <w:tcW w:w="851"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bCs/>
                <w:color w:val="000000"/>
                <w:kern w:val="0"/>
                <w:sz w:val="24"/>
                <w:lang w:eastAsia="zh-CN"/>
              </w:rPr>
            </w:pPr>
            <w:r>
              <w:rPr>
                <w:rFonts w:hint="eastAsia" w:ascii="宋体" w:hAnsi="宋体" w:cs="宋体"/>
                <w:bCs/>
                <w:color w:val="000000"/>
                <w:kern w:val="0"/>
                <w:sz w:val="24"/>
              </w:rPr>
              <w:t>0</w:t>
            </w:r>
            <w:r>
              <w:rPr>
                <w:rFonts w:ascii="宋体" w:hAnsi="宋体" w:cs="宋体"/>
                <w:bCs/>
                <w:color w:val="000000"/>
                <w:kern w:val="0"/>
                <w:sz w:val="24"/>
              </w:rPr>
              <w:t>-</w:t>
            </w:r>
            <w:r>
              <w:rPr>
                <w:rFonts w:hint="eastAsia" w:ascii="宋体" w:hAnsi="宋体" w:cs="宋体"/>
                <w:bCs/>
                <w:color w:val="000000"/>
                <w:kern w:val="0"/>
                <w:sz w:val="24"/>
                <w:lang w:val="en-US" w:eastAsia="zh-CN"/>
              </w:rPr>
              <w:t>6</w:t>
            </w:r>
          </w:p>
        </w:tc>
      </w:tr>
      <w:tr>
        <w:tblPrEx>
          <w:tblCellMar>
            <w:top w:w="0" w:type="dxa"/>
            <w:left w:w="108" w:type="dxa"/>
            <w:bottom w:w="0" w:type="dxa"/>
            <w:right w:w="108" w:type="dxa"/>
          </w:tblCellMar>
        </w:tblPrEx>
        <w:trPr>
          <w:gridBefore w:val="1"/>
          <w:wBefore w:w="10" w:type="dxa"/>
          <w:trHeight w:val="615" w:hRule="atLeast"/>
        </w:trPr>
        <w:tc>
          <w:tcPr>
            <w:tcW w:w="1124"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宋体" w:hAnsi="宋体" w:cs="宋体"/>
                <w:color w:val="000000"/>
                <w:kern w:val="0"/>
                <w:sz w:val="24"/>
              </w:rPr>
            </w:pPr>
          </w:p>
        </w:tc>
        <w:tc>
          <w:tcPr>
            <w:tcW w:w="6946" w:type="dxa"/>
            <w:tcBorders>
              <w:top w:val="nil"/>
              <w:left w:val="single" w:color="auto" w:sz="8"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本次项目的实施计划</w:t>
            </w:r>
            <w:r>
              <w:rPr>
                <w:rFonts w:ascii="宋体" w:hAnsi="宋体" w:cs="宋体"/>
                <w:color w:val="000000"/>
                <w:kern w:val="0"/>
                <w:sz w:val="24"/>
              </w:rPr>
              <w:t>图纸</w:t>
            </w:r>
          </w:p>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1、根据招标需求并结合</w:t>
            </w:r>
            <w:r>
              <w:rPr>
                <w:rFonts w:ascii="宋体" w:hAnsi="宋体" w:cs="宋体"/>
                <w:color w:val="000000"/>
                <w:kern w:val="0"/>
                <w:sz w:val="24"/>
              </w:rPr>
              <w:t>本项目的</w:t>
            </w:r>
            <w:r>
              <w:rPr>
                <w:rFonts w:hint="eastAsia" w:ascii="宋体" w:hAnsi="宋体" w:cs="宋体"/>
                <w:color w:val="000000"/>
                <w:kern w:val="0"/>
                <w:sz w:val="24"/>
              </w:rPr>
              <w:t>现场图纸及</w:t>
            </w:r>
            <w:r>
              <w:rPr>
                <w:rFonts w:ascii="宋体" w:hAnsi="宋体" w:cs="宋体"/>
                <w:color w:val="000000"/>
                <w:kern w:val="0"/>
                <w:sz w:val="24"/>
              </w:rPr>
              <w:t>实际情况</w:t>
            </w:r>
            <w:r>
              <w:rPr>
                <w:rFonts w:hint="eastAsia" w:ascii="宋体" w:hAnsi="宋体" w:cs="宋体"/>
                <w:color w:val="000000"/>
                <w:kern w:val="0"/>
                <w:sz w:val="24"/>
              </w:rPr>
              <w:t>，提供所有带</w:t>
            </w:r>
            <w:r>
              <w:rPr>
                <w:rFonts w:ascii="宋体" w:hAnsi="宋体" w:cs="宋体"/>
                <w:color w:val="000000"/>
                <w:kern w:val="0"/>
                <w:sz w:val="24"/>
              </w:rPr>
              <w:t>强弱电点位的家具平面图</w:t>
            </w:r>
            <w:r>
              <w:rPr>
                <w:rFonts w:hint="eastAsia" w:ascii="宋体" w:hAnsi="宋体" w:cs="宋体"/>
                <w:color w:val="000000"/>
                <w:kern w:val="0"/>
                <w:sz w:val="24"/>
              </w:rPr>
              <w:t>（0-1分）</w:t>
            </w:r>
            <w:r>
              <w:rPr>
                <w:rFonts w:hint="eastAsia" w:ascii="宋体" w:hAnsi="宋体" w:cs="宋体"/>
                <w:color w:val="000000"/>
                <w:kern w:val="0"/>
                <w:sz w:val="24"/>
                <w:lang w:eastAsia="zh-CN"/>
              </w:rPr>
              <w:t>；</w:t>
            </w:r>
          </w:p>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2、根据招标需求并结合</w:t>
            </w:r>
            <w:r>
              <w:rPr>
                <w:rFonts w:ascii="宋体" w:hAnsi="宋体" w:cs="宋体"/>
                <w:color w:val="000000"/>
                <w:kern w:val="0"/>
                <w:sz w:val="24"/>
              </w:rPr>
              <w:t>本项目的</w:t>
            </w:r>
            <w:r>
              <w:rPr>
                <w:rFonts w:hint="eastAsia" w:ascii="宋体" w:hAnsi="宋体" w:cs="宋体"/>
                <w:color w:val="000000"/>
                <w:kern w:val="0"/>
                <w:sz w:val="24"/>
              </w:rPr>
              <w:t>现场图纸及</w:t>
            </w:r>
            <w:r>
              <w:rPr>
                <w:rFonts w:ascii="宋体" w:hAnsi="宋体" w:cs="宋体"/>
                <w:color w:val="000000"/>
                <w:kern w:val="0"/>
                <w:sz w:val="24"/>
              </w:rPr>
              <w:t>实际情况</w:t>
            </w:r>
            <w:r>
              <w:rPr>
                <w:rFonts w:hint="eastAsia" w:ascii="宋体" w:hAnsi="宋体" w:cs="宋体"/>
                <w:color w:val="000000"/>
                <w:kern w:val="0"/>
                <w:sz w:val="24"/>
              </w:rPr>
              <w:t>，</w:t>
            </w:r>
            <w:r>
              <w:rPr>
                <w:rFonts w:ascii="宋体" w:hAnsi="宋体" w:cs="宋体"/>
                <w:color w:val="000000"/>
                <w:kern w:val="0"/>
                <w:sz w:val="24"/>
              </w:rPr>
              <w:t>提供所有</w:t>
            </w:r>
            <w:r>
              <w:rPr>
                <w:rFonts w:hint="eastAsia" w:ascii="宋体" w:hAnsi="宋体" w:cs="宋体"/>
                <w:color w:val="000000"/>
                <w:kern w:val="0"/>
                <w:sz w:val="24"/>
              </w:rPr>
              <w:t>家具</w:t>
            </w:r>
            <w:r>
              <w:rPr>
                <w:rFonts w:ascii="宋体" w:hAnsi="宋体" w:cs="宋体"/>
                <w:color w:val="000000"/>
                <w:kern w:val="0"/>
                <w:sz w:val="24"/>
              </w:rPr>
              <w:t>整体摆放</w:t>
            </w:r>
            <w:r>
              <w:rPr>
                <w:rFonts w:hint="eastAsia" w:ascii="宋体" w:hAnsi="宋体" w:cs="宋体"/>
                <w:color w:val="000000"/>
                <w:kern w:val="0"/>
                <w:sz w:val="24"/>
              </w:rPr>
              <w:t>立体</w:t>
            </w:r>
            <w:r>
              <w:rPr>
                <w:rFonts w:ascii="宋体" w:hAnsi="宋体" w:cs="宋体"/>
                <w:color w:val="000000"/>
                <w:kern w:val="0"/>
                <w:sz w:val="24"/>
              </w:rPr>
              <w:t>效果图（</w:t>
            </w:r>
            <w:r>
              <w:rPr>
                <w:rFonts w:hint="eastAsia" w:ascii="宋体" w:hAnsi="宋体" w:cs="宋体"/>
                <w:color w:val="000000"/>
                <w:kern w:val="0"/>
                <w:sz w:val="24"/>
              </w:rPr>
              <w:t>彩色</w:t>
            </w:r>
            <w:r>
              <w:rPr>
                <w:rFonts w:ascii="宋体" w:hAnsi="宋体" w:cs="宋体"/>
                <w:color w:val="000000"/>
                <w:kern w:val="0"/>
                <w:sz w:val="24"/>
              </w:rPr>
              <w:t>）</w:t>
            </w:r>
            <w:r>
              <w:rPr>
                <w:rFonts w:hint="eastAsia" w:ascii="宋体" w:hAnsi="宋体" w:cs="宋体"/>
                <w:color w:val="000000"/>
                <w:kern w:val="0"/>
                <w:sz w:val="24"/>
              </w:rPr>
              <w:t>（0-1分）</w:t>
            </w:r>
            <w:r>
              <w:rPr>
                <w:rFonts w:hint="eastAsia" w:ascii="宋体" w:hAnsi="宋体" w:cs="宋体"/>
                <w:color w:val="000000"/>
                <w:kern w:val="0"/>
                <w:sz w:val="24"/>
                <w:lang w:eastAsia="zh-CN"/>
              </w:rPr>
              <w:t>。</w:t>
            </w:r>
          </w:p>
          <w:p>
            <w:pPr>
              <w:widowControl/>
              <w:jc w:val="left"/>
              <w:rPr>
                <w:rFonts w:hint="eastAsia" w:ascii="宋体" w:hAnsi="宋体" w:cs="宋体"/>
                <w:b/>
                <w:color w:val="000000"/>
                <w:kern w:val="0"/>
                <w:sz w:val="24"/>
              </w:rPr>
            </w:pPr>
            <w:r>
              <w:rPr>
                <w:rFonts w:ascii="宋体" w:hAnsi="宋体" w:cs="宋体"/>
                <w:color w:val="000000"/>
                <w:kern w:val="0"/>
                <w:sz w:val="24"/>
              </w:rPr>
              <w:t>依据</w:t>
            </w:r>
            <w:r>
              <w:rPr>
                <w:rFonts w:hint="eastAsia" w:ascii="宋体" w:hAnsi="宋体" w:cs="宋体"/>
                <w:color w:val="000000"/>
                <w:kern w:val="0"/>
                <w:sz w:val="24"/>
              </w:rPr>
              <w:t>制作</w:t>
            </w:r>
            <w:r>
              <w:rPr>
                <w:rFonts w:ascii="宋体" w:hAnsi="宋体" w:cs="宋体"/>
                <w:color w:val="000000"/>
                <w:kern w:val="0"/>
                <w:sz w:val="24"/>
              </w:rPr>
              <w:t>情况及</w:t>
            </w:r>
            <w:r>
              <w:rPr>
                <w:rFonts w:hint="eastAsia" w:ascii="宋体" w:hAnsi="宋体" w:cs="宋体"/>
                <w:color w:val="000000"/>
                <w:kern w:val="0"/>
                <w:sz w:val="24"/>
              </w:rPr>
              <w:t>摆放</w:t>
            </w:r>
            <w:r>
              <w:rPr>
                <w:rFonts w:ascii="宋体" w:hAnsi="宋体" w:cs="宋体"/>
                <w:color w:val="000000"/>
                <w:kern w:val="0"/>
                <w:sz w:val="24"/>
              </w:rPr>
              <w:t>布置情况综合评定对比打分。</w:t>
            </w:r>
          </w:p>
        </w:tc>
        <w:tc>
          <w:tcPr>
            <w:tcW w:w="851"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bCs/>
                <w:color w:val="000000"/>
                <w:kern w:val="0"/>
                <w:sz w:val="24"/>
              </w:rPr>
            </w:pPr>
            <w:r>
              <w:rPr>
                <w:rFonts w:ascii="宋体" w:hAnsi="宋体" w:cs="宋体"/>
                <w:bCs/>
                <w:color w:val="000000"/>
                <w:kern w:val="0"/>
                <w:sz w:val="24"/>
              </w:rPr>
              <w:t>0-</w:t>
            </w:r>
            <w:r>
              <w:rPr>
                <w:rFonts w:hint="eastAsia" w:ascii="宋体" w:hAnsi="宋体" w:cs="宋体"/>
                <w:bCs/>
                <w:color w:val="000000"/>
                <w:kern w:val="0"/>
                <w:sz w:val="24"/>
              </w:rPr>
              <w:t>2</w:t>
            </w:r>
          </w:p>
        </w:tc>
      </w:tr>
      <w:tr>
        <w:tblPrEx>
          <w:tblCellMar>
            <w:top w:w="0" w:type="dxa"/>
            <w:left w:w="108" w:type="dxa"/>
            <w:bottom w:w="0" w:type="dxa"/>
            <w:right w:w="108" w:type="dxa"/>
          </w:tblCellMar>
        </w:tblPrEx>
        <w:trPr>
          <w:gridBefore w:val="1"/>
          <w:wBefore w:w="10" w:type="dxa"/>
          <w:trHeight w:val="615" w:hRule="atLeast"/>
        </w:trPr>
        <w:tc>
          <w:tcPr>
            <w:tcW w:w="1124"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宋体" w:hAnsi="宋体" w:cs="宋体"/>
                <w:color w:val="000000"/>
                <w:kern w:val="0"/>
                <w:sz w:val="24"/>
              </w:rPr>
            </w:pPr>
          </w:p>
        </w:tc>
        <w:tc>
          <w:tcPr>
            <w:tcW w:w="6946"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投标人为本次服务提供各项技术方案，能满足本次项目技术要求得分：</w:t>
            </w:r>
          </w:p>
          <w:p>
            <w:pPr>
              <w:widowControl/>
              <w:jc w:val="left"/>
              <w:rPr>
                <w:rFonts w:hint="eastAsia" w:ascii="宋体" w:hAnsi="宋体" w:cs="宋体"/>
                <w:color w:val="000000"/>
                <w:kern w:val="0"/>
                <w:sz w:val="24"/>
              </w:rPr>
            </w:pPr>
            <w:r>
              <w:rPr>
                <w:rFonts w:hint="eastAsia" w:ascii="宋体" w:hAnsi="宋体" w:cs="宋体"/>
                <w:color w:val="000000"/>
                <w:kern w:val="0"/>
                <w:sz w:val="24"/>
              </w:rPr>
              <w:t>1、提供科学合理有效满足本次采购产品的研发方案（1分）</w:t>
            </w:r>
          </w:p>
          <w:p>
            <w:pPr>
              <w:widowControl/>
              <w:jc w:val="left"/>
              <w:rPr>
                <w:rFonts w:hint="eastAsia" w:ascii="宋体" w:hAnsi="宋体" w:cs="宋体"/>
                <w:color w:val="000000"/>
                <w:kern w:val="0"/>
                <w:sz w:val="24"/>
              </w:rPr>
            </w:pPr>
            <w:r>
              <w:rPr>
                <w:rFonts w:hint="eastAsia" w:ascii="宋体" w:hAnsi="宋体" w:cs="宋体"/>
                <w:color w:val="000000"/>
                <w:kern w:val="0"/>
                <w:sz w:val="24"/>
              </w:rPr>
              <w:t>2、提供科学合理有效满足本次采购产品的生产方案（1分）</w:t>
            </w:r>
          </w:p>
          <w:p>
            <w:pPr>
              <w:widowControl/>
              <w:jc w:val="left"/>
              <w:rPr>
                <w:rFonts w:hint="eastAsia" w:ascii="宋体" w:hAnsi="宋体" w:cs="宋体"/>
                <w:color w:val="000000"/>
                <w:kern w:val="0"/>
                <w:sz w:val="24"/>
              </w:rPr>
            </w:pPr>
            <w:r>
              <w:rPr>
                <w:rFonts w:hint="eastAsia" w:ascii="宋体" w:hAnsi="宋体" w:cs="宋体"/>
                <w:color w:val="000000"/>
                <w:kern w:val="0"/>
                <w:sz w:val="24"/>
              </w:rPr>
              <w:t>3、提供科学合理有效满足本次采购产品的运输安装方案（1分）</w:t>
            </w:r>
          </w:p>
          <w:p>
            <w:pPr>
              <w:widowControl/>
              <w:jc w:val="left"/>
              <w:rPr>
                <w:rFonts w:hint="eastAsia" w:ascii="宋体" w:hAnsi="宋体" w:cs="宋体"/>
                <w:color w:val="000000"/>
                <w:kern w:val="0"/>
                <w:sz w:val="24"/>
              </w:rPr>
            </w:pPr>
            <w:r>
              <w:rPr>
                <w:rFonts w:hint="eastAsia" w:ascii="宋体" w:hAnsi="宋体" w:cs="宋体"/>
                <w:color w:val="000000"/>
                <w:kern w:val="0"/>
                <w:sz w:val="24"/>
              </w:rPr>
              <w:t>4、提供科学合理有效满足本次采购产品的售后服务方案（2分）</w:t>
            </w:r>
          </w:p>
        </w:tc>
        <w:tc>
          <w:tcPr>
            <w:tcW w:w="851" w:type="dxa"/>
            <w:tcBorders>
              <w:top w:val="nil"/>
              <w:left w:val="nil"/>
              <w:bottom w:val="single" w:color="auto" w:sz="4" w:space="0"/>
              <w:right w:val="single" w:color="auto" w:sz="8" w:space="0"/>
            </w:tcBorders>
            <w:noWrap w:val="0"/>
            <w:vAlign w:val="center"/>
          </w:tcPr>
          <w:p>
            <w:pPr>
              <w:widowControl/>
              <w:jc w:val="center"/>
              <w:rPr>
                <w:rFonts w:hint="eastAsia" w:ascii="宋体" w:hAnsi="宋体" w:cs="宋体"/>
                <w:bCs/>
                <w:color w:val="000000"/>
                <w:kern w:val="0"/>
                <w:sz w:val="24"/>
              </w:rPr>
            </w:pPr>
            <w:r>
              <w:rPr>
                <w:rFonts w:ascii="宋体" w:hAnsi="宋体" w:cs="宋体"/>
                <w:bCs/>
                <w:color w:val="000000"/>
                <w:kern w:val="0"/>
                <w:sz w:val="24"/>
              </w:rPr>
              <w:t>0-</w:t>
            </w:r>
            <w:r>
              <w:rPr>
                <w:rFonts w:hint="eastAsia" w:ascii="宋体" w:hAnsi="宋体" w:cs="宋体"/>
                <w:bCs/>
                <w:color w:val="000000"/>
                <w:kern w:val="0"/>
                <w:sz w:val="24"/>
              </w:rPr>
              <w:t>5</w:t>
            </w:r>
          </w:p>
          <w:p>
            <w:pPr>
              <w:widowControl/>
              <w:jc w:val="center"/>
              <w:rPr>
                <w:rFonts w:hint="eastAsia" w:ascii="宋体" w:hAnsi="宋体" w:cs="宋体"/>
                <w:bCs/>
                <w:color w:val="000000"/>
                <w:kern w:val="0"/>
                <w:sz w:val="24"/>
              </w:rPr>
            </w:pPr>
          </w:p>
          <w:p>
            <w:pPr>
              <w:widowControl/>
              <w:jc w:val="center"/>
              <w:rPr>
                <w:rFonts w:hint="eastAsia" w:ascii="宋体" w:hAnsi="宋体" w:cs="宋体"/>
                <w:bCs/>
                <w:color w:val="000000"/>
                <w:kern w:val="0"/>
                <w:sz w:val="24"/>
              </w:rPr>
            </w:pPr>
          </w:p>
          <w:p>
            <w:pPr>
              <w:widowControl/>
              <w:jc w:val="center"/>
              <w:rPr>
                <w:rFonts w:hint="eastAsia" w:ascii="宋体" w:hAnsi="宋体" w:cs="宋体"/>
                <w:bCs/>
                <w:color w:val="000000"/>
                <w:kern w:val="0"/>
                <w:sz w:val="24"/>
              </w:rPr>
            </w:pPr>
          </w:p>
          <w:p>
            <w:pPr>
              <w:widowControl/>
              <w:jc w:val="center"/>
              <w:rPr>
                <w:rFonts w:hint="eastAsia" w:ascii="宋体" w:hAnsi="宋体" w:cs="宋体"/>
                <w:bCs/>
                <w:color w:val="000000"/>
                <w:kern w:val="0"/>
                <w:sz w:val="24"/>
              </w:rPr>
            </w:pPr>
          </w:p>
          <w:p>
            <w:pPr>
              <w:widowControl/>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trPr>
        <w:tc>
          <w:tcPr>
            <w:tcW w:w="1134"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技术分</w:t>
            </w:r>
            <w:r>
              <w:rPr>
                <w:rFonts w:ascii="宋体" w:hAnsi="宋体" w:cs="宋体"/>
                <w:color w:val="000000"/>
                <w:kern w:val="0"/>
                <w:szCs w:val="21"/>
              </w:rPr>
              <w:t>（</w:t>
            </w:r>
            <w:r>
              <w:rPr>
                <w:rFonts w:hint="eastAsia" w:ascii="宋体" w:hAnsi="宋体" w:cs="宋体"/>
                <w:color w:val="000000"/>
                <w:kern w:val="0"/>
                <w:szCs w:val="21"/>
              </w:rPr>
              <w:t>样品部分</w:t>
            </w:r>
            <w:r>
              <w:rPr>
                <w:rFonts w:ascii="宋体" w:hAnsi="宋体" w:cs="宋体"/>
                <w:color w:val="000000"/>
                <w:kern w:val="0"/>
                <w:szCs w:val="21"/>
              </w:rPr>
              <w:t>）（</w:t>
            </w:r>
            <w:r>
              <w:rPr>
                <w:rFonts w:hint="eastAsia" w:ascii="宋体" w:hAnsi="宋体" w:cs="宋体"/>
                <w:color w:val="000000"/>
                <w:kern w:val="0"/>
                <w:szCs w:val="21"/>
              </w:rPr>
              <w:t>20分</w:t>
            </w:r>
            <w:r>
              <w:rPr>
                <w:rFonts w:ascii="宋体" w:hAnsi="宋体" w:cs="宋体"/>
                <w:color w:val="000000"/>
                <w:kern w:val="0"/>
                <w:szCs w:val="21"/>
              </w:rPr>
              <w:t>）</w:t>
            </w:r>
          </w:p>
        </w:tc>
        <w:tc>
          <w:tcPr>
            <w:tcW w:w="6946" w:type="dxa"/>
            <w:noWrap w:val="0"/>
            <w:vAlign w:val="center"/>
          </w:tcPr>
          <w:p>
            <w:pPr>
              <w:widowControl/>
              <w:rPr>
                <w:rFonts w:ascii="宋体" w:hAnsi="宋体" w:cs="宋体"/>
                <w:b/>
                <w:color w:val="000000"/>
                <w:kern w:val="0"/>
                <w:szCs w:val="21"/>
              </w:rPr>
            </w:pPr>
            <w:r>
              <w:rPr>
                <w:rFonts w:hint="eastAsia" w:ascii="宋体" w:hAnsi="宋体" w:cs="宋体"/>
                <w:b/>
                <w:color w:val="000000"/>
                <w:kern w:val="0"/>
                <w:szCs w:val="21"/>
              </w:rPr>
              <w:t>样品项</w:t>
            </w:r>
            <w:r>
              <w:rPr>
                <w:rFonts w:ascii="宋体" w:hAnsi="宋体" w:cs="宋体"/>
                <w:b/>
                <w:color w:val="000000"/>
                <w:kern w:val="0"/>
                <w:szCs w:val="21"/>
              </w:rPr>
              <w:t>：</w:t>
            </w:r>
          </w:p>
          <w:p>
            <w:pPr>
              <w:widowControl/>
              <w:rPr>
                <w:rFonts w:hint="eastAsia" w:ascii="宋体" w:hAnsi="宋体"/>
                <w:sz w:val="24"/>
                <w:shd w:val="clear" w:color="auto" w:fill="FFFFFF"/>
              </w:rPr>
            </w:pPr>
            <w:r>
              <w:rPr>
                <w:rFonts w:hint="eastAsia" w:ascii="宋体" w:hAnsi="宋体"/>
                <w:sz w:val="24"/>
                <w:shd w:val="clear" w:color="auto" w:fill="FFFFFF"/>
              </w:rPr>
              <w:t>成品</w:t>
            </w:r>
          </w:p>
          <w:p>
            <w:pPr>
              <w:widowControl/>
              <w:rPr>
                <w:rFonts w:ascii="宋体" w:hAnsi="宋体"/>
                <w:sz w:val="24"/>
                <w:shd w:val="clear" w:color="auto" w:fill="FFFFFF"/>
              </w:rPr>
            </w:pPr>
            <w:r>
              <w:rPr>
                <w:rFonts w:hint="eastAsia" w:ascii="宋体" w:hAnsi="宋体"/>
                <w:sz w:val="24"/>
                <w:shd w:val="clear" w:color="auto" w:fill="FFFFFF"/>
              </w:rPr>
              <w:t>样品</w:t>
            </w:r>
            <w:r>
              <w:rPr>
                <w:rFonts w:ascii="宋体" w:hAnsi="宋体"/>
                <w:sz w:val="24"/>
                <w:shd w:val="clear" w:color="auto" w:fill="FFFFFF"/>
              </w:rPr>
              <w:t>清单编号</w:t>
            </w:r>
            <w:r>
              <w:rPr>
                <w:rFonts w:hint="eastAsia" w:ascii="宋体" w:hAnsi="宋体"/>
                <w:sz w:val="24"/>
                <w:shd w:val="clear" w:color="auto" w:fill="FFFFFF"/>
              </w:rPr>
              <w:t>14会议椅</w:t>
            </w:r>
          </w:p>
          <w:p>
            <w:pPr>
              <w:widowControl/>
              <w:rPr>
                <w:rFonts w:ascii="宋体" w:hAnsi="宋体"/>
                <w:sz w:val="24"/>
                <w:shd w:val="clear" w:color="auto" w:fill="FFFFFF"/>
              </w:rPr>
            </w:pPr>
            <w:r>
              <w:rPr>
                <w:rFonts w:hint="eastAsia" w:ascii="宋体" w:hAnsi="宋体"/>
                <w:sz w:val="24"/>
                <w:shd w:val="clear" w:color="auto" w:fill="FFFFFF"/>
              </w:rPr>
              <w:t>样品</w:t>
            </w:r>
            <w:r>
              <w:rPr>
                <w:rFonts w:ascii="宋体" w:hAnsi="宋体"/>
                <w:sz w:val="24"/>
                <w:shd w:val="clear" w:color="auto" w:fill="FFFFFF"/>
              </w:rPr>
              <w:t>清单编号</w:t>
            </w:r>
            <w:r>
              <w:rPr>
                <w:rFonts w:hint="eastAsia" w:ascii="宋体" w:hAnsi="宋体"/>
                <w:sz w:val="24"/>
                <w:shd w:val="clear" w:color="auto" w:fill="FFFFFF"/>
              </w:rPr>
              <w:t>20休闲沙发</w:t>
            </w:r>
          </w:p>
          <w:p>
            <w:pPr>
              <w:widowControl/>
              <w:rPr>
                <w:rFonts w:ascii="宋体" w:hAnsi="宋体"/>
                <w:sz w:val="24"/>
                <w:shd w:val="clear" w:color="auto" w:fill="FFFFFF"/>
              </w:rPr>
            </w:pPr>
            <w:r>
              <w:rPr>
                <w:rFonts w:hint="eastAsia" w:ascii="宋体" w:hAnsi="宋体"/>
                <w:sz w:val="24"/>
                <w:shd w:val="clear" w:color="auto" w:fill="FFFFFF"/>
              </w:rPr>
              <w:t>样品</w:t>
            </w:r>
            <w:r>
              <w:rPr>
                <w:rFonts w:ascii="宋体" w:hAnsi="宋体"/>
                <w:sz w:val="24"/>
                <w:shd w:val="clear" w:color="auto" w:fill="FFFFFF"/>
              </w:rPr>
              <w:t>清单编号</w:t>
            </w:r>
            <w:r>
              <w:rPr>
                <w:rFonts w:hint="eastAsia" w:ascii="宋体" w:hAnsi="宋体"/>
                <w:sz w:val="24"/>
                <w:shd w:val="clear" w:color="auto" w:fill="FFFFFF"/>
              </w:rPr>
              <w:t>51条桌</w:t>
            </w:r>
          </w:p>
          <w:p>
            <w:pPr>
              <w:widowControl/>
              <w:jc w:val="left"/>
              <w:textAlignment w:val="center"/>
              <w:rPr>
                <w:rFonts w:hint="eastAsia" w:ascii="宋体" w:hAnsi="宋体"/>
                <w:b/>
                <w:bCs/>
                <w:sz w:val="24"/>
                <w:shd w:val="clear" w:color="auto" w:fill="FFFFFF"/>
              </w:rPr>
            </w:pPr>
            <w:r>
              <w:rPr>
                <w:rFonts w:hint="eastAsia" w:ascii="宋体" w:hAnsi="宋体"/>
                <w:b/>
                <w:bCs/>
                <w:sz w:val="24"/>
                <w:shd w:val="clear" w:color="auto" w:fill="FFFFFF"/>
              </w:rPr>
              <w:t>一、样品质量评价（制作要求）10分。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1.焊接件：焊接处应无脱焊、虚焊、焊穿、错位，应无夹渣、气孔、焊瘤、焊丝头、咬边、飞溅，焊疤表面波纹应均匀、高低之差在合理范围内（0-2分）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2.皱纹或波纹：圆管和扁线管弯曲处的皱纹高低之差在合理范围内,弯曲处弧形圆滑一致（0-2分）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3.安全性;接触人体或收藏物品的部位应无毛刺、刃口、棱角（0-2分）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4.木制件：板部件的非交接面应进行封边或涂饰处理，封边处应无脱胶、鼓泡、透胶、露底；外表应倒棱、圆角线应一致（0-2分）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5.样品尺寸规格、颜色、外观效果（0-2分）</w:t>
            </w:r>
          </w:p>
          <w:p>
            <w:pPr>
              <w:widowControl/>
              <w:jc w:val="left"/>
              <w:textAlignment w:val="center"/>
              <w:rPr>
                <w:rFonts w:hint="eastAsia" w:ascii="宋体" w:hAnsi="宋体"/>
                <w:b/>
                <w:bCs/>
                <w:sz w:val="24"/>
                <w:shd w:val="clear" w:color="auto" w:fill="FFFFFF"/>
              </w:rPr>
            </w:pPr>
            <w:r>
              <w:rPr>
                <w:rFonts w:hint="eastAsia" w:ascii="宋体" w:hAnsi="宋体"/>
                <w:b/>
                <w:bCs/>
                <w:sz w:val="24"/>
                <w:shd w:val="clear" w:color="auto" w:fill="FFFFFF"/>
              </w:rPr>
              <w:t>样品质量评价（涂饰要求）5分。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1.金属件涂饰：应无漏喷、锈蚀，涂层应光滑均匀,色泽一致,应无流挂、疙瘩、皱皮、飞漆等（0-3分）</w:t>
            </w:r>
          </w:p>
          <w:p>
            <w:pPr>
              <w:widowControl/>
              <w:rPr>
                <w:rFonts w:ascii="宋体" w:hAnsi="宋体"/>
                <w:sz w:val="24"/>
                <w:shd w:val="clear" w:color="auto" w:fill="FFFFFF"/>
              </w:rPr>
            </w:pPr>
            <w:r>
              <w:rPr>
                <w:rFonts w:hint="eastAsia" w:ascii="宋体" w:hAnsi="宋体"/>
                <w:sz w:val="24"/>
                <w:shd w:val="clear" w:color="auto" w:fill="FFFFFF"/>
              </w:rPr>
              <w:t>2.木制件涂饰：整件产品色泽应相似，涂层不得有皱皮、发粘和漏漆现象。正视面（包括面板）应平整光滑、清晰，应无明显木孔沉陷，其他部位表面手感应光滑，无明显粒子、涨边和不平整（0-2分）</w:t>
            </w:r>
          </w:p>
          <w:p>
            <w:pPr>
              <w:widowControl/>
              <w:rPr>
                <w:rFonts w:hint="eastAsia" w:ascii="宋体" w:hAnsi="宋体"/>
                <w:b/>
                <w:bCs/>
                <w:sz w:val="24"/>
                <w:shd w:val="clear" w:color="auto" w:fill="FFFFFF"/>
              </w:rPr>
            </w:pPr>
            <w:r>
              <w:rPr>
                <w:rFonts w:hint="eastAsia" w:ascii="宋体" w:hAnsi="宋体"/>
                <w:b/>
                <w:bCs/>
                <w:sz w:val="24"/>
                <w:shd w:val="clear" w:color="auto" w:fill="FFFFFF"/>
              </w:rPr>
              <w:t>横向</w:t>
            </w:r>
            <w:r>
              <w:rPr>
                <w:rFonts w:ascii="宋体" w:hAnsi="宋体"/>
                <w:b/>
                <w:bCs/>
                <w:sz w:val="24"/>
                <w:shd w:val="clear" w:color="auto" w:fill="FFFFFF"/>
              </w:rPr>
              <w:t>对比打分，不提供样品</w:t>
            </w:r>
            <w:r>
              <w:rPr>
                <w:rFonts w:hint="eastAsia" w:ascii="宋体" w:hAnsi="宋体"/>
                <w:b/>
                <w:bCs/>
                <w:sz w:val="24"/>
                <w:shd w:val="clear" w:color="auto" w:fill="FFFFFF"/>
              </w:rPr>
              <w:t>或</w:t>
            </w:r>
            <w:r>
              <w:rPr>
                <w:rFonts w:ascii="宋体" w:hAnsi="宋体"/>
                <w:b/>
                <w:bCs/>
                <w:sz w:val="24"/>
                <w:shd w:val="clear" w:color="auto" w:fill="FFFFFF"/>
              </w:rPr>
              <w:t>缺少</w:t>
            </w:r>
            <w:r>
              <w:rPr>
                <w:rFonts w:hint="eastAsia" w:ascii="宋体" w:hAnsi="宋体"/>
                <w:b/>
                <w:bCs/>
                <w:sz w:val="24"/>
                <w:shd w:val="clear" w:color="auto" w:fill="FFFFFF"/>
              </w:rPr>
              <w:t>本部分</w:t>
            </w:r>
            <w:r>
              <w:rPr>
                <w:rFonts w:ascii="宋体" w:hAnsi="宋体"/>
                <w:b/>
                <w:bCs/>
                <w:sz w:val="24"/>
                <w:shd w:val="clear" w:color="auto" w:fill="FFFFFF"/>
              </w:rPr>
              <w:t>样品不得分。</w:t>
            </w:r>
            <w:r>
              <w:rPr>
                <w:rFonts w:hint="eastAsia" w:ascii="宋体" w:hAnsi="宋体"/>
                <w:b/>
                <w:bCs/>
                <w:sz w:val="24"/>
                <w:shd w:val="clear" w:color="auto" w:fill="FFFFFF"/>
              </w:rPr>
              <w:t>（0-15）</w:t>
            </w:r>
          </w:p>
        </w:tc>
        <w:tc>
          <w:tcPr>
            <w:tcW w:w="851" w:type="dxa"/>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34" w:type="dxa"/>
            <w:gridSpan w:val="2"/>
            <w:vMerge w:val="continue"/>
            <w:noWrap w:val="0"/>
            <w:vAlign w:val="top"/>
          </w:tcPr>
          <w:p>
            <w:pPr>
              <w:widowControl/>
              <w:jc w:val="center"/>
              <w:rPr>
                <w:rFonts w:hint="eastAsia" w:ascii="宋体" w:hAnsi="宋体" w:cs="宋体"/>
                <w:color w:val="000000"/>
                <w:kern w:val="0"/>
                <w:szCs w:val="21"/>
              </w:rPr>
            </w:pPr>
          </w:p>
        </w:tc>
        <w:tc>
          <w:tcPr>
            <w:tcW w:w="6946" w:type="dxa"/>
            <w:noWrap w:val="0"/>
            <w:vAlign w:val="center"/>
          </w:tcPr>
          <w:p>
            <w:pPr>
              <w:widowControl/>
              <w:jc w:val="left"/>
              <w:rPr>
                <w:rFonts w:ascii="宋体" w:hAnsi="宋体" w:cs="宋体"/>
                <w:b/>
                <w:color w:val="000000"/>
                <w:kern w:val="0"/>
                <w:szCs w:val="21"/>
              </w:rPr>
            </w:pPr>
            <w:r>
              <w:rPr>
                <w:rFonts w:hint="eastAsia" w:ascii="宋体" w:hAnsi="宋体" w:cs="宋体"/>
                <w:b/>
                <w:color w:val="000000"/>
                <w:kern w:val="0"/>
                <w:szCs w:val="21"/>
              </w:rPr>
              <w:t>样品项</w:t>
            </w:r>
            <w:r>
              <w:rPr>
                <w:rFonts w:ascii="宋体" w:hAnsi="宋体" w:cs="宋体"/>
                <w:b/>
                <w:color w:val="000000"/>
                <w:kern w:val="0"/>
                <w:szCs w:val="21"/>
              </w:rPr>
              <w:t>：</w:t>
            </w:r>
          </w:p>
          <w:p>
            <w:pPr>
              <w:widowControl/>
              <w:rPr>
                <w:rFonts w:hint="eastAsia" w:ascii="宋体" w:hAnsi="宋体"/>
                <w:sz w:val="24"/>
                <w:shd w:val="clear" w:color="auto" w:fill="FFFFFF"/>
              </w:rPr>
            </w:pPr>
            <w:r>
              <w:rPr>
                <w:rFonts w:hint="eastAsia" w:ascii="宋体" w:hAnsi="宋体"/>
                <w:sz w:val="24"/>
                <w:shd w:val="clear" w:color="auto" w:fill="FFFFFF"/>
              </w:rPr>
              <w:t>材料小样</w:t>
            </w:r>
          </w:p>
          <w:p>
            <w:pPr>
              <w:widowControl/>
              <w:rPr>
                <w:rFonts w:hint="eastAsia" w:ascii="宋体" w:hAnsi="宋体"/>
                <w:sz w:val="24"/>
                <w:shd w:val="clear" w:color="auto" w:fill="FFFFFF"/>
              </w:rPr>
            </w:pPr>
            <w:r>
              <w:rPr>
                <w:rFonts w:hint="eastAsia" w:ascii="宋体" w:hAnsi="宋体"/>
                <w:sz w:val="24"/>
                <w:shd w:val="clear" w:color="auto" w:fill="FFFFFF"/>
              </w:rPr>
              <w:t>1.三节导轨</w:t>
            </w:r>
          </w:p>
          <w:p>
            <w:pPr>
              <w:widowControl/>
              <w:rPr>
                <w:rFonts w:hint="eastAsia" w:ascii="宋体" w:hAnsi="宋体"/>
                <w:sz w:val="24"/>
                <w:shd w:val="clear" w:color="auto" w:fill="FFFFFF"/>
              </w:rPr>
            </w:pPr>
            <w:r>
              <w:rPr>
                <w:rFonts w:hint="eastAsia" w:ascii="宋体" w:hAnsi="宋体"/>
                <w:sz w:val="24"/>
                <w:shd w:val="clear" w:color="auto" w:fill="FFFFFF"/>
              </w:rPr>
              <w:t>2.阻尼铰链</w:t>
            </w:r>
          </w:p>
          <w:p>
            <w:pPr>
              <w:widowControl/>
              <w:rPr>
                <w:rFonts w:hint="eastAsia" w:ascii="宋体" w:hAnsi="宋体"/>
                <w:sz w:val="24"/>
                <w:shd w:val="clear" w:color="auto" w:fill="FFFFFF"/>
              </w:rPr>
            </w:pPr>
            <w:r>
              <w:rPr>
                <w:rFonts w:hint="eastAsia" w:ascii="宋体" w:hAnsi="宋体"/>
                <w:sz w:val="24"/>
                <w:shd w:val="clear" w:color="auto" w:fill="FFFFFF"/>
              </w:rPr>
              <w:t>3.隐蔽式全拉阻尼滑轨</w:t>
            </w:r>
          </w:p>
          <w:p>
            <w:pPr>
              <w:widowControl/>
              <w:rPr>
                <w:rFonts w:ascii="宋体" w:hAnsi="宋体"/>
                <w:sz w:val="24"/>
                <w:shd w:val="clear" w:color="auto" w:fill="FFFFFF"/>
              </w:rPr>
            </w:pPr>
            <w:r>
              <w:rPr>
                <w:rFonts w:hint="eastAsia" w:ascii="宋体" w:hAnsi="宋体"/>
                <w:sz w:val="24"/>
                <w:shd w:val="clear" w:color="auto" w:fill="FFFFFF"/>
              </w:rPr>
              <w:t>4.阻燃高弹海绵</w:t>
            </w:r>
          </w:p>
          <w:p>
            <w:pPr>
              <w:widowControl/>
              <w:rPr>
                <w:rFonts w:hint="eastAsia" w:ascii="宋体" w:hAnsi="宋体"/>
                <w:sz w:val="24"/>
                <w:shd w:val="clear" w:color="auto" w:fill="FFFFFF"/>
              </w:rPr>
            </w:pPr>
            <w:r>
              <w:rPr>
                <w:rFonts w:hint="eastAsia" w:ascii="宋体" w:hAnsi="宋体"/>
                <w:sz w:val="24"/>
                <w:shd w:val="clear" w:color="auto" w:fill="FFFFFF"/>
              </w:rPr>
              <w:t>5.木皮</w:t>
            </w:r>
          </w:p>
          <w:p>
            <w:pPr>
              <w:widowControl/>
              <w:rPr>
                <w:rFonts w:hint="eastAsia" w:ascii="宋体" w:hAnsi="宋体"/>
                <w:sz w:val="24"/>
                <w:shd w:val="clear" w:color="auto" w:fill="FFFFFF"/>
              </w:rPr>
            </w:pPr>
            <w:r>
              <w:rPr>
                <w:rFonts w:hint="eastAsia" w:ascii="宋体" w:hAnsi="宋体"/>
                <w:sz w:val="24"/>
                <w:shd w:val="clear" w:color="auto" w:fill="FFFFFF"/>
              </w:rPr>
              <w:t>6.超纤皮</w:t>
            </w:r>
            <w:r>
              <w:rPr>
                <w:rFonts w:hint="eastAsia" w:ascii="宋体" w:hAnsi="宋体"/>
                <w:sz w:val="24"/>
                <w:shd w:val="clear" w:color="auto" w:fill="FFFFFF"/>
              </w:rPr>
              <w:tab/>
            </w:r>
          </w:p>
          <w:p>
            <w:pPr>
              <w:widowControl/>
              <w:rPr>
                <w:rFonts w:hint="eastAsia" w:ascii="宋体" w:hAnsi="宋体"/>
                <w:sz w:val="24"/>
                <w:shd w:val="clear" w:color="auto" w:fill="FFFFFF"/>
              </w:rPr>
            </w:pPr>
            <w:r>
              <w:rPr>
                <w:rFonts w:hint="eastAsia" w:ascii="宋体" w:hAnsi="宋体"/>
                <w:sz w:val="24"/>
                <w:shd w:val="clear" w:color="auto" w:fill="FFFFFF"/>
              </w:rPr>
              <w:t>7.正面锁头</w:t>
            </w:r>
          </w:p>
          <w:p>
            <w:pPr>
              <w:widowControl/>
              <w:rPr>
                <w:rFonts w:hint="eastAsia" w:ascii="宋体" w:hAnsi="宋体"/>
                <w:sz w:val="24"/>
                <w:shd w:val="clear" w:color="auto" w:fill="FFFFFF"/>
              </w:rPr>
            </w:pPr>
            <w:r>
              <w:rPr>
                <w:rFonts w:hint="eastAsia" w:ascii="宋体" w:hAnsi="宋体"/>
                <w:sz w:val="24"/>
                <w:shd w:val="clear" w:color="auto" w:fill="FFFFFF"/>
              </w:rPr>
              <w:t>8.100#气杆</w:t>
            </w:r>
          </w:p>
          <w:p>
            <w:pPr>
              <w:widowControl/>
              <w:rPr>
                <w:rFonts w:ascii="宋体" w:hAnsi="宋体"/>
                <w:sz w:val="24"/>
                <w:shd w:val="clear" w:color="auto" w:fill="FFFFFF"/>
              </w:rPr>
            </w:pPr>
            <w:r>
              <w:rPr>
                <w:rFonts w:hint="eastAsia" w:ascii="宋体" w:hAnsi="宋体"/>
                <w:sz w:val="24"/>
                <w:shd w:val="clear" w:color="auto" w:fill="FFFFFF"/>
              </w:rPr>
              <w:t>9.椅轮</w:t>
            </w:r>
          </w:p>
          <w:p>
            <w:pPr>
              <w:widowControl/>
              <w:rPr>
                <w:rFonts w:hint="eastAsia" w:ascii="宋体" w:hAnsi="宋体"/>
                <w:sz w:val="24"/>
                <w:shd w:val="clear" w:color="auto" w:fill="FFFFFF"/>
              </w:rPr>
            </w:pPr>
            <w:r>
              <w:rPr>
                <w:rFonts w:hint="eastAsia" w:ascii="宋体" w:hAnsi="宋体"/>
                <w:sz w:val="24"/>
                <w:shd w:val="clear" w:color="auto" w:fill="FFFFFF"/>
              </w:rPr>
              <w:t>10.E1级免漆板（200*200mm）</w:t>
            </w:r>
          </w:p>
          <w:p>
            <w:pPr>
              <w:widowControl/>
              <w:rPr>
                <w:rFonts w:hint="eastAsia" w:ascii="宋体" w:hAnsi="宋体"/>
                <w:sz w:val="24"/>
                <w:shd w:val="clear" w:color="auto" w:fill="FFFFFF"/>
              </w:rPr>
            </w:pPr>
            <w:r>
              <w:rPr>
                <w:rFonts w:hint="eastAsia" w:ascii="宋体" w:hAnsi="宋体"/>
                <w:sz w:val="24"/>
                <w:shd w:val="clear" w:color="auto" w:fill="FFFFFF"/>
              </w:rPr>
              <w:t>11.木皮贴面板（200*200mm）</w:t>
            </w:r>
          </w:p>
          <w:p>
            <w:pPr>
              <w:widowControl/>
              <w:rPr>
                <w:rFonts w:ascii="宋体" w:hAnsi="宋体"/>
                <w:sz w:val="24"/>
                <w:shd w:val="clear" w:color="auto" w:fill="FFFFFF"/>
              </w:rPr>
            </w:pPr>
            <w:r>
              <w:rPr>
                <w:rFonts w:hint="eastAsia" w:ascii="宋体" w:hAnsi="宋体"/>
                <w:sz w:val="24"/>
                <w:shd w:val="clear" w:color="auto" w:fill="FFFFFF"/>
              </w:rPr>
              <w:t>12.ABS封边条（600mm长）</w:t>
            </w:r>
          </w:p>
          <w:p>
            <w:pPr>
              <w:widowControl/>
              <w:rPr>
                <w:rFonts w:hint="eastAsia" w:ascii="宋体" w:hAnsi="宋体"/>
                <w:sz w:val="24"/>
                <w:shd w:val="clear" w:color="auto" w:fill="FFFFFF"/>
              </w:rPr>
            </w:pPr>
            <w:r>
              <w:rPr>
                <w:rFonts w:hint="eastAsia" w:ascii="宋体" w:hAnsi="宋体"/>
                <w:b/>
                <w:bCs/>
                <w:sz w:val="24"/>
                <w:shd w:val="clear" w:color="auto" w:fill="FFFFFF"/>
              </w:rPr>
              <w:t>样品所用材质评价</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1．投标产品所选用板材、钢管等材料的厚度、感官质量（0-2分）</w:t>
            </w:r>
          </w:p>
          <w:p>
            <w:pPr>
              <w:widowControl/>
              <w:jc w:val="left"/>
              <w:textAlignment w:val="center"/>
              <w:rPr>
                <w:rFonts w:hint="eastAsia" w:ascii="宋体" w:hAnsi="宋体"/>
                <w:sz w:val="24"/>
                <w:shd w:val="clear" w:color="auto" w:fill="FFFFFF"/>
              </w:rPr>
            </w:pPr>
            <w:r>
              <w:rPr>
                <w:rFonts w:hint="eastAsia" w:ascii="宋体" w:hAnsi="宋体"/>
                <w:sz w:val="24"/>
                <w:shd w:val="clear" w:color="auto" w:fill="FFFFFF"/>
              </w:rPr>
              <w:t>2．轨道、铰链、开关等五金件润滑程度、质量（0-2分）</w:t>
            </w:r>
          </w:p>
          <w:p>
            <w:pPr>
              <w:widowControl/>
              <w:rPr>
                <w:rFonts w:hint="eastAsia" w:ascii="宋体" w:hAnsi="宋体"/>
                <w:sz w:val="24"/>
                <w:shd w:val="clear" w:color="auto" w:fill="FFFFFF"/>
              </w:rPr>
            </w:pPr>
            <w:r>
              <w:rPr>
                <w:rFonts w:hint="eastAsia" w:ascii="宋体" w:hAnsi="宋体"/>
                <w:sz w:val="24"/>
                <w:shd w:val="clear" w:color="auto" w:fill="FFFFFF"/>
              </w:rPr>
              <w:t>3．辅材的的质量（0-1分）</w:t>
            </w:r>
          </w:p>
          <w:p>
            <w:pPr>
              <w:widowControl/>
              <w:rPr>
                <w:rFonts w:hint="eastAsia" w:ascii="宋体" w:hAnsi="宋体"/>
                <w:b/>
                <w:bCs/>
                <w:szCs w:val="21"/>
              </w:rPr>
            </w:pPr>
            <w:r>
              <w:rPr>
                <w:rFonts w:hint="eastAsia" w:ascii="宋体" w:hAnsi="宋体"/>
                <w:b/>
                <w:bCs/>
                <w:sz w:val="24"/>
                <w:shd w:val="clear" w:color="auto" w:fill="FFFFFF"/>
              </w:rPr>
              <w:t>横向</w:t>
            </w:r>
            <w:r>
              <w:rPr>
                <w:rFonts w:ascii="宋体" w:hAnsi="宋体"/>
                <w:b/>
                <w:bCs/>
                <w:sz w:val="24"/>
                <w:shd w:val="clear" w:color="auto" w:fill="FFFFFF"/>
              </w:rPr>
              <w:t>对比打分，不提供样品</w:t>
            </w:r>
            <w:r>
              <w:rPr>
                <w:rFonts w:hint="eastAsia" w:ascii="宋体" w:hAnsi="宋体"/>
                <w:b/>
                <w:bCs/>
                <w:sz w:val="24"/>
                <w:shd w:val="clear" w:color="auto" w:fill="FFFFFF"/>
              </w:rPr>
              <w:t>或</w:t>
            </w:r>
            <w:r>
              <w:rPr>
                <w:rFonts w:ascii="宋体" w:hAnsi="宋体"/>
                <w:b/>
                <w:bCs/>
                <w:sz w:val="24"/>
                <w:shd w:val="clear" w:color="auto" w:fill="FFFFFF"/>
              </w:rPr>
              <w:t>缺少</w:t>
            </w:r>
            <w:r>
              <w:rPr>
                <w:rFonts w:hint="eastAsia" w:ascii="宋体" w:hAnsi="宋体"/>
                <w:b/>
                <w:bCs/>
                <w:sz w:val="24"/>
                <w:shd w:val="clear" w:color="auto" w:fill="FFFFFF"/>
              </w:rPr>
              <w:t>本部分</w:t>
            </w:r>
            <w:r>
              <w:rPr>
                <w:rFonts w:ascii="宋体" w:hAnsi="宋体"/>
                <w:b/>
                <w:bCs/>
                <w:sz w:val="24"/>
                <w:shd w:val="clear" w:color="auto" w:fill="FFFFFF"/>
              </w:rPr>
              <w:t>样品不得分。</w:t>
            </w:r>
            <w:r>
              <w:rPr>
                <w:rFonts w:hint="eastAsia" w:ascii="宋体" w:hAnsi="宋体"/>
                <w:b/>
                <w:bCs/>
                <w:sz w:val="24"/>
                <w:shd w:val="clear" w:color="auto" w:fill="FFFFFF"/>
              </w:rPr>
              <w:t>（0-5）</w:t>
            </w:r>
          </w:p>
        </w:tc>
        <w:tc>
          <w:tcPr>
            <w:tcW w:w="851" w:type="dxa"/>
            <w:noWrap w:val="0"/>
            <w:vAlign w:val="center"/>
          </w:tcPr>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0-5</w:t>
            </w:r>
          </w:p>
        </w:tc>
      </w:tr>
    </w:tbl>
    <w:p>
      <w:pPr>
        <w:snapToGrid w:val="0"/>
        <w:spacing w:line="360" w:lineRule="auto"/>
        <w:ind w:firstLine="482" w:firstLineChars="200"/>
        <w:rPr>
          <w:rFonts w:hint="eastAsia" w:ascii="仿宋_GB2312" w:hAnsi="仿宋_GB2312" w:eastAsia="仿宋_GB2312" w:cs="仿宋_GB2312"/>
          <w:b/>
          <w:bCs/>
          <w:sz w:val="24"/>
        </w:rPr>
      </w:pPr>
    </w:p>
    <w:p>
      <w:pPr>
        <w:spacing w:line="360" w:lineRule="auto"/>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r>
        <w:rPr>
          <w:rFonts w:hint="eastAsia" w:ascii="仿宋" w:hAnsi="仿宋" w:eastAsia="仿宋" w:cs="仿宋_GB2312"/>
          <w:b/>
          <w:sz w:val="36"/>
          <w:szCs w:val="36"/>
        </w:rPr>
        <w:t>第五部分 拟签订的合同文本</w:t>
      </w:r>
    </w:p>
    <w:p>
      <w:pPr>
        <w:spacing w:line="360" w:lineRule="auto"/>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19"/>
        <w:ind w:firstLine="482"/>
        <w:jc w:val="center"/>
        <w:rPr>
          <w:rFonts w:hint="eastAsia" w:ascii="仿宋_GB2312" w:hAnsi="楷体" w:eastAsia="仿宋_GB2312"/>
          <w:b/>
          <w:szCs w:val="24"/>
        </w:rPr>
      </w:pPr>
      <w:r>
        <w:rPr>
          <w:rFonts w:hint="eastAsia" w:ascii="仿宋_GB2312" w:hAnsi="楷体" w:eastAsia="仿宋_GB2312"/>
          <w:b/>
          <w:szCs w:val="24"/>
        </w:rPr>
        <w:t>第一部分 合同书</w:t>
      </w:r>
    </w:p>
    <w:p>
      <w:pPr>
        <w:pStyle w:val="19"/>
        <w:rPr>
          <w:rFonts w:hint="eastAsia" w:ascii="仿宋_GB2312" w:hAnsi="楷体" w:eastAsia="仿宋_GB2312"/>
          <w:szCs w:val="24"/>
        </w:rPr>
      </w:pPr>
    </w:p>
    <w:p>
      <w:pPr>
        <w:pStyle w:val="19"/>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20"/>
        <w:spacing w:before="120"/>
        <w:rPr>
          <w:rFonts w:hint="eastAsia" w:hAnsi="楷体"/>
          <w:szCs w:val="24"/>
        </w:rPr>
      </w:pPr>
    </w:p>
    <w:p>
      <w:pPr>
        <w:pStyle w:val="20"/>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9" w:type="default"/>
          <w:footerReference r:id="rId10" w:type="default"/>
          <w:pgSz w:w="11907" w:h="16840"/>
          <w:pgMar w:top="680" w:right="1417" w:bottom="471" w:left="1417" w:header="851" w:footer="851" w:gutter="0"/>
          <w:pgNumType w:fmt="decimal"/>
          <w:cols w:space="720" w:num="1"/>
          <w:docGrid w:linePitch="462" w:charSpace="0"/>
        </w:sect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hint="eastAsia" w:ascii="仿宋_GB2312" w:hAnsi="楷体" w:eastAsia="仿宋_GB2312"/>
          <w:b/>
          <w:sz w:val="24"/>
        </w:rPr>
      </w:pPr>
      <w:bookmarkStart w:id="376" w:name="_Toc2232"/>
      <w:bookmarkStart w:id="377" w:name="_Toc3029"/>
      <w:bookmarkStart w:id="378" w:name="_Toc24059"/>
      <w:r>
        <w:rPr>
          <w:rFonts w:hint="eastAsia" w:ascii="仿宋_GB2312" w:hAnsi="楷体" w:eastAsia="仿宋_GB2312"/>
          <w:b/>
          <w:sz w:val="24"/>
        </w:rPr>
        <w:t>1.1 合同组成部分</w:t>
      </w:r>
      <w:bookmarkEnd w:id="376"/>
      <w:bookmarkEnd w:id="377"/>
      <w:bookmarkEnd w:id="37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1.2 标的物</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1.2.1 标的物名称：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1.2.2 标的物数量：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1.2.3 标的物质量：</w:t>
      </w:r>
      <w:r>
        <w:rPr>
          <w:rFonts w:hint="eastAsia" w:ascii="仿宋_GB2312" w:hAnsi="仿宋" w:eastAsia="仿宋_GB2312"/>
          <w:sz w:val="24"/>
          <w:u w:val="single"/>
        </w:rPr>
        <w:t xml:space="preserve">　　　合格　　　　                      　      </w:t>
      </w:r>
      <w:r>
        <w:rPr>
          <w:rFonts w:hint="eastAsia" w:ascii="仿宋_GB2312" w:hAnsi="仿宋" w:eastAsia="仿宋_GB2312"/>
          <w:sz w:val="24"/>
        </w:rPr>
        <w:t>。</w:t>
      </w:r>
    </w:p>
    <w:p>
      <w:pPr>
        <w:spacing w:line="360" w:lineRule="auto"/>
        <w:ind w:firstLine="482" w:firstLineChars="200"/>
        <w:outlineLvl w:val="0"/>
        <w:rPr>
          <w:rFonts w:hint="eastAsia" w:ascii="仿宋_GB2312" w:hAnsi="楷体" w:eastAsia="仿宋_GB2312"/>
          <w:b/>
          <w:sz w:val="24"/>
        </w:rPr>
      </w:pPr>
      <w:bookmarkStart w:id="379" w:name="_Toc23292"/>
      <w:bookmarkStart w:id="380" w:name="_Toc21551"/>
      <w:bookmarkStart w:id="381" w:name="_Toc21631"/>
      <w:r>
        <w:rPr>
          <w:rFonts w:hint="eastAsia" w:ascii="仿宋_GB2312" w:hAnsi="楷体" w:eastAsia="仿宋_GB2312"/>
          <w:b/>
          <w:sz w:val="24"/>
        </w:rPr>
        <w:t>1.3 价款</w:t>
      </w:r>
      <w:bookmarkEnd w:id="379"/>
      <w:bookmarkEnd w:id="380"/>
      <w:bookmarkEnd w:id="3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元人民币）。（清单附后）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序号</w:t>
            </w:r>
          </w:p>
        </w:tc>
        <w:tc>
          <w:tcPr>
            <w:tcW w:w="340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分项名称</w:t>
            </w:r>
          </w:p>
        </w:tc>
        <w:tc>
          <w:tcPr>
            <w:tcW w:w="2552" w:type="dxa"/>
            <w:noWrap w:val="0"/>
            <w:vAlign w:val="center"/>
          </w:tcPr>
          <w:p>
            <w:pPr>
              <w:pStyle w:val="21"/>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1"/>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总价</w:t>
            </w:r>
          </w:p>
        </w:tc>
        <w:tc>
          <w:tcPr>
            <w:tcW w:w="2552" w:type="dxa"/>
            <w:noWrap w:val="0"/>
            <w:vAlign w:val="center"/>
          </w:tcPr>
          <w:p>
            <w:pPr>
              <w:pStyle w:val="21"/>
              <w:spacing w:line="360" w:lineRule="auto"/>
              <w:ind w:firstLine="200"/>
              <w:jc w:val="center"/>
              <w:rPr>
                <w:rFonts w:hint="eastAsia" w:ascii="仿宋_GB2312" w:hAnsi="楷体" w:eastAsia="仿宋_GB2312"/>
                <w:sz w:val="24"/>
                <w:szCs w:val="24"/>
                <w:lang w:val="en-US" w:eastAsia="zh-CN"/>
              </w:rPr>
            </w:pPr>
          </w:p>
        </w:tc>
      </w:tr>
    </w:tbl>
    <w:p>
      <w:pPr>
        <w:spacing w:line="360" w:lineRule="auto"/>
        <w:ind w:firstLine="482" w:firstLineChars="200"/>
        <w:outlineLvl w:val="0"/>
        <w:rPr>
          <w:rFonts w:hint="eastAsia" w:ascii="仿宋_GB2312" w:hAnsi="楷体" w:eastAsia="仿宋_GB2312"/>
          <w:b/>
          <w:sz w:val="24"/>
        </w:rPr>
      </w:pPr>
      <w:bookmarkStart w:id="382" w:name="_Toc1814"/>
      <w:bookmarkStart w:id="383" w:name="_Toc10340"/>
      <w:bookmarkStart w:id="384" w:name="_Toc22618"/>
      <w:r>
        <w:rPr>
          <w:rFonts w:hint="eastAsia" w:ascii="仿宋_GB2312" w:hAnsi="楷体" w:eastAsia="仿宋_GB2312"/>
          <w:b/>
          <w:sz w:val="24"/>
        </w:rPr>
        <w:t>1.4 付款方式和发票开具方式</w:t>
      </w:r>
      <w:bookmarkEnd w:id="382"/>
      <w:bookmarkEnd w:id="383"/>
      <w:bookmarkEnd w:id="384"/>
    </w:p>
    <w:p>
      <w:pPr>
        <w:spacing w:line="360" w:lineRule="auto"/>
        <w:ind w:left="482"/>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rPr>
        <w:t>1.4.2付款时间：</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1.4.3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u w:val="single"/>
        </w:rPr>
        <w:t>1.4.4甲方拒绝或迟延支付中小企业款项，可向有关部门投诉。</w:t>
      </w:r>
    </w:p>
    <w:p>
      <w:pPr>
        <w:spacing w:line="360" w:lineRule="auto"/>
        <w:ind w:firstLine="482" w:firstLineChars="200"/>
        <w:outlineLvl w:val="0"/>
        <w:rPr>
          <w:rFonts w:hint="eastAsia" w:ascii="仿宋_GB2312" w:hAnsi="楷体" w:eastAsia="仿宋_GB2312"/>
          <w:b/>
          <w:sz w:val="24"/>
        </w:rPr>
      </w:pPr>
      <w:bookmarkStart w:id="385" w:name="_Toc32071"/>
      <w:bookmarkStart w:id="386" w:name="_Toc19304"/>
      <w:bookmarkStart w:id="387" w:name="_Toc2846"/>
      <w:r>
        <w:rPr>
          <w:rFonts w:hint="eastAsia" w:ascii="仿宋_GB2312" w:hAnsi="楷体" w:eastAsia="仿宋_GB2312"/>
          <w:b/>
          <w:sz w:val="24"/>
        </w:rPr>
        <w:t>1.5 货物交付期限、地点和方式</w:t>
      </w:r>
      <w:bookmarkEnd w:id="385"/>
      <w:bookmarkEnd w:id="386"/>
      <w:bookmarkEnd w:id="387"/>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ascii="仿宋_GB2312" w:hAnsi="楷体" w:eastAsia="仿宋_GB2312"/>
          <w:sz w:val="24"/>
          <w:u w:val="single"/>
        </w:rPr>
        <w:t>：</w:t>
      </w:r>
      <w:r>
        <w:rPr>
          <w:rFonts w:hint="eastAsia" w:ascii="仿宋_GB2312" w:hAnsi="楷体" w:eastAsia="仿宋_GB2312"/>
          <w:sz w:val="24"/>
          <w:u w:val="single"/>
        </w:rPr>
        <w:t xml:space="preserve">合同签订生效后30天内需要交货完毕、安装调试完成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甲方指定地点</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w:t>
      </w:r>
      <w:r>
        <w:rPr>
          <w:rFonts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w:t>
      </w:r>
      <w:r>
        <w:rPr>
          <w:rFonts w:hint="eastAsia" w:ascii="仿宋_GB2312" w:hAnsi="楷体" w:eastAsia="仿宋_GB2312"/>
          <w:sz w:val="24"/>
        </w:rPr>
        <w:t>。</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1.6 违约责任</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w:t>
      </w:r>
      <w:r>
        <w:rPr>
          <w:rFonts w:hint="eastAsia" w:ascii="仿宋_GB2312" w:hAnsi="楷体" w:eastAsia="仿宋_GB2312"/>
          <w:b/>
          <w:sz w:val="24"/>
          <w:lang w:val="en-US" w:eastAsia="zh-CN"/>
        </w:rPr>
        <w:t>7</w:t>
      </w:r>
      <w:r>
        <w:rPr>
          <w:rFonts w:hint="eastAsia" w:ascii="仿宋_GB2312" w:hAnsi="楷体" w:eastAsia="仿宋_GB2312"/>
          <w:b/>
          <w:sz w:val="24"/>
        </w:rPr>
        <w:t xml:space="preserve"> 售后服务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．1本合同标的质保期为最终验收合格之日起</w:t>
      </w:r>
      <w:r>
        <w:rPr>
          <w:rFonts w:ascii="仿宋_GB2312" w:hAnsi="楷体" w:eastAsia="仿宋_GB2312"/>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月，在质保期内发生的乙方责任范围内的一切部件更换及设备维修费等费用均由乙方承担。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.2 乙方在质保期内的工作应包括对所有合同标的检查和调整等。</w:t>
      </w:r>
    </w:p>
    <w:p>
      <w:pPr>
        <w:spacing w:line="360" w:lineRule="auto"/>
        <w:ind w:firstLine="482" w:firstLineChars="200"/>
        <w:outlineLvl w:val="0"/>
        <w:rPr>
          <w:rFonts w:hint="eastAsia" w:ascii="仿宋_GB2312" w:hAnsi="楷体" w:eastAsia="仿宋_GB2312"/>
          <w:b/>
          <w:sz w:val="24"/>
        </w:rPr>
      </w:pPr>
      <w:bookmarkStart w:id="388" w:name="_Toc15583"/>
      <w:bookmarkStart w:id="389" w:name="_Toc16021"/>
      <w:bookmarkStart w:id="390" w:name="_Toc28375"/>
      <w:r>
        <w:rPr>
          <w:rFonts w:hint="eastAsia" w:ascii="仿宋_GB2312" w:hAnsi="楷体" w:eastAsia="仿宋_GB2312"/>
          <w:b/>
          <w:sz w:val="24"/>
          <w:lang w:val="en-US" w:eastAsia="zh-CN"/>
        </w:rPr>
        <w:t>1.8</w:t>
      </w:r>
      <w:r>
        <w:rPr>
          <w:rFonts w:hint="eastAsia" w:ascii="仿宋_GB2312" w:hAnsi="楷体" w:eastAsia="仿宋_GB2312"/>
          <w:b/>
          <w:sz w:val="24"/>
        </w:rPr>
        <w:t xml:space="preserve"> 合同争议的解决</w:t>
      </w:r>
      <w:bookmarkEnd w:id="388"/>
      <w:bookmarkEnd w:id="389"/>
      <w:bookmarkEnd w:id="3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2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 xml:space="preserve">2 </w:t>
      </w:r>
      <w:r>
        <w:rPr>
          <w:rFonts w:hint="eastAsia" w:ascii="仿宋_GB2312" w:hAnsi="仿宋" w:eastAsia="仿宋_GB2312"/>
          <w:sz w:val="24"/>
        </w:rPr>
        <w:t>向</w:t>
      </w:r>
      <w:r>
        <w:rPr>
          <w:rFonts w:hint="eastAsia" w:ascii="仿宋_GB2312" w:hAnsi="仿宋"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仿宋" w:eastAsia="仿宋_GB2312"/>
          <w:sz w:val="24"/>
        </w:rPr>
        <w:t>人民法院起诉。</w:t>
      </w:r>
    </w:p>
    <w:p>
      <w:pPr>
        <w:spacing w:line="360" w:lineRule="auto"/>
        <w:ind w:firstLine="482" w:firstLineChars="200"/>
        <w:outlineLvl w:val="0"/>
        <w:rPr>
          <w:rFonts w:hint="eastAsia" w:ascii="仿宋_GB2312" w:hAnsi="楷体" w:eastAsia="仿宋_GB2312"/>
          <w:b/>
          <w:sz w:val="24"/>
        </w:rPr>
      </w:pPr>
      <w:bookmarkStart w:id="391" w:name="_Toc7245"/>
      <w:bookmarkStart w:id="392" w:name="_Toc15322"/>
      <w:bookmarkStart w:id="393" w:name="_Toc11173"/>
      <w:r>
        <w:rPr>
          <w:rFonts w:hint="eastAsia" w:ascii="仿宋_GB2312" w:hAnsi="楷体" w:eastAsia="仿宋_GB2312"/>
          <w:b/>
          <w:sz w:val="24"/>
          <w:lang w:val="en-US" w:eastAsia="zh-CN"/>
        </w:rPr>
        <w:t>1.9</w:t>
      </w:r>
      <w:r>
        <w:rPr>
          <w:rFonts w:hint="eastAsia" w:ascii="仿宋_GB2312" w:hAnsi="楷体" w:eastAsia="仿宋_GB2312"/>
          <w:b/>
          <w:sz w:val="24"/>
        </w:rPr>
        <w:t>合同生效</w:t>
      </w:r>
      <w:bookmarkEnd w:id="391"/>
      <w:bookmarkEnd w:id="392"/>
      <w:bookmarkEnd w:id="393"/>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19"/>
        <w:ind w:firstLine="482"/>
        <w:jc w:val="center"/>
        <w:rPr>
          <w:rFonts w:hint="eastAsia" w:ascii="仿宋_GB2312" w:hAnsi="楷体" w:eastAsia="仿宋_GB2312"/>
          <w:b/>
          <w:szCs w:val="24"/>
        </w:rPr>
      </w:pPr>
      <w:bookmarkStart w:id="394" w:name="_Toc331685783"/>
      <w:r>
        <w:rPr>
          <w:rFonts w:ascii="仿宋_GB2312" w:hAnsi="楷体" w:eastAsia="仿宋_GB2312"/>
          <w:b/>
          <w:szCs w:val="24"/>
        </w:rPr>
        <w:br w:type="page"/>
      </w:r>
      <w:r>
        <w:rPr>
          <w:rFonts w:hint="eastAsia" w:ascii="仿宋_GB2312" w:hAnsi="楷体" w:eastAsia="仿宋_GB2312"/>
          <w:b/>
          <w:szCs w:val="24"/>
        </w:rPr>
        <w:t>第二部分 合同一般条款</w:t>
      </w:r>
      <w:bookmarkEnd w:id="394"/>
    </w:p>
    <w:p>
      <w:pPr>
        <w:spacing w:line="360" w:lineRule="auto"/>
        <w:ind w:firstLine="482" w:firstLineChars="200"/>
        <w:outlineLvl w:val="0"/>
        <w:rPr>
          <w:rFonts w:hint="eastAsia" w:ascii="仿宋_GB2312" w:hAnsi="楷体" w:eastAsia="仿宋_GB2312"/>
          <w:b/>
          <w:sz w:val="24"/>
        </w:rPr>
      </w:pPr>
      <w:bookmarkStart w:id="395" w:name="_Toc19614"/>
      <w:bookmarkStart w:id="396" w:name="_Ref467379109"/>
      <w:bookmarkStart w:id="397" w:name="_Ref467379225"/>
      <w:bookmarkStart w:id="398" w:name="_Ref467378404"/>
      <w:bookmarkStart w:id="399" w:name="_Toc279701240"/>
      <w:bookmarkStart w:id="400" w:name="_Ref467379205"/>
      <w:bookmarkStart w:id="401" w:name="_Ref467379094"/>
      <w:bookmarkStart w:id="402" w:name="_Ref467379101"/>
      <w:bookmarkStart w:id="403" w:name="_Ref467379214"/>
      <w:bookmarkStart w:id="404" w:name="_Toc487900349"/>
      <w:bookmarkStart w:id="405" w:name="_Ref467378463"/>
      <w:bookmarkStart w:id="406" w:name="_Toc16917"/>
      <w:bookmarkStart w:id="407" w:name="_Ref467379195"/>
      <w:bookmarkStart w:id="408" w:name="_Toc28763"/>
      <w:bookmarkStart w:id="409" w:name="_Toc259093669"/>
      <w:bookmarkStart w:id="410" w:name="_Ref467378499"/>
      <w:r>
        <w:rPr>
          <w:rFonts w:hint="eastAsia" w:ascii="仿宋_GB2312" w:hAnsi="楷体" w:eastAsia="仿宋_GB2312"/>
          <w:b/>
          <w:sz w:val="24"/>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_GB2312" w:hAnsi="楷体" w:eastAsia="仿宋_GB2312"/>
          <w:sz w:val="24"/>
        </w:rPr>
      </w:pPr>
      <w:bookmarkStart w:id="411" w:name="_Ref467378840"/>
      <w:r>
        <w:rPr>
          <w:rFonts w:hint="eastAsia" w:ascii="仿宋_GB2312" w:hAnsi="楷体" w:eastAsia="仿宋_GB2312"/>
          <w:sz w:val="24"/>
        </w:rPr>
        <w:t>2.1.4 “甲方”系指与中标供应商签署合同的采购人</w:t>
      </w:r>
      <w:bookmarkEnd w:id="411"/>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412" w:name="_Ref467379400"/>
      <w:r>
        <w:rPr>
          <w:rFonts w:hint="eastAsia" w:ascii="仿宋_GB2312" w:hAnsi="楷体" w:eastAsia="仿宋_GB2312"/>
          <w:sz w:val="24"/>
        </w:rPr>
        <w:t>2.1.5 “乙方”系指根据合同约定交付货物的中标供应商</w:t>
      </w:r>
      <w:bookmarkEnd w:id="412"/>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413" w:name="_Ref467379436"/>
      <w:r>
        <w:rPr>
          <w:rFonts w:hint="eastAsia" w:ascii="仿宋_GB2312" w:hAnsi="楷体" w:eastAsia="仿宋_GB2312"/>
          <w:sz w:val="24"/>
        </w:rPr>
        <w:t>2.1.6 “现场”系指合同约定货物将要运至或者安装的地点。</w:t>
      </w:r>
      <w:bookmarkEnd w:id="413"/>
    </w:p>
    <w:p>
      <w:pPr>
        <w:spacing w:line="360" w:lineRule="auto"/>
        <w:ind w:firstLine="482" w:firstLineChars="200"/>
        <w:outlineLvl w:val="0"/>
        <w:rPr>
          <w:rFonts w:hint="eastAsia" w:ascii="仿宋_GB2312" w:hAnsi="楷体" w:eastAsia="仿宋_GB2312"/>
          <w:b/>
          <w:sz w:val="24"/>
        </w:rPr>
      </w:pPr>
      <w:bookmarkStart w:id="414" w:name="_Toc13336"/>
      <w:bookmarkStart w:id="415" w:name="_Toc259093670"/>
      <w:bookmarkStart w:id="416" w:name="_Toc27635"/>
      <w:bookmarkStart w:id="417" w:name="_Toc279701241"/>
      <w:bookmarkStart w:id="418" w:name="_Toc487900350"/>
      <w:bookmarkStart w:id="419" w:name="_Toc32504"/>
      <w:r>
        <w:rPr>
          <w:rFonts w:hint="eastAsia" w:ascii="仿宋_GB2312" w:hAnsi="楷体" w:eastAsia="仿宋_GB2312"/>
          <w:b/>
          <w:sz w:val="24"/>
        </w:rPr>
        <w:t>2.2 技术规范</w:t>
      </w:r>
      <w:bookmarkEnd w:id="414"/>
      <w:bookmarkEnd w:id="415"/>
      <w:bookmarkEnd w:id="416"/>
      <w:bookmarkEnd w:id="417"/>
      <w:bookmarkEnd w:id="418"/>
      <w:bookmarkEnd w:id="4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sz w:val="24"/>
        </w:rPr>
      </w:pPr>
      <w:bookmarkStart w:id="420" w:name="_Toc487900351"/>
      <w:bookmarkStart w:id="421" w:name="_Toc9829"/>
      <w:bookmarkStart w:id="422" w:name="_Toc259093671"/>
      <w:bookmarkStart w:id="423" w:name="_Toc279701242"/>
      <w:bookmarkStart w:id="424" w:name="_Toc27853"/>
      <w:bookmarkStart w:id="425" w:name="_Toc31634"/>
      <w:r>
        <w:rPr>
          <w:rFonts w:hint="eastAsia" w:ascii="仿宋_GB2312" w:hAnsi="楷体" w:eastAsia="仿宋_GB2312"/>
          <w:b/>
          <w:sz w:val="24"/>
        </w:rPr>
        <w:t>2.3 知识产权</w:t>
      </w:r>
      <w:bookmarkEnd w:id="420"/>
      <w:bookmarkEnd w:id="421"/>
      <w:bookmarkEnd w:id="422"/>
      <w:bookmarkEnd w:id="423"/>
      <w:bookmarkEnd w:id="424"/>
      <w:bookmarkEnd w:id="42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2.3.2具有知识产权的计算机软件等货物的知识产权归属，详见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6" w:name="_Toc11932"/>
      <w:bookmarkStart w:id="427" w:name="_Toc4194"/>
      <w:bookmarkStart w:id="428" w:name="_Toc29149"/>
      <w:r>
        <w:rPr>
          <w:rFonts w:hint="eastAsia" w:ascii="仿宋_GB2312" w:hAnsi="楷体" w:eastAsia="仿宋_GB2312"/>
          <w:b/>
          <w:sz w:val="24"/>
        </w:rPr>
        <w:t>2.4 包装和装运</w:t>
      </w:r>
      <w:bookmarkEnd w:id="426"/>
      <w:bookmarkEnd w:id="427"/>
      <w:bookmarkEnd w:id="4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装运货物的要求和通知，详见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9" w:name="_Ref467378541"/>
      <w:bookmarkStart w:id="430" w:name="_Ref467378591"/>
      <w:bookmarkStart w:id="431" w:name="_Toc487900354"/>
      <w:bookmarkStart w:id="432" w:name="_Toc279701245"/>
      <w:bookmarkStart w:id="433" w:name="_Toc259093674"/>
      <w:bookmarkStart w:id="434" w:name="_Ref467379527"/>
      <w:bookmarkStart w:id="435" w:name="_Ref467379542"/>
      <w:bookmarkStart w:id="436" w:name="_Ref467379536"/>
      <w:bookmarkStart w:id="437" w:name="_Toc30272"/>
      <w:bookmarkStart w:id="438" w:name="_Toc19074"/>
      <w:bookmarkStart w:id="439" w:name="_Toc26182"/>
      <w:r>
        <w:rPr>
          <w:rFonts w:hint="eastAsia" w:ascii="仿宋_GB2312" w:hAnsi="楷体" w:eastAsia="仿宋_GB2312"/>
          <w:b/>
          <w:sz w:val="24"/>
        </w:rPr>
        <w:t>2.</w:t>
      </w:r>
      <w:bookmarkEnd w:id="429"/>
      <w:bookmarkEnd w:id="430"/>
      <w:bookmarkEnd w:id="431"/>
      <w:bookmarkEnd w:id="432"/>
      <w:bookmarkEnd w:id="433"/>
      <w:bookmarkEnd w:id="434"/>
      <w:bookmarkEnd w:id="435"/>
      <w:bookmarkEnd w:id="436"/>
      <w:r>
        <w:rPr>
          <w:rFonts w:hint="eastAsia" w:ascii="仿宋_GB2312" w:hAnsi="楷体" w:eastAsia="仿宋_GB2312"/>
          <w:b/>
          <w:sz w:val="24"/>
        </w:rPr>
        <w:t>5 履约检查和问题反馈</w:t>
      </w:r>
      <w:bookmarkEnd w:id="437"/>
      <w:bookmarkEnd w:id="438"/>
      <w:bookmarkEnd w:id="439"/>
    </w:p>
    <w:p>
      <w:pPr>
        <w:spacing w:line="360" w:lineRule="auto"/>
        <w:ind w:firstLine="480" w:firstLineChars="200"/>
        <w:rPr>
          <w:rFonts w:hint="eastAsia" w:ascii="仿宋_GB2312" w:hAnsi="楷体" w:eastAsia="仿宋_GB2312"/>
          <w:sz w:val="24"/>
        </w:rPr>
      </w:pPr>
      <w:bookmarkStart w:id="440" w:name="_Ref467379657"/>
      <w:r>
        <w:rPr>
          <w:rFonts w:hint="eastAsia" w:ascii="仿宋_GB2312" w:hAnsi="楷体" w:eastAsia="仿宋_GB2312"/>
          <w:sz w:val="24"/>
        </w:rPr>
        <w:t>2.5.1</w:t>
      </w:r>
      <w:bookmarkEnd w:id="440"/>
      <w:bookmarkStart w:id="441" w:name="_Toc186431854"/>
      <w:bookmarkStart w:id="442" w:name="_Toc259093676"/>
      <w:bookmarkStart w:id="443" w:name="_Toc279701247"/>
      <w:bookmarkStart w:id="444" w:name="_Toc487900357"/>
      <w:bookmarkStart w:id="445" w:name="_Ref467379793"/>
      <w:bookmarkStart w:id="446" w:name="_Ref467379807"/>
      <w:r>
        <w:rPr>
          <w:rFonts w:hint="eastAsia" w:ascii="仿宋_GB2312" w:hAnsi="楷体"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41"/>
      <w:bookmarkStart w:id="447" w:name="_Toc186431855"/>
      <w:r>
        <w:rPr>
          <w:rFonts w:hint="eastAsia" w:ascii="仿宋_GB2312" w:hAnsi="楷体" w:eastAsia="仿宋_GB2312"/>
          <w:sz w:val="24"/>
        </w:rPr>
        <w:t>。</w:t>
      </w:r>
    </w:p>
    <w:bookmarkEnd w:id="447"/>
    <w:p>
      <w:pPr>
        <w:spacing w:line="360" w:lineRule="auto"/>
        <w:ind w:firstLine="482" w:firstLineChars="200"/>
        <w:outlineLvl w:val="0"/>
        <w:rPr>
          <w:rFonts w:hint="eastAsia" w:ascii="仿宋_GB2312" w:hAnsi="楷体" w:eastAsia="仿宋_GB2312"/>
          <w:b/>
          <w:sz w:val="24"/>
        </w:rPr>
      </w:pPr>
      <w:bookmarkStart w:id="448" w:name="_Toc19219"/>
      <w:bookmarkStart w:id="449" w:name="_Toc28451"/>
      <w:bookmarkStart w:id="450" w:name="_Toc7836"/>
      <w:r>
        <w:rPr>
          <w:rFonts w:hint="eastAsia" w:ascii="仿宋_GB2312" w:hAnsi="楷体" w:eastAsia="仿宋_GB2312"/>
          <w:b/>
          <w:sz w:val="24"/>
        </w:rPr>
        <w:t>2.6 结算方式和付款条件</w:t>
      </w:r>
      <w:bookmarkEnd w:id="442"/>
      <w:bookmarkEnd w:id="443"/>
      <w:bookmarkEnd w:id="444"/>
      <w:bookmarkEnd w:id="445"/>
      <w:bookmarkEnd w:id="446"/>
      <w:bookmarkEnd w:id="448"/>
      <w:bookmarkEnd w:id="449"/>
      <w:bookmarkEnd w:id="4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51" w:name="_Toc279701248"/>
      <w:bookmarkStart w:id="452" w:name="_Ref467379863"/>
      <w:bookmarkStart w:id="453" w:name="_Ref467379923"/>
      <w:bookmarkStart w:id="454" w:name="_Toc487900358"/>
      <w:bookmarkStart w:id="455" w:name="_Toc259093677"/>
      <w:bookmarkStart w:id="456" w:name="_Ref467379852"/>
      <w:bookmarkStart w:id="457" w:name="_Toc16110"/>
      <w:bookmarkStart w:id="458" w:name="_Toc3225"/>
      <w:bookmarkStart w:id="459" w:name="_Toc774"/>
      <w:r>
        <w:rPr>
          <w:rFonts w:hint="eastAsia" w:ascii="仿宋_GB2312" w:hAnsi="楷体" w:eastAsia="仿宋_GB2312"/>
          <w:b/>
          <w:sz w:val="24"/>
        </w:rPr>
        <w:t>2.7 技术资料</w:t>
      </w:r>
      <w:bookmarkEnd w:id="451"/>
      <w:bookmarkEnd w:id="452"/>
      <w:bookmarkEnd w:id="453"/>
      <w:bookmarkEnd w:id="454"/>
      <w:bookmarkEnd w:id="455"/>
      <w:bookmarkEnd w:id="456"/>
      <w:r>
        <w:rPr>
          <w:rFonts w:hint="eastAsia" w:ascii="仿宋_GB2312" w:hAnsi="楷体" w:eastAsia="仿宋_GB2312"/>
          <w:b/>
          <w:sz w:val="24"/>
        </w:rPr>
        <w:t>和保密义务</w:t>
      </w:r>
      <w:bookmarkEnd w:id="457"/>
      <w:bookmarkEnd w:id="458"/>
      <w:bookmarkEnd w:id="45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_GB2312" w:hAnsi="楷体" w:eastAsia="仿宋_GB2312"/>
          <w:b/>
          <w:sz w:val="24"/>
        </w:rPr>
      </w:pPr>
      <w:bookmarkStart w:id="460" w:name="_Toc7860"/>
      <w:r>
        <w:rPr>
          <w:rFonts w:hint="eastAsia" w:ascii="仿宋_GB2312" w:hAnsi="楷体" w:eastAsia="仿宋_GB2312"/>
          <w:b/>
          <w:sz w:val="24"/>
        </w:rPr>
        <w:t>2.8 质量保证</w:t>
      </w:r>
      <w:bookmarkEnd w:id="46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楷体" w:eastAsia="仿宋_GB2312"/>
          <w:b/>
          <w:sz w:val="24"/>
        </w:rPr>
      </w:pPr>
      <w:bookmarkStart w:id="461" w:name="_Toc17244"/>
      <w:bookmarkStart w:id="462" w:name="_Toc279701252"/>
      <w:bookmarkStart w:id="463" w:name="_Toc487900362"/>
      <w:bookmarkStart w:id="464" w:name="_Toc259093681"/>
      <w:r>
        <w:rPr>
          <w:rFonts w:hint="eastAsia" w:ascii="仿宋_GB2312" w:hAnsi="楷体" w:eastAsia="仿宋_GB2312"/>
          <w:b/>
          <w:sz w:val="24"/>
        </w:rPr>
        <w:t>2.9 货物的风险负担</w:t>
      </w:r>
      <w:bookmarkEnd w:id="461"/>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货物或者在途货物或者交付给第一承运人后的货物毁损、灭失的风险负担详见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65" w:name="_Toc14055"/>
      <w:r>
        <w:rPr>
          <w:rFonts w:hint="eastAsia" w:ascii="仿宋_GB2312" w:hAnsi="楷体" w:eastAsia="仿宋_GB2312"/>
          <w:b/>
          <w:sz w:val="24"/>
        </w:rPr>
        <w:t>2.10 延迟交货</w:t>
      </w:r>
      <w:bookmarkEnd w:id="462"/>
      <w:bookmarkEnd w:id="463"/>
      <w:bookmarkEnd w:id="464"/>
      <w:bookmarkEnd w:id="46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sz w:val="24"/>
        </w:rPr>
      </w:pPr>
      <w:bookmarkStart w:id="466" w:name="_Toc7502"/>
      <w:bookmarkStart w:id="467" w:name="_Ref467378121"/>
      <w:bookmarkStart w:id="468" w:name="_Toc279701254"/>
      <w:bookmarkStart w:id="469" w:name="_Toc259093683"/>
      <w:bookmarkStart w:id="470" w:name="_Toc487900364"/>
      <w:r>
        <w:rPr>
          <w:rFonts w:hint="eastAsia" w:ascii="仿宋_GB2312" w:hAnsi="楷体" w:eastAsia="仿宋_GB2312"/>
          <w:b/>
          <w:sz w:val="24"/>
        </w:rPr>
        <w:t>2.11 合同变更</w:t>
      </w:r>
      <w:bookmarkEnd w:id="46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71" w:name="_Toc279701259"/>
      <w:bookmarkStart w:id="472" w:name="_Toc487900369"/>
      <w:bookmarkStart w:id="473" w:name="_Toc259093688"/>
    </w:p>
    <w:p>
      <w:pPr>
        <w:spacing w:line="360" w:lineRule="auto"/>
        <w:ind w:firstLine="482" w:firstLineChars="200"/>
        <w:outlineLvl w:val="0"/>
        <w:rPr>
          <w:rFonts w:hint="eastAsia" w:ascii="仿宋_GB2312" w:hAnsi="楷体" w:eastAsia="仿宋_GB2312"/>
          <w:b/>
          <w:sz w:val="24"/>
        </w:rPr>
      </w:pPr>
      <w:bookmarkStart w:id="474" w:name="_Toc15237"/>
      <w:bookmarkStart w:id="475" w:name="_Toc10366"/>
      <w:bookmarkStart w:id="476" w:name="_Toc22955"/>
      <w:r>
        <w:rPr>
          <w:rFonts w:hint="eastAsia" w:ascii="仿宋_GB2312" w:hAnsi="楷体" w:eastAsia="仿宋_GB2312"/>
          <w:b/>
          <w:sz w:val="24"/>
        </w:rPr>
        <w:t>2.12 合同转让</w:t>
      </w:r>
      <w:bookmarkEnd w:id="471"/>
      <w:bookmarkEnd w:id="472"/>
      <w:bookmarkEnd w:id="473"/>
      <w:r>
        <w:rPr>
          <w:rFonts w:hint="eastAsia" w:ascii="仿宋_GB2312" w:hAnsi="楷体" w:eastAsia="仿宋_GB2312"/>
          <w:b/>
          <w:sz w:val="24"/>
        </w:rPr>
        <w:t>和分包</w:t>
      </w:r>
      <w:bookmarkEnd w:id="474"/>
      <w:bookmarkEnd w:id="475"/>
      <w:bookmarkEnd w:id="47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sz w:val="24"/>
        </w:rPr>
      </w:pPr>
      <w:bookmarkStart w:id="477" w:name="_Toc16508"/>
      <w:bookmarkStart w:id="478" w:name="_Toc13566"/>
      <w:bookmarkStart w:id="479" w:name="_Toc14066"/>
      <w:r>
        <w:rPr>
          <w:rFonts w:hint="eastAsia" w:ascii="仿宋_GB2312" w:hAnsi="楷体" w:eastAsia="仿宋_GB2312"/>
          <w:b/>
          <w:sz w:val="24"/>
        </w:rPr>
        <w:t>2.13 不可抗力</w:t>
      </w:r>
      <w:bookmarkEnd w:id="477"/>
      <w:bookmarkEnd w:id="478"/>
      <w:bookmarkEnd w:id="47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2" w:firstLineChars="200"/>
        <w:outlineLvl w:val="0"/>
        <w:rPr>
          <w:rFonts w:hint="eastAsia" w:ascii="仿宋_GB2312" w:hAnsi="楷体" w:eastAsia="仿宋_GB2312"/>
          <w:b/>
          <w:sz w:val="24"/>
        </w:rPr>
      </w:pPr>
      <w:bookmarkStart w:id="480" w:name="_Toc30676"/>
      <w:bookmarkStart w:id="481" w:name="_Toc487900365"/>
      <w:bookmarkStart w:id="482" w:name="_Toc259093684"/>
      <w:bookmarkStart w:id="483" w:name="_Toc689"/>
      <w:bookmarkStart w:id="484" w:name="_Toc6969"/>
      <w:bookmarkStart w:id="485" w:name="_Toc279701255"/>
      <w:r>
        <w:rPr>
          <w:rFonts w:hint="eastAsia" w:ascii="仿宋_GB2312" w:hAnsi="楷体" w:eastAsia="仿宋_GB2312"/>
          <w:b/>
          <w:sz w:val="24"/>
        </w:rPr>
        <w:t>2.14 税费</w:t>
      </w:r>
      <w:bookmarkEnd w:id="480"/>
      <w:bookmarkEnd w:id="481"/>
      <w:bookmarkEnd w:id="482"/>
      <w:bookmarkEnd w:id="483"/>
      <w:bookmarkEnd w:id="484"/>
      <w:bookmarkEnd w:id="48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w:t>
      </w:r>
    </w:p>
    <w:p>
      <w:pPr>
        <w:spacing w:line="360" w:lineRule="auto"/>
        <w:ind w:firstLine="482" w:firstLineChars="200"/>
        <w:outlineLvl w:val="0"/>
        <w:rPr>
          <w:rFonts w:hint="eastAsia" w:ascii="仿宋_GB2312" w:hAnsi="楷体" w:eastAsia="仿宋_GB2312"/>
          <w:b/>
          <w:sz w:val="24"/>
        </w:rPr>
      </w:pPr>
      <w:bookmarkStart w:id="486" w:name="_Toc16959"/>
      <w:bookmarkStart w:id="487" w:name="_Toc279701258"/>
      <w:bookmarkStart w:id="488" w:name="_Toc487900368"/>
      <w:bookmarkStart w:id="489" w:name="_Toc7102"/>
      <w:bookmarkStart w:id="490" w:name="_Toc8298"/>
      <w:bookmarkStart w:id="491" w:name="_Toc259093687"/>
      <w:r>
        <w:rPr>
          <w:rFonts w:hint="eastAsia" w:ascii="仿宋_GB2312" w:hAnsi="楷体" w:eastAsia="仿宋_GB2312"/>
          <w:b/>
          <w:sz w:val="24"/>
        </w:rPr>
        <w:t>2.15 乙方破产</w:t>
      </w:r>
      <w:bookmarkEnd w:id="486"/>
      <w:bookmarkEnd w:id="487"/>
      <w:bookmarkEnd w:id="488"/>
      <w:bookmarkEnd w:id="489"/>
      <w:bookmarkEnd w:id="490"/>
      <w:bookmarkEnd w:id="4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sz w:val="24"/>
        </w:rPr>
      </w:pPr>
      <w:bookmarkStart w:id="492" w:name="_Toc15387"/>
      <w:bookmarkStart w:id="493" w:name="_Toc6134"/>
      <w:bookmarkStart w:id="494" w:name="_Toc29333"/>
      <w:r>
        <w:rPr>
          <w:rFonts w:hint="eastAsia" w:ascii="仿宋_GB2312" w:hAnsi="楷体" w:eastAsia="仿宋_GB2312"/>
          <w:b/>
          <w:sz w:val="24"/>
        </w:rPr>
        <w:t>2.16 合同中止、终止</w:t>
      </w:r>
      <w:bookmarkEnd w:id="492"/>
      <w:bookmarkEnd w:id="493"/>
      <w:bookmarkEnd w:id="49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outlineLvl w:val="0"/>
        <w:rPr>
          <w:rFonts w:hint="eastAsia" w:ascii="仿宋_GB2312" w:hAnsi="楷体" w:eastAsia="仿宋_GB2312"/>
          <w:b/>
          <w:sz w:val="24"/>
        </w:rPr>
      </w:pPr>
      <w:bookmarkStart w:id="495" w:name="_Toc6596"/>
      <w:bookmarkStart w:id="496" w:name="_Toc1125"/>
      <w:bookmarkStart w:id="497" w:name="_Toc14563"/>
      <w:r>
        <w:rPr>
          <w:rFonts w:hint="eastAsia" w:ascii="仿宋_GB2312" w:hAnsi="楷体" w:eastAsia="仿宋_GB2312"/>
          <w:b/>
          <w:sz w:val="24"/>
        </w:rPr>
        <w:t>2.17 检验和验收</w:t>
      </w:r>
      <w:bookmarkEnd w:id="495"/>
      <w:bookmarkEnd w:id="496"/>
      <w:bookmarkEnd w:id="497"/>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2.17.1货物交付前，乙方应对货物的质量、数量等方面进行详细、全面的检验，并向甲方出具证明货物符合合同约定的文件；货物交付时，乙方在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67"/>
    <w:bookmarkEnd w:id="468"/>
    <w:bookmarkEnd w:id="469"/>
    <w:bookmarkEnd w:id="470"/>
    <w:p>
      <w:pPr>
        <w:spacing w:line="360" w:lineRule="auto"/>
        <w:ind w:firstLine="482" w:firstLineChars="200"/>
        <w:outlineLvl w:val="0"/>
        <w:rPr>
          <w:rFonts w:hint="eastAsia" w:ascii="仿宋_GB2312" w:hAnsi="楷体" w:eastAsia="仿宋_GB2312"/>
          <w:b/>
          <w:sz w:val="24"/>
        </w:rPr>
      </w:pPr>
      <w:bookmarkStart w:id="498" w:name="_Toc259093690"/>
      <w:bookmarkStart w:id="499" w:name="_Toc279701261"/>
      <w:bookmarkStart w:id="500" w:name="_Toc487900371"/>
      <w:bookmarkStart w:id="501" w:name="_Toc19604"/>
      <w:bookmarkStart w:id="502" w:name="_Toc11284"/>
      <w:bookmarkStart w:id="503" w:name="_Toc25182"/>
      <w:r>
        <w:rPr>
          <w:rFonts w:hint="eastAsia" w:ascii="仿宋_GB2312" w:hAnsi="楷体" w:eastAsia="仿宋_GB2312"/>
          <w:b/>
          <w:sz w:val="24"/>
        </w:rPr>
        <w:t>2.18 通知</w:t>
      </w:r>
      <w:bookmarkEnd w:id="498"/>
      <w:bookmarkEnd w:id="499"/>
      <w:bookmarkEnd w:id="500"/>
      <w:r>
        <w:rPr>
          <w:rFonts w:hint="eastAsia" w:ascii="仿宋_GB2312" w:hAnsi="楷体" w:eastAsia="仿宋_GB2312"/>
          <w:b/>
          <w:sz w:val="24"/>
        </w:rPr>
        <w:t>和送达</w:t>
      </w:r>
      <w:bookmarkEnd w:id="501"/>
      <w:bookmarkEnd w:id="502"/>
      <w:bookmarkEnd w:id="503"/>
    </w:p>
    <w:p>
      <w:pPr>
        <w:spacing w:line="360" w:lineRule="auto"/>
        <w:ind w:firstLine="480" w:firstLineChars="200"/>
        <w:rPr>
          <w:rFonts w:hint="eastAsia" w:ascii="仿宋_GB2312" w:hAnsi="楷体" w:eastAsia="仿宋_GB2312"/>
          <w:sz w:val="24"/>
        </w:rPr>
      </w:pPr>
      <w:bookmarkStart w:id="504" w:name="_Toc6698"/>
      <w:bookmarkStart w:id="505" w:name="_Toc3135"/>
      <w:bookmarkStart w:id="506" w:name="_Toc487900372"/>
      <w:bookmarkStart w:id="507" w:name="_Toc279701262"/>
      <w:bookmarkStart w:id="508"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 xml:space="preserve">          </w:t>
      </w:r>
      <w:r>
        <w:rPr>
          <w:rFonts w:hint="eastAsia" w:ascii="仿宋_GB2312" w:hAnsi="楷体" w:eastAsia="仿宋_GB2312"/>
          <w:sz w:val="24"/>
        </w:rPr>
        <w:t>发出的所有通知、文件、材料，均视为已向对方当事人送达；任何一方变更上述送达方式或者地址的，应于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04"/>
      <w:bookmarkEnd w:id="505"/>
    </w:p>
    <w:p>
      <w:pPr>
        <w:spacing w:line="360" w:lineRule="auto"/>
        <w:ind w:firstLine="480" w:firstLineChars="200"/>
        <w:rPr>
          <w:rFonts w:hint="eastAsia" w:ascii="仿宋_GB2312" w:hAnsi="楷体" w:eastAsia="仿宋_GB2312"/>
          <w:sz w:val="24"/>
        </w:rPr>
      </w:pPr>
      <w:bookmarkStart w:id="509" w:name="_Toc23128"/>
      <w:bookmarkStart w:id="510"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pPr>
        <w:spacing w:line="360" w:lineRule="auto"/>
        <w:ind w:firstLine="482" w:firstLineChars="200"/>
        <w:outlineLvl w:val="0"/>
        <w:rPr>
          <w:rFonts w:hint="eastAsia" w:ascii="仿宋_GB2312" w:hAnsi="楷体" w:eastAsia="仿宋_GB2312"/>
          <w:b/>
          <w:sz w:val="24"/>
        </w:rPr>
      </w:pPr>
      <w:bookmarkStart w:id="511" w:name="_Toc30599"/>
      <w:bookmarkStart w:id="512" w:name="_Toc18540"/>
      <w:bookmarkStart w:id="513" w:name="_Toc4355"/>
      <w:r>
        <w:rPr>
          <w:rFonts w:hint="eastAsia" w:ascii="仿宋_GB2312" w:hAnsi="楷体" w:eastAsia="仿宋_GB2312"/>
          <w:b/>
          <w:sz w:val="24"/>
        </w:rPr>
        <w:t>2.19 计量单位</w:t>
      </w:r>
      <w:bookmarkEnd w:id="506"/>
      <w:bookmarkEnd w:id="507"/>
      <w:bookmarkEnd w:id="508"/>
      <w:bookmarkEnd w:id="511"/>
      <w:bookmarkEnd w:id="512"/>
      <w:bookmarkEnd w:id="51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sz w:val="24"/>
        </w:rPr>
      </w:pPr>
      <w:bookmarkStart w:id="514" w:name="_Toc487900373"/>
      <w:bookmarkStart w:id="515" w:name="_Toc10330"/>
      <w:bookmarkStart w:id="516" w:name="_Toc259093692"/>
      <w:bookmarkStart w:id="517" w:name="_Toc18567"/>
      <w:bookmarkStart w:id="518" w:name="_Toc12773"/>
      <w:bookmarkStart w:id="519" w:name="_Toc279701263"/>
      <w:r>
        <w:rPr>
          <w:rFonts w:hint="eastAsia" w:ascii="仿宋_GB2312" w:hAnsi="楷体" w:eastAsia="仿宋_GB2312"/>
          <w:b/>
          <w:sz w:val="24"/>
        </w:rPr>
        <w:t>2.20 合同使用的文字和适用的法律</w:t>
      </w:r>
      <w:bookmarkEnd w:id="514"/>
      <w:bookmarkEnd w:id="515"/>
      <w:bookmarkEnd w:id="516"/>
      <w:bookmarkEnd w:id="517"/>
      <w:bookmarkEnd w:id="518"/>
      <w:bookmarkEnd w:id="5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hint="eastAsia" w:ascii="仿宋_GB2312" w:hAnsi="楷体" w:eastAsia="仿宋_GB2312"/>
          <w:b/>
          <w:sz w:val="24"/>
        </w:rPr>
      </w:pPr>
      <w:bookmarkStart w:id="520" w:name="_Toc3148"/>
      <w:bookmarkStart w:id="521" w:name="_Toc16673"/>
      <w:bookmarkStart w:id="522" w:name="_Toc259093693"/>
      <w:bookmarkStart w:id="523" w:name="_Toc279701264"/>
      <w:bookmarkStart w:id="524" w:name="_Toc12004"/>
      <w:bookmarkStart w:id="525" w:name="_Toc487900374"/>
      <w:r>
        <w:rPr>
          <w:rFonts w:hint="eastAsia" w:ascii="仿宋_GB2312" w:hAnsi="楷体" w:eastAsia="仿宋_GB2312"/>
          <w:b/>
          <w:sz w:val="24"/>
        </w:rPr>
        <w:t>2.21 履约保证金</w:t>
      </w:r>
      <w:bookmarkEnd w:id="520"/>
      <w:bookmarkEnd w:id="521"/>
      <w:bookmarkEnd w:id="522"/>
      <w:bookmarkEnd w:id="523"/>
      <w:bookmarkEnd w:id="52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2.21.1 采购文件要求乙方提交履约保证金的，乙方应按</w:t>
      </w:r>
      <w:r>
        <w:rPr>
          <w:rFonts w:hint="eastAsia" w:ascii="仿宋_GB2312" w:hAnsi="楷体" w:eastAsia="仿宋_GB2312"/>
          <w:b/>
          <w:i/>
          <w:sz w:val="24"/>
          <w:u w:val="single"/>
        </w:rPr>
        <w:t>合同专用条款</w:t>
      </w:r>
      <w:r>
        <w:rPr>
          <w:rFonts w:hint="eastAsia" w:ascii="仿宋_GB2312" w:hAnsi="楷体" w:eastAsia="仿宋_GB2312"/>
          <w:sz w:val="24"/>
        </w:rPr>
        <w:t>约定的方式，以支票、汇票、本票或者金融机构、担保机构出具的保函等非现金形式，提交不超过合同价5%的履约保证金；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b/>
          <w:i/>
          <w:sz w:val="24"/>
          <w:u w:val="single"/>
        </w:rPr>
        <w:t>合同专用条款</w:t>
      </w:r>
      <w:r>
        <w:rPr>
          <w:rFonts w:hint="eastAsia" w:ascii="仿宋_GB2312" w:hAnsi="楷体" w:eastAsia="仿宋_GB2312"/>
          <w:sz w:val="24"/>
        </w:rPr>
        <w:t>约定期间内或者货物质量保证期内不予退还或者应完全有效，前述约定期间届满或者货物质量保证期届满之日起</w:t>
      </w:r>
      <w:r>
        <w:rPr>
          <w:rFonts w:hint="eastAsia" w:ascii="仿宋_GB2312" w:hAnsi="楷体" w:eastAsia="仿宋_GB2312"/>
          <w:sz w:val="24"/>
          <w:u w:val="single"/>
        </w:rPr>
        <w:t xml:space="preserve">  </w:t>
      </w:r>
      <w:r>
        <w:rPr>
          <w:rFonts w:hint="eastAsia" w:ascii="仿宋_GB2312" w:hAnsi="楷体" w:eastAsia="仿宋_GB2312"/>
          <w:sz w:val="24"/>
        </w:rPr>
        <w:t>个工作日内，甲方应将履约保证金退还乙方；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5"/>
    <w:p>
      <w:pPr>
        <w:spacing w:line="360" w:lineRule="auto"/>
        <w:ind w:firstLine="482" w:firstLineChars="200"/>
        <w:outlineLvl w:val="0"/>
        <w:rPr>
          <w:rFonts w:hint="eastAsia" w:ascii="仿宋_GB2312" w:hAnsi="楷体" w:eastAsia="仿宋_GB2312"/>
          <w:b/>
          <w:sz w:val="24"/>
        </w:rPr>
      </w:pPr>
      <w:bookmarkStart w:id="526" w:name="_Toc19890"/>
      <w:bookmarkStart w:id="527" w:name="_Toc6885"/>
      <w:bookmarkStart w:id="528" w:name="_Toc14001"/>
      <w:r>
        <w:rPr>
          <w:rFonts w:hint="eastAsia" w:ascii="仿宋_GB2312" w:hAnsi="楷体" w:eastAsia="仿宋_GB2312"/>
          <w:b/>
          <w:sz w:val="24"/>
        </w:rPr>
        <w:t>2.22 合同份数</w:t>
      </w:r>
      <w:bookmarkEnd w:id="526"/>
      <w:bookmarkEnd w:id="527"/>
      <w:bookmarkEnd w:id="5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合同份数按</w:t>
      </w:r>
      <w:r>
        <w:rPr>
          <w:rFonts w:hint="eastAsia" w:ascii="仿宋_GB2312" w:hAnsi="楷体" w:eastAsia="仿宋_GB2312"/>
          <w:b/>
          <w:i/>
          <w:sz w:val="24"/>
          <w:u w:val="single"/>
        </w:rPr>
        <w:t>合同专用条款</w:t>
      </w:r>
      <w:r>
        <w:rPr>
          <w:rFonts w:hint="eastAsia" w:ascii="仿宋_GB2312" w:hAnsi="楷体" w:eastAsia="仿宋_GB2312"/>
          <w:sz w:val="24"/>
        </w:rPr>
        <w:t>规定，每份均具有同等法律效力。</w:t>
      </w:r>
    </w:p>
    <w:p>
      <w:pPr>
        <w:pStyle w:val="19"/>
        <w:jc w:val="center"/>
        <w:rPr>
          <w:rFonts w:hint="eastAsia" w:ascii="仿宋_GB2312" w:hAnsi="楷体" w:eastAsia="仿宋_GB2312"/>
          <w:b/>
          <w:szCs w:val="24"/>
        </w:rPr>
      </w:pPr>
      <w:r>
        <w:rPr>
          <w:rFonts w:hint="eastAsia" w:ascii="仿宋_GB2312" w:hAnsi="楷体" w:eastAsia="仿宋_GB2312"/>
          <w:szCs w:val="24"/>
        </w:rPr>
        <w:br w:type="page"/>
      </w:r>
      <w:bookmarkStart w:id="529" w:name="_Toc331685784"/>
      <w:r>
        <w:rPr>
          <w:rFonts w:hint="eastAsia" w:ascii="仿宋_GB2312" w:hAnsi="楷体" w:eastAsia="仿宋_GB2312"/>
          <w:b/>
          <w:szCs w:val="24"/>
        </w:rPr>
        <w:t>第三部分  合同专用条款</w:t>
      </w:r>
      <w:bookmarkEnd w:id="52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条款号</w:t>
            </w:r>
          </w:p>
        </w:tc>
        <w:tc>
          <w:tcPr>
            <w:tcW w:w="7633" w:type="dxa"/>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bl>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pStyle w:val="15"/>
        <w:numPr>
          <w:ilvl w:val="0"/>
          <w:numId w:val="0"/>
        </w:numPr>
        <w:jc w:val="center"/>
        <w:rPr>
          <w:rFonts w:hint="eastAsia" w:ascii="仿宋" w:hAnsi="仿宋" w:eastAsia="仿宋" w:cs="仿宋_GB2312"/>
          <w:b/>
          <w:sz w:val="36"/>
          <w:szCs w:val="36"/>
        </w:rPr>
      </w:pPr>
    </w:p>
    <w:p>
      <w:pPr>
        <w:snapToGrid w:val="0"/>
        <w:spacing w:line="360" w:lineRule="auto"/>
        <w:jc w:val="both"/>
        <w:rPr>
          <w:rFonts w:hint="eastAsia" w:ascii="仿宋_GB2312" w:hAnsi="仿宋" w:eastAsia="仿宋_GB2312" w:cs="仿宋_GB2312"/>
          <w:b/>
          <w:sz w:val="36"/>
        </w:rPr>
      </w:pPr>
    </w:p>
    <w:p>
      <w:pPr>
        <w:snapToGrid w:val="0"/>
        <w:spacing w:line="360" w:lineRule="auto"/>
        <w:jc w:val="center"/>
        <w:rPr>
          <w:rFonts w:ascii="仿宋_GB2312" w:hAnsi="仿宋" w:eastAsia="仿宋_GB2312" w:cs="仿宋_GB2312"/>
          <w:b/>
          <w:sz w:val="36"/>
        </w:rPr>
      </w:pPr>
      <w:r>
        <w:rPr>
          <w:rFonts w:hint="eastAsia" w:ascii="仿宋_GB2312" w:hAnsi="仿宋" w:eastAsia="仿宋_GB2312" w:cs="仿宋_GB2312"/>
          <w:b/>
          <w:sz w:val="36"/>
        </w:rPr>
        <w:t>第六部分 应提交的有关格式范例</w:t>
      </w:r>
    </w:p>
    <w:p>
      <w:pPr>
        <w:spacing w:line="360" w:lineRule="auto"/>
        <w:ind w:firstLine="480" w:firstLineChars="200"/>
        <w:outlineLvl w:val="0"/>
        <w:rPr>
          <w:rFonts w:hint="eastAsia" w:ascii="仿宋_GB2312" w:hAnsi="仿宋" w:eastAsia="仿宋_GB2312" w:cs="仿宋_GB2312"/>
          <w:sz w:val="24"/>
          <w:lang w:eastAsia="zh-CN"/>
        </w:rPr>
      </w:pPr>
      <w:r>
        <w:rPr>
          <w:rFonts w:hint="eastAsia" w:ascii="仿宋_GB2312" w:hAnsi="仿宋" w:eastAsia="仿宋_GB2312" w:cs="仿宋_GB2312"/>
          <w:sz w:val="24"/>
        </w:rPr>
        <w:t>投标人按照以下格式编制投标文件</w:t>
      </w:r>
      <w:r>
        <w:rPr>
          <w:rFonts w:hint="eastAsia" w:ascii="仿宋_GB2312" w:hAnsi="仿宋" w:eastAsia="仿宋_GB2312" w:cs="仿宋_GB2312"/>
          <w:sz w:val="24"/>
          <w:lang w:eastAsia="zh-CN"/>
        </w:rPr>
        <w:t>。</w:t>
      </w:r>
    </w:p>
    <w:p>
      <w:pPr>
        <w:spacing w:line="360" w:lineRule="auto"/>
        <w:jc w:val="center"/>
        <w:outlineLvl w:val="0"/>
        <w:rPr>
          <w:rFonts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、税务登记证(或其它缴纳证明材料)复印件、社保登记证</w:t>
      </w:r>
      <w:r>
        <w:rPr>
          <w:rFonts w:hint="eastAsia" w:ascii="仿宋_GB2312" w:hAnsi="仿宋" w:eastAsia="仿宋_GB2312"/>
          <w:sz w:val="24"/>
        </w:rPr>
        <w:t>（或其它缴纳证明材料）</w:t>
      </w:r>
      <w:r>
        <w:rPr>
          <w:rFonts w:hint="eastAsia" w:ascii="仿宋_GB2312" w:hAnsi="仿宋" w:eastAsia="仿宋_GB2312" w:cs="仿宋_GB2312"/>
          <w:sz w:val="24"/>
        </w:rPr>
        <w:t>复印件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（2）法定代表人授权书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w:t>
      </w:r>
      <w:r>
        <w:rPr>
          <w:rFonts w:hint="eastAsia" w:ascii="仿宋_GB2312" w:hAnsi="仿宋" w:eastAsia="仿宋_GB2312" w:cs="仿宋_GB2312"/>
          <w:sz w:val="24"/>
          <w:lang w:val="en-US" w:eastAsia="zh-CN"/>
        </w:rPr>
        <w:t>2019</w:t>
      </w:r>
      <w:r>
        <w:rPr>
          <w:rFonts w:hint="eastAsia" w:ascii="仿宋_GB2312" w:hAnsi="仿宋" w:eastAsia="仿宋_GB2312" w:cs="仿宋_GB2312"/>
          <w:sz w:val="24"/>
        </w:rPr>
        <w:t>年度资产负债表等财务报表资料文件(新成立的公司，提供情况说明)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pStyle w:val="2"/>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napToGrid w:val="0"/>
        <w:spacing w:line="360" w:lineRule="auto"/>
        <w:rPr>
          <w:rFonts w:hint="eastAsia"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营业执照或事业法人登记证证明材料（复印件）、税务缴纳证明文件（复印件）、社保缴纳证明文件（复印件）</w:t>
      </w:r>
    </w:p>
    <w:p>
      <w:pPr>
        <w:spacing w:line="360" w:lineRule="auto"/>
        <w:jc w:val="center"/>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二、法定代表人授权书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22"/>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22"/>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2"/>
              <w:spacing w:line="360" w:lineRule="auto"/>
              <w:rPr>
                <w:rFonts w:ascii="仿宋_GB2312" w:hAnsi="仿宋" w:eastAsia="仿宋_GB2312"/>
                <w:bCs/>
                <w:sz w:val="24"/>
              </w:rPr>
            </w:pPr>
          </w:p>
        </w:tc>
      </w:tr>
    </w:tbl>
    <w:p>
      <w:pPr>
        <w:pStyle w:val="22"/>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2"/>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2"/>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pacing w:line="360" w:lineRule="auto"/>
        <w:rPr>
          <w:rFonts w:ascii="仿宋_GB2312" w:hAnsi="仿宋" w:eastAsia="仿宋_GB2312" w:cs="仿宋_GB2312"/>
          <w:b/>
          <w:sz w:val="30"/>
          <w:szCs w:val="30"/>
        </w:rPr>
      </w:pPr>
      <w:r>
        <w:rPr>
          <w:rFonts w:hint="eastAsia" w:ascii="仿宋_GB2312" w:hAnsi="仿宋" w:eastAsia="仿宋_GB2312" w:cs="仿宋_GB2312"/>
          <w:b/>
          <w:sz w:val="30"/>
          <w:szCs w:val="30"/>
        </w:rPr>
        <w:t>四、</w:t>
      </w:r>
      <w:r>
        <w:rPr>
          <w:rFonts w:hint="eastAsia" w:ascii="仿宋_GB2312" w:hAnsi="仿宋" w:eastAsia="仿宋_GB2312" w:cs="仿宋_GB2312"/>
          <w:b/>
          <w:sz w:val="30"/>
          <w:szCs w:val="30"/>
          <w:lang w:val="en-US" w:eastAsia="zh-CN"/>
        </w:rPr>
        <w:t>2019</w:t>
      </w:r>
      <w:r>
        <w:rPr>
          <w:rFonts w:hint="eastAsia" w:ascii="仿宋_GB2312" w:hAnsi="仿宋" w:eastAsia="仿宋_GB2312" w:cs="仿宋_GB2312"/>
          <w:b/>
          <w:sz w:val="30"/>
          <w:szCs w:val="30"/>
        </w:rPr>
        <w:t>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16"/>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2"/>
          <w:szCs w:val="32"/>
          <w:lang w:eastAsia="zh-CN"/>
        </w:rPr>
        <w:t>九</w:t>
      </w:r>
      <w:r>
        <w:rPr>
          <w:rFonts w:hint="eastAsia" w:ascii="仿宋" w:hAnsi="仿宋" w:eastAsia="仿宋" w:cs="仿宋_GB2312"/>
          <w:b/>
          <w:sz w:val="30"/>
          <w:szCs w:val="30"/>
        </w:rPr>
        <w:t>、联合体协议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各方经协商一致，决定组成一个联合体，以一个投标人的身份就项目名称：</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w:t>
      </w:r>
      <w:r>
        <w:rPr>
          <w:rFonts w:hint="eastAsia" w:ascii="仿宋" w:hAnsi="仿宋" w:eastAsia="仿宋" w:cs="仿宋_GB2312"/>
          <w:kern w:val="0"/>
          <w:sz w:val="24"/>
          <w:lang w:val="zh-CN"/>
        </w:rPr>
        <w:t xml:space="preserve">共同投标。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（电子签名）          乙方单位：          （电子签名）</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kern w:val="0"/>
          <w:sz w:val="24"/>
          <w:lang w:val="zh-CN"/>
        </w:rPr>
        <w:t>日期：    年   月   日                  日期：    年   月   日</w:t>
      </w:r>
    </w:p>
    <w:p>
      <w:pPr>
        <w:spacing w:line="360" w:lineRule="auto"/>
        <w:ind w:firstLine="480" w:firstLineChars="200"/>
        <w:rPr>
          <w:rFonts w:hint="eastAsia"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6"/>
          <w:szCs w:val="36"/>
        </w:rPr>
      </w:pPr>
      <w:r>
        <w:rPr>
          <w:rFonts w:hint="eastAsia" w:ascii="仿宋_GB2312" w:hAnsi="仿宋" w:eastAsia="仿宋_GB2312" w:cs="仿宋_GB2312"/>
          <w:b/>
          <w:bCs/>
          <w:sz w:val="32"/>
          <w:szCs w:val="32"/>
        </w:rPr>
        <w:br w:type="page"/>
      </w: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（1）投标响应函……………………………………………………（页码）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（2）投标（开标）一览表…………………………………………（页码）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（3）中小企业声明函………………………………………………（页码）</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(投标人全称)授权</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(全权代表姓名)</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(职务、职称)为全权代表，参加贵方组织的</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1、我方同意在投标人</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(2)遵守国家法律、行政法规，具有良好的信誉和商业道德；</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(3)具有履行合同的能力和良好的履行合同记录；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(4)良好的资金、财务状况；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(6)没有违反政府采购法规、政策的记录；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(7)没有发生重大经济纠纷和走私犯罪记录。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3、我方中标后拟在中标后将</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工作分包，分包承担主体是</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，我方承诺分包承担主体具备相应资质条件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，且不再次分包。（不再将工作进行分包或本项目不允许分包的，下划线处填写“/”。）</w:t>
      </w:r>
    </w:p>
    <w:p>
      <w:pPr>
        <w:pStyle w:val="7"/>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4、提供</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规定的全部投标文件</w:t>
      </w:r>
      <w:r>
        <w:rPr>
          <w:rFonts w:hint="eastAsia" w:ascii="仿宋_GB2312" w:hAnsi="仿宋" w:eastAsia="仿宋_GB2312" w:cs="仿宋_GB2312"/>
          <w:kern w:val="44"/>
          <w:sz w:val="24"/>
        </w:rPr>
        <w:t>。</w:t>
      </w:r>
      <w:r>
        <w:rPr>
          <w:rFonts w:hint="eastAsia" w:ascii="仿宋_GB2312" w:hAnsi="仿宋" w:eastAsia="仿宋_GB2312" w:cs="仿宋_GB2312"/>
          <w:sz w:val="24"/>
        </w:rPr>
        <w:t>具体内容为：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(2)投标</w:t>
      </w:r>
      <w:r>
        <w:rPr>
          <w:rFonts w:hint="eastAsia" w:ascii="仿宋_GB2312" w:hAnsi="仿宋" w:eastAsia="仿宋_GB2312" w:cs="仿宋_GB2312"/>
          <w:kern w:val="0"/>
          <w:sz w:val="24"/>
          <w:lang w:val="zh-CN"/>
        </w:rPr>
        <w:t>技术文件和</w:t>
      </w:r>
      <w:r>
        <w:rPr>
          <w:rFonts w:hint="eastAsia" w:ascii="仿宋_GB2312" w:hAnsi="仿宋" w:eastAsia="仿宋_GB2312" w:cs="仿宋_GB2312"/>
          <w:sz w:val="24"/>
          <w:lang w:val="zh-CN"/>
        </w:rPr>
        <w:t>商务文件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要求投标人提交的全部文件；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(6)保证遵守招标文件中的其他有关规定。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6、我方完全理解贵方不一定要接受最低价的投标。</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a)提供虚假材料谋取中标、成交的；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b)采取不正当手段诋毁、排挤其他供应商的；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c)与采购人、其它供应商或者采购机构恶意串通的；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d)向采购人、采购机构行贿或者提供其他不正当利益的；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e)在招标采购过程中与采购人进行协商谈判的；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f)拒绝有关部门监督检查或提供虚假情况的。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供应商有前款第a)至e)项情形之一的，中标、成交无效。</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联系电话： </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联系地址：</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邮政编码：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传真号码：</w:t>
      </w:r>
      <w:r>
        <w:rPr>
          <w:rFonts w:hint="eastAsia" w:ascii="仿宋_GB2312" w:hAnsi="仿宋" w:eastAsia="仿宋_GB2312" w:cs="仿宋_GB2312"/>
          <w:kern w:val="0"/>
          <w:sz w:val="24"/>
          <w:u w:val="single"/>
          <w:lang w:val="zh-CN"/>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b/>
          <w:kern w:val="0"/>
          <w:sz w:val="24"/>
          <w:lang w:val="zh-CN"/>
        </w:rPr>
        <w:t>注：未按照本投标响应函要求填报的将被视为非实质性响应投标，从而可能导致该投标被拒绝。</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rPr>
          <w:rFonts w:hint="eastAsia" w:ascii="仿宋_GB2312" w:hAnsi="仿宋" w:eastAsia="仿宋_GB2312" w:cs="仿宋_GB2312"/>
          <w:kern w:val="2"/>
          <w:sz w:val="32"/>
          <w:szCs w:val="32"/>
        </w:rPr>
        <w:sectPr>
          <w:pgSz w:w="11906" w:h="16838"/>
          <w:pgMar w:top="680" w:right="1417" w:bottom="471" w:left="1417" w:header="851" w:footer="992" w:gutter="0"/>
          <w:pgNumType w:fmt="decimal"/>
          <w:cols w:space="425" w:num="1"/>
          <w:docGrid w:type="lines" w:linePitch="312" w:charSpace="0"/>
        </w:sectPr>
      </w:pPr>
    </w:p>
    <w:p>
      <w:pPr>
        <w:pStyle w:val="3"/>
        <w:rPr>
          <w:rFonts w:hint="eastAsia"/>
        </w:rPr>
      </w:pPr>
    </w:p>
    <w:p>
      <w:pPr>
        <w:pStyle w:val="2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二、投标(开标)一览表</w:t>
      </w:r>
    </w:p>
    <w:p>
      <w:pPr>
        <w:snapToGrid w:val="0"/>
        <w:spacing w:line="360" w:lineRule="auto"/>
        <w:rPr>
          <w:rFonts w:ascii="仿宋_GB2312" w:hAnsi="仿宋" w:eastAsia="仿宋_GB2312" w:cs="仿宋_GB2312"/>
          <w:kern w:val="0"/>
          <w:sz w:val="24"/>
        </w:rPr>
      </w:pPr>
      <w:bookmarkStart w:id="530" w:name="_Toc86217005"/>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77"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623" w:type="pct"/>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06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42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430"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67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062" w:type="pct"/>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591" w:type="pct"/>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591" w:type="pct"/>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ind w:right="480"/>
        <w:jc w:val="center"/>
        <w:rPr>
          <w:rFonts w:ascii="仿宋_GB2312" w:hAnsi="仿宋" w:eastAsia="仿宋_GB2312" w:cs="仿宋_GB2312"/>
          <w:sz w:val="24"/>
        </w:rPr>
      </w:pPr>
    </w:p>
    <w:bookmarkEnd w:id="530"/>
    <w:p>
      <w:pPr>
        <w:pStyle w:val="24"/>
        <w:keepNext w:val="0"/>
        <w:pageBreakBefore w:val="0"/>
        <w:tabs>
          <w:tab w:val="clear" w:pos="720"/>
        </w:tabs>
        <w:snapToGrid w:val="0"/>
        <w:spacing w:before="120" w:after="120"/>
        <w:jc w:val="both"/>
        <w:outlineLvl w:val="9"/>
        <w:rPr>
          <w:rFonts w:hint="eastAsia" w:ascii="仿宋_GB2312" w:hAnsi="仿宋" w:eastAsia="仿宋_GB2312" w:cs="仿宋_GB2312"/>
          <w:kern w:val="2"/>
          <w:sz w:val="32"/>
          <w:szCs w:val="32"/>
        </w:rPr>
      </w:pPr>
    </w:p>
    <w:p>
      <w:pPr>
        <w:pStyle w:val="24"/>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r>
        <w:rPr>
          <w:rFonts w:hint="eastAsia" w:ascii="仿宋_GB2312" w:hAnsi="仿宋" w:eastAsia="仿宋_GB2312" w:cs="仿宋_GB2312"/>
          <w:kern w:val="2"/>
          <w:sz w:val="32"/>
          <w:szCs w:val="32"/>
          <w:lang w:eastAsia="zh-CN"/>
        </w:rPr>
        <w:t>（货物）</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ind w:left="0" w:leftChars="0" w:firstLine="0" w:firstLineChars="0"/>
        <w:rPr>
          <w:rFonts w:hint="eastAsia" w:ascii="仿宋_GB2312" w:hAnsi="仿宋" w:eastAsia="仿宋_GB2312" w:cs="仿宋_GB2312"/>
          <w:sz w:val="36"/>
          <w:szCs w:val="36"/>
          <w:lang w:val="zh-CN"/>
        </w:rPr>
      </w:pPr>
    </w:p>
    <w:p>
      <w:pPr>
        <w:pStyle w:val="2"/>
        <w:ind w:left="0" w:leftChars="0" w:firstLine="0" w:firstLineChars="0"/>
        <w:rPr>
          <w:rFonts w:hint="eastAsia" w:ascii="仿宋_GB2312" w:hAnsi="仿宋" w:eastAsia="仿宋_GB2312" w:cs="仿宋_GB2312"/>
          <w:sz w:val="36"/>
          <w:szCs w:val="36"/>
          <w:lang w:val="zh-CN"/>
        </w:rPr>
      </w:pPr>
    </w:p>
    <w:p>
      <w:pPr>
        <w:pStyle w:val="2"/>
        <w:ind w:left="0" w:leftChars="0" w:firstLine="0" w:firstLineChars="0"/>
        <w:rPr>
          <w:rFonts w:hint="eastAsia" w:ascii="仿宋_GB2312" w:hAnsi="仿宋" w:eastAsia="仿宋_GB2312" w:cs="仿宋_GB2312"/>
          <w:sz w:val="36"/>
          <w:szCs w:val="36"/>
          <w:lang w:val="zh-CN"/>
        </w:rPr>
      </w:pPr>
    </w:p>
    <w:p>
      <w:pPr>
        <w:pStyle w:val="2"/>
        <w:ind w:left="0" w:leftChars="0" w:firstLine="0" w:firstLineChars="0"/>
        <w:rPr>
          <w:rFonts w:hint="eastAsia"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26"/>
        <w:spacing w:line="360" w:lineRule="auto"/>
        <w:rPr>
          <w:rFonts w:cs="仿宋_GB2312"/>
        </w:rPr>
      </w:pPr>
      <w:r>
        <w:rPr>
          <w:rFonts w:hint="eastAsia" w:cs="仿宋_GB2312"/>
        </w:rPr>
        <w:t>（</w:t>
      </w:r>
      <w:r>
        <w:rPr>
          <w:rFonts w:hint="eastAsia" w:cs="仿宋_GB2312"/>
          <w:lang w:val="en-US" w:eastAsia="zh-CN"/>
        </w:rPr>
        <w:t>1</w:t>
      </w:r>
      <w:r>
        <w:rPr>
          <w:rFonts w:hint="eastAsia" w:cs="仿宋_GB2312"/>
        </w:rPr>
        <w:t>）资信文件复印件（如果要求提供）…………………………… （页码）</w:t>
      </w:r>
    </w:p>
    <w:p>
      <w:pPr>
        <w:pStyle w:val="26"/>
        <w:spacing w:line="360" w:lineRule="auto"/>
        <w:rPr>
          <w:rFonts w:cs="仿宋_GB2312"/>
        </w:rPr>
      </w:pPr>
      <w:r>
        <w:rPr>
          <w:rFonts w:hint="eastAsia" w:cs="仿宋_GB2312"/>
        </w:rPr>
        <w:t>（</w:t>
      </w:r>
      <w:r>
        <w:rPr>
          <w:rFonts w:hint="eastAsia" w:cs="仿宋_GB2312"/>
          <w:lang w:val="en-US" w:eastAsia="zh-CN"/>
        </w:rPr>
        <w:t>2</w:t>
      </w:r>
      <w:r>
        <w:rPr>
          <w:rFonts w:hint="eastAsia" w:cs="仿宋_GB2312"/>
        </w:rPr>
        <w:t>）</w:t>
      </w:r>
      <w:r>
        <w:rPr>
          <w:rFonts w:hint="eastAsia" w:cs="仿宋_GB2312"/>
          <w:lang w:val="zh-CN"/>
        </w:rPr>
        <w:t>主要业绩证明… …………………………………………………</w:t>
      </w:r>
      <w:r>
        <w:rPr>
          <w:rFonts w:hint="eastAsia" w:cs="仿宋_GB2312"/>
        </w:rPr>
        <w:t>（页码）</w:t>
      </w:r>
    </w:p>
    <w:p>
      <w:pPr>
        <w:pStyle w:val="26"/>
        <w:spacing w:line="360" w:lineRule="auto"/>
        <w:rPr>
          <w:rFonts w:cs="仿宋_GB2312"/>
        </w:rPr>
      </w:pPr>
      <w:bookmarkStart w:id="531" w:name="OLE_LINK6"/>
      <w:bookmarkStart w:id="532" w:name="OLE_LINK7"/>
      <w:bookmarkStart w:id="533" w:name="OLE_LINK5"/>
      <w:r>
        <w:rPr>
          <w:rFonts w:hint="eastAsia" w:cs="仿宋_GB2312"/>
        </w:rPr>
        <w:t>（</w:t>
      </w:r>
      <w:r>
        <w:rPr>
          <w:rFonts w:hint="eastAsia" w:cs="仿宋_GB2312"/>
          <w:lang w:val="en-US" w:eastAsia="zh-CN"/>
        </w:rPr>
        <w:t>3</w:t>
      </w:r>
      <w:r>
        <w:rPr>
          <w:rFonts w:hint="eastAsia" w:cs="仿宋_GB2312"/>
        </w:rPr>
        <w:t>）其他商务文件或说明</w:t>
      </w:r>
      <w:r>
        <w:rPr>
          <w:rFonts w:hint="eastAsia" w:cs="仿宋_GB2312"/>
          <w:lang w:val="zh-CN"/>
        </w:rPr>
        <w:t xml:space="preserve">…………………………………………… </w:t>
      </w:r>
      <w:r>
        <w:rPr>
          <w:rFonts w:hint="eastAsia" w:cs="仿宋_GB2312"/>
        </w:rPr>
        <w:t>（页码）</w:t>
      </w:r>
      <w:bookmarkEnd w:id="531"/>
      <w:bookmarkEnd w:id="532"/>
    </w:p>
    <w:bookmarkEnd w:id="533"/>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rPr>
        <w:t>）技术解决方案……………………………………………………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）技术偏离说明表…………………………………………………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6</w:t>
      </w:r>
      <w:r>
        <w:rPr>
          <w:rFonts w:hint="eastAsia" w:ascii="仿宋_GB2312" w:hAnsi="仿宋" w:eastAsia="仿宋_GB2312" w:cs="仿宋_GB2312"/>
          <w:kern w:val="0"/>
          <w:sz w:val="24"/>
        </w:rPr>
        <w:t>）组织实施方案……………………………………………………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7</w:t>
      </w:r>
      <w:r>
        <w:rPr>
          <w:rFonts w:hint="eastAsia" w:ascii="仿宋_GB2312" w:hAnsi="仿宋" w:eastAsia="仿宋_GB2312" w:cs="仿宋_GB2312"/>
          <w:kern w:val="0"/>
          <w:sz w:val="24"/>
        </w:rPr>
        <w:t>）售后服务方案……………………………………………………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8</w:t>
      </w:r>
      <w:r>
        <w:rPr>
          <w:rFonts w:hint="eastAsia" w:ascii="仿宋_GB2312" w:hAnsi="仿宋" w:eastAsia="仿宋_GB2312" w:cs="仿宋_GB2312"/>
          <w:kern w:val="0"/>
          <w:sz w:val="24"/>
        </w:rPr>
        <w:t>）项目小组人员名单………………………………………………（页码）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10</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备品备件及供选择的配套零部件清单（若有）………………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培训计划（若有）………………………………………………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验收计划…………………………………………………………</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3"/>
        <w:ind w:firstLine="480" w:firstLineChars="200"/>
        <w:rPr>
          <w:rFonts w:ascii="Arial" w:hAnsi="Arial" w:eastAsia="黑体"/>
          <w:snapToGrid w:val="0"/>
          <w:kern w:val="0"/>
          <w:sz w:val="20"/>
          <w:szCs w:val="21"/>
        </w:rPr>
      </w:pPr>
      <w:r>
        <w:rPr>
          <w:rFonts w:hint="eastAsia" w:ascii="仿宋_GB2312" w:hAnsi="仿宋" w:eastAsia="仿宋_GB2312" w:cs="仿宋_GB2312"/>
          <w:kern w:val="0"/>
          <w:sz w:val="24"/>
        </w:rPr>
        <w:t>（1</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w:t>
      </w:r>
      <w:r>
        <w:rPr>
          <w:rFonts w:hint="eastAsia" w:ascii="仿宋_GB2312" w:hAnsi="仿宋" w:eastAsia="仿宋_GB2312" w:cs="仿宋_GB2312"/>
          <w:kern w:val="0"/>
          <w:sz w:val="24"/>
          <w:lang w:eastAsia="zh-CN"/>
        </w:rPr>
        <w:t>其他</w:t>
      </w: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注：以上目录是基本格式要求，各投标人可根据自身情况进一步细化。</w:t>
      </w:r>
    </w:p>
    <w:p>
      <w:pPr>
        <w:pStyle w:val="15"/>
        <w:numPr>
          <w:ilvl w:val="0"/>
          <w:numId w:val="0"/>
        </w:numPr>
        <w:jc w:val="both"/>
        <w:rPr>
          <w:rFonts w:hint="eastAsia" w:ascii="仿宋" w:hAnsi="仿宋" w:eastAsia="仿宋" w:cs="仿宋_GB2312"/>
          <w:b/>
          <w:sz w:val="36"/>
          <w:szCs w:val="36"/>
        </w:rPr>
        <w:sectPr>
          <w:pgSz w:w="11906" w:h="16838"/>
          <w:pgMar w:top="680" w:right="1417" w:bottom="471" w:left="1417" w:header="851" w:footer="992" w:gutter="0"/>
          <w:pgNumType w:fmt="decimal"/>
          <w:cols w:space="425" w:num="1"/>
          <w:docGrid w:type="lines" w:linePitch="312" w:charSpace="0"/>
        </w:sect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lang w:eastAsia="zh-CN"/>
        </w:rPr>
        <w:t>一</w:t>
      </w:r>
      <w:r>
        <w:rPr>
          <w:rFonts w:hint="eastAsia" w:ascii="仿宋_GB2312" w:hAnsi="仿宋" w:eastAsia="仿宋_GB2312" w:cs="仿宋_GB2312"/>
          <w:b/>
          <w:sz w:val="32"/>
          <w:szCs w:val="32"/>
        </w:rPr>
        <w:t>、资信文件复印件（如果要求提供）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1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w:t>
      </w:r>
      <w:r>
        <w:rPr>
          <w:rFonts w:hint="eastAsia" w:ascii="仿宋_GB2312" w:hAnsi="仿宋" w:eastAsia="仿宋_GB2312" w:cs="仿宋_GB2312"/>
          <w:b/>
          <w:sz w:val="24"/>
          <w:lang w:eastAsia="zh-CN"/>
        </w:rPr>
        <w:t>（若需要）</w:t>
      </w:r>
      <w:r>
        <w:rPr>
          <w:rFonts w:hint="eastAsia" w:ascii="仿宋_GB2312" w:hAnsi="仿宋" w:eastAsia="仿宋_GB2312" w:cs="仿宋_GB2312"/>
          <w:b/>
          <w:sz w:val="24"/>
        </w:rPr>
        <w:t>并注明所在投标人商务文件页码。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w:t>
      </w:r>
      <w:bookmarkStart w:id="534" w:name="OLE_LINK17"/>
      <w:bookmarkStart w:id="535" w:name="OLE_LINK16"/>
      <w:r>
        <w:rPr>
          <w:rFonts w:hint="eastAsia" w:ascii="仿宋_GB2312" w:hAnsi="仿宋" w:eastAsia="仿宋_GB2312" w:cs="仿宋_GB2312"/>
          <w:b/>
          <w:bCs/>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536" w:name="OLE_LINK10"/>
      <w:bookmarkStart w:id="537" w:name="OLE_LINK11"/>
      <w:r>
        <w:rPr>
          <w:rFonts w:hint="eastAsia" w:ascii="仿宋_GB2312" w:hAnsi="仿宋" w:eastAsia="仿宋_GB2312" w:cs="仿宋_GB2312"/>
          <w:sz w:val="24"/>
        </w:rPr>
        <w:t>其他商务文件或说明由投标人根据采购需求自行编制</w:t>
      </w:r>
      <w:bookmarkEnd w:id="536"/>
      <w:bookmarkEnd w:id="537"/>
      <w:r>
        <w:rPr>
          <w:rFonts w:hint="eastAsia" w:ascii="仿宋_GB2312" w:hAnsi="仿宋" w:eastAsia="仿宋_GB2312" w:cs="仿宋_GB2312"/>
          <w:sz w:val="24"/>
        </w:rPr>
        <w:t>）</w:t>
      </w:r>
    </w:p>
    <w:bookmarkEnd w:id="534"/>
    <w:bookmarkEnd w:id="535"/>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sz w:val="32"/>
          <w:szCs w:val="32"/>
          <w:lang w:eastAsia="zh-CN"/>
        </w:rPr>
        <w:t>四</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五</w:t>
      </w:r>
      <w:r>
        <w:rPr>
          <w:rFonts w:hint="eastAsia" w:ascii="仿宋_GB2312" w:hAnsi="仿宋" w:eastAsia="仿宋_GB2312" w:cs="仿宋_GB2312"/>
          <w:b/>
          <w:bCs/>
          <w:sz w:val="32"/>
          <w:szCs w:val="32"/>
        </w:rPr>
        <w:t>、技术偏离说明表</w:t>
      </w:r>
    </w:p>
    <w:p>
      <w:pPr>
        <w:spacing w:line="360" w:lineRule="auto"/>
        <w:jc w:val="center"/>
        <w:rPr>
          <w:rFonts w:ascii="仿宋_GB2312" w:hAnsi="仿宋" w:eastAsia="仿宋_GB2312" w:cs="仿宋_GB2312"/>
          <w:b/>
          <w:bCs/>
          <w:sz w:val="18"/>
          <w:szCs w:val="18"/>
        </w:rPr>
      </w:pP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r>
        <w:rPr>
          <w:rFonts w:hint="eastAsia" w:ascii="仿宋_GB2312" w:hAnsi="仿宋" w:eastAsia="仿宋_GB2312" w:cs="仿宋_GB2312"/>
          <w:b/>
          <w:bCs/>
          <w:kern w:val="0"/>
          <w:sz w:val="32"/>
          <w:szCs w:val="32"/>
          <w:lang w:val="zh-CN"/>
        </w:rPr>
        <w:t>六、组织实施方案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七</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八</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本项目的项目小组人员情况表</w:t>
      </w:r>
      <w:r>
        <w:rPr>
          <w:rFonts w:hint="eastAsia" w:ascii="仿宋_GB2312" w:hAnsi="仿宋" w:eastAsia="仿宋_GB2312" w:cs="仿宋_GB2312"/>
          <w:sz w:val="24"/>
        </w:rPr>
        <w:t>（按此格式自制）</w:t>
      </w:r>
    </w:p>
    <w:tbl>
      <w:tblPr>
        <w:tblStyle w:val="1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w:t>
      </w:r>
      <w:r>
        <w:rPr>
          <w:rFonts w:hint="eastAsia" w:ascii="仿宋_GB2312" w:hAnsi="仿宋" w:eastAsia="仿宋_GB2312" w:cs="仿宋_GB2312"/>
          <w:b/>
          <w:sz w:val="24"/>
          <w:lang w:eastAsia="zh-CN"/>
        </w:rPr>
        <w:t>及</w:t>
      </w:r>
      <w:r>
        <w:rPr>
          <w:rFonts w:hint="eastAsia" w:ascii="仿宋_GB2312" w:hAnsi="仿宋" w:eastAsia="仿宋_GB2312" w:cs="仿宋_GB2312"/>
          <w:b/>
          <w:sz w:val="24"/>
        </w:rPr>
        <w:t>小组人员近3个月交纳社保记录。</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hint="eastAsia" w:ascii="仿宋" w:hAnsi="仿宋" w:eastAsia="仿宋" w:cs="仿宋_GB2312"/>
          <w:b/>
          <w:sz w:val="36"/>
          <w:szCs w:val="36"/>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lang w:eastAsia="zh-CN"/>
        </w:rPr>
        <w:t>九</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kern w:val="0"/>
          <w:sz w:val="32"/>
          <w:szCs w:val="32"/>
          <w:lang w:val="zh-CN"/>
        </w:rPr>
        <w:t>备品备件及供选择的配套零部件清单（若有）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一</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培训计划（若有）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rPr>
          <w:rFonts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both"/>
        <w:rPr>
          <w:rFonts w:hint="eastAsia" w:ascii="仿宋_GB2312" w:hAnsi="仿宋" w:eastAsia="仿宋_GB2312" w:cs="仿宋_GB2312"/>
          <w:b/>
          <w:bCs/>
          <w:sz w:val="32"/>
          <w:szCs w:val="32"/>
        </w:rPr>
      </w:pPr>
    </w:p>
    <w:p>
      <w:pPr>
        <w:autoSpaceDE w:val="0"/>
        <w:autoSpaceDN w:val="0"/>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、验收计划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2"/>
          <w:szCs w:val="32"/>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30"/>
          <w:szCs w:val="30"/>
          <w:lang w:val="zh-CN"/>
        </w:rPr>
      </w:pPr>
      <w:r>
        <w:rPr>
          <w:rFonts w:hint="eastAsia" w:ascii="仿宋_GB2312" w:hAnsi="仿宋" w:eastAsia="仿宋_GB2312" w:cs="仿宋_GB2312"/>
          <w:b/>
          <w:bCs/>
          <w:sz w:val="30"/>
          <w:szCs w:val="30"/>
        </w:rPr>
        <w:t>十</w:t>
      </w:r>
      <w:r>
        <w:rPr>
          <w:rFonts w:hint="eastAsia" w:ascii="仿宋_GB2312" w:hAnsi="仿宋" w:eastAsia="仿宋_GB2312" w:cs="仿宋_GB2312"/>
          <w:b/>
          <w:bCs/>
          <w:sz w:val="30"/>
          <w:szCs w:val="30"/>
          <w:lang w:eastAsia="zh-CN"/>
        </w:rPr>
        <w:t>四</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
        <w:rPr>
          <w:rFonts w:ascii="Arial" w:hAnsi="Arial" w:eastAsia="黑体"/>
          <w:snapToGrid w:val="0"/>
          <w:kern w:val="0"/>
          <w:sz w:val="20"/>
          <w:szCs w:val="21"/>
          <w:lang w:val="zh-CN"/>
        </w:rPr>
      </w:pPr>
    </w:p>
    <w:p>
      <w:pPr>
        <w:pStyle w:val="3"/>
        <w:rPr>
          <w:rFonts w:ascii="Arial" w:hAnsi="Arial" w:eastAsia="黑体"/>
          <w:snapToGrid w:val="0"/>
          <w:kern w:val="0"/>
          <w:sz w:val="20"/>
          <w:szCs w:val="21"/>
          <w:lang w:val="zh-CN"/>
        </w:rPr>
      </w:pPr>
    </w:p>
    <w:p>
      <w:pPr>
        <w:autoSpaceDE w:val="0"/>
        <w:autoSpaceDN w:val="0"/>
        <w:jc w:val="center"/>
        <w:rPr>
          <w:rFonts w:hint="eastAsia" w:ascii="仿宋_GB2312" w:hAnsi="仿宋" w:eastAsia="仿宋_GB2312"/>
          <w:b/>
          <w:bCs/>
          <w:sz w:val="32"/>
          <w:szCs w:val="32"/>
          <w:lang w:eastAsia="zh-CN"/>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eastAsia="zh-CN"/>
        </w:rPr>
        <w:t>五</w:t>
      </w:r>
      <w:r>
        <w:rPr>
          <w:rFonts w:hint="eastAsia" w:ascii="仿宋_GB2312" w:hAnsi="仿宋" w:eastAsia="仿宋_GB2312"/>
          <w:b/>
          <w:spacing w:val="6"/>
          <w:sz w:val="32"/>
          <w:szCs w:val="32"/>
        </w:rPr>
        <w:t>、</w:t>
      </w:r>
      <w:r>
        <w:rPr>
          <w:rFonts w:hint="eastAsia" w:ascii="仿宋_GB2312" w:hAnsi="仿宋" w:eastAsia="仿宋_GB2312"/>
          <w:b/>
          <w:bCs/>
          <w:sz w:val="32"/>
          <w:szCs w:val="32"/>
          <w:lang w:eastAsia="zh-CN"/>
        </w:rPr>
        <w:t>其他</w:t>
      </w:r>
    </w:p>
    <w:p>
      <w:pPr>
        <w:pStyle w:val="3"/>
        <w:rPr>
          <w:rFonts w:ascii="Arial" w:hAnsi="Arial" w:eastAsia="黑体"/>
          <w:snapToGrid w:val="0"/>
          <w:kern w:val="0"/>
          <w:sz w:val="20"/>
          <w:szCs w:val="21"/>
        </w:rPr>
      </w:pP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jc w:val="left"/>
        <w:rPr>
          <w:rFonts w:ascii="仿宋_GB2312" w:hAnsi="仿宋" w:eastAsia="仿宋_GB2312" w:cs="仿宋_GB2312"/>
          <w:b/>
          <w:bCs/>
          <w:sz w:val="24"/>
        </w:rPr>
        <w:sectPr>
          <w:pgSz w:w="11906" w:h="16838"/>
          <w:pgMar w:top="1247" w:right="1418" w:bottom="1276" w:left="1418" w:header="851" w:footer="992" w:gutter="0"/>
          <w:pgNumType w:fmt="decimal"/>
          <w:cols w:space="720" w:num="1"/>
          <w:titlePg/>
          <w:docGrid w:linePitch="312" w:charSpace="0"/>
        </w:sect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日期：  年  月   日 </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rPr>
      </w:pPr>
      <w:bookmarkStart w:id="538" w:name="_Toc465665161"/>
      <w:r>
        <w:rPr>
          <w:rFonts w:hint="eastAsia" w:ascii="仿宋_GB2312" w:hAnsi="仿宋" w:eastAsia="仿宋_GB2312"/>
        </w:rPr>
        <w:t>附件</w:t>
      </w:r>
      <w:bookmarkEnd w:id="538"/>
    </w:p>
    <w:p>
      <w:pPr>
        <w:spacing w:line="360" w:lineRule="auto"/>
        <w:rPr>
          <w:rFonts w:hint="eastAsia" w:ascii="仿宋_GB2312" w:hAnsi="仿宋" w:eastAsia="仿宋_GB2312"/>
          <w:b/>
          <w:spacing w:val="6"/>
          <w:sz w:val="32"/>
          <w:szCs w:val="32"/>
        </w:rPr>
      </w:pPr>
      <w:r>
        <w:rPr>
          <w:rFonts w:hint="eastAsia" w:ascii="仿宋_GB2312" w:hAnsi="仿宋" w:eastAsia="仿宋_GB2312"/>
          <w:b/>
          <w:spacing w:val="6"/>
          <w:sz w:val="32"/>
          <w:szCs w:val="32"/>
        </w:rPr>
        <w:t>附件1：</w:t>
      </w:r>
    </w:p>
    <w:p>
      <w:pPr>
        <w:spacing w:line="360" w:lineRule="auto"/>
        <w:jc w:val="center"/>
        <w:rPr>
          <w:rFonts w:hint="eastAsia" w:ascii="仿宋_GB2312" w:hAnsi="仿宋" w:eastAsia="仿宋_GB2312"/>
          <w:b/>
          <w:spacing w:val="6"/>
          <w:sz w:val="32"/>
          <w:szCs w:val="32"/>
        </w:rPr>
      </w:pPr>
      <w:bookmarkStart w:id="539" w:name="OLE_LINK13"/>
      <w:bookmarkStart w:id="540" w:name="OLE_LINK14"/>
      <w:r>
        <w:rPr>
          <w:rFonts w:hint="eastAsia" w:ascii="仿宋_GB2312" w:hAnsi="仿宋" w:eastAsia="仿宋_GB2312"/>
          <w:b/>
          <w:spacing w:val="6"/>
          <w:sz w:val="32"/>
          <w:szCs w:val="32"/>
        </w:rPr>
        <w:t>残疾人福利性单位声明函</w:t>
      </w:r>
    </w:p>
    <w:bookmarkEnd w:id="539"/>
    <w:bookmarkEnd w:id="540"/>
    <w:p>
      <w:pPr>
        <w:spacing w:line="360" w:lineRule="auto"/>
        <w:rPr>
          <w:rFonts w:hint="eastAsia" w:ascii="仿宋_GB2312" w:hAnsi="仿宋" w:eastAsia="仿宋_GB2312"/>
          <w:b/>
          <w:spacing w:val="6"/>
          <w:sz w:val="30"/>
          <w:szCs w:val="30"/>
        </w:rPr>
      </w:pP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sz w:val="24"/>
        </w:rPr>
      </w:pPr>
    </w:p>
    <w:p>
      <w:pPr>
        <w:spacing w:line="360" w:lineRule="auto"/>
        <w:ind w:firstLine="480" w:firstLineChars="200"/>
        <w:rPr>
          <w:rFonts w:hint="eastAsia" w:ascii="仿宋_GB2312" w:hAnsi="仿宋" w:eastAsia="仿宋_GB2312" w:cs="仿宋_GB2312"/>
          <w:sz w:val="24"/>
        </w:rPr>
      </w:pP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hint="eastAsia" w:ascii="仿宋_GB2312" w:hAnsi="仿宋" w:eastAsia="仿宋_GB2312" w:cs="仿宋_GB2312"/>
          <w:sz w:val="24"/>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pStyle w:val="2"/>
        <w:rPr>
          <w:rFonts w:hint="eastAsia" w:ascii="仿宋_GB2312" w:hAnsi="仿宋" w:eastAsia="仿宋_GB2312" w:cs="仿宋_GB2312"/>
          <w:b/>
          <w:sz w:val="24"/>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附件2：质疑函范本及制作说明</w:t>
      </w: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pStyle w:val="2"/>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附件3：投诉书范本及制作说明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hint="eastAsia" w:ascii="仿宋_GB2312" w:hAnsi="仿宋" w:eastAsia="仿宋_GB2312" w:cs="仿宋_GB2312"/>
          <w:b/>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15"/>
        <w:numPr>
          <w:ilvl w:val="0"/>
          <w:numId w:val="0"/>
        </w:numPr>
        <w:jc w:val="both"/>
        <w:rPr>
          <w:rFonts w:hint="eastAsia" w:ascii="仿宋" w:hAnsi="仿宋" w:eastAsia="仿宋" w:cs="仿宋_GB2312"/>
          <w:b/>
          <w:sz w:val="36"/>
          <w:szCs w:val="36"/>
        </w:rPr>
      </w:pPr>
    </w:p>
    <w:p>
      <w:pPr>
        <w:jc w:val="left"/>
        <w:rPr>
          <w:rFonts w:hint="eastAsia" w:ascii="仿宋_GB2312" w:hAnsi="仿宋" w:eastAsia="仿宋_GB2312"/>
          <w:b/>
          <w:spacing w:val="6"/>
          <w:sz w:val="32"/>
          <w:szCs w:val="32"/>
        </w:rPr>
      </w:pPr>
    </w:p>
    <w:p>
      <w:pPr>
        <w:jc w:val="left"/>
        <w:rPr>
          <w:rFonts w:hint="eastAsia" w:ascii="方正小标宋简体" w:hAnsi="宋体" w:eastAsia="方正小标宋简体"/>
          <w:sz w:val="28"/>
          <w:szCs w:val="28"/>
          <w:lang w:eastAsia="zh-CN"/>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4</w:t>
      </w:r>
      <w:r>
        <w:rPr>
          <w:rFonts w:hint="eastAsia" w:ascii="方正小标宋简体" w:hAnsi="宋体" w:eastAsia="方正小标宋简体"/>
          <w:sz w:val="28"/>
          <w:szCs w:val="28"/>
          <w:lang w:eastAsia="zh-CN"/>
        </w:rPr>
        <w:t>：</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0"/>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61092936</w:t>
            </w:r>
          </w:p>
          <w:p>
            <w:pPr>
              <w:jc w:val="center"/>
              <w:rPr>
                <w:rFonts w:hint="eastAsia"/>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rFonts w:hint="eastAsia"/>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p>
      <w:pPr>
        <w:pStyle w:val="15"/>
        <w:numPr>
          <w:ilvl w:val="0"/>
          <w:numId w:val="0"/>
        </w:numPr>
        <w:jc w:val="both"/>
        <w:rPr>
          <w:rFonts w:hint="eastAsia" w:ascii="仿宋" w:hAnsi="仿宋" w:eastAsia="仿宋" w:cs="仿宋_GB2312"/>
          <w:b/>
          <w:sz w:val="36"/>
          <w:szCs w:val="36"/>
        </w:rPr>
      </w:pPr>
    </w:p>
    <w:sectPr>
      <w:pgSz w:w="11906" w:h="16838"/>
      <w:pgMar w:top="680" w:right="1417" w:bottom="4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82</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8E9AE5D"/>
    <w:multiLevelType w:val="singleLevel"/>
    <w:tmpl w:val="58E9AE5D"/>
    <w:lvl w:ilvl="0" w:tentative="0">
      <w:start w:val="3"/>
      <w:numFmt w:val="chineseCounting"/>
      <w:suff w:val="space"/>
      <w:lvlText w:val="第%1部分"/>
      <w:lvlJc w:val="left"/>
      <w:rPr>
        <w:rFonts w:hint="eastAsia"/>
      </w:rPr>
    </w:lvl>
  </w:abstractNum>
  <w:abstractNum w:abstractNumId="3">
    <w:nsid w:val="5BB96F71"/>
    <w:multiLevelType w:val="singleLevel"/>
    <w:tmpl w:val="5BB96F71"/>
    <w:lvl w:ilvl="0" w:tentative="0">
      <w:start w:val="2"/>
      <w:numFmt w:val="decimal"/>
      <w:lvlText w:val="%1."/>
      <w:lvlJc w:val="left"/>
      <w:pPr>
        <w:tabs>
          <w:tab w:val="left" w:pos="312"/>
        </w:tabs>
      </w:pPr>
    </w:lvl>
  </w:abstractNum>
  <w:abstractNum w:abstractNumId="4">
    <w:nsid w:val="6A04934A"/>
    <w:multiLevelType w:val="singleLevel"/>
    <w:tmpl w:val="6A04934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C43BE"/>
    <w:rsid w:val="064A310A"/>
    <w:rsid w:val="09D74605"/>
    <w:rsid w:val="0A9351CB"/>
    <w:rsid w:val="0D585FCC"/>
    <w:rsid w:val="0E4E5652"/>
    <w:rsid w:val="129D0DBB"/>
    <w:rsid w:val="13BC2DB6"/>
    <w:rsid w:val="14123508"/>
    <w:rsid w:val="165C2E84"/>
    <w:rsid w:val="1BA81420"/>
    <w:rsid w:val="1D7D27E3"/>
    <w:rsid w:val="1DB356E1"/>
    <w:rsid w:val="21914B91"/>
    <w:rsid w:val="21E9548D"/>
    <w:rsid w:val="23F026F9"/>
    <w:rsid w:val="24675B39"/>
    <w:rsid w:val="25FF55CD"/>
    <w:rsid w:val="26FA4114"/>
    <w:rsid w:val="276119C3"/>
    <w:rsid w:val="350D4310"/>
    <w:rsid w:val="365204C2"/>
    <w:rsid w:val="39856D05"/>
    <w:rsid w:val="3C037CB1"/>
    <w:rsid w:val="3EBF5FF3"/>
    <w:rsid w:val="462F3121"/>
    <w:rsid w:val="4931667F"/>
    <w:rsid w:val="49CD0646"/>
    <w:rsid w:val="4F1256B6"/>
    <w:rsid w:val="500B434F"/>
    <w:rsid w:val="50E05DC1"/>
    <w:rsid w:val="53285B64"/>
    <w:rsid w:val="53462460"/>
    <w:rsid w:val="54F2111A"/>
    <w:rsid w:val="56FA614A"/>
    <w:rsid w:val="5E20394A"/>
    <w:rsid w:val="5E826C6B"/>
    <w:rsid w:val="610F16BD"/>
    <w:rsid w:val="65334DB3"/>
    <w:rsid w:val="65404360"/>
    <w:rsid w:val="655F6911"/>
    <w:rsid w:val="66366843"/>
    <w:rsid w:val="6A0E7B80"/>
    <w:rsid w:val="6FFB78C1"/>
    <w:rsid w:val="73CD7829"/>
    <w:rsid w:val="752C5129"/>
    <w:rsid w:val="76FD2EC9"/>
    <w:rsid w:val="798C60CF"/>
    <w:rsid w:val="7A3E4C04"/>
    <w:rsid w:val="7ADB1741"/>
    <w:rsid w:val="7B433530"/>
    <w:rsid w:val="7BE27D24"/>
    <w:rsid w:val="7C967DC6"/>
    <w:rsid w:val="7F42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hAnsi="Times New Roman" w:cs="Times New Roman"/>
      <w:snapToGrid/>
      <w:szCs w:val="20"/>
    </w:rPr>
  </w:style>
  <w:style w:type="paragraph" w:styleId="3">
    <w:name w:val="Body Text"/>
    <w:basedOn w:val="1"/>
    <w:qFormat/>
    <w:uiPriority w:val="0"/>
    <w:pPr>
      <w:spacing w:after="120"/>
    </w:p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character" w:styleId="14">
    <w:name w:val="page number"/>
    <w:basedOn w:val="13"/>
    <w:qFormat/>
    <w:uiPriority w:val="0"/>
  </w:style>
  <w:style w:type="paragraph" w:customStyle="1" w:styleId="15">
    <w:name w:val="[Normal]"/>
    <w:qFormat/>
    <w:uiPriority w:val="0"/>
    <w:rPr>
      <w:rFonts w:ascii="宋体" w:hAnsi="宋体" w:eastAsia="宋体" w:cs="Times New Roman"/>
      <w:sz w:val="24"/>
      <w:szCs w:val="22"/>
      <w:lang w:val="zh-CN" w:eastAsia="zh-CN" w:bidi="ar-SA"/>
    </w:rPr>
  </w:style>
  <w:style w:type="paragraph" w:customStyle="1" w:styleId="16">
    <w:name w:val="正文2"/>
    <w:basedOn w:val="1"/>
    <w:qFormat/>
    <w:uiPriority w:val="0"/>
    <w:pPr>
      <w:spacing w:before="156" w:beforeLines="0" w:line="360" w:lineRule="auto"/>
      <w:ind w:firstLine="510" w:firstLineChars="200"/>
    </w:pPr>
    <w:rPr>
      <w:sz w:val="24"/>
      <w:szCs w:val="20"/>
    </w:rPr>
  </w:style>
  <w:style w:type="paragraph" w:customStyle="1" w:styleId="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
    <w:name w:val="正文缩进1"/>
    <w:basedOn w:val="1"/>
    <w:next w:val="6"/>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0">
    <w:name w:val="索引 11"/>
    <w:basedOn w:val="1"/>
    <w:next w:val="1"/>
    <w:qFormat/>
    <w:uiPriority w:val="0"/>
    <w:pPr>
      <w:adjustRightInd/>
      <w:spacing w:line="360" w:lineRule="auto"/>
    </w:pPr>
    <w:rPr>
      <w:rFonts w:ascii="仿宋_GB2312" w:eastAsia="仿宋_GB2312"/>
      <w:sz w:val="24"/>
      <w:szCs w:val="20"/>
    </w:rPr>
  </w:style>
  <w:style w:type="paragraph" w:customStyle="1" w:styleId="21">
    <w:name w:val="纯文本1"/>
    <w:basedOn w:val="1"/>
    <w:qFormat/>
    <w:uiPriority w:val="0"/>
    <w:pPr>
      <w:adjustRightInd/>
    </w:pPr>
    <w:rPr>
      <w:rFonts w:ascii="宋体" w:hAnsi="Courier New"/>
      <w:kern w:val="0"/>
      <w:sz w:val="20"/>
      <w:szCs w:val="20"/>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7">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9" Type="http://schemas.openxmlformats.org/officeDocument/2006/relationships/fontTable" Target="fontTable.xml"/><Relationship Id="rId88" Type="http://schemas.openxmlformats.org/officeDocument/2006/relationships/numbering" Target="numbering.xml"/><Relationship Id="rId87" Type="http://schemas.openxmlformats.org/officeDocument/2006/relationships/customXml" Target="../customXml/item1.xml"/><Relationship Id="rId86" Type="http://schemas.openxmlformats.org/officeDocument/2006/relationships/image" Target="media/image75.png"/><Relationship Id="rId85" Type="http://schemas.openxmlformats.org/officeDocument/2006/relationships/image" Target="media/image74.png"/><Relationship Id="rId84" Type="http://schemas.openxmlformats.org/officeDocument/2006/relationships/image" Target="media/image73.png"/><Relationship Id="rId83" Type="http://schemas.openxmlformats.org/officeDocument/2006/relationships/image" Target="media/image72.png"/><Relationship Id="rId82" Type="http://schemas.openxmlformats.org/officeDocument/2006/relationships/image" Target="media/image71.png"/><Relationship Id="rId81" Type="http://schemas.openxmlformats.org/officeDocument/2006/relationships/image" Target="media/image70.png"/><Relationship Id="rId80" Type="http://schemas.openxmlformats.org/officeDocument/2006/relationships/image" Target="media/image69.png"/><Relationship Id="rId8" Type="http://schemas.openxmlformats.org/officeDocument/2006/relationships/footer" Target="footer4.xml"/><Relationship Id="rId79" Type="http://schemas.openxmlformats.org/officeDocument/2006/relationships/image" Target="media/image68.png"/><Relationship Id="rId78" Type="http://schemas.openxmlformats.org/officeDocument/2006/relationships/image" Target="media/image67.png"/><Relationship Id="rId77" Type="http://schemas.openxmlformats.org/officeDocument/2006/relationships/image" Target="media/image66.png"/><Relationship Id="rId76" Type="http://schemas.openxmlformats.org/officeDocument/2006/relationships/image" Target="media/image65.png"/><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footer" Target="footer3.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footer" Target="foot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2.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2021-01-14T07:35:00Z</cp:lastPrinted>
  <dcterms:modified xsi:type="dcterms:W3CDTF">2021-01-19T07:58:15Z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