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仿宋_GB2312" w:asciiTheme="minorEastAsia" w:hAnsiTheme="minorEastAsia" w:eastAsiaTheme="minorEastAsia"/>
          <w:b/>
          <w:color w:val="auto"/>
          <w:sz w:val="24"/>
          <w:highlight w:val="none"/>
        </w:rPr>
      </w:pPr>
    </w:p>
    <w:p>
      <w:pPr>
        <w:spacing w:line="360" w:lineRule="auto"/>
        <w:jc w:val="center"/>
        <w:rPr>
          <w:rFonts w:cs="仿宋_GB2312" w:asciiTheme="minorEastAsia" w:hAnsiTheme="minorEastAsia" w:eastAsiaTheme="minorEastAsia"/>
          <w:b/>
          <w:color w:val="auto"/>
          <w:sz w:val="24"/>
          <w:highlight w:val="none"/>
        </w:rPr>
      </w:pPr>
    </w:p>
    <w:p>
      <w:pPr>
        <w:adjustRightInd/>
        <w:spacing w:line="360" w:lineRule="auto"/>
        <w:jc w:val="center"/>
        <w:rPr>
          <w:rFonts w:cs="仿宋_GB2312" w:asciiTheme="minorEastAsia" w:hAnsiTheme="minorEastAsia" w:eastAsiaTheme="minorEastAsia"/>
          <w:b/>
          <w:color w:val="auto"/>
          <w:sz w:val="52"/>
          <w:szCs w:val="52"/>
          <w:highlight w:val="none"/>
        </w:rPr>
      </w:pPr>
    </w:p>
    <w:p>
      <w:pPr>
        <w:adjustRightInd/>
        <w:spacing w:line="360" w:lineRule="auto"/>
        <w:jc w:val="center"/>
        <w:rPr>
          <w:rFonts w:hint="eastAsia" w:ascii="仿宋" w:hAnsi="仿宋" w:eastAsia="仿宋" w:cs="仿宋"/>
          <w:b/>
          <w:color w:val="auto"/>
          <w:sz w:val="52"/>
          <w:szCs w:val="52"/>
          <w:highlight w:val="none"/>
        </w:rPr>
      </w:pPr>
      <w:r>
        <w:rPr>
          <w:rFonts w:hint="eastAsia" w:ascii="仿宋" w:hAnsi="仿宋" w:eastAsia="仿宋" w:cs="仿宋"/>
          <w:b/>
          <w:color w:val="auto"/>
          <w:sz w:val="52"/>
          <w:szCs w:val="52"/>
          <w:highlight w:val="none"/>
          <w:lang w:val="en-US" w:eastAsia="zh-CN"/>
        </w:rPr>
        <w:t>临安物业维修资金数据整理建库及数据迁移项目</w:t>
      </w:r>
    </w:p>
    <w:p>
      <w:pPr>
        <w:adjustRightInd/>
        <w:spacing w:line="360" w:lineRule="auto"/>
        <w:jc w:val="center"/>
        <w:rPr>
          <w:rFonts w:hint="eastAsia" w:ascii="仿宋" w:hAnsi="仿宋" w:eastAsia="仿宋" w:cs="仿宋"/>
          <w:b/>
          <w:bCs/>
          <w:color w:val="auto"/>
          <w:w w:val="95"/>
          <w:sz w:val="72"/>
          <w:szCs w:val="72"/>
          <w:highlight w:val="none"/>
          <w:lang w:val="zh-CN"/>
        </w:rPr>
      </w:pPr>
    </w:p>
    <w:p>
      <w:pPr>
        <w:adjustRightInd/>
        <w:spacing w:line="360" w:lineRule="auto"/>
        <w:jc w:val="center"/>
        <w:rPr>
          <w:rFonts w:hint="eastAsia" w:ascii="仿宋" w:hAnsi="仿宋" w:eastAsia="仿宋" w:cs="仿宋"/>
          <w:b/>
          <w:color w:val="auto"/>
          <w:sz w:val="72"/>
          <w:szCs w:val="72"/>
          <w:highlight w:val="none"/>
        </w:rPr>
      </w:pPr>
      <w:r>
        <w:rPr>
          <w:rFonts w:hint="eastAsia" w:ascii="仿宋" w:hAnsi="仿宋" w:eastAsia="仿宋" w:cs="仿宋"/>
          <w:b/>
          <w:bCs/>
          <w:color w:val="auto"/>
          <w:w w:val="95"/>
          <w:sz w:val="72"/>
          <w:szCs w:val="72"/>
          <w:highlight w:val="none"/>
          <w:lang w:val="zh-CN"/>
        </w:rPr>
        <w:t>竞争性磋商</w:t>
      </w:r>
      <w:r>
        <w:rPr>
          <w:rFonts w:hint="eastAsia" w:ascii="仿宋" w:hAnsi="仿宋" w:eastAsia="仿宋" w:cs="仿宋"/>
          <w:b/>
          <w:color w:val="auto"/>
          <w:sz w:val="72"/>
          <w:szCs w:val="72"/>
          <w:highlight w:val="none"/>
        </w:rPr>
        <w:t>文件</w:t>
      </w: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（电子交易）</w:t>
      </w:r>
    </w:p>
    <w:p>
      <w:pPr>
        <w:snapToGrid w:val="0"/>
        <w:spacing w:line="360" w:lineRule="auto"/>
        <w:jc w:val="center"/>
        <w:rPr>
          <w:rFonts w:hint="eastAsia" w:ascii="仿宋" w:hAnsi="仿宋" w:eastAsia="仿宋" w:cs="仿宋"/>
          <w:color w:val="auto"/>
          <w:sz w:val="30"/>
          <w:szCs w:val="30"/>
          <w:highlight w:val="none"/>
        </w:rPr>
      </w:pPr>
    </w:p>
    <w:p>
      <w:pPr>
        <w:snapToGrid w:val="0"/>
        <w:spacing w:line="360" w:lineRule="auto"/>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项目编号:</w:t>
      </w:r>
      <w:r>
        <w:rPr>
          <w:rFonts w:hint="eastAsia" w:ascii="仿宋" w:hAnsi="仿宋" w:eastAsia="仿宋" w:cs="仿宋"/>
          <w:color w:val="auto"/>
          <w:sz w:val="30"/>
          <w:szCs w:val="30"/>
          <w:highlight w:val="none"/>
          <w:lang w:val="en-US" w:eastAsia="zh-CN"/>
        </w:rPr>
        <w:t>[2023]1743号</w:t>
      </w:r>
    </w:p>
    <w:p>
      <w:pPr>
        <w:snapToGrid w:val="0"/>
        <w:spacing w:line="360" w:lineRule="auto"/>
        <w:jc w:val="center"/>
        <w:rPr>
          <w:rFonts w:hint="eastAsia" w:ascii="仿宋" w:hAnsi="仿宋" w:eastAsia="仿宋" w:cs="仿宋"/>
          <w:color w:val="auto"/>
          <w:sz w:val="30"/>
          <w:szCs w:val="30"/>
          <w:highlight w:val="none"/>
        </w:rPr>
      </w:pPr>
    </w:p>
    <w:p>
      <w:pPr>
        <w:adjustRightInd/>
        <w:spacing w:line="360" w:lineRule="auto"/>
        <w:rPr>
          <w:rFonts w:cs="仿宋_GB2312" w:asciiTheme="minorEastAsia" w:hAnsiTheme="minorEastAsia" w:eastAsiaTheme="minorEastAsia"/>
          <w:color w:val="auto"/>
          <w:sz w:val="28"/>
          <w:szCs w:val="20"/>
          <w:highlight w:val="none"/>
        </w:rPr>
      </w:pPr>
    </w:p>
    <w:p>
      <w:pPr>
        <w:spacing w:line="360" w:lineRule="auto"/>
        <w:jc w:val="center"/>
        <w:rPr>
          <w:rFonts w:cs="仿宋_GB2312" w:asciiTheme="minorEastAsia" w:hAnsiTheme="minorEastAsia" w:eastAsiaTheme="minorEastAsia"/>
          <w:color w:val="auto"/>
          <w:sz w:val="24"/>
          <w:highlight w:val="none"/>
        </w:rPr>
      </w:pPr>
    </w:p>
    <w:p>
      <w:pPr>
        <w:spacing w:line="360" w:lineRule="auto"/>
        <w:jc w:val="center"/>
        <w:rPr>
          <w:rFonts w:cs="仿宋_GB2312" w:asciiTheme="minorEastAsia" w:hAnsiTheme="minorEastAsia" w:eastAsiaTheme="minorEastAsia"/>
          <w:color w:val="auto"/>
          <w:sz w:val="24"/>
          <w:highlight w:val="none"/>
        </w:rPr>
      </w:pPr>
    </w:p>
    <w:p>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pPr>
        <w:spacing w:line="360" w:lineRule="auto"/>
        <w:rPr>
          <w:rFonts w:cs="仿宋_GB2312" w:asciiTheme="minorEastAsia" w:hAnsiTheme="minorEastAsia" w:eastAsiaTheme="minorEastAsia"/>
          <w:color w:val="auto"/>
          <w:sz w:val="32"/>
          <w:szCs w:val="32"/>
          <w:highlight w:val="none"/>
        </w:rPr>
      </w:pPr>
    </w:p>
    <w:p>
      <w:pPr>
        <w:snapToGrid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采购人：杭州市临安区住房保障和房产服务中心</w:t>
      </w:r>
    </w:p>
    <w:p>
      <w:pPr>
        <w:spacing w:line="360" w:lineRule="auto"/>
        <w:jc w:val="center"/>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采购代理机构：浙江中审工程咨询有限公司</w:t>
      </w:r>
    </w:p>
    <w:p>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三</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九</w:t>
      </w:r>
      <w:r>
        <w:rPr>
          <w:rFonts w:hint="eastAsia" w:ascii="仿宋" w:hAnsi="仿宋" w:eastAsia="仿宋" w:cs="仿宋"/>
          <w:bCs/>
          <w:color w:val="auto"/>
          <w:sz w:val="32"/>
          <w:szCs w:val="32"/>
          <w:highlight w:val="none"/>
        </w:rPr>
        <w:t>月</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0" w:name="_Hlt67893495"/>
      <w:bookmarkEnd w:id="0"/>
    </w:p>
    <w:p>
      <w:pPr>
        <w:tabs>
          <w:tab w:val="left" w:pos="2268"/>
        </w:tabs>
        <w:spacing w:line="360" w:lineRule="auto"/>
        <w:jc w:val="center"/>
        <w:rPr>
          <w:rFonts w:hint="eastAsia" w:ascii="仿宋" w:hAnsi="仿宋" w:eastAsia="仿宋" w:cs="仿宋"/>
          <w:color w:val="auto"/>
          <w:sz w:val="24"/>
          <w:highlight w:val="none"/>
        </w:rPr>
      </w:pPr>
    </w:p>
    <w:p>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hint="eastAsia" w:ascii="仿宋" w:hAnsi="仿宋" w:eastAsia="仿宋" w:cs="仿宋"/>
          <w:color w:val="auto"/>
          <w:sz w:val="32"/>
          <w:szCs w:val="32"/>
          <w:highlight w:val="none"/>
        </w:rPr>
      </w:pPr>
    </w:p>
    <w:p>
      <w:pPr>
        <w:spacing w:line="360" w:lineRule="auto"/>
        <w:rPr>
          <w:rFonts w:hint="eastAsia" w:ascii="仿宋" w:hAnsi="仿宋" w:eastAsia="仿宋" w:cs="仿宋"/>
          <w:color w:val="auto"/>
          <w:sz w:val="32"/>
          <w:szCs w:val="32"/>
          <w:highlight w:val="none"/>
        </w:rPr>
      </w:pP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邀请供应商</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竞争性磋商流程</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供应商须知</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采购需求</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评审方法及评审标准</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拟签订的合同文本</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第七部分      应提交的有关格式范例</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第八部分      最后报价格式</w:t>
      </w:r>
    </w:p>
    <w:p>
      <w:pPr>
        <w:spacing w:line="360" w:lineRule="auto"/>
        <w:ind w:firstLine="549" w:firstLineChars="229"/>
        <w:rPr>
          <w:rFonts w:cs="仿宋_GB2312" w:asciiTheme="minorEastAsia" w:hAnsiTheme="minorEastAsia" w:eastAsiaTheme="minorEastAsia"/>
          <w:color w:val="auto"/>
          <w:sz w:val="24"/>
          <w:highlight w:val="none"/>
        </w:rPr>
      </w:pPr>
      <w:bookmarkStart w:id="1" w:name="_Hlt91233176"/>
      <w:bookmarkEnd w:id="1"/>
      <w:bookmarkStart w:id="2" w:name="_Toc91899869"/>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rPr>
          <w:rFonts w:cs="仿宋_GB2312" w:asciiTheme="minorEastAsia" w:hAnsiTheme="minorEastAsia" w:eastAsiaTheme="minorEastAsia"/>
          <w:color w:val="auto"/>
          <w:sz w:val="24"/>
          <w:highlight w:val="none"/>
        </w:rPr>
      </w:pPr>
    </w:p>
    <w:p>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cs="仿宋_GB2312" w:asciiTheme="minorEastAsia" w:hAnsiTheme="minorEastAsia" w:eastAsiaTheme="minorEastAsia"/>
          <w:b/>
          <w:color w:val="auto"/>
          <w:sz w:val="36"/>
          <w:szCs w:val="36"/>
          <w:highlight w:val="none"/>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邀请供应商</w:t>
      </w:r>
    </w:p>
    <w:p>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竞争性磋商邀请公告</w:t>
      </w:r>
    </w:p>
    <w:p>
      <w:pPr>
        <w:spacing w:line="360" w:lineRule="auto"/>
        <w:rPr>
          <w:rFonts w:hint="eastAsia" w:ascii="仿宋" w:hAnsi="仿宋" w:eastAsia="仿宋" w:cs="仿宋"/>
          <w:color w:val="auto"/>
          <w:sz w:val="24"/>
          <w:highlight w:val="none"/>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val="en-US" w:eastAsia="zh-CN"/>
        </w:rPr>
        <w:t>临安物业维修资金数据整理建库及数据迁移项目</w:t>
      </w:r>
      <w:r>
        <w:rPr>
          <w:rFonts w:hint="eastAsia" w:ascii="仿宋" w:hAnsi="仿宋" w:eastAsia="仿宋" w:cs="仿宋"/>
          <w:color w:val="auto"/>
          <w:sz w:val="24"/>
          <w:highlight w:val="none"/>
        </w:rPr>
        <w:t>采购项目的潜在供应商应在</w:t>
      </w:r>
      <w:r>
        <w:rPr>
          <w:rFonts w:hint="eastAsia" w:ascii="仿宋" w:hAnsi="仿宋" w:eastAsia="仿宋" w:cs="仿宋"/>
          <w:color w:val="auto"/>
          <w:sz w:val="24"/>
          <w:highlight w:val="none"/>
          <w:u w:val="single"/>
        </w:rPr>
        <w:t>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 </w:instrText>
      </w:r>
      <w:r>
        <w:rPr>
          <w:rFonts w:hint="eastAsia" w:ascii="仿宋" w:hAnsi="仿宋" w:eastAsia="仿宋" w:cs="仿宋"/>
          <w:color w:val="auto"/>
          <w:highlight w:val="none"/>
        </w:rPr>
        <w:fldChar w:fldCharType="separate"/>
      </w:r>
      <w:r>
        <w:rPr>
          <w:rStyle w:val="68"/>
          <w:rFonts w:hint="eastAsia" w:ascii="仿宋" w:hAnsi="仿宋" w:eastAsia="仿宋" w:cs="仿宋"/>
          <w:color w:val="auto"/>
          <w:sz w:val="24"/>
          <w:highlight w:val="none"/>
          <w:u w:val="single"/>
        </w:rPr>
        <w:t>https://www.zcygov.cn/</w:t>
      </w:r>
      <w:r>
        <w:rPr>
          <w:rStyle w:val="68"/>
          <w:rFonts w:hint="eastAsia" w:ascii="仿宋" w:hAnsi="仿宋" w:eastAsia="仿宋" w:cs="仿宋"/>
          <w:color w:val="auto"/>
          <w:sz w:val="24"/>
          <w:highlight w:val="none"/>
          <w:u w:val="single"/>
        </w:rPr>
        <w:fldChar w:fldCharType="end"/>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获取采购文件，并于</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3</w:t>
      </w:r>
      <w:r>
        <w:rPr>
          <w:rFonts w:hint="eastAsia" w:ascii="仿宋" w:hAnsi="仿宋" w:eastAsia="仿宋" w:cs="仿宋"/>
          <w:bCs/>
          <w:color w:val="auto"/>
          <w:sz w:val="24"/>
          <w:highlight w:val="none"/>
          <w:u w:val="single"/>
        </w:rPr>
        <w:t>年</w:t>
      </w:r>
      <w:r>
        <w:rPr>
          <w:rFonts w:hint="eastAsia" w:ascii="仿宋" w:hAnsi="仿宋" w:eastAsia="仿宋" w:cs="仿宋"/>
          <w:bCs/>
          <w:color w:val="auto"/>
          <w:sz w:val="24"/>
          <w:highlight w:val="none"/>
          <w:u w:val="single"/>
          <w:lang w:val="en-US" w:eastAsia="zh-CN"/>
        </w:rPr>
        <w:t>9</w:t>
      </w:r>
      <w:r>
        <w:rPr>
          <w:rFonts w:hint="eastAsia" w:ascii="仿宋" w:hAnsi="仿宋" w:eastAsia="仿宋" w:cs="仿宋"/>
          <w:bCs/>
          <w:color w:val="auto"/>
          <w:sz w:val="24"/>
          <w:highlight w:val="none"/>
          <w:u w:val="single"/>
        </w:rPr>
        <w:t>月</w:t>
      </w:r>
      <w:r>
        <w:rPr>
          <w:rFonts w:hint="eastAsia" w:ascii="仿宋" w:hAnsi="仿宋" w:eastAsia="仿宋" w:cs="仿宋"/>
          <w:bCs/>
          <w:color w:val="auto"/>
          <w:sz w:val="24"/>
          <w:highlight w:val="none"/>
          <w:u w:val="single"/>
          <w:lang w:val="en-US" w:eastAsia="zh-CN"/>
        </w:rPr>
        <w:t xml:space="preserve">15 </w:t>
      </w:r>
      <w:r>
        <w:rPr>
          <w:rFonts w:hint="eastAsia" w:ascii="仿宋" w:hAnsi="仿宋" w:eastAsia="仿宋" w:cs="仿宋"/>
          <w:bCs/>
          <w:color w:val="auto"/>
          <w:sz w:val="24"/>
          <w:highlight w:val="none"/>
          <w:u w:val="single"/>
        </w:rPr>
        <w:t>日</w:t>
      </w:r>
      <w:r>
        <w:rPr>
          <w:rFonts w:hint="eastAsia" w:ascii="仿宋" w:hAnsi="仿宋" w:eastAsia="仿宋" w:cs="仿宋"/>
          <w:bCs/>
          <w:color w:val="auto"/>
          <w:sz w:val="24"/>
          <w:highlight w:val="none"/>
          <w:u w:val="single"/>
          <w:lang w:val="en-US" w:eastAsia="zh-CN"/>
        </w:rPr>
        <w:t>9</w:t>
      </w:r>
      <w:r>
        <w:rPr>
          <w:rFonts w:hint="eastAsia" w:ascii="仿宋" w:hAnsi="仿宋" w:eastAsia="仿宋" w:cs="仿宋"/>
          <w:bCs/>
          <w:color w:val="auto"/>
          <w:sz w:val="24"/>
          <w:highlight w:val="none"/>
          <w:u w:val="single"/>
        </w:rPr>
        <w:t>点</w:t>
      </w:r>
      <w:r>
        <w:rPr>
          <w:rFonts w:hint="eastAsia" w:ascii="仿宋" w:hAnsi="仿宋" w:eastAsia="仿宋" w:cs="仿宋"/>
          <w:bCs/>
          <w:color w:val="auto"/>
          <w:sz w:val="24"/>
          <w:highlight w:val="none"/>
          <w:u w:val="single"/>
          <w:lang w:val="en-US" w:eastAsia="zh-CN"/>
        </w:rPr>
        <w:t>30</w:t>
      </w:r>
      <w:r>
        <w:rPr>
          <w:rFonts w:hint="eastAsia" w:ascii="仿宋" w:hAnsi="仿宋" w:eastAsia="仿宋" w:cs="仿宋"/>
          <w:bCs/>
          <w:color w:val="auto"/>
          <w:sz w:val="24"/>
          <w:highlight w:val="none"/>
          <w:u w:val="single"/>
        </w:rPr>
        <w:t>分00秒</w:t>
      </w:r>
      <w:r>
        <w:rPr>
          <w:rFonts w:hint="eastAsia" w:ascii="仿宋" w:hAnsi="仿宋" w:eastAsia="仿宋" w:cs="仿宋"/>
          <w:bCs/>
          <w:color w:val="auto"/>
          <w:sz w:val="24"/>
          <w:highlight w:val="none"/>
        </w:rPr>
        <w:t>（北京时间）前提交响应文件</w:t>
      </w: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p>
    <w:p>
      <w:pPr>
        <w:pStyle w:val="2"/>
        <w:numPr>
          <w:ilvl w:val="0"/>
          <w:numId w:val="0"/>
        </w:numPr>
        <w:ind w:left="432" w:hanging="432"/>
        <w:rPr>
          <w:rFonts w:hint="eastAsia" w:ascii="仿宋" w:hAnsi="仿宋" w:eastAsia="仿宋" w:cs="仿宋"/>
          <w:color w:val="auto"/>
          <w:sz w:val="24"/>
          <w:szCs w:val="24"/>
          <w:highlight w:val="none"/>
        </w:rPr>
      </w:pPr>
      <w:bookmarkStart w:id="11" w:name="_Toc28359012"/>
      <w:bookmarkStart w:id="12" w:name="_Toc35393798"/>
      <w:bookmarkStart w:id="13" w:name="_Toc28359089"/>
      <w:bookmarkStart w:id="14" w:name="_Toc35393629"/>
      <w:r>
        <w:rPr>
          <w:rFonts w:hint="eastAsia" w:ascii="仿宋" w:hAnsi="仿宋" w:eastAsia="仿宋" w:cs="仿宋"/>
          <w:color w:val="auto"/>
          <w:sz w:val="24"/>
          <w:szCs w:val="24"/>
          <w:highlight w:val="none"/>
        </w:rPr>
        <w:t>一、项目基本情况</w:t>
      </w:r>
      <w:bookmarkEnd w:id="11"/>
      <w:bookmarkEnd w:id="12"/>
      <w:bookmarkEnd w:id="13"/>
      <w:bookmarkEnd w:id="14"/>
    </w:p>
    <w:p>
      <w:pPr>
        <w:spacing w:line="360" w:lineRule="auto"/>
        <w:ind w:firstLine="482" w:firstLineChars="200"/>
        <w:rPr>
          <w:rFonts w:hint="default" w:ascii="仿宋" w:hAnsi="仿宋" w:eastAsia="仿宋" w:cs="仿宋"/>
          <w:color w:val="auto"/>
          <w:sz w:val="24"/>
          <w:highlight w:val="none"/>
          <w:lang w:val="en-US" w:eastAsia="zh-CN"/>
        </w:rPr>
      </w:pP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highlight w:val="none"/>
          <w:lang w:val="en-US" w:eastAsia="zh-CN"/>
        </w:rPr>
        <w:t>[2023]1743号</w:t>
      </w:r>
    </w:p>
    <w:p>
      <w:pPr>
        <w:spacing w:line="360" w:lineRule="auto"/>
        <w:ind w:firstLine="482" w:firstLineChars="20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项目名称：</w:t>
      </w:r>
      <w:r>
        <w:rPr>
          <w:rFonts w:hint="eastAsia" w:ascii="仿宋" w:hAnsi="仿宋" w:eastAsia="仿宋" w:cs="仿宋"/>
          <w:b w:val="0"/>
          <w:bCs/>
          <w:color w:val="auto"/>
          <w:sz w:val="24"/>
          <w:highlight w:val="none"/>
          <w:lang w:val="en-US" w:eastAsia="zh-CN"/>
        </w:rPr>
        <w:t>临安物业维修资金数据整理建库及数据迁移项目</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采购方式：</w:t>
      </w:r>
      <w:r>
        <w:rPr>
          <w:rFonts w:hint="eastAsia" w:ascii="仿宋" w:hAnsi="仿宋" w:eastAsia="仿宋" w:cs="仿宋"/>
          <w:color w:val="auto"/>
          <w:sz w:val="24"/>
          <w:highlight w:val="none"/>
        </w:rPr>
        <w:t>竞争性磋商</w:t>
      </w:r>
    </w:p>
    <w:p>
      <w:pPr>
        <w:spacing w:line="360" w:lineRule="auto"/>
        <w:ind w:firstLine="482" w:firstLineChars="200"/>
        <w:rPr>
          <w:rFonts w:hint="default" w:ascii="仿宋" w:hAnsi="仿宋" w:eastAsia="仿宋" w:cs="仿宋"/>
          <w:b/>
          <w:color w:val="auto"/>
          <w:sz w:val="24"/>
          <w:highlight w:val="none"/>
          <w:lang w:val="en-US"/>
        </w:rPr>
      </w:pPr>
      <w:r>
        <w:rPr>
          <w:rFonts w:hint="eastAsia" w:ascii="仿宋" w:hAnsi="仿宋" w:eastAsia="仿宋" w:cs="仿宋"/>
          <w:b/>
          <w:color w:val="auto"/>
          <w:sz w:val="24"/>
          <w:highlight w:val="none"/>
        </w:rPr>
        <w:t>预算金额（元）：</w:t>
      </w:r>
      <w:r>
        <w:rPr>
          <w:rFonts w:hint="eastAsia" w:ascii="仿宋" w:hAnsi="仿宋" w:eastAsia="仿宋" w:cs="仿宋"/>
          <w:b/>
          <w:color w:val="auto"/>
          <w:sz w:val="24"/>
          <w:highlight w:val="none"/>
          <w:lang w:val="en-US" w:eastAsia="zh-CN"/>
        </w:rPr>
        <w:t>1200000</w:t>
      </w:r>
    </w:p>
    <w:p>
      <w:pPr>
        <w:spacing w:line="360" w:lineRule="auto"/>
        <w:ind w:firstLine="482" w:firstLineChars="20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 xml:space="preserve">1200000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采购需求：</w:t>
      </w:r>
      <w:r>
        <w:rPr>
          <w:rFonts w:hint="eastAsia" w:ascii="仿宋" w:hAnsi="仿宋" w:eastAsia="仿宋" w:cs="仿宋"/>
          <w:b w:val="0"/>
          <w:bCs/>
          <w:color w:val="auto"/>
          <w:sz w:val="24"/>
          <w:highlight w:val="none"/>
        </w:rPr>
        <w:t>通过影像数据建库实现纸质材料的数字化建库，以及完成物业专项维修资金数据的核查，以提高业务系统数据的利用效率，最终形成完整、准确的物业业务数据和电子影像数据，从而能全面、及时反映区县物业维修资金数据的现状，满足物业专项维修资金信息公开查询服务，以提高数据的利用率和政府的公信力。</w:t>
      </w:r>
      <w:r>
        <w:rPr>
          <w:rFonts w:hint="eastAsia" w:ascii="仿宋" w:hAnsi="仿宋" w:eastAsia="仿宋" w:cs="仿宋"/>
          <w:b/>
          <w:color w:val="auto"/>
          <w:sz w:val="24"/>
          <w:highlight w:val="none"/>
        </w:rPr>
        <w:t>详见磋商文件。</w:t>
      </w:r>
    </w:p>
    <w:p>
      <w:pPr>
        <w:spacing w:line="360" w:lineRule="auto"/>
        <w:ind w:firstLine="482" w:firstLineChars="20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合同履行期限</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项目开工后3个月内，完成项目所有的工作内容，并编写项目验收文档，组织项目验收。</w:t>
      </w:r>
      <w:r>
        <w:rPr>
          <w:rFonts w:hint="eastAsia" w:ascii="仿宋" w:hAnsi="仿宋" w:eastAsia="仿宋" w:cs="仿宋"/>
          <w:color w:val="auto"/>
          <w:sz w:val="24"/>
          <w:highlight w:val="none"/>
          <w:u w:val="single"/>
        </w:rPr>
        <w:t xml:space="preserve"> </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b/>
            <w:color w:val="auto"/>
            <w:sz w:val="24"/>
            <w:highlight w:val="none"/>
          </w:rPr>
          <w:id w:val="2035453831"/>
          <w14:checkbox>
            <w14:checked w14:val="0"/>
            <w14:checkedState w14:val="00FE" w14:font="Wingdings"/>
            <w14:uncheckedState w14:val="2610" w14:font="MS Gothic"/>
          </w14:checkbox>
        </w:sdtPr>
        <w:sdtEndPr>
          <w:rPr>
            <w:rFonts w:hint="eastAsia" w:ascii="仿宋" w:hAnsi="仿宋" w:eastAsia="仿宋" w:cs="仿宋"/>
            <w:b/>
            <w:color w:val="auto"/>
            <w:sz w:val="24"/>
            <w:highlight w:val="none"/>
          </w:rPr>
        </w:sdtEndPr>
        <w:sdtContent>
          <w:r>
            <w:rPr>
              <w:rFonts w:hint="eastAsia" w:ascii="仿宋" w:hAnsi="仿宋" w:eastAsia="仿宋" w:cs="仿宋"/>
              <w:b/>
              <w:color w:val="auto"/>
              <w:sz w:val="24"/>
              <w:highlight w:val="none"/>
            </w:rPr>
            <w:t>☐</w:t>
          </w:r>
        </w:sdtContent>
      </w:sdt>
      <w:r>
        <w:rPr>
          <w:rFonts w:hint="eastAsia" w:ascii="仿宋" w:hAnsi="仿宋" w:eastAsia="仿宋" w:cs="仿宋"/>
          <w:b/>
          <w:color w:val="auto"/>
          <w:sz w:val="24"/>
          <w:highlight w:val="none"/>
        </w:rPr>
        <w:t>是，</w:t>
      </w:r>
      <w:sdt>
        <w:sdtPr>
          <w:rPr>
            <w:rFonts w:hint="eastAsia" w:ascii="仿宋" w:hAnsi="仿宋" w:eastAsia="仿宋" w:cs="仿宋"/>
            <w:b/>
            <w:color w:val="auto"/>
            <w:sz w:val="24"/>
            <w:highlight w:val="none"/>
          </w:rPr>
          <w:id w:val="-1765526721"/>
          <w14:checkbox>
            <w14:checked w14:val="1"/>
            <w14:checkedState w14:val="00FE" w14:font="Wingdings"/>
            <w14:uncheckedState w14:val="2610" w14:font="MS Gothic"/>
          </w14:checkbox>
        </w:sdtPr>
        <w:sdtEndPr>
          <w:rPr>
            <w:rFonts w:hint="eastAsia" w:ascii="仿宋" w:hAnsi="仿宋" w:eastAsia="仿宋" w:cs="仿宋"/>
            <w:b/>
            <w:color w:val="auto"/>
            <w:sz w:val="24"/>
            <w:highlight w:val="none"/>
          </w:rPr>
        </w:sdtEndPr>
        <w:sdtContent>
          <w:r>
            <w:rPr>
              <w:rFonts w:hint="eastAsia" w:ascii="Wingdings" w:hAnsi="Wingdings" w:eastAsia="仿宋" w:cs="仿宋"/>
              <w:b/>
              <w:color w:val="auto"/>
              <w:kern w:val="2"/>
              <w:sz w:val="24"/>
              <w:szCs w:val="24"/>
              <w:highlight w:val="none"/>
              <w:lang w:val="en-US" w:eastAsia="zh-CN" w:bidi="ar-SA"/>
            </w:rPr>
            <w:t>þ</w:t>
          </w:r>
        </w:sdtContent>
      </w:sdt>
      <w:r>
        <w:rPr>
          <w:rFonts w:hint="eastAsia" w:ascii="仿宋" w:hAnsi="仿宋" w:eastAsia="仿宋" w:cs="仿宋"/>
          <w:b/>
          <w:color w:val="auto"/>
          <w:sz w:val="24"/>
          <w:highlight w:val="none"/>
        </w:rPr>
        <w:t>否。</w:t>
      </w:r>
    </w:p>
    <w:p>
      <w:pPr>
        <w:spacing w:line="360" w:lineRule="auto"/>
        <w:ind w:firstLine="480" w:firstLineChars="200"/>
        <w:rPr>
          <w:rFonts w:hint="eastAsia" w:ascii="仿宋" w:hAnsi="仿宋" w:eastAsia="仿宋" w:cs="仿宋"/>
          <w:color w:val="auto"/>
          <w:sz w:val="24"/>
          <w:highlight w:val="none"/>
        </w:rPr>
      </w:pPr>
      <w:bookmarkStart w:id="15" w:name="_Toc28359090"/>
      <w:bookmarkStart w:id="16" w:name="_Toc35393799"/>
      <w:bookmarkStart w:id="17" w:name="_Toc28359013"/>
      <w:bookmarkStart w:id="18" w:name="_Toc35393630"/>
      <w:r>
        <w:rPr>
          <w:rFonts w:hint="eastAsia" w:ascii="仿宋" w:hAnsi="仿宋" w:eastAsia="仿宋" w:cs="仿宋"/>
          <w:color w:val="auto"/>
          <w:sz w:val="24"/>
          <w:highlight w:val="none"/>
        </w:rPr>
        <w:t>二、申请人的资格要求：</w:t>
      </w:r>
      <w:bookmarkEnd w:id="15"/>
      <w:bookmarkEnd w:id="16"/>
      <w:bookmarkEnd w:id="17"/>
      <w:bookmarkEnd w:id="18"/>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以联合体形式响应的，提供联合协议(本项目不接受联合体响应或者供应商不以联合体形式响应的，则不需要提供) ；</w:t>
      </w:r>
    </w:p>
    <w:p>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（注：不得限制大中型企业与小微企业组成联合体参与响应）</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02470430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3368540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服务全部由符合政策要求的中小企业承接，提供中小企业声明函；</w:t>
      </w:r>
    </w:p>
    <w:p>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14102535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服务全部由符合政策要求的小微企业承接，提供中小企业声明函；</w:t>
      </w:r>
    </w:p>
    <w:p>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8560779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4.本项目的特定资格要求：无；</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80" w:firstLineChars="200"/>
        <w:rPr>
          <w:rFonts w:hint="eastAsia" w:ascii="仿宋" w:hAnsi="仿宋" w:eastAsia="仿宋" w:cs="仿宋"/>
          <w:color w:val="auto"/>
          <w:sz w:val="24"/>
          <w:highlight w:val="none"/>
        </w:rPr>
      </w:pPr>
      <w:bookmarkStart w:id="19" w:name="_Toc28359014"/>
      <w:bookmarkStart w:id="20" w:name="_Toc28359091"/>
      <w:bookmarkStart w:id="21" w:name="_Toc35393800"/>
      <w:bookmarkStart w:id="22" w:name="_Toc35393631"/>
      <w:r>
        <w:rPr>
          <w:rFonts w:hint="eastAsia" w:ascii="仿宋" w:hAnsi="仿宋" w:eastAsia="仿宋" w:cs="仿宋"/>
          <w:color w:val="auto"/>
          <w:sz w:val="24"/>
          <w:highlight w:val="none"/>
        </w:rPr>
        <w:t>三、获取（下载）采购文件</w:t>
      </w:r>
      <w:bookmarkEnd w:id="19"/>
      <w:bookmarkEnd w:id="20"/>
      <w:bookmarkEnd w:id="21"/>
      <w:bookmarkEnd w:id="22"/>
    </w:p>
    <w:p>
      <w:pPr>
        <w:spacing w:line="360" w:lineRule="auto"/>
        <w:ind w:firstLine="54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7"/>
          <w:szCs w:val="27"/>
          <w:highlight w:val="none"/>
        </w:rPr>
        <w:t>/</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lang w:val="en-US" w:eastAsia="zh-CN"/>
        </w:rPr>
        <w:t>2023</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日，每天上午00:00至12:00 ，下午12:00至23:59（北京时间，线上获取法定节假日均可，线下获取文件法定节假日除外）；</w:t>
      </w:r>
    </w:p>
    <w:p>
      <w:pPr>
        <w:spacing w:line="360" w:lineRule="auto"/>
        <w:ind w:firstLine="540"/>
        <w:rPr>
          <w:rFonts w:hint="eastAsia" w:ascii="仿宋" w:hAnsi="仿宋" w:eastAsia="仿宋" w:cs="仿宋"/>
          <w:color w:val="auto"/>
          <w:sz w:val="28"/>
          <w:szCs w:val="28"/>
          <w:highlight w:val="none"/>
          <w:u w:val="single"/>
        </w:rPr>
      </w:pPr>
      <w:r>
        <w:rPr>
          <w:rFonts w:hint="eastAsia" w:ascii="仿宋" w:hAnsi="仿宋" w:eastAsia="仿宋" w:cs="仿宋"/>
          <w:b/>
          <w:color w:val="auto"/>
          <w:sz w:val="24"/>
          <w:highlight w:val="none"/>
        </w:rPr>
        <w:t>地点（网址）：政采云平台（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 </w:instrText>
      </w:r>
      <w:r>
        <w:rPr>
          <w:rFonts w:hint="eastAsia" w:ascii="仿宋" w:hAnsi="仿宋" w:eastAsia="仿宋" w:cs="仿宋"/>
          <w:color w:val="auto"/>
          <w:highlight w:val="none"/>
        </w:rPr>
        <w:fldChar w:fldCharType="separate"/>
      </w:r>
      <w:r>
        <w:rPr>
          <w:rStyle w:val="68"/>
          <w:rFonts w:hint="eastAsia" w:ascii="仿宋" w:hAnsi="仿宋" w:eastAsia="仿宋" w:cs="仿宋"/>
          <w:b/>
          <w:color w:val="auto"/>
          <w:sz w:val="24"/>
          <w:highlight w:val="none"/>
        </w:rPr>
        <w:t>https://www.zcygov.cn/</w:t>
      </w:r>
      <w:r>
        <w:rPr>
          <w:rStyle w:val="68"/>
          <w:rFonts w:hint="eastAsia" w:ascii="仿宋" w:hAnsi="仿宋" w:eastAsia="仿宋" w:cs="仿宋"/>
          <w:b/>
          <w:color w:val="auto"/>
          <w:sz w:val="24"/>
          <w:highlight w:val="none"/>
        </w:rPr>
        <w:fldChar w:fldCharType="end"/>
      </w:r>
      <w:r>
        <w:rPr>
          <w:rFonts w:hint="eastAsia" w:ascii="仿宋" w:hAnsi="仿宋" w:eastAsia="仿宋" w:cs="仿宋"/>
          <w:b/>
          <w:color w:val="auto"/>
          <w:sz w:val="24"/>
          <w:highlight w:val="none"/>
        </w:rPr>
        <w:t>）</w:t>
      </w:r>
    </w:p>
    <w:p>
      <w:pPr>
        <w:spacing w:line="360" w:lineRule="auto"/>
        <w:ind w:firstLine="54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供应商登录政采云平台https://www.zcygov.cn/在线申请获取采购文件（进入“项目采购”应用，在获取采购文件菜单中选择项目，申请获取采购文件）。</w:t>
      </w:r>
    </w:p>
    <w:p>
      <w:pPr>
        <w:spacing w:line="360" w:lineRule="auto"/>
        <w:ind w:firstLine="540"/>
        <w:rPr>
          <w:rFonts w:hint="eastAsia" w:ascii="仿宋" w:hAnsi="仿宋" w:eastAsia="仿宋" w:cs="仿宋"/>
          <w:color w:val="auto"/>
          <w:sz w:val="28"/>
          <w:szCs w:val="28"/>
          <w:highlight w:val="none"/>
        </w:rPr>
      </w:pPr>
      <w:r>
        <w:rPr>
          <w:rFonts w:hint="eastAsia" w:ascii="仿宋" w:hAnsi="仿宋" w:eastAsia="仿宋" w:cs="仿宋"/>
          <w:b/>
          <w:color w:val="auto"/>
          <w:sz w:val="24"/>
          <w:highlight w:val="none"/>
        </w:rPr>
        <w:t>售价：</w:t>
      </w:r>
      <w:r>
        <w:rPr>
          <w:rFonts w:hint="eastAsia" w:ascii="仿宋" w:hAnsi="仿宋" w:eastAsia="仿宋" w:cs="仿宋"/>
          <w:color w:val="auto"/>
          <w:sz w:val="24"/>
          <w:highlight w:val="none"/>
        </w:rPr>
        <w:t>免费。</w:t>
      </w:r>
    </w:p>
    <w:p>
      <w:pPr>
        <w:pStyle w:val="2"/>
        <w:numPr>
          <w:ilvl w:val="0"/>
          <w:numId w:val="0"/>
        </w:numPr>
        <w:ind w:left="432" w:hanging="432"/>
        <w:rPr>
          <w:rFonts w:hint="eastAsia" w:ascii="仿宋" w:hAnsi="仿宋" w:eastAsia="仿宋" w:cs="仿宋"/>
          <w:color w:val="auto"/>
          <w:sz w:val="24"/>
          <w:szCs w:val="24"/>
          <w:highlight w:val="none"/>
        </w:rPr>
      </w:pPr>
      <w:bookmarkStart w:id="23" w:name="_Toc35393632"/>
      <w:bookmarkStart w:id="24" w:name="_Toc35393801"/>
      <w:bookmarkStart w:id="25" w:name="_Toc28359092"/>
      <w:bookmarkStart w:id="26" w:name="_Toc28359015"/>
      <w:r>
        <w:rPr>
          <w:rFonts w:hint="eastAsia" w:ascii="仿宋" w:hAnsi="仿宋" w:eastAsia="仿宋" w:cs="仿宋"/>
          <w:color w:val="auto"/>
          <w:sz w:val="24"/>
          <w:szCs w:val="24"/>
          <w:highlight w:val="none"/>
        </w:rPr>
        <w:t>四、响应文件提交</w:t>
      </w:r>
      <w:bookmarkEnd w:id="23"/>
      <w:bookmarkEnd w:id="24"/>
      <w:bookmarkEnd w:id="25"/>
      <w:bookmarkEnd w:id="26"/>
      <w:r>
        <w:rPr>
          <w:rFonts w:hint="eastAsia" w:ascii="仿宋" w:hAnsi="仿宋" w:eastAsia="仿宋" w:cs="仿宋"/>
          <w:color w:val="auto"/>
          <w:sz w:val="24"/>
          <w:szCs w:val="24"/>
          <w:highlight w:val="none"/>
        </w:rPr>
        <w:t>（上传）</w:t>
      </w:r>
    </w:p>
    <w:p>
      <w:pPr>
        <w:spacing w:line="360" w:lineRule="auto"/>
        <w:ind w:firstLine="480" w:firstLineChars="200"/>
        <w:rPr>
          <w:rFonts w:hint="eastAsia" w:ascii="仿宋" w:hAnsi="仿宋" w:eastAsia="仿宋" w:cs="仿宋"/>
          <w:bCs/>
          <w:color w:val="auto"/>
          <w:sz w:val="24"/>
          <w:highlight w:val="none"/>
          <w:u w:val="single"/>
        </w:rPr>
      </w:pPr>
      <w:r>
        <w:rPr>
          <w:rFonts w:hint="eastAsia" w:ascii="仿宋" w:hAnsi="仿宋" w:eastAsia="仿宋" w:cs="仿宋"/>
          <w:color w:val="auto"/>
          <w:sz w:val="24"/>
          <w:highlight w:val="none"/>
        </w:rPr>
        <w:t>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3</w:t>
      </w:r>
      <w:r>
        <w:rPr>
          <w:rFonts w:hint="eastAsia" w:ascii="仿宋" w:hAnsi="仿宋" w:eastAsia="仿宋" w:cs="仿宋"/>
          <w:bCs/>
          <w:color w:val="auto"/>
          <w:sz w:val="24"/>
          <w:highlight w:val="none"/>
          <w:u w:val="single"/>
        </w:rPr>
        <w:t>年</w:t>
      </w:r>
      <w:r>
        <w:rPr>
          <w:rFonts w:hint="eastAsia" w:ascii="仿宋" w:hAnsi="仿宋" w:eastAsia="仿宋" w:cs="仿宋"/>
          <w:bCs/>
          <w:color w:val="auto"/>
          <w:sz w:val="24"/>
          <w:highlight w:val="none"/>
          <w:u w:val="single"/>
          <w:lang w:val="en-US" w:eastAsia="zh-CN"/>
        </w:rPr>
        <w:t xml:space="preserve"> 9 </w:t>
      </w:r>
      <w:r>
        <w:rPr>
          <w:rFonts w:hint="eastAsia" w:ascii="仿宋" w:hAnsi="仿宋" w:eastAsia="仿宋" w:cs="仿宋"/>
          <w:bCs/>
          <w:color w:val="auto"/>
          <w:sz w:val="24"/>
          <w:highlight w:val="none"/>
          <w:u w:val="single"/>
        </w:rPr>
        <w:t>月</w:t>
      </w:r>
      <w:r>
        <w:rPr>
          <w:rFonts w:hint="eastAsia" w:ascii="仿宋" w:hAnsi="仿宋" w:eastAsia="仿宋" w:cs="仿宋"/>
          <w:bCs/>
          <w:color w:val="auto"/>
          <w:sz w:val="24"/>
          <w:highlight w:val="none"/>
          <w:u w:val="single"/>
          <w:lang w:val="en-US" w:eastAsia="zh-CN"/>
        </w:rPr>
        <w:t>15</w:t>
      </w:r>
      <w:r>
        <w:rPr>
          <w:rFonts w:hint="eastAsia" w:ascii="仿宋" w:hAnsi="仿宋" w:eastAsia="仿宋" w:cs="仿宋"/>
          <w:bCs/>
          <w:color w:val="auto"/>
          <w:sz w:val="24"/>
          <w:highlight w:val="none"/>
          <w:u w:val="single"/>
        </w:rPr>
        <w:t>日</w:t>
      </w:r>
      <w:r>
        <w:rPr>
          <w:rFonts w:hint="eastAsia" w:ascii="仿宋" w:hAnsi="仿宋" w:eastAsia="仿宋" w:cs="仿宋"/>
          <w:bCs/>
          <w:color w:val="auto"/>
          <w:sz w:val="24"/>
          <w:highlight w:val="none"/>
          <w:u w:val="single"/>
          <w:lang w:val="en-US" w:eastAsia="zh-CN"/>
        </w:rPr>
        <w:t>9</w:t>
      </w:r>
      <w:r>
        <w:rPr>
          <w:rFonts w:hint="eastAsia" w:ascii="仿宋" w:hAnsi="仿宋" w:eastAsia="仿宋" w:cs="仿宋"/>
          <w:bCs/>
          <w:color w:val="auto"/>
          <w:sz w:val="24"/>
          <w:highlight w:val="none"/>
          <w:u w:val="single"/>
        </w:rPr>
        <w:t>点</w:t>
      </w:r>
      <w:r>
        <w:rPr>
          <w:rFonts w:hint="eastAsia" w:ascii="仿宋" w:hAnsi="仿宋" w:eastAsia="仿宋" w:cs="仿宋"/>
          <w:bCs/>
          <w:color w:val="auto"/>
          <w:sz w:val="24"/>
          <w:highlight w:val="none"/>
          <w:u w:val="single"/>
          <w:lang w:val="en-US" w:eastAsia="zh-CN"/>
        </w:rPr>
        <w:t>30</w:t>
      </w:r>
      <w:r>
        <w:rPr>
          <w:rFonts w:hint="eastAsia" w:ascii="仿宋" w:hAnsi="仿宋" w:eastAsia="仿宋" w:cs="仿宋"/>
          <w:bCs/>
          <w:color w:val="auto"/>
          <w:sz w:val="24"/>
          <w:highlight w:val="none"/>
          <w:u w:val="single"/>
        </w:rPr>
        <w:t>分00秒</w:t>
      </w:r>
      <w:r>
        <w:rPr>
          <w:rFonts w:hint="eastAsia" w:ascii="仿宋" w:hAnsi="仿宋" w:eastAsia="仿宋" w:cs="仿宋"/>
          <w:bCs/>
          <w:color w:val="auto"/>
          <w:sz w:val="24"/>
          <w:highlight w:val="none"/>
        </w:rPr>
        <w:t>（北京时间）</w:t>
      </w:r>
    </w:p>
    <w:p>
      <w:pPr>
        <w:spacing w:line="360" w:lineRule="auto"/>
        <w:ind w:firstLine="480" w:firstLineChars="200"/>
        <w:rPr>
          <w:rFonts w:hint="eastAsia" w:ascii="仿宋" w:hAnsi="仿宋" w:eastAsia="仿宋" w:cs="仿宋"/>
          <w:bCs/>
          <w:color w:val="auto"/>
          <w:sz w:val="24"/>
          <w:highlight w:val="none"/>
          <w:u w:val="single"/>
        </w:rPr>
      </w:pPr>
      <w:r>
        <w:rPr>
          <w:rFonts w:hint="eastAsia" w:ascii="仿宋" w:hAnsi="仿宋" w:eastAsia="仿宋" w:cs="仿宋"/>
          <w:color w:val="auto"/>
          <w:sz w:val="24"/>
          <w:highlight w:val="none"/>
        </w:rPr>
        <w:t>地点：</w:t>
      </w:r>
      <w:r>
        <w:rPr>
          <w:rFonts w:hint="eastAsia" w:ascii="仿宋" w:hAnsi="仿宋" w:eastAsia="仿宋" w:cs="仿宋"/>
          <w:b/>
          <w:color w:val="auto"/>
          <w:sz w:val="24"/>
          <w:highlight w:val="none"/>
        </w:rPr>
        <w:t>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 </w:instrText>
      </w:r>
      <w:r>
        <w:rPr>
          <w:rFonts w:hint="eastAsia" w:ascii="仿宋" w:hAnsi="仿宋" w:eastAsia="仿宋" w:cs="仿宋"/>
          <w:color w:val="auto"/>
          <w:highlight w:val="none"/>
        </w:rPr>
        <w:fldChar w:fldCharType="separate"/>
      </w:r>
      <w:r>
        <w:rPr>
          <w:rStyle w:val="68"/>
          <w:rFonts w:hint="eastAsia" w:ascii="仿宋" w:hAnsi="仿宋" w:eastAsia="仿宋" w:cs="仿宋"/>
          <w:b/>
          <w:color w:val="auto"/>
          <w:kern w:val="2"/>
          <w:sz w:val="24"/>
          <w:szCs w:val="24"/>
          <w:highlight w:val="none"/>
        </w:rPr>
        <w:t>https://www.zcygov.cn/</w:t>
      </w:r>
      <w:r>
        <w:rPr>
          <w:rStyle w:val="68"/>
          <w:rFonts w:hint="eastAsia" w:ascii="仿宋" w:hAnsi="仿宋" w:eastAsia="仿宋" w:cs="仿宋"/>
          <w:b/>
          <w:color w:val="auto"/>
          <w:kern w:val="2"/>
          <w:sz w:val="24"/>
          <w:szCs w:val="24"/>
          <w:highlight w:val="none"/>
        </w:rPr>
        <w:fldChar w:fldCharType="end"/>
      </w:r>
      <w:r>
        <w:rPr>
          <w:rFonts w:hint="eastAsia" w:ascii="仿宋" w:hAnsi="仿宋" w:eastAsia="仿宋" w:cs="仿宋"/>
          <w:b/>
          <w:color w:val="auto"/>
          <w:sz w:val="24"/>
          <w:highlight w:val="none"/>
        </w:rPr>
        <w:t>）。</w:t>
      </w:r>
    </w:p>
    <w:p>
      <w:pPr>
        <w:pStyle w:val="2"/>
        <w:numPr>
          <w:ilvl w:val="0"/>
          <w:numId w:val="0"/>
        </w:numPr>
        <w:ind w:left="432" w:hanging="432"/>
        <w:rPr>
          <w:rFonts w:hint="eastAsia" w:ascii="仿宋" w:hAnsi="仿宋" w:eastAsia="仿宋" w:cs="仿宋"/>
          <w:color w:val="auto"/>
          <w:sz w:val="24"/>
          <w:szCs w:val="24"/>
          <w:highlight w:val="none"/>
        </w:rPr>
      </w:pPr>
      <w:bookmarkStart w:id="27" w:name="_Toc35393802"/>
      <w:bookmarkStart w:id="28" w:name="_Toc28359093"/>
      <w:bookmarkStart w:id="29" w:name="_Toc35393633"/>
      <w:bookmarkStart w:id="30" w:name="_Toc28359016"/>
      <w:r>
        <w:rPr>
          <w:rFonts w:hint="eastAsia" w:ascii="仿宋" w:hAnsi="仿宋" w:eastAsia="仿宋" w:cs="仿宋"/>
          <w:color w:val="auto"/>
          <w:sz w:val="24"/>
          <w:szCs w:val="24"/>
          <w:highlight w:val="none"/>
        </w:rPr>
        <w:t>五、响应文件开启</w:t>
      </w:r>
      <w:bookmarkEnd w:id="27"/>
      <w:bookmarkEnd w:id="28"/>
      <w:bookmarkEnd w:id="29"/>
      <w:bookmarkEnd w:id="30"/>
    </w:p>
    <w:p>
      <w:pPr>
        <w:spacing w:line="360" w:lineRule="auto"/>
        <w:ind w:firstLine="480" w:firstLineChars="200"/>
        <w:rPr>
          <w:rFonts w:hint="eastAsia" w:ascii="仿宋" w:hAnsi="仿宋" w:eastAsia="仿宋" w:cs="仿宋"/>
          <w:bCs/>
          <w:color w:val="auto"/>
          <w:sz w:val="24"/>
          <w:highlight w:val="none"/>
          <w:u w:val="single"/>
        </w:rPr>
      </w:pP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3</w:t>
      </w:r>
      <w:r>
        <w:rPr>
          <w:rFonts w:hint="eastAsia" w:ascii="仿宋" w:hAnsi="仿宋" w:eastAsia="仿宋" w:cs="仿宋"/>
          <w:bCs/>
          <w:color w:val="auto"/>
          <w:sz w:val="24"/>
          <w:highlight w:val="none"/>
          <w:u w:val="single"/>
        </w:rPr>
        <w:t>年</w:t>
      </w:r>
      <w:r>
        <w:rPr>
          <w:rFonts w:hint="eastAsia" w:ascii="仿宋" w:hAnsi="仿宋" w:eastAsia="仿宋" w:cs="仿宋"/>
          <w:bCs/>
          <w:color w:val="auto"/>
          <w:sz w:val="24"/>
          <w:highlight w:val="none"/>
          <w:u w:val="single"/>
          <w:lang w:val="en-US" w:eastAsia="zh-CN"/>
        </w:rPr>
        <w:t xml:space="preserve"> 9 </w:t>
      </w:r>
      <w:r>
        <w:rPr>
          <w:rFonts w:hint="eastAsia" w:ascii="仿宋" w:hAnsi="仿宋" w:eastAsia="仿宋" w:cs="仿宋"/>
          <w:bCs/>
          <w:color w:val="auto"/>
          <w:sz w:val="24"/>
          <w:highlight w:val="none"/>
          <w:u w:val="single"/>
        </w:rPr>
        <w:t>月</w:t>
      </w:r>
      <w:r>
        <w:rPr>
          <w:rFonts w:hint="eastAsia" w:ascii="仿宋" w:hAnsi="仿宋" w:eastAsia="仿宋" w:cs="仿宋"/>
          <w:bCs/>
          <w:color w:val="auto"/>
          <w:sz w:val="24"/>
          <w:highlight w:val="none"/>
          <w:u w:val="single"/>
          <w:lang w:val="en-US" w:eastAsia="zh-CN"/>
        </w:rPr>
        <w:t xml:space="preserve"> 15 </w:t>
      </w:r>
      <w:r>
        <w:rPr>
          <w:rFonts w:hint="eastAsia" w:ascii="仿宋" w:hAnsi="仿宋" w:eastAsia="仿宋" w:cs="仿宋"/>
          <w:bCs/>
          <w:color w:val="auto"/>
          <w:sz w:val="24"/>
          <w:highlight w:val="none"/>
          <w:u w:val="single"/>
        </w:rPr>
        <w:t>日</w:t>
      </w:r>
      <w:r>
        <w:rPr>
          <w:rFonts w:hint="eastAsia" w:ascii="仿宋" w:hAnsi="仿宋" w:eastAsia="仿宋" w:cs="仿宋"/>
          <w:bCs/>
          <w:color w:val="auto"/>
          <w:sz w:val="24"/>
          <w:highlight w:val="none"/>
          <w:u w:val="single"/>
          <w:lang w:val="en-US" w:eastAsia="zh-CN"/>
        </w:rPr>
        <w:t>9</w:t>
      </w:r>
      <w:r>
        <w:rPr>
          <w:rFonts w:hint="eastAsia" w:ascii="仿宋" w:hAnsi="仿宋" w:eastAsia="仿宋" w:cs="仿宋"/>
          <w:bCs/>
          <w:color w:val="auto"/>
          <w:sz w:val="24"/>
          <w:highlight w:val="none"/>
          <w:u w:val="single"/>
        </w:rPr>
        <w:t>点</w:t>
      </w:r>
      <w:r>
        <w:rPr>
          <w:rFonts w:hint="eastAsia" w:ascii="仿宋" w:hAnsi="仿宋" w:eastAsia="仿宋" w:cs="仿宋"/>
          <w:bCs/>
          <w:color w:val="auto"/>
          <w:sz w:val="24"/>
          <w:highlight w:val="none"/>
          <w:u w:val="single"/>
          <w:lang w:val="en-US" w:eastAsia="zh-CN"/>
        </w:rPr>
        <w:t>30</w:t>
      </w:r>
      <w:r>
        <w:rPr>
          <w:rFonts w:hint="eastAsia" w:ascii="仿宋" w:hAnsi="仿宋" w:eastAsia="仿宋" w:cs="仿宋"/>
          <w:bCs/>
          <w:color w:val="auto"/>
          <w:sz w:val="24"/>
          <w:highlight w:val="none"/>
          <w:u w:val="single"/>
        </w:rPr>
        <w:t>分00秒</w:t>
      </w:r>
      <w:r>
        <w:rPr>
          <w:rFonts w:hint="eastAsia" w:ascii="仿宋" w:hAnsi="仿宋" w:eastAsia="仿宋" w:cs="仿宋"/>
          <w:bCs/>
          <w:color w:val="auto"/>
          <w:sz w:val="24"/>
          <w:highlight w:val="none"/>
        </w:rPr>
        <w:t>（北京时间）</w:t>
      </w:r>
    </w:p>
    <w:p>
      <w:pPr>
        <w:spacing w:line="360" w:lineRule="auto"/>
        <w:ind w:firstLine="480" w:firstLineChars="200"/>
        <w:rPr>
          <w:rFonts w:hint="eastAsia" w:ascii="仿宋" w:hAnsi="仿宋" w:eastAsia="仿宋" w:cs="仿宋"/>
          <w:bCs/>
          <w:color w:val="auto"/>
          <w:sz w:val="24"/>
          <w:highlight w:val="none"/>
          <w:u w:val="single"/>
        </w:rPr>
      </w:pPr>
      <w:r>
        <w:rPr>
          <w:rFonts w:hint="eastAsia" w:ascii="仿宋" w:hAnsi="仿宋" w:eastAsia="仿宋" w:cs="仿宋"/>
          <w:color w:val="auto"/>
          <w:sz w:val="24"/>
          <w:highlight w:val="none"/>
        </w:rPr>
        <w:t>地点：政采云平台（https://www.zcygov.cn/）。</w:t>
      </w:r>
    </w:p>
    <w:p>
      <w:pPr>
        <w:pStyle w:val="2"/>
        <w:numPr>
          <w:ilvl w:val="0"/>
          <w:numId w:val="0"/>
        </w:numPr>
        <w:ind w:left="432" w:hanging="432"/>
        <w:rPr>
          <w:rFonts w:hint="eastAsia" w:ascii="仿宋" w:hAnsi="仿宋" w:eastAsia="仿宋" w:cs="仿宋"/>
          <w:color w:val="auto"/>
          <w:sz w:val="24"/>
          <w:szCs w:val="24"/>
          <w:highlight w:val="none"/>
        </w:rPr>
      </w:pPr>
      <w:bookmarkStart w:id="31" w:name="_Toc28359094"/>
      <w:bookmarkStart w:id="32" w:name="_Toc28359017"/>
      <w:bookmarkStart w:id="33" w:name="_Toc35393634"/>
      <w:bookmarkStart w:id="34" w:name="_Toc35393803"/>
      <w:r>
        <w:rPr>
          <w:rFonts w:hint="eastAsia" w:ascii="仿宋" w:hAnsi="仿宋" w:eastAsia="仿宋" w:cs="仿宋"/>
          <w:color w:val="auto"/>
          <w:sz w:val="24"/>
          <w:szCs w:val="24"/>
          <w:highlight w:val="none"/>
        </w:rPr>
        <w:t>六、公告期限</w:t>
      </w:r>
      <w:bookmarkEnd w:id="31"/>
      <w:bookmarkEnd w:id="32"/>
      <w:bookmarkEnd w:id="33"/>
      <w:bookmarkEnd w:id="34"/>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自本公告发布之日起3个工作日。</w:t>
      </w:r>
    </w:p>
    <w:p>
      <w:pPr>
        <w:pStyle w:val="2"/>
        <w:numPr>
          <w:ilvl w:val="0"/>
          <w:numId w:val="0"/>
        </w:numPr>
        <w:ind w:left="432" w:hanging="432"/>
        <w:rPr>
          <w:rFonts w:hint="eastAsia" w:ascii="仿宋" w:hAnsi="仿宋" w:eastAsia="仿宋" w:cs="仿宋"/>
          <w:color w:val="auto"/>
          <w:sz w:val="24"/>
          <w:szCs w:val="24"/>
          <w:highlight w:val="none"/>
        </w:rPr>
      </w:pPr>
      <w:bookmarkStart w:id="35" w:name="_Toc35393804"/>
      <w:bookmarkStart w:id="36" w:name="_Toc35393635"/>
      <w:r>
        <w:rPr>
          <w:rFonts w:hint="eastAsia" w:ascii="仿宋" w:hAnsi="仿宋" w:eastAsia="仿宋" w:cs="仿宋"/>
          <w:color w:val="auto"/>
          <w:sz w:val="24"/>
          <w:szCs w:val="24"/>
          <w:highlight w:val="none"/>
        </w:rPr>
        <w:t>七、其他补充事宜</w:t>
      </w:r>
      <w:bookmarkEnd w:id="35"/>
      <w:bookmarkEnd w:id="36"/>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4. 其他事项：（1）需要落实的政府采购政策：</w:t>
      </w:r>
      <w:r>
        <w:rPr>
          <w:rFonts w:hint="eastAsia" w:ascii="仿宋" w:hAnsi="仿宋" w:eastAsia="仿宋" w:cs="仿宋"/>
          <w:color w:val="auto"/>
          <w:kern w:val="0"/>
          <w:sz w:val="24"/>
          <w:highlight w:val="none"/>
        </w:rPr>
        <w:t>包括节约资源、保护环境、</w:t>
      </w:r>
      <w:r>
        <w:rPr>
          <w:rFonts w:hint="eastAsia" w:ascii="仿宋" w:hAnsi="仿宋" w:eastAsia="仿宋" w:cs="仿宋"/>
          <w:color w:val="auto"/>
          <w:sz w:val="24"/>
          <w:highlight w:val="none"/>
        </w:rPr>
        <w:t>支持创新、</w:t>
      </w:r>
      <w:r>
        <w:rPr>
          <w:rFonts w:hint="eastAsia" w:ascii="仿宋" w:hAnsi="仿宋" w:eastAsia="仿宋" w:cs="仿宋"/>
          <w:color w:val="auto"/>
          <w:kern w:val="0"/>
          <w:sz w:val="24"/>
          <w:highlight w:val="none"/>
        </w:rPr>
        <w:t>促进中小企业发展等，详见磋商文件第三部分。</w:t>
      </w:r>
      <w:r>
        <w:rPr>
          <w:rFonts w:hint="eastAsia" w:ascii="仿宋" w:hAnsi="仿宋" w:eastAsia="仿宋" w:cs="仿宋"/>
          <w:b/>
          <w:color w:val="auto"/>
          <w:kern w:val="0"/>
          <w:sz w:val="24"/>
          <w:szCs w:val="20"/>
          <w:highlight w:val="none"/>
        </w:rPr>
        <w:t>（2）</w:t>
      </w:r>
      <w:r>
        <w:rPr>
          <w:rFonts w:hint="eastAsia" w:ascii="仿宋" w:hAnsi="仿宋" w:eastAsia="仿宋" w:cs="仿宋"/>
          <w:b/>
          <w:color w:val="auto"/>
          <w:sz w:val="24"/>
          <w:highlight w:val="none"/>
        </w:rPr>
        <w:t>电子交易的说明: 1）电子交易：</w:t>
      </w:r>
      <w:r>
        <w:rPr>
          <w:rFonts w:hint="eastAsia" w:ascii="仿宋" w:hAnsi="仿宋" w:eastAsia="仿宋" w:cs="仿宋"/>
          <w:color w:val="auto"/>
          <w:sz w:val="24"/>
          <w:highlight w:val="none"/>
        </w:rPr>
        <w:t>本项目以数据电文形式，依托“政府采购云平台（www.zcygov.cn）”进行采购活动，不接受纸质响应文件。</w:t>
      </w:r>
      <w:r>
        <w:rPr>
          <w:rFonts w:hint="eastAsia" w:ascii="仿宋" w:hAnsi="仿宋" w:eastAsia="仿宋" w:cs="仿宋"/>
          <w:b/>
          <w:color w:val="auto"/>
          <w:sz w:val="24"/>
          <w:highlight w:val="none"/>
        </w:rPr>
        <w:t>2）响应准备：</w:t>
      </w:r>
      <w:r>
        <w:rPr>
          <w:rFonts w:hint="eastAsia" w:ascii="仿宋" w:hAnsi="仿宋" w:eastAsia="仿宋" w:cs="仿宋"/>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color w:val="auto"/>
          <w:sz w:val="24"/>
          <w:highlight w:val="none"/>
        </w:rPr>
        <w:t>3）磋商文件的获取：</w:t>
      </w:r>
      <w:r>
        <w:rPr>
          <w:rFonts w:hint="eastAsia" w:ascii="仿宋" w:hAnsi="仿宋" w:eastAsia="仿宋" w:cs="仿宋"/>
          <w:color w:val="auto"/>
          <w:sz w:val="24"/>
          <w:highlight w:val="none"/>
        </w:rPr>
        <w:t>使用账号登录或者使用CA登录政采云平台；进入“项目采购”应用，在获取采购文件菜单中选择项目，获取磋商文件。</w:t>
      </w:r>
      <w:r>
        <w:rPr>
          <w:rFonts w:hint="eastAsia" w:ascii="仿宋" w:hAnsi="仿宋" w:eastAsia="仿宋" w:cs="仿宋"/>
          <w:b/>
          <w:color w:val="auto"/>
          <w:sz w:val="24"/>
          <w:highlight w:val="none"/>
        </w:rPr>
        <w:t>4）响应文件的制作：</w:t>
      </w:r>
      <w:r>
        <w:rPr>
          <w:rFonts w:hint="eastAsia" w:ascii="仿宋" w:hAnsi="仿宋" w:eastAsia="仿宋" w:cs="仿宋"/>
          <w:color w:val="auto"/>
          <w:sz w:val="24"/>
          <w:highlight w:val="none"/>
        </w:rPr>
        <w:t>在“政采云电子交易客户端”中完成“填写基本信息”、“导入投标文件”、“标书关联”、“标书检查”、“电子签名”、“生成电子标书”等操作。</w:t>
      </w:r>
      <w:r>
        <w:rPr>
          <w:rFonts w:hint="eastAsia" w:ascii="仿宋" w:hAnsi="仿宋" w:eastAsia="仿宋" w:cs="仿宋"/>
          <w:b/>
          <w:color w:val="auto"/>
          <w:sz w:val="24"/>
          <w:highlight w:val="none"/>
        </w:rPr>
        <w:t>5）</w:t>
      </w: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将依托政采云平台完成本项目的电子交易活动，平台不接受未按本公告约定方式获取磋商文件的供应商进行响应活动；</w:t>
      </w:r>
      <w:r>
        <w:rPr>
          <w:rFonts w:hint="eastAsia" w:ascii="仿宋" w:hAnsi="仿宋" w:eastAsia="仿宋" w:cs="仿宋"/>
          <w:b/>
          <w:color w:val="auto"/>
          <w:sz w:val="24"/>
          <w:highlight w:val="none"/>
        </w:rPr>
        <w:t>6）</w:t>
      </w:r>
      <w:r>
        <w:rPr>
          <w:rFonts w:hint="eastAsia" w:ascii="仿宋" w:hAnsi="仿宋" w:eastAsia="仿宋" w:cs="仿宋"/>
          <w:color w:val="auto"/>
          <w:sz w:val="24"/>
          <w:highlight w:val="none"/>
        </w:rPr>
        <w:t>对未按上述方式获取磋商文件的供应商对该文件提出的质疑，采购人或采购代理机构将不予处理</w:t>
      </w:r>
      <w:r>
        <w:rPr>
          <w:rFonts w:hint="eastAsia" w:ascii="仿宋" w:hAnsi="仿宋" w:eastAsia="仿宋" w:cs="仿宋"/>
          <w:b/>
          <w:color w:val="auto"/>
          <w:sz w:val="24"/>
          <w:highlight w:val="none"/>
        </w:rPr>
        <w:t>；7）</w:t>
      </w:r>
      <w:r>
        <w:rPr>
          <w:rFonts w:hint="eastAsia" w:ascii="仿宋" w:hAnsi="仿宋" w:eastAsia="仿宋" w:cs="仿宋"/>
          <w:color w:val="auto"/>
          <w:sz w:val="24"/>
          <w:highlight w:val="none"/>
        </w:rPr>
        <w:t>不提供磋商文件纸质版；</w:t>
      </w:r>
      <w:r>
        <w:rPr>
          <w:rFonts w:hint="eastAsia" w:ascii="仿宋" w:hAnsi="仿宋" w:eastAsia="仿宋" w:cs="仿宋"/>
          <w:b/>
          <w:color w:val="auto"/>
          <w:sz w:val="24"/>
          <w:highlight w:val="none"/>
        </w:rPr>
        <w:t>8）响应文件的传输提交：</w:t>
      </w:r>
      <w:r>
        <w:rPr>
          <w:rFonts w:hint="eastAsia" w:ascii="仿宋" w:hAnsi="仿宋" w:eastAsia="仿宋" w:cs="仿宋"/>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仿宋" w:hAnsi="仿宋" w:eastAsia="仿宋" w:cs="仿宋"/>
          <w:b/>
          <w:color w:val="auto"/>
          <w:sz w:val="24"/>
          <w:highlight w:val="none"/>
        </w:rPr>
        <w:t>9）响应文件的解密：</w:t>
      </w:r>
      <w:r>
        <w:rPr>
          <w:rFonts w:hint="eastAsia" w:ascii="仿宋" w:hAnsi="仿宋" w:eastAsia="仿宋" w:cs="仿宋"/>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color w:val="auto"/>
          <w:sz w:val="24"/>
          <w:highlight w:val="none"/>
        </w:rPr>
        <w:t>）具体操作指南</w:t>
      </w:r>
      <w:r>
        <w:rPr>
          <w:rFonts w:hint="eastAsia" w:ascii="仿宋" w:hAnsi="仿宋" w:eastAsia="仿宋" w:cs="仿宋"/>
          <w:color w:val="auto"/>
          <w:sz w:val="24"/>
          <w:highlight w:val="none"/>
        </w:rPr>
        <w:t>：详见政采云平台“服务中心-帮助文档-项目采购-操作流程-电子招投标-政府采购项目电子交易管理操作指南-供应商”。（3磋商文件公告期限与磋商公告的公告期限一致。</w:t>
      </w:r>
    </w:p>
    <w:p>
      <w:pPr>
        <w:pStyle w:val="2"/>
        <w:numPr>
          <w:ilvl w:val="0"/>
          <w:numId w:val="0"/>
        </w:numPr>
        <w:ind w:left="432" w:hanging="432"/>
        <w:rPr>
          <w:rFonts w:hint="eastAsia" w:ascii="仿宋" w:hAnsi="仿宋" w:eastAsia="仿宋" w:cs="仿宋"/>
          <w:color w:val="auto"/>
          <w:sz w:val="24"/>
          <w:szCs w:val="24"/>
          <w:highlight w:val="none"/>
        </w:rPr>
      </w:pPr>
      <w:bookmarkStart w:id="37" w:name="_Toc35393636"/>
      <w:bookmarkStart w:id="38" w:name="_Toc28359018"/>
      <w:bookmarkStart w:id="39" w:name="_Toc28359095"/>
      <w:bookmarkStart w:id="40" w:name="_Toc35393805"/>
      <w:r>
        <w:rPr>
          <w:rFonts w:hint="eastAsia" w:ascii="仿宋" w:hAnsi="仿宋" w:eastAsia="仿宋" w:cs="仿宋"/>
          <w:color w:val="auto"/>
          <w:sz w:val="24"/>
          <w:szCs w:val="24"/>
          <w:highlight w:val="none"/>
        </w:rPr>
        <w:t>八、凡对本次采购提出询问</w:t>
      </w:r>
      <w:r>
        <w:rPr>
          <w:rFonts w:hint="eastAsia" w:ascii="仿宋" w:hAnsi="仿宋" w:eastAsia="仿宋" w:cs="仿宋"/>
          <w:bCs w:val="0"/>
          <w:color w:val="auto"/>
          <w:sz w:val="24"/>
          <w:szCs w:val="24"/>
          <w:highlight w:val="none"/>
        </w:rPr>
        <w:t>、质疑、投诉</w:t>
      </w:r>
      <w:r>
        <w:rPr>
          <w:rFonts w:hint="eastAsia" w:ascii="仿宋" w:hAnsi="仿宋" w:eastAsia="仿宋" w:cs="仿宋"/>
          <w:color w:val="auto"/>
          <w:sz w:val="24"/>
          <w:szCs w:val="24"/>
          <w:highlight w:val="none"/>
        </w:rPr>
        <w:t>，请按以下方式联系</w:t>
      </w:r>
      <w:bookmarkEnd w:id="37"/>
      <w:bookmarkEnd w:id="38"/>
      <w:bookmarkEnd w:id="39"/>
      <w:bookmarkEnd w:id="40"/>
    </w:p>
    <w:p>
      <w:pPr>
        <w:pStyle w:val="2"/>
        <w:numPr>
          <w:ilvl w:val="0"/>
          <w:numId w:val="0"/>
        </w:numPr>
        <w:ind w:left="432" w:hanging="432"/>
        <w:rPr>
          <w:rFonts w:hint="eastAsia" w:ascii="仿宋" w:hAnsi="仿宋" w:eastAsia="仿宋" w:cs="仿宋"/>
          <w:color w:val="auto"/>
          <w:sz w:val="24"/>
          <w:szCs w:val="24"/>
          <w:highlight w:val="none"/>
        </w:rPr>
      </w:pPr>
      <w:bookmarkStart w:id="41" w:name="_Toc35393637"/>
      <w:bookmarkStart w:id="42" w:name="_Toc28359096"/>
      <w:bookmarkStart w:id="43" w:name="_Toc28359019"/>
      <w:bookmarkStart w:id="44" w:name="_Toc35393806"/>
      <w:r>
        <w:rPr>
          <w:rFonts w:hint="eastAsia" w:ascii="仿宋" w:hAnsi="仿宋" w:eastAsia="仿宋" w:cs="仿宋"/>
          <w:color w:val="auto"/>
          <w:sz w:val="24"/>
          <w:szCs w:val="24"/>
          <w:highlight w:val="none"/>
        </w:rPr>
        <w:t>1.采购人信息</w:t>
      </w:r>
      <w:bookmarkEnd w:id="41"/>
      <w:bookmarkEnd w:id="42"/>
      <w:bookmarkEnd w:id="43"/>
      <w:bookmarkEnd w:id="44"/>
      <w:r>
        <w:rPr>
          <w:rFonts w:hint="eastAsia" w:ascii="仿宋" w:hAnsi="仿宋" w:eastAsia="仿宋" w:cs="仿宋"/>
          <w:color w:val="auto"/>
          <w:sz w:val="24"/>
          <w:szCs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val="en-US" w:eastAsia="zh-CN"/>
        </w:rPr>
        <w:t>杭州市临安区住房保障和房产服务中心</w:t>
      </w:r>
    </w:p>
    <w:p>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地    址：:杭州市临安区锦北街道科技大道4398号</w:t>
      </w:r>
      <w:r>
        <w:rPr>
          <w:rFonts w:hint="eastAsia" w:ascii="仿宋" w:hAnsi="仿宋" w:eastAsia="仿宋" w:cs="仿宋"/>
          <w:color w:val="auto"/>
          <w:sz w:val="24"/>
          <w:highlight w:val="none"/>
          <w:lang w:val="en-US" w:eastAsia="zh-CN"/>
        </w:rPr>
        <w:t>3号楼</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lang w:val="en-US" w:eastAsia="zh-CN"/>
        </w:rPr>
        <w:t>/</w:t>
      </w:r>
    </w:p>
    <w:p>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项目联系人（询问）：</w:t>
      </w:r>
      <w:r>
        <w:rPr>
          <w:rFonts w:hint="eastAsia" w:ascii="仿宋" w:hAnsi="仿宋" w:eastAsia="仿宋" w:cs="仿宋"/>
          <w:color w:val="auto"/>
          <w:sz w:val="24"/>
          <w:highlight w:val="none"/>
          <w:lang w:val="en-US" w:eastAsia="zh-CN"/>
        </w:rPr>
        <w:t>邵千云</w:t>
      </w:r>
    </w:p>
    <w:p>
      <w:pPr>
        <w:spacing w:line="360" w:lineRule="auto"/>
        <w:ind w:firstLine="48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0571-89541052</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胡秀芳</w:t>
      </w:r>
      <w:bookmarkStart w:id="186" w:name="_GoBack"/>
      <w:bookmarkEnd w:id="186"/>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p>
    <w:p>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质疑联系方式：</w:t>
      </w:r>
      <w:r>
        <w:rPr>
          <w:rFonts w:hint="eastAsia" w:ascii="仿宋" w:hAnsi="仿宋" w:eastAsia="仿宋" w:cs="仿宋"/>
          <w:color w:val="auto"/>
          <w:sz w:val="24"/>
          <w:highlight w:val="none"/>
          <w:lang w:val="en-US" w:eastAsia="zh-CN"/>
        </w:rPr>
        <w:t xml:space="preserve">0571-89541053   </w:t>
      </w:r>
    </w:p>
    <w:p>
      <w:pPr>
        <w:pStyle w:val="2"/>
        <w:numPr>
          <w:ilvl w:val="0"/>
          <w:numId w:val="0"/>
        </w:numPr>
        <w:ind w:left="432" w:hanging="432"/>
        <w:rPr>
          <w:rFonts w:hint="eastAsia" w:ascii="仿宋" w:hAnsi="仿宋" w:eastAsia="仿宋" w:cs="仿宋"/>
          <w:color w:val="auto"/>
          <w:sz w:val="24"/>
          <w:highlight w:val="none"/>
        </w:rPr>
      </w:pPr>
      <w:bookmarkStart w:id="45" w:name="_Toc35393807"/>
      <w:bookmarkStart w:id="46" w:name="_Toc28359020"/>
      <w:bookmarkStart w:id="47" w:name="_Toc28359097"/>
      <w:bookmarkStart w:id="48" w:name="_Toc35393638"/>
      <w:r>
        <w:rPr>
          <w:rFonts w:hint="eastAsia" w:ascii="仿宋" w:hAnsi="仿宋" w:eastAsia="仿宋" w:cs="仿宋"/>
          <w:color w:val="auto"/>
          <w:sz w:val="24"/>
          <w:szCs w:val="24"/>
          <w:highlight w:val="none"/>
        </w:rPr>
        <w:t>2.采购代理机构信息</w:t>
      </w:r>
      <w:bookmarkEnd w:id="45"/>
      <w:bookmarkEnd w:id="46"/>
      <w:bookmarkEnd w:id="47"/>
      <w:bookmarkEnd w:id="48"/>
      <w:r>
        <w:rPr>
          <w:rFonts w:hint="eastAsia" w:ascii="仿宋" w:hAnsi="仿宋" w:eastAsia="仿宋" w:cs="仿宋"/>
          <w:color w:val="auto"/>
          <w:sz w:val="24"/>
          <w:szCs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val="en-US" w:eastAsia="zh-CN"/>
        </w:rPr>
        <w:t>浙江中审工程咨询有限公司</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w:t>
      </w:r>
      <w:r>
        <w:rPr>
          <w:rFonts w:hint="eastAsia" w:ascii="仿宋" w:hAnsi="仿宋" w:eastAsia="仿宋" w:cs="仿宋"/>
          <w:color w:val="auto"/>
          <w:sz w:val="24"/>
          <w:highlight w:val="none"/>
          <w:lang w:val="en-US" w:eastAsia="zh-CN"/>
        </w:rPr>
        <w:t>临安区临水路328号铂盛汇1-1幢202</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w:t>
      </w:r>
      <w:r>
        <w:rPr>
          <w:rFonts w:hint="eastAsia" w:ascii="仿宋" w:hAnsi="仿宋" w:eastAsia="仿宋" w:cs="仿宋"/>
          <w:color w:val="auto"/>
          <w:sz w:val="24"/>
          <w:highlight w:val="none"/>
          <w:lang w:val="en-US" w:eastAsia="zh-CN"/>
        </w:rPr>
        <w:t>童莉莉</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0571-61109731</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val="en-US" w:eastAsia="zh-CN"/>
        </w:rPr>
        <w:t>陈瑶</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w:t>
      </w:r>
      <w:r>
        <w:rPr>
          <w:rFonts w:hint="eastAsia" w:ascii="仿宋" w:hAnsi="仿宋" w:eastAsia="仿宋" w:cs="仿宋"/>
          <w:color w:val="auto"/>
          <w:sz w:val="24"/>
          <w:highlight w:val="none"/>
          <w:lang w:val="en-US" w:eastAsia="zh-CN"/>
        </w:rPr>
        <w:t>0571-61109731</w:t>
      </w:r>
    </w:p>
    <w:p>
      <w:pPr>
        <w:spacing w:line="360" w:lineRule="auto"/>
        <w:rPr>
          <w:rFonts w:hint="eastAsia" w:ascii="仿宋" w:hAnsi="仿宋" w:eastAsia="仿宋" w:cs="仿宋"/>
          <w:b/>
          <w:color w:val="auto"/>
          <w:sz w:val="24"/>
          <w:highlight w:val="none"/>
        </w:rPr>
      </w:pPr>
      <w:bookmarkStart w:id="49" w:name="_Toc35393639"/>
      <w:bookmarkStart w:id="50" w:name="_Toc28359021"/>
      <w:bookmarkStart w:id="51" w:name="_Toc28359098"/>
      <w:bookmarkStart w:id="52" w:name="_Toc35393808"/>
      <w:r>
        <w:rPr>
          <w:rFonts w:hint="eastAsia" w:ascii="仿宋" w:hAnsi="仿宋" w:eastAsia="仿宋" w:cs="仿宋"/>
          <w:b/>
          <w:bCs/>
          <w:color w:val="auto"/>
          <w:sz w:val="24"/>
          <w:highlight w:val="none"/>
        </w:rPr>
        <w:t>3.</w:t>
      </w:r>
      <w:r>
        <w:rPr>
          <w:rFonts w:hint="eastAsia" w:ascii="仿宋" w:hAnsi="仿宋" w:eastAsia="仿宋" w:cs="仿宋"/>
          <w:b/>
          <w:color w:val="auto"/>
          <w:sz w:val="24"/>
          <w:highlight w:val="none"/>
        </w:rPr>
        <w:t xml:space="preserve"> 同级政府采购监督管理部门：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bookmarkEnd w:id="49"/>
      <w:bookmarkEnd w:id="50"/>
      <w:bookmarkEnd w:id="51"/>
      <w:bookmarkEnd w:id="52"/>
      <w:r>
        <w:rPr>
          <w:rFonts w:hint="eastAsia" w:ascii="仿宋" w:hAnsi="仿宋" w:eastAsia="仿宋" w:cs="仿宋"/>
          <w:color w:val="auto"/>
          <w:sz w:val="24"/>
          <w:highlight w:val="none"/>
        </w:rPr>
        <w:t>名    称：杭州市临安区财政局政府采购监督管理科</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址：杭州市临安区锦城街道临天路1950号财政大楼411室</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真：0571-89541600 </w:t>
      </w:r>
    </w:p>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联系人 ：赵女士</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监督投诉电话：电话：0571-89541692、89541691、89541697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        </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pPr>
        <w:spacing w:line="360" w:lineRule="auto"/>
        <w:ind w:firstLine="480" w:firstLineChars="200"/>
        <w:rPr>
          <w:rFonts w:hint="eastAsia" w:ascii="仿宋" w:hAnsi="仿宋" w:eastAsia="仿宋" w:cs="仿宋"/>
          <w:color w:val="auto"/>
          <w:sz w:val="24"/>
          <w:highlight w:val="none"/>
        </w:rPr>
      </w:pPr>
    </w:p>
    <w:p>
      <w:pPr>
        <w:pStyle w:val="31"/>
        <w:spacing w:line="360" w:lineRule="auto"/>
        <w:ind w:firstLine="480" w:firstLineChars="200"/>
        <w:jc w:val="right"/>
        <w:rPr>
          <w:rFonts w:hint="eastAsia" w:ascii="仿宋" w:hAnsi="仿宋" w:eastAsia="仿宋" w:cs="仿宋"/>
          <w:color w:val="auto"/>
          <w:sz w:val="24"/>
          <w:szCs w:val="24"/>
          <w:highlight w:val="none"/>
        </w:rPr>
      </w:pPr>
    </w:p>
    <w:p>
      <w:pPr>
        <w:pStyle w:val="31"/>
        <w:spacing w:line="360" w:lineRule="auto"/>
        <w:ind w:firstLine="480" w:firstLineChars="200"/>
        <w:rPr>
          <w:rFonts w:hint="eastAsia" w:ascii="仿宋" w:hAnsi="仿宋" w:eastAsia="仿宋" w:cs="仿宋"/>
          <w:color w:val="auto"/>
          <w:sz w:val="24"/>
          <w:szCs w:val="24"/>
          <w:highlight w:val="none"/>
        </w:rPr>
      </w:pPr>
    </w:p>
    <w:p>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6"/>
          <w:szCs w:val="20"/>
          <w:highlight w:val="none"/>
        </w:rPr>
        <w:t>第二部分 竞争性磋商流程</w:t>
      </w:r>
    </w:p>
    <w:p>
      <w:pPr>
        <w:pStyle w:val="393"/>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szCs w:val="24"/>
          <w:highlight w:val="none"/>
        </w:rPr>
        <w:t>1.征集供应商</w:t>
      </w:r>
    </w:p>
    <w:p>
      <w:pPr>
        <w:pStyle w:val="39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1.1邀请供应商。</w:t>
      </w:r>
    </w:p>
    <w:p>
      <w:pPr>
        <w:pStyle w:val="393"/>
        <w:numPr>
          <w:ilvl w:val="0"/>
          <w:numId w:val="8"/>
        </w:numPr>
        <w:spacing w:before="0"/>
        <w:ind w:firstLineChars="0"/>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采用公告方式邀请供应商的，</w:t>
      </w:r>
      <w:r>
        <w:rPr>
          <w:rFonts w:hint="eastAsia" w:ascii="仿宋" w:hAnsi="仿宋" w:eastAsia="仿宋" w:cs="仿宋"/>
          <w:color w:val="auto"/>
          <w:szCs w:val="24"/>
          <w:highlight w:val="none"/>
        </w:rPr>
        <w:t>由采购人、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在省级以上人民政府财政部门指定的政府采购信息发布媒体上发布磋商公告，邀请符合相应资格条件的供应商参与竞争性磋商采购活动。</w:t>
      </w:r>
    </w:p>
    <w:p>
      <w:pPr>
        <w:pStyle w:val="393"/>
        <w:numPr>
          <w:ilvl w:val="0"/>
          <w:numId w:val="8"/>
        </w:numPr>
        <w:spacing w:before="0"/>
        <w:ind w:firstLineChars="0"/>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采用随机抽取方式邀请供应商的，</w:t>
      </w:r>
      <w:r>
        <w:rPr>
          <w:rFonts w:hint="eastAsia" w:ascii="仿宋" w:hAnsi="仿宋" w:eastAsia="仿宋" w:cs="仿宋"/>
          <w:color w:val="auto"/>
          <w:szCs w:val="24"/>
          <w:highlight w:val="none"/>
        </w:rPr>
        <w:t>由采购人、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从省级以上财政部门建立的供应商库中随机抽取不少于3家符合相应资格条件的供应商参与竞争性磋商采购活动。</w:t>
      </w:r>
    </w:p>
    <w:p>
      <w:pPr>
        <w:pStyle w:val="393"/>
        <w:numPr>
          <w:ilvl w:val="0"/>
          <w:numId w:val="8"/>
        </w:numPr>
        <w:spacing w:before="0"/>
        <w:ind w:firstLineChars="0"/>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采用书面推荐方式邀请供应商的，</w:t>
      </w:r>
      <w:r>
        <w:rPr>
          <w:rFonts w:hint="eastAsia" w:ascii="仿宋" w:hAnsi="仿宋" w:eastAsia="仿宋" w:cs="仿宋"/>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pPr>
        <w:pStyle w:val="39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1.2供应商获取磋商文件。</w:t>
      </w:r>
    </w:p>
    <w:p>
      <w:pPr>
        <w:pStyle w:val="39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1.3组织现场考察或召开答疑会（如果有）。</w:t>
      </w:r>
    </w:p>
    <w:p>
      <w:pPr>
        <w:pStyle w:val="39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1.4发布更正（延期）公告，澄清或修改磋商文件（如果有）。</w:t>
      </w:r>
    </w:p>
    <w:p>
      <w:pPr>
        <w:pStyle w:val="39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1.5供应商按磋商文件要求编制响应文件。</w:t>
      </w:r>
    </w:p>
    <w:p>
      <w:pPr>
        <w:pStyle w:val="393"/>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2.响应文件开启与信用信息查询</w:t>
      </w:r>
    </w:p>
    <w:p>
      <w:pPr>
        <w:pStyle w:val="39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2.1供应商依据“提交响应文件的截止时间与地点”通过政采云平台在线提交响应文件。供应商在提交响应文件的截止时间前，可以补充、修改或撤回响应文件。</w:t>
      </w:r>
    </w:p>
    <w:p>
      <w:pPr>
        <w:pStyle w:val="39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2.2</w:t>
      </w:r>
      <w:r>
        <w:rPr>
          <w:rFonts w:hint="eastAsia" w:ascii="仿宋" w:hAnsi="仿宋" w:eastAsia="仿宋" w:cs="仿宋"/>
          <w:color w:val="auto"/>
          <w:kern w:val="0"/>
          <w:szCs w:val="24"/>
          <w:highlight w:val="none"/>
          <w:lang w:eastAsia="zh-CN"/>
        </w:rPr>
        <w:t>采购代理机构</w:t>
      </w:r>
      <w:r>
        <w:rPr>
          <w:rFonts w:hint="eastAsia" w:ascii="仿宋" w:hAnsi="仿宋" w:eastAsia="仿宋" w:cs="仿宋"/>
          <w:color w:val="auto"/>
          <w:kern w:val="0"/>
          <w:szCs w:val="24"/>
          <w:highlight w:val="none"/>
        </w:rPr>
        <w:t>将通过“信用中国”网站(</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"http://www.creditchina.gov.cn" </w:instrText>
      </w:r>
      <w:r>
        <w:rPr>
          <w:rFonts w:hint="eastAsia" w:ascii="仿宋" w:hAnsi="仿宋" w:eastAsia="仿宋" w:cs="仿宋"/>
          <w:color w:val="auto"/>
          <w:highlight w:val="none"/>
        </w:rPr>
        <w:fldChar w:fldCharType="separate"/>
      </w:r>
      <w:r>
        <w:rPr>
          <w:rStyle w:val="68"/>
          <w:rFonts w:hint="eastAsia" w:ascii="仿宋" w:hAnsi="仿宋" w:eastAsia="仿宋" w:cs="仿宋"/>
          <w:snapToGrid/>
          <w:color w:val="auto"/>
          <w:sz w:val="24"/>
          <w:szCs w:val="24"/>
          <w:highlight w:val="none"/>
        </w:rPr>
        <w:t>www.creditchina.gov.cn</w:t>
      </w:r>
      <w:r>
        <w:rPr>
          <w:rStyle w:val="68"/>
          <w:rFonts w:hint="eastAsia" w:ascii="仿宋" w:hAnsi="仿宋" w:eastAsia="仿宋" w:cs="仿宋"/>
          <w:snapToGrid/>
          <w:color w:val="auto"/>
          <w:sz w:val="24"/>
          <w:szCs w:val="24"/>
          <w:highlight w:val="none"/>
        </w:rPr>
        <w:fldChar w:fldCharType="end"/>
      </w:r>
      <w:r>
        <w:rPr>
          <w:rFonts w:hint="eastAsia" w:ascii="仿宋" w:hAnsi="仿宋" w:eastAsia="仿宋" w:cs="仿宋"/>
          <w:color w:val="auto"/>
          <w:kern w:val="0"/>
          <w:szCs w:val="24"/>
          <w:highlight w:val="none"/>
        </w:rPr>
        <w:t>)和中国政府采购网(www.ccgp.gov.cn)渠道查询供应商响应截止时间当日的信用记录。</w:t>
      </w:r>
    </w:p>
    <w:p>
      <w:pPr>
        <w:pStyle w:val="393"/>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3.磋商与评审</w:t>
      </w:r>
    </w:p>
    <w:p>
      <w:pPr>
        <w:pStyle w:val="39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3.1磋商小组签到。</w:t>
      </w:r>
    </w:p>
    <w:p>
      <w:pPr>
        <w:pStyle w:val="39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3.2</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宣布有关纪律以及磋商、评审工作程序。</w:t>
      </w:r>
    </w:p>
    <w:p>
      <w:pPr>
        <w:pStyle w:val="39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3.3磋商小组审查确认磋商文件。磋商文件内容违反国家有关强制性规定的，磋商小组应当停止评审并向</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说明情况。</w:t>
      </w:r>
    </w:p>
    <w:p>
      <w:pPr>
        <w:pStyle w:val="39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3.4磋商小组对供应商的资格进行审查。</w:t>
      </w:r>
    </w:p>
    <w:p>
      <w:pPr>
        <w:pStyle w:val="39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3.5磋商小组审查响应文件。</w:t>
      </w:r>
    </w:p>
    <w:p>
      <w:pPr>
        <w:pStyle w:val="39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3.6对于未实质性响应磋商文件的响应文件由磋商小组认定响应无效，并告知该供应商。</w:t>
      </w:r>
    </w:p>
    <w:p>
      <w:pPr>
        <w:pStyle w:val="39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39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w:t>
      </w:r>
    </w:p>
    <w:p>
      <w:pPr>
        <w:pStyle w:val="39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3.9经磋商确定磋商文件的变动情况。对磋商文件作出的实质性变动是磋商文件的有效组成部分，磋商小组应当及时以书面形式同时通知所有参加磋商的供应商。</w:t>
      </w:r>
    </w:p>
    <w:p>
      <w:pPr>
        <w:pStyle w:val="39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9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3.11磋商小组按照下列方式确定提交最后报价的供应商，有特殊规定的从其规定：</w:t>
      </w:r>
    </w:p>
    <w:p>
      <w:pPr>
        <w:pStyle w:val="39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pPr>
        <w:pStyle w:val="39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39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3.12确定进入最后报价的供应商在规定时间内提交最后报价。</w:t>
      </w:r>
    </w:p>
    <w:p>
      <w:pPr>
        <w:pStyle w:val="39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3.13</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唱价。</w:t>
      </w:r>
    </w:p>
    <w:p>
      <w:pPr>
        <w:pStyle w:val="39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39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3.15磋商小组应当根据综合评分情况，按照评审得分由高到低顺序推荐3名以上成交候选供应商，并编写评审报告。</w:t>
      </w:r>
    </w:p>
    <w:p>
      <w:pPr>
        <w:pStyle w:val="393"/>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4. 成交</w:t>
      </w:r>
    </w:p>
    <w:p>
      <w:pPr>
        <w:pStyle w:val="39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4.1政府采购项目实行全流程电子化，评审报告送交、采购结果确定和结果公告均在线完成。</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pPr>
        <w:pStyle w:val="39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4.2</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393"/>
        <w:spacing w:before="0"/>
        <w:ind w:firstLine="0" w:firstLineChars="0"/>
        <w:rPr>
          <w:rFonts w:hint="eastAsia" w:ascii="仿宋" w:hAnsi="仿宋" w:eastAsia="仿宋" w:cs="仿宋"/>
          <w:color w:val="auto"/>
          <w:kern w:val="0"/>
          <w:szCs w:val="21"/>
          <w:highlight w:val="none"/>
        </w:rPr>
      </w:pPr>
      <w:r>
        <w:rPr>
          <w:rFonts w:hint="eastAsia" w:ascii="仿宋" w:hAnsi="仿宋" w:eastAsia="仿宋" w:cs="仿宋"/>
          <w:b/>
          <w:color w:val="auto"/>
          <w:highlight w:val="none"/>
        </w:rPr>
        <w:t>5.合同及履约验收</w:t>
      </w:r>
    </w:p>
    <w:p>
      <w:pPr>
        <w:pStyle w:val="39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5.1采购人与成交供应商应当在成交通知书发出之日起10个工作日内签订政府采购合同。</w:t>
      </w:r>
    </w:p>
    <w:p>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5.2成交供应商按照政策要求及合同约定缴纳履约保证金。</w:t>
      </w:r>
    </w:p>
    <w:p>
      <w:pPr>
        <w:pStyle w:val="39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5.3合同履约。</w:t>
      </w:r>
    </w:p>
    <w:p>
      <w:pPr>
        <w:pStyle w:val="39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5.4采购人组织验收。</w:t>
      </w:r>
    </w:p>
    <w:p>
      <w:pPr>
        <w:widowControl/>
        <w:adjustRightInd/>
        <w:jc w:val="left"/>
        <w:rPr>
          <w:rFonts w:hint="eastAsia" w:ascii="仿宋" w:hAnsi="仿宋" w:eastAsia="仿宋" w:cs="仿宋"/>
          <w:b/>
          <w:color w:val="auto"/>
          <w:sz w:val="24"/>
          <w:szCs w:val="20"/>
          <w:highlight w:val="none"/>
        </w:rPr>
      </w:pPr>
      <w:r>
        <w:rPr>
          <w:rFonts w:hint="eastAsia" w:ascii="仿宋" w:hAnsi="仿宋" w:eastAsia="仿宋" w:cs="仿宋"/>
          <w:b/>
          <w:color w:val="auto"/>
          <w:highlight w:val="none"/>
        </w:rPr>
        <w:br w:type="page"/>
      </w:r>
    </w:p>
    <w:p>
      <w:pPr>
        <w:pStyle w:val="393"/>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6.竞争性磋商流程图</w:t>
      </w:r>
    </w:p>
    <w:p>
      <w:pPr>
        <w:pStyle w:val="393"/>
        <w:spacing w:before="0"/>
        <w:ind w:firstLine="0" w:firstLineChars="0"/>
        <w:rPr>
          <w:rFonts w:hint="eastAsia" w:ascii="仿宋" w:hAnsi="仿宋" w:eastAsia="仿宋" w:cs="仿宋"/>
          <w:b/>
          <w:color w:val="auto"/>
          <w:highlight w:val="none"/>
        </w:rPr>
      </w:pPr>
    </w:p>
    <w:p>
      <w:pPr>
        <w:widowControl/>
        <w:adjustRightInd/>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rPr>
                            </w:pPr>
                            <w:r>
                              <w:rPr>
                                <w:rFonts w:hint="eastAsia" w:ascii="仿宋" w:hAnsi="仿宋" w:eastAsia="仿宋" w:cs="仿宋"/>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pPr>
                        <w:rPr>
                          <w:rFonts w:hint="eastAsia" w:ascii="仿宋" w:hAnsi="仿宋" w:eastAsia="仿宋" w:cs="仿宋"/>
                        </w:rPr>
                      </w:pPr>
                      <w:r>
                        <w:rPr>
                          <w:rFonts w:hint="eastAsia" w:ascii="仿宋" w:hAnsi="仿宋" w:eastAsia="仿宋" w:cs="仿宋"/>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rPr>
                            </w:pPr>
                            <w:r>
                              <w:rPr>
                                <w:rFonts w:hint="eastAsia" w:ascii="仿宋" w:hAnsi="仿宋" w:eastAsia="仿宋" w:cs="仿宋"/>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pPr>
                        <w:rPr>
                          <w:rFonts w:hint="eastAsia" w:ascii="仿宋" w:hAnsi="仿宋" w:eastAsia="仿宋" w:cs="仿宋"/>
                        </w:rPr>
                      </w:pPr>
                      <w:r>
                        <w:rPr>
                          <w:rFonts w:hint="eastAsia" w:ascii="仿宋" w:hAnsi="仿宋" w:eastAsia="仿宋" w:cs="仿宋"/>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 w:hAnsi="仿宋" w:eastAsia="仿宋" w:cs="仿宋"/>
                              </w:rPr>
                            </w:pPr>
                            <w:r>
                              <w:rPr>
                                <w:rFonts w:hint="eastAsia" w:ascii="仿宋" w:hAnsi="仿宋" w:eastAsia="仿宋" w:cs="仿宋"/>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pPr>
                        <w:jc w:val="center"/>
                        <w:rPr>
                          <w:rFonts w:hint="eastAsia" w:ascii="仿宋" w:hAnsi="仿宋" w:eastAsia="仿宋" w:cs="仿宋"/>
                        </w:rPr>
                      </w:pPr>
                      <w:r>
                        <w:rPr>
                          <w:rFonts w:hint="eastAsia" w:ascii="仿宋" w:hAnsi="仿宋" w:eastAsia="仿宋" w:cs="仿宋"/>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rPr>
                            </w:pPr>
                            <w:r>
                              <w:rPr>
                                <w:rFonts w:hint="eastAsia" w:ascii="仿宋" w:hAnsi="仿宋" w:eastAsia="仿宋" w:cs="仿宋"/>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pPr>
                        <w:rPr>
                          <w:rFonts w:hint="eastAsia" w:ascii="仿宋" w:hAnsi="仿宋" w:eastAsia="仿宋" w:cs="仿宋"/>
                        </w:rPr>
                      </w:pPr>
                      <w:r>
                        <w:rPr>
                          <w:rFonts w:hint="eastAsia" w:ascii="仿宋" w:hAnsi="仿宋" w:eastAsia="仿宋" w:cs="仿宋"/>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ind w:firstLine="105" w:firstLineChars="50"/>
                              <w:rPr>
                                <w:rFonts w:hint="eastAsia" w:ascii="仿宋" w:hAnsi="仿宋" w:eastAsia="仿宋" w:cs="仿宋"/>
                              </w:rPr>
                            </w:pPr>
                            <w:r>
                              <w:rPr>
                                <w:rFonts w:hint="eastAsia" w:ascii="仿宋" w:hAnsi="仿宋" w:eastAsia="仿宋" w:cs="仿宋"/>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pPr>
                        <w:ind w:firstLine="105" w:firstLineChars="50"/>
                        <w:rPr>
                          <w:rFonts w:hint="eastAsia" w:ascii="仿宋" w:hAnsi="仿宋" w:eastAsia="仿宋" w:cs="仿宋"/>
                        </w:rPr>
                      </w:pPr>
                      <w:r>
                        <w:rPr>
                          <w:rFonts w:hint="eastAsia" w:ascii="仿宋" w:hAnsi="仿宋" w:eastAsia="仿宋" w:cs="仿宋"/>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 w:hAnsi="仿宋" w:eastAsia="仿宋" w:cs="仿宋"/>
                              </w:rPr>
                            </w:pPr>
                            <w:r>
                              <w:rPr>
                                <w:rFonts w:hint="eastAsia" w:ascii="仿宋" w:hAnsi="仿宋" w:eastAsia="仿宋" w:cs="仿宋"/>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pPr>
                        <w:jc w:val="center"/>
                        <w:rPr>
                          <w:rFonts w:hint="eastAsia" w:ascii="仿宋" w:hAnsi="仿宋" w:eastAsia="仿宋" w:cs="仿宋"/>
                        </w:rPr>
                      </w:pPr>
                      <w:r>
                        <w:rPr>
                          <w:rFonts w:hint="eastAsia" w:ascii="仿宋" w:hAnsi="仿宋" w:eastAsia="仿宋" w:cs="仿宋"/>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 w:hAnsi="仿宋" w:eastAsia="仿宋" w:cs="仿宋"/>
                              </w:rPr>
                            </w:pPr>
                            <w:r>
                              <w:rPr>
                                <w:rFonts w:hint="eastAsia" w:ascii="仿宋" w:hAnsi="仿宋" w:eastAsia="仿宋" w:cs="仿宋"/>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pPr>
                        <w:jc w:val="center"/>
                        <w:rPr>
                          <w:rFonts w:hint="eastAsia" w:ascii="仿宋" w:hAnsi="仿宋" w:eastAsia="仿宋" w:cs="仿宋"/>
                        </w:rPr>
                      </w:pPr>
                      <w:r>
                        <w:rPr>
                          <w:rFonts w:hint="eastAsia" w:ascii="仿宋" w:hAnsi="仿宋" w:eastAsia="仿宋" w:cs="仿宋"/>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 w:hAnsi="仿宋" w:eastAsia="仿宋" w:cs="仿宋"/>
                              </w:rPr>
                            </w:pPr>
                            <w:r>
                              <w:rPr>
                                <w:rFonts w:hint="eastAsia" w:ascii="仿宋" w:hAnsi="仿宋" w:eastAsia="仿宋" w:cs="仿宋"/>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pPr>
                        <w:jc w:val="center"/>
                        <w:rPr>
                          <w:rFonts w:hint="eastAsia" w:ascii="仿宋" w:hAnsi="仿宋" w:eastAsia="仿宋" w:cs="仿宋"/>
                        </w:rPr>
                      </w:pPr>
                      <w:r>
                        <w:rPr>
                          <w:rFonts w:hint="eastAsia" w:ascii="仿宋" w:hAnsi="仿宋" w:eastAsia="仿宋" w:cs="仿宋"/>
                        </w:rPr>
                        <w:t>磋商</w:t>
                      </w: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 w:hAnsi="仿宋" w:eastAsia="仿宋" w:cs="仿宋"/>
                              </w:rPr>
                            </w:pPr>
                            <w:r>
                              <w:rPr>
                                <w:rFonts w:hint="eastAsia" w:ascii="仿宋" w:hAnsi="仿宋" w:eastAsia="仿宋" w:cs="仿宋"/>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pPr>
                        <w:jc w:val="center"/>
                        <w:rPr>
                          <w:rFonts w:hint="eastAsia" w:ascii="仿宋" w:hAnsi="仿宋" w:eastAsia="仿宋" w:cs="仿宋"/>
                        </w:rPr>
                      </w:pPr>
                      <w:r>
                        <w:rPr>
                          <w:rFonts w:hint="eastAsia" w:ascii="仿宋" w:hAnsi="仿宋" w:eastAsia="仿宋" w:cs="仿宋"/>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color w:val="auto"/>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hint="eastAsia" w:ascii="仿宋" w:hAnsi="仿宋" w:eastAsia="仿宋" w:cs="仿宋"/>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 w:hAnsi="仿宋" w:eastAsia="仿宋" w:cs="仿宋"/>
                              </w:rPr>
                            </w:pPr>
                            <w:r>
                              <w:rPr>
                                <w:rFonts w:hint="eastAsia" w:ascii="仿宋" w:hAnsi="仿宋" w:eastAsia="仿宋" w:cs="仿宋"/>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pPr>
                        <w:jc w:val="center"/>
                        <w:rPr>
                          <w:rFonts w:hint="eastAsia" w:ascii="仿宋" w:hAnsi="仿宋" w:eastAsia="仿宋" w:cs="仿宋"/>
                        </w:rPr>
                      </w:pPr>
                      <w:r>
                        <w:rPr>
                          <w:rFonts w:hint="eastAsia" w:ascii="仿宋" w:hAnsi="仿宋" w:eastAsia="仿宋" w:cs="仿宋"/>
                        </w:rPr>
                        <w:t>编制磋商文件</w:t>
                      </w: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 w:hAnsi="仿宋" w:eastAsia="仿宋" w:cs="仿宋"/>
                              </w:rPr>
                            </w:pPr>
                            <w:r>
                              <w:rPr>
                                <w:rFonts w:hint="eastAsia" w:ascii="仿宋" w:hAnsi="仿宋" w:eastAsia="仿宋" w:cs="仿宋"/>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pPr>
                        <w:jc w:val="center"/>
                        <w:rPr>
                          <w:rFonts w:hint="eastAsia" w:ascii="仿宋" w:hAnsi="仿宋" w:eastAsia="仿宋" w:cs="仿宋"/>
                        </w:rPr>
                      </w:pPr>
                      <w:r>
                        <w:rPr>
                          <w:rFonts w:hint="eastAsia" w:ascii="仿宋" w:hAnsi="仿宋" w:eastAsia="仿宋" w:cs="仿宋"/>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 w:hAnsi="仿宋" w:eastAsia="仿宋" w:cs="仿宋"/>
                              </w:rPr>
                            </w:pPr>
                            <w:r>
                              <w:rPr>
                                <w:rFonts w:hint="eastAsia" w:ascii="仿宋" w:hAnsi="仿宋" w:eastAsia="仿宋" w:cs="仿宋"/>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pPr>
                        <w:jc w:val="center"/>
                        <w:rPr>
                          <w:rFonts w:hint="eastAsia" w:ascii="仿宋" w:hAnsi="仿宋" w:eastAsia="仿宋" w:cs="仿宋"/>
                        </w:rPr>
                      </w:pPr>
                      <w:r>
                        <w:rPr>
                          <w:rFonts w:hint="eastAsia" w:ascii="仿宋" w:hAnsi="仿宋" w:eastAsia="仿宋" w:cs="仿宋"/>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w:br w:type="page"/>
      </w:r>
    </w:p>
    <w:p>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第三部分</w:t>
      </w:r>
      <w:bookmarkEnd w:id="8"/>
      <w:r>
        <w:rPr>
          <w:rFonts w:hint="eastAsia" w:ascii="仿宋" w:hAnsi="仿宋" w:eastAsia="仿宋" w:cs="仿宋"/>
          <w:b/>
          <w:color w:val="auto"/>
          <w:sz w:val="36"/>
          <w:szCs w:val="20"/>
          <w:highlight w:val="none"/>
        </w:rPr>
        <w:t xml:space="preserve">  供应商须知</w:t>
      </w:r>
      <w:bookmarkEnd w:id="9"/>
    </w:p>
    <w:p>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（1）标的：</w:t>
            </w:r>
            <w:r>
              <w:rPr>
                <w:rFonts w:hint="eastAsia" w:ascii="仿宋" w:hAnsi="仿宋" w:eastAsia="仿宋" w:cs="仿宋"/>
                <w:color w:val="auto"/>
                <w:kern w:val="0"/>
                <w:sz w:val="24"/>
                <w:highlight w:val="none"/>
                <w:u w:val="single"/>
                <w:lang w:val="en-US" w:eastAsia="zh-CN"/>
              </w:rPr>
              <w:t>临安物业维修资金数据整理建库及数据迁移项目</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软件和信息技术服务业</w:t>
            </w:r>
            <w:r>
              <w:rPr>
                <w:rFonts w:hint="eastAsia" w:ascii="仿宋" w:hAnsi="仿宋" w:eastAsia="仿宋" w:cs="仿宋"/>
                <w:color w:val="auto"/>
                <w:kern w:val="0"/>
                <w:sz w:val="24"/>
                <w:highlight w:val="none"/>
              </w:rPr>
              <w:t>行业；</w:t>
            </w:r>
          </w:p>
          <w:p>
            <w:pPr>
              <w:pStyle w:val="2"/>
              <w:numPr>
                <w:ilvl w:val="0"/>
                <w:numId w:val="0"/>
              </w:numPr>
              <w:ind w:left="432"/>
              <w:jc w:val="both"/>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本项目不允许采购进口产品。</w:t>
            </w:r>
          </w:p>
          <w:p>
            <w:pPr>
              <w:spacing w:line="360" w:lineRule="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728692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sdt>
              <w:sdtPr>
                <w:rPr>
                  <w:rFonts w:hint="eastAsia" w:ascii="仿宋" w:hAnsi="仿宋" w:eastAsia="仿宋" w:cs="仿宋"/>
                  <w:color w:val="auto"/>
                  <w:kern w:val="0"/>
                  <w:sz w:val="24"/>
                  <w:highlight w:val="none"/>
                </w:rPr>
                <w:id w:val="-127633135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评审标准</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。请供应商在上述时间内提供样品并按规定位置安装完毕。超过截止时间的，采购人或采购代理机构将不予接收，并将清场并封闭样品现场。</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(6)采购活动结束后，对于未成交人提供的样品，采购人、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将通知未成交人在规定的时间内取回，逾期未取回的，采购人、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不负保管义务；对于成交人提供的样品，采购人将进行保管、封存，并作为履约验收的参考。</w:t>
            </w:r>
          </w:p>
          <w:p>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85934854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B组织。</w:t>
            </w:r>
          </w:p>
          <w:p>
            <w:pPr>
              <w:snapToGrid w:val="0"/>
              <w:spacing w:line="360" w:lineRule="auto"/>
              <w:rPr>
                <w:rFonts w:hint="eastAsia" w:ascii="仿宋_GB2312" w:hAnsi="仿宋" w:eastAsia="仿宋_GB2312" w:cs="仿宋_GB2312"/>
                <w:b w:val="0"/>
                <w:bCs/>
                <w:color w:val="auto"/>
                <w:sz w:val="24"/>
                <w:highlight w:val="none"/>
                <w:lang w:val="zh-CN"/>
              </w:rPr>
            </w:pPr>
            <w:r>
              <w:rPr>
                <w:rFonts w:hint="eastAsia" w:ascii="仿宋_GB2312" w:hAnsi="仿宋" w:eastAsia="仿宋_GB2312" w:cs="仿宋_GB2312"/>
                <w:b w:val="0"/>
                <w:bCs/>
                <w:color w:val="auto"/>
                <w:sz w:val="24"/>
                <w:highlight w:val="none"/>
                <w:lang w:val="zh-CN"/>
              </w:rPr>
              <w:t>演示视频须制作成U盘（</w:t>
            </w:r>
            <w:r>
              <w:rPr>
                <w:rFonts w:hint="eastAsia" w:ascii="仿宋_GB2312" w:hAnsi="仿宋" w:eastAsia="仿宋_GB2312" w:cs="仿宋_GB2312"/>
                <w:b w:val="0"/>
                <w:bCs/>
                <w:color w:val="auto"/>
                <w:sz w:val="24"/>
                <w:highlight w:val="none"/>
                <w:lang w:val="en-US" w:eastAsia="zh-CN"/>
              </w:rPr>
              <w:t>时间不超过15分钟</w:t>
            </w:r>
            <w:r>
              <w:rPr>
                <w:rFonts w:hint="eastAsia" w:ascii="仿宋_GB2312" w:hAnsi="仿宋" w:eastAsia="仿宋_GB2312" w:cs="仿宋_GB2312"/>
                <w:b w:val="0"/>
                <w:bCs/>
                <w:color w:val="auto"/>
                <w:sz w:val="24"/>
                <w:highlight w:val="none"/>
                <w:lang w:val="zh-CN"/>
              </w:rPr>
              <w:t>），在投标截止前密封提交至采购代理机构（</w:t>
            </w:r>
            <w:r>
              <w:rPr>
                <w:rFonts w:hint="eastAsia" w:ascii="仿宋_GB2312" w:hAnsi="仿宋" w:eastAsia="仿宋_GB2312" w:cs="仿宋_GB2312"/>
                <w:b w:val="0"/>
                <w:bCs/>
                <w:color w:val="auto"/>
                <w:sz w:val="24"/>
                <w:highlight w:val="none"/>
                <w:lang w:val="en-US" w:eastAsia="zh-CN"/>
              </w:rPr>
              <w:t>浙江中审工程咨询有限公司</w:t>
            </w:r>
            <w:r>
              <w:rPr>
                <w:rFonts w:hint="eastAsia" w:ascii="仿宋_GB2312" w:hAnsi="仿宋" w:eastAsia="仿宋_GB2312" w:cs="仿宋_GB2312"/>
                <w:b w:val="0"/>
                <w:bCs/>
                <w:color w:val="auto"/>
                <w:sz w:val="24"/>
                <w:highlight w:val="none"/>
                <w:lang w:val="zh-CN"/>
              </w:rPr>
              <w:t>（</w:t>
            </w:r>
            <w:r>
              <w:rPr>
                <w:rFonts w:hint="eastAsia" w:ascii="仿宋_GB2312" w:hAnsi="仿宋" w:eastAsia="仿宋_GB2312" w:cs="仿宋_GB2312"/>
                <w:b w:val="0"/>
                <w:bCs/>
                <w:color w:val="auto"/>
                <w:sz w:val="24"/>
                <w:highlight w:val="none"/>
                <w:lang w:val="en-US" w:eastAsia="zh-CN"/>
              </w:rPr>
              <w:t>临安区临水路328号铂盛汇1-1幢202</w:t>
            </w:r>
            <w:r>
              <w:rPr>
                <w:rFonts w:hint="eastAsia" w:ascii="仿宋_GB2312" w:hAnsi="仿宋" w:eastAsia="仿宋_GB2312" w:cs="仿宋_GB2312"/>
                <w:b w:val="0"/>
                <w:bCs/>
                <w:color w:val="auto"/>
                <w:sz w:val="24"/>
                <w:highlight w:val="none"/>
                <w:lang w:val="zh-CN"/>
              </w:rPr>
              <w:t>）），</w:t>
            </w:r>
            <w:r>
              <w:rPr>
                <w:rFonts w:hint="eastAsia" w:ascii="仿宋_GB2312" w:hAnsi="仿宋" w:eastAsia="仿宋_GB2312" w:cs="仿宋_GB2312"/>
                <w:b w:val="0"/>
                <w:bCs/>
                <w:color w:val="auto"/>
                <w:sz w:val="24"/>
                <w:highlight w:val="none"/>
                <w:lang w:val="en-US" w:eastAsia="zh-CN"/>
              </w:rPr>
              <w:t>也可邮寄但最终以签收人签收时间为准，</w:t>
            </w:r>
            <w:r>
              <w:rPr>
                <w:rFonts w:hint="eastAsia" w:ascii="仿宋_GB2312" w:hAnsi="仿宋" w:eastAsia="仿宋_GB2312" w:cs="仿宋_GB2312"/>
                <w:b w:val="0"/>
                <w:bCs/>
                <w:color w:val="auto"/>
                <w:sz w:val="24"/>
                <w:highlight w:val="none"/>
                <w:lang w:val="zh-CN"/>
              </w:rPr>
              <w:t>逾期拒收。演示内容如下（PPT、Word演示或未提供演示不得分）</w:t>
            </w:r>
          </w:p>
          <w:p>
            <w:pPr>
              <w:spacing w:line="360" w:lineRule="auto"/>
              <w:outlineLvl w:val="0"/>
              <w:rPr>
                <w:rFonts w:hint="eastAsia" w:ascii="仿宋" w:hAnsi="仿宋" w:eastAsia="仿宋" w:cs="仿宋"/>
                <w:b/>
                <w:color w:val="auto"/>
                <w:kern w:val="0"/>
                <w:sz w:val="24"/>
                <w:highlight w:val="none"/>
                <w:lang w:val="zh-CN"/>
              </w:rPr>
            </w:pPr>
            <w:r>
              <w:rPr>
                <w:rFonts w:hint="eastAsia" w:ascii="仿宋" w:hAnsi="仿宋" w:eastAsia="仿宋" w:cs="仿宋_GB2312"/>
                <w:b/>
                <w:bCs/>
                <w:color w:val="auto"/>
                <w:sz w:val="24"/>
                <w:highlight w:val="none"/>
                <w:lang w:val="en-US" w:eastAsia="zh-Hans"/>
              </w:rPr>
              <w:t>注：演示视频需密封送达，评标阶段拆封演示，因响应方自身原因导致无法演示或者演示效果不理想的，责任自负</w:t>
            </w:r>
            <w:r>
              <w:rPr>
                <w:rFonts w:hint="eastAsia" w:ascii="仿宋" w:hAnsi="仿宋" w:eastAsia="仿宋" w:cs="仿宋_GB2312"/>
                <w:color w:val="auto"/>
                <w:sz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（1）资格证明文件：见</w:t>
            </w:r>
            <w:r>
              <w:rPr>
                <w:rFonts w:hint="eastAsia" w:ascii="仿宋" w:hAnsi="仿宋" w:eastAsia="仿宋" w:cs="仿宋"/>
                <w:color w:val="auto"/>
                <w:sz w:val="24"/>
                <w:highlight w:val="none"/>
                <w:lang w:val="en-US" w:eastAsia="zh-CN"/>
              </w:rPr>
              <w:t>采购公告</w:t>
            </w:r>
          </w:p>
          <w:p>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供应商未提供有效的资格证明文件的，视为供应商不具备磋商文件中规定的资格要求，响应无效。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（2）资信证明文件：根据磋商文件第五部分评审标准提供。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有关本项目实施所需的所有费用（含税费）均计入最后报价。《最后报价</w:t>
            </w:r>
            <w:r>
              <w:rPr>
                <w:rFonts w:hint="eastAsia" w:ascii="仿宋" w:hAnsi="仿宋" w:eastAsia="仿宋" w:cs="仿宋"/>
                <w:color w:val="auto"/>
                <w:sz w:val="24"/>
                <w:highlight w:val="none"/>
              </w:rPr>
              <w:t>一览表（报价表）</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是最后报价的唯一载体</w:t>
            </w:r>
            <w:r>
              <w:rPr>
                <w:rFonts w:hint="eastAsia" w:ascii="仿宋" w:hAnsi="仿宋" w:eastAsia="仿宋" w:cs="仿宋"/>
                <w:color w:val="auto"/>
                <w:kern w:val="0"/>
                <w:sz w:val="24"/>
                <w:highlight w:val="none"/>
                <w:lang w:val="zh-CN"/>
              </w:rPr>
              <w:t>。磋商文件中价格全部采用人民币报价。磋商文件未列明，而供应商认为必需的费用也需列入报价。</w:t>
            </w:r>
            <w:r>
              <w:rPr>
                <w:rFonts w:hint="eastAsia" w:ascii="仿宋" w:hAnsi="仿宋" w:eastAsia="仿宋" w:cs="仿宋"/>
                <w:b/>
                <w:color w:val="auto"/>
                <w:kern w:val="0"/>
                <w:sz w:val="24"/>
                <w:highlight w:val="none"/>
                <w:lang w:val="zh-CN"/>
              </w:rPr>
              <w:t>提醒：验收时检测费用由采购人承担，不包含在最后报价中。</w:t>
            </w:r>
          </w:p>
          <w:p>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最后报价出现下列情形的，响应无效：</w:t>
            </w:r>
          </w:p>
          <w:p>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响应文件出现不是唯一的、有选择性的最后报价的；</w:t>
            </w:r>
          </w:p>
          <w:p>
            <w:pPr>
              <w:snapToGrid w:val="0"/>
              <w:spacing w:line="36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最后报价超过磋商文件中规定的预算金额或者最高限价的;</w:t>
            </w:r>
          </w:p>
          <w:p>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供应商对根据修正原则修正后的报价不确认的</w:t>
            </w:r>
            <w:r>
              <w:rPr>
                <w:rFonts w:hint="eastAsia" w:ascii="仿宋" w:hAnsi="仿宋" w:eastAsia="仿宋" w:cs="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1"/>
              <w:spacing w:line="360" w:lineRule="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备份响应文件送达地点：</w:t>
            </w:r>
            <w:r>
              <w:rPr>
                <w:rFonts w:hint="eastAsia" w:ascii="仿宋" w:hAnsi="仿宋" w:eastAsia="仿宋" w:cs="仿宋"/>
                <w:color w:val="auto"/>
                <w:kern w:val="28"/>
                <w:sz w:val="24"/>
                <w:szCs w:val="24"/>
                <w:highlight w:val="none"/>
                <w:u w:val="single"/>
                <w:lang w:val="en-US" w:eastAsia="zh-CN"/>
              </w:rPr>
              <w:t>临安区临水路328号铂盛汇1-1幢202</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28"/>
                <w:sz w:val="24"/>
                <w:szCs w:val="24"/>
                <w:highlight w:val="none"/>
              </w:rPr>
              <w:t>；备份响应文件签收人员联系电话：</w:t>
            </w:r>
            <w:r>
              <w:rPr>
                <w:rFonts w:hint="eastAsia" w:ascii="仿宋" w:hAnsi="仿宋" w:eastAsia="仿宋" w:cs="仿宋"/>
                <w:color w:val="auto"/>
                <w:kern w:val="28"/>
                <w:sz w:val="24"/>
                <w:szCs w:val="24"/>
                <w:highlight w:val="none"/>
                <w:u w:val="single"/>
                <w:lang w:val="en-US" w:eastAsia="zh-CN"/>
              </w:rPr>
              <w:t>0571-61109731</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不强制或变相强制供应商提交备份响应文件。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74"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81633666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snapToGrid w:val="0"/>
                <w:color w:val="auto"/>
                <w:kern w:val="28"/>
                <w:sz w:val="24"/>
                <w:highlight w:val="none"/>
              </w:rPr>
              <w:t>联合体响应的，联合体各方均需按磋商文件第五部分评审标准要求提供资信证明文件，否则视为不符合相关要求。</w:t>
            </w:r>
          </w:p>
          <w:p>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23231189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snapToGrid w:val="0"/>
                <w:color w:val="auto"/>
                <w:kern w:val="28"/>
                <w:sz w:val="24"/>
                <w:highlight w:val="none"/>
              </w:rPr>
              <w:t>联合体响应的，联合体中有一方或者联合体成员根据分工按磋商文件第五部分评审标准要求提供资信证明文件的，视为符合了相关要求。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p>
        </w:tc>
        <w:tc>
          <w:tcPr>
            <w:tcW w:w="1843" w:type="dxa"/>
            <w:tcBorders>
              <w:top w:val="single" w:color="auto" w:sz="4"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招标代理费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由中标单位支付，采购代理服务费按发改价格（2011）534号文件规定收费标准的80%收取（最低 4000 元），专家评审费另行支付费用在发出中标通知书之前结清。</w:t>
            </w:r>
          </w:p>
        </w:tc>
      </w:tr>
    </w:tbl>
    <w:p>
      <w:pPr>
        <w:snapToGrid w:val="0"/>
        <w:jc w:val="center"/>
        <w:rPr>
          <w:rFonts w:hint="eastAsia" w:ascii="仿宋" w:hAnsi="仿宋" w:eastAsia="仿宋" w:cs="仿宋"/>
          <w:b/>
          <w:color w:val="auto"/>
          <w:sz w:val="32"/>
          <w:szCs w:val="20"/>
          <w:highlight w:val="none"/>
        </w:rPr>
      </w:pPr>
    </w:p>
    <w:p>
      <w:pPr>
        <w:adjustRightInd/>
        <w:spacing w:line="360" w:lineRule="auto"/>
        <w:ind w:firstLine="3845" w:firstLineChars="1197"/>
        <w:outlineLvl w:val="0"/>
        <w:rPr>
          <w:rFonts w:hint="eastAsia" w:ascii="仿宋" w:hAnsi="仿宋" w:eastAsia="仿宋" w:cs="仿宋"/>
          <w:b/>
          <w:color w:val="auto"/>
          <w:sz w:val="32"/>
          <w:szCs w:val="20"/>
          <w:highlight w:val="none"/>
        </w:rPr>
      </w:pPr>
    </w:p>
    <w:p>
      <w:pPr>
        <w:adjustRightInd/>
        <w:spacing w:line="360" w:lineRule="auto"/>
        <w:ind w:firstLine="3845" w:firstLineChars="1197"/>
        <w:outlineLvl w:val="0"/>
        <w:rPr>
          <w:rFonts w:hint="eastAsia" w:ascii="仿宋" w:hAnsi="仿宋" w:eastAsia="仿宋" w:cs="仿宋"/>
          <w:b/>
          <w:color w:val="auto"/>
          <w:sz w:val="32"/>
          <w:szCs w:val="20"/>
          <w:highlight w:val="none"/>
        </w:rPr>
      </w:pPr>
    </w:p>
    <w:p>
      <w:pPr>
        <w:adjustRightInd/>
        <w:spacing w:line="360" w:lineRule="auto"/>
        <w:ind w:firstLine="3845" w:firstLineChars="1197"/>
        <w:outlineLvl w:val="0"/>
        <w:rPr>
          <w:rFonts w:hint="eastAsia" w:ascii="仿宋" w:hAnsi="仿宋" w:eastAsia="仿宋" w:cs="仿宋"/>
          <w:b/>
          <w:color w:val="auto"/>
          <w:sz w:val="32"/>
          <w:szCs w:val="20"/>
          <w:highlight w:val="none"/>
        </w:rPr>
      </w:pPr>
    </w:p>
    <w:p>
      <w:pPr>
        <w:adjustRightInd/>
        <w:spacing w:line="360" w:lineRule="auto"/>
        <w:ind w:firstLine="3845" w:firstLineChars="1197"/>
        <w:outlineLvl w:val="0"/>
        <w:rPr>
          <w:rFonts w:hint="eastAsia" w:ascii="仿宋" w:hAnsi="仿宋" w:eastAsia="仿宋" w:cs="仿宋"/>
          <w:b/>
          <w:color w:val="auto"/>
          <w:sz w:val="32"/>
          <w:szCs w:val="20"/>
          <w:highlight w:val="none"/>
        </w:rPr>
      </w:pPr>
    </w:p>
    <w:p>
      <w:pPr>
        <w:adjustRightInd/>
        <w:spacing w:line="360" w:lineRule="auto"/>
        <w:ind w:firstLine="3845" w:firstLineChars="1197"/>
        <w:outlineLvl w:val="0"/>
        <w:rPr>
          <w:rFonts w:hint="eastAsia" w:ascii="仿宋" w:hAnsi="仿宋" w:eastAsia="仿宋" w:cs="仿宋"/>
          <w:b/>
          <w:color w:val="auto"/>
          <w:sz w:val="32"/>
          <w:szCs w:val="20"/>
          <w:highlight w:val="none"/>
        </w:rPr>
      </w:pPr>
    </w:p>
    <w:p>
      <w:pPr>
        <w:adjustRightInd/>
        <w:spacing w:line="360" w:lineRule="auto"/>
        <w:ind w:firstLine="3845" w:firstLineChars="1197"/>
        <w:outlineLvl w:val="0"/>
        <w:rPr>
          <w:rFonts w:hint="eastAsia" w:ascii="仿宋" w:hAnsi="仿宋" w:eastAsia="仿宋" w:cs="仿宋"/>
          <w:b/>
          <w:color w:val="auto"/>
          <w:sz w:val="32"/>
          <w:szCs w:val="20"/>
          <w:highlight w:val="none"/>
        </w:rPr>
      </w:pPr>
    </w:p>
    <w:p>
      <w:pPr>
        <w:adjustRightInd/>
        <w:spacing w:line="360" w:lineRule="auto"/>
        <w:ind w:firstLine="3845" w:firstLineChars="1197"/>
        <w:outlineLvl w:val="0"/>
        <w:rPr>
          <w:rFonts w:hint="eastAsia" w:ascii="仿宋" w:hAnsi="仿宋" w:eastAsia="仿宋" w:cs="仿宋"/>
          <w:b/>
          <w:color w:val="auto"/>
          <w:sz w:val="32"/>
          <w:szCs w:val="20"/>
          <w:highlight w:val="none"/>
        </w:rPr>
      </w:pPr>
    </w:p>
    <w:p>
      <w:pPr>
        <w:adjustRightInd/>
        <w:spacing w:line="360" w:lineRule="auto"/>
        <w:ind w:firstLine="3845" w:firstLineChars="1197"/>
        <w:outlineLvl w:val="0"/>
        <w:rPr>
          <w:rFonts w:hint="eastAsia" w:ascii="仿宋" w:hAnsi="仿宋" w:eastAsia="仿宋" w:cs="仿宋"/>
          <w:b/>
          <w:color w:val="auto"/>
          <w:sz w:val="32"/>
          <w:szCs w:val="20"/>
          <w:highlight w:val="none"/>
        </w:rPr>
      </w:pPr>
    </w:p>
    <w:p>
      <w:pPr>
        <w:adjustRightInd/>
        <w:spacing w:line="360" w:lineRule="auto"/>
        <w:ind w:firstLine="3845" w:firstLineChars="1197"/>
        <w:outlineLvl w:val="0"/>
        <w:rPr>
          <w:rFonts w:hint="eastAsia" w:ascii="仿宋" w:hAnsi="仿宋" w:eastAsia="仿宋" w:cs="仿宋"/>
          <w:b/>
          <w:color w:val="auto"/>
          <w:sz w:val="32"/>
          <w:szCs w:val="20"/>
          <w:highlight w:val="none"/>
        </w:rPr>
      </w:pPr>
    </w:p>
    <w:p>
      <w:pPr>
        <w:adjustRightInd/>
        <w:spacing w:line="360" w:lineRule="auto"/>
        <w:ind w:firstLine="3845" w:firstLineChars="1197"/>
        <w:outlineLvl w:val="0"/>
        <w:rPr>
          <w:rFonts w:hint="eastAsia" w:ascii="仿宋" w:hAnsi="仿宋" w:eastAsia="仿宋" w:cs="仿宋"/>
          <w:b/>
          <w:color w:val="auto"/>
          <w:sz w:val="32"/>
          <w:szCs w:val="20"/>
          <w:highlight w:val="none"/>
        </w:rPr>
      </w:pPr>
    </w:p>
    <w:p>
      <w:pPr>
        <w:adjustRightInd/>
        <w:spacing w:line="360" w:lineRule="auto"/>
        <w:ind w:firstLine="3845" w:firstLineChars="1197"/>
        <w:outlineLvl w:val="0"/>
        <w:rPr>
          <w:rFonts w:hint="eastAsia" w:ascii="仿宋" w:hAnsi="仿宋" w:eastAsia="仿宋" w:cs="仿宋"/>
          <w:b/>
          <w:color w:val="auto"/>
          <w:sz w:val="32"/>
          <w:szCs w:val="20"/>
          <w:highlight w:val="none"/>
        </w:rPr>
      </w:pPr>
    </w:p>
    <w:p>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二、总则</w:t>
      </w:r>
    </w:p>
    <w:p>
      <w:pPr>
        <w:snapToGrid w:val="0"/>
        <w:spacing w:line="360" w:lineRule="auto"/>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本磋商文件适用于该项目的邀请、响应、开启响应文件、信用信息查询、资格性审查、评审、成交、合同、验收等行为（法律、法规另有规定的，从其规定）。</w:t>
      </w:r>
    </w:p>
    <w:p>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“采购人”系指磋商邀请公告中载明的本项目的采购人。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”系指磋商邀请公告中载明的本项目的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“供应商”系指响应磋商、参加本次竞争的法人、其他组织或自然人。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 “成交人”系指经评审确定的成交供应商。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2.6“响应文件”系指供应商提交的商务技术文件。供应商提交最后报价后，最后报价是供应商响应文件的有效组成部分。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 </w:instrText>
      </w:r>
      <w:r>
        <w:rPr>
          <w:rFonts w:hint="eastAsia" w:ascii="仿宋" w:hAnsi="仿宋" w:eastAsia="仿宋" w:cs="仿宋"/>
          <w:color w:val="auto"/>
          <w:highlight w:val="none"/>
        </w:rPr>
        <w:fldChar w:fldCharType="separate"/>
      </w:r>
      <w:r>
        <w:rPr>
          <w:rStyle w:val="68"/>
          <w:rFonts w:hint="eastAsia" w:ascii="仿宋" w:hAnsi="仿宋" w:eastAsia="仿宋" w:cs="仿宋"/>
          <w:snapToGrid/>
          <w:color w:val="auto"/>
          <w:kern w:val="2"/>
          <w:sz w:val="24"/>
          <w:szCs w:val="24"/>
          <w:highlight w:val="none"/>
        </w:rPr>
        <w:t>https://www.zcygov.cn/</w:t>
      </w:r>
      <w:r>
        <w:rPr>
          <w:rStyle w:val="68"/>
          <w:rFonts w:hint="eastAsia" w:ascii="仿宋" w:hAnsi="仿宋" w:eastAsia="仿宋" w:cs="仿宋"/>
          <w:snapToGrid/>
          <w:color w:val="auto"/>
          <w:kern w:val="2"/>
          <w:sz w:val="24"/>
          <w:szCs w:val="24"/>
          <w:highlight w:val="none"/>
        </w:rPr>
        <w:fldChar w:fldCharType="end"/>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2.9 </w:t>
      </w:r>
      <w:r>
        <w:rPr>
          <w:rFonts w:hint="eastAsia" w:ascii="仿宋" w:hAnsi="仿宋" w:eastAsia="仿宋" w:cs="仿宋"/>
          <w:color w:val="auto"/>
          <w:sz w:val="24"/>
          <w:highlight w:val="none"/>
          <w:u w:val="single"/>
        </w:rPr>
        <w:t>“书面形式”包括数据电文形式与纸质形式。数据电文形式与纸质形式的采购活动具有同等法律效力。</w:t>
      </w:r>
    </w:p>
    <w:p>
      <w:pPr>
        <w:snapToGrid w:val="0"/>
        <w:spacing w:line="360" w:lineRule="auto"/>
        <w:ind w:firstLine="480" w:firstLineChars="200"/>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rPr>
        <w:t>2.10 “▲” 系指实质性要求条款， “※”系指磋商过程中可能实质性变动的内容， “</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 响应有效期</w:t>
      </w:r>
    </w:p>
    <w:p>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▲3.1</w:t>
      </w:r>
      <w:r>
        <w:rPr>
          <w:rFonts w:hint="eastAsia" w:ascii="仿宋" w:hAnsi="仿宋" w:eastAsia="仿宋" w:cs="仿宋"/>
          <w:b/>
          <w:color w:val="auto"/>
          <w:sz w:val="24"/>
          <w:szCs w:val="20"/>
          <w:highlight w:val="none"/>
        </w:rPr>
        <w:t>响应有效期为从提交响应文件的截止之日起90天。供应商的响应文件中承</w:t>
      </w:r>
      <w:r>
        <w:rPr>
          <w:rFonts w:hint="eastAsia" w:ascii="仿宋" w:hAnsi="仿宋" w:eastAsia="仿宋" w:cs="仿宋"/>
          <w:b/>
          <w:color w:val="auto"/>
          <w:sz w:val="24"/>
          <w:szCs w:val="21"/>
          <w:highlight w:val="none"/>
        </w:rPr>
        <w:t>诺的响应有效期少于磋商文件中载明的磋商有效期的，响应无效。</w:t>
      </w:r>
    </w:p>
    <w:p>
      <w:pPr>
        <w:pStyle w:val="393"/>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3.2响应文件合格提交后，自响应截止日期起，在响应有效期内有效。</w:t>
      </w:r>
    </w:p>
    <w:p>
      <w:pPr>
        <w:pStyle w:val="393"/>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3.3在原定响应有效期满之前，如果出现特殊情况，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可以以书面形式通知供应商延长响应有效期。供应商同意延长的，不得要求或被允许修改其响应文件;供应商拒绝延长的，其响应无效。</w:t>
      </w:r>
      <w:r>
        <w:rPr>
          <w:rFonts w:hint="eastAsia" w:ascii="仿宋" w:hAnsi="仿宋" w:eastAsia="仿宋" w:cs="仿宋"/>
          <w:color w:val="auto"/>
          <w:szCs w:val="24"/>
          <w:highlight w:val="none"/>
        </w:rPr>
        <w:t>拒绝延长磋商有效期的供应商不得再参与该项目后续采购活动。</w:t>
      </w:r>
    </w:p>
    <w:p>
      <w:pPr>
        <w:tabs>
          <w:tab w:val="left" w:pos="3780"/>
        </w:tabs>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4．响应费用</w:t>
      </w:r>
    </w:p>
    <w:p>
      <w:pPr>
        <w:pStyle w:val="31"/>
        <w:spacing w:line="360" w:lineRule="auto"/>
        <w:ind w:firstLine="360" w:firstLineChars="15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供应商需自行承担涉及响应的一切费用</w:t>
      </w:r>
      <w:r>
        <w:rPr>
          <w:rFonts w:hint="eastAsia" w:ascii="仿宋" w:hAnsi="仿宋" w:eastAsia="仿宋" w:cs="仿宋"/>
          <w:color w:val="auto"/>
          <w:sz w:val="24"/>
          <w:highlight w:val="none"/>
          <w:lang w:val="zh-CN"/>
        </w:rPr>
        <w:t>。</w:t>
      </w:r>
    </w:p>
    <w:p>
      <w:pPr>
        <w:spacing w:line="360" w:lineRule="auto"/>
        <w:jc w:val="center"/>
        <w:rPr>
          <w:rFonts w:hint="eastAsia" w:ascii="仿宋" w:hAnsi="仿宋" w:eastAsia="仿宋" w:cs="仿宋"/>
          <w:b/>
          <w:color w:val="auto"/>
          <w:sz w:val="24"/>
          <w:highlight w:val="none"/>
        </w:rPr>
      </w:pPr>
    </w:p>
    <w:p>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三、需要落实的政府采购政策</w:t>
      </w:r>
    </w:p>
    <w:p>
      <w:pPr>
        <w:pStyle w:val="393"/>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1.是否允许采购进口产品要求</w:t>
      </w:r>
    </w:p>
    <w:p>
      <w:pPr>
        <w:pStyle w:val="31"/>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2.支持绿色发展</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仿宋"/>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hint="eastAsia" w:ascii="仿宋" w:hAnsi="仿宋" w:eastAsia="仿宋" w:cs="仿宋"/>
          <w:color w:val="auto"/>
          <w:sz w:val="24"/>
          <w:highlight w:val="none"/>
        </w:rPr>
      </w:pPr>
    </w:p>
    <w:p>
      <w:pPr>
        <w:pStyle w:val="31"/>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3.支持中小企业发展。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3.2</w:t>
      </w:r>
      <w:r>
        <w:rPr>
          <w:rFonts w:hint="eastAsia" w:ascii="仿宋" w:hAnsi="仿宋" w:eastAsia="仿宋" w:cs="仿宋"/>
          <w:color w:val="auto"/>
          <w:kern w:val="0"/>
          <w:sz w:val="24"/>
          <w:highlight w:val="none"/>
        </w:rPr>
        <w:t>在政府采购活动中，服务类项目采购，服务由中小企业承接，即提供服务的人员为中小企业依照《中华人民共和国劳动合同法》订立劳动合同的从业人员，享受中小企业扶持政策。</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3.4符合《关于促进残疾人就业政府采购政策的通知》（财库〔2017〕141号）规定的条件并提供《残疾人福利性单位声明函》（附件3）的残疾人福利性单位视同小型、微型企业；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3.7中小企业享受扶持政策获得政府采购合同的，小微企业不得将合同分包给大中型企业，中型企业不得将合同分包给大型企业。</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w:t>
      </w:r>
      <w:r>
        <w:rPr>
          <w:rFonts w:hint="eastAsia" w:ascii="仿宋" w:hAnsi="仿宋" w:eastAsia="仿宋" w:cs="仿宋"/>
          <w:b/>
          <w:bCs/>
          <w:color w:val="auto"/>
          <w:sz w:val="24"/>
          <w:highlight w:val="none"/>
        </w:rPr>
        <w:t>支持创新发展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 采购人优先采购被认定为首台套产品和“制造精品”的自主创新产品。</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5.平等对待内外资企业和符合条件的破产重整企业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pPr>
        <w:spacing w:line="360" w:lineRule="auto"/>
        <w:ind w:firstLine="480" w:firstLineChars="200"/>
        <w:rPr>
          <w:rFonts w:hint="eastAsia" w:ascii="仿宋" w:hAnsi="仿宋" w:eastAsia="仿宋" w:cs="仿宋"/>
          <w:color w:val="auto"/>
          <w:sz w:val="24"/>
          <w:highlight w:val="none"/>
        </w:rPr>
      </w:pPr>
    </w:p>
    <w:p>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四、询问、质疑与投诉</w:t>
      </w:r>
    </w:p>
    <w:p>
      <w:pPr>
        <w:pStyle w:val="31"/>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1.在线询问、质疑、投诉</w:t>
      </w:r>
    </w:p>
    <w:p>
      <w:pPr>
        <w:pStyle w:val="3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 供应商询问</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 供应商质疑</w:t>
      </w:r>
    </w:p>
    <w:p>
      <w:pPr>
        <w:pStyle w:val="31"/>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lang w:val="zh-CN"/>
        </w:rPr>
        <w:t>3</w:t>
      </w:r>
      <w:r>
        <w:rPr>
          <w:rFonts w:hint="eastAsia" w:ascii="仿宋" w:hAnsi="仿宋" w:eastAsia="仿宋" w:cs="仿宋"/>
          <w:b/>
          <w:color w:val="auto"/>
          <w:sz w:val="24"/>
          <w:highlight w:val="none"/>
        </w:rPr>
        <w:t>.1质疑提出时效</w:t>
      </w:r>
    </w:p>
    <w:p>
      <w:pPr>
        <w:pStyle w:val="3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3.1.1提出质疑的供应商应当是参与所质疑项目采购活动的供应商。潜在供应商已依法获取其可质疑的采购文件的，可以对该文件提出质疑。</w:t>
      </w:r>
    </w:p>
    <w:p>
      <w:pPr>
        <w:pStyle w:val="3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3</w:t>
      </w:r>
      <w:r>
        <w:rPr>
          <w:rFonts w:hint="eastAsia" w:ascii="仿宋" w:hAnsi="仿宋" w:eastAsia="仿宋" w:cs="仿宋"/>
          <w:color w:val="auto"/>
          <w:sz w:val="24"/>
          <w:highlight w:val="none"/>
        </w:rPr>
        <w:t>.1.2供应商认为采购文件、采购过程和成交结果使自己的权益受到损害的，可以在知道或者应知其权益受到损害之日起七个工作日内，以书面形式向采购人或者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pPr>
        <w:pStyle w:val="15"/>
        <w:spacing w:line="360" w:lineRule="auto"/>
        <w:ind w:firstLine="434" w:firstLineChars="181"/>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pPr>
        <w:pStyle w:val="3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3.1.2.2对采购过程提出质疑的，质疑期限为各采购程序环节结束之日起计算。</w:t>
      </w:r>
    </w:p>
    <w:p>
      <w:pPr>
        <w:pStyle w:val="3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3.1.2.3对采购结果提出质疑的，质疑期限自采购结果公告期限届满之日起计算。</w:t>
      </w:r>
    </w:p>
    <w:p>
      <w:pPr>
        <w:pStyle w:val="3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3.1.2.4对同一采购程序环节的质疑，供应商须一次性提出。</w:t>
      </w:r>
    </w:p>
    <w:p>
      <w:pPr>
        <w:pStyle w:val="31"/>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3.2质疑答复</w:t>
      </w:r>
    </w:p>
    <w:p>
      <w:pPr>
        <w:pStyle w:val="3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3.2.1根据采购人与</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签订的《采购委托协议》的规定，质疑答复责任主体如下：</w:t>
      </w:r>
    </w:p>
    <w:p>
      <w:pPr>
        <w:widowControl/>
        <w:adjustRightInd/>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pPr>
              <w:pStyle w:val="3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质疑内容</w:t>
            </w:r>
          </w:p>
        </w:tc>
        <w:tc>
          <w:tcPr>
            <w:tcW w:w="2232" w:type="dxa"/>
            <w:vAlign w:val="center"/>
          </w:tcPr>
          <w:p>
            <w:pPr>
              <w:pStyle w:val="3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对采购文件提出质疑</w:t>
            </w:r>
          </w:p>
        </w:tc>
        <w:tc>
          <w:tcPr>
            <w:tcW w:w="4536" w:type="dxa"/>
            <w:vAlign w:val="center"/>
          </w:tcPr>
          <w:p>
            <w:pPr>
              <w:pStyle w:val="31"/>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对采购文件中特定资格条件、采购需求、评审办法、评审标准提出的质疑</w:t>
            </w:r>
          </w:p>
        </w:tc>
        <w:tc>
          <w:tcPr>
            <w:tcW w:w="2232" w:type="dxa"/>
            <w:vAlign w:val="center"/>
          </w:tcPr>
          <w:p>
            <w:pPr>
              <w:pStyle w:val="3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1"/>
              <w:spacing w:line="360" w:lineRule="auto"/>
              <w:jc w:val="center"/>
              <w:rPr>
                <w:rFonts w:hint="eastAsia" w:ascii="仿宋" w:hAnsi="仿宋" w:eastAsia="仿宋" w:cs="仿宋"/>
                <w:color w:val="auto"/>
                <w:sz w:val="24"/>
                <w:highlight w:val="none"/>
              </w:rPr>
            </w:pPr>
          </w:p>
        </w:tc>
        <w:tc>
          <w:tcPr>
            <w:tcW w:w="4536" w:type="dxa"/>
            <w:vAlign w:val="center"/>
          </w:tcPr>
          <w:p>
            <w:pPr>
              <w:pStyle w:val="31"/>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对采购文件中其他内容提出的质疑</w:t>
            </w:r>
          </w:p>
        </w:tc>
        <w:tc>
          <w:tcPr>
            <w:tcW w:w="2232" w:type="dxa"/>
            <w:vAlign w:val="center"/>
          </w:tcPr>
          <w:p>
            <w:pPr>
              <w:pStyle w:val="31"/>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对采购过程提出质疑</w:t>
            </w:r>
          </w:p>
        </w:tc>
        <w:tc>
          <w:tcPr>
            <w:tcW w:w="4536" w:type="dxa"/>
            <w:vAlign w:val="center"/>
          </w:tcPr>
          <w:p>
            <w:pPr>
              <w:pStyle w:val="31"/>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有关现场考察或开启响应文件前答疑会事项提出的质疑</w:t>
            </w:r>
          </w:p>
        </w:tc>
        <w:tc>
          <w:tcPr>
            <w:tcW w:w="2232" w:type="dxa"/>
            <w:vAlign w:val="center"/>
          </w:tcPr>
          <w:p>
            <w:pPr>
              <w:pStyle w:val="3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1"/>
              <w:spacing w:line="360" w:lineRule="auto"/>
              <w:jc w:val="center"/>
              <w:rPr>
                <w:rFonts w:hint="eastAsia" w:ascii="仿宋" w:hAnsi="仿宋" w:eastAsia="仿宋" w:cs="仿宋"/>
                <w:color w:val="auto"/>
                <w:sz w:val="24"/>
                <w:highlight w:val="none"/>
              </w:rPr>
            </w:pPr>
          </w:p>
        </w:tc>
        <w:tc>
          <w:tcPr>
            <w:tcW w:w="4536" w:type="dxa"/>
            <w:vAlign w:val="center"/>
          </w:tcPr>
          <w:p>
            <w:pPr>
              <w:pStyle w:val="31"/>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对采购过程中其它事项提出的质疑</w:t>
            </w:r>
          </w:p>
        </w:tc>
        <w:tc>
          <w:tcPr>
            <w:tcW w:w="2232" w:type="dxa"/>
            <w:vAlign w:val="center"/>
          </w:tcPr>
          <w:p>
            <w:pPr>
              <w:pStyle w:val="31"/>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pStyle w:val="3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对采购结果提出质疑</w:t>
            </w:r>
          </w:p>
        </w:tc>
        <w:tc>
          <w:tcPr>
            <w:tcW w:w="4536" w:type="dxa"/>
            <w:vAlign w:val="center"/>
          </w:tcPr>
          <w:p>
            <w:pPr>
              <w:pStyle w:val="31"/>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对采购结果提出的质疑</w:t>
            </w:r>
          </w:p>
        </w:tc>
        <w:tc>
          <w:tcPr>
            <w:tcW w:w="2232" w:type="dxa"/>
            <w:vAlign w:val="center"/>
          </w:tcPr>
          <w:p>
            <w:pPr>
              <w:pStyle w:val="31"/>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采购代理机构</w:t>
            </w:r>
          </w:p>
        </w:tc>
      </w:tr>
    </w:tbl>
    <w:p>
      <w:pPr>
        <w:pStyle w:val="3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在质疑回复后5个工作日内，在浙江政府采购网的“其他公告”栏目公开质疑答复，答复内容应当完整。质疑函作为附件上传。</w:t>
      </w:r>
    </w:p>
    <w:p>
      <w:pPr>
        <w:pStyle w:val="3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 2.3询问或者质疑事项可能影响采购结果的，采购人应当暂停签订合同，已经签订合同的，应当中止履行合同。</w:t>
      </w:r>
    </w:p>
    <w:p>
      <w:pPr>
        <w:pStyle w:val="31"/>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lang w:val="zh-CN"/>
        </w:rPr>
        <w:t>3.3质疑函</w:t>
      </w:r>
    </w:p>
    <w:p>
      <w:pPr>
        <w:pStyle w:val="3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3.3.1供应商提出质疑应当提交质疑函和必要的证明材料。质疑函应当包括下列内容：</w:t>
      </w:r>
    </w:p>
    <w:p>
      <w:pPr>
        <w:pStyle w:val="31"/>
        <w:numPr>
          <w:ilvl w:val="0"/>
          <w:numId w:val="4"/>
        </w:numPr>
        <w:tabs>
          <w:tab w:val="left" w:pos="426"/>
          <w:tab w:val="clear" w:pos="840"/>
        </w:tabs>
        <w:spacing w:line="360" w:lineRule="auto"/>
        <w:ind w:left="284"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供应商的姓名或者名称、地址、邮编、联系人及联系电话；</w:t>
      </w:r>
    </w:p>
    <w:p>
      <w:pPr>
        <w:pStyle w:val="31"/>
        <w:numPr>
          <w:ilvl w:val="0"/>
          <w:numId w:val="4"/>
        </w:numPr>
        <w:tabs>
          <w:tab w:val="left" w:pos="426"/>
          <w:tab w:val="clear" w:pos="840"/>
        </w:tabs>
        <w:spacing w:line="360" w:lineRule="auto"/>
        <w:ind w:left="284"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质疑项目的名称、编号；</w:t>
      </w:r>
    </w:p>
    <w:p>
      <w:pPr>
        <w:pStyle w:val="31"/>
        <w:numPr>
          <w:ilvl w:val="0"/>
          <w:numId w:val="4"/>
        </w:numPr>
        <w:tabs>
          <w:tab w:val="left" w:pos="426"/>
          <w:tab w:val="clear" w:pos="840"/>
        </w:tabs>
        <w:spacing w:line="360" w:lineRule="auto"/>
        <w:ind w:left="284"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具体、明确的质疑事项和与质疑事项相关的请求；</w:t>
      </w:r>
    </w:p>
    <w:p>
      <w:pPr>
        <w:pStyle w:val="31"/>
        <w:numPr>
          <w:ilvl w:val="0"/>
          <w:numId w:val="4"/>
        </w:numPr>
        <w:tabs>
          <w:tab w:val="left" w:pos="426"/>
          <w:tab w:val="clear" w:pos="840"/>
        </w:tabs>
        <w:spacing w:line="360" w:lineRule="auto"/>
        <w:ind w:left="284"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事实依据；</w:t>
      </w:r>
    </w:p>
    <w:p>
      <w:pPr>
        <w:pStyle w:val="31"/>
        <w:numPr>
          <w:ilvl w:val="0"/>
          <w:numId w:val="4"/>
        </w:numPr>
        <w:tabs>
          <w:tab w:val="left" w:pos="426"/>
          <w:tab w:val="clear" w:pos="840"/>
        </w:tabs>
        <w:spacing w:line="360" w:lineRule="auto"/>
        <w:ind w:left="284"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必要的法律依据；</w:t>
      </w:r>
    </w:p>
    <w:p>
      <w:pPr>
        <w:pStyle w:val="31"/>
        <w:numPr>
          <w:ilvl w:val="0"/>
          <w:numId w:val="4"/>
        </w:numPr>
        <w:tabs>
          <w:tab w:val="left" w:pos="426"/>
          <w:tab w:val="clear" w:pos="840"/>
        </w:tabs>
        <w:spacing w:line="360" w:lineRule="auto"/>
        <w:ind w:left="284"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提出质疑的日期。</w:t>
      </w:r>
    </w:p>
    <w:p>
      <w:pPr>
        <w:pStyle w:val="3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pPr>
        <w:pStyle w:val="31"/>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质疑函范本及制作说明详见附件1。</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4.供应商投诉</w:t>
      </w:r>
    </w:p>
    <w:p>
      <w:pPr>
        <w:pStyle w:val="3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4.1质疑供应商对采购人、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的答复不满意或者采购人、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未在规定的时间内作出答复的，可以在答复期满后十五个工作日内向同级政府采购监督管理部门提出投诉。</w:t>
      </w:r>
    </w:p>
    <w:p>
      <w:pPr>
        <w:pStyle w:val="3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4.2供应商投诉的事项不得超出已质疑事项的范围，基于质疑答复内容提出的投诉事项除外。</w:t>
      </w:r>
    </w:p>
    <w:p>
      <w:pPr>
        <w:pStyle w:val="3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4.3供应商投诉应当有明确的请求和必要的证明材料。</w:t>
      </w:r>
    </w:p>
    <w:p>
      <w:pPr>
        <w:pStyle w:val="3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4.4以联合体形式参加政府采购活动的，其投诉应当由组成联合体的所有供应商共同提出。</w:t>
      </w:r>
    </w:p>
    <w:p>
      <w:pPr>
        <w:pStyle w:val="31"/>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投诉书范本及制作说明详见附件2。</w:t>
      </w:r>
    </w:p>
    <w:p>
      <w:pPr>
        <w:adjustRightInd/>
        <w:spacing w:line="360" w:lineRule="auto"/>
        <w:jc w:val="both"/>
        <w:outlineLvl w:val="0"/>
        <w:rPr>
          <w:rFonts w:hint="eastAsia" w:ascii="仿宋" w:hAnsi="仿宋" w:eastAsia="仿宋" w:cs="仿宋"/>
          <w:b/>
          <w:color w:val="auto"/>
          <w:sz w:val="32"/>
          <w:szCs w:val="20"/>
          <w:highlight w:val="none"/>
        </w:rPr>
      </w:pPr>
    </w:p>
    <w:p>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五、磋商文件构成、修改、解释</w:t>
      </w:r>
    </w:p>
    <w:p>
      <w:pPr>
        <w:autoSpaceDE w:val="0"/>
        <w:autoSpaceDN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1．磋商文件的构成</w:t>
      </w:r>
    </w:p>
    <w:p>
      <w:pPr>
        <w:pStyle w:val="31"/>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 磋商文件包括下列文件及附件</w:t>
      </w:r>
    </w:p>
    <w:p>
      <w:pPr>
        <w:pStyle w:val="31"/>
        <w:numPr>
          <w:ilvl w:val="0"/>
          <w:numId w:val="4"/>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第一部分  供应商邀请</w:t>
      </w:r>
    </w:p>
    <w:p>
      <w:pPr>
        <w:pStyle w:val="31"/>
        <w:numPr>
          <w:ilvl w:val="0"/>
          <w:numId w:val="4"/>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第二部分  竞争性磋商流程</w:t>
      </w:r>
    </w:p>
    <w:p>
      <w:pPr>
        <w:pStyle w:val="31"/>
        <w:numPr>
          <w:ilvl w:val="0"/>
          <w:numId w:val="4"/>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第三部分  供应商须知</w:t>
      </w:r>
    </w:p>
    <w:p>
      <w:pPr>
        <w:pStyle w:val="31"/>
        <w:numPr>
          <w:ilvl w:val="0"/>
          <w:numId w:val="4"/>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第四部分  采购需求</w:t>
      </w:r>
    </w:p>
    <w:p>
      <w:pPr>
        <w:pStyle w:val="31"/>
        <w:numPr>
          <w:ilvl w:val="0"/>
          <w:numId w:val="4"/>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第五部分  评审方法及评审标准</w:t>
      </w:r>
    </w:p>
    <w:p>
      <w:pPr>
        <w:pStyle w:val="31"/>
        <w:numPr>
          <w:ilvl w:val="0"/>
          <w:numId w:val="4"/>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第六部分  拟签订的合同文本</w:t>
      </w:r>
    </w:p>
    <w:p>
      <w:pPr>
        <w:pStyle w:val="31"/>
        <w:numPr>
          <w:ilvl w:val="0"/>
          <w:numId w:val="4"/>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第七部分  应提交的有关格式范例</w:t>
      </w:r>
    </w:p>
    <w:p>
      <w:pPr>
        <w:pStyle w:val="31"/>
        <w:numPr>
          <w:ilvl w:val="0"/>
          <w:numId w:val="4"/>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第八部分  最后报价格式</w:t>
      </w:r>
    </w:p>
    <w:p>
      <w:pPr>
        <w:pStyle w:val="31"/>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1.2 </w:t>
      </w:r>
      <w:r>
        <w:rPr>
          <w:rFonts w:hint="eastAsia" w:ascii="仿宋" w:hAnsi="仿宋" w:eastAsia="仿宋" w:cs="仿宋"/>
          <w:color w:val="auto"/>
          <w:sz w:val="24"/>
          <w:highlight w:val="none"/>
        </w:rPr>
        <w:t>与本项目有关的</w:t>
      </w:r>
      <w:r>
        <w:rPr>
          <w:rFonts w:hint="eastAsia" w:ascii="仿宋" w:hAnsi="仿宋" w:eastAsia="仿宋" w:cs="仿宋"/>
          <w:bCs/>
          <w:color w:val="auto"/>
          <w:sz w:val="24"/>
          <w:highlight w:val="none"/>
        </w:rPr>
        <w:t>澄清或者修改的内容为磋商文件的组成部分</w:t>
      </w:r>
      <w:r>
        <w:rPr>
          <w:rFonts w:hint="eastAsia" w:ascii="仿宋" w:hAnsi="仿宋" w:eastAsia="仿宋" w:cs="仿宋"/>
          <w:color w:val="auto"/>
          <w:sz w:val="24"/>
          <w:highlight w:val="none"/>
        </w:rPr>
        <w:t>。</w:t>
      </w:r>
    </w:p>
    <w:p>
      <w:pPr>
        <w:pStyle w:val="31"/>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 磋商文件的澄清、修改</w:t>
      </w:r>
    </w:p>
    <w:p>
      <w:pPr>
        <w:pStyle w:val="39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2.1已获取磋商文件的潜在供应商，若有问题需要澄清，应于提交首次响应文件截止时间前，以书面形式向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pPr>
        <w:pStyle w:val="39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2.2</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pPr>
        <w:pStyle w:val="39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2.3澄清或者修改的内容可能影响响应文件编制的，采购人、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应当在提交首次响应文件截止时间至少5日前，通过电子交易平台通知所有获取磋商文件的供应商；不足5日的，采购人、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应当顺延提交首次响应文件截止时间。</w:t>
      </w:r>
    </w:p>
    <w:p>
      <w:pPr>
        <w:pStyle w:val="393"/>
        <w:snapToGrid w:val="0"/>
        <w:spacing w:before="0"/>
        <w:ind w:firstLine="482"/>
        <w:rPr>
          <w:rFonts w:hint="eastAsia" w:ascii="仿宋" w:hAnsi="仿宋" w:eastAsia="仿宋" w:cs="仿宋"/>
          <w:color w:val="auto"/>
          <w:highlight w:val="none"/>
        </w:rPr>
      </w:pPr>
      <w:r>
        <w:rPr>
          <w:rFonts w:hint="eastAsia" w:ascii="仿宋" w:hAnsi="仿宋" w:eastAsia="仿宋" w:cs="仿宋"/>
          <w:b/>
          <w:color w:val="auto"/>
          <w:highlight w:val="none"/>
        </w:rPr>
        <w:t>▲</w:t>
      </w:r>
      <w:r>
        <w:rPr>
          <w:rFonts w:hint="eastAsia" w:ascii="仿宋" w:hAnsi="仿宋" w:eastAsia="仿宋" w:cs="仿宋"/>
          <w:b/>
          <w:color w:val="auto"/>
          <w:szCs w:val="21"/>
          <w:highlight w:val="none"/>
        </w:rPr>
        <w:t>响应文件未按磋商文件的澄清、修改的内容编制，又不符合实质性要求的，响应无效。</w:t>
      </w:r>
    </w:p>
    <w:p>
      <w:pPr>
        <w:pStyle w:val="22"/>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六、响应文件的编制</w:t>
      </w:r>
    </w:p>
    <w:p>
      <w:pPr>
        <w:pStyle w:val="31"/>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highlight w:val="none"/>
        </w:rPr>
        <w:t>1. 响应文件的语言</w:t>
      </w:r>
    </w:p>
    <w:p>
      <w:pPr>
        <w:pStyle w:val="31"/>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rPr>
        <w:t>响应文件及供应商与采购有关的来往通知、函件和文件均应使用中文。</w:t>
      </w:r>
    </w:p>
    <w:p>
      <w:pPr>
        <w:pStyle w:val="31"/>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highlight w:val="none"/>
        </w:rPr>
        <w:t>2. 响应文件的组成</w:t>
      </w:r>
    </w:p>
    <w:p>
      <w:pPr>
        <w:pStyle w:val="31"/>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rPr>
        <w:t>响应文件应当包括以下主要内容：</w:t>
      </w:r>
    </w:p>
    <w:p>
      <w:pPr>
        <w:pStyle w:val="3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（1）响应函</w:t>
      </w:r>
    </w:p>
    <w:p>
      <w:pPr>
        <w:pStyle w:val="3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（2）资格文件</w:t>
      </w:r>
    </w:p>
    <w:p>
      <w:pPr>
        <w:pStyle w:val="31"/>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rPr>
        <w:t>A、符合参加政府采购活动应当具备的一般条件的承诺函（如以联合体形式参加政府采购活动的，联合体各方均应提交该承诺函）；</w:t>
      </w:r>
    </w:p>
    <w:p>
      <w:pPr>
        <w:pStyle w:val="3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B、联合协议（如果有）；</w:t>
      </w:r>
    </w:p>
    <w:p>
      <w:pPr>
        <w:pStyle w:val="3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C、落实政府采购政策需满足的资格要求</w:t>
      </w:r>
      <w:r>
        <w:rPr>
          <w:rFonts w:hint="eastAsia" w:ascii="仿宋" w:hAnsi="仿宋" w:eastAsia="仿宋" w:cs="仿宋"/>
          <w:snapToGrid w:val="0"/>
          <w:color w:val="auto"/>
          <w:kern w:val="28"/>
          <w:sz w:val="24"/>
          <w:highlight w:val="none"/>
        </w:rPr>
        <w:t>（如果有)；</w:t>
      </w:r>
    </w:p>
    <w:p>
      <w:pPr>
        <w:pStyle w:val="3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D、符合特定资格条件的有关证明材料（如果有）。</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w:t>
      </w:r>
    </w:p>
    <w:p>
      <w:pPr>
        <w:pStyle w:val="3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（3）授权委托书或法定代表人（单位负责人、自然人本人）身份证明；</w:t>
      </w:r>
    </w:p>
    <w:p>
      <w:pPr>
        <w:pStyle w:val="31"/>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szCs w:val="24"/>
          <w:highlight w:val="none"/>
        </w:rPr>
        <w:t>（4）</w:t>
      </w:r>
      <w:r>
        <w:rPr>
          <w:rFonts w:hint="eastAsia" w:ascii="仿宋" w:hAnsi="仿宋" w:eastAsia="仿宋" w:cs="仿宋"/>
          <w:color w:val="auto"/>
          <w:sz w:val="24"/>
          <w:highlight w:val="none"/>
        </w:rPr>
        <w:t>分包意向协议</w:t>
      </w:r>
      <w:r>
        <w:rPr>
          <w:rFonts w:hint="eastAsia" w:ascii="仿宋" w:hAnsi="仿宋" w:eastAsia="仿宋" w:cs="仿宋"/>
          <w:snapToGrid w:val="0"/>
          <w:color w:val="auto"/>
          <w:kern w:val="28"/>
          <w:sz w:val="24"/>
          <w:highlight w:val="none"/>
        </w:rPr>
        <w:t>（如果有)</w:t>
      </w:r>
      <w:r>
        <w:rPr>
          <w:rFonts w:hint="eastAsia" w:ascii="仿宋" w:hAnsi="仿宋" w:eastAsia="仿宋" w:cs="仿宋"/>
          <w:color w:val="auto"/>
          <w:kern w:val="0"/>
          <w:sz w:val="24"/>
          <w:highlight w:val="none"/>
          <w:lang w:val="zh-CN"/>
        </w:rPr>
        <w:t>；</w:t>
      </w:r>
    </w:p>
    <w:p>
      <w:pPr>
        <w:pStyle w:val="31"/>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rPr>
        <w:t>（5）所有资信文件</w:t>
      </w:r>
      <w:r>
        <w:rPr>
          <w:rFonts w:hint="eastAsia" w:ascii="仿宋" w:hAnsi="仿宋" w:eastAsia="仿宋" w:cs="仿宋"/>
          <w:color w:val="auto"/>
          <w:kern w:val="0"/>
          <w:sz w:val="24"/>
          <w:highlight w:val="none"/>
        </w:rPr>
        <w:t>（如果有）；</w:t>
      </w:r>
    </w:p>
    <w:p>
      <w:pPr>
        <w:pStyle w:val="31"/>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kern w:val="0"/>
          <w:sz w:val="24"/>
          <w:highlight w:val="none"/>
        </w:rPr>
        <w:t>（6）</w:t>
      </w:r>
      <w:r>
        <w:rPr>
          <w:rFonts w:hint="eastAsia" w:ascii="仿宋" w:hAnsi="仿宋" w:eastAsia="仿宋" w:cs="仿宋"/>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pPr>
        <w:pStyle w:val="31"/>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snapToGrid w:val="0"/>
          <w:color w:val="auto"/>
          <w:sz w:val="24"/>
          <w:highlight w:val="none"/>
        </w:rPr>
        <w:t>（7）</w:t>
      </w:r>
      <w:r>
        <w:rPr>
          <w:rFonts w:hint="eastAsia" w:ascii="仿宋" w:hAnsi="仿宋" w:eastAsia="仿宋" w:cs="仿宋"/>
          <w:color w:val="auto"/>
          <w:kern w:val="0"/>
          <w:sz w:val="24"/>
          <w:highlight w:val="none"/>
          <w:lang w:val="zh-CN"/>
        </w:rPr>
        <w:t>关于对磋商文件中有关条款的拒绝声明 (如果有)</w:t>
      </w:r>
      <w:r>
        <w:rPr>
          <w:rFonts w:hint="eastAsia" w:ascii="仿宋" w:hAnsi="仿宋" w:eastAsia="仿宋" w:cs="仿宋"/>
          <w:color w:val="auto"/>
          <w:sz w:val="24"/>
          <w:highlight w:val="none"/>
          <w:lang w:val="zh-CN"/>
        </w:rPr>
        <w:t xml:space="preserve"> ；</w:t>
      </w:r>
    </w:p>
    <w:p>
      <w:pPr>
        <w:pStyle w:val="31"/>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kern w:val="0"/>
          <w:sz w:val="24"/>
          <w:highlight w:val="none"/>
          <w:lang w:val="zh-CN"/>
        </w:rPr>
        <w:t>认为需要的其他商务文件或说明 (如果有) ；</w:t>
      </w:r>
    </w:p>
    <w:p>
      <w:pPr>
        <w:pStyle w:val="31"/>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（9）</w:t>
      </w:r>
      <w:r>
        <w:rPr>
          <w:rFonts w:hint="eastAsia" w:ascii="仿宋" w:hAnsi="仿宋" w:eastAsia="仿宋" w:cs="仿宋"/>
          <w:color w:val="auto"/>
          <w:sz w:val="24"/>
          <w:highlight w:val="none"/>
          <w:lang w:val="zh-CN"/>
        </w:rPr>
        <w:t>技术解决方案。针对本项目的完整技术解决方案和实施方案；详细阐述项目方案的实现思路及关键技术；符合本项目对当前和未来发展的要求；以及对功能设计和实施计划的建议；</w:t>
      </w:r>
    </w:p>
    <w:p>
      <w:pPr>
        <w:pStyle w:val="31"/>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kern w:val="0"/>
          <w:sz w:val="24"/>
          <w:highlight w:val="none"/>
          <w:lang w:val="zh-CN"/>
        </w:rPr>
        <w:t>（10）组织实施方案。本项目详细工作实施组织方案，包括(但不限于)以下内容：组织机构、工作时间进度表、工作程序和步骤、管理和协调方法、关键步骤的思路和要点；</w:t>
      </w:r>
    </w:p>
    <w:p>
      <w:pPr>
        <w:pStyle w:val="31"/>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kern w:val="0"/>
          <w:sz w:val="24"/>
          <w:highlight w:val="none"/>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pPr>
        <w:pStyle w:val="31"/>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kern w:val="0"/>
          <w:sz w:val="24"/>
          <w:highlight w:val="none"/>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资质情况等；</w:t>
      </w:r>
    </w:p>
    <w:p>
      <w:pPr>
        <w:pStyle w:val="31"/>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kern w:val="0"/>
          <w:sz w:val="24"/>
          <w:highlight w:val="none"/>
          <w:lang w:val="zh-CN"/>
        </w:rPr>
        <w:t>（13）优惠条件及特殊承诺；</w:t>
      </w:r>
    </w:p>
    <w:p>
      <w:pPr>
        <w:pStyle w:val="31"/>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rPr>
        <w:t>（14）</w:t>
      </w:r>
      <w:r>
        <w:rPr>
          <w:rFonts w:hint="eastAsia" w:ascii="仿宋" w:hAnsi="仿宋" w:eastAsia="仿宋" w:cs="仿宋"/>
          <w:color w:val="auto"/>
          <w:kern w:val="0"/>
          <w:sz w:val="24"/>
          <w:highlight w:val="none"/>
          <w:lang w:val="zh-CN"/>
        </w:rPr>
        <w:t>培训计划（如果有）；</w:t>
      </w:r>
    </w:p>
    <w:p>
      <w:pPr>
        <w:pStyle w:val="31"/>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kern w:val="0"/>
          <w:sz w:val="24"/>
          <w:highlight w:val="none"/>
        </w:rPr>
        <w:t>（15）随机特殊工具和</w:t>
      </w:r>
      <w:r>
        <w:rPr>
          <w:rFonts w:hint="eastAsia" w:ascii="仿宋" w:hAnsi="仿宋" w:eastAsia="仿宋" w:cs="仿宋"/>
          <w:color w:val="auto"/>
          <w:kern w:val="0"/>
          <w:sz w:val="24"/>
          <w:highlight w:val="none"/>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pPr>
        <w:pStyle w:val="31"/>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rPr>
        <w:t>（16）</w:t>
      </w:r>
      <w:r>
        <w:rPr>
          <w:rFonts w:hint="eastAsia" w:ascii="仿宋" w:hAnsi="仿宋" w:eastAsia="仿宋" w:cs="仿宋"/>
          <w:color w:val="auto"/>
          <w:kern w:val="0"/>
          <w:sz w:val="24"/>
          <w:szCs w:val="24"/>
          <w:highlight w:val="none"/>
          <w:lang w:val="zh-CN"/>
        </w:rPr>
        <w:t>供应商认为需要的其他技术文件或说明（如果有）；</w:t>
      </w:r>
    </w:p>
    <w:p>
      <w:pPr>
        <w:pStyle w:val="31"/>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szCs w:val="24"/>
          <w:highlight w:val="none"/>
        </w:rPr>
        <w:t>（17）</w:t>
      </w:r>
      <w:r>
        <w:rPr>
          <w:rFonts w:hint="eastAsia" w:ascii="仿宋" w:hAnsi="仿宋" w:eastAsia="仿宋" w:cs="仿宋"/>
          <w:color w:val="auto"/>
          <w:kern w:val="0"/>
          <w:sz w:val="24"/>
          <w:highlight w:val="none"/>
          <w:lang w:val="zh-CN"/>
        </w:rPr>
        <w:t>政府采购供应商廉洁自律承诺书。</w:t>
      </w:r>
    </w:p>
    <w:p>
      <w:pPr>
        <w:pStyle w:val="31"/>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 响应文件的编制和签署</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pPr>
        <w:pStyle w:val="393"/>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3.4响应文件按照磋商文件第七部分格式要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▲供应商的响应文件未按照磋商文件要求签署、盖章的，其响应无效</w:t>
      </w:r>
      <w:r>
        <w:rPr>
          <w:rFonts w:hint="eastAsia" w:ascii="仿宋" w:hAnsi="仿宋" w:eastAsia="仿宋" w:cs="仿宋"/>
          <w:color w:val="auto"/>
          <w:szCs w:val="24"/>
          <w:highlight w:val="none"/>
        </w:rPr>
        <w:t>。</w:t>
      </w:r>
    </w:p>
    <w:p>
      <w:pPr>
        <w:pStyle w:val="39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pPr>
        <w:pStyle w:val="393"/>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3.6磋商文件对响应文件签署、盖章的要求适用于电子签名。</w:t>
      </w:r>
    </w:p>
    <w:p>
      <w:pPr>
        <w:pStyle w:val="31"/>
        <w:spacing w:line="360" w:lineRule="auto"/>
        <w:ind w:firstLine="480" w:firstLineChars="200"/>
        <w:rPr>
          <w:rFonts w:hint="eastAsia" w:ascii="仿宋" w:hAnsi="仿宋" w:eastAsia="仿宋" w:cs="仿宋"/>
          <w:color w:val="auto"/>
          <w:sz w:val="24"/>
          <w:szCs w:val="24"/>
          <w:highlight w:val="none"/>
        </w:rPr>
      </w:pPr>
    </w:p>
    <w:p>
      <w:pPr>
        <w:adjustRightInd/>
        <w:spacing w:line="360" w:lineRule="auto"/>
        <w:jc w:val="center"/>
        <w:outlineLvl w:val="0"/>
        <w:rPr>
          <w:rFonts w:hint="eastAsia" w:ascii="仿宋" w:hAnsi="仿宋" w:eastAsia="仿宋" w:cs="仿宋"/>
          <w:b/>
          <w:color w:val="auto"/>
          <w:sz w:val="32"/>
          <w:szCs w:val="20"/>
          <w:highlight w:val="none"/>
        </w:rPr>
      </w:pPr>
    </w:p>
    <w:p>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七、</w:t>
      </w:r>
      <w:r>
        <w:rPr>
          <w:rFonts w:hint="eastAsia" w:ascii="仿宋" w:hAnsi="仿宋" w:eastAsia="仿宋" w:cs="仿宋"/>
          <w:b/>
          <w:color w:val="auto"/>
          <w:sz w:val="32"/>
          <w:szCs w:val="32"/>
          <w:highlight w:val="none"/>
        </w:rPr>
        <w:t>响应</w:t>
      </w:r>
      <w:r>
        <w:rPr>
          <w:rFonts w:hint="eastAsia" w:ascii="仿宋" w:hAnsi="仿宋" w:eastAsia="仿宋" w:cs="仿宋"/>
          <w:b/>
          <w:color w:val="auto"/>
          <w:sz w:val="32"/>
          <w:szCs w:val="20"/>
          <w:highlight w:val="none"/>
        </w:rPr>
        <w:t>文件的提交和备份</w:t>
      </w:r>
    </w:p>
    <w:p>
      <w:pPr>
        <w:pStyle w:val="393"/>
        <w:spacing w:before="0"/>
        <w:ind w:firstLine="0" w:firstLineChars="0"/>
        <w:rPr>
          <w:rFonts w:hint="eastAsia" w:ascii="仿宋" w:hAnsi="仿宋" w:eastAsia="仿宋" w:cs="仿宋"/>
          <w:b/>
          <w:color w:val="auto"/>
          <w:szCs w:val="24"/>
          <w:highlight w:val="none"/>
        </w:rPr>
      </w:pPr>
    </w:p>
    <w:p>
      <w:pPr>
        <w:pStyle w:val="393"/>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1.响应文件的提交、补充、修改、撤回</w:t>
      </w:r>
    </w:p>
    <w:p>
      <w:pPr>
        <w:pStyle w:val="393"/>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 在响应截止时间以后，不能补充、修改响应文件。</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 在提交“最后报价”后，供应商不能退出磋商。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可以视情况延长提交响应文件的截止时间。在上述情况下，</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与供应商以前在响应截止期方面的全部权利、责任和义务，将适用于延长至新的响应截止期。</w:t>
      </w:r>
    </w:p>
    <w:p>
      <w:pPr>
        <w:pStyle w:val="31"/>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2.备份响应文件</w:t>
      </w:r>
    </w:p>
    <w:p>
      <w:pPr>
        <w:pStyle w:val="31"/>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2.1 供应商在电子交易平台传输提交响应文件后，还可以在响应截止时间前直接提交或者以邮政快递方式递交备份响应文件1份，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不强制或变相强制供应商提交备份响应文件。</w:t>
      </w:r>
    </w:p>
    <w:p>
      <w:pPr>
        <w:pStyle w:val="31"/>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2.2 备份响应文件须在“政采云投标客户端”制作生成，并储存在不可修改的</w:t>
      </w:r>
      <w:r>
        <w:rPr>
          <w:rFonts w:hint="eastAsia" w:ascii="仿宋" w:hAnsi="仿宋" w:eastAsia="仿宋" w:cs="仿宋"/>
          <w:b/>
          <w:color w:val="auto"/>
          <w:sz w:val="24"/>
          <w:highlight w:val="none"/>
          <w:u w:val="single"/>
        </w:rPr>
        <w:t>电子光盘</w:t>
      </w:r>
      <w:r>
        <w:rPr>
          <w:rFonts w:hint="eastAsia" w:ascii="仿宋" w:hAnsi="仿宋" w:eastAsia="仿宋" w:cs="仿宋"/>
          <w:b/>
          <w:color w:val="auto"/>
          <w:sz w:val="24"/>
          <w:highlight w:val="none"/>
          <w:u w:val="single"/>
          <w:lang w:val="en-US" w:eastAsia="zh-CN"/>
        </w:rPr>
        <w:t>等存储介质</w:t>
      </w:r>
      <w:r>
        <w:rPr>
          <w:rFonts w:hint="eastAsia" w:ascii="仿宋" w:hAnsi="仿宋" w:eastAsia="仿宋" w:cs="仿宋"/>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存储、密封规定的备份响应文件将被视为无效或者被拒绝接收。</w:t>
      </w:r>
    </w:p>
    <w:p>
      <w:pPr>
        <w:pStyle w:val="31"/>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直接提交备份响应文件的，供应商应于响应截止时间前在磋商公告中载明的开启响应文件的地点将备份响应文件提交给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将拒绝接受逾期送达的备份响应文件。</w:t>
      </w:r>
    </w:p>
    <w:p>
      <w:pPr>
        <w:pStyle w:val="31"/>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将拒绝接受逾期送达的备份响应文件。邮寄过程中，电子备份响应文件发生泄露、遗失、损坏或延期送达等情况的，由供应商自行负责。</w:t>
      </w:r>
    </w:p>
    <w:p>
      <w:pPr>
        <w:pStyle w:val="31"/>
        <w:spacing w:line="360" w:lineRule="auto"/>
        <w:ind w:firstLine="361" w:firstLineChars="15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 xml:space="preserve">2.5 </w:t>
      </w:r>
      <w:r>
        <w:rPr>
          <w:rFonts w:hint="eastAsia" w:ascii="仿宋" w:hAnsi="仿宋" w:eastAsia="仿宋" w:cs="仿宋"/>
          <w:b/>
          <w:color w:val="auto"/>
          <w:sz w:val="24"/>
          <w:highlight w:val="none"/>
        </w:rPr>
        <w:t>▲</w:t>
      </w:r>
      <w:r>
        <w:rPr>
          <w:rFonts w:hint="eastAsia" w:ascii="仿宋" w:hAnsi="仿宋" w:eastAsia="仿宋" w:cs="仿宋"/>
          <w:b/>
          <w:color w:val="auto"/>
          <w:sz w:val="24"/>
          <w:szCs w:val="24"/>
          <w:highlight w:val="none"/>
        </w:rPr>
        <w:t>供应商仅提交备份响应文件，未在电子交易平台传输提交响应文件的，响应无效。</w:t>
      </w:r>
    </w:p>
    <w:p>
      <w:pPr>
        <w:adjustRightInd/>
        <w:spacing w:line="360" w:lineRule="auto"/>
        <w:jc w:val="center"/>
        <w:outlineLvl w:val="0"/>
        <w:rPr>
          <w:rFonts w:hint="eastAsia" w:ascii="仿宋" w:hAnsi="仿宋" w:eastAsia="仿宋" w:cs="仿宋"/>
          <w:b/>
          <w:color w:val="auto"/>
          <w:sz w:val="32"/>
          <w:szCs w:val="20"/>
          <w:highlight w:val="none"/>
        </w:rPr>
      </w:pPr>
    </w:p>
    <w:p>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八、</w:t>
      </w:r>
      <w:r>
        <w:rPr>
          <w:rFonts w:hint="eastAsia" w:ascii="仿宋" w:hAnsi="仿宋" w:eastAsia="仿宋" w:cs="仿宋"/>
          <w:b/>
          <w:color w:val="auto"/>
          <w:sz w:val="32"/>
          <w:szCs w:val="32"/>
          <w:highlight w:val="none"/>
        </w:rPr>
        <w:t>开启响应文件与信用信息查询</w:t>
      </w:r>
    </w:p>
    <w:p>
      <w:pPr>
        <w:pStyle w:val="31"/>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 开启响应文件</w:t>
      </w:r>
    </w:p>
    <w:p>
      <w:pPr>
        <w:pStyle w:val="31"/>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 </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按照磋商文件规定的时间通过电子交易平台组织响应文件开启，所有供应商均应当准时在线参加。</w:t>
      </w:r>
      <w:r>
        <w:rPr>
          <w:rFonts w:hint="eastAsia" w:ascii="仿宋" w:hAnsi="仿宋" w:eastAsia="仿宋" w:cs="仿宋"/>
          <w:b/>
          <w:color w:val="auto"/>
          <w:sz w:val="24"/>
          <w:szCs w:val="24"/>
          <w:highlight w:val="none"/>
        </w:rPr>
        <w:t>供应商数量不符合规定的，不得开启响应文件。</w:t>
      </w:r>
    </w:p>
    <w:p>
      <w:pPr>
        <w:pStyle w:val="31"/>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1.2开启响应文件时，电子交易平台按开启响应文件时间自动提取所有响应文件。</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依托电子交易平台发起开始解密指令，供应商按照平台提示和磋商文件的规定在半小时内完成在线解密。</w:t>
      </w:r>
    </w:p>
    <w:p>
      <w:pPr>
        <w:pStyle w:val="31"/>
        <w:spacing w:line="360" w:lineRule="auto"/>
        <w:ind w:firstLine="361" w:firstLineChars="15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pPr>
        <w:pStyle w:val="393"/>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2.信用信息查询</w:t>
      </w:r>
    </w:p>
    <w:p>
      <w:pPr>
        <w:pStyle w:val="393"/>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2.1信用信息查询渠道及截止时间：</w:t>
      </w:r>
      <w:r>
        <w:rPr>
          <w:rFonts w:hint="eastAsia" w:ascii="仿宋" w:hAnsi="仿宋" w:eastAsia="仿宋" w:cs="仿宋"/>
          <w:color w:val="auto"/>
          <w:kern w:val="0"/>
          <w:szCs w:val="24"/>
          <w:highlight w:val="none"/>
          <w:lang w:eastAsia="zh-CN"/>
        </w:rPr>
        <w:t>采购代理机构</w:t>
      </w:r>
      <w:r>
        <w:rPr>
          <w:rFonts w:hint="eastAsia" w:ascii="仿宋" w:hAnsi="仿宋" w:eastAsia="仿宋" w:cs="仿宋"/>
          <w:color w:val="auto"/>
          <w:kern w:val="0"/>
          <w:szCs w:val="24"/>
          <w:highlight w:val="none"/>
        </w:rPr>
        <w:t>将通过“信用中国”网站(</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"http://www.creditchina.gov.cn" </w:instrText>
      </w:r>
      <w:r>
        <w:rPr>
          <w:rFonts w:hint="eastAsia" w:ascii="仿宋" w:hAnsi="仿宋" w:eastAsia="仿宋" w:cs="仿宋"/>
          <w:color w:val="auto"/>
          <w:highlight w:val="none"/>
        </w:rPr>
        <w:fldChar w:fldCharType="separate"/>
      </w:r>
      <w:r>
        <w:rPr>
          <w:rStyle w:val="68"/>
          <w:rFonts w:hint="eastAsia" w:ascii="仿宋" w:hAnsi="仿宋" w:eastAsia="仿宋" w:cs="仿宋"/>
          <w:snapToGrid/>
          <w:color w:val="auto"/>
          <w:sz w:val="24"/>
          <w:szCs w:val="24"/>
          <w:highlight w:val="none"/>
        </w:rPr>
        <w:t>www.creditchina.gov.cn</w:t>
      </w:r>
      <w:r>
        <w:rPr>
          <w:rStyle w:val="68"/>
          <w:rFonts w:hint="eastAsia" w:ascii="仿宋" w:hAnsi="仿宋" w:eastAsia="仿宋" w:cs="仿宋"/>
          <w:snapToGrid/>
          <w:color w:val="auto"/>
          <w:sz w:val="24"/>
          <w:szCs w:val="24"/>
          <w:highlight w:val="none"/>
        </w:rPr>
        <w:fldChar w:fldCharType="end"/>
      </w:r>
      <w:r>
        <w:rPr>
          <w:rFonts w:hint="eastAsia" w:ascii="仿宋" w:hAnsi="仿宋" w:eastAsia="仿宋" w:cs="仿宋"/>
          <w:color w:val="auto"/>
          <w:kern w:val="0"/>
          <w:szCs w:val="24"/>
          <w:highlight w:val="none"/>
        </w:rPr>
        <w:t>)、中国政府采购网(www.ccgp.gov.cn)渠道查询供应商响应截止时间前的信用记录。</w:t>
      </w:r>
    </w:p>
    <w:p>
      <w:pPr>
        <w:pStyle w:val="393"/>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2.2信用信息查询记录和证据留存的具体方式：现场查询的供应商的信用记录、查询结果经确认后存档。</w:t>
      </w:r>
    </w:p>
    <w:p>
      <w:pPr>
        <w:pStyle w:val="393"/>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pPr>
        <w:pStyle w:val="393"/>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1"/>
        <w:spacing w:line="360" w:lineRule="auto"/>
        <w:rPr>
          <w:rFonts w:hint="eastAsia" w:ascii="仿宋" w:hAnsi="仿宋" w:eastAsia="仿宋" w:cs="仿宋"/>
          <w:b/>
          <w:color w:val="auto"/>
          <w:sz w:val="24"/>
          <w:szCs w:val="24"/>
          <w:highlight w:val="none"/>
        </w:rPr>
      </w:pPr>
    </w:p>
    <w:p>
      <w:pPr>
        <w:adjustRightInd/>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highlight w:val="none"/>
        </w:rPr>
        <w:t>九</w:t>
      </w:r>
      <w:r>
        <w:rPr>
          <w:rFonts w:hint="eastAsia" w:ascii="仿宋" w:hAnsi="仿宋" w:eastAsia="仿宋" w:cs="仿宋"/>
          <w:b/>
          <w:color w:val="auto"/>
          <w:sz w:val="32"/>
          <w:szCs w:val="20"/>
          <w:highlight w:val="none"/>
        </w:rPr>
        <w:t>、提交</w:t>
      </w:r>
      <w:r>
        <w:rPr>
          <w:rFonts w:hint="eastAsia" w:ascii="仿宋" w:hAnsi="仿宋" w:eastAsia="仿宋" w:cs="仿宋"/>
          <w:b/>
          <w:color w:val="auto"/>
          <w:sz w:val="32"/>
          <w:szCs w:val="32"/>
          <w:highlight w:val="none"/>
        </w:rPr>
        <w:t>最后报价</w:t>
      </w:r>
    </w:p>
    <w:p>
      <w:pPr>
        <w:snapToGrid w:val="0"/>
        <w:spacing w:line="360" w:lineRule="auto"/>
        <w:rPr>
          <w:rFonts w:hint="eastAsia" w:ascii="仿宋" w:hAnsi="仿宋" w:eastAsia="仿宋" w:cs="仿宋"/>
          <w:color w:val="auto"/>
          <w:sz w:val="24"/>
          <w:highlight w:val="none"/>
          <w:u w:val="single"/>
          <w:lang w:val="zh-CN"/>
        </w:rPr>
      </w:pPr>
      <w:r>
        <w:rPr>
          <w:rFonts w:hint="eastAsia" w:ascii="仿宋" w:hAnsi="仿宋" w:eastAsia="仿宋" w:cs="仿宋"/>
          <w:b/>
          <w:color w:val="auto"/>
          <w:sz w:val="24"/>
          <w:highlight w:val="none"/>
        </w:rPr>
        <w:t>1.</w:t>
      </w:r>
      <w:r>
        <w:rPr>
          <w:rFonts w:hint="eastAsia" w:ascii="仿宋" w:hAnsi="仿宋" w:eastAsia="仿宋" w:cs="仿宋"/>
          <w:color w:val="auto"/>
          <w:sz w:val="24"/>
          <w:highlight w:val="none"/>
        </w:rPr>
        <w:t>供应商的</w:t>
      </w:r>
      <w:r>
        <w:rPr>
          <w:rFonts w:hint="eastAsia" w:ascii="仿宋" w:hAnsi="仿宋" w:eastAsia="仿宋" w:cs="仿宋"/>
          <w:b/>
          <w:bCs/>
          <w:color w:val="auto"/>
          <w:sz w:val="24"/>
          <w:highlight w:val="none"/>
          <w:lang w:val="en-US" w:eastAsia="zh-CN"/>
        </w:rPr>
        <w:t>最后</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应包括以下内容（均需使用电子签名）：</w:t>
      </w:r>
    </w:p>
    <w:p>
      <w:pPr>
        <w:pStyle w:val="31"/>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val="en-US" w:eastAsia="zh-CN"/>
        </w:rPr>
        <w:t>最后报价</w:t>
      </w:r>
      <w:r>
        <w:rPr>
          <w:rFonts w:hint="eastAsia" w:ascii="仿宋" w:hAnsi="仿宋" w:eastAsia="仿宋" w:cs="仿宋"/>
          <w:color w:val="auto"/>
          <w:sz w:val="24"/>
          <w:szCs w:val="24"/>
          <w:highlight w:val="none"/>
        </w:rPr>
        <w:t>一览表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报价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pPr>
        <w:pStyle w:val="31"/>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1.2中小企业声明函（如果有）。</w:t>
      </w:r>
    </w:p>
    <w:p>
      <w:pPr>
        <w:adjustRightInd/>
        <w:spacing w:line="360" w:lineRule="auto"/>
        <w:jc w:val="center"/>
        <w:outlineLvl w:val="0"/>
        <w:rPr>
          <w:rFonts w:hint="eastAsia" w:ascii="仿宋" w:hAnsi="仿宋" w:eastAsia="仿宋" w:cs="仿宋"/>
          <w:b/>
          <w:color w:val="auto"/>
          <w:sz w:val="32"/>
          <w:szCs w:val="20"/>
          <w:highlight w:val="none"/>
        </w:rPr>
      </w:pPr>
    </w:p>
    <w:p>
      <w:pPr>
        <w:adjustRightInd/>
        <w:spacing w:line="360" w:lineRule="auto"/>
        <w:jc w:val="center"/>
        <w:outlineLvl w:val="0"/>
        <w:rPr>
          <w:rFonts w:hint="eastAsia" w:ascii="仿宋" w:hAnsi="仿宋" w:eastAsia="仿宋" w:cs="仿宋"/>
          <w:b/>
          <w:color w:val="auto"/>
          <w:sz w:val="32"/>
          <w:highlight w:val="none"/>
        </w:rPr>
      </w:pPr>
      <w:r>
        <w:rPr>
          <w:rFonts w:hint="eastAsia" w:ascii="仿宋" w:hAnsi="仿宋" w:eastAsia="仿宋" w:cs="仿宋"/>
          <w:b/>
          <w:color w:val="auto"/>
          <w:sz w:val="32"/>
          <w:szCs w:val="20"/>
          <w:highlight w:val="none"/>
        </w:rPr>
        <w:t>十、</w:t>
      </w:r>
      <w:r>
        <w:rPr>
          <w:rFonts w:hint="eastAsia" w:ascii="仿宋" w:hAnsi="仿宋" w:eastAsia="仿宋" w:cs="仿宋"/>
          <w:b/>
          <w:color w:val="auto"/>
          <w:sz w:val="32"/>
          <w:szCs w:val="32"/>
          <w:highlight w:val="none"/>
        </w:rPr>
        <w:t>评审</w:t>
      </w:r>
    </w:p>
    <w:p>
      <w:pPr>
        <w:pStyle w:val="393"/>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szCs w:val="24"/>
          <w:highlight w:val="none"/>
        </w:rPr>
        <w:t>1.</w:t>
      </w:r>
      <w:r>
        <w:rPr>
          <w:rFonts w:hint="eastAsia" w:ascii="仿宋" w:hAnsi="仿宋" w:eastAsia="仿宋" w:cs="仿宋"/>
          <w:b/>
          <w:color w:val="auto"/>
          <w:highlight w:val="none"/>
        </w:rPr>
        <w:t xml:space="preserve"> 评审方法：</w:t>
      </w:r>
      <w:r>
        <w:rPr>
          <w:rFonts w:hint="eastAsia" w:ascii="仿宋" w:hAnsi="仿宋" w:eastAsia="仿宋" w:cs="仿宋"/>
          <w:color w:val="auto"/>
          <w:highlight w:val="none"/>
        </w:rPr>
        <w:t>综合评分法。</w:t>
      </w:r>
    </w:p>
    <w:p>
      <w:pPr>
        <w:pStyle w:val="393"/>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 价格分计算方法：</w:t>
      </w:r>
      <w:r>
        <w:rPr>
          <w:rFonts w:hint="eastAsia" w:ascii="仿宋" w:hAnsi="仿宋" w:eastAsia="仿宋" w:cs="仿宋"/>
          <w:color w:val="auto"/>
          <w:highlight w:val="none"/>
        </w:rPr>
        <w:t>低价优先法。</w:t>
      </w:r>
    </w:p>
    <w:p>
      <w:pPr>
        <w:pStyle w:val="393"/>
        <w:spacing w:before="0"/>
        <w:ind w:firstLine="0" w:firstLineChars="0"/>
        <w:rPr>
          <w:rFonts w:hint="eastAsia" w:ascii="仿宋" w:hAnsi="仿宋" w:eastAsia="仿宋" w:cs="仿宋"/>
          <w:color w:val="auto"/>
          <w:szCs w:val="24"/>
          <w:highlight w:val="none"/>
        </w:rPr>
      </w:pPr>
      <w:r>
        <w:rPr>
          <w:rFonts w:hint="eastAsia" w:ascii="仿宋" w:hAnsi="仿宋" w:eastAsia="仿宋" w:cs="仿宋"/>
          <w:b/>
          <w:color w:val="auto"/>
          <w:highlight w:val="none"/>
        </w:rPr>
        <w:t>3. 评审要求：</w:t>
      </w:r>
      <w:r>
        <w:rPr>
          <w:rFonts w:hint="eastAsia" w:ascii="仿宋" w:hAnsi="仿宋" w:eastAsia="仿宋" w:cs="仿宋"/>
          <w:color w:val="auto"/>
          <w:highlight w:val="none"/>
        </w:rPr>
        <w:t>详见磋商文件第五部分“评审方法及评审标准”。</w:t>
      </w:r>
    </w:p>
    <w:p>
      <w:pPr>
        <w:adjustRightInd/>
        <w:spacing w:line="360" w:lineRule="auto"/>
        <w:jc w:val="center"/>
        <w:outlineLvl w:val="0"/>
        <w:rPr>
          <w:rFonts w:hint="eastAsia" w:ascii="仿宋" w:hAnsi="仿宋" w:eastAsia="仿宋" w:cs="仿宋"/>
          <w:color w:val="auto"/>
          <w:sz w:val="24"/>
          <w:highlight w:val="none"/>
        </w:rPr>
      </w:pPr>
    </w:p>
    <w:p>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十一、</w:t>
      </w:r>
      <w:r>
        <w:rPr>
          <w:rFonts w:hint="eastAsia" w:ascii="仿宋" w:hAnsi="仿宋" w:eastAsia="仿宋" w:cs="仿宋"/>
          <w:b/>
          <w:color w:val="auto"/>
          <w:sz w:val="32"/>
          <w:szCs w:val="32"/>
          <w:highlight w:val="none"/>
        </w:rPr>
        <w:t>成交</w:t>
      </w:r>
    </w:p>
    <w:p>
      <w:pPr>
        <w:pStyle w:val="31"/>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highlight w:val="none"/>
        </w:rPr>
        <w:t>1. 推荐成交候选供应商</w:t>
      </w:r>
    </w:p>
    <w:p>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31"/>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 确定成交供应商</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pPr>
        <w:tabs>
          <w:tab w:val="left" w:pos="0"/>
        </w:tabs>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3．成交通知及成交结果公告</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szCs w:val="21"/>
          <w:highlight w:val="none"/>
        </w:rPr>
        <w:t>3.1自成交人确定之日起2个工作日内，</w:t>
      </w:r>
      <w:r>
        <w:rPr>
          <w:rFonts w:hint="eastAsia" w:ascii="仿宋" w:hAnsi="仿宋" w:eastAsia="仿宋" w:cs="仿宋"/>
          <w:color w:val="auto"/>
          <w:sz w:val="24"/>
          <w:szCs w:val="21"/>
          <w:highlight w:val="none"/>
          <w:lang w:eastAsia="zh-CN"/>
        </w:rPr>
        <w:t>采购代理机构</w:t>
      </w:r>
      <w:r>
        <w:rPr>
          <w:rFonts w:hint="eastAsia" w:ascii="仿宋" w:hAnsi="仿宋" w:eastAsia="仿宋" w:cs="仿宋"/>
          <w:color w:val="auto"/>
          <w:sz w:val="24"/>
          <w:szCs w:val="21"/>
          <w:highlight w:val="none"/>
        </w:rPr>
        <w:t>通过电子交易平台向成交人发出成交通知书，</w:t>
      </w:r>
      <w:r>
        <w:rPr>
          <w:rFonts w:hint="eastAsia" w:ascii="仿宋" w:hAnsi="仿宋" w:eastAsia="仿宋" w:cs="仿宋"/>
          <w:color w:val="auto"/>
          <w:sz w:val="24"/>
          <w:highlight w:val="none"/>
        </w:rPr>
        <w:t>同时编制发布采购</w:t>
      </w:r>
      <w:r>
        <w:rPr>
          <w:rFonts w:hint="eastAsia" w:ascii="仿宋" w:hAnsi="仿宋" w:eastAsia="仿宋" w:cs="仿宋"/>
          <w:color w:val="auto"/>
          <w:sz w:val="24"/>
          <w:szCs w:val="21"/>
          <w:highlight w:val="none"/>
        </w:rPr>
        <w:t>成交结果公告。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也可以以纸质形式进行成交通知。</w:t>
      </w:r>
    </w:p>
    <w:p>
      <w:pPr>
        <w:spacing w:line="360" w:lineRule="auto"/>
        <w:ind w:firstLine="360" w:firstLineChars="150"/>
        <w:rPr>
          <w:rFonts w:hint="eastAsia" w:ascii="仿宋" w:hAnsi="仿宋" w:eastAsia="仿宋" w:cs="仿宋"/>
          <w:color w:val="auto"/>
          <w:sz w:val="24"/>
          <w:szCs w:val="21"/>
          <w:highlight w:val="none"/>
        </w:rPr>
      </w:pPr>
      <w:r>
        <w:rPr>
          <w:rFonts w:hint="eastAsia" w:ascii="仿宋" w:hAnsi="仿宋" w:eastAsia="仿宋" w:cs="仿宋"/>
          <w:color w:val="auto"/>
          <w:sz w:val="24"/>
          <w:highlight w:val="none"/>
        </w:rPr>
        <w:t>3.2</w:t>
      </w:r>
      <w:r>
        <w:rPr>
          <w:rFonts w:hint="eastAsia" w:ascii="仿宋" w:hAnsi="仿宋" w:eastAsia="仿宋" w:cs="仿宋"/>
          <w:color w:val="auto"/>
          <w:sz w:val="24"/>
          <w:szCs w:val="21"/>
          <w:highlight w:val="none"/>
        </w:rPr>
        <w:t>成交</w:t>
      </w:r>
      <w:r>
        <w:rPr>
          <w:rFonts w:hint="eastAsia" w:ascii="仿宋" w:hAnsi="仿宋" w:eastAsia="仿宋" w:cs="仿宋"/>
          <w:color w:val="auto"/>
          <w:sz w:val="24"/>
          <w:highlight w:val="none"/>
        </w:rPr>
        <w:t>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的名称、地址、联系方式，项目名称和项目编号，成交人名称、地址和成交金额，主要中标标的的名称、规格型号、数量、单价、服务要求，开标记录、</w:t>
      </w:r>
      <w:bookmarkStart w:id="53" w:name="_Hlk101184471"/>
      <w:r>
        <w:rPr>
          <w:rFonts w:hint="eastAsia" w:ascii="仿宋" w:hAnsi="仿宋" w:eastAsia="仿宋" w:cs="仿宋"/>
          <w:color w:val="auto"/>
          <w:sz w:val="24"/>
          <w:highlight w:val="none"/>
        </w:rPr>
        <w:t>资格审查情况、评审专家抽取规则、符合性审查情况、</w:t>
      </w:r>
      <w:bookmarkEnd w:id="53"/>
      <w:r>
        <w:rPr>
          <w:rFonts w:hint="eastAsia" w:ascii="仿宋" w:hAnsi="仿宋" w:eastAsia="仿宋" w:cs="仿宋"/>
          <w:color w:val="auto"/>
          <w:sz w:val="24"/>
          <w:highlight w:val="none"/>
        </w:rPr>
        <w:t>未成交情况说明、成交公告期限以及评审专家名单、评分汇总及明细。</w:t>
      </w:r>
    </w:p>
    <w:p>
      <w:pPr>
        <w:spacing w:line="360" w:lineRule="auto"/>
        <w:ind w:firstLine="360" w:firstLineChars="150"/>
        <w:rPr>
          <w:rFonts w:hint="eastAsia" w:ascii="仿宋" w:hAnsi="仿宋" w:eastAsia="仿宋" w:cs="仿宋"/>
          <w:b/>
          <w:color w:val="auto"/>
          <w:sz w:val="36"/>
          <w:szCs w:val="36"/>
          <w:highlight w:val="none"/>
        </w:rPr>
      </w:pPr>
      <w:r>
        <w:rPr>
          <w:rFonts w:hint="eastAsia" w:ascii="仿宋" w:hAnsi="仿宋" w:eastAsia="仿宋" w:cs="仿宋"/>
          <w:color w:val="auto"/>
          <w:sz w:val="24"/>
          <w:szCs w:val="21"/>
          <w:highlight w:val="none"/>
        </w:rPr>
        <w:t>3.3公告期限为1个工作日。</w:t>
      </w: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十二、合同</w:t>
      </w:r>
    </w:p>
    <w:p>
      <w:pPr>
        <w:tabs>
          <w:tab w:val="left" w:pos="0"/>
        </w:tabs>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1.合同主要条款：</w:t>
      </w:r>
      <w:r>
        <w:rPr>
          <w:rFonts w:hint="eastAsia" w:ascii="仿宋" w:hAnsi="仿宋" w:eastAsia="仿宋" w:cs="仿宋"/>
          <w:color w:val="auto"/>
          <w:sz w:val="24"/>
          <w:highlight w:val="none"/>
        </w:rPr>
        <w:t>详见“第六部分拟签订的合同文本”。</w:t>
      </w:r>
    </w:p>
    <w:p>
      <w:pPr>
        <w:tabs>
          <w:tab w:val="left" w:pos="0"/>
        </w:tabs>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2.合同的签订</w:t>
      </w:r>
    </w:p>
    <w:p>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Cs w:val="21"/>
          <w:highlight w:val="none"/>
        </w:rPr>
        <w:t>2.1</w:t>
      </w:r>
      <w:r>
        <w:rPr>
          <w:rFonts w:hint="eastAsia" w:ascii="仿宋" w:hAnsi="仿宋" w:eastAsia="仿宋" w:cs="仿宋"/>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pPr>
        <w:pStyle w:val="393"/>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2.5如签订合同并生效后，供应商无故拒绝或延期，除按照合同条款处理外，列入不良行为记录一次，并给予通报。</w:t>
      </w:r>
    </w:p>
    <w:p>
      <w:pPr>
        <w:pStyle w:val="393"/>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2.6采购合同由采购人与成交供应商根据磋商文件、响应文件等内容通过政府采购电子交易平台在线签订，自动备案。</w:t>
      </w:r>
    </w:p>
    <w:p>
      <w:pPr>
        <w:tabs>
          <w:tab w:val="left" w:pos="0"/>
        </w:tabs>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3．履约保证金</w:t>
      </w:r>
    </w:p>
    <w:p>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2"/>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numPr>
          <w:ilvl w:val="255"/>
          <w:numId w:val="0"/>
        </w:numPr>
        <w:ind w:left="0" w:firstLine="0"/>
        <w:rPr>
          <w:rFonts w:hint="eastAsia" w:ascii="仿宋" w:hAnsi="仿宋" w:eastAsia="仿宋" w:cs="仿宋"/>
          <w:color w:val="auto"/>
          <w:highlight w:val="none"/>
        </w:rPr>
      </w:pPr>
      <w:r>
        <w:rPr>
          <w:rFonts w:hint="eastAsia" w:ascii="仿宋" w:hAnsi="仿宋" w:eastAsia="仿宋" w:cs="仿宋"/>
          <w:color w:val="auto"/>
          <w:sz w:val="24"/>
          <w:highlight w:val="none"/>
          <w:lang w:val="en-US"/>
        </w:rPr>
        <w:t>4.预付款</w:t>
      </w:r>
    </w:p>
    <w:p>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b w:val="0"/>
          <w:bCs w:val="0"/>
          <w:color w:val="auto"/>
          <w:sz w:val="24"/>
          <w:szCs w:val="24"/>
          <w:highlight w:val="none"/>
          <w:lang w:val="en-US"/>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color w:val="auto"/>
          <w:sz w:val="24"/>
          <w:highlight w:val="none"/>
        </w:rPr>
        <w:t>不低于</w:t>
      </w:r>
      <w:r>
        <w:rPr>
          <w:rFonts w:hint="eastAsia" w:ascii="仿宋" w:hAnsi="仿宋" w:eastAsia="仿宋" w:cs="仿宋"/>
          <w:b w:val="0"/>
          <w:bCs w:val="0"/>
          <w:color w:val="auto"/>
          <w:sz w:val="24"/>
          <w:szCs w:val="24"/>
          <w:highlight w:val="none"/>
          <w:lang w:val="en-US"/>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tabs>
          <w:tab w:val="left" w:pos="0"/>
        </w:tabs>
        <w:spacing w:line="360" w:lineRule="auto"/>
        <w:ind w:firstLine="0"/>
        <w:rPr>
          <w:rFonts w:hint="eastAsia" w:ascii="仿宋" w:hAnsi="仿宋" w:eastAsia="仿宋" w:cs="仿宋"/>
          <w:snapToGrid w:val="0"/>
          <w:color w:val="auto"/>
          <w:kern w:val="28"/>
          <w:sz w:val="24"/>
          <w:highlight w:val="none"/>
        </w:rPr>
      </w:pPr>
    </w:p>
    <w:p>
      <w:pPr>
        <w:snapToGrid w:val="0"/>
        <w:spacing w:line="360" w:lineRule="auto"/>
        <w:jc w:val="center"/>
        <w:rPr>
          <w:rFonts w:hint="eastAsia" w:ascii="仿宋" w:hAnsi="仿宋" w:eastAsia="仿宋" w:cs="仿宋"/>
          <w:b/>
          <w:color w:val="auto"/>
          <w:sz w:val="36"/>
          <w:szCs w:val="36"/>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十三、验收</w:t>
      </w:r>
    </w:p>
    <w:p>
      <w:pPr>
        <w:pStyle w:val="23"/>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1.验收</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360" w:lineRule="auto"/>
        <w:jc w:val="center"/>
        <w:rPr>
          <w:rFonts w:hint="eastAsia" w:ascii="仿宋" w:hAnsi="仿宋" w:eastAsia="仿宋" w:cs="仿宋"/>
          <w:b/>
          <w:color w:val="auto"/>
          <w:sz w:val="36"/>
          <w:szCs w:val="36"/>
          <w:highlight w:val="none"/>
        </w:rPr>
      </w:pPr>
    </w:p>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36"/>
          <w:szCs w:val="36"/>
          <w:highlight w:val="none"/>
        </w:rPr>
        <w:t>十四、电子交易活动的中止</w:t>
      </w:r>
    </w:p>
    <w:p>
      <w:pPr>
        <w:tabs>
          <w:tab w:val="left" w:pos="0"/>
        </w:tabs>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电子交易活动的中止</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采购过程中出现以下情形，导致电子交易平台无法正常运行，或者无法保证电子交易的公平、公正和安全时，</w:t>
      </w:r>
      <w:r>
        <w:rPr>
          <w:rFonts w:hint="eastAsia" w:ascii="仿宋" w:hAnsi="仿宋" w:eastAsia="仿宋" w:cs="仿宋"/>
          <w:color w:val="auto"/>
          <w:kern w:val="0"/>
          <w:sz w:val="24"/>
          <w:highlight w:val="none"/>
          <w:lang w:eastAsia="zh-CN"/>
        </w:rPr>
        <w:t>采购代理机构</w:t>
      </w:r>
      <w:r>
        <w:rPr>
          <w:rFonts w:hint="eastAsia" w:ascii="仿宋" w:hAnsi="仿宋" w:eastAsia="仿宋" w:cs="仿宋"/>
          <w:color w:val="auto"/>
          <w:kern w:val="0"/>
          <w:sz w:val="24"/>
          <w:highlight w:val="none"/>
        </w:rPr>
        <w:t>可中止电子交易活动：</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1.1电子交易平台发生故障而无法登录访问的； </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1.2电子交易平台应用或数据库出现错误，不能进行正常操作的；</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1.3电子交易平台发现严重安全漏洞，有潜在泄密危险的；</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1.4病毒发作导致不能进行正常操作的； </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1.5其他无法保证电子交易的公平、公正和安全的情况。</w:t>
      </w:r>
    </w:p>
    <w:p>
      <w:pPr>
        <w:tabs>
          <w:tab w:val="left" w:pos="0"/>
        </w:tabs>
        <w:spacing w:line="360" w:lineRule="auto"/>
        <w:rPr>
          <w:rFonts w:hint="eastAsia" w:ascii="仿宋" w:hAnsi="仿宋" w:eastAsia="仿宋" w:cs="仿宋"/>
          <w:b/>
          <w:color w:val="auto"/>
          <w:sz w:val="36"/>
          <w:szCs w:val="36"/>
          <w:highlight w:val="none"/>
        </w:rPr>
      </w:pPr>
      <w:r>
        <w:rPr>
          <w:rFonts w:hint="eastAsia" w:ascii="仿宋" w:hAnsi="仿宋" w:eastAsia="仿宋" w:cs="仿宋"/>
          <w:b/>
          <w:color w:val="auto"/>
          <w:kern w:val="0"/>
          <w:sz w:val="24"/>
          <w:highlight w:val="none"/>
        </w:rPr>
        <w:t>2.</w:t>
      </w:r>
      <w:r>
        <w:rPr>
          <w:rFonts w:hint="eastAsia" w:ascii="仿宋" w:hAnsi="仿宋" w:eastAsia="仿宋" w:cs="仿宋"/>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4714665"/>
      <w:bookmarkEnd w:id="54"/>
      <w:bookmarkStart w:id="55" w:name="_Hlt75236290"/>
      <w:bookmarkEnd w:id="55"/>
      <w:bookmarkStart w:id="56" w:name="_Hlt74729768"/>
      <w:bookmarkEnd w:id="56"/>
      <w:bookmarkStart w:id="57" w:name="_Hlt74707468"/>
      <w:bookmarkEnd w:id="57"/>
      <w:bookmarkStart w:id="58" w:name="_Hlt68057669"/>
      <w:bookmarkEnd w:id="58"/>
      <w:bookmarkStart w:id="59" w:name="_Hlt75236011"/>
      <w:bookmarkEnd w:id="59"/>
      <w:bookmarkStart w:id="60" w:name="_Hlt75236101"/>
      <w:bookmarkEnd w:id="60"/>
      <w:bookmarkStart w:id="61" w:name="_Hlt68072990"/>
      <w:bookmarkEnd w:id="61"/>
      <w:bookmarkStart w:id="62" w:name="_Hlt74730295"/>
      <w:bookmarkEnd w:id="62"/>
      <w:bookmarkStart w:id="63" w:name="第三部分"/>
      <w:bookmarkStart w:id="64" w:name="_Toc164416483"/>
      <w:r>
        <w:rPr>
          <w:rFonts w:hint="eastAsia" w:ascii="仿宋" w:hAnsi="仿宋" w:eastAsia="仿宋" w:cs="仿宋"/>
          <w:b/>
          <w:color w:val="auto"/>
          <w:sz w:val="36"/>
          <w:szCs w:val="36"/>
          <w:highlight w:val="none"/>
        </w:rPr>
        <w:br w:type="page"/>
      </w:r>
    </w:p>
    <w:p>
      <w:pPr>
        <w:adjustRightInd/>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  采购需求</w:t>
      </w:r>
    </w:p>
    <w:p>
      <w:pPr>
        <w:pStyle w:val="631"/>
        <w:ind w:left="0" w:leftChars="0" w:firstLine="241" w:firstLineChars="1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一、项目名称</w:t>
      </w:r>
    </w:p>
    <w:p>
      <w:pPr>
        <w:pStyle w:val="56"/>
        <w:topLinePunct/>
        <w:spacing w:line="360" w:lineRule="auto"/>
        <w:ind w:firstLine="482"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 xml:space="preserve">临安物业维修资金数据整理建库及数据迁移项目 </w:t>
      </w:r>
    </w:p>
    <w:p>
      <w:pPr>
        <w:pStyle w:val="631"/>
        <w:ind w:left="0" w:leftChars="0" w:firstLine="241" w:firstLineChars="1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二、项目背景及依据</w:t>
      </w:r>
    </w:p>
    <w:p>
      <w:pPr>
        <w:pStyle w:val="631"/>
        <w:ind w:left="0" w:leftChars="0" w:firstLine="241" w:firstLineChars="1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1、项目背景</w:t>
      </w:r>
    </w:p>
    <w:p>
      <w:pPr>
        <w:pStyle w:val="631"/>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物业专项维修资金（下称“维修资金”），是专项用于物业保修期满后维修、更新和改造物业共用部位、共用设施设备的资金，是由全体业主缴纳并属于全体业主所有，也被称之为物业的“养老金”和“保命钱”。</w:t>
      </w:r>
    </w:p>
    <w:p>
      <w:pPr>
        <w:pStyle w:val="631"/>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物业管理是现今城市社会反映“住”的水平的一个重要的要素。居民是社会的单元，居民环境是大单元，也是小的社会。如何让一个大社会茁壮的成长，就需要小的社会吸纳营养，而好的物业管理就是单元间的无形纽带，小社会之间的无形字样，就是一个大的社会良性发展的前提保障。加快推进政府数字化改革，进一步推进物业专项维修资金管理和物业管理的信息化建设，实行对物业专项维修资金的全生命周期的监管,既能最大程度的发挥房屋的“养老金”的作用，又能促进物业行业健康运行。</w:t>
      </w:r>
    </w:p>
    <w:p>
      <w:pPr>
        <w:pStyle w:val="631"/>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随着我国住房体制改革的深入，物业专项维修资金制度越来越受到关注。按照国家、部等对物业管理的工作部署，2007年，浙江省人民政府颁布实施《浙江省物业专项维修资金管理办法》，对浙江省行政区域内的物业专项维修资金的交存、使用、管理和监督做出了相应的规定，进一步完善了物业维修资金制度。但在实际工作中，维修资金潜藏的隐患和问题也逐渐暴露出来，当前存在的主要问题是：各地维修资金归集存在缴纳标准不统一；巨额资金被挪用；审批步骤繁琐导致资金闲置；缴存权属不清、收益被侵占等一系列问题。</w:t>
      </w:r>
    </w:p>
    <w:p>
      <w:pPr>
        <w:pStyle w:val="631"/>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2022年10月28日，浙江省委召开全省数字化改革推进会，省委书记袁家军出席并讲话，强调要要持续深化数字化改革理念，牢牢把握以人民为中心的发展思想，回应群众企业“急难愁盼”，通过丰富拓展场景应用，实现好、维护好、发展好人民群众的根本利益。物业维修金作为群众最为关心的问题，其目前管理模式依然存在诸多问题，因此如何有效破解当前物业专项维修资金征缴归集难、使用门槛高、管理方式落后、审批程序复杂、信息不透明、保值增值机制缺失等群众反应强烈的堵点、难点、痛点成为当下解决要务。</w:t>
      </w:r>
    </w:p>
    <w:p>
      <w:pPr>
        <w:pStyle w:val="631"/>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照国家、部、省市关于物业维修资金管理的工作部署，杭州区县维修资金管理要持续发展，需要业务系统不断完善、细化，提升相应的行政办公效率，以满足管理要求。同时对维修资金使用、增值等老百姓日渐关注的焦点问题，提出针对性的方案解决。重视数据准确和资金安全，既要改变现有系统不足的被动局面，又要加强数据基础建设。通过开展物业维修金数据专项治理，完善物业维修金业务数据库，建立产权关联，解决分户结息、分摊到户等问题，为物业维修资金使用、业主信息查询、物业信息公开及物业管理水平的提升提供坚实的数据支撑。</w:t>
      </w:r>
    </w:p>
    <w:p>
      <w:pPr>
        <w:pStyle w:val="631"/>
        <w:ind w:firstLine="48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2、项目依据</w:t>
      </w:r>
    </w:p>
    <w:p>
      <w:pPr>
        <w:pStyle w:val="631"/>
        <w:ind w:firstLine="480"/>
        <w:rPr>
          <w:rFonts w:hint="eastAsia" w:ascii="仿宋" w:hAnsi="仿宋" w:eastAsia="仿宋" w:cs="仿宋"/>
          <w:b/>
          <w:bCs/>
          <w:color w:val="auto"/>
          <w:sz w:val="24"/>
          <w:szCs w:val="24"/>
          <w:highlight w:val="none"/>
          <w:lang w:val="en-US" w:eastAsia="zh-CN"/>
        </w:rPr>
      </w:pPr>
      <w:bookmarkStart w:id="65" w:name="_Toc14894"/>
      <w:r>
        <w:rPr>
          <w:rFonts w:hint="eastAsia" w:ascii="仿宋" w:hAnsi="仿宋" w:eastAsia="仿宋" w:cs="仿宋"/>
          <w:b/>
          <w:bCs/>
          <w:color w:val="auto"/>
          <w:sz w:val="24"/>
          <w:szCs w:val="24"/>
          <w:highlight w:val="none"/>
          <w:lang w:val="en-US" w:eastAsia="zh-CN"/>
        </w:rPr>
        <w:t>（1）管理性标准规范</w:t>
      </w:r>
      <w:bookmarkEnd w:id="65"/>
    </w:p>
    <w:p>
      <w:pPr>
        <w:pStyle w:val="632"/>
        <w:ind w:left="420" w:left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《中华人民共和国保守国家秘密法》；</w:t>
      </w:r>
    </w:p>
    <w:p>
      <w:pPr>
        <w:pStyle w:val="632"/>
        <w:ind w:left="420" w:left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《中华人民共和国保守国家秘密法实施办法》；</w:t>
      </w:r>
    </w:p>
    <w:p>
      <w:pPr>
        <w:pStyle w:val="632"/>
        <w:ind w:left="420" w:left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《关于严禁用涉密计算机上国际互联网的通知》(中保委[2003]4号)；</w:t>
      </w:r>
    </w:p>
    <w:p>
      <w:pPr>
        <w:pStyle w:val="632"/>
        <w:ind w:left="420" w:left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《计算机病毒防治管理办法》(中华人民共和国公安部令第51号)；</w:t>
      </w:r>
    </w:p>
    <w:p>
      <w:pPr>
        <w:pStyle w:val="632"/>
        <w:ind w:left="420" w:left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《计算机信息系统保密管理暂行规定》(国保发[1998]1号)。</w:t>
      </w:r>
    </w:p>
    <w:p>
      <w:pPr>
        <w:pStyle w:val="631"/>
        <w:ind w:firstLine="480"/>
        <w:rPr>
          <w:rFonts w:hint="eastAsia" w:ascii="仿宋" w:hAnsi="仿宋" w:eastAsia="仿宋" w:cs="仿宋"/>
          <w:b/>
          <w:bCs/>
          <w:color w:val="auto"/>
          <w:sz w:val="24"/>
          <w:szCs w:val="24"/>
          <w:highlight w:val="none"/>
          <w:lang w:val="en-US" w:eastAsia="zh-CN"/>
        </w:rPr>
      </w:pPr>
      <w:bookmarkStart w:id="66" w:name="_Toc14909"/>
      <w:r>
        <w:rPr>
          <w:rFonts w:hint="eastAsia" w:ascii="仿宋" w:hAnsi="仿宋" w:eastAsia="仿宋" w:cs="仿宋"/>
          <w:b/>
          <w:bCs/>
          <w:color w:val="auto"/>
          <w:sz w:val="24"/>
          <w:szCs w:val="24"/>
          <w:highlight w:val="none"/>
          <w:lang w:val="en-US" w:eastAsia="zh-CN"/>
        </w:rPr>
        <w:t>（2）业务性、技术性标准规范</w:t>
      </w:r>
      <w:bookmarkEnd w:id="66"/>
    </w:p>
    <w:p>
      <w:pPr>
        <w:pStyle w:val="632"/>
        <w:numPr>
          <w:ilvl w:val="8"/>
          <w:numId w:val="9"/>
        </w:num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《中华人民共和国档案法》；</w:t>
      </w:r>
    </w:p>
    <w:p>
      <w:pPr>
        <w:pStyle w:val="632"/>
        <w:numPr>
          <w:ilvl w:val="8"/>
          <w:numId w:val="9"/>
        </w:num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《文书档案案卷格式》(GB9705—88)；</w:t>
      </w:r>
    </w:p>
    <w:p>
      <w:pPr>
        <w:pStyle w:val="632"/>
        <w:numPr>
          <w:ilvl w:val="8"/>
          <w:numId w:val="9"/>
        </w:num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《电子文件归档与管理规范》(GB／T 18894—2002)；</w:t>
      </w:r>
    </w:p>
    <w:p>
      <w:pPr>
        <w:pStyle w:val="632"/>
        <w:numPr>
          <w:ilvl w:val="8"/>
          <w:numId w:val="9"/>
        </w:num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《档案接收文据格式》(GB／T1 3968—92)；</w:t>
      </w:r>
    </w:p>
    <w:p>
      <w:pPr>
        <w:pStyle w:val="632"/>
        <w:numPr>
          <w:ilvl w:val="8"/>
          <w:numId w:val="9"/>
        </w:num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《中央档案馆档案接收标准》；</w:t>
      </w:r>
    </w:p>
    <w:p>
      <w:pPr>
        <w:pStyle w:val="632"/>
        <w:numPr>
          <w:ilvl w:val="8"/>
          <w:numId w:val="9"/>
        </w:num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《国家行政机关公文格式》(CB／T 9704—1999)；</w:t>
      </w:r>
    </w:p>
    <w:p>
      <w:pPr>
        <w:pStyle w:val="632"/>
        <w:numPr>
          <w:ilvl w:val="8"/>
          <w:numId w:val="9"/>
        </w:num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《纸质档案数字化技术规范》(DA／T 31—2005)；</w:t>
      </w:r>
    </w:p>
    <w:p>
      <w:pPr>
        <w:pStyle w:val="632"/>
        <w:numPr>
          <w:ilvl w:val="8"/>
          <w:numId w:val="9"/>
        </w:num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《照片档案管理规范》(CB／T 11821—2002)；</w:t>
      </w:r>
    </w:p>
    <w:p>
      <w:pPr>
        <w:pStyle w:val="632"/>
        <w:numPr>
          <w:ilvl w:val="8"/>
          <w:numId w:val="9"/>
        </w:num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《中国档案机读目录格式》(CB／T 2016 3-2006)；</w:t>
      </w:r>
    </w:p>
    <w:p>
      <w:pPr>
        <w:pStyle w:val="632"/>
        <w:numPr>
          <w:ilvl w:val="8"/>
          <w:numId w:val="0"/>
        </w:numPr>
        <w:ind w:left="482" w:lef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《档案著录规则》(DA／T 18—1999)；</w:t>
      </w:r>
    </w:p>
    <w:p>
      <w:pPr>
        <w:pStyle w:val="632"/>
        <w:numPr>
          <w:ilvl w:val="8"/>
          <w:numId w:val="0"/>
        </w:numPr>
        <w:ind w:left="482" w:lef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《电子文件管理系统通用功能要求》（BT 29194-2012）；</w:t>
      </w:r>
    </w:p>
    <w:p>
      <w:pPr>
        <w:pStyle w:val="632"/>
        <w:numPr>
          <w:ilvl w:val="8"/>
          <w:numId w:val="0"/>
        </w:numPr>
        <w:ind w:left="482" w:lef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《中共浙江省委办公厅浙江省人民政府办公厅关于切实加强电子文件管理的实施意见（暂行）》浙委办[2011]26号；</w:t>
      </w:r>
    </w:p>
    <w:p>
      <w:pPr>
        <w:pStyle w:val="632"/>
        <w:numPr>
          <w:ilvl w:val="8"/>
          <w:numId w:val="0"/>
        </w:numPr>
        <w:ind w:left="482" w:lef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《电子档案移交与接收办法》，档发[2012]7号；</w:t>
      </w:r>
    </w:p>
    <w:p>
      <w:pPr>
        <w:pStyle w:val="632"/>
        <w:numPr>
          <w:ilvl w:val="8"/>
          <w:numId w:val="0"/>
        </w:numPr>
        <w:ind w:left="482" w:lef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《浙江省档案登记备份管理办法》，浙江省人民政府令第306号，2012年；</w:t>
      </w:r>
    </w:p>
    <w:p>
      <w:pPr>
        <w:pStyle w:val="632"/>
        <w:numPr>
          <w:ilvl w:val="8"/>
          <w:numId w:val="0"/>
        </w:numPr>
        <w:ind w:left="482" w:lef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《浙江省档案登记备份工作规范》，浙档发〔2013〕23号；</w:t>
      </w:r>
    </w:p>
    <w:p>
      <w:pPr>
        <w:pStyle w:val="632"/>
        <w:numPr>
          <w:ilvl w:val="8"/>
          <w:numId w:val="0"/>
        </w:numPr>
        <w:ind w:left="482" w:lef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《数字档案室建设指南》，国家档案局，2014年；</w:t>
      </w:r>
    </w:p>
    <w:p>
      <w:pPr>
        <w:pStyle w:val="632"/>
        <w:numPr>
          <w:ilvl w:val="8"/>
          <w:numId w:val="0"/>
        </w:numPr>
        <w:ind w:left="482" w:lef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rPr>
        <w:t>《档案数字化外包安全管理规范》国家档案局 2014年；</w:t>
      </w:r>
    </w:p>
    <w:p>
      <w:pPr>
        <w:pStyle w:val="632"/>
        <w:numPr>
          <w:ilvl w:val="8"/>
          <w:numId w:val="0"/>
        </w:numPr>
        <w:ind w:left="482" w:lef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rPr>
        <w:t>《信息处理按记录组处理顺序文卷的程序流程》（GB／T 15697—1995）；</w:t>
      </w:r>
    </w:p>
    <w:p>
      <w:pPr>
        <w:pStyle w:val="632"/>
        <w:numPr>
          <w:ilvl w:val="8"/>
          <w:numId w:val="0"/>
        </w:numPr>
        <w:ind w:left="482" w:lef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《住宅专项维修资金管理办法》；</w:t>
      </w:r>
    </w:p>
    <w:p>
      <w:pPr>
        <w:pStyle w:val="632"/>
        <w:numPr>
          <w:ilvl w:val="8"/>
          <w:numId w:val="0"/>
        </w:numPr>
        <w:ind w:left="482" w:lef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《浙江省物业专项维修资金管理办法》；</w:t>
      </w:r>
    </w:p>
    <w:p>
      <w:pPr>
        <w:pStyle w:val="632"/>
        <w:numPr>
          <w:ilvl w:val="8"/>
          <w:numId w:val="0"/>
        </w:numPr>
        <w:ind w:left="482" w:lef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《杭州市物业管理条例》。</w:t>
      </w:r>
    </w:p>
    <w:p>
      <w:pPr>
        <w:pStyle w:val="631"/>
        <w:ind w:firstLine="48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三、项目目标</w:t>
      </w:r>
    </w:p>
    <w:p>
      <w:pPr>
        <w:pStyle w:val="631"/>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照《住宅专项维修资金管理办法》、《浙江省物业专项维修资金管理办法》、《杭州市物业管理条例》等政策法规的要求，充分运用大数据等信息技术，以统一数据目录体系、分级管理、共享关联为导向，建立面向物业专项维修资金业务管理、监管决策和社会服务的数据资源体系，实现物业维修资金业务数据管理的精细化、智能化，为完善优化物业管理提供坚实的数据基础支撑。</w:t>
      </w:r>
    </w:p>
    <w:p>
      <w:pPr>
        <w:pStyle w:val="631"/>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临安区</w:t>
      </w:r>
      <w:r>
        <w:rPr>
          <w:rFonts w:hint="eastAsia" w:ascii="仿宋" w:hAnsi="仿宋" w:eastAsia="仿宋" w:cs="仿宋"/>
          <w:color w:val="auto"/>
          <w:sz w:val="24"/>
          <w:szCs w:val="24"/>
          <w:highlight w:val="none"/>
        </w:rPr>
        <w:t>物业</w:t>
      </w:r>
      <w:r>
        <w:rPr>
          <w:rFonts w:hint="eastAsia" w:ascii="仿宋" w:hAnsi="仿宋" w:eastAsia="仿宋" w:cs="仿宋"/>
          <w:color w:val="auto"/>
          <w:sz w:val="24"/>
          <w:szCs w:val="24"/>
          <w:highlight w:val="none"/>
          <w:lang w:val="en-US" w:eastAsia="zh-CN"/>
        </w:rPr>
        <w:t>专项</w:t>
      </w:r>
      <w:r>
        <w:rPr>
          <w:rFonts w:hint="eastAsia" w:ascii="仿宋" w:hAnsi="仿宋" w:eastAsia="仿宋" w:cs="仿宋"/>
          <w:color w:val="auto"/>
          <w:sz w:val="24"/>
          <w:szCs w:val="24"/>
          <w:highlight w:val="none"/>
        </w:rPr>
        <w:t>维修资金数据</w:t>
      </w:r>
      <w:r>
        <w:rPr>
          <w:rFonts w:hint="eastAsia" w:ascii="仿宋" w:hAnsi="仿宋" w:eastAsia="仿宋" w:cs="仿宋"/>
          <w:color w:val="auto"/>
          <w:sz w:val="24"/>
          <w:szCs w:val="24"/>
          <w:highlight w:val="none"/>
          <w:lang w:val="en-US" w:eastAsia="zh-CN"/>
        </w:rPr>
        <w:t>整理建库</w:t>
      </w:r>
      <w:r>
        <w:rPr>
          <w:rFonts w:hint="eastAsia" w:ascii="仿宋" w:hAnsi="仿宋" w:eastAsia="仿宋" w:cs="仿宋"/>
          <w:color w:val="auto"/>
          <w:sz w:val="24"/>
          <w:szCs w:val="24"/>
          <w:highlight w:val="none"/>
        </w:rPr>
        <w:t>及</w:t>
      </w:r>
      <w:r>
        <w:rPr>
          <w:rFonts w:hint="eastAsia" w:ascii="仿宋" w:hAnsi="仿宋" w:eastAsia="仿宋" w:cs="仿宋"/>
          <w:color w:val="auto"/>
          <w:sz w:val="24"/>
          <w:szCs w:val="24"/>
          <w:highlight w:val="none"/>
          <w:lang w:val="en-US" w:eastAsia="zh-CN"/>
        </w:rPr>
        <w:t>数据</w:t>
      </w:r>
      <w:r>
        <w:rPr>
          <w:rFonts w:hint="eastAsia" w:ascii="仿宋" w:hAnsi="仿宋" w:eastAsia="仿宋" w:cs="仿宋"/>
          <w:color w:val="auto"/>
          <w:sz w:val="24"/>
          <w:szCs w:val="24"/>
          <w:highlight w:val="none"/>
        </w:rPr>
        <w:t>迁移项目的建设目标是：通过影像数据建库实现纸质材料的数字化建库，以及完成物业专项维修资金数据的核查，以提高业务系统数据的利用效率，最终形成完整、准确的物业业务数据和电子影像数据，从而能全面、及时反映区县物业维修资金数据的现状，满足物业专项维修资金信息公开查询服务，以提高数据的利用率和政府的公信力。整个项目建设实现以下目标：</w:t>
      </w:r>
    </w:p>
    <w:p>
      <w:pPr>
        <w:pStyle w:val="631"/>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1、物业纸质档案整理及扫描数字化建库：根据《纸质档案数字化技术规范》和《照片档案管理规范》完成纸质资料的标准化及纸质档案的数字化工作。</w:t>
      </w:r>
    </w:p>
    <w:p>
      <w:pPr>
        <w:pStyle w:val="631"/>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2、物业系统缺失业务数据的录入：依据业务档案扫描影像，根据业务数据系统要求制定业务数据录入规则完成维修金的录入工作。</w:t>
      </w:r>
    </w:p>
    <w:p>
      <w:pPr>
        <w:pStyle w:val="631"/>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3、物业维修金业务系统数据的整理：依据业务档案扫描影像，根据业务数据系统要求制定业务数据录入规则完成维修资金系统数据的整理工作。</w:t>
      </w:r>
    </w:p>
    <w:p>
      <w:pPr>
        <w:pStyle w:val="631"/>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4、业务数据与扫描影像建立关联关系：依据业务档案扫描影像完成业务系统数据与业务档案扫描影像的关联工作。</w:t>
      </w:r>
    </w:p>
    <w:p>
      <w:pPr>
        <w:pStyle w:val="631"/>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5、业务数据与产权数据关联关系的核查和创建：</w:t>
      </w:r>
      <w:r>
        <w:rPr>
          <w:rFonts w:hint="eastAsia" w:ascii="仿宋" w:hAnsi="仿宋" w:eastAsia="仿宋" w:cs="仿宋"/>
          <w:color w:val="auto"/>
          <w:sz w:val="24"/>
          <w:szCs w:val="24"/>
          <w:highlight w:val="none"/>
          <w:lang w:val="en-US" w:eastAsia="zh-CN"/>
        </w:rPr>
        <w:t>根据</w:t>
      </w:r>
      <w:r>
        <w:rPr>
          <w:rFonts w:hint="eastAsia" w:ascii="仿宋" w:hAnsi="仿宋" w:eastAsia="仿宋" w:cs="仿宋"/>
          <w:color w:val="auto"/>
          <w:sz w:val="24"/>
          <w:szCs w:val="24"/>
          <w:highlight w:val="none"/>
        </w:rPr>
        <w:t>业务扫描影像和产权登记及扫描影像数据完成物业业务数据与产权业务数据的关联工作。</w:t>
      </w:r>
    </w:p>
    <w:p>
      <w:pPr>
        <w:pStyle w:val="631"/>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6、未分摊到户的物业维修资金的建账到户工作：通过扫描后的电子档案，结合业务系统数据完成未分摊到户对应物业维修资金的建账到户工作。</w:t>
      </w:r>
    </w:p>
    <w:p>
      <w:pPr>
        <w:pStyle w:val="631"/>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7、历年缴交数据结息：对历史所有缴交项目缺失的结息数据，按户进行结息，按照每年结息一次，确保数据的完善。</w:t>
      </w:r>
    </w:p>
    <w:p>
      <w:pPr>
        <w:pStyle w:val="631"/>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8、物业小区整理：小区数据、缴交项目数据、缴交楼幢及房屋数据一体化管理。</w:t>
      </w:r>
    </w:p>
    <w:p>
      <w:pPr>
        <w:pStyle w:val="631"/>
        <w:ind w:firstLine="48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四、项目服务内容清单</w:t>
      </w:r>
    </w:p>
    <w:tbl>
      <w:tblPr>
        <w:tblStyle w:val="60"/>
        <w:tblW w:w="905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4"/>
        <w:gridCol w:w="2179"/>
        <w:gridCol w:w="1315"/>
        <w:gridCol w:w="1069"/>
        <w:gridCol w:w="34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2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建设内容</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数量</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单位</w:t>
            </w:r>
          </w:p>
        </w:tc>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档案数字化</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1870 </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3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平均每卷40页计算。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2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业务数据录入</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1870 </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条</w:t>
            </w:r>
          </w:p>
        </w:tc>
        <w:tc>
          <w:tcPr>
            <w:tcW w:w="3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维修金缴交、使用的项目数据录入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2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业务数据整理</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130000 </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条</w:t>
            </w:r>
          </w:p>
        </w:tc>
        <w:tc>
          <w:tcPr>
            <w:tcW w:w="3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维修金缴交数据整理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影像关系建立</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1870 </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3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所有影像与业务数据建立关联关系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产权关系建立</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130000 </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条</w:t>
            </w:r>
          </w:p>
        </w:tc>
        <w:tc>
          <w:tcPr>
            <w:tcW w:w="34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2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物业小区数据整理</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450 </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c>
          <w:tcPr>
            <w:tcW w:w="3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所有项目、幢、单元、房屋进行归小区整理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资金建账到户</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130000 </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条</w:t>
            </w:r>
          </w:p>
        </w:tc>
        <w:tc>
          <w:tcPr>
            <w:tcW w:w="34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缴交数据结息</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130000 </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条</w:t>
            </w:r>
          </w:p>
        </w:tc>
        <w:tc>
          <w:tcPr>
            <w:tcW w:w="3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所有缴交数据分摊到户，根据缴交年度进行每年结息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数据成果入库</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c>
          <w:tcPr>
            <w:tcW w:w="3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包含数据迁移，整理成果入库导入正式库工作</w:t>
            </w:r>
          </w:p>
        </w:tc>
      </w:tr>
    </w:tbl>
    <w:p>
      <w:pPr>
        <w:pStyle w:val="631"/>
        <w:ind w:firstLine="480"/>
        <w:rPr>
          <w:rFonts w:hint="eastAsia" w:ascii="仿宋" w:hAnsi="仿宋" w:eastAsia="仿宋" w:cs="仿宋"/>
          <w:b/>
          <w:bCs/>
          <w:color w:val="auto"/>
          <w:sz w:val="24"/>
          <w:szCs w:val="24"/>
          <w:highlight w:val="none"/>
          <w:lang w:val="en-US" w:eastAsia="zh-CN"/>
        </w:rPr>
      </w:pPr>
    </w:p>
    <w:p>
      <w:pPr>
        <w:pStyle w:val="631"/>
        <w:ind w:firstLine="48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五、建设内容</w:t>
      </w:r>
    </w:p>
    <w:p>
      <w:pPr>
        <w:pStyle w:val="631"/>
        <w:spacing w:line="44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期项目主要是围绕物业系统数据的整理工作开展的，主要涉及物业维修资金档案、物业保修金档案、物业维修资金使用档案和物业保修金使用、退还纸质档案的整理及扫描数字化建库，物业维修资金项目数据的录入，物业维修金数据的整理与扫描影像建立关联关系、业务数据与产权数据关联关系的核查和创建、维修资金数据建账到户、维修金</w:t>
      </w:r>
      <w:r>
        <w:rPr>
          <w:rFonts w:hint="eastAsia" w:ascii="仿宋" w:hAnsi="仿宋" w:eastAsia="仿宋" w:cs="仿宋"/>
          <w:color w:val="auto"/>
          <w:sz w:val="24"/>
          <w:szCs w:val="24"/>
          <w:highlight w:val="none"/>
          <w:lang w:bidi="ar"/>
        </w:rPr>
        <w:t>缴交数据结息</w:t>
      </w:r>
      <w:r>
        <w:rPr>
          <w:rFonts w:hint="eastAsia" w:ascii="仿宋" w:hAnsi="仿宋" w:eastAsia="仿宋" w:cs="仿宋"/>
          <w:color w:val="auto"/>
          <w:sz w:val="24"/>
          <w:szCs w:val="24"/>
          <w:highlight w:val="none"/>
        </w:rPr>
        <w:t>和小区数据整理，详细介绍如下：</w:t>
      </w:r>
    </w:p>
    <w:p>
      <w:pPr>
        <w:pStyle w:val="631"/>
        <w:spacing w:line="44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1、物业纸质档案整理及扫描数字化建库：根据《纸质档案数字化技术规范》和《照片档案管理规范》完成纸质资料的标准化及纸质档案的数字化工作。</w:t>
      </w:r>
    </w:p>
    <w:p>
      <w:pPr>
        <w:pStyle w:val="631"/>
        <w:spacing w:line="44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2、物业系统缺失业务数据的录入：依据业务档案扫描影像，根据业务数据系统要求制定业务数据录入规则完成维修金的录入工作。</w:t>
      </w:r>
    </w:p>
    <w:p>
      <w:pPr>
        <w:pStyle w:val="631"/>
        <w:spacing w:line="44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3、物业维修金缺失业务系统数据的整理：依据业务档案扫描影像，根据业务数据系统要求制定业务数据录入规则完成维修资金系统数据的整理工作。</w:t>
      </w:r>
    </w:p>
    <w:p>
      <w:pPr>
        <w:pStyle w:val="631"/>
        <w:spacing w:line="44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4、业务数据与扫描影像建立关联关系：依据业务档案扫描影像完成业务系统数据与业务档案扫描影像的关联工作。</w:t>
      </w:r>
    </w:p>
    <w:p>
      <w:pPr>
        <w:pStyle w:val="631"/>
        <w:spacing w:line="44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5、业务数据与产权</w:t>
      </w:r>
      <w:r>
        <w:rPr>
          <w:rFonts w:hint="eastAsia" w:ascii="仿宋" w:hAnsi="仿宋" w:eastAsia="仿宋" w:cs="仿宋"/>
          <w:color w:val="auto"/>
          <w:sz w:val="24"/>
          <w:szCs w:val="24"/>
          <w:highlight w:val="none"/>
          <w:lang w:val="en-US" w:eastAsia="zh-CN"/>
        </w:rPr>
        <w:t>测绘</w:t>
      </w:r>
      <w:r>
        <w:rPr>
          <w:rFonts w:hint="eastAsia" w:ascii="仿宋" w:hAnsi="仿宋" w:eastAsia="仿宋" w:cs="仿宋"/>
          <w:color w:val="auto"/>
          <w:sz w:val="24"/>
          <w:szCs w:val="24"/>
          <w:highlight w:val="none"/>
        </w:rPr>
        <w:t>数据关联关系的核查和创建：</w:t>
      </w:r>
      <w:r>
        <w:rPr>
          <w:rFonts w:hint="eastAsia" w:ascii="仿宋" w:hAnsi="仿宋" w:eastAsia="仿宋" w:cs="仿宋"/>
          <w:color w:val="auto"/>
          <w:sz w:val="24"/>
          <w:szCs w:val="24"/>
          <w:highlight w:val="none"/>
          <w:lang w:val="en-US" w:eastAsia="zh-CN"/>
        </w:rPr>
        <w:t>根据</w:t>
      </w:r>
      <w:r>
        <w:rPr>
          <w:rFonts w:hint="eastAsia" w:ascii="仿宋" w:hAnsi="仿宋" w:eastAsia="仿宋" w:cs="仿宋"/>
          <w:color w:val="auto"/>
          <w:sz w:val="24"/>
          <w:szCs w:val="24"/>
          <w:highlight w:val="none"/>
        </w:rPr>
        <w:t>业务扫描影像和产权登记及扫描影像数据完成物业业务数据与产权业务数据的关联工作。</w:t>
      </w:r>
    </w:p>
    <w:p>
      <w:pPr>
        <w:pStyle w:val="631"/>
        <w:spacing w:line="44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6、未分摊到户的物业维修资金的建账到户工作：通过扫描后的电子档案，结合业务系统数据完成未分摊到户对应物业维修资金的建账到户工作。</w:t>
      </w:r>
    </w:p>
    <w:p>
      <w:pPr>
        <w:pStyle w:val="631"/>
        <w:spacing w:line="44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7、历年缴交数据结息：对历史所有缴交项目缺失的结息数据，按户进行结息，按照每年结息一次，确保数据的完善。</w:t>
      </w:r>
    </w:p>
    <w:p>
      <w:pPr>
        <w:pStyle w:val="631"/>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8、物业小区整理：小区数据、缴交项目数据、缴交楼幢及房屋数据一体化管理。</w:t>
      </w:r>
    </w:p>
    <w:p>
      <w:pPr>
        <w:pStyle w:val="631"/>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9、数据迁移：区县业务系统多样化，数据结构不统一，后期要按照市局物业业务系统表结构，对数据进行整理、迁移，保障数据的准确性。</w:t>
      </w:r>
    </w:p>
    <w:p>
      <w:pPr>
        <w:pStyle w:val="631"/>
        <w:spacing w:line="360" w:lineRule="auto"/>
        <w:ind w:firstLine="48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六、档案数字化要求</w:t>
      </w:r>
    </w:p>
    <w:p>
      <w:pPr>
        <w:pStyle w:val="22"/>
        <w:keepNext w:val="0"/>
        <w:keepLines w:val="0"/>
        <w:pageBreakBefore w:val="0"/>
        <w:widowControl w:val="0"/>
        <w:kinsoku/>
        <w:wordWrap/>
        <w:overflowPunct/>
        <w:topLinePunct w:val="0"/>
        <w:bidi w:val="0"/>
        <w:snapToGrid w:val="0"/>
        <w:spacing w:after="0"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1.档案整理要求</w:t>
      </w:r>
    </w:p>
    <w:p>
      <w:pPr>
        <w:pStyle w:val="22"/>
        <w:keepNext w:val="0"/>
        <w:keepLines w:val="0"/>
        <w:pageBreakBefore w:val="0"/>
        <w:widowControl w:val="0"/>
        <w:kinsoku/>
        <w:wordWrap/>
        <w:overflowPunct/>
        <w:topLinePunct w:val="0"/>
        <w:bidi w:val="0"/>
        <w:snapToGri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（1）按</w:t>
      </w:r>
      <w:r>
        <w:rPr>
          <w:rFonts w:hint="eastAsia" w:ascii="仿宋" w:hAnsi="仿宋" w:eastAsia="仿宋" w:cs="仿宋"/>
          <w:color w:val="auto"/>
          <w:sz w:val="24"/>
          <w:szCs w:val="24"/>
          <w:highlight w:val="none"/>
          <w:lang w:val="en-US" w:eastAsia="zh-CN"/>
        </w:rPr>
        <w:t>物业</w:t>
      </w:r>
      <w:r>
        <w:rPr>
          <w:rFonts w:hint="eastAsia" w:ascii="仿宋" w:hAnsi="仿宋" w:eastAsia="仿宋" w:cs="仿宋"/>
          <w:color w:val="auto"/>
          <w:sz w:val="24"/>
          <w:szCs w:val="24"/>
          <w:highlight w:val="none"/>
        </w:rPr>
        <w:t>业务组卷，一般原则“一个业务一卷”。</w:t>
      </w:r>
    </w:p>
    <w:p>
      <w:pPr>
        <w:pStyle w:val="22"/>
        <w:keepNext w:val="0"/>
        <w:keepLines w:val="0"/>
        <w:pageBreakBefore w:val="0"/>
        <w:widowControl w:val="0"/>
        <w:kinsoku/>
        <w:wordWrap/>
        <w:overflowPunct/>
        <w:topLinePunct w:val="0"/>
        <w:bidi w:val="0"/>
        <w:snapToGri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破损的文件修复后才能组卷，幅面不一致的文件必须折成或裱成一致的幅面。小于16开的文件用A4标准的白纸托裱，文件右边和下边分别与托裱纸右边和下边靠齐。托裱时，不可将文字图表和数据掩盖，签署意见在装订线以内的要粘贴补宽订装部分。</w:t>
      </w:r>
    </w:p>
    <w:p>
      <w:pPr>
        <w:pStyle w:val="22"/>
        <w:keepNext w:val="0"/>
        <w:keepLines w:val="0"/>
        <w:pageBreakBefore w:val="0"/>
        <w:widowControl w:val="0"/>
        <w:kinsoku/>
        <w:wordWrap/>
        <w:overflowPunct/>
        <w:topLinePunct w:val="0"/>
        <w:bidi w:val="0"/>
        <w:snapToGri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（3）去除金属物，剔除重复资料。</w:t>
      </w:r>
    </w:p>
    <w:p>
      <w:pPr>
        <w:pStyle w:val="22"/>
        <w:keepNext w:val="0"/>
        <w:keepLines w:val="0"/>
        <w:pageBreakBefore w:val="0"/>
        <w:widowControl w:val="0"/>
        <w:kinsoku/>
        <w:wordWrap/>
        <w:overflowPunct/>
        <w:topLinePunct w:val="0"/>
        <w:bidi w:val="0"/>
        <w:snapToGri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（4）每卷都必须有各自的封面、目录、封底和条形码（目录及备考表须采用A4打印纸打印）。</w:t>
      </w:r>
    </w:p>
    <w:p>
      <w:pPr>
        <w:pStyle w:val="22"/>
        <w:keepNext w:val="0"/>
        <w:keepLines w:val="0"/>
        <w:pageBreakBefore w:val="0"/>
        <w:widowControl w:val="0"/>
        <w:kinsoku/>
        <w:wordWrap/>
        <w:overflowPunct/>
        <w:topLinePunct w:val="0"/>
        <w:bidi w:val="0"/>
        <w:snapToGri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（5）每卷内容排列顺序为：封面——卷内目录——文件材料——封底——条形码。</w:t>
      </w:r>
    </w:p>
    <w:p>
      <w:pPr>
        <w:pStyle w:val="22"/>
        <w:keepNext w:val="0"/>
        <w:keepLines w:val="0"/>
        <w:pageBreakBefore w:val="0"/>
        <w:widowControl w:val="0"/>
        <w:kinsoku/>
        <w:wordWrap/>
        <w:overflowPunct/>
        <w:topLinePunct w:val="0"/>
        <w:bidi w:val="0"/>
        <w:snapToGri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（6）一律用线装订，采用三孔一线方法，装订孔在案卷左侧。</w:t>
      </w:r>
    </w:p>
    <w:p>
      <w:pPr>
        <w:pStyle w:val="22"/>
        <w:keepNext w:val="0"/>
        <w:keepLines w:val="0"/>
        <w:pageBreakBefore w:val="0"/>
        <w:widowControl w:val="0"/>
        <w:kinsoku/>
        <w:wordWrap/>
        <w:overflowPunct/>
        <w:topLinePunct w:val="0"/>
        <w:bidi w:val="0"/>
        <w:snapToGri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（7）装订好的档案最后统一通过标准盒子按照数量不等的方式存放在一起。</w:t>
      </w:r>
    </w:p>
    <w:p>
      <w:pPr>
        <w:pStyle w:val="22"/>
        <w:keepNext w:val="0"/>
        <w:keepLines w:val="0"/>
        <w:pageBreakBefore w:val="0"/>
        <w:widowControl w:val="0"/>
        <w:kinsoku/>
        <w:wordWrap/>
        <w:overflowPunct/>
        <w:topLinePunct w:val="0"/>
        <w:bidi w:val="0"/>
        <w:snapToGrid w:val="0"/>
        <w:spacing w:after="0"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2.档案数字化要求</w:t>
      </w:r>
    </w:p>
    <w:p>
      <w:pPr>
        <w:pStyle w:val="22"/>
        <w:keepNext w:val="0"/>
        <w:keepLines w:val="0"/>
        <w:pageBreakBefore w:val="0"/>
        <w:widowControl w:val="0"/>
        <w:kinsoku/>
        <w:wordWrap/>
        <w:overflowPunct/>
        <w:topLinePunct w:val="0"/>
        <w:bidi w:val="0"/>
        <w:snapToGri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（1）扫描色彩模式</w:t>
      </w:r>
    </w:p>
    <w:p>
      <w:pPr>
        <w:pStyle w:val="22"/>
        <w:keepNext w:val="0"/>
        <w:keepLines w:val="0"/>
        <w:pageBreakBefore w:val="0"/>
        <w:widowControl w:val="0"/>
        <w:kinsoku/>
        <w:wordWrap/>
        <w:overflowPunct/>
        <w:topLinePunct w:val="0"/>
        <w:bidi w:val="0"/>
        <w:snapToGri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图像文件采用黑白扫描。</w:t>
      </w:r>
    </w:p>
    <w:p>
      <w:pPr>
        <w:pStyle w:val="22"/>
        <w:keepNext w:val="0"/>
        <w:keepLines w:val="0"/>
        <w:pageBreakBefore w:val="0"/>
        <w:widowControl w:val="0"/>
        <w:kinsoku/>
        <w:wordWrap/>
        <w:overflowPunct/>
        <w:topLinePunct w:val="0"/>
        <w:bidi w:val="0"/>
        <w:snapToGri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（2）扫描分辨率</w:t>
      </w:r>
    </w:p>
    <w:p>
      <w:pPr>
        <w:pStyle w:val="22"/>
        <w:keepNext w:val="0"/>
        <w:keepLines w:val="0"/>
        <w:pageBreakBefore w:val="0"/>
        <w:widowControl w:val="0"/>
        <w:kinsoku/>
        <w:wordWrap/>
        <w:overflowPunct/>
        <w:topLinePunct w:val="0"/>
        <w:bidi w:val="0"/>
        <w:snapToGri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扫描分辨率要求200dpi，影像保存格式为tif格式。特殊情况下，如文字偏小、密集、清晰度较差等，可适当提高分辨率。</w:t>
      </w:r>
    </w:p>
    <w:p>
      <w:pPr>
        <w:pStyle w:val="22"/>
        <w:keepNext w:val="0"/>
        <w:keepLines w:val="0"/>
        <w:pageBreakBefore w:val="0"/>
        <w:widowControl w:val="0"/>
        <w:kinsoku/>
        <w:wordWrap/>
        <w:overflowPunct/>
        <w:topLinePunct w:val="0"/>
        <w:bidi w:val="0"/>
        <w:snapToGri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（3）特殊档案扫描</w:t>
      </w:r>
    </w:p>
    <w:p>
      <w:pPr>
        <w:pStyle w:val="22"/>
        <w:keepNext w:val="0"/>
        <w:keepLines w:val="0"/>
        <w:pageBreakBefore w:val="0"/>
        <w:widowControl w:val="0"/>
        <w:kinsoku/>
        <w:wordWrap/>
        <w:overflowPunct/>
        <w:topLinePunct w:val="0"/>
        <w:bidi w:val="0"/>
        <w:snapToGri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纸张质地状况较差的档案，如较薄纸张（如信纸、便笺纸）、破损修复后纸张、底灰较深（如草浆纸、油印纸）、字迹较浅（如铅笔字迹）等的扫描，采用平板扫描仪逐张进行扫描，扫描时必须轻拿轻放，确保不损伤档案原件。</w:t>
      </w:r>
    </w:p>
    <w:p>
      <w:pPr>
        <w:pStyle w:val="22"/>
        <w:keepNext w:val="0"/>
        <w:keepLines w:val="0"/>
        <w:pageBreakBefore w:val="0"/>
        <w:widowControl w:val="0"/>
        <w:kinsoku/>
        <w:wordWrap/>
        <w:overflowPunct/>
        <w:topLinePunct w:val="0"/>
        <w:bidi w:val="0"/>
        <w:snapToGri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（4）建立电子卷内目录。</w:t>
      </w:r>
    </w:p>
    <w:p>
      <w:pPr>
        <w:pStyle w:val="22"/>
        <w:keepNext w:val="0"/>
        <w:keepLines w:val="0"/>
        <w:pageBreakBefore w:val="0"/>
        <w:widowControl w:val="0"/>
        <w:kinsoku/>
        <w:wordWrap/>
        <w:overflowPunct/>
        <w:topLinePunct w:val="0"/>
        <w:bidi w:val="0"/>
        <w:snapToGri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（5）打印调档清单、档案封面、卷内目录、条形码等文件。</w:t>
      </w:r>
    </w:p>
    <w:p>
      <w:pPr>
        <w:pStyle w:val="22"/>
        <w:keepNext w:val="0"/>
        <w:keepLines w:val="0"/>
        <w:pageBreakBefore w:val="0"/>
        <w:widowControl w:val="0"/>
        <w:kinsoku/>
        <w:wordWrap/>
        <w:overflowPunct/>
        <w:topLinePunct w:val="0"/>
        <w:bidi w:val="0"/>
        <w:snapToGri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（6）图象文件采用TIFF的CCITTGroup4（简称G4）格式或者甲方书面认可的其他高于G4的工业标准格式。</w:t>
      </w:r>
    </w:p>
    <w:p>
      <w:pPr>
        <w:pStyle w:val="22"/>
        <w:keepNext w:val="0"/>
        <w:keepLines w:val="0"/>
        <w:pageBreakBefore w:val="0"/>
        <w:widowControl w:val="0"/>
        <w:kinsoku/>
        <w:wordWrap/>
        <w:overflowPunct/>
        <w:topLinePunct w:val="0"/>
        <w:bidi w:val="0"/>
        <w:snapToGri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（7）图象纠偏</w:t>
      </w:r>
    </w:p>
    <w:p>
      <w:pPr>
        <w:pStyle w:val="22"/>
        <w:keepNext w:val="0"/>
        <w:keepLines w:val="0"/>
        <w:pageBreakBefore w:val="0"/>
        <w:widowControl w:val="0"/>
        <w:kinsoku/>
        <w:wordWrap/>
        <w:overflowPunct/>
        <w:topLinePunct w:val="0"/>
        <w:bidi w:val="0"/>
        <w:snapToGri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图象纠偏包括纸张纠偏和内容纠偏两部分内容，采用全自动纠偏；对于页面模糊，不易全自动纠偏的，可采用半自动纠偏，该操作需在同一界面内完成。未纠偏比率小于1‰。</w:t>
      </w:r>
    </w:p>
    <w:p>
      <w:pPr>
        <w:pStyle w:val="22"/>
        <w:keepNext w:val="0"/>
        <w:keepLines w:val="0"/>
        <w:pageBreakBefore w:val="0"/>
        <w:widowControl w:val="0"/>
        <w:kinsoku/>
        <w:wordWrap/>
        <w:overflowPunct/>
        <w:topLinePunct w:val="0"/>
        <w:bidi w:val="0"/>
        <w:snapToGri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（8）权限设置：电子影像文件的权限设置到页。</w:t>
      </w:r>
    </w:p>
    <w:p>
      <w:pPr>
        <w:pStyle w:val="22"/>
        <w:keepNext w:val="0"/>
        <w:keepLines w:val="0"/>
        <w:pageBreakBefore w:val="0"/>
        <w:widowControl w:val="0"/>
        <w:kinsoku/>
        <w:wordWrap/>
        <w:overflowPunct/>
        <w:topLinePunct w:val="0"/>
        <w:bidi w:val="0"/>
        <w:snapToGri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（9）将扫描形成的电子影像文件与住保电子属性数据建立关联，关联的匹配率大于99%。</w:t>
      </w:r>
    </w:p>
    <w:p>
      <w:pPr>
        <w:pStyle w:val="22"/>
        <w:keepNext w:val="0"/>
        <w:keepLines w:val="0"/>
        <w:pageBreakBefore w:val="0"/>
        <w:widowControl w:val="0"/>
        <w:kinsoku/>
        <w:wordWrap/>
        <w:overflowPunct/>
        <w:topLinePunct w:val="0"/>
        <w:bidi w:val="0"/>
        <w:snapToGri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（10）所有宽度不超过A3的档案资料必须整页扫描；宽度超过A3的档案资料可以分页扫描，但最后的电子影像文件必须整合成一页。</w:t>
      </w:r>
    </w:p>
    <w:p>
      <w:pPr>
        <w:pStyle w:val="22"/>
        <w:keepNext w:val="0"/>
        <w:keepLines w:val="0"/>
        <w:pageBreakBefore w:val="0"/>
        <w:widowControl w:val="0"/>
        <w:kinsoku/>
        <w:wordWrap/>
        <w:overflowPunct/>
        <w:topLinePunct w:val="0"/>
        <w:bidi w:val="0"/>
        <w:snapToGri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扫描文件要求：确保文件上的字迹满足屏幕阅读和打印件阅读。图像页面中的黑框、黑边等影响图像质量的杂质，进行去污处理。图像进行裁边处理，去除多余白边，以有效缩小图像文件的大小。单页图像文件大小控制在40K以下。</w:t>
      </w:r>
    </w:p>
    <w:p>
      <w:pPr>
        <w:pStyle w:val="31"/>
        <w:keepNext w:val="0"/>
        <w:keepLines w:val="0"/>
        <w:pageBreakBefore w:val="0"/>
        <w:widowControl w:val="0"/>
        <w:kinsoku/>
        <w:wordWrap/>
        <w:overflowPunct/>
        <w:topLinePunct w:val="0"/>
        <w:bidi w:val="0"/>
        <w:snapToGrid w:val="0"/>
        <w:spacing w:after="0"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3.档案整理和扫描数字化内容</w:t>
      </w:r>
    </w:p>
    <w:p>
      <w:pPr>
        <w:pStyle w:val="22"/>
        <w:keepNext w:val="0"/>
        <w:keepLines w:val="0"/>
        <w:pageBreakBefore w:val="0"/>
        <w:widowControl w:val="0"/>
        <w:kinsoku/>
        <w:wordWrap/>
        <w:overflowPunct/>
        <w:topLinePunct w:val="0"/>
        <w:bidi w:val="0"/>
        <w:snapToGri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本次建设内容是</w:t>
      </w:r>
      <w:r>
        <w:rPr>
          <w:rFonts w:hint="eastAsia" w:ascii="仿宋" w:hAnsi="仿宋" w:eastAsia="仿宋" w:cs="仿宋"/>
          <w:color w:val="auto"/>
          <w:sz w:val="24"/>
          <w:szCs w:val="24"/>
          <w:highlight w:val="none"/>
          <w:lang w:val="en-US" w:eastAsia="zh-CN"/>
        </w:rPr>
        <w:t>物业维修金缴交、维修金使用、保修金缴交、保修金使用</w:t>
      </w:r>
      <w:r>
        <w:rPr>
          <w:rFonts w:hint="eastAsia" w:ascii="仿宋" w:hAnsi="仿宋" w:eastAsia="仿宋" w:cs="仿宋"/>
          <w:color w:val="auto"/>
          <w:sz w:val="24"/>
          <w:szCs w:val="24"/>
          <w:highlight w:val="none"/>
        </w:rPr>
        <w:t>档案的整理工作，涉及调档交接、档案前期处理、档案立卷、档案编目、后期整理装订、档案归还和质量自检等建设内容，详细介绍如下所示：</w:t>
      </w:r>
    </w:p>
    <w:p>
      <w:pPr>
        <w:pStyle w:val="22"/>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（1）调档交接。</w:t>
      </w:r>
    </w:p>
    <w:p>
      <w:pPr>
        <w:pStyle w:val="22"/>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（2）档案前期处理。</w:t>
      </w:r>
    </w:p>
    <w:p>
      <w:pPr>
        <w:pStyle w:val="22"/>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（3）档案立卷。</w:t>
      </w:r>
    </w:p>
    <w:p>
      <w:pPr>
        <w:pStyle w:val="22"/>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（4）档案编目。</w:t>
      </w:r>
    </w:p>
    <w:p>
      <w:pPr>
        <w:pStyle w:val="22"/>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（5）后期整理装订。</w:t>
      </w:r>
    </w:p>
    <w:p>
      <w:pPr>
        <w:pStyle w:val="22"/>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（6）档案归还。</w:t>
      </w:r>
    </w:p>
    <w:p>
      <w:pPr>
        <w:pStyle w:val="22"/>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（7）质量自检。</w:t>
      </w:r>
    </w:p>
    <w:p>
      <w:pPr>
        <w:pStyle w:val="31"/>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项目具体要求</w:t>
      </w:r>
    </w:p>
    <w:p>
      <w:pPr>
        <w:pStyle w:val="22"/>
        <w:keepNext w:val="0"/>
        <w:keepLines w:val="0"/>
        <w:pageBreakBefore w:val="0"/>
        <w:widowControl w:val="0"/>
        <w:kinsoku/>
        <w:wordWrap/>
        <w:overflowPunct/>
        <w:topLinePunct w:val="0"/>
        <w:bidi w:val="0"/>
        <w:snapToGri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中标人中标后应提供一个不少于200平方米的作业场地（要求消防、监控等达到行业规定要求），并且工作场地达到档案存储和加工的环境要求，同时办公场地必需通过采购人的认可。档案必须封闭运输至作业场地，同时应有专业的保安人员负责押送。若上述要求达不到采购人规定的要求，采购人有权不提供原始档案，并责令中标人按要求整改，直至上述要求满足采购人规定为止。由此而产生的费用或可能导致的违约风险，由中标人承担。</w:t>
      </w:r>
    </w:p>
    <w:p>
      <w:pPr>
        <w:pStyle w:val="22"/>
        <w:keepNext w:val="0"/>
        <w:keepLines w:val="0"/>
        <w:pageBreakBefore w:val="0"/>
        <w:widowControl w:val="0"/>
        <w:kinsoku/>
        <w:wordWrap/>
        <w:overflowPunct/>
        <w:topLinePunct w:val="0"/>
        <w:bidi w:val="0"/>
        <w:snapToGri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必须采取三库分离的方式进行数据建库工作，建库工作在中间库中开展，通过验收的成果导入成果库，通过用户单位验收的成果同步至正式库。</w:t>
      </w:r>
    </w:p>
    <w:p>
      <w:pPr>
        <w:pStyle w:val="22"/>
        <w:keepNext w:val="0"/>
        <w:keepLines w:val="0"/>
        <w:pageBreakBefore w:val="0"/>
        <w:widowControl w:val="0"/>
        <w:kinsoku/>
        <w:wordWrap/>
        <w:overflowPunct/>
        <w:topLinePunct w:val="0"/>
        <w:bidi w:val="0"/>
        <w:snapToGri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要求项目建设成果直接与业务系统进行对接，且</w:t>
      </w:r>
      <w:r>
        <w:rPr>
          <w:rFonts w:hint="eastAsia" w:ascii="仿宋" w:hAnsi="仿宋" w:eastAsia="仿宋" w:cs="仿宋"/>
          <w:color w:val="auto"/>
          <w:sz w:val="24"/>
          <w:szCs w:val="24"/>
          <w:highlight w:val="none"/>
          <w:lang w:val="en-US" w:eastAsia="zh-CN"/>
        </w:rPr>
        <w:t>业务</w:t>
      </w:r>
      <w:r>
        <w:rPr>
          <w:rFonts w:hint="eastAsia" w:ascii="仿宋" w:hAnsi="仿宋" w:eastAsia="仿宋" w:cs="仿宋"/>
          <w:color w:val="auto"/>
          <w:sz w:val="24"/>
          <w:szCs w:val="24"/>
          <w:highlight w:val="none"/>
        </w:rPr>
        <w:t>信息系统可以直接调用项目建设成果。</w:t>
      </w:r>
    </w:p>
    <w:p>
      <w:pPr>
        <w:pStyle w:val="22"/>
        <w:keepNext w:val="0"/>
        <w:keepLines w:val="0"/>
        <w:pageBreakBefore w:val="0"/>
        <w:widowControl w:val="0"/>
        <w:kinsoku/>
        <w:wordWrap/>
        <w:overflowPunct/>
        <w:topLinePunct w:val="0"/>
        <w:bidi w:val="0"/>
        <w:snapToGri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中标人工作人员在工作范围内必须佩带临时出入证，严禁在工作场地内吸烟、进食、大声喧哗，不能与英特网连接。</w:t>
      </w:r>
    </w:p>
    <w:p>
      <w:pPr>
        <w:pStyle w:val="22"/>
        <w:keepNext w:val="0"/>
        <w:keepLines w:val="0"/>
        <w:pageBreakBefore w:val="0"/>
        <w:widowControl w:val="0"/>
        <w:kinsoku/>
        <w:wordWrap/>
        <w:overflowPunct/>
        <w:topLinePunct w:val="0"/>
        <w:bidi w:val="0"/>
        <w:snapToGrid w:val="0"/>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中标人对项目成果提供自项目验收之日起</w:t>
      </w:r>
      <w:r>
        <w:rPr>
          <w:rFonts w:hint="eastAsia" w:ascii="仿宋" w:hAnsi="仿宋" w:eastAsia="仿宋" w:cs="仿宋"/>
          <w:color w:val="auto"/>
          <w:sz w:val="24"/>
          <w:szCs w:val="24"/>
          <w:highlight w:val="none"/>
          <w:lang w:val="en-US" w:eastAsia="zh-CN"/>
        </w:rPr>
        <w:t>两</w:t>
      </w:r>
      <w:r>
        <w:rPr>
          <w:rFonts w:hint="eastAsia" w:ascii="仿宋" w:hAnsi="仿宋" w:eastAsia="仿宋" w:cs="仿宋"/>
          <w:color w:val="auto"/>
          <w:sz w:val="24"/>
          <w:szCs w:val="24"/>
          <w:highlight w:val="none"/>
        </w:rPr>
        <w:t>年质保期。</w:t>
      </w:r>
    </w:p>
    <w:p>
      <w:pPr>
        <w:ind w:firstLine="480" w:firstLineChars="200"/>
        <w:rPr>
          <w:rFonts w:hint="default" w:eastAsia="仿宋"/>
          <w:color w:val="auto"/>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项目质保期后，根据甲方要求按时提供服务，每年维保费用按10000元结算。</w:t>
      </w:r>
    </w:p>
    <w:p>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资料保密要求：</w:t>
      </w:r>
    </w:p>
    <w:p>
      <w:pPr>
        <w:keepNext w:val="0"/>
        <w:keepLines w:val="0"/>
        <w:pageBreakBefore w:val="0"/>
        <w:widowControl w:val="0"/>
        <w:kinsoku/>
        <w:wordWrap/>
        <w:overflowPunct/>
        <w:topLinePunct w:val="0"/>
        <w:autoSpaceDE w:val="0"/>
        <w:autoSpaceDN w:val="0"/>
        <w:bidi w:val="0"/>
        <w:snapToGrid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中标人对</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rPr>
        <w:t>人的实物档案和业务系统数据有保密的义务，严禁复制，不得丢失、损坏和泄密，不得将</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rPr>
        <w:t>人的业务情况、合作情况向任何第三方泄漏，并签订相应保密协议。</w:t>
      </w:r>
    </w:p>
    <w:p>
      <w:pPr>
        <w:pStyle w:val="631"/>
        <w:ind w:firstLine="48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七.数据建库要求</w:t>
      </w:r>
    </w:p>
    <w:p>
      <w:pPr>
        <w:pStyle w:val="31"/>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1、数据建库要求</w:t>
      </w:r>
    </w:p>
    <w:p>
      <w:pPr>
        <w:pStyle w:val="3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kern w:val="3"/>
          <w:sz w:val="24"/>
          <w:szCs w:val="24"/>
          <w:highlight w:val="none"/>
          <w:lang w:val="en-US" w:eastAsia="zh-CN" w:bidi="ar-SA"/>
        </w:rPr>
      </w:pPr>
      <w:r>
        <w:rPr>
          <w:rFonts w:hint="eastAsia" w:ascii="仿宋" w:hAnsi="仿宋" w:eastAsia="仿宋" w:cs="仿宋"/>
          <w:color w:val="auto"/>
          <w:kern w:val="3"/>
          <w:sz w:val="24"/>
          <w:szCs w:val="24"/>
          <w:highlight w:val="none"/>
          <w:lang w:val="en-US" w:eastAsia="zh-CN" w:bidi="ar-SA"/>
        </w:rPr>
        <w:t>（1）要求采用基于工作流的方式管理整个数据建库环节，数据建库工具的设计要求满足业务系统应用要求，需具备初审、审核和抽查等功能。</w:t>
      </w:r>
    </w:p>
    <w:p>
      <w:pPr>
        <w:pStyle w:val="3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kern w:val="3"/>
          <w:sz w:val="24"/>
          <w:szCs w:val="24"/>
          <w:highlight w:val="none"/>
          <w:lang w:val="en-US" w:eastAsia="zh-CN" w:bidi="ar-SA"/>
        </w:rPr>
      </w:pPr>
      <w:bookmarkStart w:id="67" w:name="_Toc252963834"/>
      <w:bookmarkStart w:id="68" w:name="_Toc252963674"/>
      <w:r>
        <w:rPr>
          <w:rFonts w:hint="eastAsia" w:ascii="仿宋" w:hAnsi="仿宋" w:eastAsia="仿宋" w:cs="仿宋"/>
          <w:color w:val="auto"/>
          <w:kern w:val="3"/>
          <w:sz w:val="24"/>
          <w:szCs w:val="24"/>
          <w:highlight w:val="none"/>
          <w:lang w:val="en-US" w:eastAsia="zh-CN" w:bidi="ar-SA"/>
        </w:rPr>
        <w:t>（2）对档案属性数据进行双机录入，做到在录入数据的同时做好校对工作。</w:t>
      </w:r>
    </w:p>
    <w:p>
      <w:pPr>
        <w:pStyle w:val="3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kern w:val="3"/>
          <w:sz w:val="24"/>
          <w:szCs w:val="24"/>
          <w:highlight w:val="none"/>
          <w:lang w:val="en-US" w:eastAsia="zh-CN" w:bidi="ar-SA"/>
        </w:rPr>
      </w:pPr>
      <w:r>
        <w:rPr>
          <w:rFonts w:hint="eastAsia" w:ascii="仿宋" w:hAnsi="仿宋" w:eastAsia="仿宋" w:cs="仿宋"/>
          <w:color w:val="auto"/>
          <w:kern w:val="3"/>
          <w:sz w:val="24"/>
          <w:szCs w:val="24"/>
          <w:highlight w:val="none"/>
          <w:lang w:val="en-US" w:eastAsia="zh-CN" w:bidi="ar-SA"/>
        </w:rPr>
        <w:t>（3）要求整理过的业务数据关键字段申请人和证件号码准确率达到99%以上，其他字段正确率达到95%以上。</w:t>
      </w:r>
    </w:p>
    <w:p>
      <w:pPr>
        <w:pStyle w:val="3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kern w:val="3"/>
          <w:sz w:val="24"/>
          <w:szCs w:val="24"/>
          <w:highlight w:val="none"/>
          <w:lang w:val="en-US" w:eastAsia="zh-CN" w:bidi="ar-SA"/>
        </w:rPr>
      </w:pPr>
      <w:r>
        <w:rPr>
          <w:rFonts w:hint="eastAsia" w:ascii="仿宋" w:hAnsi="仿宋" w:eastAsia="仿宋" w:cs="仿宋"/>
          <w:color w:val="auto"/>
          <w:kern w:val="3"/>
          <w:sz w:val="24"/>
          <w:szCs w:val="24"/>
          <w:highlight w:val="none"/>
          <w:lang w:val="en-US" w:eastAsia="zh-CN" w:bidi="ar-SA"/>
        </w:rPr>
        <w:t>（4）资料记录与房产数据关系清晰的数据需建立于房产数据的一一对应关系。</w:t>
      </w:r>
    </w:p>
    <w:p>
      <w:pPr>
        <w:pStyle w:val="3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kern w:val="3"/>
          <w:sz w:val="24"/>
          <w:szCs w:val="24"/>
          <w:highlight w:val="none"/>
          <w:lang w:val="en-US" w:eastAsia="zh-CN" w:bidi="ar-SA"/>
        </w:rPr>
      </w:pPr>
      <w:r>
        <w:rPr>
          <w:rFonts w:hint="eastAsia" w:ascii="仿宋" w:hAnsi="仿宋" w:eastAsia="仿宋" w:cs="仿宋"/>
          <w:color w:val="auto"/>
          <w:kern w:val="3"/>
          <w:sz w:val="24"/>
          <w:szCs w:val="24"/>
          <w:highlight w:val="none"/>
          <w:lang w:val="en-US" w:eastAsia="zh-CN" w:bidi="ar-SA"/>
        </w:rPr>
        <w:t>（5）资料记录与房产数据关系清晰的物业维修资金数据需建立于房产数据的一一对应关系。</w:t>
      </w:r>
    </w:p>
    <w:p>
      <w:pPr>
        <w:pStyle w:val="3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kern w:val="3"/>
          <w:sz w:val="24"/>
          <w:szCs w:val="24"/>
          <w:highlight w:val="none"/>
          <w:lang w:val="en-US" w:eastAsia="zh-CN" w:bidi="ar-SA"/>
        </w:rPr>
      </w:pPr>
      <w:r>
        <w:rPr>
          <w:rFonts w:hint="eastAsia" w:ascii="仿宋" w:hAnsi="仿宋" w:eastAsia="仿宋" w:cs="仿宋"/>
          <w:color w:val="auto"/>
          <w:kern w:val="3"/>
          <w:sz w:val="24"/>
          <w:szCs w:val="24"/>
          <w:highlight w:val="none"/>
          <w:lang w:val="en-US" w:eastAsia="zh-CN" w:bidi="ar-SA"/>
        </w:rPr>
        <w:t>（6）整理过程中不能影响业务系统正常运行</w:t>
      </w:r>
      <w:bookmarkEnd w:id="67"/>
      <w:bookmarkEnd w:id="68"/>
      <w:r>
        <w:rPr>
          <w:rFonts w:hint="eastAsia" w:ascii="仿宋" w:hAnsi="仿宋" w:eastAsia="仿宋" w:cs="仿宋"/>
          <w:color w:val="auto"/>
          <w:kern w:val="3"/>
          <w:sz w:val="24"/>
          <w:szCs w:val="24"/>
          <w:highlight w:val="none"/>
          <w:lang w:val="en-US" w:eastAsia="zh-CN" w:bidi="ar-SA"/>
        </w:rPr>
        <w:t>。</w:t>
      </w:r>
    </w:p>
    <w:p>
      <w:pPr>
        <w:pStyle w:val="31"/>
        <w:widowControl w:val="0"/>
        <w:adjustRightInd/>
        <w:spacing w:line="360" w:lineRule="auto"/>
        <w:ind w:firstLine="480" w:firstLineChars="200"/>
        <w:rPr>
          <w:rFonts w:hint="eastAsia" w:ascii="仿宋" w:hAnsi="仿宋" w:eastAsia="仿宋" w:cs="仿宋"/>
          <w:color w:val="auto"/>
          <w:kern w:val="3"/>
          <w:sz w:val="24"/>
          <w:szCs w:val="24"/>
          <w:highlight w:val="none"/>
          <w:lang w:val="en-US" w:eastAsia="zh-CN" w:bidi="ar-SA"/>
        </w:rPr>
      </w:pPr>
      <w:bookmarkStart w:id="69" w:name="_Toc252963676"/>
      <w:bookmarkStart w:id="70" w:name="_Toc252963836"/>
      <w:r>
        <w:rPr>
          <w:rFonts w:hint="eastAsia" w:ascii="仿宋" w:hAnsi="仿宋" w:eastAsia="仿宋" w:cs="仿宋"/>
          <w:color w:val="auto"/>
          <w:kern w:val="3"/>
          <w:sz w:val="24"/>
          <w:szCs w:val="24"/>
          <w:highlight w:val="none"/>
          <w:lang w:val="en-US" w:eastAsia="zh-CN" w:bidi="ar-SA"/>
        </w:rPr>
        <w:t>（7）数据转换安全，尽可能减少转换损耗</w:t>
      </w:r>
      <w:bookmarkEnd w:id="69"/>
      <w:bookmarkEnd w:id="70"/>
      <w:r>
        <w:rPr>
          <w:rFonts w:hint="eastAsia" w:ascii="仿宋" w:hAnsi="仿宋" w:eastAsia="仿宋" w:cs="仿宋"/>
          <w:color w:val="auto"/>
          <w:kern w:val="3"/>
          <w:sz w:val="24"/>
          <w:szCs w:val="24"/>
          <w:highlight w:val="none"/>
          <w:lang w:val="en-US" w:eastAsia="zh-CN" w:bidi="ar-SA"/>
        </w:rPr>
        <w:t>。</w:t>
      </w:r>
    </w:p>
    <w:p>
      <w:pPr>
        <w:pStyle w:val="31"/>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2.疑难问题处理要求</w:t>
      </w:r>
    </w:p>
    <w:p>
      <w:pPr>
        <w:spacing w:line="360" w:lineRule="auto"/>
        <w:ind w:firstLine="442"/>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对于疑难问题数据，因业务资料缺失，或业务资料信息与权属记载信息严重不一致等，导致不能进行数据整理（建帐到户）的，列出疑难问题数据清单，待甲方提供足够材料支撑时，再及时解决疑难问题数据。</w:t>
      </w:r>
    </w:p>
    <w:p>
      <w:pPr>
        <w:pStyle w:val="631"/>
        <w:spacing w:line="360" w:lineRule="auto"/>
        <w:ind w:firstLine="48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八、项目实施工期要求</w:t>
      </w:r>
    </w:p>
    <w:p>
      <w:pPr>
        <w:spacing w:line="360" w:lineRule="auto"/>
        <w:ind w:firstLine="442"/>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项目开工后3个月内，完成项目所有的工作内容，并编写项目验收文档，组织项目验收。</w:t>
      </w:r>
    </w:p>
    <w:p>
      <w:pPr>
        <w:widowControl/>
        <w:wordWrap w:val="0"/>
        <w:topLinePunct/>
        <w:adjustRightInd w:val="0"/>
        <w:spacing w:line="360" w:lineRule="auto"/>
        <w:ind w:firstLine="482" w:firstLineChars="200"/>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九</w:t>
      </w:r>
      <w:r>
        <w:rPr>
          <w:rFonts w:hint="eastAsia" w:ascii="仿宋" w:hAnsi="仿宋" w:eastAsia="仿宋" w:cs="仿宋"/>
          <w:b/>
          <w:color w:val="auto"/>
          <w:sz w:val="24"/>
          <w:szCs w:val="24"/>
          <w:highlight w:val="none"/>
        </w:rPr>
        <w:t>、付款方式</w:t>
      </w:r>
    </w:p>
    <w:p>
      <w:pPr>
        <w:numPr>
          <w:ilvl w:val="-1"/>
          <w:numId w:val="0"/>
        </w:num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合同签订之日起7个工作日内，采购人向中标人支付合同金额的</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rPr>
        <w:t>0%，</w:t>
      </w:r>
      <w:r>
        <w:rPr>
          <w:rFonts w:hint="eastAsia" w:ascii="仿宋" w:hAnsi="仿宋" w:eastAsia="仿宋" w:cs="仿宋"/>
          <w:bCs/>
          <w:color w:val="auto"/>
          <w:sz w:val="24"/>
          <w:szCs w:val="24"/>
          <w:highlight w:val="none"/>
          <w:lang w:val="en-US" w:eastAsia="zh-CN"/>
        </w:rPr>
        <w:t>完成90%工作量后</w:t>
      </w:r>
      <w:r>
        <w:rPr>
          <w:rFonts w:hint="eastAsia" w:ascii="仿宋" w:hAnsi="仿宋" w:eastAsia="仿宋" w:cs="仿宋"/>
          <w:bCs/>
          <w:color w:val="auto"/>
          <w:sz w:val="24"/>
          <w:szCs w:val="24"/>
          <w:highlight w:val="none"/>
        </w:rPr>
        <w:t>7个工作日内采购人向中标人支付合同金额的</w:t>
      </w:r>
      <w:r>
        <w:rPr>
          <w:rFonts w:hint="eastAsia" w:ascii="仿宋" w:hAnsi="仿宋" w:eastAsia="仿宋" w:cs="仿宋"/>
          <w:bCs/>
          <w:color w:val="auto"/>
          <w:sz w:val="24"/>
          <w:szCs w:val="24"/>
          <w:highlight w:val="none"/>
          <w:lang w:val="en-US" w:eastAsia="zh-CN"/>
        </w:rPr>
        <w:t>35</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w:t>
      </w:r>
      <w:r>
        <w:rPr>
          <w:rFonts w:hint="eastAsia" w:ascii="仿宋" w:hAnsi="仿宋" w:eastAsia="仿宋" w:cs="仿宋"/>
          <w:color w:val="auto"/>
          <w:sz w:val="24"/>
          <w:szCs w:val="24"/>
          <w:highlight w:val="none"/>
        </w:rPr>
        <w:t>项目通过终验后7个工作日内支付</w:t>
      </w:r>
      <w:r>
        <w:rPr>
          <w:rFonts w:hint="eastAsia" w:ascii="仿宋" w:hAnsi="仿宋" w:eastAsia="仿宋" w:cs="仿宋"/>
          <w:color w:val="auto"/>
          <w:sz w:val="24"/>
          <w:szCs w:val="24"/>
          <w:highlight w:val="none"/>
          <w:lang w:val="en-US" w:eastAsia="zh-CN"/>
        </w:rPr>
        <w:t>剩余尾款</w:t>
      </w:r>
      <w:r>
        <w:rPr>
          <w:rFonts w:hint="eastAsia" w:ascii="仿宋" w:hAnsi="仿宋" w:eastAsia="仿宋" w:cs="仿宋"/>
          <w:color w:val="auto"/>
          <w:sz w:val="24"/>
          <w:szCs w:val="24"/>
          <w:highlight w:val="none"/>
        </w:rPr>
        <w:t>。</w:t>
      </w:r>
    </w:p>
    <w:p>
      <w:pPr>
        <w:widowControl/>
        <w:wordWrap w:val="0"/>
        <w:topLinePunct/>
        <w:adjustRightInd w:val="0"/>
        <w:spacing w:line="360" w:lineRule="auto"/>
        <w:ind w:firstLine="480" w:firstLineChars="200"/>
        <w:textAlignment w:val="baseline"/>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本项目报价应包含实现本项目所需的一切费用，中标人在实际履约中产生的其他费用，采购人不再另行支付。</w:t>
      </w:r>
    </w:p>
    <w:p>
      <w:pPr>
        <w:widowControl/>
        <w:wordWrap w:val="0"/>
        <w:topLinePunct/>
        <w:adjustRightInd w:val="0"/>
        <w:spacing w:line="360" w:lineRule="auto"/>
        <w:ind w:firstLine="482" w:firstLineChars="200"/>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十</w:t>
      </w:r>
      <w:r>
        <w:rPr>
          <w:rFonts w:hint="eastAsia" w:ascii="仿宋" w:hAnsi="仿宋" w:eastAsia="仿宋" w:cs="仿宋"/>
          <w:b/>
          <w:color w:val="auto"/>
          <w:sz w:val="24"/>
          <w:szCs w:val="24"/>
          <w:highlight w:val="none"/>
        </w:rPr>
        <w:t>、履约保证金</w:t>
      </w:r>
    </w:p>
    <w:p>
      <w:pPr>
        <w:widowControl/>
        <w:wordWrap w:val="0"/>
        <w:topLinePunct/>
        <w:adjustRightInd w:val="0"/>
        <w:spacing w:line="360" w:lineRule="auto"/>
        <w:ind w:firstLine="480" w:firstLineChars="200"/>
        <w:jc w:val="left"/>
        <w:textAlignment w:val="baseline"/>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1.本项目的履约保证金按合同总价的</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%收取，中标人在合同签订后</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日内交付至指定账户。履约期结束，采购人无息退还履约保证金。</w:t>
      </w:r>
    </w:p>
    <w:p>
      <w:pPr>
        <w:widowControl/>
        <w:wordWrap w:val="0"/>
        <w:topLinePunct/>
        <w:adjustRightInd w:val="0"/>
        <w:spacing w:line="360" w:lineRule="auto"/>
        <w:ind w:firstLine="480" w:firstLineChars="200"/>
        <w:jc w:val="left"/>
        <w:textAlignment w:val="baseline"/>
        <w:rPr>
          <w:rFonts w:hint="eastAsia" w:ascii="仿宋" w:hAnsi="仿宋" w:eastAsia="仿宋" w:cs="仿宋"/>
          <w:bCs w:val="0"/>
          <w:color w:val="auto"/>
          <w:sz w:val="24"/>
          <w:szCs w:val="24"/>
          <w:highlight w:val="none"/>
        </w:rPr>
      </w:pPr>
      <w:r>
        <w:rPr>
          <w:rFonts w:hint="eastAsia" w:ascii="仿宋" w:hAnsi="仿宋" w:eastAsia="仿宋" w:cs="仿宋"/>
          <w:bCs/>
          <w:color w:val="auto"/>
          <w:sz w:val="24"/>
          <w:szCs w:val="24"/>
          <w:highlight w:val="none"/>
        </w:rPr>
        <w:t>2.缴纳方式：可采用转账或履约保函形式。</w:t>
      </w:r>
    </w:p>
    <w:p>
      <w:pPr>
        <w:widowControl/>
        <w:wordWrap w:val="0"/>
        <w:topLinePunct/>
        <w:adjustRightInd w:val="0"/>
        <w:spacing w:line="360" w:lineRule="auto"/>
        <w:ind w:firstLine="482" w:firstLineChars="200"/>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十一</w:t>
      </w:r>
      <w:r>
        <w:rPr>
          <w:rFonts w:hint="eastAsia" w:ascii="仿宋" w:hAnsi="仿宋" w:eastAsia="仿宋" w:cs="仿宋"/>
          <w:b/>
          <w:color w:val="auto"/>
          <w:sz w:val="24"/>
          <w:szCs w:val="24"/>
          <w:highlight w:val="none"/>
        </w:rPr>
        <w:t>、转让和分包</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color w:val="auto"/>
          <w:sz w:val="24"/>
          <w:szCs w:val="24"/>
          <w:highlight w:val="none"/>
        </w:rPr>
        <w:t>本项目不得以任何形式进行转包和分包。</w:t>
      </w:r>
      <w:r>
        <w:rPr>
          <w:rFonts w:hint="eastAsia" w:ascii="仿宋" w:hAnsi="仿宋" w:eastAsia="仿宋" w:cs="仿宋"/>
          <w:b/>
          <w:color w:val="auto"/>
          <w:sz w:val="36"/>
          <w:szCs w:val="36"/>
          <w:highlight w:val="none"/>
        </w:rPr>
        <w:br w:type="page"/>
      </w:r>
    </w:p>
    <w:p>
      <w:pPr>
        <w:adjustRightInd/>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第五部分  </w:t>
      </w:r>
      <w:bookmarkEnd w:id="63"/>
      <w:bookmarkEnd w:id="64"/>
      <w:bookmarkStart w:id="71" w:name="第四部分"/>
      <w:r>
        <w:rPr>
          <w:rFonts w:hint="eastAsia" w:ascii="仿宋" w:hAnsi="仿宋" w:eastAsia="仿宋" w:cs="仿宋"/>
          <w:b/>
          <w:color w:val="auto"/>
          <w:sz w:val="36"/>
          <w:szCs w:val="36"/>
          <w:highlight w:val="none"/>
        </w:rPr>
        <w:t>评审方法及评审标准</w:t>
      </w:r>
    </w:p>
    <w:p>
      <w:pPr>
        <w:pStyle w:val="393"/>
        <w:spacing w:before="0"/>
        <w:ind w:firstLine="643"/>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评审方法前附表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4545"/>
        <w:gridCol w:w="1140"/>
        <w:gridCol w:w="124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72" w:hRule="atLeast"/>
        </w:trPr>
        <w:tc>
          <w:tcPr>
            <w:tcW w:w="961" w:type="dxa"/>
            <w:vAlign w:val="center"/>
          </w:tcPr>
          <w:p>
            <w:pPr>
              <w:pStyle w:val="393"/>
              <w:spacing w:before="0"/>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4545" w:type="dxa"/>
            <w:vAlign w:val="center"/>
          </w:tcPr>
          <w:p>
            <w:pPr>
              <w:pStyle w:val="393"/>
              <w:spacing w:before="0"/>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评审标准</w:t>
            </w:r>
          </w:p>
        </w:tc>
        <w:tc>
          <w:tcPr>
            <w:tcW w:w="1140" w:type="dxa"/>
            <w:vAlign w:val="center"/>
          </w:tcPr>
          <w:p>
            <w:pPr>
              <w:pStyle w:val="393"/>
              <w:spacing w:before="0"/>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权重</w:t>
            </w:r>
          </w:p>
        </w:tc>
        <w:tc>
          <w:tcPr>
            <w:tcW w:w="1245" w:type="dxa"/>
            <w:vAlign w:val="center"/>
          </w:tcPr>
          <w:p>
            <w:pPr>
              <w:pStyle w:val="393"/>
              <w:spacing w:before="0"/>
              <w:ind w:firstLine="0" w:firstLineChars="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主观分/客观分属性</w:t>
            </w:r>
          </w:p>
        </w:tc>
        <w:tc>
          <w:tcPr>
            <w:tcW w:w="1395" w:type="dxa"/>
            <w:vAlign w:val="center"/>
          </w:tcPr>
          <w:p>
            <w:pPr>
              <w:pStyle w:val="393"/>
              <w:spacing w:before="0"/>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磋商文件中评审标准相应的商务技术资料目录</w:t>
            </w:r>
            <w:r>
              <w:rPr>
                <w:rFonts w:hint="eastAsia" w:ascii="仿宋" w:hAnsi="仿宋" w:eastAsia="仿宋" w:cs="仿宋"/>
                <w:color w:val="auto"/>
                <w:sz w:val="24"/>
                <w:szCs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961" w:type="dxa"/>
            <w:vAlign w:val="center"/>
          </w:tcPr>
          <w:p>
            <w:pPr>
              <w:pStyle w:val="393"/>
              <w:spacing w:before="0"/>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4545" w:type="dxa"/>
            <w:vAlign w:val="center"/>
          </w:tcPr>
          <w:p>
            <w:pPr>
              <w:pStyle w:val="393"/>
              <w:spacing w:before="0"/>
              <w:ind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需求理解：整体方案具有合理性、完整性、完善性，对项目需求理解及综合分析程度较好，目标明确，流程清晰合理</w:t>
            </w:r>
            <w:r>
              <w:rPr>
                <w:rFonts w:hint="eastAsia" w:ascii="仿宋" w:hAnsi="仿宋" w:eastAsia="仿宋" w:cs="仿宋"/>
                <w:color w:val="auto"/>
                <w:sz w:val="24"/>
                <w:szCs w:val="24"/>
                <w:highlight w:val="none"/>
                <w:lang w:val="en-US" w:eastAsia="zh-CN"/>
              </w:rPr>
              <w:t>得5分；对项目需求</w:t>
            </w:r>
            <w:r>
              <w:rPr>
                <w:rFonts w:hint="eastAsia" w:ascii="仿宋" w:hAnsi="仿宋" w:eastAsia="仿宋" w:cs="仿宋"/>
                <w:color w:val="auto"/>
                <w:sz w:val="24"/>
                <w:szCs w:val="24"/>
                <w:highlight w:val="none"/>
              </w:rPr>
              <w:t>理解及综合分析程度</w:t>
            </w:r>
            <w:r>
              <w:rPr>
                <w:rFonts w:hint="eastAsia" w:ascii="仿宋" w:hAnsi="仿宋" w:eastAsia="仿宋" w:cs="仿宋"/>
                <w:color w:val="auto"/>
                <w:sz w:val="24"/>
                <w:szCs w:val="24"/>
                <w:highlight w:val="none"/>
                <w:lang w:val="en-US" w:eastAsia="zh-CN"/>
              </w:rPr>
              <w:t>一般，且基本符合项目需求的得3分；</w:t>
            </w:r>
            <w:r>
              <w:rPr>
                <w:rFonts w:hint="eastAsia" w:ascii="仿宋" w:hAnsi="仿宋" w:eastAsia="仿宋" w:cs="仿宋"/>
                <w:color w:val="auto"/>
                <w:sz w:val="24"/>
                <w:szCs w:val="24"/>
                <w:highlight w:val="none"/>
              </w:rPr>
              <w:t>理解及综合分析程度</w:t>
            </w:r>
            <w:r>
              <w:rPr>
                <w:rFonts w:hint="eastAsia" w:ascii="仿宋" w:hAnsi="仿宋" w:eastAsia="仿宋" w:cs="仿宋"/>
                <w:color w:val="auto"/>
                <w:sz w:val="24"/>
                <w:szCs w:val="24"/>
                <w:highlight w:val="none"/>
                <w:lang w:val="en-US" w:eastAsia="zh-CN"/>
              </w:rPr>
              <w:t>不太</w:t>
            </w:r>
            <w:r>
              <w:rPr>
                <w:rFonts w:hint="eastAsia" w:ascii="仿宋" w:hAnsi="仿宋" w:eastAsia="仿宋" w:cs="仿宋"/>
                <w:color w:val="auto"/>
                <w:sz w:val="24"/>
                <w:szCs w:val="24"/>
                <w:highlight w:val="none"/>
              </w:rPr>
              <w:t>符合要求的</w:t>
            </w:r>
            <w:r>
              <w:rPr>
                <w:rFonts w:hint="eastAsia" w:ascii="仿宋" w:hAnsi="仿宋" w:eastAsia="仿宋" w:cs="仿宋"/>
                <w:color w:val="auto"/>
                <w:sz w:val="24"/>
                <w:szCs w:val="24"/>
                <w:highlight w:val="none"/>
                <w:lang w:val="en-US" w:eastAsia="zh-CN"/>
              </w:rPr>
              <w:t>得1分；未提供不得分</w:t>
            </w:r>
            <w:r>
              <w:rPr>
                <w:rFonts w:hint="eastAsia" w:ascii="仿宋" w:hAnsi="仿宋" w:eastAsia="仿宋" w:cs="仿宋"/>
                <w:color w:val="auto"/>
                <w:sz w:val="24"/>
                <w:szCs w:val="24"/>
                <w:highlight w:val="none"/>
              </w:rPr>
              <w:t>。</w:t>
            </w:r>
          </w:p>
        </w:tc>
        <w:tc>
          <w:tcPr>
            <w:tcW w:w="1140" w:type="dxa"/>
            <w:vAlign w:val="center"/>
          </w:tcPr>
          <w:p>
            <w:pPr>
              <w:pStyle w:val="393"/>
              <w:spacing w:before="0"/>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1245" w:type="dxa"/>
            <w:vAlign w:val="center"/>
          </w:tcPr>
          <w:p>
            <w:pPr>
              <w:pStyle w:val="393"/>
              <w:spacing w:before="0"/>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主观分</w:t>
            </w:r>
          </w:p>
        </w:tc>
        <w:tc>
          <w:tcPr>
            <w:tcW w:w="1395" w:type="dxa"/>
            <w:vAlign w:val="center"/>
          </w:tcPr>
          <w:p>
            <w:pPr>
              <w:pStyle w:val="393"/>
              <w:spacing w:before="0"/>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一、项目整体理解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3"/>
              <w:spacing w:before="0"/>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4545" w:type="dxa"/>
            <w:vAlign w:val="center"/>
          </w:tcPr>
          <w:p>
            <w:pPr>
              <w:pStyle w:val="393"/>
              <w:spacing w:before="0"/>
              <w:ind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投标方案对用户方信息化现状的理解程度，需求的吻合程度，要求对用户原有信息化现状的了解提供详细描述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完全满足项目需求的得4分；基本满足项目需求</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理解有切欠缺或与本项目不符的得1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未提供不得分</w:t>
            </w:r>
            <w:r>
              <w:rPr>
                <w:rFonts w:hint="eastAsia" w:ascii="仿宋" w:hAnsi="仿宋" w:eastAsia="仿宋" w:cs="仿宋"/>
                <w:color w:val="auto"/>
                <w:sz w:val="24"/>
                <w:szCs w:val="24"/>
                <w:highlight w:val="none"/>
              </w:rPr>
              <w:t>。</w:t>
            </w:r>
          </w:p>
        </w:tc>
        <w:tc>
          <w:tcPr>
            <w:tcW w:w="1140" w:type="dxa"/>
            <w:vAlign w:val="center"/>
          </w:tcPr>
          <w:p>
            <w:pPr>
              <w:pStyle w:val="393"/>
              <w:spacing w:before="0"/>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245" w:type="dxa"/>
            <w:vAlign w:val="center"/>
          </w:tcPr>
          <w:p>
            <w:pPr>
              <w:pStyle w:val="393"/>
              <w:spacing w:before="0"/>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395" w:type="dxa"/>
            <w:vAlign w:val="center"/>
          </w:tcPr>
          <w:p>
            <w:pPr>
              <w:pStyle w:val="393"/>
              <w:numPr>
                <w:ilvl w:val="0"/>
                <w:numId w:val="0"/>
              </w:numPr>
              <w:spacing w:befor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二、项目现状的熟悉程度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restart"/>
            <w:vAlign w:val="center"/>
          </w:tcPr>
          <w:p>
            <w:pPr>
              <w:pStyle w:val="393"/>
              <w:spacing w:before="0"/>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4545" w:type="dxa"/>
            <w:vAlign w:val="center"/>
          </w:tcPr>
          <w:p>
            <w:pPr>
              <w:pStyle w:val="393"/>
              <w:spacing w:before="0"/>
              <w:ind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详细数据建库方案：主要包括数据分析收集，数据整理流程和详细的数据整理步骤</w:t>
            </w:r>
            <w:r>
              <w:rPr>
                <w:rFonts w:hint="eastAsia" w:ascii="仿宋" w:hAnsi="仿宋" w:eastAsia="仿宋" w:cs="仿宋"/>
                <w:color w:val="auto"/>
                <w:sz w:val="24"/>
                <w:szCs w:val="24"/>
                <w:highlight w:val="none"/>
                <w:lang w:val="en-US" w:eastAsia="zh-CN"/>
              </w:rPr>
              <w:t>完全满足项目需求的得3分；基本满足项目需求的得2分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方案与本项目不符或有欠缺的得1分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未提供不得分</w:t>
            </w:r>
            <w:r>
              <w:rPr>
                <w:rFonts w:hint="eastAsia" w:ascii="仿宋" w:hAnsi="仿宋" w:eastAsia="仿宋" w:cs="仿宋"/>
                <w:color w:val="auto"/>
                <w:sz w:val="24"/>
                <w:szCs w:val="24"/>
                <w:highlight w:val="none"/>
              </w:rPr>
              <w:t>。</w:t>
            </w:r>
          </w:p>
        </w:tc>
        <w:tc>
          <w:tcPr>
            <w:tcW w:w="1140" w:type="dxa"/>
            <w:vAlign w:val="center"/>
          </w:tcPr>
          <w:p>
            <w:pPr>
              <w:pStyle w:val="393"/>
              <w:spacing w:before="0"/>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245" w:type="dxa"/>
            <w:vAlign w:val="center"/>
          </w:tcPr>
          <w:p>
            <w:pPr>
              <w:pStyle w:val="393"/>
              <w:spacing w:before="0"/>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395" w:type="dxa"/>
            <w:vMerge w:val="restart"/>
            <w:vAlign w:val="center"/>
          </w:tcPr>
          <w:p>
            <w:pPr>
              <w:pStyle w:val="393"/>
              <w:numPr>
                <w:ilvl w:val="0"/>
                <w:numId w:val="0"/>
              </w:numPr>
              <w:spacing w:befor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三、数据建库方案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vAlign w:val="center"/>
          </w:tcPr>
          <w:p>
            <w:pPr>
              <w:pStyle w:val="393"/>
              <w:spacing w:before="0"/>
              <w:ind w:firstLine="0" w:firstLineChars="0"/>
              <w:jc w:val="center"/>
              <w:rPr>
                <w:rFonts w:hint="eastAsia" w:ascii="仿宋" w:hAnsi="仿宋" w:eastAsia="仿宋" w:cs="仿宋"/>
                <w:color w:val="auto"/>
                <w:sz w:val="24"/>
                <w:szCs w:val="24"/>
                <w:highlight w:val="none"/>
                <w:lang w:val="en-US" w:eastAsia="zh-CN"/>
              </w:rPr>
            </w:pPr>
          </w:p>
        </w:tc>
        <w:tc>
          <w:tcPr>
            <w:tcW w:w="4545" w:type="dxa"/>
            <w:vAlign w:val="center"/>
          </w:tcPr>
          <w:p>
            <w:pPr>
              <w:pStyle w:val="393"/>
              <w:spacing w:before="0"/>
              <w:ind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工作思路：数据整理需考虑与已有系统之间的衔接及整合思路，特别是在项目实施过程中对已有系统不产生影响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完全满足项目需求的得3分；基本满足项目需求</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不能满足本项目需求或有欠缺的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未提供不得分</w:t>
            </w:r>
            <w:r>
              <w:rPr>
                <w:rFonts w:hint="eastAsia" w:ascii="仿宋" w:hAnsi="仿宋" w:eastAsia="仿宋" w:cs="仿宋"/>
                <w:color w:val="auto"/>
                <w:sz w:val="24"/>
                <w:szCs w:val="24"/>
                <w:highlight w:val="none"/>
              </w:rPr>
              <w:t>。</w:t>
            </w:r>
          </w:p>
        </w:tc>
        <w:tc>
          <w:tcPr>
            <w:tcW w:w="1140" w:type="dxa"/>
            <w:vAlign w:val="center"/>
          </w:tcPr>
          <w:p>
            <w:pPr>
              <w:pStyle w:val="393"/>
              <w:spacing w:before="0"/>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245" w:type="dxa"/>
            <w:vAlign w:val="center"/>
          </w:tcPr>
          <w:p>
            <w:pPr>
              <w:pStyle w:val="393"/>
              <w:spacing w:before="0"/>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395" w:type="dxa"/>
            <w:vMerge w:val="continue"/>
            <w:vAlign w:val="center"/>
          </w:tcPr>
          <w:p>
            <w:pPr>
              <w:pStyle w:val="393"/>
              <w:spacing w:before="0"/>
              <w:ind w:firstLine="0" w:firstLineChars="0"/>
              <w:jc w:val="center"/>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1" w:type="dxa"/>
            <w:vMerge w:val="continue"/>
            <w:vAlign w:val="center"/>
          </w:tcPr>
          <w:p>
            <w:pPr>
              <w:pStyle w:val="393"/>
              <w:spacing w:before="0"/>
              <w:ind w:firstLine="0" w:firstLineChars="0"/>
              <w:jc w:val="center"/>
              <w:rPr>
                <w:rFonts w:hint="eastAsia" w:ascii="仿宋" w:hAnsi="仿宋" w:eastAsia="仿宋" w:cs="仿宋"/>
                <w:color w:val="auto"/>
                <w:sz w:val="24"/>
                <w:szCs w:val="24"/>
                <w:highlight w:val="none"/>
                <w:lang w:val="en-US" w:eastAsia="zh-CN"/>
              </w:rPr>
            </w:pPr>
          </w:p>
        </w:tc>
        <w:tc>
          <w:tcPr>
            <w:tcW w:w="4545" w:type="dxa"/>
            <w:vAlign w:val="center"/>
          </w:tcPr>
          <w:p>
            <w:pPr>
              <w:pStyle w:val="393"/>
              <w:spacing w:before="0"/>
              <w:ind w:firstLine="0" w:firstLineChars="0"/>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3.图属一致性挂接方案：方案成熟且满足项目需求的得2分；方案一般，有欠缺的得1分；未提供不得分。</w:t>
            </w:r>
          </w:p>
        </w:tc>
        <w:tc>
          <w:tcPr>
            <w:tcW w:w="1140" w:type="dxa"/>
            <w:vAlign w:val="center"/>
          </w:tcPr>
          <w:p>
            <w:pPr>
              <w:pStyle w:val="393"/>
              <w:spacing w:before="0"/>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245" w:type="dxa"/>
            <w:vAlign w:val="center"/>
          </w:tcPr>
          <w:p>
            <w:pPr>
              <w:pStyle w:val="393"/>
              <w:spacing w:before="0"/>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395" w:type="dxa"/>
            <w:vMerge w:val="continue"/>
            <w:vAlign w:val="center"/>
          </w:tcPr>
          <w:p>
            <w:pPr>
              <w:pStyle w:val="393"/>
              <w:spacing w:before="0"/>
              <w:ind w:firstLine="0" w:firstLineChars="0"/>
              <w:jc w:val="center"/>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vAlign w:val="center"/>
          </w:tcPr>
          <w:p>
            <w:pPr>
              <w:pStyle w:val="393"/>
              <w:spacing w:before="0"/>
              <w:ind w:firstLine="0" w:firstLineChars="0"/>
              <w:jc w:val="center"/>
              <w:rPr>
                <w:rFonts w:hint="eastAsia" w:ascii="仿宋" w:hAnsi="仿宋" w:eastAsia="仿宋" w:cs="仿宋"/>
                <w:color w:val="auto"/>
                <w:sz w:val="24"/>
                <w:szCs w:val="24"/>
                <w:highlight w:val="none"/>
                <w:lang w:val="en-US" w:eastAsia="zh-CN"/>
              </w:rPr>
            </w:pPr>
          </w:p>
        </w:tc>
        <w:tc>
          <w:tcPr>
            <w:tcW w:w="4545" w:type="dxa"/>
            <w:vAlign w:val="center"/>
          </w:tcPr>
          <w:p>
            <w:pPr>
              <w:pStyle w:val="393"/>
              <w:spacing w:before="0"/>
              <w:ind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4.与扫描电子档案影像对接方案：方案成熟且满足项目需求的得2分；方案一般，有欠缺的得1分；未提供不得分。</w:t>
            </w:r>
          </w:p>
        </w:tc>
        <w:tc>
          <w:tcPr>
            <w:tcW w:w="1140" w:type="dxa"/>
            <w:vAlign w:val="center"/>
          </w:tcPr>
          <w:p>
            <w:pPr>
              <w:pStyle w:val="393"/>
              <w:spacing w:before="0"/>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245" w:type="dxa"/>
            <w:vAlign w:val="center"/>
          </w:tcPr>
          <w:p>
            <w:pPr>
              <w:pStyle w:val="393"/>
              <w:spacing w:before="0"/>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395" w:type="dxa"/>
            <w:vMerge w:val="continue"/>
            <w:vAlign w:val="center"/>
          </w:tcPr>
          <w:p>
            <w:pPr>
              <w:pStyle w:val="393"/>
              <w:spacing w:before="0"/>
              <w:ind w:firstLine="0" w:firstLineChars="0"/>
              <w:jc w:val="center"/>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restart"/>
            <w:vAlign w:val="center"/>
          </w:tcPr>
          <w:p>
            <w:pPr>
              <w:pStyle w:val="393"/>
              <w:spacing w:before="0"/>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4545" w:type="dxa"/>
            <w:vAlign w:val="center"/>
          </w:tcPr>
          <w:p>
            <w:pPr>
              <w:pStyle w:val="393"/>
              <w:spacing w:before="0"/>
              <w:ind w:left="0" w:leftChars="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1.档案数字化加工方案：具有详细的档案数字化加工方案，主要包括数据分析收集，数据整理流程和详细的数据整理步骤，完全满足项目需求的得3分；基本满足项目需求</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不不能满足本项目需求或欠缺</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未提供不得分。</w:t>
            </w:r>
          </w:p>
        </w:tc>
        <w:tc>
          <w:tcPr>
            <w:tcW w:w="1140" w:type="dxa"/>
            <w:vAlign w:val="center"/>
          </w:tcPr>
          <w:p>
            <w:pPr>
              <w:pStyle w:val="393"/>
              <w:spacing w:before="0"/>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245" w:type="dxa"/>
            <w:vAlign w:val="center"/>
          </w:tcPr>
          <w:p>
            <w:pPr>
              <w:pStyle w:val="393"/>
              <w:spacing w:before="0"/>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395" w:type="dxa"/>
            <w:vMerge w:val="restart"/>
            <w:vAlign w:val="center"/>
          </w:tcPr>
          <w:p>
            <w:pPr>
              <w:pStyle w:val="393"/>
              <w:numPr>
                <w:ilvl w:val="0"/>
                <w:numId w:val="0"/>
              </w:numPr>
              <w:spacing w:befor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四、档案整理和数字化加工方案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vAlign w:val="center"/>
          </w:tcPr>
          <w:p>
            <w:pPr>
              <w:pStyle w:val="393"/>
              <w:spacing w:before="0"/>
              <w:ind w:firstLine="0" w:firstLineChars="0"/>
              <w:jc w:val="center"/>
              <w:rPr>
                <w:rFonts w:hint="eastAsia" w:ascii="仿宋" w:hAnsi="仿宋" w:eastAsia="仿宋" w:cs="仿宋"/>
                <w:color w:val="auto"/>
                <w:sz w:val="24"/>
                <w:szCs w:val="24"/>
                <w:highlight w:val="none"/>
                <w:lang w:val="en-US" w:eastAsia="zh-CN"/>
              </w:rPr>
            </w:pPr>
          </w:p>
        </w:tc>
        <w:tc>
          <w:tcPr>
            <w:tcW w:w="4545" w:type="dxa"/>
            <w:vAlign w:val="center"/>
          </w:tcPr>
          <w:p>
            <w:pPr>
              <w:pStyle w:val="393"/>
              <w:spacing w:before="0"/>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2.图像处理方案：对图像逐页纠偏、去污、去黑边、去除图像杂点、去除图像局部脏点、底纹处理、小角度纠偏、版心调整。确保每幅图像清晰、不失真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完全满足项目需求的得3分；基本满足需求</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方案不能满足需求或欠缺的得1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未提供不得分</w:t>
            </w:r>
            <w:r>
              <w:rPr>
                <w:rFonts w:hint="eastAsia" w:ascii="仿宋" w:hAnsi="仿宋" w:eastAsia="仿宋" w:cs="仿宋"/>
                <w:color w:val="auto"/>
                <w:sz w:val="24"/>
                <w:szCs w:val="24"/>
                <w:highlight w:val="none"/>
              </w:rPr>
              <w:t>。</w:t>
            </w:r>
          </w:p>
        </w:tc>
        <w:tc>
          <w:tcPr>
            <w:tcW w:w="1140" w:type="dxa"/>
            <w:vAlign w:val="center"/>
          </w:tcPr>
          <w:p>
            <w:pPr>
              <w:pStyle w:val="393"/>
              <w:spacing w:before="0"/>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245" w:type="dxa"/>
            <w:vAlign w:val="center"/>
          </w:tcPr>
          <w:p>
            <w:pPr>
              <w:pStyle w:val="393"/>
              <w:spacing w:before="0"/>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395" w:type="dxa"/>
            <w:vMerge w:val="continue"/>
            <w:vAlign w:val="center"/>
          </w:tcPr>
          <w:p>
            <w:pPr>
              <w:pStyle w:val="393"/>
              <w:spacing w:before="0"/>
              <w:ind w:firstLine="0" w:firstLineChars="0"/>
              <w:jc w:val="center"/>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vAlign w:val="center"/>
          </w:tcPr>
          <w:p>
            <w:pPr>
              <w:pStyle w:val="393"/>
              <w:spacing w:before="0"/>
              <w:ind w:firstLine="0" w:firstLineChars="0"/>
              <w:jc w:val="center"/>
              <w:rPr>
                <w:rFonts w:hint="eastAsia" w:ascii="仿宋" w:hAnsi="仿宋" w:eastAsia="仿宋" w:cs="仿宋"/>
                <w:color w:val="auto"/>
                <w:sz w:val="24"/>
                <w:szCs w:val="24"/>
                <w:highlight w:val="none"/>
                <w:lang w:val="en-US" w:eastAsia="zh-CN"/>
              </w:rPr>
            </w:pPr>
          </w:p>
        </w:tc>
        <w:tc>
          <w:tcPr>
            <w:tcW w:w="4545" w:type="dxa"/>
            <w:vAlign w:val="center"/>
          </w:tcPr>
          <w:p>
            <w:pPr>
              <w:pStyle w:val="393"/>
              <w:spacing w:before="0"/>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3.图像挂接方案：具有完整的图像挂接方案，可以实现图像和目录、图像和业务属性数据的自动挂接，并可以监测挂接成果</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完全满足项目需求的得3分；基本满足项目需求</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方案不能满足本项目或欠缺</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未提供不得分</w:t>
            </w:r>
            <w:r>
              <w:rPr>
                <w:rFonts w:hint="eastAsia" w:ascii="仿宋" w:hAnsi="仿宋" w:eastAsia="仿宋" w:cs="仿宋"/>
                <w:color w:val="auto"/>
                <w:sz w:val="24"/>
                <w:szCs w:val="24"/>
                <w:highlight w:val="none"/>
              </w:rPr>
              <w:t>。</w:t>
            </w:r>
          </w:p>
        </w:tc>
        <w:tc>
          <w:tcPr>
            <w:tcW w:w="1140" w:type="dxa"/>
            <w:vAlign w:val="center"/>
          </w:tcPr>
          <w:p>
            <w:pPr>
              <w:pStyle w:val="393"/>
              <w:spacing w:before="0"/>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245" w:type="dxa"/>
            <w:vAlign w:val="center"/>
          </w:tcPr>
          <w:p>
            <w:pPr>
              <w:pStyle w:val="393"/>
              <w:spacing w:before="0"/>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395" w:type="dxa"/>
            <w:vMerge w:val="continue"/>
            <w:vAlign w:val="center"/>
          </w:tcPr>
          <w:p>
            <w:pPr>
              <w:pStyle w:val="393"/>
              <w:spacing w:before="0"/>
              <w:ind w:firstLine="0" w:firstLineChars="0"/>
              <w:jc w:val="center"/>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3"/>
              <w:spacing w:before="0"/>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4545" w:type="dxa"/>
            <w:vAlign w:val="center"/>
          </w:tcPr>
          <w:p>
            <w:pPr>
              <w:pStyle w:val="393"/>
              <w:spacing w:before="0"/>
              <w:ind w:left="0" w:leftChars="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质量保证体系：保障补录和整理数据信息的完整性、准确性和与档案影像挂接的准确率，以及在档案数字化的各个环节都有相应的检测软件对图像数据信息的完整性、准确性和图文挂接的准确率进行自检，完全满足项目需求的得5分；基本满足项目需求</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不能满足本项目需求或欠缺</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未提供不得分。</w:t>
            </w:r>
          </w:p>
        </w:tc>
        <w:tc>
          <w:tcPr>
            <w:tcW w:w="1140" w:type="dxa"/>
            <w:vAlign w:val="center"/>
          </w:tcPr>
          <w:p>
            <w:pPr>
              <w:pStyle w:val="393"/>
              <w:spacing w:before="0"/>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245" w:type="dxa"/>
            <w:vAlign w:val="center"/>
          </w:tcPr>
          <w:p>
            <w:pPr>
              <w:pStyle w:val="393"/>
              <w:spacing w:before="0"/>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c>
          <w:tcPr>
            <w:tcW w:w="1395" w:type="dxa"/>
            <w:vAlign w:val="center"/>
          </w:tcPr>
          <w:p>
            <w:pPr>
              <w:pStyle w:val="393"/>
              <w:spacing w:before="0"/>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五、项目质量保证体系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3"/>
              <w:spacing w:before="0"/>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4545" w:type="dxa"/>
            <w:vAlign w:val="center"/>
          </w:tcPr>
          <w:p>
            <w:pPr>
              <w:pStyle w:val="393"/>
              <w:spacing w:before="0"/>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合理化建议：能针对本项目提出合理的建设建议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提出一条得一分，最高得3分</w:t>
            </w:r>
            <w:r>
              <w:rPr>
                <w:rFonts w:hint="eastAsia" w:ascii="仿宋" w:hAnsi="仿宋" w:eastAsia="仿宋" w:cs="仿宋"/>
                <w:color w:val="auto"/>
                <w:sz w:val="24"/>
                <w:szCs w:val="24"/>
                <w:highlight w:val="none"/>
              </w:rPr>
              <w:t>。</w:t>
            </w:r>
          </w:p>
        </w:tc>
        <w:tc>
          <w:tcPr>
            <w:tcW w:w="1140" w:type="dxa"/>
            <w:vAlign w:val="center"/>
          </w:tcPr>
          <w:p>
            <w:pPr>
              <w:pStyle w:val="393"/>
              <w:spacing w:before="0"/>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245" w:type="dxa"/>
            <w:vAlign w:val="center"/>
          </w:tcPr>
          <w:p>
            <w:pPr>
              <w:pStyle w:val="393"/>
              <w:spacing w:before="0"/>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c>
          <w:tcPr>
            <w:tcW w:w="1395" w:type="dxa"/>
            <w:vAlign w:val="center"/>
          </w:tcPr>
          <w:p>
            <w:pPr>
              <w:pStyle w:val="393"/>
              <w:spacing w:before="0"/>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六、合理化建议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3"/>
              <w:spacing w:before="0"/>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4545" w:type="dxa"/>
            <w:vAlign w:val="center"/>
          </w:tcPr>
          <w:p>
            <w:pPr>
              <w:pStyle w:val="393"/>
              <w:spacing w:before="0"/>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能有效实现对档案数字化加工、业务数据整理建库过程和小区范围划分的过程进行控制，保证档案原件、档案信息、业务数据和空间数据的安全，是否具备对推进本项目的保密安全措施（包括人员、设备、数据及档案安全管理措施）、计划安排、表单管理情况</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方案完全满足项目需求的得5分；基本满足需求</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不能满足本项目需求或欠缺</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未提供不得分</w:t>
            </w:r>
            <w:r>
              <w:rPr>
                <w:rFonts w:hint="eastAsia" w:ascii="仿宋" w:hAnsi="仿宋" w:eastAsia="仿宋" w:cs="仿宋"/>
                <w:color w:val="auto"/>
                <w:sz w:val="24"/>
                <w:szCs w:val="24"/>
                <w:highlight w:val="none"/>
              </w:rPr>
              <w:t>。</w:t>
            </w:r>
          </w:p>
        </w:tc>
        <w:tc>
          <w:tcPr>
            <w:tcW w:w="1140" w:type="dxa"/>
            <w:vAlign w:val="center"/>
          </w:tcPr>
          <w:p>
            <w:pPr>
              <w:pStyle w:val="393"/>
              <w:spacing w:before="0"/>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245" w:type="dxa"/>
            <w:vAlign w:val="center"/>
          </w:tcPr>
          <w:p>
            <w:pPr>
              <w:spacing w:before="0"/>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c>
          <w:tcPr>
            <w:tcW w:w="1395" w:type="dxa"/>
            <w:vAlign w:val="center"/>
          </w:tcPr>
          <w:p>
            <w:pPr>
              <w:pStyle w:val="393"/>
              <w:spacing w:before="0"/>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七、组织实施方案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3"/>
              <w:spacing w:before="0"/>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4545" w:type="dxa"/>
            <w:vAlign w:val="center"/>
          </w:tcPr>
          <w:p>
            <w:pPr>
              <w:pStyle w:val="393"/>
              <w:spacing w:before="0"/>
              <w:ind w:left="0" w:leftChars="0"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服务方案和措施科学有效，对承诺质保期后的服务标准、费用及本地化特色服务和优惠方案</w:t>
            </w:r>
            <w:r>
              <w:rPr>
                <w:rFonts w:hint="eastAsia" w:ascii="仿宋" w:hAnsi="仿宋" w:eastAsia="仿宋" w:cs="仿宋"/>
                <w:color w:val="auto"/>
                <w:sz w:val="24"/>
                <w:szCs w:val="24"/>
                <w:highlight w:val="none"/>
                <w:lang w:eastAsia="zh-CN"/>
              </w:rPr>
              <w:t>，售后服务响应速度快、对</w:t>
            </w:r>
            <w:r>
              <w:rPr>
                <w:rFonts w:hint="eastAsia" w:ascii="仿宋" w:hAnsi="仿宋" w:eastAsia="仿宋" w:cs="仿宋"/>
                <w:color w:val="auto"/>
                <w:sz w:val="24"/>
                <w:szCs w:val="24"/>
                <w:highlight w:val="none"/>
              </w:rPr>
              <w:t>对承诺质保期后的服务标准、费用及本地化特色服务和优惠方案</w:t>
            </w:r>
            <w:r>
              <w:rPr>
                <w:rFonts w:hint="eastAsia" w:ascii="仿宋" w:hAnsi="仿宋" w:eastAsia="仿宋" w:cs="仿宋"/>
                <w:color w:val="auto"/>
                <w:sz w:val="24"/>
                <w:szCs w:val="24"/>
                <w:highlight w:val="none"/>
                <w:lang w:eastAsia="zh-CN"/>
              </w:rPr>
              <w:t>合理，得4分；</w:t>
            </w:r>
          </w:p>
          <w:p>
            <w:pPr>
              <w:pStyle w:val="393"/>
              <w:spacing w:before="0"/>
              <w:ind w:left="0" w:leftChars="0"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售后服务响应速度一般、</w:t>
            </w:r>
            <w:r>
              <w:rPr>
                <w:rFonts w:hint="eastAsia" w:ascii="仿宋" w:hAnsi="仿宋" w:eastAsia="仿宋" w:cs="仿宋"/>
                <w:color w:val="auto"/>
                <w:sz w:val="24"/>
                <w:szCs w:val="24"/>
                <w:highlight w:val="none"/>
              </w:rPr>
              <w:t>对承诺质保期后的服务标准、费用及本地化特色服务和优惠方案</w:t>
            </w:r>
            <w:r>
              <w:rPr>
                <w:rFonts w:hint="eastAsia" w:ascii="仿宋" w:hAnsi="仿宋" w:eastAsia="仿宋" w:cs="仿宋"/>
                <w:color w:val="auto"/>
                <w:sz w:val="24"/>
                <w:szCs w:val="24"/>
                <w:highlight w:val="none"/>
                <w:lang w:eastAsia="zh-CN"/>
              </w:rPr>
              <w:t>一般，得2分；</w:t>
            </w:r>
          </w:p>
          <w:p>
            <w:pPr>
              <w:pStyle w:val="393"/>
              <w:spacing w:before="0"/>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售后服务响应速度慢、</w:t>
            </w:r>
            <w:r>
              <w:rPr>
                <w:rFonts w:hint="eastAsia" w:ascii="仿宋" w:hAnsi="仿宋" w:eastAsia="仿宋" w:cs="仿宋"/>
                <w:color w:val="auto"/>
                <w:sz w:val="24"/>
                <w:szCs w:val="24"/>
                <w:highlight w:val="none"/>
              </w:rPr>
              <w:t>对承诺质保期后的服务标准、费用及本地化特色服务和优惠方案</w:t>
            </w:r>
            <w:r>
              <w:rPr>
                <w:rFonts w:hint="eastAsia" w:ascii="仿宋" w:hAnsi="仿宋" w:eastAsia="仿宋" w:cs="仿宋"/>
                <w:color w:val="auto"/>
                <w:sz w:val="24"/>
                <w:szCs w:val="24"/>
                <w:highlight w:val="none"/>
                <w:lang w:eastAsia="zh-CN"/>
              </w:rPr>
              <w:t>不够合理，得1分；</w:t>
            </w:r>
          </w:p>
        </w:tc>
        <w:tc>
          <w:tcPr>
            <w:tcW w:w="1140" w:type="dxa"/>
            <w:vAlign w:val="center"/>
          </w:tcPr>
          <w:p>
            <w:pPr>
              <w:pStyle w:val="393"/>
              <w:spacing w:before="0"/>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245" w:type="dxa"/>
            <w:vAlign w:val="center"/>
          </w:tcPr>
          <w:p>
            <w:pPr>
              <w:spacing w:before="0"/>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c>
          <w:tcPr>
            <w:tcW w:w="1395" w:type="dxa"/>
            <w:vAlign w:val="center"/>
          </w:tcPr>
          <w:p>
            <w:pPr>
              <w:pStyle w:val="393"/>
              <w:spacing w:before="0"/>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八、售后服务方案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3"/>
              <w:spacing w:before="0"/>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4545" w:type="dxa"/>
            <w:vAlign w:val="center"/>
          </w:tcPr>
          <w:p>
            <w:pPr>
              <w:pStyle w:val="393"/>
              <w:spacing w:before="0"/>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是否具有完善的培训计划和培训人员安排</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zh-CN"/>
              </w:rPr>
              <w:t>根据提供的方案内容进行评分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方案科学、合理、内容完整且完全满足采购需求的，得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分，基本满足采购需求的得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分，未提供或不合理的不得分；</w:t>
            </w:r>
          </w:p>
        </w:tc>
        <w:tc>
          <w:tcPr>
            <w:tcW w:w="1140" w:type="dxa"/>
            <w:vAlign w:val="center"/>
          </w:tcPr>
          <w:p>
            <w:pPr>
              <w:pStyle w:val="393"/>
              <w:spacing w:before="0"/>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245" w:type="dxa"/>
            <w:vAlign w:val="center"/>
          </w:tcPr>
          <w:p>
            <w:pPr>
              <w:spacing w:before="0"/>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c>
          <w:tcPr>
            <w:tcW w:w="1395" w:type="dxa"/>
            <w:vAlign w:val="center"/>
          </w:tcPr>
          <w:p>
            <w:pPr>
              <w:pStyle w:val="393"/>
              <w:spacing w:before="0"/>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九、培训计划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3"/>
              <w:spacing w:before="0"/>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4545" w:type="dxa"/>
            <w:vAlign w:val="center"/>
          </w:tcPr>
          <w:p>
            <w:pPr>
              <w:pStyle w:val="393"/>
              <w:spacing w:before="0"/>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是否具有完善的质检及验收方案，设置专门质检岗位，对各个工序进行质检和统计，验收方案确保数据和图像的准确率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验收方案完全满足项目需求的得3分；基本满足项目需求</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方案与本项目不符或欠缺的得1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未提供不得分</w:t>
            </w:r>
            <w:r>
              <w:rPr>
                <w:rFonts w:hint="eastAsia" w:ascii="仿宋" w:hAnsi="仿宋" w:eastAsia="仿宋" w:cs="仿宋"/>
                <w:color w:val="auto"/>
                <w:sz w:val="24"/>
                <w:szCs w:val="24"/>
                <w:highlight w:val="none"/>
              </w:rPr>
              <w:t>。</w:t>
            </w:r>
          </w:p>
        </w:tc>
        <w:tc>
          <w:tcPr>
            <w:tcW w:w="1140" w:type="dxa"/>
            <w:vAlign w:val="center"/>
          </w:tcPr>
          <w:p>
            <w:pPr>
              <w:pStyle w:val="393"/>
              <w:spacing w:before="0"/>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245" w:type="dxa"/>
            <w:vAlign w:val="center"/>
          </w:tcPr>
          <w:p>
            <w:pPr>
              <w:spacing w:before="0"/>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c>
          <w:tcPr>
            <w:tcW w:w="1395" w:type="dxa"/>
            <w:vAlign w:val="center"/>
          </w:tcPr>
          <w:p>
            <w:pPr>
              <w:pStyle w:val="393"/>
              <w:spacing w:before="0"/>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十、验收方案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3"/>
              <w:spacing w:before="0"/>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4545" w:type="dxa"/>
            <w:vAlign w:val="center"/>
          </w:tcPr>
          <w:p>
            <w:pPr>
              <w:pStyle w:val="393"/>
              <w:spacing w:before="0"/>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为确保项目成果可应用于实际使用，演示以下功能：</w:t>
            </w:r>
          </w:p>
          <w:p>
            <w:pPr>
              <w:pStyle w:val="393"/>
              <w:spacing w:before="0"/>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导入测绘数据功能:可通过丘号、房屋坐落、开发单位、规划许可证等信息，查询对应的测绘楼幢数据，利用功能导入测绘楼幢及房屋数据；</w:t>
            </w:r>
          </w:p>
          <w:p>
            <w:pPr>
              <w:pStyle w:val="393"/>
              <w:spacing w:before="0"/>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实现数据和档案一一对应关联:可通过受理编号、业务名称、申请人姓名、申请人身份证、房屋坐落等信息查询到对应的业务数据，打开对应的业务信息，能查看对应的档案电子影像；</w:t>
            </w:r>
          </w:p>
          <w:p>
            <w:pPr>
              <w:pStyle w:val="393"/>
              <w:spacing w:before="0"/>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物业资金管理：可通过小区查询到对应的小区数据，显示该小区对应的坐落、面积、幢数、套数等基础信息，并且需要展示</w:t>
            </w:r>
            <w:r>
              <w:rPr>
                <w:rFonts w:hint="eastAsia" w:ascii="仿宋" w:hAnsi="仿宋" w:eastAsia="仿宋" w:cs="仿宋"/>
                <w:color w:val="auto"/>
                <w:sz w:val="24"/>
                <w:szCs w:val="24"/>
                <w:highlight w:val="none"/>
                <w:lang w:val="en-US" w:eastAsia="zh-CN"/>
              </w:rPr>
              <w:t>维修金</w:t>
            </w:r>
            <w:r>
              <w:rPr>
                <w:rFonts w:hint="eastAsia" w:ascii="仿宋" w:hAnsi="仿宋" w:eastAsia="仿宋" w:cs="仿宋"/>
                <w:color w:val="auto"/>
                <w:sz w:val="24"/>
                <w:szCs w:val="24"/>
                <w:highlight w:val="none"/>
              </w:rPr>
              <w:t>缴交本金、利息、动用利息、可用余额等资金管理数据。</w:t>
            </w:r>
          </w:p>
          <w:p>
            <w:pPr>
              <w:snapToGrid w:val="0"/>
              <w:spacing w:line="360" w:lineRule="auto"/>
              <w:rPr>
                <w:rFonts w:hint="eastAsia" w:ascii="仿宋_GB2312" w:hAnsi="仿宋" w:eastAsia="仿宋_GB2312" w:cs="仿宋_GB2312"/>
                <w:b w:val="0"/>
                <w:bCs/>
                <w:color w:val="auto"/>
                <w:sz w:val="24"/>
                <w:highlight w:val="none"/>
                <w:lang w:val="en-US" w:eastAsia="zh-CN"/>
              </w:rPr>
            </w:pPr>
            <w:r>
              <w:rPr>
                <w:rFonts w:hint="eastAsia" w:ascii="仿宋_GB2312" w:hAnsi="仿宋" w:eastAsia="仿宋_GB2312" w:cs="仿宋_GB2312"/>
                <w:b w:val="0"/>
                <w:bCs/>
                <w:color w:val="auto"/>
                <w:sz w:val="24"/>
                <w:highlight w:val="none"/>
                <w:lang w:val="en-US" w:eastAsia="zh-CN"/>
              </w:rPr>
              <w:t>①每项演示功能内容与采购需求完全匹配、系统操作简洁、流畅的得4分；</w:t>
            </w:r>
          </w:p>
          <w:p>
            <w:pPr>
              <w:snapToGrid w:val="0"/>
              <w:spacing w:line="360" w:lineRule="auto"/>
              <w:rPr>
                <w:rFonts w:hint="eastAsia" w:ascii="仿宋_GB2312" w:hAnsi="仿宋" w:eastAsia="仿宋_GB2312" w:cs="仿宋_GB2312"/>
                <w:b w:val="0"/>
                <w:bCs/>
                <w:color w:val="auto"/>
                <w:sz w:val="24"/>
                <w:highlight w:val="none"/>
                <w:lang w:val="en-US" w:eastAsia="zh-CN"/>
              </w:rPr>
            </w:pPr>
            <w:r>
              <w:rPr>
                <w:rFonts w:hint="eastAsia" w:ascii="仿宋_GB2312" w:hAnsi="仿宋" w:eastAsia="仿宋_GB2312" w:cs="仿宋_GB2312"/>
                <w:b w:val="0"/>
                <w:bCs/>
                <w:color w:val="auto"/>
                <w:sz w:val="24"/>
                <w:highlight w:val="none"/>
                <w:lang w:val="en-US" w:eastAsia="zh-CN"/>
              </w:rPr>
              <w:t>②每项演示功能内容与采购需求基本匹配、系统操作繁琐、流畅的得2分；</w:t>
            </w:r>
          </w:p>
          <w:p>
            <w:pPr>
              <w:snapToGrid w:val="0"/>
              <w:spacing w:line="360" w:lineRule="auto"/>
              <w:rPr>
                <w:rFonts w:hint="eastAsia" w:ascii="仿宋_GB2312" w:hAnsi="仿宋" w:eastAsia="仿宋_GB2312" w:cs="仿宋_GB2312"/>
                <w:b w:val="0"/>
                <w:bCs/>
                <w:color w:val="auto"/>
                <w:sz w:val="24"/>
                <w:highlight w:val="none"/>
                <w:lang w:val="en-US" w:eastAsia="zh-CN"/>
              </w:rPr>
            </w:pPr>
            <w:r>
              <w:rPr>
                <w:rFonts w:hint="eastAsia" w:ascii="仿宋_GB2312" w:hAnsi="仿宋" w:eastAsia="仿宋_GB2312" w:cs="仿宋_GB2312"/>
                <w:b w:val="0"/>
                <w:bCs/>
                <w:color w:val="auto"/>
                <w:sz w:val="24"/>
                <w:highlight w:val="none"/>
                <w:lang w:val="en-US" w:eastAsia="zh-CN"/>
              </w:rPr>
              <w:t>③每项演示功能内容与采购需求无关、系统操作繁琐、卡顿的得1分。</w:t>
            </w:r>
          </w:p>
          <w:p>
            <w:pPr>
              <w:snapToGrid w:val="0"/>
              <w:spacing w:line="360" w:lineRule="auto"/>
              <w:rPr>
                <w:rFonts w:hint="eastAsia" w:ascii="仿宋_GB2312" w:hAnsi="仿宋" w:eastAsia="仿宋_GB2312" w:cs="仿宋_GB2312"/>
                <w:b/>
                <w:bCs w:val="0"/>
                <w:color w:val="auto"/>
                <w:sz w:val="24"/>
                <w:highlight w:val="none"/>
                <w:lang w:val="en-US" w:eastAsia="zh-CN"/>
              </w:rPr>
            </w:pPr>
            <w:r>
              <w:rPr>
                <w:rFonts w:hint="eastAsia" w:ascii="仿宋_GB2312" w:hAnsi="仿宋" w:eastAsia="仿宋_GB2312" w:cs="仿宋_GB2312"/>
                <w:b/>
                <w:bCs w:val="0"/>
                <w:color w:val="auto"/>
                <w:sz w:val="24"/>
                <w:highlight w:val="none"/>
                <w:lang w:val="en-US" w:eastAsia="zh-CN"/>
              </w:rPr>
              <w:t>备注：未提供演示或采用非真实系统或原型演示的不得分。</w:t>
            </w:r>
          </w:p>
          <w:p>
            <w:pPr>
              <w:snapToGrid w:val="0"/>
              <w:spacing w:line="360" w:lineRule="auto"/>
              <w:rPr>
                <w:rFonts w:hint="eastAsia" w:ascii="仿宋_GB2312" w:hAnsi="仿宋" w:eastAsia="仿宋_GB2312" w:cs="仿宋_GB2312"/>
                <w:b/>
                <w:bCs w:val="0"/>
                <w:color w:val="auto"/>
                <w:sz w:val="24"/>
                <w:highlight w:val="none"/>
                <w:lang w:val="zh-CN"/>
              </w:rPr>
            </w:pPr>
            <w:r>
              <w:rPr>
                <w:rFonts w:hint="eastAsia" w:ascii="仿宋_GB2312" w:hAnsi="仿宋" w:eastAsia="仿宋_GB2312" w:cs="仿宋_GB2312"/>
                <w:b/>
                <w:bCs w:val="0"/>
                <w:color w:val="auto"/>
                <w:sz w:val="24"/>
                <w:highlight w:val="none"/>
                <w:lang w:val="en-US" w:eastAsia="zh-CN"/>
              </w:rPr>
              <w:t>注：</w:t>
            </w:r>
            <w:r>
              <w:rPr>
                <w:rFonts w:hint="eastAsia" w:ascii="仿宋_GB2312" w:hAnsi="仿宋" w:eastAsia="仿宋_GB2312" w:cs="仿宋_GB2312"/>
                <w:b/>
                <w:bCs w:val="0"/>
                <w:color w:val="auto"/>
                <w:sz w:val="24"/>
                <w:highlight w:val="none"/>
                <w:lang w:val="zh-CN"/>
              </w:rPr>
              <w:t>演示视频须制作成U盘（</w:t>
            </w:r>
            <w:r>
              <w:rPr>
                <w:rFonts w:hint="eastAsia" w:ascii="仿宋_GB2312" w:hAnsi="仿宋" w:eastAsia="仿宋_GB2312" w:cs="仿宋_GB2312"/>
                <w:b/>
                <w:bCs w:val="0"/>
                <w:color w:val="auto"/>
                <w:sz w:val="24"/>
                <w:highlight w:val="none"/>
                <w:lang w:val="en-US" w:eastAsia="zh-CN"/>
              </w:rPr>
              <w:t>时间不超过15分钟</w:t>
            </w:r>
            <w:r>
              <w:rPr>
                <w:rFonts w:hint="eastAsia" w:ascii="仿宋_GB2312" w:hAnsi="仿宋" w:eastAsia="仿宋_GB2312" w:cs="仿宋_GB2312"/>
                <w:b/>
                <w:bCs w:val="0"/>
                <w:color w:val="auto"/>
                <w:sz w:val="24"/>
                <w:highlight w:val="none"/>
                <w:lang w:val="zh-CN"/>
              </w:rPr>
              <w:t>），在投标截止前密封提交至采购代理机构（</w:t>
            </w:r>
            <w:r>
              <w:rPr>
                <w:rFonts w:hint="eastAsia" w:ascii="仿宋_GB2312" w:hAnsi="仿宋" w:eastAsia="仿宋_GB2312" w:cs="仿宋_GB2312"/>
                <w:b/>
                <w:bCs w:val="0"/>
                <w:color w:val="auto"/>
                <w:sz w:val="24"/>
                <w:highlight w:val="none"/>
                <w:lang w:val="en-US" w:eastAsia="zh-CN"/>
              </w:rPr>
              <w:t>浙江中审工程咨询有限公司</w:t>
            </w:r>
            <w:r>
              <w:rPr>
                <w:rFonts w:hint="eastAsia" w:ascii="仿宋_GB2312" w:hAnsi="仿宋" w:eastAsia="仿宋_GB2312" w:cs="仿宋_GB2312"/>
                <w:b/>
                <w:bCs w:val="0"/>
                <w:color w:val="auto"/>
                <w:sz w:val="24"/>
                <w:highlight w:val="none"/>
                <w:lang w:val="zh-CN"/>
              </w:rPr>
              <w:t>（</w:t>
            </w:r>
            <w:r>
              <w:rPr>
                <w:rFonts w:hint="eastAsia" w:ascii="仿宋_GB2312" w:hAnsi="仿宋" w:eastAsia="仿宋_GB2312" w:cs="仿宋_GB2312"/>
                <w:b/>
                <w:bCs w:val="0"/>
                <w:color w:val="auto"/>
                <w:sz w:val="24"/>
                <w:highlight w:val="none"/>
                <w:lang w:val="en-US" w:eastAsia="zh-CN"/>
              </w:rPr>
              <w:t>临安区临水路328号铂盛汇1-1幢202</w:t>
            </w:r>
            <w:r>
              <w:rPr>
                <w:rFonts w:hint="eastAsia" w:ascii="仿宋_GB2312" w:hAnsi="仿宋" w:eastAsia="仿宋_GB2312" w:cs="仿宋_GB2312"/>
                <w:b/>
                <w:bCs w:val="0"/>
                <w:color w:val="auto"/>
                <w:sz w:val="24"/>
                <w:highlight w:val="none"/>
                <w:lang w:val="zh-CN"/>
              </w:rPr>
              <w:t>），</w:t>
            </w:r>
            <w:r>
              <w:rPr>
                <w:rFonts w:hint="eastAsia" w:ascii="仿宋_GB2312" w:hAnsi="仿宋" w:eastAsia="仿宋_GB2312" w:cs="仿宋_GB2312"/>
                <w:b/>
                <w:bCs w:val="0"/>
                <w:color w:val="auto"/>
                <w:sz w:val="24"/>
                <w:highlight w:val="none"/>
                <w:lang w:val="en-US" w:eastAsia="zh-CN"/>
              </w:rPr>
              <w:t>也可邮寄但最终以签收人签收时间为准，</w:t>
            </w:r>
            <w:r>
              <w:rPr>
                <w:rFonts w:hint="eastAsia" w:ascii="仿宋_GB2312" w:hAnsi="仿宋" w:eastAsia="仿宋_GB2312" w:cs="仿宋_GB2312"/>
                <w:b/>
                <w:bCs w:val="0"/>
                <w:color w:val="auto"/>
                <w:sz w:val="24"/>
                <w:highlight w:val="none"/>
                <w:lang w:val="zh-CN"/>
              </w:rPr>
              <w:t>逾期拒收。演示内容如下（PPT、Word演示或未提供演示不得分）</w:t>
            </w:r>
          </w:p>
          <w:p>
            <w:pPr>
              <w:spacing w:line="360" w:lineRule="auto"/>
              <w:outlineLvl w:val="0"/>
              <w:rPr>
                <w:rFonts w:hint="eastAsia" w:ascii="仿宋" w:hAnsi="仿宋" w:eastAsia="仿宋" w:cs="仿宋"/>
                <w:color w:val="auto"/>
                <w:sz w:val="24"/>
                <w:szCs w:val="24"/>
                <w:highlight w:val="none"/>
              </w:rPr>
            </w:pPr>
            <w:r>
              <w:rPr>
                <w:rFonts w:hint="eastAsia" w:ascii="仿宋" w:hAnsi="仿宋" w:eastAsia="仿宋" w:cs="仿宋_GB2312"/>
                <w:b/>
                <w:bCs w:val="0"/>
                <w:color w:val="auto"/>
                <w:sz w:val="24"/>
                <w:highlight w:val="none"/>
                <w:lang w:val="en-US" w:eastAsia="zh-Hans"/>
              </w:rPr>
              <w:t>注：演示视频需密封送达，评标阶段拆封演示，因响应方自身原因导致无法演示或者演示效果不理想的，责任自负。</w:t>
            </w:r>
          </w:p>
        </w:tc>
        <w:tc>
          <w:tcPr>
            <w:tcW w:w="1140" w:type="dxa"/>
            <w:vAlign w:val="center"/>
          </w:tcPr>
          <w:p>
            <w:pPr>
              <w:pStyle w:val="393"/>
              <w:spacing w:before="0"/>
              <w:ind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1245" w:type="dxa"/>
            <w:vAlign w:val="center"/>
          </w:tcPr>
          <w:p>
            <w:pPr>
              <w:spacing w:before="0"/>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c>
          <w:tcPr>
            <w:tcW w:w="1395" w:type="dxa"/>
            <w:vAlign w:val="center"/>
          </w:tcPr>
          <w:p>
            <w:pPr>
              <w:pStyle w:val="393"/>
              <w:spacing w:before="0"/>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十一、系统演示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restart"/>
            <w:vAlign w:val="center"/>
          </w:tcPr>
          <w:p>
            <w:pPr>
              <w:pStyle w:val="393"/>
              <w:spacing w:before="0"/>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4545" w:type="dxa"/>
            <w:vAlign w:val="center"/>
          </w:tcPr>
          <w:p>
            <w:pPr>
              <w:pStyle w:val="393"/>
              <w:spacing w:before="0"/>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投标人具有有效的质量管理体系认证证书、信息安全管理体系认证证书、信息技术服务管理体系认证证书、环境管理体系认证证书，上述证书认证范围均须包含地理信息数据工程。每提供一项证书得1分，总计4分，没有不得分；</w:t>
            </w:r>
          </w:p>
          <w:p>
            <w:pPr>
              <w:pStyle w:val="393"/>
              <w:spacing w:before="0"/>
              <w:ind w:left="0" w:leftChars="0" w:firstLine="0" w:firstLineChars="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提供相关证书扫描件，未提供不得分</w:t>
            </w:r>
            <w:r>
              <w:rPr>
                <w:rFonts w:hint="eastAsia" w:ascii="仿宋" w:hAnsi="仿宋" w:eastAsia="仿宋" w:cs="仿宋"/>
                <w:color w:val="auto"/>
                <w:sz w:val="24"/>
                <w:szCs w:val="24"/>
                <w:highlight w:val="none"/>
                <w:lang w:eastAsia="zh-CN"/>
              </w:rPr>
              <w:t>）</w:t>
            </w:r>
          </w:p>
        </w:tc>
        <w:tc>
          <w:tcPr>
            <w:tcW w:w="1140" w:type="dxa"/>
            <w:vAlign w:val="center"/>
          </w:tcPr>
          <w:p>
            <w:pPr>
              <w:pStyle w:val="393"/>
              <w:spacing w:before="0"/>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245" w:type="dxa"/>
            <w:vAlign w:val="center"/>
          </w:tcPr>
          <w:p>
            <w:pPr>
              <w:spacing w:before="0"/>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客观分</w:t>
            </w:r>
          </w:p>
        </w:tc>
        <w:tc>
          <w:tcPr>
            <w:tcW w:w="1395" w:type="dxa"/>
            <w:vMerge w:val="restart"/>
            <w:vAlign w:val="center"/>
          </w:tcPr>
          <w:p>
            <w:pPr>
              <w:pStyle w:val="393"/>
              <w:spacing w:before="0"/>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十二、企业实力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vAlign w:val="center"/>
          </w:tcPr>
          <w:p>
            <w:pPr>
              <w:pStyle w:val="393"/>
              <w:spacing w:before="0"/>
              <w:ind w:firstLine="0" w:firstLineChars="0"/>
              <w:jc w:val="center"/>
              <w:rPr>
                <w:rFonts w:hint="eastAsia" w:ascii="仿宋" w:hAnsi="仿宋" w:eastAsia="仿宋" w:cs="仿宋"/>
                <w:color w:val="auto"/>
                <w:sz w:val="24"/>
                <w:szCs w:val="24"/>
                <w:highlight w:val="none"/>
              </w:rPr>
            </w:pPr>
          </w:p>
        </w:tc>
        <w:tc>
          <w:tcPr>
            <w:tcW w:w="4545" w:type="dxa"/>
            <w:vAlign w:val="center"/>
          </w:tcPr>
          <w:p>
            <w:pPr>
              <w:pStyle w:val="393"/>
              <w:spacing w:before="0"/>
              <w:ind w:left="0" w:leftChars="0"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2.投标人具有有效的CMMI能力成熟度集成模型优化管理级证书，CMMI5级得3分，CMMI4级得2分，CMMI3级</w:t>
            </w:r>
            <w:r>
              <w:rPr>
                <w:rFonts w:hint="eastAsia" w:ascii="仿宋" w:hAnsi="仿宋" w:eastAsia="仿宋" w:cs="仿宋"/>
                <w:color w:val="auto"/>
                <w:sz w:val="24"/>
                <w:szCs w:val="24"/>
                <w:highlight w:val="none"/>
                <w:lang w:val="en-US" w:eastAsia="zh-CN"/>
              </w:rPr>
              <w:t>及以下的</w:t>
            </w:r>
            <w:r>
              <w:rPr>
                <w:rFonts w:hint="eastAsia" w:ascii="仿宋" w:hAnsi="仿宋" w:eastAsia="仿宋" w:cs="仿宋"/>
                <w:color w:val="auto"/>
                <w:sz w:val="24"/>
                <w:szCs w:val="24"/>
                <w:highlight w:val="none"/>
              </w:rPr>
              <w:t>得1分</w:t>
            </w:r>
            <w:r>
              <w:rPr>
                <w:rFonts w:hint="eastAsia" w:ascii="仿宋" w:hAnsi="仿宋" w:eastAsia="仿宋" w:cs="仿宋"/>
                <w:color w:val="auto"/>
                <w:sz w:val="24"/>
                <w:szCs w:val="24"/>
                <w:highlight w:val="none"/>
                <w:lang w:eastAsia="zh-CN"/>
              </w:rPr>
              <w:t>；</w:t>
            </w:r>
          </w:p>
        </w:tc>
        <w:tc>
          <w:tcPr>
            <w:tcW w:w="1140" w:type="dxa"/>
            <w:vAlign w:val="center"/>
          </w:tcPr>
          <w:p>
            <w:pPr>
              <w:pStyle w:val="393"/>
              <w:spacing w:before="0"/>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245" w:type="dxa"/>
            <w:vAlign w:val="center"/>
          </w:tcPr>
          <w:p>
            <w:pPr>
              <w:spacing w:before="0"/>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客观分</w:t>
            </w:r>
          </w:p>
        </w:tc>
        <w:tc>
          <w:tcPr>
            <w:tcW w:w="1395" w:type="dxa"/>
            <w:vMerge w:val="continue"/>
            <w:vAlign w:val="center"/>
          </w:tcPr>
          <w:p>
            <w:pPr>
              <w:pStyle w:val="393"/>
              <w:spacing w:before="0"/>
              <w:ind w:firstLine="0" w:firstLineChars="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vAlign w:val="center"/>
          </w:tcPr>
          <w:p>
            <w:pPr>
              <w:pStyle w:val="393"/>
              <w:spacing w:before="0"/>
              <w:ind w:firstLine="0" w:firstLineChars="0"/>
              <w:jc w:val="center"/>
              <w:rPr>
                <w:rFonts w:hint="eastAsia" w:ascii="仿宋" w:hAnsi="仿宋" w:eastAsia="仿宋" w:cs="仿宋"/>
                <w:color w:val="auto"/>
                <w:sz w:val="24"/>
                <w:szCs w:val="24"/>
                <w:highlight w:val="none"/>
              </w:rPr>
            </w:pPr>
          </w:p>
        </w:tc>
        <w:tc>
          <w:tcPr>
            <w:tcW w:w="4545" w:type="dxa"/>
            <w:vAlign w:val="center"/>
          </w:tcPr>
          <w:p>
            <w:pPr>
              <w:pStyle w:val="393"/>
              <w:spacing w:before="0"/>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3.投标人具有商品售后服务认证体系证书（认证范围须包含地理信息系统数据工程），五星级得3分，四星级得2分，三星级</w:t>
            </w:r>
            <w:r>
              <w:rPr>
                <w:rFonts w:hint="eastAsia" w:ascii="仿宋" w:hAnsi="仿宋" w:eastAsia="仿宋" w:cs="仿宋"/>
                <w:color w:val="auto"/>
                <w:sz w:val="24"/>
                <w:szCs w:val="24"/>
                <w:highlight w:val="none"/>
                <w:lang w:val="en-US" w:eastAsia="zh-CN"/>
              </w:rPr>
              <w:t>以下的</w:t>
            </w:r>
            <w:r>
              <w:rPr>
                <w:rFonts w:hint="eastAsia" w:ascii="仿宋" w:hAnsi="仿宋" w:eastAsia="仿宋" w:cs="仿宋"/>
                <w:color w:val="auto"/>
                <w:sz w:val="24"/>
                <w:szCs w:val="24"/>
                <w:highlight w:val="none"/>
              </w:rPr>
              <w:t>得1分，没有或认证范围不符合要</w:t>
            </w:r>
            <w:r>
              <w:rPr>
                <w:rFonts w:hint="eastAsia" w:ascii="仿宋" w:hAnsi="仿宋" w:eastAsia="仿宋" w:cs="仿宋"/>
                <w:color w:val="auto"/>
                <w:sz w:val="24"/>
                <w:szCs w:val="24"/>
                <w:highlight w:val="none"/>
                <w:lang w:val="en-US" w:eastAsia="zh-CN"/>
              </w:rPr>
              <w:t>的不得分</w:t>
            </w:r>
            <w:r>
              <w:rPr>
                <w:rFonts w:hint="eastAsia" w:ascii="仿宋" w:hAnsi="仿宋" w:eastAsia="仿宋" w:cs="仿宋"/>
                <w:color w:val="auto"/>
                <w:sz w:val="24"/>
                <w:szCs w:val="24"/>
                <w:highlight w:val="none"/>
              </w:rPr>
              <w:t>；</w:t>
            </w:r>
          </w:p>
        </w:tc>
        <w:tc>
          <w:tcPr>
            <w:tcW w:w="1140" w:type="dxa"/>
            <w:vAlign w:val="center"/>
          </w:tcPr>
          <w:p>
            <w:pPr>
              <w:pStyle w:val="393"/>
              <w:spacing w:before="0"/>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245" w:type="dxa"/>
            <w:vAlign w:val="center"/>
          </w:tcPr>
          <w:p>
            <w:pPr>
              <w:spacing w:before="0"/>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客观分</w:t>
            </w:r>
          </w:p>
        </w:tc>
        <w:tc>
          <w:tcPr>
            <w:tcW w:w="1395" w:type="dxa"/>
            <w:vMerge w:val="continue"/>
            <w:vAlign w:val="center"/>
          </w:tcPr>
          <w:p>
            <w:pPr>
              <w:pStyle w:val="393"/>
              <w:spacing w:before="0"/>
              <w:ind w:firstLine="0" w:firstLineChars="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3"/>
              <w:spacing w:before="0"/>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4545" w:type="dxa"/>
            <w:vAlign w:val="center"/>
          </w:tcPr>
          <w:p>
            <w:pPr>
              <w:pStyle w:val="393"/>
              <w:spacing w:before="0"/>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1.投标人拥有物业维修资金管理软件计算机软件著作权登记证书，得1分。</w:t>
            </w:r>
          </w:p>
          <w:p>
            <w:pPr>
              <w:pStyle w:val="393"/>
              <w:spacing w:before="0"/>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2.投标人拥有房产信息录入软件计算机软件著作权登记证书的，得1分；</w:t>
            </w:r>
          </w:p>
          <w:p>
            <w:pPr>
              <w:pStyle w:val="393"/>
              <w:spacing w:before="0"/>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3.投标人拥有房产档案数字化加工软件计算机软件著作权登记证书的，得1分；</w:t>
            </w:r>
          </w:p>
          <w:p>
            <w:pPr>
              <w:pStyle w:val="393"/>
              <w:spacing w:before="0"/>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4.投标人拥有数字物业管理软件计算机软件著作权登记证书，得1分。</w:t>
            </w:r>
          </w:p>
          <w:p>
            <w:pPr>
              <w:pStyle w:val="393"/>
              <w:spacing w:before="0"/>
              <w:ind w:left="0" w:leftChars="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（提供相关证书扫描件，未提供不得分）</w:t>
            </w:r>
          </w:p>
        </w:tc>
        <w:tc>
          <w:tcPr>
            <w:tcW w:w="1140" w:type="dxa"/>
            <w:vAlign w:val="center"/>
          </w:tcPr>
          <w:p>
            <w:pPr>
              <w:pStyle w:val="393"/>
              <w:spacing w:before="0"/>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245" w:type="dxa"/>
            <w:vAlign w:val="center"/>
          </w:tcPr>
          <w:p>
            <w:pPr>
              <w:spacing w:before="0"/>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客观分</w:t>
            </w:r>
          </w:p>
        </w:tc>
        <w:tc>
          <w:tcPr>
            <w:tcW w:w="1395" w:type="dxa"/>
            <w:vAlign w:val="center"/>
          </w:tcPr>
          <w:p>
            <w:pPr>
              <w:pStyle w:val="393"/>
              <w:spacing w:before="0"/>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十三、著作权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restart"/>
            <w:vAlign w:val="center"/>
          </w:tcPr>
          <w:p>
            <w:pPr>
              <w:pStyle w:val="393"/>
              <w:spacing w:before="0"/>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4545" w:type="dxa"/>
            <w:vAlign w:val="center"/>
          </w:tcPr>
          <w:p>
            <w:pPr>
              <w:pStyle w:val="393"/>
              <w:spacing w:before="0"/>
              <w:ind w:left="0" w:leftChars="0"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拟派本项目负责人</w:t>
            </w:r>
            <w:r>
              <w:rPr>
                <w:rFonts w:hint="eastAsia" w:ascii="仿宋" w:hAnsi="仿宋" w:eastAsia="仿宋" w:cs="仿宋"/>
                <w:color w:val="auto"/>
                <w:sz w:val="24"/>
                <w:szCs w:val="24"/>
                <w:highlight w:val="none"/>
              </w:rPr>
              <w:t>同时具备信息系统项目管理师证书、系统集成项目管理工程师证书，得2分，否则不得分。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提供相关证书扫描件及本单位社保缴纳证明</w:t>
            </w:r>
            <w:r>
              <w:rPr>
                <w:rFonts w:hint="eastAsia" w:ascii="仿宋" w:hAnsi="仿宋" w:eastAsia="仿宋" w:cs="仿宋"/>
                <w:color w:val="auto"/>
                <w:sz w:val="24"/>
                <w:szCs w:val="24"/>
                <w:highlight w:val="none"/>
                <w:lang w:eastAsia="zh-CN"/>
              </w:rPr>
              <w:t>）</w:t>
            </w:r>
          </w:p>
        </w:tc>
        <w:tc>
          <w:tcPr>
            <w:tcW w:w="1140" w:type="dxa"/>
            <w:vAlign w:val="center"/>
          </w:tcPr>
          <w:p>
            <w:pPr>
              <w:pStyle w:val="393"/>
              <w:spacing w:before="0"/>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245" w:type="dxa"/>
            <w:vAlign w:val="center"/>
          </w:tcPr>
          <w:p>
            <w:pPr>
              <w:spacing w:before="0"/>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客观分</w:t>
            </w:r>
          </w:p>
        </w:tc>
        <w:tc>
          <w:tcPr>
            <w:tcW w:w="1395" w:type="dxa"/>
            <w:vMerge w:val="restart"/>
            <w:vAlign w:val="center"/>
          </w:tcPr>
          <w:p>
            <w:pPr>
              <w:pStyle w:val="393"/>
              <w:spacing w:before="0"/>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十四、</w:t>
            </w:r>
            <w:r>
              <w:rPr>
                <w:rFonts w:hint="eastAsia" w:ascii="仿宋" w:hAnsi="仿宋" w:eastAsia="仿宋" w:cs="仿宋"/>
                <w:color w:val="auto"/>
                <w:sz w:val="24"/>
                <w:szCs w:val="24"/>
                <w:highlight w:val="none"/>
              </w:rPr>
              <w:t>项目实施人员实力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vAlign w:val="center"/>
          </w:tcPr>
          <w:p>
            <w:pPr>
              <w:pStyle w:val="393"/>
              <w:spacing w:before="0"/>
              <w:ind w:firstLine="0" w:firstLineChars="0"/>
              <w:jc w:val="center"/>
              <w:rPr>
                <w:rFonts w:hint="eastAsia" w:ascii="仿宋" w:hAnsi="仿宋" w:eastAsia="仿宋" w:cs="仿宋"/>
                <w:color w:val="auto"/>
                <w:sz w:val="24"/>
                <w:szCs w:val="24"/>
                <w:highlight w:val="none"/>
              </w:rPr>
            </w:pPr>
          </w:p>
        </w:tc>
        <w:tc>
          <w:tcPr>
            <w:tcW w:w="4545" w:type="dxa"/>
            <w:vAlign w:val="center"/>
          </w:tcPr>
          <w:p>
            <w:pPr>
              <w:pStyle w:val="393"/>
              <w:spacing w:before="0"/>
              <w:ind w:left="0" w:leftChars="0"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拟派本项目</w:t>
            </w:r>
            <w:r>
              <w:rPr>
                <w:rFonts w:hint="eastAsia" w:ascii="仿宋" w:hAnsi="仿宋" w:eastAsia="仿宋" w:cs="仿宋"/>
                <w:color w:val="auto"/>
                <w:sz w:val="24"/>
                <w:szCs w:val="24"/>
                <w:highlight w:val="none"/>
              </w:rPr>
              <w:t>组实施人员中持有以下证书：信息系统项目管理师，数据库系统工程师、GIS应用技术证书，每人得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分，合计5分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提供相关证书扫描件及本单位社保缴纳证明</w:t>
            </w:r>
            <w:r>
              <w:rPr>
                <w:rFonts w:hint="eastAsia" w:ascii="仿宋" w:hAnsi="仿宋" w:eastAsia="仿宋" w:cs="仿宋"/>
                <w:color w:val="auto"/>
                <w:sz w:val="24"/>
                <w:szCs w:val="24"/>
                <w:highlight w:val="none"/>
                <w:lang w:eastAsia="zh-CN"/>
              </w:rPr>
              <w:t>）</w:t>
            </w:r>
          </w:p>
        </w:tc>
        <w:tc>
          <w:tcPr>
            <w:tcW w:w="1140" w:type="dxa"/>
            <w:vAlign w:val="center"/>
          </w:tcPr>
          <w:p>
            <w:pPr>
              <w:pStyle w:val="393"/>
              <w:spacing w:before="0"/>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245" w:type="dxa"/>
            <w:vAlign w:val="center"/>
          </w:tcPr>
          <w:p>
            <w:pPr>
              <w:spacing w:before="0"/>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客观分</w:t>
            </w:r>
          </w:p>
        </w:tc>
        <w:tc>
          <w:tcPr>
            <w:tcW w:w="1395" w:type="dxa"/>
            <w:vMerge w:val="continue"/>
            <w:vAlign w:val="center"/>
          </w:tcPr>
          <w:p>
            <w:pPr>
              <w:pStyle w:val="393"/>
              <w:spacing w:before="0"/>
              <w:ind w:firstLine="0" w:firstLineChars="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vAlign w:val="center"/>
          </w:tcPr>
          <w:p>
            <w:pPr>
              <w:pStyle w:val="393"/>
              <w:spacing w:before="0"/>
              <w:ind w:firstLine="0" w:firstLineChars="0"/>
              <w:jc w:val="center"/>
              <w:rPr>
                <w:rFonts w:hint="eastAsia" w:ascii="仿宋" w:hAnsi="仿宋" w:eastAsia="仿宋" w:cs="仿宋"/>
                <w:color w:val="auto"/>
                <w:sz w:val="24"/>
                <w:szCs w:val="24"/>
                <w:highlight w:val="none"/>
              </w:rPr>
            </w:pPr>
          </w:p>
        </w:tc>
        <w:tc>
          <w:tcPr>
            <w:tcW w:w="4545" w:type="dxa"/>
            <w:vAlign w:val="center"/>
          </w:tcPr>
          <w:p>
            <w:pPr>
              <w:pStyle w:val="393"/>
              <w:spacing w:before="0"/>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拟派本</w:t>
            </w:r>
            <w:r>
              <w:rPr>
                <w:rFonts w:hint="eastAsia" w:ascii="仿宋" w:hAnsi="仿宋" w:eastAsia="仿宋" w:cs="仿宋"/>
                <w:color w:val="auto"/>
                <w:sz w:val="24"/>
                <w:szCs w:val="24"/>
                <w:highlight w:val="none"/>
              </w:rPr>
              <w:t>项目组实施人员中持省级档案信息安全保密培训证书、每人得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分，合计2分。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提供相关证书扫描件及本单位社保缴纳证明</w:t>
            </w:r>
            <w:r>
              <w:rPr>
                <w:rFonts w:hint="eastAsia" w:ascii="仿宋" w:hAnsi="仿宋" w:eastAsia="仿宋" w:cs="仿宋"/>
                <w:color w:val="auto"/>
                <w:sz w:val="24"/>
                <w:szCs w:val="24"/>
                <w:highlight w:val="none"/>
                <w:lang w:eastAsia="zh-CN"/>
              </w:rPr>
              <w:t>）</w:t>
            </w:r>
          </w:p>
        </w:tc>
        <w:tc>
          <w:tcPr>
            <w:tcW w:w="1140" w:type="dxa"/>
            <w:vAlign w:val="center"/>
          </w:tcPr>
          <w:p>
            <w:pPr>
              <w:pStyle w:val="393"/>
              <w:spacing w:before="0"/>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245" w:type="dxa"/>
            <w:vAlign w:val="center"/>
          </w:tcPr>
          <w:p>
            <w:pPr>
              <w:spacing w:before="0"/>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客观分</w:t>
            </w:r>
          </w:p>
        </w:tc>
        <w:tc>
          <w:tcPr>
            <w:tcW w:w="1395" w:type="dxa"/>
            <w:vMerge w:val="continue"/>
            <w:vAlign w:val="center"/>
          </w:tcPr>
          <w:p>
            <w:pPr>
              <w:pStyle w:val="393"/>
              <w:spacing w:before="0"/>
              <w:ind w:firstLine="0" w:firstLineChars="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vAlign w:val="center"/>
          </w:tcPr>
          <w:p>
            <w:pPr>
              <w:pStyle w:val="393"/>
              <w:spacing w:before="0"/>
              <w:ind w:firstLine="0" w:firstLineChars="0"/>
              <w:jc w:val="center"/>
              <w:rPr>
                <w:rFonts w:hint="eastAsia" w:ascii="仿宋" w:hAnsi="仿宋" w:eastAsia="仿宋" w:cs="仿宋"/>
                <w:color w:val="auto"/>
                <w:sz w:val="24"/>
                <w:szCs w:val="24"/>
                <w:highlight w:val="none"/>
              </w:rPr>
            </w:pPr>
          </w:p>
        </w:tc>
        <w:tc>
          <w:tcPr>
            <w:tcW w:w="4545" w:type="dxa"/>
            <w:vAlign w:val="center"/>
          </w:tcPr>
          <w:p>
            <w:pPr>
              <w:pStyle w:val="393"/>
              <w:spacing w:before="0"/>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拟派本</w:t>
            </w:r>
            <w:r>
              <w:rPr>
                <w:rFonts w:hint="eastAsia" w:ascii="仿宋" w:hAnsi="仿宋" w:eastAsia="仿宋" w:cs="仿宋"/>
                <w:color w:val="auto"/>
                <w:sz w:val="24"/>
                <w:szCs w:val="24"/>
                <w:highlight w:val="none"/>
              </w:rPr>
              <w:t>项目组实施人员中持有省级档案管理岗位证书每人得0.5分，合计2分。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提供相关证书扫描件及本单位社保缴纳证明</w:t>
            </w:r>
            <w:r>
              <w:rPr>
                <w:rFonts w:hint="eastAsia" w:ascii="仿宋" w:hAnsi="仿宋" w:eastAsia="仿宋" w:cs="仿宋"/>
                <w:color w:val="auto"/>
                <w:sz w:val="24"/>
                <w:szCs w:val="24"/>
                <w:highlight w:val="none"/>
                <w:lang w:eastAsia="zh-CN"/>
              </w:rPr>
              <w:t>）</w:t>
            </w:r>
          </w:p>
        </w:tc>
        <w:tc>
          <w:tcPr>
            <w:tcW w:w="1140" w:type="dxa"/>
            <w:vAlign w:val="center"/>
          </w:tcPr>
          <w:p>
            <w:pPr>
              <w:pStyle w:val="393"/>
              <w:spacing w:before="0"/>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245" w:type="dxa"/>
            <w:vAlign w:val="center"/>
          </w:tcPr>
          <w:p>
            <w:pPr>
              <w:spacing w:before="0"/>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客观分</w:t>
            </w:r>
          </w:p>
        </w:tc>
        <w:tc>
          <w:tcPr>
            <w:tcW w:w="1395" w:type="dxa"/>
            <w:vMerge w:val="continue"/>
            <w:vAlign w:val="center"/>
          </w:tcPr>
          <w:p>
            <w:pPr>
              <w:pStyle w:val="393"/>
              <w:spacing w:before="0"/>
              <w:ind w:firstLine="0" w:firstLineChars="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vAlign w:val="center"/>
          </w:tcPr>
          <w:p>
            <w:pPr>
              <w:pStyle w:val="393"/>
              <w:spacing w:before="0"/>
              <w:ind w:firstLine="0" w:firstLineChars="0"/>
              <w:jc w:val="center"/>
              <w:rPr>
                <w:rFonts w:hint="eastAsia" w:ascii="仿宋" w:hAnsi="仿宋" w:eastAsia="仿宋" w:cs="仿宋"/>
                <w:color w:val="auto"/>
                <w:sz w:val="24"/>
                <w:szCs w:val="24"/>
                <w:highlight w:val="none"/>
              </w:rPr>
            </w:pPr>
          </w:p>
        </w:tc>
        <w:tc>
          <w:tcPr>
            <w:tcW w:w="4545" w:type="dxa"/>
            <w:vAlign w:val="center"/>
          </w:tcPr>
          <w:p>
            <w:pPr>
              <w:pStyle w:val="393"/>
              <w:spacing w:before="0"/>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拟派本</w:t>
            </w:r>
            <w:r>
              <w:rPr>
                <w:rFonts w:hint="eastAsia" w:ascii="仿宋" w:hAnsi="仿宋" w:eastAsia="仿宋" w:cs="仿宋"/>
                <w:color w:val="auto"/>
                <w:sz w:val="24"/>
                <w:szCs w:val="24"/>
                <w:highlight w:val="none"/>
              </w:rPr>
              <w:t>项目组实施人员中持有省级档案管理业务证书、每人得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分，合计</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p>
            <w:pPr>
              <w:pStyle w:val="393"/>
              <w:spacing w:before="0"/>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提供相关证书扫描件及本单位社保缴纳证明</w:t>
            </w:r>
            <w:r>
              <w:rPr>
                <w:rFonts w:hint="eastAsia" w:ascii="仿宋" w:hAnsi="仿宋" w:eastAsia="仿宋" w:cs="仿宋"/>
                <w:color w:val="auto"/>
                <w:sz w:val="24"/>
                <w:szCs w:val="24"/>
                <w:highlight w:val="none"/>
                <w:lang w:eastAsia="zh-CN"/>
              </w:rPr>
              <w:t>）</w:t>
            </w:r>
          </w:p>
        </w:tc>
        <w:tc>
          <w:tcPr>
            <w:tcW w:w="1140" w:type="dxa"/>
            <w:vAlign w:val="center"/>
          </w:tcPr>
          <w:p>
            <w:pPr>
              <w:pStyle w:val="393"/>
              <w:spacing w:before="0"/>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245" w:type="dxa"/>
            <w:vAlign w:val="center"/>
          </w:tcPr>
          <w:p>
            <w:pPr>
              <w:spacing w:before="0"/>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客观分</w:t>
            </w:r>
          </w:p>
        </w:tc>
        <w:tc>
          <w:tcPr>
            <w:tcW w:w="1395" w:type="dxa"/>
            <w:vMerge w:val="continue"/>
            <w:vAlign w:val="center"/>
          </w:tcPr>
          <w:p>
            <w:pPr>
              <w:pStyle w:val="393"/>
              <w:spacing w:before="0"/>
              <w:ind w:firstLine="0" w:firstLineChars="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3"/>
              <w:spacing w:before="0"/>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4545" w:type="dxa"/>
            <w:vAlign w:val="center"/>
          </w:tcPr>
          <w:p>
            <w:pPr>
              <w:pStyle w:val="393"/>
              <w:spacing w:before="0"/>
              <w:ind w:left="0" w:leftChars="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投标人自2018年1月1日以来具有类似房产数据整理、房产GIS建库类项目的成功案例，每个案例得0.25分，最多得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提供相关合同扫描件，未提供不得分</w:t>
            </w:r>
            <w:r>
              <w:rPr>
                <w:rFonts w:hint="eastAsia" w:ascii="仿宋" w:hAnsi="仿宋" w:eastAsia="仿宋" w:cs="仿宋"/>
                <w:color w:val="auto"/>
                <w:sz w:val="24"/>
                <w:szCs w:val="24"/>
                <w:highlight w:val="none"/>
                <w:lang w:eastAsia="zh-CN"/>
              </w:rPr>
              <w:t>）</w:t>
            </w:r>
          </w:p>
        </w:tc>
        <w:tc>
          <w:tcPr>
            <w:tcW w:w="1140" w:type="dxa"/>
            <w:vAlign w:val="center"/>
          </w:tcPr>
          <w:p>
            <w:pPr>
              <w:pStyle w:val="393"/>
              <w:spacing w:before="0"/>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245" w:type="dxa"/>
            <w:vAlign w:val="center"/>
          </w:tcPr>
          <w:p>
            <w:pPr>
              <w:pStyle w:val="393"/>
              <w:spacing w:before="0"/>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c>
          <w:tcPr>
            <w:tcW w:w="1395" w:type="dxa"/>
            <w:vAlign w:val="center"/>
          </w:tcPr>
          <w:p>
            <w:pPr>
              <w:pStyle w:val="393"/>
              <w:spacing w:before="0"/>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十五、项目案例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3"/>
              <w:spacing w:before="0"/>
              <w:ind w:firstLine="0" w:firstLineChars="0"/>
              <w:jc w:val="center"/>
              <w:rPr>
                <w:rFonts w:hint="eastAsia" w:ascii="仿宋" w:hAnsi="仿宋" w:eastAsia="仿宋" w:cs="仿宋"/>
                <w:color w:val="auto"/>
                <w:sz w:val="24"/>
                <w:szCs w:val="24"/>
                <w:highlight w:val="none"/>
              </w:rPr>
            </w:pPr>
          </w:p>
        </w:tc>
        <w:tc>
          <w:tcPr>
            <w:tcW w:w="4545" w:type="dxa"/>
            <w:vAlign w:val="center"/>
          </w:tcPr>
          <w:p>
            <w:pPr>
              <w:spacing w:line="36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有效最后报价的最低价作为评审基准价，其最低报价为满分；按［最后报价得分=（评审基准价/最后报价）*10］的计算公式计算。</w:t>
            </w:r>
          </w:p>
          <w:p>
            <w:pPr>
              <w:widowControl/>
              <w:shd w:val="clear" w:color="auto" w:fill="FFFFFF"/>
              <w:adjustRightInd/>
              <w:spacing w:after="225" w:line="315" w:lineRule="atLeas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评审过程中，不得去掉报价中的最高报价和最低报价。</w:t>
            </w:r>
          </w:p>
        </w:tc>
        <w:tc>
          <w:tcPr>
            <w:tcW w:w="1140" w:type="dxa"/>
            <w:vAlign w:val="center"/>
          </w:tcPr>
          <w:p>
            <w:pPr>
              <w:pStyle w:val="393"/>
              <w:spacing w:before="0"/>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245" w:type="dxa"/>
            <w:vAlign w:val="center"/>
          </w:tcPr>
          <w:p>
            <w:pPr>
              <w:pStyle w:val="393"/>
              <w:spacing w:before="0"/>
              <w:ind w:firstLine="0" w:firstLineChars="0"/>
              <w:jc w:val="center"/>
              <w:rPr>
                <w:rFonts w:hint="eastAsia" w:ascii="仿宋" w:hAnsi="仿宋" w:eastAsia="仿宋" w:cs="仿宋"/>
                <w:color w:val="auto"/>
                <w:sz w:val="24"/>
                <w:szCs w:val="24"/>
                <w:highlight w:val="none"/>
              </w:rPr>
            </w:pPr>
          </w:p>
        </w:tc>
        <w:tc>
          <w:tcPr>
            <w:tcW w:w="1395" w:type="dxa"/>
            <w:vAlign w:val="center"/>
          </w:tcPr>
          <w:p>
            <w:pPr>
              <w:pStyle w:val="393"/>
              <w:spacing w:before="0"/>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bl>
    <w:p>
      <w:pPr>
        <w:adjustRightInd/>
        <w:spacing w:line="360" w:lineRule="auto"/>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“*”备注：供应商编制响应文件时，建议按此目录（序号和内容）提供评审标准相应的商务技术资料。</w:t>
      </w:r>
    </w:p>
    <w:p>
      <w:pPr>
        <w:adjustRightInd/>
        <w:spacing w:line="360" w:lineRule="auto"/>
        <w:ind w:firstLine="482" w:firstLineChars="200"/>
        <w:rPr>
          <w:rFonts w:hint="eastAsia" w:ascii="仿宋" w:hAnsi="仿宋" w:eastAsia="仿宋" w:cs="仿宋"/>
          <w:b/>
          <w:color w:val="auto"/>
          <w:kern w:val="0"/>
          <w:sz w:val="24"/>
          <w:highlight w:val="none"/>
        </w:rPr>
      </w:pPr>
    </w:p>
    <w:p>
      <w:pPr>
        <w:pStyle w:val="393"/>
        <w:spacing w:before="0"/>
        <w:ind w:firstLine="643"/>
        <w:jc w:val="center"/>
        <w:rPr>
          <w:rFonts w:hint="eastAsia" w:ascii="仿宋" w:hAnsi="仿宋" w:eastAsia="仿宋" w:cs="仿宋"/>
          <w:b/>
          <w:color w:val="auto"/>
          <w:sz w:val="32"/>
          <w:highlight w:val="none"/>
        </w:rPr>
      </w:pPr>
    </w:p>
    <w:p>
      <w:pPr>
        <w:pStyle w:val="393"/>
        <w:spacing w:before="0"/>
        <w:ind w:firstLine="643"/>
        <w:jc w:val="center"/>
        <w:rPr>
          <w:rFonts w:hint="eastAsia" w:ascii="仿宋" w:hAnsi="仿宋" w:eastAsia="仿宋" w:cs="仿宋"/>
          <w:b/>
          <w:color w:val="auto"/>
          <w:sz w:val="32"/>
          <w:highlight w:val="none"/>
        </w:rPr>
      </w:pPr>
    </w:p>
    <w:p>
      <w:pPr>
        <w:pStyle w:val="393"/>
        <w:spacing w:before="0"/>
        <w:ind w:firstLine="643"/>
        <w:jc w:val="center"/>
        <w:rPr>
          <w:rFonts w:hint="eastAsia" w:ascii="仿宋" w:hAnsi="仿宋" w:eastAsia="仿宋" w:cs="仿宋"/>
          <w:b/>
          <w:color w:val="auto"/>
          <w:sz w:val="32"/>
          <w:highlight w:val="none"/>
        </w:rPr>
      </w:pPr>
    </w:p>
    <w:p>
      <w:pPr>
        <w:pStyle w:val="393"/>
        <w:spacing w:before="0"/>
        <w:ind w:firstLine="643"/>
        <w:jc w:val="center"/>
        <w:rPr>
          <w:rFonts w:hint="eastAsia" w:ascii="仿宋" w:hAnsi="仿宋" w:eastAsia="仿宋" w:cs="仿宋"/>
          <w:b/>
          <w:color w:val="auto"/>
          <w:highlight w:val="none"/>
        </w:rPr>
      </w:pPr>
      <w:r>
        <w:rPr>
          <w:rFonts w:hint="eastAsia" w:ascii="仿宋" w:hAnsi="仿宋" w:eastAsia="仿宋" w:cs="仿宋"/>
          <w:b/>
          <w:color w:val="auto"/>
          <w:sz w:val="32"/>
          <w:highlight w:val="none"/>
        </w:rPr>
        <w:t>一、评审方法</w:t>
      </w:r>
    </w:p>
    <w:p>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1.综合评分法。</w:t>
      </w:r>
      <w:r>
        <w:rPr>
          <w:rFonts w:hint="eastAsia" w:ascii="仿宋" w:hAnsi="仿宋" w:eastAsia="仿宋" w:cs="仿宋"/>
          <w:color w:val="auto"/>
          <w:kern w:val="0"/>
          <w:sz w:val="24"/>
          <w:highlight w:val="none"/>
        </w:rPr>
        <w:t>综合评分法，是指响应文件满足磋商文件全部实质性要求，且按照评审因素的量化指标评审得分最高的供应商为成交候选人的评审方法。</w:t>
      </w:r>
    </w:p>
    <w:p>
      <w:pPr>
        <w:adjustRightInd/>
        <w:spacing w:line="360" w:lineRule="auto"/>
        <w:rPr>
          <w:rFonts w:hint="eastAsia" w:ascii="仿宋" w:hAnsi="仿宋" w:eastAsia="仿宋" w:cs="仿宋"/>
          <w:color w:val="auto"/>
          <w:kern w:val="0"/>
          <w:sz w:val="24"/>
          <w:highlight w:val="none"/>
        </w:rPr>
      </w:pPr>
    </w:p>
    <w:p>
      <w:pPr>
        <w:snapToGrid w:val="0"/>
        <w:spacing w:line="360" w:lineRule="auto"/>
        <w:ind w:left="120" w:leftChars="57" w:firstLine="42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28"/>
          <w:szCs w:val="28"/>
          <w:highlight w:val="none"/>
        </w:rPr>
        <w:t xml:space="preserve">   </w:t>
      </w:r>
      <w:r>
        <w:rPr>
          <w:rFonts w:hint="eastAsia" w:ascii="仿宋" w:hAnsi="仿宋" w:eastAsia="仿宋" w:cs="仿宋"/>
          <w:b/>
          <w:color w:val="auto"/>
          <w:sz w:val="32"/>
          <w:highlight w:val="none"/>
        </w:rPr>
        <w:t>二、磋商小组的组成</w:t>
      </w:r>
    </w:p>
    <w:p>
      <w:pPr>
        <w:pStyle w:val="393"/>
        <w:spacing w:before="0"/>
        <w:ind w:firstLine="0" w:firstLineChars="0"/>
        <w:rPr>
          <w:rFonts w:hint="eastAsia" w:ascii="仿宋" w:hAnsi="仿宋" w:eastAsia="仿宋" w:cs="仿宋"/>
          <w:b/>
          <w:color w:val="auto"/>
          <w:kern w:val="0"/>
          <w:highlight w:val="none"/>
        </w:rPr>
      </w:pPr>
      <w:r>
        <w:rPr>
          <w:rFonts w:hint="eastAsia" w:ascii="仿宋" w:hAnsi="仿宋" w:eastAsia="仿宋" w:cs="仿宋"/>
          <w:b/>
          <w:color w:val="auto"/>
          <w:kern w:val="0"/>
          <w:highlight w:val="none"/>
        </w:rPr>
        <w:t>1.磋商小组的组成。</w:t>
      </w:r>
    </w:p>
    <w:p>
      <w:pPr>
        <w:pStyle w:val="393"/>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人员不得参加本机构代理的采购项目的评审。</w:t>
      </w:r>
    </w:p>
    <w:p>
      <w:pPr>
        <w:pStyle w:val="393"/>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hint="eastAsia" w:ascii="仿宋" w:hAnsi="仿宋" w:eastAsia="仿宋" w:cs="仿宋"/>
          <w:b/>
          <w:color w:val="auto"/>
          <w:kern w:val="0"/>
          <w:sz w:val="24"/>
          <w:szCs w:val="20"/>
          <w:highlight w:val="none"/>
        </w:rPr>
      </w:pPr>
      <w:r>
        <w:rPr>
          <w:rFonts w:hint="eastAsia" w:ascii="仿宋" w:hAnsi="仿宋" w:eastAsia="仿宋" w:cs="仿宋"/>
          <w:b/>
          <w:color w:val="auto"/>
          <w:kern w:val="0"/>
          <w:sz w:val="24"/>
          <w:szCs w:val="20"/>
          <w:highlight w:val="none"/>
        </w:rPr>
        <w:t>2.磋商小组的组成人员的回避。</w:t>
      </w:r>
    </w:p>
    <w:p>
      <w:pPr>
        <w:pStyle w:val="393"/>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在政府采购活动中，磋商小组的组成人员与供应商有下列利害关系之一的，应当回避：</w:t>
      </w:r>
    </w:p>
    <w:p>
      <w:pPr>
        <w:pStyle w:val="393"/>
        <w:spacing w:before="0"/>
        <w:ind w:firstLine="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　　2.1参加采购活动前3年内与供应商存在劳动关系；</w:t>
      </w:r>
    </w:p>
    <w:p>
      <w:pPr>
        <w:pStyle w:val="393"/>
        <w:spacing w:before="0"/>
        <w:ind w:firstLine="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　　2.2参加采购活动前3年内担任供应商的董事、监事；</w:t>
      </w:r>
    </w:p>
    <w:p>
      <w:pPr>
        <w:pStyle w:val="393"/>
        <w:spacing w:before="0"/>
        <w:ind w:firstLine="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　　2.3参加采购活动前3年内是供应商的控股股东或者实际控制人；</w:t>
      </w:r>
    </w:p>
    <w:p>
      <w:pPr>
        <w:pStyle w:val="393"/>
        <w:spacing w:before="0"/>
        <w:ind w:firstLine="48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2.4与供应商的法定代表人或者负责人有夫妻、直系血亲、三代以内旁系血亲或者近姻亲关系；</w:t>
      </w:r>
    </w:p>
    <w:p>
      <w:pPr>
        <w:pStyle w:val="393"/>
        <w:spacing w:before="0"/>
        <w:ind w:firstLine="48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2.5与供应商有其他可能影响政府采购活动公平、公正进行的关系。</w:t>
      </w:r>
    </w:p>
    <w:p>
      <w:pPr>
        <w:snapToGrid w:val="0"/>
        <w:spacing w:line="360" w:lineRule="auto"/>
        <w:ind w:left="120" w:leftChars="57" w:firstLine="482" w:firstLineChars="150"/>
        <w:jc w:val="center"/>
        <w:rPr>
          <w:rFonts w:hint="eastAsia" w:ascii="仿宋" w:hAnsi="仿宋" w:eastAsia="仿宋" w:cs="仿宋"/>
          <w:b/>
          <w:color w:val="auto"/>
          <w:sz w:val="32"/>
          <w:highlight w:val="none"/>
        </w:rPr>
      </w:pPr>
    </w:p>
    <w:p>
      <w:pPr>
        <w:snapToGrid w:val="0"/>
        <w:spacing w:line="360" w:lineRule="auto"/>
        <w:ind w:left="120" w:leftChars="57" w:firstLine="482" w:firstLineChars="15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highlight w:val="none"/>
        </w:rPr>
        <w:t>三、磋商小组的职责</w:t>
      </w:r>
    </w:p>
    <w:p>
      <w:pPr>
        <w:pStyle w:val="393"/>
        <w:spacing w:before="0"/>
        <w:ind w:firstLine="0" w:firstLineChars="0"/>
        <w:rPr>
          <w:rFonts w:hint="eastAsia"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1.磋商小组负责具体评审事务，并独立履行下列职责：</w:t>
      </w:r>
    </w:p>
    <w:p>
      <w:pPr>
        <w:pStyle w:val="393"/>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1.1</w:t>
      </w:r>
      <w:r>
        <w:rPr>
          <w:rFonts w:hint="eastAsia" w:ascii="仿宋" w:hAnsi="仿宋" w:eastAsia="仿宋" w:cs="仿宋"/>
          <w:color w:val="auto"/>
          <w:szCs w:val="24"/>
          <w:highlight w:val="none"/>
        </w:rPr>
        <w:t>对供应商的资格进行审查；</w:t>
      </w:r>
      <w:r>
        <w:rPr>
          <w:rFonts w:hint="eastAsia" w:ascii="仿宋" w:hAnsi="仿宋" w:eastAsia="仿宋" w:cs="仿宋"/>
          <w:color w:val="auto"/>
          <w:highlight w:val="none"/>
        </w:rPr>
        <w:t>对响应文件的有效性、完整性和响应程度进行审查；</w:t>
      </w:r>
    </w:p>
    <w:p>
      <w:pPr>
        <w:pStyle w:val="393"/>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1.2审查、评价响应文件是否符合磋商文件的商务、技术等实质性要求；</w:t>
      </w:r>
    </w:p>
    <w:p>
      <w:pPr>
        <w:pStyle w:val="393"/>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1.3要求供应商对响应文件有关事项作出澄清、说明或者更正；</w:t>
      </w:r>
    </w:p>
    <w:p>
      <w:pPr>
        <w:pStyle w:val="393"/>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1.4磋商小组集中与单一供应商分别进行磋商；</w:t>
      </w:r>
    </w:p>
    <w:p>
      <w:pPr>
        <w:pStyle w:val="393"/>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1.5确定磋商文件的变动情况，并确定提交最后报价的供应商；</w:t>
      </w:r>
    </w:p>
    <w:p>
      <w:pPr>
        <w:pStyle w:val="393"/>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1.6根据磋商文件确定的评审办法及评审标准对提交最后报价的供应商的响应文件和最后报价采用综合评分法进行综合评分；</w:t>
      </w:r>
    </w:p>
    <w:p>
      <w:pPr>
        <w:pStyle w:val="393"/>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1.7编制评审报告，确定成交候选人名单，以及根据采购人委托直接确定成交人；</w:t>
      </w:r>
    </w:p>
    <w:p>
      <w:pPr>
        <w:pStyle w:val="393"/>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1.8向采购人、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或者有关部门报告评审中发现的违法行为；</w:t>
      </w:r>
    </w:p>
    <w:p>
      <w:pPr>
        <w:pStyle w:val="393"/>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1.9法律、法规、规章、磋商文件等规定的其它事项。</w:t>
      </w:r>
    </w:p>
    <w:p>
      <w:pPr>
        <w:pStyle w:val="393"/>
        <w:spacing w:before="0"/>
        <w:ind w:firstLine="0" w:firstLineChars="0"/>
        <w:rPr>
          <w:rFonts w:hint="eastAsia"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2.磋商小组及其成员不得有下列行为：</w:t>
      </w:r>
    </w:p>
    <w:p>
      <w:pPr>
        <w:pStyle w:val="393"/>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2.1确定参与本项目至评审结束前私自接触供应商；</w:t>
      </w:r>
    </w:p>
    <w:p>
      <w:pPr>
        <w:pStyle w:val="393"/>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2.2接受供应商提出的“超出响应文件的范围或者改变响应文件的实质性内容”的澄清、说明或者更正； </w:t>
      </w:r>
    </w:p>
    <w:p>
      <w:pPr>
        <w:pStyle w:val="393"/>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2.3违反评审纪律发表倾向性意见或者征询采购人的倾向性意见；</w:t>
      </w:r>
    </w:p>
    <w:p>
      <w:pPr>
        <w:pStyle w:val="393"/>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2.4对需要专业判断的主观评审因素协商评分；</w:t>
      </w:r>
    </w:p>
    <w:p>
      <w:pPr>
        <w:pStyle w:val="393"/>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2.5在评审过程中擅离职守，影响评审程序正常进行的；</w:t>
      </w:r>
    </w:p>
    <w:p>
      <w:pPr>
        <w:pStyle w:val="393"/>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2.6记录、复制或者带走任何评审资料；</w:t>
      </w:r>
    </w:p>
    <w:p>
      <w:pPr>
        <w:pStyle w:val="393"/>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2.7其他不遵守评审纪律的行为。</w:t>
      </w:r>
    </w:p>
    <w:p>
      <w:pPr>
        <w:pStyle w:val="393"/>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磋商小组成员有2.1-2.5行为之一的，其评审意见无效，并不得获取评审劳务报酬和报销异地评审差旅费。</w:t>
      </w:r>
    </w:p>
    <w:p>
      <w:pPr>
        <w:pStyle w:val="393"/>
        <w:spacing w:before="0"/>
        <w:ind w:firstLine="0" w:firstLineChars="0"/>
        <w:rPr>
          <w:rFonts w:hint="eastAsia" w:ascii="仿宋" w:hAnsi="仿宋" w:eastAsia="仿宋" w:cs="仿宋"/>
          <w:b/>
          <w:color w:val="auto"/>
          <w:highlight w:val="none"/>
        </w:rPr>
      </w:pPr>
    </w:p>
    <w:p>
      <w:pPr>
        <w:pStyle w:val="393"/>
        <w:spacing w:before="0"/>
        <w:ind w:firstLine="0" w:firstLineChars="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四、评审程序</w:t>
      </w:r>
    </w:p>
    <w:p>
      <w:pPr>
        <w:pStyle w:val="393"/>
        <w:spacing w:before="0"/>
        <w:ind w:firstLine="472" w:firstLineChars="196"/>
        <w:rPr>
          <w:rFonts w:hint="eastAsia" w:ascii="仿宋" w:hAnsi="仿宋" w:eastAsia="仿宋" w:cs="仿宋"/>
          <w:b/>
          <w:color w:val="auto"/>
          <w:highlight w:val="none"/>
        </w:rPr>
      </w:pPr>
      <w:r>
        <w:rPr>
          <w:rFonts w:hint="eastAsia" w:ascii="仿宋" w:hAnsi="仿宋" w:eastAsia="仿宋" w:cs="仿宋"/>
          <w:b/>
          <w:color w:val="auto"/>
          <w:highlight w:val="none"/>
        </w:rPr>
        <w:t>详见磋商文件“第二部分 竞争性磋商流程”。</w:t>
      </w:r>
    </w:p>
    <w:p>
      <w:pPr>
        <w:pStyle w:val="393"/>
        <w:spacing w:before="0"/>
        <w:ind w:firstLine="0" w:firstLineChars="0"/>
        <w:rPr>
          <w:rFonts w:hint="eastAsia" w:ascii="仿宋" w:hAnsi="仿宋" w:eastAsia="仿宋" w:cs="仿宋"/>
          <w:b/>
          <w:color w:val="auto"/>
          <w:highlight w:val="none"/>
        </w:rPr>
      </w:pPr>
    </w:p>
    <w:p>
      <w:pPr>
        <w:pStyle w:val="393"/>
        <w:spacing w:before="0"/>
        <w:ind w:firstLine="0" w:firstLineChars="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五、评审须知</w:t>
      </w:r>
    </w:p>
    <w:p>
      <w:pPr>
        <w:pStyle w:val="393"/>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 响应文件的澄清</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3"/>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highlight w:val="none"/>
        </w:rPr>
        <w:t>2.最后报价的修正原则</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磋商小组对响应文件的最后报价进行审核，对发现计算、书写等错误的，按以下原则进行修正：</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2.1《最后报价一览表》内容与响应文件中响应内容不一致的，以《最后报价一览表》为准;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2.2大写金额和小写金额不一致的，以大写金额为准;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2.3单价金额小数点或者百分比有明显错位的，以《最后报价一览表》的总价为准，并修改单价;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2.4总价金额与按单价汇总金额不一致的，以单价金额计算结果为准。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2.5同时出现两种以上不一致的，按照前款规定的顺序修正。</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2.6以修正后的总价作为最后报价。</w:t>
      </w:r>
    </w:p>
    <w:p>
      <w:pPr>
        <w:spacing w:line="360" w:lineRule="auto"/>
        <w:rPr>
          <w:rFonts w:hint="eastAsia" w:ascii="仿宋" w:hAnsi="仿宋" w:eastAsia="仿宋" w:cs="仿宋"/>
          <w:b/>
          <w:bCs/>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b/>
          <w:bCs/>
          <w:color w:val="auto"/>
          <w:sz w:val="24"/>
          <w:highlight w:val="none"/>
        </w:rPr>
        <w:t>供应商对根据修正原则修正后的最后报价不确认的，响应无效。</w:t>
      </w:r>
    </w:p>
    <w:p>
      <w:pPr>
        <w:pStyle w:val="393"/>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highlight w:val="none"/>
        </w:rPr>
        <w:t>3.</w:t>
      </w:r>
      <w:r>
        <w:rPr>
          <w:rFonts w:hint="eastAsia" w:ascii="仿宋" w:hAnsi="仿宋" w:eastAsia="仿宋" w:cs="仿宋"/>
          <w:b/>
          <w:color w:val="auto"/>
          <w:spacing w:val="20"/>
          <w:highlight w:val="none"/>
        </w:rPr>
        <w:t>响应无效</w:t>
      </w:r>
    </w:p>
    <w:p>
      <w:pPr>
        <w:pStyle w:val="23"/>
        <w:spacing w:line="360" w:lineRule="auto"/>
        <w:ind w:firstLine="600" w:firstLineChars="2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有下列情况之一的，响应无效：</w:t>
      </w:r>
    </w:p>
    <w:p>
      <w:pPr>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highlight w:val="none"/>
        </w:rPr>
        <w:t>3.1</w:t>
      </w:r>
      <w:r>
        <w:rPr>
          <w:rFonts w:hint="eastAsia" w:ascii="仿宋" w:hAnsi="仿宋" w:eastAsia="仿宋" w:cs="仿宋"/>
          <w:color w:val="auto"/>
          <w:sz w:val="24"/>
          <w:szCs w:val="21"/>
          <w:highlight w:val="none"/>
        </w:rPr>
        <w:t>单位负责人为同一人或者存在直接控股、管理关系的不同供应商参加同一合同项下的政府采购活动的（均无效）；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3.2为采购项目提供整体设计、规范编制或者项目管理、监理、检测等服务的供应商再参加该采购项目的其他采购活动的；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3.3供应商不具备磋商文件中规定的资格要求的（供应商未提供有效的资格证明文件的，视为供应商不具备磋商文件中规定的资格要求）；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3.4如以联合体形式参加政府采购活动的，联合协议不符合磋商文件规定的联合协议要求的；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3.5响应文件未按磋商文件的澄清、修改的内容编制，又不符合实质性要求的；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3.6响应文件组成漏项，内容不全或内容字迹模糊辨认不清的；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3.7响应文件中法人授权书所载内容与本项目内容有异的；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3.8响应文件未按照磋商文件要求签署、盖章的；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3.9</w:t>
      </w:r>
      <w:r>
        <w:rPr>
          <w:rFonts w:hint="eastAsia" w:ascii="仿宋" w:hAnsi="仿宋" w:eastAsia="仿宋" w:cs="仿宋"/>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3.10响应文件含有采购人不能接受的附加条件的；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3.11响应文件中承诺的响应有效期少于磋商文件中载明的响应有效期的；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3.12供应商所投内容不符合磋商文件中实质性要求的；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3.13所提交的《最后报价一览表》中出现不是唯一的、有选择性的报价的;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3.14最后报价高于本项目采购预算或者最高限价的;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3.15最后报价明显低于其他供应商的最后报价，有可能影响产品质量或者不能诚信履约的，未能按要求提供书面说明或者提交相关证明材料，不能证明其报价合理性的;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3.16《最后报价一览表》填写不完整或字迹不能辨认或有漏项的；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3.17供应商对根据修正原则修正后的最后报价不确认的；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3.18供应商提供虚假材料响应的（包括但不限于以下情节）；</w:t>
      </w:r>
    </w:p>
    <w:p>
      <w:pPr>
        <w:pStyle w:val="105"/>
        <w:numPr>
          <w:ilvl w:val="0"/>
          <w:numId w:val="10"/>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使用伪造、变造的许可证件；</w:t>
      </w:r>
    </w:p>
    <w:p>
      <w:pPr>
        <w:pStyle w:val="105"/>
        <w:numPr>
          <w:ilvl w:val="0"/>
          <w:numId w:val="10"/>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提供虚假的财务状况或者业绩；</w:t>
      </w:r>
    </w:p>
    <w:p>
      <w:pPr>
        <w:pStyle w:val="105"/>
        <w:numPr>
          <w:ilvl w:val="0"/>
          <w:numId w:val="10"/>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提供虚假的项目负责人或者主要技术人员简历、劳动关系证明；</w:t>
      </w:r>
    </w:p>
    <w:p>
      <w:pPr>
        <w:pStyle w:val="105"/>
        <w:numPr>
          <w:ilvl w:val="0"/>
          <w:numId w:val="10"/>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提供虚假的信用状况；</w:t>
      </w:r>
    </w:p>
    <w:p>
      <w:pPr>
        <w:pStyle w:val="105"/>
        <w:numPr>
          <w:ilvl w:val="0"/>
          <w:numId w:val="10"/>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其他弄虚作假的行为。</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3.19供应商有恶意串通、妨碍其他供应商的竞争行为、损害采购人或者其他供应商的合法权益情形的。</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有下列情形之一的，属于或视为恶意串通，其响应无效：</w:t>
      </w:r>
    </w:p>
    <w:p>
      <w:pPr>
        <w:pStyle w:val="105"/>
        <w:numPr>
          <w:ilvl w:val="0"/>
          <w:numId w:val="11"/>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供应商直接或者间接从采购人或者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处获得其他供应商的相关情况并修改其响应文件；</w:t>
      </w:r>
    </w:p>
    <w:p>
      <w:pPr>
        <w:pStyle w:val="105"/>
        <w:numPr>
          <w:ilvl w:val="0"/>
          <w:numId w:val="11"/>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供应商按照采购人或者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的授意撤换、修改投标文件或者响应文件；</w:t>
      </w:r>
    </w:p>
    <w:p>
      <w:pPr>
        <w:pStyle w:val="105"/>
        <w:numPr>
          <w:ilvl w:val="0"/>
          <w:numId w:val="11"/>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供应商之间协商报价、技术方案等投标文件或者响应文件的实质性内容；</w:t>
      </w:r>
    </w:p>
    <w:p>
      <w:pPr>
        <w:pStyle w:val="105"/>
        <w:numPr>
          <w:ilvl w:val="0"/>
          <w:numId w:val="11"/>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属于同一集团、协会、商会等组织成员的供应商按照该组织要求协同参加政府采购活动；</w:t>
      </w:r>
    </w:p>
    <w:p>
      <w:pPr>
        <w:pStyle w:val="105"/>
        <w:numPr>
          <w:ilvl w:val="0"/>
          <w:numId w:val="11"/>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供应商之间事先约定由某一特定供应商中标、成交；</w:t>
      </w:r>
    </w:p>
    <w:p>
      <w:pPr>
        <w:pStyle w:val="105"/>
        <w:numPr>
          <w:ilvl w:val="0"/>
          <w:numId w:val="11"/>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供应商之间商定部分供应商放弃参加政府采购活动或者放弃中标、成交；</w:t>
      </w:r>
    </w:p>
    <w:p>
      <w:pPr>
        <w:pStyle w:val="105"/>
        <w:numPr>
          <w:ilvl w:val="0"/>
          <w:numId w:val="11"/>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供应商与采购人或者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之间、供应商相互之间，为谋求特定供应商中标、成交或者排斥其他供应商的其他串通行为。</w:t>
      </w:r>
    </w:p>
    <w:p>
      <w:pPr>
        <w:pStyle w:val="105"/>
        <w:numPr>
          <w:ilvl w:val="0"/>
          <w:numId w:val="11"/>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不同供应商的响应文件由同一单位或者个人编制；</w:t>
      </w:r>
    </w:p>
    <w:p>
      <w:pPr>
        <w:pStyle w:val="105"/>
        <w:numPr>
          <w:ilvl w:val="0"/>
          <w:numId w:val="11"/>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不同供应商委托同一单位或者个人办理响应事宜；</w:t>
      </w:r>
    </w:p>
    <w:p>
      <w:pPr>
        <w:pStyle w:val="105"/>
        <w:numPr>
          <w:ilvl w:val="0"/>
          <w:numId w:val="11"/>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不同供应商的响应文件载明的项目管理成员或者联系人员为同一人；</w:t>
      </w:r>
    </w:p>
    <w:p>
      <w:pPr>
        <w:pStyle w:val="105"/>
        <w:numPr>
          <w:ilvl w:val="0"/>
          <w:numId w:val="11"/>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不同供应商的响应文件异常一致或者最后报价呈规律性差异；</w:t>
      </w:r>
    </w:p>
    <w:p>
      <w:pPr>
        <w:pStyle w:val="105"/>
        <w:numPr>
          <w:ilvl w:val="0"/>
          <w:numId w:val="11"/>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不同供应商的响应文件相互混装。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3.20供应商仅提交备份响应文件，没有在电子交易平台传输提交响应文件的，响应无效；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3.21法律、法规、规章（适用本市的）及省级以上规范性文件（适用本市的）规定的其他无效情形。</w:t>
      </w:r>
    </w:p>
    <w:p>
      <w:pPr>
        <w:pStyle w:val="393"/>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4. 重新开展采购活动</w:t>
      </w:r>
    </w:p>
    <w:p>
      <w:pPr>
        <w:spacing w:line="360" w:lineRule="auto"/>
        <w:ind w:firstLine="407" w:firstLineChars="194"/>
        <w:rPr>
          <w:rFonts w:hint="eastAsia" w:ascii="仿宋" w:hAnsi="仿宋" w:eastAsia="仿宋" w:cs="仿宋"/>
          <w:color w:val="auto"/>
          <w:sz w:val="24"/>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 w:val="24"/>
          <w:szCs w:val="21"/>
          <w:highlight w:val="none"/>
        </w:rPr>
        <w:t>出现下列情形之一的，</w:t>
      </w:r>
      <w:r>
        <w:rPr>
          <w:rFonts w:hint="eastAsia" w:ascii="仿宋" w:hAnsi="仿宋" w:eastAsia="仿宋" w:cs="仿宋"/>
          <w:color w:val="auto"/>
          <w:sz w:val="24"/>
          <w:szCs w:val="21"/>
          <w:highlight w:val="none"/>
          <w:lang w:eastAsia="zh-CN"/>
        </w:rPr>
        <w:t>采购代理机构</w:t>
      </w:r>
      <w:r>
        <w:rPr>
          <w:rFonts w:hint="eastAsia" w:ascii="仿宋" w:hAnsi="仿宋" w:eastAsia="仿宋" w:cs="仿宋"/>
          <w:color w:val="auto"/>
          <w:sz w:val="24"/>
          <w:szCs w:val="21"/>
          <w:highlight w:val="none"/>
        </w:rPr>
        <w:t>应当终止竞争性磋商采购活动，通过电子交易平台发布项目终止公告并说明原因，重新开展采购活动：</w:t>
      </w:r>
    </w:p>
    <w:p>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（1）因情况变化，不再符合规定的竞争性磋商采购方式适用情形的；</w:t>
      </w:r>
    </w:p>
    <w:p>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（2）出现影响采购公正的违法、违规行为的；</w:t>
      </w:r>
    </w:p>
    <w:p>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（3）在采购过程中符合要求的供应商或者最后报价未超过采购预算的供应商不足3家的（有特殊规定的从其规定）。</w:t>
      </w:r>
    </w:p>
    <w:p>
      <w:pPr>
        <w:pStyle w:val="393"/>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5. 终止采购活动</w:t>
      </w:r>
    </w:p>
    <w:p>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在采购活动中因重大变故，采购任务取消的，</w:t>
      </w:r>
      <w:r>
        <w:rPr>
          <w:rFonts w:hint="eastAsia" w:ascii="仿宋" w:hAnsi="仿宋" w:eastAsia="仿宋" w:cs="仿宋"/>
          <w:color w:val="auto"/>
          <w:sz w:val="24"/>
          <w:szCs w:val="21"/>
          <w:highlight w:val="none"/>
          <w:lang w:eastAsia="zh-CN"/>
        </w:rPr>
        <w:t>采购代理机构</w:t>
      </w:r>
      <w:r>
        <w:rPr>
          <w:rFonts w:hint="eastAsia" w:ascii="仿宋" w:hAnsi="仿宋" w:eastAsia="仿宋" w:cs="仿宋"/>
          <w:color w:val="auto"/>
          <w:sz w:val="24"/>
          <w:szCs w:val="21"/>
          <w:highlight w:val="none"/>
        </w:rPr>
        <w:t>将终止采购活动，通过电子交易平台通知所有参加采购活动的供应商，并将项目实施情况和采购任务取消原因报送本级财政部门。</w:t>
      </w: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6. </w:t>
      </w:r>
      <w:r>
        <w:rPr>
          <w:rFonts w:hint="eastAsia" w:ascii="仿宋" w:hAnsi="仿宋" w:eastAsia="仿宋" w:cs="仿宋"/>
          <w:b/>
          <w:color w:val="auto"/>
          <w:sz w:val="24"/>
          <w:highlight w:val="none"/>
          <w:lang w:eastAsia="zh-CN"/>
        </w:rPr>
        <w:t>采购代理机构</w:t>
      </w:r>
      <w:r>
        <w:rPr>
          <w:rFonts w:hint="eastAsia" w:ascii="仿宋" w:hAnsi="仿宋" w:eastAsia="仿宋" w:cs="仿宋"/>
          <w:b/>
          <w:color w:val="auto"/>
          <w:sz w:val="24"/>
          <w:highlight w:val="none"/>
        </w:rPr>
        <w:t>有权对磋商小组各成员的评分情况和评审意见进行合理性和合规性审查</w:t>
      </w:r>
      <w:r>
        <w:rPr>
          <w:rFonts w:hint="eastAsia" w:ascii="仿宋" w:hAnsi="仿宋" w:eastAsia="仿宋" w:cs="仿宋"/>
          <w:color w:val="auto"/>
          <w:sz w:val="24"/>
          <w:highlight w:val="none"/>
        </w:rPr>
        <w:t>，如发现磋商小组成员的评审意见带有明显倾向性，或不按规定程序和标准评审、计分的，磋商小组成员应进行书面澄清和说明；磋商小组成员拒不接受</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审查的，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将向同级政府采购监督管理部门报告并予以处理。</w:t>
      </w:r>
    </w:p>
    <w:p>
      <w:pPr>
        <w:pStyle w:val="393"/>
        <w:spacing w:before="0"/>
        <w:ind w:firstLine="0" w:firstLineChars="0"/>
        <w:rPr>
          <w:rFonts w:hint="eastAsia" w:ascii="仿宋" w:hAnsi="仿宋" w:eastAsia="仿宋" w:cs="仿宋"/>
          <w:b/>
          <w:color w:val="auto"/>
          <w:highlight w:val="none"/>
        </w:rPr>
      </w:pP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六、评审过程的保密与录像</w:t>
      </w:r>
    </w:p>
    <w:p>
      <w:pPr>
        <w:widowControl/>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1.保密。</w:t>
      </w:r>
      <w:r>
        <w:rPr>
          <w:rFonts w:hint="eastAsia" w:ascii="仿宋" w:hAnsi="仿宋" w:eastAsia="仿宋" w:cs="仿宋"/>
          <w:color w:val="auto"/>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工作人员、相关监督人员等与评审有关的人员应当予以保密。</w:t>
      </w:r>
    </w:p>
    <w:p>
      <w:pPr>
        <w:widowControl/>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2.录音录像。</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对评审工作现场进行全过程录音录像，录音录像资料作为采购项目文件随其他文件一并存档。</w:t>
      </w:r>
    </w:p>
    <w:p>
      <w:pPr>
        <w:widowControl/>
        <w:adjustRightInd/>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第六部分</w:t>
      </w:r>
      <w:bookmarkEnd w:id="71"/>
      <w:r>
        <w:rPr>
          <w:rFonts w:hint="eastAsia" w:ascii="仿宋" w:hAnsi="仿宋" w:eastAsia="仿宋" w:cs="仿宋"/>
          <w:b/>
          <w:color w:val="auto"/>
          <w:sz w:val="36"/>
          <w:szCs w:val="36"/>
          <w:highlight w:val="none"/>
        </w:rPr>
        <w:t xml:space="preserve">  拟签订的合同文本</w:t>
      </w:r>
    </w:p>
    <w:p>
      <w:pPr>
        <w:spacing w:line="360" w:lineRule="auto"/>
        <w:rPr>
          <w:rFonts w:hint="eastAsia" w:ascii="仿宋" w:hAnsi="仿宋" w:eastAsia="仿宋" w:cs="仿宋"/>
          <w:color w:val="auto"/>
          <w:sz w:val="24"/>
          <w:highlight w:val="none"/>
        </w:rPr>
      </w:pPr>
      <w:bookmarkStart w:id="72" w:name="第五部分"/>
      <w:bookmarkStart w:id="73" w:name="_Toc86217003"/>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p>
    <w:p>
      <w:pPr>
        <w:pStyle w:val="282"/>
        <w:ind w:leftChars="0" w:firstLine="2465" w:firstLineChars="682"/>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政府采购合同书</w:t>
      </w:r>
    </w:p>
    <w:p>
      <w:pPr>
        <w:pStyle w:val="282"/>
        <w:rPr>
          <w:rFonts w:hint="eastAsia" w:ascii="仿宋" w:hAnsi="仿宋" w:eastAsia="仿宋" w:cs="仿宋"/>
          <w:color w:val="auto"/>
          <w:szCs w:val="24"/>
          <w:highlight w:val="none"/>
        </w:rPr>
      </w:pPr>
    </w:p>
    <w:p>
      <w:pPr>
        <w:pStyle w:val="282"/>
        <w:rPr>
          <w:rFonts w:hint="eastAsia" w:ascii="仿宋" w:hAnsi="仿宋" w:eastAsia="仿宋" w:cs="仿宋"/>
          <w:color w:val="auto"/>
          <w:szCs w:val="24"/>
          <w:highlight w:val="none"/>
        </w:rPr>
      </w:pPr>
    </w:p>
    <w:p>
      <w:pPr>
        <w:spacing w:before="120" w:line="360" w:lineRule="auto"/>
        <w:rPr>
          <w:rFonts w:hint="eastAsia" w:ascii="仿宋" w:hAnsi="仿宋" w:eastAsia="仿宋" w:cs="仿宋"/>
          <w:color w:val="auto"/>
          <w:sz w:val="24"/>
          <w:highlight w:val="none"/>
        </w:rPr>
      </w:pPr>
    </w:p>
    <w:p>
      <w:pPr>
        <w:spacing w:before="120" w:line="360" w:lineRule="auto"/>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pPr>
        <w:pStyle w:val="617"/>
        <w:spacing w:before="120"/>
        <w:rPr>
          <w:rFonts w:hint="eastAsia" w:ascii="仿宋" w:hAnsi="仿宋" w:eastAsia="仿宋" w:cs="仿宋"/>
          <w:color w:val="auto"/>
          <w:szCs w:val="24"/>
          <w:highlight w:val="none"/>
        </w:rPr>
      </w:pPr>
    </w:p>
    <w:p>
      <w:pPr>
        <w:spacing w:line="360" w:lineRule="auto"/>
        <w:rPr>
          <w:rFonts w:hint="eastAsia" w:ascii="仿宋" w:hAnsi="仿宋" w:eastAsia="仿宋" w:cs="仿宋"/>
          <w:color w:val="auto"/>
          <w:sz w:val="24"/>
          <w:highlight w:val="none"/>
        </w:rPr>
      </w:pPr>
    </w:p>
    <w:p>
      <w:pPr>
        <w:spacing w:before="120" w:line="360" w:lineRule="auto"/>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pPr>
        <w:spacing w:before="120" w:line="360" w:lineRule="auto"/>
        <w:rPr>
          <w:rFonts w:hint="eastAsia" w:ascii="仿宋" w:hAnsi="仿宋" w:eastAsia="仿宋" w:cs="仿宋"/>
          <w:color w:val="auto"/>
          <w:sz w:val="24"/>
          <w:highlight w:val="none"/>
        </w:rPr>
      </w:pPr>
    </w:p>
    <w:p>
      <w:pPr>
        <w:spacing w:before="120" w:line="360" w:lineRule="auto"/>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pPr>
        <w:spacing w:before="120" w:line="360" w:lineRule="auto"/>
        <w:rPr>
          <w:rFonts w:hint="eastAsia" w:ascii="仿宋" w:hAnsi="仿宋" w:eastAsia="仿宋" w:cs="仿宋"/>
          <w:color w:val="auto"/>
          <w:sz w:val="24"/>
          <w:highlight w:val="none"/>
        </w:rPr>
      </w:pPr>
    </w:p>
    <w:p>
      <w:pPr>
        <w:spacing w:before="120" w:line="360" w:lineRule="auto"/>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pPr>
        <w:spacing w:before="120" w:line="360" w:lineRule="auto"/>
        <w:rPr>
          <w:rFonts w:hint="eastAsia" w:ascii="仿宋" w:hAnsi="仿宋" w:eastAsia="仿宋" w:cs="仿宋"/>
          <w:color w:val="auto"/>
          <w:sz w:val="24"/>
          <w:highlight w:val="none"/>
        </w:rPr>
      </w:pPr>
    </w:p>
    <w:p>
      <w:pPr>
        <w:spacing w:before="120" w:line="360" w:lineRule="auto"/>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pPr>
        <w:rPr>
          <w:rFonts w:hint="eastAsia" w:ascii="仿宋" w:hAnsi="仿宋" w:eastAsia="仿宋" w:cs="仿宋"/>
          <w:b/>
          <w:color w:val="auto"/>
          <w:sz w:val="24"/>
          <w:highlight w:val="none"/>
        </w:rPr>
      </w:pP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pPr>
        <w:spacing w:line="560" w:lineRule="exact"/>
        <w:ind w:firstLine="482" w:firstLineChars="200"/>
        <w:outlineLvl w:val="0"/>
        <w:rPr>
          <w:rFonts w:hint="eastAsia" w:ascii="仿宋" w:hAnsi="仿宋" w:eastAsia="仿宋" w:cs="仿宋"/>
          <w:color w:val="auto"/>
          <w:sz w:val="24"/>
          <w:highlight w:val="none"/>
        </w:rPr>
      </w:pPr>
      <w:bookmarkStart w:id="74" w:name="_Toc22967"/>
      <w:bookmarkStart w:id="75" w:name="_Toc28855"/>
      <w:bookmarkStart w:id="76" w:name="_Toc19273"/>
      <w:bookmarkStart w:id="77" w:name="_Toc20421"/>
      <w:bookmarkStart w:id="78" w:name="_Toc15367"/>
      <w:r>
        <w:rPr>
          <w:rFonts w:hint="eastAsia" w:ascii="仿宋" w:hAnsi="仿宋" w:eastAsia="仿宋" w:cs="仿宋"/>
          <w:b/>
          <w:color w:val="auto"/>
          <w:sz w:val="24"/>
          <w:highlight w:val="none"/>
        </w:rPr>
        <w:t>1.1 合同组成部分</w:t>
      </w:r>
      <w:bookmarkEnd w:id="74"/>
      <w:bookmarkEnd w:id="75"/>
      <w:bookmarkEnd w:id="76"/>
      <w:bookmarkEnd w:id="77"/>
      <w:bookmarkEnd w:id="78"/>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pPr>
        <w:spacing w:line="560" w:lineRule="exact"/>
        <w:ind w:firstLine="482" w:firstLineChars="200"/>
        <w:outlineLvl w:val="0"/>
        <w:rPr>
          <w:rFonts w:hint="eastAsia" w:ascii="仿宋" w:hAnsi="仿宋" w:eastAsia="仿宋" w:cs="仿宋"/>
          <w:b/>
          <w:color w:val="auto"/>
          <w:sz w:val="24"/>
          <w:highlight w:val="none"/>
        </w:rPr>
      </w:pPr>
      <w:bookmarkStart w:id="79" w:name="_Toc6311"/>
      <w:bookmarkStart w:id="80" w:name="_Toc2918"/>
      <w:bookmarkStart w:id="81" w:name="_Toc18585"/>
      <w:bookmarkStart w:id="82" w:name="_Toc6773"/>
      <w:bookmarkStart w:id="83" w:name="_Toc22185"/>
      <w:r>
        <w:rPr>
          <w:rFonts w:hint="eastAsia" w:ascii="仿宋" w:hAnsi="仿宋" w:eastAsia="仿宋" w:cs="仿宋"/>
          <w:b/>
          <w:color w:val="auto"/>
          <w:sz w:val="24"/>
          <w:highlight w:val="none"/>
        </w:rPr>
        <w:t>1.2 标的</w:t>
      </w:r>
      <w:bookmarkEnd w:id="79"/>
      <w:bookmarkEnd w:id="80"/>
      <w:bookmarkEnd w:id="81"/>
      <w:bookmarkEnd w:id="82"/>
      <w:bookmarkEnd w:id="83"/>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pStyle w:val="63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（是/否）涉及货物。若涉及货物的，则：</w:t>
      </w:r>
    </w:p>
    <w:p>
      <w:pPr>
        <w:spacing w:line="560" w:lineRule="exact"/>
        <w:ind w:firstLine="480" w:firstLineChars="200"/>
        <w:rPr>
          <w:rFonts w:hint="eastAsia" w:ascii="仿宋" w:hAnsi="仿宋" w:eastAsia="仿宋" w:cs="仿宋"/>
          <w:color w:val="auto"/>
          <w:sz w:val="24"/>
          <w:highlight w:val="none"/>
          <w:u w:val="single"/>
        </w:rPr>
      </w:pPr>
      <w:bookmarkStart w:id="84" w:name="_Toc1386"/>
      <w:bookmarkStart w:id="85" w:name="_Toc13918"/>
      <w:bookmarkStart w:id="86" w:name="_Toc21124"/>
      <w:bookmarkStart w:id="87" w:name="_Toc5635"/>
      <w:bookmarkStart w:id="88" w:name="_Toc4929"/>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84"/>
      <w:bookmarkEnd w:id="85"/>
      <w:bookmarkEnd w:id="86"/>
      <w:bookmarkEnd w:id="87"/>
      <w:bookmarkEnd w:id="88"/>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2"/>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pPr>
              <w:pStyle w:val="622"/>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pPr>
              <w:pStyle w:val="622"/>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2"/>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622"/>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622"/>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2"/>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622"/>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622"/>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2"/>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622"/>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622"/>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2"/>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622"/>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622"/>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622"/>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pPr>
              <w:pStyle w:val="622"/>
              <w:spacing w:line="560" w:lineRule="exact"/>
              <w:ind w:firstLine="200"/>
              <w:jc w:val="center"/>
              <w:rPr>
                <w:rFonts w:hint="eastAsia" w:ascii="仿宋" w:hAnsi="仿宋" w:eastAsia="仿宋" w:cs="仿宋"/>
                <w:color w:val="auto"/>
                <w:sz w:val="24"/>
                <w:szCs w:val="24"/>
                <w:highlight w:val="none"/>
              </w:rPr>
            </w:pPr>
          </w:p>
        </w:tc>
      </w:tr>
    </w:tbl>
    <w:p>
      <w:pPr>
        <w:spacing w:line="560" w:lineRule="exact"/>
        <w:ind w:firstLine="480" w:firstLineChars="200"/>
        <w:rPr>
          <w:rFonts w:hint="eastAsia" w:ascii="仿宋" w:hAnsi="仿宋" w:eastAsia="仿宋" w:cs="仿宋"/>
          <w:color w:val="auto"/>
          <w:sz w:val="24"/>
          <w:highlight w:val="none"/>
        </w:rPr>
      </w:pPr>
      <w:bookmarkStart w:id="89" w:name="_Toc26916"/>
      <w:bookmarkStart w:id="90" w:name="_Toc30158"/>
      <w:bookmarkStart w:id="91" w:name="_Toc3654"/>
      <w:bookmarkStart w:id="92" w:name="_Toc14993"/>
      <w:bookmarkStart w:id="93" w:name="_Toc30506"/>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pPr>
        <w:pStyle w:val="2"/>
        <w:rPr>
          <w:rFonts w:hint="eastAsia" w:ascii="仿宋" w:hAnsi="仿宋" w:eastAsia="仿宋" w:cs="仿宋"/>
          <w:color w:val="auto"/>
          <w:highlight w:val="none"/>
          <w:lang w:val="en-US"/>
        </w:rPr>
      </w:pPr>
      <w:r>
        <w:rPr>
          <w:rFonts w:hint="eastAsia" w:ascii="仿宋" w:hAnsi="仿宋" w:eastAsia="仿宋" w:cs="仿宋"/>
          <w:color w:val="auto"/>
          <w:sz w:val="24"/>
          <w:highlight w:val="none"/>
          <w:lang w:val="en-US"/>
        </w:rPr>
        <w:t xml:space="preserve">    </w:t>
      </w: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89"/>
    <w:bookmarkEnd w:id="90"/>
    <w:bookmarkEnd w:id="91"/>
    <w:bookmarkEnd w:id="92"/>
    <w:bookmarkEnd w:id="93"/>
    <w:p>
      <w:pPr>
        <w:pStyle w:val="630"/>
        <w:spacing w:before="0" w:beforeAutospacing="0" w:after="0" w:afterAutospacing="0" w:line="360" w:lineRule="auto"/>
        <w:ind w:firstLine="480"/>
        <w:rPr>
          <w:rFonts w:hint="eastAsia" w:ascii="仿宋" w:hAnsi="仿宋" w:eastAsia="仿宋" w:cs="仿宋"/>
          <w:b/>
          <w:color w:val="auto"/>
          <w:highlight w:val="none"/>
        </w:rPr>
      </w:pPr>
      <w:bookmarkStart w:id="94" w:name="_Toc22618"/>
      <w:bookmarkStart w:id="95" w:name="_Toc10340"/>
      <w:bookmarkStart w:id="96" w:name="_Toc1814"/>
      <w:bookmarkStart w:id="97" w:name="_Toc3625"/>
      <w:bookmarkStart w:id="98" w:name="_Toc31421"/>
      <w:bookmarkStart w:id="99" w:name="_Toc11108"/>
      <w:bookmarkStart w:id="100" w:name="_Toc8772"/>
      <w:bookmarkStart w:id="101" w:name="_Toc4760"/>
      <w:r>
        <w:rPr>
          <w:rFonts w:hint="eastAsia" w:ascii="仿宋" w:hAnsi="仿宋" w:eastAsia="仿宋" w:cs="仿宋"/>
          <w:b/>
          <w:color w:val="auto"/>
          <w:highlight w:val="none"/>
        </w:rPr>
        <w:t>1.4履约保证金</w:t>
      </w:r>
    </w:p>
    <w:p>
      <w:pPr>
        <w:pStyle w:val="63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pStyle w:val="2"/>
        <w:tabs>
          <w:tab w:val="left" w:pos="0"/>
        </w:tabs>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94"/>
      <w:bookmarkEnd w:id="95"/>
      <w:bookmarkEnd w:id="96"/>
      <w:r>
        <w:rPr>
          <w:rFonts w:hint="eastAsia" w:ascii="仿宋" w:hAnsi="仿宋" w:eastAsia="仿宋" w:cs="仿宋"/>
          <w:b/>
          <w:color w:val="auto"/>
          <w:sz w:val="24"/>
          <w:highlight w:val="none"/>
        </w:rPr>
        <w:t>预付款</w:t>
      </w:r>
    </w:p>
    <w:p>
      <w:pPr>
        <w:pStyle w:val="63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pStyle w:val="63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630"/>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630"/>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pPr>
        <w:pStyle w:val="63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97"/>
      <w:bookmarkEnd w:id="98"/>
      <w:bookmarkEnd w:id="99"/>
      <w:bookmarkEnd w:id="100"/>
      <w:bookmarkEnd w:id="101"/>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outlineLvl w:val="0"/>
        <w:rPr>
          <w:rFonts w:hint="eastAsia" w:ascii="仿宋" w:hAnsi="仿宋" w:eastAsia="仿宋" w:cs="仿宋"/>
          <w:bCs/>
          <w:color w:val="auto"/>
          <w:sz w:val="24"/>
          <w:highlight w:val="none"/>
        </w:rPr>
      </w:pPr>
      <w:bookmarkStart w:id="102" w:name="_Toc24662"/>
      <w:bookmarkStart w:id="103" w:name="_Toc5698"/>
      <w:bookmarkStart w:id="104" w:name="_Toc3079"/>
      <w:bookmarkStart w:id="105" w:name="_Toc8586"/>
      <w:bookmarkStart w:id="106" w:name="_Toc2375"/>
      <w:r>
        <w:rPr>
          <w:rFonts w:hint="eastAsia" w:ascii="仿宋" w:hAnsi="仿宋" w:eastAsia="仿宋" w:cs="仿宋"/>
          <w:bCs/>
          <w:color w:val="auto"/>
          <w:sz w:val="24"/>
          <w:highlight w:val="none"/>
        </w:rPr>
        <w:t>1.7.4若服务涉及货物的，则货物的：</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102"/>
      <w:bookmarkEnd w:id="103"/>
      <w:bookmarkEnd w:id="104"/>
      <w:bookmarkEnd w:id="105"/>
      <w:bookmarkEnd w:id="106"/>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pPr>
        <w:pStyle w:val="2"/>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color w:val="auto"/>
          <w:sz w:val="24"/>
          <w:highlight w:val="none"/>
        </w:rPr>
      </w:pPr>
      <w:bookmarkStart w:id="107" w:name="_Toc18683"/>
      <w:bookmarkStart w:id="108" w:name="_Toc32454"/>
      <w:bookmarkStart w:id="109" w:name="_Toc30329"/>
      <w:bookmarkStart w:id="110" w:name="_Toc9497"/>
      <w:bookmarkStart w:id="111" w:name="_Toc26807"/>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107"/>
    <w:bookmarkEnd w:id="108"/>
    <w:bookmarkEnd w:id="109"/>
    <w:bookmarkEnd w:id="110"/>
    <w:bookmarkEnd w:id="111"/>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1.9合同争议的解决</w:t>
      </w:r>
    </w:p>
    <w:p>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2.0 合同生效</w:t>
      </w:r>
    </w:p>
    <w:p>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pPr>
        <w:autoSpaceDE w:val="0"/>
        <w:autoSpaceDN w:val="0"/>
        <w:spacing w:line="560" w:lineRule="exact"/>
        <w:rPr>
          <w:rFonts w:hint="eastAsia" w:ascii="仿宋" w:hAnsi="仿宋" w:eastAsia="仿宋" w:cs="仿宋"/>
          <w:color w:val="auto"/>
          <w:sz w:val="24"/>
          <w:highlight w:val="none"/>
          <w:lang w:val="zh-CN"/>
        </w:rPr>
      </w:pP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pPr>
        <w:autoSpaceDE w:val="0"/>
        <w:autoSpaceDN w:val="0"/>
        <w:spacing w:line="560" w:lineRule="exact"/>
        <w:rPr>
          <w:rFonts w:hint="eastAsia" w:ascii="仿宋" w:hAnsi="仿宋" w:eastAsia="仿宋" w:cs="仿宋"/>
          <w:color w:val="auto"/>
          <w:sz w:val="24"/>
          <w:highlight w:val="none"/>
          <w:lang w:val="zh-CN"/>
        </w:rPr>
      </w:pP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pPr>
        <w:widowControl/>
        <w:spacing w:line="560" w:lineRule="exact"/>
        <w:jc w:val="left"/>
        <w:rPr>
          <w:rFonts w:hint="eastAsia" w:ascii="仿宋" w:hAnsi="仿宋" w:eastAsia="仿宋" w:cs="仿宋"/>
          <w:b/>
          <w:color w:val="auto"/>
          <w:sz w:val="24"/>
          <w:highlight w:val="none"/>
        </w:rPr>
      </w:pPr>
    </w:p>
    <w:p>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highlight w:val="none"/>
        </w:rPr>
        <w:br w:type="page"/>
      </w:r>
    </w:p>
    <w:p>
      <w:pPr>
        <w:pStyle w:val="282"/>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pPr>
        <w:spacing w:line="560" w:lineRule="exact"/>
        <w:ind w:firstLine="482" w:firstLineChars="200"/>
        <w:outlineLvl w:val="0"/>
        <w:rPr>
          <w:rFonts w:hint="eastAsia" w:ascii="仿宋" w:hAnsi="仿宋" w:eastAsia="仿宋" w:cs="仿宋"/>
          <w:b/>
          <w:color w:val="auto"/>
          <w:sz w:val="24"/>
          <w:highlight w:val="none"/>
        </w:rPr>
      </w:pPr>
      <w:bookmarkStart w:id="112" w:name="_Toc5228"/>
      <w:bookmarkStart w:id="113" w:name="_Toc25079"/>
      <w:bookmarkStart w:id="114" w:name="_Toc14021"/>
      <w:bookmarkStart w:id="115" w:name="_Toc19680"/>
      <w:bookmarkStart w:id="116" w:name="_Toc31297"/>
      <w:r>
        <w:rPr>
          <w:rFonts w:hint="eastAsia" w:ascii="仿宋" w:hAnsi="仿宋" w:eastAsia="仿宋" w:cs="仿宋"/>
          <w:b/>
          <w:color w:val="auto"/>
          <w:sz w:val="24"/>
          <w:highlight w:val="none"/>
        </w:rPr>
        <w:t>2.1 定义</w:t>
      </w:r>
      <w:bookmarkEnd w:id="112"/>
      <w:bookmarkEnd w:id="113"/>
      <w:bookmarkEnd w:id="114"/>
      <w:bookmarkEnd w:id="115"/>
      <w:bookmarkEnd w:id="116"/>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pPr>
        <w:spacing w:line="560" w:lineRule="exact"/>
        <w:ind w:firstLine="482" w:firstLineChars="200"/>
        <w:outlineLvl w:val="0"/>
        <w:rPr>
          <w:rFonts w:hint="eastAsia" w:ascii="仿宋" w:hAnsi="仿宋" w:eastAsia="仿宋" w:cs="仿宋"/>
          <w:b/>
          <w:color w:val="auto"/>
          <w:sz w:val="24"/>
          <w:highlight w:val="none"/>
        </w:rPr>
      </w:pPr>
      <w:bookmarkStart w:id="117" w:name="_Toc16752"/>
      <w:bookmarkStart w:id="118" w:name="_Toc23289"/>
      <w:bookmarkStart w:id="119" w:name="_Toc3769"/>
      <w:bookmarkStart w:id="120" w:name="_Toc31402"/>
      <w:bookmarkStart w:id="121" w:name="_Toc19539"/>
      <w:r>
        <w:rPr>
          <w:rFonts w:hint="eastAsia" w:ascii="仿宋" w:hAnsi="仿宋" w:eastAsia="仿宋" w:cs="仿宋"/>
          <w:b/>
          <w:color w:val="auto"/>
          <w:sz w:val="24"/>
          <w:highlight w:val="none"/>
        </w:rPr>
        <w:t>2.2 技术规范</w:t>
      </w:r>
      <w:bookmarkEnd w:id="117"/>
      <w:bookmarkEnd w:id="118"/>
      <w:bookmarkEnd w:id="119"/>
      <w:bookmarkEnd w:id="120"/>
      <w:bookmarkEnd w:id="121"/>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color w:val="auto"/>
          <w:sz w:val="24"/>
          <w:highlight w:val="none"/>
        </w:rPr>
      </w:pPr>
      <w:bookmarkStart w:id="122" w:name="_Toc12412"/>
      <w:bookmarkStart w:id="123" w:name="_Toc9161"/>
      <w:bookmarkStart w:id="124" w:name="_Toc4133"/>
      <w:bookmarkStart w:id="125" w:name="_Toc27945"/>
      <w:bookmarkStart w:id="126" w:name="_Toc13673"/>
      <w:r>
        <w:rPr>
          <w:rFonts w:hint="eastAsia" w:ascii="仿宋" w:hAnsi="仿宋" w:eastAsia="仿宋" w:cs="仿宋"/>
          <w:b/>
          <w:color w:val="auto"/>
          <w:sz w:val="24"/>
          <w:highlight w:val="none"/>
        </w:rPr>
        <w:t>2.3 知识产权</w:t>
      </w:r>
      <w:bookmarkEnd w:id="122"/>
      <w:bookmarkEnd w:id="123"/>
      <w:bookmarkEnd w:id="124"/>
      <w:bookmarkEnd w:id="125"/>
      <w:bookmarkEnd w:id="126"/>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仿宋" w:hAnsi="仿宋" w:eastAsia="仿宋" w:cs="仿宋"/>
          <w:b/>
          <w:color w:val="auto"/>
          <w:sz w:val="24"/>
          <w:highlight w:val="none"/>
        </w:rPr>
      </w:pPr>
      <w:bookmarkStart w:id="127" w:name="_Toc15447"/>
      <w:bookmarkStart w:id="128" w:name="_Toc22011"/>
      <w:bookmarkStart w:id="129" w:name="_Toc26555"/>
      <w:bookmarkStart w:id="130" w:name="_Toc32670"/>
      <w:bookmarkStart w:id="131" w:name="_Toc31233"/>
      <w:r>
        <w:rPr>
          <w:rFonts w:hint="eastAsia" w:ascii="仿宋" w:hAnsi="仿宋" w:eastAsia="仿宋" w:cs="仿宋"/>
          <w:b/>
          <w:color w:val="auto"/>
          <w:sz w:val="24"/>
          <w:highlight w:val="none"/>
        </w:rPr>
        <w:t>2.5 结算方式和付款条件</w:t>
      </w:r>
      <w:bookmarkEnd w:id="127"/>
      <w:bookmarkEnd w:id="128"/>
      <w:bookmarkEnd w:id="129"/>
      <w:bookmarkEnd w:id="130"/>
      <w:bookmarkEnd w:id="131"/>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bookmarkStart w:id="132" w:name="_Toc18990"/>
      <w:bookmarkStart w:id="133" w:name="_Toc13467"/>
      <w:bookmarkStart w:id="134" w:name="_Toc30507"/>
      <w:bookmarkStart w:id="135" w:name="_Toc16163"/>
      <w:bookmarkStart w:id="136" w:name="_Toc13154"/>
      <w:r>
        <w:rPr>
          <w:rFonts w:hint="eastAsia" w:ascii="仿宋" w:hAnsi="仿宋" w:eastAsia="仿宋" w:cs="仿宋"/>
          <w:b/>
          <w:color w:val="auto"/>
          <w:sz w:val="24"/>
          <w:highlight w:val="none"/>
        </w:rPr>
        <w:t>2.6 技术资料和保密义务</w:t>
      </w:r>
      <w:bookmarkEnd w:id="132"/>
      <w:bookmarkEnd w:id="133"/>
      <w:bookmarkEnd w:id="134"/>
      <w:bookmarkEnd w:id="135"/>
      <w:bookmarkEnd w:id="136"/>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color w:val="auto"/>
          <w:sz w:val="24"/>
          <w:highlight w:val="none"/>
        </w:rPr>
      </w:pPr>
      <w:bookmarkStart w:id="137" w:name="_Toc19069"/>
      <w:r>
        <w:rPr>
          <w:rFonts w:hint="eastAsia" w:ascii="仿宋" w:hAnsi="仿宋" w:eastAsia="仿宋" w:cs="仿宋"/>
          <w:b/>
          <w:color w:val="auto"/>
          <w:sz w:val="24"/>
          <w:highlight w:val="none"/>
        </w:rPr>
        <w:t>2.7 质量保证</w:t>
      </w:r>
      <w:bookmarkEnd w:id="137"/>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color w:val="auto"/>
          <w:sz w:val="24"/>
          <w:highlight w:val="none"/>
        </w:rPr>
      </w:pPr>
      <w:bookmarkStart w:id="138" w:name="_Toc22267"/>
      <w:r>
        <w:rPr>
          <w:rFonts w:hint="eastAsia" w:ascii="仿宋" w:hAnsi="仿宋" w:eastAsia="仿宋" w:cs="仿宋"/>
          <w:b/>
          <w:color w:val="auto"/>
          <w:sz w:val="24"/>
          <w:highlight w:val="none"/>
        </w:rPr>
        <w:t>2.8 延迟履行</w:t>
      </w:r>
      <w:bookmarkEnd w:id="138"/>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仿宋" w:hAnsi="仿宋" w:eastAsia="仿宋" w:cs="仿宋"/>
          <w:b/>
          <w:color w:val="auto"/>
          <w:sz w:val="24"/>
          <w:highlight w:val="none"/>
        </w:rPr>
      </w:pPr>
      <w:bookmarkStart w:id="139" w:name="_Toc10611"/>
      <w:r>
        <w:rPr>
          <w:rFonts w:hint="eastAsia" w:ascii="仿宋" w:hAnsi="仿宋" w:eastAsia="仿宋" w:cs="仿宋"/>
          <w:b/>
          <w:color w:val="auto"/>
          <w:sz w:val="24"/>
          <w:highlight w:val="none"/>
        </w:rPr>
        <w:t>2.9 合同变更</w:t>
      </w:r>
      <w:bookmarkEnd w:id="139"/>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color w:val="auto"/>
          <w:sz w:val="24"/>
          <w:highlight w:val="none"/>
        </w:rPr>
      </w:pPr>
      <w:bookmarkStart w:id="140" w:name="_Toc23368"/>
      <w:bookmarkStart w:id="141" w:name="_Toc42"/>
      <w:bookmarkStart w:id="142" w:name="_Toc26689"/>
      <w:bookmarkStart w:id="143" w:name="_Toc10663"/>
      <w:bookmarkStart w:id="144" w:name="_Toc21830"/>
      <w:r>
        <w:rPr>
          <w:rFonts w:hint="eastAsia" w:ascii="仿宋" w:hAnsi="仿宋" w:eastAsia="仿宋" w:cs="仿宋"/>
          <w:b/>
          <w:color w:val="auto"/>
          <w:sz w:val="24"/>
          <w:highlight w:val="none"/>
        </w:rPr>
        <w:t>2.10 合同转让和分包</w:t>
      </w:r>
      <w:bookmarkEnd w:id="140"/>
      <w:bookmarkEnd w:id="141"/>
      <w:bookmarkEnd w:id="142"/>
      <w:bookmarkEnd w:id="143"/>
      <w:bookmarkEnd w:id="144"/>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仿宋" w:hAnsi="仿宋" w:eastAsia="仿宋" w:cs="仿宋"/>
          <w:b/>
          <w:color w:val="auto"/>
          <w:sz w:val="24"/>
          <w:highlight w:val="none"/>
        </w:rPr>
      </w:pPr>
      <w:bookmarkStart w:id="145" w:name="_Toc26633"/>
      <w:bookmarkStart w:id="146" w:name="_Toc4720"/>
      <w:bookmarkStart w:id="147" w:name="_Toc25571"/>
      <w:bookmarkStart w:id="148" w:name="_Toc32494"/>
      <w:bookmarkStart w:id="149" w:name="_Toc14371"/>
      <w:r>
        <w:rPr>
          <w:rFonts w:hint="eastAsia" w:ascii="仿宋" w:hAnsi="仿宋" w:eastAsia="仿宋" w:cs="仿宋"/>
          <w:b/>
          <w:color w:val="auto"/>
          <w:sz w:val="24"/>
          <w:highlight w:val="none"/>
        </w:rPr>
        <w:t>2.11 不可抗力</w:t>
      </w:r>
      <w:bookmarkEnd w:id="145"/>
      <w:bookmarkEnd w:id="146"/>
      <w:bookmarkEnd w:id="147"/>
      <w:bookmarkEnd w:id="148"/>
      <w:bookmarkEnd w:id="149"/>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pPr>
        <w:spacing w:line="560" w:lineRule="exact"/>
        <w:ind w:firstLine="482" w:firstLineChars="200"/>
        <w:outlineLvl w:val="0"/>
        <w:rPr>
          <w:rFonts w:hint="eastAsia" w:ascii="仿宋" w:hAnsi="仿宋" w:eastAsia="仿宋" w:cs="仿宋"/>
          <w:b/>
          <w:color w:val="auto"/>
          <w:sz w:val="24"/>
          <w:highlight w:val="none"/>
        </w:rPr>
      </w:pPr>
      <w:bookmarkStart w:id="150" w:name="_Toc14115"/>
      <w:bookmarkStart w:id="151" w:name="_Toc3638"/>
      <w:bookmarkStart w:id="152" w:name="_Toc23854"/>
      <w:bookmarkStart w:id="153" w:name="_Toc25783"/>
      <w:bookmarkStart w:id="154" w:name="_Toc24465"/>
      <w:r>
        <w:rPr>
          <w:rFonts w:hint="eastAsia" w:ascii="仿宋" w:hAnsi="仿宋" w:eastAsia="仿宋" w:cs="仿宋"/>
          <w:b/>
          <w:color w:val="auto"/>
          <w:sz w:val="24"/>
          <w:highlight w:val="none"/>
        </w:rPr>
        <w:t>2.12 税费</w:t>
      </w:r>
      <w:bookmarkEnd w:id="150"/>
      <w:bookmarkEnd w:id="151"/>
      <w:bookmarkEnd w:id="152"/>
      <w:bookmarkEnd w:id="153"/>
      <w:bookmarkEnd w:id="154"/>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pPr>
        <w:spacing w:line="560" w:lineRule="exact"/>
        <w:ind w:firstLine="482" w:firstLineChars="200"/>
        <w:outlineLvl w:val="0"/>
        <w:rPr>
          <w:rFonts w:hint="eastAsia" w:ascii="仿宋" w:hAnsi="仿宋" w:eastAsia="仿宋" w:cs="仿宋"/>
          <w:b/>
          <w:color w:val="auto"/>
          <w:sz w:val="24"/>
          <w:highlight w:val="none"/>
        </w:rPr>
      </w:pPr>
      <w:bookmarkStart w:id="155" w:name="_Toc26883"/>
      <w:bookmarkStart w:id="156" w:name="_Toc7315"/>
      <w:bookmarkStart w:id="157" w:name="_Toc30105"/>
      <w:bookmarkStart w:id="158" w:name="_Toc25525"/>
      <w:bookmarkStart w:id="159" w:name="_Toc14814"/>
      <w:r>
        <w:rPr>
          <w:rFonts w:hint="eastAsia" w:ascii="仿宋" w:hAnsi="仿宋" w:eastAsia="仿宋" w:cs="仿宋"/>
          <w:b/>
          <w:color w:val="auto"/>
          <w:sz w:val="24"/>
          <w:highlight w:val="none"/>
        </w:rPr>
        <w:t>2.13 乙方破产</w:t>
      </w:r>
      <w:bookmarkEnd w:id="155"/>
      <w:bookmarkEnd w:id="156"/>
      <w:bookmarkEnd w:id="157"/>
      <w:bookmarkEnd w:id="158"/>
      <w:bookmarkEnd w:id="159"/>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color w:val="auto"/>
          <w:sz w:val="24"/>
          <w:highlight w:val="none"/>
        </w:rPr>
      </w:pPr>
      <w:bookmarkStart w:id="160" w:name="_Toc2016"/>
      <w:bookmarkStart w:id="161" w:name="_Toc23323"/>
      <w:bookmarkStart w:id="162" w:name="_Toc1123"/>
      <w:r>
        <w:rPr>
          <w:rFonts w:hint="eastAsia" w:ascii="仿宋" w:hAnsi="仿宋" w:eastAsia="仿宋" w:cs="仿宋"/>
          <w:b/>
          <w:color w:val="auto"/>
          <w:sz w:val="24"/>
          <w:highlight w:val="none"/>
        </w:rPr>
        <w:t>2.14 合同中止、终止</w:t>
      </w:r>
      <w:bookmarkEnd w:id="160"/>
      <w:bookmarkEnd w:id="161"/>
      <w:bookmarkEnd w:id="162"/>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color w:val="auto"/>
          <w:sz w:val="24"/>
          <w:highlight w:val="none"/>
        </w:rPr>
      </w:pPr>
      <w:bookmarkStart w:id="163" w:name="_Toc14525"/>
      <w:bookmarkStart w:id="164" w:name="_Toc17363"/>
      <w:bookmarkStart w:id="165" w:name="_Toc1969"/>
      <w:r>
        <w:rPr>
          <w:rFonts w:hint="eastAsia" w:ascii="仿宋" w:hAnsi="仿宋" w:eastAsia="仿宋" w:cs="仿宋"/>
          <w:b/>
          <w:color w:val="auto"/>
          <w:sz w:val="24"/>
          <w:highlight w:val="none"/>
        </w:rPr>
        <w:t>2.15 检验和验收</w:t>
      </w:r>
      <w:bookmarkEnd w:id="163"/>
      <w:bookmarkEnd w:id="164"/>
      <w:bookmarkEnd w:id="165"/>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bookmarkStart w:id="166" w:name="_Toc31892"/>
      <w:bookmarkStart w:id="167" w:name="_Toc9808"/>
      <w:bookmarkStart w:id="168" w:name="_Toc12666"/>
      <w:bookmarkStart w:id="169" w:name="_Toc2308"/>
      <w:bookmarkStart w:id="170" w:name="_Toc25198"/>
      <w:r>
        <w:rPr>
          <w:rFonts w:hint="eastAsia" w:ascii="仿宋" w:hAnsi="仿宋" w:eastAsia="仿宋" w:cs="仿宋"/>
          <w:b/>
          <w:color w:val="auto"/>
          <w:sz w:val="24"/>
          <w:highlight w:val="none"/>
        </w:rPr>
        <w:t>2.16 通知和送达</w:t>
      </w:r>
      <w:bookmarkEnd w:id="166"/>
      <w:bookmarkEnd w:id="167"/>
      <w:bookmarkEnd w:id="168"/>
      <w:bookmarkEnd w:id="169"/>
      <w:bookmarkEnd w:id="170"/>
    </w:p>
    <w:p>
      <w:pPr>
        <w:spacing w:line="560" w:lineRule="exact"/>
        <w:ind w:firstLine="480" w:firstLineChars="200"/>
        <w:rPr>
          <w:rFonts w:hint="eastAsia" w:ascii="仿宋" w:hAnsi="仿宋" w:eastAsia="仿宋" w:cs="仿宋"/>
          <w:color w:val="auto"/>
          <w:sz w:val="24"/>
          <w:highlight w:val="none"/>
        </w:rPr>
      </w:pPr>
      <w:bookmarkStart w:id="171" w:name="_Toc27674"/>
      <w:bookmarkStart w:id="172" w:name="_Toc18401"/>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71"/>
      <w:bookmarkEnd w:id="172"/>
    </w:p>
    <w:p>
      <w:pPr>
        <w:spacing w:line="560" w:lineRule="exact"/>
        <w:ind w:firstLine="482" w:firstLineChars="200"/>
        <w:outlineLvl w:val="0"/>
        <w:rPr>
          <w:rFonts w:hint="eastAsia" w:ascii="仿宋" w:hAnsi="仿宋" w:eastAsia="仿宋" w:cs="仿宋"/>
          <w:b/>
          <w:color w:val="auto"/>
          <w:sz w:val="24"/>
          <w:highlight w:val="none"/>
        </w:rPr>
      </w:pPr>
      <w:bookmarkStart w:id="173" w:name="_Toc27644"/>
      <w:bookmarkStart w:id="174" w:name="_Toc5063"/>
      <w:bookmarkStart w:id="175" w:name="_Toc20808"/>
      <w:bookmarkStart w:id="176" w:name="_Toc28906"/>
      <w:bookmarkStart w:id="177" w:name="_Toc12254"/>
      <w:r>
        <w:rPr>
          <w:rFonts w:hint="eastAsia" w:ascii="仿宋" w:hAnsi="仿宋" w:eastAsia="仿宋" w:cs="仿宋"/>
          <w:b/>
          <w:color w:val="auto"/>
          <w:sz w:val="24"/>
          <w:highlight w:val="none"/>
        </w:rPr>
        <w:t>2.17 合同使用的文字和适用的法律</w:t>
      </w:r>
      <w:bookmarkEnd w:id="173"/>
      <w:bookmarkEnd w:id="174"/>
      <w:bookmarkEnd w:id="175"/>
      <w:bookmarkEnd w:id="176"/>
      <w:bookmarkEnd w:id="177"/>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2.18 计量单位</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color w:val="auto"/>
          <w:kern w:val="0"/>
          <w:highlight w:val="none"/>
        </w:rPr>
        <w:br w:type="page"/>
      </w:r>
      <w:r>
        <w:rPr>
          <w:rFonts w:hint="eastAsia" w:ascii="仿宋" w:hAnsi="仿宋" w:eastAsia="仿宋" w:cs="仿宋"/>
          <w:b/>
          <w:color w:val="auto"/>
          <w:sz w:val="24"/>
          <w:highlight w:val="none"/>
        </w:rPr>
        <w:t xml:space="preserve"> 第三部分  合同专用条款</w:t>
      </w:r>
    </w:p>
    <w:p>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5043"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6"/>
        <w:gridCol w:w="822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0" w:type="pct"/>
            <w:tcBorders>
              <w:lef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469" w:type="pct"/>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0"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4469" w:type="pct"/>
            <w:vAlign w:val="center"/>
          </w:tcPr>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0" w:type="pct"/>
            <w:tcBorders>
              <w:left w:val="single" w:color="auto" w:sz="4" w:space="0"/>
            </w:tcBorders>
            <w:vAlign w:val="center"/>
          </w:tcPr>
          <w:p>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4469" w:type="pct"/>
            <w:vAlign w:val="center"/>
          </w:tcPr>
          <w:p>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u w:val="single"/>
                <w:lang w:val="en-US" w:eastAsia="zh-CN"/>
              </w:rPr>
              <w:t>是</w:t>
            </w:r>
            <w:r>
              <w:rPr>
                <w:rFonts w:hint="eastAsia" w:ascii="仿宋" w:hAnsi="仿宋" w:eastAsia="仿宋" w:cs="仿宋"/>
                <w:color w:val="auto"/>
                <w:sz w:val="24"/>
                <w:highlight w:val="none"/>
                <w:u w:val="none"/>
                <w:lang w:val="en-US" w:eastAsia="zh-CN"/>
              </w:rPr>
              <w:t>需要支付履约保证金。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0" w:type="pct"/>
            <w:tcBorders>
              <w:left w:val="single" w:color="auto" w:sz="4" w:space="0"/>
            </w:tcBorders>
            <w:vAlign w:val="center"/>
          </w:tcPr>
          <w:p>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1.4.1</w:t>
            </w:r>
          </w:p>
        </w:tc>
        <w:tc>
          <w:tcPr>
            <w:tcW w:w="4469" w:type="pct"/>
            <w:vAlign w:val="center"/>
          </w:tcPr>
          <w:p>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履约保证金的比例为合同金额的</w:t>
            </w:r>
            <w:r>
              <w:rPr>
                <w:rFonts w:hint="eastAsia" w:ascii="仿宋" w:hAnsi="仿宋" w:eastAsia="仿宋" w:cs="仿宋"/>
                <w:color w:val="auto"/>
                <w:sz w:val="24"/>
                <w:highlight w:val="none"/>
                <w:u w:val="single"/>
                <w:lang w:val="en-US"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0"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4469" w:type="pct"/>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履约保证金支付方式：支票、汇票、本票或者金融机构、担保公司出具的保函等非现金形式提交。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0"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4469" w:type="pct"/>
            <w:vAlign w:val="center"/>
          </w:tcPr>
          <w:p>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预付款：合同价的</w:t>
            </w:r>
            <w:r>
              <w:rPr>
                <w:rFonts w:hint="eastAsia" w:ascii="仿宋" w:hAnsi="仿宋" w:eastAsia="仿宋" w:cs="仿宋"/>
                <w:color w:val="auto"/>
                <w:sz w:val="24"/>
                <w:highlight w:val="none"/>
                <w:u w:val="single"/>
                <w:lang w:val="en-US" w:eastAsia="zh-CN"/>
              </w:rPr>
              <w:t>60</w:t>
            </w:r>
            <w:r>
              <w:rPr>
                <w:rFonts w:hint="eastAsia" w:ascii="仿宋" w:hAnsi="仿宋" w:eastAsia="仿宋" w:cs="仿宋"/>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0"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4469" w:type="pct"/>
            <w:vAlign w:val="center"/>
          </w:tcPr>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0"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4469" w:type="pct"/>
            <w:vAlign w:val="center"/>
          </w:tcPr>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0"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4469" w:type="pct"/>
            <w:vAlign w:val="center"/>
          </w:tcPr>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0"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4469" w:type="pct"/>
            <w:vAlign w:val="center"/>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服务交付（实施）的时间（期限）：目开工后3个月内，完成项目所有的工作内容，并编写项目验收文档，组织项目验收。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0"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4469" w:type="pct"/>
            <w:vAlign w:val="center"/>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服务交付（实施）的地点（地域范围）：临安区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0"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4469" w:type="pct"/>
            <w:vAlign w:val="center"/>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服务交付（实施）的方式：按采购文件要求、响应文件承诺及合同约定交付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0"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4469" w:type="pct"/>
            <w:vAlign w:val="center"/>
          </w:tcPr>
          <w:p>
            <w:pPr>
              <w:spacing w:line="360" w:lineRule="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0"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4469" w:type="pct"/>
            <w:vAlign w:val="center"/>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0"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4469" w:type="pct"/>
            <w:vAlign w:val="center"/>
          </w:tcPr>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0"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4469"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0"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4469" w:type="pct"/>
            <w:vAlign w:val="center"/>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甲方所在地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0"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4469" w:type="pct"/>
            <w:vAlign w:val="center"/>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0"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4469" w:type="pct"/>
            <w:vAlign w:val="center"/>
          </w:tcPr>
          <w:p>
            <w:pPr>
              <w:spacing w:line="360" w:lineRule="auto"/>
              <w:ind w:left="-420" w:leftChars="-200" w:right="-420" w:rightChars="-20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知识产权归甲方所有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0"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4469" w:type="pct"/>
            <w:vAlign w:val="center"/>
          </w:tcPr>
          <w:p>
            <w:pPr>
              <w:keepNext w:val="0"/>
              <w:keepLines w:val="0"/>
              <w:pageBreakBefore w:val="0"/>
              <w:widowControl w:val="0"/>
              <w:kinsoku/>
              <w:wordWrap/>
              <w:overflowPunct/>
              <w:topLinePunct w:val="0"/>
              <w:autoSpaceDE/>
              <w:autoSpaceDN/>
              <w:bidi w:val="0"/>
              <w:adjustRightInd w:val="0"/>
              <w:snapToGrid/>
              <w:spacing w:line="360" w:lineRule="auto"/>
              <w:ind w:right="0" w:rightChars="0"/>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结算方式和付款条件：合同签订之日起7个工作日内，采购人向中标人支付合同金额的60%，完成90%工作量后7个工作日内采购人向中标人支付合同金额的35%，项目通过终验后7个工作日内支付剩余尾款。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0"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4469" w:type="pct"/>
            <w:vAlign w:val="center"/>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因不可抗力致使合同有变更必要的，双方当事人应在15日内以书面形式变更合同；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0" w:type="pct"/>
            <w:tcBorders>
              <w:left w:val="single" w:color="auto" w:sz="4" w:space="0"/>
            </w:tcBorders>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4469" w:type="pct"/>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受不可抗力影响的一方在不可抗力发生后，应在15日内以书面形式通知对方当事人，并在15日内，将有关部门出具的证明文件送达对方当事人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0"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4469" w:type="pct"/>
            <w:vAlign w:val="center"/>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0"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4469" w:type="pct"/>
            <w:vAlign w:val="center"/>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检验和验收标准、程序等具体内容以及前述验收书的效力，采用本行业通用标准。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0" w:type="pct"/>
            <w:tcBorders>
              <w:left w:val="single" w:color="auto" w:sz="4" w:space="0"/>
            </w:tcBorders>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4469" w:type="pct"/>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本合同壹式   份，甲方执   份，乙方执   份。每份均具有同等法律效力</w:t>
            </w:r>
          </w:p>
        </w:tc>
      </w:tr>
    </w:tbl>
    <w:p>
      <w:pPr>
        <w:spacing w:line="360" w:lineRule="auto"/>
        <w:ind w:left="-420" w:leftChars="-200" w:right="-420" w:rightChars="-200" w:firstLine="480" w:firstLineChars="200"/>
        <w:rPr>
          <w:rFonts w:hint="eastAsia" w:ascii="仿宋" w:hAnsi="仿宋" w:eastAsia="仿宋" w:cs="仿宋"/>
          <w:color w:val="auto"/>
          <w:sz w:val="24"/>
          <w:highlight w:val="none"/>
        </w:rPr>
      </w:pPr>
    </w:p>
    <w:p>
      <w:pPr>
        <w:spacing w:line="360" w:lineRule="auto"/>
        <w:ind w:firstLine="562" w:firstLineChars="200"/>
        <w:jc w:val="center"/>
        <w:rPr>
          <w:rFonts w:hint="eastAsia" w:ascii="仿宋" w:hAnsi="仿宋" w:eastAsia="仿宋" w:cs="仿宋"/>
          <w:b/>
          <w:color w:val="auto"/>
          <w:sz w:val="28"/>
          <w:szCs w:val="28"/>
          <w:highlight w:val="none"/>
        </w:rPr>
      </w:pPr>
    </w:p>
    <w:p>
      <w:pPr>
        <w:snapToGrid w:val="0"/>
        <w:spacing w:line="360" w:lineRule="auto"/>
        <w:jc w:val="center"/>
        <w:outlineLvl w:val="0"/>
        <w:rPr>
          <w:rFonts w:hint="eastAsia" w:ascii="仿宋" w:hAnsi="仿宋" w:eastAsia="仿宋" w:cs="仿宋"/>
          <w:b/>
          <w:color w:val="auto"/>
          <w:sz w:val="36"/>
          <w:szCs w:val="20"/>
          <w:highlight w:val="none"/>
        </w:rPr>
      </w:pPr>
    </w:p>
    <w:p>
      <w:pPr>
        <w:snapToGrid w:val="0"/>
        <w:spacing w:line="360" w:lineRule="auto"/>
        <w:jc w:val="center"/>
        <w:outlineLvl w:val="0"/>
        <w:rPr>
          <w:rFonts w:hint="eastAsia" w:ascii="仿宋" w:hAnsi="仿宋" w:eastAsia="仿宋" w:cs="仿宋"/>
          <w:b/>
          <w:color w:val="auto"/>
          <w:sz w:val="36"/>
          <w:szCs w:val="20"/>
          <w:highlight w:val="none"/>
        </w:rPr>
      </w:pPr>
    </w:p>
    <w:p>
      <w:pPr>
        <w:snapToGrid w:val="0"/>
        <w:spacing w:line="360" w:lineRule="auto"/>
        <w:jc w:val="center"/>
        <w:outlineLvl w:val="0"/>
        <w:rPr>
          <w:rFonts w:hint="eastAsia" w:ascii="仿宋" w:hAnsi="仿宋" w:eastAsia="仿宋" w:cs="仿宋"/>
          <w:b/>
          <w:color w:val="auto"/>
          <w:sz w:val="36"/>
          <w:szCs w:val="20"/>
          <w:highlight w:val="none"/>
        </w:rPr>
      </w:pPr>
    </w:p>
    <w:p>
      <w:pPr>
        <w:snapToGrid w:val="0"/>
        <w:spacing w:line="360" w:lineRule="auto"/>
        <w:jc w:val="center"/>
        <w:outlineLvl w:val="0"/>
        <w:rPr>
          <w:rFonts w:hint="eastAsia" w:ascii="仿宋" w:hAnsi="仿宋" w:eastAsia="仿宋" w:cs="仿宋"/>
          <w:b/>
          <w:color w:val="auto"/>
          <w:sz w:val="36"/>
          <w:szCs w:val="20"/>
          <w:highlight w:val="none"/>
        </w:rPr>
      </w:pPr>
    </w:p>
    <w:p>
      <w:pPr>
        <w:snapToGrid w:val="0"/>
        <w:spacing w:line="360" w:lineRule="auto"/>
        <w:jc w:val="center"/>
        <w:outlineLvl w:val="0"/>
        <w:rPr>
          <w:rFonts w:hint="eastAsia" w:ascii="仿宋" w:hAnsi="仿宋" w:eastAsia="仿宋" w:cs="仿宋"/>
          <w:b/>
          <w:color w:val="auto"/>
          <w:sz w:val="36"/>
          <w:szCs w:val="20"/>
          <w:highlight w:val="none"/>
        </w:rPr>
      </w:pPr>
    </w:p>
    <w:p>
      <w:pPr>
        <w:snapToGrid w:val="0"/>
        <w:spacing w:line="360" w:lineRule="auto"/>
        <w:jc w:val="center"/>
        <w:outlineLvl w:val="0"/>
        <w:rPr>
          <w:rFonts w:hint="eastAsia" w:ascii="仿宋" w:hAnsi="仿宋" w:eastAsia="仿宋" w:cs="仿宋"/>
          <w:b/>
          <w:color w:val="auto"/>
          <w:sz w:val="36"/>
          <w:szCs w:val="20"/>
          <w:highlight w:val="none"/>
        </w:rPr>
      </w:pPr>
    </w:p>
    <w:p>
      <w:pPr>
        <w:snapToGrid w:val="0"/>
        <w:spacing w:line="360" w:lineRule="auto"/>
        <w:jc w:val="center"/>
        <w:outlineLvl w:val="0"/>
        <w:rPr>
          <w:rFonts w:hint="eastAsia" w:ascii="仿宋" w:hAnsi="仿宋" w:eastAsia="仿宋" w:cs="仿宋"/>
          <w:b/>
          <w:color w:val="auto"/>
          <w:sz w:val="36"/>
          <w:szCs w:val="20"/>
          <w:highlight w:val="none"/>
        </w:rPr>
      </w:pPr>
    </w:p>
    <w:p>
      <w:pPr>
        <w:snapToGrid w:val="0"/>
        <w:spacing w:line="360" w:lineRule="auto"/>
        <w:jc w:val="center"/>
        <w:outlineLvl w:val="0"/>
        <w:rPr>
          <w:rFonts w:hint="eastAsia" w:ascii="仿宋" w:hAnsi="仿宋" w:eastAsia="仿宋" w:cs="仿宋"/>
          <w:b/>
          <w:color w:val="auto"/>
          <w:sz w:val="36"/>
          <w:szCs w:val="20"/>
          <w:highlight w:val="none"/>
        </w:rPr>
      </w:pPr>
    </w:p>
    <w:p>
      <w:pPr>
        <w:snapToGrid w:val="0"/>
        <w:spacing w:line="360" w:lineRule="auto"/>
        <w:jc w:val="center"/>
        <w:outlineLvl w:val="0"/>
        <w:rPr>
          <w:rFonts w:hint="eastAsia" w:ascii="仿宋" w:hAnsi="仿宋" w:eastAsia="仿宋" w:cs="仿宋"/>
          <w:b/>
          <w:color w:val="auto"/>
          <w:sz w:val="36"/>
          <w:szCs w:val="20"/>
          <w:highlight w:val="none"/>
        </w:rPr>
      </w:pPr>
    </w:p>
    <w:p>
      <w:pPr>
        <w:snapToGrid w:val="0"/>
        <w:spacing w:line="360" w:lineRule="auto"/>
        <w:jc w:val="center"/>
        <w:outlineLvl w:val="0"/>
        <w:rPr>
          <w:rFonts w:hint="eastAsia" w:ascii="仿宋" w:hAnsi="仿宋" w:eastAsia="仿宋" w:cs="仿宋"/>
          <w:b/>
          <w:color w:val="auto"/>
          <w:sz w:val="36"/>
          <w:szCs w:val="20"/>
          <w:highlight w:val="none"/>
        </w:rPr>
      </w:pPr>
    </w:p>
    <w:p>
      <w:pPr>
        <w:snapToGrid w:val="0"/>
        <w:spacing w:line="360" w:lineRule="auto"/>
        <w:jc w:val="center"/>
        <w:outlineLvl w:val="0"/>
        <w:rPr>
          <w:rFonts w:hint="eastAsia" w:ascii="仿宋" w:hAnsi="仿宋" w:eastAsia="仿宋" w:cs="仿宋"/>
          <w:b/>
          <w:color w:val="auto"/>
          <w:sz w:val="36"/>
          <w:szCs w:val="20"/>
          <w:highlight w:val="none"/>
        </w:rPr>
      </w:pPr>
    </w:p>
    <w:p>
      <w:pPr>
        <w:snapToGrid w:val="0"/>
        <w:spacing w:line="360" w:lineRule="auto"/>
        <w:jc w:val="center"/>
        <w:outlineLvl w:val="0"/>
        <w:rPr>
          <w:rFonts w:hint="eastAsia" w:ascii="仿宋" w:hAnsi="仿宋" w:eastAsia="仿宋" w:cs="仿宋"/>
          <w:b/>
          <w:color w:val="auto"/>
          <w:sz w:val="36"/>
          <w:szCs w:val="20"/>
          <w:highlight w:val="none"/>
        </w:rPr>
      </w:pPr>
    </w:p>
    <w:p>
      <w:pPr>
        <w:snapToGrid w:val="0"/>
        <w:spacing w:line="360" w:lineRule="auto"/>
        <w:jc w:val="center"/>
        <w:outlineLvl w:val="0"/>
        <w:rPr>
          <w:rFonts w:hint="eastAsia" w:ascii="仿宋" w:hAnsi="仿宋" w:eastAsia="仿宋" w:cs="仿宋"/>
          <w:b/>
          <w:color w:val="auto"/>
          <w:sz w:val="36"/>
          <w:szCs w:val="20"/>
          <w:highlight w:val="none"/>
        </w:rPr>
      </w:pPr>
    </w:p>
    <w:p>
      <w:pPr>
        <w:snapToGrid w:val="0"/>
        <w:spacing w:line="360" w:lineRule="auto"/>
        <w:jc w:val="center"/>
        <w:outlineLvl w:val="0"/>
        <w:rPr>
          <w:rFonts w:hint="eastAsia" w:ascii="仿宋" w:hAnsi="仿宋" w:eastAsia="仿宋" w:cs="仿宋"/>
          <w:b/>
          <w:color w:val="auto"/>
          <w:sz w:val="36"/>
          <w:szCs w:val="20"/>
          <w:highlight w:val="none"/>
        </w:rPr>
      </w:pPr>
    </w:p>
    <w:p>
      <w:pPr>
        <w:snapToGrid w:val="0"/>
        <w:spacing w:line="360" w:lineRule="auto"/>
        <w:jc w:val="center"/>
        <w:outlineLvl w:val="0"/>
        <w:rPr>
          <w:rFonts w:hint="eastAsia" w:ascii="仿宋" w:hAnsi="仿宋" w:eastAsia="仿宋" w:cs="仿宋"/>
          <w:b/>
          <w:color w:val="auto"/>
          <w:sz w:val="36"/>
          <w:szCs w:val="20"/>
          <w:highlight w:val="none"/>
        </w:rPr>
      </w:pPr>
    </w:p>
    <w:p>
      <w:pPr>
        <w:snapToGrid w:val="0"/>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第七部分</w:t>
      </w:r>
      <w:bookmarkEnd w:id="72"/>
      <w:r>
        <w:rPr>
          <w:rFonts w:hint="eastAsia" w:ascii="仿宋" w:hAnsi="仿宋" w:eastAsia="仿宋" w:cs="仿宋"/>
          <w:b/>
          <w:color w:val="auto"/>
          <w:sz w:val="36"/>
          <w:szCs w:val="20"/>
          <w:highlight w:val="none"/>
        </w:rPr>
        <w:t xml:space="preserve">  </w:t>
      </w:r>
      <w:bookmarkEnd w:id="73"/>
      <w:r>
        <w:rPr>
          <w:rFonts w:hint="eastAsia" w:ascii="仿宋" w:hAnsi="仿宋" w:eastAsia="仿宋" w:cs="仿宋"/>
          <w:b/>
          <w:color w:val="auto"/>
          <w:sz w:val="36"/>
          <w:szCs w:val="20"/>
          <w:highlight w:val="none"/>
        </w:rPr>
        <w:t>应提交的有关格式范例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供应商按照以下格式编制响应文件。</w:t>
      </w:r>
    </w:p>
    <w:p>
      <w:pPr>
        <w:spacing w:line="360" w:lineRule="auto"/>
        <w:ind w:firstLine="480" w:firstLineChars="200"/>
        <w:rPr>
          <w:rFonts w:hint="eastAsia" w:ascii="仿宋" w:hAnsi="仿宋" w:eastAsia="仿宋" w:cs="仿宋"/>
          <w:color w:val="auto"/>
          <w:sz w:val="24"/>
          <w:highlight w:val="none"/>
        </w:rPr>
      </w:pPr>
    </w:p>
    <w:p>
      <w:pPr>
        <w:spacing w:line="360" w:lineRule="auto"/>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pStyle w:val="184"/>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（1）响应函………………………………………………………………………（页码）</w:t>
      </w:r>
    </w:p>
    <w:p>
      <w:pPr>
        <w:pStyle w:val="184"/>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（2）资格文件…………………………………………………………………（页码）</w:t>
      </w:r>
    </w:p>
    <w:p>
      <w:pPr>
        <w:pStyle w:val="184"/>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（3）法人授权书</w:t>
      </w:r>
      <w:r>
        <w:rPr>
          <w:rFonts w:hint="eastAsia" w:ascii="仿宋" w:hAnsi="仿宋" w:eastAsia="仿宋" w:cs="仿宋"/>
          <w:color w:val="auto"/>
          <w:highlight w:val="none"/>
          <w:lang w:val="zh-CN"/>
        </w:rPr>
        <w:t>…………………………………………</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（4）分包意向协议</w:t>
      </w:r>
      <w:r>
        <w:rPr>
          <w:rFonts w:hint="eastAsia" w:ascii="仿宋" w:hAnsi="仿宋" w:eastAsia="仿宋" w:cs="仿宋"/>
          <w:color w:val="auto"/>
          <w:highlight w:val="none"/>
        </w:rPr>
        <w:t>…………………………………………………………………………（页码）</w:t>
      </w:r>
    </w:p>
    <w:p>
      <w:pPr>
        <w:pStyle w:val="184"/>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（5）所有资信文件（复印件）…………………………………………………（页码）</w:t>
      </w:r>
    </w:p>
    <w:p>
      <w:pPr>
        <w:pStyle w:val="184"/>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（6）主要业绩证明</w:t>
      </w:r>
      <w:r>
        <w:rPr>
          <w:rFonts w:hint="eastAsia" w:ascii="仿宋" w:hAnsi="仿宋" w:eastAsia="仿宋" w:cs="仿宋"/>
          <w:color w:val="auto"/>
          <w:highlight w:val="none"/>
          <w:lang w:val="zh-CN"/>
        </w:rPr>
        <w:t>…………………………………………</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p>
    <w:p>
      <w:pPr>
        <w:pStyle w:val="184"/>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w:t>
      </w:r>
      <w:r>
        <w:rPr>
          <w:rFonts w:hint="eastAsia" w:ascii="仿宋" w:hAnsi="仿宋" w:eastAsia="仿宋" w:cs="仿宋"/>
          <w:color w:val="auto"/>
          <w:highlight w:val="none"/>
          <w:lang w:val="zh-CN"/>
        </w:rPr>
        <w:t>关于对磋商文件中有关条款的拒绝声明……………</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p>
    <w:p>
      <w:pPr>
        <w:pStyle w:val="184"/>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（8）认为需要的其他商务文件或说明…………………………………………（页码）</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（9）技术解决方案…………………………………</w:t>
      </w:r>
      <w:r>
        <w:rPr>
          <w:rFonts w:hint="eastAsia" w:ascii="仿宋" w:hAnsi="仿宋" w:eastAsia="仿宋" w:cs="仿宋"/>
          <w:color w:val="auto"/>
          <w:highlight w:val="none"/>
        </w:rPr>
        <w:t>…………</w:t>
      </w:r>
      <w:r>
        <w:rPr>
          <w:rFonts w:hint="eastAsia" w:ascii="仿宋" w:hAnsi="仿宋" w:eastAsia="仿宋" w:cs="仿宋"/>
          <w:color w:val="auto"/>
          <w:kern w:val="0"/>
          <w:sz w:val="24"/>
          <w:highlight w:val="none"/>
        </w:rPr>
        <w:t>…………………（页码）</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（10）组织实施方案………………………………………</w:t>
      </w:r>
      <w:r>
        <w:rPr>
          <w:rFonts w:hint="eastAsia" w:ascii="仿宋" w:hAnsi="仿宋" w:eastAsia="仿宋" w:cs="仿宋"/>
          <w:color w:val="auto"/>
          <w:highlight w:val="none"/>
        </w:rPr>
        <w:t>…………</w:t>
      </w:r>
      <w:r>
        <w:rPr>
          <w:rFonts w:hint="eastAsia" w:ascii="仿宋" w:hAnsi="仿宋" w:eastAsia="仿宋" w:cs="仿宋"/>
          <w:color w:val="auto"/>
          <w:kern w:val="0"/>
          <w:sz w:val="24"/>
          <w:highlight w:val="none"/>
        </w:rPr>
        <w:t>……………（页码）</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（11）售后服务方案……………………………………</w:t>
      </w:r>
      <w:r>
        <w:rPr>
          <w:rFonts w:hint="eastAsia" w:ascii="仿宋" w:hAnsi="仿宋" w:eastAsia="仿宋" w:cs="仿宋"/>
          <w:color w:val="auto"/>
          <w:highlight w:val="none"/>
        </w:rPr>
        <w:t>…………</w:t>
      </w:r>
      <w:r>
        <w:rPr>
          <w:rFonts w:hint="eastAsia" w:ascii="仿宋" w:hAnsi="仿宋" w:eastAsia="仿宋" w:cs="仿宋"/>
          <w:color w:val="auto"/>
          <w:kern w:val="0"/>
          <w:sz w:val="24"/>
          <w:highlight w:val="none"/>
        </w:rPr>
        <w:t>………………（页码）</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（12）项目小组人员名单……………………………</w:t>
      </w:r>
      <w:r>
        <w:rPr>
          <w:rFonts w:hint="eastAsia" w:ascii="仿宋" w:hAnsi="仿宋" w:eastAsia="仿宋" w:cs="仿宋"/>
          <w:color w:val="auto"/>
          <w:highlight w:val="none"/>
        </w:rPr>
        <w:t>…………</w:t>
      </w:r>
      <w:r>
        <w:rPr>
          <w:rFonts w:hint="eastAsia" w:ascii="仿宋" w:hAnsi="仿宋" w:eastAsia="仿宋" w:cs="仿宋"/>
          <w:color w:val="auto"/>
          <w:kern w:val="0"/>
          <w:sz w:val="24"/>
          <w:highlight w:val="none"/>
        </w:rPr>
        <w:t>…………………（页码）</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w:t>
      </w:r>
      <w:r>
        <w:rPr>
          <w:rFonts w:hint="eastAsia" w:ascii="仿宋" w:hAnsi="仿宋" w:eastAsia="仿宋" w:cs="仿宋"/>
          <w:color w:val="auto"/>
          <w:kern w:val="0"/>
          <w:sz w:val="24"/>
          <w:highlight w:val="none"/>
          <w:lang w:val="zh-CN"/>
        </w:rPr>
        <w:t>优惠条件及特殊承诺………………………………</w:t>
      </w:r>
      <w:r>
        <w:rPr>
          <w:rFonts w:hint="eastAsia" w:ascii="仿宋" w:hAnsi="仿宋" w:eastAsia="仿宋" w:cs="仿宋"/>
          <w:color w:val="auto"/>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（页码）</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w:t>
      </w:r>
      <w:r>
        <w:rPr>
          <w:rFonts w:hint="eastAsia" w:ascii="仿宋" w:hAnsi="仿宋" w:eastAsia="仿宋" w:cs="仿宋"/>
          <w:color w:val="auto"/>
          <w:kern w:val="0"/>
          <w:sz w:val="24"/>
          <w:highlight w:val="none"/>
          <w:lang w:val="zh-CN"/>
        </w:rPr>
        <w:t>培训计划……………………………………………</w:t>
      </w:r>
      <w:r>
        <w:rPr>
          <w:rFonts w:hint="eastAsia" w:ascii="仿宋" w:hAnsi="仿宋" w:eastAsia="仿宋" w:cs="仿宋"/>
          <w:color w:val="auto"/>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（页码）</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w:t>
      </w:r>
      <w:r>
        <w:rPr>
          <w:rFonts w:hint="eastAsia" w:ascii="仿宋" w:hAnsi="仿宋" w:eastAsia="仿宋" w:cs="仿宋"/>
          <w:color w:val="auto"/>
          <w:sz w:val="24"/>
          <w:highlight w:val="none"/>
        </w:rPr>
        <w:t>随机特殊工具和备品备件清单</w:t>
      </w:r>
      <w:r>
        <w:rPr>
          <w:rFonts w:hint="eastAsia" w:ascii="仿宋" w:hAnsi="仿宋" w:eastAsia="仿宋" w:cs="仿宋"/>
          <w:color w:val="auto"/>
          <w:kern w:val="0"/>
          <w:sz w:val="24"/>
          <w:highlight w:val="none"/>
          <w:lang w:val="zh-CN"/>
        </w:rPr>
        <w:t>…………………</w:t>
      </w:r>
      <w:r>
        <w:rPr>
          <w:rFonts w:hint="eastAsia" w:ascii="仿宋" w:hAnsi="仿宋" w:eastAsia="仿宋" w:cs="仿宋"/>
          <w:color w:val="auto"/>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（页码）</w:t>
      </w:r>
    </w:p>
    <w:p>
      <w:pPr>
        <w:spacing w:line="360" w:lineRule="auto"/>
        <w:ind w:firstLine="48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（16）</w:t>
      </w:r>
      <w:r>
        <w:rPr>
          <w:rFonts w:hint="eastAsia" w:ascii="仿宋" w:hAnsi="仿宋" w:eastAsia="仿宋" w:cs="仿宋"/>
          <w:color w:val="auto"/>
          <w:kern w:val="0"/>
          <w:sz w:val="24"/>
          <w:highlight w:val="none"/>
          <w:lang w:val="zh-CN"/>
        </w:rPr>
        <w:t>认为需要的其他技术文件或说明…………………</w:t>
      </w:r>
      <w:r>
        <w:rPr>
          <w:rFonts w:hint="eastAsia" w:ascii="仿宋" w:hAnsi="仿宋" w:eastAsia="仿宋" w:cs="仿宋"/>
          <w:color w:val="auto"/>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（页码）</w:t>
      </w:r>
    </w:p>
    <w:p>
      <w:pPr>
        <w:tabs>
          <w:tab w:val="left" w:pos="0"/>
        </w:tabs>
        <w:autoSpaceDE w:val="0"/>
        <w:autoSpaceDN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（17）</w:t>
      </w:r>
      <w:r>
        <w:rPr>
          <w:rFonts w:hint="eastAsia" w:ascii="仿宋" w:hAnsi="仿宋" w:eastAsia="仿宋" w:cs="仿宋"/>
          <w:color w:val="auto"/>
          <w:kern w:val="0"/>
          <w:sz w:val="24"/>
          <w:highlight w:val="none"/>
          <w:lang w:val="zh-CN"/>
        </w:rPr>
        <w:t>政府采购供应商廉洁自律承诺书………………………………………</w:t>
      </w:r>
      <w:r>
        <w:rPr>
          <w:rFonts w:hint="eastAsia" w:ascii="仿宋" w:hAnsi="仿宋" w:eastAsia="仿宋" w:cs="仿宋"/>
          <w:color w:val="auto"/>
          <w:kern w:val="0"/>
          <w:sz w:val="24"/>
          <w:highlight w:val="none"/>
        </w:rPr>
        <w:t>（页码）</w:t>
      </w:r>
    </w:p>
    <w:p>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注：以上目录是编制供应商响应文件的基本格式要求，各供应商可根据自身情况进一步细化。</w:t>
      </w:r>
    </w:p>
    <w:p>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color w:val="auto"/>
          <w:sz w:val="36"/>
          <w:szCs w:val="36"/>
          <w:highlight w:val="none"/>
        </w:rPr>
        <w:br w:type="page"/>
      </w:r>
      <w:r>
        <w:rPr>
          <w:rFonts w:hint="eastAsia" w:ascii="仿宋" w:hAnsi="仿宋" w:eastAsia="仿宋" w:cs="仿宋"/>
          <w:b/>
          <w:color w:val="auto"/>
          <w:kern w:val="0"/>
          <w:sz w:val="32"/>
          <w:szCs w:val="32"/>
          <w:highlight w:val="none"/>
        </w:rPr>
        <w:t>一、响应</w:t>
      </w:r>
      <w:r>
        <w:rPr>
          <w:rFonts w:hint="eastAsia" w:ascii="仿宋" w:hAnsi="仿宋" w:eastAsia="仿宋" w:cs="仿宋"/>
          <w:b/>
          <w:color w:val="auto"/>
          <w:sz w:val="32"/>
          <w:szCs w:val="32"/>
          <w:highlight w:val="none"/>
        </w:rPr>
        <w:t>函</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(供应商全称)授权</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(全权代表姓名)</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(职务、职称)为全权代表，参加贵方组织的（项目名称）【项目编号：（采购编号）】的有关活动，并对此项目进行响应。为此：</w:t>
      </w:r>
    </w:p>
    <w:p>
      <w:pPr>
        <w:pStyle w:val="105"/>
        <w:numPr>
          <w:ilvl w:val="0"/>
          <w:numId w:val="12"/>
        </w:numPr>
        <w:snapToGrid w:val="0"/>
        <w:ind w:firstLineChars="0"/>
        <w:rPr>
          <w:rFonts w:hint="eastAsia" w:ascii="仿宋" w:hAnsi="仿宋" w:eastAsia="仿宋" w:cs="仿宋"/>
          <w:color w:val="auto"/>
          <w:highlight w:val="none"/>
        </w:rPr>
      </w:pPr>
      <w:r>
        <w:rPr>
          <w:rFonts w:hint="eastAsia" w:ascii="仿宋" w:hAnsi="仿宋" w:eastAsia="仿宋" w:cs="仿宋"/>
          <w:color w:val="auto"/>
          <w:highlight w:val="none"/>
        </w:rPr>
        <w:t>我方承诺响应有效期从提交响应文件的截止之日起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天，（不少于90天），本响应文件在响应有效期满之前均具有约束力。</w:t>
      </w:r>
    </w:p>
    <w:p>
      <w:pPr>
        <w:numPr>
          <w:ilvl w:val="0"/>
          <w:numId w:val="12"/>
        </w:num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w:t>
      </w:r>
      <w:r>
        <w:rPr>
          <w:rFonts w:hint="eastAsia" w:ascii="仿宋" w:hAnsi="仿宋" w:eastAsia="仿宋" w:cs="仿宋"/>
          <w:bCs/>
          <w:color w:val="auto"/>
          <w:kern w:val="44"/>
          <w:sz w:val="24"/>
          <w:highlight w:val="none"/>
        </w:rPr>
        <w:t>磋商文件中</w:t>
      </w:r>
      <w:r>
        <w:rPr>
          <w:rFonts w:hint="eastAsia" w:ascii="仿宋" w:hAnsi="仿宋" w:eastAsia="仿宋" w:cs="仿宋"/>
          <w:color w:val="auto"/>
          <w:sz w:val="24"/>
          <w:highlight w:val="none"/>
        </w:rPr>
        <w:t>规定的全部响应文件。</w:t>
      </w:r>
    </w:p>
    <w:p>
      <w:pPr>
        <w:numPr>
          <w:ilvl w:val="0"/>
          <w:numId w:val="12"/>
        </w:num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我方承诺除响应文件列出的偏离外，我方响应磋商文件的全部要求。</w:t>
      </w:r>
    </w:p>
    <w:p>
      <w:pPr>
        <w:numPr>
          <w:ilvl w:val="0"/>
          <w:numId w:val="12"/>
        </w:num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保证遵守磋商文件中的其他有关规定。</w:t>
      </w:r>
    </w:p>
    <w:p>
      <w:pPr>
        <w:numPr>
          <w:ilvl w:val="0"/>
          <w:numId w:val="12"/>
        </w:num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我方愿意向贵方提供任何与该项目响应有关的数据、情况和技术资料。若贵方需要，我方愿意提供我方作出的一切承诺的证明材料。</w:t>
      </w:r>
    </w:p>
    <w:p>
      <w:pPr>
        <w:numPr>
          <w:ilvl w:val="0"/>
          <w:numId w:val="12"/>
        </w:num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我方已详细阅读全部磋商文件，包括磋商文件“更正（延期）公告”（如果有）、参考资料及有关附件，确认无误。</w:t>
      </w:r>
    </w:p>
    <w:p>
      <w:pPr>
        <w:numPr>
          <w:ilvl w:val="0"/>
          <w:numId w:val="12"/>
        </w:num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如我方成交，我方承诺：</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 xml:space="preserve">.1在收到成交通知书后，在成交通知书规定的期限内与你方签订合同；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 xml:space="preserve">.2在签订合同时不向你方提出附加条件；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 xml:space="preserve">.3按照磋商文件要求提交履约保证金；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 xml:space="preserve">.4在合同约定的期限内完成合同规定的全部义务。 </w:t>
      </w:r>
    </w:p>
    <w:p>
      <w:pPr>
        <w:numPr>
          <w:ilvl w:val="0"/>
          <w:numId w:val="12"/>
        </w:num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其他补充说明:                                        。</w:t>
      </w:r>
    </w:p>
    <w:p>
      <w:pPr>
        <w:autoSpaceDE w:val="0"/>
        <w:autoSpaceDN w:val="0"/>
        <w:spacing w:line="360" w:lineRule="auto"/>
        <w:ind w:firstLine="3960" w:firstLineChars="1650"/>
        <w:rPr>
          <w:rFonts w:hint="eastAsia" w:ascii="仿宋" w:hAnsi="仿宋" w:eastAsia="仿宋" w:cs="仿宋"/>
          <w:color w:val="auto"/>
          <w:kern w:val="0"/>
          <w:sz w:val="24"/>
          <w:highlight w:val="none"/>
          <w:lang w:val="zh-CN"/>
        </w:rPr>
      </w:pPr>
    </w:p>
    <w:p>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供应商名称（电子签名）：                          </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spacing w:line="360" w:lineRule="auto"/>
        <w:rPr>
          <w:rFonts w:hint="eastAsia" w:ascii="仿宋" w:hAnsi="仿宋" w:eastAsia="仿宋" w:cs="仿宋"/>
          <w:color w:val="auto"/>
          <w:kern w:val="0"/>
          <w:sz w:val="24"/>
          <w:highlight w:val="none"/>
        </w:rPr>
      </w:pPr>
    </w:p>
    <w:p>
      <w:pPr>
        <w:pStyle w:val="115"/>
        <w:keepNext w:val="0"/>
        <w:pageBreakBefore w:val="0"/>
        <w:tabs>
          <w:tab w:val="clear" w:pos="720"/>
        </w:tabs>
        <w:jc w:val="both"/>
        <w:outlineLvl w:val="9"/>
        <w:rPr>
          <w:rFonts w:hint="eastAsia" w:ascii="仿宋" w:hAnsi="仿宋" w:eastAsia="仿宋" w:cs="仿宋"/>
          <w:color w:val="auto"/>
          <w:sz w:val="24"/>
          <w:szCs w:val="24"/>
          <w:highlight w:val="none"/>
        </w:rPr>
      </w:pPr>
    </w:p>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18"/>
          <w:szCs w:val="18"/>
          <w:highlight w:val="none"/>
        </w:rPr>
      </w:pPr>
    </w:p>
    <w:p>
      <w:pPr>
        <w:spacing w:line="360" w:lineRule="auto"/>
        <w:rPr>
          <w:rFonts w:hint="eastAsia" w:ascii="仿宋" w:hAnsi="仿宋" w:eastAsia="仿宋" w:cs="仿宋"/>
          <w:color w:val="auto"/>
          <w:sz w:val="18"/>
          <w:szCs w:val="18"/>
          <w:highlight w:val="none"/>
        </w:rPr>
      </w:pPr>
    </w:p>
    <w:p>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widowControl/>
        <w:tabs>
          <w:tab w:val="left" w:pos="1200"/>
        </w:tabs>
        <w:adjustRightInd/>
        <w:ind w:left="84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二、资格文件</w:t>
      </w:r>
    </w:p>
    <w:p>
      <w:pPr>
        <w:pStyle w:val="105"/>
        <w:widowControl/>
        <w:tabs>
          <w:tab w:val="left" w:pos="1200"/>
          <w:tab w:val="left" w:pos="1560"/>
        </w:tabs>
        <w:adjustRightInd/>
        <w:ind w:left="1560" w:firstLine="0" w:firstLineChars="0"/>
        <w:jc w:val="left"/>
        <w:rPr>
          <w:rFonts w:hint="eastAsia" w:ascii="仿宋" w:hAnsi="仿宋" w:eastAsia="仿宋" w:cs="仿宋"/>
          <w:b/>
          <w:color w:val="auto"/>
          <w:sz w:val="30"/>
          <w:szCs w:val="30"/>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A、符合参加政府采购活动应当具备的一般条件的承诺函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w:t>
      </w:r>
      <w:r>
        <w:rPr>
          <w:rFonts w:hint="eastAsia" w:ascii="仿宋" w:hAnsi="仿宋" w:eastAsia="仿宋" w:cs="仿宋"/>
          <w:color w:val="auto"/>
          <w:kern w:val="0"/>
          <w:sz w:val="24"/>
          <w:highlight w:val="none"/>
          <w:lang w:val="zh-CN"/>
        </w:rPr>
        <w:t>【项目编号：（采购编号）】</w:t>
      </w:r>
      <w:r>
        <w:rPr>
          <w:rFonts w:hint="eastAsia" w:ascii="仿宋" w:hAnsi="仿宋" w:eastAsia="仿宋" w:cs="仿宋"/>
          <w:color w:val="auto"/>
          <w:sz w:val="24"/>
          <w:highlight w:val="none"/>
        </w:rPr>
        <w:t>政府采购活动，郑重承诺：</w:t>
      </w:r>
    </w:p>
    <w:p>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jc w:val="center"/>
        <w:rPr>
          <w:rFonts w:hint="eastAsia" w:ascii="仿宋" w:hAnsi="仿宋" w:eastAsia="仿宋" w:cs="仿宋"/>
          <w:b/>
          <w:color w:val="auto"/>
          <w:kern w:val="0"/>
          <w:sz w:val="32"/>
          <w:szCs w:val="32"/>
          <w:highlight w:val="none"/>
        </w:rPr>
      </w:pPr>
    </w:p>
    <w:p>
      <w:pPr>
        <w:widowControl/>
        <w:adjustRightInd/>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B、联合协议（如果有）</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（以联合体形式响应的，提供联合协议；本项目不接受联合体响应或者供应商不以联合体形式响应的，则不需要提供）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组成一个联合体，以一个供应商的身份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 xml:space="preserve">【项目编号：（采购编号）】响应。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，代表所有联合体成员负责响应和合同实施阶段的主办、协调工作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授权代表根据磋商文件规定及采购内容而对采购人、采购代理机构所作的任何合法承诺，包括书面澄清及相应等均对联合体各方产生约束力。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三、本次联合响应中，分工如下：</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四、联合体成员中小企业合同份额（如果有）。</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178" w:name="_Hlk101131882"/>
      <w:r>
        <w:rPr>
          <w:rFonts w:hint="eastAsia" w:ascii="仿宋" w:hAnsi="仿宋" w:eastAsia="仿宋" w:cs="仿宋"/>
          <w:color w:val="auto"/>
          <w:kern w:val="0"/>
          <w:sz w:val="24"/>
          <w:highlight w:val="none"/>
          <w:u w:val="single"/>
        </w:rPr>
        <w:t>联合体成员X,……</w:t>
      </w:r>
      <w:bookmarkEnd w:id="178"/>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179"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179"/>
      <w:r>
        <w:rPr>
          <w:rFonts w:hint="eastAsia" w:ascii="仿宋" w:hAnsi="仿宋" w:eastAsia="仿宋" w:cs="仿宋"/>
          <w:b/>
          <w:color w:val="auto"/>
          <w:kern w:val="0"/>
          <w:sz w:val="24"/>
          <w:highlight w:val="none"/>
          <w:lang w:val="zh-CN"/>
        </w:rPr>
        <w:t>）</w:t>
      </w:r>
    </w:p>
    <w:p>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180"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180"/>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五、如果成交，</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六、有关本次联合响应的其他事宜：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napToGrid w:val="0"/>
        <w:spacing w:line="360" w:lineRule="auto"/>
        <w:ind w:right="480"/>
        <w:jc w:val="center"/>
        <w:rPr>
          <w:rFonts w:hint="eastAsia" w:ascii="仿宋" w:hAnsi="仿宋" w:eastAsia="仿宋" w:cs="仿宋"/>
          <w:b/>
          <w:color w:val="auto"/>
          <w:sz w:val="32"/>
          <w:szCs w:val="32"/>
          <w:highlight w:val="none"/>
        </w:rPr>
      </w:pPr>
    </w:p>
    <w:p>
      <w:pPr>
        <w:widowControl/>
        <w:adjustRightInd/>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z w:val="32"/>
          <w:szCs w:val="32"/>
          <w:highlight w:val="none"/>
        </w:rPr>
        <w:t>C、</w:t>
      </w:r>
      <w:r>
        <w:rPr>
          <w:rFonts w:hint="eastAsia" w:ascii="仿宋" w:hAnsi="仿宋" w:eastAsia="仿宋" w:cs="仿宋"/>
          <w:b/>
          <w:color w:val="auto"/>
          <w:kern w:val="0"/>
          <w:sz w:val="32"/>
          <w:szCs w:val="32"/>
          <w:highlight w:val="none"/>
        </w:rPr>
        <w:t>落实政府采购政策需满足的资格要求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b/>
          <w:bCs/>
          <w:color w:val="auto"/>
          <w:sz w:val="24"/>
          <w:highlight w:val="none"/>
        </w:rPr>
        <w:t>磋商文件第一部分竞争性磋商邀请公告中</w:t>
      </w:r>
      <w:r>
        <w:rPr>
          <w:rFonts w:hint="eastAsia" w:ascii="仿宋" w:hAnsi="仿宋" w:eastAsia="仿宋" w:cs="仿宋"/>
          <w:color w:val="auto"/>
          <w:sz w:val="24"/>
          <w:highlight w:val="none"/>
        </w:rPr>
        <w:t>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.专门面向中小企业，服务全部由符合政策要求的中小企业（或小微企业）承接的，提供相应的中小企业声明函（附件5）。 </w:t>
      </w:r>
    </w:p>
    <w:p>
      <w:pPr>
        <w:widowControl/>
        <w:spacing w:line="360" w:lineRule="auto"/>
        <w:ind w:firstLine="480"/>
        <w:jc w:val="left"/>
        <w:rPr>
          <w:rFonts w:hint="eastAsia" w:ascii="仿宋" w:hAnsi="仿宋" w:eastAsia="仿宋" w:cs="仿宋"/>
          <w:color w:val="auto"/>
          <w:sz w:val="24"/>
          <w:highlight w:val="none"/>
        </w:rPr>
      </w:pPr>
    </w:p>
    <w:p>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要求以联合体形式参加的，提供联合协议和中小企业声明函（附件5），联合协议中中小企业合同金额应当达到</w:t>
      </w:r>
      <w:r>
        <w:rPr>
          <w:rFonts w:hint="eastAsia" w:ascii="仿宋" w:hAnsi="仿宋" w:eastAsia="仿宋" w:cs="仿宋"/>
          <w:b/>
          <w:bCs/>
          <w:color w:val="auto"/>
          <w:sz w:val="24"/>
          <w:highlight w:val="none"/>
        </w:rPr>
        <w:t>竞争性磋商邀请公告</w:t>
      </w:r>
      <w:r>
        <w:rPr>
          <w:rFonts w:hint="eastAsia" w:ascii="仿宋" w:hAnsi="仿宋" w:eastAsia="仿宋" w:cs="仿宋"/>
          <w:color w:val="auto"/>
          <w:sz w:val="24"/>
          <w:highlight w:val="none"/>
        </w:rPr>
        <w:t>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要求合同分包的，提供分包意向协议和中小企业声明函（附件5），分包意向协议中中小企业合同金额应当达到</w:t>
      </w:r>
      <w:r>
        <w:rPr>
          <w:rFonts w:hint="eastAsia" w:ascii="仿宋" w:hAnsi="仿宋" w:eastAsia="仿宋" w:cs="仿宋"/>
          <w:b/>
          <w:bCs/>
          <w:color w:val="auto"/>
          <w:sz w:val="24"/>
          <w:highlight w:val="none"/>
        </w:rPr>
        <w:t>竞争性磋商邀请公告</w:t>
      </w:r>
      <w:r>
        <w:rPr>
          <w:rFonts w:hint="eastAsia" w:ascii="仿宋" w:hAnsi="仿宋" w:eastAsia="仿宋" w:cs="仿宋"/>
          <w:color w:val="auto"/>
          <w:sz w:val="24"/>
          <w:highlight w:val="none"/>
        </w:rPr>
        <w:t>载明的比例；如果供应商本身提供的所有标的均由中小企业承接的，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D、符合特定资格条件要求的资质文件（复印件）</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（由供应商根据“磋商文件第一部分”中“合格的供应商应具备的特定资格要求”编制；如果本项目没有设置特定资格条件，则不需要提供）</w:t>
      </w:r>
    </w:p>
    <w:p>
      <w:pPr>
        <w:widowControl/>
        <w:spacing w:line="360" w:lineRule="auto"/>
        <w:ind w:firstLine="480" w:firstLineChars="200"/>
        <w:jc w:val="left"/>
        <w:rPr>
          <w:rFonts w:hint="eastAsia" w:ascii="仿宋" w:hAnsi="仿宋" w:eastAsia="仿宋" w:cs="仿宋"/>
          <w:color w:val="auto"/>
          <w:sz w:val="24"/>
          <w:highlight w:val="none"/>
        </w:rPr>
      </w:pPr>
    </w:p>
    <w:p>
      <w:pPr>
        <w:snapToGrid w:val="0"/>
        <w:spacing w:line="360" w:lineRule="auto"/>
        <w:ind w:firstLine="5880" w:firstLineChars="24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hint="eastAsia" w:ascii="仿宋" w:hAnsi="仿宋" w:eastAsia="仿宋" w:cs="仿宋"/>
          <w:color w:val="auto"/>
          <w:kern w:val="0"/>
          <w:sz w:val="24"/>
          <w:highlight w:val="none"/>
          <w:lang w:val="zh-CN"/>
        </w:rPr>
      </w:pPr>
    </w:p>
    <w:p>
      <w:pPr>
        <w:snapToGrid w:val="0"/>
        <w:spacing w:line="360" w:lineRule="auto"/>
        <w:ind w:right="480"/>
        <w:jc w:val="center"/>
        <w:rPr>
          <w:rFonts w:hint="eastAsia" w:ascii="仿宋" w:hAnsi="仿宋" w:eastAsia="仿宋" w:cs="仿宋"/>
          <w:b/>
          <w:color w:val="auto"/>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pPr>
        <w:widowControl/>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三、法人授权书</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兹委派我公司</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先生/女士(其在本公司的职务是：</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 xml:space="preserve"> ，联系电话：</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传真：</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)，代表我公司全权处理</w:t>
      </w:r>
      <w:r>
        <w:rPr>
          <w:rFonts w:hint="eastAsia" w:ascii="仿宋" w:hAnsi="仿宋" w:eastAsia="仿宋" w:cs="仿宋"/>
          <w:color w:val="auto"/>
          <w:sz w:val="24"/>
          <w:highlight w:val="none"/>
        </w:rPr>
        <w:t>（项目名称）【项目编号：（采购编号）】</w:t>
      </w:r>
      <w:r>
        <w:rPr>
          <w:rFonts w:hint="eastAsia" w:ascii="仿宋" w:hAnsi="仿宋" w:eastAsia="仿宋" w:cs="仿宋"/>
          <w:color w:val="auto"/>
          <w:kern w:val="0"/>
          <w:sz w:val="24"/>
          <w:highlight w:val="none"/>
          <w:lang w:val="zh-CN"/>
        </w:rPr>
        <w:t>政府采购响应的一切事项，若成交则全权代表本公司签订相关合同，并负责处理合同履行等事宜。</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本委托书有效期：自    年 月  日起至    年  月  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特此告知。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供应商名称(电子签名)：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hint="eastAsia" w:ascii="仿宋" w:hAnsi="仿宋" w:eastAsia="仿宋" w:cs="仿宋"/>
          <w:color w:val="auto"/>
          <w:kern w:val="0"/>
          <w:sz w:val="24"/>
          <w:highlight w:val="none"/>
          <w:lang w:val="zh-CN"/>
        </w:rPr>
      </w:pPr>
    </w:p>
    <w:p>
      <w:pPr>
        <w:widowControl/>
        <w:adjustRightInd/>
        <w:jc w:val="left"/>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pPr>
        <w:snapToGrid w:val="0"/>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联合体响应授权书（扫描件加盖上传单位电子签名）</w:t>
      </w:r>
    </w:p>
    <w:p>
      <w:pPr>
        <w:snapToGrid w:val="0"/>
        <w:spacing w:line="360" w:lineRule="auto"/>
        <w:jc w:val="center"/>
        <w:rPr>
          <w:rFonts w:hint="eastAsia" w:ascii="仿宋" w:hAnsi="仿宋" w:eastAsia="仿宋" w:cs="仿宋"/>
          <w:b/>
          <w:color w:val="auto"/>
          <w:kern w:val="0"/>
          <w:sz w:val="30"/>
          <w:szCs w:val="30"/>
          <w:highlight w:val="none"/>
          <w:lang w:val="zh-CN"/>
        </w:rPr>
      </w:pPr>
      <w:r>
        <w:rPr>
          <w:rFonts w:hint="eastAsia" w:ascii="仿宋" w:hAnsi="仿宋" w:eastAsia="仿宋" w:cs="仿宋"/>
          <w:b/>
          <w:color w:val="auto"/>
          <w:kern w:val="0"/>
          <w:sz w:val="30"/>
          <w:szCs w:val="30"/>
          <w:highlight w:val="none"/>
          <w:lang w:val="zh-CN"/>
        </w:rPr>
        <w:t>（适用于联合体响应）</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【项目编号：（采购编号）】政府采购响应的一切事项，其法律后果由我方承担。。</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本授权书有效期：自   年 月  日起至  年  月  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特此告知。</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widowControl/>
        <w:adjustRightInd/>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br w:type="page"/>
      </w:r>
    </w:p>
    <w:p>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30"/>
          <w:szCs w:val="30"/>
          <w:highlight w:val="none"/>
        </w:rPr>
        <w:t>授权代表的身份证（复印件）</w:t>
      </w:r>
    </w:p>
    <w:p>
      <w:pPr>
        <w:pStyle w:val="619"/>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pPr>
              <w:pStyle w:val="619"/>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619"/>
              <w:spacing w:line="360" w:lineRule="auto"/>
              <w:rPr>
                <w:rFonts w:hint="eastAsia" w:ascii="仿宋" w:hAnsi="仿宋" w:eastAsia="仿宋" w:cs="仿宋"/>
                <w:bCs/>
                <w:color w:val="auto"/>
                <w:sz w:val="24"/>
                <w:highlight w:val="none"/>
              </w:rPr>
            </w:pPr>
          </w:p>
        </w:tc>
      </w:tr>
    </w:tbl>
    <w:p>
      <w:pPr>
        <w:snapToGrid w:val="0"/>
        <w:spacing w:line="360" w:lineRule="auto"/>
        <w:ind w:firstLine="576"/>
        <w:jc w:val="right"/>
        <w:rPr>
          <w:rFonts w:hint="eastAsia" w:ascii="仿宋" w:hAnsi="仿宋" w:eastAsia="仿宋" w:cs="仿宋"/>
          <w:color w:val="auto"/>
          <w:kern w:val="0"/>
          <w:sz w:val="24"/>
          <w:highlight w:val="none"/>
          <w:lang w:val="zh-CN"/>
        </w:rPr>
      </w:pPr>
    </w:p>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                              </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w:t>
      </w:r>
    </w:p>
    <w:p>
      <w:pPr>
        <w:snapToGrid w:val="0"/>
        <w:spacing w:line="360" w:lineRule="auto"/>
        <w:ind w:firstLine="576"/>
        <w:jc w:val="center"/>
        <w:rPr>
          <w:rFonts w:hint="eastAsia" w:ascii="仿宋" w:hAnsi="仿宋" w:eastAsia="仿宋" w:cs="仿宋"/>
          <w:color w:val="auto"/>
          <w:sz w:val="28"/>
          <w:szCs w:val="28"/>
          <w:highlight w:val="none"/>
        </w:rPr>
      </w:pPr>
    </w:p>
    <w:p>
      <w:pPr>
        <w:widowControl/>
        <w:adjustRightInd/>
        <w:jc w:val="left"/>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四</w:t>
      </w:r>
      <w:r>
        <w:rPr>
          <w:rFonts w:hint="eastAsia" w:ascii="仿宋" w:hAnsi="仿宋" w:eastAsia="仿宋" w:cs="仿宋"/>
          <w:b/>
          <w:color w:val="auto"/>
          <w:sz w:val="32"/>
          <w:szCs w:val="32"/>
          <w:highlight w:val="none"/>
        </w:rPr>
        <w:t>、</w:t>
      </w:r>
      <w:r>
        <w:rPr>
          <w:rFonts w:hint="eastAsia" w:ascii="仿宋" w:hAnsi="仿宋" w:eastAsia="仿宋" w:cs="仿宋"/>
          <w:b/>
          <w:color w:val="auto"/>
          <w:kern w:val="0"/>
          <w:sz w:val="32"/>
          <w:szCs w:val="32"/>
          <w:highlight w:val="none"/>
        </w:rPr>
        <w:t>分包意向协议（如果有）</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成交后以分包方式履行合同的，提供分包意向协议；采购人不同意分包或者供应商成交后不以分包方式履行合同的，则不需要提供。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（项目名称）【项目编号：（采购编号）】</w:t>
      </w:r>
      <w:r>
        <w:rPr>
          <w:rFonts w:hint="eastAsia" w:ascii="仿宋" w:hAnsi="仿宋" w:eastAsia="仿宋" w:cs="仿宋"/>
          <w:color w:val="auto"/>
          <w:kern w:val="0"/>
          <w:sz w:val="24"/>
          <w:highlight w:val="none"/>
          <w:lang w:val="zh-CN"/>
        </w:rPr>
        <w:t>的成交供应商，将依法采取分包方式履行合同。</w:t>
      </w: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2"/>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pPr>
        <w:ind w:firstLine="305"/>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二、分包供应商中小企业合同份额（如果有）</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要求合同分包形式参加的项目或采购包，供应商按磋商文件第一部分竞争性磋商邀请公告申请人的资格要求中规定的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供应商名称(电子签名)：</w:t>
      </w: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widowControl/>
        <w:adjustRightInd/>
        <w:jc w:val="left"/>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lang w:val="zh-CN"/>
        </w:rPr>
        <w:t>五</w:t>
      </w:r>
      <w:r>
        <w:rPr>
          <w:rFonts w:hint="eastAsia" w:ascii="仿宋" w:hAnsi="仿宋" w:eastAsia="仿宋" w:cs="仿宋"/>
          <w:b/>
          <w:color w:val="auto"/>
          <w:sz w:val="32"/>
          <w:szCs w:val="32"/>
          <w:highlight w:val="none"/>
        </w:rPr>
        <w:t>、所有资信文件（复印件）</w:t>
      </w: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（由供应商根据采购需求及磋商文件要求编制）</w:t>
      </w:r>
    </w:p>
    <w:p>
      <w:pPr>
        <w:spacing w:line="360" w:lineRule="auto"/>
        <w:jc w:val="center"/>
        <w:rPr>
          <w:rFonts w:hint="eastAsia" w:ascii="仿宋" w:hAnsi="仿宋" w:eastAsia="仿宋" w:cs="仿宋"/>
          <w:b/>
          <w:color w:val="auto"/>
          <w:sz w:val="30"/>
          <w:szCs w:val="30"/>
          <w:highlight w:val="none"/>
        </w:rPr>
      </w:pPr>
    </w:p>
    <w:p>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pPr>
        <w:snapToGrid w:val="0"/>
        <w:spacing w:line="360" w:lineRule="auto"/>
        <w:ind w:firstLine="5160" w:firstLineChars="21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pacing w:line="360" w:lineRule="auto"/>
        <w:jc w:val="center"/>
        <w:rPr>
          <w:rFonts w:hint="eastAsia" w:ascii="仿宋" w:hAnsi="仿宋" w:eastAsia="仿宋" w:cs="仿宋"/>
          <w:b/>
          <w:color w:val="auto"/>
          <w:kern w:val="0"/>
          <w:sz w:val="32"/>
          <w:szCs w:val="32"/>
          <w:highlight w:val="none"/>
        </w:rPr>
      </w:pPr>
    </w:p>
    <w:p>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color w:val="auto"/>
          <w:kern w:val="0"/>
          <w:sz w:val="32"/>
          <w:szCs w:val="32"/>
          <w:highlight w:val="none"/>
        </w:rPr>
        <w:t>六</w:t>
      </w:r>
      <w:r>
        <w:rPr>
          <w:rFonts w:hint="eastAsia" w:ascii="仿宋" w:hAnsi="仿宋" w:eastAsia="仿宋" w:cs="仿宋"/>
          <w:b/>
          <w:bCs/>
          <w:color w:val="auto"/>
          <w:sz w:val="32"/>
          <w:szCs w:val="32"/>
          <w:highlight w:val="none"/>
        </w:rPr>
        <w:t>、</w:t>
      </w:r>
      <w:r>
        <w:rPr>
          <w:rFonts w:hint="eastAsia" w:ascii="仿宋" w:hAnsi="仿宋" w:eastAsia="仿宋" w:cs="仿宋"/>
          <w:b/>
          <w:color w:val="auto"/>
          <w:kern w:val="0"/>
          <w:sz w:val="32"/>
          <w:szCs w:val="32"/>
          <w:highlight w:val="none"/>
          <w:lang w:val="zh-CN"/>
        </w:rPr>
        <w:t>主要业绩证明</w:t>
      </w:r>
    </w:p>
    <w:p>
      <w:pPr>
        <w:autoSpaceDE w:val="0"/>
        <w:autoSpaceDN w:val="0"/>
        <w:spacing w:line="360" w:lineRule="auto"/>
        <w:ind w:firstLine="12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w:t>
            </w:r>
          </w:p>
          <w:p>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w:t>
            </w:r>
          </w:p>
          <w:p>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投资</w:t>
            </w:r>
          </w:p>
          <w:p>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4"/>
                <w:highlight w:val="none"/>
              </w:rPr>
            </w:pPr>
          </w:p>
        </w:tc>
      </w:tr>
    </w:tbl>
    <w:p>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注：供应商可按上述的格式自行编制，须随表提交相应的合同复印件和用户单位验收证明并注明所在文件页码。</w:t>
      </w:r>
    </w:p>
    <w:p>
      <w:pPr>
        <w:autoSpaceDE w:val="0"/>
        <w:autoSpaceDN w:val="0"/>
        <w:spacing w:line="360" w:lineRule="auto"/>
        <w:rPr>
          <w:rFonts w:hint="eastAsia" w:ascii="仿宋" w:hAnsi="仿宋" w:eastAsia="仿宋" w:cs="仿宋"/>
          <w:color w:val="auto"/>
          <w:sz w:val="24"/>
          <w:highlight w:val="none"/>
        </w:rPr>
      </w:pPr>
    </w:p>
    <w:p>
      <w:pPr>
        <w:autoSpaceDE w:val="0"/>
        <w:autoSpaceDN w:val="0"/>
        <w:spacing w:line="360" w:lineRule="auto"/>
        <w:ind w:firstLine="5280" w:firstLineChars="2200"/>
        <w:rPr>
          <w:rFonts w:hint="eastAsia" w:ascii="仿宋" w:hAnsi="仿宋" w:eastAsia="仿宋" w:cs="仿宋"/>
          <w:color w:val="auto"/>
          <w:kern w:val="0"/>
          <w:sz w:val="24"/>
          <w:highlight w:val="none"/>
        </w:rPr>
      </w:pPr>
    </w:p>
    <w:p>
      <w:pPr>
        <w:autoSpaceDE w:val="0"/>
        <w:autoSpaceDN w:val="0"/>
        <w:spacing w:line="360" w:lineRule="auto"/>
        <w:ind w:firstLine="5280" w:firstLineChars="2200"/>
        <w:rPr>
          <w:rFonts w:hint="eastAsia" w:ascii="仿宋" w:hAnsi="仿宋" w:eastAsia="仿宋" w:cs="仿宋"/>
          <w:color w:val="auto"/>
          <w:kern w:val="0"/>
          <w:sz w:val="24"/>
          <w:highlight w:val="none"/>
        </w:rPr>
      </w:pPr>
    </w:p>
    <w:p>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pPr>
        <w:spacing w:line="360" w:lineRule="auto"/>
        <w:jc w:val="center"/>
        <w:rPr>
          <w:rFonts w:hint="eastAsia" w:ascii="仿宋" w:hAnsi="仿宋" w:eastAsia="仿宋" w:cs="仿宋"/>
          <w:b/>
          <w:bCs/>
          <w:color w:val="auto"/>
          <w:sz w:val="32"/>
          <w:szCs w:val="32"/>
          <w:highlight w:val="none"/>
        </w:rPr>
      </w:pPr>
    </w:p>
    <w:p>
      <w:pPr>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bCs/>
          <w:color w:val="auto"/>
          <w:sz w:val="32"/>
          <w:szCs w:val="32"/>
          <w:highlight w:val="none"/>
        </w:rPr>
        <w:t>七、关于</w:t>
      </w:r>
      <w:r>
        <w:rPr>
          <w:rFonts w:hint="eastAsia" w:ascii="仿宋" w:hAnsi="仿宋" w:eastAsia="仿宋" w:cs="仿宋"/>
          <w:b/>
          <w:color w:val="auto"/>
          <w:kern w:val="0"/>
          <w:sz w:val="32"/>
          <w:szCs w:val="32"/>
          <w:highlight w:val="none"/>
          <w:lang w:val="zh-CN"/>
        </w:rPr>
        <w:t>对磋商文件中有关条款的拒绝声明</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（由供应商根据采购需求自行编制）</w:t>
      </w:r>
    </w:p>
    <w:p>
      <w:pPr>
        <w:spacing w:line="360" w:lineRule="auto"/>
        <w:rPr>
          <w:rFonts w:hint="eastAsia" w:ascii="仿宋" w:hAnsi="仿宋" w:eastAsia="仿宋" w:cs="仿宋"/>
          <w:color w:val="auto"/>
          <w:sz w:val="24"/>
          <w:highlight w:val="none"/>
        </w:rPr>
      </w:pPr>
    </w:p>
    <w:p>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pPr>
        <w:spacing w:line="360" w:lineRule="auto"/>
        <w:jc w:val="center"/>
        <w:rPr>
          <w:rFonts w:hint="eastAsia" w:ascii="仿宋" w:hAnsi="仿宋" w:eastAsia="仿宋" w:cs="仿宋"/>
          <w:b/>
          <w:bCs/>
          <w:color w:val="auto"/>
          <w:sz w:val="32"/>
          <w:szCs w:val="32"/>
          <w:highlight w:val="none"/>
        </w:rPr>
      </w:pPr>
    </w:p>
    <w:p>
      <w:pPr>
        <w:spacing w:line="360" w:lineRule="auto"/>
        <w:jc w:val="center"/>
        <w:rPr>
          <w:rFonts w:hint="eastAsia" w:ascii="仿宋" w:hAnsi="仿宋" w:eastAsia="仿宋" w:cs="仿宋"/>
          <w:b/>
          <w:bCs/>
          <w:color w:val="auto"/>
          <w:sz w:val="32"/>
          <w:szCs w:val="32"/>
          <w:highlight w:val="none"/>
        </w:rPr>
      </w:pPr>
    </w:p>
    <w:p>
      <w:pPr>
        <w:spacing w:line="360" w:lineRule="auto"/>
        <w:jc w:val="center"/>
        <w:rPr>
          <w:rFonts w:hint="eastAsia" w:ascii="仿宋" w:hAnsi="仿宋" w:eastAsia="仿宋" w:cs="仿宋"/>
          <w:b/>
          <w:bCs/>
          <w:color w:val="auto"/>
          <w:sz w:val="32"/>
          <w:szCs w:val="32"/>
          <w:highlight w:val="none"/>
        </w:rPr>
      </w:pPr>
    </w:p>
    <w:p>
      <w:pPr>
        <w:spacing w:line="360" w:lineRule="auto"/>
        <w:jc w:val="center"/>
        <w:rPr>
          <w:rFonts w:hint="eastAsia" w:ascii="仿宋" w:hAnsi="仿宋" w:eastAsia="仿宋" w:cs="仿宋"/>
          <w:b/>
          <w:bCs/>
          <w:color w:val="auto"/>
          <w:sz w:val="32"/>
          <w:szCs w:val="32"/>
          <w:highlight w:val="none"/>
        </w:rPr>
      </w:pPr>
    </w:p>
    <w:p>
      <w:pPr>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bCs/>
          <w:color w:val="auto"/>
          <w:sz w:val="32"/>
          <w:szCs w:val="32"/>
          <w:highlight w:val="none"/>
        </w:rPr>
        <w:t>八、认为需要的</w:t>
      </w:r>
      <w:r>
        <w:rPr>
          <w:rFonts w:hint="eastAsia" w:ascii="仿宋" w:hAnsi="仿宋" w:eastAsia="仿宋" w:cs="仿宋"/>
          <w:b/>
          <w:color w:val="auto"/>
          <w:kern w:val="0"/>
          <w:sz w:val="32"/>
          <w:szCs w:val="32"/>
          <w:highlight w:val="none"/>
          <w:lang w:val="zh-CN"/>
        </w:rPr>
        <w:t>其他商务文件或说明</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（由供应商根据采购需求自行编制）</w:t>
      </w:r>
    </w:p>
    <w:p>
      <w:pPr>
        <w:spacing w:line="360" w:lineRule="auto"/>
        <w:jc w:val="center"/>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pPr>
        <w:spacing w:line="360" w:lineRule="auto"/>
        <w:jc w:val="center"/>
        <w:rPr>
          <w:rFonts w:hint="eastAsia" w:ascii="仿宋" w:hAnsi="仿宋" w:eastAsia="仿宋" w:cs="仿宋"/>
          <w:b/>
          <w:bCs/>
          <w:color w:val="auto"/>
          <w:sz w:val="32"/>
          <w:szCs w:val="32"/>
          <w:highlight w:val="none"/>
        </w:rPr>
      </w:pPr>
    </w:p>
    <w:p>
      <w:pPr>
        <w:spacing w:line="360" w:lineRule="auto"/>
        <w:rPr>
          <w:rFonts w:hint="eastAsia" w:ascii="仿宋" w:hAnsi="仿宋" w:eastAsia="仿宋" w:cs="仿宋"/>
          <w:b/>
          <w:bCs/>
          <w:color w:val="auto"/>
          <w:kern w:val="0"/>
          <w:sz w:val="24"/>
          <w:highlight w:val="none"/>
        </w:rPr>
      </w:pPr>
    </w:p>
    <w:p>
      <w:pPr>
        <w:widowControl/>
        <w:adjustRightInd/>
        <w:jc w:val="left"/>
        <w:rPr>
          <w:rFonts w:hint="eastAsia" w:ascii="仿宋" w:hAnsi="仿宋" w:eastAsia="仿宋" w:cs="仿宋"/>
          <w:b/>
          <w:color w:val="auto"/>
          <w:sz w:val="32"/>
          <w:szCs w:val="32"/>
          <w:highlight w:val="none"/>
        </w:rPr>
      </w:pPr>
      <w:r>
        <w:rPr>
          <w:rFonts w:hint="eastAsia" w:ascii="仿宋" w:hAnsi="仿宋" w:eastAsia="仿宋" w:cs="仿宋"/>
          <w:color w:val="auto"/>
          <w:highlight w:val="none"/>
        </w:rPr>
        <w:br w:type="page"/>
      </w:r>
    </w:p>
    <w:p>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九、技术解决方案</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（由供应商根据采购需求及磋商文件要求编制）</w:t>
      </w:r>
    </w:p>
    <w:p>
      <w:pPr>
        <w:spacing w:line="360" w:lineRule="auto"/>
        <w:jc w:val="center"/>
        <w:rPr>
          <w:rFonts w:hint="eastAsia" w:ascii="仿宋" w:hAnsi="仿宋" w:eastAsia="仿宋" w:cs="仿宋"/>
          <w:color w:val="auto"/>
          <w:sz w:val="24"/>
          <w:highlight w:val="none"/>
        </w:rPr>
      </w:pPr>
    </w:p>
    <w:p>
      <w:pPr>
        <w:autoSpaceDE w:val="0"/>
        <w:autoSpaceDN w:val="0"/>
        <w:spacing w:line="360" w:lineRule="auto"/>
        <w:rPr>
          <w:rFonts w:hint="eastAsia" w:ascii="仿宋" w:hAnsi="仿宋" w:eastAsia="仿宋" w:cs="仿宋"/>
          <w:color w:val="auto"/>
          <w:kern w:val="0"/>
          <w:sz w:val="24"/>
          <w:highlight w:val="none"/>
        </w:rPr>
      </w:pPr>
    </w:p>
    <w:p>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pPr>
        <w:spacing w:line="360" w:lineRule="auto"/>
        <w:jc w:val="center"/>
        <w:rPr>
          <w:rFonts w:hint="eastAsia" w:ascii="仿宋" w:hAnsi="仿宋" w:eastAsia="仿宋" w:cs="仿宋"/>
          <w:b/>
          <w:bCs/>
          <w:color w:val="auto"/>
          <w:sz w:val="32"/>
          <w:szCs w:val="32"/>
          <w:highlight w:val="none"/>
        </w:rPr>
      </w:pPr>
    </w:p>
    <w:p>
      <w:pPr>
        <w:tabs>
          <w:tab w:val="left" w:pos="2790"/>
          <w:tab w:val="left" w:pos="4230"/>
        </w:tabs>
        <w:autoSpaceDE w:val="0"/>
        <w:autoSpaceDN w:val="0"/>
        <w:spacing w:line="360" w:lineRule="auto"/>
        <w:ind w:right="1400"/>
        <w:jc w:val="center"/>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 xml:space="preserve">       </w:t>
      </w:r>
    </w:p>
    <w:p>
      <w:pPr>
        <w:snapToGrid w:val="0"/>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531"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设备名称</w:t>
            </w:r>
          </w:p>
        </w:tc>
        <w:tc>
          <w:tcPr>
            <w:tcW w:w="2160"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响应品牌及型号</w:t>
            </w:r>
          </w:p>
        </w:tc>
        <w:tc>
          <w:tcPr>
            <w:tcW w:w="2340"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规格配置详细说明</w:t>
            </w:r>
          </w:p>
        </w:tc>
        <w:tc>
          <w:tcPr>
            <w:tcW w:w="1080"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332"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531" w:type="dxa"/>
            <w:vAlign w:val="center"/>
          </w:tcPr>
          <w:p>
            <w:pPr>
              <w:snapToGrid w:val="0"/>
              <w:spacing w:line="360" w:lineRule="auto"/>
              <w:jc w:val="center"/>
              <w:rPr>
                <w:rFonts w:hint="eastAsia" w:ascii="仿宋" w:hAnsi="仿宋" w:eastAsia="仿宋" w:cs="仿宋"/>
                <w:color w:val="auto"/>
                <w:sz w:val="24"/>
                <w:highlight w:val="none"/>
              </w:rPr>
            </w:pPr>
          </w:p>
        </w:tc>
        <w:tc>
          <w:tcPr>
            <w:tcW w:w="2160" w:type="dxa"/>
            <w:vAlign w:val="center"/>
          </w:tcPr>
          <w:p>
            <w:pPr>
              <w:snapToGrid w:val="0"/>
              <w:spacing w:line="360" w:lineRule="auto"/>
              <w:jc w:val="center"/>
              <w:rPr>
                <w:rFonts w:hint="eastAsia" w:ascii="仿宋" w:hAnsi="仿宋" w:eastAsia="仿宋" w:cs="仿宋"/>
                <w:color w:val="auto"/>
                <w:sz w:val="24"/>
                <w:highlight w:val="none"/>
              </w:rPr>
            </w:pPr>
          </w:p>
        </w:tc>
        <w:tc>
          <w:tcPr>
            <w:tcW w:w="2340" w:type="dxa"/>
            <w:vAlign w:val="center"/>
          </w:tcPr>
          <w:p>
            <w:pPr>
              <w:spacing w:line="360" w:lineRule="auto"/>
              <w:jc w:val="center"/>
              <w:rPr>
                <w:rFonts w:hint="eastAsia" w:ascii="仿宋" w:hAnsi="仿宋" w:eastAsia="仿宋" w:cs="仿宋"/>
                <w:color w:val="auto"/>
                <w:sz w:val="24"/>
                <w:highlight w:val="none"/>
              </w:rPr>
            </w:pPr>
          </w:p>
        </w:tc>
        <w:tc>
          <w:tcPr>
            <w:tcW w:w="1080" w:type="dxa"/>
            <w:vAlign w:val="center"/>
          </w:tcPr>
          <w:p>
            <w:pPr>
              <w:spacing w:line="360" w:lineRule="auto"/>
              <w:jc w:val="center"/>
              <w:rPr>
                <w:rFonts w:hint="eastAsia" w:ascii="仿宋" w:hAnsi="仿宋" w:eastAsia="仿宋" w:cs="仿宋"/>
                <w:color w:val="auto"/>
                <w:sz w:val="24"/>
                <w:highlight w:val="none"/>
              </w:rPr>
            </w:pPr>
          </w:p>
        </w:tc>
        <w:tc>
          <w:tcPr>
            <w:tcW w:w="1332"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531" w:type="dxa"/>
            <w:vAlign w:val="center"/>
          </w:tcPr>
          <w:p>
            <w:pPr>
              <w:snapToGrid w:val="0"/>
              <w:spacing w:line="360" w:lineRule="auto"/>
              <w:jc w:val="center"/>
              <w:rPr>
                <w:rFonts w:hint="eastAsia" w:ascii="仿宋" w:hAnsi="仿宋" w:eastAsia="仿宋" w:cs="仿宋"/>
                <w:color w:val="auto"/>
                <w:sz w:val="24"/>
                <w:highlight w:val="none"/>
              </w:rPr>
            </w:pPr>
          </w:p>
        </w:tc>
        <w:tc>
          <w:tcPr>
            <w:tcW w:w="2160" w:type="dxa"/>
            <w:vAlign w:val="center"/>
          </w:tcPr>
          <w:p>
            <w:pPr>
              <w:snapToGrid w:val="0"/>
              <w:spacing w:line="360" w:lineRule="auto"/>
              <w:jc w:val="center"/>
              <w:rPr>
                <w:rFonts w:hint="eastAsia" w:ascii="仿宋" w:hAnsi="仿宋" w:eastAsia="仿宋" w:cs="仿宋"/>
                <w:color w:val="auto"/>
                <w:sz w:val="24"/>
                <w:highlight w:val="none"/>
              </w:rPr>
            </w:pPr>
          </w:p>
        </w:tc>
        <w:tc>
          <w:tcPr>
            <w:tcW w:w="2340" w:type="dxa"/>
            <w:vAlign w:val="center"/>
          </w:tcPr>
          <w:p>
            <w:pPr>
              <w:spacing w:line="360" w:lineRule="auto"/>
              <w:jc w:val="center"/>
              <w:rPr>
                <w:rFonts w:hint="eastAsia" w:ascii="仿宋" w:hAnsi="仿宋" w:eastAsia="仿宋" w:cs="仿宋"/>
                <w:color w:val="auto"/>
                <w:sz w:val="24"/>
                <w:highlight w:val="none"/>
              </w:rPr>
            </w:pPr>
          </w:p>
        </w:tc>
        <w:tc>
          <w:tcPr>
            <w:tcW w:w="1080" w:type="dxa"/>
            <w:vAlign w:val="center"/>
          </w:tcPr>
          <w:p>
            <w:pPr>
              <w:spacing w:line="360" w:lineRule="auto"/>
              <w:jc w:val="center"/>
              <w:rPr>
                <w:rFonts w:hint="eastAsia" w:ascii="仿宋" w:hAnsi="仿宋" w:eastAsia="仿宋" w:cs="仿宋"/>
                <w:color w:val="auto"/>
                <w:sz w:val="24"/>
                <w:highlight w:val="none"/>
              </w:rPr>
            </w:pPr>
          </w:p>
        </w:tc>
        <w:tc>
          <w:tcPr>
            <w:tcW w:w="1332"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531" w:type="dxa"/>
            <w:vAlign w:val="center"/>
          </w:tcPr>
          <w:p>
            <w:pPr>
              <w:snapToGrid w:val="0"/>
              <w:spacing w:line="360" w:lineRule="auto"/>
              <w:jc w:val="center"/>
              <w:rPr>
                <w:rFonts w:hint="eastAsia" w:ascii="仿宋" w:hAnsi="仿宋" w:eastAsia="仿宋" w:cs="仿宋"/>
                <w:color w:val="auto"/>
                <w:sz w:val="24"/>
                <w:highlight w:val="none"/>
              </w:rPr>
            </w:pPr>
          </w:p>
        </w:tc>
        <w:tc>
          <w:tcPr>
            <w:tcW w:w="2160" w:type="dxa"/>
            <w:vAlign w:val="center"/>
          </w:tcPr>
          <w:p>
            <w:pPr>
              <w:snapToGrid w:val="0"/>
              <w:spacing w:line="360" w:lineRule="auto"/>
              <w:jc w:val="center"/>
              <w:rPr>
                <w:rFonts w:hint="eastAsia" w:ascii="仿宋" w:hAnsi="仿宋" w:eastAsia="仿宋" w:cs="仿宋"/>
                <w:color w:val="auto"/>
                <w:sz w:val="24"/>
                <w:highlight w:val="none"/>
              </w:rPr>
            </w:pPr>
          </w:p>
        </w:tc>
        <w:tc>
          <w:tcPr>
            <w:tcW w:w="2340" w:type="dxa"/>
            <w:vAlign w:val="center"/>
          </w:tcPr>
          <w:p>
            <w:pPr>
              <w:spacing w:line="360" w:lineRule="auto"/>
              <w:jc w:val="center"/>
              <w:rPr>
                <w:rFonts w:hint="eastAsia" w:ascii="仿宋" w:hAnsi="仿宋" w:eastAsia="仿宋" w:cs="仿宋"/>
                <w:color w:val="auto"/>
                <w:sz w:val="24"/>
                <w:highlight w:val="none"/>
              </w:rPr>
            </w:pPr>
          </w:p>
        </w:tc>
        <w:tc>
          <w:tcPr>
            <w:tcW w:w="1080" w:type="dxa"/>
            <w:vAlign w:val="center"/>
          </w:tcPr>
          <w:p>
            <w:pPr>
              <w:spacing w:line="360" w:lineRule="auto"/>
              <w:jc w:val="center"/>
              <w:rPr>
                <w:rFonts w:hint="eastAsia" w:ascii="仿宋" w:hAnsi="仿宋" w:eastAsia="仿宋" w:cs="仿宋"/>
                <w:color w:val="auto"/>
                <w:sz w:val="24"/>
                <w:highlight w:val="none"/>
              </w:rPr>
            </w:pPr>
          </w:p>
        </w:tc>
        <w:tc>
          <w:tcPr>
            <w:tcW w:w="1332"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531" w:type="dxa"/>
            <w:vAlign w:val="center"/>
          </w:tcPr>
          <w:p>
            <w:pPr>
              <w:snapToGrid w:val="0"/>
              <w:spacing w:line="360" w:lineRule="auto"/>
              <w:jc w:val="center"/>
              <w:rPr>
                <w:rFonts w:hint="eastAsia" w:ascii="仿宋" w:hAnsi="仿宋" w:eastAsia="仿宋" w:cs="仿宋"/>
                <w:color w:val="auto"/>
                <w:sz w:val="24"/>
                <w:highlight w:val="none"/>
              </w:rPr>
            </w:pPr>
          </w:p>
        </w:tc>
        <w:tc>
          <w:tcPr>
            <w:tcW w:w="2160" w:type="dxa"/>
            <w:vAlign w:val="center"/>
          </w:tcPr>
          <w:p>
            <w:pPr>
              <w:snapToGrid w:val="0"/>
              <w:spacing w:line="360" w:lineRule="auto"/>
              <w:jc w:val="center"/>
              <w:rPr>
                <w:rFonts w:hint="eastAsia" w:ascii="仿宋" w:hAnsi="仿宋" w:eastAsia="仿宋" w:cs="仿宋"/>
                <w:color w:val="auto"/>
                <w:sz w:val="24"/>
                <w:highlight w:val="none"/>
              </w:rPr>
            </w:pPr>
          </w:p>
        </w:tc>
        <w:tc>
          <w:tcPr>
            <w:tcW w:w="2340" w:type="dxa"/>
            <w:vAlign w:val="center"/>
          </w:tcPr>
          <w:p>
            <w:pPr>
              <w:spacing w:line="360" w:lineRule="auto"/>
              <w:jc w:val="center"/>
              <w:rPr>
                <w:rFonts w:hint="eastAsia" w:ascii="仿宋" w:hAnsi="仿宋" w:eastAsia="仿宋" w:cs="仿宋"/>
                <w:color w:val="auto"/>
                <w:sz w:val="24"/>
                <w:highlight w:val="none"/>
              </w:rPr>
            </w:pPr>
          </w:p>
        </w:tc>
        <w:tc>
          <w:tcPr>
            <w:tcW w:w="1080" w:type="dxa"/>
            <w:vAlign w:val="center"/>
          </w:tcPr>
          <w:p>
            <w:pPr>
              <w:spacing w:line="360" w:lineRule="auto"/>
              <w:jc w:val="center"/>
              <w:rPr>
                <w:rFonts w:hint="eastAsia" w:ascii="仿宋" w:hAnsi="仿宋" w:eastAsia="仿宋" w:cs="仿宋"/>
                <w:color w:val="auto"/>
                <w:sz w:val="24"/>
                <w:highlight w:val="none"/>
              </w:rPr>
            </w:pPr>
          </w:p>
        </w:tc>
        <w:tc>
          <w:tcPr>
            <w:tcW w:w="1332"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531" w:type="dxa"/>
            <w:vAlign w:val="center"/>
          </w:tcPr>
          <w:p>
            <w:pPr>
              <w:snapToGrid w:val="0"/>
              <w:spacing w:line="360" w:lineRule="auto"/>
              <w:jc w:val="center"/>
              <w:rPr>
                <w:rFonts w:hint="eastAsia" w:ascii="仿宋" w:hAnsi="仿宋" w:eastAsia="仿宋" w:cs="仿宋"/>
                <w:color w:val="auto"/>
                <w:sz w:val="24"/>
                <w:highlight w:val="none"/>
              </w:rPr>
            </w:pPr>
          </w:p>
        </w:tc>
        <w:tc>
          <w:tcPr>
            <w:tcW w:w="2160" w:type="dxa"/>
            <w:vAlign w:val="center"/>
          </w:tcPr>
          <w:p>
            <w:pPr>
              <w:snapToGrid w:val="0"/>
              <w:spacing w:line="360" w:lineRule="auto"/>
              <w:jc w:val="center"/>
              <w:rPr>
                <w:rFonts w:hint="eastAsia" w:ascii="仿宋" w:hAnsi="仿宋" w:eastAsia="仿宋" w:cs="仿宋"/>
                <w:color w:val="auto"/>
                <w:sz w:val="24"/>
                <w:highlight w:val="none"/>
              </w:rPr>
            </w:pPr>
          </w:p>
        </w:tc>
        <w:tc>
          <w:tcPr>
            <w:tcW w:w="2340" w:type="dxa"/>
            <w:vAlign w:val="center"/>
          </w:tcPr>
          <w:p>
            <w:pPr>
              <w:spacing w:line="360" w:lineRule="auto"/>
              <w:jc w:val="center"/>
              <w:rPr>
                <w:rFonts w:hint="eastAsia" w:ascii="仿宋" w:hAnsi="仿宋" w:eastAsia="仿宋" w:cs="仿宋"/>
                <w:color w:val="auto"/>
                <w:sz w:val="24"/>
                <w:highlight w:val="none"/>
              </w:rPr>
            </w:pPr>
          </w:p>
        </w:tc>
        <w:tc>
          <w:tcPr>
            <w:tcW w:w="1080" w:type="dxa"/>
            <w:vAlign w:val="center"/>
          </w:tcPr>
          <w:p>
            <w:pPr>
              <w:spacing w:line="360" w:lineRule="auto"/>
              <w:jc w:val="center"/>
              <w:rPr>
                <w:rFonts w:hint="eastAsia" w:ascii="仿宋" w:hAnsi="仿宋" w:eastAsia="仿宋" w:cs="仿宋"/>
                <w:color w:val="auto"/>
                <w:sz w:val="24"/>
                <w:highlight w:val="none"/>
              </w:rPr>
            </w:pPr>
          </w:p>
        </w:tc>
        <w:tc>
          <w:tcPr>
            <w:tcW w:w="1332" w:type="dxa"/>
            <w:vAlign w:val="center"/>
          </w:tcPr>
          <w:p>
            <w:pPr>
              <w:spacing w:line="360" w:lineRule="auto"/>
              <w:jc w:val="center"/>
              <w:rPr>
                <w:rFonts w:hint="eastAsia" w:ascii="仿宋" w:hAnsi="仿宋" w:eastAsia="仿宋" w:cs="仿宋"/>
                <w:color w:val="auto"/>
                <w:sz w:val="24"/>
                <w:highlight w:val="none"/>
              </w:rPr>
            </w:pPr>
          </w:p>
        </w:tc>
      </w:tr>
    </w:tbl>
    <w:p>
      <w:pPr>
        <w:autoSpaceDE w:val="0"/>
        <w:autoSpaceDN w:val="0"/>
        <w:spacing w:line="360" w:lineRule="auto"/>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注：</w:t>
      </w:r>
      <w:r>
        <w:rPr>
          <w:rFonts w:hint="eastAsia" w:ascii="仿宋" w:hAnsi="仿宋" w:eastAsia="仿宋" w:cs="仿宋"/>
          <w:b/>
          <w:color w:val="auto"/>
          <w:sz w:val="28"/>
          <w:szCs w:val="28"/>
          <w:highlight w:val="none"/>
        </w:rPr>
        <w:t>如果本项目涉及硬件设备采购，须在响应文件中提供此配置清单。</w:t>
      </w:r>
    </w:p>
    <w:p>
      <w:pPr>
        <w:spacing w:line="360" w:lineRule="auto"/>
        <w:ind w:firstLine="1333" w:firstLineChars="400"/>
        <w:jc w:val="left"/>
        <w:rPr>
          <w:rFonts w:hint="eastAsia" w:ascii="仿宋" w:hAnsi="仿宋" w:eastAsia="仿宋" w:cs="仿宋"/>
          <w:b/>
          <w:color w:val="auto"/>
          <w:spacing w:val="6"/>
          <w:sz w:val="32"/>
          <w:szCs w:val="32"/>
          <w:highlight w:val="none"/>
        </w:rPr>
      </w:pPr>
    </w:p>
    <w:p>
      <w:pPr>
        <w:spacing w:line="360" w:lineRule="auto"/>
        <w:ind w:firstLine="1333" w:firstLineChars="400"/>
        <w:jc w:val="left"/>
        <w:rPr>
          <w:rFonts w:hint="eastAsia" w:ascii="仿宋" w:hAnsi="仿宋" w:eastAsia="仿宋" w:cs="仿宋"/>
          <w:b/>
          <w:color w:val="auto"/>
          <w:spacing w:val="6"/>
          <w:sz w:val="32"/>
          <w:szCs w:val="32"/>
          <w:highlight w:val="none"/>
        </w:rPr>
      </w:pPr>
    </w:p>
    <w:p>
      <w:pPr>
        <w:spacing w:line="360" w:lineRule="auto"/>
        <w:ind w:firstLine="1333" w:firstLineChars="400"/>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节能产品认证证书（电子签名）</w:t>
      </w:r>
    </w:p>
    <w:p>
      <w:pPr>
        <w:spacing w:line="360" w:lineRule="auto"/>
        <w:ind w:firstLine="1333" w:firstLineChars="400"/>
        <w:jc w:val="left"/>
        <w:rPr>
          <w:rFonts w:hint="eastAsia" w:ascii="仿宋" w:hAnsi="仿宋" w:eastAsia="仿宋" w:cs="仿宋"/>
          <w:b/>
          <w:color w:val="auto"/>
          <w:spacing w:val="6"/>
          <w:sz w:val="32"/>
          <w:szCs w:val="32"/>
          <w:highlight w:val="none"/>
        </w:rPr>
      </w:pPr>
    </w:p>
    <w:p>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w:t>
      </w:r>
    </w:p>
    <w:p>
      <w:pPr>
        <w:spacing w:line="360" w:lineRule="auto"/>
        <w:ind w:firstLine="1000" w:firstLineChars="300"/>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环境标志产品认证证书（电子签名）</w:t>
      </w:r>
    </w:p>
    <w:p>
      <w:pPr>
        <w:autoSpaceDE w:val="0"/>
        <w:autoSpaceDN w:val="0"/>
        <w:spacing w:line="360" w:lineRule="auto"/>
        <w:rPr>
          <w:rFonts w:hint="eastAsia" w:ascii="仿宋" w:hAnsi="仿宋" w:eastAsia="仿宋" w:cs="仿宋"/>
          <w:b/>
          <w:color w:val="auto"/>
          <w:kern w:val="0"/>
          <w:sz w:val="28"/>
          <w:szCs w:val="28"/>
          <w:highlight w:val="none"/>
        </w:rPr>
      </w:pPr>
    </w:p>
    <w:p>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pPr>
        <w:tabs>
          <w:tab w:val="left" w:pos="2790"/>
          <w:tab w:val="left" w:pos="4230"/>
        </w:tabs>
        <w:autoSpaceDE w:val="0"/>
        <w:autoSpaceDN w:val="0"/>
        <w:spacing w:line="360" w:lineRule="auto"/>
        <w:ind w:right="1400"/>
        <w:jc w:val="center"/>
        <w:rPr>
          <w:rFonts w:hint="eastAsia" w:ascii="仿宋" w:hAnsi="仿宋" w:eastAsia="仿宋" w:cs="仿宋"/>
          <w:b/>
          <w:bCs/>
          <w:color w:val="auto"/>
          <w:kern w:val="0"/>
          <w:sz w:val="24"/>
          <w:highlight w:val="none"/>
          <w:lang w:val="zh-CN"/>
        </w:rPr>
      </w:pPr>
    </w:p>
    <w:p>
      <w:pPr>
        <w:tabs>
          <w:tab w:val="left" w:pos="2790"/>
          <w:tab w:val="left" w:pos="4230"/>
        </w:tabs>
        <w:autoSpaceDE w:val="0"/>
        <w:autoSpaceDN w:val="0"/>
        <w:spacing w:line="360" w:lineRule="auto"/>
        <w:ind w:right="1400"/>
        <w:jc w:val="center"/>
        <w:rPr>
          <w:rFonts w:hint="eastAsia" w:ascii="仿宋" w:hAnsi="仿宋" w:eastAsia="仿宋" w:cs="仿宋"/>
          <w:b/>
          <w:bCs/>
          <w:color w:val="auto"/>
          <w:kern w:val="0"/>
          <w:sz w:val="32"/>
          <w:szCs w:val="32"/>
          <w:highlight w:val="none"/>
          <w:lang w:val="zh-CN"/>
        </w:rPr>
      </w:pPr>
    </w:p>
    <w:p>
      <w:pPr>
        <w:tabs>
          <w:tab w:val="left" w:pos="2790"/>
          <w:tab w:val="left" w:pos="4230"/>
        </w:tabs>
        <w:autoSpaceDE w:val="0"/>
        <w:autoSpaceDN w:val="0"/>
        <w:spacing w:line="360" w:lineRule="auto"/>
        <w:ind w:right="1400"/>
        <w:jc w:val="center"/>
        <w:rPr>
          <w:rFonts w:hint="eastAsia" w:ascii="仿宋" w:hAnsi="仿宋" w:eastAsia="仿宋" w:cs="仿宋"/>
          <w:b/>
          <w:bCs/>
          <w:color w:val="auto"/>
          <w:kern w:val="0"/>
          <w:sz w:val="32"/>
          <w:szCs w:val="32"/>
          <w:highlight w:val="none"/>
          <w:lang w:val="zh-CN"/>
        </w:rPr>
      </w:pPr>
      <w:r>
        <w:rPr>
          <w:rFonts w:hint="eastAsia" w:ascii="仿宋" w:hAnsi="仿宋" w:eastAsia="仿宋" w:cs="仿宋"/>
          <w:b/>
          <w:bCs/>
          <w:color w:val="auto"/>
          <w:kern w:val="0"/>
          <w:sz w:val="32"/>
          <w:szCs w:val="32"/>
          <w:highlight w:val="none"/>
          <w:lang w:val="zh-CN"/>
        </w:rPr>
        <w:t>十、组织实施方案</w:t>
      </w:r>
    </w:p>
    <w:p>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（由供应商根据采购需求及磋商文件要求编制）</w:t>
      </w:r>
    </w:p>
    <w:p>
      <w:pPr>
        <w:tabs>
          <w:tab w:val="left" w:pos="2790"/>
          <w:tab w:val="left" w:pos="4230"/>
        </w:tabs>
        <w:autoSpaceDE w:val="0"/>
        <w:autoSpaceDN w:val="0"/>
        <w:spacing w:line="360" w:lineRule="auto"/>
        <w:ind w:right="1400"/>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附表:项目实施进度计划表</w:t>
      </w:r>
      <w:r>
        <w:rPr>
          <w:rFonts w:hint="eastAsia" w:ascii="仿宋" w:hAnsi="仿宋" w:eastAsia="仿宋" w:cs="仿宋"/>
          <w:b/>
          <w:color w:val="auto"/>
          <w:sz w:val="24"/>
          <w:highlight w:val="none"/>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pPr>
                              <w:r>
                                <w:rPr>
                                  <w:rFonts w:hint="eastAsia"/>
                                </w:rPr>
                                <w:t>日</w:t>
                              </w:r>
                            </w:p>
                          </w:txbxContent>
                        </v:textbox>
                      </v:shape>
                    </v:group>
                  </w:pict>
                </mc:Fallback>
              </mc:AlternateContent>
            </w:r>
          </w:p>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内容</w:t>
            </w:r>
          </w:p>
        </w:tc>
        <w:tc>
          <w:tcPr>
            <w:tcW w:w="552"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552"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552"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552"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552"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552"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553"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553"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553"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553"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553"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553"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553"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553"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553"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553"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hint="eastAsia" w:ascii="仿宋" w:hAnsi="仿宋" w:eastAsia="仿宋" w:cs="仿宋"/>
                <w:color w:val="auto"/>
                <w:sz w:val="24"/>
                <w:highlight w:val="none"/>
              </w:rPr>
            </w:pPr>
          </w:p>
        </w:tc>
        <w:tc>
          <w:tcPr>
            <w:tcW w:w="552" w:type="dxa"/>
          </w:tcPr>
          <w:p>
            <w:pPr>
              <w:spacing w:line="360" w:lineRule="auto"/>
              <w:rPr>
                <w:rFonts w:hint="eastAsia" w:ascii="仿宋" w:hAnsi="仿宋" w:eastAsia="仿宋" w:cs="仿宋"/>
                <w:color w:val="auto"/>
                <w:sz w:val="24"/>
                <w:highlight w:val="none"/>
              </w:rPr>
            </w:pPr>
          </w:p>
        </w:tc>
        <w:tc>
          <w:tcPr>
            <w:tcW w:w="552" w:type="dxa"/>
          </w:tcPr>
          <w:p>
            <w:pPr>
              <w:spacing w:line="360" w:lineRule="auto"/>
              <w:rPr>
                <w:rFonts w:hint="eastAsia" w:ascii="仿宋" w:hAnsi="仿宋" w:eastAsia="仿宋" w:cs="仿宋"/>
                <w:color w:val="auto"/>
                <w:sz w:val="24"/>
                <w:highlight w:val="none"/>
              </w:rPr>
            </w:pPr>
          </w:p>
        </w:tc>
        <w:tc>
          <w:tcPr>
            <w:tcW w:w="552" w:type="dxa"/>
          </w:tcPr>
          <w:p>
            <w:pPr>
              <w:spacing w:line="360" w:lineRule="auto"/>
              <w:rPr>
                <w:rFonts w:hint="eastAsia" w:ascii="仿宋" w:hAnsi="仿宋" w:eastAsia="仿宋" w:cs="仿宋"/>
                <w:color w:val="auto"/>
                <w:sz w:val="24"/>
                <w:highlight w:val="none"/>
              </w:rPr>
            </w:pPr>
          </w:p>
        </w:tc>
        <w:tc>
          <w:tcPr>
            <w:tcW w:w="552" w:type="dxa"/>
          </w:tcPr>
          <w:p>
            <w:pPr>
              <w:spacing w:line="360" w:lineRule="auto"/>
              <w:rPr>
                <w:rFonts w:hint="eastAsia" w:ascii="仿宋" w:hAnsi="仿宋" w:eastAsia="仿宋" w:cs="仿宋"/>
                <w:color w:val="auto"/>
                <w:sz w:val="24"/>
                <w:highlight w:val="none"/>
              </w:rPr>
            </w:pPr>
          </w:p>
        </w:tc>
        <w:tc>
          <w:tcPr>
            <w:tcW w:w="552" w:type="dxa"/>
          </w:tcPr>
          <w:p>
            <w:pPr>
              <w:spacing w:line="360" w:lineRule="auto"/>
              <w:rPr>
                <w:rFonts w:hint="eastAsia" w:ascii="仿宋" w:hAnsi="仿宋" w:eastAsia="仿宋" w:cs="仿宋"/>
                <w:color w:val="auto"/>
                <w:sz w:val="24"/>
                <w:highlight w:val="none"/>
              </w:rPr>
            </w:pPr>
          </w:p>
        </w:tc>
        <w:tc>
          <w:tcPr>
            <w:tcW w:w="552"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hint="eastAsia" w:ascii="仿宋" w:hAnsi="仿宋" w:eastAsia="仿宋" w:cs="仿宋"/>
                <w:color w:val="auto"/>
                <w:sz w:val="24"/>
                <w:highlight w:val="none"/>
              </w:rPr>
            </w:pPr>
          </w:p>
        </w:tc>
        <w:tc>
          <w:tcPr>
            <w:tcW w:w="552" w:type="dxa"/>
          </w:tcPr>
          <w:p>
            <w:pPr>
              <w:spacing w:line="360" w:lineRule="auto"/>
              <w:rPr>
                <w:rFonts w:hint="eastAsia" w:ascii="仿宋" w:hAnsi="仿宋" w:eastAsia="仿宋" w:cs="仿宋"/>
                <w:color w:val="auto"/>
                <w:sz w:val="24"/>
                <w:highlight w:val="none"/>
              </w:rPr>
            </w:pPr>
          </w:p>
        </w:tc>
        <w:tc>
          <w:tcPr>
            <w:tcW w:w="552" w:type="dxa"/>
          </w:tcPr>
          <w:p>
            <w:pPr>
              <w:spacing w:line="360" w:lineRule="auto"/>
              <w:rPr>
                <w:rFonts w:hint="eastAsia" w:ascii="仿宋" w:hAnsi="仿宋" w:eastAsia="仿宋" w:cs="仿宋"/>
                <w:color w:val="auto"/>
                <w:sz w:val="24"/>
                <w:highlight w:val="none"/>
              </w:rPr>
            </w:pPr>
          </w:p>
        </w:tc>
        <w:tc>
          <w:tcPr>
            <w:tcW w:w="552" w:type="dxa"/>
          </w:tcPr>
          <w:p>
            <w:pPr>
              <w:spacing w:line="360" w:lineRule="auto"/>
              <w:rPr>
                <w:rFonts w:hint="eastAsia" w:ascii="仿宋" w:hAnsi="仿宋" w:eastAsia="仿宋" w:cs="仿宋"/>
                <w:color w:val="auto"/>
                <w:sz w:val="24"/>
                <w:highlight w:val="none"/>
              </w:rPr>
            </w:pPr>
          </w:p>
        </w:tc>
        <w:tc>
          <w:tcPr>
            <w:tcW w:w="552" w:type="dxa"/>
          </w:tcPr>
          <w:p>
            <w:pPr>
              <w:spacing w:line="360" w:lineRule="auto"/>
              <w:rPr>
                <w:rFonts w:hint="eastAsia" w:ascii="仿宋" w:hAnsi="仿宋" w:eastAsia="仿宋" w:cs="仿宋"/>
                <w:color w:val="auto"/>
                <w:sz w:val="24"/>
                <w:highlight w:val="none"/>
              </w:rPr>
            </w:pPr>
          </w:p>
        </w:tc>
        <w:tc>
          <w:tcPr>
            <w:tcW w:w="552" w:type="dxa"/>
          </w:tcPr>
          <w:p>
            <w:pPr>
              <w:spacing w:line="360" w:lineRule="auto"/>
              <w:rPr>
                <w:rFonts w:hint="eastAsia" w:ascii="仿宋" w:hAnsi="仿宋" w:eastAsia="仿宋" w:cs="仿宋"/>
                <w:color w:val="auto"/>
                <w:sz w:val="24"/>
                <w:highlight w:val="none"/>
              </w:rPr>
            </w:pPr>
          </w:p>
        </w:tc>
        <w:tc>
          <w:tcPr>
            <w:tcW w:w="552"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hint="eastAsia" w:ascii="仿宋" w:hAnsi="仿宋" w:eastAsia="仿宋" w:cs="仿宋"/>
                <w:color w:val="auto"/>
                <w:sz w:val="24"/>
                <w:highlight w:val="none"/>
              </w:rPr>
            </w:pPr>
          </w:p>
        </w:tc>
        <w:tc>
          <w:tcPr>
            <w:tcW w:w="552" w:type="dxa"/>
          </w:tcPr>
          <w:p>
            <w:pPr>
              <w:spacing w:line="360" w:lineRule="auto"/>
              <w:rPr>
                <w:rFonts w:hint="eastAsia" w:ascii="仿宋" w:hAnsi="仿宋" w:eastAsia="仿宋" w:cs="仿宋"/>
                <w:color w:val="auto"/>
                <w:sz w:val="24"/>
                <w:highlight w:val="none"/>
              </w:rPr>
            </w:pPr>
          </w:p>
        </w:tc>
        <w:tc>
          <w:tcPr>
            <w:tcW w:w="552" w:type="dxa"/>
          </w:tcPr>
          <w:p>
            <w:pPr>
              <w:spacing w:line="360" w:lineRule="auto"/>
              <w:rPr>
                <w:rFonts w:hint="eastAsia" w:ascii="仿宋" w:hAnsi="仿宋" w:eastAsia="仿宋" w:cs="仿宋"/>
                <w:color w:val="auto"/>
                <w:sz w:val="24"/>
                <w:highlight w:val="none"/>
              </w:rPr>
            </w:pPr>
          </w:p>
        </w:tc>
        <w:tc>
          <w:tcPr>
            <w:tcW w:w="552" w:type="dxa"/>
          </w:tcPr>
          <w:p>
            <w:pPr>
              <w:spacing w:line="360" w:lineRule="auto"/>
              <w:rPr>
                <w:rFonts w:hint="eastAsia" w:ascii="仿宋" w:hAnsi="仿宋" w:eastAsia="仿宋" w:cs="仿宋"/>
                <w:color w:val="auto"/>
                <w:sz w:val="24"/>
                <w:highlight w:val="none"/>
              </w:rPr>
            </w:pPr>
          </w:p>
        </w:tc>
        <w:tc>
          <w:tcPr>
            <w:tcW w:w="552" w:type="dxa"/>
          </w:tcPr>
          <w:p>
            <w:pPr>
              <w:spacing w:line="360" w:lineRule="auto"/>
              <w:rPr>
                <w:rFonts w:hint="eastAsia" w:ascii="仿宋" w:hAnsi="仿宋" w:eastAsia="仿宋" w:cs="仿宋"/>
                <w:color w:val="auto"/>
                <w:sz w:val="24"/>
                <w:highlight w:val="none"/>
              </w:rPr>
            </w:pPr>
          </w:p>
        </w:tc>
        <w:tc>
          <w:tcPr>
            <w:tcW w:w="552" w:type="dxa"/>
          </w:tcPr>
          <w:p>
            <w:pPr>
              <w:spacing w:line="360" w:lineRule="auto"/>
              <w:rPr>
                <w:rFonts w:hint="eastAsia" w:ascii="仿宋" w:hAnsi="仿宋" w:eastAsia="仿宋" w:cs="仿宋"/>
                <w:color w:val="auto"/>
                <w:sz w:val="24"/>
                <w:highlight w:val="none"/>
              </w:rPr>
            </w:pPr>
          </w:p>
        </w:tc>
        <w:tc>
          <w:tcPr>
            <w:tcW w:w="552"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hint="eastAsia" w:ascii="仿宋" w:hAnsi="仿宋" w:eastAsia="仿宋" w:cs="仿宋"/>
                <w:color w:val="auto"/>
                <w:sz w:val="24"/>
                <w:highlight w:val="none"/>
              </w:rPr>
            </w:pPr>
          </w:p>
        </w:tc>
        <w:tc>
          <w:tcPr>
            <w:tcW w:w="552" w:type="dxa"/>
          </w:tcPr>
          <w:p>
            <w:pPr>
              <w:spacing w:line="360" w:lineRule="auto"/>
              <w:rPr>
                <w:rFonts w:hint="eastAsia" w:ascii="仿宋" w:hAnsi="仿宋" w:eastAsia="仿宋" w:cs="仿宋"/>
                <w:color w:val="auto"/>
                <w:sz w:val="24"/>
                <w:highlight w:val="none"/>
              </w:rPr>
            </w:pPr>
          </w:p>
        </w:tc>
        <w:tc>
          <w:tcPr>
            <w:tcW w:w="552" w:type="dxa"/>
          </w:tcPr>
          <w:p>
            <w:pPr>
              <w:spacing w:line="360" w:lineRule="auto"/>
              <w:rPr>
                <w:rFonts w:hint="eastAsia" w:ascii="仿宋" w:hAnsi="仿宋" w:eastAsia="仿宋" w:cs="仿宋"/>
                <w:color w:val="auto"/>
                <w:sz w:val="24"/>
                <w:highlight w:val="none"/>
              </w:rPr>
            </w:pPr>
          </w:p>
        </w:tc>
        <w:tc>
          <w:tcPr>
            <w:tcW w:w="552" w:type="dxa"/>
          </w:tcPr>
          <w:p>
            <w:pPr>
              <w:spacing w:line="360" w:lineRule="auto"/>
              <w:rPr>
                <w:rFonts w:hint="eastAsia" w:ascii="仿宋" w:hAnsi="仿宋" w:eastAsia="仿宋" w:cs="仿宋"/>
                <w:color w:val="auto"/>
                <w:sz w:val="24"/>
                <w:highlight w:val="none"/>
              </w:rPr>
            </w:pPr>
          </w:p>
        </w:tc>
        <w:tc>
          <w:tcPr>
            <w:tcW w:w="552" w:type="dxa"/>
          </w:tcPr>
          <w:p>
            <w:pPr>
              <w:spacing w:line="360" w:lineRule="auto"/>
              <w:rPr>
                <w:rFonts w:hint="eastAsia" w:ascii="仿宋" w:hAnsi="仿宋" w:eastAsia="仿宋" w:cs="仿宋"/>
                <w:color w:val="auto"/>
                <w:sz w:val="24"/>
                <w:highlight w:val="none"/>
              </w:rPr>
            </w:pPr>
          </w:p>
        </w:tc>
        <w:tc>
          <w:tcPr>
            <w:tcW w:w="552" w:type="dxa"/>
          </w:tcPr>
          <w:p>
            <w:pPr>
              <w:spacing w:line="360" w:lineRule="auto"/>
              <w:rPr>
                <w:rFonts w:hint="eastAsia" w:ascii="仿宋" w:hAnsi="仿宋" w:eastAsia="仿宋" w:cs="仿宋"/>
                <w:color w:val="auto"/>
                <w:sz w:val="24"/>
                <w:highlight w:val="none"/>
              </w:rPr>
            </w:pPr>
          </w:p>
        </w:tc>
        <w:tc>
          <w:tcPr>
            <w:tcW w:w="552"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hint="eastAsia" w:ascii="仿宋" w:hAnsi="仿宋" w:eastAsia="仿宋" w:cs="仿宋"/>
                <w:color w:val="auto"/>
                <w:sz w:val="24"/>
                <w:highlight w:val="none"/>
              </w:rPr>
            </w:pPr>
          </w:p>
        </w:tc>
        <w:tc>
          <w:tcPr>
            <w:tcW w:w="552" w:type="dxa"/>
          </w:tcPr>
          <w:p>
            <w:pPr>
              <w:spacing w:line="360" w:lineRule="auto"/>
              <w:rPr>
                <w:rFonts w:hint="eastAsia" w:ascii="仿宋" w:hAnsi="仿宋" w:eastAsia="仿宋" w:cs="仿宋"/>
                <w:color w:val="auto"/>
                <w:sz w:val="24"/>
                <w:highlight w:val="none"/>
              </w:rPr>
            </w:pPr>
          </w:p>
        </w:tc>
        <w:tc>
          <w:tcPr>
            <w:tcW w:w="552" w:type="dxa"/>
          </w:tcPr>
          <w:p>
            <w:pPr>
              <w:spacing w:line="360" w:lineRule="auto"/>
              <w:rPr>
                <w:rFonts w:hint="eastAsia" w:ascii="仿宋" w:hAnsi="仿宋" w:eastAsia="仿宋" w:cs="仿宋"/>
                <w:color w:val="auto"/>
                <w:sz w:val="24"/>
                <w:highlight w:val="none"/>
              </w:rPr>
            </w:pPr>
          </w:p>
        </w:tc>
        <w:tc>
          <w:tcPr>
            <w:tcW w:w="552" w:type="dxa"/>
          </w:tcPr>
          <w:p>
            <w:pPr>
              <w:spacing w:line="360" w:lineRule="auto"/>
              <w:rPr>
                <w:rFonts w:hint="eastAsia" w:ascii="仿宋" w:hAnsi="仿宋" w:eastAsia="仿宋" w:cs="仿宋"/>
                <w:color w:val="auto"/>
                <w:sz w:val="24"/>
                <w:highlight w:val="none"/>
              </w:rPr>
            </w:pPr>
          </w:p>
        </w:tc>
        <w:tc>
          <w:tcPr>
            <w:tcW w:w="552" w:type="dxa"/>
          </w:tcPr>
          <w:p>
            <w:pPr>
              <w:spacing w:line="360" w:lineRule="auto"/>
              <w:rPr>
                <w:rFonts w:hint="eastAsia" w:ascii="仿宋" w:hAnsi="仿宋" w:eastAsia="仿宋" w:cs="仿宋"/>
                <w:color w:val="auto"/>
                <w:sz w:val="24"/>
                <w:highlight w:val="none"/>
              </w:rPr>
            </w:pPr>
          </w:p>
        </w:tc>
        <w:tc>
          <w:tcPr>
            <w:tcW w:w="552" w:type="dxa"/>
          </w:tcPr>
          <w:p>
            <w:pPr>
              <w:spacing w:line="360" w:lineRule="auto"/>
              <w:rPr>
                <w:rFonts w:hint="eastAsia" w:ascii="仿宋" w:hAnsi="仿宋" w:eastAsia="仿宋" w:cs="仿宋"/>
                <w:color w:val="auto"/>
                <w:sz w:val="24"/>
                <w:highlight w:val="none"/>
              </w:rPr>
            </w:pPr>
          </w:p>
        </w:tc>
        <w:tc>
          <w:tcPr>
            <w:tcW w:w="552"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hint="eastAsia" w:ascii="仿宋" w:hAnsi="仿宋" w:eastAsia="仿宋" w:cs="仿宋"/>
                <w:color w:val="auto"/>
                <w:sz w:val="24"/>
                <w:highlight w:val="none"/>
              </w:rPr>
            </w:pPr>
          </w:p>
        </w:tc>
        <w:tc>
          <w:tcPr>
            <w:tcW w:w="552" w:type="dxa"/>
          </w:tcPr>
          <w:p>
            <w:pPr>
              <w:spacing w:line="360" w:lineRule="auto"/>
              <w:rPr>
                <w:rFonts w:hint="eastAsia" w:ascii="仿宋" w:hAnsi="仿宋" w:eastAsia="仿宋" w:cs="仿宋"/>
                <w:color w:val="auto"/>
                <w:sz w:val="24"/>
                <w:highlight w:val="none"/>
              </w:rPr>
            </w:pPr>
          </w:p>
        </w:tc>
        <w:tc>
          <w:tcPr>
            <w:tcW w:w="552" w:type="dxa"/>
          </w:tcPr>
          <w:p>
            <w:pPr>
              <w:spacing w:line="360" w:lineRule="auto"/>
              <w:rPr>
                <w:rFonts w:hint="eastAsia" w:ascii="仿宋" w:hAnsi="仿宋" w:eastAsia="仿宋" w:cs="仿宋"/>
                <w:color w:val="auto"/>
                <w:sz w:val="24"/>
                <w:highlight w:val="none"/>
              </w:rPr>
            </w:pPr>
          </w:p>
        </w:tc>
        <w:tc>
          <w:tcPr>
            <w:tcW w:w="552" w:type="dxa"/>
          </w:tcPr>
          <w:p>
            <w:pPr>
              <w:spacing w:line="360" w:lineRule="auto"/>
              <w:rPr>
                <w:rFonts w:hint="eastAsia" w:ascii="仿宋" w:hAnsi="仿宋" w:eastAsia="仿宋" w:cs="仿宋"/>
                <w:color w:val="auto"/>
                <w:sz w:val="24"/>
                <w:highlight w:val="none"/>
              </w:rPr>
            </w:pPr>
          </w:p>
        </w:tc>
        <w:tc>
          <w:tcPr>
            <w:tcW w:w="552" w:type="dxa"/>
          </w:tcPr>
          <w:p>
            <w:pPr>
              <w:spacing w:line="360" w:lineRule="auto"/>
              <w:rPr>
                <w:rFonts w:hint="eastAsia" w:ascii="仿宋" w:hAnsi="仿宋" w:eastAsia="仿宋" w:cs="仿宋"/>
                <w:color w:val="auto"/>
                <w:sz w:val="24"/>
                <w:highlight w:val="none"/>
              </w:rPr>
            </w:pPr>
          </w:p>
        </w:tc>
        <w:tc>
          <w:tcPr>
            <w:tcW w:w="552" w:type="dxa"/>
          </w:tcPr>
          <w:p>
            <w:pPr>
              <w:spacing w:line="360" w:lineRule="auto"/>
              <w:rPr>
                <w:rFonts w:hint="eastAsia" w:ascii="仿宋" w:hAnsi="仿宋" w:eastAsia="仿宋" w:cs="仿宋"/>
                <w:color w:val="auto"/>
                <w:sz w:val="24"/>
                <w:highlight w:val="none"/>
              </w:rPr>
            </w:pPr>
          </w:p>
        </w:tc>
        <w:tc>
          <w:tcPr>
            <w:tcW w:w="552"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hint="eastAsia" w:ascii="仿宋" w:hAnsi="仿宋" w:eastAsia="仿宋" w:cs="仿宋"/>
                <w:color w:val="auto"/>
                <w:sz w:val="24"/>
                <w:highlight w:val="none"/>
              </w:rPr>
            </w:pPr>
          </w:p>
        </w:tc>
        <w:tc>
          <w:tcPr>
            <w:tcW w:w="552" w:type="dxa"/>
          </w:tcPr>
          <w:p>
            <w:pPr>
              <w:spacing w:line="360" w:lineRule="auto"/>
              <w:rPr>
                <w:rFonts w:hint="eastAsia" w:ascii="仿宋" w:hAnsi="仿宋" w:eastAsia="仿宋" w:cs="仿宋"/>
                <w:color w:val="auto"/>
                <w:sz w:val="24"/>
                <w:highlight w:val="none"/>
              </w:rPr>
            </w:pPr>
          </w:p>
        </w:tc>
        <w:tc>
          <w:tcPr>
            <w:tcW w:w="552" w:type="dxa"/>
          </w:tcPr>
          <w:p>
            <w:pPr>
              <w:spacing w:line="360" w:lineRule="auto"/>
              <w:rPr>
                <w:rFonts w:hint="eastAsia" w:ascii="仿宋" w:hAnsi="仿宋" w:eastAsia="仿宋" w:cs="仿宋"/>
                <w:color w:val="auto"/>
                <w:sz w:val="24"/>
                <w:highlight w:val="none"/>
              </w:rPr>
            </w:pPr>
          </w:p>
        </w:tc>
        <w:tc>
          <w:tcPr>
            <w:tcW w:w="552" w:type="dxa"/>
          </w:tcPr>
          <w:p>
            <w:pPr>
              <w:spacing w:line="360" w:lineRule="auto"/>
              <w:rPr>
                <w:rFonts w:hint="eastAsia" w:ascii="仿宋" w:hAnsi="仿宋" w:eastAsia="仿宋" w:cs="仿宋"/>
                <w:color w:val="auto"/>
                <w:sz w:val="24"/>
                <w:highlight w:val="none"/>
              </w:rPr>
            </w:pPr>
          </w:p>
        </w:tc>
        <w:tc>
          <w:tcPr>
            <w:tcW w:w="552" w:type="dxa"/>
          </w:tcPr>
          <w:p>
            <w:pPr>
              <w:spacing w:line="360" w:lineRule="auto"/>
              <w:rPr>
                <w:rFonts w:hint="eastAsia" w:ascii="仿宋" w:hAnsi="仿宋" w:eastAsia="仿宋" w:cs="仿宋"/>
                <w:color w:val="auto"/>
                <w:sz w:val="24"/>
                <w:highlight w:val="none"/>
              </w:rPr>
            </w:pPr>
          </w:p>
        </w:tc>
        <w:tc>
          <w:tcPr>
            <w:tcW w:w="552" w:type="dxa"/>
          </w:tcPr>
          <w:p>
            <w:pPr>
              <w:spacing w:line="360" w:lineRule="auto"/>
              <w:rPr>
                <w:rFonts w:hint="eastAsia" w:ascii="仿宋" w:hAnsi="仿宋" w:eastAsia="仿宋" w:cs="仿宋"/>
                <w:color w:val="auto"/>
                <w:sz w:val="24"/>
                <w:highlight w:val="none"/>
              </w:rPr>
            </w:pPr>
          </w:p>
        </w:tc>
        <w:tc>
          <w:tcPr>
            <w:tcW w:w="552"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hint="eastAsia" w:ascii="仿宋" w:hAnsi="仿宋" w:eastAsia="仿宋" w:cs="仿宋"/>
                <w:color w:val="auto"/>
                <w:sz w:val="24"/>
                <w:highlight w:val="none"/>
              </w:rPr>
            </w:pPr>
          </w:p>
        </w:tc>
        <w:tc>
          <w:tcPr>
            <w:tcW w:w="552" w:type="dxa"/>
          </w:tcPr>
          <w:p>
            <w:pPr>
              <w:spacing w:line="360" w:lineRule="auto"/>
              <w:rPr>
                <w:rFonts w:hint="eastAsia" w:ascii="仿宋" w:hAnsi="仿宋" w:eastAsia="仿宋" w:cs="仿宋"/>
                <w:color w:val="auto"/>
                <w:sz w:val="24"/>
                <w:highlight w:val="none"/>
              </w:rPr>
            </w:pPr>
          </w:p>
        </w:tc>
        <w:tc>
          <w:tcPr>
            <w:tcW w:w="552" w:type="dxa"/>
          </w:tcPr>
          <w:p>
            <w:pPr>
              <w:spacing w:line="360" w:lineRule="auto"/>
              <w:rPr>
                <w:rFonts w:hint="eastAsia" w:ascii="仿宋" w:hAnsi="仿宋" w:eastAsia="仿宋" w:cs="仿宋"/>
                <w:color w:val="auto"/>
                <w:sz w:val="24"/>
                <w:highlight w:val="none"/>
              </w:rPr>
            </w:pPr>
          </w:p>
        </w:tc>
        <w:tc>
          <w:tcPr>
            <w:tcW w:w="552" w:type="dxa"/>
          </w:tcPr>
          <w:p>
            <w:pPr>
              <w:spacing w:line="360" w:lineRule="auto"/>
              <w:rPr>
                <w:rFonts w:hint="eastAsia" w:ascii="仿宋" w:hAnsi="仿宋" w:eastAsia="仿宋" w:cs="仿宋"/>
                <w:color w:val="auto"/>
                <w:sz w:val="24"/>
                <w:highlight w:val="none"/>
              </w:rPr>
            </w:pPr>
          </w:p>
        </w:tc>
        <w:tc>
          <w:tcPr>
            <w:tcW w:w="552" w:type="dxa"/>
          </w:tcPr>
          <w:p>
            <w:pPr>
              <w:spacing w:line="360" w:lineRule="auto"/>
              <w:rPr>
                <w:rFonts w:hint="eastAsia" w:ascii="仿宋" w:hAnsi="仿宋" w:eastAsia="仿宋" w:cs="仿宋"/>
                <w:color w:val="auto"/>
                <w:sz w:val="24"/>
                <w:highlight w:val="none"/>
              </w:rPr>
            </w:pPr>
          </w:p>
        </w:tc>
        <w:tc>
          <w:tcPr>
            <w:tcW w:w="552" w:type="dxa"/>
          </w:tcPr>
          <w:p>
            <w:pPr>
              <w:spacing w:line="360" w:lineRule="auto"/>
              <w:rPr>
                <w:rFonts w:hint="eastAsia" w:ascii="仿宋" w:hAnsi="仿宋" w:eastAsia="仿宋" w:cs="仿宋"/>
                <w:color w:val="auto"/>
                <w:sz w:val="24"/>
                <w:highlight w:val="none"/>
              </w:rPr>
            </w:pPr>
          </w:p>
        </w:tc>
        <w:tc>
          <w:tcPr>
            <w:tcW w:w="552"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hint="eastAsia" w:ascii="仿宋" w:hAnsi="仿宋" w:eastAsia="仿宋" w:cs="仿宋"/>
                <w:color w:val="auto"/>
                <w:sz w:val="24"/>
                <w:highlight w:val="none"/>
              </w:rPr>
            </w:pPr>
          </w:p>
        </w:tc>
        <w:tc>
          <w:tcPr>
            <w:tcW w:w="552" w:type="dxa"/>
          </w:tcPr>
          <w:p>
            <w:pPr>
              <w:spacing w:line="360" w:lineRule="auto"/>
              <w:rPr>
                <w:rFonts w:hint="eastAsia" w:ascii="仿宋" w:hAnsi="仿宋" w:eastAsia="仿宋" w:cs="仿宋"/>
                <w:color w:val="auto"/>
                <w:sz w:val="24"/>
                <w:highlight w:val="none"/>
              </w:rPr>
            </w:pPr>
          </w:p>
        </w:tc>
        <w:tc>
          <w:tcPr>
            <w:tcW w:w="552" w:type="dxa"/>
          </w:tcPr>
          <w:p>
            <w:pPr>
              <w:spacing w:line="360" w:lineRule="auto"/>
              <w:rPr>
                <w:rFonts w:hint="eastAsia" w:ascii="仿宋" w:hAnsi="仿宋" w:eastAsia="仿宋" w:cs="仿宋"/>
                <w:color w:val="auto"/>
                <w:sz w:val="24"/>
                <w:highlight w:val="none"/>
              </w:rPr>
            </w:pPr>
          </w:p>
        </w:tc>
        <w:tc>
          <w:tcPr>
            <w:tcW w:w="552" w:type="dxa"/>
          </w:tcPr>
          <w:p>
            <w:pPr>
              <w:spacing w:line="360" w:lineRule="auto"/>
              <w:rPr>
                <w:rFonts w:hint="eastAsia" w:ascii="仿宋" w:hAnsi="仿宋" w:eastAsia="仿宋" w:cs="仿宋"/>
                <w:color w:val="auto"/>
                <w:sz w:val="24"/>
                <w:highlight w:val="none"/>
              </w:rPr>
            </w:pPr>
          </w:p>
        </w:tc>
        <w:tc>
          <w:tcPr>
            <w:tcW w:w="552" w:type="dxa"/>
          </w:tcPr>
          <w:p>
            <w:pPr>
              <w:spacing w:line="360" w:lineRule="auto"/>
              <w:rPr>
                <w:rFonts w:hint="eastAsia" w:ascii="仿宋" w:hAnsi="仿宋" w:eastAsia="仿宋" w:cs="仿宋"/>
                <w:color w:val="auto"/>
                <w:sz w:val="24"/>
                <w:highlight w:val="none"/>
              </w:rPr>
            </w:pPr>
          </w:p>
        </w:tc>
        <w:tc>
          <w:tcPr>
            <w:tcW w:w="552" w:type="dxa"/>
          </w:tcPr>
          <w:p>
            <w:pPr>
              <w:spacing w:line="360" w:lineRule="auto"/>
              <w:rPr>
                <w:rFonts w:hint="eastAsia" w:ascii="仿宋" w:hAnsi="仿宋" w:eastAsia="仿宋" w:cs="仿宋"/>
                <w:color w:val="auto"/>
                <w:sz w:val="24"/>
                <w:highlight w:val="none"/>
              </w:rPr>
            </w:pPr>
          </w:p>
        </w:tc>
        <w:tc>
          <w:tcPr>
            <w:tcW w:w="552"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hint="eastAsia" w:ascii="仿宋" w:hAnsi="仿宋" w:eastAsia="仿宋" w:cs="仿宋"/>
                <w:color w:val="auto"/>
                <w:sz w:val="24"/>
                <w:highlight w:val="none"/>
              </w:rPr>
            </w:pPr>
          </w:p>
        </w:tc>
        <w:tc>
          <w:tcPr>
            <w:tcW w:w="552" w:type="dxa"/>
          </w:tcPr>
          <w:p>
            <w:pPr>
              <w:spacing w:line="360" w:lineRule="auto"/>
              <w:rPr>
                <w:rFonts w:hint="eastAsia" w:ascii="仿宋" w:hAnsi="仿宋" w:eastAsia="仿宋" w:cs="仿宋"/>
                <w:color w:val="auto"/>
                <w:sz w:val="24"/>
                <w:highlight w:val="none"/>
              </w:rPr>
            </w:pPr>
          </w:p>
        </w:tc>
        <w:tc>
          <w:tcPr>
            <w:tcW w:w="552" w:type="dxa"/>
          </w:tcPr>
          <w:p>
            <w:pPr>
              <w:spacing w:line="360" w:lineRule="auto"/>
              <w:rPr>
                <w:rFonts w:hint="eastAsia" w:ascii="仿宋" w:hAnsi="仿宋" w:eastAsia="仿宋" w:cs="仿宋"/>
                <w:color w:val="auto"/>
                <w:sz w:val="24"/>
                <w:highlight w:val="none"/>
              </w:rPr>
            </w:pPr>
          </w:p>
        </w:tc>
        <w:tc>
          <w:tcPr>
            <w:tcW w:w="552" w:type="dxa"/>
          </w:tcPr>
          <w:p>
            <w:pPr>
              <w:spacing w:line="360" w:lineRule="auto"/>
              <w:rPr>
                <w:rFonts w:hint="eastAsia" w:ascii="仿宋" w:hAnsi="仿宋" w:eastAsia="仿宋" w:cs="仿宋"/>
                <w:color w:val="auto"/>
                <w:sz w:val="24"/>
                <w:highlight w:val="none"/>
              </w:rPr>
            </w:pPr>
          </w:p>
        </w:tc>
        <w:tc>
          <w:tcPr>
            <w:tcW w:w="552" w:type="dxa"/>
          </w:tcPr>
          <w:p>
            <w:pPr>
              <w:spacing w:line="360" w:lineRule="auto"/>
              <w:rPr>
                <w:rFonts w:hint="eastAsia" w:ascii="仿宋" w:hAnsi="仿宋" w:eastAsia="仿宋" w:cs="仿宋"/>
                <w:color w:val="auto"/>
                <w:sz w:val="24"/>
                <w:highlight w:val="none"/>
              </w:rPr>
            </w:pPr>
          </w:p>
        </w:tc>
        <w:tc>
          <w:tcPr>
            <w:tcW w:w="552" w:type="dxa"/>
          </w:tcPr>
          <w:p>
            <w:pPr>
              <w:spacing w:line="360" w:lineRule="auto"/>
              <w:rPr>
                <w:rFonts w:hint="eastAsia" w:ascii="仿宋" w:hAnsi="仿宋" w:eastAsia="仿宋" w:cs="仿宋"/>
                <w:color w:val="auto"/>
                <w:sz w:val="24"/>
                <w:highlight w:val="none"/>
              </w:rPr>
            </w:pPr>
          </w:p>
        </w:tc>
        <w:tc>
          <w:tcPr>
            <w:tcW w:w="552"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hint="eastAsia" w:ascii="仿宋" w:hAnsi="仿宋" w:eastAsia="仿宋" w:cs="仿宋"/>
                <w:color w:val="auto"/>
                <w:sz w:val="24"/>
                <w:highlight w:val="none"/>
              </w:rPr>
            </w:pPr>
          </w:p>
        </w:tc>
        <w:tc>
          <w:tcPr>
            <w:tcW w:w="552" w:type="dxa"/>
          </w:tcPr>
          <w:p>
            <w:pPr>
              <w:spacing w:line="360" w:lineRule="auto"/>
              <w:rPr>
                <w:rFonts w:hint="eastAsia" w:ascii="仿宋" w:hAnsi="仿宋" w:eastAsia="仿宋" w:cs="仿宋"/>
                <w:color w:val="auto"/>
                <w:sz w:val="24"/>
                <w:highlight w:val="none"/>
              </w:rPr>
            </w:pPr>
          </w:p>
        </w:tc>
        <w:tc>
          <w:tcPr>
            <w:tcW w:w="552" w:type="dxa"/>
          </w:tcPr>
          <w:p>
            <w:pPr>
              <w:spacing w:line="360" w:lineRule="auto"/>
              <w:rPr>
                <w:rFonts w:hint="eastAsia" w:ascii="仿宋" w:hAnsi="仿宋" w:eastAsia="仿宋" w:cs="仿宋"/>
                <w:color w:val="auto"/>
                <w:sz w:val="24"/>
                <w:highlight w:val="none"/>
              </w:rPr>
            </w:pPr>
          </w:p>
        </w:tc>
        <w:tc>
          <w:tcPr>
            <w:tcW w:w="552" w:type="dxa"/>
          </w:tcPr>
          <w:p>
            <w:pPr>
              <w:spacing w:line="360" w:lineRule="auto"/>
              <w:rPr>
                <w:rFonts w:hint="eastAsia" w:ascii="仿宋" w:hAnsi="仿宋" w:eastAsia="仿宋" w:cs="仿宋"/>
                <w:color w:val="auto"/>
                <w:sz w:val="24"/>
                <w:highlight w:val="none"/>
              </w:rPr>
            </w:pPr>
          </w:p>
        </w:tc>
        <w:tc>
          <w:tcPr>
            <w:tcW w:w="552" w:type="dxa"/>
          </w:tcPr>
          <w:p>
            <w:pPr>
              <w:spacing w:line="360" w:lineRule="auto"/>
              <w:rPr>
                <w:rFonts w:hint="eastAsia" w:ascii="仿宋" w:hAnsi="仿宋" w:eastAsia="仿宋" w:cs="仿宋"/>
                <w:color w:val="auto"/>
                <w:sz w:val="24"/>
                <w:highlight w:val="none"/>
              </w:rPr>
            </w:pPr>
          </w:p>
        </w:tc>
        <w:tc>
          <w:tcPr>
            <w:tcW w:w="552" w:type="dxa"/>
          </w:tcPr>
          <w:p>
            <w:pPr>
              <w:spacing w:line="360" w:lineRule="auto"/>
              <w:rPr>
                <w:rFonts w:hint="eastAsia" w:ascii="仿宋" w:hAnsi="仿宋" w:eastAsia="仿宋" w:cs="仿宋"/>
                <w:color w:val="auto"/>
                <w:sz w:val="24"/>
                <w:highlight w:val="none"/>
              </w:rPr>
            </w:pPr>
          </w:p>
        </w:tc>
        <w:tc>
          <w:tcPr>
            <w:tcW w:w="552"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c>
          <w:tcPr>
            <w:tcW w:w="553" w:type="dxa"/>
          </w:tcPr>
          <w:p>
            <w:pPr>
              <w:spacing w:line="360" w:lineRule="auto"/>
              <w:rPr>
                <w:rFonts w:hint="eastAsia" w:ascii="仿宋" w:hAnsi="仿宋" w:eastAsia="仿宋" w:cs="仿宋"/>
                <w:color w:val="auto"/>
                <w:sz w:val="24"/>
                <w:highlight w:val="none"/>
              </w:rPr>
            </w:pPr>
          </w:p>
        </w:tc>
      </w:tr>
    </w:tbl>
    <w:p>
      <w:pPr>
        <w:autoSpaceDE w:val="0"/>
        <w:autoSpaceDN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注：供应商可按上述时间表的格式自行编制切合实际的具体时间表。</w:t>
      </w:r>
    </w:p>
    <w:p>
      <w:pPr>
        <w:autoSpaceDE w:val="0"/>
        <w:autoSpaceDN w:val="0"/>
        <w:spacing w:line="360" w:lineRule="auto"/>
        <w:ind w:firstLine="4560" w:firstLineChars="1900"/>
        <w:rPr>
          <w:rFonts w:hint="eastAsia" w:ascii="仿宋" w:hAnsi="仿宋" w:eastAsia="仿宋" w:cs="仿宋"/>
          <w:color w:val="auto"/>
          <w:kern w:val="0"/>
          <w:sz w:val="24"/>
          <w:highlight w:val="none"/>
        </w:rPr>
      </w:pPr>
    </w:p>
    <w:p>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pPr>
        <w:spacing w:line="360" w:lineRule="auto"/>
        <w:jc w:val="center"/>
        <w:rPr>
          <w:rFonts w:hint="eastAsia" w:ascii="仿宋" w:hAnsi="仿宋" w:eastAsia="仿宋" w:cs="仿宋"/>
          <w:b/>
          <w:bCs/>
          <w:color w:val="auto"/>
          <w:sz w:val="32"/>
          <w:szCs w:val="32"/>
          <w:highlight w:val="none"/>
        </w:rPr>
      </w:pPr>
    </w:p>
    <w:p>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十一、售后服务方案</w:t>
      </w:r>
    </w:p>
    <w:p>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w:t>
      </w:r>
      <w:r>
        <w:rPr>
          <w:rFonts w:hint="eastAsia" w:ascii="仿宋" w:hAnsi="仿宋" w:eastAsia="仿宋" w:cs="仿宋"/>
          <w:color w:val="auto"/>
          <w:kern w:val="0"/>
          <w:sz w:val="24"/>
          <w:highlight w:val="none"/>
        </w:rPr>
        <w:t>供应商</w:t>
      </w:r>
      <w:r>
        <w:rPr>
          <w:rFonts w:hint="eastAsia" w:ascii="仿宋" w:hAnsi="仿宋" w:eastAsia="仿宋" w:cs="仿宋"/>
          <w:color w:val="auto"/>
          <w:sz w:val="24"/>
          <w:highlight w:val="none"/>
        </w:rPr>
        <w:t>根据采购需求及磋商文件要求编制）</w:t>
      </w:r>
    </w:p>
    <w:p>
      <w:pPr>
        <w:autoSpaceDE w:val="0"/>
        <w:autoSpaceDN w:val="0"/>
        <w:spacing w:line="360" w:lineRule="auto"/>
        <w:rPr>
          <w:rFonts w:hint="eastAsia" w:ascii="仿宋" w:hAnsi="仿宋" w:eastAsia="仿宋" w:cs="仿宋"/>
          <w:color w:val="auto"/>
          <w:kern w:val="0"/>
          <w:sz w:val="24"/>
          <w:highlight w:val="none"/>
        </w:rPr>
      </w:pPr>
    </w:p>
    <w:p>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pPr>
        <w:spacing w:line="360" w:lineRule="auto"/>
        <w:jc w:val="center"/>
        <w:rPr>
          <w:rFonts w:hint="eastAsia" w:ascii="仿宋" w:hAnsi="仿宋" w:eastAsia="仿宋" w:cs="仿宋"/>
          <w:b/>
          <w:bCs/>
          <w:color w:val="auto"/>
          <w:sz w:val="32"/>
          <w:szCs w:val="32"/>
          <w:highlight w:val="none"/>
        </w:rPr>
      </w:pPr>
    </w:p>
    <w:p>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十二、项目小组人员名单</w:t>
      </w:r>
    </w:p>
    <w:p>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（由供应商根据采购需求及磋商文件要求编制）</w:t>
      </w:r>
    </w:p>
    <w:p>
      <w:pPr>
        <w:keepNext/>
        <w:autoSpaceDE w:val="0"/>
        <w:autoSpaceDN w:val="0"/>
        <w:spacing w:line="360" w:lineRule="auto"/>
        <w:ind w:firstLine="477"/>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hint="eastAsia" w:ascii="仿宋" w:hAnsi="仿宋" w:eastAsia="仿宋" w:cs="仿宋"/>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响应截止时间近3年业绩及承担的主要工作情况，曾担任项目经理的项目应列明细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仿宋" w:hAnsi="仿宋" w:eastAsia="仿宋" w:cs="仿宋"/>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auto"/>
                <w:sz w:val="24"/>
                <w:highlight w:val="none"/>
              </w:rPr>
            </w:pPr>
          </w:p>
        </w:tc>
      </w:tr>
    </w:tbl>
    <w:p>
      <w:pPr>
        <w:autoSpaceDE w:val="0"/>
        <w:autoSpaceDN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注：须随表提交相应的证书复印件并注明所在响应文件页码。</w:t>
      </w:r>
    </w:p>
    <w:p>
      <w:pPr>
        <w:autoSpaceDE w:val="0"/>
        <w:autoSpaceDN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附表B:本项目的项目小组人员情况表</w:t>
      </w:r>
      <w:r>
        <w:rPr>
          <w:rFonts w:hint="eastAsia" w:ascii="仿宋" w:hAnsi="仿宋" w:eastAsia="仿宋" w:cs="仿宋"/>
          <w:color w:val="auto"/>
          <w:sz w:val="24"/>
          <w:highlight w:val="none"/>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p>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专业</w:t>
            </w:r>
          </w:p>
          <w:p>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w:t>
            </w:r>
          </w:p>
          <w:p>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color w:val="auto"/>
                <w:sz w:val="24"/>
                <w:highlight w:val="none"/>
              </w:rPr>
            </w:pPr>
          </w:p>
        </w:tc>
      </w:tr>
    </w:tbl>
    <w:p>
      <w:pPr>
        <w:spacing w:line="360" w:lineRule="auto"/>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注：供应商可按上述的格式自行编制，须随表提交相应的证书复印件并注明所在响应文件页码。</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附表C:本项目的项目经理和小组人员交纳社保记录情况表</w:t>
      </w:r>
      <w:r>
        <w:rPr>
          <w:rFonts w:hint="eastAsia" w:ascii="仿宋" w:hAnsi="仿宋" w:eastAsia="仿宋" w:cs="仿宋"/>
          <w:color w:val="auto"/>
          <w:sz w:val="24"/>
          <w:highlight w:val="none"/>
        </w:rPr>
        <w:t>（以社保局缴纳凭证作附件）</w:t>
      </w:r>
    </w:p>
    <w:p>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pPr>
        <w:spacing w:line="360" w:lineRule="auto"/>
        <w:jc w:val="center"/>
        <w:rPr>
          <w:rFonts w:hint="eastAsia" w:ascii="仿宋" w:hAnsi="仿宋" w:eastAsia="仿宋" w:cs="仿宋"/>
          <w:b/>
          <w:bCs/>
          <w:color w:val="auto"/>
          <w:sz w:val="32"/>
          <w:szCs w:val="32"/>
          <w:highlight w:val="none"/>
        </w:rPr>
      </w:pPr>
    </w:p>
    <w:p>
      <w:pPr>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bCs/>
          <w:color w:val="auto"/>
          <w:sz w:val="24"/>
          <w:highlight w:val="none"/>
        </w:rPr>
        <w:br w:type="page"/>
      </w:r>
      <w:r>
        <w:rPr>
          <w:rFonts w:hint="eastAsia" w:ascii="仿宋" w:hAnsi="仿宋" w:eastAsia="仿宋" w:cs="仿宋"/>
          <w:b/>
          <w:color w:val="auto"/>
          <w:kern w:val="0"/>
          <w:sz w:val="32"/>
          <w:szCs w:val="32"/>
          <w:highlight w:val="none"/>
          <w:lang w:val="zh-CN"/>
        </w:rPr>
        <w:t>十三</w:t>
      </w:r>
      <w:r>
        <w:rPr>
          <w:rFonts w:hint="eastAsia" w:ascii="仿宋" w:hAnsi="仿宋" w:eastAsia="仿宋" w:cs="仿宋"/>
          <w:b/>
          <w:bCs/>
          <w:color w:val="auto"/>
          <w:sz w:val="32"/>
          <w:szCs w:val="32"/>
          <w:highlight w:val="none"/>
        </w:rPr>
        <w:t>、</w:t>
      </w:r>
      <w:r>
        <w:rPr>
          <w:rFonts w:hint="eastAsia" w:ascii="仿宋" w:hAnsi="仿宋" w:eastAsia="仿宋" w:cs="仿宋"/>
          <w:b/>
          <w:color w:val="auto"/>
          <w:kern w:val="0"/>
          <w:sz w:val="32"/>
          <w:szCs w:val="32"/>
          <w:highlight w:val="none"/>
          <w:lang w:val="zh-CN"/>
        </w:rPr>
        <w:t>优惠条件及特殊承诺</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（由供应商根据采购需求自行编制）</w:t>
      </w:r>
    </w:p>
    <w:p>
      <w:pPr>
        <w:spacing w:line="360" w:lineRule="auto"/>
        <w:jc w:val="center"/>
        <w:rPr>
          <w:rFonts w:hint="eastAsia" w:ascii="仿宋" w:hAnsi="仿宋" w:eastAsia="仿宋" w:cs="仿宋"/>
          <w:color w:val="auto"/>
          <w:sz w:val="24"/>
          <w:highlight w:val="none"/>
        </w:rPr>
      </w:pPr>
    </w:p>
    <w:p>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pPr>
        <w:spacing w:line="360" w:lineRule="auto"/>
        <w:jc w:val="center"/>
        <w:rPr>
          <w:rFonts w:hint="eastAsia" w:ascii="仿宋" w:hAnsi="仿宋" w:eastAsia="仿宋" w:cs="仿宋"/>
          <w:b/>
          <w:bCs/>
          <w:color w:val="auto"/>
          <w:sz w:val="32"/>
          <w:szCs w:val="32"/>
          <w:highlight w:val="none"/>
        </w:rPr>
      </w:pPr>
    </w:p>
    <w:p>
      <w:pPr>
        <w:spacing w:line="360" w:lineRule="auto"/>
        <w:jc w:val="center"/>
        <w:rPr>
          <w:rFonts w:hint="eastAsia" w:ascii="仿宋" w:hAnsi="仿宋" w:eastAsia="仿宋" w:cs="仿宋"/>
          <w:b/>
          <w:bCs/>
          <w:color w:val="auto"/>
          <w:sz w:val="24"/>
          <w:highlight w:val="none"/>
        </w:rPr>
      </w:pPr>
    </w:p>
    <w:p>
      <w:pPr>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bCs/>
          <w:color w:val="auto"/>
          <w:sz w:val="32"/>
          <w:szCs w:val="32"/>
          <w:highlight w:val="none"/>
        </w:rPr>
        <w:t>十四、</w:t>
      </w:r>
      <w:r>
        <w:rPr>
          <w:rFonts w:hint="eastAsia" w:ascii="仿宋" w:hAnsi="仿宋" w:eastAsia="仿宋" w:cs="仿宋"/>
          <w:b/>
          <w:color w:val="auto"/>
          <w:kern w:val="0"/>
          <w:sz w:val="32"/>
          <w:szCs w:val="32"/>
          <w:highlight w:val="none"/>
          <w:lang w:val="zh-CN"/>
        </w:rPr>
        <w:t>培训计划</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（由供应商根据采购需求自行编制）</w:t>
      </w:r>
    </w:p>
    <w:p>
      <w:pPr>
        <w:keepNext/>
        <w:autoSpaceDE w:val="0"/>
        <w:autoSpaceDN w:val="0"/>
        <w:spacing w:line="360" w:lineRule="auto"/>
        <w:ind w:firstLine="477"/>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pPr>
              <w:tabs>
                <w:tab w:val="center" w:pos="1690"/>
              </w:tabs>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pPr>
              <w:tabs>
                <w:tab w:val="center" w:pos="595"/>
              </w:tabs>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pPr>
              <w:tabs>
                <w:tab w:val="center" w:pos="1028"/>
              </w:tabs>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pPr>
              <w:tabs>
                <w:tab w:val="center" w:pos="520"/>
              </w:tabs>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pPr>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课程费用</w:t>
            </w:r>
          </w:p>
        </w:tc>
      </w:tr>
      <w:tr>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color w:val="auto"/>
                <w:sz w:val="24"/>
                <w:highlight w:val="none"/>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highlight w:val="none"/>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highlight w:val="none"/>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color w:val="auto"/>
                <w:sz w:val="24"/>
                <w:highlight w:val="none"/>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color w:val="auto"/>
                <w:sz w:val="24"/>
                <w:highlight w:val="none"/>
              </w:rPr>
            </w:pPr>
          </w:p>
        </w:tc>
        <w:tc>
          <w:tcPr>
            <w:tcW w:w="1440"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color w:val="auto"/>
                <w:sz w:val="24"/>
                <w:highlight w:val="none"/>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hint="eastAsia" w:ascii="仿宋" w:hAnsi="仿宋" w:eastAsia="仿宋" w:cs="仿宋"/>
                <w:color w:val="auto"/>
                <w:sz w:val="24"/>
                <w:highlight w:val="none"/>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color w:val="auto"/>
                <w:sz w:val="24"/>
                <w:highlight w:val="none"/>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highlight w:val="none"/>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highlight w:val="none"/>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color w:val="auto"/>
                <w:sz w:val="24"/>
                <w:highlight w:val="none"/>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color w:val="auto"/>
                <w:sz w:val="24"/>
                <w:highlight w:val="none"/>
              </w:rPr>
            </w:pPr>
          </w:p>
        </w:tc>
        <w:tc>
          <w:tcPr>
            <w:tcW w:w="1440" w:type="dxa"/>
            <w:tcBorders>
              <w:top w:val="single" w:color="auto" w:sz="6" w:space="0"/>
              <w:left w:val="single" w:color="auto" w:sz="6" w:space="0"/>
              <w:bottom w:val="nil"/>
              <w:right w:val="nil"/>
            </w:tcBorders>
          </w:tcPr>
          <w:p>
            <w:pPr>
              <w:tabs>
                <w:tab w:val="left" w:pos="7"/>
              </w:tabs>
              <w:suppressAutoHyphens/>
              <w:autoSpaceDE w:val="0"/>
              <w:autoSpaceDN w:val="0"/>
              <w:spacing w:line="360" w:lineRule="auto"/>
              <w:rPr>
                <w:rFonts w:hint="eastAsia" w:ascii="仿宋" w:hAnsi="仿宋" w:eastAsia="仿宋" w:cs="仿宋"/>
                <w:color w:val="auto"/>
                <w:sz w:val="24"/>
                <w:highlight w:val="none"/>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hint="eastAsia" w:ascii="仿宋" w:hAnsi="仿宋" w:eastAsia="仿宋" w:cs="仿宋"/>
                <w:color w:val="auto"/>
                <w:sz w:val="24"/>
                <w:highlight w:val="none"/>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color w:val="auto"/>
                <w:sz w:val="24"/>
                <w:highlight w:val="none"/>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highlight w:val="none"/>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highlight w:val="none"/>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color w:val="auto"/>
                <w:sz w:val="24"/>
                <w:highlight w:val="none"/>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color w:val="auto"/>
                <w:sz w:val="24"/>
                <w:highlight w:val="none"/>
              </w:rPr>
            </w:pPr>
          </w:p>
        </w:tc>
        <w:tc>
          <w:tcPr>
            <w:tcW w:w="1440" w:type="dxa"/>
            <w:tcBorders>
              <w:top w:val="single" w:color="auto" w:sz="6" w:space="0"/>
              <w:left w:val="single" w:color="auto" w:sz="6" w:space="0"/>
              <w:bottom w:val="nil"/>
              <w:right w:val="nil"/>
            </w:tcBorders>
          </w:tcPr>
          <w:p>
            <w:pPr>
              <w:tabs>
                <w:tab w:val="left" w:pos="7"/>
              </w:tabs>
              <w:suppressAutoHyphens/>
              <w:autoSpaceDE w:val="0"/>
              <w:autoSpaceDN w:val="0"/>
              <w:spacing w:line="360" w:lineRule="auto"/>
              <w:rPr>
                <w:rFonts w:hint="eastAsia" w:ascii="仿宋" w:hAnsi="仿宋" w:eastAsia="仿宋" w:cs="仿宋"/>
                <w:color w:val="auto"/>
                <w:sz w:val="24"/>
                <w:highlight w:val="none"/>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hint="eastAsia" w:ascii="仿宋" w:hAnsi="仿宋" w:eastAsia="仿宋" w:cs="仿宋"/>
                <w:color w:val="auto"/>
                <w:sz w:val="24"/>
                <w:highlight w:val="none"/>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tcPr>
          <w:p>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pPr>
              <w:tabs>
                <w:tab w:val="left" w:pos="7"/>
              </w:tabs>
              <w:suppressAutoHyphens/>
              <w:autoSpaceDE w:val="0"/>
              <w:autoSpaceDN w:val="0"/>
              <w:spacing w:line="360" w:lineRule="auto"/>
              <w:rPr>
                <w:rFonts w:hint="eastAsia" w:ascii="仿宋" w:hAnsi="仿宋" w:eastAsia="仿宋" w:cs="仿宋"/>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tcPr>
          <w:p>
            <w:pPr>
              <w:suppressAutoHyphens/>
              <w:autoSpaceDE w:val="0"/>
              <w:autoSpaceDN w:val="0"/>
              <w:spacing w:line="360" w:lineRule="auto"/>
              <w:rPr>
                <w:rFonts w:hint="eastAsia" w:ascii="仿宋" w:hAnsi="仿宋" w:eastAsia="仿宋" w:cs="仿宋"/>
                <w:color w:val="auto"/>
                <w:sz w:val="24"/>
                <w:highlight w:val="none"/>
              </w:rPr>
            </w:pPr>
          </w:p>
        </w:tc>
      </w:tr>
    </w:tbl>
    <w:p>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注解:A</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课程清单按时间顺序排列，并提供以下详细资料：</w:t>
      </w:r>
    </w:p>
    <w:p>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auto"/>
          <w:sz w:val="24"/>
          <w:highlight w:val="none"/>
        </w:rPr>
      </w:pPr>
      <w:r>
        <w:rPr>
          <w:rFonts w:hint="eastAsia" w:ascii="仿宋" w:hAnsi="仿宋" w:eastAsia="仿宋" w:cs="仿宋"/>
          <w:color w:val="auto"/>
          <w:sz w:val="24"/>
          <w:highlight w:val="none"/>
        </w:rPr>
        <w:t>课程概要</w:t>
      </w:r>
    </w:p>
    <w:p>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auto"/>
          <w:sz w:val="24"/>
          <w:highlight w:val="none"/>
        </w:rPr>
      </w:pPr>
      <w:r>
        <w:rPr>
          <w:rFonts w:hint="eastAsia" w:ascii="仿宋" w:hAnsi="仿宋" w:eastAsia="仿宋" w:cs="仿宋"/>
          <w:color w:val="auto"/>
          <w:sz w:val="24"/>
          <w:highlight w:val="none"/>
        </w:rPr>
        <w:t>课程目的</w:t>
      </w:r>
    </w:p>
    <w:p>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auto"/>
          <w:sz w:val="24"/>
          <w:highlight w:val="none"/>
        </w:rPr>
      </w:pPr>
      <w:r>
        <w:rPr>
          <w:rFonts w:hint="eastAsia" w:ascii="仿宋" w:hAnsi="仿宋" w:eastAsia="仿宋" w:cs="仿宋"/>
          <w:color w:val="auto"/>
          <w:sz w:val="24"/>
          <w:highlight w:val="none"/>
        </w:rPr>
        <w:t>教学方式</w:t>
      </w:r>
    </w:p>
    <w:p>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auto"/>
          <w:sz w:val="24"/>
          <w:highlight w:val="none"/>
        </w:rPr>
      </w:pPr>
      <w:r>
        <w:rPr>
          <w:rFonts w:hint="eastAsia" w:ascii="仿宋" w:hAnsi="仿宋" w:eastAsia="仿宋" w:cs="仿宋"/>
          <w:color w:val="auto"/>
          <w:sz w:val="24"/>
          <w:highlight w:val="none"/>
        </w:rPr>
        <w:t>先决条件</w:t>
      </w:r>
    </w:p>
    <w:p>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auto"/>
          <w:sz w:val="24"/>
          <w:highlight w:val="none"/>
        </w:rPr>
      </w:pPr>
      <w:r>
        <w:rPr>
          <w:rFonts w:hint="eastAsia" w:ascii="仿宋" w:hAnsi="仿宋" w:eastAsia="仿宋" w:cs="仿宋"/>
          <w:color w:val="auto"/>
          <w:sz w:val="24"/>
          <w:highlight w:val="none"/>
        </w:rPr>
        <w:t>教材目录</w:t>
      </w:r>
    </w:p>
    <w:p>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B  按照附表A提供授课教师的简历</w:t>
      </w:r>
    </w:p>
    <w:p>
      <w:pPr>
        <w:autoSpaceDE w:val="0"/>
        <w:autoSpaceDN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注：须随表提交相应的证书复印件并注明所在响应文件页码。</w:t>
      </w:r>
    </w:p>
    <w:p>
      <w:pPr>
        <w:autoSpaceDE w:val="0"/>
        <w:autoSpaceDN w:val="0"/>
        <w:spacing w:line="360" w:lineRule="auto"/>
        <w:rPr>
          <w:rFonts w:hint="eastAsia" w:ascii="仿宋" w:hAnsi="仿宋" w:eastAsia="仿宋" w:cs="仿宋"/>
          <w:b/>
          <w:color w:val="auto"/>
          <w:sz w:val="24"/>
          <w:highlight w:val="none"/>
        </w:rPr>
      </w:pPr>
    </w:p>
    <w:p>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pPr>
        <w:spacing w:line="360" w:lineRule="auto"/>
        <w:jc w:val="center"/>
        <w:rPr>
          <w:rFonts w:hint="eastAsia" w:ascii="仿宋" w:hAnsi="仿宋" w:eastAsia="仿宋" w:cs="仿宋"/>
          <w:b/>
          <w:bCs/>
          <w:color w:val="auto"/>
          <w:sz w:val="32"/>
          <w:szCs w:val="32"/>
          <w:highlight w:val="none"/>
        </w:rPr>
      </w:pPr>
    </w:p>
    <w:p>
      <w:pPr>
        <w:spacing w:line="360" w:lineRule="auto"/>
        <w:jc w:val="center"/>
        <w:rPr>
          <w:rFonts w:hint="eastAsia" w:ascii="仿宋" w:hAnsi="仿宋" w:eastAsia="仿宋" w:cs="仿宋"/>
          <w:color w:val="auto"/>
          <w:kern w:val="0"/>
          <w:sz w:val="24"/>
          <w:highlight w:val="non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十五、随机特殊工具和备品备件清单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1900"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品牌</w:t>
            </w:r>
          </w:p>
        </w:tc>
        <w:tc>
          <w:tcPr>
            <w:tcW w:w="1800"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制造厂/原产地</w:t>
            </w:r>
          </w:p>
        </w:tc>
        <w:tc>
          <w:tcPr>
            <w:tcW w:w="2880"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规格型号</w:t>
            </w:r>
          </w:p>
        </w:tc>
        <w:tc>
          <w:tcPr>
            <w:tcW w:w="1332"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1"/>
              <w:spacing w:line="360" w:lineRule="auto"/>
              <w:jc w:val="center"/>
              <w:rPr>
                <w:rFonts w:hint="eastAsia" w:ascii="仿宋" w:hAnsi="仿宋" w:eastAsia="仿宋" w:cs="仿宋"/>
                <w:color w:val="auto"/>
                <w:sz w:val="24"/>
                <w:highlight w:val="none"/>
              </w:rPr>
            </w:pPr>
          </w:p>
        </w:tc>
        <w:tc>
          <w:tcPr>
            <w:tcW w:w="1900" w:type="dxa"/>
          </w:tcPr>
          <w:p>
            <w:pPr>
              <w:pStyle w:val="31"/>
              <w:spacing w:line="360" w:lineRule="auto"/>
              <w:jc w:val="center"/>
              <w:rPr>
                <w:rFonts w:hint="eastAsia" w:ascii="仿宋" w:hAnsi="仿宋" w:eastAsia="仿宋" w:cs="仿宋"/>
                <w:color w:val="auto"/>
                <w:sz w:val="24"/>
                <w:highlight w:val="none"/>
              </w:rPr>
            </w:pPr>
          </w:p>
        </w:tc>
        <w:tc>
          <w:tcPr>
            <w:tcW w:w="1800" w:type="dxa"/>
          </w:tcPr>
          <w:p>
            <w:pPr>
              <w:pStyle w:val="31"/>
              <w:spacing w:line="360" w:lineRule="auto"/>
              <w:jc w:val="center"/>
              <w:rPr>
                <w:rFonts w:hint="eastAsia" w:ascii="仿宋" w:hAnsi="仿宋" w:eastAsia="仿宋" w:cs="仿宋"/>
                <w:color w:val="auto"/>
                <w:sz w:val="24"/>
                <w:highlight w:val="none"/>
              </w:rPr>
            </w:pPr>
          </w:p>
        </w:tc>
        <w:tc>
          <w:tcPr>
            <w:tcW w:w="2880" w:type="dxa"/>
          </w:tcPr>
          <w:p>
            <w:pPr>
              <w:pStyle w:val="31"/>
              <w:spacing w:line="360" w:lineRule="auto"/>
              <w:jc w:val="center"/>
              <w:rPr>
                <w:rFonts w:hint="eastAsia" w:ascii="仿宋" w:hAnsi="仿宋" w:eastAsia="仿宋" w:cs="仿宋"/>
                <w:color w:val="auto"/>
                <w:sz w:val="24"/>
                <w:highlight w:val="none"/>
              </w:rPr>
            </w:pPr>
          </w:p>
        </w:tc>
        <w:tc>
          <w:tcPr>
            <w:tcW w:w="1332" w:type="dxa"/>
          </w:tcPr>
          <w:p>
            <w:pPr>
              <w:pStyle w:val="31"/>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1"/>
              <w:spacing w:line="360" w:lineRule="auto"/>
              <w:jc w:val="center"/>
              <w:rPr>
                <w:rFonts w:hint="eastAsia" w:ascii="仿宋" w:hAnsi="仿宋" w:eastAsia="仿宋" w:cs="仿宋"/>
                <w:color w:val="auto"/>
                <w:sz w:val="24"/>
                <w:highlight w:val="none"/>
              </w:rPr>
            </w:pPr>
          </w:p>
        </w:tc>
        <w:tc>
          <w:tcPr>
            <w:tcW w:w="1900" w:type="dxa"/>
          </w:tcPr>
          <w:p>
            <w:pPr>
              <w:pStyle w:val="31"/>
              <w:spacing w:line="360" w:lineRule="auto"/>
              <w:jc w:val="center"/>
              <w:rPr>
                <w:rFonts w:hint="eastAsia" w:ascii="仿宋" w:hAnsi="仿宋" w:eastAsia="仿宋" w:cs="仿宋"/>
                <w:color w:val="auto"/>
                <w:sz w:val="24"/>
                <w:highlight w:val="none"/>
              </w:rPr>
            </w:pPr>
          </w:p>
        </w:tc>
        <w:tc>
          <w:tcPr>
            <w:tcW w:w="1800" w:type="dxa"/>
          </w:tcPr>
          <w:p>
            <w:pPr>
              <w:pStyle w:val="31"/>
              <w:spacing w:line="360" w:lineRule="auto"/>
              <w:jc w:val="center"/>
              <w:rPr>
                <w:rFonts w:hint="eastAsia" w:ascii="仿宋" w:hAnsi="仿宋" w:eastAsia="仿宋" w:cs="仿宋"/>
                <w:color w:val="auto"/>
                <w:sz w:val="24"/>
                <w:highlight w:val="none"/>
              </w:rPr>
            </w:pPr>
          </w:p>
        </w:tc>
        <w:tc>
          <w:tcPr>
            <w:tcW w:w="2880" w:type="dxa"/>
          </w:tcPr>
          <w:p>
            <w:pPr>
              <w:pStyle w:val="31"/>
              <w:spacing w:line="360" w:lineRule="auto"/>
              <w:jc w:val="center"/>
              <w:rPr>
                <w:rFonts w:hint="eastAsia" w:ascii="仿宋" w:hAnsi="仿宋" w:eastAsia="仿宋" w:cs="仿宋"/>
                <w:color w:val="auto"/>
                <w:sz w:val="24"/>
                <w:highlight w:val="none"/>
              </w:rPr>
            </w:pPr>
          </w:p>
        </w:tc>
        <w:tc>
          <w:tcPr>
            <w:tcW w:w="1332" w:type="dxa"/>
          </w:tcPr>
          <w:p>
            <w:pPr>
              <w:pStyle w:val="31"/>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1"/>
              <w:spacing w:line="360" w:lineRule="auto"/>
              <w:jc w:val="center"/>
              <w:rPr>
                <w:rFonts w:hint="eastAsia" w:ascii="仿宋" w:hAnsi="仿宋" w:eastAsia="仿宋" w:cs="仿宋"/>
                <w:color w:val="auto"/>
                <w:sz w:val="24"/>
                <w:highlight w:val="none"/>
              </w:rPr>
            </w:pPr>
          </w:p>
        </w:tc>
        <w:tc>
          <w:tcPr>
            <w:tcW w:w="1900" w:type="dxa"/>
          </w:tcPr>
          <w:p>
            <w:pPr>
              <w:pStyle w:val="31"/>
              <w:spacing w:line="360" w:lineRule="auto"/>
              <w:jc w:val="center"/>
              <w:rPr>
                <w:rFonts w:hint="eastAsia" w:ascii="仿宋" w:hAnsi="仿宋" w:eastAsia="仿宋" w:cs="仿宋"/>
                <w:color w:val="auto"/>
                <w:sz w:val="24"/>
                <w:highlight w:val="none"/>
              </w:rPr>
            </w:pPr>
          </w:p>
        </w:tc>
        <w:tc>
          <w:tcPr>
            <w:tcW w:w="1800" w:type="dxa"/>
          </w:tcPr>
          <w:p>
            <w:pPr>
              <w:pStyle w:val="31"/>
              <w:spacing w:line="360" w:lineRule="auto"/>
              <w:jc w:val="center"/>
              <w:rPr>
                <w:rFonts w:hint="eastAsia" w:ascii="仿宋" w:hAnsi="仿宋" w:eastAsia="仿宋" w:cs="仿宋"/>
                <w:color w:val="auto"/>
                <w:sz w:val="24"/>
                <w:highlight w:val="none"/>
              </w:rPr>
            </w:pPr>
          </w:p>
        </w:tc>
        <w:tc>
          <w:tcPr>
            <w:tcW w:w="2880" w:type="dxa"/>
          </w:tcPr>
          <w:p>
            <w:pPr>
              <w:pStyle w:val="31"/>
              <w:spacing w:line="360" w:lineRule="auto"/>
              <w:jc w:val="center"/>
              <w:rPr>
                <w:rFonts w:hint="eastAsia" w:ascii="仿宋" w:hAnsi="仿宋" w:eastAsia="仿宋" w:cs="仿宋"/>
                <w:color w:val="auto"/>
                <w:sz w:val="24"/>
                <w:highlight w:val="none"/>
              </w:rPr>
            </w:pPr>
          </w:p>
        </w:tc>
        <w:tc>
          <w:tcPr>
            <w:tcW w:w="1332" w:type="dxa"/>
          </w:tcPr>
          <w:p>
            <w:pPr>
              <w:pStyle w:val="31"/>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1"/>
              <w:spacing w:line="360" w:lineRule="auto"/>
              <w:jc w:val="center"/>
              <w:rPr>
                <w:rFonts w:hint="eastAsia" w:ascii="仿宋" w:hAnsi="仿宋" w:eastAsia="仿宋" w:cs="仿宋"/>
                <w:color w:val="auto"/>
                <w:sz w:val="24"/>
                <w:highlight w:val="none"/>
              </w:rPr>
            </w:pPr>
          </w:p>
        </w:tc>
        <w:tc>
          <w:tcPr>
            <w:tcW w:w="1900" w:type="dxa"/>
          </w:tcPr>
          <w:p>
            <w:pPr>
              <w:pStyle w:val="31"/>
              <w:spacing w:line="360" w:lineRule="auto"/>
              <w:jc w:val="center"/>
              <w:rPr>
                <w:rFonts w:hint="eastAsia" w:ascii="仿宋" w:hAnsi="仿宋" w:eastAsia="仿宋" w:cs="仿宋"/>
                <w:color w:val="auto"/>
                <w:sz w:val="24"/>
                <w:highlight w:val="none"/>
              </w:rPr>
            </w:pPr>
          </w:p>
        </w:tc>
        <w:tc>
          <w:tcPr>
            <w:tcW w:w="1800" w:type="dxa"/>
          </w:tcPr>
          <w:p>
            <w:pPr>
              <w:pStyle w:val="31"/>
              <w:spacing w:line="360" w:lineRule="auto"/>
              <w:jc w:val="center"/>
              <w:rPr>
                <w:rFonts w:hint="eastAsia" w:ascii="仿宋" w:hAnsi="仿宋" w:eastAsia="仿宋" w:cs="仿宋"/>
                <w:color w:val="auto"/>
                <w:sz w:val="24"/>
                <w:highlight w:val="none"/>
              </w:rPr>
            </w:pPr>
          </w:p>
        </w:tc>
        <w:tc>
          <w:tcPr>
            <w:tcW w:w="2880" w:type="dxa"/>
          </w:tcPr>
          <w:p>
            <w:pPr>
              <w:pStyle w:val="31"/>
              <w:spacing w:line="360" w:lineRule="auto"/>
              <w:jc w:val="center"/>
              <w:rPr>
                <w:rFonts w:hint="eastAsia" w:ascii="仿宋" w:hAnsi="仿宋" w:eastAsia="仿宋" w:cs="仿宋"/>
                <w:color w:val="auto"/>
                <w:sz w:val="24"/>
                <w:highlight w:val="none"/>
              </w:rPr>
            </w:pPr>
          </w:p>
        </w:tc>
        <w:tc>
          <w:tcPr>
            <w:tcW w:w="1332" w:type="dxa"/>
          </w:tcPr>
          <w:p>
            <w:pPr>
              <w:pStyle w:val="31"/>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1"/>
              <w:spacing w:line="360" w:lineRule="auto"/>
              <w:jc w:val="center"/>
              <w:rPr>
                <w:rFonts w:hint="eastAsia" w:ascii="仿宋" w:hAnsi="仿宋" w:eastAsia="仿宋" w:cs="仿宋"/>
                <w:color w:val="auto"/>
                <w:sz w:val="24"/>
                <w:highlight w:val="none"/>
              </w:rPr>
            </w:pPr>
          </w:p>
        </w:tc>
        <w:tc>
          <w:tcPr>
            <w:tcW w:w="1900" w:type="dxa"/>
          </w:tcPr>
          <w:p>
            <w:pPr>
              <w:pStyle w:val="31"/>
              <w:spacing w:line="360" w:lineRule="auto"/>
              <w:jc w:val="center"/>
              <w:rPr>
                <w:rFonts w:hint="eastAsia" w:ascii="仿宋" w:hAnsi="仿宋" w:eastAsia="仿宋" w:cs="仿宋"/>
                <w:color w:val="auto"/>
                <w:sz w:val="24"/>
                <w:highlight w:val="none"/>
              </w:rPr>
            </w:pPr>
          </w:p>
        </w:tc>
        <w:tc>
          <w:tcPr>
            <w:tcW w:w="1800" w:type="dxa"/>
          </w:tcPr>
          <w:p>
            <w:pPr>
              <w:pStyle w:val="31"/>
              <w:spacing w:line="360" w:lineRule="auto"/>
              <w:jc w:val="center"/>
              <w:rPr>
                <w:rFonts w:hint="eastAsia" w:ascii="仿宋" w:hAnsi="仿宋" w:eastAsia="仿宋" w:cs="仿宋"/>
                <w:color w:val="auto"/>
                <w:sz w:val="24"/>
                <w:highlight w:val="none"/>
              </w:rPr>
            </w:pPr>
          </w:p>
        </w:tc>
        <w:tc>
          <w:tcPr>
            <w:tcW w:w="2880" w:type="dxa"/>
          </w:tcPr>
          <w:p>
            <w:pPr>
              <w:pStyle w:val="31"/>
              <w:spacing w:line="360" w:lineRule="auto"/>
              <w:jc w:val="center"/>
              <w:rPr>
                <w:rFonts w:hint="eastAsia" w:ascii="仿宋" w:hAnsi="仿宋" w:eastAsia="仿宋" w:cs="仿宋"/>
                <w:color w:val="auto"/>
                <w:sz w:val="24"/>
                <w:highlight w:val="none"/>
              </w:rPr>
            </w:pPr>
          </w:p>
        </w:tc>
        <w:tc>
          <w:tcPr>
            <w:tcW w:w="1332" w:type="dxa"/>
          </w:tcPr>
          <w:p>
            <w:pPr>
              <w:pStyle w:val="31"/>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1"/>
              <w:spacing w:line="360" w:lineRule="auto"/>
              <w:rPr>
                <w:rFonts w:hint="eastAsia" w:ascii="仿宋" w:hAnsi="仿宋" w:eastAsia="仿宋" w:cs="仿宋"/>
                <w:color w:val="auto"/>
                <w:sz w:val="24"/>
                <w:highlight w:val="none"/>
              </w:rPr>
            </w:pPr>
          </w:p>
        </w:tc>
        <w:tc>
          <w:tcPr>
            <w:tcW w:w="1900" w:type="dxa"/>
          </w:tcPr>
          <w:p>
            <w:pPr>
              <w:pStyle w:val="31"/>
              <w:spacing w:line="360" w:lineRule="auto"/>
              <w:jc w:val="center"/>
              <w:rPr>
                <w:rFonts w:hint="eastAsia" w:ascii="仿宋" w:hAnsi="仿宋" w:eastAsia="仿宋" w:cs="仿宋"/>
                <w:color w:val="auto"/>
                <w:sz w:val="24"/>
                <w:highlight w:val="none"/>
              </w:rPr>
            </w:pPr>
          </w:p>
        </w:tc>
        <w:tc>
          <w:tcPr>
            <w:tcW w:w="1800" w:type="dxa"/>
          </w:tcPr>
          <w:p>
            <w:pPr>
              <w:pStyle w:val="31"/>
              <w:spacing w:line="360" w:lineRule="auto"/>
              <w:jc w:val="center"/>
              <w:rPr>
                <w:rFonts w:hint="eastAsia" w:ascii="仿宋" w:hAnsi="仿宋" w:eastAsia="仿宋" w:cs="仿宋"/>
                <w:color w:val="auto"/>
                <w:sz w:val="24"/>
                <w:highlight w:val="none"/>
              </w:rPr>
            </w:pPr>
          </w:p>
        </w:tc>
        <w:tc>
          <w:tcPr>
            <w:tcW w:w="2880" w:type="dxa"/>
          </w:tcPr>
          <w:p>
            <w:pPr>
              <w:pStyle w:val="31"/>
              <w:spacing w:line="360" w:lineRule="auto"/>
              <w:jc w:val="center"/>
              <w:rPr>
                <w:rFonts w:hint="eastAsia" w:ascii="仿宋" w:hAnsi="仿宋" w:eastAsia="仿宋" w:cs="仿宋"/>
                <w:color w:val="auto"/>
                <w:sz w:val="24"/>
                <w:highlight w:val="none"/>
              </w:rPr>
            </w:pPr>
          </w:p>
        </w:tc>
        <w:tc>
          <w:tcPr>
            <w:tcW w:w="1332" w:type="dxa"/>
          </w:tcPr>
          <w:p>
            <w:pPr>
              <w:pStyle w:val="31"/>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1"/>
              <w:spacing w:line="360" w:lineRule="auto"/>
              <w:jc w:val="center"/>
              <w:rPr>
                <w:rFonts w:hint="eastAsia" w:ascii="仿宋" w:hAnsi="仿宋" w:eastAsia="仿宋" w:cs="仿宋"/>
                <w:color w:val="auto"/>
                <w:sz w:val="24"/>
                <w:highlight w:val="none"/>
              </w:rPr>
            </w:pPr>
          </w:p>
        </w:tc>
        <w:tc>
          <w:tcPr>
            <w:tcW w:w="1900" w:type="dxa"/>
          </w:tcPr>
          <w:p>
            <w:pPr>
              <w:pStyle w:val="31"/>
              <w:spacing w:line="360" w:lineRule="auto"/>
              <w:jc w:val="center"/>
              <w:rPr>
                <w:rFonts w:hint="eastAsia" w:ascii="仿宋" w:hAnsi="仿宋" w:eastAsia="仿宋" w:cs="仿宋"/>
                <w:color w:val="auto"/>
                <w:sz w:val="24"/>
                <w:highlight w:val="none"/>
              </w:rPr>
            </w:pPr>
          </w:p>
        </w:tc>
        <w:tc>
          <w:tcPr>
            <w:tcW w:w="1800" w:type="dxa"/>
          </w:tcPr>
          <w:p>
            <w:pPr>
              <w:pStyle w:val="31"/>
              <w:spacing w:line="360" w:lineRule="auto"/>
              <w:jc w:val="center"/>
              <w:rPr>
                <w:rFonts w:hint="eastAsia" w:ascii="仿宋" w:hAnsi="仿宋" w:eastAsia="仿宋" w:cs="仿宋"/>
                <w:color w:val="auto"/>
                <w:sz w:val="24"/>
                <w:highlight w:val="none"/>
              </w:rPr>
            </w:pPr>
          </w:p>
        </w:tc>
        <w:tc>
          <w:tcPr>
            <w:tcW w:w="2880" w:type="dxa"/>
          </w:tcPr>
          <w:p>
            <w:pPr>
              <w:pStyle w:val="31"/>
              <w:spacing w:line="360" w:lineRule="auto"/>
              <w:jc w:val="center"/>
              <w:rPr>
                <w:rFonts w:hint="eastAsia" w:ascii="仿宋" w:hAnsi="仿宋" w:eastAsia="仿宋" w:cs="仿宋"/>
                <w:color w:val="auto"/>
                <w:sz w:val="24"/>
                <w:highlight w:val="none"/>
              </w:rPr>
            </w:pPr>
          </w:p>
        </w:tc>
        <w:tc>
          <w:tcPr>
            <w:tcW w:w="1332" w:type="dxa"/>
          </w:tcPr>
          <w:p>
            <w:pPr>
              <w:pStyle w:val="31"/>
              <w:spacing w:line="360" w:lineRule="auto"/>
              <w:jc w:val="center"/>
              <w:rPr>
                <w:rFonts w:hint="eastAsia" w:ascii="仿宋" w:hAnsi="仿宋" w:eastAsia="仿宋" w:cs="仿宋"/>
                <w:color w:val="auto"/>
                <w:sz w:val="24"/>
                <w:highlight w:val="none"/>
              </w:rPr>
            </w:pPr>
          </w:p>
        </w:tc>
      </w:tr>
    </w:tbl>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注：随机特殊工具和备品备件是指供应商在供货时免费赠送给采购人的工具及零配件，以备用。</w:t>
      </w:r>
    </w:p>
    <w:p>
      <w:pPr>
        <w:spacing w:line="360" w:lineRule="auto"/>
        <w:ind w:firstLine="480" w:firstLineChars="200"/>
        <w:rPr>
          <w:rFonts w:hint="eastAsia" w:ascii="仿宋" w:hAnsi="仿宋" w:eastAsia="仿宋" w:cs="仿宋"/>
          <w:color w:val="auto"/>
          <w:sz w:val="24"/>
          <w:highlight w:val="none"/>
        </w:rPr>
      </w:pPr>
    </w:p>
    <w:p>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pPr>
        <w:spacing w:line="360" w:lineRule="auto"/>
        <w:jc w:val="center"/>
        <w:rPr>
          <w:rFonts w:hint="eastAsia" w:ascii="仿宋" w:hAnsi="仿宋" w:eastAsia="仿宋" w:cs="仿宋"/>
          <w:b/>
          <w:bCs/>
          <w:color w:val="auto"/>
          <w:sz w:val="32"/>
          <w:szCs w:val="32"/>
          <w:highlight w:val="none"/>
        </w:rPr>
      </w:pPr>
    </w:p>
    <w:p>
      <w:pPr>
        <w:spacing w:line="360" w:lineRule="auto"/>
        <w:jc w:val="center"/>
        <w:rPr>
          <w:rFonts w:hint="eastAsia" w:ascii="仿宋" w:hAnsi="仿宋" w:eastAsia="仿宋" w:cs="仿宋"/>
          <w:color w:val="auto"/>
          <w:kern w:val="0"/>
          <w:sz w:val="24"/>
          <w:highlight w:val="none"/>
        </w:rPr>
      </w:pPr>
    </w:p>
    <w:p>
      <w:pPr>
        <w:spacing w:line="360" w:lineRule="auto"/>
        <w:jc w:val="center"/>
        <w:rPr>
          <w:rFonts w:hint="eastAsia" w:ascii="仿宋" w:hAnsi="仿宋" w:eastAsia="仿宋" w:cs="仿宋"/>
          <w:color w:val="auto"/>
          <w:kern w:val="0"/>
          <w:sz w:val="24"/>
          <w:highlight w:val="none"/>
        </w:rPr>
      </w:pPr>
    </w:p>
    <w:p>
      <w:pPr>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bCs/>
          <w:color w:val="auto"/>
          <w:sz w:val="32"/>
          <w:szCs w:val="32"/>
          <w:highlight w:val="none"/>
        </w:rPr>
        <w:t>十六、认为需求的</w:t>
      </w:r>
      <w:r>
        <w:rPr>
          <w:rFonts w:hint="eastAsia" w:ascii="仿宋" w:hAnsi="仿宋" w:eastAsia="仿宋" w:cs="仿宋"/>
          <w:b/>
          <w:color w:val="auto"/>
          <w:kern w:val="0"/>
          <w:sz w:val="32"/>
          <w:szCs w:val="32"/>
          <w:highlight w:val="none"/>
          <w:lang w:val="zh-CN"/>
        </w:rPr>
        <w:t>其他技术文件或说明</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（由供应商根据采购需求自行编制）</w:t>
      </w:r>
    </w:p>
    <w:p>
      <w:pPr>
        <w:spacing w:line="360" w:lineRule="auto"/>
        <w:rPr>
          <w:rFonts w:hint="eastAsia" w:ascii="仿宋" w:hAnsi="仿宋" w:eastAsia="仿宋" w:cs="仿宋"/>
          <w:color w:val="auto"/>
          <w:sz w:val="24"/>
          <w:highlight w:val="none"/>
        </w:rPr>
      </w:pPr>
    </w:p>
    <w:p>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pPr>
        <w:spacing w:line="360" w:lineRule="auto"/>
        <w:jc w:val="center"/>
        <w:rPr>
          <w:rFonts w:hint="eastAsia" w:ascii="仿宋" w:hAnsi="仿宋" w:eastAsia="仿宋" w:cs="仿宋"/>
          <w:b/>
          <w:bCs/>
          <w:color w:val="auto"/>
          <w:sz w:val="32"/>
          <w:szCs w:val="32"/>
          <w:highlight w:val="none"/>
        </w:rPr>
      </w:pPr>
    </w:p>
    <w:p>
      <w:pPr>
        <w:tabs>
          <w:tab w:val="left" w:pos="0"/>
        </w:tabs>
        <w:autoSpaceDE w:val="0"/>
        <w:autoSpaceDN w:val="0"/>
        <w:spacing w:line="360" w:lineRule="auto"/>
        <w:ind w:firstLine="2409" w:firstLineChars="800"/>
        <w:rPr>
          <w:rFonts w:hint="eastAsia" w:ascii="仿宋" w:hAnsi="仿宋" w:eastAsia="仿宋" w:cs="仿宋"/>
          <w:b/>
          <w:bCs/>
          <w:color w:val="auto"/>
          <w:sz w:val="30"/>
          <w:szCs w:val="30"/>
          <w:highlight w:val="none"/>
        </w:rPr>
      </w:pPr>
    </w:p>
    <w:p>
      <w:pPr>
        <w:tabs>
          <w:tab w:val="left" w:pos="0"/>
        </w:tabs>
        <w:autoSpaceDE w:val="0"/>
        <w:autoSpaceDN w:val="0"/>
        <w:spacing w:line="360" w:lineRule="auto"/>
        <w:jc w:val="center"/>
        <w:rPr>
          <w:rFonts w:hint="eastAsia" w:ascii="仿宋" w:hAnsi="仿宋" w:eastAsia="仿宋" w:cs="仿宋"/>
          <w:b/>
          <w:bCs/>
          <w:color w:val="auto"/>
          <w:sz w:val="30"/>
          <w:szCs w:val="30"/>
          <w:highlight w:val="none"/>
        </w:rPr>
      </w:pPr>
    </w:p>
    <w:p>
      <w:pPr>
        <w:widowControl/>
        <w:adjustRightInd/>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br w:type="page"/>
      </w:r>
    </w:p>
    <w:p>
      <w:pPr>
        <w:tabs>
          <w:tab w:val="left" w:pos="0"/>
        </w:tabs>
        <w:autoSpaceDE w:val="0"/>
        <w:autoSpaceDN w:val="0"/>
        <w:spacing w:line="360" w:lineRule="auto"/>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十七、</w:t>
      </w:r>
      <w:r>
        <w:rPr>
          <w:rFonts w:hint="eastAsia" w:ascii="仿宋" w:hAnsi="仿宋" w:eastAsia="仿宋" w:cs="仿宋"/>
          <w:b/>
          <w:color w:val="auto"/>
          <w:kern w:val="0"/>
          <w:sz w:val="32"/>
          <w:szCs w:val="32"/>
          <w:highlight w:val="none"/>
          <w:lang w:val="zh-CN"/>
        </w:rPr>
        <w:t>政府采购供应商廉洁自律承诺书</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（采购人）</w:t>
      </w:r>
      <w:r>
        <w:rPr>
          <w:rFonts w:hint="eastAsia" w:ascii="仿宋" w:hAnsi="仿宋" w:eastAsia="仿宋" w:cs="仿宋"/>
          <w:color w:val="auto"/>
          <w:kern w:val="0"/>
          <w:sz w:val="24"/>
          <w:highlight w:val="none"/>
          <w:lang w:val="zh-CN"/>
        </w:rPr>
        <w:t xml:space="preserve">：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有权立即取消我单位响应、成交或在建项目的建设资格，有权拒绝我单位在一定时期内进入你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供应商</w:t>
      </w:r>
      <w:r>
        <w:rPr>
          <w:rFonts w:hint="eastAsia" w:ascii="仿宋" w:hAnsi="仿宋" w:eastAsia="仿宋" w:cs="仿宋"/>
          <w:color w:val="auto"/>
          <w:kern w:val="0"/>
          <w:sz w:val="24"/>
          <w:highlight w:val="none"/>
          <w:lang w:val="zh-CN"/>
        </w:rPr>
        <w:t>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hint="eastAsia" w:ascii="仿宋" w:hAnsi="仿宋" w:eastAsia="仿宋" w:cs="仿宋"/>
          <w:b/>
          <w:color w:val="auto"/>
          <w:sz w:val="36"/>
          <w:szCs w:val="36"/>
          <w:highlight w:val="none"/>
        </w:rPr>
      </w:pPr>
    </w:p>
    <w:p>
      <w:pPr>
        <w:widowControl/>
        <w:adjustRightInd/>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pStyle w:val="115"/>
        <w:keepNext w:val="0"/>
        <w:pageBreakBefore w:val="0"/>
        <w:tabs>
          <w:tab w:val="clear" w:pos="720"/>
        </w:tabs>
        <w:ind w:firstLine="640"/>
        <w:outlineLvl w:val="9"/>
        <w:rPr>
          <w:rFonts w:hint="eastAsia" w:ascii="仿宋" w:hAnsi="仿宋" w:eastAsia="仿宋" w:cs="仿宋"/>
          <w:color w:val="auto"/>
          <w:kern w:val="2"/>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pPr>
        <w:pStyle w:val="393"/>
        <w:ind w:firstLine="0" w:firstLineChars="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第八部分 </w:t>
      </w:r>
      <w:r>
        <w:rPr>
          <w:rFonts w:hint="eastAsia" w:ascii="仿宋" w:hAnsi="仿宋" w:eastAsia="仿宋" w:cs="仿宋"/>
          <w:b/>
          <w:color w:val="auto"/>
          <w:sz w:val="36"/>
          <w:szCs w:val="36"/>
          <w:highlight w:val="none"/>
          <w:lang w:val="en-US" w:eastAsia="zh-CN"/>
        </w:rPr>
        <w:t>最后报价</w:t>
      </w:r>
      <w:r>
        <w:rPr>
          <w:rFonts w:hint="eastAsia" w:ascii="仿宋" w:hAnsi="仿宋" w:eastAsia="仿宋" w:cs="仿宋"/>
          <w:b/>
          <w:color w:val="auto"/>
          <w:sz w:val="36"/>
          <w:szCs w:val="36"/>
          <w:highlight w:val="none"/>
        </w:rPr>
        <w:t>格式</w:t>
      </w:r>
    </w:p>
    <w:p>
      <w:pPr>
        <w:pStyle w:val="115"/>
        <w:keepNext w:val="0"/>
        <w:pageBreakBefore w:val="0"/>
        <w:tabs>
          <w:tab w:val="clear" w:pos="720"/>
        </w:tabs>
        <w:ind w:firstLine="640"/>
        <w:outlineLvl w:val="9"/>
        <w:rPr>
          <w:rFonts w:hint="eastAsia" w:ascii="仿宋" w:hAnsi="仿宋" w:eastAsia="仿宋" w:cs="仿宋"/>
          <w:color w:val="auto"/>
          <w:kern w:val="2"/>
          <w:sz w:val="32"/>
          <w:szCs w:val="32"/>
          <w:highlight w:val="none"/>
          <w:lang w:eastAsia="zh-CN"/>
        </w:rPr>
      </w:pPr>
      <w:r>
        <w:rPr>
          <w:rFonts w:hint="eastAsia" w:ascii="仿宋" w:hAnsi="仿宋" w:eastAsia="仿宋" w:cs="仿宋"/>
          <w:color w:val="auto"/>
          <w:kern w:val="2"/>
          <w:sz w:val="32"/>
          <w:szCs w:val="32"/>
          <w:highlight w:val="none"/>
        </w:rPr>
        <w:t>（一）</w:t>
      </w:r>
      <w:r>
        <w:rPr>
          <w:rFonts w:hint="eastAsia" w:ascii="仿宋" w:hAnsi="仿宋" w:eastAsia="仿宋" w:cs="仿宋"/>
          <w:color w:val="auto"/>
          <w:kern w:val="2"/>
          <w:sz w:val="32"/>
          <w:szCs w:val="32"/>
          <w:highlight w:val="none"/>
          <w:lang w:val="en-US" w:eastAsia="zh-CN"/>
        </w:rPr>
        <w:t>最后报价</w:t>
      </w:r>
      <w:r>
        <w:rPr>
          <w:rFonts w:hint="eastAsia" w:ascii="仿宋" w:hAnsi="仿宋" w:eastAsia="仿宋" w:cs="仿宋"/>
          <w:color w:val="auto"/>
          <w:kern w:val="2"/>
          <w:sz w:val="32"/>
          <w:szCs w:val="32"/>
          <w:highlight w:val="none"/>
        </w:rPr>
        <w:t>一览表</w:t>
      </w:r>
      <w:r>
        <w:rPr>
          <w:rFonts w:hint="eastAsia" w:ascii="仿宋" w:hAnsi="仿宋" w:eastAsia="仿宋" w:cs="仿宋"/>
          <w:color w:val="auto"/>
          <w:kern w:val="2"/>
          <w:sz w:val="32"/>
          <w:szCs w:val="32"/>
          <w:highlight w:val="none"/>
          <w:lang w:eastAsia="zh-CN"/>
        </w:rPr>
        <w:t>（</w:t>
      </w:r>
      <w:r>
        <w:rPr>
          <w:rFonts w:hint="eastAsia" w:ascii="仿宋" w:hAnsi="仿宋" w:eastAsia="仿宋" w:cs="仿宋"/>
          <w:color w:val="auto"/>
          <w:kern w:val="2"/>
          <w:sz w:val="32"/>
          <w:szCs w:val="32"/>
          <w:highlight w:val="none"/>
          <w:lang w:val="en-US" w:eastAsia="zh-CN"/>
        </w:rPr>
        <w:t>报价</w:t>
      </w:r>
      <w:r>
        <w:rPr>
          <w:rFonts w:hint="eastAsia" w:ascii="仿宋" w:hAnsi="仿宋" w:eastAsia="仿宋" w:cs="仿宋"/>
          <w:color w:val="auto"/>
          <w:kern w:val="2"/>
          <w:sz w:val="32"/>
          <w:szCs w:val="32"/>
          <w:highlight w:val="none"/>
          <w:lang w:eastAsia="zh-CN"/>
        </w:rPr>
        <w:t>）</w:t>
      </w:r>
    </w:p>
    <w:p>
      <w:pPr>
        <w:autoSpaceDE w:val="0"/>
        <w:autoSpaceDN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pacing w:line="360" w:lineRule="auto"/>
        <w:ind w:firstLine="72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按你方磋商文件要求，</w:t>
      </w:r>
      <w:r>
        <w:rPr>
          <w:rFonts w:hint="eastAsia" w:ascii="仿宋" w:hAnsi="仿宋" w:eastAsia="仿宋" w:cs="仿宋"/>
          <w:color w:val="auto"/>
          <w:sz w:val="24"/>
          <w:highlight w:val="none"/>
        </w:rPr>
        <w:t>我们即</w:t>
      </w:r>
      <w:r>
        <w:rPr>
          <w:rFonts w:hint="eastAsia" w:ascii="仿宋" w:hAnsi="仿宋" w:eastAsia="仿宋" w:cs="仿宋"/>
          <w:color w:val="auto"/>
          <w:kern w:val="0"/>
          <w:sz w:val="24"/>
          <w:highlight w:val="none"/>
          <w:lang w:val="zh-CN"/>
        </w:rPr>
        <w:t>本响应文件签字方，谨此向你方发出要约如下：如你方接受本响应，我方承诺按照如下最后报价一览表的价格完成</w:t>
      </w:r>
      <w:r>
        <w:rPr>
          <w:rFonts w:hint="eastAsia" w:ascii="仿宋" w:hAnsi="仿宋" w:eastAsia="仿宋" w:cs="仿宋"/>
          <w:color w:val="auto"/>
          <w:sz w:val="24"/>
          <w:highlight w:val="none"/>
        </w:rPr>
        <w:t>（项目名称）【项目编号：（采购编号）】</w:t>
      </w:r>
      <w:r>
        <w:rPr>
          <w:rFonts w:hint="eastAsia" w:ascii="仿宋" w:hAnsi="仿宋" w:eastAsia="仿宋" w:cs="仿宋"/>
          <w:color w:val="auto"/>
          <w:kern w:val="0"/>
          <w:sz w:val="24"/>
          <w:highlight w:val="none"/>
          <w:lang w:val="zh-CN"/>
        </w:rPr>
        <w:t>的实施。</w:t>
      </w:r>
    </w:p>
    <w:p>
      <w:pPr>
        <w:snapToGrid w:val="0"/>
        <w:spacing w:line="360" w:lineRule="auto"/>
        <w:ind w:left="480"/>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en-US" w:eastAsia="zh-CN"/>
        </w:rPr>
        <w:t>开标</w:t>
      </w:r>
      <w:r>
        <w:rPr>
          <w:rFonts w:hint="eastAsia" w:ascii="仿宋" w:hAnsi="仿宋" w:eastAsia="仿宋" w:cs="仿宋"/>
          <w:b/>
          <w:color w:val="auto"/>
          <w:kern w:val="0"/>
          <w:sz w:val="24"/>
          <w:highlight w:val="none"/>
          <w:lang w:val="zh-CN"/>
        </w:rPr>
        <w:t>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410"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68"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126"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2127" w:type="dxa"/>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2126" w:type="dxa"/>
            <w:vAlign w:val="center"/>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pPr>
              <w:spacing w:line="360" w:lineRule="auto"/>
              <w:jc w:val="center"/>
              <w:rPr>
                <w:rFonts w:hint="eastAsia"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410" w:type="dxa"/>
            <w:vAlign w:val="center"/>
          </w:tcPr>
          <w:p>
            <w:pPr>
              <w:snapToGrid w:val="0"/>
              <w:spacing w:line="360" w:lineRule="auto"/>
              <w:jc w:val="center"/>
              <w:rPr>
                <w:rFonts w:hint="eastAsia" w:ascii="仿宋" w:hAnsi="仿宋" w:eastAsia="仿宋" w:cs="仿宋"/>
                <w:color w:val="auto"/>
                <w:sz w:val="24"/>
                <w:highlight w:val="none"/>
              </w:rPr>
            </w:pP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c>
          <w:tcPr>
            <w:tcW w:w="2127" w:type="dxa"/>
          </w:tcPr>
          <w:p>
            <w:pPr>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992"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410" w:type="dxa"/>
            <w:vAlign w:val="center"/>
          </w:tcPr>
          <w:p>
            <w:pPr>
              <w:snapToGrid w:val="0"/>
              <w:spacing w:line="360" w:lineRule="auto"/>
              <w:jc w:val="center"/>
              <w:rPr>
                <w:rFonts w:hint="eastAsia" w:ascii="仿宋" w:hAnsi="仿宋" w:eastAsia="仿宋" w:cs="仿宋"/>
                <w:color w:val="auto"/>
                <w:sz w:val="24"/>
                <w:highlight w:val="none"/>
              </w:rPr>
            </w:pP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c>
          <w:tcPr>
            <w:tcW w:w="2127" w:type="dxa"/>
          </w:tcPr>
          <w:p>
            <w:pPr>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92" w:type="dxa"/>
            <w:vAlign w:val="center"/>
          </w:tcPr>
          <w:p>
            <w:pPr>
              <w:snapToGrid w:val="0"/>
              <w:spacing w:line="360" w:lineRule="auto"/>
              <w:jc w:val="center"/>
              <w:rPr>
                <w:rFonts w:hint="eastAsia" w:ascii="仿宋" w:hAnsi="仿宋" w:eastAsia="仿宋" w:cs="仿宋"/>
                <w:color w:val="auto"/>
                <w:sz w:val="24"/>
                <w:highlight w:val="none"/>
              </w:rPr>
            </w:pP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410" w:type="dxa"/>
            <w:vAlign w:val="center"/>
          </w:tcPr>
          <w:p>
            <w:pPr>
              <w:snapToGrid w:val="0"/>
              <w:spacing w:line="360" w:lineRule="auto"/>
              <w:jc w:val="center"/>
              <w:rPr>
                <w:rFonts w:hint="eastAsia" w:ascii="仿宋" w:hAnsi="仿宋" w:eastAsia="仿宋" w:cs="仿宋"/>
                <w:color w:val="auto"/>
                <w:sz w:val="24"/>
                <w:highlight w:val="none"/>
              </w:rPr>
            </w:pP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c>
          <w:tcPr>
            <w:tcW w:w="2127" w:type="dxa"/>
          </w:tcPr>
          <w:p>
            <w:pPr>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color w:val="auto"/>
                <w:sz w:val="24"/>
                <w:highlight w:val="none"/>
              </w:rPr>
            </w:pPr>
          </w:p>
        </w:tc>
        <w:tc>
          <w:tcPr>
            <w:tcW w:w="992" w:type="dxa"/>
            <w:vAlign w:val="center"/>
          </w:tcPr>
          <w:p>
            <w:pPr>
              <w:snapToGrid w:val="0"/>
              <w:spacing w:line="360" w:lineRule="auto"/>
              <w:jc w:val="center"/>
              <w:rPr>
                <w:rFonts w:hint="eastAsia" w:ascii="仿宋" w:hAnsi="仿宋" w:eastAsia="仿宋" w:cs="仿宋"/>
                <w:color w:val="auto"/>
                <w:sz w:val="24"/>
                <w:highlight w:val="none"/>
              </w:rPr>
            </w:pP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410" w:type="dxa"/>
            <w:vAlign w:val="center"/>
          </w:tcPr>
          <w:p>
            <w:pPr>
              <w:snapToGrid w:val="0"/>
              <w:spacing w:line="360" w:lineRule="auto"/>
              <w:jc w:val="center"/>
              <w:rPr>
                <w:rFonts w:hint="eastAsia" w:ascii="仿宋" w:hAnsi="仿宋" w:eastAsia="仿宋" w:cs="仿宋"/>
                <w:color w:val="auto"/>
                <w:sz w:val="24"/>
                <w:highlight w:val="none"/>
              </w:rPr>
            </w:pP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c>
          <w:tcPr>
            <w:tcW w:w="2127" w:type="dxa"/>
          </w:tcPr>
          <w:p>
            <w:pPr>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color w:val="auto"/>
                <w:sz w:val="24"/>
                <w:highlight w:val="none"/>
              </w:rPr>
            </w:pPr>
          </w:p>
        </w:tc>
        <w:tc>
          <w:tcPr>
            <w:tcW w:w="992" w:type="dxa"/>
            <w:vAlign w:val="center"/>
          </w:tcPr>
          <w:p>
            <w:pPr>
              <w:snapToGrid w:val="0"/>
              <w:spacing w:line="360" w:lineRule="auto"/>
              <w:jc w:val="center"/>
              <w:rPr>
                <w:rFonts w:hint="eastAsia" w:ascii="仿宋" w:hAnsi="仿宋" w:eastAsia="仿宋" w:cs="仿宋"/>
                <w:color w:val="auto"/>
                <w:sz w:val="24"/>
                <w:highlight w:val="none"/>
              </w:rPr>
            </w:pP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410" w:type="dxa"/>
            <w:vAlign w:val="center"/>
          </w:tcPr>
          <w:p>
            <w:pPr>
              <w:snapToGrid w:val="0"/>
              <w:spacing w:line="360" w:lineRule="auto"/>
              <w:jc w:val="center"/>
              <w:rPr>
                <w:rFonts w:hint="eastAsia" w:ascii="仿宋" w:hAnsi="仿宋" w:eastAsia="仿宋" w:cs="仿宋"/>
                <w:color w:val="auto"/>
                <w:sz w:val="24"/>
                <w:highlight w:val="none"/>
              </w:rPr>
            </w:pPr>
          </w:p>
        </w:tc>
        <w:tc>
          <w:tcPr>
            <w:tcW w:w="2268" w:type="dxa"/>
            <w:vAlign w:val="center"/>
          </w:tcPr>
          <w:p>
            <w:pPr>
              <w:snapToGrid w:val="0"/>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c>
          <w:tcPr>
            <w:tcW w:w="2127" w:type="dxa"/>
          </w:tcPr>
          <w:p>
            <w:pPr>
              <w:spacing w:line="360" w:lineRule="auto"/>
              <w:jc w:val="center"/>
              <w:rPr>
                <w:rFonts w:hint="eastAsia" w:ascii="仿宋" w:hAnsi="仿宋" w:eastAsia="仿宋" w:cs="仿宋"/>
                <w:color w:val="auto"/>
                <w:sz w:val="24"/>
                <w:highlight w:val="none"/>
              </w:rPr>
            </w:pPr>
          </w:p>
        </w:tc>
        <w:tc>
          <w:tcPr>
            <w:tcW w:w="2126"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最后报价（小写）</w:t>
            </w:r>
          </w:p>
        </w:tc>
        <w:tc>
          <w:tcPr>
            <w:tcW w:w="8647" w:type="dxa"/>
            <w:gridSpan w:val="4"/>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最后报价（大写）</w:t>
            </w:r>
          </w:p>
        </w:tc>
        <w:tc>
          <w:tcPr>
            <w:tcW w:w="8647" w:type="dxa"/>
            <w:gridSpan w:val="4"/>
          </w:tcPr>
          <w:p>
            <w:pPr>
              <w:spacing w:line="360" w:lineRule="auto"/>
              <w:jc w:val="center"/>
              <w:rPr>
                <w:rFonts w:hint="eastAsia" w:ascii="仿宋" w:hAnsi="仿宋" w:eastAsia="仿宋" w:cs="仿宋"/>
                <w:color w:val="auto"/>
                <w:sz w:val="24"/>
                <w:highlight w:val="none"/>
              </w:rPr>
            </w:pPr>
          </w:p>
        </w:tc>
      </w:tr>
    </w:tbl>
    <w:p>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注：</w:t>
      </w:r>
      <w:r>
        <w:rPr>
          <w:rFonts w:hint="eastAsia" w:ascii="仿宋" w:hAnsi="仿宋" w:eastAsia="仿宋" w:cs="仿宋"/>
          <w:color w:val="auto"/>
          <w:kern w:val="0"/>
          <w:sz w:val="24"/>
          <w:highlight w:val="none"/>
          <w:lang w:val="zh-CN"/>
        </w:rPr>
        <w:t>1、供应商需按本表格式填写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响应文件含有采购人不能接受的附加条件，响应无效</w:t>
      </w:r>
      <w:r>
        <w:rPr>
          <w:rFonts w:hint="eastAsia" w:ascii="仿宋" w:hAnsi="仿宋" w:eastAsia="仿宋" w:cs="仿宋"/>
          <w:color w:val="auto"/>
          <w:kern w:val="0"/>
          <w:sz w:val="24"/>
          <w:highlight w:val="none"/>
          <w:lang w:val="zh-CN"/>
        </w:rPr>
        <w:t>。</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采购人将以合同形式有偿取得货物或服务，不接受供应商给予的赠品、回扣或者与采购无关的其他商品、服务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最后报价文件含有采购人不能接受的附加条件，响应无效</w:t>
      </w:r>
      <w:r>
        <w:rPr>
          <w:rFonts w:hint="eastAsia" w:ascii="仿宋" w:hAnsi="仿宋" w:eastAsia="仿宋" w:cs="仿宋"/>
          <w:b/>
          <w:color w:val="auto"/>
          <w:kern w:val="0"/>
          <w:sz w:val="24"/>
          <w:highlight w:val="none"/>
          <w:lang w:val="zh-CN"/>
        </w:rPr>
        <w:t>；采购内容未包含在《最后报价一览表》名称栏中，供应商不能作出合理解释的，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响应文件含有采购人不能接受的附加条件的，响应无效。</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3、特别提示：采购代理机构将对项目名称和项目编号，成交供应商名称、地址和成交金额，主要成交标的名称、服务范围、服务要求、服务时间、服务标准等予以公示。</w:t>
      </w:r>
    </w:p>
    <w:p>
      <w:pPr>
        <w:spacing w:line="360" w:lineRule="auto"/>
        <w:ind w:firstLine="480" w:firstLineChars="200"/>
        <w:rPr>
          <w:rFonts w:hint="eastAsia" w:ascii="仿宋" w:hAnsi="仿宋" w:eastAsia="仿宋" w:cs="仿宋"/>
          <w:color w:val="auto"/>
          <w:kern w:val="0"/>
          <w:sz w:val="24"/>
          <w:highlight w:val="none"/>
          <w:u w:val="singl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spacing w:line="360" w:lineRule="auto"/>
        <w:ind w:right="-874" w:rightChars="-416"/>
        <w:rPr>
          <w:rFonts w:hint="eastAsia" w:ascii="仿宋" w:hAnsi="仿宋" w:eastAsia="仿宋" w:cs="仿宋"/>
          <w:color w:val="auto"/>
          <w:sz w:val="24"/>
          <w:highlight w:val="none"/>
        </w:rPr>
      </w:pPr>
    </w:p>
    <w:p>
      <w:pPr>
        <w:spacing w:line="360" w:lineRule="auto"/>
        <w:ind w:right="-874" w:rightChars="-416"/>
        <w:rPr>
          <w:rFonts w:hint="eastAsia" w:ascii="仿宋" w:hAnsi="仿宋" w:eastAsia="仿宋" w:cs="仿宋"/>
          <w:color w:val="auto"/>
          <w:sz w:val="24"/>
          <w:highlight w:val="none"/>
        </w:rPr>
      </w:pPr>
    </w:p>
    <w:p>
      <w:pPr>
        <w:spacing w:line="360" w:lineRule="auto"/>
        <w:ind w:right="-874" w:rightChars="-416"/>
        <w:rPr>
          <w:rFonts w:hint="eastAsia" w:ascii="仿宋" w:hAnsi="仿宋" w:eastAsia="仿宋" w:cs="仿宋"/>
          <w:color w:val="auto"/>
          <w:sz w:val="24"/>
          <w:highlight w:val="none"/>
        </w:rPr>
      </w:pPr>
    </w:p>
    <w:p>
      <w:pPr>
        <w:spacing w:line="360" w:lineRule="auto"/>
        <w:ind w:right="-874" w:rightChars="-416"/>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供应商名称（电子签名）：</w:t>
      </w:r>
    </w:p>
    <w:p>
      <w:pPr>
        <w:autoSpaceDE w:val="0"/>
        <w:autoSpaceDN w:val="0"/>
        <w:spacing w:line="360" w:lineRule="auto"/>
        <w:ind w:left="5040"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widowControl/>
        <w:adjustRightInd/>
        <w:jc w:val="left"/>
        <w:rPr>
          <w:rFonts w:hint="eastAsia" w:ascii="仿宋" w:hAnsi="仿宋" w:eastAsia="仿宋" w:cs="仿宋"/>
          <w:color w:val="auto"/>
          <w:kern w:val="0"/>
          <w:sz w:val="24"/>
          <w:highlight w:val="none"/>
          <w:lang w:val="zh-CN"/>
        </w:rPr>
        <w:sectPr>
          <w:pgSz w:w="16838" w:h="11906" w:orient="landscape"/>
          <w:pgMar w:top="1418" w:right="471" w:bottom="1418" w:left="777" w:header="851" w:footer="992" w:gutter="0"/>
          <w:cols w:space="720" w:num="1"/>
          <w:titlePg/>
          <w:docGrid w:linePitch="312" w:charSpace="0"/>
        </w:sectPr>
      </w:pPr>
    </w:p>
    <w:p>
      <w:pPr>
        <w:widowControl/>
        <w:adjustRightInd/>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（二）中小企业声明函</w:t>
      </w:r>
      <w:bookmarkStart w:id="181" w:name="_Toc465665161"/>
      <w:r>
        <w:rPr>
          <w:rFonts w:hint="eastAsia" w:ascii="仿宋" w:hAnsi="仿宋" w:eastAsia="仿宋" w:cs="仿宋"/>
          <w:b/>
          <w:color w:val="auto"/>
          <w:sz w:val="32"/>
          <w:szCs w:val="32"/>
          <w:highlight w:val="none"/>
        </w:rPr>
        <w:t>（如果有）</w:t>
      </w:r>
    </w:p>
    <w:p>
      <w:pPr>
        <w:widowControl/>
        <w:spacing w:line="360" w:lineRule="auto"/>
        <w:ind w:firstLine="120" w:firstLineChars="50"/>
        <w:jc w:val="left"/>
        <w:rPr>
          <w:rFonts w:hint="eastAsia" w:ascii="仿宋" w:hAnsi="仿宋" w:eastAsia="仿宋" w:cs="仿宋"/>
          <w:b/>
          <w:color w:val="auto"/>
          <w:sz w:val="24"/>
          <w:highlight w:val="none"/>
        </w:rPr>
      </w:pPr>
    </w:p>
    <w:p>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w:t>
      </w:r>
      <w:r>
        <w:rPr>
          <w:rFonts w:hint="eastAsia" w:ascii="仿宋" w:hAnsi="仿宋" w:eastAsia="仿宋" w:cs="仿宋"/>
          <w:b/>
          <w:bCs/>
          <w:color w:val="auto"/>
          <w:sz w:val="24"/>
          <w:highlight w:val="none"/>
        </w:rPr>
        <w:t>竞争性磋商邀请公告</w:t>
      </w:r>
      <w:r>
        <w:rPr>
          <w:rFonts w:hint="eastAsia" w:ascii="仿宋" w:hAnsi="仿宋" w:eastAsia="仿宋" w:cs="仿宋"/>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5）。]</w:t>
      </w:r>
    </w:p>
    <w:p>
      <w:pPr>
        <w:widowControl/>
        <w:adjustRightInd/>
        <w:jc w:val="center"/>
        <w:rPr>
          <w:rFonts w:hint="eastAsia" w:ascii="仿宋" w:hAnsi="仿宋" w:eastAsia="仿宋" w:cs="仿宋"/>
          <w:color w:val="auto"/>
          <w:sz w:val="24"/>
          <w:highlight w:val="none"/>
        </w:rPr>
      </w:pPr>
    </w:p>
    <w:p>
      <w:pPr>
        <w:widowControl/>
        <w:adjustRightInd/>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bookmarkEnd w:id="181"/>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pacing w:val="6"/>
          <w:sz w:val="32"/>
          <w:szCs w:val="32"/>
          <w:highlight w:val="none"/>
        </w:rPr>
        <w:t>附件2：投诉书范本及制作说明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rPr>
          <w:rFonts w:hint="eastAsia" w:ascii="仿宋" w:hAnsi="仿宋" w:eastAsia="仿宋" w:cs="仿宋"/>
          <w:b/>
          <w:color w:val="auto"/>
          <w:sz w:val="24"/>
          <w:highlight w:val="none"/>
        </w:rPr>
      </w:pPr>
    </w:p>
    <w:p>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pPr>
        <w:spacing w:line="360" w:lineRule="auto"/>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附件3：</w:t>
      </w:r>
    </w:p>
    <w:p>
      <w:pPr>
        <w:spacing w:line="360" w:lineRule="auto"/>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残疾人福利性单位声明函</w:t>
      </w:r>
    </w:p>
    <w:p>
      <w:pPr>
        <w:spacing w:line="360" w:lineRule="auto"/>
        <w:rPr>
          <w:rFonts w:hint="eastAsia" w:ascii="仿宋" w:hAnsi="仿宋" w:eastAsia="仿宋" w:cs="仿宋"/>
          <w:b/>
          <w:color w:val="auto"/>
          <w:spacing w:val="6"/>
          <w:sz w:val="30"/>
          <w:szCs w:val="30"/>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单位的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单位名称（</w:t>
      </w:r>
      <w:r>
        <w:rPr>
          <w:rFonts w:hint="eastAsia" w:ascii="仿宋" w:hAnsi="仿宋" w:eastAsia="仿宋" w:cs="仿宋"/>
          <w:color w:val="auto"/>
          <w:kern w:val="0"/>
          <w:sz w:val="24"/>
          <w:highlight w:val="none"/>
        </w:rPr>
        <w:t>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hint="eastAsia" w:ascii="仿宋" w:hAnsi="仿宋" w:eastAsia="仿宋" w:cs="仿宋"/>
          <w:color w:val="auto"/>
          <w:sz w:val="24"/>
          <w:highlight w:val="none"/>
        </w:rPr>
      </w:pPr>
    </w:p>
    <w:p>
      <w:pPr>
        <w:widowControl/>
        <w:adjustRightInd/>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autoSpaceDE w:val="0"/>
        <w:autoSpaceDN w:val="0"/>
        <w:jc w:val="left"/>
        <w:rPr>
          <w:rFonts w:hint="eastAsia" w:ascii="仿宋" w:hAnsi="仿宋" w:eastAsia="仿宋" w:cs="仿宋"/>
          <w:b/>
          <w:color w:val="auto"/>
          <w:sz w:val="24"/>
          <w:highlight w:val="none"/>
        </w:rPr>
      </w:pPr>
      <w:r>
        <w:rPr>
          <w:rFonts w:hint="eastAsia" w:ascii="仿宋" w:hAnsi="仿宋" w:eastAsia="仿宋" w:cs="仿宋"/>
          <w:b/>
          <w:color w:val="auto"/>
          <w:sz w:val="32"/>
          <w:szCs w:val="32"/>
          <w:highlight w:val="none"/>
        </w:rPr>
        <w:t>附件4：</w:t>
      </w:r>
    </w:p>
    <w:p>
      <w:pPr>
        <w:spacing w:line="360" w:lineRule="auto"/>
        <w:jc w:val="left"/>
        <w:rPr>
          <w:rFonts w:hint="eastAsia" w:ascii="仿宋" w:hAnsi="仿宋" w:eastAsia="仿宋" w:cs="仿宋"/>
          <w:b/>
          <w:color w:val="auto"/>
          <w:sz w:val="24"/>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业务专用章使用说明函</w:t>
      </w:r>
    </w:p>
    <w:p>
      <w:pPr>
        <w:autoSpaceDE w:val="0"/>
        <w:autoSpaceDN w:val="0"/>
        <w:jc w:val="center"/>
        <w:rPr>
          <w:rFonts w:hint="eastAsia" w:ascii="仿宋" w:hAnsi="仿宋" w:eastAsia="仿宋" w:cs="仿宋"/>
          <w:b/>
          <w:bCs/>
          <w:color w:val="auto"/>
          <w:sz w:val="32"/>
          <w:szCs w:val="32"/>
          <w:highlight w:val="non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(供应商全称)是中华人民共和国依法登记注册的合法企业，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贵方组织的（项目名称）【项目编号：（采购编号）】</w:t>
      </w:r>
      <w:r>
        <w:rPr>
          <w:rFonts w:hint="eastAsia" w:ascii="仿宋" w:hAnsi="仿宋" w:eastAsia="仿宋" w:cs="仿宋"/>
          <w:bCs/>
          <w:color w:val="auto"/>
          <w:sz w:val="24"/>
          <w:highlight w:val="none"/>
        </w:rPr>
        <w:t>采购活动中作如下说明：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2"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供应商（法定名称章）：</w:t>
      </w:r>
    </w:p>
    <w:p>
      <w:pPr>
        <w:spacing w:line="360" w:lineRule="auto"/>
        <w:ind w:right="482"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color w:val="auto"/>
          <w:highlight w:val="none"/>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hint="eastAsia" w:ascii="仿宋" w:hAnsi="仿宋" w:eastAsia="仿宋" w:cs="仿宋"/>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供应商法定名称章（印模）                供应商“XX专用章”（印模）</w:t>
      </w:r>
    </w:p>
    <w:p>
      <w:pPr>
        <w:widowControl/>
        <w:spacing w:line="360" w:lineRule="auto"/>
        <w:ind w:firstLine="480" w:firstLineChars="200"/>
        <w:jc w:val="left"/>
        <w:rPr>
          <w:rFonts w:hint="eastAsia" w:ascii="仿宋" w:hAnsi="仿宋" w:eastAsia="仿宋" w:cs="仿宋"/>
          <w:color w:val="auto"/>
          <w:kern w:val="0"/>
          <w:sz w:val="24"/>
          <w:highlight w:val="none"/>
        </w:rPr>
      </w:pPr>
    </w:p>
    <w:p>
      <w:pPr>
        <w:snapToGrid w:val="0"/>
        <w:spacing w:line="360" w:lineRule="auto"/>
        <w:jc w:val="center"/>
        <w:rPr>
          <w:rFonts w:hint="eastAsia" w:ascii="仿宋" w:hAnsi="仿宋" w:eastAsia="仿宋" w:cs="仿宋"/>
          <w:b/>
          <w:color w:val="auto"/>
          <w:sz w:val="24"/>
          <w:highlight w:val="none"/>
        </w:rPr>
      </w:pPr>
    </w:p>
    <w:p>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pPr>
        <w:autoSpaceDE w:val="0"/>
        <w:autoSpaceDN w:val="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附件5：</w:t>
      </w:r>
    </w:p>
    <w:p>
      <w:pPr>
        <w:spacing w:line="360" w:lineRule="auto"/>
        <w:jc w:val="center"/>
        <w:rPr>
          <w:rFonts w:hint="eastAsia" w:ascii="仿宋" w:hAnsi="仿宋" w:eastAsia="仿宋" w:cs="仿宋"/>
          <w:b/>
          <w:color w:val="auto"/>
          <w:sz w:val="32"/>
          <w:szCs w:val="32"/>
          <w:highlight w:val="none"/>
        </w:rPr>
      </w:pPr>
    </w:p>
    <w:p>
      <w:pPr>
        <w:adjustRightInd/>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中小企业声明函（服务）</w:t>
      </w:r>
    </w:p>
    <w:p>
      <w:pPr>
        <w:spacing w:line="360" w:lineRule="auto"/>
        <w:jc w:val="center"/>
        <w:rPr>
          <w:rFonts w:hint="eastAsia" w:ascii="仿宋" w:hAnsi="仿宋" w:eastAsia="仿宋" w:cs="仿宋"/>
          <w:b/>
          <w:color w:val="auto"/>
          <w:sz w:val="32"/>
          <w:szCs w:val="32"/>
          <w:highlight w:val="none"/>
        </w:rPr>
      </w:pP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供应商名称（电子签名）：</w:t>
      </w:r>
    </w:p>
    <w:p>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rPr>
          <w:rFonts w:hint="eastAsia" w:ascii="仿宋" w:hAnsi="仿宋" w:eastAsia="仿宋" w:cs="仿宋"/>
          <w:b/>
          <w:color w:val="auto"/>
          <w:sz w:val="24"/>
          <w:highlight w:val="none"/>
        </w:rPr>
      </w:pPr>
    </w:p>
    <w:p>
      <w:pPr>
        <w:spacing w:line="360" w:lineRule="auto"/>
        <w:ind w:firstLine="482" w:firstLineChars="200"/>
        <w:rPr>
          <w:rFonts w:hint="eastAsia" w:ascii="仿宋" w:hAnsi="仿宋" w:eastAsia="仿宋" w:cs="仿宋"/>
          <w:b/>
          <w:color w:val="auto"/>
          <w:sz w:val="24"/>
          <w:highlight w:val="none"/>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4"/>
      </w:rPr>
    </w:pPr>
    <w:r>
      <w:fldChar w:fldCharType="begin"/>
    </w:r>
    <w:r>
      <w:rPr>
        <w:rStyle w:val="64"/>
      </w:rPr>
      <w:instrText xml:space="preserve">PAGE  </w:instrText>
    </w:r>
    <w:r>
      <w:fldChar w:fldCharType="end"/>
    </w:r>
  </w:p>
  <w:p>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4"/>
      </w:rPr>
    </w:pPr>
    <w:r>
      <w:fldChar w:fldCharType="begin"/>
    </w:r>
    <w:r>
      <w:rPr>
        <w:rStyle w:val="64"/>
      </w:rPr>
      <w:instrText xml:space="preserve">PAGE  </w:instrText>
    </w:r>
    <w:r>
      <w:fldChar w:fldCharType="end"/>
    </w:r>
  </w:p>
  <w:p>
    <w:pPr>
      <w:pStyle w:val="3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82" w:name="_Toc36110187"/>
    <w:bookmarkStart w:id="183" w:name="_Toc91899912"/>
    <w:bookmarkStart w:id="184" w:name="_Toc131845147"/>
    <w:bookmarkStart w:id="185" w:name="_Toc164085800"/>
    <w:r>
      <w:rPr>
        <w:rFonts w:hint="eastAsia" w:ascii="仿宋_GB2312" w:eastAsia="仿宋_GB2312"/>
        <w:kern w:val="0"/>
        <w:szCs w:val="21"/>
      </w:rPr>
      <w:t xml:space="preserve"> 页</w:t>
    </w:r>
    <w:bookmarkEnd w:id="182"/>
    <w:bookmarkEnd w:id="183"/>
    <w:bookmarkEnd w:id="184"/>
    <w:bookmarkEnd w:id="185"/>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02998E"/>
    <w:multiLevelType w:val="multilevel"/>
    <w:tmpl w:val="B102998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decimal"/>
      <w:pStyle w:val="632"/>
      <w:lvlText w:val="%9."/>
      <w:lvlJc w:val="left"/>
      <w:pPr>
        <w:tabs>
          <w:tab w:val="left" w:pos="215"/>
        </w:tabs>
        <w:ind w:left="0" w:firstLine="482"/>
      </w:pPr>
      <w:rPr>
        <w:rFonts w:hint="default"/>
      </w:rPr>
    </w:lvl>
  </w:abstractNum>
  <w:abstractNum w:abstractNumId="1">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0000027"/>
    <w:multiLevelType w:val="singleLevel"/>
    <w:tmpl w:val="00000027"/>
    <w:lvl w:ilvl="0" w:tentative="0">
      <w:start w:val="0"/>
      <w:numFmt w:val="bullet"/>
      <w:lvlText w:val="*"/>
      <w:lvlJc w:val="left"/>
    </w:lvl>
  </w:abstractNum>
  <w:abstractNum w:abstractNumId="5">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3"/>
  </w:num>
  <w:num w:numId="3">
    <w:abstractNumId w:val="1"/>
  </w:num>
  <w:num w:numId="4">
    <w:abstractNumId w:val="2"/>
  </w:num>
  <w:num w:numId="5">
    <w:abstractNumId w:val="8"/>
  </w:num>
  <w:num w:numId="6">
    <w:abstractNumId w:val="10"/>
  </w:num>
  <w:num w:numId="7">
    <w:abstractNumId w:val="0"/>
  </w:num>
  <w:num w:numId="8">
    <w:abstractNumId w:val="1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9"/>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wOGE3ZmQyNTkyODdkZGU1YTk0ZjhiMWQ4NTUyYmQ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20"/>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963AFA"/>
    <w:rsid w:val="024779F6"/>
    <w:rsid w:val="024E68F9"/>
    <w:rsid w:val="02DA0C0E"/>
    <w:rsid w:val="03DD35E4"/>
    <w:rsid w:val="065A6178"/>
    <w:rsid w:val="06CC603E"/>
    <w:rsid w:val="075562B7"/>
    <w:rsid w:val="078A0004"/>
    <w:rsid w:val="07F6164B"/>
    <w:rsid w:val="0834033F"/>
    <w:rsid w:val="087A1B7A"/>
    <w:rsid w:val="09396624"/>
    <w:rsid w:val="096B2097"/>
    <w:rsid w:val="0A5B7E63"/>
    <w:rsid w:val="0B161F7E"/>
    <w:rsid w:val="0BAB4DBC"/>
    <w:rsid w:val="0BEA7692"/>
    <w:rsid w:val="0C87121B"/>
    <w:rsid w:val="0DF702FE"/>
    <w:rsid w:val="0E3F698B"/>
    <w:rsid w:val="0E8A1E72"/>
    <w:rsid w:val="0EAC1AD3"/>
    <w:rsid w:val="0F21508F"/>
    <w:rsid w:val="0F816ACD"/>
    <w:rsid w:val="0FB94501"/>
    <w:rsid w:val="0FE346E5"/>
    <w:rsid w:val="10B047CF"/>
    <w:rsid w:val="10FC16EA"/>
    <w:rsid w:val="118963A1"/>
    <w:rsid w:val="12130FC5"/>
    <w:rsid w:val="12696C32"/>
    <w:rsid w:val="127723A9"/>
    <w:rsid w:val="13072A44"/>
    <w:rsid w:val="135B05AC"/>
    <w:rsid w:val="1398665A"/>
    <w:rsid w:val="13AD4C35"/>
    <w:rsid w:val="142B4CEC"/>
    <w:rsid w:val="145044FA"/>
    <w:rsid w:val="14EF5D19"/>
    <w:rsid w:val="16322DD6"/>
    <w:rsid w:val="18427BDC"/>
    <w:rsid w:val="184C6FDF"/>
    <w:rsid w:val="186742B0"/>
    <w:rsid w:val="1A69031C"/>
    <w:rsid w:val="1A824321"/>
    <w:rsid w:val="1B2A271F"/>
    <w:rsid w:val="1B890139"/>
    <w:rsid w:val="1CA8319C"/>
    <w:rsid w:val="1CF04F2E"/>
    <w:rsid w:val="1D122277"/>
    <w:rsid w:val="1D125014"/>
    <w:rsid w:val="1D266CE1"/>
    <w:rsid w:val="1D3963AF"/>
    <w:rsid w:val="1DF91DEC"/>
    <w:rsid w:val="1E714A66"/>
    <w:rsid w:val="1F51551C"/>
    <w:rsid w:val="1FE868A9"/>
    <w:rsid w:val="207E43F5"/>
    <w:rsid w:val="211E26D6"/>
    <w:rsid w:val="21283D08"/>
    <w:rsid w:val="221C7A6F"/>
    <w:rsid w:val="230106BF"/>
    <w:rsid w:val="23B51EDC"/>
    <w:rsid w:val="23F00734"/>
    <w:rsid w:val="255E0351"/>
    <w:rsid w:val="25A466AC"/>
    <w:rsid w:val="25B440B3"/>
    <w:rsid w:val="26671DF3"/>
    <w:rsid w:val="2723134D"/>
    <w:rsid w:val="29A4427A"/>
    <w:rsid w:val="2A1445AB"/>
    <w:rsid w:val="2AA1365A"/>
    <w:rsid w:val="2D3F2C62"/>
    <w:rsid w:val="2DD15014"/>
    <w:rsid w:val="2E67471B"/>
    <w:rsid w:val="2FD25781"/>
    <w:rsid w:val="30176C8D"/>
    <w:rsid w:val="319C6071"/>
    <w:rsid w:val="326C2300"/>
    <w:rsid w:val="327A6B99"/>
    <w:rsid w:val="32DB72BE"/>
    <w:rsid w:val="338565CE"/>
    <w:rsid w:val="342E63AB"/>
    <w:rsid w:val="345D260B"/>
    <w:rsid w:val="36026E5B"/>
    <w:rsid w:val="365302AE"/>
    <w:rsid w:val="37115340"/>
    <w:rsid w:val="37F142D2"/>
    <w:rsid w:val="39A13F14"/>
    <w:rsid w:val="3A4B4EF0"/>
    <w:rsid w:val="3C5F759A"/>
    <w:rsid w:val="3D5C78D4"/>
    <w:rsid w:val="3D636171"/>
    <w:rsid w:val="3E2C2E84"/>
    <w:rsid w:val="3F870779"/>
    <w:rsid w:val="3FFF72A6"/>
    <w:rsid w:val="40A1586A"/>
    <w:rsid w:val="40C815AF"/>
    <w:rsid w:val="41F06AA9"/>
    <w:rsid w:val="42E1381E"/>
    <w:rsid w:val="43FB717C"/>
    <w:rsid w:val="451E447A"/>
    <w:rsid w:val="45345B76"/>
    <w:rsid w:val="453E2A8F"/>
    <w:rsid w:val="455D2FB2"/>
    <w:rsid w:val="47307808"/>
    <w:rsid w:val="482700DA"/>
    <w:rsid w:val="486F747C"/>
    <w:rsid w:val="4A2D4613"/>
    <w:rsid w:val="4A5E5D08"/>
    <w:rsid w:val="4A653DAC"/>
    <w:rsid w:val="4A7A05D5"/>
    <w:rsid w:val="4C2344C5"/>
    <w:rsid w:val="4C890A77"/>
    <w:rsid w:val="4CFB09F8"/>
    <w:rsid w:val="4D861CF6"/>
    <w:rsid w:val="4FAA3194"/>
    <w:rsid w:val="4FE37C4D"/>
    <w:rsid w:val="50661C33"/>
    <w:rsid w:val="515D3A2F"/>
    <w:rsid w:val="51A0432A"/>
    <w:rsid w:val="51F36142"/>
    <w:rsid w:val="52046583"/>
    <w:rsid w:val="527140E5"/>
    <w:rsid w:val="52884ADC"/>
    <w:rsid w:val="5292508F"/>
    <w:rsid w:val="52A96B6F"/>
    <w:rsid w:val="52D47D21"/>
    <w:rsid w:val="541025FE"/>
    <w:rsid w:val="550764A4"/>
    <w:rsid w:val="551926E0"/>
    <w:rsid w:val="55F221EB"/>
    <w:rsid w:val="561279B9"/>
    <w:rsid w:val="56515F3B"/>
    <w:rsid w:val="56AC56C1"/>
    <w:rsid w:val="572B71CA"/>
    <w:rsid w:val="57A70B2E"/>
    <w:rsid w:val="57B36157"/>
    <w:rsid w:val="57E958DA"/>
    <w:rsid w:val="58AE4F0C"/>
    <w:rsid w:val="5A075873"/>
    <w:rsid w:val="5A2A7C7B"/>
    <w:rsid w:val="5AE43BAE"/>
    <w:rsid w:val="5B7F64F6"/>
    <w:rsid w:val="5BE865EB"/>
    <w:rsid w:val="5C80234E"/>
    <w:rsid w:val="5D7661EC"/>
    <w:rsid w:val="5E261785"/>
    <w:rsid w:val="5FCC5339"/>
    <w:rsid w:val="5FE70807"/>
    <w:rsid w:val="60D31618"/>
    <w:rsid w:val="60E53485"/>
    <w:rsid w:val="61054A27"/>
    <w:rsid w:val="611D2366"/>
    <w:rsid w:val="615A3AE7"/>
    <w:rsid w:val="621C6FEF"/>
    <w:rsid w:val="623F70EC"/>
    <w:rsid w:val="625C73EB"/>
    <w:rsid w:val="62885958"/>
    <w:rsid w:val="64572560"/>
    <w:rsid w:val="645D0C70"/>
    <w:rsid w:val="64B9090F"/>
    <w:rsid w:val="64CE2EAA"/>
    <w:rsid w:val="65347E9B"/>
    <w:rsid w:val="65D14EBC"/>
    <w:rsid w:val="662E75B1"/>
    <w:rsid w:val="66342C2E"/>
    <w:rsid w:val="663E784C"/>
    <w:rsid w:val="66DE4873"/>
    <w:rsid w:val="671745A1"/>
    <w:rsid w:val="673B09CC"/>
    <w:rsid w:val="685867EC"/>
    <w:rsid w:val="68806ACB"/>
    <w:rsid w:val="68916476"/>
    <w:rsid w:val="68B30AF3"/>
    <w:rsid w:val="6A32072B"/>
    <w:rsid w:val="6BD2552A"/>
    <w:rsid w:val="6DC5298B"/>
    <w:rsid w:val="6E8E12EF"/>
    <w:rsid w:val="703B3983"/>
    <w:rsid w:val="705876E0"/>
    <w:rsid w:val="71AD37BF"/>
    <w:rsid w:val="71D43752"/>
    <w:rsid w:val="73B11273"/>
    <w:rsid w:val="73DD6243"/>
    <w:rsid w:val="743A5F7B"/>
    <w:rsid w:val="743B1F57"/>
    <w:rsid w:val="746816CE"/>
    <w:rsid w:val="7490285F"/>
    <w:rsid w:val="749C4185"/>
    <w:rsid w:val="74CB28DA"/>
    <w:rsid w:val="75A65DD5"/>
    <w:rsid w:val="75DA2C18"/>
    <w:rsid w:val="766E5C13"/>
    <w:rsid w:val="76A94716"/>
    <w:rsid w:val="775319EF"/>
    <w:rsid w:val="776A3B44"/>
    <w:rsid w:val="77CB0FF5"/>
    <w:rsid w:val="790F1C77"/>
    <w:rsid w:val="795A4B55"/>
    <w:rsid w:val="79B26868"/>
    <w:rsid w:val="7A67303B"/>
    <w:rsid w:val="7AAB1D04"/>
    <w:rsid w:val="7ABA4368"/>
    <w:rsid w:val="7B1510E1"/>
    <w:rsid w:val="7B257FFD"/>
    <w:rsid w:val="7C2B1DA5"/>
    <w:rsid w:val="7DF4317E"/>
    <w:rsid w:val="7E1F5A45"/>
    <w:rsid w:val="7E64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8"/>
    <w:qFormat/>
    <w:uiPriority w:val="0"/>
    <w:pPr>
      <w:keepNext/>
      <w:keepLines/>
      <w:numPr>
        <w:ilvl w:val="0"/>
        <w:numId w:val="1"/>
      </w:numPr>
      <w:spacing w:before="340" w:after="330" w:line="578" w:lineRule="auto"/>
      <w:outlineLvl w:val="0"/>
    </w:pPr>
    <w:rPr>
      <w:b/>
      <w:bCs/>
      <w:kern w:val="44"/>
      <w:sz w:val="44"/>
      <w:szCs w:val="44"/>
    </w:rPr>
  </w:style>
  <w:style w:type="paragraph" w:styleId="2">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2"/>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0"/>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0"/>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2"/>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3"/>
    <w:qFormat/>
    <w:uiPriority w:val="99"/>
    <w:pPr>
      <w:jc w:val="left"/>
    </w:pPr>
  </w:style>
  <w:style w:type="paragraph" w:styleId="20">
    <w:name w:val="Salutation"/>
    <w:basedOn w:val="1"/>
    <w:next w:val="1"/>
    <w:link w:val="481"/>
    <w:qFormat/>
    <w:uiPriority w:val="0"/>
    <w:rPr>
      <w:rFonts w:ascii="仿宋_GB2312" w:eastAsia="仿宋_GB2312"/>
      <w:sz w:val="28"/>
      <w:szCs w:val="20"/>
    </w:rPr>
  </w:style>
  <w:style w:type="paragraph" w:styleId="21">
    <w:name w:val="Body Text 3"/>
    <w:basedOn w:val="1"/>
    <w:link w:val="580"/>
    <w:qFormat/>
    <w:uiPriority w:val="0"/>
    <w:pPr>
      <w:jc w:val="center"/>
    </w:pPr>
    <w:rPr>
      <w:szCs w:val="20"/>
    </w:rPr>
  </w:style>
  <w:style w:type="paragraph" w:styleId="22">
    <w:name w:val="Body Text"/>
    <w:basedOn w:val="1"/>
    <w:next w:val="1"/>
    <w:link w:val="511"/>
    <w:qFormat/>
    <w:uiPriority w:val="0"/>
    <w:pPr>
      <w:autoSpaceDE w:val="0"/>
      <w:autoSpaceDN w:val="0"/>
      <w:spacing w:line="360" w:lineRule="auto"/>
    </w:pPr>
    <w:rPr>
      <w:rFonts w:ascii="宋体"/>
      <w:sz w:val="24"/>
      <w:szCs w:val="21"/>
      <w:lang w:val="zh-CN"/>
    </w:rPr>
  </w:style>
  <w:style w:type="paragraph" w:styleId="23">
    <w:name w:val="Body Text Indent"/>
    <w:basedOn w:val="1"/>
    <w:link w:val="474"/>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70"/>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next w:val="1"/>
    <w:link w:val="488"/>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597"/>
    <w:qFormat/>
    <w:uiPriority w:val="0"/>
    <w:pPr>
      <w:ind w:left="100" w:leftChars="2500"/>
    </w:pPr>
    <w:rPr>
      <w:rFonts w:ascii="宋体"/>
      <w:sz w:val="24"/>
      <w:szCs w:val="21"/>
      <w:lang w:val="zh-CN"/>
    </w:rPr>
  </w:style>
  <w:style w:type="paragraph" w:styleId="35">
    <w:name w:val="Body Text Indent 2"/>
    <w:basedOn w:val="1"/>
    <w:link w:val="502"/>
    <w:qFormat/>
    <w:uiPriority w:val="0"/>
    <w:pPr>
      <w:spacing w:line="360" w:lineRule="auto"/>
      <w:ind w:firstLine="601"/>
      <w:textAlignment w:val="baseline"/>
    </w:pPr>
    <w:rPr>
      <w:rFonts w:ascii="宋体"/>
      <w:kern w:val="0"/>
      <w:sz w:val="28"/>
      <w:szCs w:val="20"/>
    </w:rPr>
  </w:style>
  <w:style w:type="paragraph" w:styleId="36">
    <w:name w:val="Balloon Text"/>
    <w:basedOn w:val="1"/>
    <w:link w:val="614"/>
    <w:semiHidden/>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4"/>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5"/>
    <w:link w:val="472"/>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7"/>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22"/>
    <w:next w:val="1"/>
    <w:link w:val="544"/>
    <w:qFormat/>
    <w:uiPriority w:val="0"/>
    <w:pPr>
      <w:ind w:firstLine="420"/>
    </w:pPr>
    <w:rPr>
      <w:szCs w:val="20"/>
    </w:rPr>
  </w:style>
  <w:style w:type="paragraph" w:styleId="59">
    <w:name w:val="Body Text First Indent 2"/>
    <w:basedOn w:val="23"/>
    <w:link w:val="501"/>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_Style 2"/>
    <w:basedOn w:val="2"/>
    <w:next w:val="1"/>
    <w:qFormat/>
    <w:uiPriority w:val="39"/>
    <w:pPr>
      <w:tabs>
        <w:tab w:val="left" w:pos="576"/>
      </w:tabs>
      <w:spacing w:before="0" w:after="0" w:line="240" w:lineRule="auto"/>
      <w:outlineLvl w:val="9"/>
    </w:pPr>
    <w:rPr>
      <w:kern w:val="0"/>
      <w:sz w:val="21"/>
      <w:szCs w:val="28"/>
    </w:rPr>
  </w:style>
  <w:style w:type="paragraph" w:customStyle="1" w:styleId="7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5"/>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qFormat/>
    <w:uiPriority w:val="0"/>
    <w:pPr>
      <w:tabs>
        <w:tab w:val="left" w:pos="2790"/>
        <w:tab w:val="left" w:pos="4230"/>
      </w:tabs>
      <w:spacing w:before="312" w:beforeLines="100"/>
      <w:jc w:val="left"/>
    </w:pPr>
  </w:style>
  <w:style w:type="paragraph" w:customStyle="1" w:styleId="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qFormat/>
    <w:uiPriority w:val="0"/>
    <w:pPr>
      <w:adjustRightInd/>
      <w:spacing w:line="288" w:lineRule="auto"/>
      <w:ind w:firstLine="425" w:firstLineChars="200"/>
    </w:pPr>
  </w:style>
  <w:style w:type="paragraph" w:customStyle="1" w:styleId="77">
    <w:name w:val="Char1 Char Char Char"/>
    <w:basedOn w:val="1"/>
    <w:qFormat/>
    <w:uiPriority w:val="0"/>
    <w:rPr>
      <w:rFonts w:ascii="Tahoma" w:hAnsi="Tahoma"/>
      <w:sz w:val="24"/>
      <w:szCs w:val="20"/>
    </w:rPr>
  </w:style>
  <w:style w:type="paragraph" w:customStyle="1" w:styleId="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qFormat/>
    <w:uiPriority w:val="0"/>
    <w:pPr>
      <w:spacing w:after="156" w:afterLines="50"/>
      <w:jc w:val="left"/>
      <w:outlineLvl w:val="3"/>
    </w:pPr>
    <w:rPr>
      <w:sz w:val="24"/>
      <w:szCs w:val="24"/>
    </w:rPr>
  </w:style>
  <w:style w:type="paragraph" w:customStyle="1" w:styleId="8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qFormat/>
    <w:uiPriority w:val="0"/>
    <w:pPr>
      <w:numPr>
        <w:ilvl w:val="1"/>
        <w:numId w:val="4"/>
      </w:numPr>
      <w:adjustRightInd/>
    </w:pPr>
  </w:style>
  <w:style w:type="paragraph" w:customStyle="1" w:styleId="85">
    <w:name w:val="Char3"/>
    <w:basedOn w:val="1"/>
    <w:qFormat/>
    <w:uiPriority w:val="0"/>
    <w:pPr>
      <w:adjustRightInd/>
    </w:pPr>
    <w:rPr>
      <w:rFonts w:ascii="仿宋_GB2312" w:eastAsia="仿宋_GB2312"/>
      <w:b/>
      <w:sz w:val="32"/>
      <w:szCs w:val="32"/>
    </w:rPr>
  </w:style>
  <w:style w:type="paragraph" w:customStyle="1" w:styleId="86">
    <w:name w:val="Char Char1 Char Char Char Char Char Char"/>
    <w:basedOn w:val="1"/>
    <w:qFormat/>
    <w:uiPriority w:val="0"/>
    <w:rPr>
      <w:rFonts w:ascii="仿宋_GB2312" w:eastAsia="仿宋_GB2312"/>
      <w:b/>
      <w:sz w:val="32"/>
      <w:szCs w:val="20"/>
    </w:rPr>
  </w:style>
  <w:style w:type="paragraph" w:customStyle="1" w:styleId="87">
    <w:name w:val="文本正文 Char"/>
    <w:basedOn w:val="1"/>
    <w:qFormat/>
    <w:uiPriority w:val="0"/>
    <w:pPr>
      <w:spacing w:line="360" w:lineRule="auto"/>
      <w:ind w:firstLine="200" w:firstLineChars="200"/>
    </w:pPr>
    <w:rPr>
      <w:kern w:val="0"/>
      <w:sz w:val="24"/>
      <w:szCs w:val="20"/>
    </w:rPr>
  </w:style>
  <w:style w:type="paragraph" w:customStyle="1" w:styleId="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2"/>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7">
    <w:name w:val="Char1"/>
    <w:basedOn w:val="1"/>
    <w:qFormat/>
    <w:uiPriority w:val="0"/>
    <w:rPr>
      <w:rFonts w:ascii="仿宋_GB2312" w:eastAsia="仿宋_GB2312"/>
      <w:b/>
      <w:sz w:val="32"/>
      <w:szCs w:val="32"/>
    </w:rPr>
  </w:style>
  <w:style w:type="paragraph" w:customStyle="1" w:styleId="98">
    <w:name w:val="CM14"/>
    <w:basedOn w:val="99"/>
    <w:next w:val="99"/>
    <w:qFormat/>
    <w:uiPriority w:val="0"/>
    <w:pPr>
      <w:spacing w:after="68"/>
    </w:pPr>
    <w:rPr>
      <w:rFonts w:ascii="FHLHE E+ Futura Bk" w:eastAsia="FHLHE E+ Futura Bk" w:cs="Times New Roman"/>
      <w:color w:val="auto"/>
    </w:rPr>
  </w:style>
  <w:style w:type="paragraph" w:customStyle="1" w:styleId="99">
    <w:name w:val="Default"/>
    <w:link w:val="6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30"/>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8"/>
    <w:qFormat/>
    <w:uiPriority w:val="0"/>
    <w:pPr>
      <w:tabs>
        <w:tab w:val="left" w:pos="2356"/>
      </w:tabs>
    </w:pPr>
  </w:style>
  <w:style w:type="paragraph" w:customStyle="1" w:styleId="170">
    <w:name w:val="样式 标题 4h4H4Fab-4T5Ref Heading 1rh1Heading sqlsect 1.2.3...."/>
    <w:basedOn w:val="5"/>
    <w:link w:val="558"/>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1680"/>
      </w:tabs>
      <w:ind w:left="0"/>
      <w:outlineLvl w:val="3"/>
    </w:pPr>
  </w:style>
  <w:style w:type="paragraph" w:customStyle="1" w:styleId="174">
    <w:name w:val="一级条标题"/>
    <w:basedOn w:val="137"/>
    <w:next w:val="138"/>
    <w:qFormat/>
    <w:uiPriority w:val="0"/>
    <w:pPr>
      <w:tabs>
        <w:tab w:val="left" w:pos="1680"/>
        <w:tab w:val="clear" w:pos="1260"/>
      </w:tabs>
      <w:spacing w:before="0" w:beforeLines="0" w:after="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2"/>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qFormat/>
    <w:uiPriority w:val="0"/>
    <w:pPr>
      <w:adjustRightInd/>
      <w:spacing w:before="156" w:beforeLines="50" w:line="360" w:lineRule="auto"/>
    </w:pPr>
    <w:rPr>
      <w:b/>
      <w:sz w:val="24"/>
    </w:rPr>
  </w:style>
  <w:style w:type="paragraph" w:customStyle="1" w:styleId="200">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5"/>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3"/>
    <w:qFormat/>
    <w:uiPriority w:val="0"/>
    <w:pPr>
      <w:snapToGrid w:val="0"/>
      <w:spacing w:line="360" w:lineRule="auto"/>
    </w:pPr>
    <w:rPr>
      <w:rFonts w:ascii="宋体"/>
      <w:b/>
      <w:sz w:val="24"/>
      <w:szCs w:val="20"/>
    </w:rPr>
  </w:style>
  <w:style w:type="paragraph" w:customStyle="1" w:styleId="229">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1"/>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5"/>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7"/>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99"/>
    <w:next w:val="99"/>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2"/>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styleId="29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2"/>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6"/>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4"/>
    <w:next w:val="1"/>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156" w:afterLines="50"/>
      <w:ind w:firstLine="200" w:firstLineChars="200"/>
    </w:pPr>
    <w:rPr>
      <w:kern w:val="0"/>
      <w:sz w:val="24"/>
      <w:szCs w:val="20"/>
    </w:rPr>
  </w:style>
  <w:style w:type="paragraph" w:customStyle="1" w:styleId="332">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2"/>
    <w:next w:val="1"/>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4"/>
    <w:qFormat/>
    <w:uiPriority w:val="0"/>
    <w:pPr>
      <w:numPr>
        <w:numId w:val="4"/>
      </w:numPr>
      <w:tabs>
        <w:tab w:val="left" w:pos="840"/>
        <w:tab w:val="left" w:pos="1680"/>
        <w:tab w:val="clear" w:pos="900"/>
      </w:tabs>
      <w:adjustRightInd/>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5"/>
    <w:link w:val="551"/>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0"/>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18"/>
    <w:qFormat/>
    <w:uiPriority w:val="0"/>
    <w:pPr>
      <w:snapToGrid w:val="0"/>
      <w:spacing w:line="360" w:lineRule="auto"/>
    </w:pPr>
  </w:style>
  <w:style w:type="paragraph" w:customStyle="1" w:styleId="371">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2"/>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138"/>
    <w:qFormat/>
    <w:uiPriority w:val="0"/>
    <w:pPr>
      <w:numPr>
        <w:ilvl w:val="6"/>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6"/>
    <w:next w:val="1"/>
    <w:qFormat/>
    <w:uiPriority w:val="0"/>
    <w:pPr>
      <w:numPr>
        <w:numId w:val="5"/>
      </w:numPr>
      <w:tabs>
        <w:tab w:val="left" w:pos="480"/>
        <w:tab w:val="left" w:pos="1080"/>
        <w:tab w:val="clear" w:pos="1008"/>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6"/>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3"/>
    <w:next w:val="1"/>
    <w:qFormat/>
    <w:uiPriority w:val="0"/>
    <w:pPr>
      <w:numPr>
        <w:numId w:val="5"/>
      </w:numPr>
      <w:tabs>
        <w:tab w:val="left" w:pos="480"/>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3"/>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qFormat/>
    <w:uiPriority w:val="0"/>
    <w:rPr>
      <w:rFonts w:eastAsia="宋体"/>
      <w:kern w:val="2"/>
      <w:sz w:val="24"/>
      <w:szCs w:val="24"/>
      <w:lang w:val="en-US" w:eastAsia="zh-CN" w:bidi="ar-SA"/>
    </w:rPr>
  </w:style>
  <w:style w:type="character" w:customStyle="1" w:styleId="432">
    <w:name w:val="myp1111"/>
    <w:qFormat/>
    <w:uiPriority w:val="0"/>
    <w:rPr>
      <w:rFonts w:hint="default" w:ascii="ˎ̥" w:hAnsi="ˎ̥"/>
      <w:color w:val="000000"/>
      <w:sz w:val="20"/>
      <w:szCs w:val="20"/>
      <w:u w:val="none"/>
    </w:rPr>
  </w:style>
  <w:style w:type="character" w:customStyle="1" w:styleId="433">
    <w:name w:val="mdeck"/>
    <w:qFormat/>
    <w:uiPriority w:val="0"/>
    <w:rPr>
      <w:rFonts w:ascii="仿宋_GB2312" w:eastAsia="微软雅黑"/>
      <w:b/>
      <w:kern w:val="2"/>
      <w:sz w:val="32"/>
      <w:szCs w:val="32"/>
      <w:lang w:val="en-US" w:eastAsia="zh-CN" w:bidi="ar-SA"/>
    </w:rPr>
  </w:style>
  <w:style w:type="character" w:customStyle="1" w:styleId="434">
    <w:name w:val="签名 Char"/>
    <w:link w:val="39"/>
    <w:qFormat/>
    <w:uiPriority w:val="0"/>
    <w:rPr>
      <w:rFonts w:eastAsia="仿宋_GB2312"/>
      <w:sz w:val="24"/>
    </w:rPr>
  </w:style>
  <w:style w:type="character" w:customStyle="1" w:styleId="435">
    <w:name w:val="tw4winMark"/>
    <w:qFormat/>
    <w:uiPriority w:val="0"/>
    <w:rPr>
      <w:rFonts w:ascii="Courier New" w:hAnsi="Courier New" w:cs="Courier New"/>
      <w:vanish/>
      <w:color w:val="800080"/>
      <w:sz w:val="24"/>
      <w:szCs w:val="24"/>
      <w:vertAlign w:val="subscript"/>
    </w:rPr>
  </w:style>
  <w:style w:type="character" w:customStyle="1" w:styleId="4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semiHidden/>
    <w:qFormat/>
    <w:locked/>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4"/>
    <w:qFormat/>
    <w:uiPriority w:val="0"/>
    <w:rPr>
      <w:kern w:val="2"/>
      <w:sz w:val="24"/>
      <w:szCs w:val="24"/>
    </w:rPr>
  </w:style>
  <w:style w:type="character" w:customStyle="1" w:styleId="440">
    <w:name w:val="Ò³Ã¼ Char Char"/>
    <w:qFormat/>
    <w:uiPriority w:val="0"/>
    <w:rPr>
      <w:rFonts w:eastAsia="宋体"/>
      <w:kern w:val="2"/>
      <w:sz w:val="18"/>
      <w:lang w:val="en-US" w:eastAsia="zh-CN" w:bidi="ar-SA"/>
    </w:rPr>
  </w:style>
  <w:style w:type="character" w:customStyle="1" w:styleId="441">
    <w:name w:val="style91"/>
    <w:qFormat/>
    <w:uiPriority w:val="0"/>
    <w:rPr>
      <w:color w:val="333333"/>
    </w:rPr>
  </w:style>
  <w:style w:type="character" w:customStyle="1" w:styleId="442">
    <w:name w:val="标书1 Char"/>
    <w:qFormat/>
    <w:uiPriority w:val="0"/>
    <w:rPr>
      <w:rFonts w:eastAsia="宋体"/>
      <w:b/>
      <w:bCs/>
      <w:kern w:val="44"/>
      <w:sz w:val="44"/>
      <w:szCs w:val="44"/>
      <w:lang w:val="en-US" w:eastAsia="zh-CN" w:bidi="ar-SA"/>
    </w:rPr>
  </w:style>
  <w:style w:type="character" w:customStyle="1" w:styleId="443">
    <w:name w:val="ca-131"/>
    <w:qFormat/>
    <w:uiPriority w:val="0"/>
    <w:rPr>
      <w:rFonts w:hint="eastAsia" w:ascii="仿宋_GB2312" w:eastAsia="仿宋_GB2312"/>
      <w:b/>
      <w:bCs/>
      <w:color w:val="000000"/>
      <w:spacing w:val="-20"/>
      <w:sz w:val="24"/>
      <w:szCs w:val="24"/>
    </w:rPr>
  </w:style>
  <w:style w:type="character" w:customStyle="1" w:styleId="444">
    <w:name w:val="标书正文格式 Char"/>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3"/>
    <w:qFormat/>
    <w:uiPriority w:val="0"/>
    <w:rPr>
      <w:rFonts w:eastAsia="宋体"/>
      <w:kern w:val="2"/>
      <w:sz w:val="24"/>
      <w:lang w:val="en-US" w:eastAsia="zh-CN" w:bidi="ar-SA"/>
    </w:rPr>
  </w:style>
  <w:style w:type="character" w:customStyle="1" w:styleId="447">
    <w:name w:val="content"/>
    <w:qFormat/>
    <w:uiPriority w:val="0"/>
  </w:style>
  <w:style w:type="character" w:customStyle="1" w:styleId="448">
    <w:name w:val="正文文本 2 Char"/>
    <w:qFormat/>
    <w:uiPriority w:val="0"/>
    <w:rPr>
      <w:rFonts w:eastAsia="宋体"/>
      <w:kern w:val="2"/>
      <w:sz w:val="21"/>
      <w:szCs w:val="24"/>
      <w:lang w:val="en-US" w:eastAsia="zh-CN" w:bidi="ar-SA"/>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qFormat/>
    <w:uiPriority w:val="0"/>
    <w:rPr>
      <w:rFonts w:ascii="宋体" w:hAnsi="Courier New"/>
      <w:kern w:val="2"/>
      <w:sz w:val="21"/>
    </w:rPr>
  </w:style>
  <w:style w:type="character" w:customStyle="1" w:styleId="453">
    <w:name w:val="Footer-Even Char"/>
    <w:qFormat/>
    <w:uiPriority w:val="0"/>
    <w:rPr>
      <w:rFonts w:eastAsia="宋体"/>
      <w:kern w:val="2"/>
      <w:sz w:val="18"/>
      <w:lang w:val="en-US" w:eastAsia="zh-CN" w:bidi="ar-SA"/>
    </w:rPr>
  </w:style>
  <w:style w:type="character" w:customStyle="1" w:styleId="454">
    <w:name w:val="dandyren_title1"/>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2"/>
    <w:qFormat/>
    <w:uiPriority w:val="0"/>
  </w:style>
  <w:style w:type="character" w:customStyle="1" w:styleId="457">
    <w:name w:val="标准正文格式 Char"/>
    <w:qFormat/>
    <w:uiPriority w:val="0"/>
    <w:rPr>
      <w:rFonts w:ascii="宋体" w:eastAsia="仿宋_GB2312" w:cs="宋体"/>
      <w:color w:val="000000"/>
      <w:sz w:val="24"/>
      <w:lang w:val="en-US" w:eastAsia="zh-CN" w:bidi="ar-SA"/>
    </w:rPr>
  </w:style>
  <w:style w:type="character" w:customStyle="1" w:styleId="458">
    <w:name w:val="Char Char3"/>
    <w:qFormat/>
    <w:uiPriority w:val="0"/>
    <w:rPr>
      <w:rFonts w:eastAsia="宋体"/>
      <w:kern w:val="2"/>
      <w:sz w:val="21"/>
      <w:szCs w:val="24"/>
      <w:lang w:val="en-US" w:eastAsia="zh-CN" w:bidi="ar-SA"/>
    </w:rPr>
  </w:style>
  <w:style w:type="character" w:customStyle="1" w:styleId="459">
    <w:name w:val="px14"/>
    <w:qFormat/>
    <w:uiPriority w:val="0"/>
    <w:rPr>
      <w:rFonts w:ascii="仿宋_GB2312" w:eastAsia="微软雅黑" w:cs="Times New Roman"/>
      <w:b/>
      <w:kern w:val="2"/>
      <w:sz w:val="32"/>
      <w:szCs w:val="32"/>
      <w:lang w:val="en-US" w:eastAsia="zh-CN" w:bidi="ar-SA"/>
    </w:rPr>
  </w:style>
  <w:style w:type="character" w:customStyle="1" w:styleId="460">
    <w:name w:val="txt"/>
    <w:qFormat/>
    <w:uiPriority w:val="0"/>
    <w:rPr>
      <w:rFonts w:ascii="仿宋_GB2312" w:eastAsia="微软雅黑"/>
      <w:b/>
      <w:kern w:val="2"/>
      <w:sz w:val="32"/>
      <w:szCs w:val="32"/>
      <w:lang w:val="en-US" w:eastAsia="zh-CN" w:bidi="ar-SA"/>
    </w:rPr>
  </w:style>
  <w:style w:type="character" w:customStyle="1" w:styleId="461">
    <w:name w:val="仿宋正文 Char"/>
    <w:link w:val="338"/>
    <w:qFormat/>
    <w:uiPriority w:val="0"/>
    <w:rPr>
      <w:rFonts w:ascii="仿宋_GB2312" w:eastAsia="仿宋_GB2312"/>
      <w:kern w:val="2"/>
      <w:sz w:val="24"/>
      <w:lang w:val="en-US" w:eastAsia="zh-CN" w:bidi="ar-SA"/>
    </w:rPr>
  </w:style>
  <w:style w:type="character" w:customStyle="1" w:styleId="462">
    <w:name w:val="Comment Text Char"/>
    <w:semiHidden/>
    <w:qFormat/>
    <w:locked/>
    <w:uiPriority w:val="0"/>
    <w:rPr>
      <w:rFonts w:ascii="宋体" w:hAnsi="宋体" w:eastAsia="宋体"/>
      <w:kern w:val="2"/>
      <w:sz w:val="24"/>
      <w:lang w:val="en-US" w:eastAsia="zh-CN" w:bidi="ar-SA"/>
    </w:rPr>
  </w:style>
  <w:style w:type="character" w:customStyle="1" w:styleId="463">
    <w:name w:val="tw4winExternal"/>
    <w:qFormat/>
    <w:uiPriority w:val="0"/>
    <w:rPr>
      <w:rFonts w:ascii="Courier New" w:hAnsi="Courier New" w:cs="Courier New"/>
      <w:color w:val="808080"/>
    </w:rPr>
  </w:style>
  <w:style w:type="character" w:customStyle="1" w:styleId="464">
    <w:name w:val="Char Char10"/>
    <w:semiHidden/>
    <w:qFormat/>
    <w:uiPriority w:val="0"/>
    <w:rPr>
      <w:rFonts w:ascii="宋体" w:hAnsi="宋体"/>
      <w:kern w:val="2"/>
      <w:sz w:val="21"/>
      <w:szCs w:val="24"/>
    </w:rPr>
  </w:style>
  <w:style w:type="character" w:customStyle="1" w:styleId="465">
    <w:name w:val="Bold"/>
    <w:qFormat/>
    <w:uiPriority w:val="0"/>
    <w:rPr>
      <w:rFonts w:ascii="Arial" w:hAnsi="Arial" w:eastAsia="黑体" w:cs="Times New Roman"/>
      <w:b/>
      <w:kern w:val="2"/>
      <w:sz w:val="32"/>
      <w:szCs w:val="32"/>
      <w:lang w:val="en-US" w:eastAsia="zh-CN" w:bidi="ar-SA"/>
    </w:rPr>
  </w:style>
  <w:style w:type="character" w:customStyle="1" w:styleId="466">
    <w:name w:val="Font Style82"/>
    <w:qFormat/>
    <w:uiPriority w:val="99"/>
    <w:rPr>
      <w:rFonts w:ascii="宋体" w:eastAsia="宋体" w:cs="宋体"/>
      <w:color w:val="000000"/>
      <w:sz w:val="14"/>
      <w:szCs w:val="14"/>
    </w:rPr>
  </w:style>
  <w:style w:type="character" w:customStyle="1" w:styleId="467">
    <w:name w:val="标题 2 Char"/>
    <w:qFormat/>
    <w:uiPriority w:val="0"/>
    <w:rPr>
      <w:rFonts w:ascii="Arial" w:hAnsi="Arial" w:eastAsia="黑体"/>
      <w:b/>
      <w:kern w:val="2"/>
      <w:sz w:val="32"/>
      <w:lang w:val="en-US" w:eastAsia="zh-CN"/>
    </w:rPr>
  </w:style>
  <w:style w:type="character" w:customStyle="1" w:styleId="468">
    <w:name w:val="h3 Char"/>
    <w:qFormat/>
    <w:uiPriority w:val="0"/>
    <w:rPr>
      <w:rFonts w:eastAsia="宋体"/>
      <w:b/>
      <w:kern w:val="2"/>
      <w:sz w:val="32"/>
      <w:lang w:val="en-US" w:eastAsia="zh-CN" w:bidi="ar-SA"/>
    </w:rPr>
  </w:style>
  <w:style w:type="character" w:customStyle="1" w:styleId="469">
    <w:name w:val="页眉 Char1"/>
    <w:qFormat/>
    <w:uiPriority w:val="0"/>
    <w:rPr>
      <w:rFonts w:eastAsia="宋体"/>
      <w:kern w:val="2"/>
      <w:sz w:val="18"/>
      <w:szCs w:val="18"/>
      <w:lang w:val="en-US" w:eastAsia="zh-CN" w:bidi="ar-SA"/>
    </w:rPr>
  </w:style>
  <w:style w:type="character" w:customStyle="1" w:styleId="470">
    <w:name w:val="标题 8 Char"/>
    <w:link w:val="9"/>
    <w:qFormat/>
    <w:uiPriority w:val="0"/>
    <w:rPr>
      <w:rFonts w:ascii="Arial" w:hAnsi="Arial" w:eastAsia="黑体"/>
      <w:kern w:val="2"/>
      <w:sz w:val="24"/>
      <w:szCs w:val="24"/>
    </w:rPr>
  </w:style>
  <w:style w:type="character" w:customStyle="1" w:styleId="471">
    <w:name w:val="冯广丽 Char"/>
    <w:link w:val="234"/>
    <w:qFormat/>
    <w:uiPriority w:val="0"/>
    <w:rPr>
      <w:rFonts w:ascii="宋体" w:hAnsi="宋体"/>
      <w:kern w:val="2"/>
      <w:sz w:val="24"/>
      <w:szCs w:val="22"/>
    </w:rPr>
  </w:style>
  <w:style w:type="character" w:customStyle="1" w:styleId="472">
    <w:name w:val="脚注文本 Char"/>
    <w:link w:val="47"/>
    <w:qFormat/>
    <w:uiPriority w:val="0"/>
    <w:rPr>
      <w:color w:val="0000FF"/>
      <w:sz w:val="21"/>
    </w:rPr>
  </w:style>
  <w:style w:type="character" w:customStyle="1" w:styleId="473">
    <w:name w:val="font12gray1"/>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23"/>
    <w:qFormat/>
    <w:uiPriority w:val="0"/>
    <w:rPr>
      <w:rFonts w:ascii="宋体" w:hAnsi="宋体"/>
      <w:kern w:val="2"/>
      <w:sz w:val="24"/>
      <w:szCs w:val="24"/>
    </w:rPr>
  </w:style>
  <w:style w:type="character" w:customStyle="1" w:styleId="475">
    <w:name w:val="方案正文 Char"/>
    <w:qFormat/>
    <w:uiPriority w:val="0"/>
    <w:rPr>
      <w:rFonts w:ascii="仿宋_GB2312" w:eastAsia="仿宋_GB2312"/>
      <w:b/>
      <w:color w:val="000000"/>
      <w:kern w:val="2"/>
      <w:sz w:val="24"/>
      <w:lang w:val="en-US" w:eastAsia="zh-CN" w:bidi="ar-SA"/>
    </w:rPr>
  </w:style>
  <w:style w:type="character" w:customStyle="1" w:styleId="476">
    <w:name w:val="Item List Char"/>
    <w:link w:val="261"/>
    <w:qFormat/>
    <w:uiPriority w:val="0"/>
    <w:rPr>
      <w:rFonts w:ascii="Arial"/>
      <w:bCs/>
      <w:sz w:val="21"/>
      <w:szCs w:val="21"/>
      <w:lang w:val="en-US" w:eastAsia="zh-CN" w:bidi="ar-SA"/>
    </w:rPr>
  </w:style>
  <w:style w:type="character" w:customStyle="1" w:styleId="477">
    <w:name w:val="Normal Indent Char Char"/>
    <w:qFormat/>
    <w:uiPriority w:val="0"/>
    <w:rPr>
      <w:rFonts w:eastAsia="宋体"/>
      <w:kern w:val="2"/>
      <w:sz w:val="21"/>
      <w:lang w:val="en-US" w:eastAsia="zh-CN" w:bidi="ar-SA"/>
    </w:rPr>
  </w:style>
  <w:style w:type="character" w:customStyle="1" w:styleId="478">
    <w:name w:val="t21"/>
    <w:qFormat/>
    <w:uiPriority w:val="0"/>
    <w:rPr>
      <w:rFonts w:ascii="仿宋_GB2312" w:eastAsia="微软雅黑"/>
      <w:b/>
      <w:kern w:val="2"/>
      <w:sz w:val="23"/>
      <w:szCs w:val="23"/>
      <w:lang w:val="en-US" w:eastAsia="zh-CN" w:bidi="ar-SA"/>
    </w:rPr>
  </w:style>
  <w:style w:type="character" w:customStyle="1" w:styleId="479">
    <w:name w:val="Char Char121"/>
    <w:qFormat/>
    <w:uiPriority w:val="0"/>
    <w:rPr>
      <w:rFonts w:ascii="仿宋_GB2312" w:eastAsia="仿宋_GB2312"/>
      <w:b/>
      <w:bCs/>
      <w:kern w:val="2"/>
      <w:sz w:val="24"/>
      <w:szCs w:val="24"/>
      <w:lang w:val="zh-CN" w:eastAsia="zh-CN" w:bidi="ar-SA"/>
    </w:rPr>
  </w:style>
  <w:style w:type="character" w:customStyle="1" w:styleId="480">
    <w:name w:val="标题 7 Char"/>
    <w:link w:val="8"/>
    <w:qFormat/>
    <w:uiPriority w:val="0"/>
    <w:rPr>
      <w:b/>
      <w:bCs/>
      <w:kern w:val="2"/>
      <w:sz w:val="24"/>
      <w:szCs w:val="24"/>
    </w:rPr>
  </w:style>
  <w:style w:type="character" w:customStyle="1" w:styleId="481">
    <w:name w:val="称呼 Char"/>
    <w:link w:val="20"/>
    <w:qFormat/>
    <w:uiPriority w:val="0"/>
    <w:rPr>
      <w:rFonts w:ascii="仿宋_GB2312" w:eastAsia="仿宋_GB2312"/>
      <w:kern w:val="2"/>
      <w:sz w:val="28"/>
    </w:rPr>
  </w:style>
  <w:style w:type="character" w:customStyle="1" w:styleId="482">
    <w:name w:val="正文 项目 Char"/>
    <w:qFormat/>
    <w:uiPriority w:val="0"/>
    <w:rPr>
      <w:rFonts w:ascii="仿宋_GB2312" w:hAnsi="仿宋_GB2312" w:eastAsia="仿宋_GB2312"/>
      <w:kern w:val="2"/>
      <w:sz w:val="24"/>
      <w:lang w:bidi="ar-SA"/>
    </w:rPr>
  </w:style>
  <w:style w:type="character" w:customStyle="1" w:styleId="483">
    <w:name w:val="普通文字 Char1"/>
    <w:qFormat/>
    <w:uiPriority w:val="0"/>
    <w:rPr>
      <w:rFonts w:ascii="宋体" w:hAnsi="Courier New" w:eastAsia="宋体"/>
      <w:kern w:val="2"/>
      <w:sz w:val="21"/>
      <w:lang w:val="en-US" w:eastAsia="zh-CN"/>
    </w:rPr>
  </w:style>
  <w:style w:type="character" w:customStyle="1" w:styleId="484">
    <w:name w:val="正文1 Char1"/>
    <w:qFormat/>
    <w:uiPriority w:val="0"/>
    <w:rPr>
      <w:rFonts w:ascii="仿宋_GB2312" w:hAnsi="Courier New" w:eastAsia="仿宋_GB2312"/>
      <w:kern w:val="28"/>
      <w:sz w:val="24"/>
      <w:szCs w:val="24"/>
    </w:rPr>
  </w:style>
  <w:style w:type="character" w:customStyle="1" w:styleId="485">
    <w:name w:val="hei16b1"/>
    <w:qFormat/>
    <w:uiPriority w:val="0"/>
    <w:rPr>
      <w:rFonts w:hint="default" w:ascii="Arial" w:hAnsi="Arial" w:cs="Arial"/>
      <w:b/>
      <w:bCs/>
      <w:color w:val="000000"/>
      <w:sz w:val="24"/>
      <w:szCs w:val="24"/>
    </w:rPr>
  </w:style>
  <w:style w:type="character" w:customStyle="1" w:styleId="486">
    <w:name w:val="c7 style3"/>
    <w:qFormat/>
    <w:uiPriority w:val="0"/>
  </w:style>
  <w:style w:type="character" w:customStyle="1" w:styleId="487">
    <w:name w:val="副标题 Char"/>
    <w:link w:val="44"/>
    <w:qFormat/>
    <w:uiPriority w:val="0"/>
    <w:rPr>
      <w:rFonts w:ascii="Arial" w:hAnsi="Arial" w:eastAsia="隶书"/>
      <w:b/>
      <w:bCs/>
      <w:kern w:val="28"/>
      <w:sz w:val="44"/>
      <w:szCs w:val="32"/>
      <w:lang w:val="en-US" w:eastAsia="zh-CN" w:bidi="ar-SA"/>
    </w:rPr>
  </w:style>
  <w:style w:type="character" w:customStyle="1" w:styleId="488">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489">
    <w:name w:val="表正文 Char1"/>
    <w:qFormat/>
    <w:uiPriority w:val="0"/>
    <w:rPr>
      <w:rFonts w:ascii="宋体" w:eastAsia="宋体"/>
      <w:snapToGrid w:val="0"/>
      <w:color w:val="000000"/>
      <w:kern w:val="28"/>
      <w:sz w:val="28"/>
    </w:rPr>
  </w:style>
  <w:style w:type="character" w:customStyle="1" w:styleId="490">
    <w:name w:val="Char Char5"/>
    <w:qFormat/>
    <w:uiPriority w:val="0"/>
    <w:rPr>
      <w:rFonts w:ascii="宋体" w:hAnsi="Courier New" w:eastAsia="宋体"/>
      <w:kern w:val="2"/>
      <w:sz w:val="21"/>
      <w:lang w:val="en-US" w:eastAsia="zh-CN"/>
    </w:rPr>
  </w:style>
  <w:style w:type="character" w:customStyle="1" w:styleId="491">
    <w:name w:val="标题 1 Char Char"/>
    <w:qFormat/>
    <w:uiPriority w:val="0"/>
    <w:rPr>
      <w:rFonts w:hint="eastAsia" w:ascii="宋体" w:hAnsi="宋体" w:eastAsia="宋体"/>
      <w:b/>
      <w:spacing w:val="-2"/>
      <w:sz w:val="24"/>
      <w:lang w:val="en-US" w:eastAsia="zh-CN" w:bidi="ar-SA"/>
    </w:rPr>
  </w:style>
  <w:style w:type="character" w:customStyle="1" w:styleId="492">
    <w:name w:val="Char Char4"/>
    <w:qFormat/>
    <w:uiPriority w:val="0"/>
    <w:rPr>
      <w:rFonts w:eastAsia="宋体"/>
      <w:b/>
      <w:sz w:val="24"/>
      <w:lang w:val="en-GB" w:eastAsia="zh-CN" w:bidi="ar-SA"/>
    </w:rPr>
  </w:style>
  <w:style w:type="character" w:customStyle="1" w:styleId="493">
    <w:name w:val="zbggmain style9"/>
    <w:qFormat/>
    <w:uiPriority w:val="0"/>
  </w:style>
  <w:style w:type="character" w:customStyle="1" w:styleId="494">
    <w:name w:val="Header Char"/>
    <w:semiHidden/>
    <w:qFormat/>
    <w:locked/>
    <w:uiPriority w:val="0"/>
    <w:rPr>
      <w:rFonts w:eastAsia="宋体"/>
      <w:kern w:val="2"/>
      <w:sz w:val="18"/>
      <w:szCs w:val="18"/>
      <w:lang w:val="en-US" w:eastAsia="zh-CN" w:bidi="ar-SA"/>
    </w:rPr>
  </w:style>
  <w:style w:type="character" w:customStyle="1" w:styleId="495">
    <w:name w:val="样式 宋体"/>
    <w:qFormat/>
    <w:uiPriority w:val="0"/>
    <w:rPr>
      <w:rFonts w:ascii="宋体" w:hAnsi="宋体"/>
      <w:sz w:val="24"/>
    </w:rPr>
  </w:style>
  <w:style w:type="character" w:customStyle="1" w:styleId="496">
    <w:name w:val="哈哈正文 Char"/>
    <w:link w:val="312"/>
    <w:qFormat/>
    <w:uiPriority w:val="0"/>
    <w:rPr>
      <w:rFonts w:ascii="宋体" w:hAnsi="宋体" w:eastAsia="宋体"/>
      <w:kern w:val="2"/>
      <w:sz w:val="24"/>
      <w:lang w:bidi="ar-SA"/>
    </w:rPr>
  </w:style>
  <w:style w:type="character" w:customStyle="1" w:styleId="497">
    <w:name w:val="标题 Char"/>
    <w:qFormat/>
    <w:uiPriority w:val="0"/>
    <w:rPr>
      <w:rFonts w:eastAsia="宋体"/>
      <w:b/>
      <w:sz w:val="24"/>
      <w:lang w:val="en-GB" w:eastAsia="zh-CN" w:bidi="ar-SA"/>
    </w:rPr>
  </w:style>
  <w:style w:type="character" w:customStyle="1" w:styleId="498">
    <w:name w:val="纯文本 Char Char Char"/>
    <w:qFormat/>
    <w:uiPriority w:val="0"/>
    <w:rPr>
      <w:rFonts w:ascii="宋体" w:hAnsi="Courier New" w:eastAsia="宋体"/>
      <w:kern w:val="2"/>
      <w:sz w:val="21"/>
      <w:lang w:val="en-US" w:eastAsia="zh-CN" w:bidi="ar-SA"/>
    </w:rPr>
  </w:style>
  <w:style w:type="character" w:customStyle="1" w:styleId="499">
    <w:name w:val="正文 编号 Char"/>
    <w:qFormat/>
    <w:uiPriority w:val="0"/>
    <w:rPr>
      <w:rFonts w:ascii="仿宋_GB2312" w:hAnsi="仿宋_GB2312" w:eastAsia="仿宋_GB2312"/>
      <w:kern w:val="2"/>
      <w:sz w:val="24"/>
      <w:lang w:bidi="ar-SA"/>
    </w:rPr>
  </w:style>
  <w:style w:type="character" w:customStyle="1" w:styleId="500">
    <w:name w:val="插图说明 Char"/>
    <w:qFormat/>
    <w:uiPriority w:val="0"/>
    <w:rPr>
      <w:rFonts w:eastAsia="黑体"/>
      <w:sz w:val="24"/>
      <w:lang w:val="en-US" w:eastAsia="zh-CN"/>
    </w:rPr>
  </w:style>
  <w:style w:type="character" w:customStyle="1" w:styleId="501">
    <w:name w:val="正文首行缩进 2 Char"/>
    <w:link w:val="59"/>
    <w:qFormat/>
    <w:uiPriority w:val="0"/>
    <w:rPr>
      <w:rFonts w:ascii="宋体" w:hAnsi="宋体"/>
      <w:kern w:val="2"/>
      <w:sz w:val="21"/>
      <w:szCs w:val="24"/>
    </w:rPr>
  </w:style>
  <w:style w:type="character" w:customStyle="1" w:styleId="502">
    <w:name w:val="正文文本缩进 2 Char"/>
    <w:link w:val="35"/>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qFormat/>
    <w:uiPriority w:val="0"/>
    <w:rPr>
      <w:rFonts w:eastAsia="宋体"/>
      <w:b/>
      <w:sz w:val="24"/>
      <w:lang w:val="en-GB" w:eastAsia="zh-CN" w:bidi="ar-SA"/>
    </w:rPr>
  </w:style>
  <w:style w:type="character" w:customStyle="1" w:styleId="505">
    <w:name w:val="unnamed31"/>
    <w:qFormat/>
    <w:uiPriority w:val="0"/>
    <w:rPr>
      <w:rFonts w:ascii="Tahoma" w:hAnsi="Tahoma" w:eastAsia="宋体"/>
      <w:b/>
      <w:kern w:val="2"/>
      <w:sz w:val="24"/>
      <w:szCs w:val="32"/>
      <w:u w:val="none"/>
      <w:lang w:val="en-US" w:eastAsia="zh-CN" w:bidi="ar-SA"/>
    </w:rPr>
  </w:style>
  <w:style w:type="character" w:customStyle="1" w:styleId="506">
    <w:name w:val="Char Char91"/>
    <w:qFormat/>
    <w:uiPriority w:val="0"/>
    <w:rPr>
      <w:rFonts w:eastAsia="宋体"/>
      <w:kern w:val="2"/>
      <w:sz w:val="18"/>
      <w:szCs w:val="18"/>
      <w:lang w:val="en-US" w:eastAsia="zh-CN" w:bidi="ar-SA"/>
    </w:rPr>
  </w:style>
  <w:style w:type="character" w:customStyle="1" w:styleId="507">
    <w:name w:val="Footer-Even Char1"/>
    <w:qFormat/>
    <w:uiPriority w:val="0"/>
    <w:rPr>
      <w:rFonts w:eastAsia="宋体"/>
      <w:kern w:val="2"/>
      <w:sz w:val="18"/>
      <w:szCs w:val="18"/>
      <w:lang w:val="en-US" w:eastAsia="zh-CN" w:bidi="ar-SA"/>
    </w:rPr>
  </w:style>
  <w:style w:type="character" w:customStyle="1" w:styleId="508">
    <w:name w:val="gf正文1 Char"/>
    <w:qFormat/>
    <w:uiPriority w:val="0"/>
    <w:rPr>
      <w:rFonts w:ascii="宋体" w:hAnsi="宋体" w:eastAsia="宋体" w:cs="宋体"/>
      <w:kern w:val="2"/>
      <w:sz w:val="24"/>
      <w:szCs w:val="24"/>
      <w:lang w:val="en-US" w:eastAsia="zh-CN" w:bidi="ar-SA"/>
    </w:rPr>
  </w:style>
  <w:style w:type="character" w:customStyle="1" w:styleId="509">
    <w:name w:val="javascript"/>
    <w:qFormat/>
    <w:uiPriority w:val="0"/>
  </w:style>
  <w:style w:type="character" w:customStyle="1" w:styleId="510">
    <w:name w:val="列出段落 Char"/>
    <w:qFormat/>
    <w:uiPriority w:val="34"/>
    <w:rPr>
      <w:rFonts w:eastAsia="楷体_GB2312" w:cs="Lucida Sans"/>
      <w:kern w:val="2"/>
      <w:sz w:val="24"/>
      <w:szCs w:val="24"/>
      <w:lang w:val="en-US" w:eastAsia="zh-CN" w:bidi="ar-SA"/>
    </w:rPr>
  </w:style>
  <w:style w:type="character" w:customStyle="1" w:styleId="511">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qFormat/>
    <w:uiPriority w:val="0"/>
    <w:rPr>
      <w:kern w:val="2"/>
      <w:sz w:val="21"/>
      <w:szCs w:val="24"/>
      <w:lang w:bidi="ar-SA"/>
    </w:rPr>
  </w:style>
  <w:style w:type="character" w:customStyle="1" w:styleId="513">
    <w:name w:val="普通文字 Char3"/>
    <w:qFormat/>
    <w:uiPriority w:val="0"/>
    <w:rPr>
      <w:rFonts w:ascii="宋体" w:hAnsi="Courier New" w:eastAsia="宋体"/>
      <w:kern w:val="2"/>
      <w:sz w:val="21"/>
      <w:lang w:val="en-US" w:eastAsia="zh-CN" w:bidi="ar-SA"/>
    </w:rPr>
  </w:style>
  <w:style w:type="character" w:customStyle="1" w:styleId="514">
    <w:name w:val="h Char Char1"/>
    <w:qFormat/>
    <w:uiPriority w:val="0"/>
    <w:rPr>
      <w:rFonts w:eastAsia="宋体"/>
      <w:kern w:val="2"/>
      <w:sz w:val="18"/>
      <w:szCs w:val="18"/>
      <w:lang w:val="en-US" w:eastAsia="zh-CN" w:bidi="ar-SA"/>
    </w:rPr>
  </w:style>
  <w:style w:type="character" w:customStyle="1" w:styleId="515">
    <w:name w:val="冯 Char"/>
    <w:link w:val="73"/>
    <w:qFormat/>
    <w:uiPriority w:val="0"/>
    <w:rPr>
      <w:rFonts w:ascii="宋体" w:hAnsi="宋体"/>
      <w:color w:val="000000"/>
      <w:sz w:val="24"/>
      <w:szCs w:val="24"/>
    </w:rPr>
  </w:style>
  <w:style w:type="character" w:customStyle="1" w:styleId="516">
    <w:name w:val="highlight1"/>
    <w:qFormat/>
    <w:uiPriority w:val="0"/>
    <w:rPr>
      <w:rFonts w:ascii="仿宋_GB2312" w:eastAsia="微软雅黑"/>
      <w:b/>
      <w:kern w:val="2"/>
      <w:sz w:val="23"/>
      <w:szCs w:val="23"/>
      <w:lang w:val="en-US" w:eastAsia="zh-CN" w:bidi="ar-SA"/>
    </w:rPr>
  </w:style>
  <w:style w:type="character" w:customStyle="1" w:styleId="517">
    <w:name w:val="样式6 Char"/>
    <w:qFormat/>
    <w:uiPriority w:val="0"/>
    <w:rPr>
      <w:rFonts w:ascii="仿宋_GB2312" w:hAnsi="宋体" w:eastAsia="仿宋_GB2312"/>
      <w:b/>
      <w:bCs/>
      <w:kern w:val="2"/>
      <w:sz w:val="24"/>
      <w:szCs w:val="24"/>
      <w:lang w:val="en-US" w:eastAsia="zh-CN" w:bidi="ar-SA"/>
    </w:rPr>
  </w:style>
  <w:style w:type="character" w:customStyle="1" w:styleId="518">
    <w:name w:val="标题 9 Char"/>
    <w:link w:val="10"/>
    <w:qFormat/>
    <w:uiPriority w:val="0"/>
    <w:rPr>
      <w:rFonts w:ascii="Arial" w:hAnsi="Arial" w:eastAsia="黑体"/>
      <w:kern w:val="2"/>
      <w:sz w:val="21"/>
      <w:szCs w:val="21"/>
    </w:rPr>
  </w:style>
  <w:style w:type="character" w:customStyle="1" w:styleId="519">
    <w:name w:val="md"/>
    <w:basedOn w:val="62"/>
    <w:qFormat/>
    <w:uiPriority w:val="0"/>
  </w:style>
  <w:style w:type="character" w:customStyle="1" w:styleId="520">
    <w:name w:val="myp11"/>
    <w:qFormat/>
    <w:uiPriority w:val="0"/>
    <w:rPr>
      <w:rFonts w:ascii="仿宋_GB2312" w:eastAsia="微软雅黑"/>
      <w:b/>
      <w:kern w:val="2"/>
      <w:sz w:val="32"/>
      <w:szCs w:val="32"/>
      <w:lang w:val="en-US" w:eastAsia="zh-CN" w:bidi="ar-SA"/>
    </w:rPr>
  </w:style>
  <w:style w:type="character" w:customStyle="1" w:styleId="521">
    <w:name w:val="Ò³Ã¼ Char Char1"/>
    <w:qFormat/>
    <w:uiPriority w:val="0"/>
    <w:rPr>
      <w:rFonts w:eastAsia="宋体"/>
      <w:kern w:val="2"/>
      <w:sz w:val="18"/>
      <w:szCs w:val="18"/>
      <w:lang w:val="en-US" w:eastAsia="zh-CN" w:bidi="ar-SA"/>
    </w:rPr>
  </w:style>
  <w:style w:type="character" w:customStyle="1" w:styleId="522">
    <w:name w:val="tw4winTerm"/>
    <w:qFormat/>
    <w:uiPriority w:val="0"/>
    <w:rPr>
      <w:color w:val="0000FF"/>
    </w:rPr>
  </w:style>
  <w:style w:type="character" w:customStyle="1" w:styleId="523">
    <w:name w:val="表格 Char Char"/>
    <w:qFormat/>
    <w:uiPriority w:val="0"/>
    <w:rPr>
      <w:rFonts w:ascii="宋体" w:hAnsi="宋体" w:eastAsia="宋体"/>
      <w:lang w:bidi="ar-SA"/>
    </w:rPr>
  </w:style>
  <w:style w:type="character" w:customStyle="1" w:styleId="524">
    <w:name w:val="样式8 Char"/>
    <w:qFormat/>
    <w:uiPriority w:val="0"/>
    <w:rPr>
      <w:rFonts w:ascii="仿宋_GB2312" w:hAnsi="宋体" w:eastAsia="仿宋_GB2312"/>
      <w:b/>
      <w:bCs/>
      <w:kern w:val="2"/>
      <w:sz w:val="24"/>
      <w:szCs w:val="24"/>
    </w:rPr>
  </w:style>
  <w:style w:type="character" w:customStyle="1" w:styleId="525">
    <w:name w:val="样式5 Char"/>
    <w:qFormat/>
    <w:uiPriority w:val="0"/>
    <w:rPr>
      <w:rFonts w:ascii="仿宋_GB2312" w:hAnsi="仿宋" w:eastAsia="仿宋_GB2312"/>
      <w:kern w:val="2"/>
      <w:sz w:val="24"/>
      <w:szCs w:val="24"/>
    </w:rPr>
  </w:style>
  <w:style w:type="character" w:customStyle="1" w:styleId="526">
    <w:name w:val="页脚 Char1"/>
    <w:qFormat/>
    <w:uiPriority w:val="0"/>
    <w:rPr>
      <w:rFonts w:eastAsia="宋体"/>
      <w:kern w:val="2"/>
      <w:sz w:val="18"/>
      <w:szCs w:val="18"/>
      <w:lang w:val="en-US" w:eastAsia="zh-CN" w:bidi="ar-SA"/>
    </w:rPr>
  </w:style>
  <w:style w:type="character" w:customStyle="1" w:styleId="527">
    <w:name w:val="tw4winJump"/>
    <w:qFormat/>
    <w:uiPriority w:val="0"/>
    <w:rPr>
      <w:rFonts w:ascii="Courier New" w:hAnsi="Courier New" w:cs="Courier New"/>
      <w:color w:val="008080"/>
    </w:rPr>
  </w:style>
  <w:style w:type="character" w:customStyle="1" w:styleId="528">
    <w:name w:val="批注文字 Char"/>
    <w:qFormat/>
    <w:uiPriority w:val="99"/>
    <w:rPr>
      <w:kern w:val="2"/>
      <w:sz w:val="21"/>
      <w:szCs w:val="24"/>
    </w:rPr>
  </w:style>
  <w:style w:type="character" w:customStyle="1" w:styleId="529">
    <w:name w:val="Char Char122"/>
    <w:qFormat/>
    <w:uiPriority w:val="0"/>
    <w:rPr>
      <w:rFonts w:ascii="仿宋_GB2312" w:eastAsia="仿宋_GB2312"/>
      <w:b/>
      <w:bCs/>
      <w:kern w:val="2"/>
      <w:sz w:val="24"/>
      <w:szCs w:val="24"/>
      <w:lang w:val="zh-CN" w:eastAsia="zh-CN" w:bidi="ar-SA"/>
    </w:rPr>
  </w:style>
  <w:style w:type="character" w:customStyle="1" w:styleId="530">
    <w:name w:val="No Spacing Char"/>
    <w:link w:val="168"/>
    <w:qFormat/>
    <w:uiPriority w:val="1"/>
    <w:rPr>
      <w:rFonts w:ascii="Calibri" w:hAnsi="Calibri"/>
      <w:sz w:val="22"/>
      <w:szCs w:val="22"/>
      <w:lang w:val="en-US" w:eastAsia="zh-CN" w:bidi="ar-SA"/>
    </w:rPr>
  </w:style>
  <w:style w:type="character" w:customStyle="1" w:styleId="531">
    <w:name w:val="Char Char21"/>
    <w:qFormat/>
    <w:uiPriority w:val="0"/>
    <w:rPr>
      <w:rFonts w:ascii="宋体" w:hAnsi="Courier New" w:eastAsia="宋体"/>
      <w:kern w:val="2"/>
      <w:sz w:val="21"/>
      <w:lang w:val="en-US" w:eastAsia="zh-CN" w:bidi="ar-SA"/>
    </w:rPr>
  </w:style>
  <w:style w:type="character" w:customStyle="1" w:styleId="532">
    <w:name w:val="Char Char8"/>
    <w:qFormat/>
    <w:uiPriority w:val="0"/>
    <w:rPr>
      <w:rFonts w:eastAsia="宋体"/>
      <w:b/>
      <w:sz w:val="24"/>
      <w:lang w:val="en-GB" w:eastAsia="zh-CN"/>
    </w:rPr>
  </w:style>
  <w:style w:type="character" w:customStyle="1" w:styleId="533">
    <w:name w:val="font21"/>
    <w:qFormat/>
    <w:uiPriority w:val="0"/>
    <w:rPr>
      <w:rFonts w:hint="eastAsia" w:ascii="宋体" w:hAnsi="宋体" w:eastAsia="宋体"/>
      <w:kern w:val="2"/>
      <w:sz w:val="28"/>
      <w:szCs w:val="28"/>
      <w:lang w:val="en-US" w:eastAsia="zh-CN" w:bidi="ar-SA"/>
    </w:rPr>
  </w:style>
  <w:style w:type="character" w:customStyle="1" w:styleId="534">
    <w:name w:val="正文2 Char"/>
    <w:qFormat/>
    <w:uiPriority w:val="0"/>
    <w:rPr>
      <w:rFonts w:eastAsia="宋体"/>
      <w:kern w:val="2"/>
      <w:sz w:val="24"/>
      <w:lang w:val="en-US" w:eastAsia="zh-CN" w:bidi="ar-SA"/>
    </w:rPr>
  </w:style>
  <w:style w:type="character" w:customStyle="1" w:styleId="535">
    <w:name w:val="big1"/>
    <w:qFormat/>
    <w:uiPriority w:val="0"/>
    <w:rPr>
      <w:rFonts w:hint="eastAsia" w:ascii="宋体" w:hAnsi="宋体" w:eastAsia="宋体"/>
      <w:color w:val="333333"/>
      <w:sz w:val="22"/>
      <w:szCs w:val="22"/>
    </w:rPr>
  </w:style>
  <w:style w:type="character" w:customStyle="1" w:styleId="536">
    <w:name w:val="Body Text(ch) Char Char"/>
    <w:qFormat/>
    <w:uiPriority w:val="0"/>
    <w:rPr>
      <w:rFonts w:ascii="宋体"/>
      <w:kern w:val="2"/>
      <w:sz w:val="24"/>
      <w:szCs w:val="21"/>
      <w:lang w:val="zh-CN"/>
    </w:rPr>
  </w:style>
  <w:style w:type="character" w:customStyle="1" w:styleId="537">
    <w:name w:val="blue1"/>
    <w:basedOn w:val="62"/>
    <w:qFormat/>
    <w:uiPriority w:val="0"/>
  </w:style>
  <w:style w:type="character" w:customStyle="1" w:styleId="538">
    <w:name w:val="正文 项目2 Char"/>
    <w:basedOn w:val="482"/>
    <w:qFormat/>
    <w:uiPriority w:val="0"/>
    <w:rPr>
      <w:rFonts w:ascii="仿宋_GB2312" w:hAnsi="仿宋_GB2312" w:eastAsia="仿宋_GB2312"/>
      <w:kern w:val="2"/>
      <w:sz w:val="24"/>
      <w:lang w:bidi="ar-SA"/>
    </w:rPr>
  </w:style>
  <w:style w:type="character" w:customStyle="1" w:styleId="539">
    <w:name w:val="solutionfonts"/>
    <w:qFormat/>
    <w:uiPriority w:val="0"/>
  </w:style>
  <w:style w:type="character" w:customStyle="1" w:styleId="540">
    <w:name w:val="Char Char81"/>
    <w:qFormat/>
    <w:uiPriority w:val="0"/>
    <w:rPr>
      <w:rFonts w:eastAsia="宋体"/>
      <w:b/>
      <w:sz w:val="24"/>
      <w:lang w:val="en-GB" w:eastAsia="zh-CN"/>
    </w:rPr>
  </w:style>
  <w:style w:type="character" w:customStyle="1" w:styleId="541">
    <w:name w:val="Char Char2"/>
    <w:qFormat/>
    <w:uiPriority w:val="0"/>
    <w:rPr>
      <w:rFonts w:eastAsia="宋体"/>
      <w:b/>
      <w:bCs/>
      <w:kern w:val="2"/>
      <w:sz w:val="21"/>
      <w:szCs w:val="24"/>
      <w:lang w:val="en-US" w:eastAsia="zh-CN" w:bidi="ar-SA"/>
    </w:rPr>
  </w:style>
  <w:style w:type="character" w:customStyle="1" w:styleId="542">
    <w:name w:val="HTML 预设格式 Char"/>
    <w:link w:val="54"/>
    <w:qFormat/>
    <w:uiPriority w:val="0"/>
    <w:rPr>
      <w:rFonts w:ascii="黑体" w:hAnsi="Courier New" w:eastAsia="黑体"/>
    </w:rPr>
  </w:style>
  <w:style w:type="character" w:customStyle="1" w:styleId="543">
    <w:name w:val="Heading 7 Char"/>
    <w:qFormat/>
    <w:locked/>
    <w:uiPriority w:val="0"/>
    <w:rPr>
      <w:rFonts w:ascii="宋体" w:hAnsi="宋体" w:eastAsia="宋体"/>
      <w:b/>
      <w:bCs/>
      <w:kern w:val="2"/>
      <w:sz w:val="24"/>
      <w:szCs w:val="24"/>
      <w:lang w:val="en-US" w:eastAsia="zh-CN" w:bidi="ar-SA"/>
    </w:rPr>
  </w:style>
  <w:style w:type="character" w:customStyle="1" w:styleId="544">
    <w:name w:val="正文首行缩进 Char"/>
    <w:link w:val="58"/>
    <w:qFormat/>
    <w:uiPriority w:val="0"/>
    <w:rPr>
      <w:rFonts w:ascii="宋体"/>
      <w:kern w:val="2"/>
      <w:sz w:val="24"/>
      <w:lang w:val="zh-CN"/>
    </w:rPr>
  </w:style>
  <w:style w:type="character" w:customStyle="1" w:styleId="545">
    <w:name w:val="标题 2 Char Char"/>
    <w:qFormat/>
    <w:uiPriority w:val="0"/>
    <w:rPr>
      <w:rFonts w:ascii="楷体_GB2312" w:hAnsi="Arial" w:eastAsia="楷体_GB2312"/>
      <w:b/>
      <w:bCs/>
      <w:kern w:val="2"/>
      <w:sz w:val="24"/>
      <w:szCs w:val="32"/>
      <w:lang w:val="en-US" w:eastAsia="zh-CN" w:bidi="ar-SA"/>
    </w:rPr>
  </w:style>
  <w:style w:type="character" w:customStyle="1" w:styleId="546">
    <w:name w:val="pt141"/>
    <w:qFormat/>
    <w:uiPriority w:val="0"/>
    <w:rPr>
      <w:color w:val="330066"/>
      <w:sz w:val="22"/>
      <w:szCs w:val="22"/>
    </w:rPr>
  </w:style>
  <w:style w:type="character" w:customStyle="1" w:styleId="547">
    <w:name w:val="h Char Char"/>
    <w:qFormat/>
    <w:uiPriority w:val="0"/>
    <w:rPr>
      <w:rFonts w:eastAsia="宋体"/>
      <w:kern w:val="2"/>
      <w:sz w:val="18"/>
      <w:lang w:val="en-US" w:eastAsia="zh-CN" w:bidi="ar-SA"/>
    </w:rPr>
  </w:style>
  <w:style w:type="character" w:customStyle="1" w:styleId="548">
    <w:name w:val="标题 1 Char"/>
    <w:link w:val="3"/>
    <w:qFormat/>
    <w:uiPriority w:val="0"/>
    <w:rPr>
      <w:b/>
      <w:bCs/>
      <w:kern w:val="44"/>
      <w:sz w:val="44"/>
      <w:szCs w:val="44"/>
    </w:rPr>
  </w:style>
  <w:style w:type="character" w:customStyle="1" w:styleId="549">
    <w:name w:val="页眉 Char"/>
    <w:qFormat/>
    <w:uiPriority w:val="0"/>
    <w:rPr>
      <w:rFonts w:eastAsia="仿宋_GB2312"/>
      <w:kern w:val="2"/>
      <w:sz w:val="18"/>
      <w:lang w:val="en-US" w:eastAsia="zh-CN"/>
    </w:rPr>
  </w:style>
  <w:style w:type="character" w:customStyle="1" w:styleId="550">
    <w:name w:val="b11_01b Char"/>
    <w:link w:val="408"/>
    <w:qFormat/>
    <w:uiPriority w:val="0"/>
    <w:rPr>
      <w:rFonts w:ascii="Verdana" w:hAnsi="Verdana"/>
      <w:b/>
      <w:bCs/>
      <w:color w:val="4A82CA"/>
      <w:sz w:val="17"/>
      <w:szCs w:val="17"/>
    </w:rPr>
  </w:style>
  <w:style w:type="character" w:customStyle="1" w:styleId="551">
    <w:name w:val="标题4-dyf Char"/>
    <w:link w:val="346"/>
    <w:qFormat/>
    <w:uiPriority w:val="0"/>
    <w:rPr>
      <w:rFonts w:ascii="Cambria" w:hAnsi="Cambria"/>
      <w:b/>
      <w:bCs/>
      <w:color w:val="000000"/>
      <w:kern w:val="2"/>
      <w:sz w:val="21"/>
      <w:szCs w:val="21"/>
    </w:rPr>
  </w:style>
  <w:style w:type="character" w:customStyle="1" w:styleId="552">
    <w:name w:val="批注主题 Char"/>
    <w:qFormat/>
    <w:uiPriority w:val="0"/>
    <w:rPr>
      <w:rFonts w:eastAsia="宋体"/>
      <w:b/>
      <w:bCs/>
      <w:kern w:val="2"/>
      <w:sz w:val="21"/>
      <w:szCs w:val="24"/>
      <w:lang w:val="en-US" w:eastAsia="zh-CN" w:bidi="ar-SA"/>
    </w:rPr>
  </w:style>
  <w:style w:type="character" w:customStyle="1" w:styleId="5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qFormat/>
    <w:uiPriority w:val="0"/>
    <w:rPr>
      <w:sz w:val="24"/>
      <w:szCs w:val="24"/>
      <w:lang w:val="en-US" w:eastAsia="zh-CN" w:bidi="ar-SA"/>
    </w:rPr>
  </w:style>
  <w:style w:type="character" w:customStyle="1" w:styleId="555">
    <w:name w:val="Char Char51"/>
    <w:qFormat/>
    <w:uiPriority w:val="0"/>
    <w:rPr>
      <w:rFonts w:ascii="宋体" w:hAnsi="Courier New" w:eastAsia="宋体"/>
      <w:kern w:val="2"/>
      <w:sz w:val="21"/>
      <w:lang w:val="en-US" w:eastAsia="zh-CN"/>
    </w:rPr>
  </w:style>
  <w:style w:type="character" w:customStyle="1" w:styleId="556">
    <w:name w:val="带编号样式 Char"/>
    <w:qFormat/>
    <w:uiPriority w:val="0"/>
    <w:rPr>
      <w:rFonts w:ascii="仿宋_GB2312" w:eastAsia="仿宋_GB2312"/>
      <w:color w:val="000000"/>
      <w:sz w:val="24"/>
      <w:lang w:bidi="ar-SA"/>
    </w:rPr>
  </w:style>
  <w:style w:type="character" w:customStyle="1" w:styleId="557">
    <w:name w:val="样式4 Char"/>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9">
    <w:name w:val="PI Char"/>
    <w:qFormat/>
    <w:uiPriority w:val="0"/>
    <w:rPr>
      <w:rFonts w:ascii="宋体" w:hAnsi="宋体" w:eastAsia="宋体"/>
      <w:kern w:val="2"/>
      <w:sz w:val="24"/>
      <w:szCs w:val="24"/>
      <w:lang w:val="en-US" w:eastAsia="zh-CN" w:bidi="ar-SA"/>
    </w:rPr>
  </w:style>
  <w:style w:type="character" w:customStyle="1" w:styleId="560">
    <w:name w:val="Char Char111"/>
    <w:qFormat/>
    <w:locked/>
    <w:uiPriority w:val="0"/>
    <w:rPr>
      <w:rFonts w:ascii="宋体" w:hAnsi="宋体" w:eastAsia="宋体"/>
      <w:b/>
      <w:kern w:val="2"/>
      <w:sz w:val="24"/>
      <w:szCs w:val="24"/>
      <w:lang w:val="en-US" w:eastAsia="zh-CN" w:bidi="ar-SA"/>
    </w:rPr>
  </w:style>
  <w:style w:type="character" w:customStyle="1" w:styleId="561">
    <w:name w:val="Document Map Char"/>
    <w:semiHidden/>
    <w:qFormat/>
    <w:locked/>
    <w:uiPriority w:val="0"/>
    <w:rPr>
      <w:rFonts w:eastAsia="宋体"/>
      <w:kern w:val="2"/>
      <w:sz w:val="21"/>
      <w:szCs w:val="24"/>
      <w:lang w:val="en-US" w:eastAsia="zh-CN" w:bidi="ar-SA"/>
    </w:rPr>
  </w:style>
  <w:style w:type="character" w:customStyle="1" w:styleId="562">
    <w:name w:val="正文文本缩进 Char"/>
    <w:qFormat/>
    <w:uiPriority w:val="0"/>
    <w:rPr>
      <w:rFonts w:ascii="宋体" w:hAnsi="宋体"/>
      <w:kern w:val="2"/>
      <w:sz w:val="24"/>
      <w:szCs w:val="24"/>
    </w:rPr>
  </w:style>
  <w:style w:type="character" w:customStyle="1" w:styleId="563">
    <w:name w:val="文本正文 Char Char"/>
    <w:qFormat/>
    <w:locked/>
    <w:uiPriority w:val="0"/>
    <w:rPr>
      <w:sz w:val="24"/>
      <w:lang w:bidi="ar-SA"/>
    </w:rPr>
  </w:style>
  <w:style w:type="character" w:customStyle="1" w:styleId="564">
    <w:name w:val="样式7 Char"/>
    <w:qFormat/>
    <w:uiPriority w:val="0"/>
    <w:rPr>
      <w:rFonts w:ascii="仿宋_GB2312" w:hAnsi="仿宋" w:eastAsia="仿宋_GB2312"/>
      <w:b/>
      <w:kern w:val="2"/>
      <w:sz w:val="24"/>
      <w:szCs w:val="24"/>
    </w:rPr>
  </w:style>
  <w:style w:type="character" w:customStyle="1" w:styleId="565">
    <w:name w:val="样式3 Char"/>
    <w:basedOn w:val="566"/>
    <w:qFormat/>
    <w:uiPriority w:val="0"/>
    <w:rPr>
      <w:rFonts w:ascii="仿宋_GB2312" w:hAnsi="仿宋" w:eastAsia="仿宋_GB2312" w:cs="仿宋_GB2312"/>
      <w:sz w:val="32"/>
      <w:szCs w:val="30"/>
      <w:lang w:val="zh-CN"/>
    </w:rPr>
  </w:style>
  <w:style w:type="character" w:customStyle="1" w:styleId="566">
    <w:name w:val="样式2 Char"/>
    <w:qFormat/>
    <w:uiPriority w:val="0"/>
    <w:rPr>
      <w:rFonts w:ascii="仿宋_GB2312" w:hAnsi="仿宋" w:eastAsia="仿宋_GB2312" w:cs="仿宋_GB2312"/>
      <w:b/>
      <w:bCs/>
      <w:sz w:val="32"/>
      <w:szCs w:val="30"/>
      <w:lang w:val="zh-CN"/>
    </w:rPr>
  </w:style>
  <w:style w:type="character" w:customStyle="1" w:styleId="567">
    <w:name w:val="二级标题 Char Char"/>
    <w:qFormat/>
    <w:uiPriority w:val="0"/>
    <w:rPr>
      <w:rFonts w:ascii="宋体" w:hAnsi="宋体" w:eastAsia="宋体"/>
      <w:b/>
      <w:snapToGrid w:val="0"/>
      <w:kern w:val="2"/>
      <w:sz w:val="24"/>
      <w:szCs w:val="24"/>
      <w:lang w:val="en-US" w:eastAsia="zh-CN" w:bidi="ar-SA"/>
    </w:rPr>
  </w:style>
  <w:style w:type="character" w:customStyle="1" w:styleId="568">
    <w:name w:val="Table Text Char1"/>
    <w:qFormat/>
    <w:uiPriority w:val="0"/>
    <w:rPr>
      <w:rFonts w:eastAsia="宋体"/>
      <w:sz w:val="24"/>
      <w:szCs w:val="24"/>
      <w:lang w:val="en-US" w:eastAsia="zh-CN" w:bidi="ar-SA"/>
    </w:rPr>
  </w:style>
  <w:style w:type="character" w:customStyle="1" w:styleId="569">
    <w:name w:val="shadow11"/>
    <w:qFormat/>
    <w:uiPriority w:val="0"/>
    <w:rPr>
      <w:color w:val="000000"/>
      <w:sz w:val="21"/>
    </w:rPr>
  </w:style>
  <w:style w:type="character" w:customStyle="1" w:styleId="570">
    <w:name w:val="HTML 地址 Char"/>
    <w:link w:val="28"/>
    <w:qFormat/>
    <w:uiPriority w:val="0"/>
    <w:rPr>
      <w:rFonts w:ascii="宋体" w:hAnsi="宋体"/>
      <w:i/>
      <w:iCs/>
      <w:sz w:val="24"/>
      <w:szCs w:val="24"/>
    </w:rPr>
  </w:style>
  <w:style w:type="character" w:customStyle="1" w:styleId="571">
    <w:name w:val="Char Char22"/>
    <w:qFormat/>
    <w:uiPriority w:val="0"/>
    <w:rPr>
      <w:rFonts w:eastAsia="宋体"/>
      <w:b/>
      <w:bCs/>
      <w:kern w:val="2"/>
      <w:sz w:val="21"/>
      <w:szCs w:val="24"/>
      <w:lang w:val="en-US" w:eastAsia="zh-CN" w:bidi="ar-SA"/>
    </w:rPr>
  </w:style>
  <w:style w:type="character" w:customStyle="1" w:styleId="572">
    <w:name w:val="标题 5 Char"/>
    <w:link w:val="6"/>
    <w:qFormat/>
    <w:uiPriority w:val="0"/>
    <w:rPr>
      <w:b/>
      <w:bCs/>
      <w:kern w:val="2"/>
      <w:sz w:val="28"/>
      <w:szCs w:val="28"/>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semiHidden/>
    <w:qFormat/>
    <w:uiPriority w:val="0"/>
    <w:rPr>
      <w:rFonts w:eastAsia="宋体"/>
      <w:kern w:val="2"/>
      <w:sz w:val="21"/>
      <w:szCs w:val="24"/>
      <w:lang w:val="en-US" w:eastAsia="zh-CN" w:bidi="ar-SA"/>
    </w:rPr>
  </w:style>
  <w:style w:type="character" w:customStyle="1" w:styleId="576">
    <w:name w:val="hui"/>
    <w:basedOn w:val="62"/>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Char"/>
    <w:link w:val="21"/>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5"/>
    <w:qFormat/>
    <w:uiPriority w:val="0"/>
    <w:rPr>
      <w:rFonts w:ascii="宋体"/>
    </w:rPr>
  </w:style>
  <w:style w:type="character" w:customStyle="1" w:styleId="586">
    <w:name w:val="页脚 Char"/>
    <w:qFormat/>
    <w:uiPriority w:val="0"/>
    <w:rPr>
      <w:rFonts w:eastAsia="仿宋_GB2312"/>
      <w:kern w:val="2"/>
      <w:sz w:val="18"/>
      <w:lang w:val="en-US" w:eastAsia="zh-CN"/>
    </w:rPr>
  </w:style>
  <w:style w:type="character" w:customStyle="1" w:styleId="587">
    <w:name w:val="正文文本缩进 3 Char"/>
    <w:link w:val="50"/>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2"/>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Char"/>
    <w:link w:val="34"/>
    <w:qFormat/>
    <w:uiPriority w:val="0"/>
    <w:rPr>
      <w:rFonts w:ascii="宋体"/>
      <w:kern w:val="2"/>
      <w:sz w:val="24"/>
      <w:szCs w:val="21"/>
      <w:lang w:val="zh-CN"/>
    </w:rPr>
  </w:style>
  <w:style w:type="character" w:customStyle="1" w:styleId="598">
    <w:name w:val="标题 4 Char"/>
    <w:link w:val="5"/>
    <w:qFormat/>
    <w:uiPriority w:val="0"/>
    <w:rPr>
      <w:rFonts w:ascii="Arial" w:hAnsi="Arial" w:eastAsia="黑体"/>
      <w:b/>
      <w:bCs/>
      <w:kern w:val="2"/>
      <w:sz w:val="28"/>
      <w:szCs w:val="28"/>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semiHidden/>
    <w:qFormat/>
    <w:uiPriority w:val="0"/>
    <w:rPr>
      <w:rFonts w:ascii="Times New Roman" w:hAnsi="Times New Roman" w:eastAsia="宋体" w:cs="Times New Roman"/>
      <w:sz w:val="20"/>
      <w:szCs w:val="20"/>
    </w:rPr>
  </w:style>
  <w:style w:type="character" w:customStyle="1" w:styleId="60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9">
    <w:name w:val="标题 4 Char1"/>
    <w:semiHidden/>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Char"/>
    <w:link w:val="7"/>
    <w:qFormat/>
    <w:uiPriority w:val="0"/>
    <w:rPr>
      <w:rFonts w:ascii="Arial" w:hAnsi="Arial" w:eastAsia="黑体"/>
      <w:b/>
      <w:bCs/>
      <w:kern w:val="2"/>
      <w:sz w:val="24"/>
      <w:szCs w:val="24"/>
    </w:rPr>
  </w:style>
  <w:style w:type="character" w:customStyle="1" w:styleId="612">
    <w:name w:val="正文缩进 Char2"/>
    <w:link w:val="15"/>
    <w:qFormat/>
    <w:uiPriority w:val="0"/>
    <w:rPr>
      <w:rFonts w:ascii="宋体" w:eastAsia="宋体"/>
      <w:snapToGrid w:val="0"/>
      <w:color w:val="000000"/>
      <w:kern w:val="28"/>
      <w:sz w:val="28"/>
      <w:lang w:val="en-US" w:eastAsia="zh-CN" w:bidi="ar-SA"/>
    </w:rPr>
  </w:style>
  <w:style w:type="character" w:customStyle="1" w:styleId="613">
    <w:name w:val="批注文字 Char1"/>
    <w:link w:val="19"/>
    <w:qFormat/>
    <w:uiPriority w:val="99"/>
    <w:rPr>
      <w:kern w:val="2"/>
      <w:sz w:val="21"/>
      <w:szCs w:val="24"/>
    </w:rPr>
  </w:style>
  <w:style w:type="character" w:customStyle="1" w:styleId="614">
    <w:name w:val="批注框文本 Char"/>
    <w:link w:val="36"/>
    <w:semiHidden/>
    <w:qFormat/>
    <w:uiPriority w:val="0"/>
    <w:rPr>
      <w:kern w:val="2"/>
      <w:sz w:val="18"/>
      <w:szCs w:val="18"/>
    </w:rPr>
  </w:style>
  <w:style w:type="character" w:customStyle="1" w:styleId="615">
    <w:name w:val="Footer Char"/>
    <w:qFormat/>
    <w:locked/>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qFormat/>
    <w:uiPriority w:val="0"/>
    <w:pPr>
      <w:adjustRightInd/>
    </w:pPr>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Char Char Char Char Char Char Char2"/>
    <w:basedOn w:val="1"/>
    <w:qFormat/>
    <w:uiPriority w:val="0"/>
    <w:rPr>
      <w:rFonts w:ascii="仿宋_GB2312" w:eastAsia="仿宋_GB2312"/>
      <w:b/>
      <w:sz w:val="32"/>
      <w:szCs w:val="3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99"/>
    <w:qFormat/>
    <w:uiPriority w:val="0"/>
    <w:rPr>
      <w:rFonts w:ascii="仿宋_GB2312" w:eastAsia="仿宋_GB2312" w:cs="仿宋_GB2312"/>
      <w:color w:val="000000"/>
      <w:sz w:val="24"/>
      <w:szCs w:val="24"/>
    </w:rPr>
  </w:style>
  <w:style w:type="paragraph" w:customStyle="1" w:styleId="6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1">
    <w:name w:val="正文首行缩进2字符"/>
    <w:basedOn w:val="1"/>
    <w:qFormat/>
    <w:locked/>
    <w:uiPriority w:val="0"/>
    <w:pPr>
      <w:widowControl/>
      <w:adjustRightInd w:val="0"/>
      <w:snapToGrid w:val="0"/>
      <w:spacing w:line="360" w:lineRule="auto"/>
      <w:ind w:firstLine="200" w:firstLineChars="200"/>
    </w:pPr>
    <w:rPr>
      <w:rFonts w:ascii="宋体" w:hAnsi="宋体" w:eastAsia="宋体"/>
      <w:sz w:val="24"/>
      <w:szCs w:val="21"/>
    </w:rPr>
  </w:style>
  <w:style w:type="paragraph" w:customStyle="1" w:styleId="632">
    <w:name w:val="列出序号"/>
    <w:basedOn w:val="631"/>
    <w:qFormat/>
    <w:uiPriority w:val="0"/>
    <w:pPr>
      <w:numPr>
        <w:ilvl w:val="8"/>
        <w:numId w:val="7"/>
      </w:numPr>
      <w:ind w:firstLine="0" w:firstLineChars="0"/>
    </w:pPr>
    <w:rPr>
      <w:rFonts w:ascii="Times New Roman" w:hAnsi="Times New Roman"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92</Pages>
  <Words>44745</Words>
  <Characters>46771</Characters>
  <Lines>379</Lines>
  <Paragraphs>106</Paragraphs>
  <TotalTime>44</TotalTime>
  <ScaleCrop>false</ScaleCrop>
  <LinksUpToDate>false</LinksUpToDate>
  <CharactersWithSpaces>52991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13983436601398343660</cp:lastModifiedBy>
  <cp:lastPrinted>2021-10-22T18:37:00Z</cp:lastPrinted>
  <dcterms:modified xsi:type="dcterms:W3CDTF">2023-09-04T03:10:28Z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C05B88B2ED754B9A948668A4B103AC7A_13</vt:lpwstr>
  </property>
</Properties>
</file>