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_GB2312" w:hAnsi="仿宋" w:eastAsia="仿宋_GB2312" w:cs="仿宋_GB2312"/>
          <w:b/>
          <w:sz w:val="44"/>
          <w:szCs w:val="44"/>
        </w:rPr>
      </w:pPr>
    </w:p>
    <w:p>
      <w:pPr>
        <w:pStyle w:val="9"/>
        <w:ind w:left="0" w:leftChars="0" w:firstLine="0" w:firstLineChars="0"/>
        <w:rPr>
          <w:rFonts w:hint="eastAsia" w:ascii="仿宋_GB2312" w:hAnsi="仿宋" w:eastAsia="仿宋_GB2312" w:cs="仿宋_GB2312"/>
          <w:b/>
          <w:sz w:val="44"/>
          <w:szCs w:val="44"/>
        </w:rPr>
      </w:pPr>
    </w:p>
    <w:p>
      <w:pPr>
        <w:adjustRightInd/>
        <w:spacing w:line="360" w:lineRule="auto"/>
        <w:jc w:val="center"/>
        <w:rPr>
          <w:rFonts w:hint="eastAsia" w:ascii="仿宋_GB2312" w:hAnsi="仿宋_GB2312" w:eastAsia="仿宋_GB2312" w:cs="仿宋_GB2312"/>
          <w:b/>
          <w:bCs w:val="0"/>
          <w:sz w:val="52"/>
          <w:szCs w:val="52"/>
          <w:highlight w:val="none"/>
          <w:lang w:eastAsia="zh-CN"/>
        </w:rPr>
      </w:pPr>
      <w:r>
        <w:rPr>
          <w:rFonts w:hint="eastAsia" w:ascii="仿宋_GB2312" w:hAnsi="仿宋_GB2312" w:eastAsia="仿宋_GB2312" w:cs="仿宋_GB2312"/>
          <w:b/>
          <w:bCs w:val="0"/>
          <w:sz w:val="52"/>
          <w:szCs w:val="52"/>
          <w:highlight w:val="none"/>
          <w:lang w:eastAsia="zh-CN"/>
        </w:rPr>
        <w:t>临安区村庄规划评估服务项目</w:t>
      </w:r>
    </w:p>
    <w:p>
      <w:pPr>
        <w:adjustRightInd/>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bCs/>
          <w:w w:val="95"/>
          <w:sz w:val="48"/>
          <w:szCs w:val="48"/>
          <w:lang w:val="zh-CN"/>
        </w:rPr>
        <w:t>竞争性磋商</w:t>
      </w:r>
      <w:r>
        <w:rPr>
          <w:rFonts w:hint="eastAsia" w:ascii="仿宋_GB2312" w:hAnsi="仿宋_GB2312" w:eastAsia="仿宋_GB2312" w:cs="仿宋_GB2312"/>
          <w:b/>
          <w:sz w:val="48"/>
          <w:szCs w:val="48"/>
        </w:rPr>
        <w:t>文件</w:t>
      </w:r>
    </w:p>
    <w:p>
      <w:pPr>
        <w:adjustRightInd/>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（电子交易）</w:t>
      </w:r>
    </w:p>
    <w:p>
      <w:pPr>
        <w:snapToGrid w:val="0"/>
        <w:spacing w:line="360" w:lineRule="auto"/>
        <w:jc w:val="center"/>
        <w:rPr>
          <w:rFonts w:ascii="仿宋_GB2312" w:hAnsi="仿宋_GB2312" w:eastAsia="仿宋_GB2312" w:cs="仿宋_GB2312"/>
          <w:sz w:val="30"/>
          <w:szCs w:val="30"/>
        </w:rPr>
      </w:pPr>
    </w:p>
    <w:p>
      <w:pPr>
        <w:snapToGrid w:val="0"/>
        <w:spacing w:line="360" w:lineRule="auto"/>
        <w:jc w:val="center"/>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rPr>
        <w:t>编号:</w:t>
      </w:r>
      <w:r>
        <w:rPr>
          <w:rFonts w:hint="eastAsia" w:ascii="仿宋_GB2312" w:hAnsi="仿宋" w:eastAsia="仿宋_GB2312" w:cs="仿宋_GB2312"/>
          <w:color w:val="auto"/>
          <w:sz w:val="30"/>
          <w:szCs w:val="30"/>
          <w:highlight w:val="none"/>
          <w:lang w:val="en-US" w:eastAsia="zh-CN"/>
        </w:rPr>
        <w:t>ZSZB-2022-042</w:t>
      </w:r>
    </w:p>
    <w:p>
      <w:pPr>
        <w:adjustRightInd/>
        <w:spacing w:line="360" w:lineRule="auto"/>
        <w:rPr>
          <w:rFonts w:ascii="仿宋_GB2312" w:hAnsi="仿宋_GB2312" w:eastAsia="仿宋_GB2312" w:cs="仿宋_GB2312"/>
          <w:sz w:val="28"/>
          <w:szCs w:val="20"/>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pStyle w:val="26"/>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pStyle w:val="26"/>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pStyle w:val="26"/>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采购单位：</w:t>
      </w:r>
      <w:r>
        <w:rPr>
          <w:rFonts w:hint="eastAsia" w:ascii="仿宋_GB2312" w:hAnsi="仿宋" w:eastAsia="仿宋_GB2312" w:cs="仿宋_GB2312"/>
          <w:bCs/>
          <w:color w:val="auto"/>
          <w:sz w:val="32"/>
          <w:szCs w:val="32"/>
          <w:highlight w:val="none"/>
          <w:lang w:val="en-US" w:eastAsia="zh-CN"/>
        </w:rPr>
        <w:t>杭州市规划和自然资源局临安分局</w:t>
      </w:r>
    </w:p>
    <w:p>
      <w:pPr>
        <w:adjustRightInd w:val="0"/>
        <w:snapToGrid w:val="0"/>
        <w:spacing w:line="360" w:lineRule="auto"/>
        <w:jc w:val="center"/>
        <w:rPr>
          <w:rFonts w:hint="default" w:ascii="仿宋_GB2312" w:hAnsi="仿宋" w:eastAsia="仿宋_GB2312" w:cs="仿宋_GB2312"/>
          <w:bCs/>
          <w:color w:val="auto"/>
          <w:sz w:val="32"/>
          <w:szCs w:val="32"/>
          <w:highlight w:val="none"/>
          <w:lang w:val="en-US" w:eastAsia="zh-CN"/>
        </w:rPr>
      </w:pPr>
      <w:r>
        <w:rPr>
          <w:rFonts w:hint="eastAsia" w:ascii="仿宋_GB2312" w:hAnsi="仿宋" w:eastAsia="仿宋_GB2312" w:cs="仿宋_GB2312"/>
          <w:bCs/>
          <w:color w:val="auto"/>
          <w:sz w:val="32"/>
          <w:szCs w:val="32"/>
          <w:highlight w:val="none"/>
          <w:lang w:eastAsia="zh-CN"/>
        </w:rPr>
        <w:t>采购机构：</w:t>
      </w:r>
      <w:r>
        <w:rPr>
          <w:rFonts w:hint="eastAsia" w:ascii="仿宋_GB2312" w:hAnsi="仿宋" w:eastAsia="仿宋_GB2312" w:cs="仿宋_GB2312"/>
          <w:bCs/>
          <w:color w:val="auto"/>
          <w:sz w:val="32"/>
          <w:szCs w:val="32"/>
          <w:highlight w:val="none"/>
          <w:lang w:val="en-US" w:eastAsia="zh-CN"/>
        </w:rPr>
        <w:t>浙江中审工程咨询有限公司</w:t>
      </w:r>
    </w:p>
    <w:p>
      <w:pPr>
        <w:snapToGrid w:val="0"/>
        <w:spacing w:line="360" w:lineRule="auto"/>
        <w:jc w:val="center"/>
        <w:rPr>
          <w:rFonts w:hint="eastAsia" w:ascii="仿宋_GB2312" w:hAnsi="仿宋" w:eastAsia="仿宋_GB2312" w:cs="仿宋_GB2312"/>
          <w:bCs/>
          <w:color w:val="auto"/>
          <w:sz w:val="32"/>
          <w:szCs w:val="32"/>
          <w:highlight w:val="none"/>
          <w:lang w:eastAsia="zh-CN"/>
        </w:rPr>
      </w:pPr>
      <w:r>
        <w:rPr>
          <w:rFonts w:hint="eastAsia" w:ascii="仿宋_GB2312" w:hAnsi="仿宋" w:eastAsia="仿宋_GB2312" w:cs="仿宋_GB2312"/>
          <w:bCs/>
          <w:color w:val="auto"/>
          <w:sz w:val="32"/>
          <w:szCs w:val="32"/>
          <w:highlight w:val="none"/>
          <w:lang w:eastAsia="zh-CN"/>
        </w:rPr>
        <w:t>备案单位：杭州市临安区政府采购办公室</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邀请供应商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竞争性磋商流程</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供应商须知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评审方法及评分标准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第七部分      应提交的有关格式范例</w:t>
      </w:r>
    </w:p>
    <w:p>
      <w:pPr>
        <w:spacing w:line="360" w:lineRule="auto"/>
        <w:ind w:firstLine="549" w:firstLineChars="229"/>
        <w:rPr>
          <w:rFonts w:ascii="仿宋_GB2312" w:hAnsi="仿宋_GB2312" w:eastAsia="仿宋_GB2312" w:cs="仿宋_GB2312"/>
          <w:sz w:val="24"/>
        </w:rPr>
      </w:pPr>
      <w:bookmarkStart w:id="0" w:name="_Hlt91233176"/>
      <w:bookmarkEnd w:id="0"/>
    </w:p>
    <w:p/>
    <w:p>
      <w:pPr>
        <w:pStyle w:val="2"/>
      </w:pPr>
    </w:p>
    <w:p>
      <w:pPr>
        <w:pStyle w:val="2"/>
      </w:pPr>
    </w:p>
    <w:p>
      <w:pPr>
        <w:pStyle w:val="2"/>
      </w:pPr>
    </w:p>
    <w:p>
      <w:pPr>
        <w:pStyle w:val="2"/>
      </w:pPr>
    </w:p>
    <w:p>
      <w:pPr>
        <w:pStyle w:val="2"/>
      </w:pPr>
    </w:p>
    <w:p>
      <w:pPr>
        <w:pStyle w:val="2"/>
      </w:pPr>
    </w:p>
    <w:p>
      <w:pPr>
        <w:pStyle w:val="2"/>
      </w:pPr>
    </w:p>
    <w:p>
      <w:pPr>
        <w:pStyle w:val="2"/>
      </w:pPr>
    </w:p>
    <w:p>
      <w:pPr>
        <w:pStyle w:val="18"/>
      </w:pPr>
    </w:p>
    <w:p>
      <w:pPr>
        <w:pStyle w:val="2"/>
      </w:pPr>
    </w:p>
    <w:p>
      <w:pPr>
        <w:pStyle w:val="18"/>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邀请供应商</w:t>
      </w:r>
    </w:p>
    <w:p>
      <w:pPr>
        <w:adjustRightInd/>
        <w:spacing w:line="360" w:lineRule="auto"/>
        <w:jc w:val="center"/>
        <w:outlineLvl w:val="0"/>
      </w:pPr>
      <w:r>
        <w:rPr>
          <w:rFonts w:hint="eastAsia" w:ascii="仿宋_GB2312" w:hAnsi="仿宋_GB2312" w:eastAsia="仿宋_GB2312" w:cs="仿宋_GB2312"/>
          <w:b/>
          <w:sz w:val="36"/>
          <w:szCs w:val="20"/>
        </w:rPr>
        <w:t>竞争性磋商邀请公告</w:t>
      </w:r>
    </w:p>
    <w:p>
      <w:pPr>
        <w:pStyle w:val="4"/>
        <w:numPr>
          <w:ilvl w:val="0"/>
          <w:numId w:val="0"/>
        </w:numPr>
        <w:ind w:left="432" w:hanging="432"/>
        <w:rPr>
          <w:rFonts w:hAnsi="黑体" w:cs="宋体"/>
          <w:sz w:val="24"/>
          <w:szCs w:val="24"/>
        </w:rPr>
      </w:pPr>
      <w:bookmarkStart w:id="1" w:name="_Toc35393629"/>
      <w:bookmarkStart w:id="2" w:name="_Toc35393798"/>
      <w:bookmarkStart w:id="3" w:name="_Toc28359089"/>
      <w:bookmarkStart w:id="4" w:name="_Toc28359012"/>
      <w:r>
        <w:rPr>
          <w:rFonts w:hint="eastAsia" w:hAnsi="黑体" w:cs="宋体"/>
          <w:sz w:val="24"/>
          <w:szCs w:val="24"/>
        </w:rPr>
        <w:t>一、项目基本情况</w:t>
      </w:r>
      <w:bookmarkEnd w:id="1"/>
      <w:bookmarkEnd w:id="2"/>
      <w:bookmarkEnd w:id="3"/>
      <w:bookmarkEnd w:id="4"/>
    </w:p>
    <w:p>
      <w:pPr>
        <w:spacing w:line="360" w:lineRule="auto"/>
        <w:ind w:firstLine="482" w:firstLineChars="200"/>
        <w:rPr>
          <w:rFonts w:hint="default" w:ascii="仿宋_GB2312" w:hAnsi="仿宋" w:eastAsia="仿宋_GB2312"/>
          <w:b w:val="0"/>
          <w:bCs w:val="0"/>
          <w:sz w:val="24"/>
          <w:lang w:val="en-US" w:eastAsia="zh-CN"/>
        </w:rPr>
      </w:pPr>
      <w:r>
        <w:rPr>
          <w:rFonts w:hint="eastAsia" w:ascii="仿宋_GB2312" w:hAnsi="仿宋" w:eastAsia="仿宋_GB2312"/>
          <w:b/>
          <w:bCs/>
          <w:sz w:val="24"/>
        </w:rPr>
        <w:t>项目编号：</w:t>
      </w:r>
      <w:r>
        <w:rPr>
          <w:rFonts w:hint="eastAsia" w:ascii="仿宋_GB2312" w:hAnsi="仿宋" w:eastAsia="仿宋_GB2312"/>
          <w:b/>
          <w:bCs/>
          <w:sz w:val="24"/>
          <w:lang w:val="en-US" w:eastAsia="zh-CN"/>
        </w:rPr>
        <w:t>ZSZB-2022-042</w:t>
      </w:r>
    </w:p>
    <w:p>
      <w:pPr>
        <w:spacing w:line="360" w:lineRule="auto"/>
        <w:ind w:firstLine="482" w:firstLineChars="200"/>
        <w:rPr>
          <w:rFonts w:hint="eastAsia" w:ascii="仿宋_GB2312" w:hAnsi="仿宋" w:eastAsia="仿宋_GB2312"/>
          <w:b w:val="0"/>
          <w:bCs w:val="0"/>
          <w:sz w:val="24"/>
          <w:lang w:eastAsia="zh-CN"/>
        </w:rPr>
      </w:pPr>
      <w:r>
        <w:rPr>
          <w:rFonts w:hint="eastAsia" w:ascii="仿宋_GB2312" w:hAnsi="仿宋" w:eastAsia="仿宋_GB2312"/>
          <w:b/>
          <w:bCs/>
          <w:sz w:val="24"/>
        </w:rPr>
        <w:t>项目名称：</w:t>
      </w:r>
      <w:r>
        <w:rPr>
          <w:rFonts w:hint="eastAsia" w:ascii="仿宋_GB2312" w:hAnsi="仿宋" w:eastAsia="仿宋_GB2312"/>
          <w:b w:val="0"/>
          <w:bCs w:val="0"/>
          <w:sz w:val="24"/>
          <w:lang w:eastAsia="zh-CN"/>
        </w:rPr>
        <w:t>临安区村庄规划评估服务项目</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采购方式：竞争性磋商</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rPr>
        <w:t>预算金额（元）</w:t>
      </w:r>
      <w:r>
        <w:rPr>
          <w:rFonts w:hint="eastAsia" w:ascii="仿宋_GB2312" w:hAnsi="仿宋" w:eastAsia="仿宋_GB2312"/>
          <w:b/>
          <w:bCs/>
          <w:sz w:val="24"/>
          <w:lang w:eastAsia="zh-CN"/>
        </w:rPr>
        <w:t>：</w:t>
      </w:r>
      <w:r>
        <w:rPr>
          <w:rFonts w:hint="eastAsia" w:ascii="仿宋_GB2312" w:hAnsi="仿宋" w:eastAsia="仿宋_GB2312"/>
          <w:b/>
          <w:bCs/>
          <w:sz w:val="24"/>
          <w:lang w:val="en-US" w:eastAsia="zh-CN"/>
        </w:rPr>
        <w:t>900000</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rPr>
        <w:t>最高限价（元）：</w:t>
      </w:r>
      <w:r>
        <w:rPr>
          <w:rFonts w:hint="eastAsia" w:ascii="仿宋_GB2312" w:hAnsi="仿宋" w:eastAsia="仿宋_GB2312"/>
          <w:b/>
          <w:bCs/>
          <w:sz w:val="24"/>
          <w:highlight w:val="none"/>
          <w:lang w:val="en-US" w:eastAsia="zh-CN"/>
        </w:rPr>
        <w:t>900000</w:t>
      </w:r>
    </w:p>
    <w:p>
      <w:pPr>
        <w:widowControl/>
        <w:adjustRightInd/>
        <w:spacing w:line="360" w:lineRule="auto"/>
        <w:ind w:firstLine="482" w:firstLineChars="200"/>
        <w:jc w:val="left"/>
        <w:rPr>
          <w:rFonts w:hint="eastAsia" w:ascii="仿宋_GB2312" w:hAnsi="仿宋" w:eastAsia="仿宋_GB2312"/>
          <w:b/>
          <w:bCs/>
          <w:sz w:val="24"/>
          <w:highlight w:val="none"/>
          <w:u w:val="single"/>
        </w:rPr>
      </w:pPr>
      <w:r>
        <w:rPr>
          <w:rFonts w:hint="eastAsia" w:ascii="仿宋_GB2312" w:hAnsi="仿宋" w:eastAsia="仿宋_GB2312"/>
          <w:b/>
          <w:bCs/>
          <w:sz w:val="24"/>
        </w:rPr>
        <w:t>采购需求：</w:t>
      </w:r>
      <w:r>
        <w:rPr>
          <w:rFonts w:hint="eastAsia" w:ascii="仿宋_GB2312" w:hAnsi="仿宋" w:eastAsia="仿宋_GB2312"/>
          <w:b w:val="0"/>
          <w:bCs w:val="0"/>
          <w:sz w:val="24"/>
          <w:highlight w:val="none"/>
          <w:lang w:val="en-US" w:eastAsia="zh-CN"/>
        </w:rPr>
        <w:t>1.基础资料收集及内业数据处理和核查；2.村庄规划评估及外业调查；3.分析评估结果并制定工作计划；4.进行村庄分类评估；5.编制评估报告并完成村庄规划矢量图数据处理、建立数据库；详见第四部分采购需求。</w:t>
      </w:r>
    </w:p>
    <w:p>
      <w:pPr>
        <w:spacing w:line="360" w:lineRule="auto"/>
        <w:ind w:firstLine="482" w:firstLineChars="200"/>
        <w:rPr>
          <w:rFonts w:hint="default" w:ascii="仿宋_GB2312" w:hAnsi="仿宋" w:eastAsia="仿宋_GB2312"/>
          <w:b/>
          <w:bCs/>
          <w:sz w:val="24"/>
          <w:highlight w:val="none"/>
          <w:u w:val="single"/>
          <w:lang w:val="en-US" w:eastAsia="zh-CN"/>
        </w:rPr>
      </w:pPr>
      <w:r>
        <w:rPr>
          <w:rFonts w:hint="eastAsia" w:ascii="仿宋_GB2312" w:hAnsi="仿宋" w:eastAsia="仿宋_GB2312"/>
          <w:b/>
          <w:bCs/>
          <w:sz w:val="24"/>
          <w:highlight w:val="none"/>
        </w:rPr>
        <w:t>合同履行期限：</w:t>
      </w:r>
      <w:r>
        <w:rPr>
          <w:rFonts w:hint="eastAsia" w:ascii="仿宋_GB2312" w:hAnsi="仿宋" w:eastAsia="仿宋_GB2312"/>
          <w:b/>
          <w:bCs/>
          <w:sz w:val="24"/>
          <w:highlight w:val="none"/>
          <w:lang w:val="en-US" w:eastAsia="zh-CN"/>
        </w:rPr>
        <w:t>自合同签订之日起2年。</w:t>
      </w:r>
    </w:p>
    <w:p>
      <w:pPr>
        <w:pStyle w:val="7"/>
        <w:spacing w:line="360" w:lineRule="auto"/>
        <w:ind w:firstLine="480"/>
        <w:rPr>
          <w:rFonts w:ascii="仿宋_GB2312" w:hAnsi="仿宋" w:eastAsia="仿宋_GB2312"/>
          <w:b/>
          <w:color w:val="000000" w:themeColor="text1"/>
          <w:sz w:val="24"/>
          <w:highlight w:val="none"/>
          <w14:textFill>
            <w14:solidFill>
              <w14:schemeClr w14:val="tx1"/>
            </w14:solidFill>
          </w14:textFill>
        </w:rPr>
      </w:pPr>
      <w:bookmarkStart w:id="5" w:name="_Toc35393630"/>
      <w:bookmarkStart w:id="6" w:name="_Toc35393799"/>
      <w:bookmarkStart w:id="7" w:name="_Toc28359013"/>
      <w:bookmarkStart w:id="8" w:name="_Toc28359090"/>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pStyle w:val="4"/>
        <w:numPr>
          <w:ilvl w:val="0"/>
          <w:numId w:val="0"/>
        </w:numPr>
        <w:ind w:left="432" w:hanging="432"/>
        <w:rPr>
          <w:i/>
          <w:iCs/>
          <w:sz w:val="24"/>
          <w:u w:val="single"/>
        </w:rPr>
      </w:pPr>
      <w:r>
        <w:rPr>
          <w:rFonts w:hint="eastAsia" w:hAnsi="黑体" w:cs="宋体"/>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bookmarkStart w:id="11" w:name="_Toc35393631"/>
      <w:bookmarkStart w:id="12" w:name="_Toc35393800"/>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MS Gothic" w:hAnsi="MS Gothic" w:eastAsia="仿宋_GB2312" w:cs="仿宋_GB2312"/>
              <w:color w:val="000000" w:themeColor="text1"/>
              <w:kern w:val="0"/>
              <w:sz w:val="24"/>
              <w:szCs w:val="24"/>
              <w:highlight w:val="none"/>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2" w:firstLineChars="200"/>
        <w:rPr>
          <w:rFonts w:hint="default" w:ascii="仿宋_GB2312" w:hAnsi="仿宋_GB2312" w:eastAsia="仿宋_GB2312" w:cs="仿宋_GB2312"/>
          <w:b/>
          <w:bCs/>
          <w:color w:val="000000" w:themeColor="text1"/>
          <w:sz w:val="24"/>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3.本项目的特定资格要求：</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同时具有土地规划准乙级及以上资质和城乡规划丙级及以上资质。</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pStyle w:val="4"/>
        <w:numPr>
          <w:ilvl w:val="0"/>
          <w:numId w:val="0"/>
        </w:numPr>
        <w:ind w:left="432" w:hanging="432"/>
        <w:rPr>
          <w:rFonts w:hAnsi="黑体" w:cs="宋体"/>
          <w:sz w:val="24"/>
          <w:szCs w:val="24"/>
        </w:rPr>
      </w:pPr>
      <w:r>
        <w:rPr>
          <w:rFonts w:hint="eastAsia" w:hAnsi="黑体" w:cs="宋体"/>
          <w:sz w:val="24"/>
          <w:szCs w:val="24"/>
        </w:rPr>
        <w:t>三、获取采购文件</w:t>
      </w:r>
      <w:bookmarkEnd w:id="9"/>
      <w:bookmarkEnd w:id="10"/>
      <w:bookmarkEnd w:id="11"/>
      <w:bookmarkEnd w:id="12"/>
    </w:p>
    <w:p>
      <w:pPr>
        <w:spacing w:line="360" w:lineRule="auto"/>
        <w:ind w:firstLine="540"/>
        <w:rPr>
          <w:rFonts w:ascii="仿宋_GB2312" w:hAnsi="仿宋" w:eastAsia="仿宋_GB2312" w:cs="宋体"/>
          <w:sz w:val="24"/>
          <w:highlight w:val="none"/>
        </w:rPr>
      </w:pPr>
      <w:r>
        <w:rPr>
          <w:rFonts w:hint="eastAsia" w:ascii="仿宋_GB2312" w:hAnsi="仿宋" w:eastAsia="仿宋_GB2312" w:cs="宋体"/>
          <w:b/>
          <w:sz w:val="24"/>
        </w:rPr>
        <w:t>时间</w:t>
      </w:r>
      <w:r>
        <w:rPr>
          <w:rFonts w:hint="eastAsia" w:ascii="仿宋_GB2312" w:hAnsi="仿宋" w:eastAsia="仿宋_GB2312" w:cs="宋体"/>
          <w:b/>
          <w:sz w:val="24"/>
          <w:highlight w:val="none"/>
        </w:rPr>
        <w:t>：</w:t>
      </w:r>
      <w:r>
        <w:rPr>
          <w:rFonts w:hint="eastAsia" w:ascii="仿宋_GB2312" w:hAnsi="仿宋" w:eastAsia="仿宋_GB2312"/>
          <w:sz w:val="27"/>
          <w:szCs w:val="27"/>
          <w:highlight w:val="none"/>
        </w:rPr>
        <w:t>/</w:t>
      </w:r>
      <w:r>
        <w:rPr>
          <w:rFonts w:hint="eastAsia" w:ascii="仿宋_GB2312" w:hAnsi="仿宋" w:eastAsia="仿宋_GB2312" w:cs="宋体"/>
          <w:sz w:val="24"/>
          <w:highlight w:val="none"/>
        </w:rPr>
        <w:t>至</w:t>
      </w:r>
      <w:r>
        <w:rPr>
          <w:rFonts w:hint="eastAsia" w:ascii="仿宋_GB2312" w:hAnsi="仿宋" w:eastAsia="仿宋_GB2312" w:cs="宋体"/>
          <w:sz w:val="24"/>
          <w:highlight w:val="none"/>
          <w:u w:val="single"/>
        </w:rPr>
        <w:t>202</w:t>
      </w:r>
      <w:r>
        <w:rPr>
          <w:rFonts w:hint="eastAsia" w:ascii="仿宋_GB2312" w:hAnsi="仿宋" w:eastAsia="仿宋_GB2312" w:cs="宋体"/>
          <w:sz w:val="24"/>
          <w:highlight w:val="none"/>
          <w:u w:val="single"/>
          <w:lang w:val="en-US" w:eastAsia="zh-CN"/>
        </w:rPr>
        <w:t>2</w:t>
      </w:r>
      <w:r>
        <w:rPr>
          <w:rFonts w:hint="eastAsia" w:ascii="仿宋_GB2312" w:hAnsi="仿宋" w:eastAsia="仿宋_GB2312" w:cs="宋体"/>
          <w:sz w:val="24"/>
          <w:highlight w:val="none"/>
          <w:u w:val="single"/>
        </w:rPr>
        <w:t>年</w:t>
      </w:r>
      <w:r>
        <w:rPr>
          <w:rFonts w:hint="eastAsia" w:ascii="仿宋_GB2312" w:hAnsi="仿宋" w:eastAsia="仿宋_GB2312" w:cs="宋体"/>
          <w:sz w:val="24"/>
          <w:highlight w:val="none"/>
          <w:u w:val="single"/>
          <w:lang w:val="en-US" w:eastAsia="zh-CN"/>
        </w:rPr>
        <w:t xml:space="preserve"> 8 </w:t>
      </w:r>
      <w:r>
        <w:rPr>
          <w:rFonts w:hint="eastAsia" w:ascii="仿宋_GB2312" w:hAnsi="仿宋" w:eastAsia="仿宋_GB2312" w:cs="宋体"/>
          <w:sz w:val="24"/>
          <w:highlight w:val="none"/>
          <w:u w:val="single"/>
        </w:rPr>
        <w:t>月</w:t>
      </w:r>
      <w:r>
        <w:rPr>
          <w:rFonts w:hint="eastAsia" w:ascii="仿宋_GB2312" w:hAnsi="仿宋" w:eastAsia="仿宋_GB2312" w:cs="宋体"/>
          <w:sz w:val="24"/>
          <w:highlight w:val="none"/>
          <w:u w:val="single"/>
          <w:lang w:val="en-US" w:eastAsia="zh-CN"/>
        </w:rPr>
        <w:t xml:space="preserve"> 22 </w:t>
      </w:r>
      <w:r>
        <w:rPr>
          <w:rFonts w:hint="eastAsia" w:ascii="仿宋_GB2312" w:hAnsi="仿宋" w:eastAsia="仿宋_GB2312" w:cs="宋体"/>
          <w:sz w:val="24"/>
          <w:highlight w:val="none"/>
          <w:u w:val="single"/>
        </w:rPr>
        <w:t>日</w:t>
      </w:r>
      <w:r>
        <w:rPr>
          <w:rFonts w:hint="eastAsia" w:ascii="仿宋_GB2312" w:hAnsi="仿宋" w:eastAsia="仿宋_GB2312" w:cs="宋体"/>
          <w:sz w:val="24"/>
          <w:highlight w:val="none"/>
        </w:rPr>
        <w:t>，每天上午</w:t>
      </w:r>
      <w:r>
        <w:rPr>
          <w:rFonts w:hint="eastAsia" w:ascii="仿宋_GB2312" w:hAnsi="仿宋" w:eastAsia="仿宋_GB2312"/>
          <w:sz w:val="24"/>
          <w:highlight w:val="none"/>
        </w:rPr>
        <w:t>00:00至12:00 ，下午12:00至23:59</w:t>
      </w:r>
      <w:r>
        <w:rPr>
          <w:rFonts w:hint="eastAsia" w:ascii="仿宋_GB2312" w:hAnsi="仿宋" w:eastAsia="仿宋_GB2312" w:cs="宋体"/>
          <w:sz w:val="24"/>
          <w:highlight w:val="none"/>
        </w:rPr>
        <w:t>（北京时间</w:t>
      </w:r>
      <w:r>
        <w:rPr>
          <w:rFonts w:hint="eastAsia" w:ascii="仿宋_GB2312" w:hAnsi="仿宋" w:eastAsia="仿宋_GB2312"/>
          <w:sz w:val="24"/>
          <w:highlight w:val="none"/>
        </w:rPr>
        <w:t>，线上获取法定节假日均可，线下获取文件法定节假日除外</w:t>
      </w:r>
      <w:r>
        <w:rPr>
          <w:rFonts w:hint="eastAsia" w:ascii="仿宋_GB2312" w:hAnsi="仿宋" w:eastAsia="仿宋_GB2312" w:cs="宋体"/>
          <w:sz w:val="24"/>
          <w:highlight w:val="none"/>
        </w:rPr>
        <w:t>）；</w:t>
      </w:r>
    </w:p>
    <w:p>
      <w:pPr>
        <w:spacing w:line="360" w:lineRule="auto"/>
        <w:ind w:firstLine="540"/>
        <w:rPr>
          <w:rFonts w:ascii="仿宋_GB2312" w:hAnsi="仿宋" w:eastAsia="仿宋_GB2312" w:cs="宋体"/>
          <w:sz w:val="28"/>
          <w:szCs w:val="28"/>
          <w:highlight w:val="none"/>
          <w:u w:val="single"/>
        </w:rPr>
      </w:pPr>
      <w:r>
        <w:rPr>
          <w:rFonts w:hint="eastAsia" w:ascii="仿宋_GB2312" w:hAnsi="仿宋" w:eastAsia="仿宋_GB2312" w:cs="宋体"/>
          <w:b/>
          <w:sz w:val="24"/>
          <w:highlight w:val="none"/>
        </w:rPr>
        <w:t>地点：</w:t>
      </w:r>
      <w:r>
        <w:rPr>
          <w:rFonts w:hint="eastAsia" w:ascii="仿宋_GB2312" w:hAnsi="仿宋" w:eastAsia="仿宋_GB2312" w:cs="仿宋_GB2312"/>
          <w:b/>
          <w:sz w:val="24"/>
          <w:highlight w:val="none"/>
        </w:rPr>
        <w:t>浙江政府采购网（http://zfcg.czt.zj.gov.cn）</w:t>
      </w:r>
    </w:p>
    <w:p>
      <w:pPr>
        <w:spacing w:line="360" w:lineRule="auto"/>
        <w:ind w:firstLine="540"/>
        <w:rPr>
          <w:rFonts w:ascii="仿宋_GB2312" w:hAnsi="仿宋" w:eastAsia="仿宋_GB2312" w:cs="宋体"/>
          <w:sz w:val="24"/>
          <w:highlight w:val="none"/>
          <w:u w:val="single"/>
        </w:rPr>
      </w:pPr>
      <w:r>
        <w:rPr>
          <w:rFonts w:hint="eastAsia" w:ascii="仿宋_GB2312" w:hAnsi="仿宋" w:eastAsia="仿宋_GB2312" w:cs="宋体"/>
          <w:b/>
          <w:sz w:val="24"/>
          <w:highlight w:val="none"/>
        </w:rPr>
        <w:t>方式：</w:t>
      </w:r>
      <w:r>
        <w:rPr>
          <w:rFonts w:hint="eastAsia" w:ascii="仿宋_GB2312" w:hAnsi="仿宋" w:eastAsia="仿宋_GB2312" w:cs="仿宋_GB2312"/>
          <w:b/>
          <w:sz w:val="24"/>
          <w:highlight w:val="none"/>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_GB2312" w:hAnsi="仿宋" w:eastAsia="仿宋_GB2312" w:cs="宋体"/>
          <w:sz w:val="28"/>
          <w:szCs w:val="28"/>
          <w:highlight w:val="none"/>
          <w:lang w:eastAsia="zh-CN"/>
        </w:rPr>
      </w:pPr>
      <w:r>
        <w:rPr>
          <w:rFonts w:hint="eastAsia" w:ascii="仿宋_GB2312" w:hAnsi="仿宋" w:eastAsia="仿宋_GB2312" w:cs="宋体"/>
          <w:b/>
          <w:sz w:val="24"/>
          <w:highlight w:val="none"/>
        </w:rPr>
        <w:t>售价：</w:t>
      </w:r>
      <w:r>
        <w:rPr>
          <w:rFonts w:hint="eastAsia" w:ascii="仿宋_GB2312" w:hAnsi="仿宋_GB2312" w:eastAsia="仿宋_GB2312" w:cs="仿宋_GB2312"/>
          <w:sz w:val="24"/>
          <w:highlight w:val="none"/>
          <w:lang w:val="en-US" w:eastAsia="zh-CN"/>
        </w:rPr>
        <w:t>0</w:t>
      </w:r>
    </w:p>
    <w:p>
      <w:pPr>
        <w:pStyle w:val="4"/>
        <w:numPr>
          <w:ilvl w:val="0"/>
          <w:numId w:val="0"/>
        </w:numPr>
        <w:ind w:left="432" w:hanging="432"/>
        <w:rPr>
          <w:rFonts w:hAnsi="黑体" w:cs="宋体"/>
          <w:sz w:val="24"/>
          <w:szCs w:val="24"/>
          <w:highlight w:val="none"/>
        </w:rPr>
      </w:pPr>
      <w:bookmarkStart w:id="13" w:name="_Toc35393632"/>
      <w:bookmarkStart w:id="14" w:name="_Toc35393801"/>
      <w:bookmarkStart w:id="15" w:name="_Toc28359015"/>
      <w:bookmarkStart w:id="16" w:name="_Toc28359092"/>
      <w:r>
        <w:rPr>
          <w:rFonts w:hint="eastAsia" w:hAnsi="黑体" w:cs="宋体"/>
          <w:sz w:val="24"/>
          <w:szCs w:val="24"/>
          <w:highlight w:val="none"/>
        </w:rPr>
        <w:t>四、响应文件提交</w:t>
      </w:r>
      <w:bookmarkEnd w:id="13"/>
      <w:bookmarkEnd w:id="14"/>
      <w:bookmarkEnd w:id="15"/>
      <w:bookmarkEnd w:id="16"/>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bCs/>
          <w:sz w:val="24"/>
          <w:highlight w:val="none"/>
          <w:u w:val="single"/>
        </w:rPr>
        <w:t>年</w:t>
      </w:r>
      <w:r>
        <w:rPr>
          <w:rFonts w:hint="eastAsia" w:ascii="仿宋_GB2312" w:hAnsi="仿宋" w:eastAsia="仿宋_GB2312"/>
          <w:bCs/>
          <w:sz w:val="24"/>
          <w:highlight w:val="none"/>
          <w:u w:val="single"/>
          <w:lang w:val="en-US" w:eastAsia="zh-CN"/>
        </w:rPr>
        <w:t xml:space="preserve"> 8 </w:t>
      </w:r>
      <w:r>
        <w:rPr>
          <w:rFonts w:hint="eastAsia" w:ascii="仿宋_GB2312" w:hAnsi="仿宋" w:eastAsia="仿宋_GB2312"/>
          <w:bCs/>
          <w:sz w:val="24"/>
          <w:highlight w:val="none"/>
          <w:u w:val="single"/>
        </w:rPr>
        <w:t>月</w:t>
      </w:r>
      <w:r>
        <w:rPr>
          <w:rFonts w:hint="eastAsia" w:ascii="仿宋_GB2312" w:hAnsi="仿宋" w:eastAsia="仿宋_GB2312"/>
          <w:bCs/>
          <w:sz w:val="24"/>
          <w:highlight w:val="none"/>
          <w:u w:val="single"/>
          <w:lang w:val="en-US" w:eastAsia="zh-CN"/>
        </w:rPr>
        <w:t xml:space="preserve"> 22 </w:t>
      </w:r>
      <w:r>
        <w:rPr>
          <w:rFonts w:hint="eastAsia" w:ascii="仿宋_GB2312" w:hAnsi="仿宋" w:eastAsia="仿宋_GB2312"/>
          <w:bCs/>
          <w:sz w:val="24"/>
          <w:highlight w:val="none"/>
          <w:u w:val="single"/>
        </w:rPr>
        <w:t>日</w:t>
      </w:r>
      <w:r>
        <w:rPr>
          <w:rFonts w:hint="eastAsia" w:ascii="仿宋_GB2312" w:hAnsi="仿宋" w:eastAsia="仿宋_GB2312"/>
          <w:bCs/>
          <w:sz w:val="24"/>
          <w:highlight w:val="none"/>
          <w:u w:val="single"/>
          <w:lang w:val="en-US" w:eastAsia="zh-CN"/>
        </w:rPr>
        <w:t xml:space="preserve"> 9 </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 xml:space="preserve"> 30 </w:t>
      </w:r>
      <w:r>
        <w:rPr>
          <w:rFonts w:hint="eastAsia" w:ascii="仿宋_GB2312" w:hAnsi="仿宋" w:eastAsia="仿宋_GB2312"/>
          <w:bCs/>
          <w:sz w:val="24"/>
          <w:highlight w:val="none"/>
          <w:u w:val="single"/>
        </w:rPr>
        <w:t>分00秒</w:t>
      </w:r>
      <w:r>
        <w:rPr>
          <w:rFonts w:hint="eastAsia" w:ascii="仿宋_GB2312" w:hAnsi="仿宋" w:eastAsia="仿宋_GB2312"/>
          <w:bCs/>
          <w:sz w:val="24"/>
          <w:highlight w:val="none"/>
        </w:rPr>
        <w:t>（北京时间）</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地点：</w:t>
      </w:r>
      <w:r>
        <w:rPr>
          <w:rFonts w:hint="eastAsia" w:ascii="仿宋_GB2312" w:hAnsi="仿宋" w:eastAsia="仿宋_GB2312" w:cs="仿宋_GB2312"/>
          <w:b w:val="0"/>
          <w:bCs/>
          <w:sz w:val="24"/>
          <w:highlight w:val="none"/>
        </w:rPr>
        <w:t>政采云平台（</w:t>
      </w:r>
      <w:r>
        <w:rPr>
          <w:b w:val="0"/>
          <w:bCs/>
          <w:highlight w:val="none"/>
        </w:rPr>
        <w:fldChar w:fldCharType="begin"/>
      </w:r>
      <w:r>
        <w:rPr>
          <w:b w:val="0"/>
          <w:bCs/>
          <w:highlight w:val="none"/>
        </w:rPr>
        <w:instrText xml:space="preserve"> HYPERLINK "https://www.zcygov.cn/" </w:instrText>
      </w:r>
      <w:r>
        <w:rPr>
          <w:b w:val="0"/>
          <w:bCs/>
          <w:highlight w:val="none"/>
        </w:rPr>
        <w:fldChar w:fldCharType="separate"/>
      </w:r>
      <w:r>
        <w:rPr>
          <w:rStyle w:val="24"/>
          <w:rFonts w:hint="eastAsia" w:ascii="仿宋_GB2312" w:hAnsi="仿宋" w:eastAsia="仿宋_GB2312" w:cs="仿宋_GB2312"/>
          <w:b w:val="0"/>
          <w:bCs/>
          <w:color w:val="auto"/>
          <w:kern w:val="2"/>
          <w:sz w:val="24"/>
          <w:szCs w:val="24"/>
          <w:highlight w:val="none"/>
        </w:rPr>
        <w:t>https://www.zcygov.cn/</w:t>
      </w:r>
      <w:r>
        <w:rPr>
          <w:rFonts w:hint="eastAsia" w:ascii="仿宋_GB2312" w:hAnsi="仿宋" w:eastAsia="仿宋_GB2312" w:cs="仿宋_GB2312"/>
          <w:b w:val="0"/>
          <w:bCs/>
          <w:sz w:val="24"/>
          <w:highlight w:val="none"/>
        </w:rPr>
        <w:fldChar w:fldCharType="end"/>
      </w:r>
      <w:r>
        <w:rPr>
          <w:rFonts w:hint="eastAsia" w:ascii="仿宋_GB2312" w:hAnsi="仿宋" w:eastAsia="仿宋_GB2312" w:cs="仿宋_GB2312"/>
          <w:b w:val="0"/>
          <w:bCs/>
          <w:sz w:val="24"/>
          <w:highlight w:val="none"/>
        </w:rPr>
        <w:t>）</w:t>
      </w:r>
      <w:r>
        <w:rPr>
          <w:rFonts w:hint="eastAsia" w:ascii="仿宋_GB2312" w:hAnsi="仿宋_GB2312" w:eastAsia="仿宋_GB2312" w:cs="仿宋_GB2312"/>
          <w:b w:val="0"/>
          <w:bCs/>
          <w:sz w:val="24"/>
          <w:highlight w:val="none"/>
        </w:rPr>
        <w:t>。</w:t>
      </w:r>
    </w:p>
    <w:p>
      <w:pPr>
        <w:pStyle w:val="4"/>
        <w:numPr>
          <w:ilvl w:val="0"/>
          <w:numId w:val="0"/>
        </w:numPr>
        <w:ind w:left="432" w:hanging="432"/>
        <w:rPr>
          <w:rFonts w:hint="eastAsia" w:hAnsi="黑体" w:cs="宋体"/>
          <w:sz w:val="24"/>
          <w:szCs w:val="24"/>
          <w:highlight w:val="none"/>
        </w:rPr>
      </w:pPr>
      <w:bookmarkStart w:id="17" w:name="_Toc35393633"/>
      <w:bookmarkStart w:id="18" w:name="_Toc35393802"/>
      <w:bookmarkStart w:id="19" w:name="_Toc28359016"/>
      <w:bookmarkStart w:id="20" w:name="_Toc28359093"/>
      <w:r>
        <w:rPr>
          <w:rFonts w:hint="eastAsia" w:hAnsi="黑体" w:cs="宋体"/>
          <w:sz w:val="24"/>
          <w:szCs w:val="24"/>
          <w:highlight w:val="none"/>
        </w:rPr>
        <w:t>五、</w:t>
      </w:r>
      <w:bookmarkEnd w:id="17"/>
      <w:bookmarkEnd w:id="18"/>
      <w:bookmarkEnd w:id="19"/>
      <w:bookmarkEnd w:id="20"/>
      <w:r>
        <w:rPr>
          <w:rFonts w:hint="eastAsia" w:hAnsi="黑体" w:cs="宋体"/>
          <w:sz w:val="24"/>
          <w:szCs w:val="24"/>
          <w:highlight w:val="none"/>
        </w:rPr>
        <w:t>开启响应文件时间与地点：</w:t>
      </w:r>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highlight w:val="none"/>
        </w:rPr>
        <w:t>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bCs/>
          <w:sz w:val="24"/>
          <w:highlight w:val="none"/>
          <w:u w:val="single"/>
          <w:shd w:val="clear"/>
        </w:rPr>
        <w:t>年</w:t>
      </w:r>
      <w:r>
        <w:rPr>
          <w:rFonts w:hint="eastAsia" w:ascii="仿宋_GB2312" w:hAnsi="仿宋" w:eastAsia="仿宋_GB2312"/>
          <w:bCs/>
          <w:sz w:val="24"/>
          <w:highlight w:val="none"/>
          <w:u w:val="single"/>
          <w:shd w:val="clear"/>
          <w:lang w:val="en-US" w:eastAsia="zh-CN"/>
        </w:rPr>
        <w:t xml:space="preserve"> 8 </w:t>
      </w:r>
      <w:r>
        <w:rPr>
          <w:rFonts w:hint="eastAsia" w:ascii="仿宋_GB2312" w:hAnsi="仿宋" w:eastAsia="仿宋_GB2312"/>
          <w:bCs/>
          <w:sz w:val="24"/>
          <w:highlight w:val="none"/>
          <w:u w:val="single"/>
          <w:shd w:val="clear"/>
        </w:rPr>
        <w:t>月</w:t>
      </w:r>
      <w:r>
        <w:rPr>
          <w:rFonts w:hint="eastAsia" w:ascii="仿宋_GB2312" w:hAnsi="仿宋" w:eastAsia="仿宋_GB2312"/>
          <w:bCs/>
          <w:sz w:val="24"/>
          <w:highlight w:val="none"/>
          <w:u w:val="single"/>
          <w:shd w:val="clear"/>
          <w:lang w:val="en-US" w:eastAsia="zh-CN"/>
        </w:rPr>
        <w:t xml:space="preserve"> 22 </w:t>
      </w:r>
      <w:r>
        <w:rPr>
          <w:rFonts w:hint="eastAsia" w:ascii="仿宋_GB2312" w:hAnsi="仿宋" w:eastAsia="仿宋_GB2312"/>
          <w:bCs/>
          <w:sz w:val="24"/>
          <w:highlight w:val="none"/>
          <w:u w:val="single"/>
          <w:shd w:val="clear"/>
        </w:rPr>
        <w:t>日</w:t>
      </w:r>
      <w:r>
        <w:rPr>
          <w:rFonts w:hint="eastAsia" w:ascii="仿宋_GB2312" w:hAnsi="仿宋" w:eastAsia="仿宋_GB2312"/>
          <w:bCs/>
          <w:sz w:val="24"/>
          <w:highlight w:val="none"/>
          <w:u w:val="single"/>
          <w:shd w:val="clear"/>
          <w:lang w:val="en-US" w:eastAsia="zh-CN"/>
        </w:rPr>
        <w:t xml:space="preserve"> 9 </w:t>
      </w:r>
      <w:r>
        <w:rPr>
          <w:rFonts w:hint="eastAsia" w:ascii="仿宋_GB2312" w:hAnsi="仿宋" w:eastAsia="仿宋_GB2312"/>
          <w:bCs/>
          <w:sz w:val="24"/>
          <w:highlight w:val="none"/>
          <w:u w:val="single"/>
          <w:shd w:val="clear"/>
        </w:rPr>
        <w:t>点</w:t>
      </w:r>
      <w:r>
        <w:rPr>
          <w:rFonts w:hint="eastAsia" w:ascii="仿宋_GB2312" w:hAnsi="仿宋" w:eastAsia="仿宋_GB2312"/>
          <w:bCs/>
          <w:sz w:val="24"/>
          <w:highlight w:val="none"/>
          <w:u w:val="single"/>
          <w:shd w:val="clear"/>
          <w:lang w:val="en-US" w:eastAsia="zh-CN"/>
        </w:rPr>
        <w:t xml:space="preserve"> 30</w:t>
      </w:r>
      <w:bookmarkStart w:id="154" w:name="_GoBack"/>
      <w:bookmarkEnd w:id="154"/>
      <w:r>
        <w:rPr>
          <w:rFonts w:hint="eastAsia" w:ascii="仿宋_GB2312" w:hAnsi="仿宋" w:eastAsia="仿宋_GB2312"/>
          <w:bCs/>
          <w:sz w:val="24"/>
          <w:highlight w:val="none"/>
          <w:u w:val="single"/>
          <w:shd w:val="clear"/>
          <w:lang w:val="en-US" w:eastAsia="zh-CN"/>
        </w:rPr>
        <w:t xml:space="preserve"> </w:t>
      </w:r>
      <w:r>
        <w:rPr>
          <w:rFonts w:hint="eastAsia" w:ascii="仿宋_GB2312" w:hAnsi="仿宋" w:eastAsia="仿宋_GB2312"/>
          <w:bCs/>
          <w:sz w:val="24"/>
          <w:highlight w:val="none"/>
          <w:u w:val="single"/>
          <w:shd w:val="clear"/>
        </w:rPr>
        <w:t>分00秒</w:t>
      </w:r>
      <w:r>
        <w:rPr>
          <w:rFonts w:hint="eastAsia" w:ascii="仿宋_GB2312" w:hAnsi="仿宋" w:eastAsia="仿宋_GB2312"/>
          <w:bCs/>
          <w:sz w:val="24"/>
          <w:highlight w:val="none"/>
          <w:shd w:val="clear"/>
        </w:rPr>
        <w:t>（北</w:t>
      </w:r>
      <w:r>
        <w:rPr>
          <w:rFonts w:hint="eastAsia" w:ascii="仿宋_GB2312" w:hAnsi="仿宋" w:eastAsia="仿宋_GB2312"/>
          <w:bCs/>
          <w:sz w:val="24"/>
        </w:rPr>
        <w:t>京时间）</w:t>
      </w:r>
    </w:p>
    <w:p>
      <w:pPr>
        <w:pStyle w:val="4"/>
        <w:numPr>
          <w:ilvl w:val="0"/>
          <w:numId w:val="0"/>
        </w:numPr>
        <w:ind w:firstLine="480" w:firstLineChars="200"/>
        <w:rPr>
          <w:rFonts w:hint="eastAsia" w:ascii="仿宋_GB2312" w:hAnsi="仿宋" w:eastAsia="仿宋_GB2312" w:cs="Times New Roman"/>
          <w:b w:val="0"/>
          <w:bCs w:val="0"/>
          <w:color w:val="auto"/>
          <w:sz w:val="24"/>
          <w:szCs w:val="24"/>
        </w:rPr>
      </w:pPr>
      <w:bookmarkStart w:id="21" w:name="_Toc35393803"/>
      <w:bookmarkStart w:id="22" w:name="_Toc28359094"/>
      <w:bookmarkStart w:id="23" w:name="_Toc28359017"/>
      <w:bookmarkStart w:id="24" w:name="_Toc35393634"/>
      <w:r>
        <w:rPr>
          <w:rFonts w:hint="eastAsia" w:ascii="仿宋_GB2312" w:hAnsi="仿宋" w:eastAsia="仿宋_GB2312" w:cs="Times New Roman"/>
          <w:b w:val="0"/>
          <w:bCs w:val="0"/>
          <w:sz w:val="24"/>
          <w:szCs w:val="24"/>
        </w:rPr>
        <w:t>开标地点（网址）：</w:t>
      </w:r>
      <w:r>
        <w:rPr>
          <w:rFonts w:ascii="仿宋_GB2312" w:hAnsi="仿宋" w:eastAsia="仿宋_GB2312"/>
          <w:b w:val="0"/>
          <w:bCs w:val="0"/>
          <w:sz w:val="24"/>
        </w:rPr>
        <w:t>政</w:t>
      </w:r>
      <w:r>
        <w:rPr>
          <w:rFonts w:hint="eastAsia" w:ascii="仿宋_GB2312" w:hAnsi="仿宋" w:eastAsia="仿宋_GB2312"/>
          <w:b w:val="0"/>
          <w:bCs w:val="0"/>
          <w:sz w:val="24"/>
        </w:rPr>
        <w:t>采云平台（</w:t>
      </w:r>
      <w:r>
        <w:rPr>
          <w:rFonts w:ascii="仿宋_GB2312" w:hAnsi="仿宋" w:eastAsia="仿宋_GB2312"/>
          <w:b w:val="0"/>
          <w:bCs w:val="0"/>
          <w:sz w:val="24"/>
        </w:rPr>
        <w:t>https://www.zcygov.cn/）</w:t>
      </w:r>
    </w:p>
    <w:p>
      <w:pPr>
        <w:pStyle w:val="4"/>
        <w:numPr>
          <w:ilvl w:val="0"/>
          <w:numId w:val="0"/>
        </w:numPr>
        <w:rPr>
          <w:rFonts w:hAnsi="黑体" w:cs="宋体"/>
          <w:sz w:val="24"/>
          <w:szCs w:val="24"/>
        </w:rPr>
      </w:pPr>
      <w:r>
        <w:rPr>
          <w:rFonts w:hint="eastAsia" w:hAnsi="黑体" w:cs="宋体"/>
          <w:sz w:val="24"/>
          <w:szCs w:val="24"/>
        </w:rPr>
        <w:t>六、公告期限</w:t>
      </w:r>
      <w:bookmarkEnd w:id="21"/>
      <w:bookmarkEnd w:id="22"/>
      <w:bookmarkEnd w:id="23"/>
      <w:bookmarkEnd w:id="24"/>
    </w:p>
    <w:p>
      <w:pPr>
        <w:spacing w:line="360" w:lineRule="auto"/>
        <w:ind w:firstLine="480" w:firstLineChars="200"/>
        <w:rPr>
          <w:rFonts w:ascii="仿宋_GB2312" w:hAnsi="仿宋" w:eastAsia="仿宋_GB2312" w:cs="宋体"/>
          <w:color w:val="auto"/>
          <w:kern w:val="0"/>
          <w:sz w:val="24"/>
        </w:rPr>
      </w:pPr>
      <w:r>
        <w:rPr>
          <w:rFonts w:hint="eastAsia" w:ascii="仿宋_GB2312" w:hAnsi="仿宋" w:eastAsia="仿宋_GB2312" w:cs="宋体"/>
          <w:color w:val="auto"/>
          <w:kern w:val="0"/>
          <w:sz w:val="24"/>
        </w:rPr>
        <w:t>自本公告发布之日起3个工作日。</w:t>
      </w:r>
    </w:p>
    <w:p>
      <w:pPr>
        <w:pStyle w:val="4"/>
        <w:numPr>
          <w:ilvl w:val="0"/>
          <w:numId w:val="0"/>
        </w:numPr>
        <w:ind w:left="432" w:hanging="432"/>
        <w:rPr>
          <w:rFonts w:hAnsi="黑体" w:cs="宋体"/>
          <w:sz w:val="24"/>
          <w:szCs w:val="24"/>
        </w:rPr>
      </w:pPr>
      <w:bookmarkStart w:id="25" w:name="_Toc35393804"/>
      <w:bookmarkStart w:id="26" w:name="_Toc35393635"/>
      <w:r>
        <w:rPr>
          <w:rFonts w:hint="eastAsia" w:hAnsi="黑体" w:cs="宋体"/>
          <w:sz w:val="24"/>
          <w:szCs w:val="24"/>
        </w:rPr>
        <w:t>七、其他补充事宜</w:t>
      </w:r>
      <w:bookmarkEnd w:id="25"/>
      <w:bookmarkEnd w:id="26"/>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_GB2312" w:hAnsi="仿宋_GB2312" w:eastAsia="仿宋_GB2312"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 需要落实的政府采购政策：</w:t>
      </w:r>
      <w:r>
        <w:rPr>
          <w:rFonts w:hint="eastAsia" w:ascii="仿宋_GB2312" w:hAnsi="仿宋_GB2312" w:eastAsia="仿宋_GB2312" w:cs="仿宋_GB2312"/>
          <w:kern w:val="0"/>
          <w:sz w:val="24"/>
        </w:rPr>
        <w:t>包括保护环境、节约能源、促进中小企业发展等，详见磋商文件第三部分。</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hint="eastAsia" w:ascii="仿宋_GB2312" w:hAnsi="仿宋_GB2312" w:eastAsia="仿宋_GB2312" w:cs="仿宋_GB2312"/>
          <w:b/>
          <w:sz w:val="24"/>
        </w:rPr>
      </w:pPr>
      <w:r>
        <w:rPr>
          <w:rFonts w:hint="eastAsia" w:ascii="仿宋_GB2312" w:hAnsi="仿宋_GB2312" w:eastAsia="仿宋_GB2312" w:cs="仿宋_GB2312"/>
          <w:b/>
          <w:kern w:val="0"/>
          <w:sz w:val="24"/>
        </w:rPr>
        <w:t>3</w:t>
      </w:r>
      <w:r>
        <w:rPr>
          <w:rFonts w:hint="eastAsia" w:ascii="仿宋_GB2312" w:hAnsi="仿宋_GB2312" w:eastAsia="仿宋_GB2312" w:cs="仿宋_GB2312"/>
          <w:b/>
          <w:sz w:val="24"/>
        </w:rPr>
        <w:t xml:space="preserve">.电子交易的说明: </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（1）电子交易：</w:t>
      </w:r>
      <w:r>
        <w:rPr>
          <w:rFonts w:hint="eastAsia" w:ascii="仿宋_GB2312" w:hAnsi="仿宋_GB2312" w:eastAsia="仿宋_GB2312" w:cs="仿宋_GB2312"/>
          <w:sz w:val="24"/>
        </w:rPr>
        <w:t>本项目以数据电文形式，依托“政府采购云平台（www.zcygov.cn）”进行采购活动，不接受纸质响应文件。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（2）响应准备：</w:t>
      </w:r>
      <w:r>
        <w:rPr>
          <w:rFonts w:hint="eastAsia" w:ascii="仿宋_GB2312" w:hAnsi="仿宋_GB2312" w:eastAsia="仿宋_GB2312"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（3）磋商文件的获取：</w:t>
      </w:r>
      <w:r>
        <w:rPr>
          <w:rFonts w:hint="eastAsia" w:ascii="仿宋_GB2312" w:hAnsi="仿宋_GB2312" w:eastAsia="仿宋_GB2312" w:cs="仿宋_GB2312"/>
          <w:sz w:val="24"/>
        </w:rPr>
        <w:t>使用账号登录或者使用CA登录政采云平台；进入“项目采购”应用，在获取采购文件菜单中选择项目，获取磋商文件。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（4）响应文件的制作：</w:t>
      </w:r>
      <w:r>
        <w:rPr>
          <w:rFonts w:hint="eastAsia" w:ascii="仿宋_GB2312" w:hAnsi="仿宋_GB2312" w:eastAsia="仿宋_GB2312" w:cs="仿宋_GB2312"/>
          <w:sz w:val="24"/>
        </w:rPr>
        <w:t>在“政采云电子交易客户端”中完成“填写基本信息”、“导入投标文件”、“标书关联”、“标书检查”、“电子签名”、“生成电子标书”等操作。</w:t>
      </w:r>
    </w:p>
    <w:p>
      <w:pPr>
        <w:pStyle w:val="12"/>
        <w:spacing w:line="360" w:lineRule="auto"/>
        <w:ind w:firstLine="354" w:firstLineChars="147"/>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（5）响应文件的传输递交：</w:t>
      </w:r>
      <w:r>
        <w:rPr>
          <w:rFonts w:hint="eastAsia" w:ascii="仿宋_GB2312" w:hAnsi="仿宋_GB2312" w:eastAsia="仿宋_GB2312"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（6）响应文件的解密：</w:t>
      </w:r>
      <w:r>
        <w:rPr>
          <w:rFonts w:hint="eastAsia" w:ascii="仿宋_GB2312" w:hAnsi="仿宋_GB2312" w:eastAsia="仿宋_GB2312"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（7）具体操作指南</w:t>
      </w:r>
      <w:r>
        <w:rPr>
          <w:rFonts w:hint="eastAsia" w:ascii="仿宋_GB2312" w:hAnsi="仿宋_GB2312" w:eastAsia="仿宋_GB2312" w:cs="仿宋_GB2312"/>
          <w:sz w:val="24"/>
        </w:rPr>
        <w:t>：详见政采云平台“服务中心-帮助文档-项目采购-操作流程-电子招投标-政府采购项目电子交易管理操作指南-供应商”。</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（8）政府采购云平台技术咨询电话</w:t>
      </w:r>
      <w:r>
        <w:rPr>
          <w:rFonts w:hint="eastAsia" w:ascii="仿宋_GB2312" w:hAnsi="仿宋_GB2312" w:eastAsia="仿宋_GB2312" w:cs="仿宋_GB2312"/>
          <w:sz w:val="24"/>
        </w:rPr>
        <w:t>：400-881-7190。</w:t>
      </w:r>
    </w:p>
    <w:p>
      <w:pPr>
        <w:pStyle w:val="4"/>
        <w:numPr>
          <w:ilvl w:val="0"/>
          <w:numId w:val="0"/>
        </w:numPr>
        <w:rPr>
          <w:rFonts w:hAnsi="黑体" w:cs="宋体"/>
          <w:sz w:val="24"/>
          <w:szCs w:val="24"/>
        </w:rPr>
      </w:pPr>
      <w:bookmarkStart w:id="27" w:name="_Toc28359018"/>
      <w:bookmarkStart w:id="28" w:name="_Toc35393636"/>
      <w:bookmarkStart w:id="29" w:name="_Toc35393805"/>
      <w:bookmarkStart w:id="30" w:name="_Toc28359095"/>
      <w:r>
        <w:rPr>
          <w:rFonts w:hint="eastAsia" w:hAnsi="黑体" w:cs="宋体"/>
          <w:sz w:val="24"/>
          <w:szCs w:val="24"/>
        </w:rPr>
        <w:t>八、凡对本次采购提出询问，请按以下方式联系。</w:t>
      </w:r>
      <w:bookmarkEnd w:id="27"/>
      <w:bookmarkEnd w:id="28"/>
      <w:bookmarkEnd w:id="29"/>
      <w:bookmarkEnd w:id="30"/>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杭州市规划和自然资源局临安分局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杭州市临安区锦北街道科技大道4398号行政服务中心3号楼</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许文佳</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0571-63724864</w:t>
      </w:r>
    </w:p>
    <w:p>
      <w:pPr>
        <w:spacing w:line="360" w:lineRule="auto"/>
        <w:rPr>
          <w:rFonts w:hint="eastAsia" w:ascii="仿宋" w:hAnsi="仿宋" w:eastAsia="仿宋_GB2312"/>
          <w:sz w:val="24"/>
          <w:lang w:val="en-US" w:eastAsia="zh-CN"/>
        </w:rPr>
      </w:pPr>
      <w:r>
        <w:rPr>
          <w:rFonts w:ascii="仿宋_GB2312" w:hAnsi="仿宋" w:eastAsia="仿宋_GB2312"/>
          <w:sz w:val="24"/>
        </w:rPr>
        <w:t xml:space="preserve">    质疑联系人：</w:t>
      </w:r>
      <w:r>
        <w:rPr>
          <w:rFonts w:hint="eastAsia" w:ascii="仿宋_GB2312" w:hAnsi="仿宋" w:eastAsia="仿宋_GB2312"/>
          <w:sz w:val="24"/>
          <w:lang w:val="en-US" w:eastAsia="zh-CN"/>
        </w:rPr>
        <w:t>周炀</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0571-63820720</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浙江中审工程咨询有限公司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color w:val="auto"/>
          <w:sz w:val="24"/>
          <w:szCs w:val="24"/>
          <w:highlight w:val="none"/>
          <w:lang w:val="en-US" w:eastAsia="zh-CN"/>
        </w:rPr>
        <w:t>临安区临水路328号铂盛汇1-1幢202</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s="Times New Roman"/>
          <w:color w:val="auto"/>
          <w:sz w:val="24"/>
          <w:szCs w:val="24"/>
          <w:highlight w:val="none"/>
          <w:lang w:val="en-US" w:eastAsia="zh-CN"/>
        </w:rPr>
        <w:t>童莉莉</w:t>
      </w:r>
      <w:r>
        <w:rPr>
          <w:rFonts w:hint="eastAsia" w:ascii="仿宋_GB2312" w:hAnsi="仿宋" w:eastAsia="仿宋_GB2312" w:cs="Times New Roman"/>
          <w:color w:val="auto"/>
          <w:sz w:val="24"/>
          <w:szCs w:val="24"/>
          <w:highlight w:val="none"/>
        </w:rPr>
        <w:t xml:space="preserve"> </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陈瑶</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cs="Times New Roman"/>
          <w:color w:val="auto"/>
          <w:sz w:val="24"/>
          <w:szCs w:val="24"/>
          <w:highlight w:val="none"/>
          <w:lang w:val="en-US" w:eastAsia="zh-CN"/>
        </w:rPr>
        <w:t>0571-61109731</w:t>
      </w:r>
      <w:r>
        <w:rPr>
          <w:rFonts w:hint="eastAsia"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cs="Times New Roman"/>
          <w:color w:val="auto"/>
          <w:sz w:val="24"/>
          <w:szCs w:val="24"/>
          <w:highlight w:val="none"/>
        </w:rPr>
        <w:t xml:space="preserve">杭州市临安区财政局政府采购监督管理科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color w:val="auto"/>
          <w:sz w:val="24"/>
          <w:highlight w:val="none"/>
        </w:rPr>
        <w:t>浙江</w:t>
      </w:r>
      <w:r>
        <w:rPr>
          <w:rFonts w:hint="eastAsia" w:ascii="仿宋_GB2312" w:hAnsi="仿宋" w:eastAsia="仿宋_GB2312"/>
          <w:color w:val="auto"/>
          <w:sz w:val="24"/>
          <w:highlight w:val="none"/>
          <w:lang w:eastAsia="zh-CN"/>
        </w:rPr>
        <w:t>省杭州市临安区锦北街道科技大道</w:t>
      </w:r>
      <w:r>
        <w:rPr>
          <w:rFonts w:hint="eastAsia" w:ascii="仿宋_GB2312" w:hAnsi="仿宋" w:eastAsia="仿宋_GB2312"/>
          <w:color w:val="auto"/>
          <w:sz w:val="24"/>
          <w:highlight w:val="none"/>
          <w:lang w:val="en-US" w:eastAsia="zh-CN"/>
        </w:rPr>
        <w:t>4398号4号楼11楼</w:t>
      </w:r>
      <w:r>
        <w:rPr>
          <w:rFonts w:hint="eastAsia" w:ascii="仿宋_GB2312" w:hAnsi="仿宋" w:eastAsia="仿宋_GB2312" w:cs="Times New Roman"/>
          <w:color w:val="auto"/>
          <w:sz w:val="24"/>
          <w:szCs w:val="24"/>
          <w:highlight w:val="none"/>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cs="Times New Roman"/>
          <w:color w:val="auto"/>
          <w:sz w:val="24"/>
          <w:szCs w:val="24"/>
          <w:highlight w:val="none"/>
        </w:rPr>
        <w:t>0571-63722886</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cs="Times New Roman"/>
          <w:color w:val="auto"/>
          <w:sz w:val="24"/>
          <w:szCs w:val="24"/>
          <w:highlight w:val="none"/>
        </w:rPr>
        <w:t xml:space="preserve">喻伟建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cs="Times New Roman"/>
          <w:color w:val="auto"/>
          <w:sz w:val="24"/>
          <w:szCs w:val="24"/>
          <w:highlight w:val="none"/>
        </w:rPr>
        <w:t xml:space="preserve">0571-61073953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spacing w:line="360" w:lineRule="auto"/>
        <w:ind w:firstLine="440" w:firstLineChars="200"/>
        <w:rPr>
          <w:rFonts w:ascii="仿宋_GB2312" w:hAnsi="仿宋" w:eastAsia="仿宋_GB2312"/>
          <w:sz w:val="22"/>
          <w:szCs w:val="22"/>
        </w:rPr>
      </w:pPr>
    </w:p>
    <w:p>
      <w:pPr>
        <w:spacing w:line="360" w:lineRule="auto"/>
        <w:ind w:firstLine="440" w:firstLineChars="200"/>
        <w:rPr>
          <w:rFonts w:ascii="仿宋_GB2312" w:hAnsi="仿宋" w:eastAsia="仿宋_GB2312"/>
          <w:sz w:val="24"/>
        </w:rPr>
      </w:pPr>
      <w:r>
        <w:rPr>
          <w:rFonts w:ascii="仿宋_GB2312" w:hAnsi="仿宋" w:eastAsia="仿宋_GB2312"/>
          <w:sz w:val="22"/>
          <w:szCs w:val="22"/>
        </w:rPr>
        <w:t>CA问题联系电话（人工）：</w:t>
      </w:r>
      <w:r>
        <w:rPr>
          <w:rFonts w:hint="eastAsia" w:ascii="仿宋_GB2312" w:hAnsi="仿宋" w:eastAsia="仿宋_GB2312"/>
          <w:sz w:val="22"/>
          <w:szCs w:val="22"/>
        </w:rPr>
        <w:t>汇信</w:t>
      </w:r>
      <w:r>
        <w:rPr>
          <w:rFonts w:ascii="仿宋_GB2312" w:hAnsi="仿宋" w:eastAsia="仿宋_GB2312"/>
          <w:sz w:val="22"/>
          <w:szCs w:val="22"/>
        </w:rPr>
        <w:t>CA 400-888-4636；天谷CA 400-087-8198。</w:t>
      </w:r>
    </w:p>
    <w:p>
      <w:pPr>
        <w:pStyle w:val="18"/>
        <w:ind w:left="0" w:leftChars="0" w:firstLine="0" w:firstLineChars="0"/>
        <w:rPr>
          <w:rFonts w:hint="eastAsia" w:ascii="仿宋_GB2312" w:hAnsi="仿宋_GB2312" w:eastAsia="仿宋_GB2312" w:cs="仿宋_GB2312"/>
          <w:b/>
          <w:sz w:val="36"/>
          <w:szCs w:val="20"/>
        </w:rPr>
      </w:pPr>
    </w:p>
    <w:p>
      <w:pPr>
        <w:adjustRightInd/>
        <w:spacing w:line="360" w:lineRule="auto"/>
        <w:jc w:val="center"/>
        <w:outlineLvl w:val="0"/>
        <w:rPr>
          <w:rFonts w:hint="eastAsia" w:ascii="仿宋_GB2312" w:hAnsi="仿宋_GB2312" w:eastAsia="仿宋_GB2312" w:cs="仿宋_GB2312"/>
          <w:b/>
          <w:sz w:val="36"/>
          <w:szCs w:val="20"/>
        </w:rPr>
      </w:pPr>
    </w:p>
    <w:p>
      <w:pPr>
        <w:adjustRightInd/>
        <w:spacing w:line="360" w:lineRule="auto"/>
        <w:jc w:val="both"/>
        <w:outlineLvl w:val="0"/>
        <w:rPr>
          <w:rFonts w:hint="eastAsia" w:ascii="仿宋_GB2312" w:hAnsi="仿宋_GB2312" w:eastAsia="仿宋_GB2312" w:cs="仿宋_GB2312"/>
          <w:b/>
          <w:sz w:val="36"/>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6"/>
          <w:szCs w:val="20"/>
        </w:rPr>
        <w:t>第二部分 竞争性磋商流程</w:t>
      </w:r>
    </w:p>
    <w:p>
      <w:pPr>
        <w:pStyle w:val="27"/>
        <w:spacing w:before="0"/>
        <w:ind w:firstLine="0" w:firstLineChars="0"/>
        <w:rPr>
          <w:rFonts w:hint="eastAsia" w:ascii="仿宋_GB2312" w:hAnsi="仿宋_GB2312" w:eastAsia="仿宋_GB2312" w:cs="仿宋_GB2312"/>
          <w:b/>
        </w:rPr>
      </w:pPr>
      <w:r>
        <w:rPr>
          <w:rFonts w:hint="eastAsia" w:ascii="仿宋_GB2312" w:hAnsi="仿宋" w:eastAsia="仿宋_GB2312"/>
          <w:b/>
          <w:szCs w:val="24"/>
        </w:rPr>
        <w:t>1.征</w:t>
      </w:r>
      <w:r>
        <w:rPr>
          <w:rFonts w:hint="eastAsia" w:ascii="仿宋_GB2312" w:hAnsi="仿宋_GB2312" w:eastAsia="仿宋_GB2312" w:cs="仿宋_GB2312"/>
          <w:b/>
          <w:szCs w:val="24"/>
        </w:rPr>
        <w:t>集供应商</w:t>
      </w:r>
    </w:p>
    <w:p>
      <w:pPr>
        <w:pStyle w:val="27"/>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27"/>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1.2供应商获取磋商采购文件。</w:t>
      </w:r>
    </w:p>
    <w:p>
      <w:pPr>
        <w:pStyle w:val="27"/>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1.3组织现场考察或召开答疑会（如果有）。</w:t>
      </w:r>
    </w:p>
    <w:p>
      <w:pPr>
        <w:pStyle w:val="27"/>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1.4发布更正（延期）公告，澄清或修改磋商文件（如果有）。</w:t>
      </w:r>
    </w:p>
    <w:p>
      <w:pPr>
        <w:pStyle w:val="27"/>
        <w:spacing w:before="0"/>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1.5供应商按磋商文件要求编制响应文件。</w:t>
      </w:r>
    </w:p>
    <w:p>
      <w:pPr>
        <w:pStyle w:val="27"/>
        <w:spacing w:before="0"/>
        <w:ind w:firstLine="0" w:firstLineChars="0"/>
        <w:rPr>
          <w:rFonts w:hint="eastAsia" w:ascii="仿宋_GB2312" w:hAnsi="仿宋_GB2312" w:eastAsia="仿宋_GB2312" w:cs="仿宋_GB2312"/>
          <w:b/>
        </w:rPr>
      </w:pPr>
      <w:r>
        <w:rPr>
          <w:rFonts w:hint="eastAsia" w:ascii="仿宋_GB2312" w:hAnsi="仿宋_GB2312" w:eastAsia="仿宋_GB2312" w:cs="仿宋_GB2312"/>
          <w:b/>
        </w:rPr>
        <w:t>2.开启响应文件与信用信息查询</w:t>
      </w:r>
    </w:p>
    <w:p>
      <w:pPr>
        <w:pStyle w:val="27"/>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2.1供应商依据“响应文件提交的截止时间与地点”通过政采云平台在线提交响应文件。供应商在提交响应文件截止时间前，可以补充、修改或撤回响应文件。</w:t>
      </w:r>
    </w:p>
    <w:p>
      <w:pPr>
        <w:pStyle w:val="27"/>
        <w:spacing w:before="0"/>
        <w:ind w:firstLine="480"/>
        <w:rPr>
          <w:rFonts w:ascii="仿宋_GB2312" w:hAnsi="仿宋" w:eastAsia="仿宋_GB2312"/>
          <w:szCs w:val="24"/>
        </w:rPr>
      </w:pPr>
      <w:r>
        <w:rPr>
          <w:rFonts w:hint="eastAsia" w:ascii="仿宋_GB2312" w:hAnsi="仿宋" w:eastAsia="仿宋_GB2312"/>
          <w:szCs w:val="24"/>
        </w:rPr>
        <w:t>2.</w:t>
      </w:r>
      <w:r>
        <w:rPr>
          <w:rFonts w:hint="eastAsia" w:ascii="仿宋_GB2312" w:hAnsi="仿宋" w:eastAsia="仿宋_GB2312"/>
          <w:szCs w:val="24"/>
          <w:lang w:val="en-US" w:eastAsia="zh-CN"/>
        </w:rPr>
        <w:t>2</w:t>
      </w:r>
      <w:r>
        <w:rPr>
          <w:rFonts w:hint="eastAsia" w:ascii="仿宋_GB2312" w:hAnsi="仿宋" w:eastAsia="仿宋_GB2312" w:cs="Arial"/>
          <w:kern w:val="0"/>
          <w:szCs w:val="24"/>
        </w:rPr>
        <w:t>采购机构将通过“信用中国”网站(</w:t>
      </w:r>
      <w:r>
        <w:fldChar w:fldCharType="begin"/>
      </w:r>
      <w:r>
        <w:instrText xml:space="preserve"> HYPERLINK "http://www.creditchina.gov.cn" </w:instrText>
      </w:r>
      <w:r>
        <w:fldChar w:fldCharType="separate"/>
      </w:r>
      <w:r>
        <w:rPr>
          <w:rStyle w:val="24"/>
          <w:rFonts w:hint="eastAsia" w:ascii="仿宋_GB2312" w:hAnsi="仿宋" w:eastAsia="仿宋_GB2312"/>
          <w:snapToGrid/>
          <w:color w:val="auto"/>
          <w:sz w:val="24"/>
          <w:szCs w:val="24"/>
        </w:rPr>
        <w:t>www.creditchina.gov.cn</w:t>
      </w:r>
      <w:r>
        <w:rPr>
          <w:rFonts w:hint="eastAsia" w:ascii="仿宋_GB2312" w:hAnsi="仿宋" w:eastAsia="仿宋_GB2312"/>
          <w:szCs w:val="24"/>
        </w:rPr>
        <w:fldChar w:fldCharType="end"/>
      </w:r>
      <w:r>
        <w:rPr>
          <w:rFonts w:hint="eastAsia" w:ascii="仿宋_GB2312" w:hAnsi="仿宋" w:eastAsia="仿宋_GB2312" w:cs="Arial"/>
          <w:kern w:val="0"/>
          <w:szCs w:val="24"/>
        </w:rPr>
        <w:t>)和中国政府采购网(www.ccgp.gov.cn)渠道查询供应商响应截止时间当日的信用记录。</w:t>
      </w:r>
    </w:p>
    <w:p>
      <w:pPr>
        <w:pStyle w:val="27"/>
        <w:spacing w:before="0"/>
        <w:ind w:firstLine="0" w:firstLineChars="0"/>
        <w:rPr>
          <w:rFonts w:ascii="仿宋_GB2312" w:hAnsi="仿宋" w:eastAsia="仿宋_GB2312"/>
          <w:b/>
        </w:rPr>
      </w:pPr>
      <w:r>
        <w:rPr>
          <w:rFonts w:hint="eastAsia" w:ascii="仿宋_GB2312" w:hAnsi="仿宋" w:eastAsia="仿宋_GB2312"/>
          <w:b/>
        </w:rPr>
        <w:t>3.磋商与评审</w:t>
      </w:r>
    </w:p>
    <w:p>
      <w:pPr>
        <w:pStyle w:val="27"/>
        <w:spacing w:before="0"/>
        <w:ind w:firstLine="480"/>
        <w:rPr>
          <w:rFonts w:ascii="仿宋_GB2312" w:hAnsi="仿宋" w:eastAsia="仿宋_GB2312"/>
          <w:szCs w:val="24"/>
        </w:rPr>
      </w:pPr>
      <w:r>
        <w:rPr>
          <w:rFonts w:hint="eastAsia" w:ascii="仿宋_GB2312" w:hAnsi="仿宋" w:eastAsia="仿宋_GB2312"/>
          <w:szCs w:val="24"/>
        </w:rPr>
        <w:t>3.1磋商小组签到。</w:t>
      </w:r>
    </w:p>
    <w:p>
      <w:pPr>
        <w:pStyle w:val="27"/>
        <w:spacing w:before="0"/>
        <w:ind w:firstLine="480"/>
        <w:rPr>
          <w:rFonts w:ascii="仿宋_GB2312" w:hAnsi="仿宋" w:eastAsia="仿宋_GB2312"/>
          <w:szCs w:val="24"/>
        </w:rPr>
      </w:pPr>
      <w:r>
        <w:rPr>
          <w:rFonts w:hint="eastAsia" w:ascii="仿宋_GB2312" w:hAnsi="仿宋" w:eastAsia="仿宋_GB2312"/>
          <w:szCs w:val="24"/>
        </w:rPr>
        <w:t>3.2采购机构宣布有关纪律以及磋商、评审工作程序。</w:t>
      </w:r>
    </w:p>
    <w:p>
      <w:pPr>
        <w:pStyle w:val="27"/>
        <w:spacing w:before="0"/>
        <w:ind w:firstLine="480"/>
        <w:rPr>
          <w:rFonts w:ascii="仿宋_GB2312" w:hAnsi="仿宋" w:eastAsia="仿宋_GB2312"/>
          <w:szCs w:val="24"/>
        </w:rPr>
      </w:pPr>
      <w:r>
        <w:rPr>
          <w:rFonts w:hint="eastAsia" w:ascii="仿宋_GB2312" w:hAnsi="仿宋" w:eastAsia="仿宋_GB2312"/>
          <w:szCs w:val="24"/>
        </w:rPr>
        <w:t>3.3磋商小组审查确认磋商文件。磋商文件内容违反国家有关强制性规定的，磋商小组应当停止评审并向采购机构说明情况。</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3.4</w:t>
      </w:r>
      <w:r>
        <w:rPr>
          <w:rFonts w:hint="eastAsia" w:ascii="仿宋_GB2312" w:hAnsi="仿宋" w:eastAsia="仿宋_GB2312"/>
          <w:szCs w:val="24"/>
          <w:lang w:eastAsia="zh-CN"/>
        </w:rPr>
        <w:t>采购人</w:t>
      </w:r>
      <w:r>
        <w:rPr>
          <w:rFonts w:hint="eastAsia" w:ascii="仿宋_GB2312" w:hAnsi="仿宋" w:eastAsia="仿宋_GB2312"/>
          <w:szCs w:val="24"/>
        </w:rPr>
        <w:t>对供应商的资格进行审查。</w:t>
      </w:r>
    </w:p>
    <w:p>
      <w:pPr>
        <w:pStyle w:val="27"/>
        <w:spacing w:before="0"/>
        <w:ind w:firstLine="480"/>
        <w:rPr>
          <w:rFonts w:hint="default" w:ascii="仿宋_GB2312" w:hAnsi="仿宋" w:eastAsia="仿宋_GB2312"/>
          <w:szCs w:val="24"/>
          <w:lang w:val="en-US" w:eastAsia="zh-CN"/>
        </w:rPr>
      </w:pPr>
      <w:r>
        <w:rPr>
          <w:rFonts w:hint="eastAsia" w:ascii="仿宋_GB2312" w:hAnsi="仿宋" w:eastAsia="仿宋_GB2312"/>
          <w:szCs w:val="24"/>
        </w:rPr>
        <w:t>3.5磋商小组审查响应文件。</w:t>
      </w:r>
    </w:p>
    <w:p>
      <w:pPr>
        <w:pStyle w:val="27"/>
        <w:spacing w:before="0"/>
        <w:ind w:firstLine="480"/>
        <w:rPr>
          <w:rFonts w:ascii="仿宋_GB2312" w:hAnsi="仿宋" w:eastAsia="仿宋_GB2312"/>
          <w:szCs w:val="24"/>
        </w:rPr>
      </w:pPr>
      <w:r>
        <w:rPr>
          <w:rFonts w:hint="eastAsia" w:ascii="仿宋_GB2312" w:hAnsi="仿宋" w:eastAsia="仿宋_GB2312"/>
          <w:szCs w:val="24"/>
        </w:rPr>
        <w:t>3.</w:t>
      </w:r>
      <w:r>
        <w:rPr>
          <w:rFonts w:hint="eastAsia" w:ascii="仿宋_GB2312" w:hAnsi="仿宋" w:eastAsia="仿宋_GB2312"/>
          <w:szCs w:val="24"/>
          <w:lang w:val="en-US" w:eastAsia="zh-CN"/>
        </w:rPr>
        <w:t>6</w:t>
      </w:r>
      <w:r>
        <w:rPr>
          <w:rFonts w:hint="eastAsia" w:ascii="仿宋_GB2312" w:hAnsi="仿宋" w:eastAsia="仿宋_GB2312"/>
          <w:szCs w:val="24"/>
        </w:rPr>
        <w:t>对于未实质性响应磋商文件的响应文件由磋商小组认定响应无效，并告知该供应商。</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7"/>
        <w:spacing w:before="0"/>
        <w:ind w:firstLine="480"/>
        <w:rPr>
          <w:rFonts w:hint="eastAsia" w:ascii="仿宋_GB2312" w:hAnsi="仿宋" w:eastAsia="仿宋_GB2312" w:cs="Times New Roman"/>
          <w:szCs w:val="24"/>
        </w:rPr>
      </w:pPr>
      <w:r>
        <w:rPr>
          <w:rFonts w:hint="eastAsia" w:ascii="仿宋_GB2312" w:hAnsi="仿宋_GB2312" w:eastAsia="仿宋_GB2312" w:cs="仿宋_GB2312"/>
          <w:snapToGrid/>
          <w:color w:val="auto"/>
          <w:kern w:val="2"/>
          <w:sz w:val="24"/>
          <w:szCs w:val="24"/>
        </w:rPr>
        <w:t>3.</w:t>
      </w:r>
      <w:r>
        <w:rPr>
          <w:rFonts w:hint="eastAsia" w:ascii="仿宋_GB2312" w:hAnsi="仿宋_GB2312" w:eastAsia="仿宋_GB2312" w:cs="仿宋_GB2312"/>
          <w:snapToGrid/>
          <w:color w:val="auto"/>
          <w:kern w:val="2"/>
          <w:sz w:val="24"/>
          <w:szCs w:val="24"/>
          <w:lang w:val="en-US" w:eastAsia="zh-CN"/>
        </w:rPr>
        <w:t>8</w:t>
      </w:r>
      <w:r>
        <w:rPr>
          <w:rFonts w:hint="eastAsia" w:ascii="仿宋_GB2312" w:hAnsi="仿宋_GB2312" w:eastAsia="仿宋_GB2312" w:cs="仿宋_GB2312"/>
          <w:snapToGrid/>
          <w:color w:val="auto"/>
          <w:kern w:val="2"/>
          <w:sz w:val="24"/>
          <w:szCs w:val="24"/>
        </w:rPr>
        <w:t>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napToGrid/>
          <w:color w:val="auto"/>
          <w:kern w:val="2"/>
          <w:sz w:val="24"/>
          <w:szCs w:val="24"/>
        </w:rPr>
        <w:t>磋</w:t>
      </w:r>
      <w:r>
        <w:rPr>
          <w:rFonts w:hint="eastAsia" w:ascii="仿宋_GB2312" w:hAnsi="仿宋" w:eastAsia="仿宋_GB2312" w:cs="Times New Roman"/>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7"/>
        <w:spacing w:before="0"/>
        <w:ind w:firstLine="480"/>
        <w:rPr>
          <w:rFonts w:hint="eastAsia" w:ascii="仿宋_GB2312" w:hAnsi="仿宋" w:eastAsia="仿宋_GB2312" w:cs="Times New Roman"/>
          <w:szCs w:val="24"/>
        </w:rPr>
      </w:pPr>
      <w:r>
        <w:rPr>
          <w:rFonts w:hint="eastAsia" w:ascii="仿宋_GB2312" w:hAnsi="仿宋" w:eastAsia="仿宋_GB2312" w:cs="Times New Roman"/>
          <w:szCs w:val="24"/>
        </w:rPr>
        <w:t>3.</w:t>
      </w:r>
      <w:r>
        <w:rPr>
          <w:rFonts w:hint="eastAsia" w:ascii="仿宋_GB2312" w:hAnsi="仿宋" w:eastAsia="仿宋_GB2312" w:cs="Times New Roman"/>
          <w:szCs w:val="24"/>
          <w:lang w:val="en-US" w:eastAsia="zh-CN"/>
        </w:rPr>
        <w:t>9</w:t>
      </w:r>
      <w:r>
        <w:rPr>
          <w:rFonts w:hint="eastAsia" w:ascii="仿宋_GB2312" w:hAnsi="仿宋" w:eastAsia="仿宋_GB2312" w:cs="Times New Roman"/>
          <w:szCs w:val="24"/>
        </w:rPr>
        <w:t>经磋商确定磋商文件的变动情况。对磋商文件作出的实质性变动是磋商文件的有效组成部分，磋商小组应当及时以书面形式同时通知所有参加磋商的供应商。</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7"/>
        <w:spacing w:before="0"/>
        <w:ind w:firstLine="480"/>
        <w:rPr>
          <w:rFonts w:ascii="仿宋_GB2312" w:hAnsi="仿宋" w:eastAsia="仿宋_GB2312"/>
          <w:szCs w:val="24"/>
        </w:rPr>
      </w:pPr>
      <w:r>
        <w:rPr>
          <w:rFonts w:hint="eastAsia" w:ascii="仿宋_GB2312" w:hAnsi="仿宋" w:eastAsia="仿宋_GB2312"/>
          <w:szCs w:val="24"/>
        </w:rPr>
        <w:t>3.11磋商小组按照下列方式确定提交最后报价的供应商，有特殊规定的从其规定：</w:t>
      </w:r>
    </w:p>
    <w:p>
      <w:pPr>
        <w:pStyle w:val="27"/>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7"/>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7"/>
        <w:spacing w:before="0"/>
        <w:ind w:firstLine="480"/>
        <w:rPr>
          <w:rFonts w:ascii="仿宋_GB2312" w:hAnsi="仿宋" w:eastAsia="仿宋_GB2312"/>
          <w:szCs w:val="24"/>
        </w:rPr>
      </w:pPr>
      <w:r>
        <w:rPr>
          <w:rFonts w:hint="eastAsia" w:ascii="仿宋_GB2312" w:hAnsi="仿宋" w:eastAsia="仿宋_GB2312"/>
          <w:szCs w:val="24"/>
        </w:rPr>
        <w:t>3.12确定进入最后报价的供应商在规定时间内提交最后报价。</w:t>
      </w:r>
    </w:p>
    <w:p>
      <w:pPr>
        <w:pStyle w:val="27"/>
        <w:spacing w:before="0"/>
        <w:ind w:firstLine="480"/>
        <w:rPr>
          <w:rFonts w:ascii="仿宋_GB2312" w:hAnsi="仿宋" w:eastAsia="仿宋_GB2312"/>
          <w:szCs w:val="24"/>
        </w:rPr>
      </w:pPr>
      <w:r>
        <w:rPr>
          <w:rFonts w:hint="eastAsia" w:ascii="仿宋_GB2312" w:hAnsi="仿宋" w:eastAsia="仿宋_GB2312"/>
          <w:szCs w:val="24"/>
        </w:rPr>
        <w:t>3.13采购机构唱价。</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3.15磋商小组应当根据综合评分情况，按照评审得分由高到低顺序推荐3名以上成交候选供应商，并编写评审报告。</w:t>
      </w:r>
    </w:p>
    <w:p>
      <w:pPr>
        <w:pStyle w:val="27"/>
        <w:spacing w:before="0"/>
        <w:ind w:firstLine="0" w:firstLineChars="0"/>
        <w:rPr>
          <w:rFonts w:ascii="仿宋_GB2312" w:hAnsi="仿宋" w:eastAsia="仿宋_GB2312"/>
          <w:b/>
        </w:rPr>
      </w:pPr>
      <w:r>
        <w:rPr>
          <w:rFonts w:hint="eastAsia" w:ascii="仿宋_GB2312" w:hAnsi="仿宋" w:eastAsia="仿宋_GB2312"/>
          <w:b/>
        </w:rPr>
        <w:t>4. 定标</w:t>
      </w:r>
    </w:p>
    <w:p>
      <w:pPr>
        <w:pStyle w:val="27"/>
        <w:spacing w:before="0"/>
        <w:ind w:firstLine="480"/>
        <w:rPr>
          <w:rFonts w:ascii="仿宋_GB2312" w:hAnsi="仿宋" w:eastAsia="仿宋_GB2312"/>
          <w:szCs w:val="24"/>
        </w:rPr>
      </w:pPr>
      <w:r>
        <w:rPr>
          <w:rFonts w:hint="eastAsia" w:ascii="仿宋_GB2312" w:hAnsi="仿宋" w:eastAsia="仿宋_GB2312"/>
          <w:szCs w:val="24"/>
        </w:rPr>
        <w:t>4.1采购机构应当在评审结束后2个工作日内，将评审报告送采购人确认。</w:t>
      </w:r>
    </w:p>
    <w:p>
      <w:pPr>
        <w:pStyle w:val="27"/>
        <w:spacing w:before="0"/>
        <w:ind w:firstLine="480"/>
        <w:rPr>
          <w:rFonts w:ascii="仿宋_GB2312" w:hAnsi="仿宋" w:eastAsia="仿宋_GB2312"/>
          <w:szCs w:val="24"/>
        </w:rPr>
      </w:pPr>
      <w:r>
        <w:rPr>
          <w:rFonts w:hint="eastAsia" w:ascii="仿宋_GB2312" w:hAnsi="仿宋" w:eastAsia="仿宋_GB2312"/>
          <w:szCs w:val="24"/>
        </w:rPr>
        <w:t>4.2采购人应当在收到评审报告后</w:t>
      </w:r>
      <w:r>
        <w:rPr>
          <w:rFonts w:hint="eastAsia" w:ascii="仿宋_GB2312" w:hAnsi="仿宋" w:eastAsia="仿宋_GB2312"/>
          <w:szCs w:val="24"/>
          <w:lang w:val="en-US" w:eastAsia="zh-CN"/>
        </w:rPr>
        <w:t>2</w:t>
      </w:r>
      <w:r>
        <w:rPr>
          <w:rFonts w:hint="eastAsia" w:ascii="仿宋_GB2312" w:hAnsi="仿宋" w:eastAsia="仿宋_GB2312"/>
          <w:szCs w:val="24"/>
        </w:rPr>
        <w:t>个工作日内，从评审报告提出的成交候选供应商中，按照排序由高到低的原则确定成交供应商，采购人也可以书面授权磋商小组直接确定成交供应商。</w:t>
      </w:r>
    </w:p>
    <w:p>
      <w:pPr>
        <w:pStyle w:val="27"/>
        <w:spacing w:before="0"/>
        <w:ind w:firstLine="480"/>
        <w:rPr>
          <w:rFonts w:ascii="仿宋_GB2312" w:hAnsi="仿宋" w:eastAsia="仿宋_GB2312"/>
          <w:szCs w:val="24"/>
        </w:rPr>
      </w:pPr>
      <w:r>
        <w:rPr>
          <w:rFonts w:hint="eastAsia" w:ascii="仿宋_GB2312" w:hAnsi="仿宋"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7"/>
        <w:spacing w:before="0"/>
        <w:ind w:firstLine="0" w:firstLineChars="0"/>
        <w:rPr>
          <w:rFonts w:ascii="仿宋_GB2312" w:hAnsi="宋体" w:eastAsia="仿宋_GB2312" w:cs="宋体"/>
          <w:kern w:val="0"/>
          <w:szCs w:val="21"/>
        </w:rPr>
      </w:pPr>
      <w:r>
        <w:rPr>
          <w:rFonts w:hint="eastAsia" w:ascii="仿宋_GB2312" w:hAnsi="仿宋" w:eastAsia="仿宋_GB2312"/>
          <w:b/>
        </w:rPr>
        <w:t>5.合同及履约验收</w:t>
      </w:r>
    </w:p>
    <w:p>
      <w:pPr>
        <w:pStyle w:val="27"/>
        <w:spacing w:before="0"/>
        <w:ind w:firstLine="480"/>
        <w:rPr>
          <w:rFonts w:ascii="仿宋_GB2312" w:hAnsi="仿宋" w:eastAsia="仿宋_GB2312"/>
          <w:szCs w:val="24"/>
        </w:rPr>
      </w:pPr>
      <w:r>
        <w:rPr>
          <w:rFonts w:hint="eastAsia" w:ascii="仿宋_GB2312" w:hAnsi="仿宋" w:eastAsia="仿宋_GB2312"/>
          <w:szCs w:val="24"/>
        </w:rPr>
        <w:t>5.1采购人与成交供应商应当在成交通知书发出之日起</w:t>
      </w:r>
      <w:r>
        <w:rPr>
          <w:rFonts w:hint="eastAsia" w:ascii="仿宋_GB2312" w:hAnsi="仿宋" w:eastAsia="仿宋_GB2312"/>
          <w:szCs w:val="24"/>
          <w:lang w:val="en-US" w:eastAsia="zh-CN"/>
        </w:rPr>
        <w:t>10</w:t>
      </w:r>
      <w:r>
        <w:rPr>
          <w:rFonts w:hint="eastAsia" w:ascii="仿宋_GB2312" w:hAnsi="仿宋" w:eastAsia="仿宋_GB2312"/>
          <w:szCs w:val="24"/>
        </w:rPr>
        <w:t>日内签订政府采购合同。</w:t>
      </w:r>
    </w:p>
    <w:p>
      <w:pPr>
        <w:pStyle w:val="27"/>
        <w:spacing w:before="0"/>
        <w:ind w:firstLine="480"/>
        <w:rPr>
          <w:rFonts w:hint="eastAsia" w:ascii="仿宋_GB2312" w:hAnsi="仿宋" w:eastAsia="仿宋_GB2312"/>
          <w:szCs w:val="24"/>
        </w:rPr>
      </w:pPr>
      <w:r>
        <w:rPr>
          <w:rFonts w:hint="eastAsia" w:ascii="仿宋_GB2312" w:hAnsi="仿宋" w:eastAsia="仿宋_GB2312"/>
          <w:szCs w:val="24"/>
        </w:rPr>
        <w:t>5.2成交供应商缴纳履约保证金（</w:t>
      </w:r>
      <w:r>
        <w:rPr>
          <w:rFonts w:hint="eastAsia" w:ascii="仿宋_GB2312" w:hAnsi="仿宋" w:eastAsia="仿宋_GB2312" w:cs="Helvetica"/>
          <w:kern w:val="0"/>
        </w:rPr>
        <w:t>拟签订的合同文本要求成交供应商提交履约保证金的，供应商应当以支票、汇票、本票或者金融机构、担保机构出具的保函等非现金形式提交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w:t>
      </w:r>
      <w:r>
        <w:rPr>
          <w:rFonts w:hint="eastAsia" w:ascii="仿宋_GB2312" w:hAnsi="仿宋" w:eastAsia="仿宋_GB2312"/>
          <w:lang w:val="en-US" w:eastAsia="zh-CN"/>
        </w:rPr>
        <w:t>1</w:t>
      </w:r>
      <w:r>
        <w:rPr>
          <w:rFonts w:hint="eastAsia" w:ascii="仿宋_GB2312" w:hAnsi="仿宋" w:eastAsia="仿宋_GB2312"/>
        </w:rPr>
        <w:t>%。</w:t>
      </w:r>
      <w:r>
        <w:rPr>
          <w:rFonts w:hint="eastAsia" w:ascii="仿宋_GB2312" w:hAnsi="仿宋" w:eastAsia="仿宋_GB2312"/>
          <w:b/>
        </w:rPr>
        <w:t>采购人不得拒收履约保函</w:t>
      </w:r>
      <w:r>
        <w:rPr>
          <w:rFonts w:hint="eastAsia" w:ascii="仿宋_GB2312" w:hAnsi="仿宋" w:eastAsia="仿宋_GB2312"/>
          <w:szCs w:val="24"/>
        </w:rPr>
        <w:t>）。</w:t>
      </w:r>
    </w:p>
    <w:p>
      <w:pPr>
        <w:pStyle w:val="27"/>
        <w:spacing w:before="0"/>
        <w:ind w:firstLine="480"/>
        <w:rPr>
          <w:rFonts w:ascii="仿宋_GB2312" w:hAnsi="仿宋" w:eastAsia="仿宋_GB2312"/>
          <w:szCs w:val="24"/>
        </w:rPr>
      </w:pPr>
      <w:r>
        <w:rPr>
          <w:rFonts w:hint="eastAsia" w:ascii="仿宋_GB2312" w:hAnsi="仿宋" w:eastAsia="仿宋_GB2312"/>
          <w:szCs w:val="24"/>
        </w:rPr>
        <w:t>5.3合同履约。</w:t>
      </w:r>
    </w:p>
    <w:p>
      <w:pPr>
        <w:pStyle w:val="27"/>
        <w:spacing w:before="0"/>
        <w:ind w:firstLine="480"/>
        <w:rPr>
          <w:rFonts w:hint="eastAsia" w:ascii="仿宋_GB2312" w:hAnsi="仿宋" w:eastAsia="仿宋_GB2312"/>
          <w:b/>
        </w:rPr>
      </w:pPr>
      <w:r>
        <w:rPr>
          <w:rFonts w:hint="eastAsia" w:ascii="仿宋_GB2312" w:hAnsi="仿宋" w:eastAsia="仿宋_GB2312"/>
          <w:szCs w:val="24"/>
        </w:rPr>
        <w:t>5.4采购人组织验收。</w:t>
      </w: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p>
    <w:p>
      <w:pPr>
        <w:pStyle w:val="27"/>
        <w:spacing w:before="0"/>
        <w:ind w:firstLine="0" w:firstLineChars="0"/>
        <w:rPr>
          <w:rFonts w:hint="eastAsia" w:ascii="仿宋_GB2312" w:hAnsi="仿宋" w:eastAsia="仿宋_GB2312"/>
          <w:b/>
        </w:rPr>
      </w:pPr>
      <w:r>
        <w:rPr>
          <w:rFonts w:hint="eastAsia" w:ascii="仿宋_GB2312" w:hAnsi="仿宋" w:eastAsia="仿宋_GB2312"/>
          <w:b/>
        </w:rPr>
        <w:t>6.竞争性磋商流程图</w:t>
      </w: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hint="eastAsia" w:ascii="仿宋_GB2312" w:hAnsi="仿宋" w:eastAsia="仿宋_GB2312"/>
          <w:b/>
        </w:rPr>
      </w:pPr>
      <w:r>
        <w:rPr>
          <w:rFonts w:ascii="仿宋_GB2312" w:hAnsi="仿宋_GB2312" w:eastAsia="仿宋_GB2312"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 w:eastAsia="仿宋_GB2312"/>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 w:eastAsia="仿宋_GB2312"/>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_GB2312" w:hAnsi="仿宋" w:eastAsia="仿宋_GB2312"/>
          <w:b/>
        </w:rPr>
        <w:br w:type="page"/>
      </w: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 xml:space="preserve">第三部分  </w:t>
      </w:r>
      <w:r>
        <w:rPr>
          <w:rFonts w:hint="eastAsia" w:ascii="仿宋_GB2312" w:hAnsi="仿宋_GB2312" w:eastAsia="仿宋_GB2312" w:cs="仿宋_GB2312"/>
          <w:b/>
          <w:sz w:val="36"/>
        </w:rPr>
        <w:t>供应商须知</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一、前附表</w:t>
      </w: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w:t>
            </w:r>
            <w:r>
              <w:rPr>
                <w:rFonts w:hint="eastAsia" w:ascii="仿宋_GB2312" w:hAnsi="仿宋" w:eastAsia="仿宋_GB2312"/>
                <w:sz w:val="24"/>
              </w:rPr>
              <w:t>全部</w:t>
            </w:r>
            <w:r>
              <w:rPr>
                <w:rFonts w:hint="eastAsia" w:ascii="仿宋_GB2312" w:hAnsi="仿宋" w:eastAsia="仿宋_GB2312"/>
                <w:kern w:val="0"/>
                <w:sz w:val="24"/>
                <w:lang w:val="zh-CN"/>
              </w:rPr>
              <w:t>费用包括税费均计入最后报价。</w:t>
            </w:r>
            <w:r>
              <w:rPr>
                <w:rFonts w:hint="eastAsia" w:ascii="仿宋_GB2312" w:hAnsi="仿宋" w:eastAsia="仿宋_GB2312"/>
                <w:sz w:val="24"/>
              </w:rPr>
              <w:t>《报价一览表》是报价的唯一载体</w:t>
            </w:r>
            <w:r>
              <w:rPr>
                <w:rFonts w:hint="eastAsia" w:ascii="仿宋_GB2312" w:hAnsi="仿宋" w:eastAsia="仿宋_GB2312" w:cs="仿宋_GB2312"/>
                <w:kern w:val="0"/>
                <w:sz w:val="24"/>
                <w:lang w:val="zh-CN"/>
              </w:rPr>
              <w:t>。响应文件中价格全部采用人民币报价。磋商文件未列明，而供应商认为必需的费用也需列入最后报价。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最后报价出现下列情形的，响应无效：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出现不是唯一的、有选择性最后报价的；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响应报价高于本项目采购预算的;</w:t>
            </w:r>
          </w:p>
          <w:p>
            <w:pPr>
              <w:spacing w:line="360" w:lineRule="auto"/>
              <w:rPr>
                <w:rFonts w:ascii="仿宋_GB2312" w:hAnsi="仿宋" w:eastAsia="仿宋_GB2312" w:cs="仿宋_GB2312"/>
                <w:b/>
                <w:sz w:val="24"/>
              </w:rPr>
            </w:pPr>
            <w:r>
              <w:rPr>
                <w:rFonts w:hint="eastAsia" w:ascii="仿宋_GB2312" w:hAnsi="仿宋" w:eastAsia="仿宋_GB2312"/>
                <w:b/>
                <w:sz w:val="24"/>
              </w:rPr>
              <w:t>▲最后</w:t>
            </w:r>
            <w:r>
              <w:rPr>
                <w:rFonts w:hint="eastAsia" w:ascii="仿宋_GB2312" w:hAnsi="仿宋" w:eastAsia="仿宋_GB2312" w:cs="Arial"/>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▲《报价一览表》</w:t>
            </w:r>
            <w:r>
              <w:rPr>
                <w:rFonts w:hint="eastAsia" w:ascii="仿宋_GB2312" w:hAnsi="仿宋" w:eastAsia="仿宋_GB2312"/>
                <w:b/>
                <w:sz w:val="24"/>
                <w:lang w:eastAsia="zh-CN"/>
              </w:rPr>
              <w:t>重要信息</w:t>
            </w:r>
            <w:r>
              <w:rPr>
                <w:rFonts w:hint="eastAsia" w:ascii="仿宋_GB2312" w:hAnsi="仿宋" w:eastAsia="仿宋_GB2312"/>
                <w:b/>
                <w:sz w:val="24"/>
              </w:rPr>
              <w:t>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▲供应商对根据修正原则修正后的报价不确认的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kern w:val="2"/>
                <w:sz w:val="24"/>
                <w:szCs w:val="24"/>
                <w:lang w:val="en-US" w:eastAsia="zh-CN" w:bidi="ar-SA"/>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hint="eastAsia" w:ascii="仿宋_GB2312" w:hAnsi="仿宋" w:eastAsia="仿宋_GB2312"/>
                <w:sz w:val="24"/>
              </w:rPr>
              <w:t>特定资格证明文件：</w:t>
            </w:r>
            <w:r>
              <w:rPr>
                <w:rFonts w:hint="eastAsia" w:ascii="仿宋_GB2312" w:hAnsi="仿宋" w:eastAsia="仿宋_GB2312"/>
                <w:sz w:val="24"/>
                <w:lang w:val="en-US" w:eastAsia="zh-CN"/>
              </w:rPr>
              <w:t>详见采购公告</w:t>
            </w:r>
            <w:r>
              <w:rPr>
                <w:rFonts w:hint="eastAsia" w:ascii="仿宋_GB2312" w:hAnsi="仿宋" w:eastAsia="仿宋_GB2312"/>
                <w:sz w:val="24"/>
              </w:rPr>
              <w:t>。</w:t>
            </w:r>
          </w:p>
          <w:p>
            <w:pPr>
              <w:spacing w:line="360" w:lineRule="auto"/>
              <w:rPr>
                <w:rFonts w:ascii="仿宋_GB2312" w:hAnsi="仿宋" w:eastAsia="仿宋_GB2312"/>
                <w:kern w:val="0"/>
                <w:sz w:val="24"/>
              </w:rPr>
            </w:pPr>
            <w:r>
              <w:rPr>
                <w:rFonts w:hint="eastAsia" w:ascii="仿宋_GB2312" w:hAnsi="仿宋" w:eastAsia="仿宋_GB2312"/>
                <w:sz w:val="24"/>
              </w:rPr>
              <w:t>▲</w:t>
            </w:r>
            <w:r>
              <w:rPr>
                <w:rFonts w:hint="eastAsia" w:ascii="仿宋_GB2312" w:hAnsi="仿宋" w:eastAsia="仿宋_GB2312" w:cs="仿宋_GB2312"/>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b/>
              </w:rPr>
              <w:t>开启响应文件</w:t>
            </w:r>
            <w:r>
              <w:rPr>
                <w:rFonts w:hint="eastAsia" w:ascii="仿宋_GB2312" w:hAnsi="仿宋" w:eastAsia="仿宋_GB2312"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pStyle w:val="12"/>
              <w:spacing w:line="360" w:lineRule="auto"/>
              <w:rPr>
                <w:rFonts w:ascii="仿宋_GB2312" w:hAnsi="仿宋" w:eastAsia="仿宋_GB2312"/>
                <w:sz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hint="eastAsia"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pStyle w:val="12"/>
              <w:spacing w:line="360" w:lineRule="auto"/>
              <w:rPr>
                <w:rFonts w:ascii="仿宋_GB2312" w:hAnsi="仿宋" w:eastAsia="仿宋_GB2312"/>
                <w:b/>
                <w:sz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sz w:val="24"/>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s="仿宋_GB2312"/>
                <w:b/>
                <w:kern w:val="0"/>
                <w:sz w:val="24"/>
                <w:highlight w:val="none"/>
                <w:lang w:val="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lang w:eastAsia="zh-CN"/>
              </w:rPr>
              <w:t>临安区村庄规划评估服务项目</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lang w:val="en-US" w:eastAsia="zh-CN"/>
              </w:rPr>
              <w:t>其他未列明</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b/>
                <w:color w:val="0000FF"/>
                <w:kern w:val="0"/>
                <w:sz w:val="24"/>
                <w:szCs w:val="24"/>
                <w:lang w:val="en-US" w:eastAsia="zh-CN" w:bidi="ar-SA"/>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szCs w:val="24"/>
                <w:lang w:eastAsia="zh-CN"/>
              </w:rPr>
            </w:pP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2"/>
              <w:spacing w:line="360" w:lineRule="auto"/>
              <w:rPr>
                <w:rFonts w:hint="eastAsia" w:ascii="仿宋_GB2312" w:hAnsi="仿宋" w:eastAsia="仿宋_GB2312"/>
                <w:snapToGrid w:val="0"/>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u w:val="single"/>
                <w:lang w:val="en-US" w:eastAsia="zh-CN"/>
              </w:rPr>
              <w:t>临安区临水路328号铂盛汇1-1幢202</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0571-61109731</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szCs w:val="24"/>
                <w:lang w:val="en-US" w:eastAsia="zh-CN"/>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sz w:val="24"/>
                <w:highlight w:val="none"/>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highlight w:val="none"/>
                <w:lang w:val="en-US" w:eastAsia="zh-CN"/>
              </w:rPr>
              <w:t>中标单位在领取中标通知书时须提供与电子投标文件一致的纸质投标文件四份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color w:val="000000" w:themeColor="text1"/>
                <w:sz w:val="24"/>
                <w:highlight w:val="none"/>
                <w:lang w:val="en-US"/>
                <w14:textFill>
                  <w14:solidFill>
                    <w14:schemeClr w14:val="tx1"/>
                  </w14:solidFill>
                </w14:textFill>
              </w:rPr>
            </w:pPr>
            <w:r>
              <w:rPr>
                <w:rFonts w:hint="eastAsia" w:ascii="仿宋_GB2312" w:hAnsi="仿宋" w:eastAsia="仿宋_GB2312" w:cs="仿宋_GB2312"/>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sz w:val="24"/>
                <w:highlight w:val="none"/>
                <w:lang w:val="en-US" w:eastAsia="zh-CN"/>
              </w:rPr>
              <w:t>招标代理费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kern w:val="28"/>
                <w:sz w:val="24"/>
                <w:highlight w:val="none"/>
                <w:lang w:val="en-US" w:eastAsia="zh-CN"/>
              </w:rPr>
              <w:t>由中标单位支付，采购代理服务费按发改价格（2011）534号文件规定收费标准收取（最低 4000 元），专家评审费另行支付费用在发出中标通知书之前结清。</w:t>
            </w:r>
          </w:p>
        </w:tc>
      </w:tr>
    </w:tbl>
    <w:p>
      <w:pPr>
        <w:pStyle w:val="2"/>
      </w:pPr>
    </w:p>
    <w:p>
      <w:pPr>
        <w:pStyle w:val="18"/>
      </w:pPr>
    </w:p>
    <w:p>
      <w:pPr>
        <w:pStyle w:val="4"/>
        <w:numPr>
          <w:ilvl w:val="0"/>
          <w:numId w:val="0"/>
        </w:numPr>
        <w:ind w:leftChars="0"/>
      </w:pPr>
    </w:p>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二、总则</w:t>
      </w:r>
    </w:p>
    <w:p>
      <w:pPr>
        <w:snapToGrid w:val="0"/>
        <w:spacing w:line="360" w:lineRule="auto"/>
        <w:jc w:val="left"/>
        <w:outlineLvl w:val="1"/>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“采购人”系指磋商邀请公告中载明的本项目的采购人。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“采购机构”系指磋商邀请公告中载明的本项目的采购机构。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“供应商”系指响应磋商、参加本次竞争的法人、其他组织或自然人。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“成交人”系指经评审确定的成交供应商。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2.6“响应文件”系指供应商提交的商务技术文件。供应商提交最后报价后，最后报价是供应商响应文件的有效组成部分。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24"/>
          <w:rFonts w:hint="eastAsia" w:ascii="仿宋_GB2312" w:hAnsi="仿宋" w:eastAsia="仿宋_GB2312" w:cs="Times New Roman"/>
          <w:snapToGrid/>
          <w:color w:val="auto"/>
          <w:kern w:val="2"/>
          <w:sz w:val="24"/>
          <w:szCs w:val="24"/>
        </w:rPr>
        <w:t>https://www.zcygov.cn/</w:t>
      </w:r>
      <w:r>
        <w:rPr>
          <w:rFonts w:hint="eastAsia" w:ascii="仿宋_GB2312" w:hAnsi="仿宋" w:eastAsia="仿宋_GB2312"/>
          <w:sz w:val="24"/>
        </w:rPr>
        <w:fldChar w:fldCharType="end"/>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2.8“电子签名”系指数据电文中以电子形式所含、所附用于识别签名人身份并表明签名人认可其中内容的数据。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2.9 </w:t>
      </w:r>
      <w:r>
        <w:rPr>
          <w:rFonts w:hint="eastAsia" w:ascii="仿宋_GB2312" w:hAnsi="仿宋" w:eastAsia="仿宋_GB2312"/>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2.10 “▲” 系指实质性要求条款， “※”系指磋商过程中可能实质性变动的内容，</w:t>
      </w:r>
      <w:r>
        <w:rPr>
          <w:rFonts w:ascii="仿宋_GB2312" w:hAnsi="仿宋" w:eastAsia="仿宋_GB2312"/>
          <w:sz w:val="24"/>
        </w:rPr>
        <w:t xml:space="preserve"> “★”系产品采购项目中单一产品或核心产品。</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3. 磋商有效期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▲3.1</w:t>
      </w:r>
      <w:r>
        <w:rPr>
          <w:rFonts w:hint="eastAsia" w:ascii="仿宋_GB2312" w:hAnsi="仿宋" w:eastAsia="仿宋_GB2312" w:cs="仿宋_GB2312"/>
          <w:b/>
          <w:sz w:val="24"/>
          <w:szCs w:val="20"/>
        </w:rPr>
        <w:t>响应有效期为从提交响应文件的截止之日起90天。供应商的响应文件中承</w:t>
      </w:r>
      <w:r>
        <w:rPr>
          <w:rFonts w:hint="eastAsia" w:ascii="仿宋_GB2312" w:hAnsi="仿宋" w:eastAsia="仿宋_GB2312" w:cs="仿宋_GB2312"/>
          <w:b/>
          <w:sz w:val="24"/>
          <w:szCs w:val="21"/>
        </w:rPr>
        <w:t>诺的响应有效期少于磋商文件中载明的磋商有效期的，响应无效。</w:t>
      </w:r>
    </w:p>
    <w:p>
      <w:pPr>
        <w:pStyle w:val="27"/>
        <w:spacing w:before="0"/>
        <w:ind w:firstLine="480"/>
        <w:rPr>
          <w:rFonts w:ascii="仿宋_GB2312" w:hAnsi="仿宋" w:eastAsia="仿宋_GB2312" w:cs="仿宋_GB2312"/>
        </w:rPr>
      </w:pPr>
      <w:r>
        <w:rPr>
          <w:rFonts w:hint="eastAsia" w:ascii="仿宋_GB2312" w:hAnsi="仿宋" w:eastAsia="仿宋_GB2312" w:cs="仿宋_GB2312"/>
        </w:rPr>
        <w:t>3.2响应文件合格投递后，自响应截止日期起，在响应有效期内有效。</w:t>
      </w:r>
    </w:p>
    <w:p>
      <w:pPr>
        <w:pStyle w:val="27"/>
        <w:spacing w:before="0"/>
        <w:ind w:firstLine="480"/>
        <w:rPr>
          <w:rFonts w:ascii="仿宋_GB2312" w:hAnsi="仿宋" w:eastAsia="仿宋_GB2312" w:cs="仿宋_GB2312"/>
        </w:rPr>
      </w:pPr>
      <w:r>
        <w:rPr>
          <w:rFonts w:hint="eastAsia" w:ascii="仿宋_GB2312" w:hAnsi="仿宋" w:eastAsia="仿宋_GB2312"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_GB2312" w:hAnsi="仿宋" w:eastAsia="仿宋_GB2312"/>
          <w:szCs w:val="24"/>
        </w:rPr>
        <w:t>拒绝延长磋商有效期的供应商不得再参与该项目后续采购活动。</w:t>
      </w:r>
    </w:p>
    <w:p>
      <w:pPr>
        <w:tabs>
          <w:tab w:val="left" w:pos="3780"/>
        </w:tabs>
        <w:spacing w:line="360" w:lineRule="auto"/>
        <w:rPr>
          <w:rFonts w:ascii="仿宋_GB2312" w:hAnsi="仿宋" w:eastAsia="仿宋_GB2312"/>
          <w:b/>
          <w:sz w:val="24"/>
        </w:rPr>
      </w:pPr>
      <w:r>
        <w:rPr>
          <w:rFonts w:hint="eastAsia" w:ascii="仿宋_GB2312" w:hAnsi="仿宋" w:eastAsia="仿宋_GB2312"/>
          <w:b/>
          <w:sz w:val="24"/>
        </w:rPr>
        <w:t>4．响应费用</w:t>
      </w:r>
    </w:p>
    <w:p>
      <w:pPr>
        <w:pStyle w:val="12"/>
        <w:spacing w:line="360" w:lineRule="auto"/>
        <w:ind w:firstLine="360" w:firstLineChars="150"/>
        <w:rPr>
          <w:rFonts w:ascii="仿宋_GB2312" w:hAnsi="仿宋" w:eastAsia="仿宋_GB2312"/>
          <w:sz w:val="24"/>
          <w:lang w:val="zh-CN"/>
        </w:rPr>
      </w:pPr>
      <w:r>
        <w:rPr>
          <w:rFonts w:hint="eastAsia" w:ascii="仿宋_GB2312" w:hAnsi="仿宋" w:eastAsia="仿宋_GB2312"/>
          <w:sz w:val="24"/>
        </w:rPr>
        <w:t>供应商需自行承担涉及响应的一切费用</w:t>
      </w:r>
      <w:r>
        <w:rPr>
          <w:rFonts w:hint="eastAsia" w:ascii="仿宋_GB2312" w:hAnsi="仿宋" w:eastAsia="仿宋_GB2312"/>
          <w:sz w:val="24"/>
          <w:lang w:val="zh-CN"/>
        </w:rPr>
        <w:t>。</w:t>
      </w:r>
    </w:p>
    <w:p>
      <w:pPr>
        <w:pStyle w:val="12"/>
        <w:snapToGrid w:val="0"/>
        <w:spacing w:line="360" w:lineRule="auto"/>
        <w:rPr>
          <w:rFonts w:ascii="仿宋_GB2312" w:hAnsi="仿宋" w:eastAsia="仿宋_GB2312"/>
          <w:b/>
          <w:sz w:val="24"/>
          <w:szCs w:val="24"/>
        </w:rPr>
      </w:pPr>
      <w:r>
        <w:rPr>
          <w:rFonts w:hint="eastAsia" w:ascii="仿宋_GB2312" w:hAnsi="仿宋" w:eastAsia="仿宋_GB2312"/>
          <w:b/>
          <w:sz w:val="24"/>
          <w:szCs w:val="24"/>
        </w:rPr>
        <w:t>5. 解释权</w:t>
      </w:r>
    </w:p>
    <w:p>
      <w:pPr>
        <w:pStyle w:val="12"/>
        <w:spacing w:line="360" w:lineRule="auto"/>
        <w:ind w:firstLine="360" w:firstLineChars="150"/>
        <w:rPr>
          <w:rFonts w:hint="eastAsia" w:ascii="仿宋_GB2312" w:hAnsi="仿宋" w:eastAsia="仿宋_GB2312"/>
          <w:sz w:val="24"/>
          <w:lang w:eastAsia="zh-CN"/>
        </w:rPr>
      </w:pPr>
      <w:r>
        <w:rPr>
          <w:rFonts w:hint="eastAsia" w:ascii="仿宋_GB2312" w:hAnsi="仿宋" w:eastAsia="仿宋_GB2312"/>
          <w:sz w:val="24"/>
        </w:rPr>
        <w:t>凡涉及本次磋商文件的解释权均属于</w:t>
      </w:r>
      <w:r>
        <w:rPr>
          <w:rFonts w:hint="eastAsia" w:ascii="仿宋_GB2312" w:hAnsi="仿宋_GB2312" w:eastAsia="仿宋_GB2312" w:cs="仿宋_GB2312"/>
          <w:sz w:val="24"/>
          <w:szCs w:val="24"/>
          <w:lang w:val="en-US" w:eastAsia="zh-CN"/>
        </w:rPr>
        <w:t>浙江中审工程咨询有限公司</w:t>
      </w:r>
      <w:r>
        <w:rPr>
          <w:rFonts w:hint="eastAsia" w:ascii="仿宋_GB2312" w:hAnsi="仿宋_GB2312" w:eastAsia="仿宋_GB2312" w:cs="仿宋_GB2312"/>
          <w:sz w:val="24"/>
          <w:szCs w:val="24"/>
          <w:lang w:eastAsia="zh-CN"/>
        </w:rPr>
        <w:t>。</w:t>
      </w:r>
    </w:p>
    <w:p>
      <w:pPr>
        <w:spacing w:line="360" w:lineRule="auto"/>
        <w:jc w:val="center"/>
        <w:rPr>
          <w:rFonts w:ascii="仿宋_GB2312" w:hAnsi="仿宋_GB2312" w:eastAsia="仿宋_GB2312" w:cs="仿宋_GB2312"/>
          <w:b/>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三、需要落实的政府采购政策</w:t>
      </w:r>
    </w:p>
    <w:p>
      <w:pPr>
        <w:pStyle w:val="27"/>
        <w:spacing w:before="0"/>
        <w:ind w:firstLine="0" w:firstLineChars="0"/>
        <w:rPr>
          <w:rFonts w:ascii="仿宋_GB2312" w:hAnsi="仿宋" w:eastAsia="仿宋_GB2312"/>
          <w:b/>
          <w:szCs w:val="24"/>
        </w:rPr>
      </w:pPr>
      <w:r>
        <w:rPr>
          <w:rFonts w:hint="eastAsia" w:ascii="仿宋_GB2312" w:hAnsi="仿宋" w:eastAsia="仿宋_GB2312"/>
          <w:b/>
          <w:szCs w:val="24"/>
        </w:rPr>
        <w:t>1.是否允许采购进口产品要求</w:t>
      </w:r>
    </w:p>
    <w:p>
      <w:pPr>
        <w:pStyle w:val="12"/>
        <w:spacing w:line="360" w:lineRule="auto"/>
        <w:ind w:firstLine="360" w:firstLineChars="150"/>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2"/>
        <w:spacing w:line="360" w:lineRule="auto"/>
        <w:rPr>
          <w:rFonts w:ascii="仿宋_GB2312" w:hAnsi="仿宋" w:eastAsia="仿宋_GB2312"/>
          <w:b/>
          <w:sz w:val="24"/>
          <w:szCs w:val="24"/>
        </w:rPr>
      </w:pPr>
      <w:r>
        <w:rPr>
          <w:rFonts w:hint="eastAsia" w:ascii="仿宋_GB2312" w:hAnsi="仿宋" w:eastAsia="仿宋_GB2312"/>
          <w:b/>
          <w:sz w:val="24"/>
          <w:szCs w:val="24"/>
        </w:rPr>
        <w:t>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2.2 </w:t>
      </w:r>
      <w:r>
        <w:rPr>
          <w:rFonts w:hint="eastAsia" w:ascii="仿宋_GB2312" w:hAnsi="仿宋" w:eastAsia="仿宋_GB2312" w:cs="仿宋_GB2312"/>
          <w:sz w:val="24"/>
          <w:szCs w:val="20"/>
        </w:rPr>
        <w:t>▲</w:t>
      </w:r>
      <w:r>
        <w:rPr>
          <w:rFonts w:hint="eastAsia" w:ascii="仿宋_GB2312" w:hAnsi="仿宋" w:eastAsia="仿宋_GB2312"/>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szCs w:val="24"/>
        </w:rPr>
        <w:t>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3.2</w:t>
      </w:r>
      <w:r>
        <w:rPr>
          <w:rFonts w:hint="eastAsia" w:ascii="仿宋_GB2312" w:hAnsi="宋体" w:eastAsia="仿宋_GB2312"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对于未预留份额专门面向中小企业的政府采购货物或服务项目，以及预留份额政府采购货物或服务项目中的非预留部分标项，对小型和微型企业的最后报价给予</w:t>
      </w:r>
      <w:r>
        <w:rPr>
          <w:rFonts w:hint="eastAsia" w:ascii="仿宋_GB2312" w:hAnsi="仿宋" w:eastAsia="仿宋_GB2312"/>
          <w:b/>
          <w:bCs/>
          <w:sz w:val="24"/>
          <w:lang w:val="en-US" w:eastAsia="zh-CN"/>
        </w:rPr>
        <w:t>20</w:t>
      </w:r>
      <w:r>
        <w:rPr>
          <w:rFonts w:ascii="仿宋_GB2312" w:hAnsi="仿宋" w:eastAsia="仿宋_GB2312"/>
          <w:b/>
          <w:bCs/>
          <w:sz w:val="24"/>
        </w:rPr>
        <w:t>%</w:t>
      </w:r>
      <w:r>
        <w:rPr>
          <w:rFonts w:ascii="仿宋_GB2312" w:hAnsi="仿宋" w:eastAsia="仿宋_GB2312"/>
          <w:sz w:val="24"/>
        </w:rPr>
        <w:t>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3.4接受大中型企业与小微企业组成联合体或者允许大中型企业向一家或者多家小微企业分包的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w:t>
      </w:r>
      <w:r>
        <w:rPr>
          <w:rFonts w:hint="eastAsia" w:ascii="仿宋_GB2312" w:hAnsi="仿宋" w:eastAsia="仿宋_GB2312"/>
          <w:sz w:val="24"/>
        </w:rPr>
        <w:t>最后</w:t>
      </w:r>
      <w:r>
        <w:rPr>
          <w:rFonts w:ascii="仿宋_GB2312" w:hAnsi="仿宋" w:eastAsia="仿宋_GB2312"/>
          <w:sz w:val="24"/>
        </w:rPr>
        <w:t>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w:t>
      </w:r>
      <w:r>
        <w:rPr>
          <w:rFonts w:hint="eastAsia" w:ascii="仿宋_GB2312" w:hAnsi="仿宋" w:eastAsia="仿宋_GB2312"/>
          <w:sz w:val="24"/>
        </w:rPr>
        <w:t>4</w:t>
      </w:r>
      <w:r>
        <w:rPr>
          <w:rFonts w:ascii="仿宋_GB2312" w:hAnsi="仿宋" w:eastAsia="仿宋_GB2312"/>
          <w:sz w:val="24"/>
        </w:rPr>
        <w:t>）的残疾人福利性单位视同小型、微型企业；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的供应商应按照磋商文件格式要求提供《中小企业声明函》。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4. 中小企业信用融资</w:t>
      </w:r>
    </w:p>
    <w:p>
      <w:pPr>
        <w:pStyle w:val="12"/>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凡已在浙江政府采购网网上注册入库，并取得临安区政府采购合同的中小企业供应商，均可申请政府采购信用融资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联系方式见附表（政府采购融资畅通工程金融机构联系信息表）</w:t>
      </w:r>
      <w:r>
        <w:rPr>
          <w:rFonts w:hint="eastAsia" w:ascii="仿宋_GB2312" w:hAnsi="仿宋_GB2312" w:eastAsia="仿宋_GB2312" w:cs="仿宋_GB2312"/>
          <w:sz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四、询问、质疑与投诉</w:t>
      </w:r>
    </w:p>
    <w:p>
      <w:pPr>
        <w:spacing w:line="360" w:lineRule="auto"/>
        <w:rPr>
          <w:rFonts w:ascii="仿宋_GB2312" w:hAnsi="仿宋" w:eastAsia="仿宋_GB2312"/>
          <w:b/>
          <w:sz w:val="24"/>
        </w:rPr>
      </w:pPr>
      <w:r>
        <w:rPr>
          <w:rFonts w:hint="eastAsia" w:ascii="仿宋_GB2312" w:hAnsi="仿宋" w:eastAsia="仿宋_GB2312"/>
          <w:b/>
          <w:sz w:val="24"/>
        </w:rPr>
        <w:t>1. 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_GB2312" w:hAnsi="仿宋" w:eastAsia="仿宋_GB2312"/>
          <w:b/>
          <w:sz w:val="24"/>
        </w:rPr>
      </w:pPr>
      <w:r>
        <w:rPr>
          <w:rFonts w:hint="eastAsia" w:ascii="仿宋_GB2312" w:hAnsi="仿宋" w:eastAsia="仿宋_GB2312"/>
          <w:b/>
          <w:sz w:val="24"/>
        </w:rPr>
        <w:t>2. 供应商质疑</w:t>
      </w:r>
    </w:p>
    <w:p>
      <w:pPr>
        <w:pStyle w:val="12"/>
        <w:spacing w:line="360" w:lineRule="auto"/>
        <w:ind w:firstLine="482" w:firstLineChars="200"/>
        <w:rPr>
          <w:rFonts w:ascii="仿宋_GB2312" w:hAnsi="仿宋" w:eastAsia="仿宋_GB2312"/>
          <w:b/>
          <w:sz w:val="24"/>
        </w:rPr>
      </w:pPr>
      <w:r>
        <w:rPr>
          <w:rFonts w:hint="eastAsia" w:ascii="仿宋_GB2312" w:hAnsi="仿宋" w:eastAsia="仿宋_GB2312" w:cs="微软雅黑"/>
          <w:b/>
          <w:kern w:val="0"/>
          <w:sz w:val="24"/>
          <w:lang w:val="zh-CN"/>
        </w:rPr>
        <w:t>2</w:t>
      </w:r>
      <w:r>
        <w:rPr>
          <w:rFonts w:hint="eastAsia" w:ascii="仿宋_GB2312" w:hAnsi="仿宋" w:eastAsia="仿宋_GB2312"/>
          <w:b/>
          <w:sz w:val="24"/>
        </w:rPr>
        <w:t>.1质疑提出时效</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2.1.1提出质疑的供应商应当是参与所质疑项目采购活动的供应商。潜在供应商已依法获取其可质疑的采购文件的，可以对该文件提出质疑。</w:t>
      </w:r>
    </w:p>
    <w:p>
      <w:pPr>
        <w:pStyle w:val="12"/>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2</w:t>
      </w:r>
      <w:r>
        <w:rPr>
          <w:rFonts w:hint="eastAsia" w:ascii="仿宋_GB2312" w:hAnsi="仿宋" w:eastAsia="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ascii="仿宋_GB2312" w:hAnsi="仿宋" w:eastAsia="仿宋_GB2312"/>
          <w:snapToGrid/>
          <w:color w:val="auto"/>
          <w:kern w:val="2"/>
          <w:sz w:val="24"/>
        </w:rPr>
      </w:pPr>
      <w:r>
        <w:rPr>
          <w:rFonts w:hint="eastAsia" w:ascii="仿宋_GB2312" w:hAnsi="仿宋" w:eastAsia="仿宋_GB2312"/>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2.1.2.2对采购过程提出质疑的，质疑期限为各采购程序环节结束之日起计算。对同一采购程序环节的质疑，供应商须一次性提出。</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2.1.2.3对采购结果提出质疑的，质疑期限自采购结果公告期限届满之日起计算。</w:t>
      </w:r>
    </w:p>
    <w:p>
      <w:pPr>
        <w:pStyle w:val="12"/>
        <w:spacing w:line="360" w:lineRule="auto"/>
        <w:ind w:firstLine="482" w:firstLineChars="200"/>
        <w:rPr>
          <w:rFonts w:ascii="仿宋_GB2312" w:hAnsi="仿宋" w:eastAsia="仿宋_GB2312"/>
          <w:sz w:val="24"/>
        </w:rPr>
      </w:pPr>
      <w:r>
        <w:rPr>
          <w:rFonts w:hint="eastAsia" w:ascii="仿宋_GB2312" w:hAnsi="仿宋" w:eastAsia="仿宋_GB2312"/>
          <w:b/>
          <w:sz w:val="24"/>
        </w:rPr>
        <w:t>2.2质疑答复</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2.2.</w:t>
      </w:r>
      <w:r>
        <w:rPr>
          <w:rFonts w:hint="eastAsia" w:ascii="仿宋_GB2312" w:hAnsi="仿宋" w:eastAsia="仿宋_GB2312"/>
          <w:sz w:val="24"/>
          <w:lang w:val="en-US" w:eastAsia="zh-CN"/>
        </w:rPr>
        <w:t>1</w:t>
      </w:r>
      <w:r>
        <w:rPr>
          <w:rFonts w:hint="eastAsia" w:ascii="仿宋_GB2312" w:hAnsi="仿宋" w:eastAsia="仿宋_GB2312"/>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2.2.2</w:t>
      </w:r>
      <w:r>
        <w:rPr>
          <w:rFonts w:hint="eastAsia" w:ascii="仿宋_GB2312" w:hAnsi="仿宋" w:eastAsia="仿宋_GB2312"/>
          <w:sz w:val="24"/>
        </w:rPr>
        <w:t>询问或者质疑事项可能影响采购结果的，采购人应当暂停签订合同，已经签订合同的，应当中止履行合同。</w:t>
      </w:r>
    </w:p>
    <w:p>
      <w:pPr>
        <w:pStyle w:val="12"/>
        <w:spacing w:line="360" w:lineRule="auto"/>
        <w:ind w:firstLine="482" w:firstLineChars="200"/>
        <w:rPr>
          <w:rFonts w:ascii="仿宋_GB2312" w:hAnsi="仿宋" w:eastAsia="仿宋_GB2312"/>
          <w:sz w:val="24"/>
        </w:rPr>
      </w:pPr>
      <w:r>
        <w:rPr>
          <w:rFonts w:hint="eastAsia" w:ascii="仿宋_GB2312" w:hAnsi="仿宋" w:eastAsia="仿宋_GB2312" w:cs="微软雅黑"/>
          <w:b/>
          <w:kern w:val="0"/>
          <w:sz w:val="24"/>
          <w:lang w:val="zh-CN"/>
        </w:rPr>
        <w:t>2.3质疑函</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2.3.1供应商提出质疑应当提交质疑函和必要的证明材料。质疑函应当包括下列内容：</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供应商的姓名或者名称、地址、邮编、联系人及联系电话；</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质疑项目的名称、编号；</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具体、明确的质疑事项和与质疑事项相关的请求；</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事实依据；</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必要的法律依据；</w:t>
      </w:r>
    </w:p>
    <w:p>
      <w:pPr>
        <w:pStyle w:val="12"/>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提出质疑的日期。</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12"/>
        <w:spacing w:line="360" w:lineRule="auto"/>
        <w:ind w:firstLine="482" w:firstLineChars="200"/>
        <w:rPr>
          <w:rFonts w:ascii="仿宋_GB2312" w:hAnsi="仿宋" w:eastAsia="仿宋_GB2312"/>
          <w:b/>
          <w:sz w:val="24"/>
        </w:rPr>
      </w:pPr>
      <w:r>
        <w:rPr>
          <w:rFonts w:hint="eastAsia" w:ascii="仿宋_GB2312" w:hAnsi="仿宋" w:eastAsia="仿宋_GB2312"/>
          <w:b/>
          <w:sz w:val="24"/>
        </w:rPr>
        <w:t>质疑函范本及制作说明详见附件</w:t>
      </w:r>
      <w:r>
        <w:rPr>
          <w:rFonts w:hint="eastAsia" w:ascii="仿宋_GB2312" w:hAnsi="仿宋" w:eastAsia="仿宋_GB2312"/>
          <w:b/>
          <w:sz w:val="24"/>
          <w:lang w:val="en-US" w:eastAsia="zh-CN"/>
        </w:rPr>
        <w:t>4</w:t>
      </w:r>
      <w:r>
        <w:rPr>
          <w:rFonts w:hint="eastAsia" w:ascii="仿宋_GB2312" w:hAnsi="仿宋" w:eastAsia="仿宋_GB2312"/>
          <w:b/>
          <w:sz w:val="24"/>
        </w:rPr>
        <w:t>。</w:t>
      </w:r>
    </w:p>
    <w:p>
      <w:pPr>
        <w:spacing w:line="360" w:lineRule="auto"/>
        <w:rPr>
          <w:rFonts w:ascii="仿宋_GB2312" w:hAnsi="仿宋" w:eastAsia="仿宋_GB2312"/>
          <w:b/>
          <w:sz w:val="24"/>
        </w:rPr>
      </w:pPr>
      <w:r>
        <w:rPr>
          <w:rFonts w:hint="eastAsia" w:ascii="仿宋_GB2312" w:hAnsi="仿宋" w:eastAsia="仿宋_GB2312"/>
          <w:b/>
          <w:sz w:val="24"/>
        </w:rPr>
        <w:t>3.供应商投诉</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3.1质疑供应商对采购人、采购机构的答复不满意或者采购人、采购机构未在规定的时间内作出答复的，可以在答复期满后十五个工作日内向同级政府采购监督管理部门提出投诉。</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3.2供应商投诉的事项不得超出已质疑事项的范围，基于质疑答复内容提出的投诉事项除外。</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3.3供应商投诉应当有明确的请求和必要的证明材料。</w:t>
      </w:r>
    </w:p>
    <w:p>
      <w:pPr>
        <w:pStyle w:val="12"/>
        <w:spacing w:line="360" w:lineRule="auto"/>
        <w:ind w:firstLine="480" w:firstLineChars="200"/>
        <w:rPr>
          <w:rFonts w:ascii="仿宋_GB2312" w:hAnsi="仿宋" w:eastAsia="仿宋_GB2312"/>
          <w:sz w:val="24"/>
        </w:rPr>
      </w:pPr>
      <w:r>
        <w:rPr>
          <w:rFonts w:hint="eastAsia" w:ascii="仿宋_GB2312" w:hAnsi="仿宋" w:eastAsia="仿宋_GB2312"/>
          <w:sz w:val="24"/>
        </w:rPr>
        <w:t>3.4以联合体形式参加政府采购活动的，其投诉应当由组成联合体的所有供应商共同提出。</w:t>
      </w:r>
    </w:p>
    <w:p>
      <w:pPr>
        <w:pStyle w:val="12"/>
        <w:spacing w:line="360" w:lineRule="auto"/>
        <w:ind w:firstLine="482" w:firstLineChars="200"/>
        <w:rPr>
          <w:rFonts w:hint="eastAsia" w:ascii="仿宋_GB2312" w:hAnsi="仿宋" w:eastAsia="仿宋_GB2312"/>
          <w:b/>
          <w:sz w:val="24"/>
        </w:rPr>
      </w:pPr>
      <w:r>
        <w:rPr>
          <w:rFonts w:hint="eastAsia" w:ascii="仿宋_GB2312" w:hAnsi="仿宋" w:eastAsia="仿宋_GB2312"/>
          <w:b/>
          <w:sz w:val="24"/>
        </w:rPr>
        <w:t>投诉书范本及制作说明详见附件</w:t>
      </w:r>
      <w:r>
        <w:rPr>
          <w:rFonts w:hint="eastAsia" w:ascii="仿宋_GB2312" w:hAnsi="仿宋" w:eastAsia="仿宋_GB2312"/>
          <w:b/>
          <w:sz w:val="24"/>
          <w:lang w:val="en-US" w:eastAsia="zh-CN"/>
        </w:rPr>
        <w:t>5</w:t>
      </w:r>
      <w:r>
        <w:rPr>
          <w:rFonts w:hint="eastAsia" w:ascii="仿宋_GB2312" w:hAnsi="仿宋" w:eastAsia="仿宋_GB2312"/>
          <w:b/>
          <w:sz w:val="24"/>
        </w:rPr>
        <w:t>。</w:t>
      </w:r>
    </w:p>
    <w:p>
      <w:pPr>
        <w:pStyle w:val="12"/>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lang w:val="en-US" w:eastAsia="zh-CN"/>
        </w:rPr>
        <w:t>3</w:t>
      </w:r>
      <w:r>
        <w:rPr>
          <w:rFonts w:hint="eastAsia" w:ascii="仿宋_GB2312" w:hAnsi="仿宋" w:eastAsia="仿宋_GB2312"/>
          <w:b w:val="0"/>
          <w:bCs/>
          <w:sz w:val="24"/>
        </w:rPr>
        <w:t>.</w:t>
      </w:r>
      <w:r>
        <w:rPr>
          <w:rFonts w:hint="eastAsia" w:ascii="仿宋_GB2312" w:hAnsi="仿宋" w:eastAsia="仿宋_GB2312"/>
          <w:b w:val="0"/>
          <w:bCs/>
          <w:sz w:val="24"/>
          <w:lang w:val="en-US" w:eastAsia="zh-CN"/>
        </w:rPr>
        <w:t>5</w:t>
      </w:r>
      <w:r>
        <w:rPr>
          <w:rFonts w:hint="eastAsia" w:ascii="仿宋_GB2312" w:hAnsi="仿宋" w:eastAsia="仿宋_GB2312"/>
          <w:b w:val="0"/>
          <w:bCs/>
          <w:sz w:val="24"/>
        </w:rPr>
        <w:t>在线质疑、投诉。</w:t>
      </w:r>
    </w:p>
    <w:p>
      <w:pPr>
        <w:pStyle w:val="12"/>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
        <w:spacing w:line="360" w:lineRule="auto"/>
        <w:ind w:firstLine="482" w:firstLineChars="200"/>
        <w:rPr>
          <w:rFonts w:hint="eastAsia" w:ascii="仿宋_GB2312" w:hAnsi="仿宋" w:eastAsia="仿宋_GB2312"/>
          <w:b/>
          <w:sz w:val="24"/>
        </w:rPr>
      </w:pP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五、磋商文件构成、修改、解释</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1．磋商文件的构成</w:t>
      </w:r>
    </w:p>
    <w:p>
      <w:pPr>
        <w:pStyle w:val="1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1.1 磋商文件包括下列文件及附件</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第一部分  供应商邀请</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第二部分  竞争性磋商流程</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第三部分  供应商须知</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第四部分  采购需求</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第五部分  评审方法及评审标准</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第六部分  拟签订的合同文本</w:t>
      </w:r>
    </w:p>
    <w:p>
      <w:pPr>
        <w:pStyle w:val="12"/>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第七部分  应提交的有关格式范例</w:t>
      </w:r>
    </w:p>
    <w:p>
      <w:pPr>
        <w:pStyle w:val="1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1.2 </w:t>
      </w:r>
      <w:r>
        <w:rPr>
          <w:rFonts w:hint="eastAsia" w:ascii="仿宋_GB2312" w:hAnsi="仿宋" w:eastAsia="仿宋_GB2312"/>
          <w:sz w:val="24"/>
        </w:rPr>
        <w:t>与本项目有关的</w:t>
      </w:r>
      <w:r>
        <w:rPr>
          <w:rFonts w:hint="eastAsia" w:ascii="仿宋_GB2312" w:hAnsi="仿宋" w:eastAsia="仿宋_GB2312"/>
          <w:bCs/>
          <w:sz w:val="24"/>
        </w:rPr>
        <w:t>澄清或者修改的内容为磋商文件的组成部分</w:t>
      </w:r>
      <w:r>
        <w:rPr>
          <w:rFonts w:hint="eastAsia" w:ascii="仿宋_GB2312" w:hAnsi="仿宋" w:eastAsia="仿宋_GB2312" w:cs="仿宋_GB2312"/>
          <w:sz w:val="24"/>
        </w:rPr>
        <w:t>。</w:t>
      </w:r>
    </w:p>
    <w:p>
      <w:pPr>
        <w:pStyle w:val="12"/>
        <w:spacing w:line="360" w:lineRule="auto"/>
        <w:rPr>
          <w:rFonts w:ascii="仿宋_GB2312" w:hAnsi="仿宋" w:eastAsia="仿宋_GB2312" w:cs="仿宋_GB2312"/>
          <w:b/>
          <w:sz w:val="24"/>
          <w:szCs w:val="24"/>
        </w:rPr>
      </w:pPr>
      <w:r>
        <w:rPr>
          <w:rFonts w:hint="eastAsia" w:ascii="仿宋_GB2312" w:hAnsi="仿宋" w:eastAsia="仿宋_GB2312"/>
          <w:b/>
          <w:sz w:val="24"/>
          <w:szCs w:val="24"/>
        </w:rPr>
        <w:t>2. 磋商文件的</w:t>
      </w:r>
      <w:r>
        <w:rPr>
          <w:rFonts w:hint="eastAsia" w:ascii="仿宋_GB2312" w:hAnsi="仿宋" w:eastAsia="仿宋_GB2312" w:cs="仿宋_GB2312"/>
          <w:b/>
          <w:sz w:val="24"/>
          <w:szCs w:val="24"/>
        </w:rPr>
        <w:t>澄清、修改</w:t>
      </w:r>
    </w:p>
    <w:p>
      <w:pPr>
        <w:pStyle w:val="27"/>
        <w:snapToGrid w:val="0"/>
        <w:spacing w:before="0"/>
        <w:ind w:firstLine="480"/>
        <w:rPr>
          <w:rFonts w:ascii="仿宋_GB2312" w:hAnsi="仿宋" w:eastAsia="仿宋_GB2312" w:cs="仿宋_GB2312"/>
        </w:rPr>
      </w:pPr>
      <w:r>
        <w:rPr>
          <w:rFonts w:hint="eastAsia" w:ascii="仿宋_GB2312" w:hAnsi="仿宋" w:eastAsia="仿宋_GB2312"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7"/>
        <w:snapToGrid w:val="0"/>
        <w:spacing w:before="0"/>
        <w:ind w:firstLine="480"/>
        <w:rPr>
          <w:rFonts w:ascii="仿宋_GB2312" w:hAnsi="仿宋" w:eastAsia="仿宋_GB2312"/>
        </w:rPr>
      </w:pPr>
      <w:r>
        <w:rPr>
          <w:rFonts w:hint="eastAsia" w:ascii="仿宋_GB2312" w:hAnsi="仿宋" w:eastAsia="仿宋_GB2312"/>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7"/>
        <w:snapToGrid w:val="0"/>
        <w:spacing w:before="0"/>
        <w:ind w:firstLine="480"/>
        <w:rPr>
          <w:rFonts w:ascii="仿宋_GB2312" w:hAnsi="仿宋" w:eastAsia="仿宋_GB2312"/>
        </w:rPr>
      </w:pPr>
      <w:r>
        <w:rPr>
          <w:rFonts w:hint="eastAsia" w:ascii="仿宋_GB2312" w:hAnsi="仿宋"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7"/>
        <w:snapToGrid w:val="0"/>
        <w:spacing w:before="0"/>
        <w:ind w:firstLine="482"/>
        <w:rPr>
          <w:rFonts w:ascii="仿宋_GB2312" w:hAnsi="仿宋" w:eastAsia="仿宋_GB2312"/>
        </w:rPr>
      </w:pPr>
      <w:r>
        <w:rPr>
          <w:rFonts w:hint="eastAsia" w:ascii="仿宋_GB2312" w:hAnsi="仿宋" w:eastAsia="仿宋_GB2312"/>
          <w:b/>
        </w:rPr>
        <w:t>▲</w:t>
      </w:r>
      <w:r>
        <w:rPr>
          <w:rFonts w:hint="eastAsia" w:ascii="仿宋_GB2312" w:hAnsi="仿宋" w:eastAsia="仿宋_GB2312" w:cs="仿宋_GB2312"/>
          <w:b/>
          <w:szCs w:val="21"/>
        </w:rPr>
        <w:t>响应文件未按磋商文件的澄清、修改的内容编制，又不符合实质性要求的，响应无效。</w:t>
      </w:r>
    </w:p>
    <w:p>
      <w:pPr>
        <w:pStyle w:val="2"/>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六、响应文件的编制</w:t>
      </w:r>
    </w:p>
    <w:p>
      <w:pPr>
        <w:pStyle w:val="12"/>
        <w:spacing w:line="360" w:lineRule="auto"/>
        <w:rPr>
          <w:rFonts w:ascii="仿宋_GB2312" w:hAnsi="仿宋_GB2312" w:eastAsia="仿宋_GB2312" w:cs="仿宋_GB2312"/>
          <w:b/>
          <w:sz w:val="24"/>
          <w:szCs w:val="24"/>
        </w:rPr>
      </w:pPr>
      <w:r>
        <w:rPr>
          <w:rFonts w:hint="eastAsia" w:ascii="仿宋_GB2312" w:hAnsi="仿宋" w:eastAsia="仿宋_GB2312"/>
          <w:b/>
          <w:sz w:val="24"/>
        </w:rPr>
        <w:t>1. 响应文件的语言</w:t>
      </w:r>
    </w:p>
    <w:p>
      <w:pPr>
        <w:pStyle w:val="12"/>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rPr>
        <w:t>响应文件及供应商与采购有关的来往通知、函件和文件均应使用中文。</w:t>
      </w:r>
    </w:p>
    <w:p>
      <w:pPr>
        <w:pStyle w:val="12"/>
        <w:spacing w:line="360" w:lineRule="auto"/>
        <w:rPr>
          <w:rFonts w:ascii="仿宋_GB2312" w:hAnsi="仿宋_GB2312" w:eastAsia="仿宋_GB2312" w:cs="仿宋_GB2312"/>
          <w:b/>
          <w:sz w:val="24"/>
          <w:szCs w:val="24"/>
        </w:rPr>
      </w:pPr>
      <w:r>
        <w:rPr>
          <w:rFonts w:hint="eastAsia" w:ascii="仿宋_GB2312" w:hAnsi="仿宋" w:eastAsia="仿宋_GB2312"/>
          <w:b/>
          <w:sz w:val="24"/>
        </w:rPr>
        <w:t>2. 响应文件的组成</w:t>
      </w:r>
    </w:p>
    <w:p>
      <w:pPr>
        <w:pStyle w:val="12"/>
        <w:spacing w:line="360" w:lineRule="auto"/>
        <w:ind w:firstLine="480" w:firstLineChars="200"/>
        <w:rPr>
          <w:rFonts w:hint="eastAsia" w:ascii="仿宋_GB2312" w:hAnsi="仿宋_GB2312" w:eastAsia="仿宋_GB2312" w:cs="仿宋_GB2312"/>
          <w:sz w:val="24"/>
          <w:szCs w:val="24"/>
        </w:rPr>
      </w:pPr>
      <w:r>
        <w:rPr>
          <w:rFonts w:hint="eastAsia" w:ascii="仿宋_GB2312" w:hAnsi="仿宋" w:eastAsia="仿宋_GB2312"/>
          <w:sz w:val="24"/>
        </w:rPr>
        <w:t>响应文件应当</w:t>
      </w:r>
      <w:r>
        <w:rPr>
          <w:rFonts w:hint="eastAsia" w:ascii="仿宋_GB2312" w:hAnsi="仿宋_GB2312" w:eastAsia="仿宋_GB2312" w:cs="仿宋_GB2312"/>
          <w:sz w:val="24"/>
        </w:rPr>
        <w:t>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文件应当对</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文件提出的要求和条件作出明确响应。</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2.1 资格文件</w:t>
      </w:r>
      <w:r>
        <w:rPr>
          <w:rFonts w:hint="eastAsia" w:ascii="仿宋_GB2312" w:hAnsi="仿宋_GB2312" w:eastAsia="仿宋_GB2312" w:cs="仿宋_GB2312"/>
          <w:sz w:val="24"/>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.1.2落实政府采购政策需满足的资格要求</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如有</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.1.3本项目的特定资格要求</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如有</w:t>
      </w:r>
      <w:r>
        <w:rPr>
          <w:rFonts w:hint="eastAsia" w:ascii="仿宋_GB2312" w:hAnsi="仿宋" w:eastAsia="仿宋_GB2312" w:cs="仿宋_GB2312"/>
          <w:color w:val="000000" w:themeColor="text1"/>
          <w:sz w:val="24"/>
          <w:highlight w:val="none"/>
          <w:lang w:eastAsia="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w:t>
      </w:r>
    </w:p>
    <w:p>
      <w:pPr>
        <w:pStyle w:val="12"/>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b/>
          <w:bCs/>
          <w:kern w:val="0"/>
          <w:sz w:val="24"/>
          <w:szCs w:val="24"/>
          <w:lang w:val="zh-CN"/>
        </w:rPr>
        <w:t xml:space="preserve">2.2  </w:t>
      </w:r>
      <w:r>
        <w:rPr>
          <w:rFonts w:hint="eastAsia" w:ascii="仿宋_GB2312" w:hAnsi="仿宋_GB2312" w:eastAsia="仿宋_GB2312" w:cs="仿宋_GB2312"/>
          <w:b/>
          <w:bCs/>
          <w:sz w:val="24"/>
          <w:szCs w:val="24"/>
        </w:rPr>
        <w:t>商务</w:t>
      </w:r>
      <w:r>
        <w:rPr>
          <w:rFonts w:hint="eastAsia" w:ascii="仿宋_GB2312" w:hAnsi="仿宋_GB2312" w:eastAsia="仿宋_GB2312" w:cs="仿宋_GB2312"/>
          <w:b/>
          <w:sz w:val="24"/>
          <w:szCs w:val="24"/>
        </w:rPr>
        <w:t>技术</w:t>
      </w:r>
      <w:r>
        <w:rPr>
          <w:rFonts w:hint="eastAsia" w:ascii="仿宋_GB2312" w:hAnsi="仿宋_GB2312" w:eastAsia="仿宋_GB2312" w:cs="仿宋_GB2312"/>
          <w:b/>
          <w:kern w:val="0"/>
          <w:sz w:val="24"/>
          <w:szCs w:val="24"/>
          <w:lang w:val="zh-CN"/>
        </w:rPr>
        <w:t>文件</w:t>
      </w:r>
      <w:r>
        <w:rPr>
          <w:rFonts w:hint="eastAsia" w:ascii="仿宋_GB2312" w:hAnsi="仿宋_GB2312" w:eastAsia="仿宋_GB2312" w:cs="仿宋_GB2312"/>
          <w:b w:val="0"/>
          <w:bCs/>
          <w:kern w:val="0"/>
          <w:sz w:val="24"/>
          <w:szCs w:val="24"/>
          <w:lang w:val="zh-CN"/>
        </w:rPr>
        <w:t>应</w:t>
      </w:r>
      <w:r>
        <w:rPr>
          <w:rFonts w:hint="eastAsia" w:ascii="仿宋_GB2312" w:hAnsi="仿宋_GB2312" w:eastAsia="仿宋_GB2312" w:cs="仿宋_GB2312"/>
          <w:sz w:val="24"/>
          <w:lang w:val="zh-CN"/>
        </w:rPr>
        <w:t>包括以下内容</w:t>
      </w:r>
      <w:r>
        <w:rPr>
          <w:rFonts w:hint="eastAsia" w:ascii="仿宋_GB2312" w:hAnsi="仿宋_GB2312" w:eastAsia="仿宋_GB2312" w:cs="仿宋_GB2312"/>
          <w:sz w:val="24"/>
        </w:rPr>
        <w:t>（均需使用电子签名）</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.2.7商务技术偏离表；</w:t>
      </w:r>
    </w:p>
    <w:p>
      <w:pPr>
        <w:snapToGrid w:val="0"/>
        <w:spacing w:line="360" w:lineRule="auto"/>
        <w:ind w:firstLine="480" w:firstLineChars="200"/>
        <w:rPr>
          <w:rFonts w:hint="eastAsia"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  投标人的</w:t>
      </w:r>
      <w:r>
        <w:rPr>
          <w:rFonts w:hint="eastAsia" w:ascii="仿宋_GB2312" w:hAnsi="仿宋" w:eastAsia="仿宋_GB2312" w:cs="Times New Roman"/>
          <w:b/>
          <w:bCs/>
          <w:kern w:val="0"/>
          <w:sz w:val="24"/>
          <w:szCs w:val="20"/>
          <w:lang w:val="zh-CN" w:eastAsia="zh-CN" w:bidi="ar-SA"/>
        </w:rPr>
        <w:t>报价文件</w:t>
      </w:r>
      <w:r>
        <w:rPr>
          <w:rFonts w:hint="eastAsia" w:ascii="仿宋_GB2312" w:hAnsi="仿宋" w:eastAsia="仿宋_GB2312" w:cs="Times New Roman"/>
          <w:kern w:val="0"/>
          <w:sz w:val="24"/>
          <w:szCs w:val="20"/>
          <w:lang w:val="zh-CN" w:eastAsia="zh-CN" w:bidi="ar-SA"/>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.3.2中小企业声明函。</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12"/>
        <w:spacing w:line="360" w:lineRule="auto"/>
        <w:rPr>
          <w:rFonts w:ascii="仿宋_GB2312" w:hAnsi="仿宋_GB2312" w:eastAsia="仿宋_GB2312" w:cs="仿宋_GB2312"/>
          <w:b/>
          <w:sz w:val="24"/>
          <w:szCs w:val="24"/>
        </w:rPr>
      </w:pPr>
      <w:r>
        <w:rPr>
          <w:rFonts w:hint="eastAsia" w:ascii="仿宋_GB2312" w:hAnsi="仿宋" w:eastAsia="仿宋_GB2312"/>
          <w:b/>
          <w:sz w:val="24"/>
          <w:szCs w:val="24"/>
        </w:rPr>
        <w:t>3. 响应文件的编制和签署</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_GB2312" w:hAnsi="仿宋" w:eastAsia="仿宋_GB2312"/>
          <w:b/>
          <w:sz w:val="24"/>
        </w:rPr>
        <w:t>▲</w:t>
      </w:r>
      <w:r>
        <w:rPr>
          <w:rFonts w:hint="eastAsia" w:ascii="仿宋_GB2312" w:hAnsi="仿宋" w:eastAsia="仿宋_GB2312" w:cs="仿宋_GB2312"/>
          <w:b/>
          <w:sz w:val="24"/>
        </w:rPr>
        <w:t>响应文件未按规定的格式编制的，响应无效；</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3.3使用“政采云电子交易客户端”需要提前申领CA数字证书，申领流程请自行前往“浙江政府采购网-下载专区-电子交易客户端-CA驱动和申领流程”进行查阅。</w:t>
      </w:r>
    </w:p>
    <w:p>
      <w:pPr>
        <w:pStyle w:val="27"/>
        <w:snapToGrid w:val="0"/>
        <w:spacing w:before="0"/>
        <w:ind w:firstLine="480"/>
        <w:rPr>
          <w:rFonts w:ascii="仿宋_GB2312" w:hAnsi="仿宋" w:eastAsia="仿宋_GB2312" w:cs="仿宋_GB2312"/>
          <w:b/>
        </w:rPr>
      </w:pPr>
      <w:r>
        <w:rPr>
          <w:rFonts w:hint="eastAsia" w:ascii="仿宋_GB2312" w:hAnsi="仿宋" w:eastAsia="仿宋_GB2312" w:cs="仿宋_GB2312"/>
          <w:szCs w:val="24"/>
        </w:rPr>
        <w:t>3.4响应文件按照磋商文件第七部分格式要</w:t>
      </w:r>
      <w:r>
        <w:rPr>
          <w:rFonts w:hint="eastAsia" w:ascii="仿宋_GB2312" w:hAnsi="仿宋" w:eastAsia="仿宋_GB2312" w:cs="仿宋_GB2312"/>
        </w:rPr>
        <w:t>求进行签署、盖章。</w:t>
      </w:r>
      <w:r>
        <w:rPr>
          <w:rFonts w:hint="eastAsia" w:ascii="仿宋_GB2312" w:hAnsi="仿宋" w:eastAsia="仿宋_GB2312" w:cs="仿宋_GB2312"/>
          <w:b/>
        </w:rPr>
        <w:t>供应商的响应文件未按照磋商文件要求签署、盖章的，其响应无效</w:t>
      </w:r>
      <w:r>
        <w:rPr>
          <w:rFonts w:hint="eastAsia" w:ascii="仿宋_GB2312" w:hAnsi="仿宋" w:eastAsia="仿宋_GB2312" w:cs="仿宋_GB2312"/>
          <w:szCs w:val="24"/>
        </w:rPr>
        <w:t>。</w:t>
      </w:r>
    </w:p>
    <w:p>
      <w:pPr>
        <w:pStyle w:val="12"/>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七、</w:t>
      </w:r>
      <w:r>
        <w:rPr>
          <w:rFonts w:hint="eastAsia" w:ascii="仿宋_GB2312" w:hAnsi="仿宋" w:eastAsia="仿宋_GB2312"/>
          <w:b/>
          <w:sz w:val="32"/>
          <w:szCs w:val="32"/>
        </w:rPr>
        <w:t>响应</w:t>
      </w:r>
      <w:r>
        <w:rPr>
          <w:rFonts w:hint="eastAsia" w:ascii="仿宋_GB2312" w:hAnsi="仿宋_GB2312" w:eastAsia="仿宋_GB2312" w:cs="仿宋_GB2312"/>
          <w:b/>
          <w:sz w:val="32"/>
          <w:szCs w:val="20"/>
        </w:rPr>
        <w:t>文件的提交和备份</w:t>
      </w:r>
    </w:p>
    <w:p>
      <w:pPr>
        <w:pStyle w:val="27"/>
        <w:spacing w:before="0"/>
        <w:ind w:firstLine="0" w:firstLineChars="0"/>
        <w:rPr>
          <w:rFonts w:ascii="仿宋_GB2312" w:hAnsi="仿宋" w:eastAsia="仿宋_GB2312" w:cs="仿宋_GB2312"/>
          <w:b/>
          <w:szCs w:val="24"/>
        </w:rPr>
      </w:pPr>
    </w:p>
    <w:p>
      <w:pPr>
        <w:pStyle w:val="27"/>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1.响应文件的提交、补充、修改、撤回</w:t>
      </w:r>
    </w:p>
    <w:p>
      <w:pPr>
        <w:pStyle w:val="27"/>
        <w:ind w:firstLine="480"/>
        <w:rPr>
          <w:rFonts w:ascii="仿宋_GB2312" w:hAnsi="仿宋" w:eastAsia="仿宋_GB2312" w:cs="仿宋_GB2312"/>
          <w:szCs w:val="24"/>
        </w:rPr>
      </w:pPr>
      <w:r>
        <w:rPr>
          <w:rFonts w:hint="eastAsia" w:ascii="仿宋_GB2312" w:hAnsi="仿宋"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1.2 在响应截止时间以后，不能补充、修改响应文件。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 在提交“最后报价”后，供应商不能退出磋商。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1.5 采购机构可以视情况延长响应文件提交的截止时间。在上述情况下，采购机构与供应商以前在响应截止期方面的全部权利、责任和义务，将适用于延长至新的响应截止期。</w:t>
      </w:r>
    </w:p>
    <w:p>
      <w:pPr>
        <w:pStyle w:val="12"/>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2.备份响应文件</w:t>
      </w:r>
    </w:p>
    <w:p>
      <w:pPr>
        <w:pStyle w:val="12"/>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 w:eastAsia="仿宋_GB2312" w:cs="仿宋_GB2312"/>
          <w:b/>
          <w:sz w:val="24"/>
          <w:szCs w:val="24"/>
        </w:rPr>
        <w:t>但采购人、采购机构不强制或变相强制供应商提交备份响应文件。</w:t>
      </w:r>
    </w:p>
    <w:p>
      <w:pPr>
        <w:pStyle w:val="12"/>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2.2 备份响应文件须在“政采云投标客户端”制作生成，并储存在</w:t>
      </w:r>
      <w:r>
        <w:rPr>
          <w:rFonts w:hint="eastAsia" w:ascii="仿宋_GB2312" w:hAnsi="仿宋" w:eastAsia="仿宋_GB2312"/>
          <w:b/>
          <w:i w:val="0"/>
          <w:iCs w:val="0"/>
          <w:sz w:val="24"/>
          <w:u w:val="none"/>
        </w:rPr>
        <w:t>DVD光盘</w:t>
      </w:r>
      <w:r>
        <w:rPr>
          <w:rFonts w:hint="eastAsia" w:ascii="仿宋_GB2312" w:hAnsi="仿宋" w:eastAsia="仿宋_GB2312"/>
          <w:b/>
          <w:i w:val="0"/>
          <w:iCs w:val="0"/>
          <w:sz w:val="24"/>
          <w:u w:val="none"/>
          <w:lang w:eastAsia="zh-CN"/>
        </w:rPr>
        <w:t>或</w:t>
      </w:r>
      <w:r>
        <w:rPr>
          <w:rFonts w:hint="eastAsia" w:ascii="仿宋_GB2312" w:hAnsi="仿宋" w:eastAsia="仿宋_GB2312"/>
          <w:b/>
          <w:i w:val="0"/>
          <w:iCs w:val="0"/>
          <w:sz w:val="24"/>
          <w:u w:val="none"/>
          <w:lang w:val="en-US" w:eastAsia="zh-CN"/>
        </w:rPr>
        <w:t>U盘</w:t>
      </w:r>
      <w:r>
        <w:rPr>
          <w:rFonts w:hint="eastAsia" w:ascii="仿宋_GB2312" w:hAnsi="仿宋"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存储、密封规定的备份响应文件将被视为无效或者被拒绝接收。</w:t>
      </w:r>
    </w:p>
    <w:p>
      <w:pPr>
        <w:pStyle w:val="12"/>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2"/>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2.4 以快递方式递交备份响应文件的，供应商应先将备份响应文件按要求密封和标记，再进行快递包装后邮寄。备份响应文件须在响应截止时间之前送达</w:t>
      </w:r>
      <w:r>
        <w:rPr>
          <w:rFonts w:hint="eastAsia" w:ascii="仿宋_GB2312" w:hAnsi="仿宋" w:eastAsia="仿宋_GB2312" w:cs="仿宋_GB2312"/>
          <w:sz w:val="24"/>
          <w:szCs w:val="24"/>
          <w:lang w:eastAsia="zh-CN"/>
        </w:rPr>
        <w:t>浙江省杭州市临</w:t>
      </w:r>
      <w:r>
        <w:rPr>
          <w:rFonts w:hint="eastAsia" w:ascii="仿宋_GB2312" w:hAnsi="仿宋" w:eastAsia="仿宋_GB2312" w:cs="仿宋_GB2312"/>
          <w:sz w:val="24"/>
          <w:szCs w:val="24"/>
          <w:lang w:val="en-US" w:eastAsia="zh-CN"/>
        </w:rPr>
        <w:t>安区临水路328号铂盛汇1-1幢202</w:t>
      </w:r>
      <w:r>
        <w:rPr>
          <w:rFonts w:hint="eastAsia" w:ascii="仿宋_GB2312" w:hAnsi="仿宋" w:eastAsia="仿宋_GB2312" w:cs="仿宋_GB2312"/>
          <w:sz w:val="24"/>
          <w:szCs w:val="24"/>
        </w:rPr>
        <w:t>；送达时间以签收人签收时间为准（签收人：</w:t>
      </w:r>
      <w:r>
        <w:rPr>
          <w:rFonts w:hint="eastAsia" w:ascii="仿宋_GB2312" w:hAnsi="仿宋" w:eastAsia="仿宋_GB2312" w:cs="仿宋_GB2312"/>
          <w:sz w:val="24"/>
          <w:szCs w:val="24"/>
          <w:lang w:val="en-US" w:eastAsia="zh-CN"/>
        </w:rPr>
        <w:t>童莉莉</w:t>
      </w:r>
      <w:r>
        <w:rPr>
          <w:rFonts w:hint="eastAsia" w:ascii="仿宋_GB2312" w:hAnsi="仿宋" w:eastAsia="仿宋_GB2312" w:cs="仿宋_GB2312"/>
          <w:sz w:val="24"/>
          <w:szCs w:val="24"/>
        </w:rPr>
        <w:t>，联系电话：</w:t>
      </w:r>
      <w:r>
        <w:rPr>
          <w:rFonts w:hint="eastAsia" w:ascii="仿宋_GB2312" w:hAnsi="仿宋" w:eastAsia="仿宋_GB2312" w:cs="仿宋_GB2312"/>
          <w:sz w:val="24"/>
          <w:szCs w:val="24"/>
          <w:lang w:val="en-US" w:eastAsia="zh-CN"/>
        </w:rPr>
        <w:t>0571-61109731</w:t>
      </w:r>
      <w:r>
        <w:rPr>
          <w:rFonts w:hint="eastAsia" w:ascii="仿宋_GB2312" w:hAnsi="仿宋" w:eastAsia="仿宋_GB2312" w:cs="仿宋_GB2312"/>
          <w:sz w:val="24"/>
          <w:szCs w:val="24"/>
        </w:rPr>
        <w:t>）。采购机构将拒绝接受逾期送达的备份响应文件。邮寄过程中，电子备份响应文件发生泄露、遗失、损坏或延期送达等情况的，由供应商自行负责。</w:t>
      </w:r>
    </w:p>
    <w:p>
      <w:pPr>
        <w:pStyle w:val="12"/>
        <w:spacing w:line="360" w:lineRule="auto"/>
        <w:ind w:firstLine="361" w:firstLineChars="150"/>
        <w:rPr>
          <w:rFonts w:ascii="仿宋_GB2312" w:hAnsi="仿宋" w:eastAsia="仿宋_GB2312" w:cs="仿宋_GB2312"/>
          <w:sz w:val="24"/>
          <w:szCs w:val="24"/>
        </w:rPr>
      </w:pPr>
      <w:r>
        <w:rPr>
          <w:rFonts w:hint="eastAsia" w:ascii="仿宋_GB2312" w:hAnsi="仿宋" w:eastAsia="仿宋_GB2312" w:cs="仿宋_GB2312"/>
          <w:b/>
          <w:sz w:val="24"/>
          <w:szCs w:val="24"/>
        </w:rPr>
        <w:t xml:space="preserve">2.5 </w:t>
      </w:r>
      <w:r>
        <w:rPr>
          <w:rFonts w:hint="eastAsia" w:ascii="仿宋_GB2312" w:hAnsi="仿宋" w:eastAsia="仿宋_GB2312"/>
          <w:b/>
          <w:sz w:val="24"/>
        </w:rPr>
        <w:t>▲</w:t>
      </w:r>
      <w:r>
        <w:rPr>
          <w:rFonts w:hint="eastAsia" w:ascii="仿宋_GB2312" w:hAnsi="仿宋" w:eastAsia="仿宋_GB2312" w:cs="仿宋_GB2312"/>
          <w:b/>
          <w:sz w:val="24"/>
          <w:szCs w:val="24"/>
        </w:rPr>
        <w:t>供应商仅提交备份响应文件，没有在电子交易平台传输递交响应文件的，响应无效。</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八、</w:t>
      </w:r>
      <w:r>
        <w:rPr>
          <w:rFonts w:hint="eastAsia" w:ascii="仿宋_GB2312" w:hAnsi="仿宋" w:eastAsia="仿宋_GB2312"/>
          <w:b/>
          <w:sz w:val="32"/>
          <w:szCs w:val="32"/>
        </w:rPr>
        <w:t>开启响应文件与信用信息查询</w:t>
      </w:r>
    </w:p>
    <w:p>
      <w:pPr>
        <w:pStyle w:val="12"/>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 开启响应文件</w:t>
      </w:r>
    </w:p>
    <w:p>
      <w:pPr>
        <w:pStyle w:val="12"/>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1.1 采购机构按照磋商文件规定的时间通过电子交易平台组织响应文件开启，所有供应商均应当准时在线参加。</w:t>
      </w:r>
      <w:r>
        <w:rPr>
          <w:rFonts w:hint="eastAsia" w:ascii="仿宋_GB2312" w:hAnsi="仿宋" w:eastAsia="仿宋_GB2312" w:cs="仿宋_GB2312"/>
          <w:b/>
          <w:sz w:val="24"/>
          <w:szCs w:val="24"/>
        </w:rPr>
        <w:t>供应商数量不符合规定的，不得开启响应文件。</w:t>
      </w:r>
    </w:p>
    <w:p>
      <w:pPr>
        <w:pStyle w:val="12"/>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2"/>
        <w:spacing w:line="360" w:lineRule="auto"/>
        <w:ind w:firstLine="361" w:firstLineChars="150"/>
        <w:rPr>
          <w:rFonts w:ascii="仿宋_GB2312" w:hAnsi="仿宋" w:eastAsia="仿宋_GB2312" w:cs="仿宋_GB2312"/>
          <w:b/>
          <w:sz w:val="24"/>
          <w:szCs w:val="24"/>
        </w:rPr>
      </w:pPr>
      <w:r>
        <w:rPr>
          <w:rFonts w:hint="eastAsia" w:ascii="仿宋_GB2312" w:hAnsi="仿宋" w:eastAsia="仿宋_GB2312"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7"/>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2.信用信息查询</w:t>
      </w:r>
    </w:p>
    <w:p>
      <w:pPr>
        <w:pStyle w:val="27"/>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2.1信用信息查询渠道及截止时间：采购机构将通过“信用中国”网站(www.creditchina.gov.cn)和中国政府采购网(www.ccgp.gov.cn)渠道查询供应商响应截止时间前的信用记录。</w:t>
      </w:r>
    </w:p>
    <w:p>
      <w:pPr>
        <w:pStyle w:val="27"/>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2.2信用信息查询记录和证据留存的具体方式：现场查询的供应商的信用记录、查询结果经确认后存档。</w:t>
      </w:r>
    </w:p>
    <w:p>
      <w:pPr>
        <w:pStyle w:val="27"/>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2.3信用信息的使用规则：经查询列入失信被执行人名单、重大税收违法案件当事人名单、政府采购严重违法失信行为记录名单的供应商将被拒绝参与政府采购活动。</w:t>
      </w:r>
    </w:p>
    <w:p>
      <w:pPr>
        <w:pStyle w:val="27"/>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2"/>
        <w:spacing w:line="360" w:lineRule="auto"/>
        <w:rPr>
          <w:rFonts w:ascii="仿宋_GB2312" w:hAnsi="仿宋_GB2312" w:eastAsia="仿宋_GB2312" w:cs="仿宋_GB2312"/>
          <w:b/>
          <w:sz w:val="24"/>
          <w:szCs w:val="24"/>
        </w:rPr>
      </w:pPr>
    </w:p>
    <w:p>
      <w:pPr>
        <w:adjustRightInd/>
        <w:spacing w:line="360" w:lineRule="auto"/>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九</w:t>
      </w:r>
      <w:r>
        <w:rPr>
          <w:rFonts w:hint="eastAsia" w:ascii="仿宋_GB2312" w:hAnsi="仿宋_GB2312" w:eastAsia="仿宋_GB2312" w:cs="仿宋_GB2312"/>
          <w:b/>
          <w:sz w:val="32"/>
          <w:szCs w:val="20"/>
        </w:rPr>
        <w:t>、</w:t>
      </w:r>
      <w:r>
        <w:rPr>
          <w:rFonts w:hint="eastAsia" w:ascii="仿宋_GB2312" w:hAnsi="仿宋" w:eastAsia="仿宋_GB2312"/>
          <w:b/>
          <w:sz w:val="32"/>
          <w:szCs w:val="32"/>
        </w:rPr>
        <w:t>评审</w:t>
      </w:r>
    </w:p>
    <w:p>
      <w:pPr>
        <w:pStyle w:val="27"/>
        <w:spacing w:before="0"/>
        <w:ind w:firstLine="0" w:firstLineChars="0"/>
        <w:rPr>
          <w:rFonts w:ascii="仿宋_GB2312" w:hAnsi="仿宋" w:eastAsia="仿宋_GB2312" w:cs="仿宋_GB2312"/>
          <w:b/>
        </w:rPr>
      </w:pPr>
      <w:r>
        <w:rPr>
          <w:rFonts w:hint="eastAsia" w:ascii="仿宋_GB2312" w:hAnsi="仿宋" w:eastAsia="仿宋_GB2312"/>
          <w:b/>
          <w:szCs w:val="24"/>
        </w:rPr>
        <w:t>1.</w:t>
      </w:r>
      <w:r>
        <w:rPr>
          <w:rFonts w:hint="eastAsia" w:ascii="仿宋_GB2312" w:hAnsi="仿宋" w:eastAsia="仿宋_GB2312" w:cs="仿宋_GB2312"/>
          <w:b/>
        </w:rPr>
        <w:t>评审方法：</w:t>
      </w:r>
      <w:r>
        <w:rPr>
          <w:rFonts w:hint="eastAsia" w:ascii="仿宋_GB2312" w:hAnsi="仿宋" w:eastAsia="仿宋_GB2312" w:cs="仿宋_GB2312"/>
        </w:rPr>
        <w:t>综合评分法。</w:t>
      </w:r>
    </w:p>
    <w:p>
      <w:pPr>
        <w:pStyle w:val="27"/>
        <w:spacing w:before="0"/>
        <w:ind w:firstLine="0" w:firstLineChars="0"/>
        <w:rPr>
          <w:rFonts w:ascii="仿宋_GB2312" w:hAnsi="仿宋" w:eastAsia="仿宋_GB2312" w:cs="仿宋_GB2312"/>
          <w:b/>
        </w:rPr>
      </w:pPr>
      <w:r>
        <w:rPr>
          <w:rFonts w:hint="eastAsia" w:ascii="仿宋_GB2312" w:hAnsi="仿宋" w:eastAsia="仿宋_GB2312" w:cs="仿宋_GB2312"/>
          <w:b/>
        </w:rPr>
        <w:t>2.价格分计算方法：</w:t>
      </w:r>
      <w:r>
        <w:rPr>
          <w:rFonts w:hint="eastAsia" w:ascii="仿宋_GB2312" w:hAnsi="仿宋" w:eastAsia="仿宋_GB2312" w:cs="仿宋_GB2312"/>
        </w:rPr>
        <w:t>低价优先法。</w:t>
      </w:r>
    </w:p>
    <w:p>
      <w:pPr>
        <w:pStyle w:val="27"/>
        <w:spacing w:before="0"/>
        <w:ind w:firstLine="0" w:firstLineChars="0"/>
        <w:rPr>
          <w:rFonts w:ascii="仿宋_GB2312" w:hAnsi="仿宋" w:eastAsia="仿宋_GB2312"/>
          <w:szCs w:val="24"/>
        </w:rPr>
      </w:pPr>
      <w:r>
        <w:rPr>
          <w:rFonts w:hint="eastAsia" w:ascii="仿宋_GB2312" w:hAnsi="仿宋" w:eastAsia="仿宋_GB2312" w:cs="仿宋_GB2312"/>
          <w:b/>
        </w:rPr>
        <w:t>3.评审要求：</w:t>
      </w:r>
      <w:r>
        <w:rPr>
          <w:rFonts w:hint="eastAsia" w:ascii="仿宋_GB2312" w:hAnsi="仿宋" w:eastAsia="仿宋_GB2312" w:cs="仿宋_GB2312"/>
        </w:rPr>
        <w:t>详见磋商文件第五部分“评审方法及评审标准”。</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 w:eastAsia="仿宋_GB2312"/>
          <w:b/>
          <w:sz w:val="32"/>
          <w:szCs w:val="32"/>
        </w:rPr>
      </w:pPr>
      <w:r>
        <w:rPr>
          <w:rFonts w:hint="eastAsia" w:ascii="仿宋_GB2312" w:hAnsi="仿宋_GB2312" w:eastAsia="仿宋_GB2312" w:cs="仿宋_GB2312"/>
          <w:b/>
          <w:sz w:val="32"/>
          <w:szCs w:val="20"/>
        </w:rPr>
        <w:t>十、提交</w:t>
      </w:r>
      <w:r>
        <w:rPr>
          <w:rFonts w:hint="eastAsia" w:ascii="仿宋_GB2312" w:hAnsi="仿宋" w:eastAsia="仿宋_GB2312"/>
          <w:b/>
          <w:sz w:val="32"/>
          <w:szCs w:val="32"/>
        </w:rPr>
        <w:t>最后报价</w:t>
      </w:r>
    </w:p>
    <w:p>
      <w:pPr>
        <w:snapToGrid w:val="0"/>
        <w:spacing w:line="360" w:lineRule="auto"/>
        <w:rPr>
          <w:rFonts w:hint="eastAsia" w:ascii="仿宋_GB2312" w:hAnsi="仿宋_GB2312" w:eastAsia="仿宋_GB2312" w:cs="仿宋_GB2312"/>
          <w:sz w:val="24"/>
          <w:u w:val="single"/>
          <w:lang w:val="zh-CN"/>
        </w:rPr>
      </w:pPr>
      <w:r>
        <w:rPr>
          <w:rFonts w:hint="eastAsia" w:ascii="仿宋_GB2312" w:hAnsi="仿宋" w:eastAsia="仿宋_GB2312"/>
          <w:b/>
          <w:sz w:val="24"/>
        </w:rPr>
        <w:t>1.</w:t>
      </w:r>
      <w:r>
        <w:rPr>
          <w:rFonts w:hint="eastAsia" w:ascii="仿宋_GB2312" w:hAnsi="仿宋" w:eastAsia="仿宋_GB2312" w:cs="仿宋_GB2312"/>
          <w:sz w:val="24"/>
        </w:rPr>
        <w:t>供应商的</w:t>
      </w:r>
      <w:r>
        <w:rPr>
          <w:rFonts w:hint="eastAsia" w:ascii="仿宋_GB2312" w:hAnsi="仿宋" w:eastAsia="仿宋_GB2312" w:cs="仿宋_GB2312"/>
          <w:b/>
          <w:sz w:val="24"/>
        </w:rPr>
        <w:t>最后文件</w:t>
      </w:r>
      <w:r>
        <w:rPr>
          <w:rFonts w:hint="eastAsia" w:ascii="仿宋_GB2312" w:hAnsi="仿宋" w:eastAsia="仿宋_GB2312" w:cs="仿宋_GB2312"/>
          <w:sz w:val="24"/>
        </w:rPr>
        <w:t>应</w:t>
      </w:r>
      <w:r>
        <w:rPr>
          <w:rFonts w:hint="eastAsia" w:ascii="仿宋_GB2312" w:hAnsi="仿宋_GB2312" w:eastAsia="仿宋_GB2312" w:cs="仿宋_GB2312"/>
          <w:sz w:val="24"/>
        </w:rPr>
        <w:t>包括以下内容（均需使用电子签名）：</w:t>
      </w:r>
    </w:p>
    <w:p>
      <w:pPr>
        <w:pStyle w:val="12"/>
        <w:snapToGrid w:val="0"/>
        <w:spacing w:line="360" w:lineRule="auto"/>
        <w:ind w:firstLine="480" w:firstLineChars="200"/>
        <w:rPr>
          <w:rFonts w:hint="eastAsia" w:ascii="仿宋_GB2312" w:hAnsi="仿宋_GB2312" w:eastAsia="仿宋_GB2312" w:cs="仿宋_GB2312"/>
          <w:b/>
          <w:bCs/>
          <w:sz w:val="32"/>
          <w:szCs w:val="20"/>
          <w:lang w:eastAsia="zh-CN"/>
        </w:rPr>
      </w:pPr>
      <w:r>
        <w:rPr>
          <w:rFonts w:hint="eastAsia" w:ascii="仿宋_GB2312" w:hAnsi="仿宋_GB2312" w:eastAsia="仿宋_GB2312" w:cs="仿宋_GB2312"/>
          <w:sz w:val="24"/>
          <w:szCs w:val="24"/>
        </w:rPr>
        <w:t>1.1 最后报价；</w:t>
      </w:r>
      <w:r>
        <w:rPr>
          <w:rFonts w:hint="eastAsia" w:ascii="仿宋_GB2312" w:hAnsi="仿宋_GB2312" w:eastAsia="仿宋_GB2312" w:cs="仿宋_GB2312"/>
          <w:b/>
          <w:bCs/>
          <w:sz w:val="24"/>
          <w:szCs w:val="24"/>
        </w:rPr>
        <w:t>供应商通过政采云系统提交最后报价，明细清单中各单价以同比例（最后报价总价与初始报价总价的比值）下调</w:t>
      </w:r>
      <w:r>
        <w:rPr>
          <w:rFonts w:hint="eastAsia" w:ascii="仿宋_GB2312" w:hAnsi="仿宋_GB2312" w:eastAsia="仿宋_GB2312" w:cs="仿宋_GB2312"/>
          <w:b/>
          <w:bCs/>
          <w:sz w:val="24"/>
          <w:szCs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十一、</w:t>
      </w:r>
      <w:r>
        <w:rPr>
          <w:rFonts w:hint="eastAsia" w:ascii="仿宋_GB2312" w:hAnsi="仿宋" w:eastAsia="仿宋_GB2312"/>
          <w:b/>
          <w:sz w:val="32"/>
          <w:szCs w:val="32"/>
        </w:rPr>
        <w:t>定标与成交</w:t>
      </w:r>
    </w:p>
    <w:p>
      <w:pPr>
        <w:pStyle w:val="12"/>
        <w:spacing w:line="360" w:lineRule="auto"/>
        <w:rPr>
          <w:rFonts w:ascii="仿宋_GB2312" w:hAnsi="仿宋_GB2312" w:eastAsia="仿宋_GB2312" w:cs="仿宋_GB2312"/>
          <w:b/>
          <w:sz w:val="24"/>
          <w:szCs w:val="24"/>
        </w:rPr>
      </w:pPr>
      <w:r>
        <w:rPr>
          <w:rFonts w:hint="eastAsia" w:ascii="仿宋_GB2312" w:hAnsi="仿宋" w:eastAsia="仿宋_GB2312"/>
          <w:b/>
          <w:sz w:val="24"/>
        </w:rPr>
        <w:t>1. 推荐成交候选供应商</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2"/>
        <w:spacing w:line="360" w:lineRule="auto"/>
        <w:rPr>
          <w:rFonts w:ascii="仿宋_GB2312" w:hAnsi="仿宋" w:eastAsia="仿宋_GB2312"/>
          <w:b/>
          <w:sz w:val="24"/>
        </w:rPr>
      </w:pPr>
      <w:r>
        <w:rPr>
          <w:rFonts w:hint="eastAsia" w:ascii="仿宋_GB2312" w:hAnsi="仿宋" w:eastAsia="仿宋_GB2312"/>
          <w:b/>
          <w:sz w:val="24"/>
        </w:rPr>
        <w:t>2. 确定成交供应商</w:t>
      </w:r>
    </w:p>
    <w:p>
      <w:pPr>
        <w:adjustRightInd w:val="0"/>
        <w:snapToGrid w:val="0"/>
        <w:spacing w:after="120" w:line="360" w:lineRule="auto"/>
        <w:ind w:firstLine="480" w:firstLineChars="200"/>
        <w:rPr>
          <w:rFonts w:ascii="仿宋_GB2312" w:hAnsi="仿宋" w:eastAsia="仿宋_GB2312"/>
          <w:sz w:val="24"/>
          <w:szCs w:val="21"/>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ascii="仿宋_GB2312" w:hAnsi="Helvetica" w:eastAsia="仿宋_GB2312" w:cs="Helvetica"/>
          <w:kern w:val="0"/>
          <w:sz w:val="24"/>
        </w:rPr>
      </w:pPr>
      <w:r>
        <w:rPr>
          <w:rFonts w:hint="eastAsia" w:ascii="仿宋_GB2312" w:hAnsi="仿宋" w:eastAsia="仿宋_GB2312"/>
          <w:b/>
          <w:sz w:val="24"/>
        </w:rPr>
        <w:t>3．成交通知及成交结果公告</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_GB2312" w:hAnsi="仿宋" w:eastAsia="仿宋_GB2312"/>
          <w:sz w:val="24"/>
          <w:szCs w:val="21"/>
        </w:rPr>
      </w:pPr>
      <w:r>
        <w:rPr>
          <w:rFonts w:hint="eastAsia" w:ascii="仿宋_GB2312" w:hAnsi="仿宋" w:eastAsia="仿宋_GB2312"/>
          <w:sz w:val="24"/>
          <w:szCs w:val="21"/>
        </w:rPr>
        <w:t>3.2公告期限为1个工作日。</w:t>
      </w:r>
    </w:p>
    <w:p>
      <w:pPr>
        <w:snapToGrid w:val="0"/>
        <w:spacing w:line="360" w:lineRule="auto"/>
        <w:jc w:val="center"/>
        <w:outlineLvl w:val="0"/>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十二、合同授予</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1.合同主要条款：</w:t>
      </w:r>
      <w:r>
        <w:rPr>
          <w:rFonts w:hint="eastAsia" w:ascii="仿宋_GB2312" w:hAnsi="仿宋" w:eastAsia="仿宋_GB2312"/>
          <w:sz w:val="24"/>
        </w:rPr>
        <w:t>详见“第六部分拟签订的合同文本”。</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2.合同的签订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szCs w:val="21"/>
        </w:rPr>
        <w:t>2.1</w:t>
      </w:r>
      <w:r>
        <w:rPr>
          <w:rFonts w:hint="eastAsia" w:ascii="仿宋_GB2312" w:hAnsi="仿宋" w:eastAsia="仿宋_GB2312" w:cs="Arial"/>
          <w:kern w:val="0"/>
          <w:sz w:val="24"/>
          <w:szCs w:val="24"/>
          <w:lang w:val="zh-CN"/>
        </w:rPr>
        <w:t>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2.4如签订合同并生效后，供应商无故拒绝或延期，除按照合同条款处理外，列入不良行为记录一次，并给予通报。</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3．履约保证金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cs="Times New Roman"/>
          <w:sz w:val="24"/>
          <w:szCs w:val="24"/>
          <w:lang w:val="en-US" w:eastAsia="zh-CN"/>
        </w:rPr>
        <w:t>1</w:t>
      </w:r>
      <w:r>
        <w:rPr>
          <w:rFonts w:ascii="仿宋_GB2312" w:hAnsi="仿宋" w:eastAsia="仿宋_GB2312" w:cs="Times New Roman"/>
          <w:sz w:val="24"/>
          <w:szCs w:val="24"/>
        </w:rPr>
        <w:t>%。</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w:t>
      </w:r>
    </w:p>
    <w:p>
      <w:pPr>
        <w:tabs>
          <w:tab w:val="left" w:pos="0"/>
        </w:tabs>
        <w:spacing w:line="360" w:lineRule="auto"/>
        <w:ind w:firstLine="480"/>
        <w:rPr>
          <w:rFonts w:ascii="仿宋_GB2312" w:hAnsi="Helvetica" w:eastAsia="仿宋_GB2312" w:cs="Helvetica"/>
          <w:kern w:val="0"/>
          <w:sz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十三、验收</w:t>
      </w:r>
    </w:p>
    <w:p>
      <w:pPr>
        <w:pStyle w:val="9"/>
        <w:spacing w:line="360" w:lineRule="auto"/>
        <w:ind w:firstLine="0" w:firstLineChars="0"/>
        <w:rPr>
          <w:rFonts w:ascii="仿宋_GB2312" w:hAnsi="仿宋" w:eastAsia="仿宋_GB2312"/>
          <w:b/>
        </w:rPr>
      </w:pPr>
      <w:r>
        <w:rPr>
          <w:rFonts w:hint="eastAsia" w:ascii="仿宋_GB2312" w:hAnsi="仿宋" w:eastAsia="仿宋_GB2312"/>
          <w:b/>
        </w:rPr>
        <w:t>1.验收</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_GB2312" w:hAnsi="楷体" w:eastAsia="仿宋_GB2312"/>
          <w:sz w:val="24"/>
          <w:lang w:val="zh-CN"/>
        </w:rPr>
        <w:t>《中华人民共和国民法典》</w:t>
      </w:r>
      <w:r>
        <w:rPr>
          <w:rFonts w:hint="eastAsia" w:ascii="仿宋_GB2312" w:hAnsi="Helvetica" w:eastAsia="仿宋_GB2312" w:cs="Helvetica"/>
          <w:kern w:val="0"/>
          <w:sz w:val="24"/>
        </w:rPr>
        <w:t>。供应商在履约过程中有政府采购法律法规规定的违法违规情形的，采购人应当及时报告本级财政部门。</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 w:eastAsia="仿宋_GB2312"/>
          <w:b/>
          <w:sz w:val="24"/>
        </w:rPr>
      </w:pPr>
      <w:r>
        <w:rPr>
          <w:rFonts w:hint="eastAsia" w:ascii="仿宋_GB2312" w:hAnsi="仿宋_GB2312" w:eastAsia="仿宋_GB2312" w:cs="仿宋_GB2312"/>
          <w:b/>
          <w:sz w:val="36"/>
          <w:szCs w:val="36"/>
        </w:rPr>
        <w:t>十四、电子交易活动的中止</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 电子交易活动的中止</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1.1电子交易平台发生故障而无法登录访问的；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1.2电子交易平台应用或数据库出现错误，不能进行正常操作的；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1.3电子交易平台发现严重安全漏洞，有潜在泄密危险的；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1.4病毒发作导致不能进行正常操作的；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1.5其他无法保证电子交易的公平、公正和安全的情况。</w:t>
      </w:r>
    </w:p>
    <w:p>
      <w:pPr>
        <w:numPr>
          <w:ilvl w:val="0"/>
          <w:numId w:val="4"/>
        </w:numPr>
        <w:spacing w:line="360" w:lineRule="auto"/>
        <w:rPr>
          <w:rFonts w:hint="eastAsia" w:ascii="仿宋_GB2312" w:hAnsi="Helvetica" w:eastAsia="仿宋_GB2312" w:cs="Helvetica"/>
          <w:kern w:val="0"/>
          <w:sz w:val="24"/>
          <w:lang w:eastAsia="zh-CN"/>
        </w:rPr>
      </w:pPr>
      <w:r>
        <w:rPr>
          <w:rFonts w:hint="eastAsia" w:ascii="仿宋_GB2312" w:hAnsi="Helvetica" w:eastAsia="仿宋_GB2312"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31" w:name="_Hlt75236011"/>
      <w:bookmarkEnd w:id="31"/>
      <w:bookmarkStart w:id="32" w:name="_Hlt74714665"/>
      <w:bookmarkEnd w:id="32"/>
      <w:bookmarkStart w:id="33" w:name="_Hlt68057669"/>
      <w:bookmarkEnd w:id="33"/>
      <w:bookmarkStart w:id="34" w:name="_Hlt75236290"/>
      <w:bookmarkEnd w:id="34"/>
      <w:bookmarkStart w:id="35" w:name="_Hlt74729768"/>
      <w:bookmarkEnd w:id="35"/>
      <w:bookmarkStart w:id="36" w:name="_Hlt74730295"/>
      <w:bookmarkEnd w:id="36"/>
      <w:bookmarkStart w:id="37" w:name="_Hlt68072990"/>
      <w:bookmarkEnd w:id="37"/>
      <w:bookmarkStart w:id="38" w:name="_Hlt74707468"/>
      <w:bookmarkEnd w:id="38"/>
      <w:bookmarkStart w:id="39" w:name="_Hlt75236101"/>
      <w:bookmarkEnd w:id="39"/>
      <w:r>
        <w:rPr>
          <w:rFonts w:hint="eastAsia" w:ascii="仿宋_GB2312" w:hAnsi="Helvetica" w:eastAsia="仿宋_GB2312" w:cs="Helvetica"/>
          <w:kern w:val="0"/>
          <w:sz w:val="24"/>
          <w:lang w:eastAsia="zh-CN"/>
        </w:rPr>
        <w:t>。</w:t>
      </w:r>
    </w:p>
    <w:p>
      <w:pPr>
        <w:pStyle w:val="2"/>
        <w:numPr>
          <w:ilvl w:val="0"/>
          <w:numId w:val="0"/>
        </w:numPr>
        <w:rPr>
          <w:rFonts w:hint="eastAsia"/>
          <w:lang w:eastAsia="zh-CN"/>
        </w:rPr>
      </w:pPr>
    </w:p>
    <w:p>
      <w:pPr>
        <w:pStyle w:val="18"/>
        <w:rPr>
          <w:rFonts w:hint="eastAsia"/>
          <w:lang w:eastAsia="zh-CN"/>
        </w:rPr>
      </w:pPr>
    </w:p>
    <w:p>
      <w:pPr>
        <w:pStyle w:val="18"/>
        <w:rPr>
          <w:rFonts w:hint="eastAsia"/>
          <w:lang w:eastAsia="zh-CN"/>
        </w:rPr>
      </w:pPr>
    </w:p>
    <w:p>
      <w:pPr>
        <w:pStyle w:val="18"/>
        <w:ind w:left="0" w:leftChars="0" w:firstLine="0" w:firstLineChars="0"/>
        <w:rPr>
          <w:rFonts w:hint="eastAsia"/>
          <w:lang w:eastAsia="zh-CN"/>
        </w:rPr>
      </w:pPr>
    </w:p>
    <w:p>
      <w:pPr>
        <w:rPr>
          <w:rFonts w:hint="eastAsia"/>
          <w:lang w:eastAsia="zh-CN"/>
        </w:rPr>
      </w:pPr>
    </w:p>
    <w:p>
      <w:pPr>
        <w:pStyle w:val="18"/>
        <w:ind w:left="0" w:leftChars="0" w:firstLine="0" w:firstLineChars="0"/>
        <w:rPr>
          <w:rFonts w:hint="eastAsia"/>
          <w:lang w:eastAsia="zh-CN"/>
        </w:rPr>
      </w:pPr>
    </w:p>
    <w:p>
      <w:pPr>
        <w:rPr>
          <w:rFonts w:hint="eastAsia"/>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采购需求</w:t>
      </w:r>
    </w:p>
    <w:p>
      <w:pPr>
        <w:tabs>
          <w:tab w:val="left" w:pos="0"/>
        </w:tabs>
        <w:spacing w:line="360" w:lineRule="auto"/>
        <w:ind w:firstLine="480"/>
        <w:rPr>
          <w:rFonts w:hint="eastAsia" w:ascii="仿宋_GB2312" w:hAnsi="Helvetica" w:eastAsia="仿宋_GB2312" w:cs="Helvetica"/>
          <w:kern w:val="0"/>
          <w:sz w:val="24"/>
          <w:lang w:val="zh-CN"/>
        </w:rPr>
      </w:pPr>
    </w:p>
    <w:p>
      <w:pPr>
        <w:pStyle w:val="4"/>
        <w:numPr>
          <w:ilvl w:val="0"/>
          <w:numId w:val="0"/>
        </w:numPr>
        <w:spacing w:line="360" w:lineRule="auto"/>
        <w:ind w:leftChars="0"/>
        <w:rPr>
          <w:rFonts w:hint="eastAsia"/>
          <w:sz w:val="24"/>
          <w:szCs w:val="24"/>
        </w:rPr>
      </w:pPr>
      <w:r>
        <w:rPr>
          <w:rFonts w:hint="eastAsia"/>
          <w:sz w:val="24"/>
          <w:szCs w:val="24"/>
        </w:rPr>
        <w:t>一、项目概况</w:t>
      </w:r>
    </w:p>
    <w:p>
      <w:pPr>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Cs/>
          <w:sz w:val="24"/>
          <w:szCs w:val="24"/>
        </w:rPr>
        <w:t>1.项目名</w:t>
      </w:r>
      <w:r>
        <w:rPr>
          <w:rFonts w:hint="eastAsia" w:ascii="仿宋" w:hAnsi="仿宋" w:eastAsia="仿宋" w:cs="仿宋"/>
          <w:bCs/>
          <w:sz w:val="24"/>
          <w:szCs w:val="24"/>
          <w:highlight w:val="none"/>
        </w:rPr>
        <w:t>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临安区村庄规划评估服务项目</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highlight w:val="none"/>
        </w:rPr>
        <w:t>合同履行期限：</w:t>
      </w:r>
      <w:r>
        <w:rPr>
          <w:rFonts w:hint="eastAsia" w:ascii="仿宋_GB2312" w:hAnsi="仿宋" w:eastAsia="仿宋_GB2312"/>
          <w:b/>
          <w:bCs/>
          <w:sz w:val="24"/>
          <w:highlight w:val="none"/>
          <w:lang w:val="en-US" w:eastAsia="zh-CN"/>
        </w:rPr>
        <w:t>自合同签订之日起2年</w:t>
      </w:r>
      <w:r>
        <w:rPr>
          <w:rFonts w:hint="eastAsia" w:ascii="仿宋" w:hAnsi="仿宋" w:eastAsia="仿宋" w:cs="仿宋"/>
          <w:bCs/>
          <w:sz w:val="24"/>
          <w:szCs w:val="24"/>
          <w:highlight w:val="none"/>
        </w:rPr>
        <w:t>。</w:t>
      </w:r>
    </w:p>
    <w:p>
      <w:pPr>
        <w:pStyle w:val="4"/>
        <w:numPr>
          <w:ilvl w:val="0"/>
          <w:numId w:val="0"/>
        </w:numPr>
        <w:ind w:leftChars="0"/>
        <w:rPr>
          <w:rFonts w:hint="eastAsia" w:cs="Times New Roman"/>
          <w:sz w:val="24"/>
          <w:szCs w:val="24"/>
        </w:rPr>
      </w:pPr>
      <w:r>
        <w:rPr>
          <w:rFonts w:hint="eastAsia" w:cs="Times New Roman"/>
          <w:sz w:val="24"/>
          <w:szCs w:val="24"/>
        </w:rPr>
        <w:t>二、评估背景</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根据《浙江省村庄规划“一评估两覆盖三提升”专项行动计划》（浙自然资函〔2022〕24号）工作部署，为全面掌握</w:t>
      </w:r>
      <w:r>
        <w:rPr>
          <w:rFonts w:hint="eastAsia" w:ascii="仿宋" w:hAnsi="仿宋" w:eastAsia="仿宋" w:cs="仿宋"/>
          <w:sz w:val="24"/>
          <w:szCs w:val="24"/>
          <w:lang w:val="en-US" w:eastAsia="zh-CN"/>
        </w:rPr>
        <w:t>临安区</w:t>
      </w:r>
      <w:r>
        <w:rPr>
          <w:rFonts w:hint="eastAsia" w:ascii="仿宋" w:hAnsi="仿宋" w:eastAsia="仿宋" w:cs="仿宋"/>
          <w:sz w:val="24"/>
          <w:szCs w:val="24"/>
        </w:rPr>
        <w:t>村庄规划实施情况，掌握规划适应性，科学制定村庄规划管控全覆盖工作计划，提升村庄规划编制质量和后续实施管理效率，促进乡村振兴发展，特开展本次评估工作。</w:t>
      </w:r>
    </w:p>
    <w:p>
      <w:pPr>
        <w:pStyle w:val="4"/>
        <w:numPr>
          <w:ilvl w:val="0"/>
          <w:numId w:val="0"/>
        </w:numPr>
        <w:ind w:leftChars="0"/>
        <w:rPr>
          <w:rFonts w:hint="eastAsia" w:cs="Times New Roman"/>
          <w:sz w:val="24"/>
          <w:szCs w:val="24"/>
        </w:rPr>
      </w:pPr>
      <w:r>
        <w:rPr>
          <w:rFonts w:hint="eastAsia" w:cs="Times New Roman"/>
          <w:sz w:val="24"/>
          <w:szCs w:val="24"/>
        </w:rPr>
        <w:t>三、评估范围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结合国土空间总体规划编制，对</w:t>
      </w:r>
      <w:r>
        <w:rPr>
          <w:rFonts w:hint="eastAsia" w:ascii="仿宋" w:hAnsi="仿宋" w:eastAsia="仿宋" w:cs="仿宋"/>
          <w:sz w:val="24"/>
          <w:szCs w:val="24"/>
          <w:lang w:val="en-US" w:eastAsia="zh-CN"/>
        </w:rPr>
        <w:t>临安</w:t>
      </w:r>
      <w:r>
        <w:rPr>
          <w:rFonts w:hint="eastAsia" w:ascii="仿宋" w:hAnsi="仿宋" w:eastAsia="仿宋" w:cs="仿宋"/>
          <w:sz w:val="24"/>
          <w:szCs w:val="24"/>
        </w:rPr>
        <w:t>区行政区范围内的所有行政村开展村庄规划评估，评估对象包括村庄布点（布局）规划、村庄（建设）规划、村土地利用规划、村庄整治规划等原有乡村地区各类空间性规划。</w:t>
      </w:r>
    </w:p>
    <w:p>
      <w:pPr>
        <w:pStyle w:val="4"/>
        <w:numPr>
          <w:ilvl w:val="0"/>
          <w:numId w:val="0"/>
        </w:numPr>
        <w:ind w:leftChars="0"/>
        <w:rPr>
          <w:rFonts w:hint="eastAsia" w:cs="Times New Roman"/>
          <w:sz w:val="24"/>
          <w:szCs w:val="24"/>
        </w:rPr>
      </w:pPr>
      <w:r>
        <w:rPr>
          <w:rFonts w:hint="eastAsia" w:cs="Times New Roman"/>
          <w:sz w:val="24"/>
          <w:szCs w:val="24"/>
        </w:rPr>
        <w:t>四、主要内容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1、基础资料收集及内业数据处理和核查，包括对已编制的村庄规划覆盖情况、村庄发展现状与规划等进行综合分析；</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2、村庄规划评估及外业调查，包括上位国土空间总体规划、耕地保护与生态保护、灾害隐患避让等村庄安全要求、乡村产业发展需求、涉及乡村改革发展需求及村民意愿的适应性等方面进行评估和调查；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3、分析评估结果并制定工作计划，形成村庄规划“继续实施、局部调整、废止、重新编制”四个评估结果，制定年度村庄规划编制计划；</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4、进行村庄分类评估，按照集聚建设、整治提升、城郊融合、特色保护、搬迁撤并五种村庄类型确定村庄定位。</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5、编制评估报告并完成村庄规划矢量数据处理、建立数据库，形成评估报告和台账，评估报告应包括基本情况、存在问题和工作建议。</w:t>
      </w:r>
    </w:p>
    <w:p>
      <w:pPr>
        <w:pStyle w:val="4"/>
        <w:numPr>
          <w:ilvl w:val="0"/>
          <w:numId w:val="0"/>
        </w:numPr>
        <w:ind w:leftChars="0"/>
        <w:rPr>
          <w:rFonts w:hint="eastAsia" w:cs="Times New Roman"/>
          <w:sz w:val="24"/>
          <w:szCs w:val="24"/>
          <w:highlight w:val="none"/>
        </w:rPr>
      </w:pPr>
      <w:r>
        <w:rPr>
          <w:rFonts w:hint="eastAsia" w:cs="Times New Roman"/>
          <w:sz w:val="24"/>
          <w:szCs w:val="24"/>
          <w:highlight w:val="none"/>
        </w:rPr>
        <w:t>五、成果要求</w:t>
      </w:r>
    </w:p>
    <w:p>
      <w:pPr>
        <w:pStyle w:val="9"/>
        <w:spacing w:line="360" w:lineRule="auto"/>
        <w:ind w:firstLine="480" w:firstLineChars="20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1、规划成果包括评估报告、表格附件及数据库、各阶段汇报PPT文件，</w:t>
      </w:r>
      <w:r>
        <w:rPr>
          <w:rFonts w:hint="eastAsia" w:ascii="仿宋" w:hAnsi="仿宋" w:eastAsia="仿宋" w:cs="仿宋"/>
          <w:color w:val="000000"/>
          <w:kern w:val="2"/>
          <w:sz w:val="24"/>
          <w:szCs w:val="24"/>
          <w:highlight w:val="none"/>
        </w:rPr>
        <w:t>评估报告应当包含总体概况、重点内容、存在问题、经验借鉴、工作计划及建议等内容，每个章节可结合实际展开分析，并附相关图、表</w:t>
      </w:r>
      <w:r>
        <w:rPr>
          <w:rFonts w:hint="eastAsia" w:ascii="仿宋" w:hAnsi="仿宋" w:eastAsia="仿宋" w:cs="仿宋"/>
          <w:color w:val="000000"/>
          <w:kern w:val="2"/>
          <w:sz w:val="24"/>
          <w:szCs w:val="24"/>
          <w:highlight w:val="none"/>
          <w:lang w:eastAsia="zh-CN"/>
        </w:rPr>
        <w:t>；</w:t>
      </w:r>
      <w:r>
        <w:rPr>
          <w:rFonts w:hint="eastAsia" w:ascii="仿宋" w:hAnsi="仿宋" w:eastAsia="仿宋" w:cs="仿宋"/>
          <w:color w:val="000000"/>
          <w:kern w:val="2"/>
          <w:sz w:val="24"/>
          <w:szCs w:val="24"/>
          <w:highlight w:val="none"/>
          <w:lang w:val="en-US" w:eastAsia="zh-CN"/>
        </w:rPr>
        <w:t>表格附件</w:t>
      </w:r>
      <w:r>
        <w:rPr>
          <w:rFonts w:hint="eastAsia" w:ascii="仿宋" w:hAnsi="仿宋" w:eastAsia="仿宋" w:cs="仿宋"/>
          <w:color w:val="000000"/>
          <w:kern w:val="2"/>
          <w:sz w:val="24"/>
          <w:szCs w:val="24"/>
          <w:highlight w:val="none"/>
        </w:rPr>
        <w:t>包括《村庄分类定位汇总表》、《“十四五”期间农民建房需求摸排表》、《村庄规划分类编制计划表》等内容</w:t>
      </w:r>
      <w:r>
        <w:rPr>
          <w:rFonts w:hint="eastAsia" w:ascii="仿宋" w:hAnsi="仿宋" w:eastAsia="仿宋" w:cs="仿宋"/>
          <w:color w:val="000000"/>
          <w:sz w:val="24"/>
          <w:highlight w:val="none"/>
        </w:rPr>
        <w:t>及所有相关的电子版资料（U盘或光盘，含CAD格式）</w:t>
      </w:r>
      <w:r>
        <w:rPr>
          <w:rFonts w:hint="eastAsia" w:ascii="仿宋" w:hAnsi="仿宋" w:eastAsia="仿宋" w:cs="仿宋"/>
          <w:color w:val="000000"/>
          <w:kern w:val="2"/>
          <w:sz w:val="24"/>
          <w:szCs w:val="24"/>
          <w:highlight w:val="none"/>
          <w:lang w:val="en-US" w:eastAsia="zh-CN"/>
        </w:rPr>
        <w:t>；</w:t>
      </w:r>
      <w:r>
        <w:rPr>
          <w:rFonts w:hint="eastAsia" w:ascii="仿宋" w:hAnsi="仿宋" w:eastAsia="仿宋" w:cs="仿宋"/>
          <w:color w:val="000000"/>
          <w:highlight w:val="none"/>
        </w:rPr>
        <w:t>数据库成果文件格式采用 GIS格式数据，包括 GDB、MDB、shp 等格式。坐标系统采用"2000 国家大地坐标系（CGCS2000）。投影采用"高斯-克吕格"投影，采用国家标准分带。</w:t>
      </w:r>
      <w:r>
        <w:rPr>
          <w:rFonts w:hint="eastAsia" w:ascii="仿宋" w:hAnsi="仿宋" w:eastAsia="仿宋" w:cs="仿宋"/>
          <w:color w:val="000000"/>
          <w:sz w:val="24"/>
          <w:highlight w:val="none"/>
          <w:lang w:val="en-US" w:eastAsia="zh-CN"/>
        </w:rPr>
        <w:t>数据成果按照自然资源目录体系编制，并满足临安区自然资源大数据中心数据库入库标准以及国土空间规划一张图管理系统应用要求。</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2、电子文档：包括文本电子文档（doc、ppt、pdf格式）以及图纸电子文档，供存档之用（含dwg格式、jpg格式、数据库GIS格式，且电子文件必须为可编辑）。</w:t>
      </w:r>
    </w:p>
    <w:p>
      <w:pPr>
        <w:pStyle w:val="9"/>
        <w:pageBreakBefore w:val="0"/>
        <w:kinsoku/>
        <w:wordWrap/>
        <w:overflowPunct/>
        <w:topLinePunct w:val="0"/>
        <w:bidi w:val="0"/>
        <w:snapToGrid/>
        <w:spacing w:line="360" w:lineRule="auto"/>
        <w:textAlignment w:val="auto"/>
        <w:rPr>
          <w:rFonts w:hint="eastAsia" w:ascii="仿宋" w:hAnsi="仿宋" w:eastAsia="仿宋" w:cs="仿宋"/>
          <w:color w:val="000000"/>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color w:val="000000"/>
        </w:rPr>
        <w:t>各阶段成果份数具体以评审阶段采购人所需为准，采购人不另行支付费用。</w:t>
      </w:r>
    </w:p>
    <w:p>
      <w:pPr>
        <w:pStyle w:val="4"/>
        <w:numPr>
          <w:ilvl w:val="0"/>
          <w:numId w:val="0"/>
        </w:numPr>
        <w:ind w:leftChars="0"/>
        <w:rPr>
          <w:rFonts w:hint="eastAsia" w:ascii="仿宋_GB2312" w:hAnsi="仿宋" w:eastAsia="仿宋_GB2312" w:cs="Times New Roman"/>
          <w:b/>
          <w:sz w:val="24"/>
          <w:szCs w:val="24"/>
        </w:rPr>
      </w:pPr>
      <w:r>
        <w:rPr>
          <w:rFonts w:hint="eastAsia" w:ascii="仿宋_GB2312" w:hAnsi="仿宋" w:eastAsia="仿宋_GB2312" w:cs="Times New Roman"/>
          <w:b/>
          <w:sz w:val="24"/>
          <w:szCs w:val="24"/>
        </w:rPr>
        <w:t>六、进度要求</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严格按照浙江省自然资源厅的要求完成评估工作，分阶段推进，具体进度安排如下：</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（1）启动阶段</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为确保评估工作有序开展，根据《浙江省村庄规划评估工作方案》，完成各类基础资料搜集和调研工作</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（2）研究阶段</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根据资料收集情况关注重点评估内容，对主要内容作出评估研究，进而形成评估报告初步成果并征求相关部门意见。 </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（3）成果阶段</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汇总相关意见，按照规程形成最终成果，</w:t>
      </w:r>
      <w:r>
        <w:rPr>
          <w:rFonts w:hint="eastAsia" w:ascii="仿宋" w:hAnsi="仿宋" w:eastAsia="仿宋" w:cs="仿宋"/>
          <w:sz w:val="24"/>
          <w:szCs w:val="24"/>
          <w:lang w:eastAsia="zh-CN"/>
        </w:rPr>
        <w:t>按采购人要求的时间节点</w:t>
      </w:r>
      <w:r>
        <w:rPr>
          <w:rFonts w:hint="eastAsia" w:ascii="仿宋" w:hAnsi="仿宋" w:eastAsia="仿宋" w:cs="仿宋"/>
          <w:sz w:val="24"/>
          <w:szCs w:val="24"/>
        </w:rPr>
        <w:t>提交省厅。</w:t>
      </w:r>
    </w:p>
    <w:p>
      <w:pPr>
        <w:pStyle w:val="4"/>
        <w:numPr>
          <w:ilvl w:val="0"/>
          <w:numId w:val="0"/>
        </w:numPr>
        <w:ind w:leftChars="0"/>
        <w:rPr>
          <w:rFonts w:hint="eastAsia" w:ascii="仿宋_GB2312" w:hAnsi="仿宋" w:eastAsia="仿宋_GB2312" w:cs="Times New Roman"/>
          <w:b/>
          <w:sz w:val="24"/>
          <w:szCs w:val="24"/>
        </w:rPr>
      </w:pPr>
      <w:r>
        <w:rPr>
          <w:rFonts w:hint="eastAsia" w:ascii="仿宋_GB2312" w:hAnsi="仿宋" w:eastAsia="仿宋_GB2312" w:cs="Times New Roman"/>
          <w:b/>
          <w:sz w:val="24"/>
          <w:szCs w:val="24"/>
        </w:rPr>
        <w:t>七、保密要求</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单位提供的所有基础资料（包括：文字、图纸、电子数据）的版权均受法律保护，除为规划编制本身使用外，不得作其它用途，任何未经采购单位同意的拷贝、修改、传播、公开发布等行为都将承担法律责任。</w:t>
      </w:r>
    </w:p>
    <w:p>
      <w:pPr>
        <w:pStyle w:val="4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2.响应供应商须承担与此有关的技术情报和数据资料的保密责任。与本项目有关的资料及数据成果中涉及国家秘密的内容，均要求按照《国家保密法》及相关法律法规执行。</w:t>
      </w:r>
    </w:p>
    <w:p>
      <w:pPr>
        <w:pStyle w:val="4"/>
        <w:numPr>
          <w:ilvl w:val="0"/>
          <w:numId w:val="0"/>
        </w:numPr>
        <w:ind w:leftChars="0"/>
        <w:rPr>
          <w:rFonts w:hint="eastAsia" w:cs="Times New Roman"/>
          <w:sz w:val="24"/>
          <w:szCs w:val="24"/>
        </w:rPr>
      </w:pPr>
      <w:r>
        <w:rPr>
          <w:rFonts w:hint="eastAsia" w:cs="Times New Roman"/>
          <w:sz w:val="24"/>
          <w:szCs w:val="24"/>
        </w:rPr>
        <w:t>八、付款方式</w:t>
      </w:r>
    </w:p>
    <w:p>
      <w:pPr>
        <w:adjustRightInd/>
        <w:spacing w:line="360" w:lineRule="auto"/>
        <w:ind w:firstLine="480" w:firstLineChars="200"/>
        <w:jc w:val="both"/>
        <w:outlineLvl w:val="0"/>
        <w:rPr>
          <w:rFonts w:hint="eastAsia" w:ascii="仿宋_GB2312" w:hAnsi="仿宋_GB2312" w:eastAsia="仿宋_GB2312" w:cs="仿宋_GB2312"/>
          <w:b/>
          <w:sz w:val="36"/>
          <w:szCs w:val="36"/>
          <w:highlight w:val="none"/>
        </w:rPr>
      </w:pPr>
      <w:r>
        <w:rPr>
          <w:rFonts w:hint="eastAsia" w:ascii="仿宋" w:hAnsi="仿宋" w:eastAsia="仿宋" w:cs="仿宋"/>
          <w:sz w:val="24"/>
          <w:szCs w:val="24"/>
          <w:highlight w:val="none"/>
        </w:rPr>
        <w:t>供应商签订合同后15天内，采购人支付规划设计费总额的30%；供应商完成阶段性成果（中间成果,包括村庄分类、原村高贵数据处理等内容）经审查通过后15天内，采购人支付规划费总额的40%；供应商完成最终稿，经评审通过后，并将最终工作报告书及图纸资料的全部文本和电子版资料交付采购人，并完成数据入库后15天内，采购人支付剩余合同价款的30%。</w:t>
      </w:r>
    </w:p>
    <w:p>
      <w:pPr>
        <w:adjustRightInd/>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评审方法及评审标准</w:t>
      </w:r>
    </w:p>
    <w:p>
      <w:pPr>
        <w:pStyle w:val="27"/>
        <w:spacing w:before="0"/>
        <w:ind w:firstLine="643"/>
        <w:jc w:val="center"/>
        <w:rPr>
          <w:rFonts w:ascii="仿宋_GB2312" w:hAnsi="仿宋_GB2312" w:eastAsia="仿宋_GB2312" w:cs="仿宋_GB2312"/>
          <w:b/>
        </w:rPr>
      </w:pPr>
      <w:r>
        <w:rPr>
          <w:rFonts w:hint="eastAsia" w:ascii="仿宋_GB2312" w:hAnsi="仿宋" w:eastAsia="仿宋_GB2312" w:cs="仿宋_GB2312"/>
          <w:b/>
          <w:sz w:val="32"/>
        </w:rPr>
        <w:t>一、评审方法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_GB2312" w:hAnsi="仿宋" w:eastAsia="仿宋_GB2312" w:cs="Arial"/>
          <w:kern w:val="0"/>
          <w:sz w:val="24"/>
        </w:rPr>
      </w:pPr>
    </w:p>
    <w:p>
      <w:pPr>
        <w:snapToGrid w:val="0"/>
        <w:spacing w:line="360" w:lineRule="auto"/>
        <w:ind w:left="120" w:leftChars="57" w:firstLine="422" w:firstLineChars="150"/>
        <w:jc w:val="center"/>
        <w:rPr>
          <w:rFonts w:ascii="仿宋_GB2312" w:hAnsi="仿宋" w:eastAsia="仿宋_GB2312" w:cs="仿宋_GB2312"/>
          <w:b/>
          <w:sz w:val="32"/>
        </w:rPr>
      </w:pPr>
      <w:r>
        <w:rPr>
          <w:rFonts w:hint="eastAsia" w:ascii="仿宋_GB2312" w:hAnsi="仿宋" w:eastAsia="仿宋_GB2312"/>
          <w:b/>
          <w:sz w:val="28"/>
          <w:szCs w:val="28"/>
        </w:rPr>
        <w:t xml:space="preserve">   </w:t>
      </w:r>
      <w:r>
        <w:rPr>
          <w:rFonts w:hint="eastAsia" w:ascii="仿宋_GB2312" w:hAnsi="仿宋" w:eastAsia="仿宋_GB2312" w:cs="仿宋_GB2312"/>
          <w:b/>
          <w:sz w:val="32"/>
        </w:rPr>
        <w:t>二、磋商小组的组成</w:t>
      </w:r>
    </w:p>
    <w:p>
      <w:pPr>
        <w:pStyle w:val="27"/>
        <w:spacing w:before="0"/>
        <w:ind w:firstLine="0" w:firstLineChars="0"/>
        <w:rPr>
          <w:rFonts w:ascii="仿宋_GB2312" w:hAnsi="仿宋" w:eastAsia="仿宋_GB2312" w:cs="Arial"/>
          <w:b/>
          <w:kern w:val="0"/>
        </w:rPr>
      </w:pPr>
      <w:r>
        <w:rPr>
          <w:rFonts w:hint="eastAsia" w:ascii="仿宋_GB2312" w:hAnsi="仿宋" w:eastAsia="仿宋_GB2312" w:cs="Arial"/>
          <w:b/>
          <w:kern w:val="0"/>
        </w:rPr>
        <w:t>1.磋商小组的组成。</w:t>
      </w:r>
    </w:p>
    <w:p>
      <w:pPr>
        <w:pStyle w:val="27"/>
        <w:spacing w:before="0"/>
        <w:ind w:firstLine="480"/>
        <w:rPr>
          <w:rFonts w:ascii="仿宋_GB2312" w:hAnsi="仿宋" w:eastAsia="仿宋_GB2312"/>
        </w:rPr>
      </w:pPr>
      <w:r>
        <w:rPr>
          <w:rFonts w:hint="eastAsia" w:ascii="仿宋_GB2312" w:hAnsi="仿宋" w:eastAsia="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7"/>
        <w:spacing w:before="0"/>
        <w:ind w:firstLine="480"/>
        <w:rPr>
          <w:rFonts w:ascii="仿宋_GB2312" w:hAnsi="仿宋" w:eastAsia="仿宋_GB2312"/>
        </w:rPr>
      </w:pPr>
      <w:r>
        <w:rPr>
          <w:rFonts w:hint="eastAsia" w:ascii="仿宋_GB2312" w:hAnsi="仿宋"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_GB2312" w:hAnsi="仿宋" w:eastAsia="仿宋_GB2312" w:cs="Arial"/>
          <w:b/>
          <w:kern w:val="0"/>
          <w:sz w:val="24"/>
          <w:szCs w:val="20"/>
        </w:rPr>
      </w:pPr>
      <w:r>
        <w:rPr>
          <w:rFonts w:hint="eastAsia" w:ascii="仿宋_GB2312" w:hAnsi="仿宋" w:eastAsia="仿宋_GB2312" w:cs="Arial"/>
          <w:b/>
          <w:kern w:val="0"/>
          <w:sz w:val="24"/>
          <w:szCs w:val="20"/>
        </w:rPr>
        <w:t>2.磋商小组的组成人员的回避。</w:t>
      </w:r>
    </w:p>
    <w:p>
      <w:pPr>
        <w:pStyle w:val="27"/>
        <w:spacing w:before="0"/>
        <w:ind w:firstLine="480"/>
        <w:rPr>
          <w:rFonts w:ascii="仿宋_GB2312" w:hAnsi="仿宋" w:eastAsia="仿宋_GB2312"/>
        </w:rPr>
      </w:pPr>
      <w:r>
        <w:rPr>
          <w:rFonts w:hint="eastAsia" w:ascii="仿宋_GB2312" w:hAnsi="仿宋" w:eastAsia="仿宋_GB2312"/>
        </w:rPr>
        <w:t>在政府采购活动中，磋商小组的组成人员与供应商有下列利害关系之一的，应当回避：</w:t>
      </w:r>
    </w:p>
    <w:p>
      <w:pPr>
        <w:pStyle w:val="27"/>
        <w:spacing w:before="0"/>
        <w:ind w:firstLine="0" w:firstLineChars="0"/>
        <w:rPr>
          <w:rFonts w:ascii="仿宋_GB2312" w:hAnsi="仿宋" w:eastAsia="仿宋_GB2312" w:cs="Arial"/>
          <w:kern w:val="0"/>
        </w:rPr>
      </w:pPr>
      <w:r>
        <w:rPr>
          <w:rFonts w:hint="eastAsia" w:ascii="仿宋_GB2312" w:hAnsi="仿宋" w:eastAsia="仿宋_GB2312" w:cs="Arial"/>
          <w:kern w:val="0"/>
        </w:rPr>
        <w:t>　　2.1参加采购活动前3年内与供应商存在劳动关系；</w:t>
      </w:r>
    </w:p>
    <w:p>
      <w:pPr>
        <w:pStyle w:val="27"/>
        <w:spacing w:before="0"/>
        <w:ind w:firstLine="0" w:firstLineChars="0"/>
        <w:rPr>
          <w:rFonts w:ascii="仿宋_GB2312" w:hAnsi="仿宋" w:eastAsia="仿宋_GB2312" w:cs="Arial"/>
          <w:kern w:val="0"/>
        </w:rPr>
      </w:pPr>
      <w:r>
        <w:rPr>
          <w:rFonts w:hint="eastAsia" w:ascii="仿宋_GB2312" w:hAnsi="仿宋" w:eastAsia="仿宋_GB2312" w:cs="Arial"/>
          <w:kern w:val="0"/>
        </w:rPr>
        <w:t>　　2.2参加采购活动前3年内担任供应商的董事、监事；</w:t>
      </w:r>
    </w:p>
    <w:p>
      <w:pPr>
        <w:pStyle w:val="27"/>
        <w:spacing w:before="0"/>
        <w:ind w:firstLine="0" w:firstLineChars="0"/>
        <w:rPr>
          <w:rFonts w:ascii="仿宋_GB2312" w:hAnsi="仿宋" w:eastAsia="仿宋_GB2312" w:cs="Arial"/>
          <w:kern w:val="0"/>
        </w:rPr>
      </w:pPr>
      <w:r>
        <w:rPr>
          <w:rFonts w:hint="eastAsia" w:ascii="仿宋_GB2312" w:hAnsi="仿宋" w:eastAsia="仿宋_GB2312" w:cs="Arial"/>
          <w:kern w:val="0"/>
        </w:rPr>
        <w:t>　　2.3参加采购活动前3年内是供应商的控股股东或者实际控制人；</w:t>
      </w:r>
    </w:p>
    <w:p>
      <w:pPr>
        <w:pStyle w:val="27"/>
        <w:spacing w:before="0"/>
        <w:ind w:firstLine="480" w:firstLineChars="0"/>
        <w:rPr>
          <w:rFonts w:ascii="仿宋_GB2312" w:hAnsi="仿宋" w:eastAsia="仿宋_GB2312" w:cs="Arial"/>
          <w:kern w:val="0"/>
        </w:rPr>
      </w:pPr>
      <w:r>
        <w:rPr>
          <w:rFonts w:hint="eastAsia" w:ascii="仿宋_GB2312" w:hAnsi="仿宋" w:eastAsia="仿宋_GB2312" w:cs="Arial"/>
          <w:kern w:val="0"/>
        </w:rPr>
        <w:t>2.4与供应商的法定代表人或者负责人有夫妻、直系血亲、三代以内旁系血亲或者近姻亲关系；</w:t>
      </w:r>
    </w:p>
    <w:p>
      <w:pPr>
        <w:pStyle w:val="27"/>
        <w:spacing w:before="0"/>
        <w:ind w:firstLine="480" w:firstLineChars="0"/>
        <w:rPr>
          <w:rFonts w:ascii="仿宋_GB2312" w:hAnsi="仿宋" w:eastAsia="仿宋_GB2312" w:cs="Arial"/>
          <w:kern w:val="0"/>
        </w:rPr>
      </w:pPr>
      <w:r>
        <w:rPr>
          <w:rFonts w:hint="eastAsia" w:ascii="仿宋_GB2312" w:hAnsi="仿宋" w:eastAsia="仿宋_GB2312" w:cs="Arial"/>
          <w:kern w:val="0"/>
        </w:rPr>
        <w:t>2.5与供应商有其他可能影响政府采购活动公平、公正进行的关系。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b/>
          <w:sz w:val="32"/>
          <w:szCs w:val="32"/>
        </w:rPr>
      </w:pPr>
      <w:r>
        <w:rPr>
          <w:rFonts w:hint="eastAsia" w:ascii="仿宋_GB2312" w:hAnsi="仿宋" w:eastAsia="仿宋_GB2312" w:cs="仿宋_GB2312"/>
          <w:b/>
          <w:sz w:val="32"/>
        </w:rPr>
        <w:t>三、磋商小组的职责</w:t>
      </w:r>
    </w:p>
    <w:p>
      <w:pPr>
        <w:pStyle w:val="27"/>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1.磋商小组负责具体评审事务，并独立履行下列职责：</w:t>
      </w:r>
    </w:p>
    <w:p>
      <w:pPr>
        <w:pStyle w:val="27"/>
        <w:spacing w:before="0"/>
        <w:ind w:firstLine="480"/>
        <w:rPr>
          <w:rFonts w:ascii="仿宋_GB2312" w:hAnsi="仿宋" w:eastAsia="仿宋_GB2312"/>
        </w:rPr>
      </w:pPr>
      <w:r>
        <w:rPr>
          <w:rFonts w:hint="eastAsia" w:ascii="仿宋_GB2312" w:hAnsi="仿宋" w:eastAsia="仿宋_GB2312"/>
        </w:rPr>
        <w:t>1.1对响应文件的有效性、完整性和响应程度进行审查；</w:t>
      </w:r>
    </w:p>
    <w:p>
      <w:pPr>
        <w:pStyle w:val="27"/>
        <w:spacing w:before="0"/>
        <w:ind w:firstLine="480"/>
        <w:rPr>
          <w:rFonts w:ascii="仿宋_GB2312" w:hAnsi="仿宋" w:eastAsia="仿宋_GB2312"/>
        </w:rPr>
      </w:pPr>
      <w:r>
        <w:rPr>
          <w:rFonts w:hint="eastAsia" w:ascii="仿宋_GB2312" w:hAnsi="仿宋" w:eastAsia="仿宋_GB2312"/>
        </w:rPr>
        <w:t>1.2审查、评价响应文件是否符合磋商文件的商务、技术等实质性要求；</w:t>
      </w:r>
    </w:p>
    <w:p>
      <w:pPr>
        <w:pStyle w:val="27"/>
        <w:spacing w:before="0"/>
        <w:ind w:firstLine="480"/>
        <w:rPr>
          <w:rFonts w:ascii="仿宋_GB2312" w:hAnsi="仿宋" w:eastAsia="仿宋_GB2312"/>
        </w:rPr>
      </w:pPr>
      <w:r>
        <w:rPr>
          <w:rFonts w:hint="eastAsia" w:ascii="仿宋_GB2312" w:hAnsi="仿宋" w:eastAsia="仿宋_GB2312"/>
        </w:rPr>
        <w:t>1.3要求供应商对响应文件有关事项作出澄清、说明或者更正；</w:t>
      </w:r>
    </w:p>
    <w:p>
      <w:pPr>
        <w:pStyle w:val="27"/>
        <w:spacing w:before="0"/>
        <w:ind w:firstLine="480"/>
        <w:rPr>
          <w:rFonts w:ascii="仿宋_GB2312" w:hAnsi="仿宋" w:eastAsia="仿宋_GB2312"/>
        </w:rPr>
      </w:pPr>
      <w:r>
        <w:rPr>
          <w:rFonts w:hint="eastAsia" w:ascii="仿宋_GB2312" w:hAnsi="仿宋" w:eastAsia="仿宋_GB2312"/>
        </w:rPr>
        <w:t>1.4磋商小组集中与单一供应商分别进行磋商；</w:t>
      </w:r>
    </w:p>
    <w:p>
      <w:pPr>
        <w:pStyle w:val="27"/>
        <w:spacing w:before="0"/>
        <w:ind w:firstLine="480"/>
        <w:rPr>
          <w:rFonts w:ascii="仿宋_GB2312" w:hAnsi="仿宋" w:eastAsia="仿宋_GB2312"/>
        </w:rPr>
      </w:pPr>
      <w:r>
        <w:rPr>
          <w:rFonts w:hint="eastAsia" w:ascii="仿宋_GB2312" w:hAnsi="仿宋" w:eastAsia="仿宋_GB2312"/>
        </w:rPr>
        <w:t>1.5确定磋商文件的变动情况，并确定提交最后报价的供应商；</w:t>
      </w:r>
    </w:p>
    <w:p>
      <w:pPr>
        <w:pStyle w:val="27"/>
        <w:spacing w:before="0"/>
        <w:ind w:firstLine="480"/>
        <w:rPr>
          <w:rFonts w:ascii="仿宋_GB2312" w:hAnsi="仿宋" w:eastAsia="仿宋_GB2312"/>
        </w:rPr>
      </w:pPr>
      <w:r>
        <w:rPr>
          <w:rFonts w:hint="eastAsia" w:ascii="仿宋_GB2312" w:hAnsi="仿宋" w:eastAsia="仿宋_GB2312"/>
        </w:rPr>
        <w:t>1.6根据磋商文件确定的评审办法及评审标准对提交最后报价的供应商的响应文件和最后报价采用综合评分法进行综合评分；</w:t>
      </w:r>
    </w:p>
    <w:p>
      <w:pPr>
        <w:pStyle w:val="27"/>
        <w:spacing w:before="0"/>
        <w:ind w:firstLine="480"/>
        <w:rPr>
          <w:rFonts w:ascii="仿宋_GB2312" w:hAnsi="仿宋" w:eastAsia="仿宋_GB2312"/>
        </w:rPr>
      </w:pPr>
      <w:r>
        <w:rPr>
          <w:rFonts w:hint="eastAsia" w:ascii="仿宋_GB2312" w:hAnsi="仿宋" w:eastAsia="仿宋_GB2312"/>
        </w:rPr>
        <w:t>1.7编制评审报告，确定成交候选人名单，以及根据采购人委托直接确定成交人；</w:t>
      </w:r>
    </w:p>
    <w:p>
      <w:pPr>
        <w:pStyle w:val="27"/>
        <w:spacing w:before="0"/>
        <w:ind w:firstLine="480"/>
        <w:rPr>
          <w:rFonts w:ascii="仿宋_GB2312" w:hAnsi="仿宋" w:eastAsia="仿宋_GB2312"/>
        </w:rPr>
      </w:pPr>
      <w:r>
        <w:rPr>
          <w:rFonts w:hint="eastAsia" w:ascii="仿宋_GB2312" w:hAnsi="仿宋" w:eastAsia="仿宋_GB2312"/>
        </w:rPr>
        <w:t>1.8向采购人、采购机构或者有关部门报告评审中发现的违法行为；</w:t>
      </w:r>
    </w:p>
    <w:p>
      <w:pPr>
        <w:pStyle w:val="27"/>
        <w:spacing w:before="0"/>
        <w:ind w:firstLine="480"/>
        <w:rPr>
          <w:rFonts w:ascii="仿宋_GB2312" w:hAnsi="仿宋" w:eastAsia="仿宋_GB2312"/>
        </w:rPr>
      </w:pPr>
      <w:r>
        <w:rPr>
          <w:rFonts w:hint="eastAsia" w:ascii="仿宋_GB2312" w:hAnsi="仿宋" w:eastAsia="仿宋_GB2312"/>
        </w:rPr>
        <w:t>1.9法律、法规、规章、磋商文件等规定的其它事项。</w:t>
      </w:r>
    </w:p>
    <w:p>
      <w:pPr>
        <w:pStyle w:val="27"/>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2.磋商小组及其成员不得有下列行为：</w:t>
      </w:r>
    </w:p>
    <w:p>
      <w:pPr>
        <w:pStyle w:val="27"/>
        <w:spacing w:before="0"/>
        <w:ind w:firstLine="480"/>
        <w:rPr>
          <w:rFonts w:ascii="仿宋_GB2312" w:hAnsi="仿宋" w:eastAsia="仿宋_GB2312"/>
        </w:rPr>
      </w:pPr>
      <w:r>
        <w:rPr>
          <w:rFonts w:hint="eastAsia" w:ascii="仿宋_GB2312" w:hAnsi="仿宋" w:eastAsia="仿宋_GB2312"/>
        </w:rPr>
        <w:t>2.1确定参与本项目至评审结束前私自接触供应商；</w:t>
      </w:r>
    </w:p>
    <w:p>
      <w:pPr>
        <w:pStyle w:val="27"/>
        <w:spacing w:before="0"/>
        <w:ind w:firstLine="480"/>
        <w:rPr>
          <w:rFonts w:ascii="仿宋_GB2312" w:hAnsi="仿宋" w:eastAsia="仿宋_GB2312"/>
        </w:rPr>
      </w:pPr>
      <w:r>
        <w:rPr>
          <w:rFonts w:hint="eastAsia" w:ascii="仿宋_GB2312" w:hAnsi="仿宋" w:eastAsia="仿宋_GB2312"/>
        </w:rPr>
        <w:t xml:space="preserve">2.2接受供应商提出的“超出响应文件的范围或者改变响应文件的实质性内容”的澄清、说明或者更正； </w:t>
      </w:r>
    </w:p>
    <w:p>
      <w:pPr>
        <w:pStyle w:val="27"/>
        <w:spacing w:before="0"/>
        <w:ind w:firstLine="480"/>
        <w:rPr>
          <w:rFonts w:ascii="仿宋_GB2312" w:hAnsi="仿宋" w:eastAsia="仿宋_GB2312"/>
        </w:rPr>
      </w:pPr>
      <w:r>
        <w:rPr>
          <w:rFonts w:hint="eastAsia" w:ascii="仿宋_GB2312" w:hAnsi="仿宋" w:eastAsia="仿宋_GB2312"/>
        </w:rPr>
        <w:t>2.3违反评审纪律发表倾向性意见或者征询采购人的倾向性意见；</w:t>
      </w:r>
    </w:p>
    <w:p>
      <w:pPr>
        <w:pStyle w:val="27"/>
        <w:spacing w:before="0"/>
        <w:ind w:firstLine="480"/>
        <w:rPr>
          <w:rFonts w:ascii="仿宋_GB2312" w:hAnsi="仿宋" w:eastAsia="仿宋_GB2312"/>
        </w:rPr>
      </w:pPr>
      <w:r>
        <w:rPr>
          <w:rFonts w:hint="eastAsia" w:ascii="仿宋_GB2312" w:hAnsi="仿宋" w:eastAsia="仿宋_GB2312"/>
        </w:rPr>
        <w:t>2.4对需要专业判断的主观评审因素协商评分；</w:t>
      </w:r>
    </w:p>
    <w:p>
      <w:pPr>
        <w:pStyle w:val="27"/>
        <w:spacing w:before="0"/>
        <w:ind w:firstLine="480"/>
        <w:rPr>
          <w:rFonts w:ascii="仿宋_GB2312" w:hAnsi="仿宋" w:eastAsia="仿宋_GB2312"/>
        </w:rPr>
      </w:pPr>
      <w:r>
        <w:rPr>
          <w:rFonts w:hint="eastAsia" w:ascii="仿宋_GB2312" w:hAnsi="仿宋" w:eastAsia="仿宋_GB2312"/>
        </w:rPr>
        <w:t>2.5在评审过程中擅离职守，影响评审程序正常进行的；</w:t>
      </w:r>
    </w:p>
    <w:p>
      <w:pPr>
        <w:pStyle w:val="27"/>
        <w:spacing w:before="0"/>
        <w:ind w:firstLine="480"/>
        <w:rPr>
          <w:rFonts w:ascii="仿宋_GB2312" w:hAnsi="仿宋" w:eastAsia="仿宋_GB2312"/>
        </w:rPr>
      </w:pPr>
      <w:r>
        <w:rPr>
          <w:rFonts w:hint="eastAsia" w:ascii="仿宋_GB2312" w:hAnsi="仿宋" w:eastAsia="仿宋_GB2312"/>
        </w:rPr>
        <w:t>2.6记录、复制或者带走任何评审资料；</w:t>
      </w:r>
    </w:p>
    <w:p>
      <w:pPr>
        <w:pStyle w:val="27"/>
        <w:spacing w:before="0"/>
        <w:ind w:firstLine="480"/>
        <w:rPr>
          <w:rFonts w:ascii="仿宋_GB2312" w:hAnsi="仿宋" w:eastAsia="仿宋_GB2312"/>
        </w:rPr>
      </w:pPr>
      <w:r>
        <w:rPr>
          <w:rFonts w:hint="eastAsia" w:ascii="仿宋_GB2312" w:hAnsi="仿宋" w:eastAsia="仿宋_GB2312"/>
        </w:rPr>
        <w:t>2.7其他不遵守评审纪律的行为。</w:t>
      </w:r>
    </w:p>
    <w:p>
      <w:pPr>
        <w:pStyle w:val="27"/>
        <w:spacing w:before="0"/>
        <w:ind w:firstLine="480"/>
        <w:rPr>
          <w:rFonts w:ascii="仿宋_GB2312" w:hAnsi="仿宋" w:eastAsia="仿宋_GB2312"/>
        </w:rPr>
      </w:pPr>
      <w:r>
        <w:rPr>
          <w:rFonts w:hint="eastAsia" w:ascii="仿宋_GB2312" w:hAnsi="仿宋" w:eastAsia="仿宋_GB2312"/>
        </w:rPr>
        <w:t>磋商小组成员有2.1-2.5行为之一的，其评审意见无效，并不得获取评审劳务报酬和报销异地评审差旅费。</w:t>
      </w:r>
    </w:p>
    <w:p>
      <w:pPr>
        <w:pStyle w:val="27"/>
        <w:spacing w:before="0"/>
        <w:ind w:firstLine="0" w:firstLineChars="0"/>
        <w:rPr>
          <w:rFonts w:ascii="仿宋_GB2312" w:hAnsi="仿宋" w:eastAsia="仿宋_GB2312"/>
          <w:b/>
        </w:rPr>
      </w:pPr>
    </w:p>
    <w:p>
      <w:pPr>
        <w:pStyle w:val="27"/>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7"/>
        <w:spacing w:before="0"/>
        <w:ind w:firstLine="472" w:firstLineChars="196"/>
        <w:rPr>
          <w:rFonts w:ascii="仿宋_GB2312" w:hAnsi="仿宋" w:eastAsia="仿宋_GB2312"/>
          <w:b/>
        </w:rPr>
      </w:pPr>
      <w:r>
        <w:rPr>
          <w:rFonts w:hint="eastAsia" w:ascii="仿宋_GB2312" w:hAnsi="仿宋" w:eastAsia="仿宋_GB2312"/>
          <w:b/>
        </w:rPr>
        <w:t>详见磋商文件“第二部分 竞争性磋商流程”。</w:t>
      </w:r>
    </w:p>
    <w:p>
      <w:pPr>
        <w:pStyle w:val="27"/>
        <w:spacing w:before="0"/>
        <w:ind w:firstLine="0" w:firstLineChars="0"/>
        <w:rPr>
          <w:rFonts w:ascii="仿宋_GB2312" w:hAnsi="仿宋" w:eastAsia="仿宋_GB2312"/>
          <w:b/>
        </w:rPr>
      </w:pPr>
    </w:p>
    <w:p>
      <w:pPr>
        <w:pStyle w:val="27"/>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五、评审须知</w:t>
      </w:r>
    </w:p>
    <w:p>
      <w:pPr>
        <w:pStyle w:val="27"/>
        <w:spacing w:before="0"/>
        <w:ind w:firstLine="0" w:firstLineChars="0"/>
        <w:rPr>
          <w:rFonts w:ascii="仿宋_GB2312" w:hAnsi="仿宋_GB2312" w:eastAsia="仿宋_GB2312" w:cs="仿宋_GB2312"/>
          <w:b/>
          <w:szCs w:val="24"/>
        </w:rPr>
      </w:pPr>
      <w:r>
        <w:rPr>
          <w:rFonts w:hint="eastAsia" w:ascii="仿宋_GB2312" w:hAnsi="仿宋" w:eastAsia="仿宋_GB2312"/>
          <w:b/>
          <w:szCs w:val="24"/>
        </w:rPr>
        <w:t>1. 响应文件的澄清</w:t>
      </w:r>
    </w:p>
    <w:p>
      <w:pPr>
        <w:spacing w:line="360" w:lineRule="auto"/>
        <w:ind w:firstLine="480"/>
        <w:rPr>
          <w:rFonts w:hint="eastAsia" w:ascii="仿宋_GB2312" w:hAnsi="仿宋" w:eastAsia="仿宋_GB2312"/>
          <w:sz w:val="24"/>
        </w:rPr>
      </w:pPr>
      <w:r>
        <w:rPr>
          <w:rFonts w:hint="eastAsia" w:ascii="仿宋_GB2312" w:hAnsi="仿宋"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adjustRightInd w:val="0"/>
        <w:spacing w:line="360" w:lineRule="auto"/>
        <w:ind w:firstLine="482" w:firstLineChars="200"/>
      </w:pP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27"/>
        <w:spacing w:before="0"/>
        <w:ind w:firstLine="0" w:firstLineChars="0"/>
        <w:rPr>
          <w:rFonts w:ascii="仿宋_GB2312" w:hAnsi="仿宋_GB2312" w:eastAsia="仿宋_GB2312" w:cs="仿宋_GB2312"/>
          <w:b/>
          <w:szCs w:val="24"/>
        </w:rPr>
      </w:pPr>
      <w:r>
        <w:rPr>
          <w:rFonts w:hint="eastAsia" w:ascii="仿宋_GB2312" w:hAnsi="仿宋" w:eastAsia="仿宋_GB2312"/>
          <w:b/>
        </w:rPr>
        <w:t>2.最后报价的修正原则</w:t>
      </w:r>
    </w:p>
    <w:p>
      <w:pPr>
        <w:spacing w:line="360" w:lineRule="auto"/>
        <w:ind w:firstLine="480"/>
        <w:rPr>
          <w:rFonts w:ascii="仿宋_GB2312" w:hAnsi="仿宋" w:eastAsia="仿宋_GB2312"/>
          <w:sz w:val="24"/>
        </w:rPr>
      </w:pPr>
      <w:r>
        <w:rPr>
          <w:rFonts w:hint="eastAsia" w:ascii="仿宋_GB2312" w:hAnsi="仿宋" w:eastAsia="仿宋_GB2312"/>
          <w:sz w:val="24"/>
        </w:rPr>
        <w:t>磋商小组对响应文件的最后报价进行审核，对发现计算、书写等错误的，按以下原则进行修正：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2.1《报价一览表》内容与响应文件中响应内容不一致的，以《报价一览表》为准;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2.2大写金额和小写金额不一致的，以大写金额为准;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2.3单价金额小数点或者百分比有明显错位的，以《报价一览表》的总价为准，并修改单价;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2.4总价金额与按单价汇总金额不一致的，以单价金额计算结果为准。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2.5同时出现两种以上不一致的，按照前款规定的顺序修正。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2.6以修正后的总价作为最后报价。</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供应商对根据修正原则修正后的最后报价不确认的，响应无效。</w:t>
      </w:r>
    </w:p>
    <w:p>
      <w:pPr>
        <w:pStyle w:val="27"/>
        <w:spacing w:before="0"/>
        <w:ind w:firstLine="0" w:firstLineChars="0"/>
        <w:rPr>
          <w:rFonts w:ascii="仿宋_GB2312" w:hAnsi="仿宋_GB2312" w:eastAsia="仿宋_GB2312" w:cs="仿宋_GB2312"/>
          <w:b/>
          <w:szCs w:val="24"/>
        </w:rPr>
      </w:pPr>
      <w:r>
        <w:rPr>
          <w:rFonts w:hint="eastAsia" w:ascii="仿宋_GB2312" w:hAnsi="仿宋" w:eastAsia="仿宋_GB2312"/>
          <w:b/>
        </w:rPr>
        <w:t>3.</w:t>
      </w:r>
      <w:r>
        <w:rPr>
          <w:rFonts w:hint="eastAsia" w:ascii="仿宋_GB2312" w:hAnsi="仿宋" w:eastAsia="仿宋_GB2312"/>
          <w:b/>
          <w:spacing w:val="20"/>
        </w:rPr>
        <w:t>响应无效</w:t>
      </w:r>
    </w:p>
    <w:p>
      <w:pPr>
        <w:pStyle w:val="9"/>
        <w:spacing w:line="360" w:lineRule="auto"/>
        <w:ind w:firstLine="600" w:firstLineChars="250"/>
        <w:rPr>
          <w:rFonts w:ascii="仿宋_GB2312" w:hAnsi="仿宋" w:eastAsia="仿宋_GB2312"/>
          <w:szCs w:val="21"/>
        </w:rPr>
      </w:pPr>
      <w:r>
        <w:rPr>
          <w:rFonts w:hint="eastAsia" w:ascii="仿宋_GB2312" w:hAnsi="仿宋" w:eastAsia="仿宋_GB2312" w:cs="仿宋_GB2312"/>
          <w:szCs w:val="21"/>
        </w:rPr>
        <w:t>有下列情况之一的，响应无效：</w:t>
      </w:r>
      <w:r>
        <w:rPr>
          <w:rFonts w:hint="eastAsia" w:ascii="仿宋_GB2312" w:hAnsi="仿宋" w:eastAsia="仿宋_GB2312"/>
          <w:szCs w:val="21"/>
        </w:rPr>
        <w:t>：</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sz w:val="24"/>
        </w:rPr>
        <w:t>3.1</w:t>
      </w:r>
      <w:r>
        <w:rPr>
          <w:rFonts w:hint="eastAsia" w:ascii="仿宋_GB2312" w:hAnsi="仿宋" w:eastAsia="仿宋_GB2312"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3.4如以联合体形式参加政府采购活动的，联合体协议不符合磋商文件规定的联合体协议要求的；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3.5响应文件未按磋商文件规定的格式编制的；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3.6响应文件未按磋商文件的澄清、修改的内容编制，又不符合实质性要求的；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3.7响应文件组成漏项，内容不全或内容字迹模糊辨认不清的；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3.8响应文件中法人授权书所载内容与本项目内容有异的；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3.9响应文件未按照磋商文件要求签署、盖章的；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3.10</w:t>
      </w:r>
      <w:r>
        <w:rPr>
          <w:rFonts w:ascii="仿宋_GB2312" w:hAnsi="仿宋" w:eastAsia="仿宋_GB2312"/>
          <w:sz w:val="24"/>
        </w:rPr>
        <w:t>采购人拟采购的产品属于</w:t>
      </w:r>
      <w:r>
        <w:rPr>
          <w:rFonts w:hint="eastAsia" w:ascii="仿宋_GB2312" w:hAnsi="仿宋" w:eastAsia="仿宋_GB2312"/>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3.11响应文件含有采购人不能接受的附加条件的；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3.12响应文件中承诺的响应有效期少于磋商文件中载明的响应有效期的；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3.13供应商所投内容不符合采购需求中实质性要求的；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3.14所提交的最后报价中出现不是唯一的、有选择性的报价的;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3.15最后报价高于本项目采购预算或者最高限价的;</w:t>
      </w:r>
    </w:p>
    <w:p>
      <w:pPr>
        <w:spacing w:line="360" w:lineRule="auto"/>
        <w:ind w:firstLine="480" w:firstLineChars="200"/>
      </w:pPr>
      <w:r>
        <w:rPr>
          <w:rFonts w:hint="eastAsia" w:ascii="仿宋_GB2312" w:hAnsi="仿宋" w:eastAsia="仿宋_GB2312"/>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3.17最后报价填写不完整或字迹不能辨认或有漏项的；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3.18供应商对根据修正原则修正后的最后报价不确认的；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3.19供应商提供虚假材料响应的（包括但不限于以下情节）；</w:t>
      </w:r>
    </w:p>
    <w:p>
      <w:pPr>
        <w:pStyle w:val="28"/>
        <w:numPr>
          <w:ilvl w:val="0"/>
          <w:numId w:val="6"/>
        </w:numPr>
        <w:ind w:firstLineChars="0"/>
        <w:rPr>
          <w:rFonts w:ascii="仿宋_GB2312" w:hAnsi="仿宋" w:eastAsia="仿宋_GB2312"/>
        </w:rPr>
      </w:pPr>
      <w:r>
        <w:rPr>
          <w:rFonts w:hint="eastAsia" w:ascii="仿宋_GB2312" w:hAnsi="仿宋" w:eastAsia="仿宋_GB2312"/>
        </w:rPr>
        <w:t>使用伪造、变造的许可证件；</w:t>
      </w:r>
    </w:p>
    <w:p>
      <w:pPr>
        <w:pStyle w:val="28"/>
        <w:numPr>
          <w:ilvl w:val="0"/>
          <w:numId w:val="6"/>
        </w:numPr>
        <w:ind w:firstLineChars="0"/>
        <w:rPr>
          <w:rFonts w:ascii="仿宋_GB2312" w:hAnsi="仿宋" w:eastAsia="仿宋_GB2312"/>
        </w:rPr>
      </w:pPr>
      <w:r>
        <w:rPr>
          <w:rFonts w:hint="eastAsia" w:ascii="仿宋_GB2312" w:hAnsi="仿宋" w:eastAsia="仿宋_GB2312"/>
        </w:rPr>
        <w:t>提供虚假的财务状况或者业绩；</w:t>
      </w:r>
    </w:p>
    <w:p>
      <w:pPr>
        <w:pStyle w:val="28"/>
        <w:numPr>
          <w:ilvl w:val="0"/>
          <w:numId w:val="6"/>
        </w:numPr>
        <w:ind w:firstLineChars="0"/>
        <w:rPr>
          <w:rFonts w:ascii="仿宋_GB2312" w:hAnsi="仿宋" w:eastAsia="仿宋_GB2312"/>
        </w:rPr>
      </w:pPr>
      <w:r>
        <w:rPr>
          <w:rFonts w:hint="eastAsia" w:ascii="仿宋_GB2312" w:hAnsi="仿宋" w:eastAsia="仿宋_GB2312"/>
        </w:rPr>
        <w:t>提供虚假的项目负责人或者主要技术人员简历、劳动关系证明；</w:t>
      </w:r>
    </w:p>
    <w:p>
      <w:pPr>
        <w:pStyle w:val="28"/>
        <w:numPr>
          <w:ilvl w:val="0"/>
          <w:numId w:val="6"/>
        </w:numPr>
        <w:ind w:firstLineChars="0"/>
        <w:rPr>
          <w:rFonts w:ascii="仿宋_GB2312" w:hAnsi="仿宋" w:eastAsia="仿宋_GB2312"/>
        </w:rPr>
      </w:pPr>
      <w:r>
        <w:rPr>
          <w:rFonts w:hint="eastAsia" w:ascii="仿宋_GB2312" w:hAnsi="仿宋" w:eastAsia="仿宋_GB2312"/>
        </w:rPr>
        <w:t>提供虚假的信用状况；</w:t>
      </w:r>
    </w:p>
    <w:p>
      <w:pPr>
        <w:pStyle w:val="28"/>
        <w:numPr>
          <w:ilvl w:val="0"/>
          <w:numId w:val="6"/>
        </w:numPr>
        <w:ind w:firstLineChars="0"/>
        <w:rPr>
          <w:rFonts w:ascii="仿宋_GB2312" w:hAnsi="仿宋" w:eastAsia="仿宋_GB2312"/>
        </w:rPr>
      </w:pPr>
      <w:r>
        <w:rPr>
          <w:rFonts w:hint="eastAsia" w:ascii="仿宋_GB2312" w:hAnsi="仿宋" w:eastAsia="仿宋_GB2312"/>
        </w:rPr>
        <w:t>其他弄虚作假的行为。</w:t>
      </w:r>
    </w:p>
    <w:p>
      <w:pPr>
        <w:spacing w:line="360" w:lineRule="auto"/>
        <w:ind w:firstLine="480"/>
        <w:rPr>
          <w:rFonts w:ascii="仿宋_GB2312" w:hAnsi="仿宋" w:eastAsia="仿宋_GB2312"/>
          <w:sz w:val="24"/>
        </w:rPr>
      </w:pPr>
      <w:r>
        <w:rPr>
          <w:rFonts w:hint="eastAsia" w:ascii="仿宋_GB2312" w:hAnsi="仿宋" w:eastAsia="仿宋_GB2312"/>
          <w:sz w:val="24"/>
        </w:rPr>
        <w:t>3.20供应商有恶意串通、妨碍其他供应商的竞争行为、损害采购人或者其他供应商的合法权益情形的。</w:t>
      </w:r>
    </w:p>
    <w:p>
      <w:pPr>
        <w:spacing w:line="360" w:lineRule="auto"/>
        <w:ind w:firstLine="480"/>
        <w:rPr>
          <w:rFonts w:ascii="仿宋_GB2312" w:hAnsi="仿宋" w:eastAsia="仿宋_GB2312"/>
          <w:sz w:val="24"/>
        </w:rPr>
      </w:pPr>
      <w:r>
        <w:rPr>
          <w:rFonts w:hint="eastAsia" w:ascii="仿宋_GB2312" w:hAnsi="仿宋" w:eastAsia="仿宋_GB2312"/>
          <w:sz w:val="24"/>
        </w:rPr>
        <w:t>有下列情形之一的，属于或视为恶意串通，其响应无效：</w:t>
      </w:r>
    </w:p>
    <w:p>
      <w:pPr>
        <w:pStyle w:val="28"/>
        <w:numPr>
          <w:ilvl w:val="0"/>
          <w:numId w:val="7"/>
        </w:numPr>
        <w:ind w:firstLineChars="0"/>
        <w:rPr>
          <w:rFonts w:ascii="仿宋_GB2312" w:hAnsi="仿宋" w:eastAsia="仿宋_GB2312"/>
        </w:rPr>
      </w:pPr>
      <w:r>
        <w:rPr>
          <w:rFonts w:hint="eastAsia" w:ascii="仿宋_GB2312" w:hAnsi="仿宋" w:eastAsia="仿宋_GB2312"/>
        </w:rPr>
        <w:t>供应商直接或者间接从采购人或者采购机构处获得其他供应商的相关情况并修改其响应文件；</w:t>
      </w:r>
    </w:p>
    <w:p>
      <w:pPr>
        <w:pStyle w:val="28"/>
        <w:numPr>
          <w:ilvl w:val="0"/>
          <w:numId w:val="7"/>
        </w:numPr>
        <w:ind w:firstLineChars="0"/>
        <w:rPr>
          <w:rFonts w:ascii="仿宋_GB2312" w:hAnsi="仿宋" w:eastAsia="仿宋_GB2312"/>
        </w:rPr>
      </w:pPr>
      <w:r>
        <w:rPr>
          <w:rFonts w:hint="eastAsia" w:ascii="仿宋_GB2312" w:hAnsi="仿宋" w:eastAsia="仿宋_GB2312"/>
        </w:rPr>
        <w:t>供应商按照采购人或者采购机构的授意撤换、修改投标文件或者响应文件；</w:t>
      </w:r>
    </w:p>
    <w:p>
      <w:pPr>
        <w:pStyle w:val="28"/>
        <w:numPr>
          <w:ilvl w:val="0"/>
          <w:numId w:val="7"/>
        </w:numPr>
        <w:ind w:firstLineChars="0"/>
        <w:rPr>
          <w:rFonts w:ascii="仿宋_GB2312" w:hAnsi="仿宋" w:eastAsia="仿宋_GB2312"/>
        </w:rPr>
      </w:pPr>
      <w:r>
        <w:rPr>
          <w:rFonts w:hint="eastAsia" w:ascii="仿宋_GB2312" w:hAnsi="仿宋" w:eastAsia="仿宋_GB2312"/>
        </w:rPr>
        <w:t>供应商之间协商报价、技术方案等投标文件或者响应文件的实质性内容；</w:t>
      </w:r>
    </w:p>
    <w:p>
      <w:pPr>
        <w:pStyle w:val="28"/>
        <w:numPr>
          <w:ilvl w:val="0"/>
          <w:numId w:val="7"/>
        </w:numPr>
        <w:ind w:firstLineChars="0"/>
        <w:rPr>
          <w:rFonts w:ascii="仿宋_GB2312" w:hAnsi="仿宋" w:eastAsia="仿宋_GB2312"/>
        </w:rPr>
      </w:pPr>
      <w:r>
        <w:rPr>
          <w:rFonts w:hint="eastAsia" w:ascii="仿宋_GB2312" w:hAnsi="仿宋" w:eastAsia="仿宋_GB2312"/>
        </w:rPr>
        <w:t>属于同一集团、协会、商会等组织成员的供应商按照该组织要求协同参加政府采购活动；</w:t>
      </w:r>
    </w:p>
    <w:p>
      <w:pPr>
        <w:pStyle w:val="28"/>
        <w:numPr>
          <w:ilvl w:val="0"/>
          <w:numId w:val="7"/>
        </w:numPr>
        <w:ind w:firstLineChars="0"/>
        <w:rPr>
          <w:rFonts w:ascii="仿宋_GB2312" w:hAnsi="仿宋" w:eastAsia="仿宋_GB2312"/>
        </w:rPr>
      </w:pPr>
      <w:r>
        <w:rPr>
          <w:rFonts w:hint="eastAsia" w:ascii="仿宋_GB2312" w:hAnsi="仿宋" w:eastAsia="仿宋_GB2312"/>
        </w:rPr>
        <w:t>供应商之间事先约定由某一特定供应商中标、成交；</w:t>
      </w:r>
    </w:p>
    <w:p>
      <w:pPr>
        <w:pStyle w:val="28"/>
        <w:numPr>
          <w:ilvl w:val="0"/>
          <w:numId w:val="7"/>
        </w:numPr>
        <w:ind w:firstLineChars="0"/>
        <w:rPr>
          <w:rFonts w:ascii="仿宋_GB2312" w:hAnsi="仿宋" w:eastAsia="仿宋_GB2312"/>
        </w:rPr>
      </w:pPr>
      <w:r>
        <w:rPr>
          <w:rFonts w:hint="eastAsia" w:ascii="仿宋_GB2312" w:hAnsi="仿宋" w:eastAsia="仿宋_GB2312"/>
        </w:rPr>
        <w:t>供应商之间商定部分供应商放弃参加政府采购活动或者放弃中标、成交；</w:t>
      </w:r>
    </w:p>
    <w:p>
      <w:pPr>
        <w:pStyle w:val="28"/>
        <w:numPr>
          <w:ilvl w:val="0"/>
          <w:numId w:val="7"/>
        </w:numPr>
        <w:ind w:firstLineChars="0"/>
        <w:rPr>
          <w:rFonts w:ascii="仿宋_GB2312" w:hAnsi="仿宋" w:eastAsia="仿宋_GB2312"/>
        </w:rPr>
      </w:pPr>
      <w:r>
        <w:rPr>
          <w:rFonts w:hint="eastAsia" w:ascii="仿宋_GB2312" w:hAnsi="仿宋" w:eastAsia="仿宋_GB2312"/>
        </w:rPr>
        <w:t>供应商与采购人或者采购机构之间、供应商相互之间，为谋求特定供应商中标、成交或者排斥其他供应商的其他串通行为。</w:t>
      </w:r>
    </w:p>
    <w:p>
      <w:pPr>
        <w:pStyle w:val="28"/>
        <w:numPr>
          <w:ilvl w:val="0"/>
          <w:numId w:val="7"/>
        </w:numPr>
        <w:ind w:firstLineChars="0"/>
        <w:rPr>
          <w:rFonts w:ascii="仿宋_GB2312" w:hAnsi="仿宋" w:eastAsia="仿宋_GB2312"/>
        </w:rPr>
      </w:pPr>
      <w:r>
        <w:rPr>
          <w:rFonts w:hint="eastAsia" w:ascii="仿宋_GB2312" w:hAnsi="仿宋" w:eastAsia="仿宋_GB2312"/>
        </w:rPr>
        <w:t>不同供应商的响应文件由同一单位或者个人编制；</w:t>
      </w:r>
    </w:p>
    <w:p>
      <w:pPr>
        <w:pStyle w:val="28"/>
        <w:numPr>
          <w:ilvl w:val="0"/>
          <w:numId w:val="7"/>
        </w:numPr>
        <w:ind w:firstLineChars="0"/>
        <w:rPr>
          <w:rFonts w:ascii="仿宋_GB2312" w:hAnsi="仿宋" w:eastAsia="仿宋_GB2312"/>
        </w:rPr>
      </w:pPr>
      <w:r>
        <w:rPr>
          <w:rFonts w:hint="eastAsia" w:ascii="仿宋_GB2312" w:hAnsi="仿宋" w:eastAsia="仿宋_GB2312"/>
        </w:rPr>
        <w:t>不同供应商委托同一单位或者个人办理响应事宜；</w:t>
      </w:r>
    </w:p>
    <w:p>
      <w:pPr>
        <w:pStyle w:val="28"/>
        <w:numPr>
          <w:ilvl w:val="0"/>
          <w:numId w:val="7"/>
        </w:numPr>
        <w:ind w:firstLineChars="0"/>
        <w:rPr>
          <w:rFonts w:ascii="仿宋_GB2312" w:hAnsi="仿宋" w:eastAsia="仿宋_GB2312"/>
        </w:rPr>
      </w:pPr>
      <w:r>
        <w:rPr>
          <w:rFonts w:hint="eastAsia" w:ascii="仿宋_GB2312" w:hAnsi="仿宋" w:eastAsia="仿宋_GB2312"/>
        </w:rPr>
        <w:t>不同供应商的响应文件载明的项目管理成员或者联系人员为同一人；</w:t>
      </w:r>
    </w:p>
    <w:p>
      <w:pPr>
        <w:pStyle w:val="28"/>
        <w:numPr>
          <w:ilvl w:val="0"/>
          <w:numId w:val="7"/>
        </w:numPr>
        <w:ind w:firstLineChars="0"/>
        <w:rPr>
          <w:rFonts w:ascii="仿宋_GB2312" w:hAnsi="仿宋" w:eastAsia="仿宋_GB2312"/>
        </w:rPr>
      </w:pPr>
      <w:r>
        <w:rPr>
          <w:rFonts w:hint="eastAsia" w:ascii="仿宋_GB2312" w:hAnsi="仿宋" w:eastAsia="仿宋_GB2312"/>
        </w:rPr>
        <w:t>不同供应商的响应文件异常一致或者最后报价呈规律性差异；</w:t>
      </w:r>
    </w:p>
    <w:p>
      <w:pPr>
        <w:pStyle w:val="28"/>
        <w:numPr>
          <w:ilvl w:val="0"/>
          <w:numId w:val="7"/>
        </w:numPr>
        <w:ind w:firstLineChars="0"/>
        <w:rPr>
          <w:rFonts w:ascii="仿宋_GB2312" w:hAnsi="仿宋" w:eastAsia="仿宋_GB2312"/>
        </w:rPr>
      </w:pPr>
      <w:r>
        <w:rPr>
          <w:rFonts w:hint="eastAsia" w:ascii="仿宋_GB2312" w:hAnsi="仿宋" w:eastAsia="仿宋_GB2312"/>
        </w:rPr>
        <w:t>不同供应商的响应文件相互混装。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3.21供应商仅提交备份响应文件，没有在电子交易平台传输递交响应文件的，响应无效；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3.22法律、法规、规章（适用本市的）及省级以上规范性文件（适用本市的）规定的其他无效情形。</w:t>
      </w:r>
    </w:p>
    <w:p>
      <w:pPr>
        <w:pStyle w:val="27"/>
        <w:spacing w:before="0"/>
        <w:ind w:firstLine="0" w:firstLineChars="0"/>
        <w:rPr>
          <w:rFonts w:ascii="仿宋_GB2312" w:hAnsi="仿宋" w:eastAsia="仿宋_GB2312"/>
          <w:b/>
          <w:szCs w:val="24"/>
        </w:rPr>
      </w:pPr>
      <w:r>
        <w:rPr>
          <w:rFonts w:hint="eastAsia" w:ascii="仿宋_GB2312" w:hAnsi="仿宋" w:eastAsia="仿宋_GB2312"/>
          <w:b/>
          <w:szCs w:val="24"/>
        </w:rPr>
        <w:t>4. 重新开展采购活动</w:t>
      </w:r>
    </w:p>
    <w:p>
      <w:pPr>
        <w:spacing w:line="360" w:lineRule="auto"/>
        <w:ind w:firstLine="407" w:firstLineChars="194"/>
        <w:rPr>
          <w:rFonts w:ascii="仿宋_GB2312" w:hAnsi="仿宋" w:eastAsia="仿宋_GB2312"/>
          <w:sz w:val="24"/>
          <w:szCs w:val="21"/>
        </w:rPr>
      </w:pPr>
      <w:r>
        <w:rPr>
          <w:rFonts w:hint="eastAsia" w:ascii="仿宋_GB2312" w:hAnsi="仿宋" w:eastAsia="仿宋_GB2312" w:cs="Arial"/>
          <w:szCs w:val="21"/>
        </w:rPr>
        <w:t xml:space="preserve"> </w:t>
      </w:r>
      <w:r>
        <w:rPr>
          <w:rFonts w:hint="eastAsia" w:ascii="仿宋_GB2312" w:hAnsi="仿宋" w:eastAsia="仿宋_GB2312"/>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（1）因情况变化，不再符合规定的竞争性磋商采购方式适用情形的；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（2）出现影响采购公正的违法、违规行为的；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（3）在采购过程中符合要求的供应商或者最后报价未超过采购预算的供应商不足3家的（有特殊规定的从其规定）。</w:t>
      </w:r>
    </w:p>
    <w:p>
      <w:pPr>
        <w:pStyle w:val="27"/>
        <w:spacing w:before="0"/>
        <w:ind w:firstLine="0" w:firstLineChars="0"/>
        <w:rPr>
          <w:rFonts w:ascii="仿宋_GB2312" w:hAnsi="仿宋" w:eastAsia="仿宋_GB2312"/>
          <w:b/>
          <w:szCs w:val="24"/>
        </w:rPr>
      </w:pPr>
      <w:r>
        <w:rPr>
          <w:rFonts w:hint="eastAsia" w:ascii="仿宋_GB2312" w:hAnsi="仿宋" w:eastAsia="仿宋_GB2312"/>
          <w:b/>
          <w:szCs w:val="24"/>
        </w:rPr>
        <w:t>5. 终止采购活动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8"/>
        </w:numPr>
        <w:spacing w:line="360" w:lineRule="auto"/>
        <w:rPr>
          <w:rFonts w:ascii="仿宋_GB2312" w:hAnsi="仿宋_GB2312" w:eastAsia="仿宋_GB2312" w:cs="仿宋_GB2312"/>
          <w:b/>
        </w:rPr>
      </w:pPr>
      <w:r>
        <w:rPr>
          <w:rFonts w:hint="eastAsia" w:ascii="仿宋_GB2312" w:hAnsi="仿宋_GB2312" w:eastAsia="仿宋_GB2312" w:cs="仿宋_GB2312"/>
          <w:b/>
          <w:sz w:val="24"/>
        </w:rPr>
        <w:t>采购机构有权对磋商小组各成员的评分情况和评审意见进行合理性和合规性审查</w:t>
      </w:r>
      <w:r>
        <w:rPr>
          <w:rFonts w:hint="eastAsia" w:ascii="仿宋_GB2312" w:hAnsi="仿宋_GB2312" w:eastAsia="仿宋_GB2312"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spacing w:before="0"/>
        <w:ind w:firstLine="0" w:firstLineChars="0"/>
        <w:rPr>
          <w:rFonts w:ascii="仿宋_GB2312" w:hAnsi="仿宋_GB2312" w:eastAsia="仿宋_GB2312" w:cs="仿宋_GB2312"/>
          <w:b/>
        </w:rPr>
      </w:pPr>
    </w:p>
    <w:p>
      <w:pPr>
        <w:pStyle w:val="27"/>
        <w:numPr>
          <w:ilvl w:val="0"/>
          <w:numId w:val="9"/>
        </w:numPr>
        <w:spacing w:before="0"/>
        <w:ind w:firstLine="0" w:firstLineChars="0"/>
        <w:jc w:val="center"/>
        <w:rPr>
          <w:rFonts w:hint="eastAsia" w:ascii="仿宋_GB2312" w:hAnsi="仿宋" w:eastAsia="仿宋_GB2312" w:cs="仿宋_GB2312"/>
          <w:b/>
          <w:sz w:val="32"/>
        </w:rPr>
      </w:pPr>
      <w:r>
        <w:rPr>
          <w:rFonts w:hint="eastAsia" w:ascii="仿宋_GB2312" w:hAnsi="仿宋" w:eastAsia="仿宋_GB2312" w:cs="仿宋_GB2312"/>
          <w:b/>
          <w:sz w:val="32"/>
        </w:rPr>
        <w:t>评分标准</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19"/>
        <w:tblW w:w="976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52"/>
        <w:gridCol w:w="371"/>
        <w:gridCol w:w="719"/>
        <w:gridCol w:w="6466"/>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序号</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分类</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评分标准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2</w:t>
            </w:r>
          </w:p>
        </w:tc>
        <w:tc>
          <w:tcPr>
            <w:tcW w:w="1223" w:type="dxa"/>
            <w:gridSpan w:val="2"/>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企业业绩</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投标人自20</w:t>
            </w:r>
            <w:r>
              <w:rPr>
                <w:rFonts w:hint="eastAsia" w:ascii="仿宋_GB2312" w:hAnsi="仿宋" w:eastAsia="仿宋_GB2312"/>
                <w:sz w:val="24"/>
                <w:szCs w:val="21"/>
                <w:lang w:val="en-US" w:eastAsia="zh-CN"/>
              </w:rPr>
              <w:t>19</w:t>
            </w:r>
            <w:r>
              <w:rPr>
                <w:rFonts w:hint="eastAsia" w:ascii="仿宋_GB2312" w:hAnsi="仿宋" w:eastAsia="仿宋_GB2312"/>
                <w:sz w:val="24"/>
                <w:szCs w:val="21"/>
              </w:rPr>
              <w:t>年1月1日（以合同签订时间为准）以来，承担过</w:t>
            </w:r>
            <w:r>
              <w:rPr>
                <w:rFonts w:hint="eastAsia" w:ascii="仿宋_GB2312" w:hAnsi="仿宋" w:eastAsia="仿宋_GB2312"/>
                <w:sz w:val="24"/>
                <w:szCs w:val="21"/>
                <w:lang w:val="en-US" w:eastAsia="zh-CN"/>
              </w:rPr>
              <w:t>2个及以上</w:t>
            </w:r>
            <w:r>
              <w:rPr>
                <w:rFonts w:hint="eastAsia" w:ascii="仿宋_GB2312" w:hAnsi="仿宋" w:eastAsia="仿宋_GB2312"/>
                <w:sz w:val="24"/>
                <w:szCs w:val="21"/>
              </w:rPr>
              <w:t>村庄规划评估项目</w:t>
            </w:r>
            <w:r>
              <w:rPr>
                <w:rFonts w:hint="eastAsia" w:ascii="仿宋_GB2312" w:hAnsi="仿宋" w:eastAsia="仿宋_GB2312"/>
                <w:sz w:val="24"/>
                <w:szCs w:val="21"/>
                <w:lang w:val="en-US" w:eastAsia="zh-CN"/>
              </w:rPr>
              <w:t>的</w:t>
            </w:r>
            <w:r>
              <w:rPr>
                <w:rFonts w:hint="eastAsia" w:ascii="仿宋_GB2312" w:hAnsi="仿宋" w:eastAsia="仿宋_GB2312"/>
                <w:sz w:val="24"/>
                <w:szCs w:val="21"/>
              </w:rPr>
              <w:t>，得</w:t>
            </w:r>
            <w:r>
              <w:rPr>
                <w:rFonts w:hint="eastAsia" w:ascii="仿宋_GB2312" w:hAnsi="仿宋" w:eastAsia="仿宋_GB2312"/>
                <w:sz w:val="24"/>
                <w:szCs w:val="21"/>
                <w:lang w:val="en-US" w:eastAsia="zh-CN"/>
              </w:rPr>
              <w:t>1</w:t>
            </w:r>
            <w:r>
              <w:rPr>
                <w:rFonts w:hint="eastAsia" w:ascii="仿宋_GB2312" w:hAnsi="仿宋" w:eastAsia="仿宋_GB2312"/>
                <w:sz w:val="24"/>
                <w:szCs w:val="21"/>
              </w:rPr>
              <w:t>分。</w:t>
            </w:r>
          </w:p>
          <w:p>
            <w:pPr>
              <w:spacing w:line="360" w:lineRule="auto"/>
              <w:rPr>
                <w:rFonts w:hint="eastAsia" w:ascii="仿宋_GB2312" w:hAnsi="仿宋" w:eastAsia="仿宋_GB2312"/>
                <w:sz w:val="24"/>
                <w:szCs w:val="21"/>
              </w:rPr>
            </w:pPr>
            <w:r>
              <w:rPr>
                <w:rFonts w:hint="eastAsia" w:ascii="仿宋_GB2312" w:hAnsi="仿宋" w:eastAsia="仿宋_GB2312"/>
                <w:sz w:val="24"/>
                <w:szCs w:val="21"/>
              </w:rPr>
              <w:t>【投标文件中提供合同</w:t>
            </w:r>
            <w:r>
              <w:rPr>
                <w:rFonts w:hint="eastAsia" w:ascii="仿宋_GB2312" w:hAnsi="仿宋" w:eastAsia="仿宋_GB2312"/>
                <w:sz w:val="24"/>
                <w:szCs w:val="21"/>
                <w:lang w:val="en-US" w:eastAsia="zh-CN"/>
              </w:rPr>
              <w:t>或中标通知书</w:t>
            </w:r>
            <w:r>
              <w:rPr>
                <w:rFonts w:hint="eastAsia" w:ascii="仿宋_GB2312" w:hAnsi="仿宋" w:eastAsia="仿宋_GB2312"/>
                <w:sz w:val="24"/>
                <w:szCs w:val="21"/>
              </w:rPr>
              <w:t>（证明材料应能体现投标人、项目类型）</w:t>
            </w:r>
            <w:r>
              <w:rPr>
                <w:rFonts w:hint="eastAsia" w:ascii="仿宋_GB2312" w:hAnsi="仿宋" w:eastAsia="仿宋_GB2312"/>
                <w:sz w:val="24"/>
                <w:szCs w:val="21"/>
                <w:lang w:val="en-US" w:eastAsia="zh-CN"/>
              </w:rPr>
              <w:t>的</w:t>
            </w:r>
            <w:r>
              <w:rPr>
                <w:rFonts w:hint="eastAsia" w:ascii="仿宋_GB2312" w:hAnsi="仿宋" w:eastAsia="仿宋_GB2312"/>
                <w:sz w:val="24"/>
                <w:szCs w:val="21"/>
              </w:rPr>
              <w:t>复印件或</w:t>
            </w:r>
            <w:r>
              <w:rPr>
                <w:rFonts w:hint="eastAsia" w:ascii="仿宋_GB2312" w:hAnsi="仿宋" w:eastAsia="仿宋_GB2312"/>
                <w:sz w:val="24"/>
                <w:szCs w:val="21"/>
                <w:lang w:val="en-US" w:eastAsia="zh-CN"/>
              </w:rPr>
              <w:t>扫描</w:t>
            </w:r>
            <w:r>
              <w:rPr>
                <w:rFonts w:hint="eastAsia" w:ascii="仿宋_GB2312" w:hAnsi="仿宋" w:eastAsia="仿宋_GB2312"/>
                <w:sz w:val="24"/>
                <w:szCs w:val="21"/>
              </w:rPr>
              <w:t>件并加盖公章，否则不得分】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3</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企业荣誉</w:t>
            </w:r>
          </w:p>
          <w:p>
            <w:pPr>
              <w:spacing w:line="360" w:lineRule="auto"/>
              <w:ind w:firstLine="465" w:firstLineChars="194"/>
              <w:jc w:val="center"/>
              <w:rPr>
                <w:rFonts w:hint="eastAsia" w:ascii="仿宋_GB2312" w:hAnsi="仿宋" w:eastAsia="仿宋_GB2312"/>
                <w:sz w:val="24"/>
                <w:szCs w:val="21"/>
                <w:lang w:val="en-US" w:eastAsia="zh-CN"/>
              </w:rPr>
            </w:pP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投标人自20</w:t>
            </w:r>
            <w:r>
              <w:rPr>
                <w:rFonts w:hint="eastAsia" w:ascii="仿宋_GB2312" w:hAnsi="仿宋" w:eastAsia="仿宋_GB2312"/>
                <w:sz w:val="24"/>
                <w:szCs w:val="21"/>
                <w:lang w:val="en-US" w:eastAsia="zh-CN"/>
              </w:rPr>
              <w:t>19</w:t>
            </w:r>
            <w:r>
              <w:rPr>
                <w:rFonts w:hint="eastAsia" w:ascii="仿宋_GB2312" w:hAnsi="仿宋" w:eastAsia="仿宋_GB2312"/>
                <w:sz w:val="24"/>
                <w:szCs w:val="21"/>
              </w:rPr>
              <w:t>年1月1日以来，承担的项目获得城乡规划（城市规划）、土地类省级及以上</w:t>
            </w:r>
            <w:r>
              <w:rPr>
                <w:rFonts w:hint="eastAsia" w:ascii="仿宋_GB2312" w:hAnsi="仿宋" w:eastAsia="仿宋_GB2312"/>
                <w:sz w:val="24"/>
                <w:szCs w:val="21"/>
                <w:lang w:val="en-US" w:eastAsia="zh-CN"/>
              </w:rPr>
              <w:t>奖项的，有一个</w:t>
            </w:r>
            <w:r>
              <w:rPr>
                <w:rFonts w:hint="eastAsia" w:ascii="仿宋_GB2312" w:hAnsi="仿宋" w:eastAsia="仿宋_GB2312"/>
                <w:sz w:val="24"/>
                <w:szCs w:val="21"/>
              </w:rPr>
              <w:t>得1分，累计最高得</w:t>
            </w:r>
            <w:r>
              <w:rPr>
                <w:rFonts w:hint="eastAsia" w:ascii="仿宋_GB2312" w:hAnsi="仿宋" w:eastAsia="仿宋_GB2312"/>
                <w:sz w:val="24"/>
                <w:szCs w:val="21"/>
                <w:lang w:val="en-US" w:eastAsia="zh-CN"/>
              </w:rPr>
              <w:t>4</w:t>
            </w:r>
            <w:r>
              <w:rPr>
                <w:rFonts w:hint="eastAsia" w:ascii="仿宋_GB2312" w:hAnsi="仿宋" w:eastAsia="仿宋_GB2312"/>
                <w:sz w:val="24"/>
                <w:szCs w:val="21"/>
              </w:rPr>
              <w:t>分。【投标文件中提供荣誉证书复印件或扫描件并加盖公章（计算时间以获奖时间为准），否则不得分。】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4</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企业综</w:t>
            </w:r>
          </w:p>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合实力</w:t>
            </w:r>
          </w:p>
          <w:p>
            <w:pPr>
              <w:spacing w:line="360" w:lineRule="auto"/>
              <w:ind w:firstLine="465" w:firstLineChars="194"/>
              <w:rPr>
                <w:rFonts w:hint="eastAsia" w:ascii="仿宋_GB2312" w:hAnsi="仿宋" w:eastAsia="仿宋_GB2312"/>
                <w:sz w:val="24"/>
                <w:szCs w:val="21"/>
                <w:lang w:val="en-US" w:eastAsia="zh-CN"/>
              </w:rPr>
            </w:pP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lang w:val="en-US" w:eastAsia="zh-CN"/>
              </w:rPr>
              <w:t>1、投标人具有有效期内质量管理体系认证证书、环境管理体系认证证书的、职业健康安全管理体系认证证书、信息安全管理体系认证证书的满足一个得0.5分，最高得2分。</w:t>
            </w:r>
          </w:p>
          <w:p>
            <w:pPr>
              <w:pStyle w:val="8"/>
              <w:spacing w:line="360" w:lineRule="auto"/>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2、投标人具有国家级高新技术企业证书的得3分，具有省级高新技术企业证书的得分1分。</w:t>
            </w:r>
          </w:p>
          <w:p>
            <w:pPr>
              <w:spacing w:line="360" w:lineRule="auto"/>
              <w:rPr>
                <w:rFonts w:hint="eastAsia" w:ascii="仿宋_GB2312" w:hAnsi="仿宋" w:eastAsia="仿宋_GB2312"/>
                <w:sz w:val="24"/>
                <w:szCs w:val="21"/>
              </w:rPr>
            </w:pPr>
            <w:r>
              <w:rPr>
                <w:rFonts w:hint="eastAsia" w:ascii="仿宋_GB2312" w:hAnsi="仿宋" w:eastAsia="仿宋_GB2312"/>
                <w:sz w:val="24"/>
                <w:szCs w:val="21"/>
              </w:rPr>
              <w:t>【投标文件中提供证书复印件或扫描件并加盖公章，否则不得分。】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1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5</w:t>
            </w:r>
          </w:p>
        </w:tc>
        <w:tc>
          <w:tcPr>
            <w:tcW w:w="1223"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拟投入人员资历情况</w:t>
            </w:r>
          </w:p>
          <w:p>
            <w:pPr>
              <w:spacing w:line="360" w:lineRule="auto"/>
              <w:ind w:firstLine="465" w:firstLineChars="194"/>
              <w:rPr>
                <w:rFonts w:hint="eastAsia" w:ascii="仿宋_GB2312" w:hAnsi="仿宋" w:eastAsia="仿宋_GB2312"/>
                <w:sz w:val="24"/>
                <w:szCs w:val="21"/>
                <w:lang w:val="en-US" w:eastAsia="zh-CN"/>
              </w:rPr>
            </w:pP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lang w:val="en-US" w:eastAsia="zh-CN"/>
              </w:rPr>
              <w:t>拟派</w:t>
            </w:r>
            <w:r>
              <w:rPr>
                <w:rFonts w:hint="eastAsia" w:ascii="仿宋_GB2312" w:hAnsi="仿宋" w:eastAsia="仿宋_GB2312"/>
                <w:sz w:val="24"/>
                <w:szCs w:val="21"/>
              </w:rPr>
              <w:t>项目负责人具有</w:t>
            </w:r>
            <w:r>
              <w:rPr>
                <w:rFonts w:hint="eastAsia" w:ascii="仿宋_GB2312" w:hAnsi="仿宋" w:eastAsia="仿宋_GB2312"/>
                <w:sz w:val="24"/>
                <w:szCs w:val="21"/>
                <w:lang w:val="en-US" w:eastAsia="zh-CN"/>
              </w:rPr>
              <w:t>规划类高级工程师并同时具有</w:t>
            </w:r>
            <w:r>
              <w:rPr>
                <w:rFonts w:hint="eastAsia" w:ascii="仿宋_GB2312" w:hAnsi="仿宋" w:eastAsia="仿宋_GB2312"/>
                <w:sz w:val="24"/>
                <w:szCs w:val="21"/>
              </w:rPr>
              <w:t>注册规划师</w:t>
            </w:r>
            <w:r>
              <w:rPr>
                <w:rFonts w:hint="eastAsia" w:ascii="仿宋_GB2312" w:hAnsi="仿宋" w:eastAsia="仿宋_GB2312"/>
                <w:sz w:val="24"/>
                <w:szCs w:val="21"/>
                <w:lang w:val="en-US" w:eastAsia="zh-CN"/>
              </w:rPr>
              <w:t>证书的</w:t>
            </w:r>
            <w:r>
              <w:rPr>
                <w:rFonts w:hint="eastAsia" w:ascii="仿宋_GB2312" w:hAnsi="仿宋" w:eastAsia="仿宋_GB2312"/>
                <w:sz w:val="24"/>
                <w:szCs w:val="21"/>
              </w:rPr>
              <w:t>得</w:t>
            </w:r>
            <w:r>
              <w:rPr>
                <w:rFonts w:hint="eastAsia" w:ascii="仿宋_GB2312" w:hAnsi="仿宋" w:eastAsia="仿宋_GB2312"/>
                <w:sz w:val="24"/>
                <w:szCs w:val="21"/>
                <w:lang w:val="en-US" w:eastAsia="zh-CN"/>
              </w:rPr>
              <w:t>3</w:t>
            </w:r>
            <w:r>
              <w:rPr>
                <w:rFonts w:hint="eastAsia" w:ascii="仿宋_GB2312" w:hAnsi="仿宋" w:eastAsia="仿宋_GB2312"/>
                <w:sz w:val="24"/>
                <w:szCs w:val="21"/>
              </w:rPr>
              <w:t>分。【投标文件中提供</w:t>
            </w:r>
            <w:r>
              <w:rPr>
                <w:rFonts w:hint="eastAsia" w:ascii="仿宋_GB2312" w:hAnsi="仿宋" w:eastAsia="仿宋_GB2312"/>
                <w:sz w:val="24"/>
                <w:szCs w:val="21"/>
                <w:lang w:val="en-US" w:eastAsia="zh-CN"/>
              </w:rPr>
              <w:t>相关</w:t>
            </w:r>
            <w:r>
              <w:rPr>
                <w:rFonts w:hint="eastAsia" w:ascii="仿宋_GB2312" w:hAnsi="仿宋" w:eastAsia="仿宋_GB2312"/>
                <w:sz w:val="24"/>
                <w:szCs w:val="21"/>
              </w:rPr>
              <w:t>证书、项目负责人必须是投标人在职正式职工，须提供项目负责人</w:t>
            </w:r>
            <w:r>
              <w:rPr>
                <w:rFonts w:hint="eastAsia" w:ascii="仿宋_GB2312" w:hAnsi="仿宋" w:eastAsia="仿宋_GB2312"/>
                <w:sz w:val="24"/>
                <w:szCs w:val="21"/>
                <w:lang w:eastAsia="zh-CN"/>
              </w:rPr>
              <w:t>在</w:t>
            </w:r>
            <w:r>
              <w:rPr>
                <w:rFonts w:hint="eastAsia" w:ascii="仿宋_GB2312" w:hAnsi="仿宋" w:eastAsia="仿宋_GB2312"/>
                <w:sz w:val="24"/>
                <w:szCs w:val="21"/>
              </w:rPr>
              <w:t>本单位缴纳的近三个月连续社保证明材料复印件或扫描件并加盖公章，否则不得分】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lang w:eastAsia="zh-CN"/>
              </w:rPr>
            </w:pPr>
            <w:r>
              <w:rPr>
                <w:rFonts w:hint="eastAsia" w:ascii="仿宋_GB2312" w:hAnsi="仿宋" w:eastAsia="仿宋_GB2312"/>
                <w:sz w:val="24"/>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lang w:val="en-US" w:eastAsia="zh-CN"/>
              </w:rPr>
            </w:pP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lang w:val="en-US" w:eastAsia="zh-CN"/>
              </w:rPr>
              <w:t>1、拟派项目组成员（</w:t>
            </w:r>
            <w:r>
              <w:rPr>
                <w:rFonts w:hint="eastAsia" w:ascii="仿宋_GB2312" w:hAnsi="仿宋" w:eastAsia="仿宋_GB2312"/>
                <w:sz w:val="24"/>
                <w:szCs w:val="21"/>
              </w:rPr>
              <w:t>项目负责人除外</w:t>
            </w:r>
            <w:r>
              <w:rPr>
                <w:rFonts w:hint="eastAsia" w:ascii="仿宋_GB2312" w:hAnsi="仿宋" w:eastAsia="仿宋_GB2312"/>
                <w:sz w:val="24"/>
                <w:szCs w:val="21"/>
                <w:lang w:val="en-US" w:eastAsia="zh-CN"/>
              </w:rPr>
              <w:t>）具有注册规划师的，每个得1分，最高得3分；具有土地规划类或城乡规划类高级工程师职称的，每个得1分，最高得2分；本项最高得5分。</w:t>
            </w:r>
          </w:p>
          <w:p>
            <w:pPr>
              <w:spacing w:line="360" w:lineRule="auto"/>
              <w:rPr>
                <w:rFonts w:hint="eastAsia" w:ascii="仿宋_GB2312" w:hAnsi="仿宋" w:eastAsia="仿宋_GB2312"/>
                <w:sz w:val="24"/>
                <w:szCs w:val="21"/>
              </w:rPr>
            </w:pPr>
            <w:r>
              <w:rPr>
                <w:rFonts w:hint="eastAsia" w:ascii="仿宋_GB2312" w:hAnsi="仿宋" w:eastAsia="仿宋_GB2312"/>
                <w:sz w:val="24"/>
                <w:szCs w:val="21"/>
                <w:lang w:val="en-US" w:eastAsia="zh-CN"/>
              </w:rPr>
              <w:t>2、</w:t>
            </w:r>
            <w:r>
              <w:rPr>
                <w:rFonts w:hint="eastAsia" w:ascii="仿宋_GB2312" w:hAnsi="仿宋" w:eastAsia="仿宋_GB2312"/>
                <w:sz w:val="24"/>
                <w:szCs w:val="21"/>
              </w:rPr>
              <w:t>拟派项目组成员（项目负责人除外）配备齐全（土地管理专业、地理信息工程专业、</w:t>
            </w:r>
            <w:r>
              <w:rPr>
                <w:rFonts w:hint="eastAsia" w:ascii="仿宋_GB2312" w:hAnsi="仿宋" w:eastAsia="仿宋_GB2312"/>
                <w:sz w:val="24"/>
                <w:szCs w:val="21"/>
                <w:highlight w:val="none"/>
                <w:lang w:eastAsia="zh-CN"/>
              </w:rPr>
              <w:t>工程测量</w:t>
            </w:r>
            <w:r>
              <w:rPr>
                <w:rFonts w:hint="eastAsia" w:ascii="仿宋_GB2312" w:hAnsi="仿宋" w:eastAsia="仿宋_GB2312"/>
                <w:sz w:val="24"/>
                <w:szCs w:val="21"/>
                <w:highlight w:val="none"/>
              </w:rPr>
              <w:t>专业、</w:t>
            </w:r>
            <w:r>
              <w:rPr>
                <w:rFonts w:hint="eastAsia" w:ascii="仿宋_GB2312" w:hAnsi="仿宋" w:eastAsia="仿宋_GB2312"/>
                <w:sz w:val="24"/>
                <w:szCs w:val="21"/>
              </w:rPr>
              <w:t>城乡规划专业）有一个得</w:t>
            </w:r>
            <w:r>
              <w:rPr>
                <w:rFonts w:hint="eastAsia" w:ascii="仿宋_GB2312" w:hAnsi="仿宋" w:eastAsia="仿宋_GB2312"/>
                <w:sz w:val="24"/>
                <w:szCs w:val="21"/>
                <w:lang w:val="en-US" w:eastAsia="zh-CN"/>
              </w:rPr>
              <w:t>1</w:t>
            </w:r>
            <w:r>
              <w:rPr>
                <w:rFonts w:hint="eastAsia" w:ascii="仿宋_GB2312" w:hAnsi="仿宋" w:eastAsia="仿宋_GB2312"/>
                <w:sz w:val="24"/>
                <w:szCs w:val="21"/>
              </w:rPr>
              <w:t>分，最多得</w:t>
            </w:r>
            <w:r>
              <w:rPr>
                <w:rFonts w:hint="eastAsia" w:ascii="仿宋_GB2312" w:hAnsi="仿宋" w:eastAsia="仿宋_GB2312"/>
                <w:sz w:val="24"/>
                <w:szCs w:val="21"/>
                <w:lang w:val="en-US" w:eastAsia="zh-CN"/>
              </w:rPr>
              <w:t>4</w:t>
            </w:r>
            <w:r>
              <w:rPr>
                <w:rFonts w:hint="eastAsia" w:ascii="仿宋_GB2312" w:hAnsi="仿宋" w:eastAsia="仿宋_GB2312"/>
                <w:sz w:val="24"/>
                <w:szCs w:val="21"/>
              </w:rPr>
              <w:t>分。同一人员具有多个专业的只计取一个专业不重复计取。</w:t>
            </w:r>
          </w:p>
          <w:p>
            <w:pPr>
              <w:spacing w:line="360" w:lineRule="auto"/>
              <w:rPr>
                <w:rFonts w:hint="eastAsia" w:ascii="仿宋_GB2312" w:hAnsi="仿宋" w:eastAsia="仿宋_GB2312"/>
                <w:sz w:val="24"/>
                <w:szCs w:val="21"/>
                <w:lang w:val="en-US" w:eastAsia="zh-CN"/>
              </w:rPr>
            </w:pPr>
            <w:r>
              <w:rPr>
                <w:rFonts w:hint="eastAsia" w:ascii="仿宋_GB2312" w:hAnsi="仿宋" w:eastAsia="仿宋_GB2312"/>
                <w:sz w:val="24"/>
                <w:szCs w:val="21"/>
                <w:lang w:val="en-US" w:eastAsia="zh-CN"/>
              </w:rPr>
              <w:t>3、拟派项目组成员（项目负责人除外）具有土地规划从业人员培训合格证和土地规划（土地工程）或城乡规划（城市规划）中级及以上职称的，每个得0.5分，最多得4分；</w:t>
            </w:r>
          </w:p>
          <w:p>
            <w:pPr>
              <w:spacing w:line="360" w:lineRule="auto"/>
              <w:ind w:firstLine="465" w:firstLineChars="194"/>
              <w:rPr>
                <w:rFonts w:hint="eastAsia" w:ascii="仿宋_GB2312" w:hAnsi="仿宋" w:eastAsia="仿宋_GB2312"/>
                <w:sz w:val="24"/>
                <w:szCs w:val="21"/>
              </w:rPr>
            </w:pPr>
            <w:r>
              <w:rPr>
                <w:rFonts w:hint="eastAsia" w:ascii="仿宋_GB2312" w:hAnsi="仿宋" w:eastAsia="仿宋_GB2312"/>
                <w:sz w:val="24"/>
                <w:szCs w:val="21"/>
              </w:rPr>
              <w:t>【投标文件中提供能证明人员专业的相关证书、在本单位缴纳的近三个月连续社保证明材料复印件或扫描件并加盖公章，否则不得分】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 w:eastAsia="仿宋_GB2312"/>
                <w:sz w:val="24"/>
                <w:szCs w:val="21"/>
                <w:lang w:val="en-US" w:eastAsia="zh-CN"/>
              </w:rPr>
            </w:pPr>
            <w:r>
              <w:rPr>
                <w:rFonts w:hint="eastAsia" w:ascii="仿宋_GB2312" w:hAnsi="仿宋" w:eastAsia="仿宋_GB2312"/>
                <w:sz w:val="24"/>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6</w:t>
            </w:r>
          </w:p>
        </w:tc>
        <w:tc>
          <w:tcPr>
            <w:tcW w:w="1223"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背景分析</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对全域各类已编、在编的村庄规划及乡村地区各类空间性规划进行系统梳理，分析规划覆盖情况</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分析合理的得5分，缺乏合理性、完善性的得3分，未提及的不得分。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 w:eastAsia="仿宋_GB2312"/>
                <w:sz w:val="24"/>
                <w:szCs w:val="21"/>
                <w:lang w:val="en-US"/>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7</w:t>
            </w:r>
          </w:p>
        </w:tc>
        <w:tc>
          <w:tcPr>
            <w:tcW w:w="1223"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村庄发展现状分析</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从</w:t>
            </w:r>
            <w:r>
              <w:rPr>
                <w:rFonts w:hint="eastAsia" w:ascii="仿宋_GB2312" w:hAnsi="仿宋" w:eastAsia="仿宋_GB2312"/>
                <w:sz w:val="24"/>
                <w:szCs w:val="21"/>
                <w:lang w:val="en-US" w:eastAsia="zh-CN"/>
              </w:rPr>
              <w:t>临安区</w:t>
            </w:r>
            <w:r>
              <w:rPr>
                <w:rFonts w:hint="eastAsia" w:ascii="仿宋_GB2312" w:hAnsi="仿宋" w:eastAsia="仿宋_GB2312"/>
                <w:sz w:val="24"/>
                <w:szCs w:val="21"/>
              </w:rPr>
              <w:t>整体层面对建设用地规模、土地利用集约节约性、耕地保护、村庄人口、村庄居民点分布等情况作简要分析，为开展评估提供基础。</w:t>
            </w:r>
            <w:r>
              <w:rPr>
                <w:rFonts w:hint="eastAsia" w:ascii="仿宋_GB2312" w:hAnsi="仿宋" w:eastAsia="仿宋_GB2312"/>
                <w:sz w:val="24"/>
                <w:szCs w:val="21"/>
                <w:lang w:val="en-US" w:eastAsia="zh-CN"/>
              </w:rPr>
              <w:t>要点全部提及且分析合理的得4分，每缺一项扣1分扣完为止。</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tcBorders>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村庄发展分类村庄定位分析</w:t>
            </w: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结合国土空间总体规划工作，按照集聚建设、整治提升、城郊融合、特色保护、搬迁撤并五种类型初步判断各行政村的发展定位</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分析合理的得4分，缺乏合理性、完善性的得2分，未提及的不得分。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2" w:type="dxa"/>
            <w:vMerge w:val="restart"/>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8</w:t>
            </w:r>
          </w:p>
        </w:tc>
        <w:tc>
          <w:tcPr>
            <w:tcW w:w="1223" w:type="dxa"/>
            <w:gridSpan w:val="2"/>
            <w:vMerge w:val="restart"/>
            <w:tcBorders>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现行村庄规划适应性评估</w:t>
            </w: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上位国土空间总体规划要求的符合性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耕地保护与生态保护要求的适应性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灾害隐患避让等村庄安全要求的适应性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村庄基本建设需求的适应性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乡村产业发展需求的适应性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涉及乡村改革发展需求的适应性（包括乡村全域土地综合整治与生态修复工程、城乡风貌整治提升、农村一二三产业融合发展、未来乡村建设、宅基地治理、农村人居环境整治、集体经营性建设用地入市等各类涉及乡村等改革和试点）</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村民意愿的适应性</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85"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其他适应性评估</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12" w:type="dxa"/>
            <w:vMerge w:val="restart"/>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9</w:t>
            </w:r>
          </w:p>
        </w:tc>
        <w:tc>
          <w:tcPr>
            <w:tcW w:w="1223" w:type="dxa"/>
            <w:gridSpan w:val="2"/>
            <w:vMerge w:val="restart"/>
            <w:tcBorders>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评估结论</w:t>
            </w:r>
          </w:p>
        </w:tc>
        <w:tc>
          <w:tcPr>
            <w:tcW w:w="719" w:type="dxa"/>
            <w:tcBorders>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评估报告</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评估报告应当包含总体概况、重点内容、存在问题、经验借鉴、工作计划及建议等内容，每个章节可结合实际展开分析，并附相关图、表</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全部提及且符合要求的得4分，每缺一项扣1分扣完为止。</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1223" w:type="dxa"/>
            <w:gridSpan w:val="2"/>
            <w:vMerge w:val="continue"/>
            <w:tcBorders>
              <w:left w:val="single" w:color="auto" w:sz="4" w:space="0"/>
              <w:right w:val="single" w:color="auto" w:sz="4" w:space="0"/>
            </w:tcBorders>
            <w:noWrap w:val="0"/>
            <w:vAlign w:val="center"/>
          </w:tcPr>
          <w:p>
            <w:pPr>
              <w:spacing w:line="360" w:lineRule="auto"/>
              <w:ind w:firstLine="465" w:firstLineChars="194"/>
              <w:rPr>
                <w:rFonts w:hint="eastAsia" w:ascii="仿宋_GB2312" w:hAnsi="仿宋" w:eastAsia="仿宋_GB2312"/>
                <w:sz w:val="24"/>
                <w:szCs w:val="21"/>
              </w:rPr>
            </w:pPr>
          </w:p>
        </w:tc>
        <w:tc>
          <w:tcPr>
            <w:tcW w:w="719" w:type="dxa"/>
            <w:tcBorders>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附表</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表格包括《村庄分类定位汇总表》、《“十四五”期间农民建房需求摸排表》、《村庄规划分类编制计划表》等内容</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全部提及且合理的得4分，每缺一项扣1分。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10</w:t>
            </w:r>
          </w:p>
        </w:tc>
        <w:tc>
          <w:tcPr>
            <w:tcW w:w="1942" w:type="dxa"/>
            <w:gridSpan w:val="3"/>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存在问题分析</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lang w:eastAsia="zh-CN"/>
              </w:rPr>
            </w:pPr>
            <w:r>
              <w:rPr>
                <w:rFonts w:hint="eastAsia" w:ascii="仿宋_GB2312" w:hAnsi="仿宋" w:eastAsia="仿宋_GB2312"/>
                <w:sz w:val="24"/>
                <w:szCs w:val="21"/>
              </w:rPr>
              <w:t>分析村庄规划编制、实施和管理过程中面临的问题和矛盾</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分析合理的得5分，缺乏合理性、完善性的得3分，未提及的不得分。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11</w:t>
            </w:r>
          </w:p>
        </w:tc>
        <w:tc>
          <w:tcPr>
            <w:tcW w:w="1942" w:type="dxa"/>
            <w:gridSpan w:val="3"/>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经验借鉴</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村庄规划编制、实施及管理各方面的经验做法</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合理可行、切合实际的得2分，缺乏合理性、完善性的得1分，未提及的不得分。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12</w:t>
            </w:r>
          </w:p>
        </w:tc>
        <w:tc>
          <w:tcPr>
            <w:tcW w:w="1942" w:type="dxa"/>
            <w:gridSpan w:val="3"/>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下一步工作计划</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制定村庄规划管控全覆盖工作计划</w:t>
            </w:r>
            <w:r>
              <w:rPr>
                <w:rFonts w:hint="eastAsia" w:ascii="仿宋_GB2312" w:hAnsi="仿宋" w:eastAsia="仿宋_GB2312"/>
                <w:sz w:val="24"/>
                <w:szCs w:val="21"/>
                <w:lang w:eastAsia="zh-CN"/>
              </w:rPr>
              <w:t>，</w:t>
            </w:r>
            <w:r>
              <w:rPr>
                <w:rFonts w:hint="eastAsia" w:ascii="仿宋_GB2312" w:hAnsi="仿宋" w:eastAsia="仿宋_GB2312"/>
                <w:sz w:val="24"/>
                <w:szCs w:val="21"/>
                <w:lang w:val="en-US" w:eastAsia="zh-CN"/>
              </w:rPr>
              <w:t>计划可行的得5分，缺乏可行性、完善性的得3分，未提及的不得分。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13</w:t>
            </w:r>
          </w:p>
        </w:tc>
        <w:tc>
          <w:tcPr>
            <w:tcW w:w="1942" w:type="dxa"/>
            <w:gridSpan w:val="3"/>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工作建议</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以《浙江省村庄规划编制技术要点（试行）》和数据库标准为靶向，对村庄规划的编制方法、路径以及规划管理实践的建议意见，突出“多规合一”实用性，构建村庄规划“一张图”，以开拓性视角引领美丽乡村建设，助力实现乡村共同富裕。</w:t>
            </w:r>
            <w:r>
              <w:rPr>
                <w:rFonts w:hint="eastAsia" w:ascii="仿宋_GB2312" w:hAnsi="仿宋" w:eastAsia="仿宋_GB2312"/>
                <w:sz w:val="24"/>
                <w:szCs w:val="21"/>
                <w:lang w:val="en-US" w:eastAsia="zh-CN"/>
              </w:rPr>
              <w:t>合理可行、切合实际的得5分，缺乏合理性、完善性的得3分，未提及的不得分。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2" w:type="dxa"/>
            <w:vMerge w:val="restart"/>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14</w:t>
            </w:r>
          </w:p>
        </w:tc>
        <w:tc>
          <w:tcPr>
            <w:tcW w:w="852" w:type="dxa"/>
            <w:vMerge w:val="restart"/>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实施与保障</w:t>
            </w:r>
          </w:p>
        </w:tc>
        <w:tc>
          <w:tcPr>
            <w:tcW w:w="1090" w:type="dxa"/>
            <w:gridSpan w:val="2"/>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评估</w:t>
            </w:r>
          </w:p>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实施</w:t>
            </w:r>
          </w:p>
        </w:tc>
        <w:tc>
          <w:tcPr>
            <w:tcW w:w="6466" w:type="dxa"/>
            <w:tcBorders>
              <w:top w:val="single" w:color="auto" w:sz="4" w:space="0"/>
              <w:left w:val="single" w:color="auto" w:sz="4" w:space="0"/>
              <w:right w:val="single" w:color="auto" w:sz="4" w:space="0"/>
            </w:tcBorders>
            <w:noWrap w:val="0"/>
            <w:vAlign w:val="center"/>
          </w:tcPr>
          <w:p>
            <w:pPr>
              <w:spacing w:line="360" w:lineRule="auto"/>
              <w:rPr>
                <w:rFonts w:hint="default" w:ascii="仿宋_GB2312" w:hAnsi="仿宋" w:eastAsia="仿宋_GB2312"/>
                <w:sz w:val="24"/>
                <w:szCs w:val="21"/>
                <w:lang w:val="en-US" w:eastAsia="zh-CN"/>
              </w:rPr>
            </w:pPr>
            <w:r>
              <w:rPr>
                <w:rFonts w:hint="eastAsia" w:ascii="仿宋_GB2312" w:hAnsi="仿宋" w:eastAsia="仿宋_GB2312"/>
                <w:sz w:val="24"/>
                <w:szCs w:val="21"/>
              </w:rPr>
              <w:t>对评估的分期实施做出统筹安排，明确行动计划。</w:t>
            </w:r>
            <w:r>
              <w:rPr>
                <w:rFonts w:hint="eastAsia" w:ascii="仿宋_GB2312" w:hAnsi="仿宋" w:eastAsia="仿宋_GB2312"/>
                <w:sz w:val="24"/>
                <w:szCs w:val="21"/>
                <w:lang w:val="en-US" w:eastAsia="zh-CN"/>
              </w:rPr>
              <w:t>合理可行、切合实际的得5分，缺乏合理性、完善性的得3分，未提及的不得分。</w:t>
            </w:r>
          </w:p>
        </w:tc>
        <w:tc>
          <w:tcPr>
            <w:tcW w:w="6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2" w:type="dxa"/>
            <w:vMerge w:val="continue"/>
            <w:tcBorders>
              <w:left w:val="single" w:color="auto" w:sz="4" w:space="0"/>
              <w:right w:val="single" w:color="auto" w:sz="4" w:space="0"/>
            </w:tcBorders>
            <w:noWrap w:val="0"/>
            <w:vAlign w:val="center"/>
          </w:tcPr>
          <w:p>
            <w:pPr>
              <w:spacing w:line="360" w:lineRule="auto"/>
              <w:ind w:firstLine="465" w:firstLineChars="194"/>
              <w:jc w:val="center"/>
              <w:rPr>
                <w:rFonts w:hint="eastAsia" w:ascii="仿宋_GB2312" w:hAnsi="仿宋" w:eastAsia="仿宋_GB2312"/>
                <w:sz w:val="24"/>
                <w:szCs w:val="21"/>
              </w:rPr>
            </w:pPr>
          </w:p>
        </w:tc>
        <w:tc>
          <w:tcPr>
            <w:tcW w:w="852" w:type="dxa"/>
            <w:vMerge w:val="continue"/>
            <w:tcBorders>
              <w:left w:val="single" w:color="auto" w:sz="4" w:space="0"/>
              <w:right w:val="single" w:color="auto" w:sz="4" w:space="0"/>
            </w:tcBorders>
            <w:noWrap w:val="0"/>
            <w:vAlign w:val="center"/>
          </w:tcPr>
          <w:p>
            <w:pPr>
              <w:spacing w:line="360" w:lineRule="auto"/>
              <w:ind w:firstLine="465" w:firstLineChars="194"/>
              <w:jc w:val="center"/>
              <w:rPr>
                <w:rFonts w:hint="eastAsia" w:ascii="仿宋_GB2312" w:hAnsi="仿宋" w:eastAsia="仿宋_GB2312"/>
                <w:sz w:val="24"/>
                <w:szCs w:val="21"/>
              </w:rPr>
            </w:pPr>
          </w:p>
        </w:tc>
        <w:tc>
          <w:tcPr>
            <w:tcW w:w="1090" w:type="dxa"/>
            <w:gridSpan w:val="2"/>
            <w:tcBorders>
              <w:left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评估</w:t>
            </w:r>
          </w:p>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rPr>
              <w:t>保障</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sz w:val="24"/>
                <w:szCs w:val="21"/>
              </w:rPr>
            </w:pPr>
            <w:r>
              <w:rPr>
                <w:rFonts w:hint="eastAsia" w:ascii="仿宋_GB2312" w:hAnsi="仿宋" w:eastAsia="仿宋_GB2312"/>
                <w:sz w:val="24"/>
                <w:szCs w:val="21"/>
              </w:rPr>
              <w:t>为保障规划实施需明确规划实施的组织要求及相关配套政策。充分利用各种媒介向社会公布和宣传乡镇国土空间规划，建立规划宣传和交流互动机制。完善社会监督机制，鼓励公众积极参与规划的实施和监督。</w:t>
            </w:r>
            <w:r>
              <w:rPr>
                <w:rFonts w:hint="eastAsia" w:ascii="仿宋_GB2312" w:hAnsi="仿宋" w:eastAsia="仿宋_GB2312"/>
                <w:sz w:val="24"/>
                <w:szCs w:val="21"/>
                <w:lang w:val="en-US" w:eastAsia="zh-CN"/>
              </w:rPr>
              <w:t>合理可行、切合实际的得5分，缺乏合理性、完善性的得3分，未提及的不得分。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sz w:val="24"/>
                <w:szCs w:val="21"/>
              </w:rPr>
            </w:pPr>
            <w:r>
              <w:rPr>
                <w:rFonts w:hint="eastAsia" w:ascii="仿宋_GB2312" w:hAnsi="仿宋" w:eastAsia="仿宋_GB2312"/>
                <w:sz w:val="24"/>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2" w:type="dxa"/>
            <w:tcBorders>
              <w:left w:val="single" w:color="auto" w:sz="4" w:space="0"/>
              <w:right w:val="single" w:color="auto" w:sz="4" w:space="0"/>
            </w:tcBorders>
            <w:noWrap w:val="0"/>
            <w:vAlign w:val="center"/>
          </w:tcPr>
          <w:p>
            <w:pPr>
              <w:spacing w:line="360" w:lineRule="auto"/>
              <w:jc w:val="both"/>
              <w:rPr>
                <w:rFonts w:hint="default" w:ascii="仿宋_GB2312" w:hAnsi="仿宋" w:eastAsia="仿宋_GB2312"/>
                <w:sz w:val="24"/>
                <w:szCs w:val="21"/>
                <w:lang w:val="en-US" w:eastAsia="zh-CN"/>
              </w:rPr>
            </w:pPr>
            <w:r>
              <w:rPr>
                <w:rFonts w:hint="eastAsia" w:ascii="仿宋_GB2312" w:hAnsi="仿宋" w:eastAsia="仿宋_GB2312"/>
                <w:sz w:val="24"/>
                <w:szCs w:val="21"/>
                <w:lang w:val="en-US" w:eastAsia="zh-CN"/>
              </w:rPr>
              <w:t>报价评审</w:t>
            </w:r>
          </w:p>
        </w:tc>
        <w:tc>
          <w:tcPr>
            <w:tcW w:w="8408" w:type="dxa"/>
            <w:gridSpan w:val="4"/>
            <w:tcBorders>
              <w:left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］的计算公式计算。</w:t>
            </w:r>
          </w:p>
          <w:p>
            <w:pPr>
              <w:pStyle w:val="12"/>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评标过程中，不得去掉报价中的最高报价和最低报价。</w:t>
            </w:r>
          </w:p>
          <w:p>
            <w:pPr>
              <w:pStyle w:val="12"/>
              <w:keepNext w:val="0"/>
              <w:keepLines w:val="0"/>
              <w:pageBreakBefore w:val="0"/>
              <w:widowControl w:val="0"/>
              <w:kinsoku/>
              <w:wordWrap/>
              <w:overflowPunct/>
              <w:topLinePunct w:val="0"/>
              <w:bidi w:val="0"/>
              <w:spacing w:line="240" w:lineRule="auto"/>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因落实政府采购政策需要进行价格调整的，以调整后的价格计算评标基准价和投标报价。</w:t>
            </w:r>
          </w:p>
        </w:tc>
        <w:tc>
          <w:tcPr>
            <w:tcW w:w="645" w:type="dxa"/>
            <w:tcBorders>
              <w:top w:val="single" w:color="auto" w:sz="4" w:space="0"/>
              <w:left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10分</w:t>
            </w:r>
          </w:p>
        </w:tc>
      </w:tr>
    </w:tbl>
    <w:p>
      <w:pPr>
        <w:snapToGrid w:val="0"/>
        <w:spacing w:line="360" w:lineRule="auto"/>
        <w:rPr>
          <w:rFonts w:hint="eastAsia" w:ascii="仿宋_GB2312" w:hAnsi="仿宋_GB2312" w:eastAsia="仿宋_GB2312" w:cs="仿宋_GB2312"/>
          <w:kern w:val="2"/>
          <w:sz w:val="24"/>
          <w:szCs w:val="20"/>
          <w:lang w:val="en-US" w:eastAsia="zh-CN" w:bidi="ar-SA"/>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_GB2312" w:hAnsi="仿宋_GB2312" w:eastAsia="仿宋_GB2312" w:cs="仿宋_GB2312"/>
          <w:kern w:val="2"/>
          <w:sz w:val="24"/>
          <w:szCs w:val="20"/>
          <w:lang w:val="en-US" w:eastAsia="zh-CN" w:bidi="ar-SA"/>
        </w:rPr>
        <w:t>响应方编制响应文件（商务技术文件部分）时，建议按此目录（序号和内容）提供评标标准相应的商务技术资料。 </w:t>
      </w:r>
    </w:p>
    <w:p>
      <w:pPr>
        <w:snapToGrid w:val="0"/>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本项目采用综合评分法</w:t>
      </w:r>
      <w:r>
        <w:rPr>
          <w:rFonts w:hint="eastAsia" w:ascii="仿宋_GB2312" w:hAnsi="仿宋_GB2312" w:eastAsia="仿宋_GB2312" w:cs="仿宋_GB2312"/>
          <w:sz w:val="24"/>
          <w:szCs w:val="24"/>
        </w:rPr>
        <w:t>，磋商小组将对各供应商的最后报价、</w:t>
      </w:r>
      <w:r>
        <w:rPr>
          <w:rFonts w:hint="eastAsia" w:ascii="仿宋_GB2312" w:hAnsi="仿宋_GB2312" w:eastAsia="仿宋_GB2312" w:cs="仿宋_GB2312"/>
          <w:bCs/>
          <w:sz w:val="24"/>
          <w:szCs w:val="24"/>
        </w:rPr>
        <w:t>技术和服务方案</w:t>
      </w:r>
      <w:r>
        <w:rPr>
          <w:rFonts w:hint="eastAsia" w:ascii="仿宋_GB2312" w:hAnsi="仿宋_GB2312" w:eastAsia="仿宋_GB2312" w:cs="仿宋_GB2312"/>
          <w:sz w:val="24"/>
          <w:szCs w:val="24"/>
        </w:rPr>
        <w:t xml:space="preserve">、资信和业绩情况等方面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pStyle w:val="2"/>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4"/>
        <w:numPr>
          <w:ilvl w:val="0"/>
          <w:numId w:val="0"/>
        </w:numPr>
        <w:ind w:leftChars="0"/>
        <w:rPr>
          <w:rFonts w:hint="eastAsia"/>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第六部分  拟签订的合同文本</w:t>
      </w:r>
    </w:p>
    <w:p>
      <w:pPr>
        <w:spacing w:line="360" w:lineRule="auto"/>
        <w:rPr>
          <w:rFonts w:ascii="仿宋_GB2312" w:hAnsi="楷体" w:eastAsia="仿宋_GB2312"/>
          <w:sz w:val="24"/>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both"/>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29"/>
        <w:rPr>
          <w:rFonts w:ascii="仿宋" w:hAnsi="仿宋" w:eastAsia="仿宋"/>
          <w:color w:val="000000" w:themeColor="text1"/>
          <w:szCs w:val="24"/>
          <w14:textFill>
            <w14:solidFill>
              <w14:schemeClr w14:val="tx1"/>
            </w14:solidFill>
          </w14:textFill>
        </w:rPr>
      </w:pPr>
    </w:p>
    <w:p>
      <w:pPr>
        <w:pStyle w:val="29"/>
        <w:rPr>
          <w:rFonts w:ascii="仿宋" w:hAnsi="仿宋" w:eastAsia="仿宋"/>
          <w:color w:val="000000" w:themeColor="text1"/>
          <w:szCs w:val="24"/>
          <w14:textFill>
            <w14:solidFill>
              <w14:schemeClr w14:val="tx1"/>
            </w14:solidFill>
          </w14:textFill>
        </w:rPr>
      </w:pPr>
    </w:p>
    <w:p>
      <w:pPr>
        <w:pStyle w:val="29"/>
        <w:rPr>
          <w:rFonts w:ascii="仿宋" w:hAnsi="仿宋" w:eastAsia="仿宋"/>
          <w:color w:val="000000" w:themeColor="text1"/>
          <w:szCs w:val="24"/>
          <w14:textFill>
            <w14:solidFill>
              <w14:schemeClr w14:val="tx1"/>
            </w14:solidFill>
          </w14:textFill>
        </w:rPr>
      </w:pPr>
    </w:p>
    <w:p>
      <w:pPr>
        <w:pStyle w:val="29"/>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29"/>
        <w:rPr>
          <w:rFonts w:ascii="仿宋" w:hAnsi="仿宋" w:eastAsia="仿宋"/>
          <w:color w:val="000000" w:themeColor="text1"/>
          <w:szCs w:val="24"/>
          <w14:textFill>
            <w14:solidFill>
              <w14:schemeClr w14:val="tx1"/>
            </w14:solidFill>
          </w14:textFill>
        </w:rPr>
      </w:pPr>
    </w:p>
    <w:p>
      <w:pPr>
        <w:pStyle w:val="29"/>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30"/>
        <w:spacing w:before="120" w:line="22" w:lineRule="atLeast"/>
        <w:rPr>
          <w:rFonts w:ascii="仿宋" w:hAnsi="仿宋" w:eastAsia="仿宋"/>
          <w:color w:val="000000" w:themeColor="text1"/>
          <w:szCs w:val="24"/>
          <w14:textFill>
            <w14:solidFill>
              <w14:schemeClr w14:val="tx1"/>
            </w14:solidFill>
          </w14:textFill>
        </w:rPr>
      </w:pPr>
    </w:p>
    <w:p>
      <w:pPr>
        <w:pStyle w:val="30"/>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40" w:name="_Toc20421"/>
      <w:bookmarkStart w:id="41" w:name="_Toc15367"/>
      <w:bookmarkStart w:id="42" w:name="_Toc28855"/>
      <w:bookmarkStart w:id="43" w:name="_Toc19273"/>
      <w:bookmarkStart w:id="44" w:name="_Toc22967"/>
      <w:r>
        <w:rPr>
          <w:rFonts w:hint="eastAsia" w:ascii="仿宋" w:hAnsi="仿宋" w:eastAsia="仿宋"/>
          <w:b/>
          <w:color w:val="000000" w:themeColor="text1"/>
          <w:sz w:val="24"/>
          <w14:textFill>
            <w14:solidFill>
              <w14:schemeClr w14:val="tx1"/>
            </w14:solidFill>
          </w14:textFill>
        </w:rPr>
        <w:t>1.1 合同组成部分</w:t>
      </w:r>
      <w:bookmarkEnd w:id="40"/>
      <w:bookmarkEnd w:id="41"/>
      <w:bookmarkEnd w:id="42"/>
      <w:bookmarkEnd w:id="43"/>
      <w:bookmarkEnd w:id="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 w:name="_Toc2918"/>
      <w:bookmarkStart w:id="46" w:name="_Toc22185"/>
      <w:bookmarkStart w:id="47" w:name="_Toc6773"/>
      <w:bookmarkStart w:id="48" w:name="_Toc18585"/>
      <w:bookmarkStart w:id="49" w:name="_Toc6311"/>
      <w:r>
        <w:rPr>
          <w:rFonts w:hint="eastAsia" w:ascii="仿宋" w:hAnsi="仿宋" w:eastAsia="仿宋"/>
          <w:b/>
          <w:color w:val="000000" w:themeColor="text1"/>
          <w:sz w:val="24"/>
          <w14:textFill>
            <w14:solidFill>
              <w14:schemeClr w14:val="tx1"/>
            </w14:solidFill>
          </w14:textFill>
        </w:rPr>
        <w:t>1.2 标的</w:t>
      </w:r>
      <w:bookmarkEnd w:id="45"/>
      <w:bookmarkEnd w:id="46"/>
      <w:bookmarkEnd w:id="47"/>
      <w:bookmarkEnd w:id="48"/>
      <w:bookmarkEnd w:id="49"/>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0" w:name="_Toc4929"/>
      <w:bookmarkStart w:id="51" w:name="_Toc5635"/>
      <w:bookmarkStart w:id="52" w:name="_Toc1386"/>
      <w:bookmarkStart w:id="53" w:name="_Toc13918"/>
      <w:bookmarkStart w:id="54" w:name="_Toc21124"/>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50"/>
      <w:bookmarkEnd w:id="51"/>
      <w:bookmarkEnd w:id="52"/>
      <w:bookmarkEnd w:id="53"/>
      <w:bookmarkEnd w:id="5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1"/>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1"/>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55" w:name="_Toc14993"/>
      <w:bookmarkStart w:id="56" w:name="_Toc3654"/>
      <w:bookmarkStart w:id="57" w:name="_Toc30506"/>
      <w:bookmarkStart w:id="58" w:name="_Toc30158"/>
      <w:bookmarkStart w:id="59" w:name="_Toc26916"/>
      <w:r>
        <w:rPr>
          <w:rFonts w:hint="eastAsia" w:ascii="仿宋" w:hAnsi="仿宋" w:eastAsia="仿宋"/>
          <w:b/>
          <w:bCs/>
          <w:color w:val="000000" w:themeColor="text1"/>
          <w:sz w:val="24"/>
          <w14:textFill>
            <w14:solidFill>
              <w14:schemeClr w14:val="tx1"/>
            </w14:solidFill>
          </w14:textFill>
        </w:rPr>
        <w:t>1.4 付款方式和发票开具方式</w:t>
      </w:r>
      <w:bookmarkEnd w:id="55"/>
      <w:bookmarkEnd w:id="56"/>
      <w:bookmarkEnd w:id="57"/>
      <w:bookmarkEnd w:id="58"/>
      <w:bookmarkEnd w:id="59"/>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0" w:name="_Toc4760"/>
      <w:bookmarkStart w:id="61" w:name="_Toc11108"/>
      <w:bookmarkStart w:id="62" w:name="_Toc8772"/>
      <w:bookmarkStart w:id="63" w:name="_Toc3625"/>
      <w:bookmarkStart w:id="64" w:name="_Toc31421"/>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60"/>
      <w:bookmarkEnd w:id="61"/>
      <w:bookmarkEnd w:id="62"/>
      <w:bookmarkEnd w:id="63"/>
      <w:bookmarkEnd w:id="64"/>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65" w:name="_Toc5698"/>
      <w:bookmarkStart w:id="66" w:name="_Toc2375"/>
      <w:bookmarkStart w:id="67" w:name="_Toc8586"/>
      <w:bookmarkStart w:id="68" w:name="_Toc24662"/>
      <w:bookmarkStart w:id="69" w:name="_Toc3079"/>
      <w:r>
        <w:rPr>
          <w:rFonts w:hint="eastAsia" w:ascii="仿宋" w:hAnsi="仿宋" w:eastAsia="仿宋"/>
          <w:b/>
          <w:color w:val="000000" w:themeColor="text1"/>
          <w:sz w:val="24"/>
          <w14:textFill>
            <w14:solidFill>
              <w14:schemeClr w14:val="tx1"/>
            </w14:solidFill>
          </w14:textFill>
        </w:rPr>
        <w:t>1.6 违约责任</w:t>
      </w:r>
      <w:bookmarkEnd w:id="65"/>
      <w:bookmarkEnd w:id="66"/>
      <w:bookmarkEnd w:id="67"/>
      <w:bookmarkEnd w:id="68"/>
      <w:bookmarkEnd w:id="6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0" w:name="_Toc26807"/>
      <w:bookmarkStart w:id="71" w:name="_Toc9497"/>
      <w:bookmarkStart w:id="72" w:name="_Toc32454"/>
      <w:bookmarkStart w:id="73" w:name="_Toc18683"/>
      <w:bookmarkStart w:id="74" w:name="_Toc30329"/>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70"/>
      <w:bookmarkEnd w:id="71"/>
      <w:bookmarkEnd w:id="72"/>
      <w:bookmarkEnd w:id="73"/>
      <w:bookmarkEnd w:id="74"/>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5" w:name="_Toc12273"/>
      <w:bookmarkStart w:id="76" w:name="_Toc16417"/>
      <w:bookmarkStart w:id="77" w:name="_Toc26227"/>
      <w:bookmarkStart w:id="78" w:name="_Toc23784"/>
      <w:bookmarkStart w:id="79"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75"/>
      <w:bookmarkEnd w:id="76"/>
      <w:bookmarkEnd w:id="77"/>
      <w:bookmarkEnd w:id="78"/>
      <w:bookmarkEnd w:id="79"/>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2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0" w:name="_Toc19680"/>
      <w:bookmarkStart w:id="81" w:name="_Toc31297"/>
      <w:bookmarkStart w:id="82" w:name="_Toc5228"/>
      <w:bookmarkStart w:id="83" w:name="_Toc25079"/>
      <w:bookmarkStart w:id="84" w:name="_Toc14021"/>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80"/>
      <w:bookmarkEnd w:id="81"/>
      <w:bookmarkEnd w:id="82"/>
      <w:bookmarkEnd w:id="83"/>
      <w:bookmarkEnd w:id="8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5" w:name="_Toc31402"/>
      <w:bookmarkStart w:id="86" w:name="_Toc19539"/>
      <w:bookmarkStart w:id="87" w:name="_Toc3769"/>
      <w:bookmarkStart w:id="88" w:name="_Toc16752"/>
      <w:bookmarkStart w:id="89" w:name="_Toc2328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85"/>
      <w:bookmarkEnd w:id="86"/>
      <w:bookmarkEnd w:id="87"/>
      <w:bookmarkEnd w:id="88"/>
      <w:bookmarkEnd w:id="8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0" w:name="_Toc13673"/>
      <w:bookmarkStart w:id="91" w:name="_Toc12412"/>
      <w:bookmarkStart w:id="92" w:name="_Toc9161"/>
      <w:bookmarkStart w:id="93" w:name="_Toc4133"/>
      <w:bookmarkStart w:id="94" w:name="_Toc2794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90"/>
      <w:bookmarkEnd w:id="91"/>
      <w:bookmarkEnd w:id="92"/>
      <w:bookmarkEnd w:id="93"/>
      <w:bookmarkEnd w:id="9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5" w:name="_Toc26555"/>
      <w:bookmarkStart w:id="96" w:name="_Toc32670"/>
      <w:bookmarkStart w:id="97" w:name="_Toc22011"/>
      <w:bookmarkStart w:id="98" w:name="_Toc31233"/>
      <w:bookmarkStart w:id="99" w:name="_Toc15447"/>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95"/>
      <w:bookmarkEnd w:id="96"/>
      <w:bookmarkEnd w:id="97"/>
      <w:bookmarkEnd w:id="98"/>
      <w:bookmarkEnd w:id="9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0" w:name="_Toc18990"/>
      <w:bookmarkStart w:id="101" w:name="_Toc30507"/>
      <w:bookmarkStart w:id="102" w:name="_Toc13154"/>
      <w:bookmarkStart w:id="103" w:name="_Toc13467"/>
      <w:bookmarkStart w:id="104" w:name="_Toc16163"/>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100"/>
      <w:bookmarkEnd w:id="101"/>
      <w:bookmarkEnd w:id="102"/>
      <w:bookmarkEnd w:id="103"/>
      <w:bookmarkEnd w:id="10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5" w:name="_Toc19069"/>
      <w:r>
        <w:rPr>
          <w:rFonts w:hint="eastAsia" w:ascii="仿宋" w:hAnsi="仿宋" w:eastAsia="仿宋"/>
          <w:b/>
          <w:color w:val="000000" w:themeColor="text1"/>
          <w:sz w:val="24"/>
          <w14:textFill>
            <w14:solidFill>
              <w14:schemeClr w14:val="tx1"/>
            </w14:solidFill>
          </w14:textFill>
        </w:rPr>
        <w:t>2.7 质量保证</w:t>
      </w:r>
      <w:bookmarkEnd w:id="10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6" w:name="_Toc22267"/>
      <w:r>
        <w:rPr>
          <w:rFonts w:hint="eastAsia" w:ascii="仿宋" w:hAnsi="仿宋" w:eastAsia="仿宋"/>
          <w:b/>
          <w:color w:val="000000" w:themeColor="text1"/>
          <w:sz w:val="24"/>
          <w14:textFill>
            <w14:solidFill>
              <w14:schemeClr w14:val="tx1"/>
            </w14:solidFill>
          </w14:textFill>
        </w:rPr>
        <w:t>2.8 延迟履行</w:t>
      </w:r>
      <w:bookmarkEnd w:id="10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7" w:name="_Toc10611"/>
      <w:r>
        <w:rPr>
          <w:rFonts w:hint="eastAsia" w:ascii="仿宋" w:hAnsi="仿宋" w:eastAsia="仿宋"/>
          <w:b/>
          <w:color w:val="000000" w:themeColor="text1"/>
          <w:sz w:val="24"/>
          <w14:textFill>
            <w14:solidFill>
              <w14:schemeClr w14:val="tx1"/>
            </w14:solidFill>
          </w14:textFill>
        </w:rPr>
        <w:t>2.9 合同变更</w:t>
      </w:r>
      <w:bookmarkEnd w:id="10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8" w:name="_Toc26689"/>
      <w:bookmarkStart w:id="109" w:name="_Toc23368"/>
      <w:bookmarkStart w:id="110" w:name="_Toc10663"/>
      <w:bookmarkStart w:id="111" w:name="_Toc21830"/>
      <w:bookmarkStart w:id="112" w:name="_Toc42"/>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108"/>
      <w:bookmarkEnd w:id="109"/>
      <w:bookmarkEnd w:id="110"/>
      <w:bookmarkEnd w:id="111"/>
      <w:bookmarkEnd w:id="11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3" w:name="_Toc32494"/>
      <w:bookmarkStart w:id="114" w:name="_Toc4720"/>
      <w:bookmarkStart w:id="115" w:name="_Toc26633"/>
      <w:bookmarkStart w:id="116" w:name="_Toc14371"/>
      <w:bookmarkStart w:id="117"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113"/>
      <w:bookmarkEnd w:id="114"/>
      <w:bookmarkEnd w:id="115"/>
      <w:bookmarkEnd w:id="116"/>
      <w:bookmarkEnd w:id="11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8" w:name="_Toc14115"/>
      <w:bookmarkStart w:id="119" w:name="_Toc24465"/>
      <w:bookmarkStart w:id="120" w:name="_Toc25783"/>
      <w:bookmarkStart w:id="121" w:name="_Toc23854"/>
      <w:bookmarkStart w:id="122" w:name="_Toc3638"/>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118"/>
      <w:bookmarkEnd w:id="119"/>
      <w:bookmarkEnd w:id="120"/>
      <w:bookmarkEnd w:id="121"/>
      <w:bookmarkEnd w:id="1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3" w:name="_Toc14814"/>
      <w:bookmarkStart w:id="124" w:name="_Toc30105"/>
      <w:bookmarkStart w:id="125" w:name="_Toc7315"/>
      <w:bookmarkStart w:id="126" w:name="_Toc25525"/>
      <w:bookmarkStart w:id="127" w:name="_Toc2688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123"/>
      <w:bookmarkEnd w:id="124"/>
      <w:bookmarkEnd w:id="125"/>
      <w:bookmarkEnd w:id="126"/>
      <w:bookmarkEnd w:id="12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8" w:name="_Toc2016"/>
      <w:bookmarkStart w:id="129" w:name="_Toc23323"/>
      <w:bookmarkStart w:id="130" w:name="_Toc1123"/>
      <w:r>
        <w:rPr>
          <w:rFonts w:ascii="仿宋" w:hAnsi="仿宋" w:eastAsia="仿宋"/>
          <w:b/>
          <w:color w:val="000000" w:themeColor="text1"/>
          <w:sz w:val="24"/>
          <w14:textFill>
            <w14:solidFill>
              <w14:schemeClr w14:val="tx1"/>
            </w14:solidFill>
          </w14:textFill>
        </w:rPr>
        <w:t>2.14 合同中止、终止</w:t>
      </w:r>
      <w:bookmarkEnd w:id="128"/>
      <w:bookmarkEnd w:id="129"/>
      <w:bookmarkEnd w:id="13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1" w:name="_Toc14525"/>
      <w:bookmarkStart w:id="132" w:name="_Toc1969"/>
      <w:bookmarkStart w:id="133" w:name="_Toc17363"/>
      <w:r>
        <w:rPr>
          <w:rFonts w:ascii="仿宋" w:hAnsi="仿宋" w:eastAsia="仿宋"/>
          <w:b/>
          <w:color w:val="000000" w:themeColor="text1"/>
          <w:sz w:val="24"/>
          <w14:textFill>
            <w14:solidFill>
              <w14:schemeClr w14:val="tx1"/>
            </w14:solidFill>
          </w14:textFill>
        </w:rPr>
        <w:t>2.15 检验和验收</w:t>
      </w:r>
      <w:bookmarkEnd w:id="131"/>
      <w:bookmarkEnd w:id="132"/>
      <w:bookmarkEnd w:id="133"/>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4" w:name="_Toc25198"/>
      <w:bookmarkStart w:id="135" w:name="_Toc12666"/>
      <w:bookmarkStart w:id="136" w:name="_Toc9808"/>
      <w:bookmarkStart w:id="137" w:name="_Toc31892"/>
      <w:bookmarkStart w:id="138"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134"/>
      <w:bookmarkEnd w:id="135"/>
      <w:bookmarkEnd w:id="136"/>
      <w:bookmarkEnd w:id="137"/>
      <w:bookmarkEnd w:id="138"/>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139" w:name="_Toc18401"/>
      <w:bookmarkStart w:id="140" w:name="_Toc27674"/>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139"/>
      <w:bookmarkEnd w:id="140"/>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1" w:name="_Toc12254"/>
      <w:bookmarkStart w:id="142" w:name="_Toc5063"/>
      <w:bookmarkStart w:id="143" w:name="_Toc20808"/>
      <w:bookmarkStart w:id="144" w:name="_Toc28906"/>
      <w:bookmarkStart w:id="145" w:name="_Toc27644"/>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141"/>
      <w:bookmarkEnd w:id="142"/>
      <w:bookmarkEnd w:id="143"/>
      <w:bookmarkEnd w:id="144"/>
      <w:bookmarkEnd w:id="14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6" w:name="_Toc30096"/>
      <w:bookmarkStart w:id="147" w:name="_Toc1492"/>
      <w:bookmarkStart w:id="148" w:name="_Toc27403"/>
      <w:bookmarkStart w:id="149" w:name="_Toc27127"/>
      <w:bookmarkStart w:id="150" w:name="_Toc2226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146"/>
      <w:bookmarkEnd w:id="147"/>
      <w:bookmarkEnd w:id="148"/>
      <w:bookmarkEnd w:id="149"/>
      <w:bookmarkEnd w:id="150"/>
    </w:p>
    <w:p>
      <w:pPr>
        <w:pStyle w:val="38"/>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lang w:val="en-US" w:eastAsia="zh-CN"/>
          <w14:textFill>
            <w14:solidFill>
              <w14:schemeClr w14:val="tx1"/>
            </w14:solidFill>
          </w14:textFill>
        </w:rPr>
        <w:t>1</w:t>
      </w:r>
      <w:r>
        <w:rPr>
          <w:rFonts w:ascii="仿宋" w:hAnsi="仿宋" w:eastAsia="仿宋"/>
          <w:color w:val="000000" w:themeColor="text1"/>
          <w14:textFill>
            <w14:solidFill>
              <w14:schemeClr w14:val="tx1"/>
            </w14:solidFill>
          </w14:textFill>
        </w:rPr>
        <w:t>%的履约保证金；鼓励和支持乙方以银行、保险公司出具的保函形式提供履约保证。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29"/>
        <w:spacing w:line="560" w:lineRule="exact"/>
        <w:jc w:val="center"/>
        <w:rPr>
          <w:rFonts w:hint="eastAsia" w:ascii="仿宋" w:hAnsi="仿宋" w:eastAsia="仿宋"/>
          <w:b/>
          <w:color w:val="000000" w:themeColor="text1"/>
          <w:szCs w:val="24"/>
          <w14:textFill>
            <w14:solidFill>
              <w14:schemeClr w14:val="tx1"/>
            </w14:solidFill>
          </w14:textFill>
        </w:rPr>
      </w:pPr>
    </w:p>
    <w:p>
      <w:pPr>
        <w:pStyle w:val="29"/>
        <w:spacing w:line="560" w:lineRule="exact"/>
        <w:jc w:val="center"/>
        <w:rPr>
          <w:rFonts w:hint="eastAsia" w:ascii="仿宋" w:hAnsi="仿宋" w:eastAsia="仿宋"/>
          <w:b/>
          <w:color w:val="000000" w:themeColor="text1"/>
          <w:szCs w:val="24"/>
          <w14:textFill>
            <w14:solidFill>
              <w14:schemeClr w14:val="tx1"/>
            </w14:solidFill>
          </w14:textFill>
        </w:rPr>
      </w:pPr>
    </w:p>
    <w:p>
      <w:pPr>
        <w:pStyle w:val="29"/>
        <w:spacing w:line="560" w:lineRule="exact"/>
        <w:jc w:val="center"/>
        <w:rPr>
          <w:rFonts w:hint="eastAsia" w:ascii="仿宋" w:hAnsi="仿宋" w:eastAsia="仿宋"/>
          <w:b/>
          <w:color w:val="000000" w:themeColor="text1"/>
          <w:szCs w:val="24"/>
          <w14:textFill>
            <w14:solidFill>
              <w14:schemeClr w14:val="tx1"/>
            </w14:solidFill>
          </w14:textFill>
        </w:rPr>
      </w:pPr>
    </w:p>
    <w:p>
      <w:pPr>
        <w:pStyle w:val="29"/>
        <w:spacing w:line="560" w:lineRule="exact"/>
        <w:jc w:val="center"/>
        <w:rPr>
          <w:rFonts w:hint="eastAsia" w:ascii="仿宋" w:hAnsi="仿宋" w:eastAsia="仿宋"/>
          <w:b/>
          <w:color w:val="000000" w:themeColor="text1"/>
          <w:szCs w:val="24"/>
          <w14:textFill>
            <w14:solidFill>
              <w14:schemeClr w14:val="tx1"/>
            </w14:solidFill>
          </w14:textFill>
        </w:rPr>
      </w:pPr>
    </w:p>
    <w:p>
      <w:pPr>
        <w:pStyle w:val="9"/>
        <w:rPr>
          <w:rFonts w:hint="eastAsia"/>
        </w:rPr>
      </w:pPr>
    </w:p>
    <w:p>
      <w:pPr>
        <w:pStyle w:val="29"/>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w:t>
            </w:r>
          </w:p>
        </w:tc>
        <w:tc>
          <w:tcPr>
            <w:tcW w:w="8210"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w:t>
            </w:r>
          </w:p>
        </w:tc>
        <w:tc>
          <w:tcPr>
            <w:tcW w:w="8210" w:type="dxa"/>
            <w:vAlign w:val="center"/>
          </w:tcPr>
          <w:p>
            <w:pPr>
              <w:pStyle w:val="4"/>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p>
        </w:tc>
        <w:tc>
          <w:tcPr>
            <w:tcW w:w="8210"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bl>
    <w:p>
      <w:pPr>
        <w:pStyle w:val="2"/>
        <w:rPr>
          <w:rFonts w:hint="eastAsia" w:ascii="方正小标宋简体" w:hAnsi="宋体" w:eastAsia="方正小标宋简体"/>
          <w:sz w:val="32"/>
          <w:szCs w:val="32"/>
        </w:rPr>
      </w:pPr>
    </w:p>
    <w:p>
      <w:pPr>
        <w:pStyle w:val="18"/>
        <w:rPr>
          <w:rFonts w:hint="eastAsia" w:ascii="方正小标宋简体" w:hAnsi="宋体" w:eastAsia="方正小标宋简体"/>
          <w:sz w:val="32"/>
          <w:szCs w:val="32"/>
        </w:rPr>
      </w:pPr>
    </w:p>
    <w:p>
      <w:pPr>
        <w:pStyle w:val="18"/>
        <w:rPr>
          <w:rFonts w:hint="eastAsia" w:ascii="方正小标宋简体" w:hAnsi="宋体" w:eastAsia="方正小标宋简体"/>
          <w:sz w:val="32"/>
          <w:szCs w:val="32"/>
        </w:rPr>
      </w:pPr>
    </w:p>
    <w:p>
      <w:pPr>
        <w:pStyle w:val="18"/>
        <w:ind w:left="0" w:leftChars="0" w:firstLine="0" w:firstLineChars="0"/>
        <w:rPr>
          <w:rFonts w:hint="eastAsia" w:ascii="仿宋" w:hAnsi="仿宋" w:eastAsia="仿宋" w:cs="仿宋_GB2312"/>
          <w:sz w:val="36"/>
          <w:szCs w:val="36"/>
          <w:lang w:val="zh-CN"/>
        </w:rPr>
      </w:pPr>
    </w:p>
    <w:p>
      <w:pPr>
        <w:pStyle w:val="18"/>
        <w:ind w:left="0" w:leftChars="0" w:firstLine="0" w:firstLineChars="0"/>
        <w:jc w:val="center"/>
        <w:rPr>
          <w:rFonts w:hint="eastAsia" w:ascii="仿宋" w:hAnsi="仿宋" w:eastAsia="仿宋" w:cs="仿宋_GB2312"/>
          <w:sz w:val="36"/>
          <w:szCs w:val="36"/>
          <w:lang w:val="zh-CN"/>
        </w:rPr>
      </w:pPr>
      <w:r>
        <w:rPr>
          <w:rFonts w:hint="eastAsia" w:ascii="仿宋" w:hAnsi="仿宋" w:eastAsia="仿宋" w:cs="仿宋_GB2312"/>
          <w:b/>
          <w:color w:val="000000" w:themeColor="text1"/>
          <w:sz w:val="36"/>
          <w:szCs w:val="20"/>
          <w14:textFill>
            <w14:solidFill>
              <w14:schemeClr w14:val="tx1"/>
            </w14:solidFill>
          </w14:textFill>
        </w:rPr>
        <w:t>第</w:t>
      </w:r>
      <w:r>
        <w:rPr>
          <w:rFonts w:hint="eastAsia" w:ascii="仿宋" w:hAnsi="仿宋" w:eastAsia="仿宋" w:cs="仿宋_GB2312"/>
          <w:b/>
          <w:color w:val="000000" w:themeColor="text1"/>
          <w:sz w:val="36"/>
          <w:szCs w:val="20"/>
          <w:lang w:eastAsia="zh-CN"/>
          <w14:textFill>
            <w14:solidFill>
              <w14:schemeClr w14:val="tx1"/>
            </w14:solidFill>
          </w14:textFill>
        </w:rPr>
        <w:t>七</w:t>
      </w:r>
      <w:r>
        <w:rPr>
          <w:rFonts w:hint="eastAsia" w:ascii="仿宋" w:hAnsi="仿宋" w:eastAsia="仿宋" w:cs="仿宋_GB2312"/>
          <w:b/>
          <w:color w:val="000000" w:themeColor="text1"/>
          <w:sz w:val="36"/>
          <w:szCs w:val="20"/>
          <w14:textFill>
            <w14:solidFill>
              <w14:schemeClr w14:val="tx1"/>
            </w14:solidFill>
          </w14:textFill>
        </w:rPr>
        <w:t>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color w:val="FF0000"/>
          <w:kern w:val="0"/>
          <w:sz w:val="24"/>
          <w:szCs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p>
    <w:p>
      <w:pPr>
        <w:rPr>
          <w:rFonts w:hint="eastAsia"/>
        </w:rPr>
      </w:pPr>
    </w:p>
    <w:p>
      <w:pPr>
        <w:pStyle w:val="18"/>
        <w:rPr>
          <w:rFonts w:hint="eastAsia" w:ascii="仿宋_GB2312" w:hAnsi="仿宋_GB2312" w:eastAsia="仿宋_GB2312" w:cs="仿宋_GB2312"/>
          <w:b/>
          <w:bCs/>
          <w:sz w:val="24"/>
        </w:rPr>
      </w:pPr>
    </w:p>
    <w:p>
      <w:pPr>
        <w:pStyle w:val="18"/>
        <w:ind w:left="0" w:leftChars="0" w:firstLine="0" w:firstLineChars="0"/>
        <w:rPr>
          <w:rFonts w:hint="eastAsia" w:ascii="仿宋_GB2312" w:hAnsi="仿宋_GB2312" w:eastAsia="仿宋_GB2312" w:cs="仿宋_GB2312"/>
          <w:b/>
          <w:bCs/>
          <w:sz w:val="24"/>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val="en-US"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响应供应商名称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b/>
          <w:bCs/>
          <w:color w:val="000000" w:themeColor="text1"/>
          <w:sz w:val="24"/>
          <w:u w:val="single"/>
          <w:lang w:val="en-US" w:eastAsia="zh-CN"/>
          <w14:textFill>
            <w14:solidFill>
              <w14:schemeClr w14:val="tx1"/>
            </w14:solidFill>
          </w14:textFill>
        </w:rPr>
        <w:t>标的名称</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b/>
          <w:bCs/>
          <w:color w:val="000000" w:themeColor="text1"/>
          <w:sz w:val="24"/>
          <w:u w:val="single"/>
          <w:lang w:val="en-US" w:eastAsia="zh-CN"/>
          <w14:textFill>
            <w14:solidFill>
              <w14:schemeClr w14:val="tx1"/>
            </w14:solidFill>
          </w14:textFill>
        </w:rPr>
        <w:t>采购文件中明确的所属行业</w:t>
      </w:r>
      <w:r>
        <w:rPr>
          <w:rFonts w:hint="eastAsia" w:ascii="仿宋_GB2312" w:hAnsi="宋体" w:eastAsia="仿宋_GB2312"/>
          <w:color w:val="000000" w:themeColor="text1"/>
          <w:sz w:val="24"/>
          <w:u w:val="single"/>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both"/>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的成交供应商，将依法采取分包方式履行合同。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（5）符合性审查资料</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pPr>
        <w:spacing w:line="360" w:lineRule="auto"/>
        <w:ind w:firstLine="480" w:firstLineChars="200"/>
        <w:jc w:val="both"/>
        <w:rPr>
          <w:rFonts w:hint="eastAsia" w:ascii="仿宋" w:hAnsi="仿宋" w:eastAsia="仿宋" w:cs="仿宋"/>
          <w:b/>
          <w:bCs/>
          <w:sz w:val="32"/>
          <w:szCs w:val="32"/>
          <w:lang w:eastAsia="zh-CN"/>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w:t>
      </w: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响应</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采购</w:t>
      </w:r>
      <w:r>
        <w:rPr>
          <w:rFonts w:hint="eastAsia" w:ascii="仿宋_GB2312" w:hAnsi="仿宋" w:eastAsia="仿宋_GB2312" w:cs="仿宋_GB2312"/>
          <w:sz w:val="24"/>
        </w:rPr>
        <w:t>的有关活动，并对此项目进行</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w:t>
      </w:r>
      <w:r>
        <w:rPr>
          <w:rFonts w:hint="eastAsia" w:ascii="仿宋_GB2312" w:hAnsi="仿宋" w:eastAsia="仿宋_GB2312" w:cs="仿宋_GB2312"/>
          <w:sz w:val="24"/>
          <w:lang w:eastAsia="zh-CN"/>
        </w:rPr>
        <w:t>响应</w:t>
      </w:r>
      <w:r>
        <w:rPr>
          <w:rFonts w:ascii="仿宋_GB2312" w:hAnsi="仿宋" w:eastAsia="仿宋_GB2312" w:cs="仿宋_GB2312"/>
          <w:sz w:val="24"/>
        </w:rPr>
        <w:t>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文件在</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w:t>
      </w:r>
      <w:r>
        <w:rPr>
          <w:rFonts w:hint="eastAsia" w:ascii="仿宋_GB2312" w:hAnsi="仿宋" w:eastAsia="仿宋_GB2312" w:cs="仿宋_GB2312"/>
          <w:sz w:val="24"/>
          <w:lang w:eastAsia="zh-CN"/>
        </w:rPr>
        <w:t>响应</w:t>
      </w:r>
      <w:r>
        <w:rPr>
          <w:rFonts w:ascii="仿宋_GB2312" w:hAnsi="仿宋" w:eastAsia="仿宋_GB2312" w:cs="仿宋_GB2312"/>
          <w:sz w:val="24"/>
        </w:rPr>
        <w:t>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w:t>
      </w:r>
      <w:r>
        <w:rPr>
          <w:rFonts w:hint="eastAsia" w:ascii="仿宋_GB2312" w:hAnsi="仿宋" w:eastAsia="仿宋_GB2312" w:cs="仿宋_GB2312"/>
          <w:sz w:val="24"/>
          <w:lang w:eastAsia="zh-CN"/>
        </w:rPr>
        <w:t>响应</w:t>
      </w:r>
      <w:r>
        <w:rPr>
          <w:rFonts w:ascii="仿宋_GB2312" w:hAnsi="仿宋" w:eastAsia="仿宋_GB2312" w:cs="仿宋_GB2312"/>
          <w:sz w:val="24"/>
        </w:rPr>
        <w:t>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w:t>
      </w:r>
      <w:r>
        <w:rPr>
          <w:rFonts w:hint="eastAsia" w:ascii="仿宋_GB2312" w:hAnsi="仿宋" w:eastAsia="仿宋_GB2312" w:cs="仿宋_GB2312"/>
          <w:sz w:val="24"/>
          <w:lang w:eastAsia="zh-CN"/>
        </w:rPr>
        <w:t>采购</w:t>
      </w:r>
      <w:r>
        <w:rPr>
          <w:rFonts w:ascii="仿宋_GB2312" w:hAnsi="仿宋" w:eastAsia="仿宋_GB2312" w:cs="仿宋_GB2312"/>
          <w:sz w:val="24"/>
        </w:rPr>
        <w:t>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w:t>
      </w:r>
      <w:r>
        <w:rPr>
          <w:rFonts w:hint="eastAsia" w:ascii="仿宋_GB2312" w:hAnsi="仿宋" w:eastAsia="仿宋_GB2312" w:cs="仿宋_GB2312"/>
          <w:sz w:val="24"/>
          <w:lang w:eastAsia="zh-CN"/>
        </w:rPr>
        <w:t>成交</w:t>
      </w:r>
      <w:r>
        <w:rPr>
          <w:rFonts w:ascii="仿宋_GB2312" w:hAnsi="仿宋" w:eastAsia="仿宋_GB2312" w:cs="仿宋_GB2312"/>
          <w:sz w:val="24"/>
        </w:rPr>
        <w:t>通知书后，在</w:t>
      </w:r>
      <w:r>
        <w:rPr>
          <w:rFonts w:hint="eastAsia" w:ascii="仿宋_GB2312" w:hAnsi="仿宋" w:eastAsia="仿宋_GB2312" w:cs="仿宋_GB2312"/>
          <w:sz w:val="24"/>
          <w:lang w:eastAsia="zh-CN"/>
        </w:rPr>
        <w:t>成交</w:t>
      </w:r>
      <w:r>
        <w:rPr>
          <w:rFonts w:ascii="仿宋_GB2312" w:hAnsi="仿宋" w:eastAsia="仿宋_GB2312" w:cs="仿宋_GB2312"/>
          <w:sz w:val="24"/>
        </w:rPr>
        <w:t xml:space="preserve">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w:t>
      </w:r>
      <w:r>
        <w:rPr>
          <w:rFonts w:hint="eastAsia" w:ascii="仿宋_GB2312" w:hAnsi="仿宋" w:eastAsia="仿宋_GB2312" w:cs="仿宋_GB2312"/>
          <w:sz w:val="24"/>
          <w:lang w:eastAsia="zh-CN"/>
        </w:rPr>
        <w:t>采购</w:t>
      </w:r>
      <w:r>
        <w:rPr>
          <w:rFonts w:ascii="仿宋_GB2312" w:hAnsi="仿宋" w:eastAsia="仿宋_GB2312" w:cs="仿宋_GB2312"/>
          <w:sz w:val="24"/>
        </w:rPr>
        <w:t xml:space="preserve">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lang w:eastAsia="zh-CN"/>
        </w:rPr>
        <w:t>响应供应商</w:t>
      </w:r>
      <w:r>
        <w:rPr>
          <w:rFonts w:hint="eastAsia" w:ascii="仿宋_GB2312" w:hAnsi="仿宋" w:eastAsia="仿宋_GB2312" w:cs="仿宋_GB2312"/>
          <w:sz w:val="24"/>
        </w:rPr>
        <w:t>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both"/>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33"/>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33"/>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33"/>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w:t>
      </w:r>
      <w:r>
        <w:rPr>
          <w:rFonts w:hint="eastAsia" w:ascii="仿宋_GB2312" w:hAnsi="仿宋" w:eastAsia="仿宋_GB2312" w:cs="仿宋_GB2312"/>
          <w:sz w:val="24"/>
          <w:lang w:eastAsia="zh-CN"/>
        </w:rPr>
        <w:t>响应供应商</w:t>
      </w:r>
      <w:r>
        <w:rPr>
          <w:rFonts w:hint="eastAsia" w:ascii="仿宋_GB2312" w:hAnsi="仿宋" w:eastAsia="仿宋_GB2312" w:cs="仿宋_GB2312"/>
          <w:kern w:val="0"/>
          <w:sz w:val="24"/>
          <w:lang w:val="zh-CN"/>
        </w:rPr>
        <w:t>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的成交供应商，将依法采取分包方式履行合同。</w:t>
      </w: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kern w:val="0"/>
          <w:sz w:val="24"/>
          <w:lang w:val="zh-CN"/>
        </w:rPr>
        <w:t>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_GB2312" w:hAnsi="仿宋" w:eastAsia="仿宋_GB2312" w:cs="仿宋_GB2312"/>
                <w:sz w:val="24"/>
                <w:lang w:eastAsia="zh-CN"/>
              </w:rPr>
              <w:t>响应供应商</w:t>
            </w:r>
            <w:r>
              <w:rPr>
                <w:rFonts w:hint="eastAsia" w:ascii="仿宋_GB2312" w:hAnsi="仿宋" w:eastAsia="仿宋_GB2312"/>
                <w:color w:val="000000" w:themeColor="text1"/>
                <w:sz w:val="24"/>
                <w14:textFill>
                  <w14:solidFill>
                    <w14:schemeClr w14:val="tx1"/>
                  </w14:solidFill>
                </w14:textFill>
              </w:rPr>
              <w:t>未按</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文件中承诺的投标有效期少于</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文件不满足</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采购</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响应</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保证：除商务技术偏离表列出的偏离外，</w:t>
      </w: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响应</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hint="eastAsia"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lang w:eastAsia="zh-CN"/>
          <w14:textFill>
            <w14:solidFill>
              <w14:schemeClr w14:val="tx1"/>
            </w14:solidFill>
          </w14:textFill>
        </w:rPr>
        <w:t>浙江中审工程咨询有限公司</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响应供应商名称（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pStyle w:val="4"/>
        <w:numPr>
          <w:ilvl w:val="0"/>
          <w:numId w:val="0"/>
        </w:numPr>
        <w:ind w:leftChars="0"/>
        <w:rPr>
          <w:rFonts w:hint="eastAsia"/>
        </w:rPr>
      </w:pPr>
    </w:p>
    <w:p>
      <w:pPr>
        <w:pStyle w:val="2"/>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both"/>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pStyle w:val="2"/>
        <w:rPr>
          <w:rFonts w:hint="eastAsia" w:ascii="仿宋_GB2312" w:hAnsi="仿宋_GB2312" w:eastAsia="仿宋_GB2312" w:cs="仿宋_GB2312"/>
          <w:b/>
          <w:bCs/>
          <w:sz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sectPr>
          <w:headerReference r:id="rId9" w:type="default"/>
          <w:footerReference r:id="rId10" w:type="default"/>
          <w:pgSz w:w="11906" w:h="16838"/>
          <w:pgMar w:top="1247" w:right="1417" w:bottom="1276" w:left="1417" w:header="851" w:footer="992" w:gutter="0"/>
          <w:pgNumType w:fmt="decimal"/>
          <w:cols w:space="425" w:num="1"/>
          <w:docGrid w:type="lines" w:linePitch="312" w:charSpace="0"/>
        </w:sectPr>
      </w:pPr>
    </w:p>
    <w:p>
      <w:pPr>
        <w:pStyle w:val="3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19"/>
        <w:tblW w:w="14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65"/>
        <w:gridCol w:w="4005"/>
        <w:gridCol w:w="1260"/>
        <w:gridCol w:w="1590"/>
        <w:gridCol w:w="223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2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66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项目名称</w:t>
            </w:r>
            <w:r>
              <w:rPr>
                <w:rFonts w:hint="eastAsia" w:ascii="仿宋_GB2312" w:hAnsi="仿宋" w:eastAsia="仿宋_GB2312"/>
                <w:b/>
                <w:sz w:val="24"/>
              </w:rPr>
              <w:t>名称</w:t>
            </w:r>
          </w:p>
        </w:tc>
        <w:tc>
          <w:tcPr>
            <w:tcW w:w="400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260"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val="en-US" w:eastAsia="zh-CN"/>
              </w:rPr>
              <w:t>单位</w:t>
            </w:r>
          </w:p>
        </w:tc>
        <w:tc>
          <w:tcPr>
            <w:tcW w:w="1590" w:type="dxa"/>
            <w:vAlign w:val="center"/>
          </w:tcPr>
          <w:p>
            <w:pPr>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sz w:val="24"/>
                <w:lang w:val="en-US" w:eastAsia="zh-CN"/>
              </w:rPr>
              <w:t>数量</w:t>
            </w:r>
          </w:p>
        </w:tc>
        <w:tc>
          <w:tcPr>
            <w:tcW w:w="2235" w:type="dxa"/>
            <w:vAlign w:val="center"/>
          </w:tcPr>
          <w:p>
            <w:pPr>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sz w:val="24"/>
                <w:lang w:val="en-US" w:eastAsia="zh-CN"/>
              </w:rPr>
              <w:t>投标报价</w:t>
            </w:r>
          </w:p>
        </w:tc>
        <w:tc>
          <w:tcPr>
            <w:tcW w:w="2685" w:type="dxa"/>
            <w:vAlign w:val="center"/>
          </w:tcPr>
          <w:p>
            <w:pPr>
              <w:spacing w:line="360" w:lineRule="auto"/>
              <w:jc w:val="center"/>
              <w:rPr>
                <w:rFonts w:ascii="仿宋_GB2312" w:hAnsi="仿宋" w:eastAsia="仿宋_GB2312"/>
                <w:b/>
                <w:sz w:val="24"/>
              </w:rPr>
            </w:pPr>
          </w:p>
          <w:p>
            <w:pPr>
              <w:spacing w:line="360" w:lineRule="auto"/>
              <w:jc w:val="center"/>
              <w:rPr>
                <w:rFonts w:hint="default" w:ascii="仿宋_GB2312" w:hAnsi="仿宋" w:eastAsia="仿宋_GB2312"/>
                <w:b/>
                <w:sz w:val="24"/>
                <w:lang w:val="en-US" w:eastAsia="zh-CN"/>
              </w:rPr>
            </w:pPr>
            <w:r>
              <w:rPr>
                <w:rFonts w:hint="eastAsia" w:ascii="仿宋_GB2312" w:hAnsi="仿宋" w:eastAsia="仿宋_GB2312"/>
                <w:b/>
                <w:sz w:val="24"/>
                <w:lang w:val="en-US" w:eastAsia="zh-CN"/>
              </w:rPr>
              <w:t>合同履行期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65" w:type="dxa"/>
            <w:vAlign w:val="center"/>
          </w:tcPr>
          <w:p>
            <w:pPr>
              <w:snapToGrid w:val="0"/>
              <w:spacing w:line="360" w:lineRule="auto"/>
              <w:jc w:val="center"/>
              <w:rPr>
                <w:rFonts w:hint="default" w:ascii="仿宋_GB2312" w:hAnsi="仿宋" w:eastAsia="仿宋_GB2312" w:cs="仿宋_GB2312"/>
                <w:sz w:val="24"/>
                <w:lang w:val="en-US" w:eastAsia="zh-CN"/>
              </w:rPr>
            </w:pPr>
          </w:p>
        </w:tc>
        <w:tc>
          <w:tcPr>
            <w:tcW w:w="4005" w:type="dxa"/>
            <w:vAlign w:val="center"/>
          </w:tcPr>
          <w:p>
            <w:pPr>
              <w:snapToGrid w:val="0"/>
              <w:spacing w:line="360" w:lineRule="auto"/>
              <w:jc w:val="center"/>
              <w:rPr>
                <w:rFonts w:ascii="仿宋_GB2312" w:hAnsi="仿宋" w:eastAsia="仿宋_GB2312" w:cs="仿宋_GB2312"/>
                <w:sz w:val="24"/>
              </w:rPr>
            </w:pPr>
          </w:p>
        </w:tc>
        <w:tc>
          <w:tcPr>
            <w:tcW w:w="1260" w:type="dxa"/>
            <w:vAlign w:val="center"/>
          </w:tcPr>
          <w:p>
            <w:pPr>
              <w:snapToGrid w:val="0"/>
              <w:spacing w:line="360" w:lineRule="auto"/>
              <w:jc w:val="center"/>
              <w:rPr>
                <w:rFonts w:ascii="仿宋_GB2312" w:hAnsi="仿宋" w:eastAsia="仿宋_GB2312" w:cs="仿宋_GB2312"/>
                <w:sz w:val="24"/>
              </w:rPr>
            </w:pPr>
          </w:p>
        </w:tc>
        <w:tc>
          <w:tcPr>
            <w:tcW w:w="1590" w:type="dxa"/>
            <w:vAlign w:val="center"/>
          </w:tcPr>
          <w:p>
            <w:pPr>
              <w:spacing w:line="360" w:lineRule="auto"/>
              <w:jc w:val="center"/>
              <w:rPr>
                <w:rFonts w:ascii="仿宋_GB2312" w:hAnsi="仿宋" w:eastAsia="仿宋_GB2312" w:cs="仿宋_GB2312"/>
                <w:sz w:val="24"/>
              </w:rPr>
            </w:pPr>
          </w:p>
        </w:tc>
        <w:tc>
          <w:tcPr>
            <w:tcW w:w="2235" w:type="dxa"/>
            <w:vAlign w:val="center"/>
          </w:tcPr>
          <w:p>
            <w:pPr>
              <w:spacing w:line="360" w:lineRule="auto"/>
              <w:jc w:val="center"/>
              <w:rPr>
                <w:rFonts w:ascii="仿宋_GB2312" w:hAnsi="仿宋" w:eastAsia="仿宋_GB2312" w:cs="仿宋_GB2312"/>
                <w:sz w:val="24"/>
              </w:rPr>
            </w:pPr>
          </w:p>
        </w:tc>
        <w:tc>
          <w:tcPr>
            <w:tcW w:w="268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65" w:type="dxa"/>
            <w:vAlign w:val="center"/>
          </w:tcPr>
          <w:p>
            <w:pPr>
              <w:snapToGrid w:val="0"/>
              <w:spacing w:line="360" w:lineRule="auto"/>
              <w:jc w:val="center"/>
              <w:rPr>
                <w:rFonts w:hint="default" w:ascii="仿宋_GB2312" w:hAnsi="仿宋" w:eastAsia="仿宋_GB2312" w:cs="仿宋_GB2312"/>
                <w:sz w:val="24"/>
                <w:lang w:val="en-US" w:eastAsia="zh-CN"/>
              </w:rPr>
            </w:pPr>
          </w:p>
        </w:tc>
        <w:tc>
          <w:tcPr>
            <w:tcW w:w="4005" w:type="dxa"/>
            <w:vAlign w:val="center"/>
          </w:tcPr>
          <w:p>
            <w:pPr>
              <w:snapToGrid w:val="0"/>
              <w:spacing w:line="360" w:lineRule="auto"/>
              <w:jc w:val="center"/>
              <w:rPr>
                <w:rFonts w:ascii="仿宋_GB2312" w:hAnsi="仿宋" w:eastAsia="仿宋_GB2312" w:cs="仿宋_GB2312"/>
                <w:sz w:val="24"/>
              </w:rPr>
            </w:pPr>
          </w:p>
        </w:tc>
        <w:tc>
          <w:tcPr>
            <w:tcW w:w="1260" w:type="dxa"/>
            <w:vAlign w:val="center"/>
          </w:tcPr>
          <w:p>
            <w:pPr>
              <w:snapToGrid w:val="0"/>
              <w:spacing w:line="360" w:lineRule="auto"/>
              <w:jc w:val="center"/>
              <w:rPr>
                <w:rFonts w:ascii="仿宋_GB2312" w:hAnsi="仿宋" w:eastAsia="仿宋_GB2312" w:cs="仿宋_GB2312"/>
                <w:sz w:val="24"/>
              </w:rPr>
            </w:pPr>
          </w:p>
        </w:tc>
        <w:tc>
          <w:tcPr>
            <w:tcW w:w="1590" w:type="dxa"/>
            <w:vAlign w:val="center"/>
          </w:tcPr>
          <w:p>
            <w:pPr>
              <w:spacing w:line="360" w:lineRule="auto"/>
              <w:jc w:val="center"/>
              <w:rPr>
                <w:rFonts w:ascii="仿宋_GB2312" w:hAnsi="仿宋" w:eastAsia="仿宋_GB2312" w:cs="仿宋_GB2312"/>
                <w:sz w:val="24"/>
              </w:rPr>
            </w:pPr>
          </w:p>
        </w:tc>
        <w:tc>
          <w:tcPr>
            <w:tcW w:w="2235" w:type="dxa"/>
            <w:vAlign w:val="center"/>
          </w:tcPr>
          <w:p>
            <w:pPr>
              <w:spacing w:line="360" w:lineRule="auto"/>
              <w:jc w:val="center"/>
              <w:rPr>
                <w:rFonts w:ascii="仿宋_GB2312" w:hAnsi="仿宋" w:eastAsia="仿宋_GB2312" w:cs="仿宋_GB2312"/>
                <w:sz w:val="24"/>
              </w:rPr>
            </w:pPr>
          </w:p>
        </w:tc>
        <w:tc>
          <w:tcPr>
            <w:tcW w:w="268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665" w:type="dxa"/>
            <w:vAlign w:val="center"/>
          </w:tcPr>
          <w:p>
            <w:pPr>
              <w:snapToGrid w:val="0"/>
              <w:spacing w:line="360" w:lineRule="auto"/>
              <w:jc w:val="center"/>
              <w:rPr>
                <w:rFonts w:ascii="仿宋_GB2312" w:hAnsi="仿宋" w:eastAsia="仿宋_GB2312" w:cs="仿宋_GB2312"/>
                <w:sz w:val="24"/>
              </w:rPr>
            </w:pPr>
          </w:p>
        </w:tc>
        <w:tc>
          <w:tcPr>
            <w:tcW w:w="4005" w:type="dxa"/>
            <w:vAlign w:val="center"/>
          </w:tcPr>
          <w:p>
            <w:pPr>
              <w:snapToGrid w:val="0"/>
              <w:spacing w:line="360" w:lineRule="auto"/>
              <w:jc w:val="center"/>
              <w:rPr>
                <w:rFonts w:ascii="仿宋_GB2312" w:hAnsi="仿宋" w:eastAsia="仿宋_GB2312" w:cs="仿宋_GB2312"/>
                <w:sz w:val="24"/>
              </w:rPr>
            </w:pPr>
          </w:p>
        </w:tc>
        <w:tc>
          <w:tcPr>
            <w:tcW w:w="1260" w:type="dxa"/>
            <w:vAlign w:val="center"/>
          </w:tcPr>
          <w:p>
            <w:pPr>
              <w:snapToGrid w:val="0"/>
              <w:spacing w:line="360" w:lineRule="auto"/>
              <w:jc w:val="center"/>
              <w:rPr>
                <w:rFonts w:ascii="仿宋_GB2312" w:hAnsi="仿宋" w:eastAsia="仿宋_GB2312" w:cs="仿宋_GB2312"/>
                <w:sz w:val="24"/>
              </w:rPr>
            </w:pPr>
          </w:p>
        </w:tc>
        <w:tc>
          <w:tcPr>
            <w:tcW w:w="1590" w:type="dxa"/>
            <w:vAlign w:val="center"/>
          </w:tcPr>
          <w:p>
            <w:pPr>
              <w:spacing w:line="360" w:lineRule="auto"/>
              <w:jc w:val="center"/>
              <w:rPr>
                <w:rFonts w:ascii="仿宋_GB2312" w:hAnsi="仿宋" w:eastAsia="仿宋_GB2312" w:cs="仿宋_GB2312"/>
                <w:sz w:val="24"/>
              </w:rPr>
            </w:pPr>
          </w:p>
        </w:tc>
        <w:tc>
          <w:tcPr>
            <w:tcW w:w="2235" w:type="dxa"/>
            <w:vAlign w:val="center"/>
          </w:tcPr>
          <w:p>
            <w:pPr>
              <w:spacing w:line="360" w:lineRule="auto"/>
              <w:jc w:val="center"/>
              <w:rPr>
                <w:rFonts w:ascii="仿宋_GB2312" w:hAnsi="仿宋" w:eastAsia="仿宋_GB2312" w:cs="仿宋_GB2312"/>
                <w:sz w:val="24"/>
              </w:rPr>
            </w:pPr>
          </w:p>
        </w:tc>
        <w:tc>
          <w:tcPr>
            <w:tcW w:w="268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4" w:type="dxa"/>
            <w:vAlign w:val="center"/>
          </w:tcPr>
          <w:p>
            <w:pPr>
              <w:spacing w:line="360" w:lineRule="auto"/>
              <w:jc w:val="center"/>
              <w:rPr>
                <w:rFonts w:ascii="仿宋_GB2312" w:hAnsi="仿宋" w:eastAsia="仿宋_GB2312" w:cs="仿宋_GB2312"/>
                <w:sz w:val="24"/>
              </w:rPr>
            </w:pPr>
          </w:p>
        </w:tc>
        <w:tc>
          <w:tcPr>
            <w:tcW w:w="1665" w:type="dxa"/>
            <w:vAlign w:val="center"/>
          </w:tcPr>
          <w:p>
            <w:pPr>
              <w:snapToGrid w:val="0"/>
              <w:spacing w:line="360" w:lineRule="auto"/>
              <w:jc w:val="center"/>
              <w:rPr>
                <w:rFonts w:ascii="仿宋_GB2312" w:hAnsi="仿宋" w:eastAsia="仿宋_GB2312" w:cs="仿宋_GB2312"/>
                <w:sz w:val="24"/>
              </w:rPr>
            </w:pPr>
          </w:p>
        </w:tc>
        <w:tc>
          <w:tcPr>
            <w:tcW w:w="4005" w:type="dxa"/>
            <w:vAlign w:val="center"/>
          </w:tcPr>
          <w:p>
            <w:pPr>
              <w:snapToGrid w:val="0"/>
              <w:spacing w:line="360" w:lineRule="auto"/>
              <w:jc w:val="center"/>
              <w:rPr>
                <w:rFonts w:ascii="仿宋_GB2312" w:hAnsi="仿宋" w:eastAsia="仿宋_GB2312" w:cs="仿宋_GB2312"/>
                <w:sz w:val="24"/>
              </w:rPr>
            </w:pPr>
          </w:p>
        </w:tc>
        <w:tc>
          <w:tcPr>
            <w:tcW w:w="1260" w:type="dxa"/>
            <w:vAlign w:val="center"/>
          </w:tcPr>
          <w:p>
            <w:pPr>
              <w:snapToGrid w:val="0"/>
              <w:spacing w:line="360" w:lineRule="auto"/>
              <w:jc w:val="center"/>
              <w:rPr>
                <w:rFonts w:ascii="仿宋_GB2312" w:hAnsi="仿宋" w:eastAsia="仿宋_GB2312" w:cs="仿宋_GB2312"/>
                <w:sz w:val="24"/>
              </w:rPr>
            </w:pPr>
          </w:p>
        </w:tc>
        <w:tc>
          <w:tcPr>
            <w:tcW w:w="1590" w:type="dxa"/>
            <w:vAlign w:val="center"/>
          </w:tcPr>
          <w:p>
            <w:pPr>
              <w:spacing w:line="360" w:lineRule="auto"/>
              <w:jc w:val="center"/>
              <w:rPr>
                <w:rFonts w:ascii="仿宋_GB2312" w:hAnsi="仿宋" w:eastAsia="仿宋_GB2312" w:cs="仿宋_GB2312"/>
                <w:sz w:val="24"/>
              </w:rPr>
            </w:pPr>
          </w:p>
        </w:tc>
        <w:tc>
          <w:tcPr>
            <w:tcW w:w="2235" w:type="dxa"/>
            <w:vAlign w:val="center"/>
          </w:tcPr>
          <w:p>
            <w:pPr>
              <w:spacing w:line="360" w:lineRule="auto"/>
              <w:jc w:val="center"/>
              <w:rPr>
                <w:rFonts w:ascii="仿宋_GB2312" w:hAnsi="仿宋" w:eastAsia="仿宋_GB2312" w:cs="仿宋_GB2312"/>
                <w:sz w:val="24"/>
              </w:rPr>
            </w:pPr>
          </w:p>
        </w:tc>
        <w:tc>
          <w:tcPr>
            <w:tcW w:w="268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4" w:type="dxa"/>
            <w:vAlign w:val="center"/>
          </w:tcPr>
          <w:p>
            <w:pPr>
              <w:spacing w:line="360" w:lineRule="auto"/>
              <w:jc w:val="center"/>
              <w:rPr>
                <w:rFonts w:ascii="仿宋_GB2312" w:hAnsi="仿宋" w:eastAsia="仿宋_GB2312" w:cs="仿宋_GB2312"/>
                <w:sz w:val="24"/>
              </w:rPr>
            </w:pPr>
          </w:p>
        </w:tc>
        <w:tc>
          <w:tcPr>
            <w:tcW w:w="1665" w:type="dxa"/>
            <w:vAlign w:val="center"/>
          </w:tcPr>
          <w:p>
            <w:pPr>
              <w:snapToGrid w:val="0"/>
              <w:spacing w:line="360" w:lineRule="auto"/>
              <w:jc w:val="center"/>
              <w:rPr>
                <w:rFonts w:ascii="仿宋_GB2312" w:hAnsi="仿宋" w:eastAsia="仿宋_GB2312" w:cs="仿宋_GB2312"/>
                <w:sz w:val="24"/>
              </w:rPr>
            </w:pPr>
          </w:p>
        </w:tc>
        <w:tc>
          <w:tcPr>
            <w:tcW w:w="4005" w:type="dxa"/>
            <w:vAlign w:val="center"/>
          </w:tcPr>
          <w:p>
            <w:pPr>
              <w:snapToGrid w:val="0"/>
              <w:spacing w:line="360" w:lineRule="auto"/>
              <w:jc w:val="center"/>
              <w:rPr>
                <w:rFonts w:ascii="仿宋_GB2312" w:hAnsi="仿宋" w:eastAsia="仿宋_GB2312" w:cs="仿宋_GB2312"/>
                <w:sz w:val="24"/>
              </w:rPr>
            </w:pPr>
          </w:p>
        </w:tc>
        <w:tc>
          <w:tcPr>
            <w:tcW w:w="1260" w:type="dxa"/>
            <w:vAlign w:val="center"/>
          </w:tcPr>
          <w:p>
            <w:pPr>
              <w:snapToGrid w:val="0"/>
              <w:spacing w:line="360" w:lineRule="auto"/>
              <w:jc w:val="center"/>
              <w:rPr>
                <w:rFonts w:ascii="仿宋_GB2312" w:hAnsi="仿宋" w:eastAsia="仿宋_GB2312" w:cs="仿宋_GB2312"/>
                <w:sz w:val="24"/>
              </w:rPr>
            </w:pPr>
          </w:p>
        </w:tc>
        <w:tc>
          <w:tcPr>
            <w:tcW w:w="1590" w:type="dxa"/>
            <w:vAlign w:val="center"/>
          </w:tcPr>
          <w:p>
            <w:pPr>
              <w:spacing w:line="360" w:lineRule="auto"/>
              <w:jc w:val="center"/>
              <w:rPr>
                <w:rFonts w:ascii="仿宋_GB2312" w:hAnsi="仿宋" w:eastAsia="仿宋_GB2312" w:cs="仿宋_GB2312"/>
                <w:sz w:val="24"/>
              </w:rPr>
            </w:pPr>
          </w:p>
        </w:tc>
        <w:tc>
          <w:tcPr>
            <w:tcW w:w="2235" w:type="dxa"/>
            <w:vAlign w:val="center"/>
          </w:tcPr>
          <w:p>
            <w:pPr>
              <w:spacing w:line="360" w:lineRule="auto"/>
              <w:jc w:val="center"/>
              <w:rPr>
                <w:rFonts w:ascii="仿宋_GB2312" w:hAnsi="仿宋" w:eastAsia="仿宋_GB2312" w:cs="仿宋_GB2312"/>
                <w:sz w:val="24"/>
              </w:rPr>
            </w:pPr>
          </w:p>
        </w:tc>
        <w:tc>
          <w:tcPr>
            <w:tcW w:w="268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4" w:type="dxa"/>
            <w:gridSpan w:val="3"/>
            <w:vAlign w:val="center"/>
          </w:tcPr>
          <w:p>
            <w:pPr>
              <w:spacing w:line="360" w:lineRule="auto"/>
              <w:jc w:val="center"/>
              <w:rPr>
                <w:rFonts w:hint="default" w:ascii="仿宋_GB2312" w:hAnsi="仿宋" w:eastAsia="仿宋_GB2312" w:cs="仿宋_GB2312"/>
                <w:b/>
                <w:bCs/>
                <w:sz w:val="24"/>
                <w:lang w:val="en-US" w:eastAsia="zh-CN"/>
              </w:rPr>
            </w:pPr>
            <w:r>
              <w:rPr>
                <w:rFonts w:hint="eastAsia" w:ascii="仿宋_GB2312" w:hAnsi="仿宋" w:eastAsia="仿宋_GB2312" w:cs="仿宋_GB2312"/>
                <w:b/>
                <w:bCs/>
                <w:sz w:val="24"/>
                <w:lang w:val="en-US" w:eastAsia="zh-CN"/>
              </w:rPr>
              <w:t>投标报价（小写）</w:t>
            </w:r>
          </w:p>
        </w:tc>
        <w:tc>
          <w:tcPr>
            <w:tcW w:w="7770"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4" w:type="dxa"/>
            <w:gridSpan w:val="3"/>
            <w:vAlign w:val="center"/>
          </w:tcPr>
          <w:p>
            <w:pPr>
              <w:spacing w:line="360" w:lineRule="auto"/>
              <w:jc w:val="center"/>
              <w:rPr>
                <w:rFonts w:hint="default" w:ascii="仿宋_GB2312" w:hAnsi="仿宋" w:eastAsia="仿宋_GB2312" w:cs="仿宋_GB2312"/>
                <w:b/>
                <w:bCs/>
                <w:sz w:val="24"/>
                <w:lang w:val="en-US" w:eastAsia="zh-CN"/>
              </w:rPr>
            </w:pPr>
            <w:r>
              <w:rPr>
                <w:rFonts w:hint="eastAsia" w:ascii="仿宋_GB2312" w:hAnsi="仿宋" w:eastAsia="仿宋_GB2312" w:cs="仿宋_GB2312"/>
                <w:b/>
                <w:bCs/>
                <w:sz w:val="24"/>
                <w:lang w:val="en-US" w:eastAsia="zh-CN"/>
              </w:rPr>
              <w:t>投标报价（大写）</w:t>
            </w:r>
          </w:p>
        </w:tc>
        <w:tc>
          <w:tcPr>
            <w:tcW w:w="7770"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hint="eastAsia"/>
        </w:rPr>
        <w:sectPr>
          <w:pgSz w:w="16838" w:h="11906" w:orient="landscape"/>
          <w:pgMar w:top="1417" w:right="1247" w:bottom="1417" w:left="1276" w:header="851" w:footer="992" w:gutter="0"/>
          <w:pgNumType w:fmt="decimal"/>
          <w:cols w:space="425" w:num="1"/>
          <w:docGrid w:type="lines" w:linePitch="312" w:charSpace="0"/>
        </w:sect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
        <w:keepNext w:val="0"/>
        <w:pageBreakBefore w:val="0"/>
        <w:tabs>
          <w:tab w:val="clear" w:pos="720"/>
        </w:tabs>
        <w:snapToGrid w:val="0"/>
        <w:spacing w:before="120" w:after="120"/>
        <w:jc w:val="center"/>
        <w:outlineLvl w:val="9"/>
        <w:rPr>
          <w:rFonts w:ascii="仿宋_GB2312" w:hAnsi="宋体" w:eastAsia="仿宋_GB2312"/>
          <w:color w:val="000000" w:themeColor="text1"/>
          <w:sz w:val="32"/>
          <w:szCs w:val="32"/>
          <w14:textFill>
            <w14:solidFill>
              <w14:schemeClr w14:val="tx1"/>
            </w14:solidFill>
          </w14:textFill>
        </w:rPr>
      </w:pPr>
      <w:bookmarkStart w:id="151" w:name="_Toc465665161"/>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lang w:eastAsia="zh-CN"/>
          <w14:textFill>
            <w14:solidFill>
              <w14:schemeClr w14:val="tx1"/>
            </w14:solidFill>
          </w14:textFill>
        </w:rPr>
        <w:t>采购</w:t>
      </w:r>
      <w:r>
        <w:rPr>
          <w:rFonts w:hint="eastAsia" w:ascii="仿宋_GB2312" w:hAnsi="仿宋" w:eastAsia="仿宋_GB2312" w:cs="仿宋_GB2312"/>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bookmarkEnd w:id="151"/>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52" w:name="OLE_LINK14"/>
      <w:bookmarkStart w:id="153" w:name="OLE_LINK13"/>
      <w:r>
        <w:rPr>
          <w:rFonts w:hint="eastAsia" w:ascii="仿宋" w:hAnsi="仿宋" w:eastAsia="仿宋" w:cs="仿宋"/>
          <w:b/>
          <w:spacing w:val="6"/>
          <w:sz w:val="32"/>
          <w:szCs w:val="32"/>
        </w:rPr>
        <w:t>残疾人福利性单位声明函</w:t>
      </w:r>
    </w:p>
    <w:bookmarkEnd w:id="152"/>
    <w:bookmarkEnd w:id="153"/>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18"/>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lang w:eastAsia="zh-CN"/>
          <w14:textFill>
            <w14:solidFill>
              <w14:schemeClr w14:val="tx1"/>
            </w14:solidFill>
          </w14:textFill>
        </w:rPr>
        <w:t>浙江中审工程咨询有限公司</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18"/>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b/>
          <w:bCs/>
          <w:sz w:val="32"/>
          <w:szCs w:val="32"/>
          <w:highlight w:val="none"/>
          <w:lang w:val="en-US" w:eastAsia="zh-CN"/>
        </w:rPr>
      </w:pPr>
    </w:p>
    <w:p>
      <w:pPr>
        <w:pStyle w:val="2"/>
        <w:rPr>
          <w:rFonts w:hint="eastAsia" w:ascii="仿宋" w:hAnsi="仿宋" w:eastAsia="仿宋" w:cs="仿宋"/>
          <w:b/>
          <w:bCs/>
          <w:sz w:val="32"/>
          <w:szCs w:val="32"/>
          <w:highlight w:val="none"/>
          <w:lang w:val="en-US" w:eastAsia="zh-CN"/>
        </w:rPr>
      </w:pPr>
    </w:p>
    <w:p>
      <w:pPr>
        <w:pStyle w:val="18"/>
        <w:ind w:left="0" w:leftChars="0" w:firstLine="0" w:firstLineChars="0"/>
        <w:rPr>
          <w:rFonts w:hint="eastAsia" w:ascii="仿宋" w:hAnsi="仿宋" w:eastAsia="仿宋" w:cs="仿宋"/>
          <w:b/>
          <w:bCs/>
          <w:sz w:val="32"/>
          <w:szCs w:val="32"/>
          <w:lang w:val="en-US" w:eastAsia="zh-CN"/>
        </w:rPr>
      </w:pPr>
    </w:p>
    <w:p>
      <w:pPr>
        <w:pStyle w:val="18"/>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6"/>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32"/>
        <w:numPr>
          <w:ilvl w:val="0"/>
          <w:numId w:val="0"/>
        </w:numPr>
        <w:jc w:val="both"/>
        <w:rPr>
          <w:rFonts w:hint="eastAsia" w:ascii="仿宋" w:hAnsi="仿宋" w:eastAsia="仿宋" w:cs="仿宋"/>
          <w:b/>
          <w:sz w:val="36"/>
          <w:szCs w:val="36"/>
        </w:rPr>
      </w:pPr>
    </w:p>
    <w:p>
      <w:pPr>
        <w:pStyle w:val="32"/>
        <w:numPr>
          <w:ilvl w:val="0"/>
          <w:numId w:val="0"/>
        </w:numPr>
        <w:jc w:val="both"/>
        <w:rPr>
          <w:rFonts w:hint="eastAsia" w:ascii="仿宋" w:hAnsi="仿宋" w:eastAsia="仿宋" w:cs="仿宋"/>
          <w:b/>
          <w:sz w:val="36"/>
          <w:szCs w:val="36"/>
        </w:rPr>
      </w:pPr>
    </w:p>
    <w:p>
      <w:pPr>
        <w:pStyle w:val="32"/>
        <w:numPr>
          <w:ilvl w:val="0"/>
          <w:numId w:val="0"/>
        </w:numPr>
        <w:jc w:val="both"/>
        <w:rPr>
          <w:rFonts w:hint="eastAsia" w:ascii="仿宋" w:hAnsi="仿宋" w:eastAsia="仿宋" w:cs="仿宋"/>
          <w:b/>
          <w:sz w:val="36"/>
          <w:szCs w:val="36"/>
        </w:rPr>
      </w:pPr>
    </w:p>
    <w:p>
      <w:pPr>
        <w:pStyle w:val="2"/>
        <w:rPr>
          <w:rFonts w:hint="eastAsia" w:ascii="仿宋" w:hAnsi="仿宋" w:eastAsia="仿宋" w:cs="仿宋"/>
          <w:b/>
          <w:bCs/>
          <w:sz w:val="24"/>
        </w:rPr>
      </w:pPr>
    </w:p>
    <w:p/>
    <w:p>
      <w:pPr>
        <w:pStyle w:val="2"/>
        <w:rPr>
          <w:rFonts w:hint="eastAsia" w:ascii="仿宋_GB2312" w:hAnsi="仿宋_GB2312" w:eastAsia="仿宋_GB2312" w:cs="仿宋_GB2312"/>
          <w:b/>
          <w:bCs/>
          <w:sz w:val="24"/>
        </w:rPr>
      </w:pPr>
    </w:p>
    <w:sectPr>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swiss"/>
    <w:pitch w:val="default"/>
    <w:sig w:usb0="E00002FF" w:usb1="6AC7FDFB" w:usb2="08000012" w:usb3="00000000" w:csb0="4002009F" w:csb1="DFD7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9C837"/>
    <w:multiLevelType w:val="singleLevel"/>
    <w:tmpl w:val="86D9C837"/>
    <w:lvl w:ilvl="0" w:tentative="0">
      <w:start w:val="6"/>
      <w:numFmt w:val="chineseCounting"/>
      <w:suff w:val="nothing"/>
      <w:lvlText w:val="%1、"/>
      <w:lvlJc w:val="left"/>
      <w:rPr>
        <w:rFonts w:hint="eastAsia"/>
      </w:rPr>
    </w:lvl>
  </w:abstractNum>
  <w:abstractNum w:abstractNumId="1">
    <w:nsid w:val="F5F7AFA5"/>
    <w:multiLevelType w:val="singleLevel"/>
    <w:tmpl w:val="F5F7AFA5"/>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8A87A07"/>
    <w:multiLevelType w:val="singleLevel"/>
    <w:tmpl w:val="18A87A07"/>
    <w:lvl w:ilvl="0" w:tentative="0">
      <w:start w:val="4"/>
      <w:numFmt w:val="chineseCounting"/>
      <w:suff w:val="space"/>
      <w:lvlText w:val="第%1部分"/>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599C5690"/>
    <w:multiLevelType w:val="singleLevel"/>
    <w:tmpl w:val="599C5690"/>
    <w:lvl w:ilvl="0" w:tentative="0">
      <w:start w:val="6"/>
      <w:numFmt w:val="decimal"/>
      <w:suff w:val="space"/>
      <w:lvlText w:val="%1."/>
      <w:lvlJc w:val="left"/>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OGE3ZmQyNTkyODdkZGU1YTk0ZjhiMWQ4NTUyYmQifQ=="/>
  </w:docVars>
  <w:rsids>
    <w:rsidRoot w:val="00000000"/>
    <w:rsid w:val="00070F94"/>
    <w:rsid w:val="0027359B"/>
    <w:rsid w:val="005D0600"/>
    <w:rsid w:val="01F571E8"/>
    <w:rsid w:val="024D25BC"/>
    <w:rsid w:val="027044C8"/>
    <w:rsid w:val="027621D9"/>
    <w:rsid w:val="028077D7"/>
    <w:rsid w:val="029E4955"/>
    <w:rsid w:val="03515381"/>
    <w:rsid w:val="035E700F"/>
    <w:rsid w:val="03D47B12"/>
    <w:rsid w:val="03F97517"/>
    <w:rsid w:val="040864E5"/>
    <w:rsid w:val="04347AF9"/>
    <w:rsid w:val="04350D16"/>
    <w:rsid w:val="04AB7F74"/>
    <w:rsid w:val="04B6366A"/>
    <w:rsid w:val="05550A9B"/>
    <w:rsid w:val="05BA7F3C"/>
    <w:rsid w:val="067963F5"/>
    <w:rsid w:val="06886942"/>
    <w:rsid w:val="06904DEA"/>
    <w:rsid w:val="06A66C08"/>
    <w:rsid w:val="0744651C"/>
    <w:rsid w:val="07451FD4"/>
    <w:rsid w:val="0776399E"/>
    <w:rsid w:val="07867690"/>
    <w:rsid w:val="07B41A88"/>
    <w:rsid w:val="086D745A"/>
    <w:rsid w:val="08C434B0"/>
    <w:rsid w:val="09195D71"/>
    <w:rsid w:val="0A1C55C9"/>
    <w:rsid w:val="0A1F4BB0"/>
    <w:rsid w:val="0B4B4333"/>
    <w:rsid w:val="0BB513B4"/>
    <w:rsid w:val="0BCB6C20"/>
    <w:rsid w:val="0BCC4FED"/>
    <w:rsid w:val="0BCC6311"/>
    <w:rsid w:val="0C076B81"/>
    <w:rsid w:val="0C092DA7"/>
    <w:rsid w:val="0E97373C"/>
    <w:rsid w:val="0EC71F0D"/>
    <w:rsid w:val="0F836C9E"/>
    <w:rsid w:val="0FDE750E"/>
    <w:rsid w:val="100D04F2"/>
    <w:rsid w:val="101F2A2D"/>
    <w:rsid w:val="104B3654"/>
    <w:rsid w:val="10DC0AED"/>
    <w:rsid w:val="11316919"/>
    <w:rsid w:val="113D247F"/>
    <w:rsid w:val="11411066"/>
    <w:rsid w:val="11423D4D"/>
    <w:rsid w:val="115F3B26"/>
    <w:rsid w:val="11702C50"/>
    <w:rsid w:val="118E59C2"/>
    <w:rsid w:val="11990A39"/>
    <w:rsid w:val="11AD17F8"/>
    <w:rsid w:val="11BC0B47"/>
    <w:rsid w:val="12394BDD"/>
    <w:rsid w:val="1283439D"/>
    <w:rsid w:val="13880DDA"/>
    <w:rsid w:val="141B40A9"/>
    <w:rsid w:val="14D93D23"/>
    <w:rsid w:val="14DB0626"/>
    <w:rsid w:val="15BF52C5"/>
    <w:rsid w:val="15CF7130"/>
    <w:rsid w:val="160C6457"/>
    <w:rsid w:val="166433C4"/>
    <w:rsid w:val="16D4281D"/>
    <w:rsid w:val="173C0908"/>
    <w:rsid w:val="1763479D"/>
    <w:rsid w:val="17B60D70"/>
    <w:rsid w:val="1800023D"/>
    <w:rsid w:val="18762514"/>
    <w:rsid w:val="188622FA"/>
    <w:rsid w:val="18F30FB0"/>
    <w:rsid w:val="19134070"/>
    <w:rsid w:val="19E86C1E"/>
    <w:rsid w:val="1A340537"/>
    <w:rsid w:val="1A46025A"/>
    <w:rsid w:val="1A4925B0"/>
    <w:rsid w:val="1A812E05"/>
    <w:rsid w:val="1A8E727D"/>
    <w:rsid w:val="1A9B19FF"/>
    <w:rsid w:val="1B117317"/>
    <w:rsid w:val="1B23671D"/>
    <w:rsid w:val="1BBC1395"/>
    <w:rsid w:val="1D095F4B"/>
    <w:rsid w:val="1D962BCE"/>
    <w:rsid w:val="1DA30B7C"/>
    <w:rsid w:val="1EA250C1"/>
    <w:rsid w:val="1EA73B4D"/>
    <w:rsid w:val="1F1F6C7D"/>
    <w:rsid w:val="1F3B74D2"/>
    <w:rsid w:val="20306A11"/>
    <w:rsid w:val="20911F3A"/>
    <w:rsid w:val="20AD1E02"/>
    <w:rsid w:val="20DA0DB3"/>
    <w:rsid w:val="21661111"/>
    <w:rsid w:val="22BE1B0E"/>
    <w:rsid w:val="22CC6F72"/>
    <w:rsid w:val="22F75F07"/>
    <w:rsid w:val="233932A0"/>
    <w:rsid w:val="23D66E6C"/>
    <w:rsid w:val="240652CF"/>
    <w:rsid w:val="240A60C6"/>
    <w:rsid w:val="250561D2"/>
    <w:rsid w:val="26A11753"/>
    <w:rsid w:val="276E3C92"/>
    <w:rsid w:val="276F7046"/>
    <w:rsid w:val="27C26E46"/>
    <w:rsid w:val="28B65913"/>
    <w:rsid w:val="28DE47B5"/>
    <w:rsid w:val="293E49EA"/>
    <w:rsid w:val="296636EE"/>
    <w:rsid w:val="2A273562"/>
    <w:rsid w:val="2A6976DC"/>
    <w:rsid w:val="2AE874E1"/>
    <w:rsid w:val="2B460CFE"/>
    <w:rsid w:val="2B8B76E0"/>
    <w:rsid w:val="2BB31459"/>
    <w:rsid w:val="2BC23884"/>
    <w:rsid w:val="2C0C0B07"/>
    <w:rsid w:val="2C2E61E6"/>
    <w:rsid w:val="2D3C3606"/>
    <w:rsid w:val="2DCC3B79"/>
    <w:rsid w:val="2EF35FAE"/>
    <w:rsid w:val="2F656EAC"/>
    <w:rsid w:val="2FBC45F2"/>
    <w:rsid w:val="306C0175"/>
    <w:rsid w:val="31060A4C"/>
    <w:rsid w:val="31060DFB"/>
    <w:rsid w:val="31102C85"/>
    <w:rsid w:val="31D93ABA"/>
    <w:rsid w:val="33427C39"/>
    <w:rsid w:val="33B27C27"/>
    <w:rsid w:val="33D6131E"/>
    <w:rsid w:val="347B6263"/>
    <w:rsid w:val="34C76FAD"/>
    <w:rsid w:val="34D4478E"/>
    <w:rsid w:val="34FE4B85"/>
    <w:rsid w:val="352A7933"/>
    <w:rsid w:val="356F1653"/>
    <w:rsid w:val="35F94372"/>
    <w:rsid w:val="35F95ECE"/>
    <w:rsid w:val="36C75D72"/>
    <w:rsid w:val="36E42DAC"/>
    <w:rsid w:val="36EB413B"/>
    <w:rsid w:val="371113DD"/>
    <w:rsid w:val="376A3F9A"/>
    <w:rsid w:val="37BC4A18"/>
    <w:rsid w:val="383B59D3"/>
    <w:rsid w:val="39570A5F"/>
    <w:rsid w:val="39742443"/>
    <w:rsid w:val="39E11540"/>
    <w:rsid w:val="3A254E23"/>
    <w:rsid w:val="3A447F25"/>
    <w:rsid w:val="3A8522DD"/>
    <w:rsid w:val="3B4E2FAA"/>
    <w:rsid w:val="3B732951"/>
    <w:rsid w:val="3B767F1A"/>
    <w:rsid w:val="3BA36F78"/>
    <w:rsid w:val="3BA95708"/>
    <w:rsid w:val="3BB52EF0"/>
    <w:rsid w:val="3C550467"/>
    <w:rsid w:val="3D493FE5"/>
    <w:rsid w:val="3D845760"/>
    <w:rsid w:val="3D9B7F3D"/>
    <w:rsid w:val="3DFF04CC"/>
    <w:rsid w:val="3E063130"/>
    <w:rsid w:val="3FA640A3"/>
    <w:rsid w:val="3FA911BE"/>
    <w:rsid w:val="3FEE7609"/>
    <w:rsid w:val="40E260C7"/>
    <w:rsid w:val="410311DA"/>
    <w:rsid w:val="41ED2F74"/>
    <w:rsid w:val="42752D1F"/>
    <w:rsid w:val="42915E2D"/>
    <w:rsid w:val="42C0162B"/>
    <w:rsid w:val="42F113B6"/>
    <w:rsid w:val="436D4AA1"/>
    <w:rsid w:val="437A75DD"/>
    <w:rsid w:val="44D15E9E"/>
    <w:rsid w:val="4516018B"/>
    <w:rsid w:val="45820CEA"/>
    <w:rsid w:val="45D56C32"/>
    <w:rsid w:val="45D76BEF"/>
    <w:rsid w:val="46794BB7"/>
    <w:rsid w:val="47363F7F"/>
    <w:rsid w:val="47BD143A"/>
    <w:rsid w:val="480B7F6C"/>
    <w:rsid w:val="48550ED3"/>
    <w:rsid w:val="48651323"/>
    <w:rsid w:val="48AD2A17"/>
    <w:rsid w:val="49ED7D72"/>
    <w:rsid w:val="4A584221"/>
    <w:rsid w:val="4AB41382"/>
    <w:rsid w:val="4B3F2C44"/>
    <w:rsid w:val="4B7054BF"/>
    <w:rsid w:val="4B911379"/>
    <w:rsid w:val="4BA939C1"/>
    <w:rsid w:val="4BD50C93"/>
    <w:rsid w:val="4BF333FA"/>
    <w:rsid w:val="4C9B4E81"/>
    <w:rsid w:val="4D57474D"/>
    <w:rsid w:val="4D6D5B2D"/>
    <w:rsid w:val="4E5A42F8"/>
    <w:rsid w:val="4EAD358F"/>
    <w:rsid w:val="4FD16CC8"/>
    <w:rsid w:val="4FF1728A"/>
    <w:rsid w:val="50090D9A"/>
    <w:rsid w:val="508076A8"/>
    <w:rsid w:val="50D576BA"/>
    <w:rsid w:val="50E21EC2"/>
    <w:rsid w:val="5134227B"/>
    <w:rsid w:val="51C079F3"/>
    <w:rsid w:val="522541D8"/>
    <w:rsid w:val="52847126"/>
    <w:rsid w:val="53726898"/>
    <w:rsid w:val="53C82878"/>
    <w:rsid w:val="53E4093D"/>
    <w:rsid w:val="546F7FE8"/>
    <w:rsid w:val="54867DD7"/>
    <w:rsid w:val="54A444EF"/>
    <w:rsid w:val="556E7C22"/>
    <w:rsid w:val="557460EC"/>
    <w:rsid w:val="558B6EAE"/>
    <w:rsid w:val="58650647"/>
    <w:rsid w:val="58B30675"/>
    <w:rsid w:val="593724A5"/>
    <w:rsid w:val="597457D3"/>
    <w:rsid w:val="59AF1A83"/>
    <w:rsid w:val="5ACB5B3A"/>
    <w:rsid w:val="5B1C0D46"/>
    <w:rsid w:val="5B3348CE"/>
    <w:rsid w:val="5B7D5B22"/>
    <w:rsid w:val="5BCF6110"/>
    <w:rsid w:val="5C9B1857"/>
    <w:rsid w:val="5DA51043"/>
    <w:rsid w:val="5DC93E2F"/>
    <w:rsid w:val="5E276043"/>
    <w:rsid w:val="5F562431"/>
    <w:rsid w:val="5F5B16F1"/>
    <w:rsid w:val="5FA97646"/>
    <w:rsid w:val="5FBA126C"/>
    <w:rsid w:val="606A17B2"/>
    <w:rsid w:val="60AE3960"/>
    <w:rsid w:val="60B0363E"/>
    <w:rsid w:val="60D931D8"/>
    <w:rsid w:val="61212752"/>
    <w:rsid w:val="612C5CAF"/>
    <w:rsid w:val="615753FD"/>
    <w:rsid w:val="6260512D"/>
    <w:rsid w:val="62C92297"/>
    <w:rsid w:val="62CC4571"/>
    <w:rsid w:val="63FF57A4"/>
    <w:rsid w:val="640A7925"/>
    <w:rsid w:val="65402B64"/>
    <w:rsid w:val="66650F64"/>
    <w:rsid w:val="66AB7F8B"/>
    <w:rsid w:val="66BA6671"/>
    <w:rsid w:val="67225BC1"/>
    <w:rsid w:val="672E26C1"/>
    <w:rsid w:val="6731378B"/>
    <w:rsid w:val="674011EB"/>
    <w:rsid w:val="678460BC"/>
    <w:rsid w:val="68476448"/>
    <w:rsid w:val="68521ADF"/>
    <w:rsid w:val="685366A7"/>
    <w:rsid w:val="68A15C08"/>
    <w:rsid w:val="68A82F17"/>
    <w:rsid w:val="68AD274F"/>
    <w:rsid w:val="69175068"/>
    <w:rsid w:val="695A2196"/>
    <w:rsid w:val="69CC364D"/>
    <w:rsid w:val="6A8B7002"/>
    <w:rsid w:val="6B2C67AF"/>
    <w:rsid w:val="6B534A55"/>
    <w:rsid w:val="6B6932A5"/>
    <w:rsid w:val="6BA92EA1"/>
    <w:rsid w:val="6BBB31E1"/>
    <w:rsid w:val="6C2823CD"/>
    <w:rsid w:val="6C4E1089"/>
    <w:rsid w:val="6D3A5311"/>
    <w:rsid w:val="6D8E04E8"/>
    <w:rsid w:val="6DA25265"/>
    <w:rsid w:val="6E4A0A40"/>
    <w:rsid w:val="6EEB2223"/>
    <w:rsid w:val="6F0A351C"/>
    <w:rsid w:val="700E23C0"/>
    <w:rsid w:val="71C51A67"/>
    <w:rsid w:val="72FB0717"/>
    <w:rsid w:val="73A504FE"/>
    <w:rsid w:val="742D3B18"/>
    <w:rsid w:val="75445EC8"/>
    <w:rsid w:val="75AA43CF"/>
    <w:rsid w:val="76543564"/>
    <w:rsid w:val="772B7660"/>
    <w:rsid w:val="773B01DD"/>
    <w:rsid w:val="77D91CD6"/>
    <w:rsid w:val="785060D2"/>
    <w:rsid w:val="78A57DD1"/>
    <w:rsid w:val="78DE70A6"/>
    <w:rsid w:val="79652DBA"/>
    <w:rsid w:val="79B460F6"/>
    <w:rsid w:val="79D33378"/>
    <w:rsid w:val="7A7F1D30"/>
    <w:rsid w:val="7B28384B"/>
    <w:rsid w:val="7B3A3242"/>
    <w:rsid w:val="7B816B0D"/>
    <w:rsid w:val="7B967AA9"/>
    <w:rsid w:val="7C6736B4"/>
    <w:rsid w:val="7CE2520E"/>
    <w:rsid w:val="7D014058"/>
    <w:rsid w:val="7D0D2384"/>
    <w:rsid w:val="7D273B73"/>
    <w:rsid w:val="7DAE192F"/>
    <w:rsid w:val="7DD00F61"/>
    <w:rsid w:val="7DED4195"/>
    <w:rsid w:val="7EB810DD"/>
    <w:rsid w:val="7EBD559A"/>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sz w:val="24"/>
      <w:szCs w:val="21"/>
      <w:lang w:val="zh-CN"/>
    </w:r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qFormat/>
    <w:uiPriority w:val="99"/>
    <w:pPr>
      <w:jc w:val="left"/>
    </w:p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Body Text First Indent 2"/>
    <w:basedOn w:val="9"/>
    <w:next w:val="11"/>
    <w:unhideWhenUsed/>
    <w:qFormat/>
    <w:uiPriority w:val="99"/>
    <w:pPr>
      <w:ind w:firstLine="420" w:firstLineChars="200"/>
    </w:pPr>
  </w:style>
  <w:style w:type="paragraph" w:customStyle="1" w:styleId="11">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styleId="12">
    <w:name w:val="Plain Text"/>
    <w:basedOn w:val="1"/>
    <w:next w:val="7"/>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qFormat/>
    <w:uiPriority w:val="0"/>
    <w:pPr>
      <w:spacing w:line="240" w:lineRule="auto"/>
      <w:ind w:firstLine="0" w:firstLineChars="0"/>
      <w:contextualSpacing/>
    </w:pPr>
    <w:rPr>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8">
    <w:name w:val="Body Text First Indent"/>
    <w:basedOn w:val="2"/>
    <w:next w:val="1"/>
    <w:qFormat/>
    <w:uiPriority w:val="0"/>
    <w:pPr>
      <w:ind w:firstLine="420"/>
    </w:pPr>
    <w:rPr>
      <w:rFonts w:hAnsi="Times New Roman" w:cs="Times New Roman"/>
      <w:snapToGrid/>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rFonts w:eastAsia="黑体"/>
      <w:bCs/>
    </w:rPr>
  </w:style>
  <w:style w:type="character" w:styleId="23">
    <w:name w:val="page number"/>
    <w:basedOn w:val="21"/>
    <w:qFormat/>
    <w:uiPriority w:val="0"/>
  </w:style>
  <w:style w:type="character" w:styleId="24">
    <w:name w:val="Hyperlink"/>
    <w:qFormat/>
    <w:uiPriority w:val="0"/>
    <w:rPr>
      <w:rFonts w:ascii="Arial" w:hAnsi="Arial" w:eastAsia="黑体" w:cs="Arial"/>
      <w:snapToGrid w:val="0"/>
      <w:color w:val="000000"/>
      <w:kern w:val="0"/>
      <w:sz w:val="18"/>
      <w:szCs w:val="18"/>
      <w:u w:val="none"/>
    </w:rPr>
  </w:style>
  <w:style w:type="paragraph" w:customStyle="1" w:styleId="25">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
    <w:name w:val="正文2"/>
    <w:basedOn w:val="1"/>
    <w:qFormat/>
    <w:uiPriority w:val="0"/>
    <w:pPr>
      <w:spacing w:before="156" w:line="360" w:lineRule="auto"/>
      <w:ind w:firstLine="510" w:firstLineChars="200"/>
    </w:pPr>
    <w:rPr>
      <w:sz w:val="24"/>
      <w:szCs w:val="20"/>
    </w:rPr>
  </w:style>
  <w:style w:type="paragraph" w:styleId="28">
    <w:name w:val="List Paragraph"/>
    <w:basedOn w:val="1"/>
    <w:qFormat/>
    <w:uiPriority w:val="0"/>
    <w:pPr>
      <w:spacing w:line="360" w:lineRule="auto"/>
      <w:ind w:firstLine="200" w:firstLineChars="200"/>
    </w:pPr>
    <w:rPr>
      <w:rFonts w:eastAsia="楷体_GB2312" w:cs="Lucida Sans"/>
      <w:sz w:val="24"/>
    </w:rPr>
  </w:style>
  <w:style w:type="paragraph" w:customStyle="1" w:styleId="29">
    <w:name w:val="正文缩进1"/>
    <w:basedOn w:val="1"/>
    <w:next w:val="9"/>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0">
    <w:name w:val="索引 11"/>
    <w:basedOn w:val="1"/>
    <w:next w:val="1"/>
    <w:qFormat/>
    <w:uiPriority w:val="0"/>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纯文本_0_0"/>
    <w:basedOn w:val="34"/>
    <w:qFormat/>
    <w:uiPriority w:val="0"/>
    <w:pPr>
      <w:adjustRightInd/>
    </w:pPr>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样式1"/>
    <w:basedOn w:val="1"/>
    <w:qFormat/>
    <w:uiPriority w:val="0"/>
    <w:pPr>
      <w:snapToGrid w:val="0"/>
      <w:spacing w:line="400" w:lineRule="atLeast"/>
      <w:ind w:firstLine="200" w:firstLineChars="200"/>
    </w:pPr>
    <w:rPr>
      <w:rFonts w:ascii="宋体" w:hAnsi="宋体"/>
      <w:szCs w:val="21"/>
    </w:rPr>
  </w:style>
  <w:style w:type="paragraph" w:customStyle="1" w:styleId="41">
    <w:name w:val="BodyText1I"/>
    <w:basedOn w:val="42"/>
    <w:next w:val="43"/>
    <w:qFormat/>
    <w:uiPriority w:val="0"/>
    <w:pPr>
      <w:ind w:firstLine="420" w:firstLineChars="100"/>
    </w:pPr>
    <w:rPr>
      <w:rFonts w:ascii="Times New Roman"/>
    </w:rPr>
  </w:style>
  <w:style w:type="paragraph" w:customStyle="1" w:styleId="42">
    <w:name w:val="BodyText"/>
    <w:basedOn w:val="1"/>
    <w:next w:val="41"/>
    <w:qFormat/>
    <w:uiPriority w:val="0"/>
    <w:pPr>
      <w:spacing w:after="120"/>
    </w:pPr>
  </w:style>
  <w:style w:type="paragraph" w:customStyle="1" w:styleId="43">
    <w:name w:val="TOC6"/>
    <w:basedOn w:val="1"/>
    <w:next w:val="1"/>
    <w:qFormat/>
    <w:uiPriority w:val="0"/>
    <w:pPr>
      <w:ind w:left="1050"/>
      <w:jc w:val="left"/>
    </w:pPr>
    <w:rPr>
      <w:szCs w:val="21"/>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38450</Words>
  <Characters>40301</Characters>
  <Lines>0</Lines>
  <Paragraphs>0</Paragraphs>
  <TotalTime>20</TotalTime>
  <ScaleCrop>false</ScaleCrop>
  <LinksUpToDate>false</LinksUpToDate>
  <CharactersWithSpaces>46382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13983436601398343660</cp:lastModifiedBy>
  <cp:lastPrinted>2022-05-26T07:58:00Z</cp:lastPrinted>
  <dcterms:modified xsi:type="dcterms:W3CDTF">2022-08-09T00:59:36Z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FCEC27B11C2C4ED8BD41EBDB2B723BF7</vt:lpwstr>
  </property>
</Properties>
</file>