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仿宋_GB2312" w:hAnsi="仿宋" w:eastAsia="仿宋_GB2312" w:cs="仿宋_GB2312"/>
          <w:b/>
          <w:color w:val="auto"/>
          <w:sz w:val="48"/>
          <w:szCs w:val="48"/>
          <w:highlight w:val="none"/>
        </w:rPr>
      </w:pPr>
    </w:p>
    <w:p>
      <w:pPr>
        <w:pStyle w:val="518"/>
        <w:rPr>
          <w:color w:val="auto"/>
          <w:highlight w:val="none"/>
        </w:rPr>
      </w:pPr>
    </w:p>
    <w:p>
      <w:pPr>
        <w:adjustRightInd/>
        <w:spacing w:line="360" w:lineRule="auto"/>
        <w:jc w:val="center"/>
        <w:rPr>
          <w:rFonts w:hint="eastAsia" w:ascii="仿宋_GB2312" w:hAnsi="仿宋" w:eastAsia="仿宋_GB2312" w:cs="仿宋_GB2312"/>
          <w:color w:val="auto"/>
          <w:sz w:val="48"/>
          <w:szCs w:val="48"/>
          <w:highlight w:val="none"/>
          <w:lang w:eastAsia="zh-CN"/>
        </w:rPr>
      </w:pPr>
      <w:r>
        <w:rPr>
          <w:rFonts w:hint="eastAsia" w:ascii="仿宋_GB2312" w:hAnsi="仿宋" w:eastAsia="仿宋_GB2312" w:cs="仿宋_GB2312"/>
          <w:color w:val="auto"/>
          <w:sz w:val="48"/>
          <w:szCs w:val="48"/>
          <w:highlight w:val="none"/>
          <w:lang w:eastAsia="zh-CN"/>
        </w:rPr>
        <w:t>建设用地批后监管上图动态更新（三年）暨全生命周期动态监管系统维护服务</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w:t>
      </w:r>
      <w:r>
        <w:rPr>
          <w:rFonts w:hint="eastAsia" w:ascii="仿宋" w:hAnsi="仿宋" w:eastAsia="仿宋" w:cs="仿宋_GB2312"/>
          <w:b/>
          <w:color w:val="auto"/>
          <w:sz w:val="44"/>
          <w:szCs w:val="44"/>
          <w:highlight w:val="none"/>
          <w:lang w:val="en-US" w:eastAsia="zh-CN"/>
        </w:rPr>
        <w:t>交易</w:t>
      </w:r>
      <w:r>
        <w:rPr>
          <w:rFonts w:ascii="仿宋" w:hAnsi="仿宋" w:eastAsia="仿宋" w:cs="仿宋_GB2312"/>
          <w:b/>
          <w:color w:val="auto"/>
          <w:sz w:val="44"/>
          <w:szCs w:val="44"/>
          <w:highlight w:val="none"/>
        </w:rPr>
        <w:t>）</w:t>
      </w:r>
    </w:p>
    <w:p>
      <w:pPr>
        <w:snapToGrid w:val="0"/>
        <w:spacing w:line="360" w:lineRule="auto"/>
        <w:jc w:val="center"/>
        <w:rPr>
          <w:rFonts w:hint="default" w:ascii="仿宋" w:hAnsi="仿宋" w:eastAsia="仿宋" w:cs="仿宋_GB2312"/>
          <w:color w:val="auto"/>
          <w:sz w:val="30"/>
          <w:szCs w:val="30"/>
          <w:highlight w:val="none"/>
          <w:lang w:val="en-US"/>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_GB2312" w:hAnsi="仿宋" w:eastAsia="仿宋_GB2312" w:cs="仿宋_GB2312"/>
          <w:color w:val="auto"/>
          <w:sz w:val="30"/>
          <w:szCs w:val="30"/>
          <w:highlight w:val="none"/>
          <w:lang w:val="en-US" w:eastAsia="zh-CN"/>
        </w:rPr>
        <w:t>ZSZB-2022-027</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pStyle w:val="518"/>
        <w:rPr>
          <w:rFonts w:ascii="仿宋" w:hAnsi="仿宋" w:eastAsia="仿宋" w:cs="仿宋_GB2312"/>
          <w:b/>
          <w:color w:val="auto"/>
          <w:sz w:val="44"/>
          <w:szCs w:val="44"/>
          <w:highlight w:val="none"/>
        </w:rPr>
      </w:pPr>
    </w:p>
    <w:p>
      <w:pPr>
        <w:pStyle w:val="518"/>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adjustRightInd w:val="0"/>
        <w:snapToGrid w:val="0"/>
        <w:spacing w:line="360" w:lineRule="auto"/>
        <w:jc w:val="center"/>
        <w:rPr>
          <w:rFonts w:hint="default" w:ascii="仿宋_GB2312" w:hAnsi="仿宋" w:eastAsia="仿宋_GB2312" w:cs="仿宋_GB2312"/>
          <w:bCs/>
          <w:color w:val="auto"/>
          <w:sz w:val="32"/>
          <w:szCs w:val="32"/>
          <w:highlight w:val="none"/>
          <w:lang w:val="en-US" w:eastAsia="zh-CN"/>
        </w:rPr>
      </w:pPr>
      <w:r>
        <w:rPr>
          <w:rFonts w:hint="eastAsia" w:ascii="仿宋_GB2312" w:hAnsi="仿宋" w:eastAsia="仿宋_GB2312" w:cs="仿宋_GB2312"/>
          <w:bCs/>
          <w:color w:val="auto"/>
          <w:sz w:val="32"/>
          <w:szCs w:val="32"/>
          <w:highlight w:val="none"/>
          <w:lang w:eastAsia="zh-CN"/>
        </w:rPr>
        <w:t>采购单位：</w:t>
      </w:r>
      <w:r>
        <w:rPr>
          <w:rFonts w:hint="eastAsia" w:ascii="仿宋_GB2312" w:hAnsi="仿宋" w:eastAsia="仿宋_GB2312" w:cs="仿宋_GB2312"/>
          <w:bCs/>
          <w:color w:val="auto"/>
          <w:sz w:val="32"/>
          <w:szCs w:val="32"/>
          <w:highlight w:val="none"/>
          <w:lang w:val="en-US" w:eastAsia="zh-CN"/>
        </w:rPr>
        <w:t>杭州市规划和自然资源局临安分局</w:t>
      </w:r>
    </w:p>
    <w:p>
      <w:pPr>
        <w:adjustRightInd w:val="0"/>
        <w:snapToGrid w:val="0"/>
        <w:spacing w:line="360" w:lineRule="auto"/>
        <w:jc w:val="center"/>
        <w:rPr>
          <w:rFonts w:hint="default" w:ascii="仿宋_GB2312" w:hAnsi="仿宋" w:eastAsia="仿宋_GB2312" w:cs="仿宋_GB2312"/>
          <w:bCs/>
          <w:color w:val="auto"/>
          <w:sz w:val="32"/>
          <w:szCs w:val="32"/>
          <w:highlight w:val="none"/>
          <w:lang w:val="en-US" w:eastAsia="zh-CN"/>
        </w:rPr>
      </w:pPr>
      <w:r>
        <w:rPr>
          <w:rFonts w:hint="eastAsia" w:ascii="仿宋_GB2312" w:hAnsi="仿宋" w:eastAsia="仿宋_GB2312" w:cs="仿宋_GB2312"/>
          <w:bCs/>
          <w:color w:val="auto"/>
          <w:sz w:val="32"/>
          <w:szCs w:val="32"/>
          <w:highlight w:val="none"/>
          <w:lang w:eastAsia="zh-CN"/>
        </w:rPr>
        <w:t>采购机构：</w:t>
      </w:r>
      <w:r>
        <w:rPr>
          <w:rFonts w:hint="eastAsia" w:ascii="仿宋_GB2312" w:hAnsi="仿宋" w:eastAsia="仿宋_GB2312" w:cs="仿宋_GB2312"/>
          <w:bCs/>
          <w:color w:val="auto"/>
          <w:sz w:val="32"/>
          <w:szCs w:val="32"/>
          <w:highlight w:val="none"/>
          <w:lang w:val="en-US" w:eastAsia="zh-CN"/>
        </w:rPr>
        <w:t>浙江中审工程咨询有限公司</w:t>
      </w:r>
    </w:p>
    <w:p>
      <w:pPr>
        <w:snapToGrid w:val="0"/>
        <w:spacing w:line="360" w:lineRule="auto"/>
        <w:jc w:val="center"/>
        <w:rPr>
          <w:rFonts w:hint="eastAsia" w:ascii="仿宋_GB2312" w:hAnsi="仿宋" w:eastAsia="仿宋_GB2312" w:cs="仿宋_GB2312"/>
          <w:bCs/>
          <w:color w:val="auto"/>
          <w:sz w:val="32"/>
          <w:szCs w:val="32"/>
          <w:highlight w:val="none"/>
          <w:lang w:eastAsia="zh-CN"/>
        </w:rPr>
      </w:pPr>
      <w:r>
        <w:rPr>
          <w:rFonts w:hint="eastAsia" w:ascii="仿宋_GB2312" w:hAnsi="仿宋" w:eastAsia="仿宋_GB2312" w:cs="仿宋_GB2312"/>
          <w:bCs/>
          <w:color w:val="auto"/>
          <w:sz w:val="32"/>
          <w:szCs w:val="32"/>
          <w:highlight w:val="none"/>
          <w:lang w:eastAsia="zh-CN"/>
        </w:rPr>
        <w:t>备案单位：杭州市临安区政府采购办公室</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二二年</w:t>
      </w:r>
      <w:r>
        <w:rPr>
          <w:rFonts w:hint="eastAsia" w:ascii="仿宋_GB2312" w:hAnsi="仿宋_GB2312" w:eastAsia="仿宋_GB2312" w:cs="仿宋_GB2312"/>
          <w:bCs/>
          <w:color w:val="auto"/>
          <w:sz w:val="32"/>
          <w:szCs w:val="32"/>
          <w:highlight w:val="none"/>
          <w:lang w:val="en-US" w:eastAsia="zh-CN"/>
        </w:rPr>
        <w:t>六</w:t>
      </w:r>
      <w:r>
        <w:rPr>
          <w:rFonts w:hint="eastAsia" w:ascii="仿宋_GB2312" w:hAnsi="仿宋_GB2312" w:eastAsia="仿宋_GB2312" w:cs="仿宋_GB2312"/>
          <w:bCs/>
          <w:color w:val="auto"/>
          <w:sz w:val="32"/>
          <w:szCs w:val="32"/>
          <w:highlight w:val="none"/>
        </w:rPr>
        <w:t>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u w:val="single"/>
          <w:lang w:eastAsia="zh-CN"/>
        </w:rPr>
        <w:t>建设用地批后监管上图动态更新（三年）暨全生命周期动态监管系统维护服务</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lang w:val="en-US" w:eastAsia="zh-CN"/>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 xml:space="preserve"> 月 </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rPr>
        <w:t xml:space="preserve">日 </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 xml:space="preserve"> 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default" w:ascii="仿宋_GB2312" w:hAnsi="仿宋" w:eastAsia="仿宋_GB2312"/>
          <w:color w:val="auto"/>
          <w:sz w:val="24"/>
          <w:highlight w:val="none"/>
          <w:lang w:val="en-US"/>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s="Times New Roman"/>
          <w:b/>
          <w:color w:val="auto"/>
          <w:sz w:val="24"/>
          <w:szCs w:val="24"/>
          <w:highlight w:val="none"/>
          <w:lang w:val="en-US" w:eastAsia="zh-CN"/>
        </w:rPr>
        <w:t>ZSZB-2022-027</w:t>
      </w:r>
    </w:p>
    <w:p>
      <w:pPr>
        <w:spacing w:line="360" w:lineRule="auto"/>
        <w:ind w:firstLine="480"/>
        <w:rPr>
          <w:rFonts w:ascii="仿宋_GB2312" w:hAnsi="仿宋" w:eastAsia="仿宋_GB2312"/>
          <w:b/>
          <w:color w:val="auto"/>
          <w:sz w:val="24"/>
          <w:highlight w:val="none"/>
        </w:rPr>
      </w:pPr>
      <w:r>
        <w:rPr>
          <w:rFonts w:ascii="仿宋_GB2312" w:hAnsi="仿宋" w:eastAsia="仿宋_GB2312"/>
          <w:b/>
          <w:color w:val="auto"/>
          <w:sz w:val="24"/>
          <w:highlight w:val="none"/>
        </w:rPr>
        <w:t>项目名称：</w:t>
      </w:r>
      <w:r>
        <w:rPr>
          <w:rFonts w:hint="eastAsia" w:ascii="仿宋_GB2312" w:hAnsi="仿宋" w:eastAsia="仿宋_GB2312"/>
          <w:b/>
          <w:color w:val="auto"/>
          <w:sz w:val="24"/>
          <w:highlight w:val="none"/>
          <w:lang w:eastAsia="zh-CN"/>
        </w:rPr>
        <w:t>建设用地批后监管上图动态更新（三年）暨全生命周期动态监管系统维护服务</w:t>
      </w: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ascii="仿宋_GB2312" w:hAnsi="仿宋" w:eastAsia="仿宋_GB2312"/>
          <w:b/>
          <w:color w:val="auto"/>
          <w:sz w:val="24"/>
          <w:highlight w:val="none"/>
        </w:rPr>
        <w:t>预算金额（元）：</w:t>
      </w:r>
      <w:r>
        <w:rPr>
          <w:rFonts w:hint="eastAsia" w:ascii="仿宋_GB2312" w:hAnsi="仿宋" w:eastAsia="仿宋_GB2312" w:cs="仿宋_GB2312"/>
          <w:color w:val="auto"/>
          <w:sz w:val="24"/>
          <w:szCs w:val="24"/>
          <w:highlight w:val="none"/>
          <w:lang w:val="en-US" w:eastAsia="zh-CN"/>
        </w:rPr>
        <w:t>1200000</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cs="仿宋_GB2312"/>
          <w:color w:val="auto"/>
          <w:sz w:val="24"/>
          <w:szCs w:val="24"/>
          <w:highlight w:val="none"/>
          <w:lang w:val="en-US" w:eastAsia="zh-CN"/>
        </w:rPr>
        <w:t>1200000</w:t>
      </w:r>
    </w:p>
    <w:p>
      <w:pPr>
        <w:pStyle w:val="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lang w:val="zh-CN"/>
        </w:rPr>
        <w:t>通过信息公示、预警提醒、开竣工申报、现场核查、跟踪管理、竣工验收、闲置土地查处、建立诚信档案等手段，实现对辖区内建设用地批后开发利用的全程监管。</w:t>
      </w:r>
      <w:r>
        <w:rPr>
          <w:rFonts w:hint="eastAsia" w:ascii="仿宋_GB2312" w:hAnsi="仿宋" w:eastAsia="仿宋_GB2312"/>
          <w:bCs/>
          <w:snapToGrid/>
          <w:color w:val="auto"/>
          <w:kern w:val="2"/>
          <w:sz w:val="24"/>
          <w:szCs w:val="24"/>
          <w:highlight w:val="none"/>
        </w:rPr>
        <w:t>详见招标文件第三部分采购需求。</w:t>
      </w:r>
    </w:p>
    <w:p>
      <w:pPr>
        <w:pStyle w:val="128"/>
        <w:ind w:firstLine="482"/>
        <w:outlineLvl w:val="2"/>
        <w:rPr>
          <w:rFonts w:ascii="仿宋_GB2312" w:hAnsi="仿宋" w:eastAsia="仿宋_GB2312"/>
          <w:color w:val="auto"/>
          <w:highlight w:val="none"/>
        </w:rPr>
      </w:pPr>
      <w:r>
        <w:rPr>
          <w:rFonts w:hint="eastAsia" w:ascii="仿宋_GB2312" w:hAnsi="仿宋" w:eastAsia="仿宋_GB2312"/>
          <w:b/>
          <w:color w:val="auto"/>
          <w:highlight w:val="none"/>
        </w:rPr>
        <w:t>合同履约期限：</w:t>
      </w:r>
      <w:r>
        <w:rPr>
          <w:rFonts w:hint="eastAsia" w:ascii="仿宋_GB2312" w:hAnsi="仿宋" w:eastAsia="仿宋_GB2312" w:cs="Times New Roman"/>
          <w:b/>
          <w:color w:val="auto"/>
          <w:sz w:val="24"/>
          <w:szCs w:val="24"/>
          <w:highlight w:val="none"/>
        </w:rPr>
        <w:t>合同签订之日起3年（日历年）内完成所有项目内容</w:t>
      </w:r>
    </w:p>
    <w:p>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w:t>
      </w:r>
      <w:bookmarkStart w:id="401" w:name="_GoBack"/>
      <w:bookmarkEnd w:id="401"/>
      <w:r>
        <w:rPr>
          <w:rFonts w:hint="eastAsia" w:ascii="仿宋" w:hAnsi="仿宋" w:eastAsia="仿宋" w:cs="宋体"/>
          <w:color w:val="auto"/>
          <w:spacing w:val="8"/>
          <w:kern w:val="0"/>
          <w:sz w:val="24"/>
          <w:highlight w:val="none"/>
        </w:rPr>
        <w:t>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numPr>
          <w:ilvl w:val="0"/>
          <w:numId w:val="1"/>
        </w:numPr>
        <w:snapToGrid w:val="0"/>
        <w:spacing w:line="360" w:lineRule="auto"/>
        <w:ind w:firstLine="480" w:firstLineChars="200"/>
        <w:rPr>
          <w:rFonts w:hint="eastAsia" w:ascii="仿宋_GB2312" w:hAnsi="仿宋" w:eastAsia="仿宋_GB2312"/>
          <w:b/>
          <w:bCs/>
          <w:color w:val="auto"/>
          <w:sz w:val="24"/>
          <w:highlight w:val="none"/>
          <w:lang w:val="en-US" w:eastAsia="zh-CN"/>
        </w:rPr>
      </w:pPr>
      <w:r>
        <w:rPr>
          <w:rFonts w:ascii="仿宋_GB2312" w:hAnsi="仿宋" w:eastAsia="仿宋_GB2312"/>
          <w:color w:val="auto"/>
          <w:sz w:val="24"/>
          <w:highlight w:val="none"/>
        </w:rPr>
        <w:t>本项目的特定资格要求：</w:t>
      </w:r>
      <w:r>
        <w:rPr>
          <w:rFonts w:hint="eastAsia" w:ascii="仿宋_GB2312" w:hAnsi="仿宋" w:eastAsia="仿宋_GB2312"/>
          <w:b/>
          <w:bCs/>
          <w:color w:val="auto"/>
          <w:sz w:val="24"/>
          <w:highlight w:val="none"/>
          <w:lang w:val="en-US" w:eastAsia="zh-CN"/>
        </w:rPr>
        <w:t>同时具有测绘航空摄影和地理信息系统工程专业乙级及以上资质；</w:t>
      </w:r>
    </w:p>
    <w:p>
      <w:pPr>
        <w:numPr>
          <w:ilvl w:val="0"/>
          <w:numId w:val="0"/>
        </w:numPr>
        <w:snapToGrid w:val="0"/>
        <w:spacing w:line="360" w:lineRule="auto"/>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val="en-US" w:eastAsia="zh-CN"/>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6</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28</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 xml:space="preserve"> 月</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rPr>
        <w:t xml:space="preserve"> 日 </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 xml:space="preserve">点 </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 xml:space="preserve">月 </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rPr>
        <w:t xml:space="preserve">日 </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 xml:space="preserve">点 </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val="en-US" w:eastAsia="zh-CN"/>
        </w:rPr>
        <w:t>杭州市规划和自然资源局临安分局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s="仿宋_GB2312"/>
          <w:color w:val="auto"/>
          <w:sz w:val="24"/>
          <w:highlight w:val="none"/>
        </w:rPr>
        <w:t xml:space="preserve"> 杭州市临安区锦北街道科技大道4398号</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号楼</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杨芸</w:t>
      </w:r>
      <w:r>
        <w:rPr>
          <w:rFonts w:hint="eastAsia" w:ascii="仿宋" w:hAnsi="仿宋" w:eastAsia="仿宋"/>
          <w:color w:val="auto"/>
          <w:sz w:val="24"/>
          <w:highlight w:val="none"/>
        </w:rPr>
        <w:t xml:space="preserve"> </w:t>
      </w:r>
    </w:p>
    <w:p>
      <w:pPr>
        <w:spacing w:line="360" w:lineRule="auto"/>
        <w:rPr>
          <w:rFonts w:hint="default" w:ascii="仿宋_GB2312" w:hAnsi="仿宋" w:eastAsia="仿宋_GB2312"/>
          <w:color w:val="auto"/>
          <w:sz w:val="24"/>
          <w:highlight w:val="none"/>
          <w:lang w:val="en-US"/>
        </w:rPr>
      </w:pPr>
      <w:r>
        <w:rPr>
          <w:rFonts w:ascii="仿宋_GB2312" w:hAnsi="仿宋" w:eastAsia="仿宋_GB2312"/>
          <w:color w:val="auto"/>
          <w:sz w:val="24"/>
          <w:highlight w:val="none"/>
        </w:rPr>
        <w:t xml:space="preserve">    项目联系方式（询问）：</w:t>
      </w:r>
      <w:r>
        <w:rPr>
          <w:rFonts w:hint="eastAsia" w:ascii="仿宋_GB2312" w:hAnsi="仿宋" w:eastAsia="仿宋_GB2312" w:cs="Times New Roman"/>
          <w:color w:val="auto"/>
          <w:sz w:val="24"/>
          <w:szCs w:val="24"/>
          <w:highlight w:val="none"/>
          <w:lang w:val="en-US" w:eastAsia="zh-CN"/>
        </w:rPr>
        <w:t>0571-63922816</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方淼军</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0571-63709129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eastAsia="zh-CN"/>
        </w:rPr>
        <w:t>浙江中审工程咨询有限公司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_GB2312" w:hAnsi="仿宋" w:eastAsia="仿宋_GB2312" w:cs="Times New Roman"/>
          <w:color w:val="auto"/>
          <w:sz w:val="24"/>
          <w:szCs w:val="24"/>
          <w:highlight w:val="none"/>
          <w:lang w:val="en-US" w:eastAsia="zh-CN"/>
        </w:rPr>
        <w:t>临安区临水路328号铂盛汇1-1幢202</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s="Times New Roman"/>
          <w:color w:val="auto"/>
          <w:sz w:val="24"/>
          <w:szCs w:val="24"/>
          <w:highlight w:val="none"/>
          <w:lang w:val="en-US" w:eastAsia="zh-CN"/>
        </w:rPr>
        <w:t>童莉莉</w:t>
      </w:r>
      <w:r>
        <w:rPr>
          <w:rFonts w:hint="eastAsia" w:ascii="仿宋_GB2312" w:hAnsi="仿宋" w:eastAsia="仿宋_GB2312" w:cs="Times New Roman"/>
          <w:color w:val="auto"/>
          <w:sz w:val="24"/>
          <w:szCs w:val="24"/>
          <w:highlight w:val="none"/>
        </w:rPr>
        <w:t xml:space="preserve"> </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s="Times New Roman"/>
          <w:color w:val="auto"/>
          <w:sz w:val="24"/>
          <w:szCs w:val="24"/>
          <w:highlight w:val="none"/>
          <w:lang w:val="en-US" w:eastAsia="zh-CN"/>
        </w:rPr>
        <w:t>0571-61109731</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陈瑶</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s="Times New Roman"/>
          <w:color w:val="auto"/>
          <w:sz w:val="24"/>
          <w:szCs w:val="24"/>
          <w:highlight w:val="none"/>
          <w:lang w:val="en-US" w:eastAsia="zh-CN"/>
        </w:rPr>
        <w:t>0571-61109731</w:t>
      </w:r>
      <w:r>
        <w:rPr>
          <w:rFonts w:hint="eastAsia"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s="Times New Roman"/>
          <w:color w:val="auto"/>
          <w:sz w:val="24"/>
          <w:szCs w:val="24"/>
          <w:highlight w:val="none"/>
        </w:rPr>
        <w:t xml:space="preserve">杭州市临安区财政局政府采购监督管理科 </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rPr>
        <w:t>浙江</w:t>
      </w:r>
      <w:r>
        <w:rPr>
          <w:rFonts w:hint="eastAsia" w:ascii="仿宋_GB2312" w:hAnsi="仿宋" w:eastAsia="仿宋_GB2312"/>
          <w:color w:val="auto"/>
          <w:sz w:val="24"/>
          <w:highlight w:val="none"/>
          <w:lang w:eastAsia="zh-CN"/>
        </w:rPr>
        <w:t>省杭州市临安区锦北街道科技大道</w:t>
      </w:r>
      <w:r>
        <w:rPr>
          <w:rFonts w:hint="eastAsia" w:ascii="仿宋_GB2312" w:hAnsi="仿宋" w:eastAsia="仿宋_GB2312"/>
          <w:color w:val="auto"/>
          <w:sz w:val="24"/>
          <w:highlight w:val="none"/>
          <w:lang w:val="en-US" w:eastAsia="zh-CN"/>
        </w:rPr>
        <w:t>4398号4号楼11楼</w:t>
      </w:r>
      <w:r>
        <w:rPr>
          <w:rFonts w:hint="eastAsia" w:ascii="仿宋_GB2312" w:hAnsi="仿宋" w:eastAsia="仿宋_GB2312" w:cs="Times New Roman"/>
          <w:color w:val="auto"/>
          <w:sz w:val="24"/>
          <w:szCs w:val="24"/>
          <w:highlight w:val="none"/>
        </w:rPr>
        <w:t xml:space="preserve">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 </w:t>
      </w:r>
      <w:r>
        <w:rPr>
          <w:rFonts w:hint="eastAsia" w:ascii="仿宋_GB2312" w:hAnsi="仿宋" w:eastAsia="仿宋_GB2312" w:cs="Times New Roman"/>
          <w:color w:val="auto"/>
          <w:sz w:val="24"/>
          <w:szCs w:val="24"/>
          <w:highlight w:val="none"/>
        </w:rPr>
        <w:t>0571-63722886</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s="Times New Roman"/>
          <w:color w:val="auto"/>
          <w:sz w:val="24"/>
          <w:szCs w:val="24"/>
          <w:highlight w:val="none"/>
        </w:rPr>
        <w:t xml:space="preserve">喻伟建 </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s="Times New Roman"/>
          <w:color w:val="auto"/>
          <w:sz w:val="24"/>
          <w:szCs w:val="24"/>
          <w:highlight w:val="none"/>
        </w:rPr>
        <w:t xml:space="preserve">0571-61073953  </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2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sdt>
              <w:sdtPr>
                <w:rPr>
                  <w:rFonts w:hint="eastAsia" w:ascii="仿宋_GB2312" w:hAnsi="仿宋" w:eastAsia="仿宋_GB2312" w:cs="Arial"/>
                  <w:color w:val="auto"/>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Times New Roman"/>
                <w:color w:val="auto"/>
                <w:sz w:val="24"/>
                <w:szCs w:val="24"/>
                <w:highlight w:val="none"/>
                <w:u w:val="single"/>
                <w:lang w:val="zh-CN"/>
              </w:rPr>
              <w:t>通过信息公示、预警提醒、开竣工申报、现场核查、跟踪管理、竣工验收、闲置土地查处、建立诚信档案等手段，实现对辖区内建设用地批后开发利用的全程监管</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val="en-US" w:eastAsia="zh-CN"/>
              </w:rPr>
              <w:t>其他未列明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p>
          <w:p>
            <w:pPr>
              <w:pStyle w:val="4"/>
              <w:rPr>
                <w:color w:val="auto"/>
                <w:highlight w:val="none"/>
                <w:lang w:val="en-US"/>
              </w:rPr>
            </w:pPr>
            <w:r>
              <w:rPr>
                <w:rFonts w:hint="eastAsia"/>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color w:val="auto"/>
                <w:kern w:val="28"/>
                <w:sz w:val="24"/>
                <w:szCs w:val="24"/>
                <w:highlight w:val="none"/>
                <w:u w:val="single"/>
                <w:lang w:val="en-US" w:eastAsia="zh-CN"/>
              </w:rPr>
              <w:t>临安区临水路328号铂盛汇1-1幢202</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0571-61109731</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lang w:val="en-US" w:eastAsia="zh-CN"/>
              </w:rPr>
              <w:t>中标单位在领取中标通知书时须提供与电子投标文件一致的纸质投标文件四份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val="en-US" w:eastAsia="zh-CN"/>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lang w:val="en-US" w:eastAsia="zh-CN"/>
              </w:rPr>
              <w:t>由中标单位支付，采购代理服务费按发改价格（2011）534号文件规定收费标准的 80%收取（最低 4000 元），专家评审费另行支付费用在发出中标通知书之前结清。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val="en-US" w:eastAsia="zh-CN"/>
              </w:rPr>
              <w:t>现场确认声明书</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lang w:val="en-US" w:eastAsia="zh-CN"/>
              </w:rPr>
              <w:t>开标记录开启后，投标供应商将填写完整且经授权代表签署的《政府采购活动现场确认声明书》原件扫描件发送至邮箱：980519218@qq.com(格式详见附件6）</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2"/>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2"/>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7"/>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hint="eastAsia" w:ascii="仿宋_GB2312" w:hAnsi="仿宋" w:eastAsia="仿宋_GB2312"/>
          <w:color w:val="auto"/>
          <w:highlight w:val="none"/>
          <w:lang w:val="en-US" w:eastAsia="zh-CN"/>
        </w:rPr>
        <w:t>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pStyle w:val="128"/>
        <w:snapToGrid w:val="0"/>
        <w:spacing w:before="0"/>
        <w:ind w:firstLine="480"/>
        <w:rPr>
          <w:rFonts w:hint="eastAsia"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2.5</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2.5</w:t>
      </w:r>
      <w:r>
        <w:rPr>
          <w:rFonts w:hint="eastAsia" w:ascii="仿宋_GB2312" w:hAnsi="仿宋" w:eastAsia="仿宋_GB2312" w:cs="仿宋_GB2312"/>
          <w:color w:val="auto"/>
          <w:sz w:val="24"/>
          <w:szCs w:val="20"/>
          <w:highlight w:val="none"/>
        </w:rPr>
        <w:t>%。</w:t>
      </w:r>
    </w:p>
    <w:p>
      <w:pPr>
        <w:pStyle w:val="4"/>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7"/>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3093"/>
      <w:bookmarkEnd w:id="15"/>
      <w:bookmarkStart w:id="16" w:name="_Hlt75236101"/>
      <w:bookmarkEnd w:id="16"/>
      <w:bookmarkStart w:id="17" w:name="_Hlt74714665"/>
      <w:bookmarkEnd w:id="17"/>
      <w:bookmarkStart w:id="18" w:name="_Hlt74707468"/>
      <w:bookmarkEnd w:id="18"/>
      <w:bookmarkStart w:id="19" w:name="_Hlt74730295"/>
      <w:bookmarkEnd w:id="19"/>
      <w:bookmarkStart w:id="20" w:name="_Hlt68072998"/>
      <w:bookmarkEnd w:id="20"/>
      <w:bookmarkStart w:id="21" w:name="_Hlt68072990"/>
      <w:bookmarkEnd w:id="21"/>
      <w:bookmarkStart w:id="22" w:name="_Hlt74729768"/>
      <w:bookmarkEnd w:id="22"/>
      <w:bookmarkStart w:id="23" w:name="_Hlt68057669"/>
      <w:bookmarkEnd w:id="23"/>
      <w:bookmarkStart w:id="24" w:name="_Hlt75236011"/>
      <w:bookmarkEnd w:id="24"/>
      <w:bookmarkStart w:id="25" w:name="_Hlt68403820"/>
      <w:bookmarkEnd w:id="25"/>
    </w:p>
    <w:bookmarkEnd w:id="11"/>
    <w:bookmarkEnd w:id="12"/>
    <w:p>
      <w:pPr>
        <w:spacing w:line="360" w:lineRule="auto"/>
        <w:jc w:val="center"/>
        <w:outlineLvl w:val="0"/>
        <w:rPr>
          <w:rFonts w:hint="eastAsia" w:ascii="仿宋" w:hAnsi="仿宋" w:eastAsia="仿宋" w:cs="仿宋_GB2312"/>
          <w:b/>
          <w:color w:val="auto"/>
          <w:sz w:val="36"/>
          <w:szCs w:val="36"/>
          <w:highlight w:val="none"/>
        </w:rPr>
      </w:pPr>
      <w:bookmarkStart w:id="26" w:name="第四部分"/>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adjustRightInd w:val="0"/>
        <w:spacing w:line="360" w:lineRule="auto"/>
        <w:rPr>
          <w:rFonts w:hint="eastAsia" w:ascii="仿宋_GB2312" w:hAnsi="仿宋" w:eastAsia="仿宋_GB2312" w:cs="Arial"/>
          <w:b/>
          <w:bCs/>
          <w:color w:val="auto"/>
          <w:kern w:val="0"/>
          <w:sz w:val="24"/>
          <w:highlight w:val="none"/>
          <w:lang w:val="en-US" w:eastAsia="zh-CN"/>
        </w:rPr>
      </w:pPr>
      <w:r>
        <w:rPr>
          <w:rFonts w:hint="eastAsia" w:ascii="仿宋_GB2312" w:hAnsi="仿宋" w:eastAsia="仿宋_GB2312" w:cs="Arial"/>
          <w:b/>
          <w:bCs/>
          <w:color w:val="auto"/>
          <w:kern w:val="0"/>
          <w:sz w:val="24"/>
          <w:highlight w:val="none"/>
          <w:lang w:val="en-US" w:eastAsia="zh-CN"/>
        </w:rPr>
        <w:t>一、项目背景情况</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根据《国土资源部办公厅关于建立土地利用动态巡查制度加强建设用地供后开发利用全程监管的通知》（国土资厅发〔2013〕30 号），要求各地建立土地利用动态巡查制度，依托土地市场动态监测与监管系统（以下称“监测监管系统”），以供地政策的落实和《国有建设用地使用权出让合同》、《</w:t>
      </w:r>
      <w:r>
        <w:rPr>
          <w:rFonts w:hint="eastAsia" w:ascii="仿宋_GB2312" w:hAnsi="仿宋" w:eastAsia="仿宋_GB2312" w:cs="Arial"/>
          <w:color w:val="auto"/>
          <w:kern w:val="0"/>
          <w:sz w:val="24"/>
          <w:highlight w:val="none"/>
          <w:lang w:val="en-US" w:eastAsia="zh-CN"/>
        </w:rPr>
        <w:fldChar w:fldCharType="begin"/>
      </w:r>
      <w:r>
        <w:rPr>
          <w:rFonts w:hint="eastAsia" w:ascii="仿宋_GB2312" w:hAnsi="仿宋" w:eastAsia="仿宋_GB2312" w:cs="Arial"/>
          <w:color w:val="auto"/>
          <w:kern w:val="0"/>
          <w:sz w:val="24"/>
          <w:highlight w:val="none"/>
          <w:lang w:val="en-US" w:eastAsia="zh-CN"/>
        </w:rPr>
        <w:instrText xml:space="preserve"> HYPERLINK "http://www.pkulaw.cn/javascript:SLC(104639,0)" </w:instrText>
      </w:r>
      <w:r>
        <w:rPr>
          <w:rFonts w:hint="eastAsia" w:ascii="仿宋_GB2312" w:hAnsi="仿宋" w:eastAsia="仿宋_GB2312" w:cs="Arial"/>
          <w:color w:val="auto"/>
          <w:kern w:val="0"/>
          <w:sz w:val="24"/>
          <w:highlight w:val="none"/>
          <w:lang w:val="en-US" w:eastAsia="zh-CN"/>
        </w:rPr>
        <w:fldChar w:fldCharType="separate"/>
      </w:r>
      <w:r>
        <w:rPr>
          <w:rFonts w:hint="eastAsia" w:ascii="仿宋_GB2312" w:hAnsi="仿宋" w:eastAsia="仿宋_GB2312" w:cs="Arial"/>
          <w:color w:val="auto"/>
          <w:kern w:val="0"/>
          <w:sz w:val="24"/>
          <w:highlight w:val="none"/>
          <w:lang w:val="en-US" w:eastAsia="zh-CN"/>
        </w:rPr>
        <w:t>国有建设用地划拨决定书</w:t>
      </w:r>
      <w:r>
        <w:rPr>
          <w:rFonts w:hint="eastAsia" w:ascii="仿宋_GB2312" w:hAnsi="仿宋" w:eastAsia="仿宋_GB2312" w:cs="Arial"/>
          <w:color w:val="auto"/>
          <w:kern w:val="0"/>
          <w:sz w:val="24"/>
          <w:highlight w:val="none"/>
          <w:lang w:val="en-US" w:eastAsia="zh-CN"/>
        </w:rPr>
        <w:fldChar w:fldCharType="end"/>
      </w:r>
      <w:r>
        <w:rPr>
          <w:rFonts w:hint="eastAsia" w:ascii="仿宋_GB2312" w:hAnsi="仿宋" w:eastAsia="仿宋_GB2312" w:cs="Arial"/>
          <w:color w:val="auto"/>
          <w:kern w:val="0"/>
          <w:sz w:val="24"/>
          <w:highlight w:val="none"/>
          <w:lang w:val="en-US" w:eastAsia="zh-CN"/>
        </w:rPr>
        <w:t>》的履行为重点，通过信息公示、预警提醒、开竣工申报、现场核查、跟踪管理、竣工验收、闲置土地查处、建立诚信档案等手段，实现对辖区内建设用地批后开发利用的全程监管。</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2014年1月1日起，国土资源部在监测与监管系统中开发并运行土地利用动态巡查模块，设计了项目跟踪、信息公示、开竣工提醒和闲置土地处置等巡查内容的具体操作流程和有关文书。目前，该系统已成为国土资源部、省厅对各地建设用地供应与土地开发利用监管的主要平台，省厅每季度对供地率、出让金收缴、开发建设等情况进行通报。考虑到各地人员少、动态巡查系统的填报工作量大的实际情况，为了做好监测监管系统填报及动态巡查工作，拟通过服务外包方式确定技术协作单位。</w:t>
      </w:r>
    </w:p>
    <w:p>
      <w:pPr>
        <w:adjustRightInd w:val="0"/>
        <w:spacing w:line="360" w:lineRule="auto"/>
        <w:rPr>
          <w:rFonts w:hint="eastAsia" w:ascii="仿宋_GB2312" w:hAnsi="仿宋" w:eastAsia="仿宋_GB2312" w:cs="Arial"/>
          <w:b/>
          <w:bCs/>
          <w:color w:val="auto"/>
          <w:kern w:val="0"/>
          <w:sz w:val="24"/>
          <w:highlight w:val="none"/>
          <w:lang w:val="en-US" w:eastAsia="zh-CN"/>
        </w:rPr>
      </w:pPr>
      <w:r>
        <w:rPr>
          <w:rFonts w:hint="eastAsia" w:ascii="仿宋_GB2312" w:hAnsi="仿宋" w:eastAsia="仿宋_GB2312" w:cs="Arial"/>
          <w:b/>
          <w:bCs/>
          <w:color w:val="auto"/>
          <w:kern w:val="0"/>
          <w:sz w:val="24"/>
          <w:highlight w:val="none"/>
          <w:lang w:val="en-US" w:eastAsia="zh-CN"/>
        </w:rPr>
        <w:t>二、项目需求内容</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1、项目动态巡查：跟踪已供地项目全环节开发进度，按要求进行信息公示，实地巡查、适时进行开竣工提醒，跟踪闲置土地处置情况。</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2、监测系统维护：及时准确填报“浙江省动态监测监管系统”、</w:t>
      </w:r>
      <w:r>
        <w:rPr>
          <w:rFonts w:hint="eastAsia" w:ascii="仿宋_GB2312" w:hAnsi="仿宋" w:eastAsia="仿宋_GB2312" w:cs="Arial"/>
          <w:color w:val="auto"/>
          <w:kern w:val="0"/>
          <w:sz w:val="24"/>
          <w:highlight w:val="none"/>
          <w:lang w:val="en-US" w:eastAsia="zh-CN"/>
        </w:rPr>
        <w:t>“自然资源综合监管-土地储备监测监管系统</w:t>
      </w:r>
      <w:r>
        <w:rPr>
          <w:rFonts w:hint="eastAsia" w:ascii="仿宋_GB2312" w:hAnsi="仿宋" w:eastAsia="仿宋_GB2312" w:cs="Arial"/>
          <w:color w:val="auto"/>
          <w:kern w:val="0"/>
          <w:sz w:val="24"/>
          <w:highlight w:val="none"/>
          <w:lang w:val="en-US" w:eastAsia="zh-CN"/>
        </w:rPr>
        <w:t>”、“杭州市土地利用专题系统”、“杭州市一张图数据整理平台”相关信息数据，并做好与“土地市场动态监测与监管系统”衔接。</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3、管理系统维护：组织完成全区批而未供、供而未用、城镇低效用地数据库基础数据的信息收集、录入及维护。</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4、市场运行分析：根据土地开发情况大数据运行情况，分析土地市场行动的状况及规律，探索土地供应对经济运行的贡献度分析，按季度提交杭州市临安区土地市场运行情况报告，提出指导土地市场供应、调整市场的对策建议。</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5、与上级主管部门业务对接，以保证监管工作的高效、准确，并及时向主管部门提出国土资源利用的合理化建议及相关处置方案。</w:t>
      </w:r>
    </w:p>
    <w:p>
      <w:pPr>
        <w:adjustRightInd w:val="0"/>
        <w:spacing w:line="360" w:lineRule="auto"/>
        <w:rPr>
          <w:rFonts w:hint="eastAsia" w:ascii="仿宋_GB2312" w:hAnsi="仿宋" w:eastAsia="仿宋_GB2312" w:cs="Arial"/>
          <w:b/>
          <w:bCs/>
          <w:color w:val="auto"/>
          <w:kern w:val="0"/>
          <w:sz w:val="24"/>
          <w:highlight w:val="none"/>
          <w:lang w:val="en-US" w:eastAsia="zh-CN"/>
        </w:rPr>
      </w:pPr>
      <w:r>
        <w:rPr>
          <w:rFonts w:hint="eastAsia" w:ascii="仿宋_GB2312" w:hAnsi="仿宋" w:eastAsia="仿宋_GB2312" w:cs="Arial"/>
          <w:b/>
          <w:bCs/>
          <w:color w:val="auto"/>
          <w:kern w:val="0"/>
          <w:sz w:val="24"/>
          <w:highlight w:val="none"/>
          <w:lang w:val="en-US" w:eastAsia="zh-CN"/>
        </w:rPr>
        <w:t>三、项目服务要求</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1、为确保服务周期内对已供地项目全环节开发进度监管信息的及时、准确，供应商必须向采购方派驻固定人员及配备车辆等。</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2、为保障监测系统的正常运行，供应商提供的售后维护机构和人员等情况，是否具有较强的本地化服务能力，在本地是否拥有常驻服务机构及较强的专业技术队伍，确保能提供快速的售后服务响应。</w:t>
      </w:r>
    </w:p>
    <w:p>
      <w:pPr>
        <w:adjustRightInd w:val="0"/>
        <w:spacing w:line="360" w:lineRule="auto"/>
        <w:ind w:firstLine="480" w:firstLineChars="200"/>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3、为了更好的对全区已供地项目全环节开发进度监管政策和全区批而未供、供而未用、城镇低效用地消化政策的理解、执行和沟通，供应商应充分的熟悉与之相关的各项政策规定及上级主管部门沟通联系，以保证该工作实施的顺利、高效、准确。</w:t>
      </w:r>
    </w:p>
    <w:p>
      <w:pPr>
        <w:adjustRightInd w:val="0"/>
        <w:spacing w:line="360" w:lineRule="auto"/>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cs="Arial"/>
          <w:b/>
          <w:bCs/>
          <w:color w:val="auto"/>
          <w:kern w:val="0"/>
          <w:sz w:val="24"/>
          <w:highlight w:val="none"/>
          <w:lang w:val="en-US" w:eastAsia="zh-CN"/>
        </w:rPr>
        <w:t>四、合同履行期限：</w:t>
      </w:r>
      <w:r>
        <w:rPr>
          <w:rFonts w:hint="eastAsia" w:ascii="仿宋_GB2312" w:hAnsi="仿宋" w:eastAsia="仿宋_GB2312" w:cs="Times New Roman"/>
          <w:b/>
          <w:color w:val="auto"/>
          <w:sz w:val="24"/>
          <w:szCs w:val="24"/>
          <w:highlight w:val="none"/>
        </w:rPr>
        <w:t>合同签订之日起3年（日历年）内完成所有项目内容</w:t>
      </w:r>
      <w:r>
        <w:rPr>
          <w:rFonts w:hint="eastAsia" w:ascii="仿宋_GB2312" w:hAnsi="仿宋" w:eastAsia="仿宋_GB2312" w:cs="Times New Roman"/>
          <w:b/>
          <w:color w:val="auto"/>
          <w:sz w:val="24"/>
          <w:szCs w:val="24"/>
          <w:highlight w:val="none"/>
          <w:lang w:eastAsia="zh-CN"/>
        </w:rPr>
        <w:t>。</w:t>
      </w:r>
    </w:p>
    <w:p>
      <w:pPr>
        <w:adjustRightInd w:val="0"/>
        <w:spacing w:line="360" w:lineRule="auto"/>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b/>
          <w:bCs/>
          <w:snapToGrid/>
          <w:color w:val="auto"/>
          <w:kern w:val="0"/>
          <w:sz w:val="24"/>
          <w:szCs w:val="24"/>
          <w:highlight w:val="none"/>
          <w:lang w:val="en-US" w:eastAsia="zh-CN" w:bidi="ar-SA"/>
        </w:rPr>
        <w:t>五、款项支付</w:t>
      </w:r>
      <w:r>
        <w:rPr>
          <w:rFonts w:hint="eastAsia" w:ascii="仿宋_GB2312" w:hAnsi="仿宋" w:eastAsia="仿宋_GB2312" w:cs="Arial"/>
          <w:color w:val="auto"/>
          <w:kern w:val="0"/>
          <w:sz w:val="24"/>
          <w:highlight w:val="none"/>
          <w:lang w:val="en-US" w:eastAsia="zh-CN"/>
        </w:rPr>
        <w:t xml:space="preserve">：项目合同费用按三个年度分期支付，第一年度支付为合同总价的30%，第二年度支付为合同总价的30%，第三年度支付为合同总价的40%。中标人于合同签订后每年度提交当年所有成果文档资料，维护服务良好，无质量和服务问题，中标人于每年末向采购人办理付款结算手续；  </w:t>
      </w:r>
    </w:p>
    <w:p>
      <w:pPr>
        <w:pStyle w:val="2"/>
        <w:ind w:firstLine="480" w:firstLineChars="200"/>
        <w:rPr>
          <w:rFonts w:hint="default"/>
          <w:color w:val="auto"/>
          <w:highlight w:val="none"/>
          <w:lang w:val="en-US" w:eastAsia="zh-CN"/>
        </w:rPr>
      </w:pPr>
      <w:r>
        <w:rPr>
          <w:rFonts w:hint="default" w:ascii="仿宋_GB2312" w:hAnsi="仿宋" w:eastAsia="仿宋_GB2312" w:cs="Arial"/>
          <w:snapToGrid/>
          <w:color w:val="auto"/>
          <w:kern w:val="0"/>
          <w:sz w:val="24"/>
          <w:szCs w:val="24"/>
          <w:highlight w:val="none"/>
          <w:lang w:val="en-US" w:eastAsia="zh-CN" w:bidi="ar-SA"/>
        </w:rPr>
        <w:t>在合同履行过程中，如供应商在服务过程中出现服务质量不到位、维护响应不及时等问题，采购单位提出警告，要求整改后，仍无法达到采购单位考核标准要求的，采购人有权终止合同，并拒绝支付相应的服务费用。</w:t>
      </w:r>
    </w:p>
    <w:p>
      <w:pPr>
        <w:adjustRightInd w:val="0"/>
        <w:spacing w:line="360" w:lineRule="auto"/>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 xml:space="preserve"> 六</w:t>
      </w:r>
      <w:r>
        <w:rPr>
          <w:rFonts w:hint="eastAsia" w:ascii="仿宋_GB2312" w:hAnsi="仿宋" w:eastAsia="仿宋_GB2312" w:cs="Arial"/>
          <w:b/>
          <w:bCs/>
          <w:color w:val="auto"/>
          <w:kern w:val="0"/>
          <w:sz w:val="24"/>
          <w:highlight w:val="none"/>
          <w:lang w:val="en-US" w:eastAsia="zh-CN"/>
        </w:rPr>
        <w:t>、项目验收要求：</w:t>
      </w:r>
      <w:r>
        <w:rPr>
          <w:rFonts w:hint="eastAsia" w:ascii="仿宋_GB2312" w:hAnsi="仿宋" w:eastAsia="仿宋_GB2312" w:cs="Arial"/>
          <w:color w:val="auto"/>
          <w:kern w:val="0"/>
          <w:sz w:val="24"/>
          <w:highlight w:val="none"/>
          <w:lang w:val="en-US" w:eastAsia="zh-CN"/>
        </w:rPr>
        <w:t>项目验收需根据招标文件以及合同的需求，由采购方召集专家组织项目验收。验收时需提供的文档包括但不仅限于：项目投标文件电子稿、项目实施方案、系统（软件）安装实施报告、测试方案、测试记录及报告、相关配置和维护手册、系统试运行报告、项目总结报告、项目用户报告等相关材料</w:t>
      </w:r>
    </w:p>
    <w:p>
      <w:pPr>
        <w:spacing w:line="240" w:lineRule="auto"/>
        <w:ind w:left="0" w:firstLine="0" w:firstLineChars="0"/>
        <w:rPr>
          <w:rFonts w:ascii="仿宋" w:hAnsi="仿宋" w:eastAsia="仿宋"/>
          <w:color w:val="auto"/>
          <w:sz w:val="24"/>
          <w:highlight w:val="none"/>
        </w:rPr>
      </w:pPr>
    </w:p>
    <w:p>
      <w:pPr>
        <w:widowControl/>
        <w:spacing w:line="240" w:lineRule="auto"/>
        <w:ind w:left="0" w:firstLine="0" w:firstLineChars="0"/>
        <w:jc w:val="left"/>
        <w:rPr>
          <w:rFonts w:ascii="仿宋" w:hAnsi="仿宋" w:eastAsia="仿宋"/>
          <w:bCs/>
          <w:color w:val="auto"/>
          <w:sz w:val="24"/>
          <w:highlight w:val="none"/>
        </w:rPr>
      </w:pPr>
    </w:p>
    <w:p>
      <w:pPr>
        <w:rPr>
          <w:rFonts w:ascii="仿宋" w:hAnsi="仿宋" w:eastAsia="仿宋" w:cs="Arial"/>
          <w:snapToGrid w:val="0"/>
          <w:color w:val="auto"/>
          <w:kern w:val="0"/>
          <w:sz w:val="24"/>
          <w:highlight w:val="none"/>
        </w:rPr>
      </w:pPr>
    </w:p>
    <w:p>
      <w:pPr>
        <w:snapToGrid w:val="0"/>
        <w:spacing w:line="360" w:lineRule="auto"/>
        <w:jc w:val="center"/>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10318"/>
      <w:bookmarkEnd w:id="27"/>
      <w:bookmarkStart w:id="28" w:name="_Toc184314455"/>
      <w:bookmarkEnd w:id="28"/>
      <w:bookmarkStart w:id="29" w:name="_Toc184308053"/>
      <w:bookmarkEnd w:id="29"/>
      <w:bookmarkStart w:id="30" w:name="_Toc184312067"/>
      <w:bookmarkEnd w:id="30"/>
      <w:bookmarkStart w:id="31" w:name="_Toc184313301"/>
      <w:bookmarkEnd w:id="31"/>
      <w:bookmarkStart w:id="32" w:name="_Toc184312092"/>
      <w:bookmarkEnd w:id="32"/>
      <w:bookmarkStart w:id="33" w:name="_Toc184314452"/>
      <w:bookmarkEnd w:id="33"/>
      <w:bookmarkStart w:id="34" w:name="_Toc184313261"/>
      <w:bookmarkEnd w:id="34"/>
      <w:bookmarkStart w:id="35" w:name="_Toc184313297"/>
      <w:bookmarkEnd w:id="35"/>
      <w:bookmarkStart w:id="36" w:name="_Toc184314450"/>
      <w:bookmarkEnd w:id="36"/>
      <w:bookmarkStart w:id="37" w:name="_Toc184313260"/>
      <w:bookmarkEnd w:id="37"/>
      <w:bookmarkStart w:id="38" w:name="_Toc184310272"/>
      <w:bookmarkEnd w:id="38"/>
      <w:bookmarkStart w:id="39" w:name="_Toc184314465"/>
      <w:bookmarkEnd w:id="39"/>
      <w:bookmarkStart w:id="40" w:name="_Toc184314433"/>
      <w:bookmarkEnd w:id="40"/>
      <w:bookmarkStart w:id="41" w:name="_Toc184313277"/>
      <w:bookmarkEnd w:id="41"/>
      <w:bookmarkStart w:id="42" w:name="_Toc184313257"/>
      <w:bookmarkEnd w:id="42"/>
      <w:bookmarkStart w:id="43" w:name="_Toc184314434"/>
      <w:bookmarkEnd w:id="43"/>
      <w:bookmarkStart w:id="44" w:name="_Toc184310320"/>
      <w:bookmarkEnd w:id="44"/>
      <w:bookmarkStart w:id="45" w:name="_Toc184310279"/>
      <w:bookmarkEnd w:id="45"/>
      <w:bookmarkStart w:id="46" w:name="_Toc184310339"/>
      <w:bookmarkEnd w:id="46"/>
      <w:bookmarkStart w:id="47" w:name="_Toc184310335"/>
      <w:bookmarkEnd w:id="47"/>
      <w:bookmarkStart w:id="48" w:name="_Toc184308051"/>
      <w:bookmarkEnd w:id="48"/>
      <w:bookmarkStart w:id="49" w:name="_Toc184313280"/>
      <w:bookmarkEnd w:id="49"/>
      <w:bookmarkStart w:id="50" w:name="_Toc184308095"/>
      <w:bookmarkEnd w:id="50"/>
      <w:bookmarkStart w:id="51" w:name="_Toc184314458"/>
      <w:bookmarkEnd w:id="51"/>
      <w:bookmarkStart w:id="52" w:name="_Toc184310340"/>
      <w:bookmarkEnd w:id="52"/>
      <w:bookmarkStart w:id="53" w:name="_Toc184314416"/>
      <w:bookmarkEnd w:id="53"/>
      <w:bookmarkStart w:id="54" w:name="_Toc184308092"/>
      <w:bookmarkEnd w:id="54"/>
      <w:bookmarkStart w:id="55" w:name="_Toc184314464"/>
      <w:bookmarkEnd w:id="55"/>
      <w:bookmarkStart w:id="56" w:name="_Toc184308074"/>
      <w:bookmarkEnd w:id="56"/>
      <w:bookmarkStart w:id="57" w:name="_Toc184314478"/>
      <w:bookmarkEnd w:id="57"/>
      <w:bookmarkStart w:id="58" w:name="_Toc184308101"/>
      <w:bookmarkEnd w:id="58"/>
      <w:bookmarkStart w:id="59" w:name="_Toc184312107"/>
      <w:bookmarkEnd w:id="59"/>
      <w:bookmarkStart w:id="60" w:name="_Toc184308088"/>
      <w:bookmarkEnd w:id="60"/>
      <w:bookmarkStart w:id="61" w:name="_Toc184310330"/>
      <w:bookmarkEnd w:id="61"/>
      <w:bookmarkStart w:id="62" w:name="_Toc184308056"/>
      <w:bookmarkEnd w:id="62"/>
      <w:bookmarkStart w:id="63" w:name="_Toc184310325"/>
      <w:bookmarkEnd w:id="63"/>
      <w:bookmarkStart w:id="64" w:name="_Toc184310312"/>
      <w:bookmarkEnd w:id="64"/>
      <w:bookmarkStart w:id="65" w:name="_Toc184308105"/>
      <w:bookmarkEnd w:id="65"/>
      <w:bookmarkStart w:id="66" w:name="_Toc184312095"/>
      <w:bookmarkEnd w:id="66"/>
      <w:bookmarkStart w:id="67" w:name="_Toc184313244"/>
      <w:bookmarkEnd w:id="67"/>
      <w:bookmarkStart w:id="68" w:name="_Toc184310314"/>
      <w:bookmarkEnd w:id="68"/>
      <w:bookmarkStart w:id="69" w:name="_Toc184313305"/>
      <w:bookmarkEnd w:id="69"/>
      <w:bookmarkStart w:id="70" w:name="_Toc184313307"/>
      <w:bookmarkEnd w:id="70"/>
      <w:bookmarkStart w:id="71" w:name="_Toc184314413"/>
      <w:bookmarkEnd w:id="71"/>
      <w:bookmarkStart w:id="72" w:name="_Toc184314454"/>
      <w:bookmarkEnd w:id="72"/>
      <w:bookmarkStart w:id="73" w:name="_Toc184310317"/>
      <w:bookmarkEnd w:id="73"/>
      <w:bookmarkStart w:id="74" w:name="_Toc184310273"/>
      <w:bookmarkEnd w:id="74"/>
      <w:bookmarkStart w:id="75" w:name="_Toc184313259"/>
      <w:bookmarkEnd w:id="75"/>
      <w:bookmarkStart w:id="76" w:name="_Toc184312085"/>
      <w:bookmarkEnd w:id="76"/>
      <w:bookmarkStart w:id="77" w:name="_Toc184312097"/>
      <w:bookmarkEnd w:id="77"/>
      <w:bookmarkStart w:id="78" w:name="_Toc184312086"/>
      <w:bookmarkEnd w:id="78"/>
      <w:bookmarkStart w:id="79" w:name="_Toc184312091"/>
      <w:bookmarkEnd w:id="79"/>
      <w:bookmarkStart w:id="80" w:name="_Toc184313288"/>
      <w:bookmarkEnd w:id="80"/>
      <w:bookmarkStart w:id="81" w:name="_Toc184313285"/>
      <w:bookmarkEnd w:id="81"/>
      <w:bookmarkStart w:id="82" w:name="_Toc184310321"/>
      <w:bookmarkEnd w:id="82"/>
      <w:bookmarkStart w:id="83" w:name="_Toc184312134"/>
      <w:bookmarkEnd w:id="83"/>
      <w:bookmarkStart w:id="84" w:name="_Toc184308098"/>
      <w:bookmarkEnd w:id="84"/>
      <w:bookmarkStart w:id="85" w:name="_Toc184310290"/>
      <w:bookmarkEnd w:id="85"/>
      <w:bookmarkStart w:id="86" w:name="_Toc184308096"/>
      <w:bookmarkEnd w:id="86"/>
      <w:bookmarkStart w:id="87" w:name="_Toc184310344"/>
      <w:bookmarkEnd w:id="87"/>
      <w:bookmarkStart w:id="88" w:name="_Toc184308066"/>
      <w:bookmarkEnd w:id="88"/>
      <w:bookmarkStart w:id="89" w:name="_Toc184314443"/>
      <w:bookmarkEnd w:id="89"/>
      <w:bookmarkStart w:id="90" w:name="_Toc184310275"/>
      <w:bookmarkEnd w:id="90"/>
      <w:bookmarkStart w:id="91" w:name="_Toc184312115"/>
      <w:bookmarkEnd w:id="91"/>
      <w:bookmarkStart w:id="92" w:name="_Toc184312116"/>
      <w:bookmarkEnd w:id="92"/>
      <w:bookmarkStart w:id="93" w:name="_Toc184312127"/>
      <w:bookmarkEnd w:id="93"/>
      <w:bookmarkStart w:id="94" w:name="_Toc184312133"/>
      <w:bookmarkEnd w:id="94"/>
      <w:bookmarkStart w:id="95" w:name="_Toc184310287"/>
      <w:bookmarkEnd w:id="95"/>
      <w:bookmarkStart w:id="96" w:name="_Toc184314422"/>
      <w:bookmarkEnd w:id="96"/>
      <w:bookmarkStart w:id="97" w:name="_Toc184310297"/>
      <w:bookmarkEnd w:id="97"/>
      <w:bookmarkStart w:id="98" w:name="_Toc184313262"/>
      <w:bookmarkEnd w:id="98"/>
      <w:bookmarkStart w:id="99" w:name="_Toc184312122"/>
      <w:bookmarkEnd w:id="99"/>
      <w:bookmarkStart w:id="100" w:name="_Toc184308038"/>
      <w:bookmarkEnd w:id="100"/>
      <w:bookmarkStart w:id="101" w:name="_Toc184308058"/>
      <w:bookmarkEnd w:id="101"/>
      <w:bookmarkStart w:id="102" w:name="_Toc184314481"/>
      <w:bookmarkEnd w:id="102"/>
      <w:bookmarkStart w:id="103" w:name="_Toc184308050"/>
      <w:bookmarkEnd w:id="103"/>
      <w:bookmarkStart w:id="104" w:name="_Toc184314459"/>
      <w:bookmarkEnd w:id="104"/>
      <w:bookmarkStart w:id="105" w:name="_Toc184310293"/>
      <w:bookmarkEnd w:id="105"/>
      <w:bookmarkStart w:id="106" w:name="_Toc184308077"/>
      <w:bookmarkEnd w:id="106"/>
      <w:bookmarkStart w:id="107" w:name="_Toc184313306"/>
      <w:bookmarkEnd w:id="107"/>
      <w:bookmarkStart w:id="108" w:name="_Toc184314463"/>
      <w:bookmarkEnd w:id="108"/>
      <w:bookmarkStart w:id="109" w:name="_Toc184312070"/>
      <w:bookmarkEnd w:id="109"/>
      <w:bookmarkStart w:id="110" w:name="_Toc184314431"/>
      <w:bookmarkEnd w:id="110"/>
      <w:bookmarkStart w:id="111" w:name="_Toc184308040"/>
      <w:bookmarkEnd w:id="111"/>
      <w:bookmarkStart w:id="112" w:name="_Toc184314429"/>
      <w:bookmarkEnd w:id="112"/>
      <w:bookmarkStart w:id="113" w:name="_Toc184313263"/>
      <w:bookmarkEnd w:id="113"/>
      <w:bookmarkStart w:id="114" w:name="_Toc184313256"/>
      <w:bookmarkEnd w:id="114"/>
      <w:bookmarkStart w:id="115" w:name="_Toc184308091"/>
      <w:bookmarkEnd w:id="115"/>
      <w:bookmarkStart w:id="116" w:name="_Toc184310280"/>
      <w:bookmarkEnd w:id="116"/>
      <w:bookmarkStart w:id="117" w:name="_Toc184314438"/>
      <w:bookmarkEnd w:id="117"/>
      <w:bookmarkStart w:id="118" w:name="_Toc184308080"/>
      <w:bookmarkEnd w:id="118"/>
      <w:bookmarkStart w:id="119" w:name="_Toc184313245"/>
      <w:bookmarkEnd w:id="119"/>
      <w:bookmarkStart w:id="120" w:name="_Toc184313275"/>
      <w:bookmarkEnd w:id="120"/>
      <w:bookmarkStart w:id="121" w:name="_Toc184314430"/>
      <w:bookmarkEnd w:id="121"/>
      <w:bookmarkStart w:id="122" w:name="_Toc184308064"/>
      <w:bookmarkEnd w:id="122"/>
      <w:bookmarkStart w:id="123" w:name="_Toc184308037"/>
      <w:bookmarkEnd w:id="123"/>
      <w:bookmarkStart w:id="124" w:name="_Toc184314467"/>
      <w:bookmarkEnd w:id="124"/>
      <w:bookmarkStart w:id="125" w:name="_Toc184314432"/>
      <w:bookmarkEnd w:id="125"/>
      <w:bookmarkStart w:id="126" w:name="_Toc184308076"/>
      <w:bookmarkEnd w:id="126"/>
      <w:bookmarkStart w:id="127" w:name="_Toc184313289"/>
      <w:bookmarkEnd w:id="127"/>
      <w:bookmarkStart w:id="128" w:name="_Toc184310322"/>
      <w:bookmarkEnd w:id="128"/>
      <w:bookmarkStart w:id="129" w:name="_Toc184308049"/>
      <w:bookmarkEnd w:id="129"/>
      <w:bookmarkStart w:id="130" w:name="_Toc184313282"/>
      <w:bookmarkEnd w:id="130"/>
      <w:bookmarkStart w:id="131" w:name="_Toc184312087"/>
      <w:bookmarkEnd w:id="131"/>
      <w:bookmarkStart w:id="132" w:name="_Toc184314479"/>
      <w:bookmarkEnd w:id="132"/>
      <w:bookmarkStart w:id="133" w:name="_Toc184310315"/>
      <w:bookmarkEnd w:id="133"/>
      <w:bookmarkStart w:id="134" w:name="_Toc184308054"/>
      <w:bookmarkEnd w:id="134"/>
      <w:bookmarkStart w:id="135" w:name="_Toc184312068"/>
      <w:bookmarkEnd w:id="135"/>
      <w:bookmarkStart w:id="136" w:name="_Toc184313243"/>
      <w:bookmarkEnd w:id="136"/>
      <w:bookmarkStart w:id="137" w:name="_Toc184308087"/>
      <w:bookmarkEnd w:id="137"/>
      <w:bookmarkStart w:id="138" w:name="_Toc184313253"/>
      <w:bookmarkEnd w:id="138"/>
      <w:bookmarkStart w:id="139" w:name="_Toc184312132"/>
      <w:bookmarkEnd w:id="139"/>
      <w:bookmarkStart w:id="140" w:name="_Toc184312130"/>
      <w:bookmarkEnd w:id="140"/>
      <w:bookmarkStart w:id="141" w:name="_Toc184310295"/>
      <w:bookmarkEnd w:id="141"/>
      <w:bookmarkStart w:id="142" w:name="_Toc184313286"/>
      <w:bookmarkEnd w:id="142"/>
      <w:bookmarkStart w:id="143" w:name="_Toc184313273"/>
      <w:bookmarkEnd w:id="143"/>
      <w:bookmarkStart w:id="144" w:name="_Toc184313299"/>
      <w:bookmarkEnd w:id="144"/>
      <w:bookmarkStart w:id="145" w:name="_Toc184310298"/>
      <w:bookmarkEnd w:id="145"/>
      <w:bookmarkStart w:id="146" w:name="_Toc184314457"/>
      <w:bookmarkEnd w:id="146"/>
      <w:bookmarkStart w:id="147" w:name="_Toc184312069"/>
      <w:bookmarkEnd w:id="147"/>
      <w:bookmarkStart w:id="148" w:name="_Toc184312135"/>
      <w:bookmarkEnd w:id="148"/>
      <w:bookmarkStart w:id="149" w:name="_Toc184308099"/>
      <w:bookmarkEnd w:id="149"/>
      <w:bookmarkStart w:id="150" w:name="_Toc184308089"/>
      <w:bookmarkEnd w:id="150"/>
      <w:bookmarkStart w:id="151" w:name="_Toc184310307"/>
      <w:bookmarkEnd w:id="151"/>
      <w:bookmarkStart w:id="152" w:name="_Toc184312136"/>
      <w:bookmarkEnd w:id="152"/>
      <w:bookmarkStart w:id="153" w:name="_Toc184314447"/>
      <w:bookmarkEnd w:id="153"/>
      <w:bookmarkStart w:id="154" w:name="_Toc184314468"/>
      <w:bookmarkEnd w:id="154"/>
      <w:bookmarkStart w:id="155" w:name="_Toc184310304"/>
      <w:bookmarkEnd w:id="155"/>
      <w:bookmarkStart w:id="156" w:name="_Toc184308073"/>
      <w:bookmarkEnd w:id="156"/>
      <w:bookmarkStart w:id="157" w:name="_Toc184312114"/>
      <w:bookmarkEnd w:id="157"/>
      <w:bookmarkStart w:id="158" w:name="_Toc184308036"/>
      <w:bookmarkEnd w:id="158"/>
      <w:bookmarkStart w:id="159" w:name="_Toc184313251"/>
      <w:bookmarkEnd w:id="159"/>
      <w:bookmarkStart w:id="160" w:name="_Toc184314449"/>
      <w:bookmarkEnd w:id="160"/>
      <w:bookmarkStart w:id="161" w:name="_Toc184312094"/>
      <w:bookmarkEnd w:id="161"/>
      <w:bookmarkStart w:id="162" w:name="_Toc184314428"/>
      <w:bookmarkEnd w:id="162"/>
      <w:bookmarkStart w:id="163" w:name="_Toc184310331"/>
      <w:bookmarkEnd w:id="163"/>
      <w:bookmarkStart w:id="164" w:name="_Toc184312073"/>
      <w:bookmarkEnd w:id="164"/>
      <w:bookmarkStart w:id="165" w:name="_Toc184308081"/>
      <w:bookmarkEnd w:id="165"/>
      <w:bookmarkStart w:id="166" w:name="_Toc184313266"/>
      <w:bookmarkEnd w:id="166"/>
      <w:bookmarkStart w:id="167" w:name="_Toc184313246"/>
      <w:bookmarkEnd w:id="167"/>
      <w:bookmarkStart w:id="168" w:name="_Toc184313287"/>
      <w:bookmarkEnd w:id="168"/>
      <w:bookmarkStart w:id="169" w:name="_Toc184312106"/>
      <w:bookmarkEnd w:id="169"/>
      <w:bookmarkStart w:id="170" w:name="_Toc184313292"/>
      <w:bookmarkEnd w:id="170"/>
      <w:bookmarkStart w:id="171" w:name="_Toc184312112"/>
      <w:bookmarkEnd w:id="171"/>
      <w:bookmarkStart w:id="172" w:name="_Toc184308042"/>
      <w:bookmarkEnd w:id="172"/>
      <w:bookmarkStart w:id="173" w:name="_Toc184310288"/>
      <w:bookmarkEnd w:id="173"/>
      <w:bookmarkStart w:id="174" w:name="_Toc184310302"/>
      <w:bookmarkEnd w:id="174"/>
      <w:bookmarkStart w:id="175" w:name="_Toc184308059"/>
      <w:bookmarkEnd w:id="175"/>
      <w:bookmarkStart w:id="176" w:name="_Toc184308041"/>
      <w:bookmarkEnd w:id="176"/>
      <w:bookmarkStart w:id="177" w:name="_Toc184308104"/>
      <w:bookmarkEnd w:id="177"/>
      <w:bookmarkStart w:id="178" w:name="_Toc184308106"/>
      <w:bookmarkEnd w:id="178"/>
      <w:bookmarkStart w:id="179" w:name="_Toc184310299"/>
      <w:bookmarkEnd w:id="179"/>
      <w:bookmarkStart w:id="180" w:name="_Toc184313290"/>
      <w:bookmarkEnd w:id="180"/>
      <w:bookmarkStart w:id="181" w:name="_Toc184312125"/>
      <w:bookmarkEnd w:id="181"/>
      <w:bookmarkStart w:id="182" w:name="_Toc184308061"/>
      <w:bookmarkEnd w:id="182"/>
      <w:bookmarkStart w:id="183" w:name="_Toc184313284"/>
      <w:bookmarkEnd w:id="183"/>
      <w:bookmarkStart w:id="184" w:name="_Toc184312089"/>
      <w:bookmarkEnd w:id="184"/>
      <w:bookmarkStart w:id="185" w:name="_Toc184308045"/>
      <w:bookmarkEnd w:id="185"/>
      <w:bookmarkStart w:id="186" w:name="_Toc184313276"/>
      <w:bookmarkEnd w:id="186"/>
      <w:bookmarkStart w:id="187" w:name="_Toc184308097"/>
      <w:bookmarkEnd w:id="187"/>
      <w:bookmarkStart w:id="188" w:name="_Toc184313265"/>
      <w:bookmarkEnd w:id="188"/>
      <w:bookmarkStart w:id="189" w:name="_Toc184312129"/>
      <w:bookmarkEnd w:id="189"/>
      <w:bookmarkStart w:id="190" w:name="_Toc184313294"/>
      <w:bookmarkEnd w:id="190"/>
      <w:bookmarkStart w:id="191" w:name="_Toc184313241"/>
      <w:bookmarkEnd w:id="191"/>
      <w:bookmarkStart w:id="192" w:name="_Toc184308068"/>
      <w:bookmarkEnd w:id="192"/>
      <w:bookmarkStart w:id="193" w:name="_Toc184310327"/>
      <w:bookmarkEnd w:id="193"/>
      <w:bookmarkStart w:id="194" w:name="_Toc184314469"/>
      <w:bookmarkEnd w:id="194"/>
      <w:bookmarkStart w:id="195" w:name="_Toc184308046"/>
      <w:bookmarkEnd w:id="195"/>
      <w:bookmarkStart w:id="196" w:name="_Toc184314471"/>
      <w:bookmarkEnd w:id="196"/>
      <w:bookmarkStart w:id="197" w:name="_Toc184310309"/>
      <w:bookmarkEnd w:id="197"/>
      <w:bookmarkStart w:id="198" w:name="_Toc184314427"/>
      <w:bookmarkEnd w:id="198"/>
      <w:bookmarkStart w:id="199" w:name="_Toc184312098"/>
      <w:bookmarkEnd w:id="199"/>
      <w:bookmarkStart w:id="200" w:name="_Toc184310294"/>
      <w:bookmarkEnd w:id="200"/>
      <w:bookmarkStart w:id="201" w:name="_Toc184314435"/>
      <w:bookmarkEnd w:id="201"/>
      <w:bookmarkStart w:id="202" w:name="_Toc184312137"/>
      <w:bookmarkEnd w:id="202"/>
      <w:bookmarkStart w:id="203" w:name="_Toc184313303"/>
      <w:bookmarkEnd w:id="203"/>
      <w:bookmarkStart w:id="204" w:name="_Toc184308103"/>
      <w:bookmarkEnd w:id="204"/>
      <w:bookmarkStart w:id="205" w:name="_Toc184312088"/>
      <w:bookmarkEnd w:id="205"/>
      <w:bookmarkStart w:id="206" w:name="_Toc184312074"/>
      <w:bookmarkEnd w:id="206"/>
      <w:bookmarkStart w:id="207" w:name="_Toc184313309"/>
      <w:bookmarkEnd w:id="207"/>
      <w:bookmarkStart w:id="208" w:name="_Toc184310276"/>
      <w:bookmarkEnd w:id="208"/>
      <w:bookmarkStart w:id="209" w:name="_Toc184313310"/>
      <w:bookmarkEnd w:id="209"/>
      <w:bookmarkStart w:id="210" w:name="_Toc184310313"/>
      <w:bookmarkEnd w:id="210"/>
      <w:bookmarkStart w:id="211" w:name="_Toc184312111"/>
      <w:bookmarkEnd w:id="211"/>
      <w:bookmarkStart w:id="212" w:name="_Toc184313300"/>
      <w:bookmarkEnd w:id="212"/>
      <w:bookmarkStart w:id="213" w:name="_Toc184313278"/>
      <w:bookmarkEnd w:id="213"/>
      <w:bookmarkStart w:id="214" w:name="_Toc184312109"/>
      <w:bookmarkEnd w:id="214"/>
      <w:bookmarkStart w:id="215" w:name="_Toc184313304"/>
      <w:bookmarkEnd w:id="215"/>
      <w:bookmarkStart w:id="216" w:name="_Toc184313296"/>
      <w:bookmarkEnd w:id="216"/>
      <w:bookmarkStart w:id="217" w:name="_Toc184314414"/>
      <w:bookmarkEnd w:id="217"/>
      <w:bookmarkStart w:id="218" w:name="_Toc184308065"/>
      <w:bookmarkEnd w:id="218"/>
      <w:bookmarkStart w:id="219" w:name="_Toc184312077"/>
      <w:bookmarkEnd w:id="219"/>
      <w:bookmarkStart w:id="220" w:name="_Toc184310278"/>
      <w:bookmarkEnd w:id="220"/>
      <w:bookmarkStart w:id="221" w:name="_Toc184308060"/>
      <w:bookmarkEnd w:id="221"/>
      <w:bookmarkStart w:id="222" w:name="_Toc184310326"/>
      <w:bookmarkEnd w:id="222"/>
      <w:bookmarkStart w:id="223" w:name="_Toc184314412"/>
      <w:bookmarkEnd w:id="223"/>
      <w:bookmarkStart w:id="224" w:name="_Toc184312072"/>
      <w:bookmarkEnd w:id="224"/>
      <w:bookmarkStart w:id="225" w:name="_Toc184308085"/>
      <w:bookmarkEnd w:id="225"/>
      <w:bookmarkStart w:id="226" w:name="_Toc184314440"/>
      <w:bookmarkEnd w:id="226"/>
      <w:bookmarkStart w:id="227" w:name="_Toc184312096"/>
      <w:bookmarkEnd w:id="227"/>
      <w:bookmarkStart w:id="228" w:name="_Toc184308067"/>
      <w:bookmarkEnd w:id="228"/>
      <w:bookmarkStart w:id="229" w:name="_Toc184312110"/>
      <w:bookmarkEnd w:id="229"/>
      <w:bookmarkStart w:id="230" w:name="_Toc184312120"/>
      <w:bookmarkEnd w:id="230"/>
      <w:bookmarkStart w:id="231" w:name="_Toc184310334"/>
      <w:bookmarkEnd w:id="231"/>
      <w:bookmarkStart w:id="232" w:name="_Toc184310316"/>
      <w:bookmarkEnd w:id="232"/>
      <w:bookmarkStart w:id="233" w:name="_Toc184314470"/>
      <w:bookmarkEnd w:id="233"/>
      <w:bookmarkStart w:id="234" w:name="_Toc184310296"/>
      <w:bookmarkEnd w:id="234"/>
      <w:bookmarkStart w:id="235" w:name="_Toc184308055"/>
      <w:bookmarkEnd w:id="235"/>
      <w:bookmarkStart w:id="236" w:name="_Toc184314460"/>
      <w:bookmarkEnd w:id="236"/>
      <w:bookmarkStart w:id="237" w:name="_Toc184314424"/>
      <w:bookmarkEnd w:id="237"/>
      <w:bookmarkStart w:id="238" w:name="_Toc184308084"/>
      <w:bookmarkEnd w:id="238"/>
      <w:bookmarkStart w:id="239" w:name="_Toc184308069"/>
      <w:bookmarkEnd w:id="239"/>
      <w:bookmarkStart w:id="240" w:name="_Toc184312082"/>
      <w:bookmarkEnd w:id="240"/>
      <w:bookmarkStart w:id="241" w:name="_Toc184312090"/>
      <w:bookmarkEnd w:id="241"/>
      <w:bookmarkStart w:id="242" w:name="_Toc184312117"/>
      <w:bookmarkEnd w:id="242"/>
      <w:bookmarkStart w:id="243" w:name="_Toc184310338"/>
      <w:bookmarkEnd w:id="243"/>
      <w:bookmarkStart w:id="244" w:name="_Toc184310343"/>
      <w:bookmarkEnd w:id="244"/>
      <w:bookmarkStart w:id="245" w:name="_Toc184314417"/>
      <w:bookmarkEnd w:id="245"/>
      <w:bookmarkStart w:id="246" w:name="_Toc184314437"/>
      <w:bookmarkEnd w:id="246"/>
      <w:bookmarkStart w:id="247" w:name="_Toc184312128"/>
      <w:bookmarkEnd w:id="247"/>
      <w:bookmarkStart w:id="248" w:name="_Toc184308090"/>
      <w:bookmarkEnd w:id="248"/>
      <w:bookmarkStart w:id="249" w:name="_Toc184310329"/>
      <w:bookmarkEnd w:id="249"/>
      <w:bookmarkStart w:id="250" w:name="_Toc184310342"/>
      <w:bookmarkEnd w:id="250"/>
      <w:bookmarkStart w:id="251" w:name="_Toc184310289"/>
      <w:bookmarkEnd w:id="251"/>
      <w:bookmarkStart w:id="252" w:name="_Toc184314423"/>
      <w:bookmarkEnd w:id="252"/>
      <w:bookmarkStart w:id="253" w:name="_Toc184314421"/>
      <w:bookmarkEnd w:id="253"/>
      <w:bookmarkStart w:id="254" w:name="_Toc184312108"/>
      <w:bookmarkEnd w:id="254"/>
      <w:bookmarkStart w:id="255" w:name="_Toc184310332"/>
      <w:bookmarkEnd w:id="255"/>
      <w:bookmarkStart w:id="256" w:name="_Toc184308075"/>
      <w:bookmarkEnd w:id="256"/>
      <w:bookmarkStart w:id="257" w:name="_Toc184308039"/>
      <w:bookmarkEnd w:id="257"/>
      <w:bookmarkStart w:id="258" w:name="_Toc184310323"/>
      <w:bookmarkEnd w:id="258"/>
      <w:bookmarkStart w:id="259" w:name="_Toc184308107"/>
      <w:bookmarkEnd w:id="259"/>
      <w:bookmarkStart w:id="260" w:name="_Toc184314439"/>
      <w:bookmarkEnd w:id="260"/>
      <w:bookmarkStart w:id="261" w:name="_Toc184308062"/>
      <w:bookmarkEnd w:id="261"/>
      <w:bookmarkStart w:id="262" w:name="_Toc184313248"/>
      <w:bookmarkEnd w:id="262"/>
      <w:bookmarkStart w:id="263" w:name="_Toc184310333"/>
      <w:bookmarkEnd w:id="263"/>
      <w:bookmarkStart w:id="264" w:name="_Toc184313250"/>
      <w:bookmarkEnd w:id="264"/>
      <w:bookmarkStart w:id="265" w:name="_Toc184312121"/>
      <w:bookmarkEnd w:id="265"/>
      <w:bookmarkStart w:id="266" w:name="_Toc184310284"/>
      <w:bookmarkEnd w:id="266"/>
      <w:bookmarkStart w:id="267" w:name="_Toc184312105"/>
      <w:bookmarkEnd w:id="267"/>
      <w:bookmarkStart w:id="268" w:name="_Toc184310277"/>
      <w:bookmarkEnd w:id="268"/>
      <w:bookmarkStart w:id="269" w:name="_Toc184314411"/>
      <w:bookmarkEnd w:id="269"/>
      <w:bookmarkStart w:id="270" w:name="_Toc184314461"/>
      <w:bookmarkEnd w:id="270"/>
      <w:bookmarkStart w:id="271" w:name="_Toc184314462"/>
      <w:bookmarkEnd w:id="271"/>
      <w:bookmarkStart w:id="272" w:name="_Toc184314418"/>
      <w:bookmarkEnd w:id="272"/>
      <w:bookmarkStart w:id="273" w:name="_Toc184312075"/>
      <w:bookmarkEnd w:id="273"/>
      <w:bookmarkStart w:id="274" w:name="_Toc184308082"/>
      <w:bookmarkEnd w:id="274"/>
      <w:bookmarkStart w:id="275" w:name="_Toc184308093"/>
      <w:bookmarkEnd w:id="275"/>
      <w:bookmarkStart w:id="276" w:name="_Toc184310292"/>
      <w:bookmarkEnd w:id="276"/>
      <w:bookmarkStart w:id="277" w:name="_Toc184313242"/>
      <w:bookmarkEnd w:id="277"/>
      <w:bookmarkStart w:id="278" w:name="_Toc184310336"/>
      <w:bookmarkEnd w:id="278"/>
      <w:bookmarkStart w:id="279" w:name="_Toc184314415"/>
      <w:bookmarkEnd w:id="279"/>
      <w:bookmarkStart w:id="280" w:name="_Toc184312079"/>
      <w:bookmarkEnd w:id="280"/>
      <w:bookmarkStart w:id="281" w:name="_Toc184313298"/>
      <w:bookmarkEnd w:id="281"/>
      <w:bookmarkStart w:id="282" w:name="_Toc184312076"/>
      <w:bookmarkEnd w:id="282"/>
      <w:bookmarkStart w:id="283" w:name="_Toc184313264"/>
      <w:bookmarkEnd w:id="283"/>
      <w:bookmarkStart w:id="284" w:name="_Toc184312119"/>
      <w:bookmarkEnd w:id="284"/>
      <w:bookmarkStart w:id="285" w:name="_Toc184312102"/>
      <w:bookmarkEnd w:id="285"/>
      <w:bookmarkStart w:id="286" w:name="_Toc184308072"/>
      <w:bookmarkEnd w:id="286"/>
      <w:bookmarkStart w:id="287" w:name="_Toc184310324"/>
      <w:bookmarkEnd w:id="287"/>
      <w:bookmarkStart w:id="288" w:name="_Toc184310274"/>
      <w:bookmarkEnd w:id="288"/>
      <w:bookmarkStart w:id="289" w:name="_Toc184314480"/>
      <w:bookmarkEnd w:id="289"/>
      <w:bookmarkStart w:id="290" w:name="_Toc184313269"/>
      <w:bookmarkEnd w:id="290"/>
      <w:bookmarkStart w:id="291" w:name="_Toc184308094"/>
      <w:bookmarkEnd w:id="291"/>
      <w:bookmarkStart w:id="292" w:name="_Toc184310291"/>
      <w:bookmarkEnd w:id="292"/>
      <w:bookmarkStart w:id="293" w:name="_Toc184313252"/>
      <w:bookmarkEnd w:id="293"/>
      <w:bookmarkStart w:id="294" w:name="_Toc184310305"/>
      <w:bookmarkEnd w:id="294"/>
      <w:bookmarkStart w:id="295" w:name="_Toc184310281"/>
      <w:bookmarkEnd w:id="295"/>
      <w:bookmarkStart w:id="296" w:name="_Toc184313238"/>
      <w:bookmarkEnd w:id="296"/>
      <w:bookmarkStart w:id="297" w:name="_Toc184310337"/>
      <w:bookmarkEnd w:id="297"/>
      <w:bookmarkStart w:id="298" w:name="_Toc184314472"/>
      <w:bookmarkEnd w:id="298"/>
      <w:bookmarkStart w:id="299" w:name="_Toc184312118"/>
      <w:bookmarkEnd w:id="299"/>
      <w:bookmarkStart w:id="300" w:name="_Toc184313283"/>
      <w:bookmarkEnd w:id="300"/>
      <w:bookmarkStart w:id="301" w:name="_Toc184310301"/>
      <w:bookmarkEnd w:id="301"/>
      <w:bookmarkStart w:id="302" w:name="_Toc184312104"/>
      <w:bookmarkEnd w:id="302"/>
      <w:bookmarkStart w:id="303" w:name="_Toc184310311"/>
      <w:bookmarkEnd w:id="303"/>
      <w:bookmarkStart w:id="304" w:name="_Toc184314446"/>
      <w:bookmarkEnd w:id="304"/>
      <w:bookmarkStart w:id="305" w:name="_Toc184308044"/>
      <w:bookmarkEnd w:id="305"/>
      <w:bookmarkStart w:id="306" w:name="_Toc184308079"/>
      <w:bookmarkEnd w:id="306"/>
      <w:bookmarkStart w:id="307" w:name="_Toc184314445"/>
      <w:bookmarkEnd w:id="307"/>
      <w:bookmarkStart w:id="308" w:name="_Toc184312126"/>
      <w:bookmarkEnd w:id="308"/>
      <w:bookmarkStart w:id="309" w:name="_Toc184314477"/>
      <w:bookmarkEnd w:id="309"/>
      <w:bookmarkStart w:id="310" w:name="_Toc184314473"/>
      <w:bookmarkEnd w:id="310"/>
      <w:bookmarkStart w:id="311" w:name="_Toc184310328"/>
      <w:bookmarkEnd w:id="311"/>
      <w:bookmarkStart w:id="312" w:name="_Toc184312093"/>
      <w:bookmarkEnd w:id="312"/>
      <w:bookmarkStart w:id="313" w:name="_Toc184308083"/>
      <w:bookmarkEnd w:id="313"/>
      <w:bookmarkStart w:id="314" w:name="_Toc184314466"/>
      <w:bookmarkEnd w:id="314"/>
      <w:bookmarkStart w:id="315" w:name="_Toc184312078"/>
      <w:bookmarkEnd w:id="315"/>
      <w:bookmarkStart w:id="316" w:name="_Toc184314482"/>
      <w:bookmarkEnd w:id="316"/>
      <w:bookmarkStart w:id="317" w:name="_Toc184313254"/>
      <w:bookmarkEnd w:id="317"/>
      <w:bookmarkStart w:id="318" w:name="_Toc184310341"/>
      <w:bookmarkEnd w:id="318"/>
      <w:bookmarkStart w:id="319" w:name="_Toc184310286"/>
      <w:bookmarkEnd w:id="319"/>
      <w:bookmarkStart w:id="320" w:name="_Toc184308108"/>
      <w:bookmarkEnd w:id="320"/>
      <w:bookmarkStart w:id="321" w:name="_Toc184312131"/>
      <w:bookmarkEnd w:id="321"/>
      <w:bookmarkStart w:id="322" w:name="_Toc184313302"/>
      <w:bookmarkEnd w:id="322"/>
      <w:bookmarkStart w:id="323" w:name="_Toc184314476"/>
      <w:bookmarkEnd w:id="323"/>
      <w:bookmarkStart w:id="324" w:name="_Toc184308102"/>
      <w:bookmarkEnd w:id="324"/>
      <w:bookmarkStart w:id="325" w:name="_Toc184312123"/>
      <w:bookmarkEnd w:id="325"/>
      <w:bookmarkStart w:id="326" w:name="_Toc184310283"/>
      <w:bookmarkEnd w:id="326"/>
      <w:bookmarkStart w:id="327" w:name="_Toc184313293"/>
      <w:bookmarkEnd w:id="327"/>
      <w:bookmarkStart w:id="328" w:name="_Toc184313274"/>
      <w:bookmarkEnd w:id="328"/>
      <w:bookmarkStart w:id="329" w:name="_Toc184314425"/>
      <w:bookmarkEnd w:id="329"/>
      <w:bookmarkStart w:id="330" w:name="_Toc184310308"/>
      <w:bookmarkEnd w:id="330"/>
      <w:bookmarkStart w:id="331" w:name="_Toc184312081"/>
      <w:bookmarkEnd w:id="331"/>
      <w:bookmarkStart w:id="332" w:name="_Toc184308048"/>
      <w:bookmarkEnd w:id="332"/>
      <w:bookmarkStart w:id="333" w:name="_Toc184310310"/>
      <w:bookmarkEnd w:id="333"/>
      <w:bookmarkStart w:id="334" w:name="_Toc184313268"/>
      <w:bookmarkEnd w:id="334"/>
      <w:bookmarkStart w:id="335" w:name="_Toc184308100"/>
      <w:bookmarkEnd w:id="335"/>
      <w:bookmarkStart w:id="336" w:name="_Toc184313240"/>
      <w:bookmarkEnd w:id="336"/>
      <w:bookmarkStart w:id="337" w:name="_Toc184310282"/>
      <w:bookmarkEnd w:id="337"/>
      <w:bookmarkStart w:id="338" w:name="_Toc184312124"/>
      <w:bookmarkEnd w:id="338"/>
      <w:bookmarkStart w:id="339" w:name="_Toc184314474"/>
      <w:bookmarkEnd w:id="339"/>
      <w:bookmarkStart w:id="340" w:name="_Toc184313270"/>
      <w:bookmarkEnd w:id="340"/>
      <w:bookmarkStart w:id="341" w:name="_Toc184313258"/>
      <w:bookmarkEnd w:id="341"/>
      <w:bookmarkStart w:id="342" w:name="_Toc184308057"/>
      <w:bookmarkEnd w:id="342"/>
      <w:bookmarkStart w:id="343" w:name="_Toc184308071"/>
      <w:bookmarkEnd w:id="343"/>
      <w:bookmarkStart w:id="344" w:name="_Toc184312084"/>
      <w:bookmarkEnd w:id="344"/>
      <w:bookmarkStart w:id="345" w:name="_Toc184312113"/>
      <w:bookmarkEnd w:id="345"/>
      <w:bookmarkStart w:id="346" w:name="_Toc184313239"/>
      <w:bookmarkEnd w:id="346"/>
      <w:bookmarkStart w:id="347" w:name="_Toc184308086"/>
      <w:bookmarkEnd w:id="347"/>
      <w:bookmarkStart w:id="348" w:name="_Toc184314456"/>
      <w:bookmarkEnd w:id="348"/>
      <w:bookmarkStart w:id="349" w:name="_Toc184314448"/>
      <w:bookmarkEnd w:id="349"/>
      <w:bookmarkStart w:id="350" w:name="_Toc184312071"/>
      <w:bookmarkEnd w:id="350"/>
      <w:bookmarkStart w:id="351" w:name="_Toc184313271"/>
      <w:bookmarkEnd w:id="351"/>
      <w:bookmarkStart w:id="352" w:name="_Toc184313281"/>
      <w:bookmarkEnd w:id="352"/>
      <w:bookmarkStart w:id="353" w:name="_Toc184310319"/>
      <w:bookmarkEnd w:id="353"/>
      <w:bookmarkStart w:id="354" w:name="_Toc184313267"/>
      <w:bookmarkEnd w:id="354"/>
      <w:bookmarkStart w:id="355" w:name="_Toc184312080"/>
      <w:bookmarkEnd w:id="355"/>
      <w:bookmarkStart w:id="356" w:name="_Toc184312103"/>
      <w:bookmarkEnd w:id="356"/>
      <w:bookmarkStart w:id="357" w:name="_Toc184313272"/>
      <w:bookmarkEnd w:id="357"/>
      <w:bookmarkStart w:id="358" w:name="_Toc184310285"/>
      <w:bookmarkEnd w:id="358"/>
      <w:bookmarkStart w:id="359" w:name="_Toc184310303"/>
      <w:bookmarkEnd w:id="359"/>
      <w:bookmarkStart w:id="360" w:name="_Toc184314442"/>
      <w:bookmarkEnd w:id="360"/>
      <w:bookmarkStart w:id="361" w:name="_Toc184313308"/>
      <w:bookmarkEnd w:id="361"/>
      <w:bookmarkStart w:id="362" w:name="_Toc184313279"/>
      <w:bookmarkEnd w:id="362"/>
      <w:bookmarkStart w:id="363" w:name="_Toc184312138"/>
      <w:bookmarkEnd w:id="363"/>
      <w:bookmarkStart w:id="364" w:name="_Toc184314453"/>
      <w:bookmarkEnd w:id="364"/>
      <w:bookmarkStart w:id="365" w:name="_Toc184312101"/>
      <w:bookmarkEnd w:id="365"/>
      <w:bookmarkStart w:id="366" w:name="_Toc184313249"/>
      <w:bookmarkEnd w:id="366"/>
      <w:bookmarkStart w:id="367" w:name="_Toc184308063"/>
      <w:bookmarkEnd w:id="367"/>
      <w:bookmarkStart w:id="368" w:name="_Toc184314475"/>
      <w:bookmarkEnd w:id="368"/>
      <w:bookmarkStart w:id="369" w:name="_Toc184313255"/>
      <w:bookmarkEnd w:id="369"/>
      <w:bookmarkStart w:id="370" w:name="_Toc184314410"/>
      <w:bookmarkEnd w:id="370"/>
      <w:bookmarkStart w:id="371" w:name="_Toc184308052"/>
      <w:bookmarkEnd w:id="371"/>
      <w:bookmarkStart w:id="372" w:name="_Toc184314444"/>
      <w:bookmarkEnd w:id="372"/>
      <w:bookmarkStart w:id="373" w:name="_Toc184310306"/>
      <w:bookmarkEnd w:id="373"/>
      <w:bookmarkStart w:id="374" w:name="_Toc184312100"/>
      <w:bookmarkEnd w:id="374"/>
      <w:bookmarkStart w:id="375" w:name="_Toc184314451"/>
      <w:bookmarkEnd w:id="375"/>
      <w:bookmarkStart w:id="376" w:name="_Toc184314420"/>
      <w:bookmarkEnd w:id="376"/>
      <w:bookmarkStart w:id="377" w:name="_Toc184313295"/>
      <w:bookmarkEnd w:id="377"/>
      <w:bookmarkStart w:id="378" w:name="_Toc184314441"/>
      <w:bookmarkEnd w:id="378"/>
      <w:bookmarkStart w:id="379" w:name="_Toc184308043"/>
      <w:bookmarkEnd w:id="379"/>
      <w:bookmarkStart w:id="380" w:name="_Toc184308070"/>
      <w:bookmarkEnd w:id="380"/>
      <w:bookmarkStart w:id="381" w:name="_Toc184310300"/>
      <w:bookmarkEnd w:id="381"/>
      <w:bookmarkStart w:id="382" w:name="_Toc184313247"/>
      <w:bookmarkEnd w:id="382"/>
      <w:bookmarkStart w:id="383" w:name="_Toc184314436"/>
      <w:bookmarkEnd w:id="383"/>
      <w:bookmarkStart w:id="384" w:name="_Toc184314426"/>
      <w:bookmarkEnd w:id="384"/>
      <w:bookmarkStart w:id="385" w:name="_Toc184314419"/>
      <w:bookmarkEnd w:id="385"/>
      <w:bookmarkStart w:id="386" w:name="_Toc184308047"/>
      <w:bookmarkEnd w:id="386"/>
      <w:bookmarkStart w:id="387" w:name="_Toc184312139"/>
      <w:bookmarkEnd w:id="387"/>
      <w:bookmarkStart w:id="388" w:name="_Toc184312083"/>
      <w:bookmarkEnd w:id="388"/>
      <w:bookmarkStart w:id="389" w:name="_Toc184308078"/>
      <w:bookmarkEnd w:id="389"/>
      <w:bookmarkStart w:id="390" w:name="_Toc184312099"/>
      <w:bookmarkEnd w:id="390"/>
      <w:bookmarkStart w:id="391" w:name="_Toc184313291"/>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290"/>
        <w:gridCol w:w="644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05"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评分项目</w:t>
            </w:r>
          </w:p>
        </w:tc>
        <w:tc>
          <w:tcPr>
            <w:tcW w:w="1290"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分类</w:t>
            </w:r>
          </w:p>
        </w:tc>
        <w:tc>
          <w:tcPr>
            <w:tcW w:w="6446"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评定细则</w:t>
            </w:r>
          </w:p>
        </w:tc>
        <w:tc>
          <w:tcPr>
            <w:tcW w:w="1049"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restart"/>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商 务</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资 信</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分</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w:t>
            </w:r>
            <w:r>
              <w:rPr>
                <w:rFonts w:hint="eastAsia" w:ascii="仿宋_GB2312" w:hAnsi="宋体" w:eastAsia="仿宋_GB2312"/>
                <w:b w:val="0"/>
                <w:bCs w:val="0"/>
                <w:color w:val="auto"/>
                <w:sz w:val="24"/>
                <w:szCs w:val="24"/>
                <w:highlight w:val="none"/>
                <w:lang w:val="en-US" w:eastAsia="zh-CN"/>
              </w:rPr>
              <w:t>25</w:t>
            </w:r>
            <w:r>
              <w:rPr>
                <w:rFonts w:hint="eastAsia" w:ascii="仿宋_GB2312" w:hAnsi="宋体" w:eastAsia="仿宋_GB2312"/>
                <w:b w:val="0"/>
                <w:bCs w:val="0"/>
                <w:color w:val="auto"/>
                <w:sz w:val="24"/>
                <w:szCs w:val="24"/>
                <w:highlight w:val="none"/>
              </w:rPr>
              <w:t>分）</w:t>
            </w:r>
          </w:p>
        </w:tc>
        <w:tc>
          <w:tcPr>
            <w:tcW w:w="1290"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企业综合实力</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w:t>
            </w:r>
            <w:r>
              <w:rPr>
                <w:rFonts w:hint="eastAsia" w:ascii="仿宋_GB2312" w:hAnsi="宋体" w:eastAsia="仿宋_GB2312"/>
                <w:b w:val="0"/>
                <w:bCs w:val="0"/>
                <w:color w:val="auto"/>
                <w:sz w:val="24"/>
                <w:szCs w:val="24"/>
                <w:highlight w:val="none"/>
                <w:lang w:val="en-US" w:eastAsia="zh-CN"/>
              </w:rPr>
              <w:t>6</w:t>
            </w:r>
            <w:r>
              <w:rPr>
                <w:rFonts w:hint="eastAsia" w:ascii="仿宋_GB2312" w:hAnsi="宋体" w:eastAsia="仿宋_GB2312"/>
                <w:b w:val="0"/>
                <w:bCs w:val="0"/>
                <w:color w:val="auto"/>
                <w:sz w:val="24"/>
                <w:szCs w:val="24"/>
                <w:highlight w:val="none"/>
              </w:rPr>
              <w:t>分）</w:t>
            </w:r>
          </w:p>
        </w:tc>
        <w:tc>
          <w:tcPr>
            <w:tcW w:w="6446"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lang w:val="en-US" w:eastAsia="zh-CN"/>
              </w:rPr>
              <w:t>1</w:t>
            </w:r>
            <w:r>
              <w:rPr>
                <w:rFonts w:hint="eastAsia" w:ascii="仿宋_GB2312" w:hAnsi="宋体" w:eastAsia="仿宋_GB2312"/>
                <w:b w:val="0"/>
                <w:bCs w:val="0"/>
                <w:color w:val="auto"/>
                <w:sz w:val="24"/>
                <w:szCs w:val="24"/>
                <w:highlight w:val="none"/>
              </w:rPr>
              <w:t>、投标人具有不动产调查注册证书得</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、投标人具有土地勘测机构注册证书得</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w:t>
            </w:r>
          </w:p>
          <w:p>
            <w:pPr>
              <w:rPr>
                <w:rFonts w:hint="default" w:eastAsia="仿宋_GB2312"/>
                <w:color w:val="auto"/>
                <w:highlight w:val="none"/>
                <w:lang w:val="en-US" w:eastAsia="zh-CN"/>
              </w:rPr>
            </w:pPr>
            <w:r>
              <w:rPr>
                <w:rFonts w:hint="eastAsia" w:ascii="仿宋_GB2312" w:hAnsi="宋体" w:eastAsia="仿宋_GB2312"/>
                <w:b w:val="0"/>
                <w:bCs w:val="0"/>
                <w:color w:val="auto"/>
                <w:sz w:val="24"/>
                <w:szCs w:val="24"/>
                <w:highlight w:val="none"/>
                <w:lang w:val="en-US" w:eastAsia="zh-CN"/>
              </w:rPr>
              <w:t>3、投标人通过ISO质量管理体系认证且在有效期内的得2分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（须提供相关证书原件扫描件，未提供不得分）</w:t>
            </w:r>
          </w:p>
        </w:tc>
        <w:tc>
          <w:tcPr>
            <w:tcW w:w="1049"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6</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05" w:type="dxa"/>
            <w:vMerge w:val="continue"/>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专业设备（</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6446"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color w:val="auto"/>
                <w:highlight w:val="none"/>
              </w:rPr>
            </w:pPr>
            <w:r>
              <w:rPr>
                <w:rFonts w:hint="eastAsia" w:ascii="仿宋_GB2312" w:hAnsi="宋体" w:eastAsia="仿宋_GB2312"/>
                <w:b w:val="0"/>
                <w:bCs w:val="0"/>
                <w:color w:val="auto"/>
                <w:sz w:val="24"/>
                <w:szCs w:val="24"/>
                <w:highlight w:val="none"/>
              </w:rPr>
              <w:t>投标人具有无人机设备</w:t>
            </w:r>
            <w:r>
              <w:rPr>
                <w:rFonts w:hint="eastAsia" w:ascii="仿宋_GB2312" w:hAnsi="宋体" w:eastAsia="仿宋_GB2312"/>
                <w:b w:val="0"/>
                <w:bCs w:val="0"/>
                <w:color w:val="auto"/>
                <w:sz w:val="24"/>
                <w:szCs w:val="24"/>
                <w:highlight w:val="none"/>
                <w:lang w:val="en-US" w:eastAsia="zh-CN"/>
              </w:rPr>
              <w:t>1</w:t>
            </w:r>
            <w:r>
              <w:rPr>
                <w:rFonts w:hint="eastAsia" w:ascii="仿宋_GB2312" w:hAnsi="宋体" w:eastAsia="仿宋_GB2312"/>
                <w:b w:val="0"/>
                <w:bCs w:val="0"/>
                <w:color w:val="auto"/>
                <w:sz w:val="24"/>
                <w:szCs w:val="24"/>
                <w:highlight w:val="none"/>
              </w:rPr>
              <w:t>架同时提供1人及以上取得飞行资格证书的得</w:t>
            </w:r>
            <w:r>
              <w:rPr>
                <w:rFonts w:hint="eastAsia" w:ascii="仿宋_GB2312" w:hAnsi="宋体" w:eastAsia="仿宋_GB2312"/>
                <w:b w:val="0"/>
                <w:bCs w:val="0"/>
                <w:color w:val="auto"/>
                <w:sz w:val="24"/>
                <w:szCs w:val="24"/>
                <w:highlight w:val="none"/>
                <w:lang w:val="en-US" w:eastAsia="zh-CN"/>
              </w:rPr>
              <w:t>1</w:t>
            </w:r>
            <w:r>
              <w:rPr>
                <w:rFonts w:hint="eastAsia" w:ascii="仿宋_GB2312" w:hAnsi="宋体" w:eastAsia="仿宋_GB2312"/>
                <w:b w:val="0"/>
                <w:bCs w:val="0"/>
                <w:color w:val="auto"/>
                <w:sz w:val="24"/>
                <w:szCs w:val="24"/>
                <w:highlight w:val="none"/>
              </w:rPr>
              <w:t>分；具有无人机设备</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架及以上同时提供2人及以上取得飞行资格证书的得</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（须提供购买发票、飞行资格证书及持该证人员在本单位缴纳社保证明原件扫描件，未提供不得分）</w:t>
            </w:r>
          </w:p>
        </w:tc>
        <w:tc>
          <w:tcPr>
            <w:tcW w:w="1049"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05" w:type="dxa"/>
            <w:vMerge w:val="continue"/>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成功案例</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w:t>
            </w:r>
          </w:p>
        </w:tc>
        <w:tc>
          <w:tcPr>
            <w:tcW w:w="6446"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投标人2018年来从事过类似县（市、区）级及以上土地调查项目的如：建设用地监管上图动态更新维护服务暨全生命周期动态系统维护服务</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rPr>
              <w:t>经营性用地履约清理项目、年度变更调查、第三次国土调查等项目的，每增加一个不同类型的项目得</w:t>
            </w:r>
            <w:r>
              <w:rPr>
                <w:rFonts w:hint="eastAsia" w:ascii="仿宋_GB2312" w:hAnsi="宋体" w:eastAsia="仿宋_GB2312"/>
                <w:b w:val="0"/>
                <w:bCs w:val="0"/>
                <w:color w:val="auto"/>
                <w:sz w:val="24"/>
                <w:szCs w:val="24"/>
                <w:highlight w:val="none"/>
                <w:lang w:val="en-US" w:eastAsia="zh-CN"/>
              </w:rPr>
              <w:t>0.5</w:t>
            </w:r>
            <w:r>
              <w:rPr>
                <w:rFonts w:hint="eastAsia" w:ascii="仿宋_GB2312" w:hAnsi="宋体" w:eastAsia="仿宋_GB2312"/>
                <w:b w:val="0"/>
                <w:bCs w:val="0"/>
                <w:color w:val="auto"/>
                <w:sz w:val="24"/>
                <w:szCs w:val="24"/>
                <w:highlight w:val="none"/>
              </w:rPr>
              <w:t>分，最高得</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分。（需提供合同复印件并加盖公章，不提供、不清晰的不得分）</w:t>
            </w:r>
          </w:p>
        </w:tc>
        <w:tc>
          <w:tcPr>
            <w:tcW w:w="1049"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205" w:type="dxa"/>
            <w:vMerge w:val="continue"/>
            <w:tcBorders>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项目团队情况</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（1</w:t>
            </w:r>
            <w:r>
              <w:rPr>
                <w:rFonts w:hint="eastAsia" w:ascii="仿宋_GB2312" w:hAnsi="宋体" w:eastAsia="仿宋_GB2312"/>
                <w:b w:val="0"/>
                <w:bCs w:val="0"/>
                <w:color w:val="auto"/>
                <w:sz w:val="24"/>
                <w:szCs w:val="24"/>
                <w:highlight w:val="none"/>
                <w:lang w:val="en-US" w:eastAsia="zh-CN"/>
              </w:rPr>
              <w:t>2</w:t>
            </w:r>
            <w:r>
              <w:rPr>
                <w:rFonts w:hint="eastAsia" w:ascii="仿宋_GB2312" w:hAnsi="宋体" w:eastAsia="仿宋_GB2312"/>
                <w:b w:val="0"/>
                <w:bCs w:val="0"/>
                <w:color w:val="auto"/>
                <w:sz w:val="24"/>
                <w:szCs w:val="24"/>
                <w:highlight w:val="none"/>
              </w:rPr>
              <w:t>分）</w:t>
            </w:r>
          </w:p>
        </w:tc>
        <w:tc>
          <w:tcPr>
            <w:tcW w:w="6446"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1、</w:t>
            </w:r>
            <w:r>
              <w:rPr>
                <w:rFonts w:hint="eastAsia" w:ascii="仿宋_GB2312" w:hAnsi="宋体" w:eastAsia="仿宋_GB2312"/>
                <w:b w:val="0"/>
                <w:bCs w:val="0"/>
                <w:color w:val="auto"/>
                <w:sz w:val="24"/>
                <w:szCs w:val="24"/>
                <w:highlight w:val="none"/>
                <w:lang w:val="en-US" w:eastAsia="zh-CN"/>
              </w:rPr>
              <w:t>拟派本</w:t>
            </w:r>
            <w:r>
              <w:rPr>
                <w:rFonts w:hint="eastAsia" w:ascii="仿宋_GB2312" w:hAnsi="宋体" w:eastAsia="仿宋_GB2312"/>
                <w:b w:val="0"/>
                <w:bCs w:val="0"/>
                <w:color w:val="auto"/>
                <w:sz w:val="24"/>
                <w:szCs w:val="24"/>
                <w:highlight w:val="none"/>
              </w:rPr>
              <w:t>项目</w:t>
            </w:r>
            <w:r>
              <w:rPr>
                <w:rFonts w:hint="eastAsia" w:ascii="仿宋_GB2312" w:hAnsi="宋体" w:eastAsia="仿宋_GB2312"/>
                <w:b w:val="0"/>
                <w:bCs w:val="0"/>
                <w:color w:val="auto"/>
                <w:sz w:val="24"/>
                <w:szCs w:val="24"/>
                <w:highlight w:val="none"/>
              </w:rPr>
              <w:t>负责人具有</w:t>
            </w:r>
            <w:r>
              <w:rPr>
                <w:rFonts w:hint="eastAsia" w:ascii="仿宋_GB2312" w:hAnsi="宋体" w:eastAsia="仿宋_GB2312"/>
                <w:b w:val="0"/>
                <w:bCs w:val="0"/>
                <w:color w:val="auto"/>
                <w:sz w:val="24"/>
                <w:szCs w:val="24"/>
                <w:highlight w:val="none"/>
                <w:lang w:val="en-US" w:eastAsia="zh-CN"/>
              </w:rPr>
              <w:t>测绘类</w:t>
            </w:r>
            <w:r>
              <w:rPr>
                <w:rFonts w:hint="eastAsia" w:ascii="仿宋_GB2312" w:hAnsi="宋体" w:eastAsia="仿宋_GB2312"/>
                <w:b w:val="0"/>
                <w:bCs w:val="0"/>
                <w:color w:val="auto"/>
                <w:sz w:val="24"/>
                <w:szCs w:val="24"/>
                <w:highlight w:val="none"/>
              </w:rPr>
              <w:t>高级职称的得2分</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同时</w:t>
            </w:r>
            <w:r>
              <w:rPr>
                <w:rFonts w:hint="eastAsia" w:ascii="仿宋_GB2312" w:hAnsi="宋体" w:eastAsia="仿宋_GB2312"/>
                <w:b w:val="0"/>
                <w:bCs w:val="0"/>
                <w:color w:val="auto"/>
                <w:sz w:val="24"/>
                <w:szCs w:val="24"/>
                <w:highlight w:val="none"/>
              </w:rPr>
              <w:t>具有注册测绘师执业证书的得</w:t>
            </w:r>
            <w:r>
              <w:rPr>
                <w:rFonts w:hint="eastAsia" w:ascii="仿宋_GB2312" w:hAnsi="宋体" w:eastAsia="仿宋_GB2312"/>
                <w:b w:val="0"/>
                <w:bCs w:val="0"/>
                <w:color w:val="auto"/>
                <w:sz w:val="24"/>
                <w:szCs w:val="24"/>
                <w:highlight w:val="none"/>
                <w:lang w:val="en-US" w:eastAsia="zh-CN"/>
              </w:rPr>
              <w:t>4</w:t>
            </w:r>
            <w:r>
              <w:rPr>
                <w:rFonts w:hint="eastAsia" w:ascii="仿宋_GB2312" w:hAnsi="宋体" w:eastAsia="仿宋_GB2312"/>
                <w:b w:val="0"/>
                <w:bCs w:val="0"/>
                <w:color w:val="auto"/>
                <w:sz w:val="24"/>
                <w:szCs w:val="24"/>
                <w:highlight w:val="none"/>
              </w:rPr>
              <w:t>分，最高得</w:t>
            </w:r>
            <w:r>
              <w:rPr>
                <w:rFonts w:hint="eastAsia" w:ascii="仿宋_GB2312" w:hAnsi="宋体" w:eastAsia="仿宋_GB2312"/>
                <w:b w:val="0"/>
                <w:bCs w:val="0"/>
                <w:color w:val="auto"/>
                <w:sz w:val="24"/>
                <w:szCs w:val="24"/>
                <w:highlight w:val="none"/>
                <w:lang w:val="en-US" w:eastAsia="zh-CN"/>
              </w:rPr>
              <w:t>4</w:t>
            </w:r>
            <w:r>
              <w:rPr>
                <w:rFonts w:hint="eastAsia" w:ascii="仿宋_GB2312" w:hAnsi="宋体" w:eastAsia="仿宋_GB2312"/>
                <w:b w:val="0"/>
                <w:bCs w:val="0"/>
                <w:color w:val="auto"/>
                <w:sz w:val="24"/>
                <w:szCs w:val="24"/>
                <w:highlight w:val="none"/>
              </w:rPr>
              <w:t>分，（投标文件中需提供清晰的相关证书、社保证明材料扫描件，未提供不得分）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2、投标人拟投入本项目人员</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除项目负责人外</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rPr>
              <w:t>具有测绘类工程师职称的每人得1分，最高得</w:t>
            </w:r>
            <w:r>
              <w:rPr>
                <w:rFonts w:hint="eastAsia" w:ascii="仿宋_GB2312" w:hAnsi="宋体" w:eastAsia="仿宋_GB2312"/>
                <w:b w:val="0"/>
                <w:bCs w:val="0"/>
                <w:color w:val="auto"/>
                <w:sz w:val="24"/>
                <w:szCs w:val="24"/>
                <w:highlight w:val="none"/>
                <w:lang w:val="en-US" w:eastAsia="zh-CN"/>
              </w:rPr>
              <w:t>6</w:t>
            </w:r>
            <w:r>
              <w:rPr>
                <w:rFonts w:hint="eastAsia" w:ascii="仿宋_GB2312" w:hAnsi="宋体" w:eastAsia="仿宋_GB2312"/>
                <w:b w:val="0"/>
                <w:bCs w:val="0"/>
                <w:color w:val="auto"/>
                <w:sz w:val="24"/>
                <w:szCs w:val="24"/>
                <w:highlight w:val="none"/>
              </w:rPr>
              <w:t>分。（须提供相关证书</w:t>
            </w:r>
            <w:r>
              <w:rPr>
                <w:rFonts w:hint="eastAsia" w:ascii="仿宋_GB2312" w:hAnsi="宋体" w:eastAsia="仿宋_GB2312"/>
                <w:b w:val="0"/>
                <w:bCs w:val="0"/>
                <w:color w:val="auto"/>
                <w:sz w:val="24"/>
                <w:szCs w:val="24"/>
                <w:highlight w:val="none"/>
                <w:lang w:val="en-US" w:eastAsia="zh-CN"/>
              </w:rPr>
              <w:t>原件</w:t>
            </w:r>
            <w:r>
              <w:rPr>
                <w:rFonts w:hint="eastAsia" w:ascii="仿宋_GB2312" w:hAnsi="宋体" w:eastAsia="仿宋_GB2312"/>
                <w:b w:val="0"/>
                <w:bCs w:val="0"/>
                <w:color w:val="auto"/>
                <w:sz w:val="24"/>
                <w:szCs w:val="24"/>
                <w:highlight w:val="none"/>
              </w:rPr>
              <w:t>扫描件及在本单位缴纳社保证明原件扫描件，未提供不得分）。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3、项目组成技术人员数：拟投入测绘类技术人员的数量不足10人（含）的得1分，11-20人（含）的得2分，20人以上的得3分。（须提供测绘主管部门确认的证明材料原件扫描件及在本单位缴纳社保证明原件扫描件，未提供不得分）</w:t>
            </w:r>
          </w:p>
        </w:tc>
        <w:tc>
          <w:tcPr>
            <w:tcW w:w="1049"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13</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05" w:type="dxa"/>
            <w:vMerge w:val="continue"/>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企业信誉</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（2分）</w:t>
            </w:r>
          </w:p>
        </w:tc>
        <w:tc>
          <w:tcPr>
            <w:tcW w:w="6446"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lang w:val="en-US" w:eastAsia="zh-CN"/>
              </w:rPr>
              <w:t>投标人近三年中有被省自然资源厅评为省A级信用测绘资质单位的得2分</w:t>
            </w:r>
            <w:r>
              <w:rPr>
                <w:rFonts w:hint="eastAsia" w:ascii="仿宋_GB2312" w:hAnsi="宋体" w:eastAsia="仿宋_GB2312"/>
                <w:b w:val="0"/>
                <w:bCs w:val="0"/>
                <w:color w:val="auto"/>
                <w:sz w:val="24"/>
                <w:szCs w:val="24"/>
                <w:highlight w:val="none"/>
              </w:rPr>
              <w:t>（需提供相关证明</w:t>
            </w:r>
            <w:r>
              <w:rPr>
                <w:rFonts w:hint="eastAsia" w:ascii="仿宋_GB2312" w:hAnsi="宋体" w:eastAsia="仿宋_GB2312"/>
                <w:b w:val="0"/>
                <w:bCs w:val="0"/>
                <w:color w:val="auto"/>
                <w:sz w:val="24"/>
                <w:szCs w:val="24"/>
                <w:highlight w:val="none"/>
                <w:lang w:val="en-US" w:eastAsia="zh-CN"/>
              </w:rPr>
              <w:t>材料</w:t>
            </w:r>
            <w:r>
              <w:rPr>
                <w:rFonts w:hint="eastAsia" w:ascii="仿宋_GB2312" w:hAnsi="宋体" w:eastAsia="仿宋_GB2312"/>
                <w:b w:val="0"/>
                <w:bCs w:val="0"/>
                <w:color w:val="auto"/>
                <w:sz w:val="24"/>
                <w:szCs w:val="24"/>
                <w:highlight w:val="none"/>
              </w:rPr>
              <w:t>并加盖公章，不提供、不清晰的不得分））</w:t>
            </w:r>
          </w:p>
        </w:tc>
        <w:tc>
          <w:tcPr>
            <w:tcW w:w="1049"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205" w:type="dxa"/>
            <w:vMerge w:val="restart"/>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技</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术</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w:t>
            </w:r>
            <w:r>
              <w:rPr>
                <w:rFonts w:hint="eastAsia" w:ascii="仿宋_GB2312" w:hAnsi="宋体" w:eastAsia="仿宋_GB2312"/>
                <w:b w:val="0"/>
                <w:bCs w:val="0"/>
                <w:color w:val="auto"/>
                <w:sz w:val="24"/>
                <w:szCs w:val="24"/>
                <w:highlight w:val="none"/>
                <w:lang w:val="en-US" w:eastAsia="zh-CN"/>
              </w:rPr>
              <w:t>55</w:t>
            </w:r>
            <w:r>
              <w:rPr>
                <w:rFonts w:hint="eastAsia" w:ascii="仿宋_GB2312" w:hAnsi="宋体" w:eastAsia="仿宋_GB2312"/>
                <w:b w:val="0"/>
                <w:bCs w:val="0"/>
                <w:color w:val="auto"/>
                <w:sz w:val="24"/>
                <w:szCs w:val="24"/>
                <w:highlight w:val="none"/>
              </w:rPr>
              <w:t>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技术方案（15分）</w:t>
            </w:r>
          </w:p>
        </w:tc>
        <w:tc>
          <w:tcPr>
            <w:tcW w:w="6446" w:type="dxa"/>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技术方案：根据投标人对本项目的理解、认识、剖析、采用的技术方法、组织方案的合理性、科学性、全面性、可操作性等情况，评委进行横向比较，酌情独立打分。</w:t>
            </w:r>
          </w:p>
        </w:tc>
        <w:tc>
          <w:tcPr>
            <w:tcW w:w="1049"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05" w:type="dxa"/>
            <w:vMerge w:val="continue"/>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实施方案（</w:t>
            </w:r>
            <w:r>
              <w:rPr>
                <w:rFonts w:hint="eastAsia" w:ascii="仿宋_GB2312" w:hAnsi="宋体" w:eastAsia="仿宋_GB2312"/>
                <w:b w:val="0"/>
                <w:bCs w:val="0"/>
                <w:color w:val="auto"/>
                <w:sz w:val="24"/>
                <w:szCs w:val="24"/>
                <w:highlight w:val="none"/>
                <w:lang w:val="en-US" w:eastAsia="zh-CN"/>
              </w:rPr>
              <w:t>10</w:t>
            </w:r>
            <w:r>
              <w:rPr>
                <w:rFonts w:hint="eastAsia" w:ascii="仿宋_GB2312" w:hAnsi="宋体" w:eastAsia="仿宋_GB2312"/>
                <w:b w:val="0"/>
                <w:bCs w:val="0"/>
                <w:color w:val="auto"/>
                <w:sz w:val="24"/>
                <w:szCs w:val="24"/>
                <w:highlight w:val="none"/>
              </w:rPr>
              <w:t>分）</w:t>
            </w:r>
          </w:p>
        </w:tc>
        <w:tc>
          <w:tcPr>
            <w:tcW w:w="6446" w:type="dxa"/>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根据投标人对项目进度安排的合理性、完整性、可操作性，进度控制的科学合理性、服务期保障措施的健全性等情况，评委进行横向比较，酌情独立打分。</w:t>
            </w:r>
          </w:p>
        </w:tc>
        <w:tc>
          <w:tcPr>
            <w:tcW w:w="1049"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10</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205" w:type="dxa"/>
            <w:vMerge w:val="continue"/>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安全文明措施</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w:t>
            </w:r>
            <w:r>
              <w:rPr>
                <w:rFonts w:hint="eastAsia" w:ascii="仿宋_GB2312" w:hAnsi="宋体" w:eastAsia="仿宋_GB2312"/>
                <w:b w:val="0"/>
                <w:bCs w:val="0"/>
                <w:color w:val="auto"/>
                <w:sz w:val="24"/>
                <w:szCs w:val="24"/>
                <w:highlight w:val="none"/>
                <w:lang w:val="en-US" w:eastAsia="zh-CN"/>
              </w:rPr>
              <w:t>8</w:t>
            </w:r>
            <w:r>
              <w:rPr>
                <w:rFonts w:hint="eastAsia" w:ascii="仿宋_GB2312" w:hAnsi="宋体" w:eastAsia="仿宋_GB2312"/>
                <w:b w:val="0"/>
                <w:bCs w:val="0"/>
                <w:color w:val="auto"/>
                <w:sz w:val="24"/>
                <w:szCs w:val="24"/>
                <w:highlight w:val="none"/>
              </w:rPr>
              <w:t>分）</w:t>
            </w:r>
          </w:p>
        </w:tc>
        <w:tc>
          <w:tcPr>
            <w:tcW w:w="6446" w:type="dxa"/>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根据投标人项目实施中的安全技术措施和文明施工测量方法的科学性、合理性等情况，评委进行横向比较，酌情独立打分。</w:t>
            </w:r>
          </w:p>
        </w:tc>
        <w:tc>
          <w:tcPr>
            <w:tcW w:w="1049"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8</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05" w:type="dxa"/>
            <w:vMerge w:val="continue"/>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质量保证措施</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w:t>
            </w:r>
            <w:r>
              <w:rPr>
                <w:rFonts w:hint="eastAsia" w:ascii="仿宋_GB2312" w:hAnsi="宋体" w:eastAsia="仿宋_GB2312"/>
                <w:b w:val="0"/>
                <w:bCs w:val="0"/>
                <w:color w:val="auto"/>
                <w:sz w:val="24"/>
                <w:szCs w:val="24"/>
                <w:highlight w:val="none"/>
                <w:lang w:val="en-US" w:eastAsia="zh-CN"/>
              </w:rPr>
              <w:t>8</w:t>
            </w:r>
            <w:r>
              <w:rPr>
                <w:rFonts w:hint="eastAsia" w:ascii="仿宋_GB2312" w:hAnsi="宋体" w:eastAsia="仿宋_GB2312"/>
                <w:b w:val="0"/>
                <w:bCs w:val="0"/>
                <w:color w:val="auto"/>
                <w:sz w:val="24"/>
                <w:szCs w:val="24"/>
                <w:highlight w:val="none"/>
              </w:rPr>
              <w:t>分）</w:t>
            </w:r>
          </w:p>
        </w:tc>
        <w:tc>
          <w:tcPr>
            <w:tcW w:w="6446" w:type="dxa"/>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根据投标人项目实施的质量管理组织架构、质量监督体系和质量保证措施，确保服务期和服务质量的承诺等情况，评委进行横向比较，酌情独立打分。</w:t>
            </w:r>
          </w:p>
        </w:tc>
        <w:tc>
          <w:tcPr>
            <w:tcW w:w="1049" w:type="dxa"/>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8</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205" w:type="dxa"/>
            <w:vMerge w:val="continue"/>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服务方案（</w:t>
            </w:r>
            <w:r>
              <w:rPr>
                <w:rFonts w:hint="eastAsia" w:ascii="仿宋_GB2312" w:hAnsi="宋体" w:eastAsia="仿宋_GB2312"/>
                <w:b w:val="0"/>
                <w:bCs w:val="0"/>
                <w:color w:val="auto"/>
                <w:sz w:val="24"/>
                <w:szCs w:val="24"/>
                <w:highlight w:val="none"/>
                <w:lang w:val="en-US" w:eastAsia="zh-CN"/>
              </w:rPr>
              <w:t>8</w:t>
            </w:r>
            <w:r>
              <w:rPr>
                <w:rFonts w:hint="eastAsia" w:ascii="仿宋_GB2312" w:hAnsi="宋体" w:eastAsia="仿宋_GB2312"/>
                <w:b w:val="0"/>
                <w:bCs w:val="0"/>
                <w:color w:val="auto"/>
                <w:sz w:val="24"/>
                <w:szCs w:val="24"/>
                <w:highlight w:val="none"/>
              </w:rPr>
              <w:t>分）：</w:t>
            </w:r>
          </w:p>
        </w:tc>
        <w:tc>
          <w:tcPr>
            <w:tcW w:w="6446" w:type="dxa"/>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根据投标人服务承诺、保障体系、服务方式等情况，评委进行横向比较，酌情独立打分。</w:t>
            </w:r>
          </w:p>
        </w:tc>
        <w:tc>
          <w:tcPr>
            <w:tcW w:w="1049" w:type="dxa"/>
            <w:tcBorders>
              <w:top w:val="single" w:color="auto" w:sz="4" w:space="0"/>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8</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05" w:type="dxa"/>
            <w:vMerge w:val="continue"/>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p>
        </w:tc>
        <w:tc>
          <w:tcPr>
            <w:tcW w:w="1290"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服务响应能力</w:t>
            </w:r>
          </w:p>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w:t>
            </w:r>
            <w:r>
              <w:rPr>
                <w:rFonts w:hint="eastAsia" w:ascii="仿宋_GB2312" w:hAnsi="宋体" w:eastAsia="仿宋_GB2312"/>
                <w:b w:val="0"/>
                <w:bCs w:val="0"/>
                <w:color w:val="auto"/>
                <w:sz w:val="24"/>
                <w:szCs w:val="24"/>
                <w:highlight w:val="none"/>
                <w:lang w:val="en-US" w:eastAsia="zh-CN"/>
              </w:rPr>
              <w:t>6</w:t>
            </w:r>
            <w:r>
              <w:rPr>
                <w:rFonts w:hint="eastAsia" w:ascii="仿宋_GB2312" w:hAnsi="宋体" w:eastAsia="仿宋_GB2312"/>
                <w:b w:val="0"/>
                <w:bCs w:val="0"/>
                <w:color w:val="auto"/>
                <w:sz w:val="24"/>
                <w:szCs w:val="24"/>
                <w:highlight w:val="none"/>
              </w:rPr>
              <w:t>分）</w:t>
            </w:r>
          </w:p>
        </w:tc>
        <w:tc>
          <w:tcPr>
            <w:tcW w:w="6446" w:type="dxa"/>
            <w:tcBorders>
              <w:top w:val="single" w:color="auto" w:sz="4" w:space="0"/>
              <w:left w:val="single" w:color="auto" w:sz="4" w:space="0"/>
              <w:bottom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投标人是否能够提供完善、快速的服务，满足采购单位相关要求，实现“全方位、高品质、快速度”的服务标准，根据投标人营业执照的地址距离采购人驻地（科技大道4398号-市民服务中心）的距离远近，评委横向比较，酌情独立打分。</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（项目团队人员与公司地址相匹配，如团队人员是总公司人员，响应地址按总公司地址衡量响应能力，团队人员是分公司人员，响应地址按分公司地址衡量响应能力）</w:t>
            </w:r>
          </w:p>
        </w:tc>
        <w:tc>
          <w:tcPr>
            <w:tcW w:w="1049"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0-</w:t>
            </w:r>
            <w:r>
              <w:rPr>
                <w:rFonts w:hint="eastAsia" w:ascii="仿宋_GB2312" w:hAnsi="宋体" w:eastAsia="仿宋_GB2312"/>
                <w:b w:val="0"/>
                <w:bCs w:val="0"/>
                <w:color w:val="auto"/>
                <w:sz w:val="24"/>
                <w:szCs w:val="24"/>
                <w:highlight w:val="none"/>
                <w:lang w:val="en-US" w:eastAsia="zh-CN"/>
              </w:rPr>
              <w:t>6</w:t>
            </w:r>
            <w:r>
              <w:rPr>
                <w:rFonts w:hint="eastAsia" w:ascii="仿宋_GB2312" w:hAnsi="宋体" w:eastAsia="仿宋_GB2312"/>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495" w:type="dxa"/>
            <w:gridSpan w:val="2"/>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default"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报价评审</w:t>
            </w:r>
          </w:p>
        </w:tc>
        <w:tc>
          <w:tcPr>
            <w:tcW w:w="6446" w:type="dxa"/>
            <w:tcBorders>
              <w:top w:val="single" w:color="auto" w:sz="4" w:space="0"/>
              <w:left w:val="single" w:color="auto" w:sz="4" w:space="0"/>
              <w:right w:val="single" w:color="auto" w:sz="4" w:space="0"/>
            </w:tcBorders>
            <w:noWrap/>
            <w:vAlign w:val="center"/>
          </w:tcPr>
          <w:p>
            <w:pPr>
              <w:pStyle w:val="32"/>
              <w:keepNext w:val="0"/>
              <w:keepLines w:val="0"/>
              <w:pageBreakBefore w:val="0"/>
              <w:widowControl w:val="0"/>
              <w:kinsoku/>
              <w:wordWrap/>
              <w:overflowPunct/>
              <w:topLinePunct w:val="0"/>
              <w:bidi w:val="0"/>
              <w:spacing w:line="240" w:lineRule="auto"/>
              <w:ind w:firstLine="0" w:firstLineChars="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有效投标报价的最低价作为评标基准价，其最低报价为满分；按［投标报价得分=（评标基准价/投标报价）*</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］的计算公式计算。</w:t>
            </w:r>
          </w:p>
          <w:p>
            <w:pPr>
              <w:pStyle w:val="32"/>
              <w:keepNext w:val="0"/>
              <w:keepLines w:val="0"/>
              <w:pageBreakBefore w:val="0"/>
              <w:widowControl w:val="0"/>
              <w:kinsoku/>
              <w:wordWrap/>
              <w:overflowPunct/>
              <w:topLinePunct w:val="0"/>
              <w:bidi w:val="0"/>
              <w:spacing w:line="240" w:lineRule="auto"/>
              <w:ind w:firstLine="0" w:firstLineChars="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评标过程中，不得去掉报价中的最高报价和最低报价。</w:t>
            </w:r>
          </w:p>
          <w:p>
            <w:pPr>
              <w:pStyle w:val="32"/>
              <w:pageBreakBefore w:val="0"/>
              <w:widowControl w:val="0"/>
              <w:kinsoku/>
              <w:wordWrap/>
              <w:overflowPunct/>
              <w:topLinePunct w:val="0"/>
              <w:bidi w:val="0"/>
              <w:spacing w:line="360" w:lineRule="auto"/>
              <w:textAlignment w:val="auto"/>
              <w:rPr>
                <w:rFonts w:hint="eastAsia" w:ascii="仿宋_GB2312" w:hAnsi="宋体" w:eastAsia="仿宋_GB2312"/>
                <w:b w:val="0"/>
                <w:bCs w:val="0"/>
                <w:color w:val="auto"/>
                <w:sz w:val="24"/>
                <w:szCs w:val="24"/>
                <w:highlight w:val="none"/>
              </w:rPr>
            </w:pPr>
            <w:r>
              <w:rPr>
                <w:rFonts w:hint="eastAsia" w:ascii="仿宋_GB2312" w:hAnsi="仿宋_GB2312" w:eastAsia="仿宋_GB2312" w:cs="仿宋_GB2312"/>
                <w:b w:val="0"/>
                <w:bCs/>
                <w:color w:val="auto"/>
                <w:sz w:val="24"/>
                <w:szCs w:val="24"/>
                <w:highlight w:val="none"/>
              </w:rPr>
              <w:t>因落实政府采购政策需要进行价格调整的，以调整后的价格计算评标基准价和投标报价。</w:t>
            </w:r>
          </w:p>
        </w:tc>
        <w:tc>
          <w:tcPr>
            <w:tcW w:w="1049" w:type="dxa"/>
            <w:tcBorders>
              <w:left w:val="single" w:color="auto" w:sz="4" w:space="0"/>
              <w:right w:val="single" w:color="auto" w:sz="4" w:space="0"/>
            </w:tcBorders>
            <w:noWrap/>
            <w:vAlign w:val="center"/>
          </w:tcPr>
          <w:p>
            <w:pPr>
              <w:pStyle w:val="32"/>
              <w:pageBreakBefore w:val="0"/>
              <w:widowControl w:val="0"/>
              <w:kinsoku/>
              <w:wordWrap/>
              <w:overflowPunct/>
              <w:topLinePunct w:val="0"/>
              <w:bidi w:val="0"/>
              <w:spacing w:line="360" w:lineRule="auto"/>
              <w:jc w:val="center"/>
              <w:textAlignment w:val="auto"/>
              <w:rPr>
                <w:rFonts w:hint="default"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20分</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7"/>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7"/>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7"/>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2" w:name="第五部分"/>
      <w:bookmarkStart w:id="393" w:name="_Toc86217003"/>
    </w:p>
    <w:p>
      <w:pPr>
        <w:spacing w:line="360" w:lineRule="auto"/>
        <w:outlineLvl w:val="0"/>
        <w:rPr>
          <w:rFonts w:ascii="仿宋_GB2312" w:hAnsi="仿宋" w:eastAsia="仿宋_GB2312" w:cs="仿宋_GB2312"/>
          <w:b/>
          <w:color w:val="auto"/>
          <w:sz w:val="36"/>
          <w:szCs w:val="36"/>
          <w:highlight w:val="none"/>
        </w:rPr>
      </w:pPr>
    </w:p>
    <w:p>
      <w:pPr>
        <w:pStyle w:val="2"/>
        <w:rPr>
          <w:color w:val="auto"/>
          <w:highlight w:val="none"/>
        </w:rPr>
      </w:pPr>
    </w:p>
    <w:p>
      <w:pPr>
        <w:spacing w:line="360" w:lineRule="auto"/>
        <w:outlineLvl w:val="0"/>
        <w:rPr>
          <w:color w:val="auto"/>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spacing w:line="360" w:lineRule="auto"/>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pPr>
        <w:spacing w:line="360" w:lineRule="auto"/>
        <w:rPr>
          <w:rFonts w:ascii="仿宋_GB2312" w:hAnsi="楷体" w:eastAsia="仿宋_GB2312"/>
          <w:color w:val="auto"/>
          <w:sz w:val="24"/>
          <w:highlight w:val="none"/>
          <w:u w:val="single"/>
        </w:rPr>
      </w:pPr>
    </w:p>
    <w:p>
      <w:pPr>
        <w:pStyle w:val="699"/>
        <w:ind w:leftChars="0" w:firstLine="2465" w:firstLineChars="682"/>
        <w:jc w:val="left"/>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政府采购合同书</w:t>
      </w:r>
    </w:p>
    <w:p>
      <w:pPr>
        <w:pStyle w:val="699"/>
        <w:rPr>
          <w:rFonts w:ascii="仿宋_GB2312" w:hAnsi="楷体" w:eastAsia="仿宋_GB2312"/>
          <w:color w:val="auto"/>
          <w:szCs w:val="24"/>
          <w:highlight w:val="none"/>
        </w:rPr>
      </w:pPr>
    </w:p>
    <w:p>
      <w:pPr>
        <w:pStyle w:val="699"/>
        <w:rPr>
          <w:rFonts w:ascii="仿宋_GB2312" w:hAnsi="楷体" w:eastAsia="仿宋_GB2312"/>
          <w:color w:val="auto"/>
          <w:szCs w:val="24"/>
          <w:highlight w:val="none"/>
        </w:rPr>
      </w:pPr>
    </w:p>
    <w:p>
      <w:pPr>
        <w:spacing w:before="120" w:line="360" w:lineRule="auto"/>
        <w:rPr>
          <w:rFonts w:ascii="仿宋_GB2312" w:hAnsi="楷体"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项目名称：</w:t>
      </w:r>
      <w:r>
        <w:rPr>
          <w:rFonts w:hint="eastAsia" w:ascii="仿宋_GB2312" w:hAnsi="楷体" w:eastAsia="仿宋_GB2312"/>
          <w:color w:val="auto"/>
          <w:sz w:val="24"/>
          <w:highlight w:val="none"/>
          <w:u w:val="single"/>
        </w:rPr>
        <w:t xml:space="preserve">                                   </w:t>
      </w:r>
    </w:p>
    <w:p>
      <w:pPr>
        <w:pStyle w:val="596"/>
        <w:spacing w:before="120"/>
        <w:ind w:firstLine="360"/>
        <w:rPr>
          <w:rFonts w:hAnsi="楷体"/>
          <w:color w:val="auto"/>
          <w:szCs w:val="24"/>
          <w:highlight w:val="none"/>
        </w:rPr>
      </w:pPr>
    </w:p>
    <w:p>
      <w:pPr>
        <w:spacing w:line="360" w:lineRule="auto"/>
        <w:rPr>
          <w:rFonts w:ascii="仿宋_GB2312"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甲方：</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乙方：</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签订地：</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pPr>
        <w:widowControl/>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br w:type="page"/>
      </w:r>
    </w:p>
    <w:p>
      <w:pPr>
        <w:widowControl/>
        <w:spacing w:line="360" w:lineRule="auto"/>
        <w:jc w:val="left"/>
        <w:rPr>
          <w:rFonts w:hint="eastAsia" w:ascii="仿宋_GB2312" w:hAnsi="仿宋_GB2312" w:eastAsia="仿宋_GB2312" w:cs="仿宋_GB2312"/>
          <w:b/>
          <w:bCs w:val="0"/>
          <w:color w:val="auto"/>
          <w:sz w:val="24"/>
          <w:highlight w:val="none"/>
        </w:rPr>
      </w:pPr>
      <w:r>
        <w:rPr>
          <w:rFonts w:ascii="仿宋_GB2312" w:hAnsi="仿宋_GB2312" w:eastAsia="仿宋_GB2312" w:cs="仿宋_GB2312"/>
          <w:b/>
          <w:bCs w:val="0"/>
          <w:color w:val="auto"/>
          <w:sz w:val="24"/>
          <w:highlight w:val="none"/>
        </w:rPr>
        <w:t>1</w:t>
      </w:r>
      <w:r>
        <w:rPr>
          <w:rFonts w:hint="eastAsia" w:ascii="仿宋_GB2312" w:hAnsi="仿宋_GB2312" w:eastAsia="仿宋_GB2312" w:cs="仿宋_GB2312"/>
          <w:b/>
          <w:bCs w:val="0"/>
          <w:color w:val="auto"/>
          <w:sz w:val="24"/>
          <w:highlight w:val="none"/>
        </w:rPr>
        <w:t>．定义</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ascii="仿宋_GB2312" w:hAnsi="仿宋_GB2312" w:eastAsia="仿宋_GB2312" w:cs="仿宋_GB2312"/>
          <w:b w:val="0"/>
          <w:bCs/>
          <w:color w:val="auto"/>
          <w:sz w:val="24"/>
          <w:highlight w:val="none"/>
        </w:rPr>
        <w:t>1</w:t>
      </w:r>
      <w:r>
        <w:rPr>
          <w:rFonts w:hint="eastAsia" w:ascii="仿宋_GB2312" w:hAnsi="仿宋_GB2312" w:eastAsia="仿宋_GB2312" w:cs="仿宋_GB2312"/>
          <w:b w:val="0"/>
          <w:bCs/>
          <w:color w:val="auto"/>
          <w:sz w:val="24"/>
          <w:highlight w:val="none"/>
        </w:rPr>
        <w:t>.</w:t>
      </w:r>
      <w:r>
        <w:rPr>
          <w:rFonts w:ascii="仿宋_GB2312" w:hAnsi="仿宋_GB2312" w:eastAsia="仿宋_GB2312" w:cs="仿宋_GB2312"/>
          <w:b w:val="0"/>
          <w:bCs/>
          <w:color w:val="auto"/>
          <w:sz w:val="24"/>
          <w:highlight w:val="none"/>
        </w:rPr>
        <w:t xml:space="preserve">1 </w:t>
      </w:r>
      <w:r>
        <w:rPr>
          <w:rFonts w:hint="eastAsia" w:ascii="仿宋_GB2312" w:hAnsi="仿宋_GB2312" w:eastAsia="仿宋_GB2312" w:cs="仿宋_GB2312"/>
          <w:b w:val="0"/>
          <w:bCs/>
          <w:color w:val="auto"/>
          <w:sz w:val="24"/>
          <w:highlight w:val="none"/>
        </w:rPr>
        <w:t>“</w:t>
      </w:r>
      <w:r>
        <w:rPr>
          <w:rFonts w:hint="eastAsia" w:ascii="仿宋_GB2312" w:hAnsi="仿宋_GB2312" w:eastAsia="仿宋_GB2312" w:cs="仿宋_GB2312"/>
          <w:b w:val="0"/>
          <w:bCs/>
          <w:color w:val="auto"/>
          <w:sz w:val="24"/>
          <w:highlight w:val="none"/>
          <w:lang w:val="zh-CN"/>
        </w:rPr>
        <w:t>合同”</w:t>
      </w:r>
      <w:r>
        <w:rPr>
          <w:rFonts w:hint="eastAsia" w:ascii="仿宋_GB2312" w:hAnsi="仿宋_GB2312" w:eastAsia="仿宋_GB2312" w:cs="仿宋_GB2312"/>
          <w:b w:val="0"/>
          <w:bCs/>
          <w:color w:val="auto"/>
          <w:sz w:val="24"/>
          <w:highlight w:val="none"/>
        </w:rPr>
        <w:t>即由</w:t>
      </w:r>
      <w:r>
        <w:rPr>
          <w:rFonts w:hint="eastAsia" w:ascii="仿宋_GB2312" w:hAnsi="仿宋_GB2312" w:eastAsia="仿宋_GB2312" w:cs="仿宋_GB2312"/>
          <w:b w:val="0"/>
          <w:bCs/>
          <w:color w:val="auto"/>
          <w:sz w:val="24"/>
          <w:highlight w:val="none"/>
          <w:lang w:val="zh-CN"/>
        </w:rPr>
        <w:t>甲乙方</w:t>
      </w:r>
      <w:r>
        <w:rPr>
          <w:rFonts w:hint="eastAsia" w:ascii="仿宋_GB2312" w:hAnsi="仿宋_GB2312" w:eastAsia="仿宋_GB2312" w:cs="仿宋_GB2312"/>
          <w:b w:val="0"/>
          <w:bCs/>
          <w:color w:val="auto"/>
          <w:sz w:val="24"/>
          <w:highlight w:val="none"/>
        </w:rPr>
        <w:t>双方签订的合同格式中的文件，包括所有的附件、附录和组成合同部分的所有其他文件。</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合同将由</w:t>
      </w:r>
      <w:r>
        <w:rPr>
          <w:rFonts w:hint="eastAsia" w:ascii="仿宋_GB2312" w:hAnsi="仿宋_GB2312" w:eastAsia="仿宋_GB2312" w:cs="仿宋_GB2312"/>
          <w:b w:val="0"/>
          <w:bCs/>
          <w:color w:val="auto"/>
          <w:sz w:val="24"/>
          <w:highlight w:val="none"/>
          <w:lang w:eastAsia="zh-CN"/>
        </w:rPr>
        <w:t>杭州市规划和自然资源局临安分局</w:t>
      </w:r>
      <w:r>
        <w:rPr>
          <w:rFonts w:hint="eastAsia" w:ascii="仿宋_GB2312" w:hAnsi="仿宋_GB2312" w:eastAsia="仿宋_GB2312" w:cs="仿宋_GB2312"/>
          <w:b w:val="0"/>
          <w:bCs/>
          <w:color w:val="auto"/>
          <w:sz w:val="24"/>
          <w:highlight w:val="none"/>
        </w:rPr>
        <w:t>（以下简称甲方）与经评审最终确定的中标人（以下简称乙方）结合本项目具体情况协商后签订</w:t>
      </w:r>
      <w:r>
        <w:rPr>
          <w:rFonts w:hint="eastAsia" w:ascii="仿宋_GB2312" w:hAnsi="仿宋_GB2312" w:eastAsia="仿宋_GB2312" w:cs="仿宋_GB2312"/>
          <w:b w:val="0"/>
          <w:bCs/>
          <w:color w:val="auto"/>
          <w:sz w:val="24"/>
          <w:highlight w:val="none"/>
          <w:lang w:val="zh-CN"/>
        </w:rPr>
        <w:t>。以下为采购人提出涉及乙方的主要条款，投标人在投标文件中应对其进行确认或拒绝。如投标人在其投标文件中未做拒绝或提出修改要求的，采购人将视作认同</w:t>
      </w:r>
      <w:r>
        <w:rPr>
          <w:rFonts w:hint="eastAsia" w:ascii="仿宋_GB2312" w:hAnsi="仿宋_GB2312" w:eastAsia="仿宋_GB2312" w:cs="仿宋_GB2312"/>
          <w:b w:val="0"/>
          <w:bCs/>
          <w:color w:val="auto"/>
          <w:sz w:val="24"/>
          <w:highlight w:val="none"/>
        </w:rPr>
        <w:t>。</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ascii="仿宋_GB2312" w:hAnsi="仿宋_GB2312" w:eastAsia="仿宋_GB2312" w:cs="仿宋_GB2312"/>
          <w:b w:val="0"/>
          <w:bCs/>
          <w:color w:val="auto"/>
          <w:sz w:val="24"/>
          <w:highlight w:val="none"/>
        </w:rPr>
        <w:t>1</w:t>
      </w:r>
      <w:r>
        <w:rPr>
          <w:rFonts w:hint="eastAsia" w:ascii="仿宋_GB2312" w:hAnsi="仿宋_GB2312" w:eastAsia="仿宋_GB2312" w:cs="仿宋_GB2312"/>
          <w:b w:val="0"/>
          <w:bCs/>
          <w:color w:val="auto"/>
          <w:sz w:val="24"/>
          <w:highlight w:val="none"/>
        </w:rPr>
        <w:t>.</w:t>
      </w:r>
      <w:r>
        <w:rPr>
          <w:rFonts w:ascii="仿宋_GB2312" w:hAnsi="仿宋_GB2312" w:eastAsia="仿宋_GB2312" w:cs="仿宋_GB2312"/>
          <w:b w:val="0"/>
          <w:bCs/>
          <w:color w:val="auto"/>
          <w:sz w:val="24"/>
          <w:highlight w:val="none"/>
        </w:rPr>
        <w:t xml:space="preserve">2 </w:t>
      </w:r>
      <w:r>
        <w:rPr>
          <w:rFonts w:hint="eastAsia" w:ascii="仿宋_GB2312" w:hAnsi="仿宋_GB2312" w:eastAsia="仿宋_GB2312" w:cs="仿宋_GB2312"/>
          <w:b w:val="0"/>
          <w:bCs/>
          <w:color w:val="auto"/>
          <w:sz w:val="24"/>
          <w:highlight w:val="none"/>
        </w:rPr>
        <w:t>“合同价格”系指根据合同规定，在供应商全面正确地履行合同义务时，采购人应支付给供应商的款项。</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ascii="仿宋_GB2312" w:hAnsi="仿宋_GB2312" w:eastAsia="仿宋_GB2312" w:cs="仿宋_GB2312"/>
          <w:b w:val="0"/>
          <w:bCs/>
          <w:color w:val="auto"/>
          <w:sz w:val="24"/>
          <w:highlight w:val="none"/>
        </w:rPr>
        <w:t>1</w:t>
      </w:r>
      <w:r>
        <w:rPr>
          <w:rFonts w:hint="eastAsia" w:ascii="仿宋_GB2312" w:hAnsi="仿宋_GB2312" w:eastAsia="仿宋_GB2312" w:cs="仿宋_GB2312"/>
          <w:b w:val="0"/>
          <w:bCs/>
          <w:color w:val="auto"/>
          <w:sz w:val="24"/>
          <w:highlight w:val="none"/>
        </w:rPr>
        <w:t>.</w:t>
      </w:r>
      <w:r>
        <w:rPr>
          <w:rFonts w:ascii="仿宋_GB2312" w:hAnsi="仿宋_GB2312" w:eastAsia="仿宋_GB2312" w:cs="仿宋_GB2312"/>
          <w:b w:val="0"/>
          <w:bCs/>
          <w:color w:val="auto"/>
          <w:sz w:val="24"/>
          <w:highlight w:val="none"/>
        </w:rPr>
        <w:t>3</w:t>
      </w:r>
      <w:r>
        <w:rPr>
          <w:rFonts w:hint="eastAsia" w:ascii="仿宋_GB2312" w:hAnsi="仿宋_GB2312" w:eastAsia="仿宋_GB2312" w:cs="仿宋_GB2312"/>
          <w:b w:val="0"/>
          <w:bCs/>
          <w:color w:val="auto"/>
          <w:sz w:val="24"/>
          <w:highlight w:val="none"/>
        </w:rPr>
        <w:t>“服务”系指招标文件规定供应商须承担的技术协助以及其它类似的义务。</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ascii="仿宋_GB2312" w:hAnsi="仿宋_GB2312" w:eastAsia="仿宋_GB2312" w:cs="仿宋_GB2312"/>
          <w:b w:val="0"/>
          <w:bCs/>
          <w:color w:val="auto"/>
          <w:sz w:val="24"/>
          <w:highlight w:val="none"/>
        </w:rPr>
        <w:t>1</w:t>
      </w:r>
      <w:r>
        <w:rPr>
          <w:rFonts w:hint="eastAsia" w:ascii="仿宋_GB2312" w:hAnsi="仿宋_GB2312" w:eastAsia="仿宋_GB2312" w:cs="仿宋_GB2312"/>
          <w:b w:val="0"/>
          <w:bCs/>
          <w:color w:val="auto"/>
          <w:sz w:val="24"/>
          <w:highlight w:val="none"/>
        </w:rPr>
        <w:t>.</w:t>
      </w:r>
      <w:r>
        <w:rPr>
          <w:rFonts w:ascii="仿宋_GB2312" w:hAnsi="仿宋_GB2312" w:eastAsia="仿宋_GB2312" w:cs="仿宋_GB2312"/>
          <w:b w:val="0"/>
          <w:bCs/>
          <w:color w:val="auto"/>
          <w:sz w:val="24"/>
          <w:highlight w:val="none"/>
        </w:rPr>
        <w:t>4</w:t>
      </w:r>
      <w:r>
        <w:rPr>
          <w:rFonts w:hint="eastAsia" w:ascii="仿宋_GB2312" w:hAnsi="仿宋_GB2312" w:eastAsia="仿宋_GB2312" w:cs="仿宋_GB2312"/>
          <w:b w:val="0"/>
          <w:bCs/>
          <w:color w:val="auto"/>
          <w:sz w:val="24"/>
          <w:highlight w:val="none"/>
        </w:rPr>
        <w:t>“甲方”系指通过采购接受合同及服务的</w:t>
      </w:r>
      <w:r>
        <w:rPr>
          <w:rFonts w:hint="eastAsia" w:ascii="仿宋_GB2312" w:hAnsi="仿宋_GB2312" w:eastAsia="仿宋_GB2312" w:cs="仿宋_GB2312"/>
          <w:b w:val="0"/>
          <w:bCs/>
          <w:color w:val="auto"/>
          <w:sz w:val="24"/>
          <w:highlight w:val="none"/>
          <w:lang w:eastAsia="zh-CN"/>
        </w:rPr>
        <w:t>杭州市规划和自然资源局临安分局</w:t>
      </w:r>
      <w:r>
        <w:rPr>
          <w:rFonts w:hint="eastAsia" w:ascii="仿宋_GB2312" w:hAnsi="仿宋_GB2312" w:eastAsia="仿宋_GB2312" w:cs="仿宋_GB2312"/>
          <w:b w:val="0"/>
          <w:bCs/>
          <w:color w:val="auto"/>
          <w:sz w:val="24"/>
          <w:highlight w:val="none"/>
        </w:rPr>
        <w:t>。</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ascii="仿宋_GB2312" w:hAnsi="仿宋_GB2312" w:eastAsia="仿宋_GB2312" w:cs="仿宋_GB2312"/>
          <w:b w:val="0"/>
          <w:bCs/>
          <w:color w:val="auto"/>
          <w:sz w:val="24"/>
          <w:highlight w:val="none"/>
        </w:rPr>
        <w:t>1</w:t>
      </w:r>
      <w:r>
        <w:rPr>
          <w:rFonts w:hint="eastAsia" w:ascii="仿宋_GB2312" w:hAnsi="仿宋_GB2312" w:eastAsia="仿宋_GB2312" w:cs="仿宋_GB2312"/>
          <w:b w:val="0"/>
          <w:bCs/>
          <w:color w:val="auto"/>
          <w:sz w:val="24"/>
          <w:highlight w:val="none"/>
        </w:rPr>
        <w:t>.</w:t>
      </w:r>
      <w:r>
        <w:rPr>
          <w:rFonts w:ascii="仿宋_GB2312" w:hAnsi="仿宋_GB2312" w:eastAsia="仿宋_GB2312" w:cs="仿宋_GB2312"/>
          <w:b w:val="0"/>
          <w:bCs/>
          <w:color w:val="auto"/>
          <w:sz w:val="24"/>
          <w:highlight w:val="none"/>
        </w:rPr>
        <w:t>5</w:t>
      </w:r>
      <w:r>
        <w:rPr>
          <w:rFonts w:hint="eastAsia" w:ascii="仿宋_GB2312" w:hAnsi="仿宋_GB2312" w:eastAsia="仿宋_GB2312" w:cs="仿宋_GB2312"/>
          <w:b w:val="0"/>
          <w:bCs/>
          <w:color w:val="auto"/>
          <w:sz w:val="24"/>
          <w:highlight w:val="none"/>
        </w:rPr>
        <w:t>“乙方”系指</w:t>
      </w:r>
      <w:r>
        <w:rPr>
          <w:rFonts w:hint="eastAsia" w:ascii="仿宋_GB2312" w:hAnsi="仿宋_GB2312" w:eastAsia="仿宋_GB2312" w:cs="仿宋_GB2312"/>
          <w:b w:val="0"/>
          <w:bCs/>
          <w:color w:val="auto"/>
          <w:sz w:val="24"/>
          <w:highlight w:val="none"/>
          <w:lang w:val="zh-CN"/>
        </w:rPr>
        <w:t>经评审最终确定的中标人</w:t>
      </w:r>
      <w:r>
        <w:rPr>
          <w:rFonts w:hint="eastAsia" w:ascii="仿宋_GB2312" w:hAnsi="仿宋_GB2312" w:eastAsia="仿宋_GB2312" w:cs="仿宋_GB2312"/>
          <w:b w:val="0"/>
          <w:bCs/>
          <w:color w:val="auto"/>
          <w:sz w:val="24"/>
          <w:highlight w:val="none"/>
        </w:rPr>
        <w:t>。</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ascii="仿宋_GB2312" w:hAnsi="仿宋_GB2312" w:eastAsia="仿宋_GB2312" w:cs="仿宋_GB2312"/>
          <w:b w:val="0"/>
          <w:bCs/>
          <w:color w:val="auto"/>
          <w:sz w:val="24"/>
          <w:highlight w:val="none"/>
        </w:rPr>
        <w:t>1</w:t>
      </w:r>
      <w:r>
        <w:rPr>
          <w:rFonts w:hint="eastAsia" w:ascii="仿宋_GB2312" w:hAnsi="仿宋_GB2312" w:eastAsia="仿宋_GB2312" w:cs="仿宋_GB2312"/>
          <w:b w:val="0"/>
          <w:bCs/>
          <w:color w:val="auto"/>
          <w:sz w:val="24"/>
          <w:highlight w:val="none"/>
        </w:rPr>
        <w:t>.</w:t>
      </w:r>
      <w:r>
        <w:rPr>
          <w:rFonts w:ascii="仿宋_GB2312" w:hAnsi="仿宋_GB2312" w:eastAsia="仿宋_GB2312" w:cs="仿宋_GB2312"/>
          <w:b w:val="0"/>
          <w:bCs/>
          <w:color w:val="auto"/>
          <w:sz w:val="24"/>
          <w:highlight w:val="none"/>
        </w:rPr>
        <w:t>6</w:t>
      </w:r>
      <w:r>
        <w:rPr>
          <w:rFonts w:hint="eastAsia" w:ascii="仿宋_GB2312" w:hAnsi="仿宋_GB2312" w:eastAsia="仿宋_GB2312" w:cs="仿宋_GB2312"/>
          <w:b w:val="0"/>
          <w:bCs/>
          <w:color w:val="auto"/>
          <w:sz w:val="24"/>
          <w:highlight w:val="none"/>
        </w:rPr>
        <w:t>“验收”系指采购人依据技术规格规定接受合同所依据的程序和条件。</w:t>
      </w:r>
    </w:p>
    <w:p>
      <w:pPr>
        <w:widowControl/>
        <w:spacing w:line="360" w:lineRule="auto"/>
        <w:jc w:val="left"/>
        <w:rPr>
          <w:rFonts w:ascii="仿宋_GB2312" w:hAnsi="仿宋_GB2312" w:eastAsia="仿宋_GB2312" w:cs="仿宋_GB2312"/>
          <w:b/>
          <w:bCs w:val="0"/>
          <w:color w:val="auto"/>
          <w:sz w:val="24"/>
          <w:highlight w:val="none"/>
        </w:rPr>
      </w:pPr>
      <w:r>
        <w:rPr>
          <w:rFonts w:ascii="仿宋_GB2312" w:hAnsi="仿宋_GB2312" w:eastAsia="仿宋_GB2312" w:cs="仿宋_GB2312"/>
          <w:b/>
          <w:bCs w:val="0"/>
          <w:color w:val="auto"/>
          <w:sz w:val="24"/>
          <w:highlight w:val="none"/>
        </w:rPr>
        <w:t>2</w:t>
      </w:r>
      <w:r>
        <w:rPr>
          <w:rFonts w:hint="eastAsia" w:ascii="仿宋_GB2312" w:hAnsi="仿宋_GB2312" w:eastAsia="仿宋_GB2312" w:cs="仿宋_GB2312"/>
          <w:b/>
          <w:bCs w:val="0"/>
          <w:color w:val="auto"/>
          <w:sz w:val="24"/>
          <w:highlight w:val="none"/>
        </w:rPr>
        <w:t>. 适用范围</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本合同条款适用于本次采购活动。项目内容详见附件——招标文件和投标文件及补充文件、承诺书等。</w:t>
      </w:r>
    </w:p>
    <w:p>
      <w:pPr>
        <w:widowControl/>
        <w:spacing w:line="360" w:lineRule="auto"/>
        <w:jc w:val="left"/>
        <w:rPr>
          <w:rFonts w:hint="eastAsia"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3．项目实施</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履行本合同的过程中，确因在现有水平和条件下难以克服的技术困难，导致部分或全部失败所造成的损失，风险责任由乙方全部承担。</w:t>
      </w:r>
    </w:p>
    <w:p>
      <w:pPr>
        <w:widowControl/>
        <w:spacing w:line="360" w:lineRule="auto"/>
        <w:jc w:val="left"/>
        <w:rPr>
          <w:rFonts w:hint="eastAsia"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4．验收</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 xml:space="preserve">4.1 </w:t>
      </w:r>
      <w:r>
        <w:rPr>
          <w:rFonts w:hint="eastAsia" w:ascii="仿宋_GB2312" w:hAnsi="仿宋_GB2312" w:eastAsia="仿宋_GB2312" w:cs="仿宋_GB2312"/>
          <w:b w:val="0"/>
          <w:bCs/>
          <w:color w:val="auto"/>
          <w:sz w:val="24"/>
          <w:highlight w:val="none"/>
          <w:lang w:val="zh-CN"/>
        </w:rPr>
        <w:t>完成全部项目任务，成果通过最终考核验收</w:t>
      </w:r>
      <w:r>
        <w:rPr>
          <w:rFonts w:hint="eastAsia" w:ascii="仿宋_GB2312" w:hAnsi="仿宋_GB2312" w:eastAsia="仿宋_GB2312" w:cs="仿宋_GB2312"/>
          <w:b w:val="0"/>
          <w:bCs/>
          <w:color w:val="auto"/>
          <w:sz w:val="24"/>
          <w:highlight w:val="none"/>
        </w:rPr>
        <w:t>。</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4.2 考核验收合格后，甲乙双方共同签署验收报告，一式二份，一份交甲方留存，一份由乙方用作结算凭证。</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4.3 如果发现与合同中要求不符，乙方须承担由此发生的一切损失和费用，并接受相应的处罚。</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4.4 验收时必须提供完整的项目验收资料，包括招标文件第三部分项目技术规范和服务要求中所列的所有文档资料等。</w:t>
      </w:r>
    </w:p>
    <w:p>
      <w:pPr>
        <w:widowControl/>
        <w:spacing w:line="360" w:lineRule="auto"/>
        <w:jc w:val="left"/>
        <w:rPr>
          <w:rFonts w:hint="eastAsia"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 xml:space="preserve">5．费用、付款方式 </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 xml:space="preserve">5.1 </w:t>
      </w:r>
      <w:r>
        <w:rPr>
          <w:rFonts w:ascii="仿宋_GB2312" w:hAnsi="仿宋_GB2312" w:eastAsia="仿宋_GB2312" w:cs="仿宋_GB2312"/>
          <w:b w:val="0"/>
          <w:bCs/>
          <w:color w:val="auto"/>
          <w:sz w:val="24"/>
          <w:highlight w:val="none"/>
        </w:rPr>
        <w:t>总费用</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ascii="仿宋_GB2312" w:hAnsi="仿宋_GB2312" w:eastAsia="仿宋_GB2312" w:cs="仿宋_GB2312"/>
          <w:b w:val="0"/>
          <w:bCs/>
          <w:color w:val="auto"/>
          <w:sz w:val="24"/>
          <w:highlight w:val="none"/>
        </w:rPr>
        <w:t>根据乙方</w:t>
      </w:r>
      <w:r>
        <w:rPr>
          <w:rFonts w:hint="eastAsia" w:ascii="仿宋_GB2312" w:hAnsi="仿宋_GB2312" w:eastAsia="仿宋_GB2312" w:cs="仿宋_GB2312"/>
          <w:b w:val="0"/>
          <w:bCs/>
          <w:color w:val="auto"/>
          <w:sz w:val="24"/>
          <w:highlight w:val="none"/>
        </w:rPr>
        <w:t>投</w:t>
      </w:r>
      <w:r>
        <w:rPr>
          <w:rFonts w:ascii="仿宋_GB2312" w:hAnsi="仿宋_GB2312" w:eastAsia="仿宋_GB2312" w:cs="仿宋_GB2312"/>
          <w:b w:val="0"/>
          <w:bCs/>
          <w:color w:val="auto"/>
          <w:sz w:val="24"/>
          <w:highlight w:val="none"/>
        </w:rPr>
        <w:t>标报价，合同总价为人民币</w:t>
      </w:r>
      <w:r>
        <w:rPr>
          <w:rFonts w:ascii="仿宋_GB2312" w:hAnsi="仿宋_GB2312" w:eastAsia="仿宋_GB2312" w:cs="仿宋_GB2312"/>
          <w:b w:val="0"/>
          <w:bCs/>
          <w:color w:val="auto"/>
          <w:sz w:val="24"/>
          <w:highlight w:val="none"/>
          <w:u w:val="single"/>
        </w:rPr>
        <w:t xml:space="preserve">        </w:t>
      </w:r>
      <w:r>
        <w:rPr>
          <w:rFonts w:ascii="仿宋_GB2312" w:hAnsi="仿宋_GB2312" w:eastAsia="仿宋_GB2312" w:cs="仿宋_GB2312"/>
          <w:b w:val="0"/>
          <w:bCs/>
          <w:color w:val="auto"/>
          <w:sz w:val="24"/>
          <w:highlight w:val="none"/>
        </w:rPr>
        <w:t>元整，￥          元。</w:t>
      </w:r>
    </w:p>
    <w:p>
      <w:pPr>
        <w:widowControl/>
        <w:spacing w:line="360" w:lineRule="auto"/>
        <w:jc w:val="left"/>
        <w:rPr>
          <w:rFonts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5.2 项目费用</w:t>
      </w:r>
      <w:r>
        <w:rPr>
          <w:rFonts w:ascii="仿宋_GB2312" w:hAnsi="仿宋_GB2312" w:eastAsia="仿宋_GB2312" w:cs="仿宋_GB2312"/>
          <w:b w:val="0"/>
          <w:bCs/>
          <w:color w:val="auto"/>
          <w:sz w:val="24"/>
          <w:highlight w:val="none"/>
        </w:rPr>
        <w:t>支付：</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zh-CN"/>
        </w:rPr>
        <w:t>项目合同费用按三个年度分期支付，第一年度支付为合同总价的</w:t>
      </w:r>
      <w:r>
        <w:rPr>
          <w:rFonts w:hint="eastAsia" w:ascii="仿宋_GB2312" w:hAnsi="仿宋_GB2312" w:eastAsia="仿宋_GB2312" w:cs="仿宋_GB2312"/>
          <w:b w:val="0"/>
          <w:bCs/>
          <w:color w:val="auto"/>
          <w:sz w:val="24"/>
          <w:highlight w:val="none"/>
        </w:rPr>
        <w:t>3</w:t>
      </w:r>
      <w:r>
        <w:rPr>
          <w:rFonts w:hint="eastAsia" w:ascii="仿宋_GB2312" w:hAnsi="仿宋_GB2312" w:eastAsia="仿宋_GB2312" w:cs="仿宋_GB2312"/>
          <w:b w:val="0"/>
          <w:bCs/>
          <w:color w:val="auto"/>
          <w:sz w:val="24"/>
          <w:highlight w:val="none"/>
          <w:lang w:val="en-US" w:eastAsia="zh-CN"/>
        </w:rPr>
        <w:t>0</w:t>
      </w:r>
      <w:r>
        <w:rPr>
          <w:rFonts w:hint="eastAsia" w:ascii="仿宋_GB2312" w:hAnsi="仿宋_GB2312" w:eastAsia="仿宋_GB2312" w:cs="仿宋_GB2312"/>
          <w:b w:val="0"/>
          <w:bCs/>
          <w:color w:val="auto"/>
          <w:sz w:val="24"/>
          <w:highlight w:val="none"/>
          <w:lang w:val="zh-CN"/>
        </w:rPr>
        <w:t>%（￥    元），第二年度支付为合同总价的</w:t>
      </w:r>
      <w:r>
        <w:rPr>
          <w:rFonts w:hint="eastAsia" w:ascii="仿宋_GB2312" w:hAnsi="仿宋_GB2312" w:eastAsia="仿宋_GB2312" w:cs="仿宋_GB2312"/>
          <w:b w:val="0"/>
          <w:bCs/>
          <w:color w:val="auto"/>
          <w:sz w:val="24"/>
          <w:highlight w:val="none"/>
        </w:rPr>
        <w:t>3</w:t>
      </w:r>
      <w:r>
        <w:rPr>
          <w:rFonts w:hint="eastAsia" w:ascii="仿宋_GB2312" w:hAnsi="仿宋_GB2312" w:eastAsia="仿宋_GB2312" w:cs="仿宋_GB2312"/>
          <w:b w:val="0"/>
          <w:bCs/>
          <w:color w:val="auto"/>
          <w:sz w:val="24"/>
          <w:highlight w:val="none"/>
          <w:lang w:val="en-US" w:eastAsia="zh-CN"/>
        </w:rPr>
        <w:t>0</w:t>
      </w:r>
      <w:r>
        <w:rPr>
          <w:rFonts w:hint="eastAsia" w:ascii="仿宋_GB2312" w:hAnsi="仿宋_GB2312" w:eastAsia="仿宋_GB2312" w:cs="仿宋_GB2312"/>
          <w:b w:val="0"/>
          <w:bCs/>
          <w:color w:val="auto"/>
          <w:sz w:val="24"/>
          <w:highlight w:val="none"/>
          <w:lang w:val="zh-CN"/>
        </w:rPr>
        <w:t>%（￥    元），第三年度支付为合同总价的</w:t>
      </w:r>
      <w:r>
        <w:rPr>
          <w:rFonts w:hint="eastAsia" w:ascii="仿宋_GB2312" w:hAnsi="仿宋_GB2312" w:eastAsia="仿宋_GB2312" w:cs="仿宋_GB2312"/>
          <w:b w:val="0"/>
          <w:bCs/>
          <w:color w:val="auto"/>
          <w:sz w:val="24"/>
          <w:highlight w:val="none"/>
          <w:lang w:val="en-US" w:eastAsia="zh-CN"/>
        </w:rPr>
        <w:t>40</w:t>
      </w:r>
      <w:r>
        <w:rPr>
          <w:rFonts w:hint="eastAsia" w:ascii="仿宋_GB2312" w:hAnsi="仿宋_GB2312" w:eastAsia="仿宋_GB2312" w:cs="仿宋_GB2312"/>
          <w:b w:val="0"/>
          <w:bCs/>
          <w:color w:val="auto"/>
          <w:sz w:val="24"/>
          <w:highlight w:val="none"/>
          <w:lang w:val="zh-CN"/>
        </w:rPr>
        <w:t>%（￥    元）。中标人于合同签订后每</w:t>
      </w:r>
      <w:r>
        <w:rPr>
          <w:rFonts w:hint="eastAsia" w:ascii="仿宋_GB2312" w:hAnsi="仿宋_GB2312" w:eastAsia="仿宋_GB2312" w:cs="仿宋_GB2312"/>
          <w:b w:val="0"/>
          <w:bCs/>
          <w:color w:val="auto"/>
          <w:sz w:val="24"/>
          <w:highlight w:val="none"/>
        </w:rPr>
        <w:t>年度</w:t>
      </w:r>
      <w:r>
        <w:rPr>
          <w:rFonts w:ascii="仿宋_GB2312" w:hAnsi="仿宋_GB2312" w:eastAsia="仿宋_GB2312" w:cs="仿宋_GB2312"/>
          <w:b w:val="0"/>
          <w:bCs/>
          <w:color w:val="auto"/>
          <w:sz w:val="24"/>
          <w:highlight w:val="none"/>
          <w:lang w:val="zh-CN"/>
        </w:rPr>
        <w:t>提交</w:t>
      </w:r>
      <w:r>
        <w:rPr>
          <w:rFonts w:hint="eastAsia" w:ascii="仿宋_GB2312" w:hAnsi="仿宋_GB2312" w:eastAsia="仿宋_GB2312" w:cs="仿宋_GB2312"/>
          <w:b w:val="0"/>
          <w:bCs/>
          <w:color w:val="auto"/>
          <w:sz w:val="24"/>
          <w:highlight w:val="none"/>
          <w:lang w:val="zh-CN"/>
        </w:rPr>
        <w:t>当年</w:t>
      </w:r>
      <w:r>
        <w:rPr>
          <w:rFonts w:ascii="仿宋_GB2312" w:hAnsi="仿宋_GB2312" w:eastAsia="仿宋_GB2312" w:cs="仿宋_GB2312"/>
          <w:b w:val="0"/>
          <w:bCs/>
          <w:color w:val="auto"/>
          <w:sz w:val="24"/>
          <w:highlight w:val="none"/>
          <w:lang w:val="zh-CN"/>
        </w:rPr>
        <w:t>所有成果</w:t>
      </w:r>
      <w:r>
        <w:rPr>
          <w:rFonts w:hint="eastAsia" w:ascii="仿宋_GB2312" w:hAnsi="仿宋_GB2312" w:eastAsia="仿宋_GB2312" w:cs="仿宋_GB2312"/>
          <w:b w:val="0"/>
          <w:bCs/>
          <w:color w:val="auto"/>
          <w:sz w:val="24"/>
          <w:highlight w:val="none"/>
          <w:lang w:val="zh-CN"/>
        </w:rPr>
        <w:t>文档资料，维护服务良好，无质量和服务问题，中标人于每年末向采购人办理付款结算手续；</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在合同履行过程中，如供应商在服务过程中出现服务质量不到位、维护响应不及时等问题，采购单位提出警告，要求整改后，仍无法达到采购单位考核标准要求的，采购人有权终止合同，并拒绝支付相应的服务费用。</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6．延期交付与核定损失额</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6.1 如果</w:t>
      </w:r>
      <w:r>
        <w:rPr>
          <w:rFonts w:hint="eastAsia" w:ascii="仿宋_GB2312" w:hAnsi="仿宋_GB2312" w:eastAsia="仿宋_GB2312" w:cs="仿宋_GB2312"/>
          <w:b w:val="0"/>
          <w:bCs/>
          <w:color w:val="auto"/>
          <w:sz w:val="24"/>
          <w:highlight w:val="none"/>
          <w:lang w:val="zh-CN"/>
        </w:rPr>
        <w:t>乙方</w:t>
      </w:r>
      <w:r>
        <w:rPr>
          <w:rFonts w:hint="eastAsia" w:ascii="仿宋_GB2312" w:hAnsi="仿宋_GB2312" w:eastAsia="仿宋_GB2312" w:cs="仿宋_GB2312"/>
          <w:b w:val="0"/>
          <w:bCs/>
          <w:color w:val="auto"/>
          <w:sz w:val="24"/>
          <w:highlight w:val="none"/>
        </w:rPr>
        <w:t>在正常情况下未能按合同规定的时间按期交付使用，</w:t>
      </w:r>
      <w:r>
        <w:rPr>
          <w:rFonts w:hint="eastAsia" w:ascii="仿宋_GB2312" w:hAnsi="仿宋_GB2312" w:eastAsia="仿宋_GB2312" w:cs="仿宋_GB2312"/>
          <w:b w:val="0"/>
          <w:bCs/>
          <w:color w:val="auto"/>
          <w:sz w:val="24"/>
          <w:highlight w:val="none"/>
          <w:lang w:val="zh-CN"/>
        </w:rPr>
        <w:t>乙方</w:t>
      </w:r>
      <w:r>
        <w:rPr>
          <w:rFonts w:hint="eastAsia" w:ascii="仿宋_GB2312" w:hAnsi="仿宋_GB2312" w:eastAsia="仿宋_GB2312" w:cs="仿宋_GB2312"/>
          <w:b w:val="0"/>
          <w:bCs/>
          <w:color w:val="auto"/>
          <w:sz w:val="24"/>
          <w:highlight w:val="none"/>
        </w:rPr>
        <w:t>应承担相应后果。</w:t>
      </w:r>
      <w:r>
        <w:rPr>
          <w:rFonts w:hint="eastAsia" w:ascii="仿宋_GB2312" w:hAnsi="仿宋_GB2312" w:eastAsia="仿宋_GB2312" w:cs="仿宋_GB2312"/>
          <w:b w:val="0"/>
          <w:bCs/>
          <w:color w:val="auto"/>
          <w:sz w:val="24"/>
          <w:highlight w:val="none"/>
          <w:lang w:val="zh-CN"/>
        </w:rPr>
        <w:t>如果乙方未能按合同规定履行其义务，甲方有权从履约保证金中取得补偿。</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6.2 若由于</w:t>
      </w:r>
      <w:r>
        <w:rPr>
          <w:rFonts w:hint="eastAsia" w:ascii="仿宋_GB2312" w:hAnsi="仿宋_GB2312" w:eastAsia="仿宋_GB2312" w:cs="仿宋_GB2312"/>
          <w:b w:val="0"/>
          <w:bCs/>
          <w:color w:val="auto"/>
          <w:sz w:val="24"/>
          <w:highlight w:val="none"/>
          <w:lang w:val="zh-CN"/>
        </w:rPr>
        <w:t>甲方</w:t>
      </w:r>
      <w:r>
        <w:rPr>
          <w:rFonts w:hint="eastAsia" w:ascii="仿宋_GB2312" w:hAnsi="仿宋_GB2312" w:eastAsia="仿宋_GB2312" w:cs="仿宋_GB2312"/>
          <w:b w:val="0"/>
          <w:bCs/>
          <w:color w:val="auto"/>
          <w:sz w:val="24"/>
          <w:highlight w:val="none"/>
        </w:rPr>
        <w:t>原因不能按期交付的，则由</w:t>
      </w:r>
      <w:r>
        <w:rPr>
          <w:rFonts w:hint="eastAsia" w:ascii="仿宋_GB2312" w:hAnsi="仿宋_GB2312" w:eastAsia="仿宋_GB2312" w:cs="仿宋_GB2312"/>
          <w:b w:val="0"/>
          <w:bCs/>
          <w:color w:val="auto"/>
          <w:sz w:val="24"/>
          <w:highlight w:val="none"/>
          <w:lang w:val="zh-CN"/>
        </w:rPr>
        <w:t>甲方</w:t>
      </w:r>
      <w:r>
        <w:rPr>
          <w:rFonts w:hint="eastAsia" w:ascii="仿宋_GB2312" w:hAnsi="仿宋_GB2312" w:eastAsia="仿宋_GB2312" w:cs="仿宋_GB2312"/>
          <w:b w:val="0"/>
          <w:bCs/>
          <w:color w:val="auto"/>
          <w:sz w:val="24"/>
          <w:highlight w:val="none"/>
        </w:rPr>
        <w:t>承担相应后果。</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7．不可抗力</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8</w:t>
      </w:r>
      <w:r>
        <w:rPr>
          <w:rFonts w:ascii="仿宋_GB2312" w:hAnsi="仿宋_GB2312" w:eastAsia="仿宋_GB2312" w:cs="仿宋_GB2312"/>
          <w:b/>
          <w:bCs w:val="0"/>
          <w:color w:val="auto"/>
          <w:sz w:val="24"/>
          <w:highlight w:val="none"/>
        </w:rPr>
        <w:t>.</w:t>
      </w:r>
      <w:r>
        <w:rPr>
          <w:rFonts w:hint="eastAsia" w:ascii="仿宋_GB2312" w:hAnsi="仿宋_GB2312" w:eastAsia="仿宋_GB2312" w:cs="仿宋_GB2312"/>
          <w:b/>
          <w:bCs w:val="0"/>
          <w:color w:val="auto"/>
          <w:sz w:val="24"/>
          <w:highlight w:val="none"/>
        </w:rPr>
        <w:t xml:space="preserve"> 乙方的责任</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8.1 根据投标文件的承诺向甲方委派</w:t>
      </w:r>
      <w:r>
        <w:rPr>
          <w:rFonts w:hint="eastAsia" w:ascii="仿宋_GB2312" w:hAnsi="仿宋_GB2312" w:eastAsia="仿宋_GB2312" w:cs="仿宋_GB2312"/>
          <w:b w:val="0"/>
          <w:bCs/>
          <w:color w:val="auto"/>
          <w:sz w:val="24"/>
          <w:highlight w:val="none"/>
        </w:rPr>
        <w:t>项目负责人、技术负责人、</w:t>
      </w:r>
      <w:r>
        <w:rPr>
          <w:rFonts w:hint="eastAsia" w:ascii="仿宋_GB2312" w:hAnsi="仿宋_GB2312" w:eastAsia="仿宋_GB2312" w:cs="仿宋_GB2312"/>
          <w:b w:val="0"/>
          <w:bCs/>
          <w:color w:val="auto"/>
          <w:sz w:val="24"/>
          <w:highlight w:val="none"/>
          <w:lang w:val="zh-CN"/>
        </w:rPr>
        <w:t>专业技术人员和驻点人员。</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8.2 在履行本合同义务的期间，应运用合理的技能，认真、勤奋的工作。</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8.3 在本合同期内或合同终止后，未征得有关方同意，不得泄漏与本项目、本合同有关的技术、资料等，不得以任何形式侵害甲方的知识产权。</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zh-CN"/>
        </w:rPr>
        <w:t xml:space="preserve">8.4 </w:t>
      </w:r>
      <w:r>
        <w:rPr>
          <w:rFonts w:hint="eastAsia" w:ascii="仿宋_GB2312" w:hAnsi="仿宋_GB2312" w:eastAsia="仿宋_GB2312" w:cs="仿宋_GB2312"/>
          <w:b w:val="0"/>
          <w:bCs/>
          <w:color w:val="auto"/>
          <w:sz w:val="24"/>
          <w:highlight w:val="none"/>
        </w:rPr>
        <w:t>负责本项目建设及整体联动，负责处理好与用地单位的协调。</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8.5 负责项目实施过程中保持与上级业务主管部门（省、市国土部门）良好勾通协调，对政策准确解读，确保项目工作的运行顺畅。</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zh-CN"/>
        </w:rPr>
        <w:t>8.</w:t>
      </w:r>
      <w:r>
        <w:rPr>
          <w:rFonts w:hint="eastAsia" w:ascii="仿宋_GB2312" w:hAnsi="仿宋_GB2312" w:eastAsia="仿宋_GB2312" w:cs="仿宋_GB2312"/>
          <w:b w:val="0"/>
          <w:bCs/>
          <w:color w:val="auto"/>
          <w:sz w:val="24"/>
          <w:highlight w:val="none"/>
        </w:rPr>
        <w:t>6</w:t>
      </w:r>
      <w:r>
        <w:rPr>
          <w:rFonts w:hint="eastAsia" w:ascii="仿宋_GB2312" w:hAnsi="仿宋_GB2312" w:eastAsia="仿宋_GB2312" w:cs="仿宋_GB2312"/>
          <w:b w:val="0"/>
          <w:bCs/>
          <w:color w:val="auto"/>
          <w:sz w:val="24"/>
          <w:highlight w:val="none"/>
          <w:lang w:val="zh-CN"/>
        </w:rPr>
        <w:t xml:space="preserve"> 满足甲方对本项目的其他合理要求。</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9</w:t>
      </w:r>
      <w:r>
        <w:rPr>
          <w:rFonts w:ascii="仿宋_GB2312" w:hAnsi="仿宋_GB2312" w:eastAsia="仿宋_GB2312" w:cs="仿宋_GB2312"/>
          <w:b/>
          <w:bCs w:val="0"/>
          <w:color w:val="auto"/>
          <w:sz w:val="24"/>
          <w:highlight w:val="none"/>
        </w:rPr>
        <w:t>.</w:t>
      </w:r>
      <w:r>
        <w:rPr>
          <w:rFonts w:hint="eastAsia" w:ascii="仿宋_GB2312" w:hAnsi="仿宋_GB2312" w:eastAsia="仿宋_GB2312" w:cs="仿宋_GB2312"/>
          <w:b/>
          <w:bCs w:val="0"/>
          <w:color w:val="auto"/>
          <w:sz w:val="24"/>
          <w:highlight w:val="none"/>
        </w:rPr>
        <w:t xml:space="preserve"> 甲方的责任</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9.1 甲方应当主要负责项目建设的所有外部关系的联系与协调，为乙方工作提供良好的外部条件。</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9.2 甲方应当按合同专用条款双方约定的内容和时间，向乙方提供与项目建设有关的项目等资料。</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9.3 甲方应当按合同专用条款约定的时间就乙方书面提交并要求做出决定的一切事宜做出书面决定。逾期应视为甲方同意。</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9.4 甲方应授权一名熟悉本项目情况、能迅速做出决定的项目代表，负责与乙方联系。更换代表，要提前通知乙方。</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zh-CN"/>
        </w:rPr>
        <w:t>9.5 甲方应保证按本合同规定时限支付项目费用。</w:t>
      </w:r>
    </w:p>
    <w:p>
      <w:pPr>
        <w:widowControl/>
        <w:spacing w:line="360" w:lineRule="auto"/>
        <w:jc w:val="left"/>
        <w:rPr>
          <w:rFonts w:hint="eastAsia" w:ascii="仿宋_GB2312" w:hAnsi="仿宋_GB2312" w:eastAsia="仿宋_GB2312" w:cs="仿宋_GB2312"/>
          <w:b/>
          <w:bCs w:val="0"/>
          <w:color w:val="auto"/>
          <w:sz w:val="24"/>
          <w:highlight w:val="none"/>
          <w:lang w:val="zh-CN"/>
        </w:rPr>
      </w:pPr>
      <w:r>
        <w:rPr>
          <w:rFonts w:hint="eastAsia" w:ascii="仿宋_GB2312" w:hAnsi="仿宋_GB2312" w:eastAsia="仿宋_GB2312" w:cs="仿宋_GB2312"/>
          <w:b/>
          <w:bCs w:val="0"/>
          <w:color w:val="auto"/>
          <w:sz w:val="24"/>
          <w:highlight w:val="none"/>
        </w:rPr>
        <w:t>10</w:t>
      </w:r>
      <w:r>
        <w:rPr>
          <w:rFonts w:ascii="仿宋_GB2312" w:hAnsi="仿宋_GB2312" w:eastAsia="仿宋_GB2312" w:cs="仿宋_GB2312"/>
          <w:b/>
          <w:bCs w:val="0"/>
          <w:color w:val="auto"/>
          <w:sz w:val="24"/>
          <w:highlight w:val="none"/>
        </w:rPr>
        <w:t>.</w:t>
      </w:r>
      <w:r>
        <w:rPr>
          <w:rFonts w:hint="eastAsia" w:ascii="仿宋_GB2312" w:hAnsi="仿宋_GB2312" w:eastAsia="仿宋_GB2312" w:cs="仿宋_GB2312"/>
          <w:b/>
          <w:bCs w:val="0"/>
          <w:color w:val="auto"/>
          <w:sz w:val="24"/>
          <w:highlight w:val="none"/>
        </w:rPr>
        <w:t xml:space="preserve"> 乙方的权利</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甲方在委托的项目范围内，授予乙方以下权利：</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10.1 项目建设有关事项包括：更新维护低效再开发、批而未供、供而未用三大数据库维护更新，对全区建设用地批后开发利用全程监管，</w:t>
      </w:r>
      <w:r>
        <w:rPr>
          <w:rFonts w:hint="eastAsia" w:ascii="仿宋_GB2312" w:hAnsi="仿宋_GB2312" w:eastAsia="仿宋_GB2312" w:cs="仿宋_GB2312"/>
          <w:b w:val="0"/>
          <w:bCs/>
          <w:color w:val="auto"/>
          <w:sz w:val="24"/>
          <w:highlight w:val="none"/>
          <w:lang w:val="zh-CN"/>
        </w:rPr>
        <w:t>自然资源综合监管-土地储备监测监管系统</w:t>
      </w:r>
      <w:r>
        <w:rPr>
          <w:rFonts w:hint="eastAsia" w:ascii="仿宋_GB2312" w:hAnsi="仿宋_GB2312" w:eastAsia="仿宋_GB2312" w:cs="仿宋_GB2312"/>
          <w:b w:val="0"/>
          <w:bCs/>
          <w:color w:val="auto"/>
          <w:sz w:val="24"/>
          <w:highlight w:val="none"/>
          <w:lang w:val="en-US" w:eastAsia="zh-CN"/>
        </w:rPr>
        <w:t>维护，浙江省建设用地供应动态监管系统维护</w:t>
      </w:r>
      <w:r>
        <w:rPr>
          <w:rFonts w:hint="eastAsia" w:ascii="仿宋_GB2312" w:hAnsi="仿宋_GB2312" w:eastAsia="仿宋_GB2312" w:cs="仿宋_GB2312"/>
          <w:b w:val="0"/>
          <w:bCs/>
          <w:color w:val="auto"/>
          <w:sz w:val="24"/>
          <w:highlight w:val="none"/>
          <w:lang w:val="zh-CN"/>
        </w:rPr>
        <w:t>市场运行分析</w:t>
      </w:r>
      <w:r>
        <w:rPr>
          <w:rFonts w:hint="eastAsia" w:ascii="仿宋_GB2312" w:hAnsi="仿宋_GB2312" w:eastAsia="仿宋_GB2312" w:cs="仿宋_GB2312"/>
          <w:b w:val="0"/>
          <w:bCs/>
          <w:color w:val="auto"/>
          <w:sz w:val="24"/>
          <w:highlight w:val="none"/>
          <w:lang w:val="zh-CN"/>
        </w:rPr>
        <w:t>、上级主管部门政策业务对接。</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11</w:t>
      </w:r>
      <w:r>
        <w:rPr>
          <w:rFonts w:ascii="仿宋_GB2312" w:hAnsi="仿宋_GB2312" w:eastAsia="仿宋_GB2312" w:cs="仿宋_GB2312"/>
          <w:b/>
          <w:bCs w:val="0"/>
          <w:color w:val="auto"/>
          <w:sz w:val="24"/>
          <w:highlight w:val="none"/>
        </w:rPr>
        <w:t>.</w:t>
      </w:r>
      <w:r>
        <w:rPr>
          <w:rFonts w:hint="eastAsia" w:ascii="仿宋_GB2312" w:hAnsi="仿宋_GB2312" w:eastAsia="仿宋_GB2312" w:cs="仿宋_GB2312"/>
          <w:b/>
          <w:bCs w:val="0"/>
          <w:color w:val="auto"/>
          <w:sz w:val="24"/>
          <w:highlight w:val="none"/>
        </w:rPr>
        <w:t xml:space="preserve"> 甲方的权利</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11.1 甲方有与乙方订立补充合同的签订权。</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11.2 甲方有权要求乙方提交工作年度报告及专项报告。</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11.3 甲方有权对项目质量、进度进行检查、监督。</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12</w:t>
      </w:r>
      <w:r>
        <w:rPr>
          <w:rFonts w:ascii="仿宋_GB2312" w:hAnsi="仿宋_GB2312" w:eastAsia="仿宋_GB2312" w:cs="仿宋_GB2312"/>
          <w:b/>
          <w:bCs w:val="0"/>
          <w:color w:val="auto"/>
          <w:sz w:val="24"/>
          <w:highlight w:val="none"/>
        </w:rPr>
        <w:t>.</w:t>
      </w:r>
      <w:r>
        <w:rPr>
          <w:rFonts w:hint="eastAsia" w:ascii="仿宋_GB2312" w:hAnsi="仿宋_GB2312" w:eastAsia="仿宋_GB2312" w:cs="仿宋_GB2312"/>
          <w:b/>
          <w:bCs w:val="0"/>
          <w:color w:val="auto"/>
          <w:sz w:val="24"/>
          <w:highlight w:val="none"/>
        </w:rPr>
        <w:t xml:space="preserve"> 合同生效、变更和终止</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12.1</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本合同自甲、乙双方签字，至合同期止。</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12.2</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在乙方的责任期即合同的有效期，如因项目建设进度的推迟或延误而超过约定的日期，双方应重新约定相应延长的合同期。</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12.3</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在合同签订后，实际情况发生变化，使得乙方不能全部或部分执行项目时，乙方应当立即通知甲方。该项目的完成时间应延长。当恢复执行项目时，是否需增加时间用于恢复执行，由双方协商确定。</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12.4</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当事人一方要求变更或解除合同时，应当在</w:t>
      </w:r>
      <w:r>
        <w:rPr>
          <w:rFonts w:ascii="仿宋_GB2312" w:hAnsi="仿宋_GB2312" w:eastAsia="仿宋_GB2312" w:cs="仿宋_GB2312"/>
          <w:b w:val="0"/>
          <w:bCs/>
          <w:color w:val="auto"/>
          <w:sz w:val="24"/>
          <w:highlight w:val="none"/>
          <w:lang w:val="zh-CN"/>
        </w:rPr>
        <w:t>30</w:t>
      </w:r>
      <w:r>
        <w:rPr>
          <w:rFonts w:hint="eastAsia" w:ascii="仿宋_GB2312" w:hAnsi="仿宋_GB2312" w:eastAsia="仿宋_GB2312" w:cs="仿宋_GB2312"/>
          <w:b w:val="0"/>
          <w:bCs/>
          <w:color w:val="auto"/>
          <w:sz w:val="24"/>
          <w:highlight w:val="none"/>
          <w:lang w:val="zh-CN"/>
        </w:rPr>
        <w:t>天前通知对方，因变更或解除合同使一方遭受损失的，除依法可以免除责任的外，应由责任方负责赔偿。变更或解除合同的通知或协议应当采取书面形式，协议未达成之前，原合同仍然有效。</w:t>
      </w:r>
    </w:p>
    <w:p>
      <w:pPr>
        <w:widowControl/>
        <w:spacing w:line="360" w:lineRule="auto"/>
        <w:ind w:firstLine="480" w:firstLineChars="200"/>
        <w:jc w:val="left"/>
        <w:rPr>
          <w:rFonts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12.5 在合同执行过程中，如中标单位出现未达到合同规定要求的服务内容，包括服务质量不到位、维护响应不及时等问题，采购单位将提出警告，要求整改。仍无法达到采购单位考核标准要求的，采购单位有权利终止合同。同时考虑与评标结果排序第二名的预中标单位签订采购合同。以此类推，至第三名预中标单位。</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13</w:t>
      </w:r>
      <w:r>
        <w:rPr>
          <w:rFonts w:ascii="仿宋_GB2312" w:hAnsi="仿宋_GB2312" w:eastAsia="仿宋_GB2312" w:cs="仿宋_GB2312"/>
          <w:b/>
          <w:bCs w:val="0"/>
          <w:color w:val="auto"/>
          <w:sz w:val="24"/>
          <w:highlight w:val="none"/>
        </w:rPr>
        <w:t>.</w:t>
      </w:r>
      <w:r>
        <w:rPr>
          <w:rFonts w:hint="eastAsia" w:ascii="仿宋_GB2312" w:hAnsi="仿宋_GB2312" w:eastAsia="仿宋_GB2312" w:cs="仿宋_GB2312"/>
          <w:b/>
          <w:bCs w:val="0"/>
          <w:color w:val="auto"/>
          <w:sz w:val="24"/>
          <w:highlight w:val="none"/>
        </w:rPr>
        <w:t xml:space="preserve"> 违约责任</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13.1 甲方应按约定支付项目费用，未按期支付项目费用的，每超期90天，按应付款项的3‰向乙方支付违约金 (最高不超过项目合同总额的5%)。</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13.2 乙方具有保密义务，乙方未经授权使用项目成果或因乙方原因泄露项目成果的，乙方应承担违约责任，按项目总费用的20%向甲方支付违约金；造成甲方损失的，由乙方承担全部赔偿责任。</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13.3 未经甲方同意，乙方不得在任何时期擅自更换投标文件中规定的项目负责人、技术负责人和驻点人，同时必须确保项目技术人员的数量和水平与投标文件一致，否则甲方有权放弃或终止合同。</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13.4 如因乙方服务未到位而导致每季度甲方被省厅动态监管系统通报批评的，每项按项目总费用的</w:t>
      </w:r>
      <w:r>
        <w:rPr>
          <w:rFonts w:hint="eastAsia" w:ascii="仿宋_GB2312" w:hAnsi="仿宋_GB2312" w:eastAsia="仿宋_GB2312" w:cs="仿宋_GB2312"/>
          <w:b w:val="0"/>
          <w:bCs/>
          <w:color w:val="auto"/>
          <w:sz w:val="24"/>
          <w:highlight w:val="none"/>
          <w:lang w:val="en-US" w:eastAsia="zh-CN"/>
        </w:rPr>
        <w:t>5</w:t>
      </w:r>
      <w:r>
        <w:rPr>
          <w:rFonts w:hint="eastAsia" w:ascii="仿宋_GB2312" w:hAnsi="仿宋_GB2312" w:eastAsia="仿宋_GB2312" w:cs="仿宋_GB2312"/>
          <w:b w:val="0"/>
          <w:bCs/>
          <w:color w:val="auto"/>
          <w:sz w:val="24"/>
          <w:highlight w:val="none"/>
          <w:lang w:val="zh-CN"/>
        </w:rPr>
        <w:t>%扣除违约金。</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13.5 在对全区建设用地批后开发利用全程监管工作中的信息公示、预警提醒、开竣工申报、现场核查、跟踪管理、竣工验收、闲置土地查处、建立诚信档案等因乙方监测、巡查不力造成遗漏或监管不到位的，一经发现，甲方将按项目合同总金额的2%对乙方进行处罚；发现三次（含）以上的，甲方将终止执行合同，因此造成甲方损失的，由乙方承担全部赔偿责任。</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13.6 因不可抗力导致合同不能全部或部分履行，甲、乙双方协商解决。</w:t>
      </w:r>
    </w:p>
    <w:p>
      <w:pPr>
        <w:widowControl/>
        <w:spacing w:line="360" w:lineRule="auto"/>
        <w:jc w:val="left"/>
        <w:rPr>
          <w:rFonts w:hint="eastAsia" w:ascii="仿宋_GB2312" w:hAnsi="仿宋_GB2312" w:eastAsia="仿宋_GB2312" w:cs="仿宋_GB2312"/>
          <w:b/>
          <w:bCs w:val="0"/>
          <w:color w:val="auto"/>
          <w:sz w:val="24"/>
          <w:highlight w:val="none"/>
          <w:lang w:val="en-US" w:eastAsia="zh-CN"/>
        </w:rPr>
      </w:pPr>
      <w:r>
        <w:rPr>
          <w:rFonts w:hint="eastAsia" w:ascii="仿宋_GB2312" w:hAnsi="仿宋_GB2312" w:eastAsia="仿宋_GB2312" w:cs="仿宋_GB2312"/>
          <w:b/>
          <w:bCs w:val="0"/>
          <w:color w:val="auto"/>
          <w:sz w:val="24"/>
          <w:highlight w:val="none"/>
          <w:lang w:val="en-US" w:eastAsia="zh-CN"/>
        </w:rPr>
        <w:t>14履约保证金</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14.1</w:t>
      </w:r>
      <w:r>
        <w:rPr>
          <w:rFonts w:hint="eastAsia" w:ascii="仿宋_GB2312" w:hAnsi="楷体" w:eastAsia="仿宋_GB2312"/>
          <w:color w:val="auto"/>
          <w:sz w:val="24"/>
          <w:highlight w:val="none"/>
        </w:rPr>
        <w:t xml:space="preserve"> 采购文件要求乙方提交履约保证金的，乙方</w:t>
      </w:r>
      <w:r>
        <w:rPr>
          <w:rFonts w:hint="eastAsia" w:ascii="仿宋_GB2312" w:hAnsi="仿宋" w:eastAsia="仿宋_GB2312"/>
          <w:color w:val="auto"/>
          <w:kern w:val="0"/>
          <w:sz w:val="24"/>
          <w:highlight w:val="none"/>
          <w:lang w:val="zh-CN"/>
        </w:rPr>
        <w:t>应在合同签订后3个工作日内</w:t>
      </w:r>
      <w:r>
        <w:rPr>
          <w:rFonts w:hint="eastAsia" w:ascii="仿宋_GB2312" w:hAnsi="楷体" w:eastAsia="仿宋_GB2312"/>
          <w:color w:val="auto"/>
          <w:sz w:val="24"/>
          <w:highlight w:val="none"/>
        </w:rPr>
        <w:t>，以支票、汇票、本票或者金融机构、担保机构出具的保函等非现金形式，提交不超过合同价</w:t>
      </w:r>
      <w:r>
        <w:rPr>
          <w:rFonts w:hint="eastAsia" w:ascii="仿宋_GB2312" w:hAnsi="楷体" w:eastAsia="仿宋_GB2312"/>
          <w:color w:val="auto"/>
          <w:sz w:val="24"/>
          <w:highlight w:val="none"/>
          <w:u w:val="single"/>
        </w:rPr>
        <w:t xml:space="preserve"> 2.5 </w:t>
      </w:r>
      <w:r>
        <w:rPr>
          <w:rFonts w:hint="eastAsia" w:ascii="仿宋_GB2312" w:hAnsi="楷体" w:eastAsia="仿宋_GB2312"/>
          <w:color w:val="auto"/>
          <w:sz w:val="24"/>
          <w:highlight w:val="none"/>
        </w:rPr>
        <w:t>%的履约保证金；</w:t>
      </w:r>
      <w:r>
        <w:rPr>
          <w:rFonts w:ascii="仿宋_GB2312" w:hAnsi="楷体" w:eastAsia="仿宋_GB2312"/>
          <w:color w:val="auto"/>
          <w:sz w:val="24"/>
          <w:highlight w:val="none"/>
        </w:rPr>
        <w:t xml:space="preserve"> </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14.</w:t>
      </w:r>
      <w:r>
        <w:rPr>
          <w:rFonts w:ascii="仿宋_GB2312" w:hAnsi="楷体" w:eastAsia="仿宋_GB2312"/>
          <w:color w:val="auto"/>
          <w:sz w:val="24"/>
          <w:highlight w:val="none"/>
        </w:rPr>
        <w:t xml:space="preserve">2  </w:t>
      </w:r>
      <w:r>
        <w:rPr>
          <w:rFonts w:hint="eastAsia" w:ascii="仿宋_GB2312" w:hAnsi="楷体" w:eastAsia="仿宋_GB2312"/>
          <w:color w:val="auto"/>
          <w:sz w:val="24"/>
          <w:highlight w:val="none"/>
        </w:rPr>
        <w:t>履约保证金在</w:t>
      </w:r>
      <w:r>
        <w:rPr>
          <w:rFonts w:hint="eastAsia" w:ascii="仿宋_GB2312" w:hAnsi="楷体" w:eastAsia="仿宋_GB2312"/>
          <w:color w:val="auto"/>
          <w:sz w:val="24"/>
          <w:highlight w:val="none"/>
          <w:u w:val="single"/>
        </w:rPr>
        <w:t>合同有效期</w:t>
      </w:r>
      <w:r>
        <w:rPr>
          <w:rFonts w:hint="eastAsia" w:ascii="仿宋_GB2312" w:hAnsi="楷体" w:eastAsia="仿宋_GB2312"/>
          <w:color w:val="auto"/>
          <w:sz w:val="24"/>
          <w:highlight w:val="none"/>
        </w:rPr>
        <w:t>内或者标的物质量保证期内不予退还或者应完全有效</w:t>
      </w:r>
      <w:r>
        <w:rPr>
          <w:rFonts w:hint="eastAsia" w:ascii="仿宋_GB2312" w:hAnsi="仿宋" w:eastAsia="仿宋_GB2312" w:cs="Arial"/>
          <w:snapToGrid w:val="0"/>
          <w:color w:val="auto"/>
          <w:kern w:val="0"/>
          <w:sz w:val="24"/>
          <w:highlight w:val="none"/>
        </w:rPr>
        <w:t>。服务期满，通过验收，甲方于收到乙方退还履约保证金申请之日起</w:t>
      </w:r>
      <w:r>
        <w:rPr>
          <w:rFonts w:ascii="仿宋_GB2312" w:hAnsi="仿宋" w:eastAsia="仿宋_GB2312" w:cs="Arial"/>
          <w:snapToGrid w:val="0"/>
          <w:color w:val="auto"/>
          <w:kern w:val="0"/>
          <w:sz w:val="24"/>
          <w:highlight w:val="none"/>
          <w:u w:val="single"/>
        </w:rPr>
        <w:t>5</w:t>
      </w:r>
      <w:r>
        <w:rPr>
          <w:rFonts w:hint="eastAsia" w:ascii="仿宋_GB2312" w:hAnsi="仿宋" w:eastAsia="仿宋_GB2312" w:cs="Arial"/>
          <w:snapToGrid w:val="0"/>
          <w:color w:val="auto"/>
          <w:kern w:val="0"/>
          <w:sz w:val="24"/>
          <w:highlight w:val="none"/>
        </w:rPr>
        <w:t>个工作日内退还乙方履约保证金。甲方无故逾期退还的，按照每逾期一日支付履约保证金</w:t>
      </w:r>
      <w:r>
        <w:rPr>
          <w:rFonts w:ascii="仿宋_GB2312" w:hAnsi="仿宋" w:eastAsia="仿宋_GB2312" w:cs="Arial"/>
          <w:snapToGrid w:val="0"/>
          <w:color w:val="auto"/>
          <w:kern w:val="0"/>
          <w:sz w:val="24"/>
          <w:highlight w:val="none"/>
        </w:rPr>
        <w:t>5‰</w:t>
      </w:r>
      <w:r>
        <w:rPr>
          <w:rFonts w:hint="eastAsia" w:ascii="仿宋_GB2312" w:hAnsi="仿宋" w:eastAsia="仿宋_GB2312" w:cs="Arial"/>
          <w:snapToGrid w:val="0"/>
          <w:color w:val="auto"/>
          <w:kern w:val="0"/>
          <w:sz w:val="24"/>
          <w:highlight w:val="none"/>
        </w:rPr>
        <w:t>的额度承担违约责任</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14.</w:t>
      </w:r>
      <w:r>
        <w:rPr>
          <w:rFonts w:hint="eastAsia" w:ascii="仿宋_GB2312" w:hAnsi="楷体" w:eastAsia="仿宋_GB2312"/>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 w:hAnsi="仿宋" w:eastAsia="仿宋"/>
          <w:color w:val="auto"/>
          <w:sz w:val="24"/>
          <w:highlight w:val="none"/>
        </w:rPr>
      </w:pPr>
      <w:r>
        <w:rPr>
          <w:rFonts w:hint="eastAsia" w:ascii="仿宋_GB2312" w:hAnsi="楷体" w:eastAsia="仿宋_GB2312"/>
          <w:color w:val="auto"/>
          <w:sz w:val="24"/>
          <w:highlight w:val="none"/>
          <w:lang w:val="en-US" w:eastAsia="zh-CN"/>
        </w:rPr>
        <w:t>14</w:t>
      </w:r>
      <w:r>
        <w:rPr>
          <w:rFonts w:ascii="仿宋_GB2312" w:hAnsi="楷体" w:eastAsia="仿宋_GB2312"/>
          <w:color w:val="auto"/>
          <w:sz w:val="24"/>
          <w:highlight w:val="none"/>
        </w:rPr>
        <w:t>.4</w:t>
      </w:r>
      <w:r>
        <w:rPr>
          <w:rFonts w:hint="eastAsia" w:ascii="仿宋_GB2312" w:hAnsi="楷体" w:eastAsia="仿宋_GB2312"/>
          <w:color w:val="auto"/>
          <w:sz w:val="24"/>
          <w:highlight w:val="none"/>
        </w:rPr>
        <w:t>甲方根据杭州市政府采购网公布的供应商履约评价情况减免履约保证金。乙方履约验收评价总分为</w:t>
      </w:r>
      <w:r>
        <w:rPr>
          <w:rFonts w:ascii="仿宋_GB2312" w:hAnsi="楷体" w:eastAsia="仿宋_GB2312"/>
          <w:color w:val="auto"/>
          <w:sz w:val="24"/>
          <w:highlight w:val="none"/>
        </w:rPr>
        <w:t>100分的，甲方免收履约保证金；评价总分在90分以上的，收取履约保证金</w:t>
      </w:r>
      <w:r>
        <w:rPr>
          <w:rFonts w:hint="eastAsia" w:ascii="仿宋_GB2312" w:hAnsi="楷体" w:eastAsia="仿宋_GB2312"/>
          <w:color w:val="auto"/>
          <w:sz w:val="24"/>
          <w:highlight w:val="none"/>
        </w:rPr>
        <w:t>为</w:t>
      </w:r>
      <w:r>
        <w:rPr>
          <w:rFonts w:ascii="仿宋_GB2312" w:hAnsi="楷体" w:eastAsia="仿宋_GB2312"/>
          <w:color w:val="auto"/>
          <w:sz w:val="24"/>
          <w:highlight w:val="none"/>
        </w:rPr>
        <w:t>合同金额2%；评价总分在不满90分或者暂无评分的，收取履约保证金</w:t>
      </w:r>
      <w:r>
        <w:rPr>
          <w:rFonts w:hint="eastAsia" w:ascii="仿宋_GB2312" w:hAnsi="楷体" w:eastAsia="仿宋_GB2312"/>
          <w:color w:val="auto"/>
          <w:sz w:val="24"/>
          <w:highlight w:val="none"/>
        </w:rPr>
        <w:t>为</w:t>
      </w:r>
      <w:r>
        <w:rPr>
          <w:rFonts w:ascii="仿宋_GB2312" w:hAnsi="楷体" w:eastAsia="仿宋_GB2312"/>
          <w:color w:val="auto"/>
          <w:sz w:val="24"/>
          <w:highlight w:val="none"/>
        </w:rPr>
        <w:t>合同金额</w:t>
      </w:r>
      <w:r>
        <w:rPr>
          <w:rFonts w:hint="eastAsia" w:ascii="仿宋_GB2312" w:hAnsi="楷体" w:eastAsia="仿宋_GB2312"/>
          <w:color w:val="auto"/>
          <w:sz w:val="24"/>
          <w:highlight w:val="none"/>
        </w:rPr>
        <w:t>2.</w:t>
      </w:r>
      <w:r>
        <w:rPr>
          <w:rFonts w:ascii="仿宋_GB2312" w:hAnsi="楷体" w:eastAsia="仿宋_GB2312"/>
          <w:color w:val="auto"/>
          <w:sz w:val="24"/>
          <w:highlight w:val="none"/>
        </w:rPr>
        <w:t>5</w:t>
      </w:r>
      <w:r>
        <w:rPr>
          <w:rFonts w:ascii="仿宋" w:hAnsi="仿宋" w:eastAsia="仿宋"/>
          <w:color w:val="auto"/>
          <w:sz w:val="24"/>
          <w:highlight w:val="none"/>
        </w:rPr>
        <w:t>%。</w:t>
      </w:r>
    </w:p>
    <w:p>
      <w:pPr>
        <w:widowControl/>
        <w:spacing w:line="360" w:lineRule="auto"/>
        <w:jc w:val="left"/>
        <w:rPr>
          <w:rFonts w:hint="eastAsia" w:ascii="仿宋_GB2312" w:hAnsi="仿宋_GB2312" w:eastAsia="仿宋_GB2312" w:cs="仿宋_GB2312"/>
          <w:b/>
          <w:bCs w:val="0"/>
          <w:color w:val="auto"/>
          <w:sz w:val="24"/>
          <w:highlight w:val="none"/>
          <w:lang w:val="zh-CN" w:eastAsia="zh-CN"/>
        </w:rPr>
      </w:pPr>
      <w:r>
        <w:rPr>
          <w:rFonts w:hint="eastAsia" w:ascii="仿宋_GB2312" w:hAnsi="仿宋_GB2312" w:eastAsia="仿宋_GB2312" w:cs="仿宋_GB2312"/>
          <w:b/>
          <w:bCs w:val="0"/>
          <w:color w:val="auto"/>
          <w:sz w:val="24"/>
          <w:highlight w:val="none"/>
          <w:lang w:val="en-US" w:eastAsia="zh-CN"/>
        </w:rPr>
        <w:t>15.中小企业政策</w:t>
      </w:r>
    </w:p>
    <w:p>
      <w:pPr>
        <w:spacing w:line="360" w:lineRule="auto"/>
        <w:ind w:firstLine="480"/>
        <w:outlineLvl w:val="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en-US" w:eastAsia="zh-CN"/>
        </w:rPr>
        <w:t>15</w:t>
      </w:r>
      <w:r>
        <w:rPr>
          <w:rFonts w:hint="eastAsia" w:ascii="仿宋_GB2312" w:hAnsi="仿宋" w:eastAsia="仿宋_GB2312"/>
          <w:color w:val="auto"/>
          <w:kern w:val="0"/>
          <w:sz w:val="24"/>
          <w:highlight w:val="none"/>
          <w:lang w:val="zh-CN"/>
        </w:rPr>
        <w:t>.1本合同（□是  □否）为可融资合同，关于中小企业信用融资事项可登陆杭州市政府采购网（http://cg.hzft.gov.cn）“中小企业信用融资”专栏进行查询。</w:t>
      </w:r>
    </w:p>
    <w:p>
      <w:pPr>
        <w:spacing w:line="360" w:lineRule="auto"/>
        <w:ind w:firstLine="480"/>
        <w:outlineLvl w:val="0"/>
        <w:rPr>
          <w:rFonts w:hint="default"/>
          <w:color w:val="auto"/>
          <w:highlight w:val="none"/>
          <w:lang w:val="en-US" w:eastAsia="zh-CN"/>
        </w:rPr>
      </w:pPr>
      <w:r>
        <w:rPr>
          <w:rFonts w:hint="eastAsia" w:ascii="仿宋_GB2312" w:hAnsi="仿宋" w:eastAsia="仿宋_GB2312"/>
          <w:color w:val="auto"/>
          <w:kern w:val="0"/>
          <w:sz w:val="24"/>
          <w:highlight w:val="none"/>
          <w:lang w:val="en-US" w:eastAsia="zh-CN"/>
        </w:rPr>
        <w:t>15</w:t>
      </w:r>
      <w:r>
        <w:rPr>
          <w:rFonts w:hint="eastAsia" w:ascii="仿宋_GB2312" w:hAnsi="仿宋" w:eastAsia="仿宋_GB2312"/>
          <w:color w:val="auto"/>
          <w:kern w:val="0"/>
          <w:sz w:val="24"/>
          <w:highlight w:val="none"/>
          <w:lang w:val="zh-CN"/>
        </w:rPr>
        <w:t>.2</w:t>
      </w:r>
      <w:r>
        <w:rPr>
          <w:rFonts w:ascii="仿宋_GB2312" w:hAnsi="仿宋" w:eastAsia="仿宋_GB2312"/>
          <w:color w:val="auto"/>
          <w:kern w:val="0"/>
          <w:sz w:val="24"/>
          <w:highlight w:val="none"/>
          <w:lang w:val="zh-CN"/>
        </w:rPr>
        <w:t>本合同（</w:t>
      </w:r>
      <w:r>
        <w:rPr>
          <w:rFonts w:hint="eastAsia" w:ascii="仿宋_GB2312" w:hAnsi="仿宋" w:eastAsia="仿宋_GB2312"/>
          <w:color w:val="auto"/>
          <w:kern w:val="0"/>
          <w:sz w:val="24"/>
          <w:highlight w:val="none"/>
          <w:lang w:val="zh-CN"/>
        </w:rPr>
        <w:t>□</w:t>
      </w:r>
      <w:r>
        <w:rPr>
          <w:rFonts w:ascii="仿宋_GB2312" w:hAnsi="仿宋" w:eastAsia="仿宋_GB2312"/>
          <w:color w:val="auto"/>
          <w:kern w:val="0"/>
          <w:sz w:val="24"/>
          <w:highlight w:val="none"/>
          <w:lang w:val="zh-CN"/>
        </w:rPr>
        <w:t xml:space="preserve">是  </w:t>
      </w:r>
      <w:r>
        <w:rPr>
          <w:rFonts w:hint="eastAsia" w:ascii="仿宋_GB2312" w:hAnsi="仿宋" w:eastAsia="仿宋_GB2312"/>
          <w:color w:val="auto"/>
          <w:kern w:val="0"/>
          <w:sz w:val="24"/>
          <w:highlight w:val="none"/>
          <w:lang w:val="zh-CN"/>
        </w:rPr>
        <w:t>□否）为中小企业预留合同。</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lang w:val="en-US" w:eastAsia="zh-CN"/>
        </w:rPr>
        <w:t>16</w:t>
      </w:r>
      <w:r>
        <w:rPr>
          <w:rFonts w:ascii="仿宋_GB2312" w:hAnsi="仿宋_GB2312" w:eastAsia="仿宋_GB2312" w:cs="仿宋_GB2312"/>
          <w:b/>
          <w:bCs w:val="0"/>
          <w:color w:val="auto"/>
          <w:sz w:val="24"/>
          <w:highlight w:val="none"/>
        </w:rPr>
        <w:t>.</w:t>
      </w:r>
      <w:r>
        <w:rPr>
          <w:rFonts w:hint="eastAsia" w:ascii="仿宋_GB2312" w:hAnsi="仿宋_GB2312" w:eastAsia="仿宋_GB2312" w:cs="仿宋_GB2312"/>
          <w:b/>
          <w:bCs w:val="0"/>
          <w:color w:val="auto"/>
          <w:sz w:val="24"/>
          <w:highlight w:val="none"/>
        </w:rPr>
        <w:t xml:space="preserve"> 争议处理</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en-US" w:eastAsia="zh-CN"/>
        </w:rPr>
        <w:t>16</w:t>
      </w:r>
      <w:r>
        <w:rPr>
          <w:rFonts w:hint="eastAsia" w:ascii="仿宋_GB2312" w:hAnsi="仿宋_GB2312" w:eastAsia="仿宋_GB2312" w:cs="仿宋_GB2312"/>
          <w:b w:val="0"/>
          <w:bCs/>
          <w:color w:val="auto"/>
          <w:sz w:val="24"/>
          <w:highlight w:val="none"/>
          <w:lang w:val="zh-CN"/>
        </w:rPr>
        <w:t>.1</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合同在履行过程中发生争议时，甲方与乙方及时协商解决。协商不成时，提请杭州仲裁委员会根据仲裁规则仲裁。</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en-US" w:eastAsia="zh-CN"/>
        </w:rPr>
        <w:t>16</w:t>
      </w:r>
      <w:r>
        <w:rPr>
          <w:rFonts w:hint="eastAsia" w:ascii="仿宋_GB2312" w:hAnsi="仿宋_GB2312" w:eastAsia="仿宋_GB2312" w:cs="仿宋_GB2312"/>
          <w:b w:val="0"/>
          <w:bCs/>
          <w:color w:val="auto"/>
          <w:sz w:val="24"/>
          <w:highlight w:val="none"/>
          <w:lang w:val="zh-CN"/>
        </w:rPr>
        <w:t>.2</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对于因违反或终止合同而引起的损失、损害的赔偿，由甲方与乙方友好协商</w:t>
      </w:r>
    </w:p>
    <w:p>
      <w:pPr>
        <w:widowControl/>
        <w:spacing w:line="360" w:lineRule="auto"/>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zh-CN"/>
        </w:rPr>
        <w:t>解决，经协商仍未能达成一致的，提交杭州仲裁委员会仲裁。</w:t>
      </w:r>
    </w:p>
    <w:p>
      <w:pPr>
        <w:widowControl/>
        <w:spacing w:line="360" w:lineRule="auto"/>
        <w:jc w:val="left"/>
        <w:rPr>
          <w:rFonts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lang w:val="en-US" w:eastAsia="zh-CN"/>
        </w:rPr>
        <w:t>17</w:t>
      </w:r>
      <w:r>
        <w:rPr>
          <w:rFonts w:ascii="仿宋_GB2312" w:hAnsi="仿宋_GB2312" w:eastAsia="仿宋_GB2312" w:cs="仿宋_GB2312"/>
          <w:b/>
          <w:bCs w:val="0"/>
          <w:color w:val="auto"/>
          <w:sz w:val="24"/>
          <w:highlight w:val="none"/>
        </w:rPr>
        <w:t>.</w:t>
      </w:r>
      <w:r>
        <w:rPr>
          <w:rFonts w:hint="eastAsia" w:ascii="仿宋_GB2312" w:hAnsi="仿宋_GB2312" w:eastAsia="仿宋_GB2312" w:cs="仿宋_GB2312"/>
          <w:b/>
          <w:bCs w:val="0"/>
          <w:color w:val="auto"/>
          <w:sz w:val="24"/>
          <w:highlight w:val="none"/>
        </w:rPr>
        <w:t xml:space="preserve"> 其他</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en-US" w:eastAsia="zh-CN"/>
        </w:rPr>
        <w:t>17</w:t>
      </w:r>
      <w:r>
        <w:rPr>
          <w:rFonts w:hint="eastAsia" w:ascii="仿宋_GB2312" w:hAnsi="仿宋_GB2312" w:eastAsia="仿宋_GB2312" w:cs="仿宋_GB2312"/>
          <w:b w:val="0"/>
          <w:bCs/>
          <w:color w:val="auto"/>
          <w:sz w:val="24"/>
          <w:highlight w:val="none"/>
          <w:lang w:val="zh-CN"/>
        </w:rPr>
        <w:t>.1</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未经过甲方的书面同意，乙方不得转让其应履行的合同项下的权利、义务，和将部分合同项下的权利、义务分包给其他单位完成。</w:t>
      </w:r>
    </w:p>
    <w:p>
      <w:pPr>
        <w:widowControl/>
        <w:spacing w:line="360" w:lineRule="auto"/>
        <w:ind w:firstLine="480" w:firstLineChars="200"/>
        <w:jc w:val="left"/>
        <w:rPr>
          <w:rFonts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en-US" w:eastAsia="zh-CN"/>
        </w:rPr>
        <w:t>17</w:t>
      </w:r>
      <w:r>
        <w:rPr>
          <w:rFonts w:hint="eastAsia" w:ascii="仿宋_GB2312" w:hAnsi="仿宋_GB2312" w:eastAsia="仿宋_GB2312" w:cs="仿宋_GB2312"/>
          <w:b w:val="0"/>
          <w:bCs/>
          <w:color w:val="auto"/>
          <w:sz w:val="24"/>
          <w:highlight w:val="none"/>
          <w:lang w:val="zh-CN"/>
        </w:rPr>
        <w:t>.2</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乙方不得参与可能与合同规定的与甲方的利益相冲突的任何活动。</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lang w:val="zh-CN"/>
        </w:rPr>
      </w:pPr>
      <w:r>
        <w:rPr>
          <w:rFonts w:hint="eastAsia" w:ascii="仿宋_GB2312" w:hAnsi="仿宋_GB2312" w:eastAsia="仿宋_GB2312" w:cs="仿宋_GB2312"/>
          <w:b w:val="0"/>
          <w:bCs/>
          <w:color w:val="auto"/>
          <w:sz w:val="24"/>
          <w:highlight w:val="none"/>
          <w:lang w:val="en-US" w:eastAsia="zh-CN"/>
        </w:rPr>
        <w:t>17</w:t>
      </w:r>
      <w:r>
        <w:rPr>
          <w:rFonts w:hint="eastAsia" w:ascii="仿宋_GB2312" w:hAnsi="仿宋_GB2312" w:eastAsia="仿宋_GB2312" w:cs="仿宋_GB2312"/>
          <w:b w:val="0"/>
          <w:bCs/>
          <w:color w:val="auto"/>
          <w:sz w:val="24"/>
          <w:highlight w:val="none"/>
          <w:lang w:val="zh-CN"/>
        </w:rPr>
        <w:t>.3</w:t>
      </w:r>
      <w:r>
        <w:rPr>
          <w:rFonts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lang w:val="zh-CN"/>
        </w:rPr>
        <w:t>乙方人员在甲方场地工作时，应遵守甲方相关规章、制度。</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17</w:t>
      </w:r>
      <w:r>
        <w:rPr>
          <w:rFonts w:hint="eastAsia" w:ascii="仿宋_GB2312" w:hAnsi="仿宋_GB2312" w:eastAsia="仿宋_GB2312" w:cs="仿宋_GB2312"/>
          <w:b w:val="0"/>
          <w:bCs/>
          <w:color w:val="auto"/>
          <w:sz w:val="24"/>
          <w:highlight w:val="none"/>
          <w:lang w:val="zh-CN"/>
        </w:rPr>
        <w:t xml:space="preserve">.4 </w:t>
      </w:r>
      <w:r>
        <w:rPr>
          <w:rFonts w:hint="eastAsia" w:ascii="仿宋_GB2312" w:hAnsi="仿宋_GB2312" w:eastAsia="仿宋_GB2312" w:cs="仿宋_GB2312"/>
          <w:b w:val="0"/>
          <w:bCs/>
          <w:color w:val="auto"/>
          <w:sz w:val="24"/>
          <w:highlight w:val="none"/>
        </w:rPr>
        <w:t>本合同任何一方给另一方的通知，都应以书面或电传</w:t>
      </w:r>
      <w:r>
        <w:rPr>
          <w:rFonts w:ascii="仿宋_GB2312" w:hAnsi="仿宋_GB2312" w:eastAsia="仿宋_GB2312" w:cs="仿宋_GB2312"/>
          <w:b w:val="0"/>
          <w:bCs/>
          <w:color w:val="auto"/>
          <w:sz w:val="24"/>
          <w:highlight w:val="none"/>
        </w:rPr>
        <w:t>/</w:t>
      </w:r>
      <w:r>
        <w:rPr>
          <w:rFonts w:hint="eastAsia" w:ascii="仿宋_GB2312" w:hAnsi="仿宋_GB2312" w:eastAsia="仿宋_GB2312" w:cs="仿宋_GB2312"/>
          <w:b w:val="0"/>
          <w:bCs/>
          <w:color w:val="auto"/>
          <w:sz w:val="24"/>
          <w:highlight w:val="none"/>
        </w:rPr>
        <w:t>传真</w:t>
      </w:r>
      <w:r>
        <w:rPr>
          <w:rFonts w:ascii="仿宋_GB2312" w:hAnsi="仿宋_GB2312" w:eastAsia="仿宋_GB2312" w:cs="仿宋_GB2312"/>
          <w:b w:val="0"/>
          <w:bCs/>
          <w:color w:val="auto"/>
          <w:sz w:val="24"/>
          <w:highlight w:val="none"/>
        </w:rPr>
        <w:t>/</w:t>
      </w:r>
      <w:r>
        <w:rPr>
          <w:rFonts w:hint="eastAsia" w:ascii="仿宋_GB2312" w:hAnsi="仿宋_GB2312" w:eastAsia="仿宋_GB2312" w:cs="仿宋_GB2312"/>
          <w:b w:val="0"/>
          <w:bCs/>
          <w:color w:val="auto"/>
          <w:sz w:val="24"/>
          <w:highlight w:val="none"/>
        </w:rPr>
        <w:t>电报的形式发送，而另一方应以书面形式确认并发送到对方明确的地址。</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17</w:t>
      </w:r>
      <w:r>
        <w:rPr>
          <w:rFonts w:hint="eastAsia" w:ascii="仿宋_GB2312" w:hAnsi="仿宋_GB2312" w:eastAsia="仿宋_GB2312" w:cs="仿宋_GB2312"/>
          <w:b w:val="0"/>
          <w:bCs/>
          <w:color w:val="auto"/>
          <w:sz w:val="24"/>
          <w:highlight w:val="none"/>
          <w:lang w:val="zh-CN"/>
        </w:rPr>
        <w:t xml:space="preserve">.5 </w:t>
      </w:r>
      <w:r>
        <w:rPr>
          <w:rFonts w:hint="eastAsia" w:ascii="仿宋_GB2312" w:hAnsi="仿宋_GB2312" w:eastAsia="仿宋_GB2312" w:cs="仿宋_GB2312"/>
          <w:b w:val="0"/>
          <w:bCs/>
          <w:color w:val="auto"/>
          <w:sz w:val="24"/>
          <w:highlight w:val="none"/>
        </w:rPr>
        <w:t>合同履行期内甲乙双方均不得随意变更或解除合同。合同若有未尽事宜，需经双方共同协商，订立补充协议，补充协议与本合同有同等法律效力。</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zh-CN"/>
        </w:rPr>
        <w:t>1</w:t>
      </w:r>
      <w:r>
        <w:rPr>
          <w:rFonts w:hint="eastAsia" w:ascii="仿宋_GB2312" w:hAnsi="仿宋_GB2312" w:eastAsia="仿宋_GB2312" w:cs="仿宋_GB2312"/>
          <w:b w:val="0"/>
          <w:bCs/>
          <w:color w:val="auto"/>
          <w:sz w:val="24"/>
          <w:highlight w:val="none"/>
          <w:lang w:val="en-US" w:eastAsia="zh-CN"/>
        </w:rPr>
        <w:t>7</w:t>
      </w:r>
      <w:r>
        <w:rPr>
          <w:rFonts w:hint="eastAsia" w:ascii="仿宋_GB2312" w:hAnsi="仿宋_GB2312" w:eastAsia="仿宋_GB2312" w:cs="仿宋_GB2312"/>
          <w:b w:val="0"/>
          <w:bCs/>
          <w:color w:val="auto"/>
          <w:sz w:val="24"/>
          <w:highlight w:val="none"/>
          <w:lang w:val="zh-CN"/>
        </w:rPr>
        <w:t xml:space="preserve">.6 </w:t>
      </w:r>
      <w:r>
        <w:rPr>
          <w:rFonts w:hint="eastAsia" w:ascii="仿宋_GB2312" w:hAnsi="仿宋_GB2312" w:eastAsia="仿宋_GB2312" w:cs="仿宋_GB2312"/>
          <w:b w:val="0"/>
          <w:bCs/>
          <w:color w:val="auto"/>
          <w:sz w:val="24"/>
          <w:highlight w:val="none"/>
        </w:rPr>
        <w:t>招标文件、投标文件及评标过程中形成的文字资料、询标纪要均作为本合同的组成部分，具有同等效力。</w:t>
      </w:r>
    </w:p>
    <w:p>
      <w:pPr>
        <w:snapToGrid w:val="0"/>
        <w:spacing w:line="360" w:lineRule="auto"/>
        <w:ind w:firstLine="480" w:firstLineChars="200"/>
        <w:rPr>
          <w:rFonts w:hint="default" w:ascii="仿宋_GB2312" w:hAnsi="仿宋" w:eastAsia="仿宋_GB2312" w:cs="Arial"/>
          <w:snapToGrid w:val="0"/>
          <w:color w:val="auto"/>
          <w:kern w:val="0"/>
          <w:sz w:val="24"/>
          <w:highlight w:val="none"/>
          <w:lang w:val="en-US" w:eastAsia="zh-CN"/>
        </w:rPr>
      </w:pPr>
      <w:r>
        <w:rPr>
          <w:rFonts w:hint="eastAsia" w:ascii="仿宋_GB2312" w:hAnsi="仿宋_GB2312" w:eastAsia="仿宋_GB2312" w:cs="仿宋_GB2312"/>
          <w:b w:val="0"/>
          <w:bCs/>
          <w:color w:val="auto"/>
          <w:sz w:val="24"/>
          <w:highlight w:val="none"/>
          <w:lang w:val="en-US" w:eastAsia="zh-CN"/>
        </w:rPr>
        <w:t>17</w:t>
      </w:r>
      <w:r>
        <w:rPr>
          <w:rFonts w:hint="eastAsia" w:ascii="仿宋_GB2312" w:hAnsi="仿宋_GB2312" w:eastAsia="仿宋_GB2312" w:cs="仿宋_GB2312"/>
          <w:b w:val="0"/>
          <w:bCs/>
          <w:color w:val="auto"/>
          <w:sz w:val="24"/>
          <w:highlight w:val="none"/>
          <w:lang w:val="zh-CN"/>
        </w:rPr>
        <w:t>.</w:t>
      </w:r>
      <w:r>
        <w:rPr>
          <w:rFonts w:hint="eastAsia" w:ascii="仿宋_GB2312" w:hAnsi="仿宋_GB2312" w:eastAsia="仿宋_GB2312" w:cs="仿宋_GB2312"/>
          <w:b w:val="0"/>
          <w:bCs/>
          <w:color w:val="auto"/>
          <w:sz w:val="24"/>
          <w:highlight w:val="none"/>
          <w:lang w:val="en-US" w:eastAsia="zh-CN"/>
        </w:rPr>
        <w:t>7</w:t>
      </w:r>
      <w:r>
        <w:rPr>
          <w:rFonts w:hint="eastAsia" w:ascii="仿宋_GB2312" w:hAnsi="仿宋_GB2312" w:eastAsia="仿宋_GB2312" w:cs="仿宋_GB2312"/>
          <w:b w:val="0"/>
          <w:bCs/>
          <w:color w:val="auto"/>
          <w:sz w:val="24"/>
          <w:highlight w:val="none"/>
          <w:lang w:val="zh-CN"/>
        </w:rPr>
        <w:t xml:space="preserve"> </w:t>
      </w:r>
      <w:r>
        <w:rPr>
          <w:rFonts w:hint="eastAsia" w:ascii="仿宋_GB2312" w:hAnsi="仿宋_GB2312" w:eastAsia="仿宋_GB2312" w:cs="仿宋_GB2312"/>
          <w:b w:val="0"/>
          <w:bCs/>
          <w:color w:val="auto"/>
          <w:sz w:val="24"/>
          <w:highlight w:val="none"/>
        </w:rPr>
        <w:t>本合同经甲乙双方法定代表人或其委托人签字盖章，</w:t>
      </w:r>
      <w:r>
        <w:rPr>
          <w:rFonts w:hint="eastAsia" w:ascii="仿宋_GB2312" w:hAnsi="仿宋_GB2312" w:eastAsia="仿宋_GB2312" w:cs="仿宋_GB2312"/>
          <w:b w:val="0"/>
          <w:bCs/>
          <w:color w:val="auto"/>
          <w:sz w:val="24"/>
          <w:highlight w:val="none"/>
          <w:lang w:val="en-US" w:eastAsia="zh-CN"/>
        </w:rPr>
        <w:t>按要求提交履约保证金后生效。</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zh-CN"/>
        </w:rPr>
        <w:t>1</w:t>
      </w:r>
      <w:r>
        <w:rPr>
          <w:rFonts w:hint="eastAsia" w:ascii="仿宋_GB2312" w:hAnsi="仿宋_GB2312" w:eastAsia="仿宋_GB2312" w:cs="仿宋_GB2312"/>
          <w:b w:val="0"/>
          <w:bCs/>
          <w:color w:val="auto"/>
          <w:sz w:val="24"/>
          <w:highlight w:val="none"/>
          <w:lang w:val="en-US" w:eastAsia="zh-CN"/>
        </w:rPr>
        <w:t>7</w:t>
      </w:r>
      <w:r>
        <w:rPr>
          <w:rFonts w:hint="eastAsia" w:ascii="仿宋_GB2312" w:hAnsi="仿宋_GB2312" w:eastAsia="仿宋_GB2312" w:cs="仿宋_GB2312"/>
          <w:b w:val="0"/>
          <w:bCs/>
          <w:color w:val="auto"/>
          <w:sz w:val="24"/>
          <w:highlight w:val="none"/>
          <w:lang w:val="zh-CN"/>
        </w:rPr>
        <w:t>.</w:t>
      </w:r>
      <w:r>
        <w:rPr>
          <w:rFonts w:hint="eastAsia" w:ascii="仿宋_GB2312" w:hAnsi="仿宋_GB2312" w:eastAsia="仿宋_GB2312" w:cs="仿宋_GB2312"/>
          <w:b w:val="0"/>
          <w:bCs/>
          <w:color w:val="auto"/>
          <w:sz w:val="24"/>
          <w:highlight w:val="none"/>
          <w:lang w:val="en-US" w:eastAsia="zh-CN"/>
        </w:rPr>
        <w:t>8</w:t>
      </w:r>
      <w:r>
        <w:rPr>
          <w:rFonts w:hint="eastAsia" w:ascii="仿宋_GB2312" w:hAnsi="仿宋_GB2312" w:eastAsia="仿宋_GB2312" w:cs="仿宋_GB2312"/>
          <w:b w:val="0"/>
          <w:bCs/>
          <w:color w:val="auto"/>
          <w:sz w:val="24"/>
          <w:highlight w:val="none"/>
        </w:rPr>
        <w:t>本合同一式柒份，甲方、乙方各执叁份、鉴证方一份。</w:t>
      </w:r>
    </w:p>
    <w:p>
      <w:pPr>
        <w:widowControl/>
        <w:spacing w:line="360" w:lineRule="auto"/>
        <w:ind w:firstLine="480" w:firstLineChars="20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1</w:t>
      </w:r>
      <w:r>
        <w:rPr>
          <w:rFonts w:hint="eastAsia" w:ascii="仿宋_GB2312" w:hAnsi="仿宋_GB2312" w:eastAsia="仿宋_GB2312" w:cs="仿宋_GB2312"/>
          <w:b w:val="0"/>
          <w:bCs/>
          <w:color w:val="auto"/>
          <w:sz w:val="24"/>
          <w:highlight w:val="none"/>
          <w:lang w:val="en-US" w:eastAsia="zh-CN"/>
        </w:rPr>
        <w:t>7</w:t>
      </w:r>
      <w:r>
        <w:rPr>
          <w:rFonts w:hint="eastAsia" w:ascii="仿宋_GB2312" w:hAnsi="仿宋_GB2312" w:eastAsia="仿宋_GB2312" w:cs="仿宋_GB2312"/>
          <w:b w:val="0"/>
          <w:bCs/>
          <w:color w:val="auto"/>
          <w:sz w:val="24"/>
          <w:highlight w:val="none"/>
        </w:rPr>
        <w:t>.</w:t>
      </w:r>
      <w:r>
        <w:rPr>
          <w:rFonts w:hint="eastAsia" w:ascii="仿宋_GB2312" w:hAnsi="仿宋_GB2312" w:eastAsia="仿宋_GB2312" w:cs="仿宋_GB2312"/>
          <w:b w:val="0"/>
          <w:bCs/>
          <w:color w:val="auto"/>
          <w:sz w:val="24"/>
          <w:highlight w:val="none"/>
          <w:lang w:val="en-US" w:eastAsia="zh-CN"/>
        </w:rPr>
        <w:t>9</w:t>
      </w:r>
      <w:r>
        <w:rPr>
          <w:rFonts w:hint="eastAsia" w:ascii="仿宋_GB2312" w:hAnsi="仿宋_GB2312" w:eastAsia="仿宋_GB2312" w:cs="仿宋_GB2312"/>
          <w:b w:val="0"/>
          <w:bCs/>
          <w:color w:val="auto"/>
          <w:sz w:val="24"/>
          <w:highlight w:val="none"/>
        </w:rPr>
        <w:t xml:space="preserve"> 适用法律：本合同应按照中华人民共和国的法律进行解释。</w:t>
      </w:r>
    </w:p>
    <w:p>
      <w:pPr>
        <w:widowControl/>
        <w:jc w:val="left"/>
        <w:rPr>
          <w:rFonts w:hint="eastAsia" w:ascii="仿宋_GB2312" w:hAnsi="仿宋_GB2312" w:eastAsia="仿宋_GB2312" w:cs="仿宋_GB2312"/>
          <w:b/>
          <w:color w:val="auto"/>
          <w:sz w:val="24"/>
          <w:highlight w:val="none"/>
        </w:rPr>
      </w:pPr>
    </w:p>
    <w:p>
      <w:pPr>
        <w:pStyle w:val="2"/>
        <w:rPr>
          <w:rFonts w:hint="eastAsia" w:ascii="仿宋_GB2312" w:hAnsi="仿宋_GB2312" w:eastAsia="仿宋_GB2312" w:cs="仿宋_GB2312"/>
          <w:b/>
          <w:color w:val="auto"/>
          <w:sz w:val="24"/>
          <w:highlight w:val="none"/>
        </w:rPr>
      </w:pPr>
    </w:p>
    <w:p>
      <w:pPr>
        <w:pStyle w:val="60"/>
        <w:spacing w:line="360" w:lineRule="auto"/>
        <w:rPr>
          <w:rFonts w:hint="eastAsia" w:eastAsia="仿宋_GB2312"/>
          <w:color w:val="auto"/>
          <w:highlight w:val="none"/>
          <w:lang w:eastAsia="zh-CN"/>
        </w:rPr>
      </w:pP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lang w:val="en-US" w:eastAsia="zh-CN"/>
        </w:rPr>
        <w:t>以下无正文</w:t>
      </w:r>
      <w:r>
        <w:rPr>
          <w:rFonts w:hint="eastAsia" w:ascii="仿宋_GB2312" w:hAnsi="仿宋_GB2312" w:eastAsia="仿宋_GB2312" w:cs="仿宋_GB2312"/>
          <w:b/>
          <w:color w:val="auto"/>
          <w:sz w:val="24"/>
          <w:highlight w:val="none"/>
          <w:lang w:eastAsia="zh-CN"/>
        </w:rPr>
        <w:t>）</w:t>
      </w:r>
    </w:p>
    <w:p>
      <w:pPr>
        <w:widowControl/>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甲方（盖章）：                             乙方（盖章）：        </w:t>
      </w:r>
    </w:p>
    <w:p>
      <w:pPr>
        <w:widowControl/>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法定代表人或受委托人（签字）：             法定代表人或受委托人（签字）：                                         </w:t>
      </w:r>
    </w:p>
    <w:p>
      <w:pPr>
        <w:widowControl/>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开户银行：                                开户银行： </w:t>
      </w:r>
    </w:p>
    <w:p>
      <w:pPr>
        <w:widowControl/>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帐号：                                    帐号：</w:t>
      </w:r>
    </w:p>
    <w:p>
      <w:pPr>
        <w:widowControl/>
        <w:spacing w:line="360" w:lineRule="auto"/>
        <w:jc w:val="both"/>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签订时间：年   月   日       </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 xml:space="preserve">签订时间：年   月   日      </w:t>
      </w:r>
    </w:p>
    <w:p>
      <w:pPr>
        <w:widowControl/>
        <w:spacing w:line="360" w:lineRule="auto"/>
        <w:jc w:val="left"/>
        <w:rPr>
          <w:rFonts w:hint="eastAsia" w:ascii="仿宋_GB2312" w:hAnsi="仿宋_GB2312" w:eastAsia="仿宋_GB2312" w:cs="仿宋_GB2312"/>
          <w:b/>
          <w:color w:val="auto"/>
          <w:sz w:val="24"/>
          <w:highlight w:val="none"/>
        </w:rPr>
      </w:pPr>
    </w:p>
    <w:p>
      <w:pPr>
        <w:widowControl/>
        <w:spacing w:line="360" w:lineRule="auto"/>
        <w:jc w:val="left"/>
        <w:rPr>
          <w:rFonts w:hint="eastAsia" w:ascii="仿宋_GB2312" w:hAnsi="仿宋_GB2312" w:eastAsia="仿宋_GB2312" w:cs="仿宋_GB2312"/>
          <w:b/>
          <w:color w:val="auto"/>
          <w:sz w:val="24"/>
          <w:highlight w:val="none"/>
        </w:rPr>
      </w:pPr>
    </w:p>
    <w:p>
      <w:pPr>
        <w:widowControl/>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注：本合同作为示范文本，具体以采购人与中标供应商所签定正式合同为准。</w:t>
      </w:r>
    </w:p>
    <w:p>
      <w:pPr>
        <w:spacing w:line="360" w:lineRule="auto"/>
        <w:ind w:left="-420" w:leftChars="-200" w:right="-420" w:rightChars="-200" w:firstLine="723" w:firstLineChars="200"/>
        <w:jc w:val="center"/>
        <w:outlineLvl w:val="0"/>
        <w:rPr>
          <w:rFonts w:ascii="仿宋" w:hAnsi="仿宋" w:eastAsia="仿宋"/>
          <w:color w:val="auto"/>
          <w:sz w:val="24"/>
          <w:highlight w:val="none"/>
        </w:rPr>
      </w:pPr>
      <w:r>
        <w:rPr>
          <w:rFonts w:hint="eastAsia" w:ascii="仿宋_GB2312" w:hAnsi="仿宋_GB2312" w:eastAsia="仿宋_GB2312" w:cs="仿宋_GB2312"/>
          <w:b/>
          <w:color w:val="auto"/>
          <w:sz w:val="36"/>
          <w:szCs w:val="20"/>
          <w:highlight w:val="none"/>
        </w:rPr>
        <w:br w:type="page"/>
      </w:r>
    </w:p>
    <w:p>
      <w:pPr>
        <w:spacing w:line="360" w:lineRule="auto"/>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7"/>
        <w:rPr>
          <w:color w:val="auto"/>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both"/>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
        <w:rPr>
          <w:color w:val="auto"/>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both"/>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035"/>
        <w:gridCol w:w="1978"/>
        <w:gridCol w:w="790"/>
        <w:gridCol w:w="793"/>
        <w:gridCol w:w="1246"/>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序号</w:t>
            </w:r>
          </w:p>
        </w:tc>
        <w:tc>
          <w:tcPr>
            <w:tcW w:w="1097"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名称</w:t>
            </w:r>
          </w:p>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1065"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规格型号（或具体服务）</w:t>
            </w:r>
          </w:p>
        </w:tc>
        <w:tc>
          <w:tcPr>
            <w:tcW w:w="42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数量</w:t>
            </w:r>
          </w:p>
        </w:tc>
        <w:tc>
          <w:tcPr>
            <w:tcW w:w="427"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单价</w:t>
            </w:r>
          </w:p>
        </w:tc>
        <w:tc>
          <w:tcPr>
            <w:tcW w:w="671"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总价</w:t>
            </w:r>
          </w:p>
        </w:tc>
        <w:tc>
          <w:tcPr>
            <w:tcW w:w="106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服务要求（年限）</w:t>
            </w:r>
          </w:p>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1</w:t>
            </w:r>
          </w:p>
        </w:tc>
        <w:tc>
          <w:tcPr>
            <w:tcW w:w="1097"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1065"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42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427"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671"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106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w:t>
            </w:r>
          </w:p>
        </w:tc>
        <w:tc>
          <w:tcPr>
            <w:tcW w:w="1097"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1065"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42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427"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671"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106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w:t>
            </w:r>
          </w:p>
        </w:tc>
        <w:tc>
          <w:tcPr>
            <w:tcW w:w="1097"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1065"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42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427"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671"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c>
          <w:tcPr>
            <w:tcW w:w="1066" w:type="pct"/>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9" w:type="pct"/>
            <w:gridSpan w:val="3"/>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投标报价（小写）</w:t>
            </w:r>
          </w:p>
        </w:tc>
        <w:tc>
          <w:tcPr>
            <w:tcW w:w="2590" w:type="pct"/>
            <w:gridSpan w:val="4"/>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9" w:type="pct"/>
            <w:gridSpan w:val="3"/>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投标报价（大写）</w:t>
            </w:r>
          </w:p>
        </w:tc>
        <w:tc>
          <w:tcPr>
            <w:tcW w:w="2590" w:type="pct"/>
            <w:gridSpan w:val="4"/>
            <w:vAlign w:val="center"/>
          </w:tcPr>
          <w:p>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24"/>
                <w:szCs w:val="24"/>
                <w:highlight w:val="none"/>
                <w:lang w:eastAsia="zh-CN"/>
              </w:rPr>
            </w:pPr>
          </w:p>
        </w:tc>
      </w:tr>
    </w:tbl>
    <w:p>
      <w:pPr>
        <w:spacing w:line="360" w:lineRule="auto"/>
        <w:jc w:val="center"/>
        <w:rPr>
          <w:rFonts w:ascii="仿宋_GB2312" w:hAnsi="仿宋" w:eastAsia="仿宋_GB2312" w:cs="仿宋_GB2312"/>
          <w:b/>
          <w:color w:val="auto"/>
          <w:kern w:val="0"/>
          <w:sz w:val="24"/>
          <w:highlight w:val="none"/>
          <w:lang w:val="zh-CN"/>
        </w:rPr>
      </w:pPr>
    </w:p>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4"/>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4" w:name="_Toc465665161"/>
      <w:r>
        <w:rPr>
          <w:rFonts w:hint="eastAsia" w:ascii="仿宋_GB2312" w:hAnsi="仿宋" w:eastAsia="仿宋_GB2312"/>
          <w:color w:val="auto"/>
          <w:highlight w:val="none"/>
        </w:rPr>
        <w:t>附件</w:t>
      </w:r>
      <w:bookmarkEnd w:id="39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5" w:name="OLE_LINK14"/>
      <w:bookmarkStart w:id="396" w:name="OLE_LINK13"/>
      <w:r>
        <w:rPr>
          <w:rFonts w:hint="eastAsia" w:ascii="仿宋_GB2312" w:hAnsi="仿宋" w:eastAsia="仿宋_GB2312"/>
          <w:b/>
          <w:color w:val="auto"/>
          <w:spacing w:val="6"/>
          <w:sz w:val="32"/>
          <w:szCs w:val="32"/>
          <w:highlight w:val="none"/>
        </w:rPr>
        <w:t>残疾人福利性单位声明函</w:t>
      </w:r>
    </w:p>
    <w:bookmarkEnd w:id="395"/>
    <w:bookmarkEnd w:id="39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color w:val="auto"/>
          <w:highlight w:val="none"/>
          <w:lang w:val="en-US"/>
        </w:rPr>
      </w:pPr>
    </w:p>
    <w:p>
      <w:pPr>
        <w:spacing w:line="360" w:lineRule="auto"/>
        <w:ind w:right="420"/>
        <w:rPr>
          <w:color w:val="auto"/>
          <w:highlight w:val="none"/>
        </w:rPr>
      </w:pPr>
    </w:p>
    <w:p>
      <w:pPr>
        <w:pStyle w:val="2"/>
        <w:rPr>
          <w:rFonts w:hint="eastAsia" w:ascii="仿宋" w:hAnsi="仿宋" w:eastAsia="仿宋" w:cs="仿宋"/>
          <w:b/>
          <w:bCs/>
          <w:color w:val="auto"/>
          <w:sz w:val="32"/>
          <w:szCs w:val="32"/>
          <w:highlight w:val="none"/>
          <w:lang w:val="en-US" w:eastAsia="zh-CN"/>
        </w:rPr>
      </w:pPr>
    </w:p>
    <w:p>
      <w:pPr>
        <w:pStyle w:val="2"/>
        <w:rPr>
          <w:rFonts w:hint="eastAsia" w:ascii="仿宋" w:hAnsi="仿宋" w:eastAsia="仿宋" w:cs="仿宋"/>
          <w:b/>
          <w:bCs/>
          <w:color w:val="auto"/>
          <w:sz w:val="32"/>
          <w:szCs w:val="32"/>
          <w:highlight w:val="none"/>
          <w:lang w:val="en-US" w:eastAsia="zh-CN"/>
        </w:rPr>
      </w:pPr>
    </w:p>
    <w:p>
      <w:pPr>
        <w:pStyle w:val="2"/>
        <w:rPr>
          <w:rFonts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附件6</w:t>
      </w:r>
      <w:r>
        <w:rPr>
          <w:rFonts w:hint="eastAsia" w:ascii="仿宋" w:hAnsi="仿宋" w:eastAsia="仿宋" w:cs="仿宋"/>
          <w:b/>
          <w:bCs/>
          <w:color w:val="auto"/>
          <w:sz w:val="32"/>
          <w:szCs w:val="32"/>
          <w:highlight w:val="none"/>
          <w:lang w:val="en-US"/>
        </w:rPr>
        <w:t>（开标记录开启后，请将此附件填写完整发送至邮箱：980519218@qq.com）：</w:t>
      </w:r>
    </w:p>
    <w:p>
      <w:pPr>
        <w:pStyle w:val="2"/>
        <w:spacing w:line="40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政府采购活动现场确认声明书</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浙江中审工程咨询有限公司： </w:t>
      </w:r>
    </w:p>
    <w:p>
      <w:pPr>
        <w:pStyle w:val="2"/>
        <w:spacing w:line="40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本人 ____________（授权代表姓名），经由______________________________（单位） ____________ （法定代表人姓名）合法授权参加项目名称：</w:t>
      </w:r>
      <w:r>
        <w:rPr>
          <w:rFonts w:hint="eastAsia" w:ascii="仿宋" w:hAnsi="仿宋" w:eastAsia="仿宋" w:cs="仿宋"/>
          <w:color w:val="auto"/>
          <w:szCs w:val="24"/>
          <w:highlight w:val="none"/>
          <w:u w:val="single"/>
          <w:lang w:val="en-US"/>
        </w:rPr>
        <w:t xml:space="preserve">       </w:t>
      </w:r>
      <w:r>
        <w:rPr>
          <w:rFonts w:hint="eastAsia" w:ascii="仿宋" w:hAnsi="仿宋" w:eastAsia="仿宋" w:cs="仿宋"/>
          <w:color w:val="auto"/>
          <w:szCs w:val="24"/>
          <w:highlight w:val="none"/>
        </w:rPr>
        <w:t>（编号：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rPr>
        <w:t xml:space="preserve">           </w:t>
      </w:r>
      <w:r>
        <w:rPr>
          <w:rFonts w:hint="eastAsia" w:ascii="仿宋" w:hAnsi="仿宋" w:eastAsia="仿宋" w:cs="仿宋"/>
          <w:color w:val="auto"/>
          <w:szCs w:val="24"/>
          <w:highlight w:val="none"/>
        </w:rPr>
        <w:t xml:space="preserve">）政府采购活动。经与本单位法人代表（负责人）联系确认，现就有关公平竞争事项郑重声明如下: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一、本单位与采购人之间</w:t>
      </w: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Cs w:val="24"/>
          <w:highlight w:val="none"/>
        </w:rPr>
        <w:sym w:font="Wingdings 2" w:char="00A3"/>
      </w:r>
      <w:r>
        <w:rPr>
          <w:rFonts w:hint="eastAsia" w:ascii="仿宋" w:hAnsi="仿宋" w:eastAsia="仿宋" w:cs="仿宋"/>
          <w:color w:val="auto"/>
          <w:szCs w:val="24"/>
          <w:highlight w:val="none"/>
        </w:rPr>
        <w:t>不存在利害关系</w:t>
      </w: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Cs w:val="24"/>
          <w:highlight w:val="none"/>
        </w:rPr>
        <w:sym w:font="Wingdings 2" w:char="00A3"/>
      </w:r>
      <w:r>
        <w:rPr>
          <w:rFonts w:hint="eastAsia" w:ascii="仿宋" w:hAnsi="仿宋" w:eastAsia="仿宋" w:cs="仿宋"/>
          <w:color w:val="auto"/>
          <w:szCs w:val="24"/>
          <w:highlight w:val="none"/>
        </w:rPr>
        <w:t>存在下列利害关系:</w:t>
      </w:r>
    </w:p>
    <w:p>
      <w:pPr>
        <w:pStyle w:val="2"/>
        <w:numPr>
          <w:ilvl w:val="0"/>
          <w:numId w:val="2"/>
        </w:numPr>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投资关系 B．行政隶属关系 C．业务指导关系</w:t>
      </w:r>
    </w:p>
    <w:p>
      <w:pPr>
        <w:pStyle w:val="2"/>
        <w:spacing w:line="400" w:lineRule="exact"/>
        <w:ind w:left="120"/>
        <w:rPr>
          <w:rFonts w:ascii="仿宋" w:hAnsi="仿宋" w:eastAsia="仿宋" w:cs="仿宋"/>
          <w:color w:val="auto"/>
          <w:szCs w:val="24"/>
          <w:highlight w:val="none"/>
        </w:rPr>
      </w:pPr>
      <w:r>
        <w:rPr>
          <w:rFonts w:hint="eastAsia" w:ascii="仿宋" w:hAnsi="仿宋" w:eastAsia="仿宋" w:cs="仿宋"/>
          <w:color w:val="auto"/>
          <w:szCs w:val="24"/>
          <w:highlight w:val="none"/>
        </w:rPr>
        <w:t>D．其他可能影响采购公正的利害关系（如有，请如实说明）。</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二、现己清楚知道参加本项目采购活动的其他所有供应商名称，本单位</w:t>
      </w:r>
    </w:p>
    <w:p>
      <w:pPr>
        <w:pStyle w:val="2"/>
        <w:spacing w:line="40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sym w:font="Wingdings 2" w:char="00A3"/>
      </w:r>
      <w:r>
        <w:rPr>
          <w:rFonts w:hint="eastAsia" w:ascii="仿宋" w:hAnsi="仿宋" w:eastAsia="仿宋" w:cs="仿宋"/>
          <w:color w:val="auto"/>
          <w:szCs w:val="24"/>
          <w:highlight w:val="none"/>
        </w:rPr>
        <w:t>与其他所有供应商之间均不存在利害关系</w:t>
      </w:r>
    </w:p>
    <w:p>
      <w:pPr>
        <w:pStyle w:val="2"/>
        <w:spacing w:line="40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sym w:font="Wingdings 2" w:char="00A3"/>
      </w:r>
      <w:r>
        <w:rPr>
          <w:rFonts w:hint="eastAsia" w:ascii="仿宋" w:hAnsi="仿宋" w:eastAsia="仿宋" w:cs="仿宋"/>
          <w:color w:val="auto"/>
          <w:szCs w:val="24"/>
          <w:highlight w:val="none"/>
        </w:rPr>
        <w:t xml:space="preserve">与______________（供应商名称）之间存在下列利害关系: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A．法定代表人或负责人或实际控制人是同一人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B．法定代表人或负责人或实际控制人是夫妻关系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C．法定代表人或负责人或实际控制人是直系血亲关系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D．法定代表人或负责人或实际控制人存在三代以内旁系血亲关系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E．法定代表人或负责人或实际控制人存在近姻亲关系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F．法定代表人或负责人或实际控制人存在股份控制或实际控制关系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G．存在共同直接或间接投资设立子公司、联营企业和合营企业情况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H．存在分级代理或代销关系、同一生产制造商关系、管理关系、重要业务（占主营业务收入 50 ％以上）或重要财务 往来关系（如融资）等其他实质性控制关系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I．其他利害关系情况 ________________________________________。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三、现己清楚知道并严格遵守政府采购法律法规。 </w:t>
      </w:r>
    </w:p>
    <w:p>
      <w:pPr>
        <w:pStyle w:val="2"/>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四、我发现 ____________________供应商之间存在或可能存在上述第二条第 ____________项利害关系。 </w:t>
      </w:r>
    </w:p>
    <w:p>
      <w:pPr>
        <w:pStyle w:val="2"/>
        <w:spacing w:line="400" w:lineRule="exact"/>
        <w:ind w:firstLine="5760" w:firstLineChars="2400"/>
        <w:rPr>
          <w:rFonts w:ascii="仿宋" w:hAnsi="仿宋" w:eastAsia="仿宋" w:cs="仿宋"/>
          <w:color w:val="auto"/>
          <w:szCs w:val="24"/>
          <w:highlight w:val="none"/>
        </w:rPr>
      </w:pPr>
      <w:r>
        <w:rPr>
          <w:rFonts w:hint="eastAsia" w:ascii="仿宋" w:hAnsi="仿宋" w:eastAsia="仿宋" w:cs="仿宋"/>
          <w:color w:val="auto"/>
          <w:szCs w:val="24"/>
          <w:highlight w:val="none"/>
        </w:rPr>
        <w:t>供应商</w:t>
      </w:r>
      <w:r>
        <w:rPr>
          <w:rFonts w:hint="eastAsia" w:ascii="仿宋" w:hAnsi="仿宋" w:eastAsia="仿宋" w:cs="仿宋"/>
          <w:color w:val="auto"/>
          <w:kern w:val="0"/>
          <w:highlight w:val="none"/>
        </w:rPr>
        <w:t>名称（</w:t>
      </w:r>
      <w:r>
        <w:rPr>
          <w:rFonts w:hint="eastAsia" w:ascii="仿宋" w:hAnsi="仿宋" w:eastAsia="仿宋" w:cs="仿宋"/>
          <w:color w:val="auto"/>
          <w:kern w:val="0"/>
          <w:highlight w:val="none"/>
          <w:lang w:val="en-US" w:eastAsia="zh-CN"/>
        </w:rPr>
        <w:t>盖</w:t>
      </w:r>
      <w:r>
        <w:rPr>
          <w:rFonts w:hint="eastAsia" w:ascii="仿宋" w:hAnsi="仿宋" w:eastAsia="仿宋" w:cs="仿宋"/>
          <w:color w:val="auto"/>
          <w:kern w:val="0"/>
          <w:highlight w:val="none"/>
        </w:rPr>
        <w:t>章）：</w:t>
      </w:r>
    </w:p>
    <w:p>
      <w:pPr>
        <w:pStyle w:val="2"/>
        <w:spacing w:line="400" w:lineRule="exact"/>
        <w:ind w:firstLine="5760" w:firstLineChars="2400"/>
        <w:rPr>
          <w:rFonts w:ascii="仿宋" w:hAnsi="仿宋" w:eastAsia="仿宋" w:cs="仿宋"/>
          <w:color w:val="auto"/>
          <w:szCs w:val="24"/>
          <w:highlight w:val="none"/>
        </w:rPr>
      </w:pPr>
      <w:r>
        <w:rPr>
          <w:rFonts w:hint="eastAsia" w:ascii="仿宋" w:hAnsi="仿宋" w:eastAsia="仿宋" w:cs="仿宋"/>
          <w:color w:val="auto"/>
          <w:szCs w:val="24"/>
          <w:highlight w:val="none"/>
        </w:rPr>
        <w:t>供应商代表</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rPr>
        <w:t>签名</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rPr>
        <w:t xml:space="preserve">: </w:t>
      </w:r>
    </w:p>
    <w:p>
      <w:pPr>
        <w:pStyle w:val="2"/>
        <w:spacing w:line="400" w:lineRule="exact"/>
        <w:ind w:firstLine="5760" w:firstLineChars="2400"/>
        <w:rPr>
          <w:rFonts w:ascii="仿宋_GB2312" w:hAnsi="仿宋" w:eastAsia="仿宋_GB2312"/>
          <w:b/>
          <w:color w:val="auto"/>
          <w:spacing w:val="6"/>
          <w:sz w:val="32"/>
          <w:szCs w:val="32"/>
          <w:highlight w:val="none"/>
        </w:rPr>
      </w:pP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Cs w:val="24"/>
          <w:highlight w:val="none"/>
        </w:rPr>
        <w:t>日</w:t>
      </w:r>
    </w:p>
    <w:p>
      <w:pPr>
        <w:spacing w:line="360" w:lineRule="auto"/>
        <w:rPr>
          <w:rFonts w:ascii="仿宋" w:hAnsi="仿宋" w:eastAsia="仿宋"/>
          <w:bCs/>
          <w:color w:val="auto"/>
          <w:sz w:val="24"/>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36110187"/>
    <w:bookmarkStart w:id="398" w:name="_Toc131845147"/>
    <w:bookmarkStart w:id="399" w:name="_Toc91899912"/>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firstLine="0"/>
      </w:pPr>
    </w:lvl>
  </w:abstractNum>
  <w:abstractNum w:abstractNumId="1">
    <w:nsid w:val="483710B1"/>
    <w:multiLevelType w:val="singleLevel"/>
    <w:tmpl w:val="483710B1"/>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OGE3ZmQyNTkyODdkZGU1YTk0ZjhiMWQ4NTUyY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B2F81"/>
    <w:rsid w:val="026B2E25"/>
    <w:rsid w:val="02824D4D"/>
    <w:rsid w:val="02DC4B10"/>
    <w:rsid w:val="02DD76CE"/>
    <w:rsid w:val="02F36323"/>
    <w:rsid w:val="02F5619C"/>
    <w:rsid w:val="0326446A"/>
    <w:rsid w:val="032C6A93"/>
    <w:rsid w:val="032D5555"/>
    <w:rsid w:val="036634D2"/>
    <w:rsid w:val="03DD35E4"/>
    <w:rsid w:val="04076900"/>
    <w:rsid w:val="041A5A3B"/>
    <w:rsid w:val="042311BA"/>
    <w:rsid w:val="042B157A"/>
    <w:rsid w:val="0442147E"/>
    <w:rsid w:val="048F763B"/>
    <w:rsid w:val="049F330E"/>
    <w:rsid w:val="04AA775C"/>
    <w:rsid w:val="04AF1889"/>
    <w:rsid w:val="04F66F48"/>
    <w:rsid w:val="05251E14"/>
    <w:rsid w:val="05796E12"/>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11AED"/>
    <w:rsid w:val="0B884417"/>
    <w:rsid w:val="0BF6188C"/>
    <w:rsid w:val="0BF73C91"/>
    <w:rsid w:val="0C170175"/>
    <w:rsid w:val="0C571A41"/>
    <w:rsid w:val="0C5C1171"/>
    <w:rsid w:val="0C5E1CBC"/>
    <w:rsid w:val="0C615B50"/>
    <w:rsid w:val="0C736C94"/>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942C5"/>
    <w:rsid w:val="0E5604B2"/>
    <w:rsid w:val="0E6D5D79"/>
    <w:rsid w:val="0E9D0089"/>
    <w:rsid w:val="0EB803EE"/>
    <w:rsid w:val="0EF94D4B"/>
    <w:rsid w:val="0F4958DC"/>
    <w:rsid w:val="0F515DF7"/>
    <w:rsid w:val="0F596BA8"/>
    <w:rsid w:val="0F5E303E"/>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02CD2"/>
    <w:rsid w:val="154A6454"/>
    <w:rsid w:val="15762120"/>
    <w:rsid w:val="16980B0A"/>
    <w:rsid w:val="16A8729C"/>
    <w:rsid w:val="16B33777"/>
    <w:rsid w:val="16BC70A7"/>
    <w:rsid w:val="16C6339E"/>
    <w:rsid w:val="172F2D79"/>
    <w:rsid w:val="173E6AE4"/>
    <w:rsid w:val="17557BEF"/>
    <w:rsid w:val="17D349C1"/>
    <w:rsid w:val="181D3EBA"/>
    <w:rsid w:val="1830729E"/>
    <w:rsid w:val="1870062C"/>
    <w:rsid w:val="18817102"/>
    <w:rsid w:val="18830A15"/>
    <w:rsid w:val="18852B28"/>
    <w:rsid w:val="188B5321"/>
    <w:rsid w:val="19932372"/>
    <w:rsid w:val="19A20DD5"/>
    <w:rsid w:val="19AE03F1"/>
    <w:rsid w:val="19C81A36"/>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665B6"/>
    <w:rsid w:val="1C1B3B4A"/>
    <w:rsid w:val="1C88086E"/>
    <w:rsid w:val="1D266CE1"/>
    <w:rsid w:val="1D3963AF"/>
    <w:rsid w:val="1D603B74"/>
    <w:rsid w:val="1D6A673C"/>
    <w:rsid w:val="1D9247AE"/>
    <w:rsid w:val="1DB567EC"/>
    <w:rsid w:val="1DF51A98"/>
    <w:rsid w:val="1E2A1FF6"/>
    <w:rsid w:val="1E3D060F"/>
    <w:rsid w:val="1E3F7D2E"/>
    <w:rsid w:val="1E4134E4"/>
    <w:rsid w:val="1E5062B3"/>
    <w:rsid w:val="1E523514"/>
    <w:rsid w:val="1E714A66"/>
    <w:rsid w:val="1E802593"/>
    <w:rsid w:val="1E8335A7"/>
    <w:rsid w:val="1EA703CC"/>
    <w:rsid w:val="1EB7330C"/>
    <w:rsid w:val="1F0A0FF3"/>
    <w:rsid w:val="1F5771FF"/>
    <w:rsid w:val="1FE868A9"/>
    <w:rsid w:val="20034907"/>
    <w:rsid w:val="20173E4B"/>
    <w:rsid w:val="20441762"/>
    <w:rsid w:val="204E48BC"/>
    <w:rsid w:val="208921B3"/>
    <w:rsid w:val="20973DEB"/>
    <w:rsid w:val="20B26522"/>
    <w:rsid w:val="20B44310"/>
    <w:rsid w:val="20EF4B5A"/>
    <w:rsid w:val="211116EB"/>
    <w:rsid w:val="216133FC"/>
    <w:rsid w:val="21CF68E2"/>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478A6"/>
    <w:rsid w:val="258B00E2"/>
    <w:rsid w:val="25A917A6"/>
    <w:rsid w:val="25BE27CC"/>
    <w:rsid w:val="25F74A5C"/>
    <w:rsid w:val="2628662C"/>
    <w:rsid w:val="262D45DE"/>
    <w:rsid w:val="2696426F"/>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8E4327"/>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732934"/>
    <w:rsid w:val="2CE82D6F"/>
    <w:rsid w:val="2D343236"/>
    <w:rsid w:val="2D8F2458"/>
    <w:rsid w:val="2DD15014"/>
    <w:rsid w:val="2DF72DE4"/>
    <w:rsid w:val="2E0220AF"/>
    <w:rsid w:val="2E4B082A"/>
    <w:rsid w:val="2E5D4E86"/>
    <w:rsid w:val="2E5D790B"/>
    <w:rsid w:val="2E9A3C18"/>
    <w:rsid w:val="2EBB0FEE"/>
    <w:rsid w:val="2EC63002"/>
    <w:rsid w:val="2F0A6B38"/>
    <w:rsid w:val="2F810B8E"/>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4C1CA8"/>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BB4D5E"/>
    <w:rsid w:val="37EE7094"/>
    <w:rsid w:val="38296C89"/>
    <w:rsid w:val="383002EB"/>
    <w:rsid w:val="38325614"/>
    <w:rsid w:val="38586797"/>
    <w:rsid w:val="38BC0149"/>
    <w:rsid w:val="38D87D1C"/>
    <w:rsid w:val="39636459"/>
    <w:rsid w:val="396B7F6C"/>
    <w:rsid w:val="39B417A9"/>
    <w:rsid w:val="39BA6680"/>
    <w:rsid w:val="39FC5695"/>
    <w:rsid w:val="3A006D8E"/>
    <w:rsid w:val="3A3651E5"/>
    <w:rsid w:val="3A744481"/>
    <w:rsid w:val="3A8C7BEF"/>
    <w:rsid w:val="3A906246"/>
    <w:rsid w:val="3B2349B7"/>
    <w:rsid w:val="3B616CFF"/>
    <w:rsid w:val="3B6259F6"/>
    <w:rsid w:val="3B6F3688"/>
    <w:rsid w:val="3B976654"/>
    <w:rsid w:val="3BC01EFC"/>
    <w:rsid w:val="3BCA786A"/>
    <w:rsid w:val="3BD31E2F"/>
    <w:rsid w:val="3BF15831"/>
    <w:rsid w:val="3C105946"/>
    <w:rsid w:val="3C2F57D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86E45"/>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A7863"/>
    <w:rsid w:val="40FF545D"/>
    <w:rsid w:val="410067C8"/>
    <w:rsid w:val="418F0D2A"/>
    <w:rsid w:val="41D01505"/>
    <w:rsid w:val="42474939"/>
    <w:rsid w:val="424C3C57"/>
    <w:rsid w:val="42613FF3"/>
    <w:rsid w:val="42660D96"/>
    <w:rsid w:val="428667D2"/>
    <w:rsid w:val="42CD1CE0"/>
    <w:rsid w:val="42E1381E"/>
    <w:rsid w:val="42ED6459"/>
    <w:rsid w:val="42FE58DD"/>
    <w:rsid w:val="43094937"/>
    <w:rsid w:val="43174B3D"/>
    <w:rsid w:val="434B790E"/>
    <w:rsid w:val="4360274F"/>
    <w:rsid w:val="43977AB6"/>
    <w:rsid w:val="43A3342B"/>
    <w:rsid w:val="43C77C27"/>
    <w:rsid w:val="43DE09EE"/>
    <w:rsid w:val="44002FAD"/>
    <w:rsid w:val="449101DD"/>
    <w:rsid w:val="44DE1391"/>
    <w:rsid w:val="451B225C"/>
    <w:rsid w:val="452410C9"/>
    <w:rsid w:val="45317DFB"/>
    <w:rsid w:val="4536759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95137"/>
    <w:rsid w:val="49B64211"/>
    <w:rsid w:val="49F6167F"/>
    <w:rsid w:val="4A064FA0"/>
    <w:rsid w:val="4A16615C"/>
    <w:rsid w:val="4A4424D7"/>
    <w:rsid w:val="4A9208B7"/>
    <w:rsid w:val="4AB82D0F"/>
    <w:rsid w:val="4AEB7664"/>
    <w:rsid w:val="4AFD7C19"/>
    <w:rsid w:val="4B0567D1"/>
    <w:rsid w:val="4B236AAE"/>
    <w:rsid w:val="4B707271"/>
    <w:rsid w:val="4B7C7600"/>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241D44"/>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AE763B"/>
    <w:rsid w:val="54013861"/>
    <w:rsid w:val="54487265"/>
    <w:rsid w:val="544D6070"/>
    <w:rsid w:val="54605E1E"/>
    <w:rsid w:val="54B3506A"/>
    <w:rsid w:val="54C51732"/>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F33D54"/>
    <w:rsid w:val="5C02690E"/>
    <w:rsid w:val="5C196DA7"/>
    <w:rsid w:val="5C2A048C"/>
    <w:rsid w:val="5C80234E"/>
    <w:rsid w:val="5C8A680C"/>
    <w:rsid w:val="5D0C4701"/>
    <w:rsid w:val="5D0F0395"/>
    <w:rsid w:val="5D221076"/>
    <w:rsid w:val="5D397964"/>
    <w:rsid w:val="5D515AAF"/>
    <w:rsid w:val="5D5A391C"/>
    <w:rsid w:val="5D5F10C0"/>
    <w:rsid w:val="5D891B7B"/>
    <w:rsid w:val="5DAD38EE"/>
    <w:rsid w:val="5E006862"/>
    <w:rsid w:val="5E0207B9"/>
    <w:rsid w:val="5E1834A1"/>
    <w:rsid w:val="5E261785"/>
    <w:rsid w:val="5E4A7017"/>
    <w:rsid w:val="5E552BBA"/>
    <w:rsid w:val="5E611C10"/>
    <w:rsid w:val="5EB151A3"/>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250BED"/>
    <w:rsid w:val="635B1DB5"/>
    <w:rsid w:val="63711FED"/>
    <w:rsid w:val="63880DDC"/>
    <w:rsid w:val="638D750D"/>
    <w:rsid w:val="63AC6CC0"/>
    <w:rsid w:val="64055776"/>
    <w:rsid w:val="64240056"/>
    <w:rsid w:val="643E143A"/>
    <w:rsid w:val="648B6EEF"/>
    <w:rsid w:val="64C158BF"/>
    <w:rsid w:val="64CE2EAA"/>
    <w:rsid w:val="64DE08C9"/>
    <w:rsid w:val="653C3090"/>
    <w:rsid w:val="65854376"/>
    <w:rsid w:val="658767BE"/>
    <w:rsid w:val="65892531"/>
    <w:rsid w:val="66195831"/>
    <w:rsid w:val="662E75B1"/>
    <w:rsid w:val="66342C2E"/>
    <w:rsid w:val="663E784C"/>
    <w:rsid w:val="66652C52"/>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F57E7"/>
    <w:rsid w:val="6ADE0BD1"/>
    <w:rsid w:val="6ADF13C7"/>
    <w:rsid w:val="6AE96859"/>
    <w:rsid w:val="6B147746"/>
    <w:rsid w:val="6B24787C"/>
    <w:rsid w:val="6B573233"/>
    <w:rsid w:val="6B5B6274"/>
    <w:rsid w:val="6B935D53"/>
    <w:rsid w:val="6C196F71"/>
    <w:rsid w:val="6C226FCB"/>
    <w:rsid w:val="6C31226F"/>
    <w:rsid w:val="6C552F0B"/>
    <w:rsid w:val="6C8C67B7"/>
    <w:rsid w:val="6C9C1216"/>
    <w:rsid w:val="6C9D744C"/>
    <w:rsid w:val="6D167928"/>
    <w:rsid w:val="6D26299B"/>
    <w:rsid w:val="6D4772EC"/>
    <w:rsid w:val="6D9078AF"/>
    <w:rsid w:val="6DAA3FEF"/>
    <w:rsid w:val="6DC0172B"/>
    <w:rsid w:val="6DCB690C"/>
    <w:rsid w:val="6DD41A5B"/>
    <w:rsid w:val="6DF43C2E"/>
    <w:rsid w:val="6DF51CA3"/>
    <w:rsid w:val="6E440A1D"/>
    <w:rsid w:val="6E8335BD"/>
    <w:rsid w:val="6E8E12EF"/>
    <w:rsid w:val="6E972936"/>
    <w:rsid w:val="6ED446C5"/>
    <w:rsid w:val="6F1D5A59"/>
    <w:rsid w:val="6F2A7D94"/>
    <w:rsid w:val="6F8331F1"/>
    <w:rsid w:val="6FAE1A09"/>
    <w:rsid w:val="6FD75BF8"/>
    <w:rsid w:val="707723D0"/>
    <w:rsid w:val="70F5661B"/>
    <w:rsid w:val="71360107"/>
    <w:rsid w:val="713B688E"/>
    <w:rsid w:val="717C1858"/>
    <w:rsid w:val="71856A3F"/>
    <w:rsid w:val="71D43752"/>
    <w:rsid w:val="71EF44F8"/>
    <w:rsid w:val="71F1796A"/>
    <w:rsid w:val="72154626"/>
    <w:rsid w:val="72262B5D"/>
    <w:rsid w:val="72283FF7"/>
    <w:rsid w:val="722E7212"/>
    <w:rsid w:val="723A0474"/>
    <w:rsid w:val="725923E4"/>
    <w:rsid w:val="72864BF7"/>
    <w:rsid w:val="729023FC"/>
    <w:rsid w:val="73394A4E"/>
    <w:rsid w:val="73815433"/>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74E3F"/>
    <w:rsid w:val="765D347C"/>
    <w:rsid w:val="76826699"/>
    <w:rsid w:val="768E0063"/>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06C7D"/>
    <w:rsid w:val="792A231A"/>
    <w:rsid w:val="79316829"/>
    <w:rsid w:val="797E66A9"/>
    <w:rsid w:val="79A97383"/>
    <w:rsid w:val="79E27E8B"/>
    <w:rsid w:val="79F850CE"/>
    <w:rsid w:val="79FD443C"/>
    <w:rsid w:val="7A00297D"/>
    <w:rsid w:val="7A1D1975"/>
    <w:rsid w:val="7A3E5150"/>
    <w:rsid w:val="7A4670D6"/>
    <w:rsid w:val="7A534B63"/>
    <w:rsid w:val="7A615382"/>
    <w:rsid w:val="7A67303B"/>
    <w:rsid w:val="7AAB1D04"/>
    <w:rsid w:val="7ABA4368"/>
    <w:rsid w:val="7ACB1060"/>
    <w:rsid w:val="7AD05746"/>
    <w:rsid w:val="7B257FFD"/>
    <w:rsid w:val="7B343476"/>
    <w:rsid w:val="7B5A2978"/>
    <w:rsid w:val="7B5A7E4C"/>
    <w:rsid w:val="7B667AF9"/>
    <w:rsid w:val="7B7468F8"/>
    <w:rsid w:val="7BEE0103"/>
    <w:rsid w:val="7C0A0FE4"/>
    <w:rsid w:val="7C254906"/>
    <w:rsid w:val="7C590818"/>
    <w:rsid w:val="7C7C10F6"/>
    <w:rsid w:val="7C853BEA"/>
    <w:rsid w:val="7C881368"/>
    <w:rsid w:val="7CAA4628"/>
    <w:rsid w:val="7CE27788"/>
    <w:rsid w:val="7D0C32F1"/>
    <w:rsid w:val="7D0F408D"/>
    <w:rsid w:val="7D491C6C"/>
    <w:rsid w:val="7D5429C0"/>
    <w:rsid w:val="7D6E6D43"/>
    <w:rsid w:val="7DB57A34"/>
    <w:rsid w:val="7DD06533"/>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0"/>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2"/>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3"/>
    <w:qFormat/>
    <w:uiPriority w:val="0"/>
    <w:rPr>
      <w:b/>
      <w:bCs/>
    </w:rPr>
  </w:style>
  <w:style w:type="paragraph" w:styleId="60">
    <w:name w:val="Body Text First Indent"/>
    <w:basedOn w:val="2"/>
    <w:next w:val="50"/>
    <w:link w:val="318"/>
    <w:qFormat/>
    <w:uiPriority w:val="0"/>
    <w:pPr>
      <w:ind w:firstLine="420"/>
    </w:pPr>
    <w:rPr>
      <w:rFonts w:hAnsi="Calibri" w:cs="Times New Roman"/>
      <w:snapToGrid/>
      <w:szCs w:val="20"/>
    </w:rPr>
  </w:style>
  <w:style w:type="paragraph" w:styleId="61">
    <w:name w:val="Body Text First Indent 2"/>
    <w:basedOn w:val="7"/>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33225</Words>
  <Characters>35039</Characters>
  <Lines>287</Lines>
  <Paragraphs>81</Paragraphs>
  <TotalTime>8</TotalTime>
  <ScaleCrop>false</ScaleCrop>
  <LinksUpToDate>false</LinksUpToDate>
  <CharactersWithSpaces>40564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13983436601398343660</cp:lastModifiedBy>
  <cp:lastPrinted>2022-04-20T08:26:00Z</cp:lastPrinted>
  <dcterms:modified xsi:type="dcterms:W3CDTF">2022-06-07T02:08:01Z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032EA9979619459DBFD74558C5F80129</vt:lpwstr>
  </property>
</Properties>
</file>