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b/>
          <w:spacing w:val="28"/>
          <w:sz w:val="36"/>
          <w:szCs w:val="36"/>
        </w:rPr>
      </w:pPr>
    </w:p>
    <w:p>
      <w:pPr>
        <w:ind w:left="3173" w:leftChars="250" w:right="-110" w:hanging="2648" w:hangingChars="600"/>
        <w:rPr>
          <w:rFonts w:ascii="宋体" w:hAnsi="宋体"/>
          <w:b/>
          <w:spacing w:val="40"/>
          <w:sz w:val="36"/>
          <w:szCs w:val="36"/>
        </w:rPr>
      </w:pPr>
      <w:r>
        <w:rPr>
          <w:rFonts w:hint="eastAsia" w:ascii="宋体" w:hAnsi="宋体"/>
          <w:b/>
          <w:spacing w:val="40"/>
          <w:sz w:val="36"/>
          <w:szCs w:val="36"/>
        </w:rPr>
        <w:t>杭州市临安区数据资源管理局数字驾驶舱</w:t>
      </w:r>
    </w:p>
    <w:p>
      <w:pPr>
        <w:ind w:left="1785" w:leftChars="850" w:right="-110" w:firstLine="1986" w:firstLineChars="450"/>
        <w:rPr>
          <w:rFonts w:ascii="宋体" w:hAnsi="宋体"/>
          <w:b/>
          <w:spacing w:val="40"/>
          <w:sz w:val="36"/>
          <w:szCs w:val="36"/>
        </w:rPr>
      </w:pPr>
      <w:r>
        <w:rPr>
          <w:rFonts w:hint="eastAsia" w:ascii="宋体" w:hAnsi="宋体"/>
          <w:b/>
          <w:spacing w:val="40"/>
          <w:sz w:val="36"/>
          <w:szCs w:val="36"/>
        </w:rPr>
        <w:t>采购项目</w:t>
      </w:r>
    </w:p>
    <w:p>
      <w:pPr>
        <w:ind w:right="-110"/>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05111</w:t>
      </w:r>
      <w:r>
        <w:rPr>
          <w:rFonts w:hint="eastAsia" w:ascii="宋体" w:hAnsi="宋体"/>
          <w:sz w:val="30"/>
          <w:szCs w:val="30"/>
        </w:rPr>
        <w:t xml:space="preserve"> ）</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u w:val="single"/>
        </w:rPr>
      </w:pPr>
      <w:r>
        <w:rPr>
          <w:rFonts w:hint="eastAsia" w:ascii="宋体" w:hAnsi="宋体"/>
          <w:sz w:val="32"/>
          <w:szCs w:val="32"/>
        </w:rPr>
        <w:t>采购单位：杭州市临安区数据资源管理局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址：杭州市临安区B座四楼</w:t>
      </w:r>
    </w:p>
    <w:p>
      <w:pPr>
        <w:pStyle w:val="18"/>
        <w:rPr>
          <w:rFonts w:ascii="宋体" w:hAnsi="宋体"/>
          <w:sz w:val="24"/>
        </w:rPr>
      </w:pPr>
    </w:p>
    <w:p>
      <w:pPr>
        <w:pStyle w:val="8"/>
        <w:spacing w:before="156" w:after="156" w:line="360" w:lineRule="auto"/>
        <w:jc w:val="center"/>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jc w:val="center"/>
        <w:rPr>
          <w:rFonts w:hAnsi="宋体"/>
          <w:b/>
          <w:sz w:val="32"/>
          <w:szCs w:val="32"/>
        </w:rPr>
      </w:pPr>
      <w:r>
        <w:rPr>
          <w:rFonts w:hint="eastAsia" w:hAnsi="宋体"/>
          <w:b/>
          <w:sz w:val="32"/>
          <w:szCs w:val="32"/>
        </w:rPr>
        <w:t>目    录</w:t>
      </w:r>
    </w:p>
    <w:p>
      <w:pPr>
        <w:pStyle w:val="8"/>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8"/>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数据资源管理局的委托，杭州市公共资源交易中心临安分中心（以下简称“采购机构”），就以下杭州市临安区数据资源管理局数字驾驶舱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lang w:val="en-US" w:eastAsia="zh-CN"/>
        </w:rPr>
        <w:t>05111</w:t>
      </w:r>
      <w:r>
        <w:rPr>
          <w:rFonts w:hint="eastAsia" w:ascii="宋体" w:hAnsi="宋体"/>
          <w:sz w:val="24"/>
        </w:rPr>
        <w:t xml:space="preserve">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4"/>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7"/>
        <w:gridCol w:w="993"/>
        <w:gridCol w:w="2693"/>
        <w:gridCol w:w="1134"/>
        <w:gridCol w:w="1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标段</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技术要求</w:t>
            </w: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117" w:type="dxa"/>
            <w:vMerge w:val="restart"/>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杭州市临安区数据资源管理局数字驾驶舱采购项目</w:t>
            </w:r>
          </w:p>
        </w:tc>
        <w:tc>
          <w:tcPr>
            <w:tcW w:w="99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一、教育局、锦南街道、昌化镇驾驶舱</w:t>
            </w:r>
          </w:p>
        </w:tc>
        <w:tc>
          <w:tcPr>
            <w:tcW w:w="113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详见第四章采购需求</w:t>
            </w: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90万元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117" w:type="dxa"/>
            <w:vMerge w:val="continue"/>
            <w:tcBorders>
              <w:left w:val="single" w:color="auto" w:sz="4" w:space="0"/>
              <w:right w:val="single" w:color="auto" w:sz="4" w:space="0"/>
            </w:tcBorders>
            <w:vAlign w:val="center"/>
          </w:tcPr>
          <w:p>
            <w:pPr>
              <w:snapToGrid w:val="0"/>
              <w:spacing w:line="360" w:lineRule="auto"/>
              <w:rPr>
                <w:rFonts w:ascii="宋体" w:hAnsi="宋体"/>
                <w:sz w:val="24"/>
              </w:rPr>
            </w:pPr>
          </w:p>
        </w:tc>
        <w:tc>
          <w:tcPr>
            <w:tcW w:w="993" w:type="dxa"/>
            <w:vMerge w:val="continue"/>
            <w:tcBorders>
              <w:left w:val="single" w:color="auto" w:sz="4" w:space="0"/>
              <w:right w:val="single" w:color="auto" w:sz="4" w:space="0"/>
            </w:tcBorders>
            <w:vAlign w:val="center"/>
          </w:tcPr>
          <w:p>
            <w:pPr>
              <w:snapToGrid w:val="0"/>
              <w:spacing w:line="360" w:lineRule="auto"/>
              <w:jc w:val="center"/>
              <w:rPr>
                <w:rFonts w:ascii="宋体" w:hAnsi="宋体" w:cs="Arial"/>
                <w:bCs/>
                <w:sz w:val="24"/>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二、太湖源镇、高虹镇、於潜镇驾驶舱</w:t>
            </w:r>
          </w:p>
        </w:tc>
        <w:tc>
          <w:tcPr>
            <w:tcW w:w="1134" w:type="dxa"/>
            <w:vMerge w:val="continue"/>
            <w:tcBorders>
              <w:left w:val="single" w:color="auto" w:sz="4" w:space="0"/>
              <w:right w:val="single" w:color="auto" w:sz="4" w:space="0"/>
            </w:tcBorders>
            <w:vAlign w:val="center"/>
          </w:tcPr>
          <w:p>
            <w:pPr>
              <w:snapToGrid w:val="0"/>
              <w:spacing w:line="360" w:lineRule="auto"/>
              <w:jc w:val="center"/>
              <w:rPr>
                <w:rFonts w:ascii="宋体" w:hAnsi="宋体" w:cs="Arial"/>
                <w:bCs/>
                <w:sz w:val="24"/>
              </w:rPr>
            </w:pPr>
          </w:p>
        </w:tc>
        <w:tc>
          <w:tcPr>
            <w:tcW w:w="186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90万元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"https://www.hzctc.cn/Area/Home?areaID=87" </w:instrText>
      </w:r>
      <w:r>
        <w:fldChar w:fldCharType="separate"/>
      </w:r>
      <w:r>
        <w:rPr>
          <w:rStyle w:val="17"/>
        </w:rPr>
        <w:t>https://www.hzctc.cn/Area/Home?areaID=87</w:t>
      </w:r>
      <w:r>
        <w:rPr>
          <w:rStyle w:val="17"/>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7"/>
          <w:rFonts w:ascii="宋体" w:hAnsi="宋体"/>
          <w:sz w:val="24"/>
        </w:rPr>
        <w:t>http://www.linan.gov.cn/col/col1366369/</w:t>
      </w:r>
      <w:r>
        <w:rPr>
          <w:rStyle w:val="17"/>
          <w:rFonts w:ascii="宋体" w:hAnsi="宋体"/>
          <w:sz w:val="24"/>
        </w:rPr>
        <w:fldChar w:fldCharType="end"/>
      </w:r>
      <w:r>
        <w:rPr>
          <w:rFonts w:hint="eastAsia" w:ascii="宋体" w:hAnsi="宋体"/>
          <w:color w:val="000000"/>
          <w:sz w:val="24"/>
        </w:rPr>
        <w:t>)</w:t>
      </w:r>
    </w:p>
    <w:p>
      <w:pPr>
        <w:snapToGrid w:val="0"/>
        <w:spacing w:line="400" w:lineRule="exact"/>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400" w:lineRule="exact"/>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400" w:lineRule="exact"/>
        <w:ind w:firstLine="482" w:firstLineChars="200"/>
        <w:rPr>
          <w:rFonts w:ascii="宋体" w:hAnsi="宋体"/>
          <w:b/>
          <w:sz w:val="24"/>
        </w:rPr>
      </w:pPr>
      <w:r>
        <w:rPr>
          <w:rFonts w:hint="eastAsia" w:ascii="宋体" w:hAnsi="宋体"/>
          <w:b/>
          <w:sz w:val="24"/>
        </w:rPr>
        <w:t>七、投标说明</w:t>
      </w:r>
    </w:p>
    <w:p>
      <w:pPr>
        <w:pStyle w:val="8"/>
        <w:adjustRightInd w:val="0"/>
        <w:snapToGrid w:val="0"/>
        <w:spacing w:before="156" w:after="156"/>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8"/>
        <w:adjustRightInd w:val="0"/>
        <w:snapToGrid w:val="0"/>
        <w:spacing w:before="156" w:after="156"/>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8"/>
        <w:adjustRightInd w:val="0"/>
        <w:snapToGrid w:val="0"/>
        <w:spacing w:before="156" w:after="156"/>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400" w:lineRule="exact"/>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8"/>
        <w:adjustRightInd w:val="0"/>
        <w:snapToGrid w:val="0"/>
        <w:spacing w:before="156" w:after="156"/>
        <w:ind w:firstLine="484" w:firstLineChars="201"/>
        <w:rPr>
          <w:rFonts w:hAnsi="宋体" w:cs="Arial"/>
          <w:b/>
        </w:rPr>
      </w:pPr>
      <w:r>
        <w:rPr>
          <w:rFonts w:hint="eastAsia" w:hAnsi="宋体" w:cs="Arial"/>
          <w:b/>
        </w:rPr>
        <w:t>本项目于2020年6月</w:t>
      </w:r>
      <w:r>
        <w:rPr>
          <w:rFonts w:hint="eastAsia" w:hAnsi="宋体" w:cs="Arial"/>
          <w:b/>
          <w:lang w:val="en-US" w:eastAsia="zh-CN"/>
        </w:rPr>
        <w:t>2</w:t>
      </w:r>
      <w:r>
        <w:rPr>
          <w:rFonts w:hint="eastAsia" w:hAnsi="宋体" w:cs="Arial"/>
          <w:b/>
        </w:rPr>
        <w:t>日9:00投标截止。</w:t>
      </w:r>
    </w:p>
    <w:p>
      <w:pPr>
        <w:pStyle w:val="8"/>
        <w:adjustRightInd w:val="0"/>
        <w:snapToGrid w:val="0"/>
        <w:spacing w:before="156" w:after="156"/>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杭州市公共资源交易中心临安分中心   业务经办岗</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采购单位联系人：方主任             联系电话：0571-63700016</w:t>
      </w: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2020年5月 11 日</w:t>
      </w: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pStyle w:val="8"/>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beforeLines="0" w:afterLines="0" w:line="276" w:lineRule="auto"/>
              <w:ind w:firstLine="4" w:firstLineChars="2"/>
              <w:jc w:val="left"/>
              <w:rPr>
                <w:rFonts w:hAnsi="宋体"/>
                <w:color w:val="FF0000"/>
              </w:rPr>
            </w:pPr>
            <w:r>
              <w:rPr>
                <w:rFonts w:hint="eastAsia" w:hAnsi="宋体"/>
              </w:rPr>
              <w:t>项目名称：杭州市临安区数据资源管理局数字驾驶舱采购项目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本项目分为两个标段，先开标段一再开标段二，投标人可同时参与两个标段投标，但只能作为一个标段的中标候选人。如：标段一的第一中标候选人只参与标段二的计算得分，不作排名。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投标截止时间：2020年6月</w:t>
            </w:r>
            <w:r>
              <w:rPr>
                <w:rFonts w:hint="eastAsia" w:ascii="宋体" w:hAnsi="宋体"/>
                <w:sz w:val="24"/>
                <w:lang w:val="en-US" w:eastAsia="zh-CN"/>
              </w:rPr>
              <w:t>2</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开标时间、地点：2020年6月</w:t>
            </w:r>
            <w:r>
              <w:rPr>
                <w:rFonts w:hint="eastAsia" w:ascii="宋体" w:hAnsi="宋体"/>
                <w:sz w:val="24"/>
                <w:lang w:val="en-US" w:eastAsia="zh-CN"/>
              </w:rPr>
              <w:t>2</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Lines="0" w:afterLines="0" w:line="276" w:lineRule="auto"/>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line="276" w:lineRule="auto"/>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line="276" w:lineRule="auto"/>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line="276" w:lineRule="auto"/>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line="276" w:lineRule="auto"/>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line="276" w:lineRule="auto"/>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line="276" w:lineRule="auto"/>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adjustRightInd w:val="0"/>
              <w:spacing w:before="156" w:after="156" w:line="276" w:lineRule="auto"/>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adjustRightInd w:val="0"/>
              <w:spacing w:before="156" w:after="156" w:line="276" w:lineRule="auto"/>
              <w:rPr>
                <w:rFonts w:hAnsi="宋体"/>
              </w:rPr>
            </w:pPr>
            <w:r>
              <w:rPr>
                <w:rFonts w:hint="eastAsia" w:hAnsi="宋体"/>
              </w:rPr>
              <w:t>(注：未提供以上材料的，均不给予价格扣除）。</w:t>
            </w:r>
          </w:p>
          <w:p>
            <w:pPr>
              <w:pStyle w:val="8"/>
              <w:adjustRightInd w:val="0"/>
              <w:spacing w:before="156" w:after="156" w:line="276" w:lineRule="auto"/>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line="276" w:lineRule="auto"/>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line="276" w:lineRule="auto"/>
              <w:rPr>
                <w:rFonts w:hAnsi="宋体"/>
              </w:rPr>
            </w:pPr>
            <w:r>
              <w:rPr>
                <w:rFonts w:hint="eastAsia" w:hAnsi="宋体"/>
              </w:rPr>
              <w:t>解释：本采购文件的解释权属于杭州市公共资源交易中心临安分中心。</w:t>
            </w:r>
          </w:p>
        </w:tc>
      </w:tr>
    </w:tbl>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outlineLvl w:val="1"/>
        <w:rPr>
          <w:rFonts w:hAnsi="宋体"/>
          <w:b/>
        </w:rPr>
      </w:pPr>
    </w:p>
    <w:p>
      <w:pPr>
        <w:pStyle w:val="8"/>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8"/>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8"/>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8"/>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8"/>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8"/>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8"/>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2"/>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7"/>
        <w:spacing w:line="360" w:lineRule="auto"/>
        <w:jc w:val="left"/>
        <w:outlineLvl w:val="1"/>
        <w:rPr>
          <w:rFonts w:hAnsi="宋体"/>
          <w:b/>
          <w:bCs/>
          <w:sz w:val="24"/>
        </w:rPr>
      </w:pPr>
      <w:bookmarkStart w:id="1" w:name="_Toc177870554"/>
      <w:r>
        <w:rPr>
          <w:rFonts w:hint="eastAsia" w:hAnsi="宋体"/>
          <w:b/>
          <w:bCs/>
          <w:sz w:val="24"/>
        </w:rPr>
        <w:t>（一）组织开标程序</w:t>
      </w:r>
    </w:p>
    <w:p>
      <w:pPr>
        <w:pStyle w:val="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8"/>
        <w:spacing w:before="156" w:after="156" w:line="360" w:lineRule="auto"/>
        <w:ind w:firstLine="551"/>
        <w:rPr>
          <w:rFonts w:hAnsi="宋体"/>
          <w:b/>
          <w:bCs/>
        </w:rPr>
      </w:pPr>
      <w:r>
        <w:rPr>
          <w:rFonts w:hint="eastAsia" w:hAnsi="宋体"/>
          <w:b/>
          <w:bCs/>
        </w:rPr>
        <w:t>2.电子招投标开标及评审程序</w:t>
      </w:r>
    </w:p>
    <w:p>
      <w:pPr>
        <w:pStyle w:val="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8"/>
        <w:snapToGrid w:val="0"/>
        <w:spacing w:before="156" w:after="156" w:line="360" w:lineRule="auto"/>
        <w:ind w:firstLine="472" w:firstLineChars="196"/>
        <w:rPr>
          <w:rFonts w:hAnsi="宋体"/>
          <w:b/>
          <w:bCs/>
        </w:rPr>
      </w:pPr>
      <w:r>
        <w:rPr>
          <w:rFonts w:hint="eastAsia" w:hAnsi="宋体"/>
          <w:b/>
          <w:bCs/>
        </w:rPr>
        <w:t>2.6在系统上公布评审结果。</w:t>
      </w:r>
    </w:p>
    <w:p>
      <w:pPr>
        <w:pStyle w:val="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8"/>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0"/>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0"/>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388"/>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720"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序号</w:t>
            </w:r>
          </w:p>
        </w:tc>
        <w:tc>
          <w:tcPr>
            <w:tcW w:w="1388"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考评项目</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restart"/>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1</w:t>
            </w:r>
          </w:p>
        </w:tc>
        <w:tc>
          <w:tcPr>
            <w:tcW w:w="1388" w:type="dxa"/>
            <w:vMerge w:val="restart"/>
            <w:tcMar>
              <w:top w:w="0" w:type="dxa"/>
              <w:left w:w="108" w:type="dxa"/>
              <w:bottom w:w="0" w:type="dxa"/>
              <w:right w:w="108" w:type="dxa"/>
            </w:tcMar>
            <w:vAlign w:val="center"/>
          </w:tcPr>
          <w:p>
            <w:pPr>
              <w:widowControl/>
              <w:snapToGrid w:val="0"/>
              <w:spacing w:before="100" w:beforeAutospacing="1" w:after="100" w:afterAutospacing="1" w:line="320" w:lineRule="atLeast"/>
              <w:ind w:firstLine="14"/>
              <w:jc w:val="center"/>
              <w:rPr>
                <w:kern w:val="0"/>
                <w:sz w:val="24"/>
              </w:rPr>
            </w:pPr>
            <w:r>
              <w:rPr>
                <w:rFonts w:hint="eastAsia"/>
                <w:b/>
                <w:bCs/>
                <w:kern w:val="0"/>
                <w:sz w:val="24"/>
              </w:rPr>
              <w:t>技术方案及质量</w:t>
            </w:r>
          </w:p>
          <w:p>
            <w:pPr>
              <w:widowControl/>
              <w:spacing w:before="100" w:beforeAutospacing="1" w:after="100" w:afterAutospacing="1" w:line="320" w:lineRule="atLeast"/>
              <w:jc w:val="center"/>
              <w:rPr>
                <w:kern w:val="0"/>
                <w:sz w:val="24"/>
              </w:rPr>
            </w:pPr>
            <w:r>
              <w:rPr>
                <w:rFonts w:hint="eastAsia"/>
                <w:kern w:val="0"/>
                <w:sz w:val="24"/>
              </w:rPr>
              <w:t>（0-41分）</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投标方案对临安区部门、镇（街道）数字驾驶舱现状、需求、建设方案、软件开发方案和产品选型等详细阐述系统的体系架构、功能模块、实现思路和关键技术，以及对功能设计和实施计划的建议（0-</w:t>
            </w:r>
            <w:r>
              <w:rPr>
                <w:color w:val="000000"/>
                <w:kern w:val="0"/>
                <w:sz w:val="24"/>
              </w:rPr>
              <w:t>5</w:t>
            </w:r>
            <w:r>
              <w:rPr>
                <w:rFonts w:hint="eastAsia"/>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投标方案是否提出合理可操作的各相关系统之间的接口方案，整合方案是否符合《电子文件元数据标准》、《杭州市智慧电子政务公共基础数据库数据元规范》（0-5分）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驾驶舱的基本功能、技术指标与需求的吻合程度和偏差情况（包括所投标产品的详细配置、主要技术参数等），对重点、难点技术环节有先进、合理的建议，解决方案是否完整、经济、安全、切实可行，措施得力，是否体现一定先进性、可靠性、成熟性、易维护性、可扩展性等（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测试、维护计划、进度控制（0-3分）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根据投标人现场演示的样品软件与采购需求吻合程度、实用性与界面设计、演示效果与问题解答等由评委综合评分（0-18分）</w:t>
            </w:r>
            <w:r>
              <w:rPr>
                <w:rFonts w:hint="eastAsia" w:ascii="宋体" w:hAnsi="宋体"/>
                <w:color w:val="000000"/>
                <w:kern w:val="0"/>
                <w:sz w:val="24"/>
              </w:rPr>
              <w:t>★</w:t>
            </w:r>
            <w:r>
              <w:rPr>
                <w:rFonts w:hint="eastAsia"/>
                <w:b/>
                <w:color w:val="000000"/>
                <w:kern w:val="0"/>
                <w:sz w:val="24"/>
              </w:rPr>
              <w:t>软件演示须制作成光盘或U盘，在投标截止前寄至杭州市临安区行政服务中心B座四楼B425办公室。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restart"/>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2</w:t>
            </w:r>
          </w:p>
        </w:tc>
        <w:tc>
          <w:tcPr>
            <w:tcW w:w="1388" w:type="dxa"/>
            <w:vMerge w:val="restart"/>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实施计划及时间（0-4分）</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投标人按照采购人的要求，提供详实的进度计划。进度阶段的划分以及工作量及工期安排的合理性（0-2分）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color w:val="000000"/>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投标人为了保证项目进度计划的顺利实施，提供项目实施沟通管理、变更管理、风险管理等方面的计划（0-2分）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restart"/>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3</w:t>
            </w:r>
          </w:p>
        </w:tc>
        <w:tc>
          <w:tcPr>
            <w:tcW w:w="1388" w:type="dxa"/>
            <w:vMerge w:val="restart"/>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资信及商务分</w:t>
            </w:r>
          </w:p>
          <w:p>
            <w:pPr>
              <w:widowControl/>
              <w:spacing w:before="100" w:beforeAutospacing="1" w:after="100" w:afterAutospacing="1" w:line="320" w:lineRule="atLeast"/>
              <w:rPr>
                <w:color w:val="000000"/>
                <w:kern w:val="0"/>
                <w:sz w:val="24"/>
              </w:rPr>
            </w:pPr>
            <w:r>
              <w:rPr>
                <w:rFonts w:hint="eastAsia"/>
                <w:color w:val="000000"/>
                <w:kern w:val="0"/>
                <w:sz w:val="24"/>
              </w:rPr>
              <w:t>（0-19分）</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书编制质量：投标文件编制完整，格式规范、装订整齐、符合招标文件要求的，得1分，投标文件存在其他错漏的，每项（次）扣0.2分；投标文件有关内容前后矛盾、与招标文件要求不一致等，评标委员会允许且需要通过询标等程序进行澄清的，该项不得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color w:val="000000"/>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kern w:val="0"/>
                <w:sz w:val="24"/>
              </w:rPr>
            </w:pPr>
            <w:r>
              <w:rPr>
                <w:rFonts w:hint="eastAsia"/>
                <w:color w:val="000000"/>
                <w:kern w:val="0"/>
                <w:sz w:val="24"/>
              </w:rPr>
              <w:t>公司技术力量情况：拟</w:t>
            </w:r>
            <w:r>
              <w:rPr>
                <w:rFonts w:hint="eastAsia"/>
                <w:kern w:val="0"/>
                <w:sz w:val="24"/>
              </w:rPr>
              <w:t>担任本项目经理和技术负责人的专业素质、技术能力等情况，项目经理已取得信息系统项目管理师的得2分，技术负责人已取得系统分析师或系统分析员的得2分。本项最高得4分。（0-4分）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color w:val="000000"/>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售后服务: 按售后服务方案的优劣由高到低排序，第一名得2分，其余依次各递减0.5分；在杭州市范围内设有服务网点、可提供本地化服务的得2分。（0-2分）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color w:val="000000"/>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投标人通过</w:t>
            </w:r>
            <w:r>
              <w:rPr>
                <w:rFonts w:hint="eastAsia"/>
                <w:kern w:val="0"/>
                <w:sz w:val="24"/>
              </w:rPr>
              <w:t>涉密信息系统集成（开发类乙级以上）</w:t>
            </w:r>
            <w:r>
              <w:rPr>
                <w:rFonts w:hint="eastAsia"/>
                <w:color w:val="000000"/>
                <w:kern w:val="0"/>
                <w:sz w:val="24"/>
              </w:rPr>
              <w:t>资质证书 ISO20000信息技术服务管理体系认证，ISO27001信息安全管理体系认证证书，凭相关证书复印件每项得2分，最高6分。（0-6分）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vMerge w:val="continue"/>
            <w:vAlign w:val="center"/>
          </w:tcPr>
          <w:p>
            <w:pPr>
              <w:widowControl/>
              <w:jc w:val="left"/>
              <w:rPr>
                <w:kern w:val="0"/>
                <w:sz w:val="24"/>
              </w:rPr>
            </w:pPr>
          </w:p>
        </w:tc>
        <w:tc>
          <w:tcPr>
            <w:tcW w:w="1388" w:type="dxa"/>
            <w:vMerge w:val="continue"/>
            <w:vAlign w:val="center"/>
          </w:tcPr>
          <w:p>
            <w:pPr>
              <w:widowControl/>
              <w:jc w:val="left"/>
              <w:rPr>
                <w:color w:val="000000"/>
                <w:kern w:val="0"/>
                <w:sz w:val="24"/>
              </w:rPr>
            </w:pP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 xml:space="preserve">投标人提供城市大脑驾驶舱类似项目每个得 </w:t>
            </w:r>
            <w:r>
              <w:rPr>
                <w:color w:val="000000"/>
                <w:kern w:val="0"/>
                <w:sz w:val="24"/>
              </w:rPr>
              <w:t>2</w:t>
            </w:r>
            <w:r>
              <w:rPr>
                <w:rFonts w:hint="eastAsia"/>
                <w:color w:val="000000"/>
                <w:kern w:val="0"/>
                <w:sz w:val="24"/>
              </w:rPr>
              <w:t xml:space="preserve"> 分。本项最高得6分。（0-6分）（投标人须提供合同复印件，未提供者不得分）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4</w:t>
            </w:r>
          </w:p>
        </w:tc>
        <w:tc>
          <w:tcPr>
            <w:tcW w:w="1388"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r>
              <w:rPr>
                <w:rFonts w:hint="eastAsia"/>
                <w:color w:val="000000"/>
                <w:kern w:val="0"/>
                <w:sz w:val="24"/>
              </w:rPr>
              <w:t>考核检查无下限－6分</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rPr>
                <w:color w:val="000000"/>
                <w:kern w:val="0"/>
                <w:sz w:val="24"/>
              </w:rPr>
            </w:pPr>
            <w:bookmarkStart w:id="21" w:name="_GoBack"/>
            <w:r>
              <w:rPr>
                <w:rFonts w:hint="eastAsia"/>
                <w:color w:val="000000"/>
                <w:kern w:val="0"/>
                <w:sz w:val="24"/>
              </w:rPr>
              <w:t>在政府采购活动中有通报批评的扣3分/次，有通报表扬等奖励的加2分/次（自公告发出之日前36个月）。</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20"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合计</w:t>
            </w:r>
          </w:p>
        </w:tc>
        <w:tc>
          <w:tcPr>
            <w:tcW w:w="1388" w:type="dxa"/>
            <w:tcMar>
              <w:top w:w="0" w:type="dxa"/>
              <w:left w:w="108" w:type="dxa"/>
              <w:bottom w:w="0" w:type="dxa"/>
              <w:right w:w="108" w:type="dxa"/>
            </w:tcMar>
            <w:vAlign w:val="center"/>
          </w:tcPr>
          <w:p>
            <w:pPr>
              <w:widowControl/>
              <w:spacing w:before="100" w:beforeAutospacing="1" w:after="100" w:afterAutospacing="1" w:line="320" w:lineRule="atLeast"/>
              <w:jc w:val="center"/>
              <w:rPr>
                <w:kern w:val="0"/>
                <w:sz w:val="24"/>
              </w:rPr>
            </w:pPr>
            <w:r>
              <w:rPr>
                <w:rFonts w:hint="eastAsia"/>
                <w:kern w:val="0"/>
                <w:sz w:val="24"/>
              </w:rPr>
              <w:t>70分</w:t>
            </w:r>
          </w:p>
        </w:tc>
        <w:tc>
          <w:tcPr>
            <w:tcW w:w="6712" w:type="dxa"/>
            <w:tcMar>
              <w:top w:w="0" w:type="dxa"/>
              <w:left w:w="108" w:type="dxa"/>
              <w:bottom w:w="0" w:type="dxa"/>
              <w:right w:w="108" w:type="dxa"/>
            </w:tcMar>
            <w:vAlign w:val="center"/>
          </w:tcPr>
          <w:p>
            <w:pPr>
              <w:widowControl/>
              <w:spacing w:before="100" w:beforeAutospacing="1" w:after="100" w:afterAutospacing="1" w:line="320" w:lineRule="atLeast"/>
              <w:jc w:val="left"/>
              <w:rPr>
                <w:kern w:val="0"/>
                <w:sz w:val="24"/>
              </w:rPr>
            </w:pPr>
            <w:r>
              <w:rPr>
                <w:rFonts w:hint="eastAsia"/>
                <w:kern w:val="0"/>
                <w:sz w:val="24"/>
              </w:rPr>
              <w:t> </w:t>
            </w:r>
          </w:p>
        </w:tc>
      </w:tr>
    </w:tbl>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备注：1、为方便专家评审，请各供应商将本表编入投标文件，并置于投标文件目录之前。</w:t>
      </w:r>
    </w:p>
    <w:p>
      <w:pPr>
        <w:widowControl/>
        <w:spacing w:line="360" w:lineRule="exact"/>
        <w:ind w:left="6" w:right="-514" w:rightChars="-245" w:firstLine="602" w:firstLineChars="250"/>
        <w:rPr>
          <w:rFonts w:ascii="宋体" w:hAnsi="宋体"/>
          <w:b/>
          <w:sz w:val="24"/>
        </w:rPr>
      </w:pPr>
      <w:r>
        <w:rPr>
          <w:rFonts w:hint="eastAsia" w:ascii="宋体" w:hAnsi="宋体"/>
          <w:b/>
          <w:sz w:val="24"/>
        </w:rPr>
        <w:t xml:space="preserve"> 2、</w:t>
      </w:r>
      <w:r>
        <w:rPr>
          <w:rFonts w:hint="eastAsia" w:ascii="宋体" w:hAnsi="宋体"/>
          <w:color w:val="000000"/>
          <w:kern w:val="0"/>
          <w:sz w:val="24"/>
        </w:rPr>
        <w:t>★</w:t>
      </w:r>
      <w:r>
        <w:rPr>
          <w:rFonts w:hint="eastAsia"/>
          <w:b/>
          <w:color w:val="000000"/>
          <w:kern w:val="0"/>
          <w:sz w:val="24"/>
        </w:rPr>
        <w:t>软件演示须制作成光盘或U盘，在投标截止前寄至杭州市临安区行政服务中心B座四楼B425办公室。</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8"/>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rPr>
          <w:rFonts w:ascii="宋体" w:hAnsi="宋体" w:cs="微软雅黑"/>
          <w:b/>
          <w:bCs/>
          <w:sz w:val="24"/>
        </w:rPr>
      </w:pPr>
      <w:r>
        <w:rPr>
          <w:rFonts w:hint="eastAsia" w:ascii="宋体" w:hAnsi="宋体" w:cs="微软雅黑"/>
          <w:b/>
          <w:bCs/>
          <w:sz w:val="24"/>
        </w:rPr>
        <w:t>采购内容及数量</w:t>
      </w:r>
    </w:p>
    <w:tbl>
      <w:tblPr>
        <w:tblStyle w:val="14"/>
        <w:tblW w:w="11291" w:type="dxa"/>
        <w:jc w:val="center"/>
        <w:tblLayout w:type="fixed"/>
        <w:tblCellMar>
          <w:top w:w="0" w:type="dxa"/>
          <w:left w:w="108" w:type="dxa"/>
          <w:bottom w:w="0" w:type="dxa"/>
          <w:right w:w="108" w:type="dxa"/>
        </w:tblCellMar>
      </w:tblPr>
      <w:tblGrid>
        <w:gridCol w:w="902"/>
        <w:gridCol w:w="874"/>
        <w:gridCol w:w="146"/>
        <w:gridCol w:w="1022"/>
        <w:gridCol w:w="1117"/>
        <w:gridCol w:w="1711"/>
        <w:gridCol w:w="5519"/>
      </w:tblGrid>
      <w:tr>
        <w:tblPrEx>
          <w:tblCellMar>
            <w:top w:w="0" w:type="dxa"/>
            <w:left w:w="108" w:type="dxa"/>
            <w:bottom w:w="0" w:type="dxa"/>
            <w:right w:w="108" w:type="dxa"/>
          </w:tblCellMar>
        </w:tblPrEx>
        <w:trPr>
          <w:trHeight w:val="367" w:hRule="atLeast"/>
          <w:jc w:val="center"/>
        </w:trPr>
        <w:tc>
          <w:tcPr>
            <w:tcW w:w="903" w:type="dxa"/>
            <w:tcBorders>
              <w:top w:val="single" w:color="auto" w:sz="8" w:space="0"/>
              <w:left w:val="single" w:color="auto" w:sz="8" w:space="0"/>
              <w:bottom w:val="single" w:color="auto" w:sz="8" w:space="0"/>
              <w:right w:val="single" w:color="auto" w:sz="8" w:space="0"/>
            </w:tcBorders>
            <w:shd w:val="clear" w:color="auto" w:fill="99CCFF"/>
            <w:vAlign w:val="center"/>
          </w:tcPr>
          <w:p>
            <w:pPr>
              <w:widowControl/>
              <w:jc w:val="center"/>
              <w:rPr>
                <w:rFonts w:ascii="宋体" w:hAnsi="宋体"/>
                <w:kern w:val="0"/>
                <w:sz w:val="24"/>
              </w:rPr>
            </w:pPr>
            <w:r>
              <w:rPr>
                <w:rFonts w:hint="eastAsia" w:ascii="宋体" w:hAnsi="宋体" w:cs="黑体"/>
                <w:kern w:val="0"/>
                <w:sz w:val="24"/>
              </w:rPr>
              <w:t>序号</w:t>
            </w:r>
          </w:p>
        </w:tc>
        <w:tc>
          <w:tcPr>
            <w:tcW w:w="4869" w:type="dxa"/>
            <w:gridSpan w:val="5"/>
            <w:tcBorders>
              <w:top w:val="single" w:color="auto" w:sz="8" w:space="0"/>
              <w:left w:val="nil"/>
              <w:bottom w:val="single" w:color="auto" w:sz="8" w:space="0"/>
              <w:right w:val="single" w:color="auto" w:sz="8" w:space="0"/>
            </w:tcBorders>
            <w:shd w:val="clear" w:color="auto" w:fill="99CCFF"/>
            <w:vAlign w:val="center"/>
          </w:tcPr>
          <w:p>
            <w:pPr>
              <w:widowControl/>
              <w:jc w:val="center"/>
              <w:rPr>
                <w:rFonts w:ascii="宋体" w:hAnsi="宋体" w:cs="黑体"/>
                <w:kern w:val="0"/>
                <w:sz w:val="24"/>
              </w:rPr>
            </w:pPr>
            <w:r>
              <w:rPr>
                <w:rFonts w:hint="eastAsia" w:ascii="宋体" w:hAnsi="宋体" w:cs="黑体"/>
                <w:kern w:val="0"/>
                <w:sz w:val="24"/>
              </w:rPr>
              <w:t>功能模块</w:t>
            </w:r>
          </w:p>
        </w:tc>
        <w:tc>
          <w:tcPr>
            <w:tcW w:w="5519" w:type="dxa"/>
            <w:tcBorders>
              <w:top w:val="single" w:color="auto" w:sz="8" w:space="0"/>
              <w:left w:val="single" w:color="auto" w:sz="8" w:space="0"/>
              <w:bottom w:val="single" w:color="auto" w:sz="8" w:space="0"/>
              <w:right w:val="single" w:color="auto" w:sz="8" w:space="0"/>
            </w:tcBorders>
            <w:shd w:val="clear" w:color="auto" w:fill="99CCFF"/>
            <w:vAlign w:val="center"/>
          </w:tcPr>
          <w:p>
            <w:pPr>
              <w:widowControl/>
              <w:jc w:val="center"/>
              <w:rPr>
                <w:rFonts w:ascii="宋体" w:hAnsi="宋体"/>
                <w:kern w:val="0"/>
                <w:sz w:val="24"/>
              </w:rPr>
            </w:pPr>
            <w:r>
              <w:rPr>
                <w:rFonts w:hint="eastAsia" w:ascii="宋体" w:hAnsi="宋体" w:cs="黑体"/>
                <w:kern w:val="0"/>
                <w:sz w:val="24"/>
              </w:rPr>
              <w:t>建设内容</w:t>
            </w:r>
          </w:p>
        </w:tc>
      </w:tr>
      <w:tr>
        <w:tblPrEx>
          <w:tblCellMar>
            <w:top w:w="0" w:type="dxa"/>
            <w:left w:w="108" w:type="dxa"/>
            <w:bottom w:w="0" w:type="dxa"/>
            <w:right w:w="108" w:type="dxa"/>
          </w:tblCellMar>
        </w:tblPrEx>
        <w:trPr>
          <w:trHeight w:val="739"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restart"/>
            <w:tcBorders>
              <w:top w:val="single" w:color="auto" w:sz="8" w:space="0"/>
              <w:left w:val="nil"/>
              <w:right w:val="single" w:color="auto" w:sz="4" w:space="0"/>
            </w:tcBorders>
            <w:shd w:val="clear" w:color="auto" w:fill="FFFFFF"/>
            <w:vAlign w:val="center"/>
          </w:tcPr>
          <w:p>
            <w:pPr>
              <w:outlineLvl w:val="0"/>
              <w:rPr>
                <w:rFonts w:ascii="宋体" w:hAnsi="宋体" w:cs="黑体"/>
                <w:bCs/>
                <w:sz w:val="24"/>
              </w:rPr>
            </w:pPr>
            <w:r>
              <w:rPr>
                <w:rFonts w:hint="eastAsia" w:ascii="宋体" w:hAnsi="宋体" w:cs="黑体"/>
                <w:bCs/>
                <w:sz w:val="24"/>
              </w:rPr>
              <w:t>标项一：实施</w:t>
            </w:r>
            <w:r>
              <w:rPr>
                <w:rFonts w:ascii="宋体" w:hAnsi="宋体" w:cs="黑体"/>
                <w:bCs/>
                <w:sz w:val="24"/>
              </w:rPr>
              <w:t>1</w:t>
            </w:r>
            <w:r>
              <w:rPr>
                <w:rFonts w:hint="eastAsia" w:ascii="宋体" w:hAnsi="宋体" w:cs="黑体"/>
                <w:bCs/>
                <w:sz w:val="24"/>
              </w:rPr>
              <w:t>个部门和2个镇（街）数字驾驶舱建设</w:t>
            </w:r>
          </w:p>
          <w:p>
            <w:pPr>
              <w:jc w:val="left"/>
              <w:rPr>
                <w:rFonts w:ascii="宋体" w:hAnsi="宋体"/>
                <w:sz w:val="24"/>
              </w:rPr>
            </w:pPr>
            <w:r>
              <w:rPr>
                <w:rFonts w:hint="eastAsia" w:ascii="宋体" w:hAnsi="宋体"/>
                <w:sz w:val="24"/>
              </w:rPr>
              <w:t xml:space="preserve"> </w:t>
            </w:r>
          </w:p>
        </w:tc>
        <w:tc>
          <w:tcPr>
            <w:tcW w:w="3849" w:type="dxa"/>
            <w:gridSpan w:val="3"/>
            <w:tcBorders>
              <w:top w:val="single" w:color="auto" w:sz="8" w:space="0"/>
              <w:left w:val="single" w:color="auto" w:sz="4" w:space="0"/>
              <w:bottom w:val="single" w:color="auto" w:sz="8" w:space="0"/>
              <w:right w:val="single" w:color="auto" w:sz="8" w:space="0"/>
            </w:tcBorders>
            <w:shd w:val="clear" w:color="auto" w:fill="FFFFFF"/>
            <w:vAlign w:val="center"/>
          </w:tcPr>
          <w:p>
            <w:pPr>
              <w:jc w:val="center"/>
              <w:rPr>
                <w:rFonts w:ascii="宋体" w:hAnsi="宋体"/>
                <w:sz w:val="24"/>
              </w:rPr>
            </w:pPr>
            <w:r>
              <w:rPr>
                <w:rFonts w:hint="eastAsia" w:ascii="宋体" w:hAnsi="宋体"/>
                <w:sz w:val="24"/>
              </w:rPr>
              <w:t>数据梳理及采集</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围绕政治、经济、文化、社会、生态文明五个领域，完成“城市大脑”数据、部门共享数据、自有数据的梳理和</w:t>
            </w:r>
            <w:r>
              <w:rPr>
                <w:rFonts w:ascii="宋体" w:hAnsi="宋体"/>
                <w:sz w:val="24"/>
              </w:rPr>
              <w:t>3</w:t>
            </w:r>
            <w:r>
              <w:rPr>
                <w:rFonts w:hint="eastAsia" w:ascii="宋体" w:hAnsi="宋体"/>
                <w:sz w:val="24"/>
              </w:rPr>
              <w:t>个驾驶舱数据采集</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restart"/>
            <w:tcBorders>
              <w:top w:val="single" w:color="auto" w:sz="8" w:space="0"/>
              <w:left w:val="single" w:color="auto" w:sz="4"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教育局驾驶舱</w:t>
            </w:r>
          </w:p>
        </w:tc>
        <w:tc>
          <w:tcPr>
            <w:tcW w:w="1117" w:type="dxa"/>
            <w:vMerge w:val="restart"/>
            <w:tcBorders>
              <w:top w:val="single" w:color="auto" w:sz="8" w:space="0"/>
              <w:left w:val="nil"/>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数字驾驶舱PC端</w:t>
            </w: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381"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业务梳理</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进行梳理数字驾驶舱所有数据指标</w:t>
            </w:r>
          </w:p>
        </w:tc>
      </w:tr>
      <w:tr>
        <w:tblPrEx>
          <w:tblCellMar>
            <w:top w:w="0" w:type="dxa"/>
            <w:left w:w="108" w:type="dxa"/>
            <w:bottom w:w="0" w:type="dxa"/>
            <w:right w:w="108" w:type="dxa"/>
          </w:tblCellMar>
        </w:tblPrEx>
        <w:trPr>
          <w:trHeight w:val="596"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进行开发数字驾驶舱PC端专题建设</w:t>
            </w:r>
          </w:p>
        </w:tc>
      </w:tr>
      <w:tr>
        <w:tblPrEx>
          <w:tblCellMar>
            <w:top w:w="0" w:type="dxa"/>
            <w:left w:w="108" w:type="dxa"/>
            <w:bottom w:w="0" w:type="dxa"/>
            <w:right w:w="108" w:type="dxa"/>
          </w:tblCellMar>
        </w:tblPrEx>
        <w:trPr>
          <w:trHeight w:val="646"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right w:val="single" w:color="auto" w:sz="8" w:space="0"/>
            </w:tcBorders>
            <w:shd w:val="clear" w:color="auto" w:fill="FFFFFF"/>
            <w:vAlign w:val="center"/>
          </w:tcPr>
          <w:p>
            <w:pPr>
              <w:jc w:val="left"/>
              <w:rPr>
                <w:rFonts w:ascii="宋体" w:hAnsi="宋体"/>
                <w:sz w:val="24"/>
              </w:rPr>
            </w:pPr>
          </w:p>
        </w:tc>
        <w:tc>
          <w:tcPr>
            <w:tcW w:w="1117" w:type="dxa"/>
            <w:vMerge w:val="restart"/>
            <w:tcBorders>
              <w:top w:val="single" w:color="auto" w:sz="8" w:space="0"/>
              <w:left w:val="nil"/>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数字驾驶舱移动端</w:t>
            </w: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进行开发数字驾驶舱钉钉移动端专题建设</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restart"/>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锦南街道、昌化镇驾驶舱</w:t>
            </w:r>
          </w:p>
        </w:tc>
        <w:tc>
          <w:tcPr>
            <w:tcW w:w="1117" w:type="dxa"/>
            <w:vMerge w:val="restart"/>
            <w:tcBorders>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数字驾驶舱PC端</w:t>
            </w: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341"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业务梳理</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进行梳理数字驾驶舱所有数据指标</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进行开发数字驾驶舱PC端专题建设</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restart"/>
            <w:tcBorders>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数字驾驶舱移动端</w:t>
            </w: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1020" w:type="dxa"/>
            <w:gridSpan w:val="2"/>
            <w:vMerge w:val="continue"/>
            <w:tcBorders>
              <w:left w:val="nil"/>
              <w:right w:val="single" w:color="auto" w:sz="4" w:space="0"/>
            </w:tcBorders>
            <w:shd w:val="clear" w:color="auto" w:fill="FFFFFF"/>
            <w:vAlign w:val="center"/>
          </w:tcPr>
          <w:p>
            <w:pPr>
              <w:jc w:val="left"/>
              <w:rPr>
                <w:rFonts w:ascii="宋体" w:hAnsi="宋体"/>
                <w:sz w:val="24"/>
              </w:rPr>
            </w:pPr>
          </w:p>
        </w:tc>
        <w:tc>
          <w:tcPr>
            <w:tcW w:w="1021" w:type="dxa"/>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11"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进行开发数字驾驶舱钉钉移动端专题建设</w:t>
            </w:r>
          </w:p>
        </w:tc>
      </w:tr>
      <w:tr>
        <w:tblPrEx>
          <w:tblCellMar>
            <w:top w:w="0" w:type="dxa"/>
            <w:left w:w="108" w:type="dxa"/>
            <w:bottom w:w="0" w:type="dxa"/>
            <w:right w:w="108" w:type="dxa"/>
          </w:tblCellMar>
        </w:tblPrEx>
        <w:trPr>
          <w:trHeight w:val="533" w:hRule="atLeast"/>
          <w:jc w:val="center"/>
        </w:trPr>
        <w:tc>
          <w:tcPr>
            <w:tcW w:w="90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3"/>
              <w:numPr>
                <w:ilvl w:val="0"/>
                <w:numId w:val="2"/>
              </w:numPr>
              <w:ind w:firstLineChars="0"/>
              <w:jc w:val="right"/>
              <w:rPr>
                <w:rFonts w:ascii="宋体" w:hAnsi="宋体" w:eastAsia="宋体" w:cs="仿宋_GB2312"/>
                <w:sz w:val="24"/>
                <w:szCs w:val="24"/>
              </w:rPr>
            </w:pPr>
          </w:p>
        </w:tc>
        <w:tc>
          <w:tcPr>
            <w:tcW w:w="4869" w:type="dxa"/>
            <w:gridSpan w:val="5"/>
            <w:tcBorders>
              <w:top w:val="single" w:color="auto" w:sz="8" w:space="0"/>
              <w:left w:val="nil"/>
              <w:bottom w:val="single" w:color="auto" w:sz="8" w:space="0"/>
              <w:right w:val="single" w:color="auto" w:sz="8" w:space="0"/>
            </w:tcBorders>
            <w:shd w:val="clear" w:color="auto" w:fill="FFFFFF"/>
            <w:vAlign w:val="center"/>
          </w:tcPr>
          <w:p>
            <w:pPr>
              <w:jc w:val="center"/>
              <w:rPr>
                <w:rFonts w:ascii="宋体" w:hAnsi="宋体"/>
                <w:sz w:val="24"/>
              </w:rPr>
            </w:pPr>
            <w:r>
              <w:rPr>
                <w:rFonts w:hint="eastAsia" w:ascii="宋体" w:hAnsi="宋体"/>
                <w:sz w:val="24"/>
              </w:rPr>
              <w:t>驻场服务</w:t>
            </w:r>
          </w:p>
        </w:tc>
        <w:tc>
          <w:tcPr>
            <w:tcW w:w="5519"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项目终验起1人</w:t>
            </w:r>
            <w:r>
              <w:rPr>
                <w:rFonts w:ascii="宋体" w:hAnsi="宋体"/>
                <w:sz w:val="24"/>
              </w:rPr>
              <w:t>3</w:t>
            </w:r>
            <w:r>
              <w:rPr>
                <w:rFonts w:hint="eastAsia" w:ascii="宋体" w:hAnsi="宋体"/>
                <w:sz w:val="24"/>
              </w:rPr>
              <w:t>年驻场服务</w:t>
            </w:r>
          </w:p>
        </w:tc>
      </w:tr>
      <w:tr>
        <w:tblPrEx>
          <w:tblCellMar>
            <w:top w:w="0" w:type="dxa"/>
            <w:left w:w="108" w:type="dxa"/>
            <w:bottom w:w="0" w:type="dxa"/>
            <w:right w:w="108" w:type="dxa"/>
          </w:tblCellMar>
        </w:tblPrEx>
        <w:trPr>
          <w:trHeight w:val="367" w:hRule="atLeast"/>
          <w:jc w:val="center"/>
        </w:trPr>
        <w:tc>
          <w:tcPr>
            <w:tcW w:w="903" w:type="dxa"/>
            <w:tcBorders>
              <w:top w:val="single" w:color="auto" w:sz="8" w:space="0"/>
              <w:left w:val="single" w:color="auto" w:sz="8" w:space="0"/>
              <w:bottom w:val="single" w:color="auto" w:sz="8" w:space="0"/>
              <w:right w:val="single" w:color="auto" w:sz="8" w:space="0"/>
            </w:tcBorders>
            <w:shd w:val="clear" w:color="auto" w:fill="99CCFF"/>
            <w:vAlign w:val="center"/>
          </w:tcPr>
          <w:p>
            <w:pPr>
              <w:widowControl/>
              <w:jc w:val="center"/>
              <w:rPr>
                <w:rFonts w:ascii="宋体" w:hAnsi="宋体"/>
                <w:kern w:val="0"/>
                <w:sz w:val="24"/>
              </w:rPr>
            </w:pPr>
            <w:r>
              <w:rPr>
                <w:rFonts w:hint="eastAsia" w:ascii="宋体" w:hAnsi="宋体" w:cs="黑体"/>
                <w:kern w:val="0"/>
                <w:sz w:val="24"/>
              </w:rPr>
              <w:t>序号</w:t>
            </w:r>
          </w:p>
        </w:tc>
        <w:tc>
          <w:tcPr>
            <w:tcW w:w="4868" w:type="dxa"/>
            <w:gridSpan w:val="5"/>
            <w:tcBorders>
              <w:top w:val="single" w:color="auto" w:sz="8" w:space="0"/>
              <w:left w:val="nil"/>
              <w:bottom w:val="single" w:color="auto" w:sz="8" w:space="0"/>
              <w:right w:val="single" w:color="auto" w:sz="8" w:space="0"/>
            </w:tcBorders>
            <w:shd w:val="clear" w:color="auto" w:fill="99CCFF"/>
            <w:vAlign w:val="center"/>
          </w:tcPr>
          <w:p>
            <w:pPr>
              <w:widowControl/>
              <w:jc w:val="center"/>
              <w:rPr>
                <w:rFonts w:ascii="宋体" w:hAnsi="宋体" w:cs="黑体"/>
                <w:kern w:val="0"/>
                <w:sz w:val="24"/>
              </w:rPr>
            </w:pPr>
            <w:r>
              <w:rPr>
                <w:rFonts w:hint="eastAsia" w:ascii="宋体" w:hAnsi="宋体" w:cs="黑体"/>
                <w:kern w:val="0"/>
                <w:sz w:val="24"/>
              </w:rPr>
              <w:t>功能模块</w:t>
            </w:r>
          </w:p>
        </w:tc>
        <w:tc>
          <w:tcPr>
            <w:tcW w:w="5520" w:type="dxa"/>
            <w:tcBorders>
              <w:top w:val="single" w:color="auto" w:sz="8" w:space="0"/>
              <w:left w:val="single" w:color="auto" w:sz="8" w:space="0"/>
              <w:bottom w:val="single" w:color="auto" w:sz="8" w:space="0"/>
              <w:right w:val="single" w:color="auto" w:sz="8" w:space="0"/>
            </w:tcBorders>
            <w:shd w:val="clear" w:color="auto" w:fill="99CCFF"/>
            <w:vAlign w:val="center"/>
          </w:tcPr>
          <w:p>
            <w:pPr>
              <w:widowControl/>
              <w:jc w:val="center"/>
              <w:rPr>
                <w:rFonts w:ascii="宋体" w:hAnsi="宋体"/>
                <w:kern w:val="0"/>
                <w:sz w:val="24"/>
              </w:rPr>
            </w:pPr>
            <w:r>
              <w:rPr>
                <w:rFonts w:hint="eastAsia" w:ascii="宋体" w:hAnsi="宋体" w:cs="黑体"/>
                <w:kern w:val="0"/>
                <w:sz w:val="24"/>
              </w:rPr>
              <w:t>建设内容</w:t>
            </w:r>
          </w:p>
        </w:tc>
      </w:tr>
      <w:tr>
        <w:tblPrEx>
          <w:tblCellMar>
            <w:top w:w="0" w:type="dxa"/>
            <w:left w:w="108" w:type="dxa"/>
            <w:bottom w:w="0" w:type="dxa"/>
            <w:right w:w="108" w:type="dxa"/>
          </w:tblCellMar>
        </w:tblPrEx>
        <w:trPr>
          <w:trHeight w:val="739"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1</w:t>
            </w:r>
          </w:p>
        </w:tc>
        <w:tc>
          <w:tcPr>
            <w:tcW w:w="874" w:type="dxa"/>
            <w:vMerge w:val="restart"/>
            <w:tcBorders>
              <w:top w:val="single" w:color="auto" w:sz="8" w:space="0"/>
              <w:left w:val="nil"/>
              <w:right w:val="single" w:color="auto" w:sz="4" w:space="0"/>
            </w:tcBorders>
            <w:shd w:val="clear" w:color="auto" w:fill="FFFFFF"/>
            <w:vAlign w:val="center"/>
          </w:tcPr>
          <w:p>
            <w:pPr>
              <w:outlineLvl w:val="0"/>
              <w:rPr>
                <w:rFonts w:ascii="宋体" w:hAnsi="宋体" w:cs="黑体"/>
                <w:bCs/>
                <w:sz w:val="24"/>
              </w:rPr>
            </w:pPr>
            <w:r>
              <w:rPr>
                <w:rFonts w:hint="eastAsia" w:ascii="宋体" w:hAnsi="宋体" w:cs="黑体"/>
                <w:bCs/>
                <w:sz w:val="24"/>
              </w:rPr>
              <w:t>标项二：实施3个镇（街）数字驾驶舱建设</w:t>
            </w:r>
          </w:p>
          <w:p>
            <w:pPr>
              <w:jc w:val="left"/>
              <w:rPr>
                <w:rFonts w:ascii="宋体" w:hAnsi="宋体"/>
                <w:sz w:val="24"/>
              </w:rPr>
            </w:pPr>
          </w:p>
        </w:tc>
        <w:tc>
          <w:tcPr>
            <w:tcW w:w="3994" w:type="dxa"/>
            <w:gridSpan w:val="4"/>
            <w:tcBorders>
              <w:top w:val="single" w:color="auto" w:sz="8" w:space="0"/>
              <w:left w:val="single" w:color="auto" w:sz="4" w:space="0"/>
              <w:bottom w:val="single" w:color="auto" w:sz="8" w:space="0"/>
              <w:right w:val="single" w:color="auto" w:sz="8" w:space="0"/>
            </w:tcBorders>
            <w:shd w:val="clear" w:color="auto" w:fill="FFFFFF"/>
            <w:vAlign w:val="center"/>
          </w:tcPr>
          <w:p>
            <w:pPr>
              <w:jc w:val="center"/>
              <w:rPr>
                <w:rFonts w:ascii="宋体" w:hAnsi="宋体"/>
                <w:sz w:val="24"/>
              </w:rPr>
            </w:pPr>
            <w:r>
              <w:rPr>
                <w:rFonts w:hint="eastAsia" w:ascii="宋体" w:hAnsi="宋体"/>
                <w:sz w:val="24"/>
              </w:rPr>
              <w:t>数据梳理及采集</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围绕政治、经济、文化、社会、生态文明五个领域，完成“城市大脑”数据、部门共享数据、自有数据的梳理和</w:t>
            </w:r>
            <w:r>
              <w:rPr>
                <w:rFonts w:ascii="宋体" w:hAnsi="宋体"/>
                <w:sz w:val="24"/>
              </w:rPr>
              <w:t>3</w:t>
            </w:r>
            <w:r>
              <w:rPr>
                <w:rFonts w:hint="eastAsia" w:ascii="宋体" w:hAnsi="宋体"/>
                <w:sz w:val="24"/>
              </w:rPr>
              <w:t>个驾驶舱数据采集</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2</w:t>
            </w:r>
          </w:p>
        </w:tc>
        <w:tc>
          <w:tcPr>
            <w:tcW w:w="874" w:type="dxa"/>
            <w:vMerge w:val="continue"/>
            <w:tcBorders>
              <w:left w:val="nil"/>
              <w:right w:val="single" w:color="auto" w:sz="4" w:space="0"/>
            </w:tcBorders>
            <w:shd w:val="clear" w:color="auto" w:fill="FFFFFF"/>
            <w:vAlign w:val="center"/>
          </w:tcPr>
          <w:p>
            <w:pPr>
              <w:jc w:val="left"/>
              <w:rPr>
                <w:rFonts w:ascii="宋体" w:hAnsi="宋体"/>
                <w:sz w:val="24"/>
              </w:rPr>
            </w:pPr>
          </w:p>
        </w:tc>
        <w:tc>
          <w:tcPr>
            <w:tcW w:w="1168" w:type="dxa"/>
            <w:gridSpan w:val="2"/>
            <w:vMerge w:val="restart"/>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太湖源镇、高虹镇、於潜镇驾驶舱</w:t>
            </w:r>
          </w:p>
        </w:tc>
        <w:tc>
          <w:tcPr>
            <w:tcW w:w="1117" w:type="dxa"/>
            <w:vMerge w:val="restart"/>
            <w:tcBorders>
              <w:top w:val="single" w:color="auto" w:sz="4"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数字驾驶舱PC端</w:t>
            </w:r>
          </w:p>
        </w:tc>
        <w:tc>
          <w:tcPr>
            <w:tcW w:w="1709"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3</w:t>
            </w:r>
          </w:p>
        </w:tc>
        <w:tc>
          <w:tcPr>
            <w:tcW w:w="874" w:type="dxa"/>
            <w:vMerge w:val="continue"/>
            <w:tcBorders>
              <w:left w:val="nil"/>
              <w:right w:val="single" w:color="auto" w:sz="4" w:space="0"/>
            </w:tcBorders>
            <w:shd w:val="clear" w:color="auto" w:fill="FFFFFF"/>
            <w:vAlign w:val="center"/>
          </w:tcPr>
          <w:p>
            <w:pPr>
              <w:jc w:val="left"/>
              <w:rPr>
                <w:rFonts w:ascii="宋体" w:hAnsi="宋体"/>
                <w:sz w:val="24"/>
              </w:rPr>
            </w:pPr>
          </w:p>
        </w:tc>
        <w:tc>
          <w:tcPr>
            <w:tcW w:w="1168" w:type="dxa"/>
            <w:gridSpan w:val="2"/>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09"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业务梳理</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进行梳理数字驾驶舱所有数据指标</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4</w:t>
            </w:r>
          </w:p>
        </w:tc>
        <w:tc>
          <w:tcPr>
            <w:tcW w:w="874" w:type="dxa"/>
            <w:vMerge w:val="continue"/>
            <w:tcBorders>
              <w:left w:val="nil"/>
              <w:right w:val="single" w:color="auto" w:sz="4" w:space="0"/>
            </w:tcBorders>
            <w:shd w:val="clear" w:color="auto" w:fill="FFFFFF"/>
            <w:vAlign w:val="center"/>
          </w:tcPr>
          <w:p>
            <w:pPr>
              <w:jc w:val="left"/>
              <w:rPr>
                <w:rFonts w:ascii="宋体" w:hAnsi="宋体"/>
                <w:sz w:val="24"/>
              </w:rPr>
            </w:pPr>
          </w:p>
        </w:tc>
        <w:tc>
          <w:tcPr>
            <w:tcW w:w="1168" w:type="dxa"/>
            <w:gridSpan w:val="2"/>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4" w:space="0"/>
              <w:right w:val="single" w:color="auto" w:sz="8" w:space="0"/>
            </w:tcBorders>
            <w:shd w:val="clear" w:color="auto" w:fill="FFFFFF"/>
            <w:vAlign w:val="center"/>
          </w:tcPr>
          <w:p>
            <w:pPr>
              <w:jc w:val="left"/>
              <w:rPr>
                <w:rFonts w:ascii="宋体" w:hAnsi="宋体"/>
                <w:sz w:val="24"/>
              </w:rPr>
            </w:pPr>
          </w:p>
        </w:tc>
        <w:tc>
          <w:tcPr>
            <w:tcW w:w="1709"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进行开发数字驾驶舱PC端专题建设</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5</w:t>
            </w:r>
          </w:p>
        </w:tc>
        <w:tc>
          <w:tcPr>
            <w:tcW w:w="874" w:type="dxa"/>
            <w:vMerge w:val="continue"/>
            <w:tcBorders>
              <w:left w:val="nil"/>
              <w:right w:val="single" w:color="auto" w:sz="4" w:space="0"/>
            </w:tcBorders>
            <w:shd w:val="clear" w:color="auto" w:fill="FFFFFF"/>
            <w:vAlign w:val="center"/>
          </w:tcPr>
          <w:p>
            <w:pPr>
              <w:jc w:val="left"/>
              <w:rPr>
                <w:rFonts w:ascii="宋体" w:hAnsi="宋体"/>
                <w:sz w:val="24"/>
              </w:rPr>
            </w:pPr>
          </w:p>
        </w:tc>
        <w:tc>
          <w:tcPr>
            <w:tcW w:w="1168" w:type="dxa"/>
            <w:gridSpan w:val="2"/>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restart"/>
            <w:tcBorders>
              <w:top w:val="single" w:color="auto" w:sz="4"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数字驾驶舱移动端</w:t>
            </w:r>
          </w:p>
        </w:tc>
        <w:tc>
          <w:tcPr>
            <w:tcW w:w="1709"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界面设计</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按照“城市大脑”数字驾驶舱的建设规范进行设计</w:t>
            </w:r>
          </w:p>
        </w:tc>
      </w:tr>
      <w:tr>
        <w:tblPrEx>
          <w:tblCellMar>
            <w:top w:w="0" w:type="dxa"/>
            <w:left w:w="108" w:type="dxa"/>
            <w:bottom w:w="0" w:type="dxa"/>
            <w:right w:w="108" w:type="dxa"/>
          </w:tblCellMar>
        </w:tblPrEx>
        <w:trPr>
          <w:trHeight w:val="564" w:hRule="atLeast"/>
          <w:jc w:val="center"/>
        </w:trPr>
        <w:tc>
          <w:tcPr>
            <w:tcW w:w="903" w:type="dxa"/>
            <w:tcBorders>
              <w:top w:val="single" w:color="auto" w:sz="8" w:space="0"/>
              <w:left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6</w:t>
            </w:r>
          </w:p>
        </w:tc>
        <w:tc>
          <w:tcPr>
            <w:tcW w:w="874" w:type="dxa"/>
            <w:vMerge w:val="continue"/>
            <w:tcBorders>
              <w:left w:val="nil"/>
              <w:right w:val="single" w:color="auto" w:sz="4" w:space="0"/>
            </w:tcBorders>
            <w:shd w:val="clear" w:color="auto" w:fill="FFFFFF"/>
            <w:vAlign w:val="center"/>
          </w:tcPr>
          <w:p>
            <w:pPr>
              <w:jc w:val="left"/>
              <w:rPr>
                <w:rFonts w:ascii="宋体" w:hAnsi="宋体"/>
                <w:sz w:val="24"/>
              </w:rPr>
            </w:pPr>
          </w:p>
        </w:tc>
        <w:tc>
          <w:tcPr>
            <w:tcW w:w="1168" w:type="dxa"/>
            <w:gridSpan w:val="2"/>
            <w:vMerge w:val="continue"/>
            <w:tcBorders>
              <w:left w:val="single" w:color="auto" w:sz="4" w:space="0"/>
              <w:bottom w:val="single" w:color="auto" w:sz="8" w:space="0"/>
              <w:right w:val="single" w:color="auto" w:sz="8" w:space="0"/>
            </w:tcBorders>
            <w:shd w:val="clear" w:color="auto" w:fill="FFFFFF"/>
            <w:vAlign w:val="center"/>
          </w:tcPr>
          <w:p>
            <w:pPr>
              <w:jc w:val="left"/>
              <w:rPr>
                <w:rFonts w:ascii="宋体" w:hAnsi="宋体"/>
                <w:sz w:val="24"/>
              </w:rPr>
            </w:pPr>
          </w:p>
        </w:tc>
        <w:tc>
          <w:tcPr>
            <w:tcW w:w="1117" w:type="dxa"/>
            <w:vMerge w:val="continue"/>
            <w:tcBorders>
              <w:left w:val="nil"/>
              <w:bottom w:val="single" w:color="auto" w:sz="8" w:space="0"/>
              <w:right w:val="single" w:color="auto" w:sz="8" w:space="0"/>
            </w:tcBorders>
            <w:shd w:val="clear" w:color="auto" w:fill="FFFFFF"/>
            <w:vAlign w:val="center"/>
          </w:tcPr>
          <w:p>
            <w:pPr>
              <w:jc w:val="left"/>
              <w:rPr>
                <w:rFonts w:ascii="宋体" w:hAnsi="宋体"/>
                <w:sz w:val="24"/>
              </w:rPr>
            </w:pPr>
          </w:p>
        </w:tc>
        <w:tc>
          <w:tcPr>
            <w:tcW w:w="1709" w:type="dxa"/>
            <w:tcBorders>
              <w:top w:val="single" w:color="auto" w:sz="8" w:space="0"/>
              <w:left w:val="nil"/>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数字驾驶舱开发</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进行开发数字驾驶舱钉钉移动端专题建设</w:t>
            </w:r>
          </w:p>
        </w:tc>
      </w:tr>
      <w:tr>
        <w:tblPrEx>
          <w:tblCellMar>
            <w:top w:w="0" w:type="dxa"/>
            <w:left w:w="108" w:type="dxa"/>
            <w:bottom w:w="0" w:type="dxa"/>
            <w:right w:w="108" w:type="dxa"/>
          </w:tblCellMar>
        </w:tblPrEx>
        <w:trPr>
          <w:trHeight w:val="533" w:hRule="atLeast"/>
          <w:jc w:val="center"/>
        </w:trPr>
        <w:tc>
          <w:tcPr>
            <w:tcW w:w="90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3"/>
              <w:ind w:left="384" w:right="240" w:firstLine="0" w:firstLineChars="0"/>
              <w:jc w:val="right"/>
              <w:rPr>
                <w:rFonts w:ascii="宋体" w:hAnsi="宋体" w:eastAsia="宋体" w:cs="仿宋_GB2312"/>
                <w:sz w:val="24"/>
                <w:szCs w:val="24"/>
              </w:rPr>
            </w:pPr>
            <w:r>
              <w:rPr>
                <w:rFonts w:hint="eastAsia" w:ascii="宋体" w:hAnsi="宋体" w:eastAsia="宋体" w:cs="仿宋_GB2312"/>
                <w:sz w:val="24"/>
                <w:szCs w:val="24"/>
              </w:rPr>
              <w:t>7</w:t>
            </w:r>
          </w:p>
        </w:tc>
        <w:tc>
          <w:tcPr>
            <w:tcW w:w="4868" w:type="dxa"/>
            <w:gridSpan w:val="5"/>
            <w:tcBorders>
              <w:top w:val="single" w:color="auto" w:sz="8" w:space="0"/>
              <w:left w:val="nil"/>
              <w:bottom w:val="single" w:color="auto" w:sz="8" w:space="0"/>
              <w:right w:val="single" w:color="auto" w:sz="8" w:space="0"/>
            </w:tcBorders>
            <w:shd w:val="clear" w:color="auto" w:fill="FFFFFF"/>
            <w:vAlign w:val="center"/>
          </w:tcPr>
          <w:p>
            <w:pPr>
              <w:jc w:val="center"/>
              <w:rPr>
                <w:rFonts w:ascii="宋体" w:hAnsi="宋体"/>
                <w:sz w:val="24"/>
              </w:rPr>
            </w:pPr>
            <w:r>
              <w:rPr>
                <w:rFonts w:hint="eastAsia" w:ascii="宋体" w:hAnsi="宋体"/>
                <w:sz w:val="24"/>
              </w:rPr>
              <w:t>驻场服务</w:t>
            </w:r>
          </w:p>
        </w:tc>
        <w:tc>
          <w:tcPr>
            <w:tcW w:w="5520"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ascii="宋体" w:hAnsi="宋体"/>
                <w:sz w:val="24"/>
              </w:rPr>
            </w:pPr>
            <w:r>
              <w:rPr>
                <w:rFonts w:hint="eastAsia" w:ascii="宋体" w:hAnsi="宋体"/>
                <w:sz w:val="24"/>
              </w:rPr>
              <w:t>项目终验起1人</w:t>
            </w:r>
            <w:r>
              <w:rPr>
                <w:rFonts w:ascii="宋体" w:hAnsi="宋体"/>
                <w:sz w:val="24"/>
              </w:rPr>
              <w:t>3</w:t>
            </w:r>
            <w:r>
              <w:rPr>
                <w:rFonts w:hint="eastAsia" w:ascii="宋体" w:hAnsi="宋体"/>
                <w:sz w:val="24"/>
              </w:rPr>
              <w:t>年驻场服务</w:t>
            </w:r>
          </w:p>
        </w:tc>
      </w:tr>
    </w:tbl>
    <w:p>
      <w:pPr>
        <w:outlineLvl w:val="0"/>
        <w:rPr>
          <w:rFonts w:ascii="宋体" w:hAnsi="宋体" w:cs="黑体"/>
          <w:bCs/>
          <w:sz w:val="24"/>
        </w:rPr>
      </w:pPr>
      <w:r>
        <w:rPr>
          <w:rFonts w:hint="eastAsia" w:ascii="宋体" w:hAnsi="宋体" w:cs="黑体"/>
          <w:bCs/>
          <w:sz w:val="24"/>
        </w:rPr>
        <w:t>每个标项限价</w:t>
      </w:r>
      <w:r>
        <w:rPr>
          <w:rFonts w:ascii="宋体" w:hAnsi="宋体" w:cs="黑体"/>
          <w:bCs/>
          <w:sz w:val="24"/>
        </w:rPr>
        <w:t>90万元，</w:t>
      </w:r>
      <w:r>
        <w:rPr>
          <w:rFonts w:hint="eastAsia" w:ascii="宋体" w:hAnsi="宋体" w:cs="黑体"/>
          <w:bCs/>
          <w:sz w:val="24"/>
        </w:rPr>
        <w:t>两个标项不可以同一单位进行实施，具体建设内容如下：</w:t>
      </w:r>
    </w:p>
    <w:p>
      <w:pPr>
        <w:outlineLvl w:val="0"/>
        <w:rPr>
          <w:rFonts w:ascii="宋体" w:hAnsi="宋体" w:cs="黑体"/>
          <w:bCs/>
          <w:sz w:val="24"/>
        </w:rPr>
      </w:pPr>
      <w:r>
        <w:rPr>
          <w:rFonts w:hint="eastAsia" w:ascii="宋体" w:hAnsi="宋体" w:cs="黑体"/>
          <w:bCs/>
          <w:sz w:val="24"/>
        </w:rPr>
        <w:t>一、项目概述</w:t>
      </w:r>
    </w:p>
    <w:p>
      <w:pPr>
        <w:spacing w:line="560" w:lineRule="exact"/>
        <w:ind w:firstLine="480" w:firstLineChars="200"/>
        <w:rPr>
          <w:rFonts w:ascii="宋体" w:hAnsi="宋体" w:cs="仿宋_GB2312"/>
          <w:bCs/>
          <w:color w:val="000000"/>
          <w:sz w:val="24"/>
          <w:lang w:val="zh-CN"/>
        </w:rPr>
      </w:pPr>
      <w:r>
        <w:rPr>
          <w:rFonts w:hint="eastAsia" w:ascii="宋体" w:hAnsi="宋体" w:cs="仿宋_GB2312"/>
          <w:bCs/>
          <w:color w:val="000000"/>
          <w:sz w:val="24"/>
        </w:rPr>
        <w:t>根据杭州“城市大脑”建设要求，基于区数据交换共享平台，充</w:t>
      </w:r>
      <w:r>
        <w:rPr>
          <w:rFonts w:hint="eastAsia" w:ascii="宋体" w:hAnsi="宋体" w:cs="仿宋_GB2312"/>
          <w:bCs/>
          <w:color w:val="000000"/>
          <w:sz w:val="24"/>
          <w:lang w:val="zh-CN"/>
        </w:rPr>
        <w:t>分应用全区数据资源和信息化建设成果，梳理本单位各项数据指标，围绕“政治、经济、文化、社会、生态”五个根目录，进行综合分析和研判，建设临安区部门、镇（街道）数字驾驶舱。按照单位决策需求与重点工作需求，针对不同数据领域、类型等设置不同的用户画像，提供日常数据决策支持服务与重大事件数据追踪反馈和日常工作协同，并与区现有驾驶舱平台结合，形成临安区综合数字驾驶舱。</w:t>
      </w:r>
    </w:p>
    <w:p>
      <w:pPr>
        <w:outlineLvl w:val="0"/>
        <w:rPr>
          <w:rFonts w:ascii="宋体" w:hAnsi="宋体" w:cs="黑体"/>
          <w:bCs/>
          <w:sz w:val="24"/>
        </w:rPr>
      </w:pPr>
      <w:r>
        <w:rPr>
          <w:rFonts w:hint="eastAsia" w:ascii="宋体" w:hAnsi="宋体" w:cs="黑体"/>
          <w:bCs/>
          <w:sz w:val="24"/>
        </w:rPr>
        <w:t>二、总体设计要求</w:t>
      </w:r>
    </w:p>
    <w:p>
      <w:pPr>
        <w:spacing w:line="360" w:lineRule="auto"/>
        <w:ind w:firstLine="482" w:firstLineChars="200"/>
        <w:outlineLvl w:val="1"/>
        <w:rPr>
          <w:rFonts w:ascii="宋体" w:hAnsi="宋体" w:cs="仿宋_GB2312"/>
          <w:b/>
          <w:sz w:val="24"/>
        </w:rPr>
      </w:pPr>
      <w:r>
        <w:rPr>
          <w:rFonts w:hint="eastAsia" w:ascii="宋体" w:hAnsi="宋体" w:cs="仿宋_GB2312"/>
          <w:b/>
          <w:sz w:val="24"/>
        </w:rPr>
        <w:t>（一）设计原则</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整个项目遵循：“统一规划、统一标准；统一平台、共同建设；信息共享、安全保密；分步实施、分层推进；以需求为导向、以应用促发展”的总体发展思路；在项目的建设过程中贯彻整体性、先进性、易用性，安全性，渐进性、标准化和可持续建设原则。</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整体性：本项目是综合性的系统工程，不仅涉及日常工作的方方面面，还涉及全区各级单位的各种平台等复杂环境，因此在系统设计建设过程中，必须对业务需求进行充分调研、深入探讨、全面考虑，从而确保系统建设的完整性。</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先进性：应采用当今主流技术以及符合未来发展的趋势，既要实现应用平台和工具的先进性，更要考虑系统结构和应用设计的先进性和扩展性，以适应宏观上业务管理、发展规划和微观上事务办理的需求。</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易用性：本项目建设本着“精简、统一、效能”的原则，要求建立起行为规范、运转协调、公正透明、廉洁高效的行政管理体制，在网络设置上要充分考虑现有的网络平台，实实在在为机关提供便捷服务。同时，以用户为中心，既体现管理者，也体现被管理者，既从我局工作人员的日常管理和使用角度进行设计，也要从各级机关单位相关业务人员使用上的方便快捷，易学易用，客观直观的角度去设计。</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安全性：系统建设要符合用户对信息安全管理的要求，建立完善可靠的安全保障体系，对非法入侵、非法攻击和网络计算机病毒应具有很强的防范能力，确保系统具有严格的身份认证功能，并有相应的技术手段对数据安全和操作安全加以保护。</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规范性：提高效率和依法行政都必须规范程序。电子化的最大特点和优点就是它重复劳动的能力极强，流程越规范，计算机模拟起来就越迅速；同时能利用技术，通过信息化的方式把一些规则固化下来，通过程序的不可逆性，达到政务流程的改善和改造，并通过这种方式进行联合监管。</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渐进性、标准化和可持续：信息化是一个过程，任何企业、机关的信息化，都不可能一步到位，必须按照“统一规划、分步实施、急用先搞、务求实效”的原则，逐步建设完成。渐进信息化并不等于没有总体规划，不能像以前那样哪里需要哪里做，最后形成一个个信息“孤岛”。信息化必须在整体规划的基础之上，按照国家有关电子政务标准化规范逐步推进。现在搞信息化，一定要考虑到未来的长远发展。当前开发、建设的信息系统必须是可扩充、可持续发展的。功能可以不断增加或改进，网络建设要考虑到未来的需求，应用软件必须是可升级、可集成的，尽量避免在一定时期内因为技术升级而废弃原来的软件。</w:t>
      </w:r>
    </w:p>
    <w:p>
      <w:pPr>
        <w:spacing w:line="360" w:lineRule="auto"/>
        <w:ind w:firstLine="482" w:firstLineChars="200"/>
        <w:outlineLvl w:val="1"/>
        <w:rPr>
          <w:rFonts w:ascii="宋体" w:hAnsi="宋体" w:cs="仿宋_GB2312"/>
          <w:b/>
          <w:sz w:val="24"/>
        </w:rPr>
      </w:pPr>
      <w:r>
        <w:rPr>
          <w:rFonts w:hint="eastAsia" w:ascii="宋体" w:hAnsi="宋体" w:cs="仿宋_GB2312"/>
          <w:b/>
          <w:sz w:val="24"/>
        </w:rPr>
        <w:t>（二）技术总体要求</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按照国家电子政务建设的指导意见，为充分保证电子政务平台目具有较高的安全性、跨平台性、易扩展性、易维护性，本次项目需采用基于J2EE的三层（Browser/Application Server/Database Server）应用体系结构。应用JSP、Servlet、EJB、XML等编程技术和面向对象程序设计技术，将复杂的业务处理逻辑、流程控制逻辑和数据存取逻辑通过Enterprise Java Beans组件来实现。软件系统运行于应用服务器之上，实现业务逻辑的快速部署和灵活调整，并通过部署在应用服务器层的专用组件实现对数据库的存取访问，以充分保证数据库系统的安全可靠访问。</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构建系统开发和运行环境的技术核心为：</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1.PC端应用系统（即时通讯除外）采用多层架构的B/S结构，移动端系统基于浙政钉采用多层架构的C/S结构；</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2.采用JAVA语言技术，基于J2EE技术的分布式计算技术进行系统架构设计和系统开发；</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3.采用Web Service技术；</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4.支持Windows、UNIX以及Linux等操作系统；</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5.支持Weblogic、 Websphere、tomcat等多种主流应用服务器；</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6.利用XML作为系统接口的数据交换标准，进行信息资源整合；</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7.采用组件技术提供系统的快速开发和更新；</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8.采用高性能中间件技术作为基础平台，如政务平台中间件技术、数据访问中间件技术、事务处理中间件技术、安全控制中间件技术等；</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9.支持信任与授权服务、基于底层的PKI/PMI证书服务机制和PKI基础安全服务机制，提供符合J2EE规范的可信Web计算平台，该平台提供基于安全XML技术的PKI基础安全服务和PKI/PMI证书服务的统一调用接口。</w:t>
      </w:r>
    </w:p>
    <w:p>
      <w:pPr>
        <w:ind w:firstLine="480" w:firstLineChars="200"/>
        <w:rPr>
          <w:rFonts w:ascii="宋体" w:hAnsi="宋体"/>
          <w:color w:val="000000"/>
          <w:sz w:val="24"/>
        </w:rPr>
      </w:pPr>
    </w:p>
    <w:p>
      <w:pPr>
        <w:outlineLvl w:val="0"/>
        <w:rPr>
          <w:rFonts w:ascii="宋体" w:hAnsi="宋体" w:cs="黑体"/>
          <w:bCs/>
          <w:sz w:val="24"/>
        </w:rPr>
      </w:pPr>
      <w:r>
        <w:rPr>
          <w:rFonts w:hint="eastAsia" w:ascii="宋体" w:hAnsi="宋体" w:cs="黑体"/>
          <w:bCs/>
          <w:sz w:val="24"/>
        </w:rPr>
        <w:t>三、建设内容</w:t>
      </w:r>
    </w:p>
    <w:p>
      <w:pPr>
        <w:spacing w:line="360" w:lineRule="auto"/>
        <w:ind w:firstLine="482" w:firstLineChars="200"/>
        <w:outlineLvl w:val="1"/>
        <w:rPr>
          <w:rFonts w:ascii="宋体" w:hAnsi="宋体" w:cs="仿宋_GB2312"/>
          <w:b/>
          <w:sz w:val="24"/>
        </w:rPr>
      </w:pPr>
      <w:bookmarkStart w:id="6" w:name="_Toc391966387"/>
      <w:bookmarkStart w:id="7" w:name="_Toc16541"/>
      <w:r>
        <w:rPr>
          <w:rFonts w:hint="eastAsia" w:ascii="宋体" w:hAnsi="宋体" w:cs="仿宋_GB2312"/>
          <w:b/>
          <w:sz w:val="24"/>
        </w:rPr>
        <w:t>（一）</w:t>
      </w:r>
      <w:bookmarkEnd w:id="6"/>
      <w:bookmarkEnd w:id="7"/>
      <w:r>
        <w:rPr>
          <w:rFonts w:hint="eastAsia" w:ascii="宋体" w:hAnsi="宋体" w:cs="仿宋_GB2312"/>
          <w:b/>
          <w:sz w:val="24"/>
        </w:rPr>
        <w:t>数据梳理及采集</w:t>
      </w:r>
    </w:p>
    <w:p>
      <w:pPr>
        <w:spacing w:line="560" w:lineRule="exact"/>
        <w:ind w:firstLine="480" w:firstLineChars="200"/>
        <w:rPr>
          <w:rFonts w:ascii="宋体" w:hAnsi="宋体" w:cs="仿宋_GB2312"/>
          <w:bCs/>
          <w:color w:val="000000"/>
          <w:sz w:val="24"/>
        </w:rPr>
      </w:pPr>
      <w:bookmarkStart w:id="8" w:name="_Toc36681151"/>
      <w:r>
        <w:rPr>
          <w:rFonts w:hint="eastAsia" w:ascii="宋体" w:hAnsi="宋体" w:cs="仿宋_GB2312"/>
          <w:bCs/>
          <w:color w:val="000000"/>
          <w:sz w:val="24"/>
        </w:rPr>
        <w:t>1.数据梳理</w:t>
      </w:r>
      <w:bookmarkEnd w:id="8"/>
    </w:p>
    <w:p>
      <w:pPr>
        <w:spacing w:line="560" w:lineRule="exact"/>
        <w:ind w:firstLine="480" w:firstLineChars="200"/>
        <w:rPr>
          <w:rFonts w:ascii="宋体" w:hAnsi="宋体" w:cs="仿宋_GB2312"/>
          <w:bCs/>
          <w:color w:val="000000"/>
          <w:sz w:val="24"/>
        </w:rPr>
      </w:pPr>
      <w:bookmarkStart w:id="9" w:name="_Toc11516"/>
      <w:bookmarkStart w:id="10" w:name="_Toc17226"/>
      <w:bookmarkStart w:id="11" w:name="_Toc36681152"/>
      <w:r>
        <w:rPr>
          <w:rFonts w:hint="eastAsia" w:ascii="宋体" w:hAnsi="宋体" w:cs="仿宋_GB2312"/>
          <w:bCs/>
          <w:color w:val="000000"/>
          <w:sz w:val="24"/>
        </w:rPr>
        <w:t>“城市大脑”数据</w:t>
      </w:r>
      <w:bookmarkEnd w:id="9"/>
      <w:bookmarkEnd w:id="10"/>
      <w:bookmarkEnd w:id="11"/>
      <w:r>
        <w:rPr>
          <w:rFonts w:hint="eastAsia" w:ascii="宋体" w:hAnsi="宋体" w:cs="仿宋_GB2312"/>
          <w:bCs/>
          <w:color w:val="000000"/>
          <w:sz w:val="24"/>
        </w:rPr>
        <w:t>：梳理涉及本单位驾驶舱相关指标和“城市大脑”数字驾驶舱需求的相关指标数据。</w:t>
      </w:r>
    </w:p>
    <w:p>
      <w:pPr>
        <w:spacing w:line="560" w:lineRule="exact"/>
        <w:ind w:firstLine="480" w:firstLineChars="200"/>
        <w:rPr>
          <w:rFonts w:ascii="宋体" w:hAnsi="宋体" w:cs="仿宋_GB2312"/>
          <w:bCs/>
          <w:color w:val="000000"/>
          <w:sz w:val="24"/>
        </w:rPr>
      </w:pPr>
      <w:bookmarkStart w:id="12" w:name="_Toc19798"/>
      <w:bookmarkStart w:id="13" w:name="_Toc32018"/>
      <w:bookmarkStart w:id="14" w:name="_Toc36681153"/>
      <w:r>
        <w:rPr>
          <w:rFonts w:hint="eastAsia" w:ascii="宋体" w:hAnsi="宋体" w:cs="仿宋_GB2312"/>
          <w:bCs/>
          <w:color w:val="000000"/>
          <w:sz w:val="24"/>
        </w:rPr>
        <w:t>部门共享数据</w:t>
      </w:r>
      <w:bookmarkEnd w:id="12"/>
      <w:bookmarkEnd w:id="13"/>
      <w:bookmarkEnd w:id="14"/>
      <w:r>
        <w:rPr>
          <w:rFonts w:hint="eastAsia" w:ascii="宋体" w:hAnsi="宋体" w:cs="仿宋_GB2312"/>
          <w:bCs/>
          <w:color w:val="000000"/>
          <w:sz w:val="24"/>
        </w:rPr>
        <w:t>：针对特色部门及街道进行梳理相关数据，主要包括日常业务、特色应用、公共服务、服务治理等方面数据。</w:t>
      </w:r>
    </w:p>
    <w:p>
      <w:pPr>
        <w:spacing w:line="560" w:lineRule="exact"/>
        <w:ind w:firstLine="480" w:firstLineChars="200"/>
        <w:rPr>
          <w:rFonts w:ascii="宋体" w:hAnsi="宋体" w:cs="仿宋_GB2312"/>
          <w:bCs/>
          <w:color w:val="000000"/>
          <w:sz w:val="24"/>
        </w:rPr>
      </w:pPr>
      <w:bookmarkStart w:id="15" w:name="_Toc36681154"/>
      <w:bookmarkStart w:id="16" w:name="_Toc7428"/>
      <w:bookmarkStart w:id="17" w:name="_Toc8326"/>
      <w:r>
        <w:rPr>
          <w:rFonts w:hint="eastAsia" w:ascii="宋体" w:hAnsi="宋体" w:cs="仿宋_GB2312"/>
          <w:bCs/>
          <w:color w:val="000000"/>
          <w:sz w:val="24"/>
        </w:rPr>
        <w:t>自有数据</w:t>
      </w:r>
      <w:bookmarkEnd w:id="15"/>
      <w:bookmarkEnd w:id="16"/>
      <w:bookmarkEnd w:id="17"/>
      <w:r>
        <w:rPr>
          <w:rFonts w:hint="eastAsia" w:ascii="宋体" w:hAnsi="宋体" w:cs="仿宋_GB2312"/>
          <w:bCs/>
          <w:color w:val="000000"/>
          <w:sz w:val="24"/>
        </w:rPr>
        <w:t>：梳理区数据交换与共享平台已汇聚的数据。主要包括省、市、区交换共享的数据以及根据单位实际工作需求需梳理的数据。</w:t>
      </w:r>
    </w:p>
    <w:p>
      <w:pPr>
        <w:spacing w:line="560" w:lineRule="exact"/>
        <w:ind w:firstLine="480" w:firstLineChars="200"/>
        <w:rPr>
          <w:rFonts w:ascii="宋体" w:hAnsi="宋体" w:cs="仿宋_GB2312"/>
          <w:bCs/>
          <w:color w:val="000000"/>
          <w:sz w:val="24"/>
        </w:rPr>
      </w:pPr>
      <w:bookmarkStart w:id="18" w:name="_Toc36681155"/>
      <w:r>
        <w:rPr>
          <w:rFonts w:hint="eastAsia" w:ascii="宋体" w:hAnsi="宋体" w:cs="仿宋_GB2312"/>
          <w:bCs/>
          <w:color w:val="000000"/>
          <w:sz w:val="24"/>
        </w:rPr>
        <w:t>2.数据采集</w:t>
      </w:r>
      <w:bookmarkEnd w:id="18"/>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围绕政治、经济、文化、社会、生态五大领域对全区2020年各级各部门及街道数据进行采集，不限于智能治理体系、智慧**、智慧司法、智慧交通、智慧城管、智慧住建、智慧民生保障、工业智能服务、智慧农业服务、市场监管智能化、自然生态灾害防范智能化、智慧文旅、智慧党务、智慧群团等方面数据采集。</w:t>
      </w:r>
    </w:p>
    <w:p>
      <w:pPr>
        <w:spacing w:line="360" w:lineRule="auto"/>
        <w:ind w:firstLine="482" w:firstLineChars="200"/>
        <w:outlineLvl w:val="1"/>
        <w:rPr>
          <w:rFonts w:ascii="宋体" w:hAnsi="宋体" w:cs="仿宋_GB2312"/>
          <w:b/>
          <w:sz w:val="24"/>
        </w:rPr>
      </w:pPr>
      <w:r>
        <w:rPr>
          <w:rFonts w:hint="eastAsia" w:ascii="宋体" w:hAnsi="宋体" w:cs="仿宋_GB2312"/>
          <w:b/>
          <w:sz w:val="24"/>
        </w:rPr>
        <w:t>（二）展示系统指标项梳理</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根据杭州“城市大脑”展示和发布规范，围绕“政治、经济、文化、社会、生态”五个根目录，从各部门、镇（街道）各特色应用和相关专题数据中提取核心指标和数据，作为数据驾驶舱展示的数项，按照可视化的规范要求，进行最终展示。</w:t>
      </w:r>
    </w:p>
    <w:p>
      <w:pPr>
        <w:spacing w:line="360" w:lineRule="auto"/>
        <w:ind w:firstLine="482" w:firstLineChars="200"/>
        <w:outlineLvl w:val="1"/>
        <w:rPr>
          <w:rFonts w:ascii="宋体" w:hAnsi="宋体" w:cs="仿宋_GB2312"/>
          <w:b/>
          <w:sz w:val="24"/>
        </w:rPr>
      </w:pPr>
      <w:r>
        <w:rPr>
          <w:rFonts w:hint="eastAsia" w:ascii="宋体" w:hAnsi="宋体" w:cs="仿宋_GB2312"/>
          <w:b/>
          <w:sz w:val="24"/>
        </w:rPr>
        <w:t>（三）展示系统开发</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根据杭州“城市大脑”接入规范和要求，根据指标和数据，对接相关系统数据，通过实时滚动的数据能反映本区域政治、经济、文化、社会和生态的基本概况，实现数据驾驶舱展示数据的可视化展现，并能为决策提供支撑。</w:t>
      </w:r>
    </w:p>
    <w:p>
      <w:pPr>
        <w:spacing w:line="360" w:lineRule="auto"/>
        <w:ind w:firstLine="482" w:firstLineChars="200"/>
        <w:outlineLvl w:val="1"/>
        <w:rPr>
          <w:rFonts w:ascii="宋体" w:hAnsi="宋体" w:cs="仿宋_GB2312"/>
          <w:b/>
          <w:sz w:val="24"/>
        </w:rPr>
      </w:pPr>
      <w:r>
        <w:rPr>
          <w:rFonts w:hint="eastAsia" w:ascii="宋体" w:hAnsi="宋体" w:cs="仿宋_GB2312"/>
          <w:b/>
          <w:sz w:val="24"/>
        </w:rPr>
        <w:t>（四）权限管理</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基于现有用户体系，实现对各类驾驶舱数据权限管控和展示系统管控。</w:t>
      </w:r>
    </w:p>
    <w:p>
      <w:pPr>
        <w:numPr>
          <w:ilvl w:val="0"/>
          <w:numId w:val="3"/>
        </w:numPr>
        <w:spacing w:line="360" w:lineRule="auto"/>
        <w:ind w:firstLine="482" w:firstLineChars="200"/>
        <w:outlineLvl w:val="1"/>
        <w:rPr>
          <w:rFonts w:ascii="宋体" w:hAnsi="宋体" w:cs="仿宋_GB2312"/>
          <w:b/>
          <w:sz w:val="24"/>
        </w:rPr>
      </w:pPr>
      <w:r>
        <w:rPr>
          <w:rFonts w:hint="eastAsia" w:ascii="宋体" w:hAnsi="宋体" w:cs="仿宋_GB2312"/>
          <w:b/>
          <w:sz w:val="24"/>
        </w:rPr>
        <w:t>驻场服务</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 xml:space="preserve"> 自项目合同终验起，提供3年/人驻场服务。驻场人员要求：</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必须提供7×24电话服务热线和其他必要的联系方式，提供现场服务。若系统发生故障，现在场人员在1小时内无法修复时，需指派专人在1小时内抵达现场，4小时之内修复。</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驻场工程师要求身体健康，工作勤勉、踏实、细心、负责。驻场工程师须与业主单位签订保密协议，在业主单位上班，工作期间不得从事其它活动；下班或节假日时间若有工作计划的，须服从业主单位安排。合同期内在未得到业主单位允许前不得随意变更人员，确需变更须经业主单位同意。</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所有进场服务人员服从业主单位的领导和管理，包括制定工作制度、监督工作制度的执行质量、分配和调整工作资源等。</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对驻点工作人员管理并作如下要求：</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服从业主单位的统一安排；</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严格遵守机关的作息时间，工作期间不得从事其它活动；</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严格遵守机关的规章制度和保密制度；</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公司安排的休假应获得用户方批准后方可进行，休假期间服务公司需补充相关能力的人员；</w:t>
      </w:r>
    </w:p>
    <w:p>
      <w:pPr>
        <w:spacing w:line="560" w:lineRule="exact"/>
        <w:ind w:firstLine="480" w:firstLineChars="200"/>
        <w:rPr>
          <w:rFonts w:ascii="宋体" w:hAnsi="宋体" w:cs="仿宋_GB2312"/>
          <w:bCs/>
          <w:color w:val="000000"/>
          <w:sz w:val="24"/>
        </w:rPr>
      </w:pPr>
      <w:r>
        <w:rPr>
          <w:rFonts w:ascii="宋体" w:hAnsi="宋体" w:cs="仿宋_GB2312"/>
          <w:bCs/>
          <w:color w:val="000000"/>
          <w:sz w:val="24"/>
        </w:rPr>
        <w:t>★提供驻场工程师劳动合同及近三个月社保。</w:t>
      </w:r>
    </w:p>
    <w:p>
      <w:pPr>
        <w:spacing w:line="360" w:lineRule="auto"/>
        <w:ind w:firstLine="480" w:firstLineChars="200"/>
        <w:rPr>
          <w:rFonts w:ascii="宋体" w:hAnsi="宋体" w:cs="仿宋_GB2312"/>
          <w:sz w:val="24"/>
        </w:rPr>
      </w:pPr>
      <w:r>
        <w:rPr>
          <w:rFonts w:hint="eastAsia" w:ascii="宋体" w:hAnsi="宋体" w:cs="仿宋"/>
          <w:bCs/>
          <w:kern w:val="0"/>
          <w:sz w:val="24"/>
        </w:rPr>
        <w:t>注：投标人必须对采购人的需求及各项指标要求有明确的响应，针对采购要求如实描述是否偏离，否则认定为无效标。</w:t>
      </w:r>
      <w:r>
        <w:rPr>
          <w:rFonts w:hint="eastAsia" w:ascii="宋体" w:hAnsi="宋体" w:cs="仿宋"/>
          <w:b/>
          <w:bCs/>
          <w:kern w:val="0"/>
          <w:sz w:val="24"/>
        </w:rPr>
        <w:t>上述所有技术指标均为采购单位提出基本要求，如出现负偏差，将可能被评标委员会技术扣分直至认定为投标无效。</w:t>
      </w:r>
    </w:p>
    <w:p>
      <w:pPr>
        <w:outlineLvl w:val="0"/>
        <w:rPr>
          <w:rFonts w:ascii="宋体" w:hAnsi="宋体" w:cs="黑体"/>
          <w:bCs/>
          <w:sz w:val="24"/>
        </w:rPr>
      </w:pPr>
      <w:r>
        <w:rPr>
          <w:rFonts w:hint="eastAsia" w:ascii="宋体" w:hAnsi="宋体" w:cs="黑体"/>
          <w:bCs/>
          <w:sz w:val="24"/>
        </w:rPr>
        <w:t>四、实施要求</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总工期为</w:t>
      </w:r>
      <w:r>
        <w:rPr>
          <w:rFonts w:ascii="宋体" w:hAnsi="宋体" w:cs="仿宋_GB2312"/>
          <w:bCs/>
          <w:color w:val="000000"/>
          <w:sz w:val="24"/>
        </w:rPr>
        <w:t>5</w:t>
      </w:r>
      <w:r>
        <w:rPr>
          <w:rFonts w:hint="eastAsia" w:ascii="宋体" w:hAnsi="宋体" w:cs="仿宋_GB2312"/>
          <w:bCs/>
          <w:color w:val="000000"/>
          <w:sz w:val="24"/>
        </w:rPr>
        <w:t>个月，其中建设工期为2个月，试运行</w:t>
      </w:r>
      <w:r>
        <w:rPr>
          <w:rFonts w:ascii="宋体" w:hAnsi="宋体" w:cs="仿宋_GB2312"/>
          <w:bCs/>
          <w:color w:val="000000"/>
          <w:sz w:val="24"/>
        </w:rPr>
        <w:t>3</w:t>
      </w:r>
      <w:r>
        <w:rPr>
          <w:rFonts w:hint="eastAsia" w:ascii="宋体" w:hAnsi="宋体" w:cs="仿宋_GB2312"/>
          <w:bCs/>
          <w:color w:val="000000"/>
          <w:sz w:val="24"/>
        </w:rPr>
        <w:t>个月。</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详细实施进度要求如下：</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1.合同签订后10天内进一步优化需求分析、概要设计、详细设计，并细化系统建设计划、目标任务书和测试验收方案，向采购人提供上述文档并需经采购人审查通过；</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2.合同签订后2个月内完成项目的全部系统建设并通过初步验收，进入试运行；</w:t>
      </w:r>
    </w:p>
    <w:p>
      <w:pPr>
        <w:spacing w:line="560" w:lineRule="exact"/>
        <w:ind w:firstLine="480" w:firstLineChars="200"/>
        <w:rPr>
          <w:rFonts w:ascii="宋体" w:hAnsi="宋体"/>
          <w:sz w:val="24"/>
        </w:rPr>
      </w:pPr>
      <w:r>
        <w:rPr>
          <w:rFonts w:hint="eastAsia" w:ascii="宋体" w:hAnsi="宋体" w:cs="仿宋_GB2312"/>
          <w:bCs/>
          <w:color w:val="000000"/>
          <w:sz w:val="24"/>
        </w:rPr>
        <w:t>3.试运行</w:t>
      </w:r>
      <w:r>
        <w:rPr>
          <w:rFonts w:ascii="宋体" w:hAnsi="宋体" w:cs="仿宋_GB2312"/>
          <w:bCs/>
          <w:color w:val="000000"/>
          <w:sz w:val="24"/>
        </w:rPr>
        <w:t>3</w:t>
      </w:r>
      <w:r>
        <w:rPr>
          <w:rFonts w:hint="eastAsia" w:ascii="宋体" w:hAnsi="宋体" w:cs="仿宋_GB2312"/>
          <w:bCs/>
          <w:color w:val="000000"/>
          <w:sz w:val="24"/>
        </w:rPr>
        <w:t>个月，完成培训及相关的修改，建立完善的系统运维体系，经验收合格，正式交付使用，进入维护期。</w:t>
      </w:r>
    </w:p>
    <w:p>
      <w:pPr>
        <w:outlineLvl w:val="0"/>
        <w:rPr>
          <w:rFonts w:ascii="宋体" w:hAnsi="宋体" w:cs="黑体"/>
          <w:bCs/>
          <w:sz w:val="24"/>
        </w:rPr>
      </w:pPr>
      <w:r>
        <w:rPr>
          <w:rFonts w:hint="eastAsia" w:ascii="宋体" w:hAnsi="宋体" w:cs="黑体"/>
          <w:bCs/>
          <w:sz w:val="24"/>
        </w:rPr>
        <w:t>五、质量要求</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1.应标人须保证所提供产品符合国家有关规定。应标人须保证所提供产品具有合法的版权或使用权，本项目采购的产品，如在本项目范围内使用过程中出现版权或使用权纠纷，应由中标人负责，采购人不承担责任。</w:t>
      </w:r>
    </w:p>
    <w:p>
      <w:pPr>
        <w:spacing w:line="560" w:lineRule="exact"/>
        <w:ind w:firstLine="480" w:firstLineChars="200"/>
        <w:rPr>
          <w:rFonts w:ascii="宋体" w:hAnsi="宋体" w:cs="仿宋"/>
          <w:b/>
          <w:sz w:val="24"/>
        </w:rPr>
      </w:pPr>
      <w:r>
        <w:rPr>
          <w:rFonts w:hint="eastAsia" w:ascii="宋体" w:hAnsi="宋体" w:cs="仿宋_GB2312"/>
          <w:bCs/>
          <w:color w:val="000000"/>
          <w:sz w:val="24"/>
        </w:rPr>
        <w:t>2.应标人必须保证解决项目所涉及的技术问题，如因技术原因无法满足用户需求，由此产生的风险由应标方承担。</w:t>
      </w:r>
    </w:p>
    <w:p>
      <w:pPr>
        <w:outlineLvl w:val="0"/>
        <w:rPr>
          <w:rFonts w:ascii="宋体" w:hAnsi="宋体" w:cs="黑体"/>
          <w:bCs/>
          <w:sz w:val="24"/>
        </w:rPr>
      </w:pPr>
      <w:r>
        <w:rPr>
          <w:rFonts w:hint="eastAsia" w:ascii="宋体" w:hAnsi="宋体" w:cs="黑体"/>
          <w:bCs/>
          <w:sz w:val="24"/>
        </w:rPr>
        <w:t>六、项目的工作内容及成果</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文档的提交应覆盖以下内容，电子文档是成果不可分割的部分。要求如下文档：</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1.项目实施前：需求分析报告；技术方案、设计说明书；项目实施计划；</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2.项目实施期间：需求规格说明书、数据库设计说明书、详细设计说明书、项目实施工作单、故障诊断及排除记录、项目实施过程中衍生的其它相关资料；</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3.项目实施后：系统试运行和自测报告、故障诊断与排除手册、工作总结报告；</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4.培训期间：培训计划、用户使用手册、管理员使用手册、安装部署手册、运维手册；</w:t>
      </w:r>
    </w:p>
    <w:p>
      <w:pPr>
        <w:spacing w:line="560" w:lineRule="exact"/>
        <w:ind w:firstLine="480" w:firstLineChars="200"/>
        <w:rPr>
          <w:rFonts w:ascii="宋体" w:hAnsi="宋体" w:cs="仿宋_GB2312"/>
          <w:bCs/>
          <w:color w:val="000000"/>
          <w:sz w:val="24"/>
        </w:rPr>
      </w:pPr>
      <w:r>
        <w:rPr>
          <w:rFonts w:hint="eastAsia" w:ascii="宋体" w:hAnsi="宋体" w:cs="仿宋_GB2312"/>
          <w:bCs/>
          <w:color w:val="000000"/>
          <w:sz w:val="24"/>
        </w:rPr>
        <w:t>5.其他需要提交的材料。</w:t>
      </w:r>
    </w:p>
    <w:p>
      <w:pPr>
        <w:rPr>
          <w:rFonts w:ascii="宋体" w:hAnsi="宋体"/>
          <w:sz w:val="24"/>
        </w:rPr>
      </w:pPr>
    </w:p>
    <w:p>
      <w:pPr>
        <w:snapToGrid w:val="0"/>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jc w:val="center"/>
        <w:rPr>
          <w:rFonts w:ascii="宋体" w:hAnsi="宋体"/>
          <w:b/>
          <w:sz w:val="32"/>
          <w:szCs w:val="32"/>
        </w:rPr>
      </w:pPr>
      <w:r>
        <w:rPr>
          <w:rFonts w:hint="eastAsia" w:ascii="宋体" w:hAnsi="宋体"/>
          <w:b/>
          <w:sz w:val="32"/>
          <w:szCs w:val="32"/>
        </w:rPr>
        <w:t xml:space="preserve"> 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8"/>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2"/>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2"/>
        <w:overflowPunct w:val="0"/>
        <w:spacing w:line="460" w:lineRule="exact"/>
        <w:ind w:firstLine="513" w:firstLineChars="214"/>
        <w:rPr>
          <w:rFonts w:ascii="宋体" w:hAnsi="宋体"/>
          <w:sz w:val="24"/>
          <w:szCs w:val="24"/>
          <w:u w:val="single"/>
        </w:rPr>
      </w:pP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2"/>
        <w:overflowPunct w:val="0"/>
        <w:spacing w:line="460" w:lineRule="exact"/>
        <w:ind w:firstLine="513" w:firstLineChars="214"/>
        <w:rPr>
          <w:rFonts w:ascii="宋体" w:hAnsi="宋体"/>
          <w:sz w:val="24"/>
          <w:szCs w:val="24"/>
        </w:rPr>
      </w:pP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2"/>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2"/>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2"/>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2"/>
        <w:overflowPunct w:val="0"/>
        <w:spacing w:line="460" w:lineRule="exact"/>
        <w:ind w:firstLine="600"/>
        <w:rPr>
          <w:rFonts w:ascii="宋体" w:hAnsi="宋体"/>
          <w:sz w:val="28"/>
          <w:szCs w:val="28"/>
        </w:rPr>
      </w:pPr>
    </w:p>
    <w:p>
      <w:pPr>
        <w:pStyle w:val="2"/>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2"/>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授权人（签名）：</w:t>
      </w:r>
    </w:p>
    <w:p>
      <w:pPr>
        <w:pStyle w:val="2"/>
        <w:overflowPunct w:val="0"/>
        <w:spacing w:line="460" w:lineRule="exact"/>
        <w:ind w:firstLine="600"/>
        <w:rPr>
          <w:rFonts w:ascii="宋体" w:hAnsi="宋体"/>
          <w:sz w:val="24"/>
          <w:szCs w:val="24"/>
        </w:rPr>
      </w:pPr>
    </w:p>
    <w:p>
      <w:pPr>
        <w:pStyle w:val="2"/>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2"/>
        <w:overflowPunct w:val="0"/>
        <w:spacing w:line="460" w:lineRule="exact"/>
        <w:ind w:firstLine="600"/>
        <w:rPr>
          <w:rFonts w:ascii="宋体" w:hAnsi="宋体"/>
          <w:sz w:val="24"/>
          <w:szCs w:val="24"/>
        </w:rPr>
      </w:pPr>
    </w:p>
    <w:p>
      <w:pPr>
        <w:pStyle w:val="2"/>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2"/>
        <w:overflowPunct w:val="0"/>
        <w:spacing w:line="460" w:lineRule="exact"/>
        <w:ind w:firstLine="456" w:firstLineChars="190"/>
        <w:rPr>
          <w:rFonts w:ascii="宋体" w:hAnsi="宋体"/>
          <w:sz w:val="24"/>
          <w:szCs w:val="24"/>
        </w:rPr>
      </w:pPr>
    </w:p>
    <w:p>
      <w:pPr>
        <w:pStyle w:val="2"/>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rPr>
                <w:rFonts w:ascii="宋体" w:hAnsi="宋体"/>
                <w:sz w:val="24"/>
                <w:szCs w:val="24"/>
              </w:rPr>
            </w:pPr>
            <w:r>
              <w:rPr>
                <w:rFonts w:hint="eastAsia" w:ascii="宋体" w:hAnsi="宋体"/>
                <w:sz w:val="24"/>
                <w:szCs w:val="24"/>
              </w:rPr>
              <w:t>联合体甲方单位：   （公章）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3"/>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3"/>
        <w:snapToGrid w:val="0"/>
        <w:rPr>
          <w:rFonts w:ascii="宋体" w:hAnsi="宋体" w:eastAsia="宋体"/>
          <w:sz w:val="24"/>
          <w:szCs w:val="24"/>
        </w:rPr>
      </w:pPr>
      <w:r>
        <w:rPr>
          <w:rFonts w:hint="eastAsia" w:ascii="宋体" w:hAnsi="宋体" w:eastAsia="宋体"/>
          <w:sz w:val="24"/>
          <w:szCs w:val="24"/>
        </w:rPr>
        <w:t>货物类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bl>
    <w:p>
      <w:pPr>
        <w:pStyle w:val="4"/>
        <w:rPr>
          <w:rFonts w:ascii="宋体" w:hAnsi="宋体"/>
          <w:sz w:val="24"/>
        </w:rPr>
      </w:pPr>
    </w:p>
    <w:p>
      <w:pPr>
        <w:pStyle w:val="4"/>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8"/>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3"/>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9"/>
        <w:snapToGrid w:val="0"/>
        <w:spacing w:line="360" w:lineRule="auto"/>
        <w:ind w:left="5250"/>
        <w:rPr>
          <w:rFonts w:ascii="宋体" w:hAnsi="宋体" w:eastAsia="宋体"/>
          <w:sz w:val="28"/>
          <w:szCs w:val="28"/>
        </w:rPr>
      </w:pPr>
    </w:p>
    <w:p>
      <w:pPr>
        <w:pStyle w:val="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9"/>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2"/>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3"/>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3"/>
        <w:spacing w:before="0" w:beforeAutospacing="0" w:after="0" w:afterAutospacing="0" w:line="560" w:lineRule="exact"/>
        <w:ind w:right="685"/>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9" w:name="OLE_LINK14"/>
      <w:bookmarkStart w:id="20" w:name="OLE_LINK13"/>
      <w:r>
        <w:rPr>
          <w:rFonts w:hint="eastAsia" w:ascii="宋体" w:hAnsi="宋体"/>
          <w:b/>
          <w:spacing w:val="6"/>
          <w:sz w:val="28"/>
          <w:szCs w:val="28"/>
        </w:rPr>
        <w:t>残疾人福利性单位声明函</w:t>
      </w:r>
    </w:p>
    <w:bookmarkEnd w:id="19"/>
    <w:bookmarkEnd w:id="20"/>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17</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7F54"/>
    <w:multiLevelType w:val="singleLevel"/>
    <w:tmpl w:val="0E327F54"/>
    <w:lvl w:ilvl="0" w:tentative="0">
      <w:start w:val="5"/>
      <w:numFmt w:val="chineseCounting"/>
      <w:suff w:val="nothing"/>
      <w:lvlText w:val="（%1）"/>
      <w:lvlJc w:val="left"/>
      <w:rPr>
        <w:rFonts w:hint="eastAsia"/>
      </w:rPr>
    </w:lvl>
  </w:abstractNum>
  <w:abstractNum w:abstractNumId="1">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2">
    <w:nsid w:val="5B343134"/>
    <w:multiLevelType w:val="multilevel"/>
    <w:tmpl w:val="5B343134"/>
    <w:lvl w:ilvl="0" w:tentative="0">
      <w:start w:val="1"/>
      <w:numFmt w:val="decimal"/>
      <w:lvlText w:val="%1"/>
      <w:lvlJc w:val="left"/>
      <w:pPr>
        <w:ind w:left="384" w:hanging="420"/>
      </w:pPr>
      <w:rPr>
        <w:rFonts w:hint="eastAsia"/>
      </w:rPr>
    </w:lvl>
    <w:lvl w:ilvl="1" w:tentative="0">
      <w:start w:val="1"/>
      <w:numFmt w:val="lowerLetter"/>
      <w:lvlText w:val="%2)"/>
      <w:lvlJc w:val="left"/>
      <w:pPr>
        <w:ind w:left="804" w:hanging="420"/>
      </w:pPr>
    </w:lvl>
    <w:lvl w:ilvl="2" w:tentative="0">
      <w:start w:val="1"/>
      <w:numFmt w:val="lowerRoman"/>
      <w:lvlText w:val="%3."/>
      <w:lvlJc w:val="right"/>
      <w:pPr>
        <w:ind w:left="1224" w:hanging="420"/>
      </w:pPr>
    </w:lvl>
    <w:lvl w:ilvl="3" w:tentative="0">
      <w:start w:val="1"/>
      <w:numFmt w:val="decimal"/>
      <w:lvlText w:val="%4."/>
      <w:lvlJc w:val="left"/>
      <w:pPr>
        <w:ind w:left="1644" w:hanging="420"/>
      </w:pPr>
    </w:lvl>
    <w:lvl w:ilvl="4" w:tentative="0">
      <w:start w:val="1"/>
      <w:numFmt w:val="lowerLetter"/>
      <w:lvlText w:val="%5)"/>
      <w:lvlJc w:val="left"/>
      <w:pPr>
        <w:ind w:left="2064" w:hanging="420"/>
      </w:pPr>
    </w:lvl>
    <w:lvl w:ilvl="5" w:tentative="0">
      <w:start w:val="1"/>
      <w:numFmt w:val="lowerRoman"/>
      <w:lvlText w:val="%6."/>
      <w:lvlJc w:val="right"/>
      <w:pPr>
        <w:ind w:left="2484" w:hanging="420"/>
      </w:pPr>
    </w:lvl>
    <w:lvl w:ilvl="6" w:tentative="0">
      <w:start w:val="1"/>
      <w:numFmt w:val="decimal"/>
      <w:lvlText w:val="%7."/>
      <w:lvlJc w:val="left"/>
      <w:pPr>
        <w:ind w:left="2904" w:hanging="420"/>
      </w:pPr>
    </w:lvl>
    <w:lvl w:ilvl="7" w:tentative="0">
      <w:start w:val="1"/>
      <w:numFmt w:val="lowerLetter"/>
      <w:lvlText w:val="%8)"/>
      <w:lvlJc w:val="left"/>
      <w:pPr>
        <w:ind w:left="3324" w:hanging="420"/>
      </w:pPr>
    </w:lvl>
    <w:lvl w:ilvl="8" w:tentative="0">
      <w:start w:val="1"/>
      <w:numFmt w:val="lowerRoman"/>
      <w:lvlText w:val="%9."/>
      <w:lvlJc w:val="right"/>
      <w:pPr>
        <w:ind w:left="37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2D3F66"/>
    <w:rsid w:val="00057BB5"/>
    <w:rsid w:val="00071642"/>
    <w:rsid w:val="00095D27"/>
    <w:rsid w:val="0009626C"/>
    <w:rsid w:val="000A2095"/>
    <w:rsid w:val="000D5237"/>
    <w:rsid w:val="00100AA4"/>
    <w:rsid w:val="00101134"/>
    <w:rsid w:val="00144631"/>
    <w:rsid w:val="001A2FAF"/>
    <w:rsid w:val="001B0ED2"/>
    <w:rsid w:val="001D4F31"/>
    <w:rsid w:val="001E22C5"/>
    <w:rsid w:val="00205A57"/>
    <w:rsid w:val="00261A8A"/>
    <w:rsid w:val="002732BF"/>
    <w:rsid w:val="00282C23"/>
    <w:rsid w:val="002C18DE"/>
    <w:rsid w:val="002D5694"/>
    <w:rsid w:val="002E1274"/>
    <w:rsid w:val="00342A13"/>
    <w:rsid w:val="00396EB2"/>
    <w:rsid w:val="003C2679"/>
    <w:rsid w:val="00403F17"/>
    <w:rsid w:val="004B08C6"/>
    <w:rsid w:val="004B2144"/>
    <w:rsid w:val="004B311B"/>
    <w:rsid w:val="004F3CCC"/>
    <w:rsid w:val="004F4DB7"/>
    <w:rsid w:val="005940C2"/>
    <w:rsid w:val="00650C67"/>
    <w:rsid w:val="006E7C1D"/>
    <w:rsid w:val="006F3FB2"/>
    <w:rsid w:val="00712708"/>
    <w:rsid w:val="007214A8"/>
    <w:rsid w:val="00742F84"/>
    <w:rsid w:val="007705E2"/>
    <w:rsid w:val="00836CD6"/>
    <w:rsid w:val="0084190F"/>
    <w:rsid w:val="00843BF9"/>
    <w:rsid w:val="008D587D"/>
    <w:rsid w:val="008E4E48"/>
    <w:rsid w:val="00977327"/>
    <w:rsid w:val="0098022B"/>
    <w:rsid w:val="00995160"/>
    <w:rsid w:val="009E1492"/>
    <w:rsid w:val="00AC1053"/>
    <w:rsid w:val="00AE4032"/>
    <w:rsid w:val="00B01BC4"/>
    <w:rsid w:val="00B12088"/>
    <w:rsid w:val="00B5118C"/>
    <w:rsid w:val="00B67163"/>
    <w:rsid w:val="00B800EE"/>
    <w:rsid w:val="00B920E4"/>
    <w:rsid w:val="00BD5956"/>
    <w:rsid w:val="00C532AB"/>
    <w:rsid w:val="00CB1069"/>
    <w:rsid w:val="00CD1213"/>
    <w:rsid w:val="00D0652F"/>
    <w:rsid w:val="00D6498D"/>
    <w:rsid w:val="00D94F81"/>
    <w:rsid w:val="00DC0356"/>
    <w:rsid w:val="00DC230C"/>
    <w:rsid w:val="00DD2F82"/>
    <w:rsid w:val="00E07222"/>
    <w:rsid w:val="00E46746"/>
    <w:rsid w:val="00E54522"/>
    <w:rsid w:val="00E64C55"/>
    <w:rsid w:val="00E66AC2"/>
    <w:rsid w:val="00EA30EF"/>
    <w:rsid w:val="00ED36E8"/>
    <w:rsid w:val="00F138F0"/>
    <w:rsid w:val="00F729E5"/>
    <w:rsid w:val="00F757E8"/>
    <w:rsid w:val="046C625E"/>
    <w:rsid w:val="05E6199D"/>
    <w:rsid w:val="0FAF539C"/>
    <w:rsid w:val="15135482"/>
    <w:rsid w:val="18A67262"/>
    <w:rsid w:val="1CEE55B7"/>
    <w:rsid w:val="24BE3070"/>
    <w:rsid w:val="257D31A8"/>
    <w:rsid w:val="262A122F"/>
    <w:rsid w:val="267127AF"/>
    <w:rsid w:val="2C2F6FD6"/>
    <w:rsid w:val="2CC12E8A"/>
    <w:rsid w:val="2D305A4B"/>
    <w:rsid w:val="31817D45"/>
    <w:rsid w:val="33B21B08"/>
    <w:rsid w:val="346A7B6F"/>
    <w:rsid w:val="36636DF0"/>
    <w:rsid w:val="3B502DB3"/>
    <w:rsid w:val="437F1D7A"/>
    <w:rsid w:val="47FC2424"/>
    <w:rsid w:val="5211176C"/>
    <w:rsid w:val="52904C57"/>
    <w:rsid w:val="58664EFF"/>
    <w:rsid w:val="5B3D7B75"/>
    <w:rsid w:val="5F4D5AA8"/>
    <w:rsid w:val="5F6C478A"/>
    <w:rsid w:val="6F580878"/>
    <w:rsid w:val="73706085"/>
    <w:rsid w:val="752D3F66"/>
    <w:rsid w:val="75DA2C3F"/>
    <w:rsid w:val="79D1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1"/>
    <w:qFormat/>
    <w:uiPriority w:val="0"/>
    <w:pPr>
      <w:ind w:firstLine="420"/>
    </w:pPr>
    <w:rPr>
      <w:szCs w:val="20"/>
    </w:r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Body Text 3"/>
    <w:basedOn w:val="1"/>
    <w:qFormat/>
    <w:uiPriority w:val="0"/>
    <w:pPr>
      <w:snapToGrid w:val="0"/>
      <w:spacing w:before="50" w:after="50"/>
    </w:pPr>
  </w:style>
  <w:style w:type="paragraph" w:styleId="5">
    <w:name w:val="Body Text"/>
    <w:basedOn w:val="1"/>
    <w:next w:val="6"/>
    <w:link w:val="20"/>
    <w:qFormat/>
    <w:uiPriority w:val="0"/>
    <w:pPr>
      <w:spacing w:after="120"/>
    </w:pPr>
  </w:style>
  <w:style w:type="paragraph" w:styleId="6">
    <w:name w:val="Body Text First Indent"/>
    <w:basedOn w:val="5"/>
    <w:link w:val="22"/>
    <w:qFormat/>
    <w:uiPriority w:val="0"/>
    <w:pPr>
      <w:ind w:firstLine="420" w:firstLineChars="10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Date"/>
    <w:basedOn w:val="1"/>
    <w:next w:val="1"/>
    <w:qFormat/>
    <w:uiPriority w:val="99"/>
    <w:pPr>
      <w:ind w:left="2500" w:leftChars="2500"/>
    </w:pPr>
    <w:rPr>
      <w:rFonts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Char Char Char"/>
    <w:basedOn w:val="1"/>
    <w:qFormat/>
    <w:uiPriority w:val="0"/>
  </w:style>
  <w:style w:type="paragraph" w:styleId="19">
    <w:name w:val="List Paragraph"/>
    <w:basedOn w:val="1"/>
    <w:qFormat/>
    <w:uiPriority w:val="34"/>
    <w:pPr>
      <w:ind w:firstLine="420" w:firstLineChars="200"/>
    </w:pPr>
  </w:style>
  <w:style w:type="character" w:customStyle="1" w:styleId="20">
    <w:name w:val="正文文本 Char"/>
    <w:basedOn w:val="15"/>
    <w:link w:val="5"/>
    <w:qFormat/>
    <w:uiPriority w:val="0"/>
    <w:rPr>
      <w:rFonts w:ascii="Times New Roman" w:hAnsi="Times New Roman" w:eastAsia="宋体" w:cs="Times New Roman"/>
      <w:kern w:val="2"/>
      <w:sz w:val="21"/>
      <w:szCs w:val="24"/>
    </w:rPr>
  </w:style>
  <w:style w:type="character" w:customStyle="1" w:styleId="21">
    <w:name w:val="正文缩进 Char"/>
    <w:basedOn w:val="15"/>
    <w:link w:val="2"/>
    <w:qFormat/>
    <w:uiPriority w:val="0"/>
    <w:rPr>
      <w:rFonts w:ascii="Times New Roman" w:hAnsi="Times New Roman" w:eastAsia="宋体" w:cs="Times New Roman"/>
      <w:kern w:val="2"/>
      <w:sz w:val="21"/>
    </w:rPr>
  </w:style>
  <w:style w:type="character" w:customStyle="1" w:styleId="22">
    <w:name w:val="正文首行缩进 Char"/>
    <w:basedOn w:val="20"/>
    <w:link w:val="6"/>
    <w:qFormat/>
    <w:uiPriority w:val="0"/>
  </w:style>
  <w:style w:type="paragraph" w:customStyle="1" w:styleId="23">
    <w:name w:val="List Paragraph1"/>
    <w:basedOn w:val="1"/>
    <w:qFormat/>
    <w:uiPriority w:val="0"/>
    <w:pPr>
      <w:spacing w:line="360" w:lineRule="auto"/>
      <w:ind w:firstLine="420" w:firstLineChars="200"/>
    </w:pPr>
    <w:rPr>
      <w:rFonts w:ascii="Arial" w:hAnsi="Arial" w:cs="Arial" w:eastAsiaTheme="minorEastAsia"/>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4298</Words>
  <Characters>24505</Characters>
  <Lines>204</Lines>
  <Paragraphs>57</Paragraphs>
  <TotalTime>21</TotalTime>
  <ScaleCrop>false</ScaleCrop>
  <LinksUpToDate>false</LinksUpToDate>
  <CharactersWithSpaces>28746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2020-05-11T04:46:00Z</dcterms:created>
  <dc:creator>CHENJUN</dc:creator>
  <cp:lastModifiedBy>CHENJUN</cp:lastModifiedBy>
  <cp:lastPrinted>2020-03-27T03:49:00Z</cp:lastPrinted>
  <dcterms:modified xsi:type="dcterms:W3CDTF">2020-05-11T08:19:52Z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