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b/>
          <w:spacing w:val="28"/>
          <w:sz w:val="36"/>
          <w:szCs w:val="36"/>
        </w:rPr>
      </w:pPr>
    </w:p>
    <w:p>
      <w:pPr>
        <w:ind w:left="2942" w:leftChars="350" w:right="-110" w:hanging="2207" w:hangingChars="500"/>
        <w:rPr>
          <w:rFonts w:ascii="宋体" w:hAnsi="宋体"/>
          <w:b/>
          <w:spacing w:val="40"/>
          <w:sz w:val="36"/>
          <w:szCs w:val="36"/>
        </w:rPr>
      </w:pPr>
      <w:r>
        <w:rPr>
          <w:rFonts w:hint="eastAsia" w:ascii="宋体" w:hAnsi="宋体"/>
          <w:b/>
          <w:spacing w:val="40"/>
          <w:sz w:val="36"/>
          <w:szCs w:val="36"/>
        </w:rPr>
        <w:t>杭州市临安区城市管理局道路户外广告</w:t>
      </w:r>
    </w:p>
    <w:p>
      <w:pPr>
        <w:ind w:left="1785" w:leftChars="850" w:right="-110" w:firstLine="221" w:firstLineChars="50"/>
        <w:rPr>
          <w:rFonts w:ascii="宋体" w:hAnsi="宋体"/>
          <w:b/>
          <w:spacing w:val="40"/>
          <w:sz w:val="36"/>
          <w:szCs w:val="36"/>
        </w:rPr>
      </w:pPr>
      <w:r>
        <w:rPr>
          <w:rFonts w:hint="eastAsia" w:ascii="宋体" w:hAnsi="宋体"/>
          <w:b/>
          <w:spacing w:val="40"/>
          <w:sz w:val="36"/>
          <w:szCs w:val="36"/>
        </w:rPr>
        <w:t>详细规划修编采购项目</w:t>
      </w:r>
    </w:p>
    <w:p>
      <w:pPr>
        <w:ind w:right="-110"/>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04021</w:t>
      </w:r>
      <w:r>
        <w:rPr>
          <w:rFonts w:hint="eastAsia" w:ascii="宋体" w:hAnsi="宋体"/>
          <w:sz w:val="30"/>
          <w:szCs w:val="30"/>
        </w:rPr>
        <w:t xml:space="preserve"> ）</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u w:val="single"/>
        </w:rPr>
      </w:pPr>
      <w:r>
        <w:rPr>
          <w:rFonts w:hint="eastAsia" w:ascii="宋体" w:hAnsi="宋体"/>
          <w:sz w:val="32"/>
          <w:szCs w:val="32"/>
        </w:rPr>
        <w:t>采购单位：杭州市临安区城市管理局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8"/>
        <w:rPr>
          <w:rFonts w:ascii="宋体" w:hAnsi="宋体"/>
          <w:sz w:val="24"/>
        </w:rPr>
      </w:pPr>
    </w:p>
    <w:p>
      <w:pPr>
        <w:pStyle w:val="8"/>
        <w:spacing w:before="156" w:after="156" w:line="360" w:lineRule="auto"/>
        <w:jc w:val="center"/>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jc w:val="center"/>
        <w:rPr>
          <w:rFonts w:hAnsi="宋体"/>
          <w:b/>
          <w:sz w:val="32"/>
          <w:szCs w:val="32"/>
        </w:rPr>
      </w:pPr>
      <w:r>
        <w:rPr>
          <w:rFonts w:hint="eastAsia" w:hAnsi="宋体"/>
          <w:b/>
          <w:sz w:val="32"/>
          <w:szCs w:val="32"/>
        </w:rPr>
        <w:t>目    录</w:t>
      </w:r>
    </w:p>
    <w:p>
      <w:pPr>
        <w:pStyle w:val="8"/>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8"/>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城市管理局的委托，杭州市公共资源交易中心临安分中心（以下简称“采购机构”），就以下杭州市临安区城市管理局道路户外广告详细规划修编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lang w:val="en-US" w:eastAsia="zh-CN"/>
        </w:rPr>
        <w:t>04021</w:t>
      </w:r>
      <w:r>
        <w:rPr>
          <w:rFonts w:hint="eastAsia" w:ascii="宋体" w:hAnsi="宋体"/>
          <w:sz w:val="24"/>
        </w:rPr>
        <w:t xml:space="preserve">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4"/>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2411"/>
        <w:gridCol w:w="2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41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4377"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杭州市临安区城市管理局道路户外广告详细规划修编采购项目</w:t>
            </w:r>
          </w:p>
        </w:tc>
        <w:tc>
          <w:tcPr>
            <w:tcW w:w="91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1项</w:t>
            </w:r>
          </w:p>
        </w:tc>
        <w:tc>
          <w:tcPr>
            <w:tcW w:w="2411" w:type="dxa"/>
            <w:tcBorders>
              <w:top w:val="single" w:color="auto" w:sz="4" w:space="0"/>
              <w:left w:val="single" w:color="auto" w:sz="4" w:space="0"/>
              <w:right w:val="single" w:color="auto" w:sz="4" w:space="0"/>
            </w:tcBorders>
          </w:tcPr>
          <w:p>
            <w:pPr>
              <w:snapToGrid w:val="0"/>
              <w:spacing w:line="360" w:lineRule="auto"/>
              <w:rPr>
                <w:rFonts w:hint="eastAsia" w:ascii="宋体" w:hAnsi="宋体" w:cs="Arial"/>
                <w:bCs/>
                <w:sz w:val="24"/>
              </w:rPr>
            </w:pPr>
          </w:p>
          <w:p>
            <w:pPr>
              <w:snapToGrid w:val="0"/>
              <w:spacing w:line="360" w:lineRule="auto"/>
              <w:rPr>
                <w:rFonts w:ascii="宋体" w:hAnsi="宋体" w:cs="Arial"/>
                <w:bCs/>
                <w:sz w:val="24"/>
              </w:rPr>
            </w:pPr>
            <w:r>
              <w:rPr>
                <w:rFonts w:hint="eastAsia" w:ascii="宋体" w:hAnsi="宋体" w:cs="Arial"/>
                <w:bCs/>
                <w:sz w:val="24"/>
              </w:rPr>
              <w:t>详见第四章采购需求</w:t>
            </w:r>
          </w:p>
        </w:tc>
        <w:tc>
          <w:tcPr>
            <w:tcW w:w="2099"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263.2万元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color w:val="FF0000"/>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3. 投标人具备建设行政主管颁发的城乡规划编制甲级资质</w:t>
      </w:r>
      <w:r>
        <w:rPr>
          <w:rFonts w:hint="eastAsia" w:ascii="宋体" w:hAnsi="宋体"/>
          <w:sz w:val="24"/>
          <w:lang w:eastAsia="zh-CN"/>
        </w:rPr>
        <w:t>；</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临安</w:t>
      </w:r>
      <w:r>
        <w:rPr>
          <w:rFonts w:hint="eastAsia" w:ascii="宋体" w:hAnsi="宋体"/>
          <w:color w:val="000000"/>
          <w:sz w:val="24"/>
        </w:rPr>
        <w:t>区</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"http://www.lajyzx.cn/" </w:instrText>
      </w:r>
      <w:r>
        <w:fldChar w:fldCharType="separate"/>
      </w:r>
      <w:r>
        <w:rPr>
          <w:rStyle w:val="17"/>
          <w:rFonts w:ascii="宋体" w:hAnsi="宋体"/>
          <w:sz w:val="24"/>
        </w:rPr>
        <w:t>http://www.lajyzx.cn/</w:t>
      </w:r>
      <w:r>
        <w:rPr>
          <w:rStyle w:val="17"/>
          <w:rFonts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7"/>
          <w:rFonts w:ascii="宋体" w:hAnsi="宋体"/>
          <w:sz w:val="24"/>
        </w:rPr>
        <w:t>http://www.linan.gov.cn/col/col1366369/</w:t>
      </w:r>
      <w:r>
        <w:rPr>
          <w:rStyle w:val="17"/>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8"/>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8"/>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8"/>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8"/>
        <w:adjustRightInd w:val="0"/>
        <w:snapToGrid w:val="0"/>
        <w:spacing w:before="156" w:after="156" w:line="360" w:lineRule="auto"/>
        <w:ind w:firstLine="484" w:firstLineChars="201"/>
        <w:rPr>
          <w:rFonts w:hAnsi="宋体" w:cs="Arial"/>
          <w:b/>
        </w:rPr>
      </w:pPr>
      <w:r>
        <w:rPr>
          <w:rFonts w:hint="eastAsia" w:hAnsi="宋体" w:cs="Arial"/>
          <w:b/>
        </w:rPr>
        <w:t>本项目于2020年4月</w:t>
      </w:r>
      <w:r>
        <w:rPr>
          <w:rFonts w:hint="eastAsia" w:hAnsi="宋体" w:cs="Arial"/>
          <w:b/>
          <w:lang w:val="en-US" w:eastAsia="zh-CN"/>
        </w:rPr>
        <w:t>22</w:t>
      </w:r>
      <w:r>
        <w:rPr>
          <w:rFonts w:hint="eastAsia" w:hAnsi="宋体" w:cs="Arial"/>
          <w:b/>
        </w:rPr>
        <w:t>日9:00投标截止。</w:t>
      </w:r>
    </w:p>
    <w:p>
      <w:pPr>
        <w:pStyle w:val="8"/>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 xml:space="preserve">采购单位联系人：周海燕             联系电话：0571-61076309 </w:t>
      </w: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2020年4月2日</w:t>
      </w:r>
    </w:p>
    <w:p>
      <w:pPr>
        <w:pStyle w:val="8"/>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beforeLines="0" w:afterLines="0"/>
              <w:ind w:firstLine="4" w:firstLineChars="2"/>
              <w:jc w:val="left"/>
              <w:rPr>
                <w:rFonts w:hAnsi="宋体"/>
                <w:color w:val="FF0000"/>
              </w:rPr>
            </w:pPr>
            <w:r>
              <w:rPr>
                <w:rFonts w:hint="eastAsia" w:hAnsi="宋体"/>
              </w:rPr>
              <w:t>项目名称：杭州市临安区城市管理局道路户外广告详细规划修编采购项目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 xml:space="preserve">投标截止时间：2020年4月 </w:t>
            </w:r>
            <w:r>
              <w:rPr>
                <w:rFonts w:hint="eastAsia" w:ascii="宋体" w:hAnsi="宋体"/>
                <w:sz w:val="24"/>
                <w:lang w:val="en-US" w:eastAsia="zh-CN"/>
              </w:rPr>
              <w:t>22</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开标时间、地点：2020年4月</w:t>
            </w:r>
            <w:r>
              <w:rPr>
                <w:rFonts w:hint="eastAsia" w:ascii="宋体" w:hAnsi="宋体"/>
                <w:sz w:val="24"/>
                <w:lang w:val="en-US" w:eastAsia="zh-CN"/>
              </w:rPr>
              <w:t>22</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adjustRightInd w:val="0"/>
              <w:spacing w:before="156" w:after="156"/>
              <w:rPr>
                <w:rFonts w:hAnsi="宋体"/>
              </w:rPr>
            </w:pPr>
            <w:r>
              <w:rPr>
                <w:rFonts w:hint="eastAsia" w:hAnsi="宋体"/>
              </w:rPr>
              <w:t>(注：未提供以上材料的，均不给予价格扣除）。</w:t>
            </w:r>
          </w:p>
          <w:p>
            <w:pPr>
              <w:pStyle w:val="8"/>
              <w:adjustRightInd w:val="0"/>
              <w:spacing w:before="156" w:after="156"/>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解释：本采购文件的解释权属于杭州市公共资源交易中心临安分中心。</w:t>
            </w:r>
          </w:p>
        </w:tc>
      </w:tr>
    </w:tbl>
    <w:p>
      <w:pPr>
        <w:pStyle w:val="8"/>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8"/>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8"/>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8"/>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8"/>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8"/>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8"/>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（4）提供有效的建设行政主管部门颁发的城乡规划编制甲级资质证书；</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2"/>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7"/>
        <w:spacing w:line="360" w:lineRule="auto"/>
        <w:jc w:val="left"/>
        <w:outlineLvl w:val="1"/>
        <w:rPr>
          <w:rFonts w:hAnsi="宋体"/>
          <w:b/>
          <w:bCs/>
          <w:sz w:val="24"/>
        </w:rPr>
      </w:pPr>
      <w:bookmarkStart w:id="1" w:name="_Toc177870554"/>
      <w:r>
        <w:rPr>
          <w:rFonts w:hint="eastAsia" w:hAnsi="宋体"/>
          <w:b/>
          <w:bCs/>
          <w:sz w:val="24"/>
        </w:rPr>
        <w:t>（一）组织开标程序</w:t>
      </w:r>
    </w:p>
    <w:p>
      <w:pPr>
        <w:pStyle w:val="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8"/>
        <w:spacing w:before="156" w:after="156" w:line="360" w:lineRule="auto"/>
        <w:ind w:firstLine="551"/>
        <w:rPr>
          <w:rFonts w:hAnsi="宋体"/>
          <w:b/>
          <w:bCs/>
        </w:rPr>
      </w:pPr>
      <w:r>
        <w:rPr>
          <w:rFonts w:hint="eastAsia" w:hAnsi="宋体"/>
          <w:b/>
          <w:bCs/>
        </w:rPr>
        <w:t>2.电子招投标开标及评审程序</w:t>
      </w:r>
    </w:p>
    <w:p>
      <w:pPr>
        <w:pStyle w:val="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8"/>
        <w:snapToGrid w:val="0"/>
        <w:spacing w:before="156" w:after="156" w:line="360" w:lineRule="auto"/>
        <w:ind w:firstLine="472" w:firstLineChars="196"/>
        <w:rPr>
          <w:rFonts w:hAnsi="宋体"/>
          <w:b/>
          <w:bCs/>
        </w:rPr>
      </w:pPr>
      <w:r>
        <w:rPr>
          <w:rFonts w:hint="eastAsia" w:hAnsi="宋体"/>
          <w:b/>
          <w:bCs/>
        </w:rPr>
        <w:t>2.6在系统上公布评审结果。</w:t>
      </w:r>
    </w:p>
    <w:p>
      <w:pPr>
        <w:pStyle w:val="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8"/>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0"/>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0"/>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本项目先开资信、技术文件，再开报价文件。其中资信和技术分占80%，报价分占20%。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4"/>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40"/>
        <w:gridCol w:w="618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评分因素</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评分细则</w:t>
            </w:r>
          </w:p>
          <w:p>
            <w:pPr>
              <w:adjustRightInd w:val="0"/>
              <w:snapToGrid w:val="0"/>
              <w:spacing w:line="300" w:lineRule="auto"/>
              <w:jc w:val="center"/>
              <w:rPr>
                <w:rFonts w:ascii="Arial" w:hAnsi="Arial" w:cs="Arial"/>
                <w:szCs w:val="21"/>
              </w:rPr>
            </w:pPr>
            <w:r>
              <w:rPr>
                <w:rFonts w:ascii="Arial" w:hAnsi="Arial" w:cs="Arial"/>
                <w:szCs w:val="21"/>
              </w:rPr>
              <w:t>（评分细则中涉及的复印件应清晰可辨，如不清晰，评标委员会可要求投标人提供对应原件核对后评分，请投标人事先准备。）</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分值（</w:t>
            </w:r>
            <w:r>
              <w:rPr>
                <w:rFonts w:ascii="Arial" w:hAnsi="Arial" w:cs="Arial"/>
                <w:kern w:val="0"/>
                <w:szCs w:val="21"/>
              </w:rPr>
              <w:t>分</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一、</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履约能力</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1</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企业管理体系</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Cs/>
                <w:szCs w:val="21"/>
              </w:rPr>
            </w:pPr>
            <w:r>
              <w:rPr>
                <w:rFonts w:ascii="Arial" w:hAnsi="Arial" w:cs="Arial"/>
                <w:b/>
                <w:szCs w:val="21"/>
              </w:rPr>
              <w:t>企业管理体系（0-3分）</w:t>
            </w:r>
          </w:p>
          <w:p>
            <w:pPr>
              <w:snapToGrid w:val="0"/>
              <w:spacing w:line="300" w:lineRule="auto"/>
              <w:rPr>
                <w:rFonts w:ascii="Arial" w:hAnsi="Arial" w:cs="Arial"/>
                <w:szCs w:val="21"/>
              </w:rPr>
            </w:pPr>
            <w:r>
              <w:rPr>
                <w:rFonts w:ascii="Arial" w:hAnsi="Arial" w:cs="Arial"/>
                <w:szCs w:val="21"/>
              </w:rPr>
              <w:t>◇具有有效的质量管理体系认证证书、有效的环境管理体系认证证书、有效的职业健康安全管理体系认证证书，每具备一个得1分，最高3分。投标文件中提供相应的证书复印件，未提供不得分。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2</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投标人及项目负责人荣誉</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bCs/>
                <w:szCs w:val="21"/>
              </w:rPr>
            </w:pPr>
            <w:r>
              <w:rPr>
                <w:rFonts w:ascii="Arial" w:hAnsi="Arial" w:cs="Arial"/>
                <w:b/>
                <w:bCs/>
                <w:szCs w:val="21"/>
              </w:rPr>
              <w:t>投标人及项目负责人荣誉（0-</w:t>
            </w:r>
            <w:r>
              <w:rPr>
                <w:rFonts w:hint="eastAsia" w:ascii="Arial" w:hAnsi="Arial" w:cs="Arial"/>
                <w:b/>
                <w:bCs/>
                <w:szCs w:val="21"/>
              </w:rPr>
              <w:t>8</w:t>
            </w:r>
            <w:r>
              <w:rPr>
                <w:rFonts w:ascii="Arial" w:hAnsi="Arial" w:cs="Arial"/>
                <w:b/>
                <w:bCs/>
                <w:szCs w:val="21"/>
              </w:rPr>
              <w:t>分）</w:t>
            </w:r>
          </w:p>
          <w:p>
            <w:pPr>
              <w:snapToGrid w:val="0"/>
              <w:spacing w:line="300" w:lineRule="auto"/>
              <w:rPr>
                <w:rFonts w:ascii="Arial" w:hAnsi="Arial" w:cs="Arial"/>
                <w:szCs w:val="21"/>
              </w:rPr>
            </w:pPr>
            <w:r>
              <w:rPr>
                <w:rFonts w:ascii="Arial" w:hAnsi="Arial" w:cs="Arial"/>
                <w:szCs w:val="21"/>
              </w:rPr>
              <w:t>◇投标人或项目负责人在近五年（2015年1月1日至今）（以获奖证书颁发时间为准）获得省、市级类似设计奖项一个得1分，获国家级类似设计奖项一个得2分，最高6分。</w:t>
            </w:r>
          </w:p>
          <w:p>
            <w:pPr>
              <w:snapToGrid w:val="0"/>
              <w:spacing w:line="300" w:lineRule="auto"/>
              <w:rPr>
                <w:rFonts w:ascii="Arial" w:hAnsi="Arial" w:cs="Arial"/>
                <w:szCs w:val="21"/>
              </w:rPr>
            </w:pPr>
            <w:r>
              <w:rPr>
                <w:rFonts w:ascii="Arial" w:hAnsi="Arial" w:cs="Arial"/>
                <w:szCs w:val="21"/>
              </w:rPr>
              <w:t>说明：投标文件中提供奖项证书复印件，未提供不得分。同时属于项目负责人和投标人的，不重复计分。</w:t>
            </w:r>
          </w:p>
          <w:p>
            <w:pPr>
              <w:snapToGrid w:val="0"/>
              <w:spacing w:line="300" w:lineRule="auto"/>
              <w:rPr>
                <w:rFonts w:ascii="Arial" w:hAnsi="Arial" w:cs="Arial"/>
                <w:szCs w:val="21"/>
              </w:rPr>
            </w:pPr>
            <w:r>
              <w:rPr>
                <w:rFonts w:ascii="Arial" w:hAnsi="Arial" w:cs="Arial"/>
                <w:szCs w:val="21"/>
              </w:rPr>
              <w:t>◇</w:t>
            </w:r>
            <w:r>
              <w:rPr>
                <w:rFonts w:hint="eastAsia" w:ascii="Arial" w:hAnsi="Arial" w:cs="Arial"/>
                <w:szCs w:val="21"/>
              </w:rPr>
              <w:t>投标人具有有效的守合同重信用证书，AAA得2分，AA得1分，A得0.5分，其他不得分。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3</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投标人业绩</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Cs/>
                <w:color w:val="000000" w:themeColor="text1"/>
                <w:szCs w:val="21"/>
              </w:rPr>
            </w:pPr>
            <w:r>
              <w:rPr>
                <w:rFonts w:ascii="Arial" w:hAnsi="Arial" w:cs="Arial"/>
                <w:b/>
                <w:color w:val="000000" w:themeColor="text1"/>
                <w:szCs w:val="21"/>
              </w:rPr>
              <w:t>投标人业绩（0-</w:t>
            </w:r>
            <w:r>
              <w:rPr>
                <w:rFonts w:hint="eastAsia" w:ascii="Arial" w:hAnsi="Arial" w:cs="Arial"/>
                <w:b/>
                <w:color w:val="000000" w:themeColor="text1"/>
                <w:szCs w:val="21"/>
              </w:rPr>
              <w:t>6</w:t>
            </w:r>
            <w:r>
              <w:rPr>
                <w:rFonts w:ascii="Arial" w:hAnsi="Arial" w:cs="Arial"/>
                <w:b/>
                <w:color w:val="000000" w:themeColor="text1"/>
                <w:szCs w:val="21"/>
              </w:rPr>
              <w:t>分）</w:t>
            </w:r>
          </w:p>
          <w:p>
            <w:pPr>
              <w:snapToGrid w:val="0"/>
              <w:spacing w:line="300" w:lineRule="auto"/>
              <w:rPr>
                <w:rFonts w:ascii="Arial" w:hAnsi="Arial" w:cs="Arial"/>
                <w:szCs w:val="21"/>
              </w:rPr>
            </w:pPr>
            <w:r>
              <w:rPr>
                <w:rFonts w:ascii="Arial" w:hAnsi="Arial" w:cs="Arial"/>
                <w:szCs w:val="21"/>
              </w:rPr>
              <w:t>◇投标人近五年来（2015年1月1日至今）具备类似项目业绩，每个得</w:t>
            </w:r>
            <w:r>
              <w:rPr>
                <w:rFonts w:hint="eastAsia" w:ascii="Arial" w:hAnsi="Arial" w:cs="Arial"/>
                <w:szCs w:val="21"/>
              </w:rPr>
              <w:t>2</w:t>
            </w:r>
            <w:r>
              <w:rPr>
                <w:rFonts w:ascii="Arial" w:hAnsi="Arial" w:cs="Arial"/>
                <w:szCs w:val="21"/>
              </w:rPr>
              <w:t>分，最高得</w:t>
            </w:r>
            <w:r>
              <w:rPr>
                <w:rFonts w:hint="eastAsia" w:ascii="Arial" w:hAnsi="Arial" w:cs="Arial"/>
                <w:szCs w:val="21"/>
              </w:rPr>
              <w:t>6</w:t>
            </w:r>
            <w:r>
              <w:rPr>
                <w:rFonts w:ascii="Arial" w:hAnsi="Arial" w:cs="Arial"/>
                <w:szCs w:val="21"/>
              </w:rPr>
              <w:t>分。</w:t>
            </w:r>
          </w:p>
          <w:p>
            <w:pPr>
              <w:snapToGrid w:val="0"/>
              <w:spacing w:line="300" w:lineRule="auto"/>
              <w:rPr>
                <w:rFonts w:ascii="Arial" w:hAnsi="Arial" w:cs="Arial"/>
                <w:szCs w:val="21"/>
              </w:rPr>
            </w:pPr>
            <w:r>
              <w:rPr>
                <w:rFonts w:ascii="Arial" w:hAnsi="Arial" w:cs="Arial"/>
                <w:szCs w:val="21"/>
              </w:rPr>
              <w:t>说明：以上类似项目指“广告设置规划设计”；投标文件中提供合同或中标通知书复印件；合同签订时间在2015年1月1日以后；符合以上特征的业绩可得分，否则不得分。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000000" w:themeColor="text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4</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投标人资质</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Arial" w:hAnsi="Arial" w:cs="Arial"/>
                <w:b/>
                <w:color w:val="auto"/>
                <w:kern w:val="0"/>
                <w:szCs w:val="21"/>
              </w:rPr>
            </w:pPr>
            <w:r>
              <w:rPr>
                <w:rFonts w:hint="eastAsia" w:ascii="Arial" w:hAnsi="Arial" w:cs="Arial"/>
                <w:b/>
                <w:color w:val="auto"/>
                <w:szCs w:val="21"/>
              </w:rPr>
              <w:t>投标人资质（0-2分）</w:t>
            </w:r>
          </w:p>
          <w:p>
            <w:pPr>
              <w:adjustRightInd w:val="0"/>
              <w:snapToGrid w:val="0"/>
              <w:spacing w:line="300" w:lineRule="auto"/>
              <w:rPr>
                <w:rFonts w:ascii="Arial" w:hAnsi="Arial" w:cs="Arial"/>
                <w:color w:val="FF0000"/>
                <w:szCs w:val="21"/>
              </w:rPr>
            </w:pPr>
            <w:r>
              <w:rPr>
                <w:rFonts w:hint="eastAsia" w:ascii="Arial" w:hAnsi="Arial" w:cs="Arial"/>
                <w:color w:val="auto"/>
                <w:kern w:val="0"/>
                <w:szCs w:val="21"/>
              </w:rPr>
              <w:t>投标人具备</w:t>
            </w:r>
            <w:r>
              <w:rPr>
                <w:rFonts w:ascii="Arial" w:hAnsi="Arial" w:cs="Arial"/>
                <w:color w:val="auto"/>
              </w:rPr>
              <w:t>建筑工程专业设计乙级</w:t>
            </w:r>
            <w:r>
              <w:rPr>
                <w:rFonts w:ascii="Arial" w:hAnsi="Arial" w:cs="Arial"/>
                <w:color w:val="auto"/>
                <w:kern w:val="0"/>
                <w:szCs w:val="21"/>
              </w:rPr>
              <w:t>及以上资质</w:t>
            </w:r>
            <w:r>
              <w:rPr>
                <w:rFonts w:hint="eastAsia" w:ascii="Arial" w:hAnsi="Arial" w:cs="Arial"/>
                <w:color w:val="auto"/>
                <w:kern w:val="0"/>
                <w:szCs w:val="21"/>
              </w:rPr>
              <w:t>得2分。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5</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人员力量</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color w:val="auto"/>
                <w:szCs w:val="21"/>
              </w:rPr>
            </w:pPr>
            <w:r>
              <w:rPr>
                <w:rFonts w:ascii="Arial" w:hAnsi="Arial" w:cs="Arial"/>
                <w:b/>
                <w:bCs/>
                <w:color w:val="auto"/>
                <w:szCs w:val="21"/>
              </w:rPr>
              <w:t>项目负责人（0-</w:t>
            </w:r>
            <w:r>
              <w:rPr>
                <w:rFonts w:hint="eastAsia" w:ascii="Arial" w:hAnsi="Arial" w:cs="Arial"/>
                <w:b/>
                <w:bCs/>
                <w:color w:val="auto"/>
                <w:szCs w:val="21"/>
              </w:rPr>
              <w:t>4</w:t>
            </w:r>
            <w:r>
              <w:rPr>
                <w:rFonts w:ascii="Arial" w:hAnsi="Arial" w:cs="Arial"/>
                <w:b/>
                <w:bCs/>
                <w:color w:val="auto"/>
                <w:szCs w:val="21"/>
              </w:rPr>
              <w:t>分）</w:t>
            </w:r>
          </w:p>
          <w:p>
            <w:pPr>
              <w:snapToGrid w:val="0"/>
              <w:spacing w:line="300" w:lineRule="auto"/>
              <w:rPr>
                <w:rFonts w:ascii="Arial" w:hAnsi="Arial" w:cs="Arial"/>
                <w:b/>
                <w:bCs/>
                <w:kern w:val="0"/>
                <w:szCs w:val="21"/>
              </w:rPr>
            </w:pPr>
            <w:r>
              <w:rPr>
                <w:rFonts w:ascii="Arial" w:hAnsi="Arial" w:cs="Arial"/>
                <w:kern w:val="0"/>
                <w:szCs w:val="21"/>
              </w:rPr>
              <w:t>◇</w:t>
            </w:r>
            <w:r>
              <w:rPr>
                <w:rFonts w:hint="eastAsia" w:ascii="Arial" w:hAnsi="Arial" w:cs="Arial"/>
                <w:b/>
                <w:bCs/>
                <w:kern w:val="0"/>
                <w:szCs w:val="21"/>
              </w:rPr>
              <w:t>项目负责人具有副高级及以上职称，同时具备注册城乡规划师的得2分，没有0分。</w:t>
            </w:r>
          </w:p>
          <w:p>
            <w:pPr>
              <w:snapToGrid w:val="0"/>
              <w:spacing w:line="300" w:lineRule="auto"/>
              <w:rPr>
                <w:rFonts w:ascii="Arial" w:hAnsi="Arial" w:cs="Arial"/>
                <w:b/>
                <w:bCs/>
                <w:color w:val="auto"/>
                <w:kern w:val="0"/>
                <w:szCs w:val="21"/>
              </w:rPr>
            </w:pPr>
            <w:r>
              <w:rPr>
                <w:rFonts w:ascii="Arial" w:hAnsi="Arial" w:cs="Arial"/>
                <w:color w:val="auto"/>
                <w:kern w:val="0"/>
                <w:szCs w:val="21"/>
              </w:rPr>
              <w:t>◇</w:t>
            </w:r>
            <w:r>
              <w:rPr>
                <w:rFonts w:hint="eastAsia" w:ascii="Arial" w:hAnsi="Arial" w:cs="Arial"/>
                <w:b/>
                <w:bCs/>
                <w:color w:val="auto"/>
                <w:kern w:val="0"/>
                <w:szCs w:val="21"/>
              </w:rPr>
              <w:t>项目负责人近五年具备类似项目业绩，得2分，没有的得0分。</w:t>
            </w:r>
          </w:p>
          <w:p>
            <w:pPr>
              <w:snapToGrid w:val="0"/>
              <w:spacing w:line="300" w:lineRule="auto"/>
              <w:rPr>
                <w:rFonts w:ascii="Arial" w:hAnsi="Arial" w:cs="Arial"/>
                <w:b/>
                <w:bCs/>
                <w:color w:val="FF0000"/>
                <w:kern w:val="0"/>
                <w:szCs w:val="21"/>
              </w:rPr>
            </w:pPr>
            <w:r>
              <w:rPr>
                <w:rFonts w:ascii="Arial" w:hAnsi="Arial" w:cs="Arial"/>
                <w:color w:val="auto"/>
                <w:szCs w:val="21"/>
              </w:rPr>
              <w:t>说明：以上类似项目指“广告设置规划设计”；投标文件中提供合同或中标通知书复印件；合同签订时间在2015年1月1日以后；符合以上特征的业绩可得分，否则不得分。</w:t>
            </w:r>
            <w:r>
              <w:rPr>
                <w:rFonts w:ascii="Arial" w:hAnsi="Arial" w:cs="Arial"/>
                <w:color w:val="auto"/>
                <w:kern w:val="0"/>
                <w:szCs w:val="21"/>
              </w:rPr>
              <w:t>投标人应书面承诺项目负责人全程负责和参与本项目，投标文件中提供承诺函</w:t>
            </w:r>
            <w:r>
              <w:rPr>
                <w:rFonts w:hint="eastAsia" w:ascii="Arial" w:hAnsi="Arial" w:cs="Arial"/>
                <w:color w:val="auto"/>
                <w:szCs w:val="21"/>
              </w:rPr>
              <w:t>、</w:t>
            </w:r>
            <w:r>
              <w:rPr>
                <w:rFonts w:ascii="Arial" w:hAnsi="Arial" w:cs="Arial"/>
                <w:color w:val="auto"/>
                <w:szCs w:val="21"/>
              </w:rPr>
              <w:t>职称证书复印件，不提供不得分。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二、</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服务水平</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szCs w:val="21"/>
              </w:rPr>
            </w:pPr>
            <w:r>
              <w:rPr>
                <w:rFonts w:ascii="Arial" w:hAnsi="Arial" w:cs="Arial"/>
                <w:bCs/>
                <w:szCs w:val="21"/>
              </w:rPr>
              <w:t>1</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实地</w:t>
            </w:r>
            <w:r>
              <w:rPr>
                <w:rFonts w:ascii="Arial" w:hAnsi="Arial" w:cs="Arial"/>
                <w:szCs w:val="21"/>
              </w:rPr>
              <w:t>调研分析</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szCs w:val="21"/>
              </w:rPr>
            </w:pPr>
            <w:r>
              <w:rPr>
                <w:rFonts w:hint="eastAsia" w:ascii="Arial" w:hAnsi="Arial" w:cs="Arial"/>
                <w:b/>
                <w:szCs w:val="21"/>
              </w:rPr>
              <w:t>实地</w:t>
            </w:r>
            <w:r>
              <w:rPr>
                <w:rFonts w:ascii="Arial" w:hAnsi="Arial" w:cs="Arial"/>
                <w:b/>
                <w:szCs w:val="21"/>
              </w:rPr>
              <w:t>调研分析</w:t>
            </w:r>
          </w:p>
          <w:p>
            <w:pPr>
              <w:adjustRightInd w:val="0"/>
              <w:snapToGrid w:val="0"/>
              <w:spacing w:line="300" w:lineRule="auto"/>
              <w:jc w:val="left"/>
              <w:rPr>
                <w:rFonts w:ascii="Arial" w:hAnsi="Arial" w:cs="Arial"/>
                <w:szCs w:val="21"/>
              </w:rPr>
            </w:pPr>
            <w:r>
              <w:rPr>
                <w:rFonts w:ascii="Arial" w:hAnsi="Arial" w:cs="Arial"/>
                <w:szCs w:val="21"/>
              </w:rPr>
              <w:t>◇编制单位应对道路两侧的户外广告和店招作详细的调研分析，了解建成环境以及现状业态特征</w:t>
            </w:r>
            <w:r>
              <w:rPr>
                <w:rFonts w:hint="eastAsia" w:ascii="Arial" w:hAnsi="Arial" w:cs="Arial"/>
                <w:szCs w:val="21"/>
              </w:rPr>
              <w:t>，在投标文件中描述调研情况，展示编制单位对本项目的了解程度。（0-3分）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hint="eastAsia" w:ascii="Arial" w:hAnsi="Arial" w:cs="Arial"/>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2</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总体设计概述</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color w:val="auto"/>
                <w:szCs w:val="21"/>
              </w:rPr>
            </w:pPr>
            <w:r>
              <w:rPr>
                <w:rFonts w:ascii="Arial" w:hAnsi="Arial" w:cs="Arial"/>
                <w:b/>
                <w:color w:val="auto"/>
                <w:szCs w:val="21"/>
              </w:rPr>
              <w:t>总体设计概述（0-</w:t>
            </w:r>
            <w:r>
              <w:rPr>
                <w:rFonts w:hint="eastAsia" w:ascii="Arial" w:hAnsi="Arial" w:cs="Arial"/>
                <w:b/>
                <w:color w:val="auto"/>
                <w:szCs w:val="21"/>
              </w:rPr>
              <w:t>12</w:t>
            </w:r>
            <w:r>
              <w:rPr>
                <w:rFonts w:ascii="Arial" w:hAnsi="Arial" w:cs="Arial"/>
                <w:b/>
                <w:color w:val="auto"/>
                <w:szCs w:val="21"/>
              </w:rPr>
              <w:t>分）</w:t>
            </w:r>
          </w:p>
          <w:p>
            <w:pPr>
              <w:snapToGrid w:val="0"/>
              <w:spacing w:line="300" w:lineRule="auto"/>
              <w:rPr>
                <w:rFonts w:ascii="Arial" w:hAnsi="Arial" w:cs="Arial"/>
                <w:szCs w:val="21"/>
              </w:rPr>
            </w:pPr>
            <w:r>
              <w:rPr>
                <w:rFonts w:hint="eastAsia" w:ascii="宋体" w:hAnsi="宋体" w:cs="宋体"/>
                <w:szCs w:val="21"/>
              </w:rPr>
              <w:t>◇</w:t>
            </w:r>
            <w:r>
              <w:rPr>
                <w:rFonts w:ascii="Arial" w:hAnsi="Arial" w:cs="Arial"/>
                <w:szCs w:val="21"/>
              </w:rPr>
              <w:t>评标委员会根据各投标人提供</w:t>
            </w:r>
            <w:r>
              <w:rPr>
                <w:rFonts w:ascii="Arial" w:hAnsi="Arial" w:cs="Arial"/>
                <w:bCs/>
                <w:szCs w:val="21"/>
              </w:rPr>
              <w:t>概述</w:t>
            </w:r>
            <w:r>
              <w:rPr>
                <w:rFonts w:ascii="Arial" w:hAnsi="Arial" w:cs="Arial"/>
                <w:szCs w:val="21"/>
              </w:rPr>
              <w:t>的总体构思酌情给分，是否能充分体现杭州特色，有深度、有内涵，是否具有原创性和国际前瞻性。基本分为5分，最高得</w:t>
            </w:r>
            <w:r>
              <w:rPr>
                <w:rFonts w:hint="eastAsia" w:ascii="Arial" w:hAnsi="Arial" w:cs="Arial"/>
                <w:szCs w:val="21"/>
              </w:rPr>
              <w:t>12</w:t>
            </w:r>
            <w:r>
              <w:rPr>
                <w:rFonts w:ascii="Arial" w:hAnsi="Arial" w:cs="Arial"/>
                <w:szCs w:val="21"/>
              </w:rPr>
              <w:t>分，未提供设计概述的得0分。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3</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户外广告</w:t>
            </w:r>
            <w:r>
              <w:rPr>
                <w:rFonts w:hint="eastAsia" w:ascii="Arial" w:hAnsi="Arial" w:cs="Arial"/>
                <w:bCs/>
                <w:szCs w:val="21"/>
              </w:rPr>
              <w:t>和招牌</w:t>
            </w:r>
            <w:r>
              <w:rPr>
                <w:rFonts w:ascii="Arial" w:hAnsi="Arial" w:cs="Arial"/>
                <w:bCs/>
                <w:szCs w:val="21"/>
              </w:rPr>
              <w:t>设置方案设计</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color w:val="auto"/>
                <w:szCs w:val="21"/>
              </w:rPr>
            </w:pPr>
            <w:r>
              <w:rPr>
                <w:rFonts w:ascii="Arial" w:hAnsi="Arial" w:cs="Arial"/>
                <w:b/>
                <w:color w:val="auto"/>
                <w:szCs w:val="21"/>
              </w:rPr>
              <w:t>户外广告设置方案设计（0-</w:t>
            </w:r>
            <w:r>
              <w:rPr>
                <w:rFonts w:hint="eastAsia" w:ascii="Arial" w:hAnsi="Arial" w:cs="Arial"/>
                <w:b/>
                <w:color w:val="auto"/>
                <w:szCs w:val="21"/>
              </w:rPr>
              <w:t>18</w:t>
            </w:r>
            <w:r>
              <w:rPr>
                <w:rFonts w:ascii="Arial" w:hAnsi="Arial" w:cs="Arial"/>
                <w:b/>
                <w:color w:val="auto"/>
                <w:szCs w:val="21"/>
              </w:rPr>
              <w:t>分）</w:t>
            </w:r>
          </w:p>
          <w:p>
            <w:pPr>
              <w:snapToGrid w:val="0"/>
              <w:spacing w:line="300" w:lineRule="auto"/>
              <w:rPr>
                <w:rFonts w:ascii="Arial" w:hAnsi="Arial" w:cs="Arial"/>
                <w:szCs w:val="21"/>
              </w:rPr>
            </w:pPr>
            <w:r>
              <w:rPr>
                <w:rFonts w:hint="eastAsia" w:ascii="宋体" w:hAnsi="宋体" w:cs="宋体"/>
                <w:szCs w:val="21"/>
              </w:rPr>
              <w:t>◇</w:t>
            </w:r>
            <w:r>
              <w:rPr>
                <w:rFonts w:ascii="Arial" w:hAnsi="Arial" w:cs="Arial"/>
                <w:szCs w:val="21"/>
              </w:rPr>
              <w:t>评标委员会根据各投标人提供方案对设计理念的理解酌情给分，总体构思是否能充分体现道路两侧户外广告和店招店牌的管理要求，</w:t>
            </w:r>
            <w:r>
              <w:rPr>
                <w:rFonts w:ascii="Arial" w:hAnsi="Arial" w:cs="Arial"/>
                <w:color w:val="auto"/>
                <w:szCs w:val="21"/>
              </w:rPr>
              <w:t>既保证城市</w:t>
            </w:r>
            <w:r>
              <w:rPr>
                <w:rFonts w:hint="eastAsia" w:ascii="Arial" w:hAnsi="Arial" w:cs="Arial"/>
                <w:color w:val="auto"/>
                <w:szCs w:val="21"/>
              </w:rPr>
              <w:t>道路</w:t>
            </w:r>
            <w:r>
              <w:rPr>
                <w:rFonts w:ascii="Arial" w:hAnsi="Arial" w:cs="Arial"/>
                <w:color w:val="auto"/>
                <w:szCs w:val="21"/>
              </w:rPr>
              <w:t>的景观提升，又促进市场自身广告的规范设置，推动商业经济的产业特色，是否具有原创性和独特性。基本分为</w:t>
            </w:r>
            <w:r>
              <w:rPr>
                <w:rFonts w:hint="eastAsia" w:ascii="Arial" w:hAnsi="Arial" w:cs="Arial"/>
                <w:color w:val="auto"/>
                <w:szCs w:val="21"/>
              </w:rPr>
              <w:t>8</w:t>
            </w:r>
            <w:r>
              <w:rPr>
                <w:rFonts w:ascii="Arial" w:hAnsi="Arial" w:cs="Arial"/>
                <w:color w:val="auto"/>
                <w:szCs w:val="21"/>
              </w:rPr>
              <w:t>分，最高得</w:t>
            </w:r>
            <w:r>
              <w:rPr>
                <w:rFonts w:hint="eastAsia" w:ascii="Arial" w:hAnsi="Arial" w:cs="Arial"/>
                <w:color w:val="auto"/>
                <w:szCs w:val="21"/>
              </w:rPr>
              <w:t>18</w:t>
            </w:r>
            <w:r>
              <w:rPr>
                <w:rFonts w:ascii="Arial" w:hAnsi="Arial" w:cs="Arial"/>
                <w:color w:val="auto"/>
                <w:szCs w:val="21"/>
              </w:rPr>
              <w:t>分，</w:t>
            </w:r>
            <w:r>
              <w:rPr>
                <w:rFonts w:ascii="Arial" w:hAnsi="Arial" w:cs="Arial"/>
                <w:szCs w:val="21"/>
              </w:rPr>
              <w:t>未提供方案设计的得0分。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4</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关键技术难点及解决方案</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szCs w:val="21"/>
              </w:rPr>
            </w:pPr>
            <w:r>
              <w:rPr>
                <w:rFonts w:ascii="Arial" w:hAnsi="Arial" w:cs="Arial"/>
                <w:b/>
                <w:szCs w:val="21"/>
              </w:rPr>
              <w:t>关键技术难点及解决方案（0-</w:t>
            </w:r>
            <w:r>
              <w:rPr>
                <w:rFonts w:hint="eastAsia" w:ascii="Arial" w:hAnsi="Arial" w:cs="Arial"/>
                <w:b/>
                <w:szCs w:val="21"/>
              </w:rPr>
              <w:t>8</w:t>
            </w:r>
            <w:r>
              <w:rPr>
                <w:rFonts w:ascii="Arial" w:hAnsi="Arial" w:cs="Arial"/>
                <w:b/>
                <w:szCs w:val="21"/>
              </w:rPr>
              <w:t>分）</w:t>
            </w:r>
          </w:p>
          <w:p>
            <w:pPr>
              <w:snapToGrid w:val="0"/>
              <w:spacing w:line="300" w:lineRule="auto"/>
              <w:rPr>
                <w:rFonts w:ascii="Arial" w:hAnsi="Arial" w:cs="Arial"/>
                <w:szCs w:val="21"/>
              </w:rPr>
            </w:pPr>
            <w:r>
              <w:rPr>
                <w:rFonts w:ascii="Arial" w:hAnsi="Arial" w:cs="Arial"/>
                <w:szCs w:val="21"/>
              </w:rPr>
              <w:t>◇分析本项目特点及难点，提出解决问题的对策与方案建议能实际解决项目所要解决的问题，建议具有可操作性和实用性的，评标委员会根据投标人描述的实用性、可操作性、详细程度等进行评分。基本分为4分，最高得</w:t>
            </w:r>
            <w:r>
              <w:rPr>
                <w:rFonts w:hint="eastAsia" w:ascii="Arial" w:hAnsi="Arial" w:cs="Arial"/>
                <w:szCs w:val="21"/>
              </w:rPr>
              <w:t>8</w:t>
            </w:r>
            <w:r>
              <w:rPr>
                <w:rFonts w:ascii="Arial" w:hAnsi="Arial" w:cs="Arial"/>
                <w:szCs w:val="21"/>
              </w:rPr>
              <w:t>分，无方案的得0分。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hint="eastAsia" w:ascii="Arial" w:hAnsi="Arial" w:cs="Arial"/>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662" w:type="dxa"/>
            <w:tcBorders>
              <w:top w:val="single" w:color="auto" w:sz="4" w:space="0"/>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6</w:t>
            </w:r>
          </w:p>
        </w:tc>
        <w:tc>
          <w:tcPr>
            <w:tcW w:w="1740" w:type="dxa"/>
            <w:tcBorders>
              <w:top w:val="single" w:color="auto" w:sz="4" w:space="0"/>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技术力量投入</w:t>
            </w:r>
          </w:p>
        </w:tc>
        <w:tc>
          <w:tcPr>
            <w:tcW w:w="6180" w:type="dxa"/>
            <w:tcBorders>
              <w:top w:val="single" w:color="auto" w:sz="4" w:space="0"/>
              <w:left w:val="single" w:color="auto" w:sz="4" w:space="0"/>
              <w:right w:val="single" w:color="auto" w:sz="4" w:space="0"/>
            </w:tcBorders>
            <w:vAlign w:val="center"/>
          </w:tcPr>
          <w:p>
            <w:pPr>
              <w:snapToGrid w:val="0"/>
              <w:spacing w:line="300" w:lineRule="auto"/>
              <w:rPr>
                <w:rFonts w:ascii="Arial" w:hAnsi="Arial" w:cs="Arial"/>
                <w:b/>
                <w:bCs/>
                <w:szCs w:val="21"/>
              </w:rPr>
            </w:pPr>
            <w:r>
              <w:rPr>
                <w:rFonts w:ascii="Arial" w:hAnsi="Arial" w:cs="Arial"/>
                <w:b/>
                <w:bCs/>
                <w:szCs w:val="21"/>
              </w:rPr>
              <w:t>设计服务人员配备（0-</w:t>
            </w:r>
            <w:r>
              <w:rPr>
                <w:rFonts w:hint="eastAsia" w:ascii="Arial" w:hAnsi="Arial" w:cs="Arial"/>
                <w:b/>
                <w:bCs/>
                <w:szCs w:val="21"/>
              </w:rPr>
              <w:t>6</w:t>
            </w:r>
            <w:r>
              <w:rPr>
                <w:rFonts w:ascii="Arial" w:hAnsi="Arial" w:cs="Arial"/>
                <w:b/>
                <w:bCs/>
                <w:szCs w:val="21"/>
              </w:rPr>
              <w:t>分）</w:t>
            </w:r>
          </w:p>
          <w:p>
            <w:pPr>
              <w:snapToGrid w:val="0"/>
              <w:spacing w:line="300" w:lineRule="auto"/>
              <w:rPr>
                <w:rFonts w:ascii="Arial" w:hAnsi="Arial" w:cs="Arial"/>
                <w:szCs w:val="21"/>
              </w:rPr>
            </w:pPr>
            <w:r>
              <w:rPr>
                <w:rFonts w:ascii="Arial" w:hAnsi="Arial" w:cs="Arial"/>
                <w:szCs w:val="21"/>
              </w:rPr>
              <w:t>评标委员会根据投标文件提供的对拟投入本项目的设计服务人员配备表情况进行评分，对拟投入本项目设计服务人员的人员配置数量（6人及以上）、人员素质、技术能力、专业分布、是否具有相关类似项目对应的服务经验等情况酌情给分。基本分为3分，最高得</w:t>
            </w:r>
            <w:r>
              <w:rPr>
                <w:rFonts w:hint="eastAsia" w:ascii="Arial" w:hAnsi="Arial" w:cs="Arial"/>
                <w:szCs w:val="21"/>
                <w:lang w:val="en-US" w:eastAsia="zh-CN"/>
              </w:rPr>
              <w:t>6</w:t>
            </w:r>
            <w:bookmarkStart w:id="14" w:name="_GoBack"/>
            <w:bookmarkEnd w:id="14"/>
            <w:r>
              <w:rPr>
                <w:rFonts w:ascii="Arial" w:hAnsi="Arial" w:cs="Arial"/>
                <w:szCs w:val="21"/>
              </w:rPr>
              <w:t>分。</w:t>
            </w:r>
          </w:p>
          <w:p>
            <w:pPr>
              <w:snapToGrid w:val="0"/>
              <w:spacing w:line="300" w:lineRule="auto"/>
              <w:rPr>
                <w:rFonts w:ascii="Arial" w:hAnsi="Arial" w:cs="Arial"/>
                <w:szCs w:val="21"/>
                <w:highlight w:val="yellow"/>
              </w:rPr>
            </w:pPr>
            <w:r>
              <w:rPr>
                <w:rFonts w:ascii="Arial" w:hAnsi="Arial" w:cs="Arial"/>
                <w:szCs w:val="21"/>
              </w:rPr>
              <w:t>说明：投标文件中提供设计人员专业职称证书、工作履历、工程实践证明资料、劳动合同和参保证明等复印件，未提供</w:t>
            </w:r>
            <w:r>
              <w:rPr>
                <w:rFonts w:hint="eastAsia" w:ascii="Arial" w:hAnsi="Arial" w:cs="Arial"/>
                <w:szCs w:val="21"/>
              </w:rPr>
              <w:t>只计3分</w:t>
            </w:r>
            <w:r>
              <w:rPr>
                <w:rFonts w:ascii="Arial" w:hAnsi="Arial" w:cs="Arial"/>
                <w:szCs w:val="21"/>
              </w:rPr>
              <w:t>。</w:t>
            </w:r>
          </w:p>
        </w:tc>
        <w:tc>
          <w:tcPr>
            <w:tcW w:w="775"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7</w:t>
            </w: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项目实施进度及项目质量控制</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szCs w:val="21"/>
              </w:rPr>
            </w:pPr>
            <w:r>
              <w:rPr>
                <w:rFonts w:ascii="Arial" w:hAnsi="Arial" w:cs="Arial"/>
                <w:b/>
                <w:szCs w:val="21"/>
              </w:rPr>
              <w:t>项目实施进度及项目质量控制（0-5分）</w:t>
            </w:r>
          </w:p>
          <w:p>
            <w:pPr>
              <w:snapToGrid w:val="0"/>
              <w:spacing w:line="300" w:lineRule="auto"/>
              <w:rPr>
                <w:rFonts w:ascii="Arial" w:hAnsi="Arial" w:cs="Arial"/>
                <w:szCs w:val="21"/>
              </w:rPr>
            </w:pPr>
            <w:r>
              <w:rPr>
                <w:rFonts w:ascii="Arial" w:hAnsi="Arial" w:cs="Arial"/>
                <w:kern w:val="0"/>
                <w:szCs w:val="21"/>
              </w:rPr>
              <w:t>◇</w:t>
            </w:r>
            <w:r>
              <w:rPr>
                <w:rFonts w:ascii="Arial" w:hAnsi="Arial" w:cs="Arial"/>
                <w:szCs w:val="21"/>
              </w:rPr>
              <w:t>根据投标人技术方案中有关项目实施进度控制和质量控制方案进行评价。最高得5分。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hint="eastAsia" w:ascii="Arial" w:hAnsi="Arial" w:cs="Arial"/>
                <w:bCs/>
                <w:szCs w:val="21"/>
              </w:rPr>
              <w:t>8</w:t>
            </w: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服务承诺</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szCs w:val="21"/>
              </w:rPr>
            </w:pPr>
            <w:r>
              <w:rPr>
                <w:rFonts w:ascii="Arial" w:hAnsi="Arial" w:cs="Arial"/>
                <w:b/>
                <w:szCs w:val="21"/>
              </w:rPr>
              <w:t>服务承诺（0-5分）</w:t>
            </w:r>
          </w:p>
          <w:p>
            <w:pPr>
              <w:snapToGrid w:val="0"/>
              <w:spacing w:line="300" w:lineRule="auto"/>
              <w:rPr>
                <w:rFonts w:ascii="Arial" w:hAnsi="Arial" w:cs="Arial"/>
                <w:szCs w:val="21"/>
              </w:rPr>
            </w:pPr>
            <w:r>
              <w:rPr>
                <w:rFonts w:ascii="Arial" w:hAnsi="Arial" w:cs="Arial"/>
                <w:kern w:val="0"/>
                <w:szCs w:val="21"/>
              </w:rPr>
              <w:t>◇</w:t>
            </w:r>
            <w:r>
              <w:rPr>
                <w:rFonts w:ascii="Arial" w:hAnsi="Arial" w:cs="Arial"/>
                <w:szCs w:val="21"/>
              </w:rPr>
              <w:t>包括设计各阶段的服务承诺及后期配合阶段的服务承诺，以能否提供合理可行的优惠条件，是否有利项目实施的方面进行评价。</w:t>
            </w:r>
          </w:p>
          <w:p>
            <w:pPr>
              <w:snapToGrid w:val="0"/>
              <w:spacing w:line="300" w:lineRule="auto"/>
              <w:rPr>
                <w:rFonts w:ascii="Arial" w:hAnsi="Arial" w:cs="Arial"/>
                <w:szCs w:val="21"/>
              </w:rPr>
            </w:pPr>
            <w:r>
              <w:rPr>
                <w:rFonts w:ascii="Arial" w:hAnsi="Arial" w:cs="Arial"/>
                <w:szCs w:val="21"/>
              </w:rPr>
              <w:t>最高得5分。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总分</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Arial" w:hAnsi="Arial" w:eastAsia="宋体" w:cs="Arial"/>
                <w:szCs w:val="21"/>
                <w:lang w:val="en-US" w:eastAsia="zh-CN"/>
              </w:rPr>
            </w:pPr>
            <w:r>
              <w:rPr>
                <w:rFonts w:hint="eastAsia" w:ascii="Arial" w:hAnsi="Arial" w:cs="Arial"/>
                <w:szCs w:val="21"/>
                <w:lang w:val="en-US" w:eastAsia="zh-CN"/>
              </w:rPr>
              <w:t>80</w:t>
            </w:r>
          </w:p>
        </w:tc>
      </w:tr>
    </w:tbl>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8"/>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2"/>
        <w:tabs>
          <w:tab w:val="clear" w:pos="2985"/>
        </w:tabs>
        <w:spacing w:before="156"/>
        <w:ind w:firstLine="482"/>
        <w:rPr>
          <w:rFonts w:ascii="宋体" w:hAnsi="宋体" w:cs="Arial"/>
          <w:sz w:val="24"/>
          <w:szCs w:val="24"/>
        </w:rPr>
      </w:pPr>
      <w:bookmarkStart w:id="6" w:name="_Toc349729287"/>
      <w:r>
        <w:rPr>
          <w:rFonts w:ascii="宋体" w:hAnsi="宋体" w:cs="Arial"/>
          <w:sz w:val="24"/>
          <w:szCs w:val="24"/>
        </w:rPr>
        <w:t>一、采购内容</w:t>
      </w:r>
      <w:bookmarkEnd w:id="6"/>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294"/>
        <w:gridCol w:w="1031"/>
        <w:gridCol w:w="1018"/>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snapToGrid w:val="0"/>
              <w:spacing w:line="300" w:lineRule="auto"/>
              <w:jc w:val="center"/>
              <w:rPr>
                <w:rFonts w:ascii="宋体" w:hAnsi="宋体" w:cs="Arial"/>
                <w:sz w:val="24"/>
              </w:rPr>
            </w:pPr>
            <w:r>
              <w:rPr>
                <w:rFonts w:ascii="宋体" w:hAnsi="宋体" w:cs="Arial"/>
                <w:sz w:val="24"/>
              </w:rPr>
              <w:t>序号</w:t>
            </w:r>
          </w:p>
        </w:tc>
        <w:tc>
          <w:tcPr>
            <w:tcW w:w="3294" w:type="dxa"/>
            <w:vAlign w:val="center"/>
          </w:tcPr>
          <w:p>
            <w:pPr>
              <w:snapToGrid w:val="0"/>
              <w:spacing w:line="300" w:lineRule="auto"/>
              <w:jc w:val="center"/>
              <w:rPr>
                <w:rFonts w:ascii="宋体" w:hAnsi="宋体" w:cs="Arial"/>
                <w:sz w:val="24"/>
              </w:rPr>
            </w:pPr>
            <w:r>
              <w:rPr>
                <w:rFonts w:ascii="宋体" w:hAnsi="宋体" w:cs="Arial"/>
                <w:sz w:val="24"/>
              </w:rPr>
              <w:t>名称</w:t>
            </w:r>
          </w:p>
        </w:tc>
        <w:tc>
          <w:tcPr>
            <w:tcW w:w="1031" w:type="dxa"/>
            <w:vAlign w:val="center"/>
          </w:tcPr>
          <w:p>
            <w:pPr>
              <w:snapToGrid w:val="0"/>
              <w:spacing w:line="300" w:lineRule="auto"/>
              <w:jc w:val="center"/>
              <w:rPr>
                <w:rFonts w:ascii="宋体" w:hAnsi="宋体" w:cs="Arial"/>
                <w:sz w:val="24"/>
              </w:rPr>
            </w:pPr>
            <w:r>
              <w:rPr>
                <w:rFonts w:ascii="宋体" w:hAnsi="宋体" w:cs="Arial"/>
                <w:sz w:val="24"/>
              </w:rPr>
              <w:t>数量</w:t>
            </w:r>
          </w:p>
        </w:tc>
        <w:tc>
          <w:tcPr>
            <w:tcW w:w="1018" w:type="dxa"/>
            <w:vAlign w:val="center"/>
          </w:tcPr>
          <w:p>
            <w:pPr>
              <w:snapToGrid w:val="0"/>
              <w:spacing w:line="300" w:lineRule="auto"/>
              <w:jc w:val="center"/>
              <w:rPr>
                <w:rFonts w:ascii="宋体" w:hAnsi="宋体" w:cs="Arial"/>
                <w:sz w:val="24"/>
              </w:rPr>
            </w:pPr>
            <w:r>
              <w:rPr>
                <w:rFonts w:ascii="宋体" w:hAnsi="宋体" w:cs="Arial"/>
                <w:sz w:val="24"/>
              </w:rPr>
              <w:t>单位</w:t>
            </w:r>
          </w:p>
        </w:tc>
        <w:tc>
          <w:tcPr>
            <w:tcW w:w="3040" w:type="dxa"/>
            <w:vAlign w:val="center"/>
          </w:tcPr>
          <w:p>
            <w:pPr>
              <w:snapToGrid w:val="0"/>
              <w:spacing w:line="300" w:lineRule="auto"/>
              <w:jc w:val="center"/>
              <w:rPr>
                <w:rFonts w:ascii="宋体" w:hAnsi="宋体" w:cs="Arial"/>
                <w:sz w:val="24"/>
              </w:rPr>
            </w:pPr>
            <w:r>
              <w:rPr>
                <w:rFonts w:ascii="宋体" w:hAnsi="宋体" w:cs="Arial"/>
                <w:sz w:val="24"/>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snapToGrid w:val="0"/>
              <w:spacing w:line="300" w:lineRule="auto"/>
              <w:jc w:val="center"/>
              <w:rPr>
                <w:rFonts w:ascii="宋体" w:hAnsi="宋体" w:cs="Arial"/>
                <w:sz w:val="24"/>
              </w:rPr>
            </w:pPr>
            <w:r>
              <w:rPr>
                <w:rFonts w:ascii="宋体" w:hAnsi="宋体" w:cs="Arial"/>
                <w:sz w:val="24"/>
              </w:rPr>
              <w:t>1</w:t>
            </w:r>
          </w:p>
        </w:tc>
        <w:tc>
          <w:tcPr>
            <w:tcW w:w="3294" w:type="dxa"/>
            <w:vAlign w:val="center"/>
          </w:tcPr>
          <w:p>
            <w:pPr>
              <w:widowControl/>
              <w:snapToGrid w:val="0"/>
              <w:spacing w:line="300" w:lineRule="auto"/>
              <w:jc w:val="center"/>
              <w:rPr>
                <w:rFonts w:ascii="宋体" w:hAnsi="宋体" w:cs="Arial"/>
                <w:sz w:val="24"/>
              </w:rPr>
            </w:pPr>
            <w:r>
              <w:rPr>
                <w:rFonts w:ascii="宋体" w:hAnsi="宋体" w:cs="Arial"/>
                <w:sz w:val="24"/>
              </w:rPr>
              <w:t>杭州市</w:t>
            </w:r>
            <w:r>
              <w:rPr>
                <w:rFonts w:hint="eastAsia" w:ascii="宋体" w:hAnsi="宋体" w:cs="Arial"/>
                <w:sz w:val="24"/>
              </w:rPr>
              <w:t>临安</w:t>
            </w:r>
            <w:r>
              <w:rPr>
                <w:rFonts w:ascii="宋体" w:hAnsi="宋体" w:cs="Arial"/>
                <w:sz w:val="24"/>
              </w:rPr>
              <w:t>区道路户外广告详细规划修编</w:t>
            </w:r>
          </w:p>
        </w:tc>
        <w:tc>
          <w:tcPr>
            <w:tcW w:w="1031" w:type="dxa"/>
            <w:vAlign w:val="center"/>
          </w:tcPr>
          <w:p>
            <w:pPr>
              <w:widowControl/>
              <w:snapToGrid w:val="0"/>
              <w:spacing w:line="300" w:lineRule="auto"/>
              <w:jc w:val="center"/>
              <w:rPr>
                <w:rFonts w:ascii="宋体" w:hAnsi="宋体" w:cs="Arial"/>
                <w:sz w:val="24"/>
              </w:rPr>
            </w:pPr>
            <w:r>
              <w:rPr>
                <w:rFonts w:ascii="宋体" w:hAnsi="宋体" w:cs="Arial"/>
                <w:sz w:val="24"/>
              </w:rPr>
              <w:t>1</w:t>
            </w:r>
          </w:p>
        </w:tc>
        <w:tc>
          <w:tcPr>
            <w:tcW w:w="1018" w:type="dxa"/>
            <w:vAlign w:val="center"/>
          </w:tcPr>
          <w:p>
            <w:pPr>
              <w:widowControl/>
              <w:snapToGrid w:val="0"/>
              <w:spacing w:line="300" w:lineRule="auto"/>
              <w:jc w:val="center"/>
              <w:rPr>
                <w:rFonts w:ascii="宋体" w:hAnsi="宋体" w:cs="Arial"/>
                <w:sz w:val="24"/>
              </w:rPr>
            </w:pPr>
            <w:r>
              <w:rPr>
                <w:rFonts w:ascii="宋体" w:hAnsi="宋体" w:cs="Arial"/>
                <w:sz w:val="24"/>
              </w:rPr>
              <w:t>项</w:t>
            </w:r>
          </w:p>
        </w:tc>
        <w:tc>
          <w:tcPr>
            <w:tcW w:w="3040" w:type="dxa"/>
            <w:vAlign w:val="center"/>
          </w:tcPr>
          <w:p>
            <w:pPr>
              <w:snapToGrid w:val="0"/>
              <w:spacing w:line="300" w:lineRule="auto"/>
              <w:jc w:val="center"/>
              <w:rPr>
                <w:rFonts w:ascii="宋体" w:hAnsi="宋体" w:cs="Arial"/>
                <w:sz w:val="24"/>
              </w:rPr>
            </w:pPr>
            <w:r>
              <w:rPr>
                <w:rFonts w:ascii="宋体" w:hAnsi="宋体" w:cs="Arial"/>
                <w:sz w:val="24"/>
              </w:rPr>
              <w:t>杭州市</w:t>
            </w:r>
            <w:r>
              <w:rPr>
                <w:rFonts w:hint="eastAsia" w:ascii="宋体" w:hAnsi="宋体" w:cs="Arial"/>
                <w:sz w:val="24"/>
              </w:rPr>
              <w:t>临安</w:t>
            </w:r>
            <w:r>
              <w:rPr>
                <w:rFonts w:ascii="宋体" w:hAnsi="宋体" w:cs="Arial"/>
                <w:sz w:val="24"/>
              </w:rPr>
              <w:t>区范围内</w:t>
            </w:r>
          </w:p>
        </w:tc>
      </w:tr>
    </w:tbl>
    <w:p>
      <w:pPr>
        <w:adjustRightInd w:val="0"/>
        <w:snapToGrid w:val="0"/>
        <w:spacing w:line="300" w:lineRule="auto"/>
        <w:ind w:firstLine="472" w:firstLineChars="196"/>
        <w:rPr>
          <w:rFonts w:ascii="宋体" w:hAnsi="宋体" w:cs="Arial"/>
          <w:b/>
          <w:sz w:val="24"/>
        </w:rPr>
      </w:pPr>
      <w:bookmarkStart w:id="7" w:name="_Toc349729288"/>
      <w:bookmarkStart w:id="8" w:name="_Toc313101777"/>
      <w:r>
        <w:rPr>
          <w:rFonts w:hint="eastAsia" w:ascii="宋体" w:hAnsi="宋体" w:cs="Arial"/>
          <w:b/>
          <w:sz w:val="24"/>
        </w:rPr>
        <w:t>说明：</w:t>
      </w:r>
      <w:r>
        <w:rPr>
          <w:rFonts w:ascii="宋体" w:hAnsi="宋体" w:cs="Arial"/>
          <w:b/>
          <w:sz w:val="24"/>
        </w:rPr>
        <w:t>招标文件中所有带</w:t>
      </w:r>
      <w:r>
        <w:rPr>
          <w:rFonts w:ascii="宋体" w:hAnsi="宋体" w:cs="Arial"/>
          <w:b/>
          <w:kern w:val="0"/>
          <w:sz w:val="24"/>
        </w:rPr>
        <w:t>▲</w:t>
      </w:r>
      <w:r>
        <w:rPr>
          <w:rFonts w:ascii="宋体" w:hAnsi="宋体" w:cs="Arial"/>
          <w:b/>
          <w:sz w:val="24"/>
        </w:rPr>
        <w:t>的内容是采购人提出的实质性条款，投标文件响应内容若不满足实质性条款内容，该投标文件将被评标委员会认定为无效。</w:t>
      </w:r>
    </w:p>
    <w:p>
      <w:pPr>
        <w:pStyle w:val="2"/>
        <w:tabs>
          <w:tab w:val="clear" w:pos="2985"/>
        </w:tabs>
        <w:spacing w:before="156"/>
        <w:ind w:firstLine="482"/>
        <w:rPr>
          <w:rFonts w:ascii="宋体" w:hAnsi="宋体" w:cs="Arial"/>
          <w:sz w:val="24"/>
          <w:szCs w:val="24"/>
        </w:rPr>
      </w:pPr>
      <w:r>
        <w:rPr>
          <w:rFonts w:ascii="宋体" w:hAnsi="宋体" w:cs="Arial"/>
          <w:sz w:val="24"/>
          <w:szCs w:val="24"/>
        </w:rPr>
        <w:t>二、采购需求</w:t>
      </w:r>
      <w:bookmarkEnd w:id="7"/>
    </w:p>
    <w:bookmarkEnd w:id="8"/>
    <w:p>
      <w:pPr>
        <w:pStyle w:val="3"/>
        <w:snapToGrid w:val="0"/>
        <w:ind w:firstLine="482"/>
        <w:rPr>
          <w:rFonts w:ascii="宋体" w:hAnsi="宋体" w:cs="Arial"/>
          <w:sz w:val="24"/>
          <w:szCs w:val="24"/>
        </w:rPr>
      </w:pPr>
      <w:r>
        <w:rPr>
          <w:rFonts w:ascii="宋体" w:hAnsi="宋体" w:cs="Arial"/>
          <w:sz w:val="24"/>
          <w:szCs w:val="24"/>
        </w:rPr>
        <w:t>（一）设计对象区域范围</w:t>
      </w:r>
    </w:p>
    <w:tbl>
      <w:tblPr>
        <w:tblStyle w:val="14"/>
        <w:tblW w:w="8334" w:type="dxa"/>
        <w:tblInd w:w="0" w:type="dxa"/>
        <w:tblLayout w:type="autofit"/>
        <w:tblCellMar>
          <w:top w:w="0" w:type="dxa"/>
          <w:left w:w="0" w:type="dxa"/>
          <w:bottom w:w="0" w:type="dxa"/>
          <w:right w:w="0" w:type="dxa"/>
        </w:tblCellMar>
      </w:tblPr>
      <w:tblGrid>
        <w:gridCol w:w="1019"/>
        <w:gridCol w:w="1454"/>
        <w:gridCol w:w="2467"/>
        <w:gridCol w:w="1697"/>
        <w:gridCol w:w="1697"/>
      </w:tblGrid>
      <w:tr>
        <w:tblPrEx>
          <w:tblCellMar>
            <w:top w:w="0" w:type="dxa"/>
            <w:left w:w="0" w:type="dxa"/>
            <w:bottom w:w="0" w:type="dxa"/>
            <w:right w:w="0" w:type="dxa"/>
          </w:tblCellMar>
        </w:tblPrEx>
        <w:trPr>
          <w:trHeight w:val="512"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序号</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道路名称</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起</w:t>
            </w:r>
            <w:r>
              <w:rPr>
                <w:rFonts w:ascii="宋体" w:hAnsi="宋体"/>
                <w:b/>
                <w:kern w:val="0"/>
                <w:sz w:val="24"/>
              </w:rPr>
              <w:t xml:space="preserve"> </w:t>
            </w:r>
            <w:r>
              <w:rPr>
                <w:rFonts w:hint="eastAsia" w:ascii="宋体" w:hAnsi="宋体" w:cs="宋体"/>
                <w:b/>
                <w:kern w:val="0"/>
                <w:sz w:val="24"/>
              </w:rPr>
              <w:t>止</w:t>
            </w:r>
            <w:r>
              <w:rPr>
                <w:rFonts w:ascii="宋体" w:hAnsi="宋体"/>
                <w:b/>
                <w:kern w:val="0"/>
                <w:sz w:val="24"/>
              </w:rPr>
              <w:t xml:space="preserve"> </w:t>
            </w:r>
            <w:r>
              <w:rPr>
                <w:rFonts w:hint="eastAsia" w:ascii="宋体" w:hAnsi="宋体" w:cs="宋体"/>
                <w:b/>
                <w:kern w:val="0"/>
                <w:sz w:val="24"/>
              </w:rPr>
              <w:t>地</w:t>
            </w:r>
            <w:r>
              <w:rPr>
                <w:rFonts w:ascii="宋体" w:hAnsi="宋体"/>
                <w:b/>
                <w:kern w:val="0"/>
                <w:sz w:val="24"/>
              </w:rPr>
              <w:t xml:space="preserve"> </w:t>
            </w:r>
            <w:r>
              <w:rPr>
                <w:rFonts w:hint="eastAsia" w:ascii="宋体" w:hAnsi="宋体" w:cs="宋体"/>
                <w:b/>
                <w:kern w:val="0"/>
                <w:sz w:val="24"/>
              </w:rPr>
              <w:t>点</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 w:val="24"/>
              </w:rPr>
            </w:pPr>
            <w:r>
              <w:rPr>
                <w:rFonts w:hint="eastAsia" w:ascii="宋体" w:hAnsi="宋体" w:cs="宋体"/>
                <w:b/>
                <w:kern w:val="0"/>
                <w:sz w:val="24"/>
              </w:rPr>
              <w:t>长度(</w:t>
            </w:r>
            <w:r>
              <w:rPr>
                <w:rFonts w:ascii="宋体" w:hAnsi="宋体"/>
                <w:b/>
                <w:kern w:val="0"/>
                <w:sz w:val="24"/>
              </w:rPr>
              <w:t>m</w:t>
            </w:r>
            <w:r>
              <w:rPr>
                <w:rFonts w:hint="eastAsia" w:ascii="宋体" w:hAnsi="宋体" w:cs="宋体"/>
                <w:b/>
                <w:kern w:val="0"/>
                <w:sz w:val="24"/>
              </w:rPr>
              <w:t>)</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kern w:val="0"/>
                <w:sz w:val="24"/>
              </w:rPr>
            </w:pPr>
            <w:r>
              <w:rPr>
                <w:rFonts w:hint="eastAsia" w:ascii="宋体" w:hAnsi="宋体" w:cs="宋体"/>
                <w:b/>
                <w:kern w:val="0"/>
                <w:sz w:val="24"/>
              </w:rPr>
              <w:t>备注</w:t>
            </w: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kern w:val="0"/>
                <w:sz w:val="24"/>
              </w:rPr>
              <w:t>1</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农林大路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钱王街—长桥路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942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长桥路—环北路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1270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苕溪路</w:t>
            </w:r>
            <w:r>
              <w:rPr>
                <w:rFonts w:ascii="宋体" w:hAnsi="宋体"/>
                <w:kern w:val="0"/>
                <w:sz w:val="24"/>
              </w:rPr>
              <w:t>—</w:t>
            </w:r>
            <w:r>
              <w:rPr>
                <w:rFonts w:hint="eastAsia" w:ascii="宋体" w:hAnsi="宋体" w:cs="宋体"/>
                <w:kern w:val="0"/>
                <w:sz w:val="24"/>
              </w:rPr>
              <w:t>临余公路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锦天路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钱王街—群利桥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740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钱王街—临西桥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1400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武肃街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平山公路—茶山脚</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812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86"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茶山脚—石临公路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852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平山路—北入城口</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1900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6"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4</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万马路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石镜街—钱王街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钱王街—新民街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720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71"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新民街—环北路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1776</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吴越街—石镜街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271</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sz w:val="24"/>
              </w:rPr>
            </w:pPr>
            <w:r>
              <w:rPr>
                <w:rFonts w:hint="eastAsia" w:ascii="宋体" w:hAnsi="宋体" w:cs="宋体"/>
                <w:kern w:val="0"/>
                <w:sz w:val="24"/>
              </w:rPr>
              <w:t>吴越大街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江桥路至锦天路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2880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71" w:hRule="atLeast"/>
        </w:trPr>
        <w:tc>
          <w:tcPr>
            <w:tcW w:w="10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衣锦街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环城东路—市府大门</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637</w:t>
            </w:r>
          </w:p>
        </w:tc>
        <w:tc>
          <w:tcPr>
            <w:tcW w:w="169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重要道路</w:t>
            </w: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市府大门—临安大厦</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530</w:t>
            </w: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临安大厦—临天桥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550</w:t>
            </w:r>
          </w:p>
        </w:tc>
        <w:tc>
          <w:tcPr>
            <w:tcW w:w="169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苕溪北街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临天桥—临水桥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820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临水桥—临东桥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1155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临东桥—长桥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315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8</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苕溪南路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临天桥—环城西路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1475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临天桥—临水桥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780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01"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临水桥—环东路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710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9</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新民街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江桥路—临天路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356</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01"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临天路—天屹路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560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天屹路—万马路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60"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老环城西路—甘塘堰</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1500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10</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九州街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玲珑大道—卦畈路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1825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60"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杭昱公路连接线—锦溪桥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1380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11</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卦畈路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群利桥—看守所</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1969</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73"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12</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玲珑山路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钱王街—杭昱公路（北）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760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13</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北入城口</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环北路—西墅街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750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14</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竹林大街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西墅街叉口—环东路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2047</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15</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西墅街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三叉口—临西桥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1520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16</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广场路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城中街—衣锦街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272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17</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临水路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临水桥—竹林大桥</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环北路—规划三号路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1000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竹林街—环城北路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420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6"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18</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苕溪北路北侧一号地块道路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天阳幼儿园西侧</w:t>
            </w:r>
          </w:p>
        </w:tc>
        <w:tc>
          <w:tcPr>
            <w:tcW w:w="16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312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r>
      <w:tr>
        <w:tblPrEx>
          <w:tblCellMar>
            <w:top w:w="0" w:type="dxa"/>
            <w:left w:w="0" w:type="dxa"/>
            <w:bottom w:w="0" w:type="dxa"/>
            <w:right w:w="0" w:type="dxa"/>
          </w:tblCellMar>
        </w:tblPrEx>
        <w:trPr>
          <w:trHeight w:val="476"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西林街—竹林大街</w:t>
            </w:r>
          </w:p>
        </w:tc>
        <w:tc>
          <w:tcPr>
            <w:tcW w:w="16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19</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天屹路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新民街—石镜街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964</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01"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石镜街—天屹集团</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252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20</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马溪路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青年路—竹林街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744</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403"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竹林街—环城北路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540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21</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横潭路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城中街—石镜街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616</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8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石镜街—吴越街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252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8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北延</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180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22</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白沙岭道路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钱王街—城中街</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380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38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23</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碧桂苑路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苕溪北路—</w:t>
            </w:r>
            <w:r>
              <w:rPr>
                <w:rFonts w:ascii="宋体" w:hAnsi="宋体"/>
                <w:kern w:val="0"/>
                <w:sz w:val="24"/>
              </w:rPr>
              <w:t>2#</w:t>
            </w:r>
            <w:r>
              <w:rPr>
                <w:rFonts w:hint="eastAsia" w:ascii="宋体" w:hAnsi="宋体" w:cs="宋体"/>
                <w:kern w:val="0"/>
                <w:sz w:val="24"/>
              </w:rPr>
              <w:t>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335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3#</w:t>
            </w:r>
            <w:r>
              <w:rPr>
                <w:rFonts w:hint="eastAsia" w:ascii="宋体" w:hAnsi="宋体" w:cs="宋体"/>
                <w:kern w:val="0"/>
                <w:sz w:val="24"/>
              </w:rPr>
              <w:t>路—</w:t>
            </w:r>
            <w:r>
              <w:rPr>
                <w:rFonts w:ascii="宋体" w:hAnsi="宋体"/>
                <w:kern w:val="0"/>
                <w:sz w:val="24"/>
              </w:rPr>
              <w:t>1#</w:t>
            </w:r>
            <w:r>
              <w:rPr>
                <w:rFonts w:hint="eastAsia" w:ascii="宋体" w:hAnsi="宋体" w:cs="宋体"/>
                <w:kern w:val="0"/>
                <w:sz w:val="24"/>
              </w:rPr>
              <w:t>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245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494"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24</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经济适用房三期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环北路—规划</w:t>
            </w:r>
            <w:r>
              <w:rPr>
                <w:rFonts w:ascii="宋体" w:hAnsi="宋体"/>
                <w:kern w:val="0"/>
                <w:sz w:val="24"/>
              </w:rPr>
              <w:t>2#</w:t>
            </w:r>
            <w:r>
              <w:rPr>
                <w:rFonts w:hint="eastAsia" w:ascii="宋体" w:hAnsi="宋体" w:cs="宋体"/>
                <w:kern w:val="0"/>
                <w:sz w:val="24"/>
              </w:rPr>
              <w:t>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900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494"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25</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检察院区块道路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老环西路—玲三路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475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783"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26</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经济适用房三期东西向规划</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临水路北延段</w:t>
            </w:r>
            <w:r>
              <w:rPr>
                <w:rFonts w:ascii="宋体" w:hAnsi="宋体"/>
                <w:kern w:val="0"/>
                <w:sz w:val="24"/>
              </w:rPr>
              <w:t>-</w:t>
            </w:r>
            <w:r>
              <w:rPr>
                <w:rFonts w:hint="eastAsia" w:ascii="宋体" w:hAnsi="宋体" w:cs="宋体"/>
                <w:kern w:val="0"/>
                <w:sz w:val="24"/>
              </w:rPr>
              <w:t>经济适用房东侧现状路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285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27</w:t>
            </w:r>
          </w:p>
        </w:tc>
        <w:tc>
          <w:tcPr>
            <w:tcW w:w="1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圣园路</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钱王大街—泥山湾路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440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432" w:hRule="atLeast"/>
        </w:trPr>
        <w:tc>
          <w:tcPr>
            <w:tcW w:w="10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sz w:val="24"/>
              </w:rPr>
            </w:pPr>
          </w:p>
        </w:tc>
        <w:tc>
          <w:tcPr>
            <w:tcW w:w="1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桩号</w:t>
            </w:r>
            <w:r>
              <w:rPr>
                <w:rFonts w:ascii="宋体" w:hAnsi="宋体"/>
                <w:kern w:val="0"/>
                <w:sz w:val="24"/>
              </w:rPr>
              <w:t>0+720</w:t>
            </w:r>
            <w:r>
              <w:rPr>
                <w:rFonts w:hint="eastAsia" w:ascii="宋体" w:hAnsi="宋体" w:cs="宋体"/>
                <w:kern w:val="0"/>
                <w:sz w:val="24"/>
              </w:rPr>
              <w:t>—</w:t>
            </w:r>
            <w:r>
              <w:rPr>
                <w:rFonts w:ascii="宋体" w:hAnsi="宋体"/>
                <w:kern w:val="0"/>
                <w:sz w:val="24"/>
              </w:rPr>
              <w:t>1+185</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768</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28</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大学路北延</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环城北路—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2600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29</w:t>
            </w:r>
          </w:p>
        </w:tc>
        <w:tc>
          <w:tcPr>
            <w:tcW w:w="1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花石街</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万马路-保锦路</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kern w:val="0"/>
                <w:sz w:val="24"/>
              </w:rPr>
              <w:t>450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p>
        </w:tc>
      </w:tr>
      <w:tr>
        <w:tblPrEx>
          <w:tblCellMar>
            <w:top w:w="0" w:type="dxa"/>
            <w:left w:w="0" w:type="dxa"/>
            <w:bottom w:w="0" w:type="dxa"/>
            <w:right w:w="0" w:type="dxa"/>
          </w:tblCellMar>
        </w:tblPrEx>
        <w:trPr>
          <w:trHeight w:val="268" w:hRule="atLeast"/>
        </w:trPr>
        <w:tc>
          <w:tcPr>
            <w:tcW w:w="49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宋体" w:hAnsi="宋体"/>
                <w:sz w:val="24"/>
              </w:rPr>
            </w:pPr>
            <w:r>
              <w:rPr>
                <w:rFonts w:hint="eastAsia" w:ascii="宋体" w:hAnsi="宋体"/>
                <w:sz w:val="24"/>
              </w:rPr>
              <w:t>合计</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r>
              <w:rPr>
                <w:rFonts w:ascii="宋体" w:hAnsi="宋体"/>
                <w:b/>
                <w:kern w:val="0"/>
                <w:sz w:val="24"/>
              </w:rPr>
              <w:t>47432</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p>
        </w:tc>
      </w:tr>
    </w:tbl>
    <w:p>
      <w:pPr>
        <w:pStyle w:val="3"/>
        <w:snapToGrid w:val="0"/>
        <w:ind w:firstLine="482"/>
        <w:rPr>
          <w:rFonts w:ascii="宋体" w:hAnsi="宋体" w:cs="Arial"/>
          <w:sz w:val="24"/>
          <w:szCs w:val="24"/>
        </w:rPr>
      </w:pPr>
      <w:r>
        <w:rPr>
          <w:rFonts w:ascii="宋体" w:hAnsi="宋体" w:cs="Arial"/>
          <w:sz w:val="24"/>
          <w:szCs w:val="24"/>
        </w:rPr>
        <w:t>（二）户外广告设置详细规划要求</w:t>
      </w:r>
    </w:p>
    <w:p>
      <w:pPr>
        <w:snapToGrid w:val="0"/>
        <w:spacing w:line="300" w:lineRule="auto"/>
        <w:ind w:firstLine="480" w:firstLineChars="200"/>
        <w:rPr>
          <w:rFonts w:ascii="宋体" w:hAnsi="宋体" w:cs="Arial"/>
          <w:sz w:val="24"/>
        </w:rPr>
      </w:pPr>
      <w:r>
        <w:rPr>
          <w:rFonts w:ascii="宋体" w:hAnsi="宋体" w:cs="Arial"/>
          <w:sz w:val="24"/>
        </w:rPr>
        <w:t>严格按照《杭州市户外广告设施和招牌指示牌管理条例》、《杭州市区户外广告设置总体规划（修编）》、《杭州市区户外广告和店招牌设置详细规划编制导则》要求，编制单位应对道路两侧的户外广告和店招作详细的调研分析，了解建成环境以及现状业态特征，合理安排待规划户外广告和店招的位置和方式。规划成果必须针对街区范围内的每幢建筑物（含建筑物、构筑物、桥梁等）和公共空间部分（含道路、绿地、广场等），通过户外广告和店招的规划文本、规划说明以及相应的规划导则控制图表达。</w:t>
      </w:r>
    </w:p>
    <w:p>
      <w:pPr>
        <w:snapToGrid w:val="0"/>
        <w:spacing w:line="300" w:lineRule="auto"/>
        <w:ind w:firstLine="480" w:firstLineChars="200"/>
        <w:rPr>
          <w:rFonts w:ascii="宋体" w:hAnsi="宋体" w:cs="Arial"/>
          <w:sz w:val="24"/>
        </w:rPr>
      </w:pPr>
      <w:r>
        <w:rPr>
          <w:rFonts w:ascii="宋体" w:hAnsi="宋体" w:cs="Arial"/>
          <w:sz w:val="24"/>
        </w:rPr>
        <w:t>具体内容如下：</w:t>
      </w:r>
    </w:p>
    <w:p>
      <w:pPr>
        <w:snapToGrid w:val="0"/>
        <w:spacing w:line="300" w:lineRule="auto"/>
        <w:ind w:firstLine="480" w:firstLineChars="200"/>
        <w:outlineLvl w:val="3"/>
        <w:rPr>
          <w:rFonts w:ascii="宋体" w:hAnsi="宋体" w:cs="Arial"/>
          <w:sz w:val="24"/>
        </w:rPr>
      </w:pPr>
      <w:r>
        <w:rPr>
          <w:rFonts w:ascii="宋体" w:hAnsi="宋体" w:cs="Arial"/>
          <w:sz w:val="24"/>
        </w:rPr>
        <w:t>1. 规划文本</w:t>
      </w:r>
    </w:p>
    <w:p>
      <w:pPr>
        <w:snapToGrid w:val="0"/>
        <w:spacing w:line="300" w:lineRule="auto"/>
        <w:ind w:firstLine="480" w:firstLineChars="200"/>
        <w:rPr>
          <w:rFonts w:ascii="宋体" w:hAnsi="宋体" w:cs="Arial"/>
          <w:sz w:val="24"/>
        </w:rPr>
      </w:pPr>
      <w:r>
        <w:rPr>
          <w:rFonts w:ascii="宋体" w:hAnsi="宋体" w:cs="Arial"/>
          <w:sz w:val="24"/>
        </w:rPr>
        <w:t>以条例的形式表现，要求内容全面、文字简练、层次清楚。一般包括规划总则、规划依据、指导思想、规划原则、功能定位、规划目标、广告设置空间管制、广告控制总则、街道户外广告和店招设置规划、附属于建筑上户外广告和店招设置规划、实施措施等。</w:t>
      </w:r>
    </w:p>
    <w:p>
      <w:pPr>
        <w:snapToGrid w:val="0"/>
        <w:spacing w:line="300" w:lineRule="auto"/>
        <w:ind w:firstLine="480" w:firstLineChars="200"/>
        <w:outlineLvl w:val="3"/>
        <w:rPr>
          <w:rFonts w:ascii="宋体" w:hAnsi="宋体" w:cs="Arial"/>
          <w:sz w:val="24"/>
        </w:rPr>
      </w:pPr>
      <w:r>
        <w:rPr>
          <w:rFonts w:ascii="宋体" w:hAnsi="宋体" w:cs="Arial"/>
          <w:sz w:val="24"/>
        </w:rPr>
        <w:t>2. 规划图件</w:t>
      </w:r>
    </w:p>
    <w:p>
      <w:pPr>
        <w:snapToGrid w:val="0"/>
        <w:spacing w:line="300" w:lineRule="auto"/>
        <w:ind w:firstLine="480" w:firstLineChars="200"/>
        <w:rPr>
          <w:rFonts w:ascii="宋体" w:hAnsi="宋体" w:cs="Arial"/>
          <w:sz w:val="24"/>
        </w:rPr>
      </w:pPr>
      <w:r>
        <w:rPr>
          <w:rFonts w:ascii="宋体" w:hAnsi="宋体" w:cs="Arial"/>
          <w:sz w:val="24"/>
        </w:rPr>
        <w:t>可根据编制内容确定，由规划分析图纸和户外广告、店招设置控制图则构成。具体包括如下内容：区域位置图、用地现状图、街道空间户外广告和店招设置现状分析图、附属于建筑物上户外广告和店招设置现状分析图、用地性质图、空间景观规划图、户外广告设置空间管制分析图、在城市开放空间上设置的户外广告规划图、附属于建筑上设置户外广告和店招规划图、电子屏广告设置示意图、重要界面广告设置示意图、其他根据规划需要自定的图纸。</w:t>
      </w:r>
    </w:p>
    <w:p>
      <w:pPr>
        <w:snapToGrid w:val="0"/>
        <w:spacing w:line="300" w:lineRule="auto"/>
        <w:ind w:firstLine="480" w:firstLineChars="200"/>
        <w:outlineLvl w:val="3"/>
        <w:rPr>
          <w:rFonts w:ascii="宋体" w:hAnsi="宋体" w:cs="Arial"/>
          <w:sz w:val="24"/>
        </w:rPr>
      </w:pPr>
      <w:r>
        <w:rPr>
          <w:rFonts w:ascii="宋体" w:hAnsi="宋体" w:cs="Arial"/>
          <w:sz w:val="24"/>
        </w:rPr>
        <w:t>3. 规划说明</w:t>
      </w:r>
    </w:p>
    <w:p>
      <w:pPr>
        <w:snapToGrid w:val="0"/>
        <w:spacing w:line="300" w:lineRule="auto"/>
        <w:ind w:firstLine="480" w:firstLineChars="200"/>
        <w:rPr>
          <w:rFonts w:ascii="宋体" w:hAnsi="宋体" w:cs="Arial"/>
          <w:sz w:val="24"/>
        </w:rPr>
      </w:pPr>
      <w:r>
        <w:rPr>
          <w:rFonts w:ascii="宋体" w:hAnsi="宋体" w:cs="Arial"/>
          <w:sz w:val="24"/>
        </w:rPr>
        <w:t>是对规划文本和图纸的解释说明，是规划附件，可采取图文并茂的表达形式。基本内容包括：项目概况、现状调查与评价、对上轮规划和技术规定的解读、广告设置空间管制分析、户外广告和店招设置规划、规划实施措施。</w:t>
      </w:r>
    </w:p>
    <w:p>
      <w:pPr>
        <w:snapToGrid w:val="0"/>
        <w:spacing w:line="300" w:lineRule="auto"/>
        <w:ind w:firstLine="480" w:firstLineChars="200"/>
        <w:outlineLvl w:val="3"/>
        <w:rPr>
          <w:rFonts w:ascii="宋体" w:hAnsi="宋体" w:cs="Arial"/>
          <w:sz w:val="24"/>
        </w:rPr>
      </w:pPr>
      <w:r>
        <w:rPr>
          <w:rFonts w:ascii="宋体" w:hAnsi="宋体" w:cs="Arial"/>
          <w:sz w:val="24"/>
        </w:rPr>
        <w:t>4. 规划重点</w:t>
      </w:r>
    </w:p>
    <w:p>
      <w:pPr>
        <w:snapToGrid w:val="0"/>
        <w:spacing w:line="300" w:lineRule="auto"/>
        <w:ind w:firstLine="480" w:firstLineChars="200"/>
        <w:rPr>
          <w:rFonts w:ascii="宋体" w:hAnsi="宋体" w:cs="Arial"/>
          <w:sz w:val="24"/>
        </w:rPr>
      </w:pPr>
      <w:r>
        <w:rPr>
          <w:rFonts w:ascii="宋体" w:hAnsi="宋体" w:cs="Arial"/>
          <w:sz w:val="24"/>
        </w:rPr>
        <w:t>主要包括现状分析、环境分析、目标确定、空间布局、主要任务、保障措施等方面内容。</w:t>
      </w:r>
    </w:p>
    <w:p>
      <w:pPr>
        <w:snapToGrid w:val="0"/>
        <w:spacing w:line="300" w:lineRule="auto"/>
        <w:ind w:firstLine="480" w:firstLineChars="200"/>
        <w:outlineLvl w:val="3"/>
        <w:rPr>
          <w:rFonts w:ascii="宋体" w:hAnsi="宋体" w:cs="Arial"/>
          <w:sz w:val="24"/>
        </w:rPr>
      </w:pPr>
      <w:r>
        <w:rPr>
          <w:rFonts w:ascii="宋体" w:hAnsi="宋体" w:cs="Arial"/>
          <w:sz w:val="24"/>
        </w:rPr>
        <w:t>5. 具体控制要求：</w:t>
      </w:r>
    </w:p>
    <w:p>
      <w:pPr>
        <w:snapToGrid w:val="0"/>
        <w:spacing w:line="300" w:lineRule="auto"/>
        <w:ind w:firstLine="480" w:firstLineChars="200"/>
        <w:rPr>
          <w:rFonts w:ascii="宋体" w:hAnsi="宋体" w:cs="Arial"/>
          <w:sz w:val="24"/>
        </w:rPr>
      </w:pPr>
      <w:r>
        <w:rPr>
          <w:rFonts w:ascii="宋体" w:hAnsi="宋体" w:cs="Arial"/>
          <w:sz w:val="24"/>
        </w:rPr>
        <w:t>（1）户外广告控制要求：路口、绿地原则禁止设置商业广告；结合立面形式鼓励采用镂空发光字体，企业LOGO及画面式广告。宜采用橱窗，投影，电子屏等形式。附属于商业及商业综合体外立面户外广告面积可增加10%。橱窗广告画面宜采用暖色，不宜采用对比强烈的配色。鼓励采用不锈钢、 PC板、有机玻璃、铝塑等高品质材质，提高广告的精致程度。</w:t>
      </w:r>
    </w:p>
    <w:p>
      <w:pPr>
        <w:snapToGrid w:val="0"/>
        <w:spacing w:line="300" w:lineRule="auto"/>
        <w:ind w:firstLine="480" w:firstLineChars="200"/>
        <w:rPr>
          <w:rFonts w:ascii="宋体" w:hAnsi="宋体" w:cs="Arial"/>
          <w:sz w:val="24"/>
        </w:rPr>
      </w:pPr>
      <w:r>
        <w:rPr>
          <w:rFonts w:ascii="宋体" w:hAnsi="宋体" w:cs="Arial"/>
          <w:sz w:val="24"/>
        </w:rPr>
        <w:t>（2）户外招牌控制要求：鼓励结合高层建筑顶层实体墙面设置建筑标识，增强地区的可识别性，建筑标识应采用镂空发光字体，店招招牌宜采用镂空发光字体，</w:t>
      </w:r>
      <w:r>
        <w:rPr>
          <w:rFonts w:hint="eastAsia" w:ascii="宋体" w:hAnsi="宋体" w:cs="Arial"/>
          <w:sz w:val="24"/>
        </w:rPr>
        <w:t>结合景观和街区特色</w:t>
      </w:r>
      <w:r>
        <w:rPr>
          <w:rFonts w:ascii="宋体" w:hAnsi="宋体" w:cs="Arial"/>
          <w:sz w:val="24"/>
        </w:rPr>
        <w:t>可设置外挑式灯箱</w:t>
      </w:r>
      <w:r>
        <w:rPr>
          <w:rFonts w:hint="eastAsia" w:ascii="宋体" w:hAnsi="宋体" w:cs="Arial"/>
          <w:sz w:val="24"/>
        </w:rPr>
        <w:t>，</w:t>
      </w:r>
      <w:r>
        <w:rPr>
          <w:rFonts w:ascii="宋体" w:hAnsi="宋体" w:cs="Arial"/>
          <w:sz w:val="24"/>
        </w:rPr>
        <w:t>宜采用暖色调。不宜使用过于个性的字体和字号。</w:t>
      </w:r>
    </w:p>
    <w:p>
      <w:pPr>
        <w:snapToGrid w:val="0"/>
        <w:spacing w:line="300" w:lineRule="auto"/>
        <w:ind w:firstLine="480" w:firstLineChars="200"/>
        <w:rPr>
          <w:rFonts w:ascii="宋体" w:hAnsi="宋体" w:cs="Arial"/>
          <w:color w:val="FF0000"/>
          <w:sz w:val="24"/>
        </w:rPr>
      </w:pPr>
      <w:r>
        <w:rPr>
          <w:rFonts w:hint="eastAsia" w:ascii="宋体" w:hAnsi="宋体" w:cs="Arial"/>
          <w:color w:val="FF0000"/>
          <w:sz w:val="24"/>
        </w:rPr>
        <w:t>（3）广告规划位数据要求：对每个广告位进行唯一编码，规划位中心点坐标（2000坐标系），按要求接入数字驾驶舱。</w:t>
      </w:r>
    </w:p>
    <w:p>
      <w:pPr>
        <w:pStyle w:val="22"/>
        <w:snapToGrid w:val="0"/>
        <w:spacing w:line="300" w:lineRule="auto"/>
        <w:ind w:firstLine="482"/>
        <w:outlineLvl w:val="2"/>
        <w:rPr>
          <w:rFonts w:ascii="宋体" w:hAnsi="宋体" w:cs="Arial"/>
          <w:b/>
          <w:bCs/>
          <w:szCs w:val="24"/>
        </w:rPr>
      </w:pPr>
      <w:r>
        <w:rPr>
          <w:rFonts w:ascii="宋体" w:hAnsi="宋体" w:cs="Arial"/>
          <w:b/>
          <w:bCs/>
          <w:szCs w:val="24"/>
        </w:rPr>
        <w:t>（三）三维立体实景图</w:t>
      </w:r>
    </w:p>
    <w:p>
      <w:pPr>
        <w:widowControl/>
        <w:adjustRightInd w:val="0"/>
        <w:snapToGrid w:val="0"/>
        <w:spacing w:line="300" w:lineRule="auto"/>
        <w:ind w:firstLine="480" w:firstLineChars="200"/>
        <w:jc w:val="left"/>
        <w:rPr>
          <w:rFonts w:ascii="宋体" w:hAnsi="宋体" w:cs="Arial"/>
          <w:sz w:val="24"/>
        </w:rPr>
      </w:pPr>
      <w:r>
        <w:rPr>
          <w:rFonts w:ascii="宋体" w:hAnsi="宋体" w:cs="Arial"/>
          <w:sz w:val="24"/>
        </w:rPr>
        <w:t>编制三维立体实景图，实现户外广告、户外招牌规划内容的可视化。</w:t>
      </w:r>
    </w:p>
    <w:p>
      <w:pPr>
        <w:pStyle w:val="22"/>
        <w:snapToGrid w:val="0"/>
        <w:spacing w:line="300" w:lineRule="auto"/>
        <w:ind w:firstLine="482"/>
        <w:outlineLvl w:val="2"/>
        <w:rPr>
          <w:rFonts w:ascii="宋体" w:hAnsi="宋体" w:cs="Arial"/>
          <w:b/>
          <w:bCs/>
          <w:szCs w:val="24"/>
        </w:rPr>
      </w:pPr>
      <w:r>
        <w:rPr>
          <w:rFonts w:ascii="宋体" w:hAnsi="宋体" w:cs="Arial"/>
          <w:b/>
          <w:bCs/>
          <w:szCs w:val="24"/>
        </w:rPr>
        <w:t>（四）规划成果质量保证</w:t>
      </w:r>
    </w:p>
    <w:p>
      <w:pPr>
        <w:snapToGrid w:val="0"/>
        <w:spacing w:line="300" w:lineRule="auto"/>
        <w:ind w:firstLine="480" w:firstLineChars="200"/>
        <w:rPr>
          <w:rFonts w:ascii="宋体" w:hAnsi="宋体" w:cs="Arial"/>
          <w:sz w:val="24"/>
        </w:rPr>
      </w:pPr>
      <w:r>
        <w:rPr>
          <w:rFonts w:ascii="宋体" w:hAnsi="宋体" w:cs="Arial"/>
          <w:sz w:val="24"/>
        </w:rPr>
        <w:t>1. 必须确保规划的实施达到国家法律法规和有关部门的相应文件的具体要求及本文件的要求。</w:t>
      </w:r>
    </w:p>
    <w:p>
      <w:pPr>
        <w:snapToGrid w:val="0"/>
        <w:spacing w:line="300" w:lineRule="auto"/>
        <w:ind w:firstLine="480" w:firstLineChars="200"/>
        <w:rPr>
          <w:rFonts w:ascii="宋体" w:hAnsi="宋体" w:cs="Arial"/>
          <w:sz w:val="24"/>
        </w:rPr>
      </w:pPr>
      <w:r>
        <w:rPr>
          <w:rFonts w:ascii="宋体" w:hAnsi="宋体" w:cs="Arial"/>
          <w:sz w:val="24"/>
        </w:rPr>
        <w:t>2. 规划必须通过有关专家的论证及杭州市有关政府部门的评审验收。</w:t>
      </w:r>
    </w:p>
    <w:p>
      <w:pPr>
        <w:snapToGrid w:val="0"/>
        <w:spacing w:line="300" w:lineRule="auto"/>
        <w:ind w:firstLine="480" w:firstLineChars="200"/>
        <w:rPr>
          <w:rFonts w:ascii="宋体" w:hAnsi="宋体" w:cs="Arial"/>
          <w:sz w:val="24"/>
        </w:rPr>
      </w:pPr>
      <w:r>
        <w:rPr>
          <w:rFonts w:ascii="宋体" w:hAnsi="宋体" w:cs="Arial"/>
          <w:sz w:val="24"/>
        </w:rPr>
        <w:t>3. 成果稿包括纸质文本和电子文本，三维立体实景图提供电子稿。</w:t>
      </w:r>
    </w:p>
    <w:p>
      <w:pPr>
        <w:pStyle w:val="3"/>
        <w:snapToGrid w:val="0"/>
        <w:ind w:firstLine="482"/>
        <w:rPr>
          <w:rFonts w:ascii="宋体" w:hAnsi="宋体" w:cs="Arial"/>
          <w:sz w:val="24"/>
          <w:szCs w:val="24"/>
        </w:rPr>
      </w:pPr>
      <w:bookmarkStart w:id="9" w:name="_Toc512119304"/>
      <w:r>
        <w:rPr>
          <w:rFonts w:ascii="宋体" w:hAnsi="宋体" w:cs="Arial"/>
          <w:sz w:val="24"/>
          <w:szCs w:val="24"/>
        </w:rPr>
        <w:t>（五）▲设计期限</w:t>
      </w:r>
      <w:bookmarkEnd w:id="9"/>
    </w:p>
    <w:p>
      <w:pPr>
        <w:snapToGrid w:val="0"/>
        <w:spacing w:line="300" w:lineRule="auto"/>
        <w:ind w:firstLine="480" w:firstLineChars="200"/>
        <w:rPr>
          <w:rFonts w:ascii="宋体" w:hAnsi="宋体" w:cs="Arial"/>
          <w:sz w:val="24"/>
        </w:rPr>
      </w:pPr>
      <w:r>
        <w:rPr>
          <w:rFonts w:ascii="宋体" w:hAnsi="宋体" w:cs="Arial"/>
          <w:sz w:val="24"/>
        </w:rPr>
        <w:t>1. 合同签订后1周内提供详细编制方案；</w:t>
      </w:r>
    </w:p>
    <w:p>
      <w:pPr>
        <w:snapToGrid w:val="0"/>
        <w:spacing w:line="300" w:lineRule="auto"/>
        <w:ind w:firstLine="480" w:firstLineChars="200"/>
        <w:rPr>
          <w:rFonts w:ascii="宋体" w:hAnsi="宋体" w:cs="Arial"/>
          <w:sz w:val="24"/>
        </w:rPr>
      </w:pPr>
      <w:r>
        <w:rPr>
          <w:rFonts w:ascii="宋体" w:hAnsi="宋体" w:cs="Arial"/>
          <w:sz w:val="24"/>
        </w:rPr>
        <w:t>2. 合同签订后</w:t>
      </w:r>
      <w:r>
        <w:rPr>
          <w:rFonts w:hint="eastAsia" w:ascii="宋体" w:hAnsi="宋体" w:cs="Arial"/>
          <w:sz w:val="24"/>
        </w:rPr>
        <w:t>7</w:t>
      </w:r>
      <w:r>
        <w:rPr>
          <w:rFonts w:ascii="宋体" w:hAnsi="宋体" w:cs="Arial"/>
          <w:sz w:val="24"/>
        </w:rPr>
        <w:t>0天内提交评审稿；</w:t>
      </w:r>
    </w:p>
    <w:p>
      <w:pPr>
        <w:snapToGrid w:val="0"/>
        <w:spacing w:line="300" w:lineRule="auto"/>
        <w:ind w:firstLine="480" w:firstLineChars="200"/>
        <w:rPr>
          <w:rFonts w:ascii="宋体" w:hAnsi="宋体" w:cs="Arial"/>
          <w:sz w:val="24"/>
        </w:rPr>
      </w:pPr>
      <w:r>
        <w:rPr>
          <w:rFonts w:ascii="宋体" w:hAnsi="宋体" w:cs="Arial"/>
          <w:sz w:val="24"/>
        </w:rPr>
        <w:t>3. 评审后1个月内提交成果稿。</w:t>
      </w:r>
    </w:p>
    <w:p>
      <w:pPr>
        <w:snapToGrid w:val="0"/>
        <w:spacing w:line="300" w:lineRule="auto"/>
        <w:ind w:firstLine="480" w:firstLineChars="200"/>
        <w:rPr>
          <w:rFonts w:ascii="宋体" w:hAnsi="宋体" w:cs="Arial"/>
          <w:sz w:val="24"/>
        </w:rPr>
      </w:pPr>
      <w:r>
        <w:rPr>
          <w:rFonts w:ascii="宋体" w:hAnsi="宋体" w:cs="Arial"/>
          <w:sz w:val="24"/>
        </w:rPr>
        <w:t>4. 按评审要求修改成果，直至通过评审。</w:t>
      </w:r>
    </w:p>
    <w:p>
      <w:pPr>
        <w:pStyle w:val="3"/>
        <w:snapToGrid w:val="0"/>
        <w:ind w:firstLine="482"/>
        <w:rPr>
          <w:rFonts w:ascii="宋体" w:hAnsi="宋体" w:cs="Arial"/>
          <w:sz w:val="24"/>
          <w:szCs w:val="24"/>
        </w:rPr>
      </w:pPr>
      <w:bookmarkStart w:id="10" w:name="_Toc512119305"/>
      <w:r>
        <w:rPr>
          <w:rFonts w:ascii="宋体" w:hAnsi="宋体" w:cs="Arial"/>
          <w:sz w:val="24"/>
          <w:szCs w:val="24"/>
        </w:rPr>
        <w:t>（六）服务要求</w:t>
      </w:r>
      <w:bookmarkEnd w:id="10"/>
    </w:p>
    <w:p>
      <w:pPr>
        <w:snapToGrid w:val="0"/>
        <w:spacing w:line="300" w:lineRule="auto"/>
        <w:ind w:firstLine="480" w:firstLineChars="200"/>
        <w:rPr>
          <w:rStyle w:val="16"/>
          <w:rFonts w:ascii="宋体" w:hAnsi="宋体" w:cs="Arial"/>
          <w:sz w:val="24"/>
        </w:rPr>
      </w:pPr>
      <w:r>
        <w:rPr>
          <w:rStyle w:val="16"/>
          <w:rFonts w:ascii="宋体" w:hAnsi="宋体" w:cs="Arial"/>
          <w:sz w:val="24"/>
        </w:rPr>
        <w:t>1. 中标人在履行合同义务期间，应遵守国家有关法律、法规、维护采购人的合法权益。</w:t>
      </w:r>
    </w:p>
    <w:p>
      <w:pPr>
        <w:snapToGrid w:val="0"/>
        <w:spacing w:line="300" w:lineRule="auto"/>
        <w:ind w:firstLine="480" w:firstLineChars="200"/>
        <w:rPr>
          <w:rStyle w:val="16"/>
          <w:rFonts w:ascii="宋体" w:hAnsi="宋体" w:cs="Arial"/>
          <w:sz w:val="24"/>
        </w:rPr>
      </w:pPr>
      <w:r>
        <w:rPr>
          <w:rStyle w:val="16"/>
          <w:rFonts w:ascii="宋体" w:hAnsi="宋体" w:cs="Arial"/>
          <w:sz w:val="24"/>
        </w:rPr>
        <w:t>2. 中标人应组建能够满足本项目服务需要的项目小组，按照工作范围和内容完成设计工作，并按约定向采购人汇报工作进展。</w:t>
      </w:r>
    </w:p>
    <w:p>
      <w:pPr>
        <w:snapToGrid w:val="0"/>
        <w:spacing w:line="300" w:lineRule="auto"/>
        <w:ind w:firstLine="480" w:firstLineChars="200"/>
        <w:rPr>
          <w:rStyle w:val="16"/>
          <w:rFonts w:ascii="宋体" w:hAnsi="宋体" w:cs="Arial"/>
          <w:sz w:val="24"/>
        </w:rPr>
      </w:pPr>
      <w:r>
        <w:rPr>
          <w:rStyle w:val="16"/>
          <w:rFonts w:ascii="宋体" w:hAnsi="宋体" w:cs="Arial"/>
          <w:sz w:val="24"/>
        </w:rPr>
        <w:t>3. 投标人应在投标文件中明确投入本项目设计的人员基本配备，明确各节点或岗位的负责人。</w:t>
      </w:r>
    </w:p>
    <w:p>
      <w:pPr>
        <w:snapToGrid w:val="0"/>
        <w:spacing w:line="300" w:lineRule="auto"/>
        <w:ind w:firstLine="480" w:firstLineChars="200"/>
        <w:rPr>
          <w:rStyle w:val="16"/>
          <w:rFonts w:ascii="宋体" w:hAnsi="宋体" w:cs="Arial"/>
          <w:sz w:val="24"/>
        </w:rPr>
      </w:pPr>
      <w:r>
        <w:rPr>
          <w:rStyle w:val="16"/>
          <w:rFonts w:ascii="宋体" w:hAnsi="宋体" w:cs="Arial"/>
          <w:sz w:val="24"/>
        </w:rPr>
        <w:t>4. 项目后续配合服务：配合、协助采购人完成方案汇报、后续配合等工作；</w:t>
      </w:r>
    </w:p>
    <w:p>
      <w:pPr>
        <w:snapToGrid w:val="0"/>
        <w:spacing w:line="300" w:lineRule="auto"/>
        <w:ind w:firstLine="480" w:firstLineChars="200"/>
        <w:rPr>
          <w:rStyle w:val="16"/>
          <w:rFonts w:ascii="宋体" w:hAnsi="宋体" w:cs="Arial"/>
          <w:sz w:val="24"/>
        </w:rPr>
      </w:pPr>
      <w:r>
        <w:rPr>
          <w:rStyle w:val="16"/>
          <w:rFonts w:ascii="宋体" w:hAnsi="宋体" w:cs="Arial"/>
          <w:sz w:val="24"/>
        </w:rPr>
        <w:t>5. 中标人应自行承担项目实施过程中安全生产责任，采购人及使用单位任何情况下均不承担因此产生的任何法律责任和经济责任。</w:t>
      </w:r>
    </w:p>
    <w:p>
      <w:pPr>
        <w:snapToGrid w:val="0"/>
        <w:spacing w:line="300" w:lineRule="auto"/>
        <w:ind w:firstLine="480" w:firstLineChars="200"/>
        <w:rPr>
          <w:rStyle w:val="16"/>
          <w:rFonts w:ascii="宋体" w:hAnsi="宋体" w:cs="Arial"/>
          <w:sz w:val="24"/>
        </w:rPr>
      </w:pPr>
      <w:r>
        <w:rPr>
          <w:rStyle w:val="16"/>
          <w:rFonts w:ascii="宋体" w:hAnsi="宋体" w:cs="Arial"/>
          <w:sz w:val="24"/>
        </w:rPr>
        <w:t>6. 中标人在签订服务合同的同时，应按约定向采购人提交履约保证金。</w:t>
      </w:r>
    </w:p>
    <w:p>
      <w:pPr>
        <w:pStyle w:val="3"/>
        <w:snapToGrid w:val="0"/>
        <w:ind w:firstLine="482"/>
        <w:rPr>
          <w:rFonts w:ascii="宋体" w:hAnsi="宋体" w:cs="Arial"/>
          <w:sz w:val="24"/>
          <w:szCs w:val="24"/>
        </w:rPr>
      </w:pPr>
      <w:bookmarkStart w:id="11" w:name="_Toc512119307"/>
      <w:r>
        <w:rPr>
          <w:rFonts w:ascii="宋体" w:hAnsi="宋体" w:cs="Arial"/>
          <w:sz w:val="24"/>
          <w:szCs w:val="24"/>
        </w:rPr>
        <w:t>（七）专利及知识产权</w:t>
      </w:r>
      <w:bookmarkEnd w:id="11"/>
    </w:p>
    <w:p>
      <w:pPr>
        <w:snapToGrid w:val="0"/>
        <w:spacing w:line="300" w:lineRule="auto"/>
        <w:ind w:firstLine="480" w:firstLineChars="200"/>
        <w:rPr>
          <w:rFonts w:ascii="宋体" w:hAnsi="宋体" w:cs="Arial"/>
          <w:bCs/>
          <w:sz w:val="24"/>
        </w:rPr>
      </w:pPr>
      <w:r>
        <w:rPr>
          <w:rFonts w:ascii="宋体" w:hAnsi="宋体" w:cs="Arial"/>
          <w:bCs/>
          <w:sz w:val="24"/>
        </w:rPr>
        <w:t>1. 投标人保证本项投标文件及资料均未侵犯他人的知识产权；</w:t>
      </w:r>
    </w:p>
    <w:p>
      <w:pPr>
        <w:snapToGrid w:val="0"/>
        <w:spacing w:line="300" w:lineRule="auto"/>
        <w:ind w:firstLine="480" w:firstLineChars="200"/>
        <w:rPr>
          <w:rFonts w:ascii="宋体" w:hAnsi="宋体" w:cs="Arial"/>
          <w:bCs/>
          <w:sz w:val="24"/>
        </w:rPr>
      </w:pPr>
      <w:r>
        <w:rPr>
          <w:rFonts w:ascii="宋体" w:hAnsi="宋体" w:cs="Arial"/>
          <w:bCs/>
          <w:sz w:val="24"/>
        </w:rPr>
        <w:t>2. 若投标人使用他人的专利、专有技术，应自行承担所涉及的一切费用；</w:t>
      </w:r>
    </w:p>
    <w:p>
      <w:pPr>
        <w:snapToGrid w:val="0"/>
        <w:spacing w:line="300" w:lineRule="auto"/>
        <w:ind w:firstLine="480" w:firstLineChars="200"/>
        <w:rPr>
          <w:rFonts w:ascii="宋体" w:hAnsi="宋体" w:cs="Arial"/>
          <w:bCs/>
          <w:sz w:val="24"/>
        </w:rPr>
      </w:pPr>
      <w:r>
        <w:rPr>
          <w:rFonts w:ascii="宋体" w:hAnsi="宋体" w:cs="Arial"/>
          <w:bCs/>
          <w:sz w:val="24"/>
        </w:rPr>
        <w:t>3. 采购人不支付未中标人的投标方案设计补偿费。</w:t>
      </w: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p>
    <w:p>
      <w:pPr>
        <w:snapToGrid w:val="0"/>
        <w:spacing w:line="480" w:lineRule="exact"/>
        <w:rPr>
          <w:rFonts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8"/>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4"/>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4"/>
        <w:overflowPunct w:val="0"/>
        <w:spacing w:line="460" w:lineRule="exact"/>
        <w:ind w:firstLine="513" w:firstLineChars="214"/>
        <w:rPr>
          <w:rFonts w:ascii="宋体" w:hAnsi="宋体"/>
          <w:sz w:val="24"/>
          <w:szCs w:val="24"/>
          <w:u w:val="single"/>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4"/>
        <w:overflowPunct w:val="0"/>
        <w:spacing w:line="460" w:lineRule="exact"/>
        <w:ind w:firstLine="513" w:firstLineChars="214"/>
        <w:rPr>
          <w:rFonts w:ascii="宋体" w:hAnsi="宋体"/>
          <w:sz w:val="24"/>
          <w:szCs w:val="24"/>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4"/>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4"/>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4"/>
        <w:overflowPunct w:val="0"/>
        <w:spacing w:line="460" w:lineRule="exact"/>
        <w:ind w:firstLine="600"/>
        <w:rPr>
          <w:rFonts w:ascii="宋体" w:hAnsi="宋体"/>
          <w:sz w:val="28"/>
          <w:szCs w:val="28"/>
        </w:rPr>
      </w:pPr>
    </w:p>
    <w:p>
      <w:pPr>
        <w:pStyle w:val="4"/>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授权人（签名）：</w:t>
      </w:r>
    </w:p>
    <w:p>
      <w:pPr>
        <w:pStyle w:val="4"/>
        <w:overflowPunct w:val="0"/>
        <w:spacing w:line="460" w:lineRule="exact"/>
        <w:ind w:firstLine="600"/>
        <w:rPr>
          <w:rFonts w:ascii="宋体" w:hAnsi="宋体"/>
          <w:sz w:val="24"/>
          <w:szCs w:val="24"/>
        </w:rPr>
      </w:pPr>
    </w:p>
    <w:p>
      <w:pPr>
        <w:pStyle w:val="4"/>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4"/>
        <w:overflowPunct w:val="0"/>
        <w:spacing w:line="460" w:lineRule="exact"/>
        <w:ind w:firstLine="60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4"/>
        <w:overflowPunct w:val="0"/>
        <w:spacing w:line="460" w:lineRule="exact"/>
        <w:ind w:firstLine="456" w:firstLineChars="19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4"/>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rPr>
                <w:rFonts w:ascii="宋体" w:hAnsi="宋体"/>
                <w:sz w:val="24"/>
                <w:szCs w:val="24"/>
              </w:rPr>
            </w:pPr>
            <w:r>
              <w:rPr>
                <w:rFonts w:hint="eastAsia" w:ascii="宋体" w:hAnsi="宋体"/>
                <w:sz w:val="24"/>
                <w:szCs w:val="24"/>
              </w:rPr>
              <w:t>联合体甲方单位：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bl>
    <w:p>
      <w:pPr>
        <w:pStyle w:val="6"/>
        <w:rPr>
          <w:rFonts w:ascii="宋体" w:hAnsi="宋体"/>
          <w:sz w:val="24"/>
        </w:rPr>
      </w:pPr>
    </w:p>
    <w:p>
      <w:pPr>
        <w:pStyle w:val="6"/>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8"/>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9"/>
        <w:snapToGrid w:val="0"/>
        <w:spacing w:line="360" w:lineRule="auto"/>
        <w:ind w:left="5250"/>
        <w:rPr>
          <w:rFonts w:ascii="宋体" w:hAnsi="宋体" w:eastAsia="宋体"/>
          <w:sz w:val="28"/>
          <w:szCs w:val="28"/>
        </w:rPr>
      </w:pPr>
    </w:p>
    <w:p>
      <w:pPr>
        <w:pStyle w:val="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9"/>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2"/>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3"/>
        <w:spacing w:before="0" w:beforeAutospacing="0" w:after="0" w:afterAutospacing="0" w:line="560" w:lineRule="exact"/>
        <w:ind w:right="685"/>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2" w:name="OLE_LINK13"/>
      <w:bookmarkStart w:id="13" w:name="OLE_LINK14"/>
      <w:r>
        <w:rPr>
          <w:rFonts w:hint="eastAsia" w:ascii="宋体" w:hAnsi="宋体"/>
          <w:b/>
          <w:spacing w:val="6"/>
          <w:sz w:val="28"/>
          <w:szCs w:val="28"/>
        </w:rPr>
        <w:t>残疾人福利性单位声明函</w:t>
      </w:r>
    </w:p>
    <w:bookmarkEnd w:id="12"/>
    <w:bookmarkEnd w:id="13"/>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27</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2D3F66"/>
    <w:rsid w:val="0001183C"/>
    <w:rsid w:val="00024410"/>
    <w:rsid w:val="00093965"/>
    <w:rsid w:val="000E60A3"/>
    <w:rsid w:val="00105F85"/>
    <w:rsid w:val="001D2207"/>
    <w:rsid w:val="001D2D49"/>
    <w:rsid w:val="00220895"/>
    <w:rsid w:val="002B33CA"/>
    <w:rsid w:val="00345C93"/>
    <w:rsid w:val="00403F17"/>
    <w:rsid w:val="00404CE9"/>
    <w:rsid w:val="004367F6"/>
    <w:rsid w:val="00442413"/>
    <w:rsid w:val="0047215C"/>
    <w:rsid w:val="00525187"/>
    <w:rsid w:val="00574A9F"/>
    <w:rsid w:val="00584548"/>
    <w:rsid w:val="005B23E0"/>
    <w:rsid w:val="00665A36"/>
    <w:rsid w:val="006D0FA3"/>
    <w:rsid w:val="00712708"/>
    <w:rsid w:val="00861581"/>
    <w:rsid w:val="009F554B"/>
    <w:rsid w:val="00B33442"/>
    <w:rsid w:val="00B703E5"/>
    <w:rsid w:val="00BC13DB"/>
    <w:rsid w:val="00C25C20"/>
    <w:rsid w:val="00C32968"/>
    <w:rsid w:val="00D34064"/>
    <w:rsid w:val="00D5588B"/>
    <w:rsid w:val="00DD2E88"/>
    <w:rsid w:val="00E64C55"/>
    <w:rsid w:val="00EA30EF"/>
    <w:rsid w:val="00F25DC6"/>
    <w:rsid w:val="00F82117"/>
    <w:rsid w:val="00F94575"/>
    <w:rsid w:val="00FE5E66"/>
    <w:rsid w:val="046C625E"/>
    <w:rsid w:val="0FAF539C"/>
    <w:rsid w:val="15135482"/>
    <w:rsid w:val="18A67262"/>
    <w:rsid w:val="1E39214E"/>
    <w:rsid w:val="24BE3070"/>
    <w:rsid w:val="2C2F6FD6"/>
    <w:rsid w:val="2CC12E8A"/>
    <w:rsid w:val="33B21B08"/>
    <w:rsid w:val="346A7B6F"/>
    <w:rsid w:val="364260A8"/>
    <w:rsid w:val="437F1D7A"/>
    <w:rsid w:val="5211176C"/>
    <w:rsid w:val="52904C57"/>
    <w:rsid w:val="58664EFF"/>
    <w:rsid w:val="5EB12643"/>
    <w:rsid w:val="5F4D5AA8"/>
    <w:rsid w:val="62FB0FD2"/>
    <w:rsid w:val="6AEB7200"/>
    <w:rsid w:val="6B8147D3"/>
    <w:rsid w:val="6F580878"/>
    <w:rsid w:val="73706085"/>
    <w:rsid w:val="752D3F66"/>
    <w:rsid w:val="75DA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tabs>
        <w:tab w:val="left" w:pos="2985"/>
      </w:tabs>
      <w:adjustRightInd w:val="0"/>
      <w:snapToGrid w:val="0"/>
      <w:spacing w:beforeLines="50" w:line="300" w:lineRule="auto"/>
      <w:ind w:firstLine="200" w:firstLineChars="200"/>
      <w:outlineLvl w:val="1"/>
    </w:pPr>
    <w:rPr>
      <w:rFonts w:ascii="Arial" w:hAnsi="Arial"/>
      <w:b/>
      <w:bCs/>
      <w:szCs w:val="28"/>
      <w:lang w:val="zh-CN"/>
    </w:rPr>
  </w:style>
  <w:style w:type="paragraph" w:styleId="3">
    <w:name w:val="heading 3"/>
    <w:basedOn w:val="1"/>
    <w:next w:val="1"/>
    <w:link w:val="21"/>
    <w:qFormat/>
    <w:uiPriority w:val="0"/>
    <w:pPr>
      <w:keepNext/>
      <w:keepLines/>
      <w:tabs>
        <w:tab w:val="left" w:pos="720"/>
      </w:tabs>
      <w:adjustRightInd w:val="0"/>
      <w:spacing w:line="300" w:lineRule="auto"/>
      <w:ind w:firstLine="200" w:firstLineChars="200"/>
      <w:outlineLvl w:val="2"/>
    </w:pPr>
    <w:rPr>
      <w:rFonts w:ascii="Arial" w:hAnsi="Arial"/>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Date"/>
    <w:basedOn w:val="1"/>
    <w:next w:val="1"/>
    <w:qFormat/>
    <w:uiPriority w:val="99"/>
    <w:pPr>
      <w:ind w:left="2500" w:leftChars="2500"/>
    </w:pPr>
    <w:rPr>
      <w:rFonts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Char Char Char"/>
    <w:basedOn w:val="1"/>
    <w:qFormat/>
    <w:uiPriority w:val="0"/>
  </w:style>
  <w:style w:type="paragraph" w:styleId="19">
    <w:name w:val="List Paragraph"/>
    <w:basedOn w:val="1"/>
    <w:qFormat/>
    <w:uiPriority w:val="34"/>
    <w:pPr>
      <w:ind w:firstLine="420" w:firstLineChars="200"/>
    </w:pPr>
  </w:style>
  <w:style w:type="character" w:customStyle="1" w:styleId="20">
    <w:name w:val="标题 2 Char"/>
    <w:basedOn w:val="15"/>
    <w:link w:val="2"/>
    <w:qFormat/>
    <w:uiPriority w:val="0"/>
    <w:rPr>
      <w:rFonts w:ascii="Arial" w:hAnsi="Arial" w:eastAsia="宋体" w:cs="Times New Roman"/>
      <w:b/>
      <w:bCs/>
      <w:kern w:val="2"/>
      <w:sz w:val="21"/>
      <w:szCs w:val="28"/>
      <w:lang w:val="zh-CN"/>
    </w:rPr>
  </w:style>
  <w:style w:type="character" w:customStyle="1" w:styleId="21">
    <w:name w:val="标题 3 Char"/>
    <w:basedOn w:val="15"/>
    <w:link w:val="3"/>
    <w:qFormat/>
    <w:uiPriority w:val="0"/>
    <w:rPr>
      <w:rFonts w:ascii="Arial" w:hAnsi="Arial" w:eastAsia="宋体" w:cs="Times New Roman"/>
      <w:b/>
      <w:bCs/>
      <w:kern w:val="2"/>
      <w:sz w:val="21"/>
      <w:szCs w:val="32"/>
    </w:rPr>
  </w:style>
  <w:style w:type="paragraph" w:customStyle="1" w:styleId="22">
    <w:name w:val="正文中文"/>
    <w:basedOn w:val="1"/>
    <w:qFormat/>
    <w:uiPriority w:val="0"/>
    <w:pPr>
      <w:spacing w:line="360" w:lineRule="auto"/>
      <w:ind w:firstLine="200" w:firstLineChars="200"/>
      <w:jc w:val="lef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4133</Words>
  <Characters>23563</Characters>
  <Lines>196</Lines>
  <Paragraphs>55</Paragraphs>
  <TotalTime>34</TotalTime>
  <ScaleCrop>false</ScaleCrop>
  <LinksUpToDate>false</LinksUpToDate>
  <CharactersWithSpaces>27641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2020-04-02T01:59:00Z</dcterms:created>
  <dc:creator>CHENJUN</dc:creator>
  <cp:lastModifiedBy>CHENJUN</cp:lastModifiedBy>
  <dcterms:modified xsi:type="dcterms:W3CDTF">2020-04-02T02:39:10Z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