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cs="宋体"/>
          <w:b/>
          <w:sz w:val="24"/>
        </w:rPr>
      </w:pPr>
    </w:p>
    <w:p>
      <w:pPr>
        <w:spacing w:line="360" w:lineRule="auto"/>
        <w:jc w:val="center"/>
        <w:rPr>
          <w:rFonts w:ascii="宋体" w:hAnsi="宋体" w:cs="宋体"/>
          <w:b/>
          <w:sz w:val="24"/>
        </w:rPr>
      </w:pPr>
    </w:p>
    <w:p>
      <w:pPr>
        <w:adjustRightInd/>
        <w:spacing w:line="360" w:lineRule="auto"/>
        <w:jc w:val="center"/>
        <w:rPr>
          <w:rFonts w:ascii="宋体" w:hAnsi="宋体" w:cs="宋体"/>
          <w:b/>
          <w:sz w:val="44"/>
          <w:szCs w:val="44"/>
        </w:rPr>
      </w:pPr>
    </w:p>
    <w:p>
      <w:pPr>
        <w:spacing w:line="360" w:lineRule="auto"/>
        <w:jc w:val="center"/>
        <w:rPr>
          <w:rFonts w:ascii="宋体" w:hAnsi="宋体" w:cs="宋体"/>
          <w:b/>
          <w:sz w:val="44"/>
          <w:szCs w:val="44"/>
        </w:rPr>
      </w:pPr>
    </w:p>
    <w:p>
      <w:pPr>
        <w:adjustRightInd/>
        <w:spacing w:line="360" w:lineRule="auto"/>
        <w:jc w:val="center"/>
        <w:rPr>
          <w:rFonts w:ascii="宋体" w:hAnsi="宋体" w:cs="宋体"/>
          <w:b/>
          <w:sz w:val="48"/>
          <w:szCs w:val="48"/>
        </w:rPr>
      </w:pPr>
    </w:p>
    <w:p>
      <w:pPr>
        <w:adjustRightInd/>
        <w:spacing w:line="360" w:lineRule="auto"/>
        <w:jc w:val="center"/>
        <w:rPr>
          <w:rFonts w:hint="eastAsia" w:ascii="宋体" w:hAnsi="宋体" w:eastAsia="宋体" w:cs="宋体"/>
          <w:color w:val="auto"/>
          <w:sz w:val="48"/>
          <w:szCs w:val="48"/>
          <w:lang w:eastAsia="zh-CN"/>
        </w:rPr>
      </w:pPr>
      <w:r>
        <w:rPr>
          <w:rFonts w:hint="eastAsia" w:ascii="宋体" w:hAnsi="宋体" w:cs="宋体"/>
          <w:color w:val="auto"/>
          <w:sz w:val="48"/>
          <w:szCs w:val="48"/>
          <w:lang w:eastAsia="zh-CN"/>
        </w:rPr>
        <w:t>杭州市</w:t>
      </w:r>
      <w:r>
        <w:rPr>
          <w:rFonts w:hint="eastAsia" w:ascii="宋体" w:hAnsi="宋体" w:cs="宋体"/>
          <w:color w:val="auto"/>
          <w:sz w:val="48"/>
          <w:szCs w:val="48"/>
        </w:rPr>
        <w:t>临安区山牛坞渗滤液处理厂全量化处理第三方</w:t>
      </w:r>
      <w:r>
        <w:rPr>
          <w:rFonts w:hint="eastAsia" w:ascii="宋体" w:hAnsi="宋体" w:cs="宋体"/>
          <w:color w:val="auto"/>
          <w:sz w:val="48"/>
          <w:szCs w:val="48"/>
          <w:lang w:eastAsia="zh-CN"/>
        </w:rPr>
        <w:t>运营</w:t>
      </w:r>
      <w:r>
        <w:rPr>
          <w:rFonts w:hint="eastAsia" w:ascii="宋体" w:hAnsi="宋体" w:cs="宋体"/>
          <w:color w:val="auto"/>
          <w:sz w:val="48"/>
          <w:szCs w:val="48"/>
        </w:rPr>
        <w:t>服务采购</w:t>
      </w:r>
      <w:r>
        <w:rPr>
          <w:rFonts w:hint="eastAsia" w:ascii="宋体" w:hAnsi="宋体" w:cs="宋体"/>
          <w:color w:val="auto"/>
          <w:sz w:val="48"/>
          <w:szCs w:val="48"/>
          <w:lang w:eastAsia="zh-CN"/>
        </w:rPr>
        <w:t>项目</w:t>
      </w:r>
    </w:p>
    <w:p>
      <w:pPr>
        <w:adjustRightInd/>
        <w:spacing w:line="360" w:lineRule="auto"/>
        <w:jc w:val="center"/>
        <w:rPr>
          <w:rFonts w:ascii="宋体" w:hAnsi="宋体" w:cs="宋体"/>
          <w:sz w:val="48"/>
          <w:szCs w:val="48"/>
        </w:rPr>
      </w:pPr>
      <w:r>
        <w:rPr>
          <w:rFonts w:hint="eastAsia" w:ascii="宋体" w:hAnsi="宋体" w:cs="宋体"/>
          <w:sz w:val="48"/>
          <w:szCs w:val="48"/>
        </w:rPr>
        <w:t xml:space="preserve">招标文件 </w:t>
      </w:r>
    </w:p>
    <w:p>
      <w:pPr>
        <w:adjustRightInd/>
        <w:spacing w:line="360" w:lineRule="auto"/>
        <w:jc w:val="center"/>
        <w:rPr>
          <w:rFonts w:ascii="宋体" w:hAnsi="宋体" w:cs="宋体"/>
          <w:b/>
          <w:sz w:val="44"/>
          <w:szCs w:val="44"/>
        </w:rPr>
      </w:pPr>
      <w:r>
        <w:rPr>
          <w:rFonts w:hint="eastAsia" w:ascii="宋体" w:hAnsi="宋体" w:cs="宋体"/>
          <w:b/>
          <w:sz w:val="44"/>
          <w:szCs w:val="44"/>
        </w:rPr>
        <w:t xml:space="preserve"> （电子招投标）</w:t>
      </w:r>
    </w:p>
    <w:p>
      <w:pPr>
        <w:snapToGrid w:val="0"/>
        <w:spacing w:line="360" w:lineRule="auto"/>
        <w:jc w:val="center"/>
        <w:rPr>
          <w:rFonts w:hint="eastAsia" w:ascii="宋体" w:hAnsi="宋体" w:cs="宋体"/>
          <w:sz w:val="30"/>
          <w:szCs w:val="30"/>
        </w:rPr>
      </w:pPr>
      <w:r>
        <w:rPr>
          <w:rFonts w:hint="eastAsia" w:ascii="宋体" w:hAnsi="宋体" w:cs="宋体"/>
          <w:sz w:val="30"/>
          <w:szCs w:val="30"/>
        </w:rPr>
        <w:t>编号:（</w:t>
      </w:r>
      <w:r>
        <w:rPr>
          <w:rFonts w:hint="eastAsia" w:ascii="宋体" w:hAnsi="宋体" w:cs="宋体"/>
          <w:sz w:val="30"/>
          <w:szCs w:val="30"/>
          <w:lang w:val="en-US" w:eastAsia="zh-CN"/>
        </w:rPr>
        <w:t>LZC-GK-</w:t>
      </w:r>
      <w:r>
        <w:rPr>
          <w:rFonts w:hint="eastAsia" w:ascii="宋体" w:hAnsi="宋体" w:cs="宋体"/>
          <w:sz w:val="30"/>
          <w:szCs w:val="30"/>
        </w:rPr>
        <w:fldChar w:fldCharType="begin"/>
      </w:r>
      <w:r>
        <w:rPr>
          <w:rFonts w:hint="eastAsia" w:ascii="宋体" w:hAnsi="宋体" w:cs="宋体"/>
          <w:sz w:val="30"/>
          <w:szCs w:val="30"/>
        </w:rPr>
        <w:instrText xml:space="preserve"> HYPERLINK "https://pay.zcygov.cn/purchaseplan_front/" \l "/plan/list/view?id=1000000000013189754" \t "https://www.zcygov.cn/delegation-order/_procurement_/order/orderInfo/detail/_blank" </w:instrText>
      </w:r>
      <w:r>
        <w:rPr>
          <w:rFonts w:hint="eastAsia" w:ascii="宋体" w:hAnsi="宋体" w:cs="宋体"/>
          <w:sz w:val="30"/>
          <w:szCs w:val="30"/>
        </w:rPr>
        <w:fldChar w:fldCharType="separate"/>
      </w:r>
      <w:r>
        <w:rPr>
          <w:rFonts w:hint="eastAsia" w:ascii="宋体" w:hAnsi="宋体" w:cs="宋体"/>
          <w:sz w:val="30"/>
          <w:szCs w:val="30"/>
        </w:rPr>
        <w:t>临[2024]20号</w:t>
      </w:r>
      <w:r>
        <w:rPr>
          <w:rFonts w:hint="eastAsia" w:ascii="宋体" w:hAnsi="宋体" w:cs="宋体"/>
          <w:sz w:val="30"/>
          <w:szCs w:val="30"/>
        </w:rPr>
        <w:fldChar w:fldCharType="end"/>
      </w:r>
      <w:r>
        <w:rPr>
          <w:rFonts w:hint="eastAsia" w:ascii="宋体" w:hAnsi="宋体" w:cs="宋体"/>
          <w:sz w:val="30"/>
          <w:szCs w:val="30"/>
        </w:rPr>
        <w:t>）</w:t>
      </w:r>
    </w:p>
    <w:p>
      <w:pPr>
        <w:adjustRightInd/>
        <w:spacing w:line="360" w:lineRule="auto"/>
        <w:rPr>
          <w:rFonts w:ascii="宋体" w:hAnsi="宋体" w:cs="宋体"/>
          <w:sz w:val="28"/>
          <w:szCs w:val="20"/>
        </w:rPr>
      </w:pPr>
    </w:p>
    <w:p>
      <w:pPr>
        <w:spacing w:line="360" w:lineRule="auto"/>
        <w:jc w:val="center"/>
        <w:rPr>
          <w:rFonts w:ascii="宋体" w:hAnsi="宋体" w:cs="宋体"/>
          <w:b/>
          <w:sz w:val="44"/>
          <w:szCs w:val="44"/>
        </w:rPr>
      </w:pPr>
      <w:r>
        <w:rPr>
          <w:rFonts w:hint="eastAsia" w:ascii="宋体" w:hAnsi="宋体" w:cs="宋体"/>
          <w:b/>
          <w:sz w:val="44"/>
          <w:szCs w:val="44"/>
        </w:rPr>
        <w:t xml:space="preserve"> </w:t>
      </w:r>
    </w:p>
    <w:p>
      <w:pPr>
        <w:spacing w:line="360" w:lineRule="auto"/>
        <w:jc w:val="center"/>
        <w:rPr>
          <w:rFonts w:ascii="宋体" w:hAnsi="宋体" w:cs="宋体"/>
          <w:b/>
          <w:sz w:val="44"/>
          <w:szCs w:val="44"/>
        </w:rPr>
      </w:pPr>
    </w:p>
    <w:p>
      <w:pPr>
        <w:spacing w:line="360" w:lineRule="auto"/>
        <w:jc w:val="center"/>
        <w:rPr>
          <w:rFonts w:ascii="宋体" w:hAnsi="宋体" w:cs="宋体"/>
          <w:sz w:val="24"/>
        </w:rPr>
      </w:pPr>
    </w:p>
    <w:p>
      <w:pPr>
        <w:spacing w:line="360" w:lineRule="auto"/>
        <w:jc w:val="center"/>
        <w:rPr>
          <w:rFonts w:ascii="宋体" w:hAnsi="宋体" w:cs="宋体"/>
          <w:sz w:val="24"/>
        </w:rPr>
      </w:pPr>
    </w:p>
    <w:p>
      <w:pPr>
        <w:spacing w:line="360" w:lineRule="auto"/>
        <w:rPr>
          <w:rFonts w:ascii="宋体" w:hAnsi="宋体" w:cs="宋体"/>
          <w:sz w:val="32"/>
          <w:szCs w:val="32"/>
        </w:rPr>
      </w:pPr>
    </w:p>
    <w:p>
      <w:pPr>
        <w:spacing w:line="360" w:lineRule="auto"/>
        <w:jc w:val="center"/>
        <w:rPr>
          <w:rFonts w:hint="eastAsia" w:ascii="宋体" w:hAnsi="宋体" w:cs="宋体"/>
          <w:bCs/>
          <w:sz w:val="32"/>
          <w:szCs w:val="32"/>
          <w:lang w:eastAsia="zh-CN"/>
        </w:rPr>
      </w:pPr>
      <w:r>
        <w:rPr>
          <w:rFonts w:hint="eastAsia" w:ascii="宋体" w:hAnsi="宋体" w:cs="宋体"/>
          <w:bCs/>
          <w:sz w:val="32"/>
          <w:szCs w:val="32"/>
          <w:lang w:eastAsia="zh-CN"/>
        </w:rPr>
        <w:t>杭州市临安区综合行政执法局</w:t>
      </w:r>
    </w:p>
    <w:p>
      <w:pPr>
        <w:spacing w:line="360" w:lineRule="auto"/>
        <w:jc w:val="center"/>
        <w:rPr>
          <w:rFonts w:hint="eastAsia" w:ascii="宋体" w:hAnsi="宋体" w:eastAsia="宋体" w:cs="宋体"/>
          <w:bCs/>
          <w:color w:val="auto"/>
          <w:sz w:val="32"/>
          <w:szCs w:val="32"/>
          <w:lang w:eastAsia="zh-CN"/>
        </w:rPr>
      </w:pPr>
      <w:r>
        <w:rPr>
          <w:rFonts w:hint="eastAsia" w:ascii="宋体" w:hAnsi="宋体" w:cs="宋体"/>
          <w:bCs/>
          <w:sz w:val="32"/>
          <w:szCs w:val="32"/>
          <w:lang w:eastAsia="zh-CN"/>
        </w:rPr>
        <w:t>杭州市公</w:t>
      </w:r>
      <w:r>
        <w:rPr>
          <w:rFonts w:hint="eastAsia" w:ascii="宋体" w:hAnsi="宋体" w:cs="宋体"/>
          <w:bCs/>
          <w:color w:val="auto"/>
          <w:sz w:val="32"/>
          <w:szCs w:val="32"/>
          <w:lang w:eastAsia="zh-CN"/>
        </w:rPr>
        <w:t>共资源交易中心临安分中心</w:t>
      </w:r>
    </w:p>
    <w:p>
      <w:pPr>
        <w:snapToGrid w:val="0"/>
        <w:spacing w:line="360" w:lineRule="auto"/>
        <w:jc w:val="center"/>
        <w:rPr>
          <w:rFonts w:ascii="宋体" w:hAnsi="宋体" w:cs="宋体"/>
          <w:bCs/>
          <w:color w:val="auto"/>
          <w:sz w:val="32"/>
          <w:szCs w:val="32"/>
        </w:rPr>
      </w:pPr>
      <w:r>
        <w:rPr>
          <w:rFonts w:hint="eastAsia" w:ascii="宋体" w:hAnsi="宋体" w:cs="宋体"/>
          <w:bCs/>
          <w:color w:val="auto"/>
          <w:sz w:val="32"/>
          <w:szCs w:val="32"/>
        </w:rPr>
        <w:t>二〇二</w:t>
      </w:r>
      <w:r>
        <w:rPr>
          <w:rFonts w:hint="eastAsia" w:ascii="宋体" w:hAnsi="宋体" w:cs="宋体"/>
          <w:bCs/>
          <w:color w:val="auto"/>
          <w:sz w:val="32"/>
          <w:szCs w:val="32"/>
          <w:lang w:eastAsia="zh-CN"/>
        </w:rPr>
        <w:t>四</w:t>
      </w:r>
      <w:r>
        <w:rPr>
          <w:rFonts w:hint="eastAsia" w:ascii="宋体" w:hAnsi="宋体" w:cs="宋体"/>
          <w:bCs/>
          <w:color w:val="auto"/>
          <w:sz w:val="32"/>
          <w:szCs w:val="32"/>
        </w:rPr>
        <w:t>年</w:t>
      </w:r>
      <w:r>
        <w:rPr>
          <w:rFonts w:hint="eastAsia" w:ascii="宋体" w:hAnsi="宋体" w:cs="宋体"/>
          <w:bCs/>
          <w:color w:val="auto"/>
          <w:sz w:val="32"/>
          <w:szCs w:val="32"/>
          <w:lang w:val="en-US" w:eastAsia="zh-CN"/>
        </w:rPr>
        <w:t>三</w:t>
      </w:r>
      <w:r>
        <w:rPr>
          <w:rFonts w:hint="eastAsia" w:ascii="宋体" w:hAnsi="宋体" w:cs="宋体"/>
          <w:bCs/>
          <w:color w:val="auto"/>
          <w:sz w:val="32"/>
          <w:szCs w:val="32"/>
        </w:rPr>
        <w:t>月</w:t>
      </w:r>
      <w:r>
        <w:rPr>
          <w:rFonts w:hint="eastAsia" w:ascii="宋体" w:hAnsi="宋体" w:cs="宋体"/>
          <w:bCs/>
          <w:color w:val="auto"/>
          <w:sz w:val="32"/>
          <w:szCs w:val="32"/>
          <w:lang w:eastAsia="zh-CN"/>
        </w:rPr>
        <w:t>六</w:t>
      </w:r>
      <w:r>
        <w:rPr>
          <w:rFonts w:hint="eastAsia" w:ascii="宋体" w:hAnsi="宋体" w:cs="宋体"/>
          <w:bCs/>
          <w:color w:val="auto"/>
          <w:sz w:val="32"/>
          <w:szCs w:val="32"/>
        </w:rPr>
        <w:t>日</w:t>
      </w:r>
    </w:p>
    <w:p>
      <w:pPr>
        <w:spacing w:line="360" w:lineRule="auto"/>
        <w:jc w:val="center"/>
        <w:rPr>
          <w:rFonts w:ascii="宋体" w:hAnsi="宋体" w:cs="宋体"/>
          <w:sz w:val="24"/>
        </w:rPr>
      </w:pPr>
      <w:r>
        <w:rPr>
          <w:rFonts w:hint="eastAsia" w:ascii="宋体" w:hAnsi="宋体" w:cs="宋体"/>
          <w:sz w:val="24"/>
        </w:rPr>
        <w:br w:type="page"/>
      </w:r>
      <w:bookmarkStart w:id="0" w:name="_Hlt67893495"/>
      <w:bookmarkEnd w:id="0"/>
    </w:p>
    <w:p>
      <w:pPr>
        <w:pStyle w:val="635"/>
      </w:pPr>
    </w:p>
    <w:p>
      <w:pPr>
        <w:spacing w:line="360" w:lineRule="auto"/>
        <w:jc w:val="center"/>
        <w:rPr>
          <w:rFonts w:ascii="宋体" w:hAnsi="宋体" w:cs="宋体"/>
          <w:b/>
          <w:sz w:val="48"/>
          <w:szCs w:val="48"/>
        </w:rPr>
      </w:pPr>
      <w:r>
        <w:rPr>
          <w:rFonts w:hint="eastAsia" w:ascii="宋体" w:hAnsi="宋体" w:cs="宋体"/>
          <w:b/>
          <w:sz w:val="48"/>
          <w:szCs w:val="48"/>
        </w:rPr>
        <w:t>目  录</w:t>
      </w:r>
    </w:p>
    <w:p>
      <w:pPr>
        <w:spacing w:line="360" w:lineRule="auto"/>
        <w:rPr>
          <w:rFonts w:ascii="宋体" w:hAnsi="宋体" w:cs="宋体"/>
          <w:sz w:val="32"/>
          <w:szCs w:val="32"/>
        </w:rPr>
      </w:pPr>
    </w:p>
    <w:p>
      <w:pPr>
        <w:spacing w:line="360" w:lineRule="auto"/>
        <w:rPr>
          <w:rFonts w:ascii="宋体" w:hAnsi="宋体" w:cs="宋体"/>
          <w:sz w:val="32"/>
          <w:szCs w:val="32"/>
        </w:rPr>
      </w:pPr>
    </w:p>
    <w:p>
      <w:pPr>
        <w:spacing w:line="360" w:lineRule="auto"/>
        <w:ind w:firstLine="1280" w:firstLineChars="400"/>
        <w:rPr>
          <w:rFonts w:ascii="宋体" w:hAnsi="宋体" w:cs="宋体"/>
          <w:sz w:val="32"/>
          <w:szCs w:val="32"/>
        </w:rPr>
      </w:pPr>
      <w:r>
        <w:rPr>
          <w:rFonts w:hint="eastAsia" w:ascii="宋体" w:hAnsi="宋体" w:cs="宋体"/>
          <w:sz w:val="32"/>
          <w:szCs w:val="32"/>
        </w:rPr>
        <w:t>第一部分      招标公告</w:t>
      </w:r>
    </w:p>
    <w:p>
      <w:pPr>
        <w:spacing w:line="360" w:lineRule="auto"/>
        <w:ind w:firstLine="1280" w:firstLineChars="400"/>
        <w:rPr>
          <w:rFonts w:ascii="宋体" w:hAnsi="宋体" w:cs="宋体"/>
          <w:sz w:val="32"/>
          <w:szCs w:val="32"/>
        </w:rPr>
      </w:pPr>
      <w:r>
        <w:rPr>
          <w:rFonts w:hint="eastAsia" w:ascii="宋体" w:hAnsi="宋体" w:cs="宋体"/>
          <w:sz w:val="32"/>
          <w:szCs w:val="32"/>
        </w:rPr>
        <w:t>第二部分      投标人须知</w:t>
      </w:r>
    </w:p>
    <w:p>
      <w:pPr>
        <w:spacing w:line="360" w:lineRule="auto"/>
        <w:ind w:firstLine="1280" w:firstLineChars="400"/>
        <w:rPr>
          <w:rFonts w:ascii="宋体" w:hAnsi="宋体" w:cs="宋体"/>
          <w:sz w:val="32"/>
          <w:szCs w:val="32"/>
        </w:rPr>
      </w:pPr>
      <w:r>
        <w:rPr>
          <w:rFonts w:hint="eastAsia" w:ascii="宋体" w:hAnsi="宋体" w:cs="宋体"/>
          <w:sz w:val="32"/>
          <w:szCs w:val="32"/>
        </w:rPr>
        <w:t>第三部分      采购需求</w:t>
      </w:r>
    </w:p>
    <w:p>
      <w:pPr>
        <w:spacing w:line="360" w:lineRule="auto"/>
        <w:ind w:firstLine="1280" w:firstLineChars="400"/>
        <w:rPr>
          <w:rFonts w:ascii="宋体" w:hAnsi="宋体" w:cs="宋体"/>
          <w:sz w:val="32"/>
          <w:szCs w:val="32"/>
        </w:rPr>
      </w:pPr>
      <w:r>
        <w:rPr>
          <w:rFonts w:hint="eastAsia" w:ascii="宋体" w:hAnsi="宋体" w:cs="宋体"/>
          <w:sz w:val="32"/>
          <w:szCs w:val="32"/>
        </w:rPr>
        <w:t>第四部分      评标办法</w:t>
      </w:r>
    </w:p>
    <w:p>
      <w:pPr>
        <w:spacing w:line="360" w:lineRule="auto"/>
        <w:ind w:firstLine="1280" w:firstLineChars="400"/>
        <w:rPr>
          <w:rFonts w:ascii="宋体" w:hAnsi="宋体" w:cs="宋体"/>
          <w:sz w:val="32"/>
          <w:szCs w:val="32"/>
        </w:rPr>
      </w:pPr>
      <w:r>
        <w:rPr>
          <w:rFonts w:hint="eastAsia" w:ascii="宋体" w:hAnsi="宋体" w:cs="宋体"/>
          <w:sz w:val="32"/>
          <w:szCs w:val="32"/>
        </w:rPr>
        <w:t>第五部分      拟签订的合同文本</w:t>
      </w:r>
    </w:p>
    <w:p>
      <w:pPr>
        <w:spacing w:line="360" w:lineRule="auto"/>
        <w:ind w:firstLine="1280" w:firstLineChars="400"/>
        <w:rPr>
          <w:rFonts w:ascii="宋体" w:hAnsi="宋体" w:cs="宋体"/>
          <w:sz w:val="32"/>
          <w:szCs w:val="32"/>
        </w:rPr>
      </w:pPr>
      <w:r>
        <w:rPr>
          <w:rFonts w:hint="eastAsia" w:ascii="宋体" w:hAnsi="宋体" w:cs="宋体"/>
          <w:sz w:val="32"/>
          <w:szCs w:val="32"/>
        </w:rPr>
        <w:t>第六部分      应提交的有关格式范例</w:t>
      </w:r>
    </w:p>
    <w:p>
      <w:pPr>
        <w:spacing w:line="360" w:lineRule="auto"/>
        <w:ind w:firstLine="549" w:firstLineChars="229"/>
        <w:rPr>
          <w:rFonts w:ascii="宋体" w:hAnsi="宋体" w:cs="宋体"/>
          <w:sz w:val="24"/>
        </w:rPr>
      </w:pPr>
      <w:bookmarkStart w:id="1" w:name="_Hlt91233176"/>
      <w:bookmarkEnd w:id="1"/>
      <w:bookmarkStart w:id="2" w:name="_Toc91899869"/>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rPr>
          <w:rFonts w:ascii="宋体" w:hAnsi="宋体" w:cs="宋体"/>
          <w:sz w:val="24"/>
        </w:rPr>
      </w:pPr>
    </w:p>
    <w:p>
      <w:pPr>
        <w:adjustRightInd/>
        <w:spacing w:line="360" w:lineRule="auto"/>
        <w:jc w:val="center"/>
        <w:outlineLvl w:val="0"/>
        <w:rPr>
          <w:rFonts w:ascii="宋体" w:hAnsi="宋体" w:cs="宋体"/>
          <w:b/>
          <w:sz w:val="36"/>
          <w:szCs w:val="20"/>
        </w:rPr>
      </w:pPr>
      <w:bookmarkStart w:id="3" w:name="第一部分"/>
      <w:r>
        <w:rPr>
          <w:rFonts w:hint="eastAsia" w:ascii="宋体" w:hAnsi="宋体" w:cs="宋体"/>
          <w:b/>
          <w:sz w:val="36"/>
          <w:szCs w:val="36"/>
        </w:rPr>
        <w:br w:type="page"/>
      </w:r>
      <w:bookmarkEnd w:id="2"/>
      <w:bookmarkEnd w:id="3"/>
      <w:bookmarkStart w:id="4" w:name="_Hlt74649545"/>
      <w:bookmarkEnd w:id="4"/>
      <w:bookmarkStart w:id="5" w:name="_Hlt74707423"/>
      <w:bookmarkEnd w:id="5"/>
      <w:bookmarkStart w:id="6" w:name="_Hlt74729822"/>
      <w:bookmarkEnd w:id="6"/>
      <w:bookmarkStart w:id="7" w:name="_Hlt74728647"/>
      <w:bookmarkEnd w:id="7"/>
      <w:bookmarkStart w:id="8" w:name="第二部分"/>
      <w:bookmarkStart w:id="9" w:name="_Toc91899870"/>
      <w:bookmarkStart w:id="10" w:name="_Toc91899871"/>
      <w:r>
        <w:rPr>
          <w:rFonts w:hint="eastAsia" w:ascii="宋体" w:hAnsi="宋体" w:cs="宋体"/>
          <w:b/>
          <w:sz w:val="36"/>
          <w:szCs w:val="20"/>
        </w:rPr>
        <w:t>第一部分 招标公告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sz w:val="24"/>
        </w:rPr>
      </w:pPr>
      <w:r>
        <w:rPr>
          <w:rFonts w:hint="eastAsia" w:ascii="宋体" w:hAnsi="宋体" w:cs="宋体"/>
          <w:sz w:val="24"/>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sz w:val="24"/>
          <w:u w:val="single"/>
        </w:rPr>
      </w:pPr>
      <w:r>
        <w:rPr>
          <w:rFonts w:hint="eastAsia" w:ascii="宋体" w:hAnsi="宋体" w:cs="宋体"/>
          <w:sz w:val="24"/>
          <w:lang w:eastAsia="zh-CN"/>
        </w:rPr>
        <w:t>杭州市</w:t>
      </w:r>
      <w:r>
        <w:rPr>
          <w:rFonts w:hint="eastAsia" w:ascii="宋体" w:hAnsi="宋体" w:cs="宋体"/>
          <w:sz w:val="24"/>
        </w:rPr>
        <w:t>临安区山牛坞渗滤液处理厂全量化处理第三方</w:t>
      </w:r>
      <w:r>
        <w:rPr>
          <w:rFonts w:hint="eastAsia" w:ascii="宋体" w:hAnsi="宋体" w:cs="宋体"/>
          <w:sz w:val="24"/>
          <w:lang w:eastAsia="zh-CN"/>
        </w:rPr>
        <w:t>运营</w:t>
      </w:r>
      <w:r>
        <w:rPr>
          <w:rFonts w:hint="eastAsia" w:ascii="宋体" w:hAnsi="宋体" w:cs="宋体"/>
          <w:sz w:val="24"/>
        </w:rPr>
        <w:t>服务采购</w:t>
      </w:r>
      <w:r>
        <w:rPr>
          <w:rFonts w:hint="eastAsia" w:ascii="宋体" w:hAnsi="宋体" w:cs="宋体"/>
          <w:sz w:val="24"/>
          <w:lang w:eastAsia="zh-CN"/>
        </w:rPr>
        <w:t>项目</w:t>
      </w:r>
      <w:r>
        <w:rPr>
          <w:rFonts w:hint="eastAsia" w:ascii="宋体" w:hAnsi="宋体" w:cs="宋体"/>
          <w:sz w:val="24"/>
        </w:rPr>
        <w:t>的潜在投标人应在政采云平台（</w:t>
      </w:r>
      <w:r>
        <w:rPr>
          <w:highlight w:val="none"/>
        </w:rPr>
        <w:fldChar w:fldCharType="begin"/>
      </w:r>
      <w:r>
        <w:rPr>
          <w:highlight w:val="none"/>
        </w:rPr>
        <w:instrText xml:space="preserve"> HYPERLINK "https://www.zcygov.cn/）获取（下载）招标文件，并于202%20年%20月%20日%20点%20分00秒" </w:instrText>
      </w:r>
      <w:r>
        <w:rPr>
          <w:highlight w:val="none"/>
        </w:rPr>
        <w:fldChar w:fldCharType="separate"/>
      </w:r>
      <w:r>
        <w:rPr>
          <w:rStyle w:val="76"/>
          <w:rFonts w:hint="eastAsia" w:ascii="宋体" w:hAnsi="宋体" w:eastAsia="宋体" w:cs="宋体"/>
          <w:snapToGrid/>
          <w:kern w:val="2"/>
          <w:sz w:val="24"/>
          <w:szCs w:val="24"/>
          <w:highlight w:val="none"/>
        </w:rPr>
        <w:t>https://www.zcygov.cn/）获取（下载）招标文件，并于</w:t>
      </w:r>
      <w:r>
        <w:rPr>
          <w:rStyle w:val="76"/>
          <w:rFonts w:hint="eastAsia" w:ascii="宋体" w:hAnsi="宋体" w:eastAsia="宋体" w:cs="宋体"/>
          <w:snapToGrid/>
          <w:kern w:val="2"/>
          <w:sz w:val="24"/>
          <w:szCs w:val="24"/>
          <w:highlight w:val="none"/>
          <w:u w:val="single"/>
        </w:rPr>
        <w:t>202</w:t>
      </w:r>
      <w:r>
        <w:rPr>
          <w:rStyle w:val="76"/>
          <w:rFonts w:hint="eastAsia" w:ascii="宋体" w:hAnsi="宋体" w:cs="宋体"/>
          <w:snapToGrid/>
          <w:kern w:val="2"/>
          <w:sz w:val="24"/>
          <w:szCs w:val="24"/>
          <w:highlight w:val="none"/>
          <w:u w:val="single"/>
          <w:lang w:val="en-US" w:eastAsia="zh-CN"/>
        </w:rPr>
        <w:t>4</w:t>
      </w:r>
      <w:r>
        <w:rPr>
          <w:rStyle w:val="76"/>
          <w:rFonts w:hint="eastAsia" w:ascii="宋体" w:hAnsi="宋体" w:eastAsia="宋体" w:cs="宋体"/>
          <w:snapToGrid/>
          <w:kern w:val="2"/>
          <w:sz w:val="24"/>
          <w:szCs w:val="24"/>
          <w:highlight w:val="none"/>
          <w:u w:val="single"/>
        </w:rPr>
        <w:t>年</w:t>
      </w:r>
      <w:r>
        <w:rPr>
          <w:rStyle w:val="76"/>
          <w:rFonts w:hint="eastAsia" w:ascii="宋体" w:hAnsi="宋体" w:cs="宋体"/>
          <w:snapToGrid/>
          <w:kern w:val="2"/>
          <w:sz w:val="24"/>
          <w:szCs w:val="24"/>
          <w:highlight w:val="none"/>
          <w:u w:val="single"/>
          <w:lang w:val="en-US" w:eastAsia="zh-CN"/>
        </w:rPr>
        <w:t>3</w:t>
      </w:r>
      <w:r>
        <w:rPr>
          <w:rStyle w:val="76"/>
          <w:rFonts w:hint="eastAsia" w:ascii="宋体" w:hAnsi="宋体" w:eastAsia="宋体" w:cs="宋体"/>
          <w:snapToGrid/>
          <w:kern w:val="2"/>
          <w:sz w:val="24"/>
          <w:szCs w:val="24"/>
          <w:highlight w:val="none"/>
          <w:u w:val="single"/>
        </w:rPr>
        <w:t>月</w:t>
      </w:r>
      <w:r>
        <w:rPr>
          <w:rStyle w:val="76"/>
          <w:rFonts w:hint="eastAsia" w:ascii="宋体" w:hAnsi="宋体" w:cs="宋体"/>
          <w:snapToGrid/>
          <w:kern w:val="2"/>
          <w:sz w:val="24"/>
          <w:szCs w:val="24"/>
          <w:highlight w:val="none"/>
          <w:u w:val="single"/>
          <w:lang w:val="en-US" w:eastAsia="zh-CN"/>
        </w:rPr>
        <w:t>28</w:t>
      </w:r>
      <w:r>
        <w:rPr>
          <w:rStyle w:val="76"/>
          <w:rFonts w:hint="eastAsia" w:ascii="宋体" w:hAnsi="宋体" w:eastAsia="宋体" w:cs="宋体"/>
          <w:snapToGrid/>
          <w:kern w:val="2"/>
          <w:sz w:val="24"/>
          <w:szCs w:val="24"/>
          <w:highlight w:val="none"/>
          <w:u w:val="single"/>
        </w:rPr>
        <w:t>日</w:t>
      </w:r>
      <w:r>
        <w:rPr>
          <w:rStyle w:val="76"/>
          <w:rFonts w:hint="eastAsia" w:ascii="宋体" w:hAnsi="宋体" w:cs="宋体"/>
          <w:snapToGrid/>
          <w:kern w:val="2"/>
          <w:sz w:val="24"/>
          <w:szCs w:val="24"/>
          <w:highlight w:val="none"/>
          <w:u w:val="single"/>
          <w:lang w:val="en-US" w:eastAsia="zh-CN"/>
        </w:rPr>
        <w:t>13</w:t>
      </w:r>
      <w:r>
        <w:rPr>
          <w:rStyle w:val="76"/>
          <w:rFonts w:hint="eastAsia" w:ascii="宋体" w:hAnsi="宋体" w:eastAsia="宋体" w:cs="宋体"/>
          <w:snapToGrid/>
          <w:kern w:val="2"/>
          <w:sz w:val="24"/>
          <w:szCs w:val="24"/>
          <w:highlight w:val="none"/>
          <w:u w:val="single"/>
        </w:rPr>
        <w:t>点</w:t>
      </w:r>
      <w:r>
        <w:rPr>
          <w:rStyle w:val="76"/>
          <w:rFonts w:hint="eastAsia" w:ascii="宋体" w:hAnsi="宋体" w:cs="宋体"/>
          <w:snapToGrid/>
          <w:kern w:val="2"/>
          <w:sz w:val="24"/>
          <w:szCs w:val="24"/>
          <w:highlight w:val="none"/>
          <w:u w:val="single"/>
          <w:lang w:val="en-US" w:eastAsia="zh-CN"/>
        </w:rPr>
        <w:t>30</w:t>
      </w:r>
      <w:r>
        <w:rPr>
          <w:rStyle w:val="76"/>
          <w:rFonts w:hint="eastAsia" w:ascii="宋体" w:hAnsi="宋体" w:eastAsia="宋体" w:cs="宋体"/>
          <w:snapToGrid/>
          <w:kern w:val="2"/>
          <w:sz w:val="24"/>
          <w:szCs w:val="24"/>
          <w:highlight w:val="none"/>
          <w:u w:val="single"/>
        </w:rPr>
        <w:t>分</w:t>
      </w:r>
      <w:r>
        <w:rPr>
          <w:rStyle w:val="76"/>
          <w:rFonts w:hint="eastAsia" w:ascii="宋体" w:hAnsi="宋体" w:eastAsia="宋体" w:cs="宋体"/>
          <w:bCs/>
          <w:snapToGrid/>
          <w:kern w:val="2"/>
          <w:sz w:val="24"/>
          <w:szCs w:val="24"/>
          <w:highlight w:val="none"/>
          <w:u w:val="single"/>
        </w:rPr>
        <w:t>00秒</w:t>
      </w:r>
      <w:r>
        <w:rPr>
          <w:rStyle w:val="76"/>
          <w:rFonts w:hint="eastAsia" w:ascii="宋体" w:hAnsi="宋体" w:eastAsia="宋体" w:cs="宋体"/>
          <w:bCs/>
          <w:snapToGrid/>
          <w:kern w:val="2"/>
          <w:sz w:val="24"/>
          <w:szCs w:val="24"/>
          <w:highlight w:val="none"/>
        </w:rPr>
        <w:fldChar w:fldCharType="end"/>
      </w:r>
      <w:r>
        <w:rPr>
          <w:rFonts w:hint="eastAsia" w:ascii="宋体" w:hAnsi="宋体" w:cs="宋体"/>
          <w:bCs/>
          <w:sz w:val="24"/>
          <w:highlight w:val="none"/>
        </w:rPr>
        <w:t>（北京时间）前</w:t>
      </w:r>
      <w:r>
        <w:rPr>
          <w:rFonts w:hint="eastAsia" w:ascii="宋体" w:hAnsi="宋体" w:cs="宋体"/>
          <w:sz w:val="24"/>
        </w:rPr>
        <w:t>递交（上传）投标文件。</w:t>
      </w:r>
    </w:p>
    <w:p>
      <w:pPr>
        <w:spacing w:line="360" w:lineRule="auto"/>
        <w:rPr>
          <w:rFonts w:ascii="宋体" w:hAnsi="宋体" w:cs="宋体"/>
          <w:b/>
          <w:sz w:val="24"/>
        </w:rPr>
      </w:pPr>
      <w:r>
        <w:rPr>
          <w:rFonts w:hint="eastAsia" w:ascii="宋体" w:hAnsi="宋体" w:cs="宋体"/>
          <w:b/>
          <w:sz w:val="24"/>
        </w:rPr>
        <w:t xml:space="preserve">一、项目基本情况                                            </w:t>
      </w:r>
    </w:p>
    <w:p>
      <w:pPr>
        <w:spacing w:line="360" w:lineRule="auto"/>
        <w:ind w:firstLine="480"/>
        <w:rPr>
          <w:rFonts w:hint="eastAsia" w:ascii="宋体" w:hAnsi="宋体" w:cs="宋体"/>
          <w:b/>
          <w:sz w:val="24"/>
        </w:rPr>
      </w:pPr>
      <w:r>
        <w:rPr>
          <w:rFonts w:hint="eastAsia" w:ascii="宋体" w:hAnsi="宋体" w:cs="宋体"/>
          <w:b/>
          <w:sz w:val="24"/>
        </w:rPr>
        <w:t>项目编号：</w:t>
      </w:r>
      <w:r>
        <w:rPr>
          <w:rFonts w:hint="eastAsia" w:ascii="宋体" w:hAnsi="宋体" w:cs="宋体"/>
          <w:b w:val="0"/>
          <w:bCs/>
          <w:sz w:val="24"/>
          <w:lang w:val="en-US" w:eastAsia="zh-CN"/>
        </w:rPr>
        <w:t>LZC-GK-</w:t>
      </w:r>
      <w:r>
        <w:rPr>
          <w:rFonts w:hint="eastAsia" w:ascii="宋体" w:hAnsi="宋体" w:cs="宋体"/>
          <w:b w:val="0"/>
          <w:bCs/>
          <w:sz w:val="24"/>
        </w:rPr>
        <w:fldChar w:fldCharType="begin"/>
      </w:r>
      <w:r>
        <w:rPr>
          <w:rFonts w:hint="eastAsia" w:ascii="宋体" w:hAnsi="宋体" w:cs="宋体"/>
          <w:b w:val="0"/>
          <w:bCs/>
          <w:sz w:val="24"/>
        </w:rPr>
        <w:instrText xml:space="preserve"> HYPERLINK "https://pay.zcygov.cn/purchaseplan_front/" \l "/plan/list/view?id=1000000000013189754" \t "https://www.zcygov.cn/delegation-order/_procurement_/order/orderInfo/detail/_blank" </w:instrText>
      </w:r>
      <w:r>
        <w:rPr>
          <w:rFonts w:hint="eastAsia" w:ascii="宋体" w:hAnsi="宋体" w:cs="宋体"/>
          <w:b w:val="0"/>
          <w:bCs/>
          <w:sz w:val="24"/>
        </w:rPr>
        <w:fldChar w:fldCharType="separate"/>
      </w:r>
      <w:r>
        <w:rPr>
          <w:rFonts w:hint="eastAsia" w:ascii="宋体" w:hAnsi="宋体" w:cs="宋体"/>
          <w:b w:val="0"/>
          <w:bCs/>
          <w:sz w:val="24"/>
        </w:rPr>
        <w:t>临[2024]20号</w:t>
      </w:r>
      <w:r>
        <w:rPr>
          <w:rFonts w:hint="eastAsia" w:ascii="宋体" w:hAnsi="宋体" w:cs="宋体"/>
          <w:b w:val="0"/>
          <w:bCs/>
          <w:sz w:val="24"/>
        </w:rPr>
        <w:fldChar w:fldCharType="end"/>
      </w:r>
      <w:r>
        <w:rPr>
          <w:rFonts w:hint="eastAsia" w:ascii="宋体" w:hAnsi="宋体" w:cs="宋体"/>
          <w:b w:val="0"/>
          <w:bCs/>
          <w:sz w:val="24"/>
          <w:lang w:eastAsia="zh-CN"/>
        </w:rPr>
        <w:t xml:space="preserve"> </w:t>
      </w:r>
      <w:r>
        <w:rPr>
          <w:rFonts w:hint="eastAsia" w:ascii="宋体" w:hAnsi="宋体" w:cs="宋体"/>
          <w:b w:val="0"/>
          <w:bCs/>
          <w:sz w:val="24"/>
        </w:rPr>
        <w:t xml:space="preserve">  </w:t>
      </w:r>
      <w:r>
        <w:rPr>
          <w:rFonts w:hint="eastAsia" w:ascii="宋体" w:hAnsi="宋体" w:cs="宋体"/>
          <w:b/>
          <w:sz w:val="24"/>
        </w:rPr>
        <w:t xml:space="preserve"> </w:t>
      </w:r>
    </w:p>
    <w:p>
      <w:pPr>
        <w:spacing w:line="360" w:lineRule="auto"/>
        <w:ind w:firstLine="480"/>
        <w:rPr>
          <w:rFonts w:ascii="宋体" w:hAnsi="宋体" w:cs="宋体"/>
          <w:b w:val="0"/>
          <w:bCs/>
          <w:sz w:val="24"/>
        </w:rPr>
      </w:pPr>
      <w:r>
        <w:rPr>
          <w:rFonts w:hint="eastAsia" w:ascii="宋体" w:hAnsi="宋体" w:cs="宋体"/>
          <w:b/>
          <w:sz w:val="24"/>
        </w:rPr>
        <w:t>项目名称：</w:t>
      </w:r>
      <w:r>
        <w:rPr>
          <w:rFonts w:hint="eastAsia" w:ascii="宋体" w:hAnsi="宋体" w:cs="宋体"/>
          <w:b w:val="0"/>
          <w:bCs/>
          <w:sz w:val="24"/>
          <w:lang w:eastAsia="zh-CN"/>
        </w:rPr>
        <w:t>杭州市</w:t>
      </w:r>
      <w:r>
        <w:rPr>
          <w:rFonts w:hint="eastAsia" w:ascii="宋体" w:hAnsi="宋体" w:cs="宋体"/>
          <w:b w:val="0"/>
          <w:bCs/>
          <w:sz w:val="24"/>
        </w:rPr>
        <w:t>临安区山牛坞渗滤液处理厂全量化处理第三方</w:t>
      </w:r>
      <w:r>
        <w:rPr>
          <w:rFonts w:hint="eastAsia" w:ascii="宋体" w:hAnsi="宋体" w:cs="宋体"/>
          <w:b w:val="0"/>
          <w:bCs/>
          <w:sz w:val="24"/>
          <w:lang w:eastAsia="zh-CN"/>
        </w:rPr>
        <w:t>运营</w:t>
      </w:r>
      <w:r>
        <w:rPr>
          <w:rFonts w:hint="eastAsia" w:ascii="宋体" w:hAnsi="宋体" w:cs="宋体"/>
          <w:b w:val="0"/>
          <w:bCs/>
          <w:sz w:val="24"/>
        </w:rPr>
        <w:t>服务采购</w:t>
      </w:r>
      <w:r>
        <w:rPr>
          <w:rFonts w:hint="eastAsia" w:ascii="宋体" w:hAnsi="宋体" w:cs="宋体"/>
          <w:b w:val="0"/>
          <w:bCs/>
          <w:sz w:val="24"/>
          <w:lang w:eastAsia="zh-CN"/>
        </w:rPr>
        <w:t>项目</w:t>
      </w:r>
    </w:p>
    <w:p>
      <w:pPr>
        <w:spacing w:line="360" w:lineRule="auto"/>
        <w:rPr>
          <w:rFonts w:ascii="宋体" w:hAnsi="宋体" w:cs="宋体"/>
          <w:sz w:val="24"/>
        </w:rPr>
      </w:pPr>
      <w:r>
        <w:rPr>
          <w:rFonts w:hint="eastAsia" w:ascii="宋体" w:hAnsi="宋体" w:cs="宋体"/>
          <w:sz w:val="24"/>
        </w:rPr>
        <w:t xml:space="preserve">   </w:t>
      </w:r>
      <w:r>
        <w:rPr>
          <w:rFonts w:hint="eastAsia" w:ascii="宋体" w:hAnsi="宋体" w:cs="宋体"/>
          <w:b/>
          <w:sz w:val="24"/>
        </w:rPr>
        <w:t xml:space="preserve"> 预算金额（元）：572945</w:t>
      </w:r>
      <w:r>
        <w:rPr>
          <w:rFonts w:hint="eastAsia" w:ascii="宋体" w:hAnsi="宋体" w:cs="宋体"/>
          <w:b/>
          <w:sz w:val="24"/>
          <w:lang w:val="en-US" w:eastAsia="zh-CN"/>
        </w:rPr>
        <w:t>00</w:t>
      </w:r>
      <w:r>
        <w:rPr>
          <w:rFonts w:ascii="宋体" w:hAnsi="宋体" w:cs="宋体"/>
          <w:sz w:val="24"/>
        </w:rPr>
        <w:t xml:space="preserve"> </w:t>
      </w:r>
    </w:p>
    <w:p>
      <w:pPr>
        <w:spacing w:line="360" w:lineRule="auto"/>
        <w:ind w:firstLine="480"/>
        <w:rPr>
          <w:rFonts w:ascii="宋体" w:hAnsi="宋体" w:cs="宋体"/>
          <w:sz w:val="24"/>
        </w:rPr>
      </w:pPr>
      <w:r>
        <w:rPr>
          <w:rFonts w:hint="eastAsia" w:ascii="宋体" w:hAnsi="宋体" w:cs="宋体"/>
          <w:b/>
          <w:sz w:val="24"/>
        </w:rPr>
        <w:t>最高限价（元）：572945</w:t>
      </w:r>
      <w:r>
        <w:rPr>
          <w:rFonts w:hint="eastAsia" w:ascii="宋体" w:hAnsi="宋体" w:cs="宋体"/>
          <w:b/>
          <w:sz w:val="24"/>
          <w:lang w:val="en-US" w:eastAsia="zh-CN"/>
        </w:rPr>
        <w:t>00</w:t>
      </w:r>
      <w:r>
        <w:rPr>
          <w:rFonts w:ascii="宋体" w:hAnsi="宋体" w:cs="宋体"/>
          <w:sz w:val="24"/>
        </w:rPr>
        <w:t xml:space="preserve"> </w:t>
      </w:r>
    </w:p>
    <w:p>
      <w:pPr>
        <w:pStyle w:val="6"/>
        <w:spacing w:line="360" w:lineRule="auto"/>
        <w:ind w:firstLine="480"/>
        <w:rPr>
          <w:rFonts w:hAnsi="宋体" w:cs="宋体"/>
          <w:bCs/>
          <w:snapToGrid/>
          <w:color w:val="auto"/>
          <w:kern w:val="2"/>
          <w:sz w:val="24"/>
          <w:szCs w:val="24"/>
        </w:rPr>
      </w:pPr>
      <w:r>
        <w:rPr>
          <w:rFonts w:hint="eastAsia" w:hAnsi="宋体" w:cs="宋体"/>
          <w:b/>
          <w:color w:val="auto"/>
          <w:sz w:val="24"/>
        </w:rPr>
        <w:t>采购需求：</w:t>
      </w:r>
      <w:r>
        <w:rPr>
          <w:rFonts w:hint="eastAsia" w:hAnsi="宋体" w:cs="宋体"/>
          <w:b w:val="0"/>
          <w:bCs/>
          <w:color w:val="auto"/>
          <w:sz w:val="24"/>
        </w:rPr>
        <w:t>本次渗滤液厂</w:t>
      </w:r>
      <w:r>
        <w:rPr>
          <w:rFonts w:hint="eastAsia" w:hAnsi="宋体" w:cs="宋体"/>
          <w:b w:val="0"/>
          <w:bCs/>
          <w:color w:val="auto"/>
          <w:sz w:val="24"/>
          <w:lang w:eastAsia="zh-CN"/>
        </w:rPr>
        <w:t>运营</w:t>
      </w:r>
      <w:r>
        <w:rPr>
          <w:rFonts w:hint="eastAsia" w:hAnsi="宋体" w:cs="宋体"/>
          <w:b w:val="0"/>
          <w:bCs/>
          <w:color w:val="auto"/>
          <w:sz w:val="24"/>
        </w:rPr>
        <w:t>管理服务为年平均日处理渗滤液（含浓缩液，以下简称“渗滤液”）550吨</w:t>
      </w:r>
      <w:r>
        <w:rPr>
          <w:rFonts w:hint="eastAsia" w:hAnsi="宋体" w:cs="宋体"/>
          <w:b w:val="0"/>
          <w:bCs/>
          <w:color w:val="auto"/>
          <w:sz w:val="24"/>
          <w:lang w:eastAsia="zh-CN"/>
        </w:rPr>
        <w:t>（含中转站渗滤液）</w:t>
      </w:r>
      <w:r>
        <w:rPr>
          <w:rFonts w:hint="eastAsia" w:hAnsi="宋体" w:cs="宋体"/>
          <w:b w:val="0"/>
          <w:bCs/>
          <w:color w:val="auto"/>
          <w:sz w:val="24"/>
        </w:rPr>
        <w:t>，年日平均排放量不少于495吨（下浮幅度不超过10%），排放标准达到GB16889—2008《生活垃圾填埋场污染物控制标准》的表3标准排放，且回用率不低于30%（达到《城市污水再生利用 城市杂用水水质》（GB/T 18920-2020）中道路冲洗、绿植灌溉标准），包括垃圾渗滤液（浓缩液）的处置运营管理工作（台账）、设施设备的日常维护保养、负责排水口环境指标，配合在线监测单位做该排放口运营管理工作，厂区整体环境卫生、配合业主做好雨季为主的自然灾害天气的防汛防灾工作，以及配合主管部门做好相关检查等工作。</w:t>
      </w:r>
      <w:r>
        <w:rPr>
          <w:rFonts w:hint="eastAsia" w:asciiTheme="minorEastAsia" w:hAnsiTheme="minorEastAsia" w:eastAsiaTheme="minorEastAsia"/>
          <w:snapToGrid/>
          <w:color w:val="auto"/>
          <w:kern w:val="2"/>
          <w:sz w:val="24"/>
          <w:szCs w:val="24"/>
        </w:rPr>
        <w:t>具体以招标文件第三部分采购需求为准，供应商可点击本公告下方“浏览采购文件”查看采购需求。</w:t>
      </w:r>
    </w:p>
    <w:p>
      <w:pPr>
        <w:pStyle w:val="128"/>
        <w:ind w:firstLine="482"/>
        <w:outlineLvl w:val="2"/>
        <w:rPr>
          <w:rFonts w:ascii="宋体" w:hAnsi="宋体" w:cs="宋体"/>
        </w:rPr>
      </w:pPr>
      <w:r>
        <w:rPr>
          <w:rFonts w:hint="eastAsia" w:ascii="宋体" w:hAnsi="宋体" w:cs="宋体"/>
          <w:b/>
        </w:rPr>
        <w:t>合同履约期限：</w:t>
      </w:r>
      <w:r>
        <w:rPr>
          <w:rFonts w:hint="eastAsia" w:ascii="宋体" w:hAnsi="宋体" w:cs="宋体"/>
          <w:b w:val="0"/>
          <w:bCs/>
        </w:rPr>
        <w:t>本次</w:t>
      </w:r>
      <w:r>
        <w:rPr>
          <w:rFonts w:hint="eastAsia" w:ascii="宋体" w:hAnsi="宋体" w:cs="宋体"/>
          <w:b w:val="0"/>
          <w:bCs/>
          <w:lang w:eastAsia="zh-CN"/>
        </w:rPr>
        <w:t>运营</w:t>
      </w:r>
      <w:r>
        <w:rPr>
          <w:rFonts w:hint="eastAsia" w:ascii="宋体" w:hAnsi="宋体" w:cs="宋体"/>
          <w:b w:val="0"/>
          <w:bCs/>
        </w:rPr>
        <w:t>服务期限为三年（自合同签订之日起）</w:t>
      </w:r>
      <w:r>
        <w:rPr>
          <w:rFonts w:hint="eastAsia" w:ascii="宋体" w:hAnsi="宋体" w:cs="宋体"/>
          <w:b w:val="0"/>
          <w:bCs/>
          <w:lang w:eastAsia="zh-CN"/>
        </w:rPr>
        <w:t>。</w:t>
      </w:r>
      <w:r>
        <w:rPr>
          <w:rFonts w:ascii="宋体" w:hAnsi="宋体" w:cs="宋体"/>
        </w:rPr>
        <w:t xml:space="preserve"> </w:t>
      </w:r>
    </w:p>
    <w:p>
      <w:pPr>
        <w:pStyle w:val="6"/>
        <w:spacing w:line="360" w:lineRule="auto"/>
        <w:ind w:firstLine="480"/>
        <w:rPr>
          <w:rFonts w:hint="eastAsia" w:hAnsi="宋体" w:cs="宋体"/>
          <w:color w:val="auto"/>
          <w:kern w:val="0"/>
          <w:sz w:val="24"/>
        </w:rPr>
      </w:pPr>
      <w:r>
        <w:rPr>
          <w:rFonts w:hint="eastAsia" w:hAnsi="宋体" w:cs="宋体"/>
          <w:b/>
          <w:color w:val="auto"/>
          <w:sz w:val="24"/>
        </w:rPr>
        <w:t>本项目接受联合体投标：</w:t>
      </w:r>
      <w:r>
        <w:rPr>
          <w:rFonts w:hAnsi="宋体" w:cs="宋体"/>
          <w:color w:val="auto"/>
          <w:kern w:val="0"/>
          <w:sz w:val="24"/>
        </w:rPr>
        <w:t xml:space="preserve"> </w:t>
      </w:r>
      <w:sdt>
        <w:sdtPr>
          <w:rPr>
            <w:rFonts w:hAnsi="宋体" w:cs="宋体"/>
            <w:color w:val="auto"/>
            <w:kern w:val="0"/>
            <w:sz w:val="24"/>
          </w:rPr>
          <w:id w:val="-441836950"/>
          <w14:checkbox>
            <w14:checked w14:val="0"/>
            <w14:checkedState w14:val="00FE" w14:font="Wingdings"/>
            <w14:uncheckedState w14:val="2610" w14:font="MS Gothic"/>
          </w14:checkbox>
        </w:sdtPr>
        <w:sdtEndPr>
          <w:rPr>
            <w:rFonts w:hAnsi="宋体" w:cs="宋体"/>
            <w:color w:val="auto"/>
            <w:kern w:val="0"/>
            <w:sz w:val="24"/>
          </w:rPr>
        </w:sdtEndPr>
        <w:sdtContent>
          <w:r>
            <w:rPr>
              <w:rFonts w:ascii="MS Gothic" w:hAnsi="MS Gothic" w:eastAsia="宋体" w:cs="宋体"/>
              <w:snapToGrid w:val="0"/>
              <w:color w:val="auto"/>
              <w:kern w:val="0"/>
              <w:sz w:val="24"/>
              <w:szCs w:val="20"/>
              <w:lang w:val="en-US" w:eastAsia="zh-CN" w:bidi="ar-SA"/>
            </w:rPr>
            <w:t>☐</w:t>
          </w:r>
        </w:sdtContent>
      </w:sdt>
      <w:r>
        <w:rPr>
          <w:rFonts w:hint="eastAsia" w:hAnsi="宋体" w:cs="宋体"/>
          <w:b/>
          <w:color w:val="auto"/>
          <w:sz w:val="24"/>
        </w:rPr>
        <w:t>是；</w:t>
      </w:r>
      <w:sdt>
        <w:sdtPr>
          <w:rPr>
            <w:rFonts w:hAnsi="宋体" w:cs="宋体"/>
            <w:color w:val="auto"/>
            <w:kern w:val="0"/>
            <w:sz w:val="24"/>
          </w:rPr>
          <w:id w:val="-1591624199"/>
          <w14:checkbox>
            <w14:checked w14:val="1"/>
            <w14:checkedState w14:val="00FE" w14:font="Wingdings"/>
            <w14:uncheckedState w14:val="2610" w14:font="MS Gothic"/>
          </w14:checkbox>
        </w:sdtPr>
        <w:sdtEndPr>
          <w:rPr>
            <w:rFonts w:hAnsi="宋体" w:cs="宋体"/>
            <w:color w:val="auto"/>
            <w:kern w:val="0"/>
            <w:sz w:val="24"/>
          </w:rPr>
        </w:sdtEndPr>
        <w:sdtContent>
          <w:r>
            <w:rPr>
              <w:rFonts w:ascii="Wingdings" w:hAnsi="Wingdings" w:eastAsia="宋体" w:cs="Segoe UI Symbol"/>
              <w:snapToGrid w:val="0"/>
              <w:color w:val="auto"/>
              <w:kern w:val="0"/>
              <w:sz w:val="24"/>
              <w:szCs w:val="20"/>
              <w:lang w:val="en-US" w:eastAsia="zh-CN" w:bidi="ar-SA"/>
            </w:rPr>
            <w:t>þ</w:t>
          </w:r>
        </w:sdtContent>
      </w:sdt>
      <w:r>
        <w:rPr>
          <w:rFonts w:hint="eastAsia" w:hAnsi="宋体" w:cs="宋体"/>
          <w:b/>
          <w:color w:val="auto"/>
          <w:sz w:val="24"/>
        </w:rPr>
        <w:t>否</w:t>
      </w:r>
      <w:r>
        <w:rPr>
          <w:rFonts w:hint="eastAsia" w:hAnsi="宋体" w:cs="宋体"/>
          <w:color w:val="auto"/>
          <w:kern w:val="0"/>
          <w:sz w:val="24"/>
        </w:rPr>
        <w:t>。</w:t>
      </w:r>
    </w:p>
    <w:p>
      <w:pPr>
        <w:pStyle w:val="6"/>
        <w:spacing w:line="360" w:lineRule="auto"/>
        <w:ind w:firstLine="480"/>
        <w:rPr>
          <w:rFonts w:hAnsi="宋体" w:cs="宋体"/>
          <w:b/>
          <w:color w:val="auto"/>
        </w:rPr>
      </w:pPr>
      <w:r>
        <w:rPr>
          <w:rFonts w:hint="eastAsia" w:hAnsi="宋体" w:cs="宋体"/>
          <w:color w:val="auto"/>
          <w:kern w:val="0"/>
          <w:sz w:val="24"/>
        </w:rPr>
        <w:t>本项目需要核心运营技术方案，履约难度大，联合体不能保证项目的技术实现，容易发生纠纷，不利于项目的顺利实施和管理，</w:t>
      </w:r>
      <w:r>
        <w:rPr>
          <w:rFonts w:hint="eastAsia" w:hAnsi="宋体" w:cs="宋体"/>
          <w:color w:val="auto"/>
          <w:kern w:val="0"/>
          <w:sz w:val="24"/>
          <w:lang w:eastAsia="zh-CN"/>
        </w:rPr>
        <w:t>为避免服务过程中联合体间出现相互扯皮引发矛盾纠纷，</w:t>
      </w:r>
      <w:r>
        <w:rPr>
          <w:rFonts w:hint="eastAsia" w:hAnsi="宋体" w:cs="宋体"/>
          <w:color w:val="auto"/>
          <w:kern w:val="0"/>
          <w:sz w:val="24"/>
        </w:rPr>
        <w:t>增加项目法律风险</w:t>
      </w:r>
      <w:r>
        <w:rPr>
          <w:rFonts w:hint="eastAsia" w:hAnsi="宋体" w:cs="宋体"/>
          <w:color w:val="auto"/>
          <w:kern w:val="0"/>
          <w:sz w:val="24"/>
          <w:lang w:eastAsia="zh-CN"/>
        </w:rPr>
        <w:t>，</w:t>
      </w:r>
      <w:r>
        <w:rPr>
          <w:rFonts w:hint="eastAsia" w:hAnsi="宋体" w:cs="宋体"/>
          <w:color w:val="auto"/>
          <w:kern w:val="0"/>
          <w:sz w:val="24"/>
        </w:rPr>
        <w:t>故该项目不接受联合体投标。</w:t>
      </w:r>
    </w:p>
    <w:p>
      <w:pPr>
        <w:spacing w:line="360" w:lineRule="auto"/>
        <w:rPr>
          <w:rFonts w:ascii="宋体" w:hAnsi="宋体" w:cs="宋体"/>
          <w:b/>
          <w:sz w:val="24"/>
        </w:rPr>
      </w:pPr>
      <w:r>
        <w:rPr>
          <w:rFonts w:hint="eastAsia" w:ascii="宋体" w:hAnsi="宋体" w:cs="宋体"/>
          <w:b/>
          <w:sz w:val="24"/>
        </w:rPr>
        <w:t>二、申请人的资格要求：</w:t>
      </w:r>
    </w:p>
    <w:p>
      <w:pPr>
        <w:spacing w:line="360" w:lineRule="auto"/>
        <w:ind w:firstLine="480"/>
        <w:rPr>
          <w:rFonts w:ascii="宋体" w:hAnsi="宋体" w:cs="宋体"/>
          <w:snapToGrid w:val="0"/>
          <w:kern w:val="28"/>
          <w:sz w:val="24"/>
          <w:szCs w:val="20"/>
        </w:rPr>
      </w:pPr>
      <w:r>
        <w:rPr>
          <w:rFonts w:hint="eastAsia" w:ascii="宋体" w:hAnsi="宋体" w:cs="宋体"/>
          <w:snapToGrid w:val="0"/>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rPr>
          <w:rFonts w:ascii="宋体" w:hAnsi="宋体" w:cs="宋体"/>
          <w:snapToGrid w:val="0"/>
          <w:kern w:val="28"/>
          <w:sz w:val="24"/>
          <w:szCs w:val="20"/>
        </w:rPr>
      </w:pPr>
      <w:r>
        <w:rPr>
          <w:rFonts w:hint="eastAsia" w:ascii="宋体" w:hAnsi="宋体" w:cs="宋体"/>
          <w:snapToGrid w:val="0"/>
          <w:kern w:val="28"/>
          <w:sz w:val="24"/>
          <w:szCs w:val="20"/>
        </w:rPr>
        <w:t xml:space="preserve">    </w:t>
      </w:r>
      <w:r>
        <w:rPr>
          <w:rFonts w:ascii="宋体" w:hAnsi="宋体" w:cs="宋体"/>
          <w:snapToGrid w:val="0"/>
          <w:kern w:val="28"/>
          <w:sz w:val="24"/>
          <w:szCs w:val="20"/>
        </w:rPr>
        <w:t>2</w:t>
      </w:r>
      <w:r>
        <w:rPr>
          <w:rFonts w:hint="eastAsia" w:ascii="宋体" w:hAnsi="宋体" w:cs="宋体"/>
          <w:snapToGrid w:val="0"/>
          <w:kern w:val="28"/>
          <w:sz w:val="24"/>
          <w:szCs w:val="20"/>
        </w:rPr>
        <w:t>.</w:t>
      </w:r>
      <w:r>
        <w:rPr>
          <w:rFonts w:hint="eastAsia"/>
        </w:rPr>
        <w:t xml:space="preserve"> </w:t>
      </w:r>
      <w:r>
        <w:rPr>
          <w:rFonts w:hint="eastAsia" w:ascii="宋体" w:hAnsi="宋体" w:cs="宋体"/>
          <w:snapToGrid w:val="0"/>
          <w:kern w:val="28"/>
          <w:sz w:val="24"/>
          <w:szCs w:val="20"/>
        </w:rPr>
        <w:t>以联合体形式投标的，提供联合协议(本项目不接受联合体投标或者投标人不以联合体形式投标的，则不需要提供) ；</w:t>
      </w:r>
    </w:p>
    <w:p>
      <w:pPr>
        <w:spacing w:line="360" w:lineRule="auto"/>
        <w:ind w:firstLine="480" w:firstLineChars="200"/>
        <w:rPr>
          <w:rFonts w:ascii="宋体" w:hAnsi="宋体" w:cs="宋体"/>
          <w:snapToGrid w:val="0"/>
          <w:color w:val="auto"/>
          <w:kern w:val="28"/>
          <w:sz w:val="24"/>
          <w:szCs w:val="20"/>
          <w:highlight w:val="none"/>
        </w:rPr>
      </w:pPr>
      <w:r>
        <w:rPr>
          <w:rFonts w:ascii="宋体" w:hAnsi="宋体" w:cs="宋体"/>
          <w:snapToGrid w:val="0"/>
          <w:color w:val="auto"/>
          <w:kern w:val="28"/>
          <w:sz w:val="24"/>
          <w:szCs w:val="20"/>
          <w:highlight w:val="none"/>
        </w:rPr>
        <w:t>3</w:t>
      </w:r>
      <w:r>
        <w:rPr>
          <w:rFonts w:hint="eastAsia" w:ascii="宋体" w:hAnsi="宋体" w:cs="宋体"/>
          <w:snapToGrid w:val="0"/>
          <w:color w:val="auto"/>
          <w:kern w:val="28"/>
          <w:sz w:val="24"/>
          <w:szCs w:val="20"/>
          <w:highlight w:val="none"/>
        </w:rPr>
        <w:t>.落实政府采购政策需满足的资格要求：</w:t>
      </w:r>
    </w:p>
    <w:p>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92861692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szCs w:val="24"/>
              <w:highlight w:val="none"/>
              <w:lang w:val="en-US" w:eastAsia="zh-CN" w:bidi="ar-SA"/>
            </w:rPr>
            <w:t>☐</w:t>
          </w:r>
        </w:sdtContent>
      </w:sdt>
      <w:r>
        <w:rPr>
          <w:rFonts w:hint="eastAsia" w:ascii="宋体" w:hAnsi="宋体" w:cs="宋体"/>
          <w:color w:val="auto"/>
          <w:sz w:val="24"/>
          <w:highlight w:val="none"/>
        </w:rPr>
        <w:t>无</w:t>
      </w:r>
      <w:r>
        <w:rPr>
          <w:rFonts w:hint="eastAsia" w:ascii="宋体" w:hAnsi="宋体" w:cs="宋体"/>
          <w:snapToGrid w:val="0"/>
          <w:color w:val="auto"/>
          <w:kern w:val="28"/>
          <w:sz w:val="24"/>
          <w:szCs w:val="20"/>
          <w:highlight w:val="none"/>
        </w:rPr>
        <w:t>；</w:t>
      </w:r>
    </w:p>
    <w:p>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024704304"/>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专</w:t>
      </w:r>
      <w:r>
        <w:rPr>
          <w:rFonts w:hint="eastAsia" w:ascii="宋体" w:hAnsi="宋体" w:cs="宋体"/>
          <w:color w:val="auto"/>
          <w:sz w:val="24"/>
          <w:highlight w:val="none"/>
        </w:rPr>
        <w:t>门面向中小企业</w:t>
      </w:r>
    </w:p>
    <w:p>
      <w:pPr>
        <w:spacing w:line="360" w:lineRule="auto"/>
        <w:ind w:firstLine="897" w:firstLineChars="374"/>
        <w:rPr>
          <w:rFonts w:ascii="宋体" w:hAnsi="宋体" w:cs="宋体"/>
          <w:color w:val="auto"/>
          <w:sz w:val="24"/>
          <w:highlight w:val="none"/>
        </w:rPr>
      </w:pPr>
      <w:sdt>
        <w:sdtPr>
          <w:rPr>
            <w:rFonts w:hint="eastAsia" w:ascii="宋体" w:hAnsi="宋体" w:cs="宋体"/>
            <w:color w:val="auto"/>
            <w:kern w:val="0"/>
            <w:sz w:val="24"/>
            <w:highlight w:val="none"/>
          </w:rPr>
          <w:id w:val="-333685401"/>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sz w:val="24"/>
          <w:highlight w:val="none"/>
        </w:rPr>
        <w:t>服务全部由符合政策要求的中小</w:t>
      </w:r>
      <w:r>
        <w:rPr>
          <w:rFonts w:hint="eastAsia" w:ascii="宋体" w:hAnsi="宋体" w:cs="宋体"/>
          <w:color w:val="auto"/>
          <w:sz w:val="24"/>
          <w:highlight w:val="none"/>
          <w:lang w:eastAsia="zh-CN"/>
        </w:rPr>
        <w:t>微</w:t>
      </w:r>
      <w:r>
        <w:rPr>
          <w:rFonts w:hint="eastAsia" w:ascii="宋体" w:hAnsi="宋体" w:cs="宋体"/>
          <w:color w:val="auto"/>
          <w:sz w:val="24"/>
          <w:highlight w:val="none"/>
        </w:rPr>
        <w:t>企业承接，提供中小企业声明函；</w:t>
      </w:r>
    </w:p>
    <w:p>
      <w:pPr>
        <w:spacing w:line="360" w:lineRule="auto"/>
        <w:ind w:firstLine="897" w:firstLineChars="374"/>
        <w:rPr>
          <w:rFonts w:ascii="宋体" w:hAnsi="宋体" w:cs="宋体"/>
          <w:color w:val="auto"/>
          <w:highlight w:val="none"/>
        </w:rPr>
      </w:pPr>
      <w:sdt>
        <w:sdtPr>
          <w:rPr>
            <w:rFonts w:hint="eastAsia" w:ascii="宋体" w:hAnsi="宋体" w:cs="宋体"/>
            <w:color w:val="auto"/>
            <w:kern w:val="0"/>
            <w:sz w:val="24"/>
            <w:highlight w:val="none"/>
          </w:rPr>
          <w:id w:val="-2141025358"/>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服务全部由符合政策要求的小微企业承接，提供中小企业声明函；</w:t>
      </w:r>
    </w:p>
    <w:p>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98560779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要求以联合体形式参加，提供联合协议和中小企业声明函，联合协议中中小企业合同金额应当达到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auto"/>
          <w:sz w:val="24"/>
          <w:highlight w:val="none"/>
        </w:rPr>
        <w:t>；</w:t>
      </w:r>
    </w:p>
    <w:p>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3463064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要求合同分包，提供分包意向协议和中小企业声明函，分包意向协议中中小企业合同金额应当达到达到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auto"/>
          <w:sz w:val="24"/>
          <w:highlight w:val="none"/>
        </w:rPr>
        <w:t>；</w:t>
      </w:r>
    </w:p>
    <w:p>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4</w:t>
      </w:r>
      <w:r>
        <w:rPr>
          <w:rFonts w:hint="eastAsia" w:ascii="宋体" w:hAnsi="宋体" w:cs="宋体"/>
          <w:color w:val="auto"/>
          <w:sz w:val="24"/>
          <w:highlight w:val="none"/>
        </w:rPr>
        <w:t>.本项目的特定资格要求：</w:t>
      </w:r>
    </w:p>
    <w:p>
      <w:pPr>
        <w:snapToGrid w:val="0"/>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50898254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sz w:val="24"/>
          <w:highlight w:val="none"/>
        </w:rPr>
        <w:t>无</w:t>
      </w:r>
    </w:p>
    <w:p>
      <w:pPr>
        <w:snapToGrid w:val="0"/>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607112291"/>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sz w:val="24"/>
          <w:highlight w:val="none"/>
        </w:rPr>
        <w:t>有特定资格要求：</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，该特定条件的法律法规依据：</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pPr>
        <w:snapToGrid w:val="0"/>
        <w:spacing w:line="360" w:lineRule="auto"/>
        <w:ind w:firstLine="480" w:firstLineChars="200"/>
        <w:rPr>
          <w:rFonts w:ascii="宋体" w:hAnsi="宋体" w:cs="宋体"/>
          <w:sz w:val="24"/>
        </w:rPr>
      </w:pPr>
      <w:r>
        <w:rPr>
          <w:rFonts w:ascii="宋体" w:hAnsi="宋体" w:cs="宋体"/>
          <w:color w:val="auto"/>
          <w:sz w:val="24"/>
          <w:highlight w:val="none"/>
        </w:rPr>
        <w:t>5</w:t>
      </w:r>
      <w:r>
        <w:rPr>
          <w:rFonts w:hint="eastAsia" w:ascii="宋体" w:hAnsi="宋体" w:cs="宋体"/>
          <w:color w:val="auto"/>
          <w:sz w:val="24"/>
          <w:highlight w:val="none"/>
        </w:rPr>
        <w:t>.单位负责人为同一人或者存在直接控股、管理关系的不同供应商，不得参加同一合同项下的政府采购活动；为采购项目提供整体设计、规范编制或者项目管理、</w:t>
      </w:r>
      <w:r>
        <w:rPr>
          <w:rFonts w:hint="eastAsia" w:ascii="宋体" w:hAnsi="宋体" w:cs="宋体"/>
          <w:sz w:val="24"/>
        </w:rPr>
        <w:t>监理、检测等服务后不得再参加该采购项目的其他采购活动。</w:t>
      </w:r>
    </w:p>
    <w:p>
      <w:pPr>
        <w:spacing w:line="360" w:lineRule="auto"/>
        <w:rPr>
          <w:rFonts w:ascii="宋体" w:hAnsi="宋体" w:cs="宋体"/>
          <w:b/>
          <w:color w:val="auto"/>
          <w:sz w:val="24"/>
        </w:rPr>
      </w:pPr>
      <w:r>
        <w:rPr>
          <w:rFonts w:hint="eastAsia" w:ascii="宋体" w:hAnsi="宋体" w:cs="宋体"/>
          <w:b/>
          <w:sz w:val="24"/>
        </w:rPr>
        <w:t>三、获取招标文</w:t>
      </w:r>
      <w:r>
        <w:rPr>
          <w:rFonts w:hint="eastAsia" w:ascii="宋体" w:hAnsi="宋体" w:cs="宋体"/>
          <w:b/>
          <w:color w:val="auto"/>
          <w:sz w:val="24"/>
        </w:rPr>
        <w:t xml:space="preserve">件 </w:t>
      </w:r>
    </w:p>
    <w:p>
      <w:pPr>
        <w:spacing w:line="360" w:lineRule="auto"/>
        <w:ind w:firstLine="482" w:firstLineChars="200"/>
        <w:rPr>
          <w:rFonts w:ascii="宋体" w:hAnsi="宋体" w:cs="宋体"/>
          <w:sz w:val="24"/>
        </w:rPr>
      </w:pPr>
      <w:r>
        <w:rPr>
          <w:rFonts w:hint="eastAsia" w:ascii="宋体" w:hAnsi="宋体" w:cs="宋体"/>
          <w:b/>
          <w:color w:val="auto"/>
          <w:sz w:val="24"/>
        </w:rPr>
        <w:t>时间：</w:t>
      </w:r>
      <w:r>
        <w:rPr>
          <w:rFonts w:hint="eastAsia" w:ascii="宋体" w:hAnsi="宋体" w:cs="宋体"/>
          <w:color w:val="auto"/>
          <w:sz w:val="24"/>
        </w:rPr>
        <w:t>/至</w:t>
      </w:r>
      <w:r>
        <w:rPr>
          <w:rFonts w:hint="eastAsia" w:ascii="宋体" w:hAnsi="宋体" w:cs="宋体"/>
          <w:color w:val="auto"/>
          <w:sz w:val="24"/>
          <w:u w:val="single"/>
        </w:rPr>
        <w:t>202</w:t>
      </w:r>
      <w:r>
        <w:rPr>
          <w:rFonts w:hint="eastAsia" w:ascii="宋体" w:hAnsi="宋体" w:cs="宋体"/>
          <w:color w:val="auto"/>
          <w:sz w:val="24"/>
          <w:u w:val="single"/>
          <w:lang w:val="en-US" w:eastAsia="zh-CN"/>
        </w:rPr>
        <w:t>4</w:t>
      </w:r>
      <w:r>
        <w:rPr>
          <w:rFonts w:hint="eastAsia" w:ascii="宋体" w:hAnsi="宋体" w:cs="宋体"/>
          <w:color w:val="auto"/>
          <w:sz w:val="24"/>
          <w:u w:val="single"/>
        </w:rPr>
        <w:t>年</w:t>
      </w:r>
      <w:r>
        <w:rPr>
          <w:rFonts w:hint="eastAsia" w:ascii="宋体" w:hAnsi="宋体" w:cs="宋体"/>
          <w:color w:val="auto"/>
          <w:sz w:val="24"/>
          <w:u w:val="single"/>
          <w:lang w:val="en-US" w:eastAsia="zh-CN"/>
        </w:rPr>
        <w:t>3</w:t>
      </w:r>
      <w:r>
        <w:rPr>
          <w:rFonts w:hint="eastAsia" w:ascii="宋体" w:hAnsi="宋体" w:cs="宋体"/>
          <w:color w:val="auto"/>
          <w:sz w:val="24"/>
          <w:u w:val="single"/>
        </w:rPr>
        <w:t>月</w:t>
      </w:r>
      <w:r>
        <w:rPr>
          <w:rFonts w:hint="eastAsia" w:ascii="宋体" w:hAnsi="宋体" w:cs="宋体"/>
          <w:color w:val="auto"/>
          <w:sz w:val="24"/>
          <w:u w:val="single"/>
          <w:lang w:val="en-US" w:eastAsia="zh-CN"/>
        </w:rPr>
        <w:t>28</w:t>
      </w:r>
      <w:r>
        <w:rPr>
          <w:rFonts w:hint="eastAsia" w:ascii="宋体" w:hAnsi="宋体" w:cs="宋体"/>
          <w:color w:val="auto"/>
          <w:sz w:val="24"/>
          <w:u w:val="single"/>
        </w:rPr>
        <w:t>日</w:t>
      </w:r>
      <w:r>
        <w:rPr>
          <w:rFonts w:hint="eastAsia" w:ascii="宋体" w:hAnsi="宋体" w:cs="宋体"/>
          <w:color w:val="auto"/>
          <w:sz w:val="24"/>
        </w:rPr>
        <w:t>，每天上午00:00至12:00 ，下午12:00至23:59（北京时间，线上获取法定节假日均可，线下获取</w:t>
      </w:r>
      <w:r>
        <w:rPr>
          <w:rFonts w:hint="eastAsia" w:ascii="宋体" w:hAnsi="宋体" w:cs="宋体"/>
          <w:sz w:val="24"/>
        </w:rPr>
        <w:t>文件法定节假日除外）</w:t>
      </w:r>
    </w:p>
    <w:p>
      <w:pPr>
        <w:spacing w:line="360" w:lineRule="auto"/>
        <w:ind w:firstLine="482" w:firstLineChars="200"/>
        <w:rPr>
          <w:rFonts w:ascii="宋体" w:hAnsi="宋体" w:cs="宋体"/>
          <w:sz w:val="24"/>
        </w:rPr>
      </w:pPr>
      <w:r>
        <w:rPr>
          <w:rFonts w:hint="eastAsia" w:ascii="宋体" w:hAnsi="宋体" w:cs="宋体"/>
          <w:b/>
          <w:sz w:val="24"/>
        </w:rPr>
        <w:t>地点（网址）：</w:t>
      </w:r>
      <w:r>
        <w:rPr>
          <w:rFonts w:hint="eastAsia" w:ascii="宋体" w:hAnsi="宋体" w:cs="宋体"/>
          <w:sz w:val="24"/>
        </w:rPr>
        <w:t xml:space="preserve">政采云平台（https://www.zcygov.cn/） </w:t>
      </w:r>
    </w:p>
    <w:p>
      <w:pPr>
        <w:spacing w:line="360" w:lineRule="auto"/>
        <w:ind w:firstLine="482" w:firstLineChars="200"/>
        <w:rPr>
          <w:rFonts w:ascii="宋体" w:hAnsi="宋体" w:cs="宋体"/>
          <w:sz w:val="24"/>
        </w:rPr>
      </w:pPr>
      <w:r>
        <w:rPr>
          <w:rFonts w:hint="eastAsia" w:ascii="宋体" w:hAnsi="宋体" w:cs="宋体"/>
          <w:b/>
          <w:sz w:val="24"/>
        </w:rPr>
        <w:t>方式：</w:t>
      </w:r>
      <w:r>
        <w:rPr>
          <w:rFonts w:hint="eastAsia" w:ascii="宋体" w:hAnsi="宋体" w:cs="宋体"/>
          <w:sz w:val="24"/>
        </w:rPr>
        <w:t xml:space="preserve">供应商登录政采云平台https://www.zcygov.cn/在线申请获取采购文件（进入“项目采购”应用，在获取采购文件菜单中选择项目，申请获取采购文件）。 </w:t>
      </w:r>
    </w:p>
    <w:p>
      <w:pPr>
        <w:spacing w:line="360" w:lineRule="auto"/>
        <w:ind w:firstLine="482" w:firstLineChars="200"/>
        <w:rPr>
          <w:rFonts w:ascii="宋体" w:hAnsi="宋体" w:cs="宋体"/>
          <w:sz w:val="24"/>
        </w:rPr>
      </w:pPr>
      <w:r>
        <w:rPr>
          <w:rFonts w:hint="eastAsia" w:ascii="宋体" w:hAnsi="宋体" w:cs="宋体"/>
          <w:b/>
          <w:sz w:val="24"/>
        </w:rPr>
        <w:t>售价（元）：</w:t>
      </w:r>
      <w:r>
        <w:rPr>
          <w:rFonts w:hint="eastAsia" w:ascii="宋体" w:hAnsi="宋体" w:cs="宋体"/>
          <w:sz w:val="24"/>
        </w:rPr>
        <w:t xml:space="preserve">0 </w:t>
      </w:r>
      <w:r>
        <w:rPr>
          <w:rFonts w:hint="eastAsia" w:ascii="宋体" w:hAnsi="宋体" w:cs="宋体"/>
          <w:sz w:val="24"/>
        </w:rPr>
        <w:tab/>
      </w:r>
    </w:p>
    <w:p>
      <w:pPr>
        <w:spacing w:line="360" w:lineRule="auto"/>
        <w:rPr>
          <w:rFonts w:ascii="宋体" w:hAnsi="宋体" w:cs="宋体"/>
          <w:b/>
          <w:sz w:val="24"/>
        </w:rPr>
      </w:pPr>
      <w:r>
        <w:rPr>
          <w:rFonts w:hint="eastAsia" w:ascii="宋体" w:hAnsi="宋体" w:cs="宋体"/>
          <w:b/>
          <w:sz w:val="24"/>
        </w:rPr>
        <w:t>四、提交投标文件截止时间、开标时间和地点</w:t>
      </w:r>
    </w:p>
    <w:p>
      <w:pPr>
        <w:spacing w:line="360" w:lineRule="auto"/>
        <w:ind w:firstLine="482" w:firstLineChars="200"/>
        <w:rPr>
          <w:rFonts w:ascii="宋体" w:hAnsi="宋体" w:cs="宋体"/>
          <w:color w:val="auto"/>
          <w:sz w:val="24"/>
        </w:rPr>
      </w:pPr>
      <w:r>
        <w:rPr>
          <w:rFonts w:hint="eastAsia" w:ascii="宋体" w:hAnsi="宋体" w:cs="宋体"/>
          <w:b/>
          <w:sz w:val="24"/>
        </w:rPr>
        <w:t>提交投标文件截止时间：</w:t>
      </w:r>
      <w:r>
        <w:rPr>
          <w:rFonts w:hint="eastAsia" w:ascii="宋体" w:hAnsi="宋体" w:cs="宋体"/>
          <w:color w:val="auto"/>
          <w:sz w:val="24"/>
          <w:u w:val="single"/>
        </w:rPr>
        <w:t xml:space="preserve"> 202</w:t>
      </w:r>
      <w:r>
        <w:rPr>
          <w:rFonts w:hint="eastAsia" w:ascii="宋体" w:hAnsi="宋体" w:cs="宋体"/>
          <w:color w:val="auto"/>
          <w:sz w:val="24"/>
          <w:u w:val="single"/>
          <w:lang w:val="en-US" w:eastAsia="zh-CN"/>
        </w:rPr>
        <w:t>4</w:t>
      </w:r>
      <w:r>
        <w:rPr>
          <w:rFonts w:hint="eastAsia" w:ascii="宋体" w:hAnsi="宋体" w:cs="宋体"/>
          <w:color w:val="auto"/>
          <w:sz w:val="24"/>
          <w:u w:val="single"/>
        </w:rPr>
        <w:t>年</w:t>
      </w:r>
      <w:r>
        <w:rPr>
          <w:rFonts w:hint="eastAsia" w:ascii="宋体" w:hAnsi="宋体" w:cs="宋体"/>
          <w:color w:val="auto"/>
          <w:sz w:val="24"/>
          <w:u w:val="single"/>
          <w:lang w:val="en-US" w:eastAsia="zh-CN"/>
        </w:rPr>
        <w:t>3</w:t>
      </w:r>
      <w:r>
        <w:rPr>
          <w:rFonts w:hint="eastAsia" w:ascii="宋体" w:hAnsi="宋体" w:cs="宋体"/>
          <w:color w:val="auto"/>
          <w:sz w:val="24"/>
          <w:u w:val="single"/>
        </w:rPr>
        <w:t>月</w:t>
      </w:r>
      <w:r>
        <w:rPr>
          <w:rFonts w:hint="eastAsia" w:ascii="宋体" w:hAnsi="宋体" w:cs="宋体"/>
          <w:color w:val="auto"/>
          <w:sz w:val="24"/>
          <w:u w:val="single"/>
          <w:lang w:val="en-US" w:eastAsia="zh-CN"/>
        </w:rPr>
        <w:t>28</w:t>
      </w:r>
      <w:r>
        <w:rPr>
          <w:rFonts w:hint="eastAsia" w:ascii="宋体" w:hAnsi="宋体" w:cs="宋体"/>
          <w:color w:val="auto"/>
          <w:sz w:val="24"/>
          <w:u w:val="single"/>
        </w:rPr>
        <w:t>日</w:t>
      </w:r>
      <w:r>
        <w:rPr>
          <w:rFonts w:hint="eastAsia" w:ascii="宋体" w:hAnsi="宋体" w:cs="宋体"/>
          <w:color w:val="auto"/>
          <w:sz w:val="24"/>
          <w:u w:val="single"/>
          <w:lang w:val="en-US" w:eastAsia="zh-CN"/>
        </w:rPr>
        <w:t>13</w:t>
      </w:r>
      <w:r>
        <w:rPr>
          <w:rFonts w:hint="eastAsia" w:ascii="宋体" w:hAnsi="宋体" w:cs="宋体"/>
          <w:color w:val="auto"/>
          <w:sz w:val="24"/>
          <w:u w:val="single"/>
        </w:rPr>
        <w:t>点</w:t>
      </w:r>
      <w:r>
        <w:rPr>
          <w:rFonts w:hint="eastAsia" w:ascii="宋体" w:hAnsi="宋体" w:cs="宋体"/>
          <w:color w:val="auto"/>
          <w:sz w:val="24"/>
          <w:u w:val="single"/>
          <w:lang w:val="en-US" w:eastAsia="zh-CN"/>
        </w:rPr>
        <w:t>30</w:t>
      </w:r>
      <w:r>
        <w:rPr>
          <w:rFonts w:hint="eastAsia" w:ascii="宋体" w:hAnsi="宋体" w:cs="宋体"/>
          <w:color w:val="auto"/>
          <w:sz w:val="24"/>
          <w:u w:val="single"/>
        </w:rPr>
        <w:t>分00秒</w:t>
      </w:r>
      <w:r>
        <w:rPr>
          <w:rFonts w:hint="eastAsia" w:ascii="宋体" w:hAnsi="宋体" w:cs="宋体"/>
          <w:bCs/>
          <w:color w:val="auto"/>
          <w:sz w:val="24"/>
          <w:u w:val="single"/>
        </w:rPr>
        <w:t xml:space="preserve"> </w:t>
      </w:r>
      <w:r>
        <w:rPr>
          <w:rFonts w:hint="eastAsia" w:ascii="宋体" w:hAnsi="宋体" w:cs="宋体"/>
          <w:color w:val="auto"/>
          <w:sz w:val="24"/>
        </w:rPr>
        <w:t>（北京时间）</w:t>
      </w:r>
    </w:p>
    <w:p>
      <w:pPr>
        <w:spacing w:line="360" w:lineRule="auto"/>
        <w:ind w:firstLine="482" w:firstLineChars="200"/>
        <w:rPr>
          <w:rFonts w:ascii="宋体" w:hAnsi="宋体" w:cs="宋体"/>
          <w:b/>
          <w:color w:val="auto"/>
          <w:sz w:val="24"/>
        </w:rPr>
      </w:pPr>
      <w:r>
        <w:rPr>
          <w:rFonts w:hint="eastAsia" w:ascii="宋体" w:hAnsi="宋体" w:cs="宋体"/>
          <w:b/>
          <w:color w:val="auto"/>
          <w:sz w:val="24"/>
        </w:rPr>
        <w:t>投标地点（网址）：</w:t>
      </w:r>
      <w:r>
        <w:rPr>
          <w:rFonts w:hint="eastAsia" w:ascii="宋体" w:hAnsi="宋体" w:cs="宋体"/>
          <w:color w:val="auto"/>
          <w:sz w:val="24"/>
        </w:rPr>
        <w:t xml:space="preserve">政采云平台（https://www.zcygov.cn/） </w:t>
      </w:r>
    </w:p>
    <w:p>
      <w:pPr>
        <w:spacing w:line="360" w:lineRule="auto"/>
        <w:ind w:firstLine="482" w:firstLineChars="200"/>
        <w:rPr>
          <w:rFonts w:ascii="宋体" w:hAnsi="宋体" w:cs="宋体"/>
          <w:bCs/>
          <w:color w:val="auto"/>
          <w:sz w:val="24"/>
          <w:u w:val="single"/>
        </w:rPr>
      </w:pPr>
      <w:r>
        <w:rPr>
          <w:rFonts w:hint="eastAsia" w:ascii="宋体" w:hAnsi="宋体" w:cs="宋体"/>
          <w:b/>
          <w:color w:val="auto"/>
          <w:sz w:val="24"/>
        </w:rPr>
        <w:t>开标时间：</w:t>
      </w:r>
      <w:r>
        <w:rPr>
          <w:rFonts w:hint="eastAsia" w:ascii="宋体" w:hAnsi="宋体" w:cs="宋体"/>
          <w:color w:val="auto"/>
          <w:sz w:val="24"/>
          <w:u w:val="single"/>
        </w:rPr>
        <w:t>202</w:t>
      </w:r>
      <w:r>
        <w:rPr>
          <w:rFonts w:hint="eastAsia" w:ascii="宋体" w:hAnsi="宋体" w:cs="宋体"/>
          <w:color w:val="auto"/>
          <w:sz w:val="24"/>
          <w:u w:val="single"/>
          <w:lang w:val="en-US" w:eastAsia="zh-CN"/>
        </w:rPr>
        <w:t>4</w:t>
      </w:r>
      <w:r>
        <w:rPr>
          <w:rFonts w:hint="eastAsia" w:ascii="宋体" w:hAnsi="宋体" w:cs="宋体"/>
          <w:color w:val="auto"/>
          <w:sz w:val="24"/>
          <w:u w:val="single"/>
        </w:rPr>
        <w:t>年</w:t>
      </w:r>
      <w:r>
        <w:rPr>
          <w:rFonts w:hint="eastAsia" w:ascii="宋体" w:hAnsi="宋体" w:cs="宋体"/>
          <w:color w:val="auto"/>
          <w:sz w:val="24"/>
          <w:u w:val="single"/>
          <w:lang w:val="en-US" w:eastAsia="zh-CN"/>
        </w:rPr>
        <w:t>3</w:t>
      </w:r>
      <w:r>
        <w:rPr>
          <w:rFonts w:hint="eastAsia" w:ascii="宋体" w:hAnsi="宋体" w:cs="宋体"/>
          <w:color w:val="auto"/>
          <w:sz w:val="24"/>
          <w:u w:val="single"/>
        </w:rPr>
        <w:t>月</w:t>
      </w:r>
      <w:r>
        <w:rPr>
          <w:rFonts w:hint="eastAsia" w:ascii="宋体" w:hAnsi="宋体" w:cs="宋体"/>
          <w:color w:val="auto"/>
          <w:sz w:val="24"/>
          <w:u w:val="single"/>
          <w:lang w:val="en-US" w:eastAsia="zh-CN"/>
        </w:rPr>
        <w:t>28</w:t>
      </w:r>
      <w:r>
        <w:rPr>
          <w:rFonts w:hint="eastAsia" w:ascii="宋体" w:hAnsi="宋体" w:cs="宋体"/>
          <w:color w:val="auto"/>
          <w:sz w:val="24"/>
          <w:u w:val="single"/>
        </w:rPr>
        <w:t>日</w:t>
      </w:r>
      <w:r>
        <w:rPr>
          <w:rFonts w:hint="eastAsia" w:ascii="宋体" w:hAnsi="宋体" w:cs="宋体"/>
          <w:color w:val="auto"/>
          <w:sz w:val="24"/>
          <w:u w:val="single"/>
          <w:lang w:val="en-US" w:eastAsia="zh-CN"/>
        </w:rPr>
        <w:t>13</w:t>
      </w:r>
      <w:r>
        <w:rPr>
          <w:rFonts w:hint="eastAsia" w:ascii="宋体" w:hAnsi="宋体" w:cs="宋体"/>
          <w:color w:val="auto"/>
          <w:sz w:val="24"/>
          <w:u w:val="single"/>
        </w:rPr>
        <w:t>点</w:t>
      </w:r>
      <w:r>
        <w:rPr>
          <w:rFonts w:hint="eastAsia" w:ascii="宋体" w:hAnsi="宋体" w:cs="宋体"/>
          <w:color w:val="auto"/>
          <w:sz w:val="24"/>
          <w:u w:val="single"/>
          <w:lang w:val="en-US" w:eastAsia="zh-CN"/>
        </w:rPr>
        <w:t>30</w:t>
      </w:r>
      <w:r>
        <w:rPr>
          <w:rFonts w:hint="eastAsia" w:ascii="宋体" w:hAnsi="宋体" w:cs="宋体"/>
          <w:color w:val="auto"/>
          <w:sz w:val="24"/>
          <w:u w:val="single"/>
        </w:rPr>
        <w:t>分00秒</w:t>
      </w:r>
      <w:r>
        <w:rPr>
          <w:rFonts w:hint="eastAsia" w:ascii="宋体" w:hAnsi="宋体" w:cs="宋体"/>
          <w:bCs/>
          <w:color w:val="auto"/>
          <w:sz w:val="24"/>
          <w:u w:val="single"/>
        </w:rPr>
        <w:t xml:space="preserve">  </w:t>
      </w:r>
    </w:p>
    <w:p>
      <w:pPr>
        <w:spacing w:line="360" w:lineRule="auto"/>
        <w:ind w:firstLine="482" w:firstLineChars="200"/>
        <w:rPr>
          <w:rFonts w:ascii="宋体" w:hAnsi="宋体" w:cs="宋体"/>
          <w:sz w:val="24"/>
        </w:rPr>
      </w:pPr>
      <w:r>
        <w:rPr>
          <w:rFonts w:hint="eastAsia" w:ascii="宋体" w:hAnsi="宋体" w:cs="宋体"/>
          <w:b/>
          <w:sz w:val="24"/>
        </w:rPr>
        <w:t>开标地点（网址）：</w:t>
      </w:r>
      <w:r>
        <w:rPr>
          <w:rFonts w:hint="eastAsia" w:ascii="宋体" w:hAnsi="宋体" w:cs="宋体"/>
          <w:sz w:val="24"/>
        </w:rPr>
        <w:t>政采云平台（https://www.zcygov.cn/）</w:t>
      </w:r>
    </w:p>
    <w:p>
      <w:pPr>
        <w:spacing w:line="360" w:lineRule="auto"/>
        <w:rPr>
          <w:rFonts w:ascii="宋体" w:hAnsi="宋体" w:cs="宋体"/>
          <w:sz w:val="24"/>
        </w:rPr>
      </w:pPr>
      <w:r>
        <w:rPr>
          <w:rFonts w:hint="eastAsia" w:ascii="宋体" w:hAnsi="宋体" w:cs="宋体"/>
          <w:b/>
          <w:sz w:val="24"/>
        </w:rPr>
        <w:t xml:space="preserve">五、公告期限 </w:t>
      </w:r>
    </w:p>
    <w:p>
      <w:pPr>
        <w:spacing w:line="360" w:lineRule="auto"/>
        <w:ind w:firstLine="480" w:firstLineChars="200"/>
        <w:rPr>
          <w:rFonts w:ascii="宋体" w:hAnsi="宋体" w:cs="宋体"/>
          <w:sz w:val="24"/>
        </w:rPr>
      </w:pPr>
      <w:r>
        <w:rPr>
          <w:rFonts w:hint="eastAsia" w:ascii="宋体" w:hAnsi="宋体" w:cs="宋体"/>
          <w:sz w:val="24"/>
        </w:rPr>
        <w:t>自本公告发布之日起5个工作日。</w:t>
      </w:r>
    </w:p>
    <w:p>
      <w:pPr>
        <w:spacing w:line="360" w:lineRule="auto"/>
        <w:rPr>
          <w:rFonts w:ascii="宋体" w:hAnsi="宋体" w:cs="宋体"/>
          <w:b/>
          <w:sz w:val="24"/>
        </w:rPr>
      </w:pPr>
      <w:r>
        <w:rPr>
          <w:rFonts w:hint="eastAsia" w:ascii="宋体" w:hAnsi="宋体" w:cs="宋体"/>
          <w:b/>
          <w:sz w:val="24"/>
        </w:rPr>
        <w:t>六、其他补充事宜</w:t>
      </w:r>
    </w:p>
    <w:p>
      <w:pPr>
        <w:spacing w:line="360" w:lineRule="auto"/>
        <w:ind w:firstLine="480" w:firstLineChars="200"/>
        <w:rPr>
          <w:rFonts w:ascii="宋体" w:hAnsi="宋体" w:cs="宋体"/>
          <w:sz w:val="24"/>
        </w:rPr>
      </w:pPr>
      <w:r>
        <w:rPr>
          <w:rFonts w:hint="eastAsia" w:ascii="宋体" w:hAnsi="宋体" w:cs="宋体"/>
          <w:sz w:val="24"/>
        </w:rPr>
        <w:t xml:space="preserve"> 1.</w:t>
      </w:r>
      <w:r>
        <w:rPr>
          <w:rFonts w:ascii="宋体" w:hAnsi="宋体" w:cs="宋体"/>
          <w:sz w:val="24"/>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sz w:val="24"/>
        </w:rPr>
        <w:t>。</w:t>
      </w:r>
    </w:p>
    <w:p>
      <w:pPr>
        <w:spacing w:line="360" w:lineRule="auto"/>
        <w:ind w:firstLine="480" w:firstLineChars="200"/>
        <w:rPr>
          <w:rFonts w:ascii="宋体" w:hAnsi="宋体" w:cs="宋体"/>
          <w:sz w:val="24"/>
        </w:rPr>
      </w:pPr>
      <w:r>
        <w:rPr>
          <w:rFonts w:hint="eastAsia" w:ascii="宋体" w:hAnsi="宋体" w:cs="宋体"/>
          <w:sz w:val="24"/>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ind w:firstLine="480" w:firstLineChars="200"/>
        <w:rPr>
          <w:rFonts w:ascii="宋体" w:hAnsi="宋体" w:cs="宋体"/>
          <w:sz w:val="24"/>
        </w:rPr>
      </w:pPr>
      <w:r>
        <w:rPr>
          <w:rFonts w:hint="eastAsia" w:ascii="宋体" w:hAnsi="宋体" w:cs="宋体"/>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ascii="宋体" w:hAnsi="宋体" w:cs="宋体"/>
          <w:sz w:val="24"/>
        </w:rPr>
      </w:pPr>
      <w:r>
        <w:rPr>
          <w:rFonts w:hint="eastAsia" w:ascii="宋体" w:hAnsi="宋体" w:cs="宋体"/>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w:t>
      </w:r>
      <w:r>
        <w:rPr>
          <w:rFonts w:hint="eastAsia" w:ascii="宋体" w:hAnsi="宋体" w:cs="宋体"/>
          <w:sz w:val="24"/>
          <w:lang w:eastAsia="zh-CN"/>
        </w:rPr>
        <w:t>采购代理机构</w:t>
      </w:r>
      <w:r>
        <w:rPr>
          <w:rFonts w:hint="eastAsia" w:ascii="宋体" w:hAnsi="宋体" w:cs="宋体"/>
          <w:sz w:val="24"/>
        </w:rPr>
        <w:t>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pPr>
        <w:spacing w:line="360" w:lineRule="auto"/>
        <w:rPr>
          <w:rFonts w:ascii="宋体" w:hAnsi="宋体" w:cs="宋体"/>
          <w:b/>
          <w:sz w:val="24"/>
        </w:rPr>
      </w:pPr>
      <w:r>
        <w:rPr>
          <w:rFonts w:hint="eastAsia" w:ascii="宋体" w:hAnsi="宋体" w:cs="宋体"/>
          <w:b/>
          <w:sz w:val="24"/>
        </w:rPr>
        <w:t>七、对本次采购提出询问、质疑、投诉，请按以下方式联系</w:t>
      </w:r>
    </w:p>
    <w:p>
      <w:pPr>
        <w:spacing w:line="360" w:lineRule="auto"/>
        <w:rPr>
          <w:rFonts w:ascii="宋体" w:hAnsi="宋体" w:cs="宋体"/>
          <w:sz w:val="24"/>
        </w:rPr>
      </w:pPr>
      <w:r>
        <w:rPr>
          <w:rFonts w:hint="eastAsia" w:ascii="宋体" w:hAnsi="宋体" w:cs="宋体"/>
          <w:sz w:val="24"/>
        </w:rPr>
        <w:t xml:space="preserve">    1.采购人信息</w:t>
      </w:r>
    </w:p>
    <w:p>
      <w:pPr>
        <w:spacing w:line="360" w:lineRule="auto"/>
        <w:rPr>
          <w:rFonts w:ascii="宋体" w:hAnsi="宋体" w:cs="宋体"/>
          <w:color w:val="auto"/>
          <w:sz w:val="24"/>
        </w:rPr>
      </w:pPr>
      <w:r>
        <w:rPr>
          <w:rFonts w:hint="eastAsia" w:ascii="宋体" w:hAnsi="宋体" w:cs="宋体"/>
          <w:sz w:val="24"/>
        </w:rPr>
        <w:t xml:space="preserve">   </w:t>
      </w:r>
      <w:r>
        <w:rPr>
          <w:rFonts w:hint="eastAsia" w:ascii="宋体" w:hAnsi="宋体" w:cs="宋体"/>
          <w:color w:val="auto"/>
          <w:sz w:val="24"/>
        </w:rPr>
        <w:t xml:space="preserve"> 名    称：</w:t>
      </w:r>
      <w:r>
        <w:rPr>
          <w:rFonts w:hint="eastAsia" w:ascii="宋体" w:hAnsi="宋体" w:cs="宋体"/>
          <w:color w:val="auto"/>
          <w:sz w:val="24"/>
          <w:lang w:eastAsia="zh-CN"/>
        </w:rPr>
        <w:t>杭州市</w:t>
      </w:r>
      <w:r>
        <w:rPr>
          <w:rFonts w:hint="eastAsia" w:ascii="宋体" w:hAnsi="宋体" w:cs="宋体"/>
          <w:color w:val="auto"/>
          <w:sz w:val="24"/>
        </w:rPr>
        <w:t xml:space="preserve">临安区综合行政执法局 </w:t>
      </w:r>
    </w:p>
    <w:p>
      <w:pPr>
        <w:spacing w:line="360" w:lineRule="auto"/>
        <w:rPr>
          <w:rFonts w:ascii="宋体" w:hAnsi="宋体" w:cs="宋体"/>
          <w:color w:val="auto"/>
          <w:sz w:val="24"/>
        </w:rPr>
      </w:pPr>
      <w:r>
        <w:rPr>
          <w:rFonts w:hint="eastAsia" w:ascii="宋体" w:hAnsi="宋体" w:cs="宋体"/>
          <w:color w:val="auto"/>
          <w:sz w:val="24"/>
        </w:rPr>
        <w:t xml:space="preserve">    地    址：杭州市临安区畔湖路30号       </w:t>
      </w:r>
    </w:p>
    <w:p>
      <w:pPr>
        <w:spacing w:line="360" w:lineRule="auto"/>
        <w:ind w:firstLine="480"/>
        <w:rPr>
          <w:rFonts w:ascii="宋体" w:hAnsi="宋体" w:cs="宋体"/>
          <w:color w:val="auto"/>
          <w:sz w:val="24"/>
        </w:rPr>
      </w:pPr>
      <w:r>
        <w:rPr>
          <w:rFonts w:hint="eastAsia" w:ascii="宋体" w:hAnsi="宋体" w:cs="宋体"/>
          <w:color w:val="auto"/>
          <w:sz w:val="24"/>
        </w:rPr>
        <w:t>传    真： /</w:t>
      </w:r>
    </w:p>
    <w:p>
      <w:pPr>
        <w:spacing w:line="360" w:lineRule="auto"/>
        <w:ind w:firstLine="480"/>
        <w:rPr>
          <w:rFonts w:ascii="宋体" w:hAnsi="宋体" w:cs="宋体"/>
          <w:color w:val="auto"/>
          <w:sz w:val="24"/>
        </w:rPr>
      </w:pPr>
      <w:r>
        <w:rPr>
          <w:rFonts w:hint="eastAsia" w:ascii="宋体" w:hAnsi="宋体" w:cs="宋体"/>
          <w:color w:val="auto"/>
          <w:sz w:val="24"/>
        </w:rPr>
        <w:t xml:space="preserve">项目联系人（询问）：潘高峰  </w:t>
      </w:r>
    </w:p>
    <w:p>
      <w:pPr>
        <w:spacing w:line="360" w:lineRule="auto"/>
        <w:rPr>
          <w:rFonts w:ascii="宋体" w:hAnsi="宋体" w:cs="宋体"/>
          <w:color w:val="auto"/>
          <w:sz w:val="24"/>
        </w:rPr>
      </w:pPr>
      <w:r>
        <w:rPr>
          <w:rFonts w:hint="eastAsia" w:ascii="宋体" w:hAnsi="宋体" w:cs="宋体"/>
          <w:color w:val="auto"/>
          <w:sz w:val="24"/>
        </w:rPr>
        <w:t xml:space="preserve">    项目联系方式（询问）：</w:t>
      </w:r>
      <w:r>
        <w:rPr>
          <w:rFonts w:hint="eastAsia" w:ascii="宋体" w:hAnsi="宋体" w:cs="宋体"/>
          <w:color w:val="auto"/>
          <w:sz w:val="24"/>
          <w:lang w:val="en-US" w:eastAsia="zh-CN"/>
        </w:rPr>
        <w:t>0571-63807161</w:t>
      </w:r>
      <w:r>
        <w:rPr>
          <w:rFonts w:hint="eastAsia" w:ascii="宋体" w:hAnsi="宋体" w:cs="宋体"/>
          <w:color w:val="auto"/>
          <w:sz w:val="24"/>
        </w:rPr>
        <w:t xml:space="preserve"> </w:t>
      </w:r>
    </w:p>
    <w:p>
      <w:pPr>
        <w:spacing w:line="360" w:lineRule="auto"/>
        <w:rPr>
          <w:rFonts w:ascii="宋体" w:hAnsi="宋体" w:cs="宋体"/>
          <w:color w:val="auto"/>
          <w:sz w:val="24"/>
        </w:rPr>
      </w:pPr>
      <w:r>
        <w:rPr>
          <w:rFonts w:hint="eastAsia" w:ascii="宋体" w:hAnsi="宋体" w:cs="宋体"/>
          <w:color w:val="auto"/>
          <w:sz w:val="24"/>
        </w:rPr>
        <w:t xml:space="preserve">    质疑联系人：单骁 </w:t>
      </w:r>
    </w:p>
    <w:p>
      <w:pPr>
        <w:spacing w:line="360" w:lineRule="auto"/>
        <w:rPr>
          <w:rFonts w:ascii="宋体" w:hAnsi="宋体" w:cs="宋体"/>
          <w:color w:val="auto"/>
          <w:sz w:val="24"/>
        </w:rPr>
      </w:pPr>
      <w:r>
        <w:rPr>
          <w:rFonts w:hint="eastAsia" w:ascii="宋体" w:hAnsi="宋体" w:cs="宋体"/>
          <w:color w:val="auto"/>
          <w:sz w:val="24"/>
        </w:rPr>
        <w:t xml:space="preserve">    质疑联系方式：0571-63739111 </w:t>
      </w:r>
    </w:p>
    <w:p>
      <w:pPr>
        <w:spacing w:line="360" w:lineRule="auto"/>
        <w:rPr>
          <w:rFonts w:ascii="宋体" w:hAnsi="宋体" w:cs="宋体"/>
          <w:sz w:val="24"/>
        </w:rPr>
      </w:pPr>
      <w:r>
        <w:rPr>
          <w:rFonts w:hint="eastAsia" w:ascii="宋体" w:hAnsi="宋体" w:cs="宋体"/>
          <w:sz w:val="24"/>
        </w:rPr>
        <w:t xml:space="preserve">    2.采购代理机构信息            </w:t>
      </w:r>
    </w:p>
    <w:p>
      <w:pPr>
        <w:spacing w:line="360" w:lineRule="auto"/>
        <w:ind w:firstLine="480" w:firstLineChars="200"/>
        <w:rPr>
          <w:rFonts w:hint="eastAsia" w:ascii="宋体" w:hAnsi="宋体" w:cs="宋体"/>
          <w:sz w:val="24"/>
        </w:rPr>
      </w:pPr>
      <w:r>
        <w:rPr>
          <w:rFonts w:hint="eastAsia" w:ascii="宋体" w:hAnsi="宋体" w:cs="宋体"/>
          <w:sz w:val="24"/>
        </w:rPr>
        <w:t>名    称：杭州市公共资源交易中心</w:t>
      </w:r>
      <w:r>
        <w:rPr>
          <w:rFonts w:hint="eastAsia" w:ascii="宋体" w:hAnsi="宋体" w:cs="宋体"/>
          <w:sz w:val="24"/>
          <w:lang w:eastAsia="zh-CN"/>
        </w:rPr>
        <w:t>临安分中心</w:t>
      </w:r>
    </w:p>
    <w:p>
      <w:pPr>
        <w:spacing w:line="360" w:lineRule="auto"/>
        <w:ind w:firstLine="480" w:firstLineChars="200"/>
        <w:rPr>
          <w:rFonts w:hint="eastAsia" w:ascii="宋体" w:hAnsi="宋体" w:cs="宋体"/>
          <w:sz w:val="24"/>
        </w:rPr>
      </w:pPr>
      <w:r>
        <w:rPr>
          <w:rFonts w:hint="eastAsia" w:ascii="宋体" w:hAnsi="宋体" w:cs="宋体"/>
          <w:sz w:val="24"/>
        </w:rPr>
        <w:t>地    址：</w:t>
      </w:r>
      <w:r>
        <w:rPr>
          <w:rFonts w:hint="eastAsia" w:ascii="宋体" w:hAnsi="宋体" w:cs="宋体"/>
          <w:sz w:val="24"/>
          <w:lang w:eastAsia="zh-CN"/>
        </w:rPr>
        <w:t>浙江省杭州市临安区锦北街道科技大道</w:t>
      </w:r>
      <w:r>
        <w:rPr>
          <w:rFonts w:hint="eastAsia" w:ascii="宋体" w:hAnsi="宋体" w:cs="宋体"/>
          <w:sz w:val="24"/>
          <w:lang w:val="en-US" w:eastAsia="zh-CN"/>
        </w:rPr>
        <w:t>4398号市民中心4楼</w:t>
      </w:r>
    </w:p>
    <w:p>
      <w:pPr>
        <w:spacing w:line="360" w:lineRule="auto"/>
        <w:rPr>
          <w:rFonts w:hint="eastAsia" w:ascii="宋体" w:hAnsi="宋体" w:cs="宋体"/>
          <w:sz w:val="24"/>
        </w:rPr>
      </w:pPr>
      <w:r>
        <w:rPr>
          <w:rFonts w:hint="eastAsia" w:ascii="宋体" w:hAnsi="宋体" w:cs="宋体"/>
          <w:sz w:val="24"/>
        </w:rPr>
        <w:t xml:space="preserve">    传    真：</w:t>
      </w:r>
      <w:r>
        <w:rPr>
          <w:rFonts w:hint="eastAsia" w:ascii="宋体" w:hAnsi="宋体" w:cs="宋体"/>
          <w:sz w:val="24"/>
          <w:lang w:val="en-US" w:eastAsia="zh-CN"/>
        </w:rPr>
        <w:t>0571-23616016</w:t>
      </w:r>
      <w:r>
        <w:rPr>
          <w:rFonts w:hint="eastAsia" w:ascii="宋体" w:hAnsi="宋体" w:cs="宋体"/>
          <w:sz w:val="24"/>
        </w:rPr>
        <w:t xml:space="preserve">             </w:t>
      </w:r>
    </w:p>
    <w:p>
      <w:pPr>
        <w:spacing w:line="360" w:lineRule="auto"/>
        <w:rPr>
          <w:rFonts w:hint="eastAsia" w:ascii="宋体" w:hAnsi="宋体" w:cs="宋体"/>
          <w:sz w:val="24"/>
        </w:rPr>
      </w:pPr>
      <w:r>
        <w:rPr>
          <w:rFonts w:hint="eastAsia" w:ascii="宋体" w:hAnsi="宋体" w:cs="宋体"/>
          <w:sz w:val="24"/>
        </w:rPr>
        <w:t xml:space="preserve">    项目联系人（询问）：</w:t>
      </w:r>
      <w:r>
        <w:rPr>
          <w:rFonts w:hint="eastAsia" w:ascii="宋体" w:hAnsi="宋体" w:cs="宋体"/>
          <w:sz w:val="24"/>
          <w:lang w:eastAsia="zh-CN"/>
        </w:rPr>
        <w:t>杨颖</w:t>
      </w:r>
      <w:r>
        <w:rPr>
          <w:rFonts w:hint="eastAsia" w:ascii="宋体" w:hAnsi="宋体" w:cs="宋体"/>
          <w:sz w:val="24"/>
        </w:rPr>
        <w:t xml:space="preserve">          </w:t>
      </w:r>
    </w:p>
    <w:p>
      <w:pPr>
        <w:spacing w:line="360" w:lineRule="auto"/>
        <w:rPr>
          <w:rFonts w:hint="eastAsia" w:ascii="宋体" w:hAnsi="宋体" w:cs="宋体"/>
          <w:sz w:val="24"/>
        </w:rPr>
      </w:pPr>
      <w:r>
        <w:rPr>
          <w:rFonts w:hint="eastAsia" w:ascii="宋体" w:hAnsi="宋体" w:cs="宋体"/>
          <w:sz w:val="24"/>
        </w:rPr>
        <w:t xml:space="preserve">    项目联系方式（询问）：</w:t>
      </w:r>
      <w:r>
        <w:rPr>
          <w:rFonts w:hint="eastAsia" w:ascii="宋体" w:hAnsi="宋体" w:cs="宋体"/>
          <w:sz w:val="24"/>
          <w:lang w:val="en-US" w:eastAsia="zh-CN"/>
        </w:rPr>
        <w:t>0571-89540611</w:t>
      </w:r>
    </w:p>
    <w:p>
      <w:pPr>
        <w:spacing w:line="360" w:lineRule="auto"/>
        <w:rPr>
          <w:rFonts w:hint="eastAsia" w:ascii="宋体" w:hAnsi="宋体" w:cs="宋体"/>
          <w:sz w:val="24"/>
        </w:rPr>
      </w:pPr>
      <w:r>
        <w:rPr>
          <w:rFonts w:hint="eastAsia" w:ascii="宋体" w:hAnsi="宋体" w:cs="宋体"/>
          <w:sz w:val="24"/>
        </w:rPr>
        <w:t xml:space="preserve">    质疑联系人：</w:t>
      </w:r>
      <w:r>
        <w:rPr>
          <w:rFonts w:hint="eastAsia" w:ascii="宋体" w:hAnsi="宋体" w:cs="宋体"/>
          <w:sz w:val="24"/>
          <w:lang w:eastAsia="zh-CN"/>
        </w:rPr>
        <w:t>王晖</w:t>
      </w:r>
      <w:r>
        <w:rPr>
          <w:rFonts w:hint="eastAsia" w:ascii="宋体" w:hAnsi="宋体" w:cs="宋体"/>
          <w:sz w:val="24"/>
        </w:rPr>
        <w:t xml:space="preserve">              </w:t>
      </w:r>
    </w:p>
    <w:p>
      <w:pPr>
        <w:spacing w:line="360" w:lineRule="auto"/>
        <w:rPr>
          <w:rFonts w:ascii="宋体" w:hAnsi="宋体" w:cs="宋体"/>
          <w:sz w:val="24"/>
        </w:rPr>
      </w:pPr>
      <w:r>
        <w:rPr>
          <w:rFonts w:hint="eastAsia" w:ascii="宋体" w:hAnsi="宋体" w:cs="宋体"/>
          <w:sz w:val="24"/>
        </w:rPr>
        <w:t xml:space="preserve">    质疑联系方式：0571-</w:t>
      </w:r>
      <w:r>
        <w:rPr>
          <w:rFonts w:hint="eastAsia" w:ascii="宋体" w:hAnsi="宋体" w:cs="宋体"/>
          <w:sz w:val="24"/>
          <w:lang w:val="en-US" w:eastAsia="zh-CN"/>
        </w:rPr>
        <w:t>89540616</w:t>
      </w:r>
    </w:p>
    <w:p>
      <w:pPr>
        <w:spacing w:line="360" w:lineRule="auto"/>
        <w:rPr>
          <w:rFonts w:ascii="宋体" w:hAnsi="宋体" w:cs="宋体"/>
          <w:sz w:val="24"/>
        </w:rPr>
      </w:pPr>
      <w:r>
        <w:rPr>
          <w:rFonts w:hint="eastAsia" w:ascii="宋体" w:hAnsi="宋体" w:cs="宋体"/>
          <w:sz w:val="24"/>
        </w:rPr>
        <w:t xml:space="preserve">    3.同级政府采购监督管理部门            </w:t>
      </w:r>
    </w:p>
    <w:p>
      <w:pPr>
        <w:spacing w:line="360" w:lineRule="auto"/>
        <w:ind w:firstLine="480"/>
        <w:rPr>
          <w:rFonts w:ascii="宋体" w:hAnsi="宋体" w:cs="宋体"/>
          <w:sz w:val="24"/>
        </w:rPr>
      </w:pPr>
      <w:r>
        <w:rPr>
          <w:rFonts w:hint="eastAsia" w:ascii="宋体" w:hAnsi="宋体" w:cs="宋体"/>
          <w:sz w:val="24"/>
        </w:rPr>
        <w:t xml:space="preserve">名    称：杭州市临安区财政局政府采购监管科、浙江省政府采购行政裁决服务中心（杭州） </w:t>
      </w:r>
    </w:p>
    <w:p>
      <w:pPr>
        <w:spacing w:line="360" w:lineRule="auto"/>
        <w:ind w:firstLine="480"/>
        <w:rPr>
          <w:rFonts w:ascii="宋体" w:hAnsi="宋体" w:cs="宋体"/>
          <w:sz w:val="24"/>
        </w:rPr>
      </w:pPr>
      <w:r>
        <w:rPr>
          <w:rFonts w:hint="eastAsia" w:ascii="宋体" w:hAnsi="宋体" w:cs="宋体"/>
          <w:sz w:val="24"/>
        </w:rPr>
        <w:t xml:space="preserve">地    址：杭州市上城区四季青街道新业路市民之家G03办公室（快递仅限ems或顺丰） </w:t>
      </w:r>
    </w:p>
    <w:p>
      <w:pPr>
        <w:spacing w:line="360" w:lineRule="auto"/>
        <w:ind w:firstLine="480"/>
        <w:rPr>
          <w:rFonts w:ascii="宋体" w:hAnsi="宋体" w:cs="宋体"/>
          <w:sz w:val="24"/>
        </w:rPr>
      </w:pPr>
      <w:r>
        <w:rPr>
          <w:rFonts w:hint="eastAsia" w:ascii="宋体" w:hAnsi="宋体" w:cs="宋体"/>
          <w:sz w:val="24"/>
        </w:rPr>
        <w:t>传    真：0571-89541600</w:t>
      </w:r>
    </w:p>
    <w:p>
      <w:pPr>
        <w:spacing w:line="360" w:lineRule="auto"/>
        <w:ind w:firstLine="480"/>
        <w:rPr>
          <w:rFonts w:ascii="宋体" w:hAnsi="宋体" w:cs="宋体"/>
          <w:sz w:val="24"/>
        </w:rPr>
      </w:pPr>
      <w:r>
        <w:rPr>
          <w:rFonts w:hint="eastAsia" w:ascii="宋体" w:hAnsi="宋体" w:cs="宋体"/>
          <w:sz w:val="24"/>
        </w:rPr>
        <w:t xml:space="preserve">联系人 ：朱女士、王女士    </w:t>
      </w:r>
    </w:p>
    <w:p>
      <w:pPr>
        <w:spacing w:line="360" w:lineRule="auto"/>
        <w:ind w:firstLine="480"/>
        <w:rPr>
          <w:rFonts w:hint="eastAsia" w:ascii="宋体" w:hAnsi="宋体" w:cs="宋体"/>
          <w:sz w:val="24"/>
          <w:lang w:val="en-US" w:eastAsia="zh-CN"/>
        </w:rPr>
      </w:pPr>
      <w:r>
        <w:rPr>
          <w:rFonts w:hint="eastAsia" w:ascii="宋体" w:hAnsi="宋体" w:cs="宋体"/>
          <w:sz w:val="24"/>
        </w:rPr>
        <w:t xml:space="preserve">监督投诉电话：0571-85252453  </w:t>
      </w:r>
    </w:p>
    <w:p>
      <w:pPr>
        <w:spacing w:line="360" w:lineRule="auto"/>
        <w:ind w:firstLine="480"/>
        <w:rPr>
          <w:rFonts w:ascii="宋体" w:hAnsi="宋体" w:cs="宋体"/>
          <w:sz w:val="24"/>
        </w:rPr>
      </w:pPr>
      <w:r>
        <w:rPr>
          <w:rFonts w:hint="eastAsia" w:ascii="宋体" w:hAnsi="宋体" w:cs="宋体"/>
          <w:sz w:val="24"/>
        </w:rPr>
        <w:t>若对项目采购电子交易系统操作有疑问，可登录政采云（https://www.zcygov.cn/），点击右侧咨询小采，获取采小蜜智能服务管家帮助，或拨打政采云服务热线95763获取热线服务帮助。</w:t>
      </w:r>
    </w:p>
    <w:p>
      <w:pPr>
        <w:spacing w:line="360" w:lineRule="auto"/>
        <w:ind w:firstLine="480" w:firstLineChars="200"/>
        <w:rPr>
          <w:rFonts w:ascii="宋体" w:hAnsi="宋体" w:cs="宋体"/>
          <w:sz w:val="24"/>
        </w:rPr>
      </w:pPr>
      <w:r>
        <w:rPr>
          <w:rFonts w:hint="eastAsia" w:ascii="宋体" w:hAnsi="宋体" w:cs="宋体"/>
          <w:sz w:val="24"/>
        </w:rPr>
        <w:t>CA问题联系电话（人工）：汇信CA 400-888-4636；天谷CA 400-087-8198。</w:t>
      </w:r>
    </w:p>
    <w:p>
      <w:pPr>
        <w:widowControl/>
        <w:adjustRightInd/>
        <w:jc w:val="left"/>
        <w:rPr>
          <w:rFonts w:ascii="宋体" w:hAnsi="宋体" w:cs="宋体"/>
          <w:b/>
          <w:sz w:val="36"/>
          <w:szCs w:val="20"/>
        </w:rPr>
      </w:pPr>
      <w:r>
        <w:rPr>
          <w:rFonts w:ascii="宋体" w:hAnsi="宋体" w:cs="宋体"/>
          <w:b/>
          <w:sz w:val="36"/>
          <w:szCs w:val="20"/>
        </w:rPr>
        <w:br w:type="page"/>
      </w:r>
    </w:p>
    <w:p>
      <w:pPr>
        <w:adjustRightInd/>
        <w:spacing w:line="360" w:lineRule="auto"/>
        <w:jc w:val="center"/>
        <w:outlineLvl w:val="0"/>
        <w:rPr>
          <w:rFonts w:ascii="宋体" w:hAnsi="宋体" w:cs="宋体"/>
          <w:b/>
          <w:sz w:val="36"/>
          <w:szCs w:val="20"/>
        </w:rPr>
      </w:pPr>
      <w:r>
        <w:rPr>
          <w:rFonts w:hint="eastAsia" w:ascii="宋体" w:hAnsi="宋体" w:cs="宋体"/>
          <w:b/>
          <w:sz w:val="36"/>
          <w:szCs w:val="20"/>
        </w:rPr>
        <w:t>第二部分</w:t>
      </w:r>
      <w:bookmarkEnd w:id="8"/>
      <w:r>
        <w:rPr>
          <w:rFonts w:hint="eastAsia" w:ascii="宋体" w:hAnsi="宋体" w:cs="宋体"/>
          <w:b/>
          <w:sz w:val="36"/>
          <w:szCs w:val="20"/>
        </w:rPr>
        <w:t xml:space="preserve"> 投标人须知</w:t>
      </w:r>
      <w:bookmarkEnd w:id="9"/>
    </w:p>
    <w:p>
      <w:pPr>
        <w:adjustRightInd/>
        <w:spacing w:line="360" w:lineRule="auto"/>
        <w:ind w:firstLine="3845" w:firstLineChars="1197"/>
        <w:outlineLvl w:val="0"/>
        <w:rPr>
          <w:rFonts w:ascii="宋体" w:hAnsi="宋体" w:cs="宋体"/>
          <w:b/>
          <w:sz w:val="32"/>
          <w:szCs w:val="20"/>
        </w:rPr>
      </w:pPr>
      <w:r>
        <w:rPr>
          <w:rFonts w:hint="eastAsia" w:ascii="宋体" w:hAnsi="宋体" w:cs="宋体"/>
          <w:b/>
          <w:sz w:val="32"/>
          <w:szCs w:val="20"/>
        </w:rPr>
        <w:t>前附表</w:t>
      </w:r>
    </w:p>
    <w:tbl>
      <w:tblPr>
        <w:tblStyle w:val="62"/>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b/>
                <w:sz w:val="24"/>
              </w:rPr>
            </w:pPr>
            <w:r>
              <w:rPr>
                <w:rFonts w:hint="eastAsia" w:ascii="宋体" w:hAnsi="宋体" w:cs="宋体"/>
                <w:b/>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rPr>
                <w:rFonts w:ascii="宋体" w:hAnsi="宋体" w:cs="宋体"/>
                <w:b/>
                <w:sz w:val="24"/>
              </w:rPr>
            </w:pPr>
            <w:r>
              <w:rPr>
                <w:rFonts w:hint="eastAsia" w:ascii="宋体" w:hAnsi="宋体" w:cs="宋体"/>
                <w:b/>
                <w:sz w:val="24"/>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z w:val="24"/>
              </w:rPr>
            </w:pPr>
            <w:r>
              <w:rPr>
                <w:rFonts w:hint="eastAsia" w:ascii="宋体" w:hAnsi="宋体" w:cs="宋体"/>
                <w:sz w:val="24"/>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宋体" w:hAnsi="宋体" w:eastAsia="宋体" w:cs="宋体"/>
                <w:lang w:val="en-US"/>
              </w:rPr>
            </w:pPr>
            <w:r>
              <w:rPr>
                <w:rFonts w:hint="eastAsia" w:ascii="宋体" w:hAnsi="宋体" w:cs="宋体"/>
                <w:color w:val="auto"/>
                <w:kern w:val="0"/>
                <w:sz w:val="24"/>
              </w:rPr>
              <w:t>（1）标的：</w:t>
            </w:r>
            <w:r>
              <w:rPr>
                <w:rFonts w:hint="eastAsia" w:ascii="宋体" w:hAnsi="宋体" w:cs="宋体"/>
                <w:b w:val="0"/>
                <w:bCs w:val="0"/>
                <w:color w:val="auto"/>
                <w:kern w:val="0"/>
                <w:sz w:val="24"/>
                <w:u w:val="single"/>
              </w:rPr>
              <w:t>渗滤液处理</w:t>
            </w:r>
            <w:r>
              <w:rPr>
                <w:rFonts w:hint="eastAsia" w:ascii="宋体" w:hAnsi="宋体" w:cs="宋体"/>
                <w:b w:val="0"/>
                <w:bCs w:val="0"/>
                <w:color w:val="auto"/>
                <w:kern w:val="0"/>
                <w:sz w:val="24"/>
                <w:u w:val="single"/>
                <w:lang w:eastAsia="zh-CN"/>
              </w:rPr>
              <w:t>运营服务</w:t>
            </w:r>
            <w:r>
              <w:rPr>
                <w:rFonts w:hint="eastAsia" w:ascii="宋体" w:hAnsi="宋体" w:cs="宋体"/>
                <w:color w:val="auto"/>
                <w:kern w:val="0"/>
                <w:sz w:val="24"/>
              </w:rPr>
              <w:t>，属于</w:t>
            </w:r>
            <w:r>
              <w:rPr>
                <w:rFonts w:hint="eastAsia" w:ascii="宋体" w:hAnsi="宋体" w:cs="宋体"/>
                <w:color w:val="auto"/>
                <w:kern w:val="0"/>
                <w:sz w:val="24"/>
                <w:u w:val="single"/>
                <w:lang w:val="en-US" w:eastAsia="zh-CN"/>
              </w:rPr>
              <w:t>其他未列明行业</w:t>
            </w:r>
            <w:r>
              <w:rPr>
                <w:rFonts w:hint="eastAsia" w:ascii="宋体" w:hAnsi="宋体" w:cs="宋体"/>
                <w:color w:val="auto"/>
                <w:kern w:val="0"/>
                <w:sz w:val="24"/>
              </w:rPr>
              <w:t>行业；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3</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kern w:val="0"/>
                <w:sz w:val="24"/>
              </w:rPr>
            </w:pPr>
            <w:sdt>
              <w:sdtPr>
                <w:rPr>
                  <w:rFonts w:hint="eastAsia" w:ascii="宋体" w:hAnsi="宋体" w:cs="宋体"/>
                  <w:kern w:val="0"/>
                  <w:sz w:val="24"/>
                </w:rPr>
                <w:id w:val="-1828425707"/>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sym w:font="Wingdings" w:char="F0FE"/>
                </w:r>
              </w:sdtContent>
            </w:sdt>
            <w:r>
              <w:rPr>
                <w:rFonts w:hint="eastAsia" w:ascii="宋体" w:hAnsi="宋体" w:cs="宋体"/>
                <w:kern w:val="0"/>
                <w:sz w:val="24"/>
              </w:rPr>
              <w:t>本项目不允许采购进口产品。</w:t>
            </w:r>
          </w:p>
          <w:p>
            <w:pPr>
              <w:spacing w:line="360" w:lineRule="auto"/>
              <w:rPr>
                <w:rFonts w:ascii="宋体" w:hAnsi="宋体" w:cs="宋体"/>
              </w:rPr>
            </w:pPr>
            <w:sdt>
              <w:sdtPr>
                <w:rPr>
                  <w:rFonts w:hint="eastAsia" w:ascii="宋体" w:hAnsi="宋体" w:cs="宋体"/>
                  <w:kern w:val="0"/>
                  <w:sz w:val="24"/>
                </w:rPr>
                <w:id w:val="-52852824"/>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可以就</w:t>
            </w:r>
            <w:r>
              <w:rPr>
                <w:rFonts w:hint="eastAsia" w:ascii="宋体" w:hAnsi="宋体" w:cs="宋体"/>
                <w:sz w:val="24"/>
                <w:u w:val="single"/>
              </w:rPr>
              <w:t xml:space="preserve">    </w:t>
            </w:r>
            <w:r>
              <w:rPr>
                <w:rFonts w:hint="eastAsia" w:ascii="宋体" w:hAnsi="宋体" w:cs="宋体"/>
                <w:color w:val="auto"/>
                <w:kern w:val="0"/>
                <w:sz w:val="24"/>
                <w:highlight w:val="none"/>
              </w:rPr>
              <w:t>采购进口产品。优先采购向我国企业转让技术、与我国企业签订消化吸收再创新方案的供应商的进口产品，详见</w:t>
            </w:r>
            <w:r>
              <w:rPr>
                <w:rFonts w:hint="eastAsia" w:ascii="宋体" w:hAnsi="宋体" w:cs="宋体"/>
                <w:color w:val="auto"/>
                <w:kern w:val="0"/>
                <w:sz w:val="24"/>
                <w:highlight w:val="none"/>
                <w:u w:val="single"/>
              </w:rPr>
              <w:t>评分标准</w:t>
            </w:r>
            <w:r>
              <w:rPr>
                <w:rFonts w:hint="eastAsia" w:ascii="宋体" w:hAnsi="宋体" w:cs="宋体"/>
                <w:color w:val="auto"/>
                <w:kern w:val="0"/>
                <w:sz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r>
              <w:rPr>
                <w:rFonts w:hint="eastAsia" w:ascii="宋体" w:hAnsi="宋体" w:cs="宋体"/>
                <w:sz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47728692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kern w:val="0"/>
                <w:sz w:val="24"/>
                <w:highlight w:val="none"/>
              </w:rPr>
              <w:t xml:space="preserve"> A</w:t>
            </w:r>
            <w:r>
              <w:rPr>
                <w:rFonts w:hint="eastAsia" w:ascii="宋体" w:hAnsi="宋体" w:cs="宋体"/>
                <w:color w:val="auto"/>
                <w:sz w:val="24"/>
                <w:highlight w:val="none"/>
              </w:rPr>
              <w:t>同意将非主体、非关键性的</w:t>
            </w:r>
            <w:r>
              <w:rPr>
                <w:rFonts w:hint="eastAsia" w:ascii="宋体" w:hAnsi="宋体" w:cs="宋体"/>
                <w:color w:val="auto"/>
                <w:sz w:val="24"/>
                <w:highlight w:val="none"/>
                <w:u w:val="single"/>
              </w:rPr>
              <w:t xml:space="preserve">   污泥处置   </w:t>
            </w:r>
            <w:r>
              <w:rPr>
                <w:rFonts w:hint="eastAsia" w:ascii="宋体" w:hAnsi="宋体" w:cs="宋体"/>
                <w:color w:val="auto"/>
                <w:sz w:val="24"/>
                <w:highlight w:val="none"/>
              </w:rPr>
              <w:t>工作分包。</w:t>
            </w:r>
            <w:sdt>
              <w:sdtPr>
                <w:rPr>
                  <w:rFonts w:hint="eastAsia" w:ascii="宋体" w:hAnsi="宋体" w:cs="宋体"/>
                  <w:color w:val="auto"/>
                  <w:kern w:val="0"/>
                  <w:sz w:val="24"/>
                  <w:highlight w:val="none"/>
                </w:rPr>
                <w:id w:val="-1276331357"/>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cs="宋体"/>
                    <w:color w:val="auto"/>
                    <w:kern w:val="0"/>
                    <w:sz w:val="24"/>
                    <w:highlight w:val="none"/>
                  </w:rPr>
                  <w:t>☐</w:t>
                </w:r>
              </w:sdtContent>
            </w:sdt>
            <w:r>
              <w:rPr>
                <w:rFonts w:hint="eastAsia" w:ascii="宋体" w:hAnsi="宋体" w:cs="宋体"/>
                <w:color w:val="auto"/>
                <w:kern w:val="0"/>
                <w:sz w:val="24"/>
                <w:highlight w:val="none"/>
              </w:rPr>
              <w:t xml:space="preserve"> B</w:t>
            </w:r>
            <w:r>
              <w:rPr>
                <w:rFonts w:hint="eastAsia" w:ascii="宋体" w:hAnsi="宋体" w:cs="宋体"/>
                <w:color w:val="auto"/>
                <w:sz w:val="24"/>
                <w:highlight w:val="none"/>
              </w:rPr>
              <w:t>不同意分包。</w:t>
            </w:r>
          </w:p>
          <w:p>
            <w:pPr>
              <w:spacing w:line="360" w:lineRule="auto"/>
              <w:rPr>
                <w:rFonts w:ascii="宋体" w:hAnsi="宋体" w:cs="宋体"/>
                <w:color w:val="auto"/>
                <w:sz w:val="24"/>
                <w:highlight w:val="none"/>
              </w:rPr>
            </w:pPr>
            <w:r>
              <w:rPr>
                <w:rFonts w:hint="eastAsia" w:ascii="宋体" w:hAnsi="宋体" w:cs="宋体"/>
                <w:color w:val="auto"/>
                <w:sz w:val="24"/>
                <w:highlight w:val="none"/>
              </w:rPr>
              <w:t>注：不得限制大中型企业向小微企业合理分包。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宋体" w:hAnsi="宋体" w:cs="宋体"/>
                <w:sz w:val="24"/>
              </w:rPr>
            </w:pPr>
            <w:r>
              <w:rPr>
                <w:rFonts w:hint="eastAsia" w:ascii="宋体" w:hAnsi="宋体" w:cs="宋体"/>
                <w:sz w:val="24"/>
              </w:rPr>
              <w:t>(1)开标前答疑会：不组织。</w:t>
            </w:r>
          </w:p>
          <w:p>
            <w:pPr>
              <w:spacing w:line="360" w:lineRule="auto"/>
              <w:rPr>
                <w:rFonts w:hint="eastAsia" w:ascii="宋体" w:hAnsi="宋体" w:cs="宋体"/>
                <w:sz w:val="24"/>
              </w:rPr>
            </w:pPr>
            <w:r>
              <w:rPr>
                <w:rFonts w:hint="eastAsia" w:ascii="宋体" w:hAnsi="宋体" w:cs="宋体"/>
                <w:sz w:val="24"/>
              </w:rPr>
              <w:t>(2)现场踏勘：不统一组织，请潜在投标人自行联系采购人进行现场踏勘。</w:t>
            </w:r>
          </w:p>
          <w:p>
            <w:pPr>
              <w:spacing w:line="360" w:lineRule="auto"/>
              <w:rPr>
                <w:rFonts w:hint="eastAsia" w:ascii="宋体" w:hAnsi="宋体" w:eastAsia="宋体" w:cs="宋体"/>
                <w:sz w:val="24"/>
                <w:szCs w:val="20"/>
                <w:lang w:eastAsia="zh-CN"/>
              </w:rPr>
            </w:pPr>
            <w:r>
              <w:rPr>
                <w:rFonts w:hint="eastAsia" w:ascii="宋体" w:hAnsi="宋体" w:cs="宋体"/>
                <w:b/>
                <w:bCs/>
                <w:sz w:val="24"/>
              </w:rPr>
              <w:t>(3)采购人联系方式：联系人</w:t>
            </w:r>
            <w:r>
              <w:rPr>
                <w:rFonts w:hint="eastAsia" w:ascii="宋体" w:hAnsi="宋体" w:cs="宋体"/>
                <w:b/>
                <w:bCs/>
                <w:sz w:val="24"/>
                <w:lang w:eastAsia="zh-CN"/>
              </w:rPr>
              <w:t>：</w:t>
            </w:r>
            <w:r>
              <w:rPr>
                <w:rFonts w:hint="eastAsia" w:ascii="宋体" w:hAnsi="宋体" w:cs="宋体"/>
                <w:b/>
                <w:bCs/>
                <w:sz w:val="24"/>
              </w:rPr>
              <w:t xml:space="preserve">潘高峰 </w:t>
            </w:r>
            <w:r>
              <w:rPr>
                <w:rFonts w:hint="eastAsia" w:ascii="宋体" w:hAnsi="宋体" w:cs="宋体"/>
                <w:b/>
                <w:bCs/>
                <w:sz w:val="24"/>
                <w:lang w:val="en-US" w:eastAsia="zh-CN"/>
              </w:rPr>
              <w:t xml:space="preserve"> </w:t>
            </w:r>
            <w:r>
              <w:rPr>
                <w:rFonts w:hint="eastAsia" w:ascii="宋体" w:hAnsi="宋体" w:cs="宋体"/>
                <w:b/>
                <w:bCs/>
                <w:sz w:val="24"/>
              </w:rPr>
              <w:t>联系电话</w:t>
            </w:r>
            <w:r>
              <w:rPr>
                <w:rFonts w:hint="eastAsia" w:ascii="宋体" w:hAnsi="宋体" w:cs="宋体"/>
                <w:b/>
                <w:bCs/>
                <w:sz w:val="24"/>
                <w:lang w:eastAsia="zh-CN"/>
              </w:rPr>
              <w:t>：</w:t>
            </w:r>
            <w:r>
              <w:rPr>
                <w:rFonts w:hint="eastAsia" w:ascii="宋体" w:hAnsi="宋体" w:cs="宋体"/>
                <w:b/>
                <w:bCs/>
                <w:sz w:val="24"/>
                <w:lang w:val="en-US" w:eastAsia="zh-CN"/>
              </w:rPr>
              <w:t>0571-63807161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6</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sz w:val="24"/>
                <w:highlight w:val="none"/>
              </w:rPr>
            </w:pPr>
            <w:sdt>
              <w:sdtPr>
                <w:rPr>
                  <w:rFonts w:hint="eastAsia" w:ascii="宋体" w:hAnsi="宋体" w:cs="宋体"/>
                  <w:kern w:val="0"/>
                  <w:sz w:val="24"/>
                </w:rPr>
                <w:id w:val="-1639946486"/>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Wingdings" w:hAnsi="Wingdings" w:eastAsia="MS Gothic" w:cs="宋体"/>
                    <w:kern w:val="0"/>
                    <w:sz w:val="24"/>
                    <w:szCs w:val="24"/>
                    <w:lang w:val="en-US" w:eastAsia="zh-CN" w:bidi="ar-SA"/>
                  </w:rPr>
                  <w:t>þ</w:t>
                </w:r>
              </w:sdtContent>
            </w:sdt>
            <w:r>
              <w:rPr>
                <w:rFonts w:hint="eastAsia" w:ascii="宋体" w:hAnsi="宋体" w:cs="宋体"/>
                <w:kern w:val="0"/>
                <w:sz w:val="24"/>
              </w:rPr>
              <w:t>A</w:t>
            </w:r>
            <w:r>
              <w:rPr>
                <w:rFonts w:hint="eastAsia" w:ascii="宋体" w:hAnsi="宋体" w:cs="宋体"/>
                <w:color w:val="auto"/>
                <w:sz w:val="24"/>
                <w:highlight w:val="none"/>
              </w:rPr>
              <w:t>不要求提供。</w:t>
            </w:r>
          </w:p>
          <w:p>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026831988"/>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B要求提供（未提供样品或提供样品不满足采购需求实质性条件的供应商，投标无效）：</w:t>
            </w:r>
          </w:p>
          <w:p>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w:t>
            </w:r>
            <w:r>
              <w:rPr>
                <w:rFonts w:hint="eastAsia" w:ascii="宋体" w:hAnsi="宋体" w:cs="宋体"/>
                <w:snapToGrid w:val="0"/>
                <w:color w:val="auto"/>
                <w:kern w:val="28"/>
                <w:sz w:val="24"/>
                <w:highlight w:val="none"/>
              </w:rPr>
              <w:t>样品：</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w:t>
            </w:r>
            <w:r>
              <w:rPr>
                <w:rFonts w:hint="eastAsia" w:ascii="宋体" w:hAnsi="宋体" w:cs="宋体"/>
                <w:snapToGrid w:val="0"/>
                <w:color w:val="auto"/>
                <w:kern w:val="28"/>
                <w:sz w:val="24"/>
                <w:highlight w:val="none"/>
              </w:rPr>
              <w:t>样品制作的标准和要求：</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pPr>
              <w:spacing w:line="360" w:lineRule="auto"/>
              <w:rPr>
                <w:rFonts w:hint="eastAsia" w:ascii="宋体" w:hAnsi="宋体" w:cs="宋体"/>
                <w:snapToGrid w:val="0"/>
                <w:color w:val="auto"/>
                <w:kern w:val="28"/>
                <w:sz w:val="24"/>
                <w:highlight w:val="none"/>
              </w:rPr>
            </w:pPr>
            <w:r>
              <w:rPr>
                <w:rFonts w:hint="eastAsia" w:ascii="宋体" w:hAnsi="宋体" w:cs="宋体"/>
                <w:color w:val="auto"/>
                <w:kern w:val="0"/>
                <w:sz w:val="24"/>
                <w:highlight w:val="none"/>
              </w:rPr>
              <w:t>（3）样品的评审方法以及评审标准</w:t>
            </w:r>
            <w:r>
              <w:rPr>
                <w:rFonts w:hint="eastAsia" w:ascii="宋体" w:hAnsi="宋体" w:cs="宋体"/>
                <w:snapToGrid w:val="0"/>
                <w:color w:val="auto"/>
                <w:kern w:val="28"/>
                <w:sz w:val="24"/>
                <w:highlight w:val="none"/>
              </w:rPr>
              <w:t>：</w:t>
            </w:r>
          </w:p>
          <w:p>
            <w:pPr>
              <w:spacing w:line="360" w:lineRule="auto"/>
              <w:ind w:firstLine="240" w:firstLineChars="100"/>
              <w:rPr>
                <w:rFonts w:ascii="宋体" w:hAnsi="宋体" w:cs="宋体"/>
                <w:color w:val="auto"/>
                <w:sz w:val="24"/>
                <w:highlight w:val="none"/>
              </w:rPr>
            </w:pPr>
            <w:sdt>
              <w:sdtPr>
                <w:rPr>
                  <w:rFonts w:hint="eastAsia" w:ascii="宋体" w:hAnsi="宋体" w:cs="宋体"/>
                  <w:color w:val="auto"/>
                  <w:kern w:val="0"/>
                  <w:sz w:val="24"/>
                  <w:highlight w:val="none"/>
                </w:rPr>
                <w:id w:val="-1350092240"/>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样品分未超过价格分的50%；</w:t>
            </w:r>
          </w:p>
          <w:p>
            <w:pPr>
              <w:spacing w:line="360" w:lineRule="auto"/>
              <w:ind w:firstLine="240" w:firstLineChars="100"/>
              <w:rPr>
                <w:rFonts w:ascii="宋体" w:hAnsi="宋体" w:cs="宋体"/>
                <w:color w:val="auto"/>
                <w:kern w:val="0"/>
                <w:sz w:val="24"/>
                <w:highlight w:val="none"/>
              </w:rPr>
            </w:pPr>
            <w:sdt>
              <w:sdtPr>
                <w:rPr>
                  <w:rFonts w:hint="eastAsia" w:ascii="宋体" w:hAnsi="宋体" w:cs="宋体"/>
                  <w:color w:val="auto"/>
                  <w:kern w:val="0"/>
                  <w:sz w:val="24"/>
                  <w:highlight w:val="none"/>
                </w:rPr>
                <w:id w:val="-148554041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样品分超过价格分的50%，理由</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pPr>
              <w:spacing w:line="360" w:lineRule="auto"/>
              <w:ind w:firstLine="240" w:firstLineChars="100"/>
              <w:rPr>
                <w:rFonts w:ascii="宋体" w:hAnsi="宋体" w:cs="宋体"/>
                <w:color w:val="auto"/>
                <w:kern w:val="0"/>
                <w:sz w:val="24"/>
                <w:highlight w:val="none"/>
              </w:rPr>
            </w:pPr>
            <w:r>
              <w:rPr>
                <w:rFonts w:hint="eastAsia" w:ascii="宋体" w:hAnsi="宋体" w:cs="宋体"/>
                <w:snapToGrid w:val="0"/>
                <w:color w:val="auto"/>
                <w:kern w:val="28"/>
                <w:sz w:val="24"/>
                <w:highlight w:val="none"/>
              </w:rPr>
              <w:t>详见招标文件第四部分</w:t>
            </w:r>
            <w:r>
              <w:rPr>
                <w:rFonts w:hint="eastAsia" w:ascii="宋体" w:hAnsi="宋体" w:cs="宋体"/>
                <w:color w:val="auto"/>
                <w:sz w:val="24"/>
                <w:highlight w:val="none"/>
                <w:u w:val="single"/>
              </w:rPr>
              <w:t>评标办分法</w:t>
            </w:r>
            <w:r>
              <w:rPr>
                <w:rFonts w:hint="eastAsia" w:ascii="宋体" w:hAnsi="宋体" w:cs="宋体"/>
                <w:color w:val="auto"/>
                <w:kern w:val="0"/>
                <w:sz w:val="24"/>
                <w:highlight w:val="none"/>
              </w:rPr>
              <w:t xml:space="preserve">。 </w:t>
            </w:r>
          </w:p>
          <w:p>
            <w:pPr>
              <w:spacing w:line="360" w:lineRule="auto"/>
              <w:rPr>
                <w:rFonts w:ascii="宋体" w:hAnsi="宋体" w:cs="宋体"/>
                <w:kern w:val="0"/>
                <w:sz w:val="24"/>
              </w:rPr>
            </w:pPr>
            <w:r>
              <w:rPr>
                <w:rFonts w:hint="eastAsia" w:ascii="宋体" w:hAnsi="宋体" w:cs="宋体"/>
                <w:kern w:val="0"/>
                <w:sz w:val="24"/>
              </w:rPr>
              <w:t>（4）是否需要随样品提交检测报告：</w:t>
            </w:r>
            <w:sdt>
              <w:sdtPr>
                <w:rPr>
                  <w:rFonts w:hint="eastAsia" w:ascii="宋体" w:hAnsi="宋体" w:cs="宋体"/>
                  <w:kern w:val="0"/>
                  <w:sz w:val="24"/>
                </w:rPr>
                <w:id w:val="1303421454"/>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Gothic" w:hAnsi="MS Gothic" w:eastAsia="MS Gothic" w:cs="宋体"/>
                    <w:kern w:val="0"/>
                    <w:sz w:val="24"/>
                  </w:rPr>
                  <w:t>☐</w:t>
                </w:r>
              </w:sdtContent>
            </w:sdt>
            <w:r>
              <w:rPr>
                <w:rFonts w:hint="eastAsia" w:ascii="宋体" w:hAnsi="宋体" w:cs="宋体"/>
                <w:kern w:val="0"/>
                <w:sz w:val="24"/>
              </w:rPr>
              <w:t>否；</w:t>
            </w:r>
            <w:sdt>
              <w:sdtPr>
                <w:rPr>
                  <w:rFonts w:hint="eastAsia" w:ascii="宋体" w:hAnsi="宋体" w:cs="宋体"/>
                  <w:kern w:val="0"/>
                  <w:sz w:val="24"/>
                </w:rPr>
                <w:id w:val="1621728433"/>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是，检测机构的要求</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kern w:val="0"/>
                <w:sz w:val="24"/>
              </w:rPr>
              <w:t>；检测内容</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kern w:val="0"/>
                <w:sz w:val="24"/>
              </w:rPr>
              <w:t>。</w:t>
            </w:r>
          </w:p>
          <w:p>
            <w:pPr>
              <w:spacing w:line="360" w:lineRule="auto"/>
              <w:rPr>
                <w:rFonts w:ascii="宋体" w:hAnsi="宋体" w:cs="宋体"/>
                <w:sz w:val="24"/>
              </w:rPr>
            </w:pPr>
            <w:r>
              <w:rPr>
                <w:rFonts w:hint="eastAsia" w:ascii="宋体" w:hAnsi="宋体" w:cs="宋体"/>
                <w:sz w:val="24"/>
              </w:rPr>
              <w:t>（5）提供样品的时间：</w:t>
            </w:r>
            <w:r>
              <w:rPr>
                <w:rFonts w:hint="eastAsia" w:ascii="宋体" w:hAnsi="宋体" w:cs="宋体"/>
                <w:sz w:val="24"/>
                <w:u w:val="single"/>
              </w:rPr>
              <w:t xml:space="preserve">    </w:t>
            </w:r>
            <w:r>
              <w:rPr>
                <w:rFonts w:hint="eastAsia" w:ascii="宋体" w:hAnsi="宋体" w:cs="宋体"/>
                <w:kern w:val="0"/>
                <w:sz w:val="24"/>
              </w:rPr>
              <w:t>；地点：</w:t>
            </w:r>
            <w:r>
              <w:rPr>
                <w:rFonts w:hint="eastAsia" w:ascii="宋体" w:hAnsi="宋体" w:cs="宋体"/>
                <w:sz w:val="24"/>
                <w:u w:val="single"/>
              </w:rPr>
              <w:t xml:space="preserve">    </w:t>
            </w:r>
            <w:r>
              <w:rPr>
                <w:rFonts w:hint="eastAsia" w:ascii="宋体" w:hAnsi="宋体" w:cs="宋体"/>
                <w:kern w:val="0"/>
                <w:sz w:val="24"/>
              </w:rPr>
              <w:t>；联系人</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28"/>
                <w:sz w:val="24"/>
              </w:rPr>
              <w:t>联系电话：</w:t>
            </w:r>
            <w:r>
              <w:rPr>
                <w:rFonts w:hint="eastAsia" w:ascii="宋体" w:hAnsi="宋体" w:cs="宋体"/>
                <w:sz w:val="24"/>
                <w:u w:val="single"/>
              </w:rPr>
              <w:t xml:space="preserve">    </w:t>
            </w:r>
            <w:r>
              <w:rPr>
                <w:rFonts w:hint="eastAsia" w:ascii="宋体" w:hAnsi="宋体" w:cs="宋体"/>
                <w:sz w:val="24"/>
              </w:rPr>
              <w:t>。请投标人在上述时间内提供样品并按规定位置安装完毕。超过截止时间的，采购人或采购代理机构将不予接收，并将清场并封闭样品现场。</w:t>
            </w:r>
          </w:p>
          <w:p>
            <w:pPr>
              <w:spacing w:line="360" w:lineRule="auto"/>
              <w:rPr>
                <w:rFonts w:ascii="宋体" w:hAnsi="宋体" w:cs="宋体"/>
                <w:sz w:val="24"/>
              </w:rPr>
            </w:pPr>
            <w:r>
              <w:rPr>
                <w:rFonts w:hint="eastAsia" w:ascii="宋体" w:hAnsi="宋体" w:cs="宋体"/>
                <w:sz w:val="24"/>
              </w:rPr>
              <w:t xml:space="preserve"> (6)采购活动结束后，对于未中标人提供的样品，采购人、</w:t>
            </w:r>
            <w:r>
              <w:rPr>
                <w:rFonts w:hint="eastAsia" w:ascii="宋体" w:hAnsi="宋体" w:cs="宋体"/>
                <w:sz w:val="24"/>
                <w:lang w:eastAsia="zh-CN"/>
              </w:rPr>
              <w:t>采购代理机构</w:t>
            </w:r>
            <w:r>
              <w:rPr>
                <w:rFonts w:hint="eastAsia" w:ascii="宋体" w:hAnsi="宋体" w:cs="宋体"/>
                <w:sz w:val="24"/>
              </w:rPr>
              <w:t>将通知未中标人在规定的时间内取回，逾期未取回的，采购人、</w:t>
            </w:r>
            <w:r>
              <w:rPr>
                <w:rFonts w:hint="eastAsia" w:ascii="宋体" w:hAnsi="宋体" w:cs="宋体"/>
                <w:sz w:val="24"/>
                <w:lang w:eastAsia="zh-CN"/>
              </w:rPr>
              <w:t>采购代理机构</w:t>
            </w:r>
            <w:r>
              <w:rPr>
                <w:rFonts w:hint="eastAsia" w:ascii="宋体" w:hAnsi="宋体" w:cs="宋体"/>
                <w:sz w:val="24"/>
              </w:rPr>
              <w:t>不负保管义务；对于中标人提供的样品，采购人将进行保管、封存，并作为履约验收的参考。</w:t>
            </w:r>
          </w:p>
          <w:p>
            <w:pPr>
              <w:spacing w:line="360" w:lineRule="auto"/>
              <w:rPr>
                <w:rFonts w:ascii="宋体" w:hAnsi="宋体" w:cs="宋体"/>
                <w:b/>
                <w:sz w:val="24"/>
              </w:rPr>
            </w:pPr>
            <w:r>
              <w:rPr>
                <w:rFonts w:hint="eastAsia" w:ascii="宋体" w:hAnsi="宋体" w:cs="宋体"/>
                <w:sz w:val="24"/>
              </w:rPr>
              <w:t>（7）制作、运输、安装和保管样品所发生的一切费用由投标人自理。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7</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Cs/>
                <w:sz w:val="24"/>
              </w:rPr>
            </w:pPr>
            <w:r>
              <w:rPr>
                <w:rFonts w:hint="eastAsia" w:ascii="宋体" w:hAnsi="宋体" w:cs="宋体"/>
                <w:b/>
                <w:sz w:val="24"/>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z w:val="24"/>
              </w:rPr>
            </w:pPr>
            <w:sdt>
              <w:sdtPr>
                <w:rPr>
                  <w:rFonts w:hint="eastAsia" w:ascii="宋体" w:hAnsi="宋体" w:cs="宋体"/>
                  <w:kern w:val="0"/>
                  <w:sz w:val="24"/>
                </w:rPr>
                <w:id w:val="-1859348549"/>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Wingdings" w:hAnsi="Wingdings" w:eastAsia="MS Gothic" w:cs="宋体"/>
                    <w:kern w:val="0"/>
                    <w:sz w:val="24"/>
                    <w:szCs w:val="24"/>
                    <w:lang w:val="en-US" w:eastAsia="zh-CN" w:bidi="ar-SA"/>
                  </w:rPr>
                  <w:t>þ</w:t>
                </w:r>
              </w:sdtContent>
            </w:sdt>
            <w:r>
              <w:rPr>
                <w:rFonts w:hint="eastAsia" w:ascii="宋体" w:hAnsi="宋体" w:cs="宋体"/>
                <w:kern w:val="0"/>
                <w:sz w:val="24"/>
              </w:rPr>
              <w:t>A</w:t>
            </w:r>
            <w:r>
              <w:rPr>
                <w:rFonts w:hint="eastAsia" w:ascii="宋体" w:hAnsi="宋体" w:cs="宋体"/>
                <w:sz w:val="24"/>
              </w:rPr>
              <w:t>不组织。</w:t>
            </w:r>
          </w:p>
          <w:p>
            <w:pPr>
              <w:spacing w:line="360" w:lineRule="auto"/>
              <w:rPr>
                <w:rFonts w:ascii="宋体" w:hAnsi="宋体" w:cs="宋体"/>
                <w:kern w:val="0"/>
                <w:sz w:val="24"/>
              </w:rPr>
            </w:pPr>
            <w:sdt>
              <w:sdtPr>
                <w:rPr>
                  <w:rFonts w:hint="eastAsia" w:ascii="宋体" w:hAnsi="宋体" w:cs="宋体"/>
                  <w:kern w:val="0"/>
                  <w:sz w:val="24"/>
                </w:rPr>
                <w:id w:val="1174071719"/>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B组织。</w:t>
            </w:r>
          </w:p>
          <w:p>
            <w:pPr>
              <w:snapToGrid w:val="0"/>
              <w:spacing w:line="360" w:lineRule="auto"/>
              <w:rPr>
                <w:rFonts w:ascii="宋体" w:hAnsi="宋体" w:cs="宋体"/>
                <w:kern w:val="0"/>
                <w:sz w:val="24"/>
              </w:rPr>
            </w:pPr>
            <w:r>
              <w:rPr>
                <w:rFonts w:hint="eastAsia" w:ascii="宋体" w:hAnsi="宋体" w:cs="宋体"/>
                <w:kern w:val="0"/>
                <w:sz w:val="24"/>
              </w:rPr>
              <w:t>（1）在评标时安排每个投标人进行方案讲解演示。每个投标人时间不超过</w:t>
            </w:r>
            <w:r>
              <w:rPr>
                <w:rFonts w:hint="eastAsia" w:ascii="宋体" w:hAnsi="宋体" w:cs="宋体"/>
                <w:kern w:val="0"/>
                <w:sz w:val="24"/>
                <w:u w:val="single"/>
              </w:rPr>
              <w:t>20</w:t>
            </w:r>
            <w:r>
              <w:rPr>
                <w:rFonts w:hint="eastAsia" w:ascii="宋体" w:hAnsi="宋体" w:cs="宋体"/>
                <w:kern w:val="0"/>
                <w:sz w:val="24"/>
                <w:u w:val="single"/>
                <w:lang w:eastAsia="zh-CN"/>
              </w:rPr>
              <w:t>（</w:t>
            </w:r>
            <w:r>
              <w:rPr>
                <w:rFonts w:hint="eastAsia" w:ascii="宋体" w:hAnsi="宋体" w:cs="宋体"/>
                <w:kern w:val="0"/>
                <w:sz w:val="24"/>
                <w:u w:val="single"/>
                <w:lang w:val="en-US" w:eastAsia="zh-CN"/>
              </w:rPr>
              <w:t>编制时可根据项目情况进行调整</w:t>
            </w:r>
            <w:r>
              <w:rPr>
                <w:rFonts w:hint="eastAsia" w:ascii="宋体" w:hAnsi="宋体" w:cs="宋体"/>
                <w:kern w:val="0"/>
                <w:sz w:val="24"/>
                <w:u w:val="single"/>
                <w:lang w:eastAsia="zh-CN"/>
              </w:rPr>
              <w:t>）</w:t>
            </w:r>
            <w:r>
              <w:rPr>
                <w:rFonts w:hint="eastAsia" w:ascii="宋体" w:hAnsi="宋体" w:cs="宋体"/>
                <w:kern w:val="0"/>
                <w:sz w:val="24"/>
              </w:rPr>
              <w:t>分钟，讲解次序以投标文件解密时间先后次序为准，讲解演示人员不超过</w:t>
            </w:r>
            <w:r>
              <w:rPr>
                <w:rFonts w:hint="eastAsia" w:ascii="宋体" w:hAnsi="宋体" w:cs="宋体"/>
                <w:kern w:val="0"/>
                <w:sz w:val="24"/>
                <w:u w:val="single"/>
              </w:rPr>
              <w:t>3</w:t>
            </w:r>
            <w:r>
              <w:rPr>
                <w:rFonts w:hint="eastAsia" w:ascii="宋体" w:hAnsi="宋体" w:cs="宋体"/>
                <w:kern w:val="0"/>
                <w:sz w:val="24"/>
                <w:u w:val="single"/>
                <w:lang w:eastAsia="zh-CN"/>
              </w:rPr>
              <w:t>（</w:t>
            </w:r>
            <w:r>
              <w:rPr>
                <w:rFonts w:hint="eastAsia" w:ascii="宋体" w:hAnsi="宋体" w:cs="宋体"/>
                <w:kern w:val="0"/>
                <w:sz w:val="24"/>
                <w:u w:val="single"/>
                <w:lang w:val="en-US" w:eastAsia="zh-CN"/>
              </w:rPr>
              <w:t>编制时可根据项目情况进行调整</w:t>
            </w:r>
            <w:r>
              <w:rPr>
                <w:rFonts w:hint="eastAsia" w:ascii="宋体" w:hAnsi="宋体" w:cs="宋体"/>
                <w:kern w:val="0"/>
                <w:sz w:val="24"/>
                <w:u w:val="single"/>
                <w:lang w:eastAsia="zh-CN"/>
              </w:rPr>
              <w:t>）</w:t>
            </w:r>
            <w:r>
              <w:rPr>
                <w:rFonts w:hint="eastAsia" w:ascii="宋体" w:hAnsi="宋体" w:cs="宋体"/>
                <w:kern w:val="0"/>
                <w:sz w:val="24"/>
              </w:rPr>
              <w:t>人。讲解演示结束后按要求解答评标委员会提问。</w:t>
            </w:r>
          </w:p>
          <w:p>
            <w:pPr>
              <w:snapToGrid w:val="0"/>
              <w:spacing w:line="360" w:lineRule="auto"/>
              <w:rPr>
                <w:rFonts w:ascii="宋体" w:hAnsi="宋体" w:cs="宋体"/>
                <w:kern w:val="0"/>
                <w:sz w:val="24"/>
              </w:rPr>
            </w:pPr>
            <w:r>
              <w:rPr>
                <w:rFonts w:hint="eastAsia" w:ascii="宋体" w:hAnsi="宋体" w:cs="宋体"/>
                <w:kern w:val="0"/>
                <w:sz w:val="24"/>
              </w:rPr>
              <w:t>（2）方案讲解演示可选择以下其中一种方式：</w:t>
            </w:r>
          </w:p>
          <w:p>
            <w:pPr>
              <w:snapToGrid w:val="0"/>
              <w:spacing w:line="360" w:lineRule="auto"/>
              <w:rPr>
                <w:rFonts w:ascii="宋体" w:hAnsi="宋体" w:cs="宋体"/>
                <w:kern w:val="0"/>
                <w:sz w:val="24"/>
              </w:rPr>
            </w:pPr>
            <w:r>
              <w:rPr>
                <w:rFonts w:hint="eastAsia" w:ascii="宋体" w:hAnsi="宋体" w:cs="宋体"/>
                <w:kern w:val="0"/>
                <w:sz w:val="24"/>
              </w:rPr>
              <w:t>方式一：政采云平台在线讲解演示。政采云平台在线讲解需投标人根据政采云平台操作要求做好准备工作，提前完善软硬件配置环境。</w:t>
            </w:r>
          </w:p>
          <w:p>
            <w:pPr>
              <w:snapToGrid w:val="0"/>
              <w:spacing w:line="360" w:lineRule="auto"/>
              <w:rPr>
                <w:rFonts w:ascii="宋体" w:hAnsi="宋体" w:cs="宋体"/>
                <w:kern w:val="0"/>
                <w:sz w:val="24"/>
              </w:rPr>
            </w:pPr>
            <w:r>
              <w:rPr>
                <w:rFonts w:hint="eastAsia" w:ascii="宋体" w:hAnsi="宋体" w:cs="宋体"/>
                <w:kern w:val="0"/>
                <w:sz w:val="24"/>
              </w:rPr>
              <w:t>方式二：交易中心现场讲解演示。现场讲解地点为</w:t>
            </w:r>
            <w:r>
              <w:rPr>
                <w:rFonts w:hint="eastAsia" w:ascii="宋体" w:hAnsi="宋体" w:cs="宋体"/>
                <w:color w:val="auto"/>
                <w:kern w:val="0"/>
                <w:sz w:val="24"/>
                <w:u w:val="single"/>
              </w:rPr>
              <w:t xml:space="preserve">     </w:t>
            </w:r>
            <w:r>
              <w:rPr>
                <w:rFonts w:hint="eastAsia" w:ascii="宋体" w:hAnsi="宋体" w:cs="宋体"/>
                <w:kern w:val="0"/>
                <w:sz w:val="24"/>
              </w:rPr>
              <w:t>，讲解演示所用电脑等设备由投标人自备。现场讲解演示人员进场时提供讲解人员名单（加盖公章或授权代表签名）及身份证明，否则不得讲解演示。</w:t>
            </w:r>
          </w:p>
          <w:p>
            <w:pPr>
              <w:snapToGrid w:val="0"/>
              <w:spacing w:line="360" w:lineRule="auto"/>
              <w:rPr>
                <w:rFonts w:ascii="宋体" w:hAnsi="宋体" w:cs="宋体"/>
                <w:b/>
                <w:kern w:val="0"/>
                <w:sz w:val="24"/>
                <w:lang w:val="zh-CN"/>
              </w:rPr>
            </w:pPr>
            <w:r>
              <w:rPr>
                <w:rFonts w:hint="eastAsia" w:ascii="宋体" w:hAnsi="宋体" w:cs="宋体"/>
                <w:kern w:val="0"/>
                <w:sz w:val="24"/>
              </w:rPr>
              <w:t>注：因投标人自身原因导致无法演示或者演示效果不理想的，责任自负。因平台原因导致本项目方案讲解演示环节无法顺利开展，按照《浙江省政府采购项目电子交易管理暂行办法》相关规定执行。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8</w:t>
            </w:r>
          </w:p>
        </w:tc>
        <w:tc>
          <w:tcPr>
            <w:tcW w:w="1843" w:type="dxa"/>
            <w:vMerge w:val="restart"/>
            <w:tcBorders>
              <w:top w:val="single" w:color="000000" w:sz="8" w:space="0"/>
              <w:left w:val="single" w:color="auto" w:sz="4"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pPr>
              <w:spacing w:line="360" w:lineRule="auto"/>
              <w:rPr>
                <w:rFonts w:ascii="宋体" w:hAnsi="宋体" w:cs="宋体"/>
                <w:sz w:val="24"/>
              </w:rPr>
            </w:pPr>
            <w:r>
              <w:rPr>
                <w:rFonts w:hint="eastAsia" w:ascii="宋体" w:hAnsi="宋体" w:cs="宋体"/>
                <w:sz w:val="24"/>
              </w:rPr>
              <w:t>（1）资格证明文件：见招标文件第二部分11.1。</w:t>
            </w:r>
          </w:p>
          <w:p>
            <w:pPr>
              <w:spacing w:line="360" w:lineRule="auto"/>
              <w:rPr>
                <w:rFonts w:ascii="宋体" w:hAnsi="宋体" w:cs="宋体"/>
                <w:snapToGrid w:val="0"/>
                <w:kern w:val="0"/>
                <w:szCs w:val="21"/>
              </w:rPr>
            </w:pPr>
            <w:r>
              <w:rPr>
                <w:rFonts w:hint="eastAsia" w:ascii="宋体" w:hAnsi="宋体" w:cs="宋体"/>
                <w:kern w:val="0"/>
                <w:sz w:val="24"/>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641" w:hRule="atLeast"/>
          <w:tblHeader/>
        </w:trPr>
        <w:tc>
          <w:tcPr>
            <w:tcW w:w="629" w:type="dxa"/>
            <w:vMerge w:val="continue"/>
            <w:tcBorders>
              <w:left w:val="single" w:color="auto" w:sz="4" w:space="0"/>
              <w:bottom w:val="single" w:color="auto" w:sz="4" w:space="0"/>
              <w:right w:val="single" w:color="auto" w:sz="4" w:space="0"/>
            </w:tcBorders>
          </w:tcPr>
          <w:p>
            <w:pPr>
              <w:snapToGrid w:val="0"/>
              <w:spacing w:line="360" w:lineRule="auto"/>
              <w:jc w:val="center"/>
              <w:rPr>
                <w:rFonts w:ascii="宋体" w:hAnsi="宋体" w:cs="宋体"/>
                <w:sz w:val="24"/>
              </w:rPr>
            </w:pPr>
          </w:p>
        </w:tc>
        <w:tc>
          <w:tcPr>
            <w:tcW w:w="1843" w:type="dxa"/>
            <w:vMerge w:val="continue"/>
            <w:tcBorders>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p>
        </w:tc>
        <w:tc>
          <w:tcPr>
            <w:tcW w:w="6095" w:type="dxa"/>
            <w:tcBorders>
              <w:top w:val="single" w:color="auto" w:sz="4" w:space="0"/>
              <w:left w:val="single" w:color="000000" w:sz="2" w:space="0"/>
              <w:bottom w:val="single" w:color="000000" w:sz="8" w:space="0"/>
              <w:right w:val="single" w:color="000000" w:sz="8" w:space="0"/>
            </w:tcBorders>
            <w:vAlign w:val="center"/>
          </w:tcPr>
          <w:p>
            <w:pPr>
              <w:spacing w:line="360" w:lineRule="auto"/>
              <w:rPr>
                <w:rFonts w:ascii="宋体" w:hAnsi="宋体" w:cs="宋体"/>
                <w:sz w:val="24"/>
              </w:rPr>
            </w:pPr>
            <w:r>
              <w:rPr>
                <w:rFonts w:hint="eastAsia" w:ascii="宋体" w:hAnsi="宋体" w:cs="宋体"/>
                <w:sz w:val="24"/>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宋体" w:hAnsi="宋体" w:cs="宋体"/>
              </w:rPr>
            </w:pPr>
            <w:r>
              <w:rPr>
                <w:rFonts w:hint="eastAsia" w:ascii="宋体" w:hAnsi="宋体" w:cs="宋体"/>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left"/>
              <w:rPr>
                <w:rFonts w:ascii="宋体" w:hAnsi="宋体" w:cs="宋体"/>
                <w:b/>
                <w:kern w:val="0"/>
                <w:sz w:val="24"/>
                <w:lang w:val="zh-CN"/>
              </w:rPr>
            </w:pPr>
            <w:r>
              <w:rPr>
                <w:rFonts w:hint="eastAsia" w:ascii="宋体" w:hAnsi="宋体" w:cs="宋体"/>
                <w:kern w:val="0"/>
                <w:sz w:val="24"/>
                <w:lang w:val="zh-CN"/>
              </w:rPr>
              <w:t>有关本项目实施所需的所有费用（含税费）均计入报价。</w:t>
            </w:r>
            <w:r>
              <w:rPr>
                <w:rFonts w:hint="eastAsia" w:ascii="宋体" w:hAnsi="宋体" w:cs="宋体"/>
                <w:b/>
                <w:bCs/>
                <w:kern w:val="0"/>
                <w:sz w:val="24"/>
                <w:lang w:val="zh-CN"/>
              </w:rPr>
              <w:t>投标文件</w:t>
            </w:r>
            <w:r>
              <w:rPr>
                <w:rFonts w:hint="eastAsia" w:ascii="宋体" w:hAnsi="宋体" w:cs="宋体"/>
                <w:b/>
                <w:bCs/>
                <w:sz w:val="24"/>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kern w:val="0"/>
                <w:sz w:val="24"/>
                <w:lang w:val="zh-CN"/>
              </w:rPr>
              <w:t>投标文件中价格全部采用人民币报价。招标文件未列明，而投标人认为必需的费用也需列入报价。</w:t>
            </w:r>
            <w:r>
              <w:rPr>
                <w:rFonts w:hint="eastAsia" w:ascii="宋体" w:hAnsi="宋体" w:cs="宋体"/>
                <w:b/>
                <w:kern w:val="0"/>
                <w:sz w:val="24"/>
                <w:lang w:val="zh-CN"/>
              </w:rPr>
              <w:t>提醒：验收时检测费用由采购人承担，不包含在投标总价中。</w:t>
            </w:r>
          </w:p>
          <w:p>
            <w:pPr>
              <w:snapToGrid w:val="0"/>
              <w:spacing w:line="360" w:lineRule="auto"/>
              <w:jc w:val="left"/>
              <w:rPr>
                <w:rFonts w:ascii="宋体" w:hAnsi="宋体" w:cs="宋体"/>
                <w:b/>
                <w:kern w:val="0"/>
                <w:sz w:val="24"/>
                <w:lang w:val="zh-CN"/>
              </w:rPr>
            </w:pPr>
            <w:r>
              <w:rPr>
                <w:rFonts w:hint="eastAsia" w:ascii="宋体" w:hAnsi="宋体" w:cs="宋体"/>
                <w:b/>
                <w:kern w:val="0"/>
                <w:sz w:val="24"/>
                <w:lang w:val="zh-CN"/>
              </w:rPr>
              <w:t>投标报价出现下列情形的，投标无效：</w:t>
            </w:r>
          </w:p>
          <w:p>
            <w:pPr>
              <w:snapToGrid w:val="0"/>
              <w:spacing w:line="360" w:lineRule="auto"/>
              <w:ind w:firstLine="241" w:firstLineChars="100"/>
              <w:jc w:val="left"/>
              <w:rPr>
                <w:rFonts w:ascii="宋体" w:hAnsi="宋体" w:cs="宋体"/>
                <w:b/>
                <w:kern w:val="0"/>
                <w:sz w:val="24"/>
                <w:lang w:val="zh-CN"/>
              </w:rPr>
            </w:pPr>
            <w:r>
              <w:rPr>
                <w:rFonts w:hint="eastAsia" w:ascii="宋体" w:hAnsi="宋体" w:cs="宋体"/>
                <w:b/>
                <w:kern w:val="0"/>
                <w:sz w:val="24"/>
                <w:lang w:val="zh-CN"/>
              </w:rPr>
              <w:t>投标文件出现不是唯一的、有选择性投标报价的；</w:t>
            </w:r>
          </w:p>
          <w:p>
            <w:pPr>
              <w:snapToGrid w:val="0"/>
              <w:spacing w:line="360" w:lineRule="auto"/>
              <w:ind w:firstLine="241" w:firstLineChars="100"/>
              <w:jc w:val="left"/>
              <w:rPr>
                <w:rFonts w:ascii="宋体" w:hAnsi="宋体" w:cs="宋体"/>
                <w:kern w:val="0"/>
                <w:sz w:val="24"/>
                <w:lang w:val="zh-CN"/>
              </w:rPr>
            </w:pPr>
            <w:r>
              <w:rPr>
                <w:rFonts w:hint="eastAsia" w:ascii="宋体" w:hAnsi="宋体" w:cs="宋体"/>
                <w:b/>
                <w:kern w:val="0"/>
                <w:sz w:val="24"/>
                <w:lang w:val="zh-CN"/>
              </w:rPr>
              <w:t>投标报价超过招标文件中规定的预算金额或者最高限价的;</w:t>
            </w:r>
          </w:p>
          <w:p>
            <w:pPr>
              <w:spacing w:line="360" w:lineRule="auto"/>
              <w:ind w:firstLine="241" w:firstLineChars="100"/>
              <w:rPr>
                <w:rFonts w:ascii="宋体" w:hAnsi="宋体" w:cs="宋体"/>
                <w:b/>
                <w:sz w:val="24"/>
              </w:rPr>
            </w:pPr>
            <w:r>
              <w:rPr>
                <w:rFonts w:hint="eastAsia" w:ascii="宋体" w:hAnsi="宋体" w:cs="宋体"/>
                <w:b/>
                <w:kern w:val="0"/>
                <w:sz w:val="24"/>
              </w:rPr>
              <w:t>报价明显低于其他通过符合性审查投标人的报价，有可能影响产品质量或者不能诚信履约的，未能按要求提供书面说明或者提交相关证明材料</w:t>
            </w:r>
            <w:r>
              <w:rPr>
                <w:rFonts w:hint="eastAsia" w:ascii="宋体" w:hAnsi="宋体" w:cs="宋体"/>
                <w:b/>
                <w:kern w:val="0"/>
                <w:sz w:val="24"/>
                <w:lang w:eastAsia="zh-CN"/>
              </w:rPr>
              <w:t>（</w:t>
            </w:r>
            <w:r>
              <w:rPr>
                <w:rFonts w:hint="eastAsia" w:ascii="宋体" w:hAnsi="宋体" w:cs="宋体"/>
                <w:b/>
                <w:kern w:val="0"/>
                <w:sz w:val="24"/>
              </w:rPr>
              <w:t>包括但不限于所用工艺运营单价组成、备品备件价格、合理利润情况说明</w:t>
            </w:r>
            <w:r>
              <w:rPr>
                <w:rFonts w:hint="eastAsia" w:ascii="宋体" w:hAnsi="宋体" w:cs="宋体"/>
                <w:b/>
                <w:kern w:val="0"/>
                <w:sz w:val="24"/>
                <w:lang w:eastAsia="zh-CN"/>
              </w:rPr>
              <w:t>、</w:t>
            </w:r>
            <w:r>
              <w:rPr>
                <w:rFonts w:hint="eastAsia" w:ascii="宋体" w:hAnsi="宋体" w:cs="宋体"/>
                <w:b/>
                <w:kern w:val="0"/>
                <w:sz w:val="24"/>
              </w:rPr>
              <w:t>资金证明</w:t>
            </w:r>
            <w:r>
              <w:rPr>
                <w:rFonts w:hint="eastAsia" w:ascii="宋体" w:hAnsi="宋体" w:cs="宋体"/>
                <w:b/>
                <w:kern w:val="0"/>
                <w:sz w:val="24"/>
                <w:lang w:eastAsia="zh-CN"/>
              </w:rPr>
              <w:t>等）</w:t>
            </w:r>
            <w:r>
              <w:rPr>
                <w:rFonts w:hint="eastAsia" w:ascii="宋体" w:hAnsi="宋体" w:cs="宋体"/>
                <w:b/>
                <w:kern w:val="0"/>
                <w:sz w:val="24"/>
              </w:rPr>
              <w:t>证明其报价合理性的</w:t>
            </w:r>
            <w:r>
              <w:rPr>
                <w:rFonts w:hint="eastAsia" w:ascii="宋体" w:hAnsi="宋体" w:cs="宋体"/>
                <w:b/>
                <w:sz w:val="24"/>
                <w:szCs w:val="21"/>
              </w:rPr>
              <w:t>;</w:t>
            </w:r>
          </w:p>
          <w:p>
            <w:pPr>
              <w:spacing w:line="360" w:lineRule="auto"/>
              <w:ind w:firstLine="241" w:firstLineChars="100"/>
              <w:rPr>
                <w:rFonts w:ascii="宋体" w:hAnsi="宋体" w:cs="宋体"/>
                <w:sz w:val="24"/>
              </w:rPr>
            </w:pPr>
            <w:r>
              <w:rPr>
                <w:rFonts w:hint="eastAsia" w:ascii="宋体" w:hAnsi="宋体" w:cs="宋体"/>
                <w:b/>
                <w:kern w:val="0"/>
                <w:sz w:val="24"/>
              </w:rPr>
              <w:t>投标人对根据修正原则修正后的报价不确认的</w:t>
            </w:r>
            <w:r>
              <w:rPr>
                <w:rFonts w:hint="eastAsia" w:ascii="宋体" w:hAnsi="宋体" w:cs="宋体"/>
                <w:b/>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558" w:hRule="atLeast"/>
          <w:tblHeader/>
        </w:trPr>
        <w:tc>
          <w:tcPr>
            <w:tcW w:w="629" w:type="dxa"/>
            <w:tcBorders>
              <w:top w:val="single" w:color="auto" w:sz="4" w:space="0"/>
              <w:left w:val="single" w:color="000000" w:sz="8" w:space="0"/>
              <w:right w:val="single" w:color="000000" w:sz="2" w:space="0"/>
            </w:tcBorders>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11</w:t>
            </w:r>
          </w:p>
        </w:tc>
        <w:tc>
          <w:tcPr>
            <w:tcW w:w="1843" w:type="dxa"/>
            <w:tcBorders>
              <w:top w:val="single" w:color="000000" w:sz="8" w:space="0"/>
              <w:left w:val="single" w:color="000000" w:sz="2"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中小企业信用融资</w:t>
            </w:r>
          </w:p>
        </w:tc>
        <w:tc>
          <w:tcPr>
            <w:tcW w:w="6095" w:type="dxa"/>
            <w:tcBorders>
              <w:top w:val="single" w:color="000000" w:sz="8" w:space="0"/>
              <w:left w:val="single" w:color="000000" w:sz="2" w:space="0"/>
              <w:right w:val="single" w:color="000000" w:sz="8" w:space="0"/>
            </w:tcBorders>
            <w:vAlign w:val="center"/>
          </w:tcPr>
          <w:p>
            <w:pPr>
              <w:spacing w:line="360" w:lineRule="auto"/>
              <w:ind w:firstLine="480" w:firstLineChars="200"/>
              <w:rPr>
                <w:rFonts w:ascii="宋体" w:hAnsi="宋体" w:cs="宋体"/>
                <w:sz w:val="24"/>
              </w:rPr>
            </w:pPr>
            <w:r>
              <w:rPr>
                <w:rFonts w:hint="eastAsia" w:ascii="宋体" w:hAnsi="宋体" w:cs="宋体"/>
                <w:snapToGrid w:val="0"/>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宋体" w:hAnsi="宋体" w:cs="宋体"/>
                <w:sz w:val="24"/>
              </w:rPr>
            </w:pPr>
            <w:r>
              <w:rPr>
                <w:rFonts w:hint="eastAsia" w:ascii="宋体" w:hAnsi="宋体" w:cs="宋体"/>
                <w:sz w:val="24"/>
              </w:rPr>
              <w:t>12</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pPr>
              <w:pStyle w:val="34"/>
              <w:spacing w:line="360" w:lineRule="auto"/>
              <w:rPr>
                <w:rFonts w:hAnsi="宋体" w:cs="宋体"/>
                <w:kern w:val="28"/>
                <w:sz w:val="24"/>
              </w:rPr>
            </w:pPr>
            <w:r>
              <w:rPr>
                <w:rFonts w:hint="eastAsia" w:hAnsi="宋体" w:cs="宋体"/>
                <w:kern w:val="28"/>
                <w:sz w:val="24"/>
                <w:szCs w:val="24"/>
              </w:rPr>
              <w:t>备份投标文件送达地点：</w:t>
            </w:r>
            <w:r>
              <w:rPr>
                <w:rFonts w:hint="eastAsia" w:hAnsi="宋体" w:cs="宋体"/>
                <w:kern w:val="28"/>
                <w:sz w:val="24"/>
                <w:szCs w:val="24"/>
                <w:u w:val="single"/>
              </w:rPr>
              <w:t>杭州市</w:t>
            </w:r>
            <w:r>
              <w:rPr>
                <w:rFonts w:hint="eastAsia" w:hAnsi="宋体" w:cs="宋体"/>
                <w:kern w:val="28"/>
                <w:sz w:val="24"/>
                <w:szCs w:val="24"/>
                <w:u w:val="single"/>
                <w:lang w:eastAsia="zh-CN"/>
              </w:rPr>
              <w:t>临安区锦北街道科技大道</w:t>
            </w:r>
            <w:r>
              <w:rPr>
                <w:rFonts w:hint="eastAsia" w:hAnsi="宋体" w:cs="宋体"/>
                <w:kern w:val="28"/>
                <w:sz w:val="24"/>
                <w:szCs w:val="24"/>
                <w:u w:val="single"/>
                <w:lang w:val="en-US" w:eastAsia="zh-CN"/>
              </w:rPr>
              <w:t>4398号市民中心B座B448室</w:t>
            </w:r>
            <w:r>
              <w:rPr>
                <w:rFonts w:hint="eastAsia" w:hAnsi="宋体" w:cs="宋体"/>
                <w:kern w:val="28"/>
                <w:sz w:val="24"/>
                <w:szCs w:val="24"/>
                <w:u w:val="single"/>
              </w:rPr>
              <w:t>（杭州市公共资源交易中心</w:t>
            </w:r>
            <w:r>
              <w:rPr>
                <w:rFonts w:hint="eastAsia" w:hAnsi="宋体" w:cs="宋体"/>
                <w:kern w:val="28"/>
                <w:sz w:val="24"/>
                <w:szCs w:val="24"/>
                <w:u w:val="single"/>
                <w:lang w:eastAsia="zh-CN"/>
              </w:rPr>
              <w:t>临安分中心</w:t>
            </w:r>
            <w:r>
              <w:rPr>
                <w:rFonts w:hint="eastAsia" w:hAnsi="宋体" w:cs="宋体"/>
                <w:kern w:val="28"/>
                <w:sz w:val="24"/>
                <w:szCs w:val="24"/>
                <w:u w:val="single"/>
              </w:rPr>
              <w:t>政府采购</w:t>
            </w:r>
            <w:r>
              <w:rPr>
                <w:rFonts w:hint="eastAsia" w:hAnsi="宋体" w:cs="宋体"/>
                <w:kern w:val="28"/>
                <w:sz w:val="24"/>
                <w:szCs w:val="24"/>
                <w:u w:val="single"/>
                <w:lang w:eastAsia="zh-CN"/>
              </w:rPr>
              <w:t>科</w:t>
            </w:r>
            <w:r>
              <w:rPr>
                <w:rFonts w:hint="eastAsia" w:hAnsi="宋体" w:cs="宋体"/>
                <w:kern w:val="28"/>
                <w:sz w:val="24"/>
                <w:szCs w:val="24"/>
                <w:u w:val="single"/>
              </w:rPr>
              <w:t>）</w:t>
            </w:r>
            <w:r>
              <w:rPr>
                <w:rFonts w:hint="eastAsia" w:hAnsi="宋体" w:cs="宋体"/>
                <w:kern w:val="28"/>
                <w:sz w:val="24"/>
                <w:szCs w:val="24"/>
              </w:rPr>
              <w:t>；备份投标文件签收人员联系电话：</w:t>
            </w:r>
            <w:r>
              <w:rPr>
                <w:rFonts w:hint="eastAsia" w:hAnsi="宋体" w:cs="宋体"/>
                <w:kern w:val="28"/>
                <w:sz w:val="24"/>
                <w:szCs w:val="24"/>
                <w:u w:val="single"/>
              </w:rPr>
              <w:t>0571-</w:t>
            </w:r>
            <w:r>
              <w:rPr>
                <w:rFonts w:hint="eastAsia" w:hAnsi="宋体" w:cs="宋体"/>
                <w:kern w:val="28"/>
                <w:sz w:val="24"/>
                <w:szCs w:val="24"/>
                <w:u w:val="single"/>
                <w:lang w:val="en-US" w:eastAsia="zh-CN"/>
              </w:rPr>
              <w:t>89540611</w:t>
            </w:r>
            <w:r>
              <w:rPr>
                <w:rFonts w:hint="eastAsia" w:hAnsi="宋体" w:cs="宋体"/>
                <w:sz w:val="24"/>
                <w:szCs w:val="24"/>
              </w:rPr>
              <w:t>。</w:t>
            </w:r>
            <w:r>
              <w:rPr>
                <w:rFonts w:hint="eastAsia" w:hAnsi="宋体" w:cs="宋体"/>
                <w:b/>
                <w:sz w:val="24"/>
                <w:szCs w:val="24"/>
              </w:rPr>
              <w:t>采购人、</w:t>
            </w:r>
            <w:r>
              <w:rPr>
                <w:rFonts w:hint="eastAsia" w:hAnsi="宋体" w:cs="宋体"/>
                <w:b/>
                <w:sz w:val="24"/>
                <w:szCs w:val="24"/>
                <w:lang w:eastAsia="zh-CN"/>
              </w:rPr>
              <w:t>采购代理机构</w:t>
            </w:r>
            <w:r>
              <w:rPr>
                <w:rFonts w:hint="eastAsia" w:hAnsi="宋体" w:cs="宋体"/>
                <w:b/>
                <w:sz w:val="24"/>
                <w:szCs w:val="24"/>
              </w:rPr>
              <w:t>不强制或变相强制投标人提交备份投标文件。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vAlign w:val="center"/>
          </w:tcPr>
          <w:p>
            <w:pPr>
              <w:snapToGrid w:val="0"/>
              <w:spacing w:line="360" w:lineRule="auto"/>
              <w:jc w:val="center"/>
              <w:rPr>
                <w:rFonts w:ascii="宋体" w:hAnsi="宋体" w:cs="宋体"/>
                <w:sz w:val="24"/>
              </w:rPr>
            </w:pPr>
            <w:r>
              <w:rPr>
                <w:rFonts w:hint="eastAsia" w:ascii="宋体" w:hAnsi="宋体" w:cs="宋体"/>
                <w:sz w:val="24"/>
              </w:rPr>
              <w:t>13</w:t>
            </w:r>
          </w:p>
        </w:tc>
        <w:tc>
          <w:tcPr>
            <w:tcW w:w="1843" w:type="dxa"/>
            <w:vMerge w:val="restart"/>
            <w:tcBorders>
              <w:top w:val="single" w:color="000000" w:sz="8" w:space="0"/>
              <w:left w:val="single" w:color="000000" w:sz="2" w:space="0"/>
              <w:right w:val="single" w:color="000000" w:sz="8" w:space="0"/>
            </w:tcBorders>
            <w:vAlign w:val="center"/>
          </w:tcPr>
          <w:p>
            <w:pPr>
              <w:snapToGrid w:val="0"/>
              <w:spacing w:line="360" w:lineRule="auto"/>
              <w:jc w:val="center"/>
              <w:rPr>
                <w:rFonts w:ascii="宋体" w:hAnsi="宋体" w:cs="宋体"/>
                <w:b/>
                <w:sz w:val="24"/>
              </w:rPr>
            </w:pPr>
            <w:r>
              <w:rPr>
                <w:rFonts w:hint="eastAsia" w:cs="仿宋_GB2312" w:asciiTheme="minorEastAsia" w:hAnsiTheme="minorEastAsia" w:eastAsiaTheme="minorEastAsia"/>
                <w:b/>
                <w:sz w:val="24"/>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napToGrid w:val="0"/>
                <w:kern w:val="28"/>
                <w:sz w:val="24"/>
              </w:rPr>
            </w:pPr>
            <w:r>
              <w:rPr>
                <w:rFonts w:hint="eastAsia" w:ascii="宋体" w:hAnsi="宋体" w:cs="宋体"/>
                <w:snapToGrid w:val="0"/>
                <w:kern w:val="28"/>
                <w:sz w:val="24"/>
              </w:rPr>
              <w:t>联合体投标的，联合体各方分别提供与联合体协议中规定的分工内容相应的业绩证明材料，</w:t>
            </w:r>
            <w:r>
              <w:rPr>
                <w:rFonts w:hint="eastAsia" w:ascii="宋体" w:hAnsi="宋体" w:cs="宋体"/>
                <w:snapToGrid w:val="0"/>
                <w:kern w:val="28"/>
                <w:sz w:val="24"/>
                <w:lang w:eastAsia="zh-CN"/>
              </w:rPr>
              <w:t>同类</w:t>
            </w:r>
            <w:r>
              <w:rPr>
                <w:rFonts w:hint="eastAsia" w:ascii="宋体" w:hAnsi="宋体" w:cs="宋体"/>
                <w:snapToGrid w:val="0"/>
                <w:kern w:val="28"/>
                <w:sz w:val="24"/>
              </w:rPr>
              <w:t>业绩数量以提供材料较少的一方为准。</w:t>
            </w:r>
            <w:r>
              <w:rPr>
                <w:rFonts w:hint="eastAsia" w:ascii="宋体" w:hAnsi="宋体" w:cs="宋体"/>
                <w:snapToGrid w:val="0"/>
                <w:color w:val="auto"/>
                <w:kern w:val="28"/>
                <w:sz w:val="24"/>
                <w:highlight w:val="none"/>
              </w:rPr>
              <w:t>招标文件第四部分评分标准有其他规定的，从其规定。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right w:val="single" w:color="000000" w:sz="2" w:space="0"/>
            </w:tcBorders>
          </w:tcPr>
          <w:p>
            <w:pPr>
              <w:snapToGrid w:val="0"/>
              <w:spacing w:line="360" w:lineRule="auto"/>
              <w:jc w:val="center"/>
              <w:rPr>
                <w:rFonts w:ascii="宋体" w:hAnsi="宋体" w:cs="宋体"/>
                <w:sz w:val="24"/>
              </w:rPr>
            </w:pPr>
          </w:p>
        </w:tc>
        <w:tc>
          <w:tcPr>
            <w:tcW w:w="1843" w:type="dxa"/>
            <w:vMerge w:val="continue"/>
            <w:tcBorders>
              <w:left w:val="single" w:color="000000" w:sz="2" w:space="0"/>
              <w:right w:val="single" w:color="000000" w:sz="8" w:space="0"/>
            </w:tcBorders>
            <w:vAlign w:val="center"/>
          </w:tcPr>
          <w:p>
            <w:pPr>
              <w:snapToGrid w:val="0"/>
              <w:spacing w:line="360" w:lineRule="auto"/>
              <w:jc w:val="center"/>
              <w:rPr>
                <w:rFonts w:ascii="宋体" w:hAnsi="宋体" w:cs="宋体"/>
                <w:b/>
                <w:sz w:val="24"/>
              </w:rPr>
            </w:pP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napToGrid w:val="0"/>
                <w:kern w:val="28"/>
                <w:sz w:val="24"/>
              </w:rPr>
            </w:pPr>
            <w:sdt>
              <w:sdtPr>
                <w:rPr>
                  <w:rFonts w:hint="eastAsia" w:cs="Arial" w:asciiTheme="minorEastAsia" w:hAnsiTheme="minorEastAsia" w:eastAsiaTheme="minorEastAsia"/>
                  <w:kern w:val="0"/>
                  <w:sz w:val="24"/>
                </w:rPr>
                <w:id w:val="-1816336663"/>
                <w14:checkbox>
                  <w14:checked w14:val="0"/>
                  <w14:checkedState w14:val="00FE" w14:font="Wingdings"/>
                  <w14:uncheckedState w14:val="2610" w14:font="MS Gothic"/>
                </w14:checkbox>
              </w:sdtPr>
              <w:sdtEndPr>
                <w:rPr>
                  <w:rFonts w:hint="eastAsia" w:cs="Arial" w:asciiTheme="minorEastAsia" w:hAnsiTheme="minorEastAsia" w:eastAsiaTheme="minorEastAsia"/>
                  <w:kern w:val="0"/>
                  <w:sz w:val="24"/>
                </w:rPr>
              </w:sdtEndPr>
              <w:sdtContent>
                <w:r>
                  <w:rPr>
                    <w:rFonts w:hint="eastAsia" w:ascii="MS Mincho" w:hAnsi="MS Mincho" w:eastAsia="MS Mincho" w:cs="MS Mincho"/>
                    <w:kern w:val="0"/>
                    <w:sz w:val="24"/>
                  </w:rPr>
                  <w:t>☐</w:t>
                </w:r>
              </w:sdtContent>
            </w:sdt>
            <w:r>
              <w:rPr>
                <w:rFonts w:hint="eastAsia" w:ascii="宋体" w:hAnsi="宋体" w:cs="宋体"/>
                <w:snapToGrid w:val="0"/>
                <w:kern w:val="28"/>
                <w:sz w:val="24"/>
              </w:rPr>
              <w:t>联合体投标的，联合体各方均需按招标文件第四部分评标标准要求提供资信证明文件，否则视为不符合相关要求。</w:t>
            </w:r>
            <w:r>
              <w:rPr>
                <w:rFonts w:hint="eastAsia" w:ascii="宋体" w:hAnsi="宋体" w:cs="宋体"/>
                <w:snapToGrid w:val="0"/>
                <w:color w:val="auto"/>
                <w:kern w:val="28"/>
                <w:sz w:val="24"/>
                <w:highlight w:val="none"/>
              </w:rPr>
              <w:t>招标文件第四部分评分标准有其他规定的，从其规定。</w:t>
            </w:r>
          </w:p>
          <w:p>
            <w:pPr>
              <w:spacing w:line="360" w:lineRule="auto"/>
              <w:rPr>
                <w:rFonts w:ascii="宋体" w:hAnsi="宋体" w:cs="宋体"/>
                <w:snapToGrid w:val="0"/>
                <w:kern w:val="28"/>
                <w:sz w:val="24"/>
              </w:rPr>
            </w:pPr>
            <w:sdt>
              <w:sdtPr>
                <w:rPr>
                  <w:rFonts w:hint="eastAsia" w:cs="Arial" w:asciiTheme="minorEastAsia" w:hAnsiTheme="minorEastAsia" w:eastAsiaTheme="minorEastAsia"/>
                  <w:kern w:val="0"/>
                  <w:sz w:val="24"/>
                </w:rPr>
                <w:id w:val="-232311894"/>
                <w14:checkbox>
                  <w14:checked w14:val="0"/>
                  <w14:checkedState w14:val="00FE" w14:font="Wingdings"/>
                  <w14:uncheckedState w14:val="2610" w14:font="MS Gothic"/>
                </w14:checkbox>
              </w:sdtPr>
              <w:sdtEndPr>
                <w:rPr>
                  <w:rFonts w:hint="eastAsia" w:cs="Arial" w:asciiTheme="minorEastAsia" w:hAnsiTheme="minorEastAsia" w:eastAsiaTheme="minorEastAsia"/>
                  <w:kern w:val="0"/>
                  <w:sz w:val="24"/>
                </w:rPr>
              </w:sdtEndPr>
              <w:sdtContent>
                <w:r>
                  <w:rPr>
                    <w:rFonts w:hint="eastAsia" w:ascii="MS Gothic" w:hAnsi="MS Gothic" w:cs="Arial" w:eastAsiaTheme="minorEastAsia"/>
                    <w:kern w:val="0"/>
                    <w:sz w:val="24"/>
                    <w:szCs w:val="24"/>
                    <w:lang w:val="en-US" w:eastAsia="zh-CN" w:bidi="ar-SA"/>
                  </w:rPr>
                  <w:t>☐</w:t>
                </w:r>
              </w:sdtContent>
            </w:sdt>
            <w:r>
              <w:rPr>
                <w:rFonts w:hint="eastAsia" w:ascii="宋体" w:hAnsi="宋体" w:cs="宋体"/>
                <w:snapToGrid w:val="0"/>
                <w:kern w:val="28"/>
                <w:sz w:val="24"/>
              </w:rPr>
              <w:t>联合体投标的，联合体中有一方或者联合体成员根据分工按招标文件第四部分评标标准要求提供资信证明文件的，视为符合了相关要求。</w:t>
            </w:r>
            <w:r>
              <w:rPr>
                <w:rFonts w:hint="eastAsia" w:ascii="宋体" w:hAnsi="宋体" w:cs="宋体"/>
                <w:snapToGrid w:val="0"/>
                <w:color w:val="auto"/>
                <w:kern w:val="28"/>
                <w:sz w:val="24"/>
                <w:highlight w:val="none"/>
              </w:rPr>
              <w:t>招标文件第四部分评分标准有其他规定的，从其规定。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935" w:hRule="atLeast"/>
          <w:tblHeader/>
        </w:trPr>
        <w:tc>
          <w:tcPr>
            <w:tcW w:w="629" w:type="dxa"/>
            <w:vMerge w:val="continue"/>
            <w:tcBorders>
              <w:left w:val="single" w:color="000000" w:sz="8" w:space="0"/>
              <w:right w:val="single" w:color="000000" w:sz="2" w:space="0"/>
            </w:tcBorders>
          </w:tcPr>
          <w:p>
            <w:pPr>
              <w:snapToGrid w:val="0"/>
              <w:spacing w:line="360" w:lineRule="auto"/>
              <w:jc w:val="center"/>
              <w:rPr>
                <w:rFonts w:ascii="宋体" w:hAnsi="宋体" w:cs="宋体"/>
                <w:sz w:val="24"/>
              </w:rPr>
            </w:pPr>
          </w:p>
        </w:tc>
        <w:tc>
          <w:tcPr>
            <w:tcW w:w="1843" w:type="dxa"/>
            <w:vMerge w:val="continue"/>
            <w:tcBorders>
              <w:left w:val="single" w:color="000000" w:sz="2" w:space="0"/>
              <w:right w:val="single" w:color="000000" w:sz="8" w:space="0"/>
            </w:tcBorders>
            <w:vAlign w:val="center"/>
          </w:tcPr>
          <w:p>
            <w:pPr>
              <w:snapToGrid w:val="0"/>
              <w:spacing w:line="360" w:lineRule="auto"/>
              <w:jc w:val="center"/>
              <w:rPr>
                <w:rFonts w:ascii="宋体" w:hAnsi="宋体" w:cs="宋体"/>
                <w:b/>
                <w:sz w:val="24"/>
              </w:rPr>
            </w:pP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cs="Arial" w:asciiTheme="minorEastAsia" w:hAnsiTheme="minorEastAsia" w:eastAsiaTheme="minorEastAsia"/>
                <w:kern w:val="0"/>
                <w:sz w:val="24"/>
                <w:highlight w:val="none"/>
              </w:rPr>
            </w:pPr>
            <w:r>
              <w:rPr>
                <w:rFonts w:hint="eastAsia" w:ascii="宋体" w:hAnsi="宋体" w:cs="Arial"/>
                <w:color w:val="auto"/>
                <w:kern w:val="0"/>
                <w:sz w:val="24"/>
                <w:highlight w:val="none"/>
              </w:rPr>
              <w:t>招标文件第四部分</w:t>
            </w:r>
            <w:r>
              <w:rPr>
                <w:rFonts w:hint="eastAsia" w:ascii="宋体" w:hAnsi="宋体" w:eastAsia="宋体" w:cs="Arial"/>
                <w:color w:val="auto"/>
                <w:kern w:val="0"/>
                <w:sz w:val="24"/>
                <w:highlight w:val="none"/>
              </w:rPr>
              <w:t>评审因素对应的要求</w:t>
            </w:r>
            <w:r>
              <w:rPr>
                <w:rFonts w:hint="eastAsia" w:ascii="宋体" w:hAnsi="宋体" w:cs="Arial"/>
                <w:color w:val="auto"/>
                <w:kern w:val="0"/>
                <w:sz w:val="24"/>
                <w:highlight w:val="none"/>
              </w:rPr>
              <w:t>及第五部分采购合同的内容</w:t>
            </w:r>
            <w:r>
              <w:rPr>
                <w:rFonts w:hint="eastAsia" w:ascii="宋体" w:hAnsi="宋体" w:eastAsia="宋体" w:cs="Arial"/>
                <w:color w:val="auto"/>
                <w:kern w:val="0"/>
                <w:sz w:val="24"/>
                <w:highlight w:val="none"/>
              </w:rPr>
              <w:t>视为采购需求的一部分。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620" w:hRule="atLeast"/>
          <w:tblHeader/>
        </w:trPr>
        <w:tc>
          <w:tcPr>
            <w:tcW w:w="629" w:type="dxa"/>
            <w:vMerge w:val="continue"/>
            <w:tcBorders>
              <w:left w:val="single" w:color="000000" w:sz="8" w:space="0"/>
              <w:bottom w:val="single" w:color="auto" w:sz="4" w:space="0"/>
              <w:right w:val="single" w:color="000000" w:sz="2" w:space="0"/>
            </w:tcBorders>
          </w:tcPr>
          <w:p>
            <w:pPr>
              <w:snapToGrid w:val="0"/>
              <w:spacing w:line="360" w:lineRule="auto"/>
              <w:jc w:val="center"/>
              <w:rPr>
                <w:rFonts w:ascii="宋体" w:hAnsi="宋体" w:cs="宋体"/>
                <w:sz w:val="24"/>
              </w:rPr>
            </w:pPr>
          </w:p>
        </w:tc>
        <w:tc>
          <w:tcPr>
            <w:tcW w:w="1843" w:type="dxa"/>
            <w:vMerge w:val="continue"/>
            <w:tcBorders>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宋体" w:hAnsi="宋体" w:cs="Arial"/>
                <w:color w:val="auto"/>
                <w:kern w:val="0"/>
                <w:sz w:val="24"/>
                <w:highlight w:val="none"/>
              </w:rPr>
            </w:pPr>
            <w:r>
              <w:rPr>
                <w:rFonts w:hint="eastAsia" w:ascii="宋体" w:hAnsi="宋体" w:cs="Arial"/>
                <w:color w:val="auto"/>
                <w:kern w:val="0"/>
                <w:sz w:val="24"/>
                <w:highlight w:val="none"/>
                <w:lang w:eastAsia="zh-CN"/>
              </w:rPr>
              <w:t>本项目评审报告推荐的中标候选人数量：</w:t>
            </w:r>
            <w:r>
              <w:rPr>
                <w:rFonts w:hint="eastAsia" w:ascii="宋体" w:hAnsi="宋体" w:cs="Arial"/>
                <w:color w:val="auto"/>
                <w:kern w:val="0"/>
                <w:sz w:val="24"/>
                <w:highlight w:val="none"/>
                <w:u w:val="single"/>
                <w:lang w:val="en-US" w:eastAsia="zh-CN"/>
              </w:rPr>
              <w:t xml:space="preserve">1 </w:t>
            </w:r>
            <w:r>
              <w:rPr>
                <w:rFonts w:hint="eastAsia" w:ascii="宋体" w:hAnsi="宋体" w:cs="Arial"/>
                <w:color w:val="auto"/>
                <w:kern w:val="0"/>
                <w:sz w:val="24"/>
                <w:highlight w:val="none"/>
                <w:lang w:val="en-US" w:eastAsia="zh-CN"/>
              </w:rPr>
              <w:t>。</w:t>
            </w:r>
          </w:p>
        </w:tc>
      </w:tr>
    </w:tbl>
    <w:p>
      <w:pPr>
        <w:snapToGrid w:val="0"/>
        <w:spacing w:line="360" w:lineRule="auto"/>
        <w:jc w:val="center"/>
        <w:rPr>
          <w:rFonts w:ascii="宋体" w:hAnsi="宋体" w:cs="宋体"/>
          <w:b/>
          <w:sz w:val="32"/>
          <w:szCs w:val="20"/>
        </w:rPr>
      </w:pPr>
    </w:p>
    <w:bookmarkEnd w:id="10"/>
    <w:p>
      <w:pPr>
        <w:adjustRightInd/>
        <w:spacing w:line="360" w:lineRule="auto"/>
        <w:ind w:firstLine="3845" w:firstLineChars="1197"/>
        <w:outlineLvl w:val="0"/>
        <w:rPr>
          <w:rFonts w:ascii="宋体" w:hAnsi="宋体" w:cs="宋体"/>
          <w:b/>
          <w:sz w:val="32"/>
          <w:szCs w:val="20"/>
        </w:rPr>
      </w:pPr>
      <w:bookmarkStart w:id="11" w:name="_Toc164416483"/>
      <w:bookmarkStart w:id="12" w:name="第三部分"/>
      <w:r>
        <w:rPr>
          <w:rFonts w:hint="eastAsia" w:ascii="宋体" w:hAnsi="宋体" w:cs="宋体"/>
          <w:b/>
          <w:sz w:val="32"/>
          <w:szCs w:val="20"/>
        </w:rPr>
        <w:t>一、总则</w:t>
      </w:r>
    </w:p>
    <w:p>
      <w:pPr>
        <w:snapToGrid w:val="0"/>
        <w:spacing w:line="360" w:lineRule="auto"/>
        <w:ind w:firstLine="361" w:firstLineChars="150"/>
        <w:jc w:val="left"/>
        <w:outlineLvl w:val="1"/>
        <w:rPr>
          <w:rFonts w:ascii="宋体" w:hAnsi="宋体" w:cs="宋体"/>
          <w:b/>
          <w:sz w:val="24"/>
        </w:rPr>
      </w:pPr>
      <w:r>
        <w:rPr>
          <w:rFonts w:hint="eastAsia" w:ascii="宋体" w:hAnsi="宋体" w:cs="宋体"/>
          <w:b/>
          <w:sz w:val="24"/>
        </w:rPr>
        <w:t>1. 适用范围</w:t>
      </w:r>
    </w:p>
    <w:p>
      <w:pPr>
        <w:snapToGrid w:val="0"/>
        <w:spacing w:line="360" w:lineRule="auto"/>
        <w:ind w:firstLine="480" w:firstLineChars="200"/>
        <w:jc w:val="left"/>
        <w:rPr>
          <w:rFonts w:ascii="宋体" w:hAnsi="宋体" w:cs="宋体"/>
          <w:sz w:val="24"/>
        </w:rPr>
      </w:pPr>
      <w:r>
        <w:rPr>
          <w:rFonts w:hint="eastAsia" w:ascii="宋体" w:hAnsi="宋体" w:cs="宋体"/>
          <w:sz w:val="24"/>
        </w:rPr>
        <w:t>本招标文件适用于该项目的招标、投标、开标、资格审查及信用信息查询、评标、定标、合同、验收等行为（法律、法规另有规定的，从其规定）。</w:t>
      </w:r>
    </w:p>
    <w:p>
      <w:pPr>
        <w:adjustRightInd/>
        <w:spacing w:line="360" w:lineRule="auto"/>
        <w:outlineLvl w:val="0"/>
        <w:rPr>
          <w:rFonts w:ascii="宋体" w:hAnsi="宋体" w:cs="宋体"/>
          <w:b/>
          <w:sz w:val="24"/>
        </w:rPr>
      </w:pPr>
      <w:r>
        <w:rPr>
          <w:rFonts w:hint="eastAsia" w:ascii="宋体" w:hAnsi="宋体" w:cs="宋体"/>
          <w:b/>
          <w:sz w:val="24"/>
        </w:rPr>
        <w:t xml:space="preserve">   2.定义</w:t>
      </w:r>
    </w:p>
    <w:p>
      <w:pPr>
        <w:spacing w:line="360" w:lineRule="auto"/>
        <w:ind w:firstLine="480" w:firstLineChars="200"/>
        <w:rPr>
          <w:rFonts w:ascii="宋体" w:hAnsi="宋体" w:cs="宋体"/>
          <w:sz w:val="24"/>
        </w:rPr>
      </w:pPr>
      <w:r>
        <w:rPr>
          <w:rFonts w:hint="eastAsia" w:ascii="宋体" w:hAnsi="宋体" w:cs="宋体"/>
          <w:sz w:val="24"/>
        </w:rPr>
        <w:t>2.1 “采购人”系指招标公告中载明的本项目的采购人。</w:t>
      </w:r>
    </w:p>
    <w:p>
      <w:pPr>
        <w:spacing w:line="360" w:lineRule="auto"/>
        <w:ind w:firstLine="480" w:firstLineChars="200"/>
        <w:rPr>
          <w:rFonts w:ascii="宋体" w:hAnsi="宋体" w:cs="宋体"/>
          <w:sz w:val="24"/>
        </w:rPr>
      </w:pPr>
      <w:r>
        <w:rPr>
          <w:rFonts w:hint="eastAsia" w:ascii="宋体" w:hAnsi="宋体" w:cs="宋体"/>
          <w:sz w:val="24"/>
        </w:rPr>
        <w:t>2.2 “</w:t>
      </w:r>
      <w:r>
        <w:rPr>
          <w:rFonts w:hint="eastAsia" w:ascii="宋体" w:hAnsi="宋体" w:cs="宋体"/>
          <w:sz w:val="24"/>
          <w:lang w:eastAsia="zh-CN"/>
        </w:rPr>
        <w:t>采购代理机构</w:t>
      </w:r>
      <w:r>
        <w:rPr>
          <w:rFonts w:hint="eastAsia" w:ascii="宋体" w:hAnsi="宋体" w:cs="宋体"/>
          <w:sz w:val="24"/>
        </w:rPr>
        <w:t>”系指招标公告中载明的本项目的</w:t>
      </w:r>
      <w:r>
        <w:rPr>
          <w:rFonts w:hint="eastAsia" w:ascii="宋体" w:hAnsi="宋体" w:cs="宋体"/>
          <w:sz w:val="24"/>
          <w:lang w:eastAsia="zh-CN"/>
        </w:rPr>
        <w:t>采购代理机构</w:t>
      </w:r>
      <w:r>
        <w:rPr>
          <w:rFonts w:hint="eastAsia" w:ascii="宋体" w:hAnsi="宋体" w:cs="宋体"/>
          <w:sz w:val="24"/>
        </w:rPr>
        <w:t>。</w:t>
      </w:r>
    </w:p>
    <w:p>
      <w:pPr>
        <w:spacing w:line="360" w:lineRule="auto"/>
        <w:ind w:firstLine="480" w:firstLineChars="200"/>
        <w:rPr>
          <w:rFonts w:ascii="宋体" w:hAnsi="宋体" w:cs="宋体"/>
          <w:sz w:val="24"/>
        </w:rPr>
      </w:pPr>
      <w:r>
        <w:rPr>
          <w:rFonts w:hint="eastAsia" w:ascii="宋体" w:hAnsi="宋体" w:cs="宋体"/>
          <w:sz w:val="24"/>
        </w:rPr>
        <w:t>2.3 “投标人”系指是指响应招标、参加投标竞争的法人、其他组织或者自然人。</w:t>
      </w:r>
    </w:p>
    <w:p>
      <w:pPr>
        <w:spacing w:line="360" w:lineRule="auto"/>
        <w:ind w:firstLine="480" w:firstLineChars="200"/>
        <w:rPr>
          <w:rFonts w:ascii="宋体" w:hAnsi="宋体" w:cs="宋体"/>
          <w:sz w:val="24"/>
        </w:rPr>
      </w:pPr>
      <w:r>
        <w:rPr>
          <w:rFonts w:hint="eastAsia" w:ascii="宋体" w:hAnsi="宋体" w:cs="宋体"/>
          <w:sz w:val="24"/>
        </w:rPr>
        <w:t>2.4 “负责人”系指法人企业的法定负责人，或其他组织为法律、行政法规规定代表单位行使职权的主要负责人，或自然人本人。</w:t>
      </w:r>
    </w:p>
    <w:p>
      <w:pPr>
        <w:spacing w:line="360" w:lineRule="auto"/>
        <w:ind w:firstLine="480" w:firstLineChars="200"/>
        <w:rPr>
          <w:rFonts w:ascii="宋体" w:hAnsi="宋体" w:cs="宋体"/>
          <w:sz w:val="24"/>
        </w:rPr>
      </w:pPr>
      <w:r>
        <w:rPr>
          <w:rFonts w:hint="eastAsia" w:ascii="宋体" w:hAnsi="宋体" w:cs="宋体"/>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spacing w:line="360" w:lineRule="auto"/>
        <w:ind w:firstLine="480" w:firstLineChars="200"/>
        <w:rPr>
          <w:rFonts w:ascii="宋体" w:hAnsi="宋体" w:cs="宋体"/>
          <w:sz w:val="24"/>
        </w:rPr>
      </w:pPr>
      <w:r>
        <w:rPr>
          <w:rFonts w:hint="eastAsia" w:ascii="宋体" w:hAnsi="宋体" w:cs="宋体"/>
          <w:sz w:val="24"/>
        </w:rPr>
        <w:t>2.6“电子交易平台”</w:t>
      </w:r>
      <w:r>
        <w:rPr>
          <w:rFonts w:hint="eastAsia" w:ascii="宋体" w:hAnsi="宋体" w:cs="宋体"/>
          <w:sz w:val="24"/>
          <w:lang w:val="en-US" w:eastAsia="zh-CN"/>
        </w:rPr>
        <w:t>系</w:t>
      </w:r>
      <w:r>
        <w:rPr>
          <w:rFonts w:hint="eastAsia" w:ascii="宋体" w:hAnsi="宋体" w:cs="宋体"/>
          <w:sz w:val="24"/>
        </w:rPr>
        <w:t>指本项目政府采购活动所依托的政府采购云平台（https://www.zcygov.cn/）。</w:t>
      </w:r>
    </w:p>
    <w:p>
      <w:pPr>
        <w:spacing w:line="360" w:lineRule="auto"/>
        <w:ind w:firstLine="480" w:firstLineChars="200"/>
        <w:rPr>
          <w:rFonts w:ascii="宋体" w:hAnsi="宋体" w:cs="宋体"/>
          <w:sz w:val="24"/>
        </w:rPr>
      </w:pPr>
      <w:r>
        <w:rPr>
          <w:rFonts w:hint="eastAsia" w:ascii="宋体" w:hAnsi="宋体" w:cs="宋体"/>
          <w:sz w:val="24"/>
        </w:rPr>
        <w:t>2.7 “▲” 系指实质性要求条款，“</w:t>
      </w:r>
      <w:sdt>
        <w:sdtPr>
          <w:rPr>
            <w:rFonts w:hint="eastAsia" w:ascii="宋体" w:hAnsi="宋体" w:cs="宋体"/>
            <w:kern w:val="0"/>
            <w:sz w:val="24"/>
          </w:rPr>
          <w:id w:val="512970236"/>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ascii="Wingdings" w:hAnsi="Wingdings" w:cs="宋体"/>
              <w:kern w:val="0"/>
              <w:sz w:val="24"/>
            </w:rPr>
            <w:t></w:t>
          </w:r>
        </w:sdtContent>
      </w:sdt>
      <w:r>
        <w:rPr>
          <w:rFonts w:hint="eastAsia" w:ascii="宋体" w:hAnsi="宋体" w:cs="宋体"/>
          <w:sz w:val="24"/>
        </w:rPr>
        <w:t>” 系指适用本项目的要求，“</w:t>
      </w:r>
      <w:sdt>
        <w:sdtPr>
          <w:rPr>
            <w:rFonts w:hint="eastAsia" w:ascii="宋体" w:hAnsi="宋体" w:cs="宋体"/>
            <w:kern w:val="0"/>
            <w:sz w:val="24"/>
          </w:rPr>
          <w:id w:val="404888855"/>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 系指不适用本项目的要求。</w:t>
      </w:r>
    </w:p>
    <w:p>
      <w:pPr>
        <w:spacing w:line="360" w:lineRule="auto"/>
        <w:ind w:firstLine="241" w:firstLineChars="100"/>
        <w:rPr>
          <w:rFonts w:ascii="宋体" w:hAnsi="宋体" w:cs="宋体"/>
          <w:b/>
          <w:sz w:val="24"/>
        </w:rPr>
      </w:pPr>
      <w:r>
        <w:rPr>
          <w:rFonts w:hint="eastAsia" w:ascii="宋体" w:hAnsi="宋体" w:cs="宋体"/>
          <w:b/>
          <w:sz w:val="24"/>
        </w:rPr>
        <w:t>3.</w:t>
      </w:r>
      <w:r>
        <w:rPr>
          <w:rFonts w:hint="eastAsia" w:ascii="宋体" w:hAnsi="宋体" w:cs="宋体"/>
        </w:rPr>
        <w:t xml:space="preserve"> </w:t>
      </w:r>
      <w:r>
        <w:rPr>
          <w:rFonts w:hint="eastAsia" w:ascii="宋体" w:hAnsi="宋体" w:cs="宋体"/>
          <w:b/>
          <w:sz w:val="24"/>
        </w:rPr>
        <w:t>采购项目需要落实的政府采购政策</w:t>
      </w:r>
    </w:p>
    <w:p>
      <w:pPr>
        <w:spacing w:line="360" w:lineRule="auto"/>
        <w:ind w:firstLine="240" w:firstLineChars="100"/>
        <w:rPr>
          <w:rFonts w:ascii="宋体" w:hAnsi="宋体" w:cs="宋体"/>
          <w:sz w:val="24"/>
        </w:rPr>
      </w:pPr>
      <w:r>
        <w:rPr>
          <w:rFonts w:hint="eastAsia" w:ascii="宋体" w:hAnsi="宋体" w:cs="宋体"/>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cs="宋体"/>
          <w:sz w:val="24"/>
          <w:lang w:eastAsia="zh-CN"/>
        </w:rPr>
        <w:t>采购代理机构</w:t>
      </w:r>
      <w:r>
        <w:rPr>
          <w:rFonts w:hint="eastAsia" w:ascii="宋体" w:hAnsi="宋体" w:cs="宋体"/>
          <w:sz w:val="24"/>
        </w:rPr>
        <w:t>不会对其加以限制，仍将按照公平竞争原则实施采购）；</w:t>
      </w:r>
      <w:r>
        <w:rPr>
          <w:rFonts w:hint="eastAsia" w:ascii="宋体" w:hAnsi="宋体" w:cs="宋体"/>
          <w:kern w:val="0"/>
          <w:sz w:val="24"/>
        </w:rPr>
        <w:t>优先采购向我国企业转让技术、与我国企业签订消化吸收再创新方案的供应商的进口产品</w:t>
      </w:r>
      <w:r>
        <w:rPr>
          <w:rFonts w:hint="eastAsia" w:ascii="宋体" w:hAnsi="宋体" w:cs="宋体"/>
          <w:sz w:val="24"/>
        </w:rPr>
        <w:t>。</w:t>
      </w:r>
    </w:p>
    <w:p>
      <w:pPr>
        <w:spacing w:line="360" w:lineRule="auto"/>
        <w:ind w:firstLine="240" w:firstLineChars="100"/>
        <w:rPr>
          <w:rFonts w:ascii="宋体" w:hAnsi="宋体" w:cs="宋体"/>
          <w:sz w:val="24"/>
        </w:rPr>
      </w:pPr>
      <w:r>
        <w:rPr>
          <w:rFonts w:hint="eastAsia" w:ascii="宋体" w:hAnsi="宋体" w:cs="宋体"/>
          <w:sz w:val="24"/>
        </w:rPr>
        <w:t>3.2 支持绿色发展</w:t>
      </w:r>
    </w:p>
    <w:p>
      <w:pPr>
        <w:spacing w:line="360" w:lineRule="auto"/>
        <w:ind w:firstLine="480" w:firstLineChars="200"/>
        <w:rPr>
          <w:rFonts w:ascii="宋体" w:hAnsi="宋体" w:cs="宋体"/>
          <w:b/>
          <w:sz w:val="24"/>
        </w:rPr>
      </w:pPr>
      <w:r>
        <w:rPr>
          <w:rFonts w:hint="eastAsia" w:ascii="宋体" w:hAnsi="宋体" w:cs="宋体"/>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sz w:val="24"/>
        </w:rPr>
        <w:t>▲采购人拟采购的产品属于政府强制采购的节能产品品目清单范围的，投标人相应的投标产品未获得国家确定的认证机构出具的、处于有效期之内的节能产品认证证书的，投标无效。</w:t>
      </w:r>
    </w:p>
    <w:p>
      <w:pPr>
        <w:spacing w:line="360" w:lineRule="auto"/>
        <w:ind w:firstLine="480" w:firstLineChars="200"/>
        <w:rPr>
          <w:rFonts w:ascii="宋体" w:hAnsi="宋体" w:cs="宋体"/>
          <w:sz w:val="24"/>
        </w:rPr>
      </w:pPr>
      <w:r>
        <w:rPr>
          <w:rFonts w:hint="eastAsia" w:ascii="宋体" w:hAnsi="宋体" w:cs="宋体"/>
          <w:sz w:val="24"/>
        </w:rPr>
        <w:t>3.2.2 修缮、装修类项目采购建材的，采购人应将绿色建筑和绿色建材性能、指标等作为实质性条件纳入招标文件和合同。</w:t>
      </w:r>
    </w:p>
    <w:p>
      <w:pPr>
        <w:spacing w:line="360" w:lineRule="auto"/>
        <w:ind w:firstLine="480" w:firstLineChars="200"/>
        <w:rPr>
          <w:rFonts w:ascii="宋体" w:hAnsi="宋体" w:cs="宋体"/>
          <w:sz w:val="24"/>
        </w:rPr>
      </w:pPr>
      <w:r>
        <w:rPr>
          <w:rFonts w:hint="eastAsia" w:ascii="宋体" w:hAnsi="宋体" w:cs="宋体"/>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r>
        <w:rPr>
          <w:rFonts w:hint="eastAsia" w:ascii="宋体" w:hAnsi="宋体" w:cs="宋体"/>
          <w:sz w:val="24"/>
          <w:highlight w:val="none"/>
        </w:rPr>
        <w:t>鼓励采购单位优先采购秸秆环保板材等资源综合利用产品。鼓励采购单位优先采购绿色物流配送服务、提供新能源交通工具的租赁服务。</w:t>
      </w:r>
    </w:p>
    <w:p>
      <w:pPr>
        <w:spacing w:line="360" w:lineRule="auto"/>
        <w:ind w:firstLine="480" w:firstLineChars="200"/>
        <w:rPr>
          <w:rFonts w:ascii="宋体" w:hAnsi="宋体" w:cs="宋体"/>
          <w:sz w:val="24"/>
        </w:rPr>
      </w:pPr>
      <w:r>
        <w:rPr>
          <w:rFonts w:ascii="宋体" w:hAnsi="宋体" w:cs="宋体"/>
          <w:sz w:val="24"/>
          <w:highlight w:val="none"/>
        </w:rPr>
        <w:t xml:space="preserve">3.2.4 </w:t>
      </w:r>
      <w:r>
        <w:rPr>
          <w:rFonts w:hint="eastAsia" w:ascii="宋体" w:hAnsi="宋体" w:cs="宋体"/>
          <w:sz w:val="24"/>
          <w:highlight w:val="none"/>
        </w:rPr>
        <w:t>鼓励供应商在参加政府采购过程中开展绿色设计、选择绿色材料、打造绿色制造工艺、开展绿色运输、做好废弃产品回收处理，实现产品全周期的绿色环保。鼓励采购单位对其提高预付款比例、免收履约保证金。</w:t>
      </w:r>
    </w:p>
    <w:p>
      <w:pPr>
        <w:spacing w:line="360" w:lineRule="auto"/>
        <w:ind w:firstLine="240" w:firstLineChars="100"/>
        <w:rPr>
          <w:rFonts w:ascii="宋体" w:hAnsi="宋体" w:cs="宋体"/>
          <w:sz w:val="24"/>
        </w:rPr>
      </w:pPr>
      <w:r>
        <w:rPr>
          <w:rFonts w:hint="eastAsia" w:ascii="宋体" w:hAnsi="宋体" w:cs="宋体"/>
          <w:sz w:val="24"/>
        </w:rPr>
        <w:t>3.3支持中小企业发展</w:t>
      </w:r>
    </w:p>
    <w:p>
      <w:pPr>
        <w:spacing w:line="360" w:lineRule="auto"/>
        <w:ind w:firstLine="480" w:firstLineChars="200"/>
        <w:rPr>
          <w:rFonts w:ascii="宋体" w:hAnsi="宋体" w:cs="宋体"/>
          <w:sz w:val="24"/>
        </w:rPr>
      </w:pPr>
      <w:r>
        <w:rPr>
          <w:rFonts w:hint="eastAsia" w:ascii="宋体" w:hAnsi="宋体" w:cs="宋体"/>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ascii="宋体" w:hAnsi="宋体" w:cs="宋体"/>
          <w:sz w:val="24"/>
        </w:rPr>
      </w:pPr>
      <w:r>
        <w:rPr>
          <w:rFonts w:hint="eastAsia" w:ascii="宋体" w:hAnsi="宋体" w:cs="宋体"/>
          <w:sz w:val="24"/>
        </w:rPr>
        <w:t>符合中小企业划分标准的个体工商户，在政府采购活动中视同中小企业。</w:t>
      </w:r>
    </w:p>
    <w:p>
      <w:pPr>
        <w:widowControl/>
        <w:spacing w:line="360" w:lineRule="auto"/>
        <w:ind w:firstLine="480" w:firstLineChars="200"/>
        <w:jc w:val="left"/>
        <w:rPr>
          <w:rFonts w:ascii="宋体" w:hAnsi="宋体" w:cs="宋体"/>
          <w:kern w:val="0"/>
          <w:sz w:val="24"/>
        </w:rPr>
      </w:pPr>
      <w:r>
        <w:rPr>
          <w:rFonts w:ascii="宋体" w:hAnsi="宋体" w:cs="宋体"/>
          <w:bCs/>
          <w:sz w:val="24"/>
        </w:rPr>
        <w:t>3.3.2</w:t>
      </w:r>
      <w:r>
        <w:rPr>
          <w:rFonts w:hint="eastAsia" w:ascii="宋体" w:hAnsi="宋体" w:cs="宋体"/>
          <w:kern w:val="0"/>
          <w:sz w:val="24"/>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ascii="宋体" w:hAnsi="宋体" w:cs="宋体"/>
          <w:sz w:val="24"/>
        </w:rPr>
      </w:pPr>
      <w:r>
        <w:rPr>
          <w:rFonts w:hint="eastAsia" w:ascii="宋体" w:hAnsi="宋体" w:cs="宋体"/>
          <w:sz w:val="24"/>
        </w:rPr>
        <w:t>3.3.3对于未预留份额专门面向中小企业的政府采购服务项目，以及预留份额政府采购服务项目中的非预留部分标项，对小</w:t>
      </w:r>
      <w:r>
        <w:rPr>
          <w:rFonts w:hint="eastAsia" w:ascii="宋体" w:hAnsi="宋体" w:cs="宋体"/>
          <w:sz w:val="24"/>
          <w:highlight w:val="none"/>
        </w:rPr>
        <w:t>型和微型企业的投标报价给予10%-</w:t>
      </w:r>
      <w:r>
        <w:rPr>
          <w:rFonts w:ascii="宋体" w:hAnsi="宋体" w:cs="宋体"/>
          <w:sz w:val="24"/>
          <w:highlight w:val="none"/>
        </w:rPr>
        <w:t>20</w:t>
      </w:r>
      <w:r>
        <w:rPr>
          <w:rFonts w:hint="eastAsia" w:ascii="宋体" w:hAnsi="宋体" w:cs="宋体"/>
          <w:sz w:val="24"/>
          <w:highlight w:val="none"/>
        </w:rPr>
        <w:t>%的扣除（</w:t>
      </w:r>
      <w:r>
        <w:rPr>
          <w:rFonts w:hint="eastAsia" w:ascii="宋体" w:hAnsi="宋体" w:cs="宋体"/>
          <w:snapToGrid w:val="0"/>
          <w:kern w:val="28"/>
          <w:sz w:val="24"/>
          <w:highlight w:val="none"/>
        </w:rPr>
        <w:t>招标文件第四部分</w:t>
      </w:r>
      <w:r>
        <w:rPr>
          <w:rFonts w:hint="eastAsia" w:ascii="宋体" w:hAnsi="宋体" w:cs="宋体"/>
          <w:sz w:val="24"/>
          <w:highlight w:val="none"/>
          <w:u w:val="single"/>
        </w:rPr>
        <w:t>评标办分法明确具体的扣除比例，未明确的，</w:t>
      </w:r>
      <w:r>
        <w:rPr>
          <w:rFonts w:hint="eastAsia" w:ascii="宋体" w:hAnsi="宋体" w:cs="宋体"/>
          <w:sz w:val="24"/>
          <w:highlight w:val="none"/>
        </w:rPr>
        <w:t>给予</w:t>
      </w:r>
      <w:r>
        <w:rPr>
          <w:rFonts w:ascii="宋体" w:hAnsi="宋体" w:cs="宋体"/>
          <w:sz w:val="24"/>
          <w:highlight w:val="none"/>
        </w:rPr>
        <w:t>20</w:t>
      </w:r>
      <w:r>
        <w:rPr>
          <w:rFonts w:hint="eastAsia" w:ascii="宋体" w:hAnsi="宋体" w:cs="宋体"/>
          <w:sz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sz w:val="24"/>
          <w:highlight w:val="none"/>
        </w:rPr>
        <w:t>6</w:t>
      </w:r>
      <w:r>
        <w:rPr>
          <w:rFonts w:hint="eastAsia" w:ascii="宋体" w:hAnsi="宋体" w:cs="宋体"/>
          <w:sz w:val="24"/>
          <w:highlight w:val="none"/>
        </w:rPr>
        <w:t>%（</w:t>
      </w:r>
      <w:r>
        <w:rPr>
          <w:rFonts w:hint="eastAsia" w:ascii="宋体" w:hAnsi="宋体" w:cs="宋体"/>
          <w:snapToGrid w:val="0"/>
          <w:kern w:val="28"/>
          <w:sz w:val="24"/>
          <w:highlight w:val="none"/>
        </w:rPr>
        <w:t>招标文件第四部分</w:t>
      </w:r>
      <w:r>
        <w:rPr>
          <w:rFonts w:hint="eastAsia" w:ascii="宋体" w:hAnsi="宋体" w:cs="宋体"/>
          <w:sz w:val="24"/>
          <w:highlight w:val="none"/>
          <w:u w:val="single"/>
        </w:rPr>
        <w:t>评标办分法明确具体的扣除比例，未明确的，</w:t>
      </w:r>
      <w:r>
        <w:rPr>
          <w:rFonts w:hint="eastAsia" w:ascii="宋体" w:hAnsi="宋体" w:cs="宋体"/>
          <w:sz w:val="24"/>
          <w:highlight w:val="none"/>
        </w:rPr>
        <w:t>给予6%的扣除）的扣除，用扣除后的价格参加评审。组成联合体或者接受分包的小微企业与联合体内其他企业、分包企业之间存在直接控股、管理关</w:t>
      </w:r>
      <w:r>
        <w:rPr>
          <w:rFonts w:hint="eastAsia" w:ascii="宋体" w:hAnsi="宋体" w:cs="宋体"/>
          <w:sz w:val="24"/>
        </w:rPr>
        <w:t>系的，不享受价格扣除优惠政策。3.3.4符合《关于促进残疾人就业政府采购政策的通知》（财库〔2017〕141号）规定的条件并提供《残疾人福利性单位声明函》（附件1）的残疾人福利性单位视同小型、微型企业；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ascii="宋体" w:hAnsi="宋体" w:cs="宋体"/>
          <w:sz w:val="24"/>
        </w:rPr>
      </w:pPr>
      <w:r>
        <w:rPr>
          <w:rFonts w:hint="eastAsia" w:ascii="宋体" w:hAnsi="宋体" w:cs="宋体"/>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ascii="宋体" w:hAnsi="宋体" w:cs="宋体"/>
          <w:sz w:val="24"/>
        </w:rPr>
      </w:pPr>
      <w:r>
        <w:rPr>
          <w:rFonts w:hint="eastAsia" w:ascii="宋体" w:hAnsi="宋体" w:cs="宋体"/>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ascii="宋体" w:hAnsi="宋体" w:cs="宋体"/>
          <w:sz w:val="24"/>
        </w:rPr>
      </w:pPr>
      <w:r>
        <w:rPr>
          <w:rFonts w:hint="eastAsia" w:ascii="宋体" w:hAnsi="宋体" w:cs="宋体"/>
          <w:sz w:val="24"/>
        </w:rPr>
        <w:t>3.3.7中小企业享受扶持政策获得政府采购合同的，小微企业不得将合同分包给大中型企业，中型企业不得将合同分包给大型企业。</w:t>
      </w:r>
    </w:p>
    <w:p>
      <w:pPr>
        <w:spacing w:line="360" w:lineRule="auto"/>
        <w:ind w:firstLine="240" w:firstLineChars="100"/>
        <w:rPr>
          <w:rFonts w:ascii="宋体" w:hAnsi="宋体" w:cs="宋体"/>
          <w:sz w:val="24"/>
        </w:rPr>
      </w:pPr>
      <w:r>
        <w:rPr>
          <w:rFonts w:hint="eastAsia" w:ascii="宋体" w:hAnsi="宋体" w:cs="宋体"/>
          <w:sz w:val="24"/>
        </w:rPr>
        <w:t>3.4</w:t>
      </w:r>
      <w:r>
        <w:rPr>
          <w:rFonts w:hint="eastAsia" w:ascii="宋体" w:hAnsi="宋体" w:cs="宋体"/>
          <w:bCs/>
          <w:sz w:val="24"/>
        </w:rPr>
        <w:t>支持创新发展</w:t>
      </w:r>
    </w:p>
    <w:p>
      <w:pPr>
        <w:spacing w:line="360" w:lineRule="auto"/>
        <w:ind w:firstLine="480" w:firstLineChars="200"/>
        <w:rPr>
          <w:rFonts w:ascii="宋体" w:hAnsi="宋体" w:cs="宋体"/>
          <w:sz w:val="24"/>
        </w:rPr>
      </w:pPr>
      <w:r>
        <w:rPr>
          <w:rFonts w:hint="eastAsia" w:ascii="宋体" w:hAnsi="宋体" w:cs="宋体"/>
          <w:sz w:val="24"/>
        </w:rPr>
        <w:t>3.4.1 采购人优先采购被认定为首台套产品和“制造精品”的自主创新产品。</w:t>
      </w:r>
    </w:p>
    <w:p>
      <w:pPr>
        <w:spacing w:line="360" w:lineRule="auto"/>
        <w:ind w:firstLine="480" w:firstLineChars="200"/>
        <w:rPr>
          <w:rFonts w:ascii="宋体" w:hAnsi="宋体" w:cs="宋体"/>
          <w:sz w:val="24"/>
        </w:rPr>
      </w:pPr>
      <w:r>
        <w:rPr>
          <w:rFonts w:hint="eastAsia" w:ascii="宋体" w:hAnsi="宋体" w:cs="宋体"/>
          <w:sz w:val="24"/>
        </w:rPr>
        <w:t>3.4.2首台套产品被纳入《首台套产品推广应用指导目录》之日起</w:t>
      </w:r>
      <w:r>
        <w:rPr>
          <w:rFonts w:ascii="宋体" w:hAnsi="宋体" w:cs="宋体"/>
          <w:sz w:val="24"/>
        </w:rPr>
        <w:t>3</w:t>
      </w:r>
      <w:r>
        <w:rPr>
          <w:rFonts w:hint="eastAsia" w:ascii="宋体" w:hAnsi="宋体" w:cs="宋体"/>
          <w:sz w:val="24"/>
        </w:rPr>
        <w:t>年内，以及产品核心技术高于国内领先水平，并具有明晰自主知识产权的“制造精品”产品，自认定之日起2年内视同已具备相应销售业绩，参加政府采购活动时业绩分值为满分。</w:t>
      </w:r>
    </w:p>
    <w:p>
      <w:pPr>
        <w:spacing w:line="360" w:lineRule="auto"/>
        <w:rPr>
          <w:rFonts w:ascii="宋体" w:hAnsi="宋体" w:cs="宋体"/>
          <w:sz w:val="24"/>
        </w:rPr>
      </w:pPr>
      <w:r>
        <w:rPr>
          <w:rFonts w:hint="eastAsia" w:ascii="宋体" w:hAnsi="宋体" w:cs="宋体"/>
          <w:sz w:val="24"/>
        </w:rPr>
        <w:t>3.5平等对待内外资企业和符合条件的破产重整企业</w:t>
      </w:r>
    </w:p>
    <w:p>
      <w:pPr>
        <w:spacing w:line="360" w:lineRule="auto"/>
        <w:ind w:firstLine="240" w:firstLineChars="100"/>
        <w:rPr>
          <w:rFonts w:ascii="宋体" w:hAnsi="宋体" w:cs="宋体"/>
          <w:b/>
          <w:sz w:val="24"/>
        </w:rPr>
      </w:pPr>
      <w:r>
        <w:rPr>
          <w:rFonts w:hint="eastAsia" w:ascii="宋体" w:hAnsi="宋体" w:cs="宋体"/>
          <w:sz w:val="24"/>
        </w:rPr>
        <w:t>平等对待内外资企业和符合条件的破产重整企业，切实保障企业公平竞争，平等维护企业的合法利益。</w:t>
      </w:r>
      <w:r>
        <w:rPr>
          <w:rFonts w:hint="eastAsia" w:ascii="宋体" w:hAnsi="宋体" w:cs="宋体"/>
          <w:sz w:val="24"/>
        </w:rPr>
        <w:cr/>
      </w:r>
      <w:r>
        <w:rPr>
          <w:rFonts w:hint="eastAsia" w:ascii="宋体" w:hAnsi="宋体" w:cs="宋体"/>
          <w:b/>
          <w:sz w:val="24"/>
        </w:rPr>
        <w:t>4. 询问、质疑、投诉</w:t>
      </w:r>
    </w:p>
    <w:p>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4.2供应商询问</w:t>
      </w:r>
    </w:p>
    <w:p>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240" w:firstLineChars="100"/>
        <w:jc w:val="left"/>
        <w:rPr>
          <w:rFonts w:ascii="宋体" w:hAnsi="宋体" w:cs="宋体"/>
          <w:kern w:val="0"/>
          <w:sz w:val="24"/>
          <w:lang w:val="zh-CN"/>
        </w:rPr>
      </w:pPr>
      <w:r>
        <w:rPr>
          <w:rFonts w:hint="eastAsia" w:ascii="宋体" w:hAnsi="宋体" w:cs="宋体"/>
          <w:kern w:val="0"/>
          <w:sz w:val="24"/>
          <w:lang w:val="zh-CN"/>
        </w:rPr>
        <w:t>4.3供应商质疑</w:t>
      </w:r>
    </w:p>
    <w:p>
      <w:pPr>
        <w:pStyle w:val="34"/>
        <w:spacing w:line="360" w:lineRule="auto"/>
        <w:ind w:firstLine="480" w:firstLineChars="200"/>
        <w:rPr>
          <w:rFonts w:hAnsi="宋体" w:cs="宋体"/>
          <w:sz w:val="24"/>
        </w:rPr>
      </w:pPr>
      <w:r>
        <w:rPr>
          <w:rFonts w:hint="eastAsia" w:hAnsi="宋体" w:cs="宋体"/>
          <w:kern w:val="0"/>
          <w:sz w:val="24"/>
          <w:lang w:val="zh-CN"/>
        </w:rPr>
        <w:t>4.3</w:t>
      </w:r>
      <w:r>
        <w:rPr>
          <w:rFonts w:hint="eastAsia" w:hAnsi="宋体" w:cs="宋体"/>
          <w:sz w:val="24"/>
        </w:rPr>
        <w:t>.1提出质疑的供应商应当是参与所质疑项目采购活动的供应商。潜在供应商已依法获取其可质疑的招标文件的，可以对该文件提出质疑。</w:t>
      </w:r>
    </w:p>
    <w:p>
      <w:pPr>
        <w:pStyle w:val="34"/>
        <w:spacing w:line="360" w:lineRule="auto"/>
        <w:ind w:firstLine="480" w:firstLineChars="200"/>
        <w:rPr>
          <w:rFonts w:hAnsi="宋体" w:cs="宋体"/>
          <w:sz w:val="24"/>
        </w:rPr>
      </w:pPr>
      <w:r>
        <w:rPr>
          <w:rFonts w:hint="eastAsia" w:hAnsi="宋体" w:cs="宋体"/>
          <w:kern w:val="0"/>
          <w:sz w:val="24"/>
          <w:lang w:val="zh-CN"/>
        </w:rPr>
        <w:t>4.3</w:t>
      </w:r>
      <w:r>
        <w:rPr>
          <w:rFonts w:hint="eastAsia" w:hAnsi="宋体" w:cs="宋体"/>
          <w:sz w:val="24"/>
        </w:rPr>
        <w:t>.2供应商认为招标文件、采购过程和中标结果使自己的权益受到损害的，可以在知道或者应知其权益受到损害之日起七个工作日内，以书面形式向采购人或者</w:t>
      </w:r>
      <w:r>
        <w:rPr>
          <w:rFonts w:hint="eastAsia" w:hAnsi="宋体" w:cs="宋体"/>
          <w:sz w:val="24"/>
          <w:lang w:eastAsia="zh-CN"/>
        </w:rPr>
        <w:t>采购代理机构</w:t>
      </w:r>
      <w:r>
        <w:rPr>
          <w:rFonts w:hint="eastAsia" w:hAnsi="宋体" w:cs="宋体"/>
          <w:sz w:val="24"/>
        </w:rPr>
        <w:t>提出质疑，否则，采购人或者</w:t>
      </w:r>
      <w:r>
        <w:rPr>
          <w:rFonts w:hint="eastAsia" w:hAnsi="宋体" w:cs="宋体"/>
          <w:sz w:val="24"/>
          <w:lang w:eastAsia="zh-CN"/>
        </w:rPr>
        <w:t>采购代理机构</w:t>
      </w:r>
      <w:r>
        <w:rPr>
          <w:rFonts w:hint="eastAsia" w:hAnsi="宋体" w:cs="宋体"/>
          <w:sz w:val="24"/>
        </w:rPr>
        <w:t>不予受理：</w:t>
      </w:r>
    </w:p>
    <w:p>
      <w:pPr>
        <w:pStyle w:val="6"/>
        <w:spacing w:line="360" w:lineRule="auto"/>
        <w:ind w:firstLine="480" w:firstLineChars="200"/>
        <w:rPr>
          <w:rFonts w:hAnsi="宋体" w:cs="宋体"/>
          <w:snapToGrid/>
          <w:color w:val="auto"/>
          <w:kern w:val="2"/>
          <w:sz w:val="24"/>
        </w:rPr>
      </w:pPr>
      <w:r>
        <w:rPr>
          <w:rFonts w:hint="eastAsia" w:hAnsi="宋体" w:cs="宋体"/>
          <w:snapToGrid/>
          <w:color w:val="auto"/>
          <w:kern w:val="2"/>
          <w:sz w:val="24"/>
        </w:rPr>
        <w:t>4.3.2.1对招标文件提出质疑的，质疑期限为供应商获得招标文件之日或者招标文件公告期限届满之日起计算。</w:t>
      </w:r>
    </w:p>
    <w:p>
      <w:pPr>
        <w:pStyle w:val="34"/>
        <w:spacing w:line="360" w:lineRule="auto"/>
        <w:ind w:left="479" w:leftChars="228"/>
        <w:rPr>
          <w:rFonts w:hAnsi="宋体" w:cs="宋体"/>
          <w:sz w:val="24"/>
        </w:rPr>
      </w:pPr>
      <w:r>
        <w:rPr>
          <w:rFonts w:hint="eastAsia" w:hAnsi="宋体" w:cs="宋体"/>
          <w:sz w:val="24"/>
        </w:rPr>
        <w:t>4.3.2.2对采购过程提出质疑的，质疑期限为各采购程序环节结束之日起计算。4.3.2.3对采购结果提出质疑的，质疑期限自采购结果公告期限届满之日起计算。</w:t>
      </w:r>
    </w:p>
    <w:p>
      <w:pPr>
        <w:pStyle w:val="34"/>
        <w:spacing w:line="360" w:lineRule="auto"/>
        <w:ind w:firstLine="480" w:firstLineChars="200"/>
        <w:rPr>
          <w:rFonts w:hAnsi="宋体" w:cs="宋体"/>
          <w:kern w:val="0"/>
          <w:sz w:val="24"/>
          <w:lang w:val="zh-CN"/>
        </w:rPr>
      </w:pPr>
      <w:r>
        <w:rPr>
          <w:rFonts w:hint="eastAsia" w:hAnsi="宋体" w:cs="宋体"/>
          <w:kern w:val="0"/>
          <w:sz w:val="24"/>
          <w:lang w:val="zh-CN"/>
        </w:rPr>
        <w:t>4.3.3</w:t>
      </w:r>
      <w:r>
        <w:rPr>
          <w:rFonts w:hint="eastAsia" w:hAnsi="宋体" w:cs="宋体"/>
          <w:sz w:val="24"/>
        </w:rPr>
        <w:t>供应商提出质疑应当提交质疑函和必要的证明材料。质疑函应当包括下列内容：</w:t>
      </w:r>
    </w:p>
    <w:p>
      <w:pPr>
        <w:pStyle w:val="34"/>
        <w:spacing w:line="360" w:lineRule="auto"/>
        <w:ind w:firstLine="480" w:firstLineChars="200"/>
        <w:rPr>
          <w:rFonts w:hAnsi="宋体" w:cs="宋体"/>
          <w:kern w:val="0"/>
          <w:sz w:val="24"/>
          <w:lang w:val="zh-CN"/>
        </w:rPr>
      </w:pPr>
      <w:r>
        <w:rPr>
          <w:rFonts w:hint="eastAsia" w:hAnsi="宋体" w:cs="宋体"/>
          <w:kern w:val="0"/>
          <w:sz w:val="24"/>
          <w:lang w:val="zh-CN"/>
        </w:rPr>
        <w:t>　　4.3.3.1供应商的姓名或者名称、地址、邮编、联系人及联系电话；</w:t>
      </w:r>
    </w:p>
    <w:p>
      <w:pPr>
        <w:pStyle w:val="34"/>
        <w:spacing w:line="360" w:lineRule="auto"/>
        <w:ind w:firstLine="480" w:firstLineChars="200"/>
        <w:rPr>
          <w:rFonts w:hAnsi="宋体" w:cs="宋体"/>
          <w:kern w:val="0"/>
          <w:sz w:val="24"/>
          <w:lang w:val="zh-CN"/>
        </w:rPr>
      </w:pPr>
      <w:r>
        <w:rPr>
          <w:rFonts w:hint="eastAsia" w:hAnsi="宋体" w:cs="宋体"/>
          <w:kern w:val="0"/>
          <w:sz w:val="24"/>
          <w:lang w:val="zh-CN"/>
        </w:rPr>
        <w:t>　　4.3.3.2质疑项目的名称、编号；</w:t>
      </w:r>
    </w:p>
    <w:p>
      <w:pPr>
        <w:pStyle w:val="34"/>
        <w:spacing w:line="360" w:lineRule="auto"/>
        <w:ind w:firstLine="480" w:firstLineChars="200"/>
        <w:rPr>
          <w:rFonts w:hAnsi="宋体" w:cs="宋体"/>
          <w:kern w:val="0"/>
          <w:sz w:val="24"/>
          <w:lang w:val="zh-CN"/>
        </w:rPr>
      </w:pPr>
      <w:r>
        <w:rPr>
          <w:rFonts w:hint="eastAsia" w:hAnsi="宋体" w:cs="宋体"/>
          <w:kern w:val="0"/>
          <w:sz w:val="24"/>
          <w:lang w:val="zh-CN"/>
        </w:rPr>
        <w:t>　　4.3.3.3具体、明确的质疑事项和与质疑事项相关的请求；</w:t>
      </w:r>
    </w:p>
    <w:p>
      <w:pPr>
        <w:pStyle w:val="34"/>
        <w:spacing w:line="360" w:lineRule="auto"/>
        <w:ind w:firstLine="480" w:firstLineChars="200"/>
        <w:rPr>
          <w:rFonts w:hAnsi="宋体" w:cs="宋体"/>
          <w:kern w:val="0"/>
          <w:sz w:val="24"/>
          <w:lang w:val="zh-CN"/>
        </w:rPr>
      </w:pPr>
      <w:r>
        <w:rPr>
          <w:rFonts w:hint="eastAsia" w:hAnsi="宋体" w:cs="宋体"/>
          <w:kern w:val="0"/>
          <w:sz w:val="24"/>
          <w:lang w:val="zh-CN"/>
        </w:rPr>
        <w:t>　　4.3.3.4事实依据；</w:t>
      </w:r>
    </w:p>
    <w:p>
      <w:pPr>
        <w:pStyle w:val="34"/>
        <w:spacing w:line="360" w:lineRule="auto"/>
        <w:ind w:firstLine="480" w:firstLineChars="200"/>
        <w:rPr>
          <w:rFonts w:hAnsi="宋体" w:cs="宋体"/>
          <w:kern w:val="0"/>
          <w:sz w:val="24"/>
          <w:lang w:val="zh-CN"/>
        </w:rPr>
      </w:pPr>
      <w:r>
        <w:rPr>
          <w:rFonts w:hint="eastAsia" w:hAnsi="宋体" w:cs="宋体"/>
          <w:kern w:val="0"/>
          <w:sz w:val="24"/>
          <w:lang w:val="zh-CN"/>
        </w:rPr>
        <w:t>　　4.3.3.5必要的法律依据；</w:t>
      </w:r>
    </w:p>
    <w:p>
      <w:pPr>
        <w:pStyle w:val="34"/>
        <w:spacing w:line="360" w:lineRule="auto"/>
        <w:ind w:firstLine="960" w:firstLineChars="400"/>
        <w:rPr>
          <w:rFonts w:hAnsi="宋体" w:cs="宋体"/>
          <w:kern w:val="0"/>
          <w:sz w:val="24"/>
          <w:lang w:val="zh-CN"/>
        </w:rPr>
      </w:pPr>
      <w:r>
        <w:rPr>
          <w:rFonts w:hint="eastAsia" w:hAnsi="宋体" w:cs="宋体"/>
          <w:kern w:val="0"/>
          <w:sz w:val="24"/>
          <w:lang w:val="zh-CN"/>
        </w:rPr>
        <w:t>4.3.3.6提出质疑的日期。</w:t>
      </w:r>
    </w:p>
    <w:p>
      <w:pPr>
        <w:pStyle w:val="887"/>
        <w:shd w:val="clear" w:color="auto" w:fill="FFFFFF"/>
        <w:snapToGrid w:val="0"/>
        <w:spacing w:after="240" w:afterAutospacing="0" w:line="360" w:lineRule="auto"/>
        <w:ind w:firstLine="400"/>
        <w:contextualSpacing/>
      </w:pPr>
      <w:r>
        <w:rPr>
          <w:rFonts w:hint="eastAsia"/>
        </w:rPr>
        <w:t>供应商提交的质疑函需一式三份。供应商为自然人的，应当由本人签字；供应商为法人或者其他组织的，应当由法定代表人、主要负责人，或者其授权代表签字或者盖章，并加盖公章。</w:t>
      </w:r>
    </w:p>
    <w:p>
      <w:pPr>
        <w:pStyle w:val="887"/>
        <w:shd w:val="clear" w:color="auto" w:fill="FFFFFF"/>
        <w:snapToGrid w:val="0"/>
        <w:spacing w:after="240" w:afterAutospacing="0" w:line="360" w:lineRule="auto"/>
        <w:ind w:firstLine="400"/>
        <w:contextualSpacing/>
      </w:pPr>
      <w:r>
        <w:rPr>
          <w:rFonts w:hint="eastAsia"/>
        </w:rPr>
        <w:t>质疑函范本及制作说明详见附件2。</w:t>
      </w:r>
    </w:p>
    <w:p>
      <w:pPr>
        <w:pStyle w:val="887"/>
        <w:shd w:val="clear" w:color="auto" w:fill="FFFFFF"/>
        <w:snapToGrid w:val="0"/>
        <w:spacing w:after="240" w:afterAutospacing="0" w:line="360" w:lineRule="auto"/>
        <w:ind w:firstLine="400"/>
        <w:contextualSpacing/>
      </w:pPr>
      <w:r>
        <w:rPr>
          <w:rFonts w:hint="eastAsia"/>
        </w:rPr>
        <w:t>4.3.4对同一采购程序环节的质疑，供应商须在法定质疑期内一次性提出。</w:t>
      </w:r>
    </w:p>
    <w:p>
      <w:pPr>
        <w:pStyle w:val="887"/>
        <w:shd w:val="clear" w:color="auto" w:fill="FFFFFF"/>
        <w:snapToGrid w:val="0"/>
        <w:spacing w:after="240" w:afterAutospacing="0" w:line="360" w:lineRule="auto"/>
        <w:ind w:firstLine="400"/>
        <w:contextualSpacing/>
      </w:pPr>
      <w:r>
        <w:rPr>
          <w:rFonts w:hint="eastAsia"/>
          <w:lang w:val="zh-CN"/>
        </w:rPr>
        <w:t>4.3</w:t>
      </w:r>
      <w:r>
        <w:rPr>
          <w:rFonts w:hint="eastAsia"/>
        </w:rPr>
        <w:t>.5采购人或者</w:t>
      </w:r>
      <w:r>
        <w:rPr>
          <w:rFonts w:hint="eastAsia"/>
          <w:lang w:eastAsia="zh-CN"/>
        </w:rPr>
        <w:t>采购代理机构</w:t>
      </w:r>
      <w:r>
        <w:rPr>
          <w:rFonts w:hint="eastAsia"/>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w:t>
      </w:r>
      <w:r>
        <w:rPr>
          <w:rFonts w:hint="eastAsia"/>
          <w:lang w:eastAsia="zh-CN"/>
        </w:rPr>
        <w:t>采购代理机构</w:t>
      </w:r>
      <w:r>
        <w:rPr>
          <w:rFonts w:hint="eastAsia"/>
        </w:rPr>
        <w:t>在质疑回复后5个工作日内，在浙江政府采购网的“其他公告”栏目公开质疑答复，答复内容应当完整。质疑函作为附件上传。</w:t>
      </w:r>
    </w:p>
    <w:p>
      <w:pPr>
        <w:pStyle w:val="887"/>
        <w:shd w:val="clear" w:color="auto" w:fill="FFFFFF"/>
        <w:snapToGrid w:val="0"/>
        <w:spacing w:after="240" w:afterAutospacing="0" w:line="360" w:lineRule="auto"/>
        <w:ind w:firstLine="400"/>
        <w:contextualSpacing/>
      </w:pPr>
      <w:r>
        <w:rPr>
          <w:rFonts w:hint="eastAsia"/>
          <w:lang w:val="zh-CN"/>
        </w:rPr>
        <w:t>4.3</w:t>
      </w:r>
      <w:r>
        <w:rPr>
          <w:rFonts w:hint="eastAsia"/>
        </w:rPr>
        <w:t>.6询问或者质疑事项可能影响采购结果的，采购人应当暂停签订合同，已经签订合同的，应当中止履行合同。</w:t>
      </w:r>
    </w:p>
    <w:p>
      <w:pPr>
        <w:pStyle w:val="887"/>
        <w:shd w:val="clear" w:color="auto" w:fill="FFFFFF"/>
        <w:snapToGrid w:val="0"/>
        <w:spacing w:after="240" w:afterAutospacing="0" w:line="360" w:lineRule="auto"/>
        <w:ind w:firstLine="480" w:firstLineChars="200"/>
        <w:contextualSpacing/>
        <w:rPr>
          <w:lang w:val="zh-CN"/>
        </w:rPr>
      </w:pPr>
      <w:r>
        <w:rPr>
          <w:rFonts w:hint="eastAsia"/>
          <w:lang w:val="zh-CN"/>
        </w:rPr>
        <w:t>4.4供应商投诉</w:t>
      </w:r>
    </w:p>
    <w:p>
      <w:pPr>
        <w:pStyle w:val="887"/>
        <w:shd w:val="clear" w:color="auto" w:fill="FFFFFF"/>
        <w:snapToGrid w:val="0"/>
        <w:spacing w:after="240" w:afterAutospacing="0" w:line="360" w:lineRule="auto"/>
        <w:ind w:firstLine="400"/>
        <w:contextualSpacing/>
      </w:pPr>
      <w:r>
        <w:rPr>
          <w:rFonts w:hint="eastAsia"/>
        </w:rPr>
        <w:t>4.4.1质疑供应商对采购人、</w:t>
      </w:r>
      <w:r>
        <w:rPr>
          <w:rFonts w:hint="eastAsia"/>
          <w:lang w:eastAsia="zh-CN"/>
        </w:rPr>
        <w:t>采购代理机构</w:t>
      </w:r>
      <w:r>
        <w:rPr>
          <w:rFonts w:hint="eastAsia"/>
        </w:rPr>
        <w:t>的答复不满意或者采购人、</w:t>
      </w:r>
      <w:r>
        <w:rPr>
          <w:rFonts w:hint="eastAsia"/>
          <w:lang w:eastAsia="zh-CN"/>
        </w:rPr>
        <w:t>采购代理机构</w:t>
      </w:r>
      <w:r>
        <w:rPr>
          <w:rFonts w:hint="eastAsia"/>
        </w:rPr>
        <w:t>未在规定的时间内作出答复的，可以在答复期满后十五个工作日内向同级政府采购监督管理部门提出投诉。</w:t>
      </w:r>
    </w:p>
    <w:p>
      <w:pPr>
        <w:pStyle w:val="887"/>
        <w:shd w:val="clear" w:color="auto" w:fill="FFFFFF"/>
        <w:snapToGrid w:val="0"/>
        <w:spacing w:after="240" w:afterAutospacing="0" w:line="360" w:lineRule="auto"/>
        <w:ind w:firstLine="400"/>
        <w:contextualSpacing/>
      </w:pPr>
      <w:r>
        <w:rPr>
          <w:rFonts w:hint="eastAsia"/>
        </w:rPr>
        <w:t>4.4.</w:t>
      </w:r>
      <w:r>
        <w:rPr>
          <w:rFonts w:hint="eastAsia"/>
          <w:lang w:val="zh-CN"/>
        </w:rPr>
        <w:t>2</w:t>
      </w:r>
      <w:r>
        <w:rPr>
          <w:rFonts w:hint="eastAsia"/>
        </w:rPr>
        <w:t>供应商投诉的事项不得超出已质疑事项的范围，基于质疑答复内容提出的投诉事项除外。</w:t>
      </w:r>
    </w:p>
    <w:p>
      <w:pPr>
        <w:pStyle w:val="887"/>
        <w:shd w:val="clear" w:color="auto" w:fill="FFFFFF"/>
        <w:snapToGrid w:val="0"/>
        <w:spacing w:after="240" w:afterAutospacing="0" w:line="360" w:lineRule="auto"/>
        <w:ind w:firstLine="400"/>
        <w:contextualSpacing/>
      </w:pPr>
      <w:r>
        <w:rPr>
          <w:rFonts w:hint="eastAsia"/>
        </w:rPr>
        <w:t>4.4.3供应商投诉应当有明确的请求和必要的证明材料。</w:t>
      </w:r>
    </w:p>
    <w:p>
      <w:pPr>
        <w:pStyle w:val="887"/>
        <w:shd w:val="clear" w:color="auto" w:fill="FFFFFF"/>
        <w:snapToGrid w:val="0"/>
        <w:spacing w:after="240" w:afterAutospacing="0" w:line="360" w:lineRule="auto"/>
        <w:ind w:firstLine="400"/>
        <w:contextualSpacing/>
      </w:pPr>
      <w:r>
        <w:rPr>
          <w:rFonts w:hint="eastAsia"/>
        </w:rPr>
        <w:t>4.4.4以联合体形式参加政府采购活动的，其投诉应当由组成联合体的所有供应商共同提出。</w:t>
      </w:r>
    </w:p>
    <w:p>
      <w:pPr>
        <w:pStyle w:val="887"/>
        <w:shd w:val="clear" w:color="auto" w:fill="FFFFFF"/>
        <w:snapToGrid w:val="0"/>
        <w:spacing w:after="240" w:afterAutospacing="0" w:line="360" w:lineRule="auto"/>
        <w:ind w:firstLine="400"/>
        <w:contextualSpacing/>
      </w:pPr>
      <w:r>
        <w:rPr>
          <w:rFonts w:hint="eastAsia"/>
        </w:rPr>
        <w:t>4.4.5</w:t>
      </w:r>
      <w:r>
        <w:rPr>
          <w:rFonts w:hint="eastAsia"/>
          <w:highlight w:val="none"/>
        </w:rPr>
        <w:t>根据政府采购行政裁决省市区三级联动试点工作安排，杭州市本级、拱墅区、富阳区政府采购项目投诉材料可寄送至浙江省政府采购行政裁决服务中心（杭州），地址：杭州市上城区四季青街道新业路市民之家G03办公室，收件人：朱女士、王女士，电话：0571-85252453。</w:t>
      </w:r>
    </w:p>
    <w:p>
      <w:pPr>
        <w:pStyle w:val="887"/>
        <w:shd w:val="clear" w:color="auto" w:fill="FFFFFF"/>
        <w:snapToGrid w:val="0"/>
        <w:spacing w:after="240" w:afterAutospacing="0" w:line="360" w:lineRule="auto"/>
        <w:ind w:firstLine="400"/>
        <w:contextualSpacing/>
      </w:pPr>
      <w:r>
        <w:rPr>
          <w:rFonts w:hint="eastAsia"/>
        </w:rPr>
        <w:t>投诉书范本及制作说明详见附件3。</w:t>
      </w:r>
    </w:p>
    <w:p>
      <w:pPr>
        <w:pStyle w:val="128"/>
        <w:snapToGrid w:val="0"/>
        <w:spacing w:before="0"/>
        <w:ind w:firstLine="360"/>
        <w:rPr>
          <w:rFonts w:ascii="宋体" w:hAnsi="宋体" w:cs="宋体"/>
          <w:sz w:val="18"/>
          <w:szCs w:val="18"/>
        </w:rPr>
      </w:pPr>
    </w:p>
    <w:p>
      <w:pPr>
        <w:adjustRightInd/>
        <w:spacing w:line="360" w:lineRule="auto"/>
        <w:jc w:val="center"/>
        <w:outlineLvl w:val="0"/>
        <w:rPr>
          <w:rFonts w:ascii="宋体" w:hAnsi="宋体" w:cs="宋体"/>
          <w:b/>
          <w:sz w:val="32"/>
          <w:szCs w:val="20"/>
        </w:rPr>
      </w:pPr>
      <w:r>
        <w:rPr>
          <w:rFonts w:hint="eastAsia" w:ascii="宋体" w:hAnsi="宋体" w:cs="宋体"/>
          <w:b/>
          <w:sz w:val="32"/>
          <w:szCs w:val="20"/>
        </w:rPr>
        <w:t xml:space="preserve">      二、招标文件的构成、澄清、修改</w:t>
      </w:r>
    </w:p>
    <w:p>
      <w:pPr>
        <w:pStyle w:val="34"/>
        <w:spacing w:line="360" w:lineRule="auto"/>
        <w:rPr>
          <w:rFonts w:hAnsi="宋体" w:cs="宋体"/>
          <w:b/>
          <w:sz w:val="24"/>
          <w:szCs w:val="24"/>
        </w:rPr>
      </w:pPr>
      <w:r>
        <w:rPr>
          <w:rFonts w:hint="eastAsia" w:hAnsi="宋体" w:cs="宋体"/>
          <w:b/>
          <w:sz w:val="24"/>
          <w:szCs w:val="24"/>
        </w:rPr>
        <w:t>5．招标文件的构成</w:t>
      </w:r>
    </w:p>
    <w:p>
      <w:pPr>
        <w:pStyle w:val="34"/>
        <w:spacing w:line="360" w:lineRule="auto"/>
        <w:ind w:firstLine="480" w:firstLineChars="200"/>
        <w:rPr>
          <w:rFonts w:hAnsi="宋体" w:cs="宋体"/>
          <w:sz w:val="24"/>
          <w:szCs w:val="24"/>
        </w:rPr>
      </w:pPr>
      <w:r>
        <w:rPr>
          <w:rFonts w:hint="eastAsia" w:hAnsi="宋体" w:cs="宋体"/>
          <w:sz w:val="24"/>
          <w:szCs w:val="24"/>
        </w:rPr>
        <w:t>5.1 招标文件包括下列文件及附件：</w:t>
      </w:r>
    </w:p>
    <w:p>
      <w:pPr>
        <w:pStyle w:val="34"/>
        <w:tabs>
          <w:tab w:val="left" w:pos="840"/>
        </w:tabs>
        <w:spacing w:line="360" w:lineRule="auto"/>
        <w:ind w:firstLine="960" w:firstLineChars="400"/>
        <w:rPr>
          <w:rFonts w:hAnsi="宋体" w:cs="宋体"/>
          <w:sz w:val="24"/>
          <w:szCs w:val="24"/>
        </w:rPr>
      </w:pPr>
      <w:r>
        <w:rPr>
          <w:rFonts w:hint="eastAsia" w:hAnsi="宋体" w:cs="宋体"/>
          <w:sz w:val="24"/>
          <w:szCs w:val="24"/>
        </w:rPr>
        <w:t>5.1.1招标公告；</w:t>
      </w:r>
    </w:p>
    <w:p>
      <w:pPr>
        <w:pStyle w:val="34"/>
        <w:tabs>
          <w:tab w:val="left" w:pos="840"/>
        </w:tabs>
        <w:spacing w:line="360" w:lineRule="auto"/>
        <w:ind w:firstLine="960" w:firstLineChars="400"/>
        <w:rPr>
          <w:rFonts w:hAnsi="宋体" w:cs="宋体"/>
          <w:sz w:val="24"/>
          <w:szCs w:val="24"/>
        </w:rPr>
      </w:pPr>
      <w:r>
        <w:rPr>
          <w:rFonts w:hint="eastAsia" w:hAnsi="宋体" w:cs="宋体"/>
          <w:sz w:val="24"/>
          <w:szCs w:val="24"/>
        </w:rPr>
        <w:t>5.1.2投标人须知；</w:t>
      </w:r>
    </w:p>
    <w:p>
      <w:pPr>
        <w:pStyle w:val="34"/>
        <w:tabs>
          <w:tab w:val="left" w:pos="840"/>
        </w:tabs>
        <w:spacing w:line="360" w:lineRule="auto"/>
        <w:ind w:firstLine="960" w:firstLineChars="400"/>
        <w:rPr>
          <w:rFonts w:hAnsi="宋体" w:cs="宋体"/>
          <w:sz w:val="24"/>
          <w:szCs w:val="24"/>
        </w:rPr>
      </w:pPr>
      <w:r>
        <w:rPr>
          <w:rFonts w:hint="eastAsia" w:hAnsi="宋体" w:cs="宋体"/>
          <w:sz w:val="24"/>
          <w:szCs w:val="24"/>
        </w:rPr>
        <w:t>5.1.3采购需求；</w:t>
      </w:r>
    </w:p>
    <w:p>
      <w:pPr>
        <w:pStyle w:val="34"/>
        <w:tabs>
          <w:tab w:val="left" w:pos="840"/>
        </w:tabs>
        <w:spacing w:line="360" w:lineRule="auto"/>
        <w:ind w:firstLine="960" w:firstLineChars="400"/>
        <w:rPr>
          <w:rFonts w:hAnsi="宋体" w:cs="宋体"/>
          <w:sz w:val="24"/>
          <w:szCs w:val="24"/>
        </w:rPr>
      </w:pPr>
      <w:r>
        <w:rPr>
          <w:rFonts w:hint="eastAsia" w:hAnsi="宋体" w:cs="宋体"/>
          <w:sz w:val="24"/>
          <w:szCs w:val="24"/>
        </w:rPr>
        <w:t>5.1.4评标办法；</w:t>
      </w:r>
    </w:p>
    <w:p>
      <w:pPr>
        <w:pStyle w:val="34"/>
        <w:tabs>
          <w:tab w:val="left" w:pos="840"/>
        </w:tabs>
        <w:spacing w:line="360" w:lineRule="auto"/>
        <w:ind w:firstLine="960" w:firstLineChars="400"/>
        <w:rPr>
          <w:rFonts w:hAnsi="宋体" w:cs="宋体"/>
          <w:sz w:val="24"/>
          <w:szCs w:val="24"/>
        </w:rPr>
      </w:pPr>
      <w:r>
        <w:rPr>
          <w:rFonts w:hint="eastAsia" w:hAnsi="宋体" w:cs="宋体"/>
          <w:sz w:val="24"/>
          <w:szCs w:val="24"/>
        </w:rPr>
        <w:t>5.1.5拟签订的合同文本；</w:t>
      </w:r>
    </w:p>
    <w:p>
      <w:pPr>
        <w:pStyle w:val="34"/>
        <w:tabs>
          <w:tab w:val="left" w:pos="840"/>
        </w:tabs>
        <w:spacing w:line="360" w:lineRule="auto"/>
        <w:ind w:firstLine="960" w:firstLineChars="400"/>
        <w:rPr>
          <w:rFonts w:hAnsi="宋体" w:cs="宋体"/>
          <w:sz w:val="24"/>
          <w:szCs w:val="24"/>
        </w:rPr>
      </w:pPr>
      <w:r>
        <w:rPr>
          <w:rFonts w:hint="eastAsia" w:hAnsi="宋体" w:cs="宋体"/>
          <w:sz w:val="24"/>
        </w:rPr>
        <w:t>5.1.6</w:t>
      </w:r>
      <w:r>
        <w:rPr>
          <w:rFonts w:hint="eastAsia" w:hAnsi="宋体" w:cs="宋体"/>
          <w:sz w:val="24"/>
          <w:szCs w:val="24"/>
        </w:rPr>
        <w:t>应提交的有关格式范例。</w:t>
      </w:r>
    </w:p>
    <w:p>
      <w:pPr>
        <w:spacing w:line="360" w:lineRule="auto"/>
        <w:ind w:firstLine="480" w:firstLineChars="200"/>
        <w:rPr>
          <w:rFonts w:ascii="宋体" w:hAnsi="宋体" w:cs="宋体"/>
          <w:sz w:val="24"/>
        </w:rPr>
      </w:pPr>
      <w:r>
        <w:rPr>
          <w:rFonts w:hint="eastAsia" w:ascii="宋体" w:hAnsi="宋体" w:cs="宋体"/>
          <w:sz w:val="24"/>
        </w:rPr>
        <w:t>5.2与本项目有关的</w:t>
      </w:r>
      <w:r>
        <w:rPr>
          <w:rFonts w:hint="eastAsia" w:ascii="宋体" w:hAnsi="宋体" w:cs="宋体"/>
          <w:bCs/>
          <w:sz w:val="24"/>
        </w:rPr>
        <w:t>澄清或者修改的内容为招标文件的组成部分</w:t>
      </w:r>
      <w:r>
        <w:rPr>
          <w:rFonts w:hint="eastAsia" w:ascii="宋体" w:hAnsi="宋体" w:cs="宋体"/>
          <w:sz w:val="24"/>
        </w:rPr>
        <w:t>。</w:t>
      </w:r>
    </w:p>
    <w:p>
      <w:pPr>
        <w:pStyle w:val="34"/>
        <w:spacing w:line="360" w:lineRule="auto"/>
        <w:rPr>
          <w:rFonts w:hAnsi="宋体" w:cs="宋体"/>
          <w:b/>
          <w:sz w:val="24"/>
          <w:szCs w:val="24"/>
        </w:rPr>
      </w:pPr>
      <w:r>
        <w:rPr>
          <w:rFonts w:hint="eastAsia" w:hAnsi="宋体" w:cs="宋体"/>
          <w:b/>
          <w:sz w:val="24"/>
          <w:szCs w:val="24"/>
        </w:rPr>
        <w:t>6. 招标文件的澄清、修改</w:t>
      </w:r>
    </w:p>
    <w:p>
      <w:pPr>
        <w:pStyle w:val="128"/>
        <w:snapToGrid w:val="0"/>
        <w:spacing w:before="0"/>
        <w:ind w:firstLine="480"/>
        <w:rPr>
          <w:rFonts w:ascii="宋体" w:hAnsi="宋体" w:cs="宋体"/>
        </w:rPr>
      </w:pPr>
      <w:r>
        <w:rPr>
          <w:rFonts w:hint="eastAsia" w:ascii="宋体" w:hAnsi="宋体" w:cs="宋体"/>
        </w:rPr>
        <w:t>6.1已获取招标文件的潜在投标人，若有问题需要澄清，应于投标截止时间前，以书面形式向</w:t>
      </w:r>
      <w:r>
        <w:rPr>
          <w:rFonts w:hint="eastAsia" w:ascii="宋体" w:hAnsi="宋体" w:cs="宋体"/>
          <w:lang w:eastAsia="zh-CN"/>
        </w:rPr>
        <w:t>采购代理机构</w:t>
      </w:r>
      <w:r>
        <w:rPr>
          <w:rFonts w:hint="eastAsia" w:ascii="宋体" w:hAnsi="宋体" w:cs="宋体"/>
        </w:rPr>
        <w:t>提出。</w:t>
      </w:r>
    </w:p>
    <w:p>
      <w:pPr>
        <w:pStyle w:val="128"/>
        <w:snapToGrid w:val="0"/>
        <w:spacing w:before="0"/>
        <w:ind w:firstLine="480"/>
        <w:rPr>
          <w:rFonts w:ascii="宋体" w:hAnsi="宋体" w:cs="宋体"/>
        </w:rPr>
      </w:pPr>
      <w:r>
        <w:rPr>
          <w:rFonts w:hint="eastAsia" w:ascii="宋体" w:hAnsi="宋体" w:cs="宋体"/>
        </w:rPr>
        <w:t xml:space="preserve">6.2 </w:t>
      </w:r>
      <w:r>
        <w:rPr>
          <w:rFonts w:hint="eastAsia" w:ascii="宋体" w:hAnsi="宋体" w:cs="宋体"/>
          <w:lang w:eastAsia="zh-CN"/>
        </w:rPr>
        <w:t>采购代理机构</w:t>
      </w:r>
      <w:r>
        <w:rPr>
          <w:rFonts w:hint="eastAsia" w:ascii="宋体" w:hAnsi="宋体" w:cs="宋体"/>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24"/>
        <w:rPr>
          <w:rFonts w:hAnsi="宋体" w:cs="宋体"/>
          <w:sz w:val="18"/>
          <w:szCs w:val="18"/>
          <w:lang w:val="en-US"/>
        </w:rPr>
      </w:pPr>
      <w:r>
        <w:rPr>
          <w:rFonts w:hint="eastAsia" w:hAnsi="宋体" w:cs="宋体"/>
          <w:szCs w:val="24"/>
          <w:lang w:val="en-US"/>
        </w:rPr>
        <w:t xml:space="preserve">    </w:t>
      </w:r>
    </w:p>
    <w:p>
      <w:pPr>
        <w:adjustRightInd/>
        <w:spacing w:line="360" w:lineRule="auto"/>
        <w:jc w:val="center"/>
        <w:outlineLvl w:val="0"/>
        <w:rPr>
          <w:rFonts w:ascii="宋体" w:hAnsi="宋体" w:cs="宋体"/>
          <w:b/>
          <w:sz w:val="30"/>
          <w:szCs w:val="20"/>
        </w:rPr>
      </w:pPr>
      <w:r>
        <w:rPr>
          <w:rFonts w:hint="eastAsia" w:ascii="宋体" w:hAnsi="宋体" w:cs="宋体"/>
          <w:b/>
          <w:sz w:val="30"/>
          <w:szCs w:val="20"/>
        </w:rPr>
        <w:t>三、投标</w:t>
      </w:r>
    </w:p>
    <w:p>
      <w:pPr>
        <w:pStyle w:val="34"/>
        <w:spacing w:line="360" w:lineRule="auto"/>
        <w:rPr>
          <w:rFonts w:hAnsi="宋体" w:cs="宋体"/>
          <w:b/>
          <w:sz w:val="24"/>
          <w:szCs w:val="24"/>
        </w:rPr>
      </w:pPr>
      <w:r>
        <w:rPr>
          <w:rFonts w:hint="eastAsia" w:hAnsi="宋体" w:cs="宋体"/>
          <w:b/>
          <w:sz w:val="24"/>
          <w:szCs w:val="24"/>
        </w:rPr>
        <w:t>7. 招标文件的获取</w:t>
      </w:r>
    </w:p>
    <w:p>
      <w:pPr>
        <w:spacing w:line="360" w:lineRule="auto"/>
        <w:ind w:firstLine="480" w:firstLineChars="200"/>
        <w:rPr>
          <w:rFonts w:ascii="宋体" w:hAnsi="宋体" w:cs="宋体"/>
          <w:snapToGrid w:val="0"/>
          <w:kern w:val="28"/>
          <w:sz w:val="24"/>
        </w:rPr>
      </w:pPr>
      <w:r>
        <w:rPr>
          <w:rFonts w:hint="eastAsia" w:ascii="宋体" w:hAnsi="宋体" w:cs="宋体"/>
          <w:snapToGrid w:val="0"/>
          <w:kern w:val="28"/>
          <w:sz w:val="24"/>
        </w:rPr>
        <w:t>详见招标公告中获取招标文件的时间期限、地点、方式及招标文件售价。</w:t>
      </w:r>
    </w:p>
    <w:p>
      <w:pPr>
        <w:pStyle w:val="34"/>
        <w:spacing w:line="360" w:lineRule="auto"/>
        <w:rPr>
          <w:rFonts w:hAnsi="宋体" w:cs="宋体"/>
          <w:b/>
          <w:sz w:val="24"/>
          <w:szCs w:val="24"/>
        </w:rPr>
      </w:pPr>
      <w:r>
        <w:rPr>
          <w:rFonts w:hint="eastAsia" w:hAnsi="宋体" w:cs="宋体"/>
          <w:b/>
          <w:sz w:val="24"/>
          <w:szCs w:val="24"/>
        </w:rPr>
        <w:t>8.开标前答疑会或现场考察</w:t>
      </w:r>
    </w:p>
    <w:p>
      <w:pPr>
        <w:pStyle w:val="34"/>
        <w:spacing w:line="360" w:lineRule="auto"/>
        <w:ind w:firstLine="480" w:firstLineChars="200"/>
        <w:rPr>
          <w:rFonts w:hAnsi="宋体" w:cs="宋体"/>
          <w:sz w:val="24"/>
          <w:szCs w:val="24"/>
        </w:rPr>
      </w:pPr>
      <w:r>
        <w:rPr>
          <w:rFonts w:hint="eastAsia" w:hAnsi="宋体" w:cs="宋体"/>
          <w:sz w:val="24"/>
          <w:szCs w:val="24"/>
        </w:rPr>
        <w:t>采购人组织潜在投标人现场考察或者召开开标前答疑会的，潜在投标人按第二部分投标人须知前附表的规定参加现场考察或者开标前答疑会。</w:t>
      </w:r>
    </w:p>
    <w:p>
      <w:pPr>
        <w:pStyle w:val="34"/>
        <w:spacing w:line="360" w:lineRule="auto"/>
        <w:rPr>
          <w:rFonts w:hAnsi="宋体" w:cs="宋体"/>
          <w:b/>
          <w:szCs w:val="24"/>
        </w:rPr>
      </w:pPr>
      <w:r>
        <w:rPr>
          <w:rFonts w:hint="eastAsia" w:hAnsi="宋体" w:cs="宋体"/>
          <w:b/>
          <w:kern w:val="28"/>
          <w:sz w:val="24"/>
          <w:szCs w:val="24"/>
        </w:rPr>
        <w:t>9.投标保证金</w:t>
      </w:r>
    </w:p>
    <w:p>
      <w:pPr>
        <w:pStyle w:val="6"/>
        <w:spacing w:line="360" w:lineRule="auto"/>
        <w:ind w:firstLine="470" w:firstLineChars="196"/>
        <w:rPr>
          <w:rFonts w:hAnsi="宋体" w:cs="宋体"/>
          <w:color w:val="auto"/>
          <w:sz w:val="24"/>
        </w:rPr>
      </w:pPr>
      <w:r>
        <w:rPr>
          <w:rFonts w:hint="eastAsia" w:hAnsi="宋体" w:cs="宋体"/>
          <w:color w:val="auto"/>
          <w:sz w:val="24"/>
        </w:rPr>
        <w:t>本项目不需缴纳投标保证金。</w:t>
      </w:r>
    </w:p>
    <w:p>
      <w:pPr>
        <w:pStyle w:val="34"/>
        <w:spacing w:line="360" w:lineRule="auto"/>
        <w:rPr>
          <w:rFonts w:hAnsi="宋体" w:cs="宋体"/>
          <w:b/>
          <w:sz w:val="24"/>
          <w:szCs w:val="24"/>
        </w:rPr>
      </w:pPr>
      <w:r>
        <w:rPr>
          <w:rFonts w:hint="eastAsia" w:hAnsi="宋体" w:cs="宋体"/>
          <w:b/>
          <w:sz w:val="24"/>
          <w:szCs w:val="24"/>
        </w:rPr>
        <w:t>10. 投标文件的语言</w:t>
      </w:r>
    </w:p>
    <w:p>
      <w:pPr>
        <w:autoSpaceDE w:val="0"/>
        <w:autoSpaceDN w:val="0"/>
        <w:spacing w:line="360" w:lineRule="auto"/>
        <w:ind w:firstLine="480" w:firstLineChars="200"/>
        <w:rPr>
          <w:rFonts w:ascii="宋体" w:hAnsi="宋体" w:cs="宋体"/>
          <w:sz w:val="24"/>
          <w:lang w:val="zh-CN"/>
        </w:rPr>
      </w:pPr>
      <w:r>
        <w:rPr>
          <w:rFonts w:hint="eastAsia" w:ascii="宋体" w:hAnsi="宋体" w:cs="宋体"/>
          <w:sz w:val="24"/>
        </w:rPr>
        <w:t>投标文件及投标人与采购有关的来往通知、函件和文件均应使用中文。</w:t>
      </w:r>
    </w:p>
    <w:p>
      <w:pPr>
        <w:pStyle w:val="34"/>
        <w:spacing w:line="360" w:lineRule="auto"/>
        <w:rPr>
          <w:rFonts w:hAnsi="宋体" w:cs="宋体"/>
          <w:b/>
          <w:sz w:val="24"/>
          <w:szCs w:val="24"/>
        </w:rPr>
      </w:pPr>
      <w:r>
        <w:rPr>
          <w:rFonts w:hint="eastAsia" w:hAnsi="宋体" w:cs="宋体"/>
          <w:b/>
          <w:sz w:val="24"/>
          <w:szCs w:val="24"/>
        </w:rPr>
        <w:t>11. 投标文件的组成</w:t>
      </w:r>
    </w:p>
    <w:p>
      <w:pPr>
        <w:snapToGrid w:val="0"/>
        <w:spacing w:line="360" w:lineRule="auto"/>
        <w:ind w:firstLine="480" w:firstLineChars="200"/>
        <w:rPr>
          <w:rFonts w:ascii="宋体" w:hAnsi="宋体" w:cs="宋体"/>
          <w:sz w:val="24"/>
        </w:rPr>
      </w:pPr>
      <w:r>
        <w:rPr>
          <w:rFonts w:hint="eastAsia" w:ascii="宋体" w:hAnsi="宋体" w:cs="宋体"/>
          <w:sz w:val="24"/>
        </w:rPr>
        <w:t>11.1</w:t>
      </w:r>
      <w:r>
        <w:rPr>
          <w:rFonts w:hint="eastAsia" w:ascii="宋体" w:hAnsi="宋体" w:cs="宋体"/>
          <w:b/>
          <w:sz w:val="24"/>
        </w:rPr>
        <w:t>资格文件</w:t>
      </w:r>
      <w:r>
        <w:rPr>
          <w:rFonts w:hint="eastAsia" w:ascii="宋体" w:hAnsi="宋体" w:cs="宋体"/>
          <w:sz w:val="24"/>
        </w:rPr>
        <w:t>：</w:t>
      </w:r>
    </w:p>
    <w:p>
      <w:pPr>
        <w:snapToGrid w:val="0"/>
        <w:spacing w:line="360" w:lineRule="auto"/>
        <w:ind w:firstLine="960" w:firstLineChars="400"/>
        <w:rPr>
          <w:rFonts w:ascii="宋体" w:hAnsi="宋体" w:cs="宋体"/>
          <w:color w:val="auto"/>
          <w:sz w:val="24"/>
        </w:rPr>
      </w:pPr>
      <w:r>
        <w:rPr>
          <w:rFonts w:hint="eastAsia" w:ascii="宋体" w:hAnsi="宋体" w:cs="宋体"/>
          <w:sz w:val="24"/>
        </w:rPr>
        <w:t>11.1.1符合</w:t>
      </w:r>
      <w:r>
        <w:rPr>
          <w:rFonts w:hint="eastAsia" w:ascii="宋体" w:hAnsi="宋体" w:cs="宋体"/>
          <w:color w:val="auto"/>
          <w:sz w:val="24"/>
        </w:rPr>
        <w:t>参加政府采购活动应当具备的一般条件的承诺函；</w:t>
      </w:r>
    </w:p>
    <w:p>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w:t>
      </w:r>
      <w:r>
        <w:rPr>
          <w:rFonts w:ascii="宋体" w:hAnsi="宋体" w:cs="宋体"/>
          <w:color w:val="auto"/>
          <w:sz w:val="24"/>
        </w:rPr>
        <w:t>1.1.2</w:t>
      </w:r>
      <w:r>
        <w:rPr>
          <w:rFonts w:hint="eastAsia" w:ascii="宋体" w:hAnsi="宋体" w:cs="宋体"/>
          <w:snapToGrid w:val="0"/>
          <w:color w:val="auto"/>
          <w:kern w:val="28"/>
          <w:sz w:val="24"/>
          <w:szCs w:val="20"/>
        </w:rPr>
        <w:t>联合协议（如果有)；</w:t>
      </w:r>
    </w:p>
    <w:p>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11.1.</w:t>
      </w:r>
      <w:r>
        <w:rPr>
          <w:rFonts w:ascii="宋体" w:hAnsi="宋体" w:cs="宋体"/>
          <w:color w:val="auto"/>
          <w:sz w:val="24"/>
        </w:rPr>
        <w:t>3</w:t>
      </w:r>
      <w:r>
        <w:rPr>
          <w:rFonts w:hint="eastAsia" w:ascii="宋体" w:hAnsi="宋体" w:cs="宋体"/>
          <w:color w:val="auto"/>
          <w:sz w:val="24"/>
        </w:rPr>
        <w:t>落实政府采购政策需满足的资格要求</w:t>
      </w:r>
      <w:r>
        <w:rPr>
          <w:rFonts w:hint="eastAsia" w:ascii="宋体" w:hAnsi="宋体" w:cs="宋体"/>
          <w:snapToGrid w:val="0"/>
          <w:color w:val="auto"/>
          <w:kern w:val="28"/>
          <w:sz w:val="24"/>
          <w:szCs w:val="20"/>
        </w:rPr>
        <w:t>（如果有)</w:t>
      </w:r>
      <w:r>
        <w:rPr>
          <w:rFonts w:hint="eastAsia" w:ascii="宋体" w:hAnsi="宋体" w:cs="宋体"/>
          <w:color w:val="auto"/>
          <w:sz w:val="24"/>
        </w:rPr>
        <w:t>；</w:t>
      </w:r>
    </w:p>
    <w:p>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11.1.</w:t>
      </w:r>
      <w:r>
        <w:rPr>
          <w:rFonts w:ascii="宋体" w:hAnsi="宋体" w:cs="宋体"/>
          <w:color w:val="auto"/>
          <w:sz w:val="24"/>
        </w:rPr>
        <w:t>4</w:t>
      </w:r>
      <w:r>
        <w:rPr>
          <w:rFonts w:hint="eastAsia" w:ascii="宋体" w:hAnsi="宋体" w:cs="宋体"/>
          <w:color w:val="auto"/>
          <w:sz w:val="24"/>
        </w:rPr>
        <w:t>本项目的特定资格要求</w:t>
      </w:r>
      <w:r>
        <w:rPr>
          <w:rFonts w:hint="eastAsia" w:ascii="宋体" w:hAnsi="宋体" w:cs="宋体"/>
          <w:snapToGrid w:val="0"/>
          <w:color w:val="auto"/>
          <w:kern w:val="28"/>
          <w:sz w:val="24"/>
          <w:szCs w:val="20"/>
        </w:rPr>
        <w:t>（如果有)</w:t>
      </w:r>
      <w:r>
        <w:rPr>
          <w:rFonts w:hint="eastAsia" w:ascii="宋体" w:hAnsi="宋体" w:cs="宋体"/>
          <w:color w:val="auto"/>
          <w:sz w:val="24"/>
        </w:rPr>
        <w:t>。</w:t>
      </w:r>
    </w:p>
    <w:p>
      <w:pPr>
        <w:snapToGrid w:val="0"/>
        <w:spacing w:line="360" w:lineRule="auto"/>
        <w:ind w:firstLine="480" w:firstLineChars="200"/>
        <w:rPr>
          <w:rFonts w:ascii="宋体" w:hAnsi="宋体" w:cs="宋体"/>
          <w:color w:val="auto"/>
          <w:sz w:val="24"/>
          <w:lang w:val="zh-CN"/>
        </w:rPr>
      </w:pPr>
      <w:r>
        <w:rPr>
          <w:rFonts w:hint="eastAsia" w:ascii="宋体" w:hAnsi="宋体" w:cs="宋体"/>
          <w:color w:val="auto"/>
          <w:sz w:val="24"/>
          <w:lang w:val="zh-CN"/>
        </w:rPr>
        <w:t>11.</w:t>
      </w:r>
      <w:r>
        <w:rPr>
          <w:rFonts w:hint="eastAsia" w:ascii="宋体" w:hAnsi="宋体" w:cs="宋体"/>
          <w:color w:val="auto"/>
          <w:sz w:val="24"/>
        </w:rPr>
        <w:t>2</w:t>
      </w:r>
      <w:r>
        <w:rPr>
          <w:rFonts w:hint="eastAsia" w:ascii="宋体" w:hAnsi="宋体" w:cs="宋体"/>
          <w:color w:val="auto"/>
          <w:sz w:val="24"/>
          <w:lang w:val="zh-CN"/>
        </w:rPr>
        <w:t xml:space="preserve">  </w:t>
      </w:r>
      <w:r>
        <w:rPr>
          <w:rFonts w:hint="eastAsia" w:ascii="宋体" w:hAnsi="宋体" w:cs="宋体"/>
          <w:color w:val="auto"/>
          <w:sz w:val="24"/>
        </w:rPr>
        <w:t>商务技术</w:t>
      </w:r>
      <w:r>
        <w:rPr>
          <w:rFonts w:hint="eastAsia" w:ascii="宋体" w:hAnsi="宋体" w:cs="宋体"/>
          <w:color w:val="auto"/>
          <w:sz w:val="24"/>
          <w:lang w:val="zh-CN"/>
        </w:rPr>
        <w:t>文件：</w:t>
      </w:r>
    </w:p>
    <w:p>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11.2.1投标函；</w:t>
      </w:r>
      <w:r>
        <w:rPr>
          <w:rFonts w:hint="eastAsia" w:ascii="宋体" w:hAnsi="宋体" w:cs="宋体"/>
          <w:color w:val="auto"/>
          <w:sz w:val="24"/>
          <w:lang w:val="zh-CN"/>
        </w:rPr>
        <w:t xml:space="preserve"> </w:t>
      </w:r>
    </w:p>
    <w:p>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11.2.2授权委托书或法定代表人（单位负责人、自然人本人）身份证明；</w:t>
      </w:r>
    </w:p>
    <w:p>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3</w:t>
      </w:r>
      <w:r>
        <w:rPr>
          <w:rFonts w:hint="eastAsia" w:ascii="宋体" w:hAnsi="宋体" w:cs="宋体"/>
          <w:color w:val="auto"/>
          <w:sz w:val="24"/>
        </w:rPr>
        <w:t>分包意向协议</w:t>
      </w:r>
      <w:r>
        <w:rPr>
          <w:rFonts w:hint="eastAsia" w:ascii="宋体" w:hAnsi="宋体" w:cs="宋体"/>
          <w:snapToGrid w:val="0"/>
          <w:color w:val="auto"/>
          <w:kern w:val="28"/>
          <w:sz w:val="24"/>
          <w:szCs w:val="20"/>
        </w:rPr>
        <w:t>（如果有)</w:t>
      </w:r>
      <w:r>
        <w:rPr>
          <w:rFonts w:hint="eastAsia" w:ascii="宋体" w:hAnsi="宋体" w:cs="宋体"/>
          <w:color w:val="auto"/>
          <w:sz w:val="24"/>
        </w:rPr>
        <w:t>；</w:t>
      </w:r>
    </w:p>
    <w:p>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4</w:t>
      </w:r>
      <w:r>
        <w:rPr>
          <w:rFonts w:hint="eastAsia" w:ascii="宋体" w:hAnsi="宋体" w:cs="宋体"/>
          <w:color w:val="auto"/>
          <w:sz w:val="24"/>
        </w:rPr>
        <w:t>符合性审查资料；</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5</w:t>
      </w:r>
      <w:r>
        <w:rPr>
          <w:rFonts w:hint="eastAsia" w:ascii="宋体" w:hAnsi="宋体" w:cs="宋体"/>
          <w:color w:val="auto"/>
          <w:sz w:val="24"/>
        </w:rPr>
        <w:t>评标标准相应的商务技术资料；</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6</w:t>
      </w:r>
      <w:r>
        <w:rPr>
          <w:rFonts w:hint="eastAsia" w:ascii="宋体" w:hAnsi="宋体" w:cs="宋体"/>
          <w:color w:val="auto"/>
          <w:sz w:val="24"/>
        </w:rPr>
        <w:t>投标标的清单；</w:t>
      </w:r>
    </w:p>
    <w:p>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7</w:t>
      </w:r>
      <w:r>
        <w:rPr>
          <w:rFonts w:hint="eastAsia" w:ascii="宋体" w:hAnsi="宋体" w:cs="宋体"/>
          <w:color w:val="auto"/>
          <w:sz w:val="24"/>
        </w:rPr>
        <w:t>商务技术偏离表；</w:t>
      </w:r>
    </w:p>
    <w:p>
      <w:pPr>
        <w:snapToGrid w:val="0"/>
        <w:spacing w:line="360" w:lineRule="auto"/>
        <w:ind w:firstLine="960" w:firstLineChars="400"/>
        <w:rPr>
          <w:rFonts w:ascii="宋体" w:hAnsi="宋体" w:cs="宋体"/>
          <w:color w:val="auto"/>
          <w:sz w:val="24"/>
          <w:lang w:val="zh-CN"/>
        </w:rPr>
      </w:pPr>
      <w:r>
        <w:rPr>
          <w:rFonts w:hint="eastAsia" w:ascii="宋体" w:hAnsi="宋体" w:cs="宋体"/>
          <w:color w:val="auto"/>
          <w:sz w:val="24"/>
          <w:lang w:val="zh-CN"/>
        </w:rPr>
        <w:t>11.</w:t>
      </w:r>
      <w:r>
        <w:rPr>
          <w:rFonts w:hint="eastAsia" w:ascii="宋体" w:hAnsi="宋体" w:cs="宋体"/>
          <w:color w:val="auto"/>
          <w:sz w:val="24"/>
        </w:rPr>
        <w:t>2</w:t>
      </w:r>
      <w:r>
        <w:rPr>
          <w:rFonts w:hint="eastAsia" w:ascii="宋体" w:hAnsi="宋体" w:cs="宋体"/>
          <w:color w:val="auto"/>
          <w:sz w:val="24"/>
          <w:lang w:val="zh-CN"/>
        </w:rPr>
        <w:t>.</w:t>
      </w:r>
      <w:r>
        <w:rPr>
          <w:rFonts w:ascii="宋体" w:hAnsi="宋体" w:cs="宋体"/>
          <w:color w:val="auto"/>
          <w:sz w:val="24"/>
        </w:rPr>
        <w:t>8</w:t>
      </w:r>
      <w:r>
        <w:rPr>
          <w:rFonts w:hint="eastAsia" w:ascii="宋体" w:hAnsi="宋体" w:cs="宋体"/>
          <w:color w:val="auto"/>
          <w:sz w:val="24"/>
          <w:lang w:val="zh-CN"/>
        </w:rPr>
        <w:t>政府采购供应商廉洁自律承诺书；</w:t>
      </w:r>
    </w:p>
    <w:p>
      <w:pPr>
        <w:snapToGrid w:val="0"/>
        <w:spacing w:line="360" w:lineRule="auto"/>
        <w:ind w:firstLine="480" w:firstLineChars="200"/>
        <w:rPr>
          <w:rFonts w:ascii="宋体" w:hAnsi="宋体" w:cs="宋体"/>
          <w:color w:val="auto"/>
          <w:sz w:val="24"/>
          <w:u w:val="single"/>
          <w:lang w:val="zh-CN"/>
        </w:rPr>
      </w:pPr>
      <w:r>
        <w:rPr>
          <w:rFonts w:hint="eastAsia" w:ascii="宋体" w:hAnsi="宋体" w:cs="宋体"/>
          <w:color w:val="auto"/>
          <w:kern w:val="0"/>
          <w:sz w:val="24"/>
          <w:lang w:val="zh-CN"/>
        </w:rPr>
        <w:t>11.</w:t>
      </w:r>
      <w:r>
        <w:rPr>
          <w:rFonts w:hint="eastAsia" w:ascii="宋体" w:hAnsi="宋体" w:cs="宋体"/>
          <w:color w:val="auto"/>
          <w:kern w:val="0"/>
          <w:sz w:val="24"/>
        </w:rPr>
        <w:t>3</w:t>
      </w:r>
      <w:r>
        <w:rPr>
          <w:rFonts w:hint="eastAsia" w:ascii="宋体" w:hAnsi="宋体" w:cs="宋体"/>
          <w:b/>
          <w:color w:val="auto"/>
          <w:sz w:val="24"/>
        </w:rPr>
        <w:t>报价文件：</w:t>
      </w:r>
      <w:r>
        <w:rPr>
          <w:rFonts w:hint="eastAsia" w:ascii="宋体" w:hAnsi="宋体" w:cs="宋体"/>
          <w:color w:val="auto"/>
          <w:sz w:val="24"/>
        </w:rPr>
        <w:t xml:space="preserve"> </w:t>
      </w:r>
    </w:p>
    <w:p>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11.3.1开标一览表（报价表）；</w:t>
      </w:r>
    </w:p>
    <w:p>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11.3.2中小企业声明函。</w:t>
      </w:r>
    </w:p>
    <w:p>
      <w:pPr>
        <w:spacing w:line="360" w:lineRule="auto"/>
        <w:ind w:firstLine="723" w:firstLineChars="300"/>
        <w:rPr>
          <w:rFonts w:ascii="宋体" w:hAnsi="宋体" w:cs="宋体"/>
          <w:b/>
          <w:sz w:val="24"/>
        </w:rPr>
      </w:pPr>
      <w:r>
        <w:rPr>
          <w:rFonts w:hint="eastAsia" w:ascii="宋体" w:hAnsi="宋体" w:cs="宋体"/>
          <w:b/>
          <w:sz w:val="24"/>
        </w:rPr>
        <w:t>投标文件含有采购人不能接受的附加条件的，投标无效；</w:t>
      </w:r>
    </w:p>
    <w:p>
      <w:pPr>
        <w:spacing w:line="360" w:lineRule="auto"/>
        <w:ind w:firstLine="723" w:firstLineChars="300"/>
        <w:rPr>
          <w:rFonts w:ascii="宋体" w:hAnsi="宋体" w:cs="宋体"/>
          <w:b/>
          <w:sz w:val="24"/>
          <w:szCs w:val="21"/>
        </w:rPr>
      </w:pPr>
      <w:r>
        <w:rPr>
          <w:rFonts w:hint="eastAsia" w:ascii="宋体" w:hAnsi="宋体" w:cs="宋体"/>
          <w:b/>
          <w:sz w:val="24"/>
        </w:rPr>
        <w:t>投标人提供虚假材料投标的，投标无效。</w:t>
      </w:r>
    </w:p>
    <w:p>
      <w:pPr>
        <w:pStyle w:val="128"/>
        <w:snapToGrid w:val="0"/>
        <w:spacing w:before="0"/>
        <w:ind w:firstLine="0" w:firstLineChars="0"/>
        <w:outlineLvl w:val="0"/>
        <w:rPr>
          <w:rFonts w:ascii="宋体" w:hAnsi="宋体" w:cs="宋体"/>
          <w:b/>
          <w:szCs w:val="24"/>
        </w:rPr>
      </w:pPr>
      <w:r>
        <w:rPr>
          <w:rFonts w:hint="eastAsia" w:ascii="宋体" w:hAnsi="宋体" w:cs="宋体"/>
          <w:b/>
          <w:szCs w:val="24"/>
        </w:rPr>
        <w:t>12</w:t>
      </w:r>
      <w:r>
        <w:rPr>
          <w:rFonts w:hint="eastAsia" w:ascii="宋体" w:hAnsi="宋体" w:cs="宋体"/>
          <w:b/>
          <w:kern w:val="0"/>
          <w:szCs w:val="24"/>
          <w:lang w:val="zh-CN"/>
        </w:rPr>
        <w:t xml:space="preserve">. </w:t>
      </w:r>
      <w:r>
        <w:rPr>
          <w:rFonts w:hint="eastAsia" w:ascii="宋体" w:hAnsi="宋体" w:cs="宋体"/>
          <w:b/>
          <w:szCs w:val="24"/>
        </w:rPr>
        <w:t>投标文件的编制</w:t>
      </w:r>
    </w:p>
    <w:p>
      <w:pPr>
        <w:spacing w:line="360" w:lineRule="auto"/>
        <w:ind w:firstLine="480" w:firstLineChars="200"/>
        <w:rPr>
          <w:rFonts w:ascii="宋体" w:hAnsi="宋体" w:cs="宋体"/>
          <w:b/>
          <w:sz w:val="24"/>
        </w:rPr>
      </w:pPr>
      <w:r>
        <w:rPr>
          <w:rFonts w:hint="eastAsia" w:ascii="宋体" w:hAnsi="宋体" w:cs="宋体"/>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12.3使用“政采云电子交易客户端”需要提前申领CA数字证书，申领流程请自行前往“浙江政府采购网-下载专区-电子交易客户端-CA驱动和申领流程”进行查阅。</w:t>
      </w:r>
    </w:p>
    <w:p>
      <w:pPr>
        <w:snapToGrid w:val="0"/>
        <w:spacing w:line="360" w:lineRule="auto"/>
        <w:rPr>
          <w:rFonts w:ascii="宋体" w:hAnsi="宋体" w:cs="宋体"/>
          <w:b/>
          <w:sz w:val="24"/>
        </w:rPr>
      </w:pPr>
      <w:r>
        <w:rPr>
          <w:rFonts w:hint="eastAsia" w:ascii="宋体" w:hAnsi="宋体" w:cs="宋体"/>
          <w:b/>
          <w:sz w:val="24"/>
        </w:rPr>
        <w:t>13.投标文件的签署、盖章</w:t>
      </w:r>
    </w:p>
    <w:p>
      <w:pPr>
        <w:pStyle w:val="128"/>
        <w:snapToGrid w:val="0"/>
        <w:spacing w:before="0"/>
        <w:ind w:firstLine="480"/>
        <w:rPr>
          <w:rFonts w:ascii="宋体" w:hAnsi="宋体" w:cs="宋体"/>
          <w:b/>
        </w:rPr>
      </w:pPr>
      <w:r>
        <w:rPr>
          <w:rFonts w:hint="eastAsia" w:ascii="宋体" w:hAnsi="宋体" w:cs="宋体"/>
          <w:szCs w:val="24"/>
        </w:rPr>
        <w:t>13.1投标文件按照招标文件第六部分格式要</w:t>
      </w:r>
      <w:r>
        <w:rPr>
          <w:rFonts w:hint="eastAsia" w:ascii="宋体" w:hAnsi="宋体" w:cs="宋体"/>
        </w:rPr>
        <w:t>求进行签署、盖章。</w:t>
      </w:r>
      <w:r>
        <w:rPr>
          <w:rFonts w:hint="eastAsia" w:ascii="宋体" w:hAnsi="宋体" w:cs="宋体"/>
          <w:b/>
        </w:rPr>
        <w:t>▲投标人的投标文件未按照招标文件要求签署、盖章的，其投标无效</w:t>
      </w:r>
      <w:r>
        <w:rPr>
          <w:rFonts w:hint="eastAsia" w:ascii="宋体" w:hAnsi="宋体" w:cs="宋体"/>
          <w:szCs w:val="24"/>
        </w:rPr>
        <w:t>。</w:t>
      </w:r>
    </w:p>
    <w:p>
      <w:pPr>
        <w:pStyle w:val="128"/>
        <w:snapToGrid w:val="0"/>
        <w:spacing w:before="0"/>
        <w:ind w:firstLine="480"/>
        <w:rPr>
          <w:rFonts w:ascii="宋体" w:hAnsi="宋体" w:cs="宋体"/>
        </w:rPr>
      </w:pPr>
      <w:r>
        <w:rPr>
          <w:rFonts w:hint="eastAsia" w:ascii="宋体" w:hAnsi="宋体" w:cs="宋体"/>
        </w:rPr>
        <w:t>13.2为确保网上操作合法、有效和安全，投标人应当在投标截止时间前完成在“政府采购云平台”的身份认证，确保在电子投标过程中能够对相关数据电文进行加密和使用电子签名。</w:t>
      </w:r>
    </w:p>
    <w:p>
      <w:pPr>
        <w:pStyle w:val="128"/>
        <w:snapToGrid w:val="0"/>
        <w:spacing w:before="0"/>
        <w:ind w:firstLine="480"/>
        <w:rPr>
          <w:rFonts w:ascii="宋体" w:hAnsi="宋体" w:cs="宋体"/>
          <w:szCs w:val="24"/>
        </w:rPr>
      </w:pPr>
      <w:r>
        <w:rPr>
          <w:rFonts w:hint="eastAsia" w:ascii="宋体" w:hAnsi="宋体" w:cs="宋体"/>
        </w:rPr>
        <w:t>13.3招标文件对投标文件签署、盖章的要求适用于电子签名。</w:t>
      </w:r>
    </w:p>
    <w:p>
      <w:pPr>
        <w:pStyle w:val="128"/>
        <w:spacing w:before="0"/>
        <w:ind w:firstLine="0" w:firstLineChars="0"/>
        <w:rPr>
          <w:rFonts w:ascii="宋体" w:hAnsi="宋体" w:cs="宋体"/>
          <w:b/>
          <w:szCs w:val="24"/>
        </w:rPr>
      </w:pPr>
      <w:r>
        <w:rPr>
          <w:rFonts w:hint="eastAsia" w:ascii="宋体" w:hAnsi="宋体" w:cs="宋体"/>
          <w:b/>
          <w:szCs w:val="24"/>
        </w:rPr>
        <w:t>14. 投标文件的提交、补充、修改、撤回</w:t>
      </w:r>
    </w:p>
    <w:p>
      <w:pPr>
        <w:pStyle w:val="128"/>
        <w:ind w:firstLine="480"/>
        <w:rPr>
          <w:rFonts w:ascii="宋体" w:hAnsi="宋体" w:cs="宋体"/>
          <w:szCs w:val="24"/>
        </w:rPr>
      </w:pPr>
      <w:r>
        <w:rPr>
          <w:rFonts w:hint="eastAsia" w:ascii="宋体" w:hAnsi="宋体" w:cs="宋体"/>
          <w:szCs w:val="24"/>
        </w:rPr>
        <w:t>14.1 供应商应当在投标截止时间前完成投标文件的传输递交，并可以补充、修改或者撤回投标文件。补充或者修改投标文件的，应当先行撤回原文件，补充、修改后重新传输递交。供应商撤回投标不得损害国家利益、社会公共利益、采购人利益、代理机构利益、其他供应商利益，否则，供应商撤销（撤回）投标无效。投标截止时间前未完成传输的，视为撤回投标文件。投标截止时间后递交的投标文件，电子交易平台将拒收。</w:t>
      </w:r>
    </w:p>
    <w:p>
      <w:pPr>
        <w:pStyle w:val="128"/>
        <w:spacing w:before="0"/>
        <w:ind w:firstLine="480"/>
        <w:rPr>
          <w:rFonts w:ascii="宋体" w:hAnsi="宋体" w:cs="宋体"/>
          <w:szCs w:val="24"/>
        </w:rPr>
      </w:pPr>
      <w:r>
        <w:rPr>
          <w:rFonts w:hint="eastAsia" w:ascii="宋体" w:hAnsi="宋体" w:cs="宋体"/>
          <w:szCs w:val="24"/>
        </w:rPr>
        <w:t>14.2电子交易平台收到投标文件，将妥善保存并即时向供应商发出确认回执通知。在投标截止时间前，除供应商补充、修改或者撤回投标文件外，任何单位和个人不得解密或提取投标文件。</w:t>
      </w:r>
    </w:p>
    <w:p>
      <w:pPr>
        <w:pStyle w:val="128"/>
        <w:spacing w:before="0"/>
        <w:ind w:firstLine="480"/>
        <w:rPr>
          <w:rFonts w:ascii="宋体" w:hAnsi="宋体" w:cs="宋体"/>
          <w:szCs w:val="24"/>
        </w:rPr>
      </w:pPr>
      <w:r>
        <w:rPr>
          <w:rFonts w:hint="eastAsia" w:ascii="宋体" w:hAnsi="宋体" w:cs="宋体"/>
          <w:szCs w:val="24"/>
        </w:rPr>
        <w:t>14.3采购人、</w:t>
      </w:r>
      <w:r>
        <w:rPr>
          <w:rFonts w:hint="eastAsia" w:ascii="宋体" w:hAnsi="宋体" w:cs="宋体"/>
          <w:szCs w:val="24"/>
          <w:lang w:eastAsia="zh-CN"/>
        </w:rPr>
        <w:t>采购代理机构</w:t>
      </w:r>
      <w:r>
        <w:rPr>
          <w:rFonts w:hint="eastAsia" w:ascii="宋体" w:hAnsi="宋体" w:cs="宋体"/>
          <w:szCs w:val="24"/>
        </w:rPr>
        <w:t>可以视情况延长投标文件提交的截止时间。在上述情况下，</w:t>
      </w:r>
      <w:r>
        <w:rPr>
          <w:rFonts w:hint="eastAsia" w:ascii="宋体" w:hAnsi="宋体" w:cs="宋体"/>
          <w:szCs w:val="24"/>
          <w:lang w:eastAsia="zh-CN"/>
        </w:rPr>
        <w:t>采购代理机构</w:t>
      </w:r>
      <w:r>
        <w:rPr>
          <w:rFonts w:hint="eastAsia" w:ascii="宋体" w:hAnsi="宋体" w:cs="宋体"/>
          <w:szCs w:val="24"/>
        </w:rPr>
        <w:t>与投标人以前在投标截止期方面的全部权利、责任和义务，将适用于延长至新的投标截止期。</w:t>
      </w:r>
    </w:p>
    <w:p>
      <w:pPr>
        <w:pStyle w:val="34"/>
        <w:spacing w:line="360" w:lineRule="auto"/>
        <w:rPr>
          <w:rFonts w:hAnsi="宋体" w:cs="宋体"/>
          <w:b/>
          <w:sz w:val="24"/>
          <w:szCs w:val="24"/>
        </w:rPr>
      </w:pPr>
      <w:r>
        <w:rPr>
          <w:rFonts w:hint="eastAsia" w:hAnsi="宋体" w:cs="宋体"/>
          <w:b/>
          <w:sz w:val="24"/>
          <w:szCs w:val="24"/>
        </w:rPr>
        <w:t>15.备份投标文件</w:t>
      </w:r>
    </w:p>
    <w:p>
      <w:pPr>
        <w:pStyle w:val="34"/>
        <w:spacing w:line="360" w:lineRule="auto"/>
        <w:ind w:firstLine="360" w:firstLineChars="150"/>
        <w:rPr>
          <w:rFonts w:hAnsi="宋体" w:cs="宋体"/>
          <w:b/>
          <w:sz w:val="24"/>
          <w:szCs w:val="24"/>
        </w:rPr>
      </w:pPr>
      <w:r>
        <w:rPr>
          <w:rFonts w:hint="eastAsia" w:hAnsi="宋体" w:cs="宋体"/>
          <w:sz w:val="24"/>
          <w:szCs w:val="24"/>
        </w:rPr>
        <w:t xml:space="preserve"> 15.1投标人在电子交易平台传输递交投标文件后，还可以在投标截止时间前直接提交或者以快递方式递交备份投标文件1份，</w:t>
      </w:r>
      <w:r>
        <w:rPr>
          <w:rFonts w:hint="eastAsia" w:hAnsi="宋体" w:cs="宋体"/>
          <w:b/>
          <w:sz w:val="24"/>
          <w:szCs w:val="24"/>
        </w:rPr>
        <w:t>但采购人、</w:t>
      </w:r>
      <w:r>
        <w:rPr>
          <w:rFonts w:hint="eastAsia" w:hAnsi="宋体" w:cs="宋体"/>
          <w:b/>
          <w:sz w:val="24"/>
          <w:szCs w:val="24"/>
          <w:lang w:eastAsia="zh-CN"/>
        </w:rPr>
        <w:t>采购代理机构</w:t>
      </w:r>
      <w:r>
        <w:rPr>
          <w:rFonts w:hint="eastAsia" w:hAnsi="宋体" w:cs="宋体"/>
          <w:b/>
          <w:sz w:val="24"/>
          <w:szCs w:val="24"/>
        </w:rPr>
        <w:t>不强制或变相强制投标人提交备份投标文件。</w:t>
      </w:r>
    </w:p>
    <w:p>
      <w:pPr>
        <w:pStyle w:val="34"/>
        <w:spacing w:line="360" w:lineRule="auto"/>
        <w:ind w:firstLine="480" w:firstLineChars="200"/>
        <w:rPr>
          <w:rFonts w:hAnsi="宋体" w:cs="宋体"/>
          <w:b/>
          <w:sz w:val="24"/>
          <w:szCs w:val="24"/>
        </w:rPr>
      </w:pPr>
      <w:r>
        <w:rPr>
          <w:rFonts w:hint="eastAsia" w:hAnsi="宋体" w:cs="宋体"/>
          <w:sz w:val="24"/>
          <w:szCs w:val="24"/>
        </w:rPr>
        <w:t>15.2备份投标文件须在“政采云投标客户端”制作生成，并储存在</w:t>
      </w:r>
      <w:r>
        <w:rPr>
          <w:rFonts w:hint="eastAsia" w:hAnsi="宋体" w:cs="宋体"/>
          <w:sz w:val="24"/>
        </w:rPr>
        <w:t>DVD光盘</w:t>
      </w:r>
      <w:r>
        <w:rPr>
          <w:rFonts w:hint="eastAsia" w:hAnsi="宋体" w:cs="宋体"/>
          <w:sz w:val="24"/>
          <w:lang w:val="en-US" w:eastAsia="zh-CN"/>
        </w:rPr>
        <w:t>等存储介质</w:t>
      </w:r>
      <w:r>
        <w:rPr>
          <w:rFonts w:hint="eastAsia" w:hAnsi="宋体" w:cs="宋体"/>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sz w:val="24"/>
        </w:rPr>
        <w:t>不符合上述制作、</w:t>
      </w:r>
      <w:r>
        <w:rPr>
          <w:rFonts w:hint="eastAsia" w:hAnsi="宋体" w:cs="宋体"/>
          <w:b/>
          <w:sz w:val="24"/>
          <w:szCs w:val="24"/>
        </w:rPr>
        <w:t>存储、密封规定的备份投标文件将被视为无效或者被拒绝接收。</w:t>
      </w:r>
    </w:p>
    <w:p>
      <w:pPr>
        <w:pStyle w:val="34"/>
        <w:spacing w:line="360" w:lineRule="auto"/>
        <w:ind w:firstLine="480" w:firstLineChars="200"/>
        <w:rPr>
          <w:rFonts w:hAnsi="宋体" w:cs="宋体"/>
          <w:sz w:val="24"/>
          <w:szCs w:val="24"/>
        </w:rPr>
      </w:pPr>
      <w:r>
        <w:rPr>
          <w:rFonts w:hint="eastAsia" w:hAnsi="宋体" w:cs="宋体"/>
          <w:sz w:val="24"/>
          <w:szCs w:val="24"/>
        </w:rPr>
        <w:t>15.3直接提交备份投标文件的，投标人应于投标截止时间前在招标公告中载明的开标地点将备份投标文件提交给</w:t>
      </w:r>
      <w:r>
        <w:rPr>
          <w:rFonts w:hint="eastAsia" w:hAnsi="宋体" w:cs="宋体"/>
          <w:sz w:val="24"/>
          <w:szCs w:val="24"/>
          <w:lang w:eastAsia="zh-CN"/>
        </w:rPr>
        <w:t>采购代理机构</w:t>
      </w:r>
      <w:r>
        <w:rPr>
          <w:rFonts w:hint="eastAsia" w:hAnsi="宋体" w:cs="宋体"/>
          <w:sz w:val="24"/>
          <w:szCs w:val="24"/>
        </w:rPr>
        <w:t>，</w:t>
      </w:r>
      <w:r>
        <w:rPr>
          <w:rFonts w:hint="eastAsia" w:hAnsi="宋体" w:cs="宋体"/>
          <w:sz w:val="24"/>
          <w:szCs w:val="24"/>
          <w:lang w:eastAsia="zh-CN"/>
        </w:rPr>
        <w:t>采购代理机构</w:t>
      </w:r>
      <w:r>
        <w:rPr>
          <w:rFonts w:hint="eastAsia" w:hAnsi="宋体" w:cs="宋体"/>
          <w:sz w:val="24"/>
          <w:szCs w:val="24"/>
        </w:rPr>
        <w:t>将拒绝接受逾期送达的备份投标文件。</w:t>
      </w:r>
    </w:p>
    <w:p>
      <w:pPr>
        <w:pStyle w:val="34"/>
        <w:spacing w:line="360" w:lineRule="auto"/>
        <w:ind w:firstLine="480" w:firstLineChars="200"/>
        <w:rPr>
          <w:rFonts w:hAnsi="宋体" w:cs="宋体"/>
          <w:sz w:val="24"/>
          <w:szCs w:val="24"/>
        </w:rPr>
      </w:pPr>
      <w:r>
        <w:rPr>
          <w:rFonts w:hint="eastAsia" w:hAnsi="宋体" w:cs="宋体"/>
          <w:sz w:val="24"/>
          <w:szCs w:val="24"/>
        </w:rPr>
        <w:t>15.4以快递方式递交备份投标文件的，投标人应先将备份投标文件按要求密封和标记，再进行快递包装后邮寄。备份投标文件须在投标截止时间之前送达</w:t>
      </w:r>
      <w:r>
        <w:rPr>
          <w:rFonts w:hint="eastAsia" w:hAnsi="宋体" w:cs="宋体"/>
          <w:snapToGrid/>
          <w:sz w:val="24"/>
          <w:szCs w:val="24"/>
        </w:rPr>
        <w:t>招标文件第二部分投标人须知前附表规定的备份投标文件送达地点；</w:t>
      </w:r>
      <w:r>
        <w:rPr>
          <w:rFonts w:hint="eastAsia" w:hAnsi="宋体" w:cs="宋体"/>
          <w:sz w:val="24"/>
          <w:szCs w:val="24"/>
        </w:rPr>
        <w:t>送达时间以签收人签收时间为准。</w:t>
      </w:r>
      <w:r>
        <w:rPr>
          <w:rFonts w:hint="eastAsia" w:hAnsi="宋体" w:cs="宋体"/>
          <w:sz w:val="24"/>
          <w:szCs w:val="24"/>
          <w:lang w:eastAsia="zh-CN"/>
        </w:rPr>
        <w:t>采购代理机构</w:t>
      </w:r>
      <w:r>
        <w:rPr>
          <w:rFonts w:hint="eastAsia" w:hAnsi="宋体" w:cs="宋体"/>
          <w:sz w:val="24"/>
          <w:szCs w:val="24"/>
        </w:rPr>
        <w:t>将拒绝接受逾期送达的备份投标文件。邮寄过程中，电子备份投标文件发生泄露、遗失、损坏或延期送达等情况的，由投标人自行负责。</w:t>
      </w:r>
    </w:p>
    <w:p>
      <w:pPr>
        <w:pStyle w:val="34"/>
        <w:spacing w:line="360" w:lineRule="auto"/>
        <w:ind w:firstLine="479" w:firstLineChars="199"/>
        <w:rPr>
          <w:rFonts w:hAnsi="宋体" w:cs="宋体"/>
          <w:b/>
          <w:sz w:val="24"/>
          <w:szCs w:val="24"/>
        </w:rPr>
      </w:pPr>
      <w:r>
        <w:rPr>
          <w:rFonts w:hint="eastAsia" w:hAnsi="宋体" w:cs="宋体"/>
          <w:b/>
          <w:sz w:val="24"/>
          <w:szCs w:val="24"/>
        </w:rPr>
        <w:t>15.5投标人仅提交备份投标文件，未在电子交易平台传输递交投标文件的，投标无效。</w:t>
      </w:r>
    </w:p>
    <w:p>
      <w:pPr>
        <w:pStyle w:val="128"/>
        <w:spacing w:before="0"/>
        <w:ind w:firstLine="0" w:firstLineChars="0"/>
        <w:rPr>
          <w:rFonts w:ascii="宋体" w:hAnsi="宋体" w:cs="宋体"/>
          <w:b/>
          <w:szCs w:val="24"/>
        </w:rPr>
      </w:pPr>
      <w:r>
        <w:rPr>
          <w:rFonts w:hint="eastAsia" w:ascii="宋体" w:hAnsi="宋体" w:cs="宋体"/>
          <w:b/>
          <w:szCs w:val="24"/>
        </w:rPr>
        <w:t>16.投标文件的无效处理</w:t>
      </w:r>
    </w:p>
    <w:p>
      <w:pPr>
        <w:pStyle w:val="26"/>
        <w:spacing w:line="360" w:lineRule="auto"/>
        <w:ind w:firstLine="360" w:firstLineChars="150"/>
        <w:rPr>
          <w:rFonts w:cs="宋体"/>
          <w:szCs w:val="21"/>
        </w:rPr>
      </w:pPr>
      <w:r>
        <w:rPr>
          <w:rFonts w:hint="eastAsia" w:cs="宋体"/>
          <w:szCs w:val="21"/>
        </w:rPr>
        <w:t>有招标文件第四部分</w:t>
      </w:r>
      <w:r>
        <w:rPr>
          <w:rFonts w:cs="宋体"/>
          <w:szCs w:val="21"/>
        </w:rPr>
        <w:t>4.2规定</w:t>
      </w:r>
      <w:r>
        <w:rPr>
          <w:rFonts w:hint="eastAsia" w:cs="宋体"/>
          <w:szCs w:val="21"/>
        </w:rPr>
        <w:t>的情形之一的，投标无效：</w:t>
      </w:r>
    </w:p>
    <w:p>
      <w:pPr>
        <w:pStyle w:val="128"/>
        <w:spacing w:before="0"/>
        <w:ind w:firstLine="0" w:firstLineChars="0"/>
        <w:rPr>
          <w:rFonts w:ascii="宋体" w:hAnsi="宋体" w:cs="宋体"/>
          <w:b/>
          <w:szCs w:val="24"/>
        </w:rPr>
      </w:pPr>
      <w:r>
        <w:rPr>
          <w:rFonts w:hint="eastAsia" w:ascii="宋体" w:hAnsi="宋体" w:cs="宋体"/>
          <w:b/>
          <w:szCs w:val="24"/>
        </w:rPr>
        <w:t>17.投标有效期</w:t>
      </w:r>
    </w:p>
    <w:p>
      <w:pPr>
        <w:spacing w:line="360" w:lineRule="auto"/>
        <w:ind w:firstLine="480" w:firstLineChars="200"/>
        <w:rPr>
          <w:rFonts w:ascii="宋体" w:hAnsi="宋体" w:cs="宋体"/>
          <w:b/>
          <w:sz w:val="24"/>
          <w:szCs w:val="21"/>
        </w:rPr>
      </w:pPr>
      <w:r>
        <w:rPr>
          <w:rFonts w:hint="eastAsia" w:ascii="宋体" w:hAnsi="宋体" w:cs="宋体"/>
          <w:sz w:val="24"/>
          <w:szCs w:val="20"/>
        </w:rPr>
        <w:t>17.1投标有效期为从提交投标文件的截止之日起90天。▲</w:t>
      </w:r>
      <w:r>
        <w:rPr>
          <w:rFonts w:hint="eastAsia" w:ascii="宋体" w:hAnsi="宋体" w:cs="宋体"/>
          <w:b/>
          <w:sz w:val="24"/>
          <w:szCs w:val="20"/>
        </w:rPr>
        <w:t>投标人的投标文件中承</w:t>
      </w:r>
      <w:r>
        <w:rPr>
          <w:rFonts w:hint="eastAsia" w:ascii="宋体" w:hAnsi="宋体" w:cs="宋体"/>
          <w:b/>
          <w:sz w:val="24"/>
          <w:szCs w:val="21"/>
        </w:rPr>
        <w:t>诺的投标有效期少于招标文件中载明的投标有效期的，投标无效。</w:t>
      </w:r>
    </w:p>
    <w:p>
      <w:pPr>
        <w:pStyle w:val="128"/>
        <w:spacing w:before="0"/>
        <w:ind w:firstLine="480"/>
        <w:rPr>
          <w:rFonts w:ascii="宋体" w:hAnsi="宋体" w:cs="宋体"/>
        </w:rPr>
      </w:pPr>
      <w:r>
        <w:rPr>
          <w:rFonts w:hint="eastAsia" w:ascii="宋体" w:hAnsi="宋体" w:cs="宋体"/>
        </w:rPr>
        <w:t>17.2投标文件合格投递后，自投标截止日期起，在投标有效期内有效。</w:t>
      </w:r>
    </w:p>
    <w:p>
      <w:pPr>
        <w:pStyle w:val="128"/>
        <w:spacing w:before="0"/>
        <w:ind w:firstLine="480"/>
        <w:rPr>
          <w:rFonts w:ascii="宋体" w:hAnsi="宋体" w:cs="宋体"/>
        </w:rPr>
      </w:pPr>
      <w:r>
        <w:rPr>
          <w:rFonts w:hint="eastAsia" w:ascii="宋体" w:hAnsi="宋体" w:cs="宋体"/>
        </w:rPr>
        <w:t>17.3在原定投标有效期满之前，如果出现特殊情况，</w:t>
      </w:r>
      <w:r>
        <w:rPr>
          <w:rFonts w:hint="eastAsia" w:ascii="宋体" w:hAnsi="宋体" w:cs="宋体"/>
          <w:lang w:eastAsia="zh-CN"/>
        </w:rPr>
        <w:t>采购代理机构</w:t>
      </w:r>
      <w:r>
        <w:rPr>
          <w:rFonts w:hint="eastAsia" w:ascii="宋体" w:hAnsi="宋体" w:cs="宋体"/>
        </w:rPr>
        <w:t>可以以书面形式通知投标人延长投标有效期。投标人同意延长的，不得要求或被允许修改其投标文件，投标人拒绝延长的，其投标无效。</w:t>
      </w:r>
    </w:p>
    <w:p>
      <w:pPr>
        <w:pStyle w:val="128"/>
        <w:spacing w:before="0"/>
        <w:ind w:firstLine="643"/>
        <w:rPr>
          <w:rFonts w:ascii="宋体" w:hAnsi="宋体" w:cs="宋体"/>
          <w:b/>
          <w:sz w:val="32"/>
        </w:rPr>
      </w:pPr>
      <w:r>
        <w:rPr>
          <w:rFonts w:hint="eastAsia" w:ascii="宋体" w:hAnsi="宋体" w:cs="宋体"/>
        </w:rPr>
        <w:t>17.4在投标截止时间起至投标有效期届满，供应商投标文件不可撤销。</w:t>
      </w:r>
    </w:p>
    <w:p>
      <w:pPr>
        <w:pStyle w:val="128"/>
        <w:spacing w:before="0"/>
        <w:ind w:firstLine="1928" w:firstLineChars="600"/>
        <w:rPr>
          <w:rFonts w:hint="eastAsia" w:ascii="宋体" w:hAnsi="宋体" w:cs="宋体"/>
          <w:b/>
          <w:sz w:val="32"/>
        </w:rPr>
      </w:pPr>
    </w:p>
    <w:p>
      <w:pPr>
        <w:pStyle w:val="128"/>
        <w:spacing w:before="0"/>
        <w:ind w:firstLine="1928" w:firstLineChars="600"/>
        <w:rPr>
          <w:rFonts w:ascii="宋体" w:hAnsi="宋体" w:cs="宋体"/>
          <w:b/>
          <w:sz w:val="32"/>
        </w:rPr>
      </w:pPr>
      <w:r>
        <w:rPr>
          <w:rFonts w:hint="eastAsia" w:ascii="宋体" w:hAnsi="宋体" w:cs="宋体"/>
          <w:b/>
          <w:sz w:val="32"/>
        </w:rPr>
        <w:t>四、开标、资格审查与信用信息查询</w:t>
      </w:r>
    </w:p>
    <w:p>
      <w:pPr>
        <w:pStyle w:val="555"/>
        <w:spacing w:before="0" w:line="360" w:lineRule="auto"/>
        <w:ind w:left="0" w:firstLine="241" w:firstLineChars="100"/>
        <w:contextualSpacing/>
        <w:rPr>
          <w:rFonts w:ascii="宋体" w:hAnsi="宋体" w:cs="宋体"/>
          <w:sz w:val="24"/>
        </w:rPr>
      </w:pPr>
      <w:r>
        <w:rPr>
          <w:rFonts w:hint="eastAsia" w:ascii="宋体" w:hAnsi="宋体" w:cs="宋体"/>
          <w:b/>
          <w:sz w:val="24"/>
          <w:szCs w:val="24"/>
        </w:rPr>
        <w:t>18.开标</w:t>
      </w:r>
      <w:r>
        <w:rPr>
          <w:rFonts w:hint="eastAsia" w:ascii="宋体" w:hAnsi="宋体" w:cs="宋体"/>
          <w:sz w:val="24"/>
        </w:rPr>
        <w:t xml:space="preserve"> </w:t>
      </w:r>
    </w:p>
    <w:p>
      <w:pPr>
        <w:pStyle w:val="555"/>
        <w:spacing w:before="0" w:line="360" w:lineRule="auto"/>
        <w:ind w:left="0" w:firstLine="480" w:firstLineChars="200"/>
        <w:contextualSpacing/>
        <w:rPr>
          <w:rFonts w:ascii="宋体" w:hAnsi="宋体" w:cs="宋体"/>
          <w:sz w:val="24"/>
        </w:rPr>
      </w:pPr>
      <w:r>
        <w:rPr>
          <w:rFonts w:hint="eastAsia" w:ascii="宋体" w:hAnsi="宋体" w:cs="宋体"/>
          <w:sz w:val="24"/>
        </w:rPr>
        <w:t>18.1</w:t>
      </w:r>
      <w:r>
        <w:rPr>
          <w:rFonts w:hint="eastAsia" w:ascii="宋体" w:hAnsi="宋体" w:cs="宋体"/>
          <w:sz w:val="24"/>
          <w:lang w:eastAsia="zh-CN"/>
        </w:rPr>
        <w:t>采购代理机构</w:t>
      </w:r>
      <w:r>
        <w:rPr>
          <w:rFonts w:hint="eastAsia" w:ascii="宋体" w:hAnsi="宋体" w:cs="宋体"/>
          <w:sz w:val="24"/>
        </w:rPr>
        <w:t>按照招标文件规定的时间通过电子交易平台组织开标，所有投标人均应当准时在线参加。投标人不足3家的，不得开标。</w:t>
      </w:r>
    </w:p>
    <w:p>
      <w:pPr>
        <w:pStyle w:val="555"/>
        <w:spacing w:before="0" w:line="360" w:lineRule="auto"/>
        <w:ind w:left="0" w:firstLine="240" w:firstLineChars="100"/>
        <w:contextualSpacing/>
        <w:rPr>
          <w:rFonts w:ascii="宋体" w:hAnsi="宋体" w:cs="宋体"/>
          <w:sz w:val="24"/>
        </w:rPr>
      </w:pPr>
      <w:r>
        <w:rPr>
          <w:rFonts w:hint="eastAsia" w:ascii="宋体" w:hAnsi="宋体" w:cs="宋体"/>
          <w:sz w:val="24"/>
        </w:rPr>
        <w:t>　18.2开标时，电子交易平台按开标时间自动提取所有投标文件。</w:t>
      </w:r>
      <w:r>
        <w:rPr>
          <w:rFonts w:hint="eastAsia" w:ascii="宋体" w:hAnsi="宋体" w:cs="宋体"/>
          <w:sz w:val="24"/>
          <w:lang w:eastAsia="zh-CN"/>
        </w:rPr>
        <w:t>采购代理机构</w:t>
      </w:r>
      <w:r>
        <w:rPr>
          <w:rFonts w:hint="eastAsia" w:ascii="宋体" w:hAnsi="宋体" w:cs="宋体"/>
          <w:sz w:val="24"/>
        </w:rPr>
        <w:t>依托电子交易平台发起开始解密指令，投标人按照平台提示和招标文件的规定在半小时内完成在线解密。</w:t>
      </w:r>
    </w:p>
    <w:p>
      <w:pPr>
        <w:pStyle w:val="555"/>
        <w:spacing w:before="0" w:line="360" w:lineRule="auto"/>
        <w:ind w:left="0" w:firstLine="480" w:firstLineChars="200"/>
        <w:contextualSpacing/>
        <w:rPr>
          <w:rFonts w:hint="eastAsia" w:ascii="宋体" w:hAnsi="宋体" w:cs="宋体"/>
          <w:b/>
          <w:sz w:val="24"/>
        </w:rPr>
      </w:pPr>
      <w:r>
        <w:rPr>
          <w:rFonts w:hint="eastAsia" w:ascii="宋体" w:hAnsi="宋体" w:cs="宋体"/>
          <w:sz w:val="24"/>
        </w:rPr>
        <w:t>18.3</w:t>
      </w:r>
      <w:r>
        <w:rPr>
          <w:rFonts w:hint="eastAsia" w:ascii="宋体" w:hAnsi="宋体" w:cs="宋体"/>
          <w:b/>
          <w:sz w:val="24"/>
        </w:rPr>
        <w:t>投标文件未按时解密，投标人提供了备份投标文件的，以备份投标文件作为依据，否则视为投标文件撤回。投标文件已按时解密的，备份投标文件自动失效。</w:t>
      </w:r>
    </w:p>
    <w:p>
      <w:pPr>
        <w:pStyle w:val="555"/>
        <w:spacing w:before="0" w:line="360" w:lineRule="auto"/>
        <w:ind w:left="0" w:firstLine="482" w:firstLineChars="200"/>
        <w:contextualSpacing/>
        <w:rPr>
          <w:rFonts w:ascii="宋体" w:hAnsi="宋体" w:cs="宋体"/>
          <w:b/>
          <w:sz w:val="24"/>
        </w:rPr>
      </w:pPr>
      <w:r>
        <w:rPr>
          <w:rFonts w:hint="eastAsia" w:ascii="宋体" w:hAnsi="宋体" w:cs="宋体"/>
          <w:b/>
          <w:sz w:val="24"/>
          <w:lang w:val="en-US" w:eastAsia="zh-CN"/>
        </w:rPr>
        <w:t>18.4开标记录开启后，请将附件8《政府采购活动现场确认声明书》填写完整发送至邮箱：3692652350@qq.com。</w:t>
      </w:r>
    </w:p>
    <w:p>
      <w:pPr>
        <w:widowControl/>
        <w:spacing w:before="100" w:beforeAutospacing="1" w:after="240" w:line="360" w:lineRule="auto"/>
        <w:jc w:val="left"/>
        <w:rPr>
          <w:rFonts w:ascii="宋体" w:hAnsi="宋体" w:cs="宋体"/>
          <w:b/>
          <w:sz w:val="24"/>
          <w:szCs w:val="20"/>
        </w:rPr>
      </w:pPr>
      <w:r>
        <w:rPr>
          <w:rFonts w:hint="eastAsia" w:ascii="宋体" w:hAnsi="宋体" w:cs="宋体"/>
          <w:b/>
          <w:sz w:val="24"/>
          <w:szCs w:val="20"/>
        </w:rPr>
        <w:t>　19、资格审查</w:t>
      </w:r>
    </w:p>
    <w:p>
      <w:pPr>
        <w:pStyle w:val="128"/>
        <w:spacing w:before="0"/>
        <w:ind w:firstLine="480"/>
        <w:rPr>
          <w:rFonts w:ascii="宋体" w:hAnsi="宋体" w:cs="宋体"/>
          <w:kern w:val="0"/>
          <w:szCs w:val="24"/>
          <w:highlight w:val="none"/>
        </w:rPr>
      </w:pPr>
      <w:r>
        <w:rPr>
          <w:rFonts w:hint="eastAsia" w:ascii="宋体" w:hAnsi="宋体" w:cs="宋体"/>
          <w:kern w:val="0"/>
          <w:szCs w:val="24"/>
          <w:highlight w:val="none"/>
        </w:rPr>
        <w:t>19.1开标后，采购人将依据法律法规和招标文件的规定，对投标人的资格进行审查。</w:t>
      </w:r>
    </w:p>
    <w:p>
      <w:pPr>
        <w:pStyle w:val="128"/>
        <w:spacing w:before="0"/>
        <w:ind w:firstLine="480"/>
        <w:rPr>
          <w:rFonts w:ascii="宋体" w:hAnsi="宋体" w:cs="宋体"/>
          <w:highlight w:val="none"/>
        </w:rPr>
      </w:pPr>
      <w:r>
        <w:rPr>
          <w:rFonts w:hint="eastAsia" w:ascii="宋体" w:hAnsi="宋体" w:cs="宋体"/>
          <w:kern w:val="0"/>
          <w:szCs w:val="24"/>
          <w:highlight w:val="none"/>
        </w:rPr>
        <w:t>19.2投标人未按照招标文件要求提供与</w:t>
      </w:r>
      <w:r>
        <w:rPr>
          <w:rFonts w:hint="eastAsia" w:ascii="宋体" w:hAnsi="宋体" w:cs="宋体"/>
          <w:highlight w:val="none"/>
        </w:rPr>
        <w:t>资格条件相应的</w:t>
      </w:r>
      <w:r>
        <w:rPr>
          <w:rFonts w:hint="eastAsia" w:ascii="宋体" w:hAnsi="宋体" w:cs="宋体"/>
          <w:kern w:val="0"/>
          <w:szCs w:val="24"/>
          <w:highlight w:val="none"/>
        </w:rPr>
        <w:t>有效资格证明材料的，视为</w:t>
      </w:r>
      <w:r>
        <w:rPr>
          <w:rFonts w:hint="eastAsia" w:ascii="宋体" w:hAnsi="宋体" w:cs="宋体"/>
          <w:highlight w:val="none"/>
        </w:rPr>
        <w:t>投标人不具备招标文件中规定的资格要求，其投标无效。</w:t>
      </w:r>
    </w:p>
    <w:p>
      <w:pPr>
        <w:pStyle w:val="128"/>
        <w:spacing w:before="0"/>
        <w:ind w:firstLine="480"/>
        <w:rPr>
          <w:rFonts w:ascii="宋体" w:hAnsi="宋体" w:cs="宋体"/>
          <w:highlight w:val="none"/>
        </w:rPr>
      </w:pPr>
      <w:r>
        <w:rPr>
          <w:rFonts w:hint="eastAsia" w:ascii="宋体" w:hAnsi="宋体" w:cs="宋体"/>
          <w:kern w:val="0"/>
          <w:szCs w:val="24"/>
          <w:highlight w:val="none"/>
        </w:rPr>
        <w:t>19.</w:t>
      </w:r>
      <w:r>
        <w:rPr>
          <w:rFonts w:hint="eastAsia" w:ascii="宋体" w:hAnsi="宋体" w:cs="宋体"/>
          <w:highlight w:val="none"/>
        </w:rPr>
        <w:t>3对未通过资格审查的投标人，告知其未通过的原因。</w:t>
      </w:r>
    </w:p>
    <w:p>
      <w:pPr>
        <w:pStyle w:val="128"/>
        <w:spacing w:before="0"/>
        <w:ind w:firstLine="480" w:firstLineChars="200"/>
        <w:rPr>
          <w:rFonts w:hint="eastAsia" w:ascii="宋体" w:hAnsi="宋体" w:cs="宋体"/>
          <w:highlight w:val="none"/>
        </w:rPr>
      </w:pPr>
      <w:r>
        <w:rPr>
          <w:rFonts w:hint="eastAsia" w:ascii="宋体" w:hAnsi="宋体" w:cs="宋体"/>
          <w:kern w:val="0"/>
          <w:szCs w:val="24"/>
          <w:highlight w:val="none"/>
        </w:rPr>
        <w:t>19.</w:t>
      </w:r>
      <w:r>
        <w:rPr>
          <w:rFonts w:hint="eastAsia" w:ascii="宋体" w:hAnsi="宋体" w:cs="宋体"/>
          <w:highlight w:val="none"/>
        </w:rPr>
        <w:t>4合格投标人不足3家的，不再评标。</w:t>
      </w:r>
    </w:p>
    <w:p>
      <w:pPr>
        <w:pStyle w:val="128"/>
        <w:spacing w:before="0"/>
        <w:ind w:firstLine="0" w:firstLineChars="0"/>
        <w:rPr>
          <w:rFonts w:ascii="宋体" w:hAnsi="宋体" w:cs="宋体"/>
          <w:b/>
          <w:szCs w:val="24"/>
        </w:rPr>
      </w:pPr>
      <w:r>
        <w:rPr>
          <w:rFonts w:hint="eastAsia" w:ascii="宋体" w:hAnsi="宋体" w:cs="宋体"/>
          <w:b/>
          <w:szCs w:val="24"/>
        </w:rPr>
        <w:t>20、信用信息查询</w:t>
      </w:r>
    </w:p>
    <w:p>
      <w:pPr>
        <w:pStyle w:val="128"/>
        <w:spacing w:before="0"/>
        <w:ind w:firstLine="495" w:firstLineChars="0"/>
        <w:rPr>
          <w:rFonts w:ascii="宋体" w:hAnsi="宋体" w:cs="宋体"/>
          <w:kern w:val="0"/>
          <w:szCs w:val="24"/>
        </w:rPr>
      </w:pPr>
      <w:r>
        <w:rPr>
          <w:rFonts w:hint="eastAsia" w:ascii="宋体" w:hAnsi="宋体" w:cs="宋体"/>
          <w:kern w:val="0"/>
          <w:szCs w:val="24"/>
        </w:rPr>
        <w:t>20.1信用信息查询渠道及截止时间：</w:t>
      </w:r>
      <w:r>
        <w:rPr>
          <w:rFonts w:hint="eastAsia" w:ascii="宋体" w:hAnsi="宋体" w:cs="宋体"/>
          <w:kern w:val="0"/>
          <w:szCs w:val="24"/>
          <w:lang w:eastAsia="zh-CN"/>
        </w:rPr>
        <w:t>采购代理机构</w:t>
      </w:r>
      <w:r>
        <w:rPr>
          <w:rFonts w:hint="eastAsia" w:ascii="宋体" w:hAnsi="宋体" w:cs="宋体"/>
          <w:kern w:val="0"/>
          <w:szCs w:val="24"/>
        </w:rPr>
        <w:t>将在资格审查时通过“信用中国”网站(www.creditchina.gov.cn)、中国政府采购网(www.ccgp.gov.cn)渠道查询投标人接受资格时的信用记录。</w:t>
      </w:r>
    </w:p>
    <w:p>
      <w:pPr>
        <w:pStyle w:val="128"/>
        <w:spacing w:before="0"/>
        <w:ind w:firstLine="495" w:firstLineChars="0"/>
        <w:rPr>
          <w:rFonts w:ascii="宋体" w:hAnsi="宋体" w:cs="宋体"/>
          <w:kern w:val="0"/>
          <w:szCs w:val="24"/>
        </w:rPr>
      </w:pPr>
      <w:r>
        <w:rPr>
          <w:rFonts w:hint="eastAsia" w:ascii="宋体" w:hAnsi="宋体" w:cs="宋体"/>
          <w:kern w:val="0"/>
          <w:szCs w:val="24"/>
        </w:rPr>
        <w:t>20.2信用信息查询记录和证据留存的具体方式：现场查询的投标人的信用记录、查询结果经确认后将与采购文件一起存档。</w:t>
      </w:r>
    </w:p>
    <w:p>
      <w:pPr>
        <w:pStyle w:val="128"/>
        <w:spacing w:before="0"/>
        <w:ind w:firstLine="495" w:firstLineChars="0"/>
        <w:rPr>
          <w:rFonts w:ascii="宋体" w:hAnsi="宋体" w:cs="宋体"/>
          <w:kern w:val="0"/>
          <w:szCs w:val="24"/>
        </w:rPr>
      </w:pPr>
      <w:r>
        <w:rPr>
          <w:rFonts w:hint="eastAsia" w:ascii="宋体" w:hAnsi="宋体" w:cs="宋体"/>
          <w:kern w:val="0"/>
          <w:szCs w:val="24"/>
        </w:rPr>
        <w:t>20.3信用信息的使用规则：经查询列入失信被执行人名单、重大税收违法案件当事人名单、政府采购严重违法失信行为记录名单的投标人将被拒绝参与政府采购活动。</w:t>
      </w:r>
    </w:p>
    <w:p>
      <w:pPr>
        <w:pStyle w:val="128"/>
        <w:spacing w:before="0"/>
        <w:ind w:firstLine="480"/>
        <w:rPr>
          <w:rFonts w:ascii="宋体" w:hAnsi="宋体" w:cs="宋体"/>
        </w:rPr>
      </w:pPr>
      <w:r>
        <w:rPr>
          <w:rFonts w:hint="eastAsia" w:ascii="宋体" w:hAnsi="宋体" w:cs="宋体"/>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rPr>
        <w:t>。</w:t>
      </w:r>
    </w:p>
    <w:p>
      <w:pPr>
        <w:pStyle w:val="128"/>
        <w:spacing w:before="0"/>
        <w:ind w:firstLine="0" w:firstLineChars="0"/>
        <w:rPr>
          <w:rFonts w:ascii="宋体" w:hAnsi="宋体" w:cs="宋体"/>
          <w:kern w:val="0"/>
          <w:szCs w:val="24"/>
        </w:rPr>
      </w:pPr>
    </w:p>
    <w:p>
      <w:pPr>
        <w:snapToGrid w:val="0"/>
        <w:spacing w:line="360" w:lineRule="auto"/>
        <w:jc w:val="center"/>
        <w:outlineLvl w:val="0"/>
        <w:rPr>
          <w:rFonts w:ascii="宋体" w:hAnsi="宋体" w:cs="宋体"/>
          <w:b/>
          <w:sz w:val="36"/>
          <w:szCs w:val="36"/>
        </w:rPr>
      </w:pPr>
      <w:r>
        <w:rPr>
          <w:rFonts w:hint="eastAsia" w:ascii="宋体" w:hAnsi="宋体" w:cs="宋体"/>
          <w:b/>
          <w:sz w:val="36"/>
          <w:szCs w:val="36"/>
        </w:rPr>
        <w:t>五、评标</w:t>
      </w:r>
    </w:p>
    <w:p>
      <w:pPr>
        <w:spacing w:line="360" w:lineRule="auto"/>
        <w:rPr>
          <w:rFonts w:ascii="宋体" w:hAnsi="宋体" w:cs="宋体"/>
          <w:b/>
          <w:sz w:val="24"/>
        </w:rPr>
      </w:pPr>
      <w:bookmarkStart w:id="13" w:name="_Toc91899903"/>
      <w:r>
        <w:rPr>
          <w:rFonts w:hint="eastAsia" w:ascii="宋体" w:hAnsi="宋体" w:cs="宋体"/>
          <w:b/>
          <w:sz w:val="24"/>
        </w:rPr>
        <w:t>21.</w:t>
      </w:r>
      <w:r>
        <w:rPr>
          <w:rFonts w:hint="eastAsia" w:ascii="宋体" w:hAnsi="宋体" w:cs="宋体"/>
        </w:rPr>
        <w:t xml:space="preserve"> </w:t>
      </w:r>
      <w:r>
        <w:rPr>
          <w:rFonts w:hint="eastAsia" w:ascii="宋体" w:hAnsi="宋体" w:cs="宋体"/>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sz w:val="24"/>
        </w:rPr>
        <w:t>详见招标文件第四部分评标办法。</w:t>
      </w:r>
    </w:p>
    <w:p>
      <w:pPr>
        <w:spacing w:line="360" w:lineRule="auto"/>
        <w:rPr>
          <w:rFonts w:ascii="宋体" w:hAnsi="宋体" w:cs="宋体"/>
          <w:b/>
          <w:sz w:val="24"/>
        </w:rPr>
      </w:pPr>
    </w:p>
    <w:p>
      <w:pPr>
        <w:snapToGrid w:val="0"/>
        <w:spacing w:line="360" w:lineRule="auto"/>
        <w:jc w:val="center"/>
        <w:outlineLvl w:val="0"/>
        <w:rPr>
          <w:rFonts w:ascii="宋体" w:hAnsi="宋体" w:cs="宋体"/>
          <w:b/>
          <w:sz w:val="36"/>
          <w:szCs w:val="36"/>
        </w:rPr>
      </w:pPr>
      <w:r>
        <w:rPr>
          <w:rFonts w:hint="eastAsia" w:ascii="宋体" w:hAnsi="宋体" w:cs="宋体"/>
          <w:b/>
          <w:sz w:val="36"/>
          <w:szCs w:val="36"/>
        </w:rPr>
        <w:t>六、定 标</w:t>
      </w:r>
    </w:p>
    <w:p>
      <w:pPr>
        <w:pStyle w:val="26"/>
        <w:spacing w:line="360" w:lineRule="auto"/>
        <w:ind w:left="479" w:hanging="479" w:hangingChars="199"/>
        <w:rPr>
          <w:rFonts w:cs="宋体"/>
          <w:b/>
        </w:rPr>
      </w:pPr>
      <w:r>
        <w:rPr>
          <w:rFonts w:hint="eastAsia" w:cs="宋体"/>
          <w:b/>
        </w:rPr>
        <w:t>22. 确定中标供应商</w:t>
      </w:r>
    </w:p>
    <w:p>
      <w:pPr>
        <w:pStyle w:val="128"/>
        <w:snapToGrid w:val="0"/>
        <w:spacing w:before="0"/>
        <w:ind w:firstLine="480" w:firstLineChars="200"/>
        <w:rPr>
          <w:rFonts w:hint="eastAsia" w:ascii="宋体" w:hAnsi="宋体" w:cs="宋体"/>
          <w:b w:val="0"/>
          <w:bCs/>
          <w:szCs w:val="24"/>
        </w:rPr>
      </w:pPr>
      <w:r>
        <w:rPr>
          <w:rFonts w:hint="eastAsia" w:ascii="宋体" w:hAnsi="宋体" w:cs="宋体"/>
          <w:b w:val="0"/>
          <w:bCs/>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在采购结果确认环节，中标候选人撤销投标文件不能成为采购人不确认采购结果的正当理由。中标、成交通知书和中标、成交结果公告应当在规定时间内同时发出。</w:t>
      </w:r>
    </w:p>
    <w:p>
      <w:pPr>
        <w:pStyle w:val="128"/>
        <w:snapToGrid w:val="0"/>
        <w:spacing w:before="0"/>
        <w:ind w:firstLine="0" w:firstLineChars="0"/>
        <w:rPr>
          <w:rFonts w:ascii="宋体" w:hAnsi="宋体" w:cs="宋体"/>
          <w:b/>
          <w:szCs w:val="24"/>
        </w:rPr>
      </w:pPr>
      <w:r>
        <w:rPr>
          <w:rFonts w:hint="eastAsia" w:ascii="宋体" w:hAnsi="宋体" w:cs="宋体"/>
          <w:b/>
          <w:szCs w:val="24"/>
        </w:rPr>
        <w:t>23. 中标通知与中标结果公告</w:t>
      </w:r>
    </w:p>
    <w:p>
      <w:pPr>
        <w:widowControl/>
        <w:shd w:val="clear" w:color="auto" w:fill="FFFFFF"/>
        <w:spacing w:line="360" w:lineRule="auto"/>
        <w:ind w:firstLine="480"/>
        <w:jc w:val="left"/>
        <w:rPr>
          <w:rFonts w:ascii="宋体" w:hAnsi="宋体" w:cs="宋体"/>
          <w:sz w:val="24"/>
        </w:rPr>
      </w:pPr>
      <w:r>
        <w:rPr>
          <w:rFonts w:hint="eastAsia" w:ascii="宋体" w:hAnsi="宋体" w:cs="宋体"/>
          <w:sz w:val="24"/>
        </w:rPr>
        <w:t>23.1自中标人确定之日起2个工作日内，</w:t>
      </w:r>
      <w:r>
        <w:rPr>
          <w:rFonts w:hint="eastAsia" w:ascii="宋体" w:hAnsi="宋体" w:cs="宋体"/>
          <w:sz w:val="24"/>
          <w:lang w:eastAsia="zh-CN"/>
        </w:rPr>
        <w:t>采购代理机构</w:t>
      </w:r>
      <w:r>
        <w:rPr>
          <w:rFonts w:hint="eastAsia" w:ascii="宋体" w:hAnsi="宋体" w:cs="宋体"/>
          <w:sz w:val="24"/>
        </w:rPr>
        <w:t>通过电子交易平台向中标人发出中标通知书，同时编制发布采购结果公告。</w:t>
      </w:r>
      <w:r>
        <w:rPr>
          <w:rFonts w:hint="eastAsia" w:ascii="宋体" w:hAnsi="宋体" w:cs="宋体"/>
          <w:sz w:val="24"/>
          <w:lang w:eastAsia="zh-CN"/>
        </w:rPr>
        <w:t>采购代理机构</w:t>
      </w:r>
      <w:r>
        <w:rPr>
          <w:rFonts w:hint="eastAsia" w:ascii="宋体" w:hAnsi="宋体" w:cs="宋体"/>
          <w:sz w:val="24"/>
        </w:rPr>
        <w:t>也可以以纸质形式进行中标通知。</w:t>
      </w:r>
    </w:p>
    <w:p>
      <w:pPr>
        <w:widowControl/>
        <w:shd w:val="clear" w:color="auto" w:fill="FFFFFF"/>
        <w:spacing w:line="360" w:lineRule="auto"/>
        <w:ind w:firstLine="480"/>
        <w:jc w:val="left"/>
        <w:rPr>
          <w:rFonts w:ascii="宋体" w:hAnsi="宋体" w:cs="宋体"/>
          <w:sz w:val="24"/>
        </w:rPr>
      </w:pPr>
      <w:r>
        <w:rPr>
          <w:rFonts w:hint="eastAsia" w:ascii="宋体" w:hAnsi="宋体" w:cs="宋体"/>
          <w:sz w:val="24"/>
        </w:rPr>
        <w:t>23.2中标结果公告内容包括采购人及其委托的</w:t>
      </w:r>
      <w:r>
        <w:rPr>
          <w:rFonts w:hint="eastAsia" w:ascii="宋体" w:hAnsi="宋体" w:cs="宋体"/>
          <w:sz w:val="24"/>
          <w:lang w:eastAsia="zh-CN"/>
        </w:rPr>
        <w:t>采购代理机构</w:t>
      </w:r>
      <w:r>
        <w:rPr>
          <w:rFonts w:hint="eastAsia" w:ascii="宋体" w:hAnsi="宋体" w:cs="宋体"/>
          <w:sz w:val="24"/>
        </w:rPr>
        <w:t>的名称、地址、联系方式，项目名称和项目编号，中标人名称、地址和中标金额，主要中标标的的名称、规格型号、数量、单价、服务要求，开标记录、</w:t>
      </w:r>
      <w:bookmarkStart w:id="14" w:name="_Hlk101184471"/>
      <w:r>
        <w:rPr>
          <w:rFonts w:hint="eastAsia" w:ascii="宋体" w:hAnsi="宋体" w:cs="宋体"/>
          <w:sz w:val="24"/>
        </w:rPr>
        <w:t>资格审查情况、评审专家抽取规则、符合性审查情况、</w:t>
      </w:r>
      <w:bookmarkEnd w:id="14"/>
      <w:r>
        <w:rPr>
          <w:rFonts w:hint="eastAsia" w:ascii="宋体" w:hAnsi="宋体" w:cs="宋体"/>
          <w:sz w:val="24"/>
        </w:rPr>
        <w:t>未中标情况说明、中标公告期限以及评审专家名单、评分汇总及明细。</w:t>
      </w:r>
    </w:p>
    <w:p>
      <w:pPr>
        <w:widowControl/>
        <w:shd w:val="clear" w:color="auto" w:fill="FFFFFF"/>
        <w:spacing w:line="360" w:lineRule="auto"/>
        <w:ind w:firstLine="480"/>
        <w:jc w:val="left"/>
        <w:rPr>
          <w:rFonts w:ascii="宋体" w:hAnsi="宋体" w:cs="宋体"/>
          <w:sz w:val="24"/>
        </w:rPr>
      </w:pPr>
      <w:r>
        <w:rPr>
          <w:rFonts w:hint="eastAsia" w:ascii="宋体" w:hAnsi="宋体" w:cs="宋体"/>
          <w:sz w:val="24"/>
        </w:rPr>
        <w:t>23.3公告期限为1个工作日。</w:t>
      </w:r>
    </w:p>
    <w:p>
      <w:pPr>
        <w:snapToGrid w:val="0"/>
        <w:spacing w:line="360" w:lineRule="auto"/>
        <w:ind w:left="120" w:leftChars="57" w:firstLine="482" w:firstLineChars="150"/>
        <w:jc w:val="center"/>
        <w:rPr>
          <w:rFonts w:ascii="宋体" w:hAnsi="宋体" w:cs="宋体"/>
          <w:b/>
          <w:sz w:val="32"/>
        </w:rPr>
      </w:pPr>
    </w:p>
    <w:p>
      <w:pPr>
        <w:snapToGrid w:val="0"/>
        <w:spacing w:line="360" w:lineRule="auto"/>
        <w:ind w:left="120" w:leftChars="57" w:firstLine="482" w:firstLineChars="150"/>
        <w:jc w:val="center"/>
        <w:rPr>
          <w:rFonts w:ascii="宋体" w:hAnsi="宋体" w:cs="宋体"/>
          <w:b/>
          <w:sz w:val="32"/>
        </w:rPr>
      </w:pPr>
      <w:r>
        <w:rPr>
          <w:rFonts w:hint="eastAsia" w:ascii="宋体" w:hAnsi="宋体" w:cs="宋体"/>
          <w:b/>
          <w:sz w:val="32"/>
        </w:rPr>
        <w:t>七、合同授予</w:t>
      </w:r>
    </w:p>
    <w:p>
      <w:pPr>
        <w:pStyle w:val="26"/>
        <w:spacing w:line="360" w:lineRule="auto"/>
        <w:ind w:left="479" w:hanging="479" w:hangingChars="199"/>
        <w:rPr>
          <w:rFonts w:cs="宋体"/>
          <w:b/>
        </w:rPr>
      </w:pPr>
      <w:r>
        <w:rPr>
          <w:rFonts w:hint="eastAsia" w:cs="宋体"/>
          <w:b/>
        </w:rPr>
        <w:t xml:space="preserve">24. </w:t>
      </w:r>
      <w:r>
        <w:rPr>
          <w:rFonts w:hint="eastAsia" w:cs="宋体"/>
        </w:rPr>
        <w:t>合同主要条款详见第五部分拟签订的合同文本。</w:t>
      </w:r>
    </w:p>
    <w:p>
      <w:pPr>
        <w:pStyle w:val="26"/>
        <w:spacing w:line="360" w:lineRule="auto"/>
        <w:ind w:left="479" w:hanging="479" w:hangingChars="199"/>
        <w:rPr>
          <w:rFonts w:cs="宋体"/>
          <w:b/>
        </w:rPr>
      </w:pPr>
      <w:r>
        <w:rPr>
          <w:rFonts w:hint="eastAsia" w:cs="宋体"/>
          <w:b/>
        </w:rPr>
        <w:t>25. 合同的签订</w:t>
      </w:r>
    </w:p>
    <w:p>
      <w:pPr>
        <w:widowControl/>
        <w:shd w:val="clear" w:color="auto" w:fill="FFFFFF"/>
        <w:spacing w:line="360" w:lineRule="auto"/>
        <w:ind w:firstLine="480"/>
        <w:jc w:val="left"/>
        <w:rPr>
          <w:rFonts w:ascii="宋体" w:hAnsi="宋体" w:cs="宋体"/>
          <w:kern w:val="0"/>
          <w:sz w:val="24"/>
        </w:rPr>
      </w:pPr>
      <w:r>
        <w:rPr>
          <w:rFonts w:hint="eastAsia" w:ascii="宋体" w:hAnsi="宋体" w:cs="宋体"/>
          <w:sz w:val="24"/>
        </w:rPr>
        <w:t>25.1</w:t>
      </w:r>
      <w:r>
        <w:rPr>
          <w:rFonts w:hint="eastAsia" w:ascii="宋体" w:hAnsi="宋体" w:cs="宋体"/>
          <w:kern w:val="0"/>
          <w:sz w:val="24"/>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pPr>
        <w:pStyle w:val="128"/>
        <w:snapToGrid w:val="0"/>
        <w:spacing w:before="0"/>
        <w:ind w:firstLine="480"/>
        <w:rPr>
          <w:rFonts w:ascii="宋体" w:hAnsi="宋体" w:cs="宋体"/>
          <w:kern w:val="0"/>
        </w:rPr>
      </w:pPr>
      <w:r>
        <w:rPr>
          <w:rFonts w:hint="eastAsia" w:ascii="宋体" w:hAnsi="宋体" w:cs="宋体"/>
          <w:kern w:val="0"/>
          <w:lang w:val="zh-CN"/>
        </w:rPr>
        <w:t>25.2中标人按规定的日期、时间、地点，由法定代表人或其授权代表与采购人代表签订合同。如中标人为联合体的，由联合体成员各方法定代表人或其授权代表与采购人代表签订合同。</w:t>
      </w:r>
    </w:p>
    <w:p>
      <w:pPr>
        <w:pStyle w:val="128"/>
        <w:snapToGrid w:val="0"/>
        <w:spacing w:before="0"/>
        <w:ind w:firstLine="480"/>
        <w:rPr>
          <w:rFonts w:ascii="宋体" w:hAnsi="宋体" w:cs="宋体"/>
        </w:rPr>
      </w:pPr>
      <w:r>
        <w:rPr>
          <w:rFonts w:hint="eastAsia" w:ascii="宋体" w:hAnsi="宋体" w:cs="宋体"/>
        </w:rPr>
        <w:t>25.3如签订合同并生效后，供应商无故拒绝或延期，除按照合同条款处理外，列入不良行为记录一次，并给予通报。</w:t>
      </w:r>
    </w:p>
    <w:p>
      <w:pPr>
        <w:pStyle w:val="128"/>
        <w:snapToGrid w:val="0"/>
        <w:spacing w:before="0"/>
        <w:ind w:firstLine="480"/>
        <w:rPr>
          <w:rFonts w:ascii="宋体" w:hAnsi="宋体" w:cs="宋体"/>
        </w:rPr>
      </w:pPr>
      <w:r>
        <w:rPr>
          <w:rFonts w:hint="eastAsia" w:ascii="宋体" w:hAnsi="宋体" w:cs="宋体"/>
        </w:rPr>
        <w:t>25.4中标供应商拒绝与采购人签订合同的，采购人可以按照评审报告推荐的中标或者成交候选人名单排序，确定下一候选人为中标供应商，也可以重新开展政府采购活动。</w:t>
      </w:r>
    </w:p>
    <w:p>
      <w:pPr>
        <w:pStyle w:val="128"/>
        <w:snapToGrid w:val="0"/>
        <w:spacing w:before="0" w:after="120"/>
        <w:ind w:firstLine="480"/>
        <w:rPr>
          <w:rFonts w:ascii="宋体" w:hAnsi="宋体" w:cs="宋体"/>
        </w:rPr>
      </w:pPr>
      <w:r>
        <w:rPr>
          <w:rFonts w:hint="eastAsia" w:ascii="宋体" w:hAnsi="宋体" w:cs="宋体"/>
        </w:rPr>
        <w:t>25.5采购合同由采购人与中标供应商根据招标文件、投标文件等内容通过政府采购电子交易平台在线签订，自动备案。</w:t>
      </w:r>
    </w:p>
    <w:p>
      <w:pPr>
        <w:pStyle w:val="26"/>
        <w:spacing w:line="360" w:lineRule="auto"/>
        <w:ind w:left="479" w:hanging="479" w:hangingChars="199"/>
        <w:rPr>
          <w:rFonts w:cs="宋体"/>
          <w:b/>
        </w:rPr>
      </w:pPr>
      <w:r>
        <w:rPr>
          <w:rFonts w:hint="eastAsia" w:cs="宋体"/>
          <w:b/>
        </w:rPr>
        <w:t>26. 履约保证金</w:t>
      </w:r>
    </w:p>
    <w:p>
      <w:pPr>
        <w:tabs>
          <w:tab w:val="left" w:pos="0"/>
        </w:tabs>
        <w:spacing w:line="360" w:lineRule="auto"/>
        <w:ind w:firstLine="482"/>
        <w:rPr>
          <w:rFonts w:ascii="宋体" w:hAnsi="宋体" w:cs="宋体"/>
          <w:sz w:val="24"/>
        </w:rPr>
      </w:pPr>
      <w:r>
        <w:rPr>
          <w:rFonts w:hint="eastAsia" w:ascii="宋体" w:hAnsi="宋体" w:cs="宋体"/>
          <w:kern w:val="0"/>
          <w:sz w:val="24"/>
        </w:rPr>
        <w:t>拟签订的合同文本要求中标供应商提交履约保证金的，供应商应当以支票、汇票、本票或者金融机构、担保机构出具的保函等非现金形式提交</w:t>
      </w:r>
      <w:r>
        <w:rPr>
          <w:rFonts w:hint="eastAsia" w:ascii="宋体" w:hAnsi="宋体" w:cs="宋体"/>
          <w:sz w:val="24"/>
        </w:rPr>
        <w:t>。履约保证金的数额不得超过政府采购合同金额的</w:t>
      </w:r>
      <w:r>
        <w:rPr>
          <w:rFonts w:ascii="宋体" w:hAnsi="宋体" w:cs="宋体"/>
          <w:sz w:val="24"/>
        </w:rPr>
        <w:t>1</w:t>
      </w:r>
      <w:r>
        <w:rPr>
          <w:rFonts w:hint="eastAsia" w:ascii="宋体" w:hAnsi="宋体" w:cs="宋体"/>
          <w:sz w:val="24"/>
        </w:rPr>
        <w:t>%</w:t>
      </w:r>
      <w:r>
        <w:rPr>
          <w:rFonts w:hint="eastAsia" w:ascii="宋体" w:hAnsi="宋体" w:cs="宋体"/>
          <w:sz w:val="24"/>
          <w:highlight w:val="none"/>
        </w:rPr>
        <w:t>，鼓励根据项目特点、供应商诚信等因素免收履约保证金或降低缴纳比例</w:t>
      </w:r>
      <w:r>
        <w:rPr>
          <w:rFonts w:hint="eastAsia" w:ascii="宋体" w:hAnsi="宋体" w:cs="宋体"/>
          <w:sz w:val="24"/>
        </w:rPr>
        <w:t>。鼓励和支持供应商以银行、保险公司出具的保函形式提供履约保证金。采购人不得拒收履约保函，项目验收结束后应及时退还，</w:t>
      </w:r>
      <w:r>
        <w:rPr>
          <w:rFonts w:ascii="宋体" w:hAnsi="宋体" w:cs="宋体"/>
          <w:sz w:val="24"/>
        </w:rPr>
        <w:t>延迟退还的，应当按照合同约定和法律规定承担相应的赔偿责任</w:t>
      </w:r>
      <w:r>
        <w:rPr>
          <w:rFonts w:hint="eastAsia" w:ascii="宋体" w:hAnsi="宋体" w:cs="宋体"/>
          <w:sz w:val="24"/>
        </w:rPr>
        <w:t>。</w:t>
      </w:r>
    </w:p>
    <w:p>
      <w:pPr>
        <w:pStyle w:val="4"/>
        <w:ind w:left="0" w:firstLine="480" w:firstLineChars="200"/>
        <w:rPr>
          <w:rFonts w:ascii="宋体" w:hAnsi="宋体" w:eastAsia="宋体" w:cs="宋体"/>
          <w:b w:val="0"/>
          <w:bCs w:val="0"/>
          <w:snapToGrid w:val="0"/>
          <w:kern w:val="28"/>
          <w:sz w:val="24"/>
        </w:rPr>
      </w:pPr>
      <w:r>
        <w:rPr>
          <w:rFonts w:hint="eastAsia" w:ascii="宋体" w:hAnsi="宋体" w:eastAsia="宋体" w:cs="宋体"/>
          <w:b w:val="0"/>
          <w:bCs w:val="0"/>
          <w:snapToGrid w:val="0"/>
          <w:kern w:val="28"/>
          <w:sz w:val="24"/>
        </w:rPr>
        <w:t>供应商</w:t>
      </w:r>
      <w:r>
        <w:rPr>
          <w:rFonts w:hint="eastAsia" w:ascii="宋体" w:hAnsi="宋体" w:eastAsia="宋体" w:cs="宋体"/>
          <w:b w:val="0"/>
          <w:bCs w:val="0"/>
          <w:snapToGrid w:val="0"/>
          <w:kern w:val="28"/>
          <w:sz w:val="24"/>
          <w:lang w:val="en-US"/>
        </w:rPr>
        <w:t>可</w:t>
      </w:r>
      <w:r>
        <w:rPr>
          <w:rFonts w:hint="eastAsia" w:ascii="宋体" w:hAnsi="宋体" w:eastAsia="宋体" w:cs="宋体"/>
          <w:b w:val="0"/>
          <w:bCs w:val="0"/>
          <w:snapToGrid w:val="0"/>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pStyle w:val="4"/>
        <w:rPr>
          <w:highlight w:val="none"/>
        </w:rPr>
      </w:pPr>
      <w:r>
        <w:rPr>
          <w:rFonts w:ascii="宋体" w:hAnsi="宋体" w:eastAsia="宋体"/>
          <w:b/>
          <w:bCs/>
          <w:sz w:val="24"/>
          <w:szCs w:val="32"/>
          <w:highlight w:val="none"/>
          <w:lang w:val="en-US"/>
        </w:rPr>
        <w:t>27.预付款</w:t>
      </w:r>
    </w:p>
    <w:p>
      <w:pPr>
        <w:adjustRightInd/>
        <w:spacing w:line="360" w:lineRule="auto"/>
        <w:ind w:firstLine="480" w:firstLineChars="200"/>
        <w:rPr>
          <w:highlight w:val="none"/>
        </w:rPr>
      </w:pPr>
      <w:r>
        <w:rPr>
          <w:rFonts w:hint="eastAsia" w:ascii="宋体" w:hAnsi="宋体"/>
          <w:sz w:val="24"/>
          <w:highlight w:val="none"/>
        </w:rPr>
        <w:t>采购单位应当在政府采购合同中约定预付款，对中小企业合同预付款比例原则上不低于合同金额的</w:t>
      </w:r>
      <w:r>
        <w:rPr>
          <w:rFonts w:ascii="宋体" w:hAnsi="宋体"/>
          <w:sz w:val="24"/>
          <w:highlight w:val="none"/>
        </w:rPr>
        <w:t>40％</w:t>
      </w:r>
      <w:r>
        <w:rPr>
          <w:rFonts w:hint="eastAsia" w:ascii="宋体" w:hAnsi="宋体"/>
          <w:sz w:val="24"/>
          <w:highlight w:val="none"/>
        </w:rPr>
        <w:t>，不高于合同金额的</w:t>
      </w:r>
      <w:r>
        <w:rPr>
          <w:rFonts w:ascii="宋体" w:hAnsi="宋体"/>
          <w:sz w:val="24"/>
          <w:highlight w:val="none"/>
        </w:rPr>
        <w:t>70%；项目分年安排预算的，每年预付款比例</w:t>
      </w:r>
      <w:r>
        <w:rPr>
          <w:rFonts w:hint="eastAsia" w:ascii="宋体" w:hAnsi="宋体"/>
          <w:sz w:val="24"/>
        </w:rPr>
        <w:t>不低于</w:t>
      </w:r>
      <w:r>
        <w:rPr>
          <w:rFonts w:ascii="宋体" w:hAnsi="宋体"/>
          <w:sz w:val="24"/>
          <w:highlight w:val="none"/>
        </w:rPr>
        <w:t>项目年度计划支付资金额的40％</w:t>
      </w:r>
      <w:r>
        <w:rPr>
          <w:rFonts w:hint="eastAsia" w:ascii="宋体" w:hAnsi="宋体"/>
          <w:sz w:val="24"/>
          <w:highlight w:val="none"/>
        </w:rPr>
        <w:t>，不高于合同金额的</w:t>
      </w:r>
      <w:r>
        <w:rPr>
          <w:rFonts w:ascii="宋体" w:hAnsi="宋体"/>
          <w:sz w:val="24"/>
          <w:highlight w:val="none"/>
        </w:rPr>
        <w:t>70%；采购项目实施以人工投入为主的，</w:t>
      </w:r>
      <w:r>
        <w:rPr>
          <w:rFonts w:hint="eastAsia" w:ascii="宋体" w:hAnsi="宋体"/>
          <w:sz w:val="24"/>
          <w:highlight w:val="none"/>
        </w:rPr>
        <w:t>可适当降低预付款比例，但不得低于</w:t>
      </w:r>
      <w:r>
        <w:rPr>
          <w:rFonts w:ascii="宋体" w:hAnsi="宋体"/>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sz w:val="24"/>
          <w:highlight w:val="none"/>
        </w:rPr>
        <w:t>供应商</w:t>
      </w:r>
      <w:r>
        <w:rPr>
          <w:rFonts w:ascii="宋体" w:hAnsi="宋体"/>
          <w:sz w:val="24"/>
          <w:highlight w:val="none"/>
        </w:rPr>
        <w:t>明确表示无需预付款或者主动要求降低预付款比例的，</w:t>
      </w:r>
      <w:r>
        <w:rPr>
          <w:rFonts w:hint="eastAsia" w:ascii="宋体" w:hAnsi="宋体"/>
          <w:sz w:val="24"/>
          <w:highlight w:val="none"/>
        </w:rPr>
        <w:t>采购单位</w:t>
      </w:r>
      <w:r>
        <w:rPr>
          <w:rFonts w:ascii="宋体" w:hAnsi="宋体"/>
          <w:sz w:val="24"/>
          <w:highlight w:val="none"/>
        </w:rPr>
        <w:t>可不适用前述规定。</w:t>
      </w:r>
      <w:r>
        <w:rPr>
          <w:rFonts w:hint="eastAsia" w:ascii="宋体" w:hAnsi="宋体"/>
          <w:sz w:val="24"/>
          <w:highlight w:val="none"/>
        </w:rPr>
        <w:t>采购单位</w:t>
      </w:r>
      <w:r>
        <w:rPr>
          <w:rFonts w:ascii="宋体" w:hAnsi="宋体"/>
          <w:sz w:val="24"/>
          <w:highlight w:val="none"/>
        </w:rPr>
        <w:t>根据项目特点、供应商诚信等因素，可以要求</w:t>
      </w:r>
      <w:r>
        <w:rPr>
          <w:rFonts w:hint="eastAsia" w:ascii="宋体" w:hAnsi="宋体"/>
          <w:sz w:val="24"/>
          <w:highlight w:val="none"/>
        </w:rPr>
        <w:t>供应商</w:t>
      </w:r>
      <w:r>
        <w:rPr>
          <w:rFonts w:ascii="宋体" w:hAnsi="宋体"/>
          <w:sz w:val="24"/>
          <w:highlight w:val="none"/>
        </w:rPr>
        <w:t>提交银行、保险公司等金融机构出具的预付款保函或其他担保措施。政府采购预付款应在合同生效以及具备实施条件后5个工作日内支付。</w:t>
      </w:r>
      <w:r>
        <w:rPr>
          <w:rFonts w:hint="eastAsia" w:ascii="宋体" w:hAnsi="宋体"/>
          <w:sz w:val="24"/>
          <w:highlight w:val="none"/>
        </w:rPr>
        <w:t>政府采购工程以及与工程建设有关的货物、服务，采用招标方式采购的，预付款从其相关规定。供应商可登录政采云前台大厅选择金融服务</w:t>
      </w:r>
      <w:r>
        <w:rPr>
          <w:rFonts w:ascii="宋体" w:hAnsi="宋体"/>
          <w:sz w:val="24"/>
          <w:highlight w:val="none"/>
        </w:rPr>
        <w:t xml:space="preserve"> - </w:t>
      </w:r>
      <w:r>
        <w:rPr>
          <w:rFonts w:hint="eastAsia" w:ascii="宋体" w:hAnsi="宋体"/>
          <w:sz w:val="24"/>
          <w:highlight w:val="none"/>
        </w:rPr>
        <w:t>【保函保险服务】出具预付款保函，具体步骤：选择产品—填写供应商信息—选择中标项目—确认信息—等待保险</w:t>
      </w:r>
      <w:r>
        <w:rPr>
          <w:rFonts w:ascii="宋体" w:hAnsi="宋体"/>
          <w:sz w:val="24"/>
          <w:highlight w:val="none"/>
        </w:rPr>
        <w:t>/保函受理—确认保单—支付保费—成功出单。政</w:t>
      </w:r>
      <w:r>
        <w:rPr>
          <w:rFonts w:hint="eastAsia" w:ascii="宋体" w:hAnsi="宋体"/>
          <w:sz w:val="24"/>
          <w:highlight w:val="none"/>
        </w:rPr>
        <w:t>采云金融专线</w:t>
      </w:r>
      <w:r>
        <w:rPr>
          <w:rFonts w:ascii="宋体" w:hAnsi="宋体"/>
          <w:sz w:val="24"/>
          <w:highlight w:val="none"/>
        </w:rPr>
        <w:t>400-903-9583。</w:t>
      </w:r>
    </w:p>
    <w:p/>
    <w:p>
      <w:pPr>
        <w:snapToGrid w:val="0"/>
        <w:spacing w:line="360" w:lineRule="auto"/>
        <w:ind w:firstLine="3357" w:firstLineChars="1045"/>
        <w:rPr>
          <w:rFonts w:ascii="宋体" w:hAnsi="宋体" w:cs="宋体"/>
          <w:b/>
          <w:sz w:val="32"/>
        </w:rPr>
      </w:pPr>
    </w:p>
    <w:p>
      <w:pPr>
        <w:snapToGrid w:val="0"/>
        <w:spacing w:line="360" w:lineRule="auto"/>
        <w:ind w:firstLine="3357" w:firstLineChars="1045"/>
        <w:rPr>
          <w:rFonts w:ascii="宋体" w:hAnsi="宋体" w:cs="宋体"/>
          <w:b/>
          <w:sz w:val="24"/>
        </w:rPr>
      </w:pPr>
      <w:r>
        <w:rPr>
          <w:rFonts w:hint="eastAsia" w:ascii="宋体" w:hAnsi="宋体" w:cs="宋体"/>
          <w:b/>
          <w:sz w:val="32"/>
        </w:rPr>
        <w:t>八、电子交易活动的中止</w:t>
      </w:r>
    </w:p>
    <w:p>
      <w:pPr>
        <w:pStyle w:val="128"/>
        <w:snapToGrid w:val="0"/>
        <w:spacing w:before="0"/>
        <w:ind w:firstLine="0" w:firstLineChars="0"/>
        <w:rPr>
          <w:rFonts w:ascii="宋体" w:hAnsi="宋体" w:cs="宋体"/>
        </w:rPr>
      </w:pPr>
      <w:r>
        <w:rPr>
          <w:rFonts w:ascii="宋体" w:hAnsi="宋体" w:cs="宋体"/>
          <w:b/>
          <w:bCs/>
          <w:sz w:val="24"/>
          <w:szCs w:val="20"/>
        </w:rPr>
        <w:t>2</w:t>
      </w:r>
      <w:r>
        <w:rPr>
          <w:rFonts w:ascii="宋体" w:hAnsi="宋体" w:cs="宋体"/>
          <w:b/>
          <w:bCs/>
          <w:sz w:val="24"/>
          <w:szCs w:val="24"/>
        </w:rPr>
        <w:t>8</w:t>
      </w:r>
      <w:r>
        <w:rPr>
          <w:rFonts w:hint="eastAsia" w:ascii="宋体" w:hAnsi="宋体" w:cs="宋体"/>
          <w:b/>
          <w:szCs w:val="24"/>
        </w:rPr>
        <w:t>. 电子交易活动的中止。</w:t>
      </w:r>
      <w:r>
        <w:rPr>
          <w:rFonts w:hint="eastAsia" w:ascii="宋体" w:hAnsi="宋体" w:cs="宋体"/>
        </w:rPr>
        <w:t>采购过程中出现以下情形，导致电子交易平台无法正常运行，或者无法保证电子交易的公平、公正和安全时，</w:t>
      </w:r>
      <w:r>
        <w:rPr>
          <w:rFonts w:hint="eastAsia" w:ascii="宋体" w:hAnsi="宋体" w:cs="宋体"/>
          <w:lang w:eastAsia="zh-CN"/>
        </w:rPr>
        <w:t>采购代理机构</w:t>
      </w:r>
      <w:r>
        <w:rPr>
          <w:rFonts w:hint="eastAsia" w:ascii="宋体" w:hAnsi="宋体" w:cs="宋体"/>
        </w:rPr>
        <w:t>可中止电子交易活动：</w:t>
      </w:r>
    </w:p>
    <w:p>
      <w:pPr>
        <w:pStyle w:val="128"/>
        <w:snapToGrid w:val="0"/>
        <w:spacing w:before="0"/>
        <w:ind w:firstLine="480"/>
        <w:rPr>
          <w:rFonts w:ascii="宋体" w:hAnsi="宋体" w:cs="宋体"/>
        </w:rPr>
      </w:pPr>
      <w:r>
        <w:rPr>
          <w:rFonts w:hint="eastAsia" w:ascii="宋体" w:hAnsi="宋体" w:cs="宋体"/>
        </w:rPr>
        <w:t xml:space="preserve">28.1电子交易平台发生故障而无法登录访问的； </w:t>
      </w:r>
    </w:p>
    <w:p>
      <w:pPr>
        <w:pStyle w:val="128"/>
        <w:snapToGrid w:val="0"/>
        <w:spacing w:before="0"/>
        <w:ind w:firstLine="480"/>
        <w:rPr>
          <w:rFonts w:ascii="宋体" w:hAnsi="宋体" w:cs="宋体"/>
        </w:rPr>
      </w:pPr>
      <w:r>
        <w:rPr>
          <w:rFonts w:hint="eastAsia" w:ascii="宋体" w:hAnsi="宋体" w:cs="宋体"/>
        </w:rPr>
        <w:t>28.2电子交易平台应用或数据库出现错误，不能进行正常操作的；</w:t>
      </w:r>
    </w:p>
    <w:p>
      <w:pPr>
        <w:pStyle w:val="128"/>
        <w:snapToGrid w:val="0"/>
        <w:spacing w:before="0"/>
        <w:ind w:firstLine="480"/>
        <w:rPr>
          <w:rFonts w:ascii="宋体" w:hAnsi="宋体" w:cs="宋体"/>
        </w:rPr>
      </w:pPr>
      <w:r>
        <w:rPr>
          <w:rFonts w:hint="eastAsia" w:ascii="宋体" w:hAnsi="宋体" w:cs="宋体"/>
        </w:rPr>
        <w:t>28.3电子交易平台发现严重安全漏洞，有潜在泄密危险的；</w:t>
      </w:r>
    </w:p>
    <w:p>
      <w:pPr>
        <w:pStyle w:val="128"/>
        <w:snapToGrid w:val="0"/>
        <w:spacing w:before="0"/>
        <w:ind w:firstLine="480"/>
        <w:rPr>
          <w:rFonts w:ascii="宋体" w:hAnsi="宋体" w:cs="宋体"/>
        </w:rPr>
      </w:pPr>
      <w:r>
        <w:rPr>
          <w:rFonts w:hint="eastAsia" w:ascii="宋体" w:hAnsi="宋体" w:cs="宋体"/>
        </w:rPr>
        <w:t xml:space="preserve">28.4病毒发作导致不能进行正常操作的； </w:t>
      </w:r>
    </w:p>
    <w:p>
      <w:pPr>
        <w:pStyle w:val="128"/>
        <w:snapToGrid w:val="0"/>
        <w:spacing w:before="0"/>
        <w:ind w:firstLine="480"/>
        <w:rPr>
          <w:rFonts w:ascii="宋体" w:hAnsi="宋体" w:cs="宋体"/>
        </w:rPr>
      </w:pPr>
      <w:r>
        <w:rPr>
          <w:rFonts w:hint="eastAsia" w:ascii="宋体" w:hAnsi="宋体" w:cs="宋体"/>
        </w:rPr>
        <w:t>28.5其他无法保证电子交易的公平、公正和安全的情况。</w:t>
      </w:r>
    </w:p>
    <w:p>
      <w:pPr>
        <w:pStyle w:val="128"/>
        <w:snapToGrid w:val="0"/>
        <w:spacing w:before="0"/>
        <w:ind w:firstLine="0" w:firstLineChars="0"/>
        <w:rPr>
          <w:rFonts w:ascii="宋体" w:hAnsi="宋体" w:cs="宋体"/>
        </w:rPr>
      </w:pPr>
      <w:r>
        <w:rPr>
          <w:rFonts w:hint="eastAsia" w:ascii="宋体" w:hAnsi="宋体" w:cs="宋体"/>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ascii="宋体" w:hAnsi="宋体" w:cs="宋体"/>
          <w:sz w:val="24"/>
        </w:rPr>
      </w:pPr>
    </w:p>
    <w:p>
      <w:pPr>
        <w:snapToGrid w:val="0"/>
        <w:spacing w:line="360" w:lineRule="auto"/>
        <w:ind w:left="120" w:leftChars="57" w:firstLine="482" w:firstLineChars="150"/>
        <w:jc w:val="center"/>
        <w:rPr>
          <w:rFonts w:ascii="宋体" w:hAnsi="宋体" w:cs="宋体"/>
          <w:b/>
          <w:sz w:val="32"/>
        </w:rPr>
      </w:pPr>
      <w:r>
        <w:rPr>
          <w:rFonts w:hint="eastAsia" w:ascii="宋体" w:hAnsi="宋体" w:cs="宋体"/>
          <w:b/>
          <w:sz w:val="32"/>
        </w:rPr>
        <w:t>九、验收</w:t>
      </w:r>
    </w:p>
    <w:p>
      <w:pPr>
        <w:pStyle w:val="26"/>
        <w:spacing w:line="360" w:lineRule="auto"/>
        <w:ind w:firstLine="0" w:firstLineChars="0"/>
        <w:rPr>
          <w:rFonts w:cs="宋体"/>
          <w:b/>
        </w:rPr>
      </w:pPr>
      <w:r>
        <w:rPr>
          <w:rFonts w:hint="eastAsia" w:cs="宋体"/>
          <w:b/>
        </w:rPr>
        <w:t>30.验收</w:t>
      </w:r>
    </w:p>
    <w:p>
      <w:pPr>
        <w:tabs>
          <w:tab w:val="left" w:pos="0"/>
        </w:tabs>
        <w:spacing w:line="360" w:lineRule="auto"/>
        <w:ind w:firstLine="480"/>
        <w:rPr>
          <w:rFonts w:ascii="宋体" w:hAnsi="宋体" w:cs="宋体"/>
          <w:kern w:val="0"/>
          <w:sz w:val="24"/>
        </w:rPr>
      </w:pPr>
      <w:r>
        <w:rPr>
          <w:rFonts w:hint="eastAsia" w:ascii="宋体" w:hAnsi="宋体" w:cs="宋体"/>
          <w:kern w:val="0"/>
          <w:sz w:val="24"/>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ascii="宋体" w:hAnsi="宋体" w:cs="宋体"/>
          <w:kern w:val="0"/>
          <w:sz w:val="24"/>
        </w:rPr>
      </w:pPr>
      <w:r>
        <w:rPr>
          <w:rFonts w:hint="eastAsia" w:ascii="宋体" w:hAnsi="宋体" w:cs="宋体"/>
          <w:kern w:val="0"/>
          <w:sz w:val="24"/>
        </w:rPr>
        <w:t>30.2采购人可以邀请参加本项目的其他投标人或者第三方机构参与验收。参与验收的投标人或者第三方机构的意见作为验收书的参考资料一并存档。</w:t>
      </w:r>
    </w:p>
    <w:p>
      <w:pPr>
        <w:tabs>
          <w:tab w:val="left" w:pos="0"/>
        </w:tabs>
        <w:spacing w:line="360" w:lineRule="auto"/>
        <w:ind w:firstLine="480"/>
        <w:rPr>
          <w:rFonts w:ascii="宋体" w:hAnsi="宋体" w:cs="宋体"/>
          <w:kern w:val="0"/>
          <w:sz w:val="24"/>
        </w:rPr>
      </w:pPr>
      <w:r>
        <w:rPr>
          <w:rFonts w:hint="eastAsia" w:ascii="宋体" w:hAnsi="宋体" w:cs="宋体"/>
          <w:kern w:val="0"/>
          <w:sz w:val="24"/>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ascii="宋体" w:hAnsi="宋体" w:cs="宋体"/>
          <w:sz w:val="18"/>
          <w:szCs w:val="18"/>
        </w:rPr>
      </w:pPr>
      <w:r>
        <w:rPr>
          <w:rFonts w:hint="eastAsia" w:ascii="宋体" w:hAnsi="宋体" w:cs="宋体"/>
          <w:kern w:val="0"/>
          <w:sz w:val="24"/>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3"/>
    <w:p>
      <w:pPr>
        <w:tabs>
          <w:tab w:val="left" w:pos="0"/>
        </w:tabs>
        <w:spacing w:line="360" w:lineRule="auto"/>
        <w:ind w:firstLine="480"/>
        <w:rPr>
          <w:rFonts w:ascii="宋体" w:hAnsi="宋体" w:cs="宋体"/>
          <w:kern w:val="0"/>
          <w:sz w:val="24"/>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5" w:name="_Hlt68072990"/>
      <w:bookmarkEnd w:id="15"/>
      <w:bookmarkStart w:id="16" w:name="_Hlt68403820"/>
      <w:bookmarkEnd w:id="16"/>
      <w:bookmarkStart w:id="17" w:name="_Hlt75236101"/>
      <w:bookmarkEnd w:id="17"/>
      <w:bookmarkStart w:id="18" w:name="_Hlt74730295"/>
      <w:bookmarkEnd w:id="18"/>
      <w:bookmarkStart w:id="19" w:name="_Hlt74729768"/>
      <w:bookmarkEnd w:id="19"/>
      <w:bookmarkStart w:id="20" w:name="_Hlt75236011"/>
      <w:bookmarkEnd w:id="20"/>
      <w:bookmarkStart w:id="21" w:name="_Hlt68073093"/>
      <w:bookmarkEnd w:id="21"/>
      <w:bookmarkStart w:id="22" w:name="_Hlt74714665"/>
      <w:bookmarkEnd w:id="22"/>
      <w:bookmarkStart w:id="23" w:name="_Hlt68072998"/>
      <w:bookmarkEnd w:id="23"/>
      <w:bookmarkStart w:id="24" w:name="_Hlt74707468"/>
      <w:bookmarkEnd w:id="24"/>
      <w:bookmarkStart w:id="25" w:name="_Hlt68057669"/>
      <w:bookmarkEnd w:id="25"/>
      <w:bookmarkStart w:id="26" w:name="_Hlt75236290"/>
      <w:bookmarkEnd w:id="26"/>
    </w:p>
    <w:bookmarkEnd w:id="11"/>
    <w:bookmarkEnd w:id="12"/>
    <w:p>
      <w:pPr>
        <w:spacing w:line="360" w:lineRule="auto"/>
        <w:jc w:val="center"/>
        <w:outlineLvl w:val="0"/>
        <w:rPr>
          <w:rFonts w:ascii="宋体" w:hAnsi="宋体" w:cs="宋体"/>
          <w:b/>
          <w:sz w:val="36"/>
          <w:szCs w:val="36"/>
        </w:rPr>
      </w:pPr>
      <w:bookmarkStart w:id="27" w:name="第四部分"/>
      <w:r>
        <w:rPr>
          <w:rFonts w:hint="eastAsia" w:ascii="宋体" w:hAnsi="宋体" w:cs="宋体"/>
          <w:b/>
          <w:sz w:val="36"/>
          <w:szCs w:val="36"/>
        </w:rPr>
        <w:t>第三部分   采购需求</w:t>
      </w:r>
    </w:p>
    <w:p>
      <w:pPr>
        <w:keepNext w:val="0"/>
        <w:keepLines w:val="0"/>
        <w:pageBreakBefore w:val="0"/>
        <w:tabs>
          <w:tab w:val="left" w:pos="0"/>
        </w:tabs>
        <w:kinsoku/>
        <w:wordWrap/>
        <w:overflowPunct/>
        <w:topLinePunct w:val="0"/>
        <w:bidi w:val="0"/>
        <w:adjustRightInd w:val="0"/>
        <w:spacing w:line="360" w:lineRule="auto"/>
        <w:ind w:firstLine="480"/>
        <w:rPr>
          <w:rFonts w:hint="eastAsia"/>
        </w:rPr>
      </w:pPr>
      <w:r>
        <w:rPr>
          <w:rFonts w:hint="eastAsia" w:ascii="宋体" w:hAnsi="宋体" w:eastAsia="宋体" w:cs="宋体"/>
          <w:b/>
          <w:bCs/>
          <w:kern w:val="0"/>
          <w:sz w:val="24"/>
        </w:rPr>
        <w:t>属于实质性要求条款的，已用符号“▲”标明，否则属于非实质性要求。</w:t>
      </w:r>
    </w:p>
    <w:p>
      <w:pPr>
        <w:keepNext w:val="0"/>
        <w:keepLines w:val="0"/>
        <w:pageBreakBefore w:val="0"/>
        <w:kinsoku/>
        <w:wordWrap/>
        <w:overflowPunct/>
        <w:topLinePunct w:val="0"/>
        <w:bidi w:val="0"/>
        <w:adjustRightInd w:val="0"/>
        <w:snapToGrid w:val="0"/>
        <w:spacing w:line="360" w:lineRule="auto"/>
        <w:ind w:firstLine="482" w:firstLineChars="200"/>
        <w:jc w:val="left"/>
        <w:rPr>
          <w:rFonts w:hint="eastAsia" w:asciiTheme="minorEastAsia" w:hAnsiTheme="minorEastAsia" w:eastAsiaTheme="minorEastAsia" w:cstheme="minorEastAsia"/>
          <w:b/>
          <w:bCs/>
          <w:color w:val="000000"/>
          <w:sz w:val="24"/>
        </w:rPr>
      </w:pPr>
      <w:r>
        <w:rPr>
          <w:rFonts w:hint="eastAsia" w:asciiTheme="minorEastAsia" w:hAnsiTheme="minorEastAsia" w:eastAsiaTheme="minorEastAsia" w:cstheme="minorEastAsia"/>
          <w:b/>
          <w:bCs/>
          <w:color w:val="000000"/>
          <w:sz w:val="24"/>
          <w:lang w:eastAsia="zh-CN"/>
        </w:rPr>
        <w:t>一、</w:t>
      </w:r>
      <w:r>
        <w:rPr>
          <w:rFonts w:hint="eastAsia" w:asciiTheme="minorEastAsia" w:hAnsiTheme="minorEastAsia" w:eastAsiaTheme="minorEastAsia" w:cstheme="minorEastAsia"/>
          <w:b/>
          <w:bCs/>
          <w:color w:val="000000"/>
          <w:sz w:val="24"/>
        </w:rPr>
        <w:t>项目概况</w:t>
      </w:r>
    </w:p>
    <w:p>
      <w:pPr>
        <w:keepNext w:val="0"/>
        <w:keepLines w:val="0"/>
        <w:pageBreakBefore w:val="0"/>
        <w:kinsoku/>
        <w:wordWrap/>
        <w:overflowPunct/>
        <w:topLinePunct w:val="0"/>
        <w:bidi w:val="0"/>
        <w:adjustRightInd w:val="0"/>
        <w:snapToGrid w:val="0"/>
        <w:spacing w:line="360" w:lineRule="auto"/>
        <w:ind w:firstLine="480" w:firstLineChars="200"/>
        <w:jc w:val="left"/>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lang w:val="en-US" w:eastAsia="zh-CN"/>
        </w:rPr>
        <w:t>1、</w:t>
      </w:r>
      <w:r>
        <w:rPr>
          <w:rFonts w:hint="eastAsia" w:asciiTheme="minorEastAsia" w:hAnsiTheme="minorEastAsia" w:eastAsiaTheme="minorEastAsia" w:cstheme="minorEastAsia"/>
          <w:color w:val="000000"/>
          <w:sz w:val="24"/>
        </w:rPr>
        <w:t>本次采购项目为临安区渗滤液处理厂运营项目，投标人应根据采购文件所提出的服务要求，选择具有最佳性能价格比的方案前来投标。</w:t>
      </w:r>
    </w:p>
    <w:p>
      <w:pPr>
        <w:keepNext w:val="0"/>
        <w:keepLines w:val="0"/>
        <w:pageBreakBefore w:val="0"/>
        <w:kinsoku/>
        <w:wordWrap/>
        <w:overflowPunct/>
        <w:topLinePunct w:val="0"/>
        <w:bidi w:val="0"/>
        <w:adjustRightInd w:val="0"/>
        <w:snapToGrid w:val="0"/>
        <w:spacing w:line="360" w:lineRule="auto"/>
        <w:ind w:firstLine="482" w:firstLineChars="200"/>
        <w:jc w:val="left"/>
        <w:rPr>
          <w:rFonts w:hint="eastAsia" w:asciiTheme="minorEastAsia" w:hAnsiTheme="minorEastAsia" w:eastAsiaTheme="minorEastAsia" w:cstheme="minorEastAsia"/>
          <w:b/>
          <w:bCs/>
          <w:color w:val="000000"/>
          <w:sz w:val="24"/>
        </w:rPr>
      </w:pPr>
      <w:r>
        <w:rPr>
          <w:rFonts w:hint="eastAsia" w:asciiTheme="minorEastAsia" w:hAnsiTheme="minorEastAsia" w:eastAsiaTheme="minorEastAsia" w:cstheme="minorEastAsia"/>
          <w:b/>
          <w:bCs/>
          <w:color w:val="000000"/>
          <w:sz w:val="24"/>
          <w:lang w:eastAsia="zh-CN"/>
        </w:rPr>
        <w:t>二、</w:t>
      </w:r>
      <w:r>
        <w:rPr>
          <w:rFonts w:hint="eastAsia" w:asciiTheme="minorEastAsia" w:hAnsiTheme="minorEastAsia" w:eastAsiaTheme="minorEastAsia" w:cstheme="minorEastAsia"/>
          <w:b/>
          <w:bCs/>
          <w:color w:val="000000"/>
          <w:sz w:val="24"/>
        </w:rPr>
        <w:t>运营概况及基本要求</w:t>
      </w:r>
    </w:p>
    <w:p>
      <w:pPr>
        <w:keepNext w:val="0"/>
        <w:keepLines w:val="0"/>
        <w:pageBreakBefore w:val="0"/>
        <w:kinsoku/>
        <w:wordWrap/>
        <w:overflowPunct/>
        <w:topLinePunct w:val="0"/>
        <w:bidi w:val="0"/>
        <w:adjustRightInd w:val="0"/>
        <w:snapToGrid w:val="0"/>
        <w:spacing w:line="360" w:lineRule="auto"/>
        <w:ind w:firstLine="480" w:firstLineChars="20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24"/>
          <w:lang w:val="en-US" w:eastAsia="zh-CN"/>
        </w:rPr>
        <w:t>1、</w:t>
      </w:r>
      <w:r>
        <w:rPr>
          <w:rFonts w:hint="eastAsia" w:asciiTheme="minorEastAsia" w:hAnsiTheme="minorEastAsia" w:eastAsiaTheme="minorEastAsia" w:cstheme="minorEastAsia"/>
          <w:color w:val="000000"/>
          <w:sz w:val="24"/>
        </w:rPr>
        <w:t>本次渗滤液厂</w:t>
      </w:r>
      <w:r>
        <w:rPr>
          <w:rFonts w:hint="eastAsia" w:asciiTheme="minorEastAsia" w:hAnsiTheme="minorEastAsia" w:eastAsiaTheme="minorEastAsia" w:cstheme="minorEastAsia"/>
          <w:color w:val="000000"/>
          <w:sz w:val="24"/>
          <w:lang w:eastAsia="zh-CN"/>
        </w:rPr>
        <w:t>运营</w:t>
      </w:r>
      <w:r>
        <w:rPr>
          <w:rFonts w:hint="eastAsia" w:asciiTheme="minorEastAsia" w:hAnsiTheme="minorEastAsia" w:eastAsiaTheme="minorEastAsia" w:cstheme="minorEastAsia"/>
          <w:color w:val="000000"/>
          <w:sz w:val="24"/>
        </w:rPr>
        <w:t>管理服务为年平均日处理渗滤液（含浓缩液，以下简称“渗滤液”）550吨，年日平均排放量不少于495吨（下浮幅度不超过10%），排放标准达到GB16889—2008《生活垃圾填埋场污染物控制标准》的表3标准排放，且回用率不低于30%（达到《城市污水再生利用 城市杂用水水质》（GB/T 18920-2020）中道路冲洗、绿植灌溉标准），</w:t>
      </w:r>
      <w:r>
        <w:rPr>
          <w:rFonts w:hint="eastAsia" w:asciiTheme="minorEastAsia" w:hAnsiTheme="minorEastAsia" w:eastAsiaTheme="minorEastAsia" w:cstheme="minorEastAsia"/>
          <w:color w:val="000000"/>
          <w:sz w:val="24"/>
          <w:highlight w:val="none"/>
        </w:rPr>
        <w:t>包括垃圾渗滤液（浓缩液）的处置运营管理工作（台账）、设施设备的日常维护保养、负责排水口环境指标，配合在线监测单位做</w:t>
      </w:r>
      <w:r>
        <w:rPr>
          <w:rFonts w:hint="eastAsia" w:asciiTheme="minorEastAsia" w:hAnsiTheme="minorEastAsia" w:eastAsiaTheme="minorEastAsia" w:cstheme="minorEastAsia"/>
          <w:color w:val="000000"/>
          <w:sz w:val="24"/>
          <w:highlight w:val="none"/>
          <w:lang w:eastAsia="zh-CN"/>
        </w:rPr>
        <w:t>好</w:t>
      </w:r>
      <w:r>
        <w:rPr>
          <w:rFonts w:hint="eastAsia" w:asciiTheme="minorEastAsia" w:hAnsiTheme="minorEastAsia" w:eastAsiaTheme="minorEastAsia" w:cstheme="minorEastAsia"/>
          <w:color w:val="000000"/>
          <w:sz w:val="24"/>
          <w:highlight w:val="none"/>
        </w:rPr>
        <w:t>排放口运营管理工作，厂区整体环境卫生、配合业主做好雨季为主的自然灾害天气的防汛防灾工作，</w:t>
      </w:r>
      <w:r>
        <w:rPr>
          <w:rFonts w:hint="eastAsia" w:asciiTheme="minorEastAsia" w:hAnsiTheme="minorEastAsia" w:eastAsiaTheme="minorEastAsia" w:cstheme="minorEastAsia"/>
          <w:color w:val="000000"/>
          <w:sz w:val="24"/>
        </w:rPr>
        <w:t>以及配合主管部门做好相关检查等工作。</w:t>
      </w:r>
    </w:p>
    <w:p>
      <w:pPr>
        <w:keepNext w:val="0"/>
        <w:keepLines w:val="0"/>
        <w:pageBreakBefore w:val="0"/>
        <w:kinsoku/>
        <w:wordWrap/>
        <w:overflowPunct/>
        <w:topLinePunct w:val="0"/>
        <w:bidi w:val="0"/>
        <w:adjustRightInd w:val="0"/>
        <w:snapToGrid w:val="0"/>
        <w:spacing w:line="360" w:lineRule="auto"/>
        <w:ind w:firstLine="480" w:firstLineChars="200"/>
        <w:jc w:val="left"/>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lang w:val="en-US" w:eastAsia="zh-CN"/>
        </w:rPr>
        <w:t>2</w:t>
      </w:r>
      <w:r>
        <w:rPr>
          <w:rFonts w:hint="eastAsia" w:asciiTheme="minorEastAsia" w:hAnsiTheme="minorEastAsia" w:eastAsiaTheme="minorEastAsia" w:cstheme="minorEastAsia"/>
          <w:color w:val="000000"/>
          <w:sz w:val="24"/>
          <w:lang w:eastAsia="zh-CN"/>
        </w:rPr>
        <w:t>、</w:t>
      </w:r>
      <w:r>
        <w:rPr>
          <w:rFonts w:hint="eastAsia" w:asciiTheme="minorEastAsia" w:hAnsiTheme="minorEastAsia" w:eastAsiaTheme="minorEastAsia" w:cstheme="minorEastAsia"/>
          <w:sz w:val="24"/>
        </w:rPr>
        <w:t>▲</w:t>
      </w:r>
      <w:r>
        <w:rPr>
          <w:rFonts w:hint="eastAsia" w:asciiTheme="minorEastAsia" w:hAnsiTheme="minorEastAsia" w:eastAsiaTheme="minorEastAsia" w:cstheme="minorEastAsia"/>
          <w:b/>
          <w:bCs/>
          <w:color w:val="000000"/>
          <w:sz w:val="24"/>
        </w:rPr>
        <w:t>本次</w:t>
      </w:r>
      <w:r>
        <w:rPr>
          <w:rFonts w:hint="eastAsia" w:asciiTheme="minorEastAsia" w:hAnsiTheme="minorEastAsia" w:eastAsiaTheme="minorEastAsia" w:cstheme="minorEastAsia"/>
          <w:b/>
          <w:bCs/>
          <w:color w:val="000000"/>
          <w:sz w:val="24"/>
          <w:lang w:eastAsia="zh-CN"/>
        </w:rPr>
        <w:t>运营</w:t>
      </w:r>
      <w:r>
        <w:rPr>
          <w:rFonts w:hint="eastAsia" w:asciiTheme="minorEastAsia" w:hAnsiTheme="minorEastAsia" w:eastAsiaTheme="minorEastAsia" w:cstheme="minorEastAsia"/>
          <w:b/>
          <w:bCs/>
          <w:color w:val="000000"/>
          <w:sz w:val="24"/>
        </w:rPr>
        <w:t>服务期限为三年（自合同签订之日起）</w:t>
      </w:r>
      <w:r>
        <w:rPr>
          <w:rFonts w:hint="eastAsia" w:asciiTheme="minorEastAsia" w:hAnsiTheme="minorEastAsia" w:eastAsiaTheme="minorEastAsia" w:cstheme="minorEastAsia"/>
          <w:b/>
          <w:bCs/>
          <w:sz w:val="24"/>
        </w:rPr>
        <w:t>（</w:t>
      </w:r>
      <w:r>
        <w:rPr>
          <w:rFonts w:hint="eastAsia" w:asciiTheme="minorEastAsia" w:hAnsiTheme="minorEastAsia" w:eastAsiaTheme="minorEastAsia" w:cstheme="minorEastAsia"/>
          <w:b/>
          <w:bCs/>
          <w:sz w:val="24"/>
          <w:lang w:eastAsia="zh-CN"/>
        </w:rPr>
        <w:t>以上</w:t>
      </w:r>
      <w:r>
        <w:rPr>
          <w:rFonts w:hint="eastAsia" w:asciiTheme="minorEastAsia" w:hAnsiTheme="minorEastAsia" w:eastAsiaTheme="minorEastAsia" w:cstheme="minorEastAsia"/>
          <w:b/>
          <w:bCs/>
          <w:color w:val="auto"/>
          <w:sz w:val="24"/>
          <w:highlight w:val="none"/>
          <w:lang w:val="en-US" w:eastAsia="zh-CN"/>
        </w:rPr>
        <w:t>需在商务技术文件中提供相应内容的承诺，否则视为未响应</w:t>
      </w:r>
      <w:r>
        <w:rPr>
          <w:rFonts w:hint="eastAsia" w:asciiTheme="minorEastAsia" w:hAnsiTheme="minorEastAsia" w:eastAsiaTheme="minorEastAsia" w:cstheme="minorEastAsia"/>
          <w:b/>
          <w:bCs/>
          <w:sz w:val="24"/>
          <w:lang w:eastAsia="zh-CN"/>
        </w:rPr>
        <w:t>）</w:t>
      </w:r>
      <w:r>
        <w:rPr>
          <w:rFonts w:hint="eastAsia" w:asciiTheme="minorEastAsia" w:hAnsiTheme="minorEastAsia" w:eastAsiaTheme="minorEastAsia" w:cstheme="minorEastAsia"/>
          <w:b/>
          <w:bCs/>
          <w:color w:val="000000"/>
          <w:sz w:val="24"/>
        </w:rPr>
        <w:t>。</w:t>
      </w:r>
    </w:p>
    <w:p>
      <w:pPr>
        <w:keepNext w:val="0"/>
        <w:keepLines w:val="0"/>
        <w:pageBreakBefore w:val="0"/>
        <w:kinsoku/>
        <w:wordWrap/>
        <w:overflowPunct/>
        <w:topLinePunct w:val="0"/>
        <w:bidi w:val="0"/>
        <w:adjustRightInd w:val="0"/>
        <w:snapToGrid w:val="0"/>
        <w:spacing w:line="360" w:lineRule="auto"/>
        <w:ind w:firstLine="480" w:firstLineChars="200"/>
        <w:jc w:val="left"/>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lang w:val="en-US" w:eastAsia="zh-CN"/>
        </w:rPr>
        <w:t>3、</w:t>
      </w:r>
      <w:r>
        <w:rPr>
          <w:rFonts w:hint="eastAsia" w:asciiTheme="minorEastAsia" w:hAnsiTheme="minorEastAsia" w:eastAsiaTheme="minorEastAsia" w:cstheme="minorEastAsia"/>
          <w:color w:val="000000"/>
          <w:sz w:val="24"/>
        </w:rPr>
        <w:t>渗滤液回用率不低于30%。</w:t>
      </w:r>
    </w:p>
    <w:p>
      <w:pPr>
        <w:keepNext w:val="0"/>
        <w:keepLines w:val="0"/>
        <w:pageBreakBefore w:val="0"/>
        <w:kinsoku/>
        <w:wordWrap/>
        <w:overflowPunct/>
        <w:topLinePunct w:val="0"/>
        <w:bidi w:val="0"/>
        <w:adjustRightInd w:val="0"/>
        <w:snapToGrid w:val="0"/>
        <w:spacing w:line="360" w:lineRule="auto"/>
        <w:ind w:firstLine="480" w:firstLineChars="200"/>
        <w:jc w:val="left"/>
        <w:rPr>
          <w:rFonts w:hint="eastAsia" w:asciiTheme="minorEastAsia" w:hAnsiTheme="minorEastAsia" w:eastAsiaTheme="minorEastAsia" w:cstheme="minorEastAsia"/>
          <w:b/>
          <w:bCs/>
          <w:color w:val="000000"/>
          <w:sz w:val="24"/>
          <w:lang w:eastAsia="zh-CN"/>
        </w:rPr>
      </w:pPr>
      <w:r>
        <w:rPr>
          <w:rFonts w:hint="eastAsia" w:asciiTheme="minorEastAsia" w:hAnsiTheme="minorEastAsia" w:eastAsiaTheme="minorEastAsia" w:cstheme="minorEastAsia"/>
          <w:sz w:val="24"/>
          <w:lang w:eastAsia="zh-CN"/>
        </w:rPr>
        <w:t>4、</w:t>
      </w:r>
      <w:r>
        <w:rPr>
          <w:rFonts w:hint="eastAsia" w:asciiTheme="minorEastAsia" w:hAnsiTheme="minorEastAsia" w:eastAsiaTheme="minorEastAsia" w:cstheme="minorEastAsia"/>
          <w:b/>
          <w:bCs/>
          <w:color w:val="000000"/>
          <w:sz w:val="24"/>
          <w:lang w:eastAsia="zh-CN"/>
        </w:rPr>
        <w:t>▲本项目需供应商在深入了解后，根据现有设施、设备的基础上提供供应商相关技术设计科学、合理、出水水质达标的渗滤液（含浓缩液）的处理工艺（出水水质达到GB16889-2008表3标准，回用水达到《城市污水再生利用 城市杂用水水质》（GB/T 18920-2020中道路冲洗、绿植灌溉标准且出水率不低于95%），并能实际运用到现有设施、设备上，运营期间（含试运营）不得以任何理由要求采购人再另行新增、改造基础设施、设备等。（以上需在商务技术文件中提供相应内容的承诺，否则视为未响应）</w:t>
      </w:r>
    </w:p>
    <w:p>
      <w:pPr>
        <w:pStyle w:val="6"/>
        <w:keepNext w:val="0"/>
        <w:keepLines w:val="0"/>
        <w:pageBreakBefore w:val="0"/>
        <w:kinsoku/>
        <w:wordWrap/>
        <w:overflowPunct/>
        <w:topLinePunct w:val="0"/>
        <w:bidi w:val="0"/>
        <w:adjustRightInd w:val="0"/>
        <w:snapToGrid w:val="0"/>
        <w:spacing w:line="360" w:lineRule="auto"/>
        <w:ind w:firstLine="480" w:firstLineChars="200"/>
        <w:rPr>
          <w:rFonts w:hint="eastAsia" w:asciiTheme="minorEastAsia" w:hAnsiTheme="minorEastAsia" w:eastAsiaTheme="minorEastAsia" w:cstheme="minorEastAsia"/>
          <w:color w:val="C00000"/>
          <w:sz w:val="24"/>
          <w:szCs w:val="24"/>
        </w:rPr>
      </w:pPr>
      <w:r>
        <w:rPr>
          <w:rFonts w:hint="eastAsia" w:asciiTheme="minorEastAsia" w:hAnsiTheme="minorEastAsia" w:eastAsiaTheme="minorEastAsia" w:cstheme="minorEastAsia"/>
          <w:sz w:val="24"/>
          <w:szCs w:val="24"/>
        </w:rPr>
        <w:t>5、</w:t>
      </w:r>
      <w:r>
        <w:rPr>
          <w:rFonts w:hint="eastAsia" w:asciiTheme="minorEastAsia" w:hAnsiTheme="minorEastAsia" w:eastAsiaTheme="minorEastAsia" w:cstheme="minorEastAsia"/>
          <w:sz w:val="24"/>
          <w:szCs w:val="24"/>
          <w:lang w:eastAsia="zh-CN"/>
        </w:rPr>
        <w:t>供应商</w:t>
      </w:r>
      <w:r>
        <w:rPr>
          <w:rFonts w:hint="eastAsia" w:asciiTheme="minorEastAsia" w:hAnsiTheme="minorEastAsia" w:eastAsiaTheme="minorEastAsia" w:cstheme="minorEastAsia"/>
          <w:sz w:val="24"/>
          <w:szCs w:val="24"/>
        </w:rPr>
        <w:t>不得改动厂内现有基础设施，如擅自改动由此产生的费用，造成的一切环保责任与损失等后果，比如水质不达标、处理水量过少等，均由</w:t>
      </w:r>
      <w:r>
        <w:rPr>
          <w:rFonts w:hint="eastAsia" w:asciiTheme="minorEastAsia" w:hAnsiTheme="minorEastAsia" w:eastAsiaTheme="minorEastAsia" w:cstheme="minorEastAsia"/>
          <w:sz w:val="24"/>
          <w:szCs w:val="24"/>
          <w:lang w:eastAsia="zh-CN"/>
        </w:rPr>
        <w:t>供应商</w:t>
      </w:r>
      <w:r>
        <w:rPr>
          <w:rFonts w:hint="eastAsia" w:asciiTheme="minorEastAsia" w:hAnsiTheme="minorEastAsia" w:eastAsiaTheme="minorEastAsia" w:cstheme="minorEastAsia"/>
          <w:sz w:val="24"/>
          <w:szCs w:val="24"/>
        </w:rPr>
        <w:t>承担，</w:t>
      </w:r>
      <w:r>
        <w:rPr>
          <w:rFonts w:hint="eastAsia" w:asciiTheme="minorEastAsia" w:hAnsiTheme="minorEastAsia" w:eastAsiaTheme="minorEastAsia" w:cstheme="minorEastAsia"/>
          <w:sz w:val="24"/>
          <w:szCs w:val="24"/>
          <w:lang w:eastAsia="zh-CN"/>
        </w:rPr>
        <w:t>采购人</w:t>
      </w:r>
      <w:r>
        <w:rPr>
          <w:rFonts w:hint="eastAsia" w:asciiTheme="minorEastAsia" w:hAnsiTheme="minorEastAsia" w:eastAsiaTheme="minorEastAsia" w:cstheme="minorEastAsia"/>
          <w:sz w:val="24"/>
          <w:szCs w:val="24"/>
        </w:rPr>
        <w:t>有权单方面提前解除合同，限</w:t>
      </w:r>
      <w:r>
        <w:rPr>
          <w:rFonts w:hint="eastAsia" w:asciiTheme="minorEastAsia" w:hAnsiTheme="minorEastAsia" w:eastAsiaTheme="minorEastAsia" w:cstheme="minorEastAsia"/>
          <w:sz w:val="24"/>
          <w:szCs w:val="24"/>
          <w:lang w:eastAsia="zh-CN"/>
        </w:rPr>
        <w:t>供应商</w:t>
      </w:r>
      <w:r>
        <w:rPr>
          <w:rFonts w:hint="eastAsia" w:asciiTheme="minorEastAsia" w:hAnsiTheme="minorEastAsia" w:eastAsiaTheme="minorEastAsia" w:cstheme="minorEastAsia"/>
          <w:sz w:val="24"/>
          <w:szCs w:val="24"/>
        </w:rPr>
        <w:t>在7天内恢复原样，</w:t>
      </w:r>
      <w:r>
        <w:rPr>
          <w:rFonts w:hint="eastAsia" w:asciiTheme="minorEastAsia" w:hAnsiTheme="minorEastAsia" w:eastAsiaTheme="minorEastAsia" w:cstheme="minorEastAsia"/>
          <w:sz w:val="24"/>
          <w:szCs w:val="24"/>
          <w:lang w:eastAsia="zh-CN"/>
        </w:rPr>
        <w:t>采购人</w:t>
      </w:r>
      <w:r>
        <w:rPr>
          <w:rFonts w:hint="eastAsia" w:asciiTheme="minorEastAsia" w:hAnsiTheme="minorEastAsia" w:eastAsiaTheme="minorEastAsia" w:cstheme="minorEastAsia"/>
          <w:sz w:val="24"/>
          <w:szCs w:val="24"/>
        </w:rPr>
        <w:t>将向</w:t>
      </w:r>
      <w:r>
        <w:rPr>
          <w:rFonts w:hint="eastAsia" w:asciiTheme="minorEastAsia" w:hAnsiTheme="minorEastAsia" w:eastAsiaTheme="minorEastAsia" w:cstheme="minorEastAsia"/>
          <w:sz w:val="24"/>
          <w:szCs w:val="24"/>
          <w:lang w:eastAsia="zh-CN"/>
        </w:rPr>
        <w:t>供应商</w:t>
      </w:r>
      <w:r>
        <w:rPr>
          <w:rFonts w:hint="eastAsia" w:asciiTheme="minorEastAsia" w:hAnsiTheme="minorEastAsia" w:eastAsiaTheme="minorEastAsia" w:cstheme="minorEastAsia"/>
          <w:sz w:val="24"/>
          <w:szCs w:val="24"/>
        </w:rPr>
        <w:t>追偿相关损失，</w:t>
      </w:r>
      <w:r>
        <w:rPr>
          <w:rFonts w:hint="eastAsia" w:asciiTheme="minorEastAsia" w:hAnsiTheme="minorEastAsia" w:eastAsiaTheme="minorEastAsia" w:cstheme="minorEastAsia"/>
          <w:sz w:val="24"/>
          <w:szCs w:val="24"/>
          <w:lang w:eastAsia="zh-CN"/>
        </w:rPr>
        <w:t>供应商</w:t>
      </w:r>
      <w:r>
        <w:rPr>
          <w:rFonts w:hint="eastAsia" w:asciiTheme="minorEastAsia" w:hAnsiTheme="minorEastAsia" w:eastAsiaTheme="minorEastAsia" w:cstheme="minorEastAsia"/>
          <w:sz w:val="24"/>
          <w:szCs w:val="24"/>
        </w:rPr>
        <w:t>应承担赔偿责任。</w:t>
      </w:r>
    </w:p>
    <w:p>
      <w:pPr>
        <w:keepNext w:val="0"/>
        <w:keepLines w:val="0"/>
        <w:pageBreakBefore w:val="0"/>
        <w:kinsoku/>
        <w:wordWrap/>
        <w:overflowPunct/>
        <w:topLinePunct w:val="0"/>
        <w:bidi w:val="0"/>
        <w:adjustRightInd w:val="0"/>
        <w:snapToGrid w:val="0"/>
        <w:spacing w:line="360" w:lineRule="auto"/>
        <w:ind w:firstLine="482"/>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rPr>
        <w:t>6</w:t>
      </w:r>
      <w:r>
        <w:rPr>
          <w:rFonts w:hint="eastAsia" w:asciiTheme="minorEastAsia" w:hAnsiTheme="minorEastAsia" w:eastAsiaTheme="minorEastAsia" w:cstheme="minorEastAsia"/>
          <w:sz w:val="24"/>
          <w:lang w:eastAsia="zh-CN"/>
        </w:rPr>
        <w:t>、</w:t>
      </w:r>
      <w:r>
        <w:rPr>
          <w:rFonts w:hint="eastAsia" w:asciiTheme="minorEastAsia" w:hAnsiTheme="minorEastAsia" w:eastAsiaTheme="minorEastAsia" w:cstheme="minorEastAsia"/>
          <w:sz w:val="24"/>
        </w:rPr>
        <w:t>运营期间，须对临安区各街镇垃圾中转站渗滤液（含浓缩液）进行处理工作（平均约35吨/天，本次招标不做水质与水量上线与保底），</w:t>
      </w:r>
      <w:r>
        <w:rPr>
          <w:rFonts w:hint="eastAsia" w:asciiTheme="minorEastAsia" w:hAnsiTheme="minorEastAsia" w:eastAsiaTheme="minorEastAsia" w:cstheme="minorEastAsia"/>
          <w:sz w:val="24"/>
          <w:highlight w:val="none"/>
        </w:rPr>
        <w:t>为垃圾中转站渗滤液提供处理与应急服务，并保证期间出水达到本次招标要求，处置费用根据实际发生数量，按中标单价独立结算。</w:t>
      </w:r>
    </w:p>
    <w:p>
      <w:pPr>
        <w:pStyle w:val="6"/>
        <w:keepNext w:val="0"/>
        <w:keepLines w:val="0"/>
        <w:pageBreakBefore w:val="0"/>
        <w:kinsoku/>
        <w:wordWrap/>
        <w:overflowPunct/>
        <w:topLinePunct w:val="0"/>
        <w:bidi w:val="0"/>
        <w:adjustRightInd w:val="0"/>
        <w:snapToGrid w:val="0"/>
        <w:spacing w:line="360" w:lineRule="auto"/>
        <w:ind w:firstLine="480" w:firstLineChars="200"/>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sz w:val="24"/>
          <w:szCs w:val="24"/>
        </w:rPr>
        <w:t>7</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b/>
          <w:bCs/>
          <w:sz w:val="24"/>
          <w:szCs w:val="24"/>
        </w:rPr>
        <w:t>▲厂区空间已被合理利用，再利用空间非常有限，已无再让</w:t>
      </w:r>
      <w:r>
        <w:rPr>
          <w:rFonts w:hint="eastAsia" w:asciiTheme="minorEastAsia" w:hAnsiTheme="minorEastAsia" w:eastAsiaTheme="minorEastAsia" w:cstheme="minorEastAsia"/>
          <w:b/>
          <w:bCs/>
          <w:sz w:val="24"/>
          <w:szCs w:val="24"/>
          <w:lang w:eastAsia="zh-CN"/>
        </w:rPr>
        <w:t>供应商</w:t>
      </w:r>
      <w:r>
        <w:rPr>
          <w:rFonts w:hint="eastAsia" w:asciiTheme="minorEastAsia" w:hAnsiTheme="minorEastAsia" w:eastAsiaTheme="minorEastAsia" w:cstheme="minorEastAsia"/>
          <w:b/>
          <w:bCs/>
          <w:sz w:val="24"/>
          <w:szCs w:val="24"/>
        </w:rPr>
        <w:t>自行添加设施与设备的场地，请潜在投标方悉知，后期不得以场地问题、工艺问题、设备问题等与</w:t>
      </w:r>
      <w:r>
        <w:rPr>
          <w:rFonts w:hint="eastAsia" w:asciiTheme="minorEastAsia" w:hAnsiTheme="minorEastAsia" w:eastAsiaTheme="minorEastAsia" w:cstheme="minorEastAsia"/>
          <w:b/>
          <w:bCs/>
          <w:sz w:val="24"/>
          <w:szCs w:val="24"/>
          <w:lang w:eastAsia="zh-CN"/>
        </w:rPr>
        <w:t>采购人</w:t>
      </w:r>
      <w:r>
        <w:rPr>
          <w:rFonts w:hint="eastAsia" w:asciiTheme="minorEastAsia" w:hAnsiTheme="minorEastAsia" w:eastAsiaTheme="minorEastAsia" w:cstheme="minorEastAsia"/>
          <w:b/>
          <w:bCs/>
          <w:sz w:val="24"/>
          <w:szCs w:val="24"/>
        </w:rPr>
        <w:t>产生任何纠纷</w:t>
      </w:r>
      <w:r>
        <w:rPr>
          <w:rFonts w:hint="eastAsia" w:asciiTheme="minorEastAsia" w:hAnsiTheme="minorEastAsia" w:eastAsiaTheme="minorEastAsia" w:cstheme="minorEastAsia"/>
          <w:b/>
          <w:bCs/>
          <w:sz w:val="24"/>
          <w:szCs w:val="24"/>
          <w:lang w:eastAsia="zh-CN"/>
        </w:rPr>
        <w:t>。</w:t>
      </w:r>
      <w:r>
        <w:rPr>
          <w:rFonts w:hint="eastAsia" w:asciiTheme="minorEastAsia" w:hAnsiTheme="minorEastAsia" w:eastAsiaTheme="minorEastAsia" w:cstheme="minorEastAsia"/>
          <w:b/>
          <w:bCs/>
          <w:sz w:val="24"/>
        </w:rPr>
        <w:t>（</w:t>
      </w:r>
      <w:r>
        <w:rPr>
          <w:rFonts w:hint="eastAsia" w:asciiTheme="minorEastAsia" w:hAnsiTheme="minorEastAsia" w:eastAsiaTheme="minorEastAsia" w:cstheme="minorEastAsia"/>
          <w:b/>
          <w:bCs/>
          <w:sz w:val="24"/>
          <w:lang w:eastAsia="zh-CN"/>
        </w:rPr>
        <w:t>以上</w:t>
      </w:r>
      <w:r>
        <w:rPr>
          <w:rFonts w:hint="eastAsia" w:asciiTheme="minorEastAsia" w:hAnsiTheme="minorEastAsia" w:eastAsiaTheme="minorEastAsia" w:cstheme="minorEastAsia"/>
          <w:b/>
          <w:bCs/>
          <w:color w:val="auto"/>
          <w:sz w:val="24"/>
          <w:highlight w:val="none"/>
          <w:lang w:val="en-US" w:eastAsia="zh-CN"/>
        </w:rPr>
        <w:t>需在商务技术文件中提供相应内容的承诺，否则视为未响应</w:t>
      </w:r>
      <w:r>
        <w:rPr>
          <w:rFonts w:hint="eastAsia" w:asciiTheme="minorEastAsia" w:hAnsiTheme="minorEastAsia" w:eastAsiaTheme="minorEastAsia" w:cstheme="minorEastAsia"/>
          <w:b/>
          <w:bCs/>
          <w:sz w:val="24"/>
          <w:lang w:eastAsia="zh-CN"/>
        </w:rPr>
        <w:t>）</w:t>
      </w:r>
    </w:p>
    <w:p>
      <w:pPr>
        <w:keepNext w:val="0"/>
        <w:keepLines w:val="0"/>
        <w:pageBreakBefore w:val="0"/>
        <w:kinsoku/>
        <w:wordWrap/>
        <w:overflowPunct/>
        <w:topLinePunct w:val="0"/>
        <w:bidi w:val="0"/>
        <w:adjustRightInd w:val="0"/>
        <w:snapToGrid w:val="0"/>
        <w:spacing w:line="360" w:lineRule="auto"/>
        <w:ind w:firstLine="480" w:firstLineChars="200"/>
        <w:jc w:val="left"/>
        <w:rPr>
          <w:rFonts w:hint="eastAsia" w:asciiTheme="minorEastAsia" w:hAnsiTheme="minorEastAsia" w:eastAsiaTheme="minorEastAsia" w:cstheme="minorEastAsia"/>
          <w:color w:val="C00000"/>
          <w:sz w:val="24"/>
        </w:rPr>
      </w:pPr>
      <w:r>
        <w:rPr>
          <w:rFonts w:hint="eastAsia" w:asciiTheme="minorEastAsia" w:hAnsiTheme="minorEastAsia" w:eastAsiaTheme="minorEastAsia" w:cstheme="minorEastAsia"/>
          <w:sz w:val="24"/>
        </w:rPr>
        <w:t>8</w:t>
      </w:r>
      <w:r>
        <w:rPr>
          <w:rFonts w:hint="eastAsia" w:asciiTheme="minorEastAsia" w:hAnsiTheme="minorEastAsia" w:eastAsiaTheme="minorEastAsia" w:cstheme="minorEastAsia"/>
          <w:sz w:val="24"/>
          <w:lang w:eastAsia="zh-CN"/>
        </w:rPr>
        <w:t>、</w:t>
      </w:r>
      <w:r>
        <w:rPr>
          <w:rFonts w:hint="eastAsia" w:asciiTheme="minorEastAsia" w:hAnsiTheme="minorEastAsia" w:eastAsiaTheme="minorEastAsia" w:cstheme="minorEastAsia"/>
          <w:sz w:val="24"/>
        </w:rPr>
        <w:t>采购人不对委托运行期间本项目的进水水量、水质进行保底和承诺。本项目水质超过设计进水浓度的，中标供应商均应进行持续稳定处理，确保各项污染物达标排放。</w:t>
      </w:r>
    </w:p>
    <w:p>
      <w:pPr>
        <w:keepNext w:val="0"/>
        <w:keepLines w:val="0"/>
        <w:pageBreakBefore w:val="0"/>
        <w:kinsoku/>
        <w:wordWrap/>
        <w:overflowPunct/>
        <w:topLinePunct w:val="0"/>
        <w:bidi w:val="0"/>
        <w:adjustRightInd w:val="0"/>
        <w:snapToGrid w:val="0"/>
        <w:spacing w:line="360" w:lineRule="auto"/>
        <w:ind w:firstLine="480" w:firstLineChars="200"/>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color w:val="000000"/>
          <w:sz w:val="24"/>
          <w:lang w:val="en-US" w:eastAsia="zh-CN"/>
        </w:rPr>
        <w:t>9、</w:t>
      </w:r>
      <w:r>
        <w:rPr>
          <w:rFonts w:hint="eastAsia" w:asciiTheme="minorEastAsia" w:hAnsiTheme="minorEastAsia" w:eastAsiaTheme="minorEastAsia" w:cstheme="minorEastAsia"/>
          <w:color w:val="000000"/>
          <w:sz w:val="24"/>
        </w:rPr>
        <w:t>委托运行单位在合同期内，承诺始终对本项目排放的水、污泥、臭气等全部污染物进行达标排放及处</w:t>
      </w:r>
      <w:r>
        <w:rPr>
          <w:rFonts w:hint="eastAsia" w:asciiTheme="minorEastAsia" w:hAnsiTheme="minorEastAsia" w:eastAsiaTheme="minorEastAsia" w:cstheme="minorEastAsia"/>
          <w:sz w:val="24"/>
        </w:rPr>
        <w:t>置；若相关污染物定义等发生变更因此而产生的运行成本费用增加的，均由</w:t>
      </w:r>
      <w:r>
        <w:rPr>
          <w:rFonts w:hint="eastAsia" w:asciiTheme="minorEastAsia" w:hAnsiTheme="minorEastAsia" w:eastAsiaTheme="minorEastAsia" w:cstheme="minorEastAsia"/>
          <w:sz w:val="24"/>
          <w:lang w:eastAsia="zh-CN"/>
        </w:rPr>
        <w:t>供应商</w:t>
      </w:r>
      <w:r>
        <w:rPr>
          <w:rFonts w:hint="eastAsia" w:asciiTheme="minorEastAsia" w:hAnsiTheme="minorEastAsia" w:eastAsiaTheme="minorEastAsia" w:cstheme="minorEastAsia"/>
          <w:sz w:val="24"/>
        </w:rPr>
        <w:t>承担。</w:t>
      </w:r>
    </w:p>
    <w:p>
      <w:pPr>
        <w:keepNext w:val="0"/>
        <w:keepLines w:val="0"/>
        <w:pageBreakBefore w:val="0"/>
        <w:kinsoku/>
        <w:wordWrap/>
        <w:overflowPunct/>
        <w:topLinePunct w:val="0"/>
        <w:bidi w:val="0"/>
        <w:adjustRightInd w:val="0"/>
        <w:snapToGrid w:val="0"/>
        <w:spacing w:line="360" w:lineRule="auto"/>
        <w:ind w:firstLine="480" w:firstLineChars="200"/>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lang w:val="en-US" w:eastAsia="zh-CN"/>
        </w:rPr>
        <w:t>10、</w:t>
      </w:r>
      <w:r>
        <w:rPr>
          <w:sz w:val="24"/>
        </w:rPr>
        <w:t>本项目设施、设备</w:t>
      </w:r>
      <w:r>
        <w:rPr>
          <w:rFonts w:hint="eastAsia"/>
          <w:sz w:val="24"/>
        </w:rPr>
        <w:t>等均</w:t>
      </w:r>
      <w:r>
        <w:rPr>
          <w:sz w:val="24"/>
        </w:rPr>
        <w:t>运行正常，处理指标及处理能力均持续、稳定达到本次招标标准要求，各项污染物均达标排放。本项目采购人不</w:t>
      </w:r>
      <w:r>
        <w:rPr>
          <w:rFonts w:hint="eastAsia"/>
          <w:sz w:val="24"/>
          <w:lang w:eastAsia="zh-CN"/>
        </w:rPr>
        <w:t>统一</w:t>
      </w:r>
      <w:r>
        <w:rPr>
          <w:sz w:val="24"/>
        </w:rPr>
        <w:t>组织现场</w:t>
      </w:r>
      <w:r>
        <w:rPr>
          <w:rFonts w:hint="eastAsia"/>
          <w:sz w:val="24"/>
        </w:rPr>
        <w:t>踏勘</w:t>
      </w:r>
      <w:r>
        <w:rPr>
          <w:sz w:val="24"/>
        </w:rPr>
        <w:t>，供应商</w:t>
      </w:r>
      <w:r>
        <w:rPr>
          <w:rFonts w:hint="eastAsia"/>
          <w:sz w:val="24"/>
          <w:lang w:eastAsia="zh-CN"/>
        </w:rPr>
        <w:t>自行</w:t>
      </w:r>
      <w:r>
        <w:rPr>
          <w:sz w:val="24"/>
        </w:rPr>
        <w:t>前往项目现场踏勘，各供应商参与本项目投标即视为其已完整、充分、知悉本项目全部设施、设备</w:t>
      </w:r>
      <w:r>
        <w:rPr>
          <w:rFonts w:hint="eastAsia"/>
          <w:sz w:val="24"/>
        </w:rPr>
        <w:t>等</w:t>
      </w:r>
      <w:r>
        <w:rPr>
          <w:sz w:val="24"/>
        </w:rPr>
        <w:t>运行现状（况）。进入委托运行期后，采购人将以现状设施、设备</w:t>
      </w:r>
      <w:r>
        <w:rPr>
          <w:rFonts w:hint="eastAsia"/>
          <w:sz w:val="24"/>
        </w:rPr>
        <w:t>等</w:t>
      </w:r>
      <w:r>
        <w:rPr>
          <w:sz w:val="24"/>
        </w:rPr>
        <w:t>进行移交，供应商不应以项目设施、设备</w:t>
      </w:r>
      <w:r>
        <w:rPr>
          <w:rFonts w:hint="eastAsia"/>
          <w:sz w:val="24"/>
        </w:rPr>
        <w:t>等</w:t>
      </w:r>
      <w:r>
        <w:rPr>
          <w:sz w:val="24"/>
        </w:rPr>
        <w:t>存在问题作为其无法持续、稳定运行本项目的抗辩理由。</w:t>
      </w:r>
      <w:r>
        <w:rPr>
          <w:rFonts w:hint="eastAsia"/>
          <w:sz w:val="24"/>
        </w:rPr>
        <w:t>因投标供应商未进行现场踏勘导致的投标风险，由投标供应商自行承担。</w:t>
      </w:r>
    </w:p>
    <w:p>
      <w:pPr>
        <w:keepNext w:val="0"/>
        <w:keepLines w:val="0"/>
        <w:pageBreakBefore w:val="0"/>
        <w:kinsoku/>
        <w:wordWrap/>
        <w:overflowPunct/>
        <w:topLinePunct w:val="0"/>
        <w:bidi w:val="0"/>
        <w:adjustRightInd w:val="0"/>
        <w:snapToGrid w:val="0"/>
        <w:spacing w:line="360" w:lineRule="auto"/>
        <w:ind w:firstLine="482" w:firstLineChars="200"/>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b/>
          <w:bCs/>
          <w:sz w:val="24"/>
          <w:szCs w:val="24"/>
        </w:rPr>
        <w:t>▲</w:t>
      </w:r>
      <w:r>
        <w:rPr>
          <w:b/>
          <w:bCs/>
          <w:sz w:val="24"/>
        </w:rPr>
        <w:t>供应商投标时应就本条提交</w:t>
      </w:r>
      <w:r>
        <w:rPr>
          <w:rFonts w:hint="eastAsia"/>
          <w:b/>
          <w:bCs/>
          <w:sz w:val="24"/>
          <w:lang w:eastAsia="zh-CN"/>
        </w:rPr>
        <w:t>相关承诺</w:t>
      </w:r>
      <w:r>
        <w:rPr>
          <w:b/>
          <w:bCs/>
          <w:sz w:val="24"/>
        </w:rPr>
        <w:t>，承诺已完整、充分、知悉本项目全部设施、设备</w:t>
      </w:r>
      <w:r>
        <w:rPr>
          <w:rFonts w:hint="eastAsia"/>
          <w:b/>
          <w:bCs/>
          <w:sz w:val="24"/>
        </w:rPr>
        <w:t>等</w:t>
      </w:r>
      <w:r>
        <w:rPr>
          <w:b/>
          <w:bCs/>
          <w:sz w:val="24"/>
        </w:rPr>
        <w:t>运行现状（况），若中标，接受采购人将以现状设施、设备</w:t>
      </w:r>
      <w:r>
        <w:rPr>
          <w:rFonts w:hint="eastAsia"/>
          <w:b/>
          <w:bCs/>
          <w:sz w:val="24"/>
        </w:rPr>
        <w:t>等</w:t>
      </w:r>
      <w:r>
        <w:rPr>
          <w:b/>
          <w:bCs/>
          <w:sz w:val="24"/>
        </w:rPr>
        <w:t>进行移交，且采购人移交的全部设施、设备</w:t>
      </w:r>
      <w:r>
        <w:rPr>
          <w:rFonts w:hint="eastAsia"/>
          <w:b/>
          <w:bCs/>
          <w:sz w:val="24"/>
        </w:rPr>
        <w:t>等</w:t>
      </w:r>
      <w:r>
        <w:rPr>
          <w:b/>
          <w:bCs/>
          <w:sz w:val="24"/>
        </w:rPr>
        <w:t>均达到本次招标要求的污染排放标准，无法持续、稳定、达标达产运行本项目的责任归己。</w:t>
      </w:r>
      <w:r>
        <w:rPr>
          <w:rFonts w:hint="eastAsia" w:asciiTheme="minorEastAsia" w:hAnsiTheme="minorEastAsia" w:eastAsiaTheme="minorEastAsia" w:cstheme="minorEastAsia"/>
          <w:b/>
          <w:bCs/>
          <w:sz w:val="24"/>
        </w:rPr>
        <w:t>（</w:t>
      </w:r>
      <w:r>
        <w:rPr>
          <w:rFonts w:hint="eastAsia" w:asciiTheme="minorEastAsia" w:hAnsiTheme="minorEastAsia" w:eastAsiaTheme="minorEastAsia" w:cstheme="minorEastAsia"/>
          <w:b/>
          <w:bCs/>
          <w:sz w:val="24"/>
          <w:lang w:eastAsia="zh-CN"/>
        </w:rPr>
        <w:t>以上</w:t>
      </w:r>
      <w:r>
        <w:rPr>
          <w:rFonts w:hint="eastAsia" w:asciiTheme="minorEastAsia" w:hAnsiTheme="minorEastAsia" w:eastAsiaTheme="minorEastAsia" w:cstheme="minorEastAsia"/>
          <w:b/>
          <w:bCs/>
          <w:color w:val="auto"/>
          <w:sz w:val="24"/>
          <w:highlight w:val="none"/>
          <w:lang w:val="en-US" w:eastAsia="zh-CN"/>
        </w:rPr>
        <w:t>需在商务技术文件中提供相应内容的承诺，否则视为未响应</w:t>
      </w:r>
      <w:r>
        <w:rPr>
          <w:rFonts w:hint="eastAsia" w:asciiTheme="minorEastAsia" w:hAnsiTheme="minorEastAsia" w:eastAsiaTheme="minorEastAsia" w:cstheme="minorEastAsia"/>
          <w:b/>
          <w:bCs/>
          <w:sz w:val="24"/>
          <w:lang w:eastAsia="zh-CN"/>
        </w:rPr>
        <w:t>）</w:t>
      </w:r>
    </w:p>
    <w:p>
      <w:pPr>
        <w:keepNext w:val="0"/>
        <w:keepLines w:val="0"/>
        <w:pageBreakBefore w:val="0"/>
        <w:widowControl/>
        <w:kinsoku/>
        <w:wordWrap/>
        <w:overflowPunct/>
        <w:topLinePunct w:val="0"/>
        <w:bidi w:val="0"/>
        <w:adjustRightInd w:val="0"/>
        <w:snapToGrid w:val="0"/>
        <w:spacing w:line="360" w:lineRule="auto"/>
        <w:ind w:firstLine="480" w:firstLineChars="200"/>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lang w:val="en-US" w:eastAsia="zh-CN"/>
        </w:rPr>
        <w:t>11、</w:t>
      </w:r>
      <w:r>
        <w:rPr>
          <w:sz w:val="24"/>
        </w:rPr>
        <w:t>在委托</w:t>
      </w:r>
      <w:r>
        <w:rPr>
          <w:rFonts w:hint="eastAsia"/>
          <w:sz w:val="24"/>
          <w:lang w:eastAsia="zh-CN"/>
        </w:rPr>
        <w:t>运营</w:t>
      </w:r>
      <w:r>
        <w:rPr>
          <w:sz w:val="24"/>
        </w:rPr>
        <w:t>期内，为确保本项目持续稳定</w:t>
      </w:r>
      <w:r>
        <w:rPr>
          <w:rFonts w:hint="eastAsia"/>
          <w:sz w:val="24"/>
          <w:lang w:eastAsia="zh-CN"/>
        </w:rPr>
        <w:t>运营</w:t>
      </w:r>
      <w:r>
        <w:rPr>
          <w:sz w:val="24"/>
        </w:rPr>
        <w:t>，</w:t>
      </w:r>
      <w:r>
        <w:rPr>
          <w:rFonts w:hint="eastAsia"/>
          <w:sz w:val="24"/>
          <w:lang w:eastAsia="zh-CN"/>
        </w:rPr>
        <w:t>供应商</w:t>
      </w:r>
      <w:r>
        <w:rPr>
          <w:sz w:val="24"/>
        </w:rPr>
        <w:t>应确保为</w:t>
      </w:r>
      <w:r>
        <w:rPr>
          <w:rFonts w:hint="eastAsia"/>
          <w:sz w:val="24"/>
          <w:lang w:eastAsia="zh-CN"/>
        </w:rPr>
        <w:t>运营</w:t>
      </w:r>
      <w:r>
        <w:rPr>
          <w:sz w:val="24"/>
        </w:rPr>
        <w:t>本项目准备至少不低于3个月的</w:t>
      </w:r>
      <w:r>
        <w:rPr>
          <w:rFonts w:hint="eastAsia"/>
          <w:sz w:val="24"/>
          <w:lang w:eastAsia="zh-CN"/>
        </w:rPr>
        <w:t>运营</w:t>
      </w:r>
      <w:r>
        <w:rPr>
          <w:sz w:val="24"/>
        </w:rPr>
        <w:t>本项目的</w:t>
      </w:r>
      <w:r>
        <w:rPr>
          <w:rFonts w:hint="eastAsia"/>
          <w:sz w:val="24"/>
        </w:rPr>
        <w:t>自有</w:t>
      </w:r>
      <w:r>
        <w:rPr>
          <w:sz w:val="24"/>
        </w:rPr>
        <w:t>资金，若因拖欠人员工资福利费、欠缴社会保险，拖欠货物服务采购供应商的款</w:t>
      </w:r>
      <w:r>
        <w:rPr>
          <w:sz w:val="24"/>
          <w:highlight w:val="none"/>
        </w:rPr>
        <w:t>项、债务纠纷等导致本项目不能持续、稳定运行的，采购人有权提前解除委托</w:t>
      </w:r>
      <w:r>
        <w:rPr>
          <w:rFonts w:hint="eastAsia"/>
          <w:sz w:val="24"/>
          <w:highlight w:val="none"/>
          <w:lang w:eastAsia="zh-CN"/>
        </w:rPr>
        <w:t>运营</w:t>
      </w:r>
      <w:r>
        <w:rPr>
          <w:sz w:val="24"/>
          <w:highlight w:val="none"/>
        </w:rPr>
        <w:t>合同。</w:t>
      </w:r>
      <w:r>
        <w:rPr>
          <w:rFonts w:hint="eastAsia"/>
          <w:sz w:val="24"/>
          <w:highlight w:val="none"/>
          <w:lang w:eastAsia="zh-CN"/>
        </w:rPr>
        <w:t>供应商</w:t>
      </w:r>
      <w:r>
        <w:rPr>
          <w:sz w:val="24"/>
          <w:highlight w:val="none"/>
        </w:rPr>
        <w:t>还应继续清偿相关主体债务，并确保不影响本项目持续、稳定运行。</w:t>
      </w:r>
    </w:p>
    <w:p>
      <w:pPr>
        <w:keepNext w:val="0"/>
        <w:keepLines w:val="0"/>
        <w:pageBreakBefore w:val="0"/>
        <w:widowControl/>
        <w:kinsoku/>
        <w:wordWrap/>
        <w:overflowPunct/>
        <w:topLinePunct w:val="0"/>
        <w:bidi w:val="0"/>
        <w:adjustRightInd w:val="0"/>
        <w:snapToGrid w:val="0"/>
        <w:spacing w:line="360" w:lineRule="auto"/>
        <w:ind w:firstLine="480" w:firstLineChars="200"/>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lang w:val="en-US" w:eastAsia="zh-CN"/>
        </w:rPr>
        <w:t>12、</w:t>
      </w:r>
      <w:r>
        <w:rPr>
          <w:sz w:val="24"/>
        </w:rPr>
        <w:t>在合同期内，</w:t>
      </w:r>
      <w:r>
        <w:rPr>
          <w:rFonts w:hint="eastAsia"/>
          <w:sz w:val="24"/>
          <w:lang w:eastAsia="zh-CN"/>
        </w:rPr>
        <w:t>供应商</w:t>
      </w:r>
      <w:r>
        <w:rPr>
          <w:sz w:val="24"/>
        </w:rPr>
        <w:t>应运用其运营技术、管理水平和经验，确保为本项目正常</w:t>
      </w:r>
      <w:r>
        <w:rPr>
          <w:rFonts w:hint="eastAsia"/>
          <w:sz w:val="24"/>
          <w:lang w:eastAsia="zh-CN"/>
        </w:rPr>
        <w:t>运营</w:t>
      </w:r>
      <w:r>
        <w:rPr>
          <w:sz w:val="24"/>
        </w:rPr>
        <w:t>，根据进水量的变化趋势，调整本项目</w:t>
      </w:r>
      <w:r>
        <w:rPr>
          <w:rFonts w:hint="eastAsia"/>
          <w:sz w:val="24"/>
          <w:lang w:eastAsia="zh-CN"/>
        </w:rPr>
        <w:t>运营</w:t>
      </w:r>
      <w:r>
        <w:rPr>
          <w:sz w:val="24"/>
        </w:rPr>
        <w:t>策略，将本项目配套的进水调节池液位始终控制在较低的范围区间值内。若出现调节池内渗滤液外溢的，除应受到相关部门的行政处罚外，采购</w:t>
      </w:r>
      <w:r>
        <w:rPr>
          <w:rFonts w:hint="eastAsia"/>
          <w:sz w:val="24"/>
          <w:lang w:eastAsia="zh-CN"/>
        </w:rPr>
        <w:t>人</w:t>
      </w:r>
      <w:r>
        <w:rPr>
          <w:sz w:val="24"/>
        </w:rPr>
        <w:t>提前解除委托</w:t>
      </w:r>
      <w:r>
        <w:rPr>
          <w:rFonts w:hint="eastAsia"/>
          <w:sz w:val="24"/>
          <w:lang w:eastAsia="zh-CN"/>
        </w:rPr>
        <w:t>运营</w:t>
      </w:r>
      <w:r>
        <w:rPr>
          <w:sz w:val="24"/>
        </w:rPr>
        <w:t>合同，该等外溢事件给项目周边生态环境及相关主体造成损害或损失的，</w:t>
      </w:r>
      <w:r>
        <w:rPr>
          <w:rFonts w:hint="eastAsia"/>
          <w:sz w:val="24"/>
          <w:lang w:eastAsia="zh-CN"/>
        </w:rPr>
        <w:t>供应商</w:t>
      </w:r>
      <w:r>
        <w:rPr>
          <w:sz w:val="24"/>
        </w:rPr>
        <w:t>必须承担赔偿责任。</w:t>
      </w:r>
    </w:p>
    <w:p>
      <w:pPr>
        <w:keepNext w:val="0"/>
        <w:keepLines w:val="0"/>
        <w:pageBreakBefore w:val="0"/>
        <w:widowControl/>
        <w:kinsoku/>
        <w:wordWrap/>
        <w:overflowPunct/>
        <w:topLinePunct w:val="0"/>
        <w:bidi w:val="0"/>
        <w:adjustRightInd w:val="0"/>
        <w:snapToGrid w:val="0"/>
        <w:spacing w:line="360" w:lineRule="auto"/>
        <w:ind w:firstLine="480" w:firstLineChars="200"/>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lang w:val="en-US" w:eastAsia="zh-CN"/>
        </w:rPr>
        <w:t>13、</w:t>
      </w:r>
      <w:r>
        <w:rPr>
          <w:sz w:val="24"/>
        </w:rPr>
        <w:t>因</w:t>
      </w:r>
      <w:r>
        <w:rPr>
          <w:rFonts w:hint="eastAsia"/>
          <w:sz w:val="24"/>
          <w:lang w:eastAsia="zh-CN"/>
        </w:rPr>
        <w:t>供应商</w:t>
      </w:r>
      <w:r>
        <w:rPr>
          <w:sz w:val="24"/>
        </w:rPr>
        <w:t>未按照要求开展</w:t>
      </w:r>
      <w:r>
        <w:rPr>
          <w:rFonts w:hint="eastAsia"/>
          <w:sz w:val="24"/>
          <w:lang w:eastAsia="zh-CN"/>
        </w:rPr>
        <w:t>运营</w:t>
      </w:r>
      <w:r>
        <w:rPr>
          <w:sz w:val="24"/>
        </w:rPr>
        <w:t>，导致项目设施设备造成损坏的，应承担赔偿责任；若因</w:t>
      </w:r>
      <w:r>
        <w:rPr>
          <w:rFonts w:hint="eastAsia"/>
          <w:sz w:val="24"/>
          <w:lang w:eastAsia="zh-CN"/>
        </w:rPr>
        <w:t>供应商</w:t>
      </w:r>
      <w:r>
        <w:rPr>
          <w:sz w:val="24"/>
        </w:rPr>
        <w:t>未及时补救、更换损坏设施设备导致本项目处理能力、标准下降，出现生态环境风险的，采购人与</w:t>
      </w:r>
      <w:r>
        <w:rPr>
          <w:rFonts w:hint="eastAsia"/>
          <w:sz w:val="24"/>
          <w:lang w:eastAsia="zh-CN"/>
        </w:rPr>
        <w:t>供应商</w:t>
      </w:r>
      <w:r>
        <w:rPr>
          <w:rFonts w:hint="eastAsia"/>
          <w:sz w:val="24"/>
        </w:rPr>
        <w:t>有权单方面</w:t>
      </w:r>
      <w:r>
        <w:rPr>
          <w:sz w:val="24"/>
        </w:rPr>
        <w:t>提前解除委托运行合同，并向委托运行单位追偿相关损失，委托运行单位应承担赔偿责任。</w:t>
      </w:r>
    </w:p>
    <w:p>
      <w:pPr>
        <w:keepNext w:val="0"/>
        <w:keepLines w:val="0"/>
        <w:pageBreakBefore w:val="0"/>
        <w:widowControl/>
        <w:kinsoku/>
        <w:wordWrap/>
        <w:overflowPunct/>
        <w:topLinePunct w:val="0"/>
        <w:bidi w:val="0"/>
        <w:adjustRightInd w:val="0"/>
        <w:snapToGrid w:val="0"/>
        <w:spacing w:line="360" w:lineRule="auto"/>
        <w:ind w:firstLine="480" w:firstLineChars="200"/>
        <w:jc w:val="left"/>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注：</w:t>
      </w:r>
      <w:r>
        <w:rPr>
          <w:rFonts w:hint="eastAsia" w:asciiTheme="minorEastAsia" w:hAnsiTheme="minorEastAsia" w:eastAsiaTheme="minorEastAsia" w:cstheme="minorEastAsia"/>
          <w:color w:val="000000"/>
          <w:sz w:val="24"/>
          <w:lang w:eastAsia="zh-CN"/>
        </w:rPr>
        <w:t>供应商</w:t>
      </w:r>
      <w:r>
        <w:rPr>
          <w:rFonts w:hint="eastAsia" w:asciiTheme="minorEastAsia" w:hAnsiTheme="minorEastAsia" w:eastAsiaTheme="minorEastAsia" w:cstheme="minorEastAsia"/>
          <w:color w:val="000000"/>
          <w:sz w:val="24"/>
        </w:rPr>
        <w:t>因包括但不限于上述违约行为，导致采购人提前解除与其签订的委托</w:t>
      </w:r>
      <w:r>
        <w:rPr>
          <w:rFonts w:hint="eastAsia" w:asciiTheme="minorEastAsia" w:hAnsiTheme="minorEastAsia" w:eastAsiaTheme="minorEastAsia" w:cstheme="minorEastAsia"/>
          <w:color w:val="000000"/>
          <w:sz w:val="24"/>
          <w:lang w:eastAsia="zh-CN"/>
        </w:rPr>
        <w:t>运营</w:t>
      </w:r>
      <w:r>
        <w:rPr>
          <w:rFonts w:hint="eastAsia" w:asciiTheme="minorEastAsia" w:hAnsiTheme="minorEastAsia" w:eastAsiaTheme="minorEastAsia" w:cstheme="minorEastAsia"/>
          <w:color w:val="000000"/>
          <w:sz w:val="24"/>
        </w:rPr>
        <w:t>合同的，</w:t>
      </w:r>
      <w:r>
        <w:rPr>
          <w:rFonts w:hint="eastAsia" w:asciiTheme="minorEastAsia" w:hAnsiTheme="minorEastAsia" w:eastAsiaTheme="minorEastAsia" w:cstheme="minorEastAsia"/>
          <w:color w:val="000000"/>
          <w:sz w:val="24"/>
          <w:lang w:eastAsia="zh-CN"/>
        </w:rPr>
        <w:t>供应商</w:t>
      </w:r>
      <w:r>
        <w:rPr>
          <w:rFonts w:hint="eastAsia" w:asciiTheme="minorEastAsia" w:hAnsiTheme="minorEastAsia" w:eastAsiaTheme="minorEastAsia" w:cstheme="minorEastAsia"/>
          <w:color w:val="000000"/>
          <w:sz w:val="24"/>
        </w:rPr>
        <w:t>除应承担相应违约责任外，仍应对本项目进行</w:t>
      </w:r>
      <w:r>
        <w:rPr>
          <w:rFonts w:hint="eastAsia" w:asciiTheme="minorEastAsia" w:hAnsiTheme="minorEastAsia" w:eastAsiaTheme="minorEastAsia" w:cstheme="minorEastAsia"/>
          <w:color w:val="000000"/>
          <w:sz w:val="24"/>
          <w:lang w:eastAsia="zh-CN"/>
        </w:rPr>
        <w:t>运营</w:t>
      </w:r>
      <w:r>
        <w:rPr>
          <w:rFonts w:hint="eastAsia" w:asciiTheme="minorEastAsia" w:hAnsiTheme="minorEastAsia" w:eastAsiaTheme="minorEastAsia" w:cstheme="minorEastAsia"/>
          <w:color w:val="000000"/>
          <w:sz w:val="24"/>
        </w:rPr>
        <w:t>，直至采购人选择新的</w:t>
      </w:r>
      <w:r>
        <w:rPr>
          <w:rFonts w:hint="eastAsia" w:asciiTheme="minorEastAsia" w:hAnsiTheme="minorEastAsia" w:eastAsiaTheme="minorEastAsia" w:cstheme="minorEastAsia"/>
          <w:color w:val="000000"/>
          <w:sz w:val="24"/>
          <w:lang w:eastAsia="zh-CN"/>
        </w:rPr>
        <w:t>供应商</w:t>
      </w:r>
      <w:r>
        <w:rPr>
          <w:rFonts w:hint="eastAsia" w:asciiTheme="minorEastAsia" w:hAnsiTheme="minorEastAsia" w:eastAsiaTheme="minorEastAsia" w:cstheme="minorEastAsia"/>
          <w:color w:val="000000"/>
          <w:sz w:val="24"/>
        </w:rPr>
        <w:t>对本项目进行接管。在该期间</w:t>
      </w:r>
      <w:r>
        <w:rPr>
          <w:rFonts w:hint="eastAsia" w:asciiTheme="minorEastAsia" w:hAnsiTheme="minorEastAsia" w:eastAsiaTheme="minorEastAsia" w:cstheme="minorEastAsia"/>
          <w:color w:val="000000"/>
          <w:sz w:val="24"/>
          <w:lang w:eastAsia="zh-CN"/>
        </w:rPr>
        <w:t>供应商</w:t>
      </w:r>
      <w:r>
        <w:rPr>
          <w:rFonts w:hint="eastAsia" w:asciiTheme="minorEastAsia" w:hAnsiTheme="minorEastAsia" w:eastAsiaTheme="minorEastAsia" w:cstheme="minorEastAsia"/>
          <w:color w:val="000000"/>
          <w:sz w:val="24"/>
        </w:rPr>
        <w:t>仍应对本项目持续、稳定运行，且并不免除合同义务，自出现违约行为之日起至移交期间的处理费用（含应急费）、期间采购人组织重新招标所需的费用等均由</w:t>
      </w:r>
      <w:r>
        <w:rPr>
          <w:rFonts w:hint="eastAsia" w:asciiTheme="minorEastAsia" w:hAnsiTheme="minorEastAsia" w:eastAsiaTheme="minorEastAsia" w:cstheme="minorEastAsia"/>
          <w:color w:val="000000"/>
          <w:sz w:val="24"/>
          <w:lang w:eastAsia="zh-CN"/>
        </w:rPr>
        <w:t>供应商</w:t>
      </w:r>
      <w:r>
        <w:rPr>
          <w:rFonts w:hint="eastAsia" w:asciiTheme="minorEastAsia" w:hAnsiTheme="minorEastAsia" w:eastAsiaTheme="minorEastAsia" w:cstheme="minorEastAsia"/>
          <w:color w:val="000000"/>
          <w:sz w:val="24"/>
        </w:rPr>
        <w:t>自行承担。</w:t>
      </w:r>
    </w:p>
    <w:p>
      <w:pPr>
        <w:keepNext w:val="0"/>
        <w:keepLines w:val="0"/>
        <w:pageBreakBefore w:val="0"/>
        <w:kinsoku/>
        <w:wordWrap/>
        <w:overflowPunct/>
        <w:topLinePunct w:val="0"/>
        <w:bidi w:val="0"/>
        <w:adjustRightInd w:val="0"/>
        <w:snapToGrid w:val="0"/>
        <w:spacing w:line="360" w:lineRule="auto"/>
        <w:ind w:firstLine="482" w:firstLineChars="200"/>
        <w:jc w:val="left"/>
        <w:rPr>
          <w:rFonts w:hint="eastAsia" w:asciiTheme="minorEastAsia" w:hAnsiTheme="minorEastAsia" w:eastAsiaTheme="minorEastAsia" w:cstheme="minorEastAsia"/>
          <w:b/>
          <w:bCs/>
          <w:color w:val="000000"/>
          <w:sz w:val="24"/>
        </w:rPr>
      </w:pPr>
      <w:r>
        <w:rPr>
          <w:rFonts w:hint="eastAsia" w:asciiTheme="minorEastAsia" w:hAnsiTheme="minorEastAsia" w:eastAsiaTheme="minorEastAsia" w:cstheme="minorEastAsia"/>
          <w:b/>
          <w:bCs/>
          <w:color w:val="000000"/>
          <w:sz w:val="24"/>
          <w:lang w:eastAsia="zh-CN"/>
        </w:rPr>
        <w:t>三</w:t>
      </w:r>
      <w:r>
        <w:rPr>
          <w:rFonts w:hint="eastAsia" w:asciiTheme="minorEastAsia" w:hAnsiTheme="minorEastAsia" w:eastAsiaTheme="minorEastAsia" w:cstheme="minorEastAsia"/>
          <w:b/>
          <w:bCs/>
          <w:color w:val="000000"/>
          <w:sz w:val="24"/>
        </w:rPr>
        <w:t>、进出水水质</w:t>
      </w:r>
    </w:p>
    <w:p>
      <w:pPr>
        <w:keepNext w:val="0"/>
        <w:keepLines w:val="0"/>
        <w:pageBreakBefore w:val="0"/>
        <w:kinsoku/>
        <w:wordWrap/>
        <w:overflowPunct/>
        <w:topLinePunct w:val="0"/>
        <w:bidi w:val="0"/>
        <w:adjustRightInd w:val="0"/>
        <w:snapToGrid w:val="0"/>
        <w:spacing w:line="360" w:lineRule="auto"/>
        <w:ind w:firstLine="480" w:firstLineChars="200"/>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lang w:val="en-US" w:eastAsia="zh-CN"/>
        </w:rPr>
        <w:t>1、</w:t>
      </w:r>
      <w:r>
        <w:rPr>
          <w:rFonts w:hint="eastAsia" w:asciiTheme="minorEastAsia" w:hAnsiTheme="minorEastAsia" w:eastAsiaTheme="minorEastAsia" w:cstheme="minorEastAsia"/>
          <w:sz w:val="24"/>
        </w:rPr>
        <w:t>进水水质</w:t>
      </w:r>
    </w:p>
    <w:p>
      <w:pPr>
        <w:adjustRightInd w:val="0"/>
        <w:snapToGrid w:val="0"/>
        <w:spacing w:line="360" w:lineRule="auto"/>
        <w:ind w:firstLine="480" w:firstLineChars="200"/>
        <w:rPr>
          <w:sz w:val="24"/>
        </w:rPr>
      </w:pPr>
      <w:r>
        <w:rPr>
          <w:sz w:val="24"/>
        </w:rPr>
        <w:t>渗滤液：pH 6.5～9、SS 1800 mg/L、COD</w:t>
      </w:r>
      <w:r>
        <w:rPr>
          <w:sz w:val="24"/>
          <w:vertAlign w:val="subscript"/>
        </w:rPr>
        <w:t>Cr</w:t>
      </w:r>
      <w:r>
        <w:rPr>
          <w:sz w:val="24"/>
        </w:rPr>
        <w:t xml:space="preserve"> 10000mg/L、BOD</w:t>
      </w:r>
      <w:r>
        <w:rPr>
          <w:sz w:val="24"/>
          <w:vertAlign w:val="subscript"/>
        </w:rPr>
        <w:t xml:space="preserve">5 </w:t>
      </w:r>
      <w:r>
        <w:rPr>
          <w:sz w:val="24"/>
        </w:rPr>
        <w:t>4000 mg/L、NH</w:t>
      </w:r>
      <w:r>
        <w:rPr>
          <w:sz w:val="24"/>
          <w:vertAlign w:val="subscript"/>
        </w:rPr>
        <w:t>3</w:t>
      </w:r>
      <w:r>
        <w:rPr>
          <w:sz w:val="24"/>
        </w:rPr>
        <w:t>-N2200 mg/L、TN 2300 mg/L；</w:t>
      </w:r>
    </w:p>
    <w:p>
      <w:pPr>
        <w:adjustRightInd w:val="0"/>
        <w:snapToGrid w:val="0"/>
        <w:spacing w:line="360" w:lineRule="auto"/>
        <w:ind w:firstLine="480" w:firstLineChars="200"/>
        <w:rPr>
          <w:sz w:val="24"/>
        </w:rPr>
      </w:pPr>
      <w:r>
        <w:rPr>
          <w:sz w:val="24"/>
        </w:rPr>
        <w:t>浓缩液：COD</w:t>
      </w:r>
      <w:r>
        <w:rPr>
          <w:sz w:val="24"/>
          <w:vertAlign w:val="subscript"/>
        </w:rPr>
        <w:t>Cr</w:t>
      </w:r>
      <w:r>
        <w:rPr>
          <w:sz w:val="24"/>
        </w:rPr>
        <w:t xml:space="preserve"> 8000 mg/L、TDS 60000 mg/L、NH</w:t>
      </w:r>
      <w:r>
        <w:rPr>
          <w:sz w:val="24"/>
          <w:vertAlign w:val="subscript"/>
        </w:rPr>
        <w:t>3</w:t>
      </w:r>
      <w:r>
        <w:rPr>
          <w:sz w:val="24"/>
        </w:rPr>
        <w:t>-N 500 mg/L、TN 800 mg/L、TP60 mg/L、pH 6～9</w:t>
      </w:r>
      <w:r>
        <w:rPr>
          <w:rFonts w:hint="eastAsia"/>
          <w:sz w:val="24"/>
        </w:rPr>
        <w:t>；</w:t>
      </w:r>
    </w:p>
    <w:p>
      <w:pPr>
        <w:pStyle w:val="6"/>
        <w:keepNext w:val="0"/>
        <w:keepLines w:val="0"/>
        <w:pageBreakBefore w:val="0"/>
        <w:kinsoku/>
        <w:wordWrap/>
        <w:overflowPunct/>
        <w:topLinePunct w:val="0"/>
        <w:bidi w:val="0"/>
        <w:adjustRightInd w:val="0"/>
        <w:snapToGrid w:val="0"/>
        <w:spacing w:line="360" w:lineRule="auto"/>
        <w:rPr>
          <w:rFonts w:hint="eastAsia" w:asciiTheme="minorEastAsia" w:hAnsiTheme="minorEastAsia" w:eastAsiaTheme="minorEastAsia" w:cstheme="minorEastAsia"/>
          <w:sz w:val="24"/>
          <w:szCs w:val="24"/>
        </w:rPr>
      </w:pPr>
      <w:r>
        <w:rPr>
          <w:sz w:val="24"/>
          <w:szCs w:val="24"/>
        </w:rPr>
        <w:t>中转站渗滤液：COD</w:t>
      </w:r>
      <w:r>
        <w:rPr>
          <w:sz w:val="24"/>
          <w:szCs w:val="24"/>
          <w:vertAlign w:val="subscript"/>
        </w:rPr>
        <w:t>Cr</w:t>
      </w:r>
      <w:r>
        <w:rPr>
          <w:sz w:val="24"/>
          <w:szCs w:val="24"/>
        </w:rPr>
        <w:t xml:space="preserve"> 80000mg/L、BOD</w:t>
      </w:r>
      <w:r>
        <w:rPr>
          <w:sz w:val="24"/>
          <w:szCs w:val="24"/>
          <w:vertAlign w:val="subscript"/>
        </w:rPr>
        <w:t>5</w:t>
      </w:r>
      <w:r>
        <w:rPr>
          <w:sz w:val="24"/>
          <w:szCs w:val="24"/>
        </w:rPr>
        <w:t>60000、NH</w:t>
      </w:r>
      <w:r>
        <w:rPr>
          <w:sz w:val="24"/>
          <w:szCs w:val="24"/>
          <w:vertAlign w:val="subscript"/>
        </w:rPr>
        <w:t>3</w:t>
      </w:r>
      <w:r>
        <w:rPr>
          <w:sz w:val="24"/>
          <w:szCs w:val="24"/>
        </w:rPr>
        <w:t>-N3000 mg/L、TN 4000 mg/L、SS 10000mg/L、油脂3000mg/L</w:t>
      </w:r>
      <w:r>
        <w:rPr>
          <w:rFonts w:hint="eastAsia"/>
          <w:sz w:val="24"/>
          <w:szCs w:val="24"/>
        </w:rPr>
        <w:t>。</w:t>
      </w:r>
    </w:p>
    <w:p>
      <w:pPr>
        <w:pStyle w:val="6"/>
        <w:keepNext w:val="0"/>
        <w:keepLines w:val="0"/>
        <w:pageBreakBefore w:val="0"/>
        <w:kinsoku/>
        <w:wordWrap/>
        <w:overflowPunct/>
        <w:topLinePunct w:val="0"/>
        <w:bidi w:val="0"/>
        <w:adjustRightInd w:val="0"/>
        <w:snapToGrid w:val="0"/>
        <w:spacing w:line="360" w:lineRule="auto"/>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val="en-US" w:eastAsia="zh-CN"/>
        </w:rPr>
        <w:t>2、</w:t>
      </w:r>
      <w:r>
        <w:rPr>
          <w:rFonts w:hint="eastAsia" w:asciiTheme="minorEastAsia" w:hAnsiTheme="minorEastAsia" w:eastAsiaTheme="minorEastAsia" w:cstheme="minorEastAsia"/>
          <w:color w:val="000000"/>
          <w:sz w:val="24"/>
          <w:szCs w:val="24"/>
        </w:rPr>
        <w:t>出水水质</w:t>
      </w:r>
    </w:p>
    <w:p>
      <w:pPr>
        <w:keepNext w:val="0"/>
        <w:keepLines w:val="0"/>
        <w:pageBreakBefore w:val="0"/>
        <w:kinsoku/>
        <w:wordWrap/>
        <w:overflowPunct/>
        <w:topLinePunct w:val="0"/>
        <w:bidi w:val="0"/>
        <w:adjustRightInd w:val="0"/>
        <w:snapToGrid w:val="0"/>
        <w:spacing w:line="360" w:lineRule="auto"/>
        <w:ind w:firstLine="480" w:firstLineChars="200"/>
        <w:jc w:val="left"/>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sz w:val="24"/>
        </w:rPr>
        <w:t>▲</w:t>
      </w:r>
      <w:r>
        <w:rPr>
          <w:rFonts w:hint="eastAsia" w:asciiTheme="minorEastAsia" w:hAnsiTheme="minorEastAsia" w:eastAsiaTheme="minorEastAsia" w:cstheme="minorEastAsia"/>
          <w:b/>
          <w:bCs/>
          <w:sz w:val="24"/>
          <w:lang w:eastAsia="zh-CN"/>
        </w:rPr>
        <w:t>供应商需承诺</w:t>
      </w:r>
      <w:r>
        <w:rPr>
          <w:rFonts w:hint="eastAsia" w:asciiTheme="minorEastAsia" w:hAnsiTheme="minorEastAsia" w:eastAsiaTheme="minorEastAsia" w:cstheme="minorEastAsia"/>
          <w:b/>
          <w:bCs/>
          <w:color w:val="000000"/>
          <w:sz w:val="24"/>
        </w:rPr>
        <w:t>废水处理后达到《生活垃圾填埋污染控制标准》GB16889-2008的表3标准和环保部门对本填埋场的最新排放要求排放</w:t>
      </w:r>
      <w:r>
        <w:rPr>
          <w:rFonts w:hint="eastAsia" w:asciiTheme="minorEastAsia" w:hAnsiTheme="minorEastAsia" w:eastAsiaTheme="minorEastAsia" w:cstheme="minorEastAsia"/>
          <w:b/>
          <w:bCs/>
          <w:sz w:val="24"/>
        </w:rPr>
        <w:t>（</w:t>
      </w:r>
      <w:r>
        <w:rPr>
          <w:rFonts w:hint="eastAsia" w:asciiTheme="minorEastAsia" w:hAnsiTheme="minorEastAsia" w:eastAsiaTheme="minorEastAsia" w:cstheme="minorEastAsia"/>
          <w:b/>
          <w:bCs/>
          <w:sz w:val="24"/>
          <w:lang w:eastAsia="zh-CN"/>
        </w:rPr>
        <w:t>以上</w:t>
      </w:r>
      <w:r>
        <w:rPr>
          <w:rFonts w:hint="eastAsia" w:asciiTheme="minorEastAsia" w:hAnsiTheme="minorEastAsia" w:eastAsiaTheme="minorEastAsia" w:cstheme="minorEastAsia"/>
          <w:b/>
          <w:bCs/>
          <w:color w:val="auto"/>
          <w:sz w:val="24"/>
          <w:highlight w:val="none"/>
          <w:lang w:val="en-US" w:eastAsia="zh-CN"/>
        </w:rPr>
        <w:t>需在商务技术文件中提供相应内容的承诺，否则视为未响应</w:t>
      </w:r>
      <w:r>
        <w:rPr>
          <w:rFonts w:hint="eastAsia" w:asciiTheme="minorEastAsia" w:hAnsiTheme="minorEastAsia" w:eastAsiaTheme="minorEastAsia" w:cstheme="minorEastAsia"/>
          <w:b/>
          <w:bCs/>
          <w:sz w:val="24"/>
          <w:lang w:eastAsia="zh-CN"/>
        </w:rPr>
        <w:t>）</w:t>
      </w:r>
      <w:r>
        <w:rPr>
          <w:rFonts w:hint="eastAsia" w:asciiTheme="minorEastAsia" w:hAnsiTheme="minorEastAsia" w:eastAsiaTheme="minorEastAsia" w:cstheme="minorEastAsia"/>
          <w:color w:val="000000"/>
          <w:sz w:val="24"/>
        </w:rPr>
        <w:t>，标准值为：</w:t>
      </w:r>
    </w:p>
    <w:tbl>
      <w:tblPr>
        <w:tblStyle w:val="63"/>
        <w:tblW w:w="5085" w:type="pct"/>
        <w:tblInd w:w="-1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1"/>
        <w:gridCol w:w="3224"/>
        <w:gridCol w:w="1943"/>
        <w:gridCol w:w="33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2" w:type="pct"/>
            <w:noWrap/>
          </w:tcPr>
          <w:p>
            <w:pPr>
              <w:pStyle w:val="6"/>
              <w:adjustRightInd w:val="0"/>
              <w:snapToGrid w:val="0"/>
              <w:spacing w:line="360" w:lineRule="auto"/>
              <w:ind w:firstLine="0"/>
              <w:jc w:val="center"/>
              <w:rPr>
                <w:sz w:val="24"/>
                <w:szCs w:val="24"/>
              </w:rPr>
            </w:pPr>
            <w:r>
              <w:rPr>
                <w:sz w:val="24"/>
                <w:szCs w:val="24"/>
              </w:rPr>
              <w:t>序号</w:t>
            </w:r>
          </w:p>
        </w:tc>
        <w:tc>
          <w:tcPr>
            <w:tcW w:w="1706" w:type="pct"/>
            <w:noWrap/>
          </w:tcPr>
          <w:p>
            <w:pPr>
              <w:pStyle w:val="6"/>
              <w:adjustRightInd w:val="0"/>
              <w:snapToGrid w:val="0"/>
              <w:spacing w:line="360" w:lineRule="auto"/>
              <w:ind w:firstLine="0"/>
              <w:jc w:val="center"/>
              <w:rPr>
                <w:sz w:val="24"/>
                <w:szCs w:val="24"/>
              </w:rPr>
            </w:pPr>
            <w:r>
              <w:rPr>
                <w:sz w:val="24"/>
                <w:szCs w:val="24"/>
              </w:rPr>
              <w:t>控制污染物</w:t>
            </w:r>
          </w:p>
        </w:tc>
        <w:tc>
          <w:tcPr>
            <w:tcW w:w="1028" w:type="pct"/>
            <w:noWrap/>
          </w:tcPr>
          <w:p>
            <w:pPr>
              <w:pStyle w:val="6"/>
              <w:adjustRightInd w:val="0"/>
              <w:snapToGrid w:val="0"/>
              <w:spacing w:line="360" w:lineRule="auto"/>
              <w:ind w:firstLine="0"/>
              <w:jc w:val="center"/>
              <w:rPr>
                <w:sz w:val="24"/>
                <w:szCs w:val="24"/>
              </w:rPr>
            </w:pPr>
            <w:r>
              <w:rPr>
                <w:sz w:val="24"/>
                <w:szCs w:val="24"/>
              </w:rPr>
              <w:t>排放浓度限值</w:t>
            </w:r>
          </w:p>
        </w:tc>
        <w:tc>
          <w:tcPr>
            <w:tcW w:w="1783" w:type="pct"/>
            <w:noWrap/>
          </w:tcPr>
          <w:p>
            <w:pPr>
              <w:pStyle w:val="6"/>
              <w:adjustRightInd w:val="0"/>
              <w:snapToGrid w:val="0"/>
              <w:spacing w:line="360" w:lineRule="auto"/>
              <w:ind w:firstLine="0"/>
              <w:jc w:val="center"/>
              <w:rPr>
                <w:sz w:val="24"/>
                <w:szCs w:val="24"/>
              </w:rPr>
            </w:pPr>
            <w:r>
              <w:rPr>
                <w:sz w:val="24"/>
                <w:szCs w:val="24"/>
              </w:rPr>
              <w:t>污染物排放监控位置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2" w:type="pct"/>
            <w:noWrap/>
          </w:tcPr>
          <w:p>
            <w:pPr>
              <w:pStyle w:val="6"/>
              <w:adjustRightInd w:val="0"/>
              <w:snapToGrid w:val="0"/>
              <w:spacing w:line="360" w:lineRule="auto"/>
              <w:ind w:firstLine="0"/>
              <w:jc w:val="center"/>
              <w:rPr>
                <w:sz w:val="24"/>
                <w:szCs w:val="24"/>
              </w:rPr>
            </w:pPr>
            <w:r>
              <w:rPr>
                <w:sz w:val="24"/>
                <w:szCs w:val="24"/>
              </w:rPr>
              <w:t>1</w:t>
            </w:r>
          </w:p>
        </w:tc>
        <w:tc>
          <w:tcPr>
            <w:tcW w:w="1706" w:type="pct"/>
            <w:noWrap/>
          </w:tcPr>
          <w:p>
            <w:pPr>
              <w:pStyle w:val="6"/>
              <w:adjustRightInd w:val="0"/>
              <w:snapToGrid w:val="0"/>
              <w:spacing w:line="360" w:lineRule="auto"/>
              <w:ind w:firstLine="0"/>
              <w:jc w:val="center"/>
              <w:rPr>
                <w:sz w:val="24"/>
                <w:szCs w:val="24"/>
              </w:rPr>
            </w:pPr>
            <w:r>
              <w:rPr>
                <w:sz w:val="24"/>
                <w:szCs w:val="24"/>
              </w:rPr>
              <w:t>色度（稀释倍数）</w:t>
            </w:r>
          </w:p>
        </w:tc>
        <w:tc>
          <w:tcPr>
            <w:tcW w:w="1028" w:type="pct"/>
            <w:noWrap/>
          </w:tcPr>
          <w:p>
            <w:pPr>
              <w:pStyle w:val="6"/>
              <w:adjustRightInd w:val="0"/>
              <w:snapToGrid w:val="0"/>
              <w:spacing w:line="360" w:lineRule="auto"/>
              <w:ind w:firstLine="0"/>
              <w:jc w:val="center"/>
              <w:rPr>
                <w:sz w:val="24"/>
                <w:szCs w:val="24"/>
              </w:rPr>
            </w:pPr>
            <w:r>
              <w:rPr>
                <w:sz w:val="24"/>
                <w:szCs w:val="24"/>
              </w:rPr>
              <w:t>30</w:t>
            </w:r>
          </w:p>
        </w:tc>
        <w:tc>
          <w:tcPr>
            <w:tcW w:w="1783" w:type="pct"/>
            <w:noWrap/>
          </w:tcPr>
          <w:p>
            <w:pPr>
              <w:pStyle w:val="6"/>
              <w:adjustRightInd w:val="0"/>
              <w:snapToGrid w:val="0"/>
              <w:spacing w:line="360" w:lineRule="auto"/>
              <w:ind w:firstLine="0"/>
              <w:jc w:val="center"/>
              <w:rPr>
                <w:sz w:val="24"/>
                <w:szCs w:val="24"/>
              </w:rPr>
            </w:pPr>
            <w:r>
              <w:rPr>
                <w:sz w:val="24"/>
                <w:szCs w:val="24"/>
              </w:rPr>
              <w:t>常规污水处理设施排放口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2" w:type="pct"/>
            <w:noWrap/>
          </w:tcPr>
          <w:p>
            <w:pPr>
              <w:pStyle w:val="6"/>
              <w:adjustRightInd w:val="0"/>
              <w:snapToGrid w:val="0"/>
              <w:spacing w:line="360" w:lineRule="auto"/>
              <w:ind w:firstLine="0"/>
              <w:jc w:val="center"/>
              <w:rPr>
                <w:sz w:val="24"/>
                <w:szCs w:val="24"/>
              </w:rPr>
            </w:pPr>
            <w:r>
              <w:rPr>
                <w:sz w:val="24"/>
                <w:szCs w:val="24"/>
              </w:rPr>
              <w:t>2</w:t>
            </w:r>
          </w:p>
        </w:tc>
        <w:tc>
          <w:tcPr>
            <w:tcW w:w="1706" w:type="pct"/>
            <w:noWrap/>
          </w:tcPr>
          <w:p>
            <w:pPr>
              <w:pStyle w:val="6"/>
              <w:adjustRightInd w:val="0"/>
              <w:snapToGrid w:val="0"/>
              <w:spacing w:line="360" w:lineRule="auto"/>
              <w:ind w:firstLine="0"/>
              <w:jc w:val="center"/>
              <w:rPr>
                <w:sz w:val="24"/>
                <w:szCs w:val="24"/>
              </w:rPr>
            </w:pPr>
            <w:r>
              <w:rPr>
                <w:sz w:val="24"/>
                <w:szCs w:val="24"/>
              </w:rPr>
              <w:t>化学需氧量（COD</w:t>
            </w:r>
            <w:r>
              <w:rPr>
                <w:sz w:val="24"/>
                <w:szCs w:val="24"/>
                <w:vertAlign w:val="subscript"/>
              </w:rPr>
              <w:t>Cr</w:t>
            </w:r>
            <w:r>
              <w:rPr>
                <w:sz w:val="24"/>
                <w:szCs w:val="24"/>
              </w:rPr>
              <w:t>）(mg/L）</w:t>
            </w:r>
          </w:p>
        </w:tc>
        <w:tc>
          <w:tcPr>
            <w:tcW w:w="1028" w:type="pct"/>
            <w:noWrap/>
          </w:tcPr>
          <w:p>
            <w:pPr>
              <w:pStyle w:val="6"/>
              <w:adjustRightInd w:val="0"/>
              <w:snapToGrid w:val="0"/>
              <w:spacing w:line="360" w:lineRule="auto"/>
              <w:ind w:firstLine="0"/>
              <w:jc w:val="center"/>
              <w:rPr>
                <w:sz w:val="24"/>
                <w:szCs w:val="24"/>
              </w:rPr>
            </w:pPr>
            <w:r>
              <w:rPr>
                <w:sz w:val="24"/>
                <w:szCs w:val="24"/>
              </w:rPr>
              <w:t>60</w:t>
            </w:r>
          </w:p>
        </w:tc>
        <w:tc>
          <w:tcPr>
            <w:tcW w:w="1783" w:type="pct"/>
            <w:noWrap/>
          </w:tcPr>
          <w:p>
            <w:pPr>
              <w:pStyle w:val="6"/>
              <w:adjustRightInd w:val="0"/>
              <w:snapToGrid w:val="0"/>
              <w:spacing w:line="360" w:lineRule="auto"/>
              <w:ind w:firstLine="0"/>
              <w:jc w:val="center"/>
              <w:rPr>
                <w:sz w:val="24"/>
                <w:szCs w:val="24"/>
              </w:rPr>
            </w:pPr>
            <w:r>
              <w:rPr>
                <w:sz w:val="24"/>
                <w:szCs w:val="24"/>
              </w:rPr>
              <w:t>常规污水处理设施排放口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2" w:type="pct"/>
            <w:noWrap/>
          </w:tcPr>
          <w:p>
            <w:pPr>
              <w:pStyle w:val="6"/>
              <w:adjustRightInd w:val="0"/>
              <w:snapToGrid w:val="0"/>
              <w:spacing w:line="360" w:lineRule="auto"/>
              <w:ind w:firstLine="0"/>
              <w:jc w:val="center"/>
              <w:rPr>
                <w:sz w:val="24"/>
                <w:szCs w:val="24"/>
              </w:rPr>
            </w:pPr>
            <w:r>
              <w:rPr>
                <w:sz w:val="24"/>
                <w:szCs w:val="24"/>
              </w:rPr>
              <w:t>3</w:t>
            </w:r>
          </w:p>
        </w:tc>
        <w:tc>
          <w:tcPr>
            <w:tcW w:w="1706" w:type="pct"/>
            <w:noWrap/>
          </w:tcPr>
          <w:p>
            <w:pPr>
              <w:pStyle w:val="6"/>
              <w:adjustRightInd w:val="0"/>
              <w:snapToGrid w:val="0"/>
              <w:spacing w:line="360" w:lineRule="auto"/>
              <w:ind w:firstLine="0"/>
              <w:jc w:val="center"/>
              <w:rPr>
                <w:sz w:val="24"/>
                <w:szCs w:val="24"/>
              </w:rPr>
            </w:pPr>
            <w:r>
              <w:rPr>
                <w:sz w:val="24"/>
                <w:szCs w:val="24"/>
              </w:rPr>
              <w:t>生化需氧量（BOD</w:t>
            </w:r>
            <w:r>
              <w:rPr>
                <w:sz w:val="24"/>
                <w:szCs w:val="24"/>
                <w:vertAlign w:val="subscript"/>
              </w:rPr>
              <w:t>5</w:t>
            </w:r>
            <w:r>
              <w:rPr>
                <w:sz w:val="24"/>
                <w:szCs w:val="24"/>
              </w:rPr>
              <w:t>）(mg/L）</w:t>
            </w:r>
          </w:p>
        </w:tc>
        <w:tc>
          <w:tcPr>
            <w:tcW w:w="1028" w:type="pct"/>
            <w:noWrap/>
          </w:tcPr>
          <w:p>
            <w:pPr>
              <w:pStyle w:val="6"/>
              <w:adjustRightInd w:val="0"/>
              <w:snapToGrid w:val="0"/>
              <w:spacing w:line="360" w:lineRule="auto"/>
              <w:ind w:firstLine="0"/>
              <w:jc w:val="center"/>
              <w:rPr>
                <w:sz w:val="24"/>
                <w:szCs w:val="24"/>
              </w:rPr>
            </w:pPr>
            <w:r>
              <w:rPr>
                <w:sz w:val="24"/>
                <w:szCs w:val="24"/>
              </w:rPr>
              <w:t>20</w:t>
            </w:r>
          </w:p>
        </w:tc>
        <w:tc>
          <w:tcPr>
            <w:tcW w:w="1783" w:type="pct"/>
            <w:noWrap/>
          </w:tcPr>
          <w:p>
            <w:pPr>
              <w:pStyle w:val="6"/>
              <w:adjustRightInd w:val="0"/>
              <w:snapToGrid w:val="0"/>
              <w:spacing w:line="360" w:lineRule="auto"/>
              <w:ind w:firstLine="0"/>
              <w:jc w:val="center"/>
              <w:rPr>
                <w:sz w:val="24"/>
                <w:szCs w:val="24"/>
              </w:rPr>
            </w:pPr>
            <w:r>
              <w:rPr>
                <w:sz w:val="24"/>
                <w:szCs w:val="24"/>
              </w:rPr>
              <w:t>常规污水处理设施排放口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2" w:type="pct"/>
            <w:noWrap/>
          </w:tcPr>
          <w:p>
            <w:pPr>
              <w:pStyle w:val="6"/>
              <w:adjustRightInd w:val="0"/>
              <w:snapToGrid w:val="0"/>
              <w:spacing w:line="360" w:lineRule="auto"/>
              <w:ind w:firstLine="0"/>
              <w:jc w:val="center"/>
              <w:rPr>
                <w:sz w:val="24"/>
                <w:szCs w:val="24"/>
              </w:rPr>
            </w:pPr>
            <w:r>
              <w:rPr>
                <w:sz w:val="24"/>
                <w:szCs w:val="24"/>
              </w:rPr>
              <w:t>4</w:t>
            </w:r>
          </w:p>
        </w:tc>
        <w:tc>
          <w:tcPr>
            <w:tcW w:w="1706" w:type="pct"/>
            <w:noWrap/>
          </w:tcPr>
          <w:p>
            <w:pPr>
              <w:pStyle w:val="6"/>
              <w:adjustRightInd w:val="0"/>
              <w:snapToGrid w:val="0"/>
              <w:spacing w:line="360" w:lineRule="auto"/>
              <w:ind w:firstLine="0"/>
              <w:jc w:val="center"/>
              <w:rPr>
                <w:sz w:val="24"/>
                <w:szCs w:val="24"/>
              </w:rPr>
            </w:pPr>
            <w:r>
              <w:rPr>
                <w:sz w:val="24"/>
                <w:szCs w:val="24"/>
              </w:rPr>
              <w:t>悬浮物(mg/L）</w:t>
            </w:r>
          </w:p>
        </w:tc>
        <w:tc>
          <w:tcPr>
            <w:tcW w:w="1028" w:type="pct"/>
            <w:noWrap/>
          </w:tcPr>
          <w:p>
            <w:pPr>
              <w:pStyle w:val="6"/>
              <w:adjustRightInd w:val="0"/>
              <w:snapToGrid w:val="0"/>
              <w:spacing w:line="360" w:lineRule="auto"/>
              <w:ind w:firstLine="0"/>
              <w:jc w:val="center"/>
              <w:rPr>
                <w:sz w:val="24"/>
                <w:szCs w:val="24"/>
              </w:rPr>
            </w:pPr>
            <w:r>
              <w:rPr>
                <w:sz w:val="24"/>
                <w:szCs w:val="24"/>
              </w:rPr>
              <w:t>30</w:t>
            </w:r>
          </w:p>
        </w:tc>
        <w:tc>
          <w:tcPr>
            <w:tcW w:w="1783" w:type="pct"/>
            <w:noWrap/>
          </w:tcPr>
          <w:p>
            <w:pPr>
              <w:pStyle w:val="6"/>
              <w:adjustRightInd w:val="0"/>
              <w:snapToGrid w:val="0"/>
              <w:spacing w:line="360" w:lineRule="auto"/>
              <w:ind w:firstLine="0"/>
              <w:jc w:val="center"/>
              <w:rPr>
                <w:sz w:val="24"/>
                <w:szCs w:val="24"/>
              </w:rPr>
            </w:pPr>
            <w:r>
              <w:rPr>
                <w:sz w:val="24"/>
                <w:szCs w:val="24"/>
              </w:rPr>
              <w:t>常规污水处理设施排放口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2" w:type="pct"/>
            <w:noWrap/>
          </w:tcPr>
          <w:p>
            <w:pPr>
              <w:pStyle w:val="6"/>
              <w:adjustRightInd w:val="0"/>
              <w:snapToGrid w:val="0"/>
              <w:spacing w:line="360" w:lineRule="auto"/>
              <w:ind w:firstLine="0"/>
              <w:jc w:val="center"/>
              <w:rPr>
                <w:sz w:val="24"/>
                <w:szCs w:val="24"/>
              </w:rPr>
            </w:pPr>
            <w:r>
              <w:rPr>
                <w:sz w:val="24"/>
                <w:szCs w:val="24"/>
              </w:rPr>
              <w:t>5</w:t>
            </w:r>
          </w:p>
        </w:tc>
        <w:tc>
          <w:tcPr>
            <w:tcW w:w="1706" w:type="pct"/>
            <w:noWrap/>
          </w:tcPr>
          <w:p>
            <w:pPr>
              <w:pStyle w:val="6"/>
              <w:adjustRightInd w:val="0"/>
              <w:snapToGrid w:val="0"/>
              <w:spacing w:line="360" w:lineRule="auto"/>
              <w:ind w:firstLine="0"/>
              <w:jc w:val="center"/>
              <w:rPr>
                <w:sz w:val="24"/>
                <w:szCs w:val="24"/>
              </w:rPr>
            </w:pPr>
            <w:r>
              <w:rPr>
                <w:sz w:val="24"/>
                <w:szCs w:val="24"/>
              </w:rPr>
              <w:t>总氮(mg/L）</w:t>
            </w:r>
          </w:p>
        </w:tc>
        <w:tc>
          <w:tcPr>
            <w:tcW w:w="1028" w:type="pct"/>
            <w:noWrap/>
          </w:tcPr>
          <w:p>
            <w:pPr>
              <w:pStyle w:val="6"/>
              <w:adjustRightInd w:val="0"/>
              <w:snapToGrid w:val="0"/>
              <w:spacing w:line="360" w:lineRule="auto"/>
              <w:ind w:firstLine="0"/>
              <w:jc w:val="center"/>
              <w:rPr>
                <w:sz w:val="24"/>
                <w:szCs w:val="24"/>
              </w:rPr>
            </w:pPr>
            <w:r>
              <w:rPr>
                <w:sz w:val="24"/>
                <w:szCs w:val="24"/>
              </w:rPr>
              <w:t>20</w:t>
            </w:r>
          </w:p>
        </w:tc>
        <w:tc>
          <w:tcPr>
            <w:tcW w:w="1783" w:type="pct"/>
            <w:noWrap/>
          </w:tcPr>
          <w:p>
            <w:pPr>
              <w:pStyle w:val="6"/>
              <w:adjustRightInd w:val="0"/>
              <w:snapToGrid w:val="0"/>
              <w:spacing w:line="360" w:lineRule="auto"/>
              <w:ind w:firstLine="0"/>
              <w:jc w:val="center"/>
              <w:rPr>
                <w:sz w:val="24"/>
                <w:szCs w:val="24"/>
              </w:rPr>
            </w:pPr>
            <w:r>
              <w:rPr>
                <w:sz w:val="24"/>
                <w:szCs w:val="24"/>
              </w:rPr>
              <w:t>常规污水处理设施排放口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2" w:type="pct"/>
            <w:noWrap/>
          </w:tcPr>
          <w:p>
            <w:pPr>
              <w:pStyle w:val="6"/>
              <w:adjustRightInd w:val="0"/>
              <w:snapToGrid w:val="0"/>
              <w:spacing w:line="360" w:lineRule="auto"/>
              <w:ind w:firstLine="0"/>
              <w:jc w:val="center"/>
              <w:rPr>
                <w:sz w:val="24"/>
                <w:szCs w:val="24"/>
              </w:rPr>
            </w:pPr>
            <w:r>
              <w:rPr>
                <w:sz w:val="24"/>
                <w:szCs w:val="24"/>
              </w:rPr>
              <w:t>6</w:t>
            </w:r>
          </w:p>
        </w:tc>
        <w:tc>
          <w:tcPr>
            <w:tcW w:w="1706" w:type="pct"/>
            <w:noWrap/>
          </w:tcPr>
          <w:p>
            <w:pPr>
              <w:pStyle w:val="6"/>
              <w:adjustRightInd w:val="0"/>
              <w:snapToGrid w:val="0"/>
              <w:spacing w:line="360" w:lineRule="auto"/>
              <w:ind w:firstLine="0"/>
              <w:jc w:val="center"/>
              <w:rPr>
                <w:sz w:val="24"/>
                <w:szCs w:val="24"/>
              </w:rPr>
            </w:pPr>
            <w:r>
              <w:rPr>
                <w:sz w:val="24"/>
                <w:szCs w:val="24"/>
              </w:rPr>
              <w:t>氨氮(mg/L）</w:t>
            </w:r>
          </w:p>
        </w:tc>
        <w:tc>
          <w:tcPr>
            <w:tcW w:w="1028" w:type="pct"/>
            <w:noWrap/>
          </w:tcPr>
          <w:p>
            <w:pPr>
              <w:pStyle w:val="6"/>
              <w:adjustRightInd w:val="0"/>
              <w:snapToGrid w:val="0"/>
              <w:spacing w:line="360" w:lineRule="auto"/>
              <w:ind w:firstLine="0"/>
              <w:jc w:val="center"/>
              <w:rPr>
                <w:sz w:val="24"/>
                <w:szCs w:val="24"/>
              </w:rPr>
            </w:pPr>
            <w:r>
              <w:rPr>
                <w:sz w:val="24"/>
                <w:szCs w:val="24"/>
              </w:rPr>
              <w:t>8</w:t>
            </w:r>
          </w:p>
        </w:tc>
        <w:tc>
          <w:tcPr>
            <w:tcW w:w="1783" w:type="pct"/>
            <w:noWrap/>
          </w:tcPr>
          <w:p>
            <w:pPr>
              <w:pStyle w:val="6"/>
              <w:adjustRightInd w:val="0"/>
              <w:snapToGrid w:val="0"/>
              <w:spacing w:line="360" w:lineRule="auto"/>
              <w:ind w:firstLine="0"/>
              <w:jc w:val="center"/>
              <w:rPr>
                <w:sz w:val="24"/>
                <w:szCs w:val="24"/>
              </w:rPr>
            </w:pPr>
            <w:r>
              <w:rPr>
                <w:sz w:val="24"/>
                <w:szCs w:val="24"/>
              </w:rPr>
              <w:t>常规污水处理设施排放口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2" w:type="pct"/>
            <w:noWrap/>
          </w:tcPr>
          <w:p>
            <w:pPr>
              <w:pStyle w:val="6"/>
              <w:adjustRightInd w:val="0"/>
              <w:snapToGrid w:val="0"/>
              <w:spacing w:line="360" w:lineRule="auto"/>
              <w:ind w:firstLine="0"/>
              <w:jc w:val="center"/>
              <w:rPr>
                <w:sz w:val="24"/>
                <w:szCs w:val="24"/>
              </w:rPr>
            </w:pPr>
            <w:r>
              <w:rPr>
                <w:sz w:val="24"/>
                <w:szCs w:val="24"/>
              </w:rPr>
              <w:t>7</w:t>
            </w:r>
          </w:p>
        </w:tc>
        <w:tc>
          <w:tcPr>
            <w:tcW w:w="1706" w:type="pct"/>
            <w:noWrap/>
          </w:tcPr>
          <w:p>
            <w:pPr>
              <w:pStyle w:val="6"/>
              <w:adjustRightInd w:val="0"/>
              <w:snapToGrid w:val="0"/>
              <w:spacing w:line="360" w:lineRule="auto"/>
              <w:ind w:firstLine="0"/>
              <w:jc w:val="center"/>
              <w:rPr>
                <w:sz w:val="24"/>
                <w:szCs w:val="24"/>
              </w:rPr>
            </w:pPr>
            <w:r>
              <w:rPr>
                <w:sz w:val="24"/>
                <w:szCs w:val="24"/>
              </w:rPr>
              <w:t>总磷(mg/L）</w:t>
            </w:r>
          </w:p>
        </w:tc>
        <w:tc>
          <w:tcPr>
            <w:tcW w:w="1028" w:type="pct"/>
            <w:noWrap/>
          </w:tcPr>
          <w:p>
            <w:pPr>
              <w:pStyle w:val="6"/>
              <w:adjustRightInd w:val="0"/>
              <w:snapToGrid w:val="0"/>
              <w:spacing w:line="360" w:lineRule="auto"/>
              <w:ind w:firstLine="0"/>
              <w:jc w:val="center"/>
              <w:rPr>
                <w:sz w:val="24"/>
                <w:szCs w:val="24"/>
              </w:rPr>
            </w:pPr>
            <w:r>
              <w:rPr>
                <w:sz w:val="24"/>
                <w:szCs w:val="24"/>
              </w:rPr>
              <w:t>1.5</w:t>
            </w:r>
          </w:p>
        </w:tc>
        <w:tc>
          <w:tcPr>
            <w:tcW w:w="1783" w:type="pct"/>
            <w:noWrap/>
          </w:tcPr>
          <w:p>
            <w:pPr>
              <w:pStyle w:val="6"/>
              <w:adjustRightInd w:val="0"/>
              <w:snapToGrid w:val="0"/>
              <w:spacing w:line="360" w:lineRule="auto"/>
              <w:ind w:firstLine="0"/>
              <w:jc w:val="center"/>
              <w:rPr>
                <w:sz w:val="24"/>
                <w:szCs w:val="24"/>
              </w:rPr>
            </w:pPr>
            <w:r>
              <w:rPr>
                <w:sz w:val="24"/>
                <w:szCs w:val="24"/>
              </w:rPr>
              <w:t>常规污水处理设施排放口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2" w:type="pct"/>
            <w:noWrap/>
          </w:tcPr>
          <w:p>
            <w:pPr>
              <w:pStyle w:val="6"/>
              <w:adjustRightInd w:val="0"/>
              <w:snapToGrid w:val="0"/>
              <w:spacing w:line="360" w:lineRule="auto"/>
              <w:ind w:firstLine="0"/>
              <w:jc w:val="center"/>
              <w:rPr>
                <w:sz w:val="24"/>
                <w:szCs w:val="24"/>
              </w:rPr>
            </w:pPr>
            <w:r>
              <w:rPr>
                <w:sz w:val="24"/>
                <w:szCs w:val="24"/>
              </w:rPr>
              <w:t>8</w:t>
            </w:r>
          </w:p>
        </w:tc>
        <w:tc>
          <w:tcPr>
            <w:tcW w:w="1706" w:type="pct"/>
            <w:noWrap/>
          </w:tcPr>
          <w:p>
            <w:pPr>
              <w:pStyle w:val="6"/>
              <w:adjustRightInd w:val="0"/>
              <w:snapToGrid w:val="0"/>
              <w:spacing w:line="360" w:lineRule="auto"/>
              <w:ind w:firstLine="0"/>
              <w:jc w:val="center"/>
              <w:rPr>
                <w:sz w:val="24"/>
                <w:szCs w:val="24"/>
              </w:rPr>
            </w:pPr>
            <w:r>
              <w:rPr>
                <w:sz w:val="24"/>
                <w:szCs w:val="24"/>
              </w:rPr>
              <w:t>粪大肠菌群数（个/L）</w:t>
            </w:r>
          </w:p>
        </w:tc>
        <w:tc>
          <w:tcPr>
            <w:tcW w:w="1028" w:type="pct"/>
            <w:noWrap/>
          </w:tcPr>
          <w:p>
            <w:pPr>
              <w:pStyle w:val="6"/>
              <w:adjustRightInd w:val="0"/>
              <w:snapToGrid w:val="0"/>
              <w:spacing w:line="360" w:lineRule="auto"/>
              <w:ind w:firstLine="0"/>
              <w:jc w:val="center"/>
              <w:rPr>
                <w:sz w:val="24"/>
                <w:szCs w:val="24"/>
              </w:rPr>
            </w:pPr>
            <w:r>
              <w:rPr>
                <w:sz w:val="24"/>
                <w:szCs w:val="24"/>
              </w:rPr>
              <w:t>10000</w:t>
            </w:r>
          </w:p>
        </w:tc>
        <w:tc>
          <w:tcPr>
            <w:tcW w:w="1783" w:type="pct"/>
            <w:noWrap/>
          </w:tcPr>
          <w:p>
            <w:pPr>
              <w:pStyle w:val="6"/>
              <w:adjustRightInd w:val="0"/>
              <w:snapToGrid w:val="0"/>
              <w:spacing w:line="360" w:lineRule="auto"/>
              <w:ind w:firstLine="0"/>
              <w:jc w:val="center"/>
              <w:rPr>
                <w:sz w:val="24"/>
                <w:szCs w:val="24"/>
              </w:rPr>
            </w:pPr>
            <w:r>
              <w:rPr>
                <w:sz w:val="24"/>
                <w:szCs w:val="24"/>
              </w:rPr>
              <w:t>常规污水处理设施排放口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2" w:type="pct"/>
            <w:noWrap/>
          </w:tcPr>
          <w:p>
            <w:pPr>
              <w:pStyle w:val="6"/>
              <w:adjustRightInd w:val="0"/>
              <w:snapToGrid w:val="0"/>
              <w:spacing w:line="360" w:lineRule="auto"/>
              <w:ind w:firstLine="0"/>
              <w:jc w:val="center"/>
              <w:rPr>
                <w:sz w:val="24"/>
                <w:szCs w:val="24"/>
              </w:rPr>
            </w:pPr>
            <w:r>
              <w:rPr>
                <w:sz w:val="24"/>
                <w:szCs w:val="24"/>
              </w:rPr>
              <w:t>9</w:t>
            </w:r>
          </w:p>
        </w:tc>
        <w:tc>
          <w:tcPr>
            <w:tcW w:w="1706" w:type="pct"/>
            <w:noWrap/>
          </w:tcPr>
          <w:p>
            <w:pPr>
              <w:pStyle w:val="6"/>
              <w:adjustRightInd w:val="0"/>
              <w:snapToGrid w:val="0"/>
              <w:spacing w:line="360" w:lineRule="auto"/>
              <w:ind w:firstLine="0"/>
              <w:jc w:val="center"/>
              <w:rPr>
                <w:sz w:val="24"/>
                <w:szCs w:val="24"/>
              </w:rPr>
            </w:pPr>
            <w:r>
              <w:rPr>
                <w:sz w:val="24"/>
                <w:szCs w:val="24"/>
              </w:rPr>
              <w:t>总汞(mg/L）</w:t>
            </w:r>
          </w:p>
        </w:tc>
        <w:tc>
          <w:tcPr>
            <w:tcW w:w="1028" w:type="pct"/>
            <w:noWrap/>
          </w:tcPr>
          <w:p>
            <w:pPr>
              <w:pStyle w:val="6"/>
              <w:adjustRightInd w:val="0"/>
              <w:snapToGrid w:val="0"/>
              <w:spacing w:line="360" w:lineRule="auto"/>
              <w:ind w:firstLine="0"/>
              <w:jc w:val="center"/>
              <w:rPr>
                <w:sz w:val="24"/>
                <w:szCs w:val="24"/>
              </w:rPr>
            </w:pPr>
            <w:r>
              <w:rPr>
                <w:sz w:val="24"/>
                <w:szCs w:val="24"/>
              </w:rPr>
              <w:t>0.001</w:t>
            </w:r>
          </w:p>
        </w:tc>
        <w:tc>
          <w:tcPr>
            <w:tcW w:w="1783" w:type="pct"/>
            <w:noWrap/>
          </w:tcPr>
          <w:p>
            <w:pPr>
              <w:pStyle w:val="6"/>
              <w:adjustRightInd w:val="0"/>
              <w:snapToGrid w:val="0"/>
              <w:spacing w:line="360" w:lineRule="auto"/>
              <w:ind w:firstLine="0"/>
              <w:jc w:val="center"/>
              <w:rPr>
                <w:sz w:val="24"/>
                <w:szCs w:val="24"/>
              </w:rPr>
            </w:pPr>
            <w:r>
              <w:rPr>
                <w:sz w:val="24"/>
                <w:szCs w:val="24"/>
              </w:rPr>
              <w:t>常规污水处理设施排放口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2" w:type="pct"/>
            <w:noWrap/>
          </w:tcPr>
          <w:p>
            <w:pPr>
              <w:pStyle w:val="6"/>
              <w:adjustRightInd w:val="0"/>
              <w:snapToGrid w:val="0"/>
              <w:spacing w:line="360" w:lineRule="auto"/>
              <w:ind w:firstLine="0"/>
              <w:jc w:val="center"/>
              <w:rPr>
                <w:sz w:val="24"/>
                <w:szCs w:val="24"/>
              </w:rPr>
            </w:pPr>
            <w:r>
              <w:rPr>
                <w:sz w:val="24"/>
                <w:szCs w:val="24"/>
              </w:rPr>
              <w:t>10</w:t>
            </w:r>
          </w:p>
        </w:tc>
        <w:tc>
          <w:tcPr>
            <w:tcW w:w="1706" w:type="pct"/>
            <w:noWrap/>
          </w:tcPr>
          <w:p>
            <w:pPr>
              <w:pStyle w:val="6"/>
              <w:adjustRightInd w:val="0"/>
              <w:snapToGrid w:val="0"/>
              <w:spacing w:line="360" w:lineRule="auto"/>
              <w:ind w:firstLine="0"/>
              <w:jc w:val="center"/>
              <w:rPr>
                <w:sz w:val="24"/>
                <w:szCs w:val="24"/>
              </w:rPr>
            </w:pPr>
            <w:r>
              <w:rPr>
                <w:sz w:val="24"/>
                <w:szCs w:val="24"/>
              </w:rPr>
              <w:t>总镉(mg/L）</w:t>
            </w:r>
          </w:p>
        </w:tc>
        <w:tc>
          <w:tcPr>
            <w:tcW w:w="1028" w:type="pct"/>
            <w:noWrap/>
          </w:tcPr>
          <w:p>
            <w:pPr>
              <w:pStyle w:val="6"/>
              <w:adjustRightInd w:val="0"/>
              <w:snapToGrid w:val="0"/>
              <w:spacing w:line="360" w:lineRule="auto"/>
              <w:ind w:firstLine="0"/>
              <w:jc w:val="center"/>
              <w:rPr>
                <w:sz w:val="24"/>
                <w:szCs w:val="24"/>
              </w:rPr>
            </w:pPr>
            <w:r>
              <w:rPr>
                <w:sz w:val="24"/>
                <w:szCs w:val="24"/>
              </w:rPr>
              <w:t>0.01</w:t>
            </w:r>
          </w:p>
        </w:tc>
        <w:tc>
          <w:tcPr>
            <w:tcW w:w="1783" w:type="pct"/>
            <w:noWrap/>
          </w:tcPr>
          <w:p>
            <w:pPr>
              <w:pStyle w:val="6"/>
              <w:adjustRightInd w:val="0"/>
              <w:snapToGrid w:val="0"/>
              <w:spacing w:line="360" w:lineRule="auto"/>
              <w:ind w:firstLine="0"/>
              <w:jc w:val="center"/>
              <w:rPr>
                <w:sz w:val="24"/>
                <w:szCs w:val="24"/>
              </w:rPr>
            </w:pPr>
            <w:r>
              <w:rPr>
                <w:sz w:val="24"/>
                <w:szCs w:val="24"/>
              </w:rPr>
              <w:t>常规污水处理设施排放口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2" w:type="pct"/>
            <w:noWrap/>
          </w:tcPr>
          <w:p>
            <w:pPr>
              <w:pStyle w:val="6"/>
              <w:adjustRightInd w:val="0"/>
              <w:snapToGrid w:val="0"/>
              <w:spacing w:line="360" w:lineRule="auto"/>
              <w:ind w:firstLine="0"/>
              <w:jc w:val="center"/>
              <w:rPr>
                <w:sz w:val="24"/>
                <w:szCs w:val="24"/>
              </w:rPr>
            </w:pPr>
            <w:r>
              <w:rPr>
                <w:sz w:val="24"/>
                <w:szCs w:val="24"/>
              </w:rPr>
              <w:t>11</w:t>
            </w:r>
          </w:p>
        </w:tc>
        <w:tc>
          <w:tcPr>
            <w:tcW w:w="1706" w:type="pct"/>
            <w:noWrap/>
          </w:tcPr>
          <w:p>
            <w:pPr>
              <w:pStyle w:val="6"/>
              <w:adjustRightInd w:val="0"/>
              <w:snapToGrid w:val="0"/>
              <w:spacing w:line="360" w:lineRule="auto"/>
              <w:ind w:firstLine="0"/>
              <w:jc w:val="center"/>
              <w:rPr>
                <w:sz w:val="24"/>
                <w:szCs w:val="24"/>
              </w:rPr>
            </w:pPr>
            <w:r>
              <w:rPr>
                <w:sz w:val="24"/>
                <w:szCs w:val="24"/>
              </w:rPr>
              <w:t>总铬(mg/L）</w:t>
            </w:r>
          </w:p>
        </w:tc>
        <w:tc>
          <w:tcPr>
            <w:tcW w:w="1028" w:type="pct"/>
            <w:noWrap/>
          </w:tcPr>
          <w:p>
            <w:pPr>
              <w:pStyle w:val="6"/>
              <w:adjustRightInd w:val="0"/>
              <w:snapToGrid w:val="0"/>
              <w:spacing w:line="360" w:lineRule="auto"/>
              <w:ind w:firstLine="0"/>
              <w:jc w:val="center"/>
              <w:rPr>
                <w:sz w:val="24"/>
                <w:szCs w:val="24"/>
              </w:rPr>
            </w:pPr>
            <w:r>
              <w:rPr>
                <w:sz w:val="24"/>
                <w:szCs w:val="24"/>
              </w:rPr>
              <w:t>0.1</w:t>
            </w:r>
          </w:p>
        </w:tc>
        <w:tc>
          <w:tcPr>
            <w:tcW w:w="1783" w:type="pct"/>
            <w:noWrap/>
          </w:tcPr>
          <w:p>
            <w:pPr>
              <w:pStyle w:val="6"/>
              <w:adjustRightInd w:val="0"/>
              <w:snapToGrid w:val="0"/>
              <w:spacing w:line="360" w:lineRule="auto"/>
              <w:ind w:firstLine="0"/>
              <w:jc w:val="center"/>
              <w:rPr>
                <w:sz w:val="24"/>
                <w:szCs w:val="24"/>
              </w:rPr>
            </w:pPr>
            <w:r>
              <w:rPr>
                <w:sz w:val="24"/>
                <w:szCs w:val="24"/>
              </w:rPr>
              <w:t>常规污水处理设施排放口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482" w:type="pct"/>
            <w:noWrap/>
          </w:tcPr>
          <w:p>
            <w:pPr>
              <w:pStyle w:val="6"/>
              <w:adjustRightInd w:val="0"/>
              <w:snapToGrid w:val="0"/>
              <w:spacing w:line="360" w:lineRule="auto"/>
              <w:ind w:firstLine="0"/>
              <w:jc w:val="center"/>
              <w:rPr>
                <w:sz w:val="24"/>
                <w:szCs w:val="24"/>
              </w:rPr>
            </w:pPr>
            <w:r>
              <w:rPr>
                <w:sz w:val="24"/>
                <w:szCs w:val="24"/>
              </w:rPr>
              <w:t>12</w:t>
            </w:r>
          </w:p>
        </w:tc>
        <w:tc>
          <w:tcPr>
            <w:tcW w:w="1706" w:type="pct"/>
            <w:noWrap/>
          </w:tcPr>
          <w:p>
            <w:pPr>
              <w:pStyle w:val="6"/>
              <w:adjustRightInd w:val="0"/>
              <w:snapToGrid w:val="0"/>
              <w:spacing w:line="360" w:lineRule="auto"/>
              <w:ind w:firstLine="0"/>
              <w:jc w:val="center"/>
              <w:rPr>
                <w:sz w:val="24"/>
                <w:szCs w:val="24"/>
              </w:rPr>
            </w:pPr>
            <w:r>
              <w:rPr>
                <w:sz w:val="24"/>
                <w:szCs w:val="24"/>
              </w:rPr>
              <w:t>六价铬(mg/L）</w:t>
            </w:r>
          </w:p>
        </w:tc>
        <w:tc>
          <w:tcPr>
            <w:tcW w:w="1028" w:type="pct"/>
            <w:noWrap/>
          </w:tcPr>
          <w:p>
            <w:pPr>
              <w:pStyle w:val="6"/>
              <w:adjustRightInd w:val="0"/>
              <w:snapToGrid w:val="0"/>
              <w:spacing w:line="360" w:lineRule="auto"/>
              <w:ind w:firstLine="0"/>
              <w:jc w:val="center"/>
              <w:rPr>
                <w:sz w:val="24"/>
                <w:szCs w:val="24"/>
              </w:rPr>
            </w:pPr>
            <w:r>
              <w:rPr>
                <w:sz w:val="24"/>
                <w:szCs w:val="24"/>
              </w:rPr>
              <w:t>0.05</w:t>
            </w:r>
          </w:p>
        </w:tc>
        <w:tc>
          <w:tcPr>
            <w:tcW w:w="1783" w:type="pct"/>
            <w:noWrap/>
          </w:tcPr>
          <w:p>
            <w:pPr>
              <w:pStyle w:val="6"/>
              <w:adjustRightInd w:val="0"/>
              <w:snapToGrid w:val="0"/>
              <w:spacing w:line="360" w:lineRule="auto"/>
              <w:ind w:firstLine="0"/>
              <w:jc w:val="center"/>
              <w:rPr>
                <w:sz w:val="24"/>
                <w:szCs w:val="24"/>
              </w:rPr>
            </w:pPr>
            <w:r>
              <w:rPr>
                <w:sz w:val="24"/>
                <w:szCs w:val="24"/>
              </w:rPr>
              <w:t>常规污水处理设施排放口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2" w:type="pct"/>
            <w:noWrap/>
          </w:tcPr>
          <w:p>
            <w:pPr>
              <w:pStyle w:val="6"/>
              <w:adjustRightInd w:val="0"/>
              <w:snapToGrid w:val="0"/>
              <w:spacing w:line="360" w:lineRule="auto"/>
              <w:ind w:firstLine="0"/>
              <w:jc w:val="center"/>
              <w:rPr>
                <w:sz w:val="24"/>
                <w:szCs w:val="24"/>
              </w:rPr>
            </w:pPr>
            <w:r>
              <w:rPr>
                <w:sz w:val="24"/>
                <w:szCs w:val="24"/>
              </w:rPr>
              <w:t>13</w:t>
            </w:r>
          </w:p>
        </w:tc>
        <w:tc>
          <w:tcPr>
            <w:tcW w:w="1706" w:type="pct"/>
            <w:noWrap/>
          </w:tcPr>
          <w:p>
            <w:pPr>
              <w:pStyle w:val="6"/>
              <w:adjustRightInd w:val="0"/>
              <w:snapToGrid w:val="0"/>
              <w:spacing w:line="360" w:lineRule="auto"/>
              <w:ind w:firstLine="0"/>
              <w:jc w:val="center"/>
              <w:rPr>
                <w:sz w:val="24"/>
                <w:szCs w:val="24"/>
              </w:rPr>
            </w:pPr>
            <w:r>
              <w:rPr>
                <w:sz w:val="24"/>
                <w:szCs w:val="24"/>
              </w:rPr>
              <w:t>总砷(mg/L）</w:t>
            </w:r>
          </w:p>
        </w:tc>
        <w:tc>
          <w:tcPr>
            <w:tcW w:w="1028" w:type="pct"/>
            <w:noWrap/>
          </w:tcPr>
          <w:p>
            <w:pPr>
              <w:pStyle w:val="6"/>
              <w:adjustRightInd w:val="0"/>
              <w:snapToGrid w:val="0"/>
              <w:spacing w:line="360" w:lineRule="auto"/>
              <w:ind w:firstLine="0"/>
              <w:jc w:val="center"/>
              <w:rPr>
                <w:sz w:val="24"/>
                <w:szCs w:val="24"/>
              </w:rPr>
            </w:pPr>
            <w:r>
              <w:rPr>
                <w:sz w:val="24"/>
                <w:szCs w:val="24"/>
              </w:rPr>
              <w:t>0.1</w:t>
            </w:r>
          </w:p>
        </w:tc>
        <w:tc>
          <w:tcPr>
            <w:tcW w:w="1783" w:type="pct"/>
            <w:noWrap/>
          </w:tcPr>
          <w:p>
            <w:pPr>
              <w:pStyle w:val="6"/>
              <w:adjustRightInd w:val="0"/>
              <w:snapToGrid w:val="0"/>
              <w:spacing w:line="360" w:lineRule="auto"/>
              <w:ind w:firstLine="0"/>
              <w:jc w:val="center"/>
              <w:rPr>
                <w:sz w:val="24"/>
                <w:szCs w:val="24"/>
              </w:rPr>
            </w:pPr>
            <w:r>
              <w:rPr>
                <w:sz w:val="24"/>
                <w:szCs w:val="24"/>
              </w:rPr>
              <w:t>常规污水处理设施排放口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2" w:type="pct"/>
            <w:noWrap/>
          </w:tcPr>
          <w:p>
            <w:pPr>
              <w:pStyle w:val="6"/>
              <w:adjustRightInd w:val="0"/>
              <w:snapToGrid w:val="0"/>
              <w:spacing w:line="360" w:lineRule="auto"/>
              <w:ind w:firstLine="0"/>
              <w:jc w:val="center"/>
              <w:rPr>
                <w:sz w:val="24"/>
                <w:szCs w:val="24"/>
              </w:rPr>
            </w:pPr>
            <w:r>
              <w:rPr>
                <w:sz w:val="24"/>
                <w:szCs w:val="24"/>
              </w:rPr>
              <w:t>14</w:t>
            </w:r>
          </w:p>
        </w:tc>
        <w:tc>
          <w:tcPr>
            <w:tcW w:w="1706" w:type="pct"/>
            <w:noWrap/>
          </w:tcPr>
          <w:p>
            <w:pPr>
              <w:pStyle w:val="6"/>
              <w:adjustRightInd w:val="0"/>
              <w:snapToGrid w:val="0"/>
              <w:spacing w:line="360" w:lineRule="auto"/>
              <w:ind w:firstLine="0"/>
              <w:jc w:val="center"/>
              <w:rPr>
                <w:sz w:val="24"/>
                <w:szCs w:val="24"/>
              </w:rPr>
            </w:pPr>
            <w:r>
              <w:rPr>
                <w:sz w:val="24"/>
                <w:szCs w:val="24"/>
              </w:rPr>
              <w:t>总铅(mg/L）</w:t>
            </w:r>
          </w:p>
        </w:tc>
        <w:tc>
          <w:tcPr>
            <w:tcW w:w="1028" w:type="pct"/>
            <w:noWrap/>
          </w:tcPr>
          <w:p>
            <w:pPr>
              <w:pStyle w:val="6"/>
              <w:adjustRightInd w:val="0"/>
              <w:snapToGrid w:val="0"/>
              <w:spacing w:line="360" w:lineRule="auto"/>
              <w:ind w:firstLine="0"/>
              <w:jc w:val="center"/>
              <w:rPr>
                <w:sz w:val="24"/>
                <w:szCs w:val="24"/>
              </w:rPr>
            </w:pPr>
            <w:r>
              <w:rPr>
                <w:sz w:val="24"/>
                <w:szCs w:val="24"/>
              </w:rPr>
              <w:t>0.1</w:t>
            </w:r>
          </w:p>
        </w:tc>
        <w:tc>
          <w:tcPr>
            <w:tcW w:w="1783" w:type="pct"/>
            <w:noWrap/>
          </w:tcPr>
          <w:p>
            <w:pPr>
              <w:pStyle w:val="6"/>
              <w:adjustRightInd w:val="0"/>
              <w:snapToGrid w:val="0"/>
              <w:spacing w:line="360" w:lineRule="auto"/>
              <w:ind w:firstLine="0"/>
              <w:jc w:val="center"/>
              <w:rPr>
                <w:sz w:val="24"/>
                <w:szCs w:val="24"/>
              </w:rPr>
            </w:pPr>
            <w:r>
              <w:rPr>
                <w:sz w:val="24"/>
                <w:szCs w:val="24"/>
              </w:rPr>
              <w:t>常规污水处理设施排放口</w:t>
            </w:r>
          </w:p>
        </w:tc>
      </w:tr>
    </w:tbl>
    <w:p>
      <w:pPr>
        <w:pStyle w:val="6"/>
        <w:keepNext w:val="0"/>
        <w:keepLines w:val="0"/>
        <w:pageBreakBefore w:val="0"/>
        <w:numPr>
          <w:ilvl w:val="0"/>
          <w:numId w:val="0"/>
        </w:numPr>
        <w:kinsoku/>
        <w:wordWrap/>
        <w:overflowPunct/>
        <w:topLinePunct w:val="0"/>
        <w:bidi w:val="0"/>
        <w:adjustRightInd w:val="0"/>
        <w:snapToGrid w:val="0"/>
        <w:spacing w:line="360" w:lineRule="auto"/>
        <w:rPr>
          <w:rFonts w:hint="eastAsia" w:asciiTheme="minorEastAsia" w:hAnsiTheme="minorEastAsia" w:eastAsiaTheme="minorEastAsia" w:cstheme="minorEastAsia"/>
          <w:color w:val="000000"/>
          <w:sz w:val="24"/>
          <w:szCs w:val="24"/>
        </w:rPr>
      </w:pPr>
    </w:p>
    <w:p>
      <w:pPr>
        <w:pStyle w:val="6"/>
        <w:keepNext w:val="0"/>
        <w:keepLines w:val="0"/>
        <w:pageBreakBefore w:val="0"/>
        <w:numPr>
          <w:ilvl w:val="0"/>
          <w:numId w:val="1"/>
        </w:numPr>
        <w:kinsoku/>
        <w:wordWrap/>
        <w:overflowPunct/>
        <w:topLinePunct w:val="0"/>
        <w:bidi w:val="0"/>
        <w:adjustRightInd w:val="0"/>
        <w:snapToGrid w:val="0"/>
        <w:spacing w:line="360" w:lineRule="auto"/>
        <w:rPr>
          <w:rFonts w:hint="eastAsia" w:asciiTheme="minorEastAsia" w:hAnsiTheme="minorEastAsia" w:eastAsiaTheme="minorEastAsia" w:cstheme="minorEastAsia"/>
          <w:b/>
          <w:bCs/>
          <w:snapToGrid/>
          <w:color w:val="000000"/>
          <w:kern w:val="2"/>
          <w:sz w:val="24"/>
          <w:szCs w:val="24"/>
          <w:lang w:val="en-US" w:eastAsia="zh-CN" w:bidi="ar-SA"/>
        </w:rPr>
      </w:pPr>
      <w:r>
        <w:rPr>
          <w:rFonts w:hint="eastAsia" w:asciiTheme="minorEastAsia" w:hAnsiTheme="minorEastAsia" w:eastAsiaTheme="minorEastAsia" w:cstheme="minorEastAsia"/>
          <w:b/>
          <w:bCs/>
          <w:snapToGrid/>
          <w:color w:val="000000"/>
          <w:kern w:val="2"/>
          <w:sz w:val="24"/>
          <w:szCs w:val="24"/>
          <w:lang w:val="en-US" w:eastAsia="zh-CN" w:bidi="ar-SA"/>
        </w:rPr>
        <w:t>主要设备</w:t>
      </w:r>
    </w:p>
    <w:p>
      <w:pPr>
        <w:pStyle w:val="6"/>
        <w:keepNext w:val="0"/>
        <w:keepLines w:val="0"/>
        <w:pageBreakBefore w:val="0"/>
        <w:numPr>
          <w:ilvl w:val="0"/>
          <w:numId w:val="0"/>
        </w:numPr>
        <w:kinsoku/>
        <w:wordWrap/>
        <w:overflowPunct/>
        <w:topLinePunct w:val="0"/>
        <w:bidi w:val="0"/>
        <w:adjustRightInd w:val="0"/>
        <w:snapToGrid w:val="0"/>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供投标供应商参考，实际情况请供应商自行现场踏勘</w:t>
      </w:r>
    </w:p>
    <w:p>
      <w:pPr>
        <w:pStyle w:val="6"/>
        <w:keepNext w:val="0"/>
        <w:keepLines w:val="0"/>
        <w:pageBreakBefore w:val="0"/>
        <w:kinsoku/>
        <w:wordWrap/>
        <w:overflowPunct/>
        <w:topLinePunct w:val="0"/>
        <w:bidi w:val="0"/>
        <w:adjustRightInd w:val="0"/>
        <w:snapToGrid w:val="0"/>
        <w:spacing w:line="360" w:lineRule="auto"/>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val="en-US" w:eastAsia="zh-CN"/>
        </w:rPr>
        <w:t>1、</w:t>
      </w:r>
      <w:r>
        <w:rPr>
          <w:rFonts w:hint="eastAsia" w:asciiTheme="minorEastAsia" w:hAnsiTheme="minorEastAsia" w:eastAsiaTheme="minorEastAsia" w:cstheme="minorEastAsia"/>
          <w:color w:val="000000"/>
          <w:sz w:val="24"/>
          <w:szCs w:val="24"/>
        </w:rPr>
        <w:t>渗滤液处理部分</w:t>
      </w:r>
    </w:p>
    <w:tbl>
      <w:tblPr>
        <w:tblStyle w:val="62"/>
        <w:tblW w:w="4997" w:type="pct"/>
        <w:tblInd w:w="0" w:type="dxa"/>
        <w:tblLayout w:type="autofit"/>
        <w:tblCellMar>
          <w:top w:w="0" w:type="dxa"/>
          <w:left w:w="0" w:type="dxa"/>
          <w:bottom w:w="0" w:type="dxa"/>
          <w:right w:w="0" w:type="dxa"/>
        </w:tblCellMar>
      </w:tblPr>
      <w:tblGrid>
        <w:gridCol w:w="662"/>
        <w:gridCol w:w="2470"/>
        <w:gridCol w:w="1987"/>
        <w:gridCol w:w="1988"/>
        <w:gridCol w:w="1988"/>
      </w:tblGrid>
      <w:tr>
        <w:tblPrEx>
          <w:tblCellMar>
            <w:top w:w="0" w:type="dxa"/>
            <w:left w:w="0" w:type="dxa"/>
            <w:bottom w:w="0" w:type="dxa"/>
            <w:right w:w="0" w:type="dxa"/>
          </w:tblCellMar>
        </w:tblPrEx>
        <w:trPr>
          <w:trHeight w:val="90" w:hRule="atLeast"/>
          <w:tblHeader/>
        </w:trPr>
        <w:tc>
          <w:tcPr>
            <w:tcW w:w="36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bidi w:val="0"/>
              <w:adjustRightInd w:val="0"/>
              <w:snapToGrid w:val="0"/>
              <w:spacing w:line="360" w:lineRule="auto"/>
              <w:jc w:val="center"/>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rPr>
              <w:t>序号</w:t>
            </w:r>
          </w:p>
        </w:tc>
        <w:tc>
          <w:tcPr>
            <w:tcW w:w="135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bidi w:val="0"/>
              <w:adjustRightInd w:val="0"/>
              <w:snapToGrid w:val="0"/>
              <w:spacing w:line="360" w:lineRule="auto"/>
              <w:jc w:val="center"/>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rPr>
              <w:t>设备名称</w:t>
            </w:r>
          </w:p>
        </w:tc>
        <w:tc>
          <w:tcPr>
            <w:tcW w:w="109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bidi w:val="0"/>
              <w:adjustRightInd w:val="0"/>
              <w:snapToGrid w:val="0"/>
              <w:spacing w:line="360" w:lineRule="auto"/>
              <w:jc w:val="center"/>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单位</w:t>
            </w:r>
          </w:p>
        </w:tc>
        <w:tc>
          <w:tcPr>
            <w:tcW w:w="109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bidi w:val="0"/>
              <w:adjustRightInd w:val="0"/>
              <w:snapToGrid w:val="0"/>
              <w:spacing w:line="360" w:lineRule="auto"/>
              <w:jc w:val="center"/>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数量</w:t>
            </w:r>
          </w:p>
        </w:tc>
        <w:tc>
          <w:tcPr>
            <w:tcW w:w="109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bidi w:val="0"/>
              <w:adjustRightInd w:val="0"/>
              <w:snapToGrid w:val="0"/>
              <w:spacing w:line="360" w:lineRule="auto"/>
              <w:jc w:val="center"/>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备注</w:t>
            </w:r>
          </w:p>
        </w:tc>
      </w:tr>
      <w:tr>
        <w:tblPrEx>
          <w:tblCellMar>
            <w:top w:w="0" w:type="dxa"/>
            <w:left w:w="0" w:type="dxa"/>
            <w:bottom w:w="0" w:type="dxa"/>
            <w:right w:w="0" w:type="dxa"/>
          </w:tblCellMar>
        </w:tblPrEx>
        <w:trPr>
          <w:trHeight w:val="23" w:hRule="atLeast"/>
        </w:trPr>
        <w:tc>
          <w:tcPr>
            <w:tcW w:w="36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bidi w:val="0"/>
              <w:adjustRightInd w:val="0"/>
              <w:snapToGrid w:val="0"/>
              <w:spacing w:line="360" w:lineRule="auto"/>
              <w:jc w:val="center"/>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rPr>
              <w:t>1</w:t>
            </w:r>
          </w:p>
        </w:tc>
        <w:tc>
          <w:tcPr>
            <w:tcW w:w="135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bidi w:val="0"/>
              <w:adjustRightInd w:val="0"/>
              <w:snapToGrid w:val="0"/>
              <w:spacing w:line="360" w:lineRule="auto"/>
              <w:jc w:val="center"/>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rPr>
              <w:t>调节池</w:t>
            </w:r>
          </w:p>
        </w:tc>
        <w:tc>
          <w:tcPr>
            <w:tcW w:w="109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bidi w:val="0"/>
              <w:adjustRightInd w:val="0"/>
              <w:snapToGrid w:val="0"/>
              <w:spacing w:line="360" w:lineRule="auto"/>
              <w:jc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座</w:t>
            </w:r>
          </w:p>
        </w:tc>
        <w:tc>
          <w:tcPr>
            <w:tcW w:w="109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bidi w:val="0"/>
              <w:adjustRightInd w:val="0"/>
              <w:snapToGrid w:val="0"/>
              <w:spacing w:line="360" w:lineRule="auto"/>
              <w:jc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1</w:t>
            </w:r>
          </w:p>
        </w:tc>
        <w:tc>
          <w:tcPr>
            <w:tcW w:w="109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bidi w:val="0"/>
              <w:adjustRightInd w:val="0"/>
              <w:snapToGrid w:val="0"/>
              <w:spacing w:line="360" w:lineRule="auto"/>
              <w:jc w:val="center"/>
              <w:rPr>
                <w:rFonts w:hint="eastAsia" w:asciiTheme="minorEastAsia" w:hAnsiTheme="minorEastAsia" w:eastAsiaTheme="minorEastAsia" w:cstheme="minorEastAsia"/>
                <w:color w:val="000000"/>
                <w:sz w:val="24"/>
              </w:rPr>
            </w:pPr>
          </w:p>
        </w:tc>
      </w:tr>
      <w:tr>
        <w:tblPrEx>
          <w:tblCellMar>
            <w:top w:w="0" w:type="dxa"/>
            <w:left w:w="0" w:type="dxa"/>
            <w:bottom w:w="0" w:type="dxa"/>
            <w:right w:w="0" w:type="dxa"/>
          </w:tblCellMar>
        </w:tblPrEx>
        <w:trPr>
          <w:trHeight w:val="23" w:hRule="atLeast"/>
        </w:trPr>
        <w:tc>
          <w:tcPr>
            <w:tcW w:w="36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bidi w:val="0"/>
              <w:adjustRightInd w:val="0"/>
              <w:snapToGrid w:val="0"/>
              <w:spacing w:line="360" w:lineRule="auto"/>
              <w:jc w:val="center"/>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rPr>
              <w:t>2</w:t>
            </w:r>
          </w:p>
        </w:tc>
        <w:tc>
          <w:tcPr>
            <w:tcW w:w="135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bidi w:val="0"/>
              <w:adjustRightInd w:val="0"/>
              <w:snapToGrid w:val="0"/>
              <w:spacing w:line="360" w:lineRule="auto"/>
              <w:jc w:val="center"/>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rPr>
              <w:t>罐1</w:t>
            </w:r>
          </w:p>
        </w:tc>
        <w:tc>
          <w:tcPr>
            <w:tcW w:w="109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bidi w:val="0"/>
              <w:adjustRightInd w:val="0"/>
              <w:snapToGrid w:val="0"/>
              <w:spacing w:line="360" w:lineRule="auto"/>
              <w:jc w:val="center"/>
              <w:textAlignment w:val="center"/>
              <w:rPr>
                <w:rFonts w:hint="eastAsia"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个</w:t>
            </w:r>
          </w:p>
        </w:tc>
        <w:tc>
          <w:tcPr>
            <w:tcW w:w="109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bidi w:val="0"/>
              <w:adjustRightInd w:val="0"/>
              <w:snapToGrid w:val="0"/>
              <w:spacing w:line="360" w:lineRule="auto"/>
              <w:jc w:val="center"/>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rPr>
              <w:t>1</w:t>
            </w:r>
          </w:p>
        </w:tc>
        <w:tc>
          <w:tcPr>
            <w:tcW w:w="109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bidi w:val="0"/>
              <w:adjustRightInd w:val="0"/>
              <w:snapToGrid w:val="0"/>
              <w:spacing w:line="360" w:lineRule="auto"/>
              <w:jc w:val="center"/>
              <w:textAlignment w:val="center"/>
              <w:rPr>
                <w:rFonts w:hint="eastAsia" w:asciiTheme="minorEastAsia" w:hAnsiTheme="minorEastAsia" w:eastAsiaTheme="minorEastAsia" w:cstheme="minorEastAsia"/>
                <w:color w:val="000000"/>
                <w:kern w:val="0"/>
                <w:sz w:val="24"/>
              </w:rPr>
            </w:pPr>
          </w:p>
        </w:tc>
      </w:tr>
      <w:tr>
        <w:tblPrEx>
          <w:tblCellMar>
            <w:top w:w="0" w:type="dxa"/>
            <w:left w:w="0" w:type="dxa"/>
            <w:bottom w:w="0" w:type="dxa"/>
            <w:right w:w="0" w:type="dxa"/>
          </w:tblCellMar>
        </w:tblPrEx>
        <w:trPr>
          <w:trHeight w:val="23" w:hRule="atLeast"/>
        </w:trPr>
        <w:tc>
          <w:tcPr>
            <w:tcW w:w="36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bidi w:val="0"/>
              <w:adjustRightInd w:val="0"/>
              <w:snapToGrid w:val="0"/>
              <w:spacing w:line="360" w:lineRule="auto"/>
              <w:jc w:val="center"/>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rPr>
              <w:t>3</w:t>
            </w:r>
          </w:p>
        </w:tc>
        <w:tc>
          <w:tcPr>
            <w:tcW w:w="135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bidi w:val="0"/>
              <w:adjustRightInd w:val="0"/>
              <w:snapToGrid w:val="0"/>
              <w:spacing w:line="360" w:lineRule="auto"/>
              <w:jc w:val="center"/>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罐2</w:t>
            </w:r>
          </w:p>
        </w:tc>
        <w:tc>
          <w:tcPr>
            <w:tcW w:w="109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bidi w:val="0"/>
              <w:adjustRightInd w:val="0"/>
              <w:snapToGrid w:val="0"/>
              <w:spacing w:line="360" w:lineRule="auto"/>
              <w:jc w:val="center"/>
              <w:textAlignment w:val="center"/>
              <w:rPr>
                <w:rFonts w:hint="eastAsia"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个</w:t>
            </w:r>
          </w:p>
        </w:tc>
        <w:tc>
          <w:tcPr>
            <w:tcW w:w="109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bidi w:val="0"/>
              <w:adjustRightInd w:val="0"/>
              <w:snapToGrid w:val="0"/>
              <w:spacing w:line="360" w:lineRule="auto"/>
              <w:jc w:val="center"/>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rPr>
              <w:t>1</w:t>
            </w:r>
          </w:p>
        </w:tc>
        <w:tc>
          <w:tcPr>
            <w:tcW w:w="109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bidi w:val="0"/>
              <w:adjustRightInd w:val="0"/>
              <w:snapToGrid w:val="0"/>
              <w:spacing w:line="360" w:lineRule="auto"/>
              <w:jc w:val="center"/>
              <w:textAlignment w:val="center"/>
              <w:rPr>
                <w:rFonts w:hint="eastAsia" w:asciiTheme="minorEastAsia" w:hAnsiTheme="minorEastAsia" w:eastAsiaTheme="minorEastAsia" w:cstheme="minorEastAsia"/>
                <w:color w:val="000000"/>
                <w:kern w:val="0"/>
                <w:sz w:val="24"/>
              </w:rPr>
            </w:pPr>
          </w:p>
        </w:tc>
      </w:tr>
      <w:tr>
        <w:tblPrEx>
          <w:tblCellMar>
            <w:top w:w="0" w:type="dxa"/>
            <w:left w:w="0" w:type="dxa"/>
            <w:bottom w:w="0" w:type="dxa"/>
            <w:right w:w="0" w:type="dxa"/>
          </w:tblCellMar>
        </w:tblPrEx>
        <w:trPr>
          <w:trHeight w:val="23" w:hRule="atLeast"/>
        </w:trPr>
        <w:tc>
          <w:tcPr>
            <w:tcW w:w="36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bidi w:val="0"/>
              <w:adjustRightInd w:val="0"/>
              <w:snapToGrid w:val="0"/>
              <w:spacing w:line="360" w:lineRule="auto"/>
              <w:jc w:val="center"/>
              <w:textAlignment w:val="center"/>
              <w:rPr>
                <w:rFonts w:hint="eastAsia"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4</w:t>
            </w:r>
          </w:p>
        </w:tc>
        <w:tc>
          <w:tcPr>
            <w:tcW w:w="135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bidi w:val="0"/>
              <w:adjustRightInd w:val="0"/>
              <w:snapToGrid w:val="0"/>
              <w:spacing w:line="360" w:lineRule="auto"/>
              <w:jc w:val="center"/>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罐3</w:t>
            </w:r>
          </w:p>
        </w:tc>
        <w:tc>
          <w:tcPr>
            <w:tcW w:w="109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bidi w:val="0"/>
              <w:adjustRightInd w:val="0"/>
              <w:snapToGrid w:val="0"/>
              <w:spacing w:line="360" w:lineRule="auto"/>
              <w:jc w:val="center"/>
              <w:textAlignment w:val="center"/>
              <w:rPr>
                <w:rFonts w:hint="eastAsia"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个</w:t>
            </w:r>
          </w:p>
        </w:tc>
        <w:tc>
          <w:tcPr>
            <w:tcW w:w="109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bidi w:val="0"/>
              <w:adjustRightInd w:val="0"/>
              <w:snapToGrid w:val="0"/>
              <w:spacing w:line="360" w:lineRule="auto"/>
              <w:jc w:val="center"/>
              <w:textAlignment w:val="center"/>
              <w:rPr>
                <w:rFonts w:hint="eastAsia"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1</w:t>
            </w:r>
          </w:p>
        </w:tc>
        <w:tc>
          <w:tcPr>
            <w:tcW w:w="109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bidi w:val="0"/>
              <w:adjustRightInd w:val="0"/>
              <w:snapToGrid w:val="0"/>
              <w:spacing w:line="360" w:lineRule="auto"/>
              <w:jc w:val="center"/>
              <w:textAlignment w:val="center"/>
              <w:rPr>
                <w:rFonts w:hint="eastAsia" w:asciiTheme="minorEastAsia" w:hAnsiTheme="minorEastAsia" w:eastAsiaTheme="minorEastAsia" w:cstheme="minorEastAsia"/>
                <w:color w:val="000000"/>
                <w:kern w:val="0"/>
                <w:sz w:val="24"/>
              </w:rPr>
            </w:pPr>
          </w:p>
        </w:tc>
      </w:tr>
      <w:tr>
        <w:tblPrEx>
          <w:tblCellMar>
            <w:top w:w="0" w:type="dxa"/>
            <w:left w:w="0" w:type="dxa"/>
            <w:bottom w:w="0" w:type="dxa"/>
            <w:right w:w="0" w:type="dxa"/>
          </w:tblCellMar>
        </w:tblPrEx>
        <w:trPr>
          <w:trHeight w:val="23" w:hRule="atLeast"/>
        </w:trPr>
        <w:tc>
          <w:tcPr>
            <w:tcW w:w="36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bidi w:val="0"/>
              <w:adjustRightInd w:val="0"/>
              <w:snapToGrid w:val="0"/>
              <w:spacing w:line="360" w:lineRule="auto"/>
              <w:jc w:val="center"/>
              <w:textAlignment w:val="center"/>
              <w:rPr>
                <w:rFonts w:hint="eastAsia"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5</w:t>
            </w:r>
          </w:p>
        </w:tc>
        <w:tc>
          <w:tcPr>
            <w:tcW w:w="135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bidi w:val="0"/>
              <w:adjustRightInd w:val="0"/>
              <w:snapToGrid w:val="0"/>
              <w:spacing w:line="360" w:lineRule="auto"/>
              <w:jc w:val="center"/>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反应池</w:t>
            </w:r>
          </w:p>
        </w:tc>
        <w:tc>
          <w:tcPr>
            <w:tcW w:w="109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bidi w:val="0"/>
              <w:adjustRightInd w:val="0"/>
              <w:snapToGrid w:val="0"/>
              <w:spacing w:line="360" w:lineRule="auto"/>
              <w:jc w:val="center"/>
              <w:textAlignment w:val="center"/>
              <w:rPr>
                <w:rFonts w:hint="eastAsia"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座</w:t>
            </w:r>
          </w:p>
        </w:tc>
        <w:tc>
          <w:tcPr>
            <w:tcW w:w="109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bidi w:val="0"/>
              <w:adjustRightInd w:val="0"/>
              <w:snapToGrid w:val="0"/>
              <w:spacing w:line="360" w:lineRule="auto"/>
              <w:jc w:val="center"/>
              <w:textAlignment w:val="center"/>
              <w:rPr>
                <w:rFonts w:hint="eastAsia"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1</w:t>
            </w:r>
          </w:p>
        </w:tc>
        <w:tc>
          <w:tcPr>
            <w:tcW w:w="109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bidi w:val="0"/>
              <w:adjustRightInd w:val="0"/>
              <w:snapToGrid w:val="0"/>
              <w:spacing w:line="360" w:lineRule="auto"/>
              <w:jc w:val="center"/>
              <w:textAlignment w:val="center"/>
              <w:rPr>
                <w:rFonts w:hint="eastAsia" w:asciiTheme="minorEastAsia" w:hAnsiTheme="minorEastAsia" w:eastAsiaTheme="minorEastAsia" w:cstheme="minorEastAsia"/>
                <w:color w:val="000000"/>
                <w:kern w:val="0"/>
                <w:sz w:val="24"/>
              </w:rPr>
            </w:pPr>
          </w:p>
        </w:tc>
      </w:tr>
      <w:tr>
        <w:tblPrEx>
          <w:tblCellMar>
            <w:top w:w="0" w:type="dxa"/>
            <w:left w:w="0" w:type="dxa"/>
            <w:bottom w:w="0" w:type="dxa"/>
            <w:right w:w="0" w:type="dxa"/>
          </w:tblCellMar>
        </w:tblPrEx>
        <w:trPr>
          <w:trHeight w:val="23" w:hRule="atLeast"/>
        </w:trPr>
        <w:tc>
          <w:tcPr>
            <w:tcW w:w="36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bidi w:val="0"/>
              <w:adjustRightInd w:val="0"/>
              <w:snapToGrid w:val="0"/>
              <w:spacing w:line="360" w:lineRule="auto"/>
              <w:jc w:val="center"/>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rPr>
              <w:t>6</w:t>
            </w:r>
          </w:p>
        </w:tc>
        <w:tc>
          <w:tcPr>
            <w:tcW w:w="135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bidi w:val="0"/>
              <w:adjustRightInd w:val="0"/>
              <w:snapToGrid w:val="0"/>
              <w:spacing w:line="360" w:lineRule="auto"/>
              <w:jc w:val="center"/>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rPr>
              <w:t>泵1</w:t>
            </w:r>
          </w:p>
        </w:tc>
        <w:tc>
          <w:tcPr>
            <w:tcW w:w="109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bidi w:val="0"/>
              <w:adjustRightInd w:val="0"/>
              <w:snapToGrid w:val="0"/>
              <w:spacing w:line="360" w:lineRule="auto"/>
              <w:jc w:val="center"/>
              <w:textAlignment w:val="center"/>
              <w:rPr>
                <w:rFonts w:hint="eastAsia"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台</w:t>
            </w:r>
          </w:p>
        </w:tc>
        <w:tc>
          <w:tcPr>
            <w:tcW w:w="109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bidi w:val="0"/>
              <w:adjustRightInd w:val="0"/>
              <w:snapToGrid w:val="0"/>
              <w:spacing w:line="360" w:lineRule="auto"/>
              <w:jc w:val="center"/>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rPr>
              <w:t>4</w:t>
            </w:r>
          </w:p>
        </w:tc>
        <w:tc>
          <w:tcPr>
            <w:tcW w:w="109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bidi w:val="0"/>
              <w:adjustRightInd w:val="0"/>
              <w:snapToGrid w:val="0"/>
              <w:spacing w:line="360" w:lineRule="auto"/>
              <w:jc w:val="center"/>
              <w:textAlignment w:val="center"/>
              <w:rPr>
                <w:rFonts w:hint="eastAsia" w:asciiTheme="minorEastAsia" w:hAnsiTheme="minorEastAsia" w:eastAsiaTheme="minorEastAsia" w:cstheme="minorEastAsia"/>
                <w:color w:val="000000"/>
                <w:kern w:val="0"/>
                <w:sz w:val="24"/>
              </w:rPr>
            </w:pPr>
          </w:p>
        </w:tc>
      </w:tr>
      <w:tr>
        <w:tblPrEx>
          <w:tblCellMar>
            <w:top w:w="0" w:type="dxa"/>
            <w:left w:w="0" w:type="dxa"/>
            <w:bottom w:w="0" w:type="dxa"/>
            <w:right w:w="0" w:type="dxa"/>
          </w:tblCellMar>
        </w:tblPrEx>
        <w:trPr>
          <w:trHeight w:val="23" w:hRule="atLeast"/>
        </w:trPr>
        <w:tc>
          <w:tcPr>
            <w:tcW w:w="36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bidi w:val="0"/>
              <w:adjustRightInd w:val="0"/>
              <w:snapToGrid w:val="0"/>
              <w:spacing w:line="360" w:lineRule="auto"/>
              <w:jc w:val="center"/>
              <w:textAlignment w:val="center"/>
              <w:rPr>
                <w:rFonts w:hint="eastAsia"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7</w:t>
            </w:r>
          </w:p>
        </w:tc>
        <w:tc>
          <w:tcPr>
            <w:tcW w:w="135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bidi w:val="0"/>
              <w:adjustRightInd w:val="0"/>
              <w:snapToGrid w:val="0"/>
              <w:spacing w:line="360" w:lineRule="auto"/>
              <w:jc w:val="center"/>
              <w:textAlignment w:val="center"/>
              <w:rPr>
                <w:rFonts w:hint="eastAsia"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泵2</w:t>
            </w:r>
          </w:p>
        </w:tc>
        <w:tc>
          <w:tcPr>
            <w:tcW w:w="109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bidi w:val="0"/>
              <w:adjustRightInd w:val="0"/>
              <w:snapToGrid w:val="0"/>
              <w:spacing w:line="360" w:lineRule="auto"/>
              <w:jc w:val="center"/>
              <w:textAlignment w:val="center"/>
              <w:rPr>
                <w:rFonts w:hint="eastAsia"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台</w:t>
            </w:r>
          </w:p>
        </w:tc>
        <w:tc>
          <w:tcPr>
            <w:tcW w:w="109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bidi w:val="0"/>
              <w:adjustRightInd w:val="0"/>
              <w:snapToGrid w:val="0"/>
              <w:spacing w:line="360" w:lineRule="auto"/>
              <w:jc w:val="center"/>
              <w:textAlignment w:val="center"/>
              <w:rPr>
                <w:rFonts w:hint="eastAsia"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2</w:t>
            </w:r>
          </w:p>
        </w:tc>
        <w:tc>
          <w:tcPr>
            <w:tcW w:w="109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bidi w:val="0"/>
              <w:adjustRightInd w:val="0"/>
              <w:snapToGrid w:val="0"/>
              <w:spacing w:line="360" w:lineRule="auto"/>
              <w:jc w:val="center"/>
              <w:textAlignment w:val="center"/>
              <w:rPr>
                <w:rFonts w:hint="eastAsia" w:asciiTheme="minorEastAsia" w:hAnsiTheme="minorEastAsia" w:eastAsiaTheme="minorEastAsia" w:cstheme="minorEastAsia"/>
                <w:color w:val="000000"/>
                <w:kern w:val="0"/>
                <w:sz w:val="24"/>
              </w:rPr>
            </w:pPr>
          </w:p>
        </w:tc>
      </w:tr>
      <w:tr>
        <w:tblPrEx>
          <w:tblCellMar>
            <w:top w:w="0" w:type="dxa"/>
            <w:left w:w="0" w:type="dxa"/>
            <w:bottom w:w="0" w:type="dxa"/>
            <w:right w:w="0" w:type="dxa"/>
          </w:tblCellMar>
        </w:tblPrEx>
        <w:trPr>
          <w:trHeight w:val="23" w:hRule="atLeast"/>
        </w:trPr>
        <w:tc>
          <w:tcPr>
            <w:tcW w:w="36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bidi w:val="0"/>
              <w:adjustRightInd w:val="0"/>
              <w:snapToGrid w:val="0"/>
              <w:spacing w:line="360" w:lineRule="auto"/>
              <w:jc w:val="center"/>
              <w:textAlignment w:val="center"/>
              <w:rPr>
                <w:rFonts w:hint="eastAsia"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8</w:t>
            </w:r>
          </w:p>
        </w:tc>
        <w:tc>
          <w:tcPr>
            <w:tcW w:w="135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bidi w:val="0"/>
              <w:adjustRightInd w:val="0"/>
              <w:snapToGrid w:val="0"/>
              <w:spacing w:line="360" w:lineRule="auto"/>
              <w:jc w:val="center"/>
              <w:textAlignment w:val="center"/>
              <w:rPr>
                <w:rFonts w:hint="eastAsia"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泵3</w:t>
            </w:r>
          </w:p>
        </w:tc>
        <w:tc>
          <w:tcPr>
            <w:tcW w:w="109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bidi w:val="0"/>
              <w:adjustRightInd w:val="0"/>
              <w:snapToGrid w:val="0"/>
              <w:spacing w:line="360" w:lineRule="auto"/>
              <w:jc w:val="center"/>
              <w:textAlignment w:val="center"/>
              <w:rPr>
                <w:rFonts w:hint="eastAsia"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台</w:t>
            </w:r>
          </w:p>
        </w:tc>
        <w:tc>
          <w:tcPr>
            <w:tcW w:w="109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bidi w:val="0"/>
              <w:adjustRightInd w:val="0"/>
              <w:snapToGrid w:val="0"/>
              <w:spacing w:line="360" w:lineRule="auto"/>
              <w:jc w:val="center"/>
              <w:textAlignment w:val="center"/>
              <w:rPr>
                <w:rFonts w:hint="eastAsia"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1</w:t>
            </w:r>
          </w:p>
        </w:tc>
        <w:tc>
          <w:tcPr>
            <w:tcW w:w="109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bidi w:val="0"/>
              <w:adjustRightInd w:val="0"/>
              <w:snapToGrid w:val="0"/>
              <w:spacing w:line="360" w:lineRule="auto"/>
              <w:jc w:val="center"/>
              <w:textAlignment w:val="center"/>
              <w:rPr>
                <w:rFonts w:hint="eastAsia" w:asciiTheme="minorEastAsia" w:hAnsiTheme="minorEastAsia" w:eastAsiaTheme="minorEastAsia" w:cstheme="minorEastAsia"/>
                <w:color w:val="000000"/>
                <w:kern w:val="0"/>
                <w:sz w:val="24"/>
              </w:rPr>
            </w:pPr>
          </w:p>
        </w:tc>
      </w:tr>
      <w:tr>
        <w:tblPrEx>
          <w:tblCellMar>
            <w:top w:w="0" w:type="dxa"/>
            <w:left w:w="0" w:type="dxa"/>
            <w:bottom w:w="0" w:type="dxa"/>
            <w:right w:w="0" w:type="dxa"/>
          </w:tblCellMar>
        </w:tblPrEx>
        <w:trPr>
          <w:trHeight w:val="23" w:hRule="atLeast"/>
        </w:trPr>
        <w:tc>
          <w:tcPr>
            <w:tcW w:w="36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bidi w:val="0"/>
              <w:adjustRightInd w:val="0"/>
              <w:snapToGrid w:val="0"/>
              <w:spacing w:line="360" w:lineRule="auto"/>
              <w:jc w:val="center"/>
              <w:textAlignment w:val="center"/>
              <w:rPr>
                <w:rFonts w:hint="eastAsia"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9</w:t>
            </w:r>
          </w:p>
        </w:tc>
        <w:tc>
          <w:tcPr>
            <w:tcW w:w="135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bidi w:val="0"/>
              <w:adjustRightInd w:val="0"/>
              <w:snapToGrid w:val="0"/>
              <w:spacing w:line="360" w:lineRule="auto"/>
              <w:jc w:val="center"/>
              <w:textAlignment w:val="center"/>
              <w:rPr>
                <w:rFonts w:hint="eastAsia"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泵4</w:t>
            </w:r>
          </w:p>
        </w:tc>
        <w:tc>
          <w:tcPr>
            <w:tcW w:w="109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bidi w:val="0"/>
              <w:adjustRightInd w:val="0"/>
              <w:snapToGrid w:val="0"/>
              <w:spacing w:line="360" w:lineRule="auto"/>
              <w:jc w:val="center"/>
              <w:textAlignment w:val="center"/>
              <w:rPr>
                <w:rFonts w:hint="eastAsia"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台</w:t>
            </w:r>
          </w:p>
        </w:tc>
        <w:tc>
          <w:tcPr>
            <w:tcW w:w="109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bidi w:val="0"/>
              <w:adjustRightInd w:val="0"/>
              <w:snapToGrid w:val="0"/>
              <w:spacing w:line="360" w:lineRule="auto"/>
              <w:jc w:val="center"/>
              <w:textAlignment w:val="center"/>
              <w:rPr>
                <w:rFonts w:hint="eastAsia"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2</w:t>
            </w:r>
          </w:p>
        </w:tc>
        <w:tc>
          <w:tcPr>
            <w:tcW w:w="109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bidi w:val="0"/>
              <w:adjustRightInd w:val="0"/>
              <w:snapToGrid w:val="0"/>
              <w:spacing w:line="360" w:lineRule="auto"/>
              <w:jc w:val="center"/>
              <w:textAlignment w:val="center"/>
              <w:rPr>
                <w:rFonts w:hint="eastAsia" w:asciiTheme="minorEastAsia" w:hAnsiTheme="minorEastAsia" w:eastAsiaTheme="minorEastAsia" w:cstheme="minorEastAsia"/>
                <w:color w:val="000000"/>
                <w:kern w:val="0"/>
                <w:sz w:val="24"/>
              </w:rPr>
            </w:pPr>
          </w:p>
        </w:tc>
      </w:tr>
      <w:tr>
        <w:tblPrEx>
          <w:tblCellMar>
            <w:top w:w="0" w:type="dxa"/>
            <w:left w:w="0" w:type="dxa"/>
            <w:bottom w:w="0" w:type="dxa"/>
            <w:right w:w="0" w:type="dxa"/>
          </w:tblCellMar>
        </w:tblPrEx>
        <w:trPr>
          <w:trHeight w:val="23" w:hRule="atLeast"/>
        </w:trPr>
        <w:tc>
          <w:tcPr>
            <w:tcW w:w="36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bidi w:val="0"/>
              <w:adjustRightInd w:val="0"/>
              <w:snapToGrid w:val="0"/>
              <w:spacing w:line="360" w:lineRule="auto"/>
              <w:jc w:val="center"/>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rPr>
              <w:t>10</w:t>
            </w:r>
          </w:p>
        </w:tc>
        <w:tc>
          <w:tcPr>
            <w:tcW w:w="135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bidi w:val="0"/>
              <w:adjustRightInd w:val="0"/>
              <w:snapToGrid w:val="0"/>
              <w:spacing w:line="360" w:lineRule="auto"/>
              <w:jc w:val="center"/>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rPr>
              <w:t>曝气器</w:t>
            </w:r>
          </w:p>
        </w:tc>
        <w:tc>
          <w:tcPr>
            <w:tcW w:w="109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bidi w:val="0"/>
              <w:adjustRightInd w:val="0"/>
              <w:snapToGrid w:val="0"/>
              <w:spacing w:line="360" w:lineRule="auto"/>
              <w:jc w:val="center"/>
              <w:textAlignment w:val="center"/>
              <w:rPr>
                <w:rFonts w:hint="eastAsia"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台</w:t>
            </w:r>
          </w:p>
        </w:tc>
        <w:tc>
          <w:tcPr>
            <w:tcW w:w="109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bidi w:val="0"/>
              <w:adjustRightInd w:val="0"/>
              <w:snapToGrid w:val="0"/>
              <w:spacing w:line="360" w:lineRule="auto"/>
              <w:jc w:val="center"/>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rPr>
              <w:t>2</w:t>
            </w:r>
          </w:p>
        </w:tc>
        <w:tc>
          <w:tcPr>
            <w:tcW w:w="109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bidi w:val="0"/>
              <w:adjustRightInd w:val="0"/>
              <w:snapToGrid w:val="0"/>
              <w:spacing w:line="360" w:lineRule="auto"/>
              <w:jc w:val="center"/>
              <w:textAlignment w:val="center"/>
              <w:rPr>
                <w:rFonts w:hint="eastAsia" w:asciiTheme="minorEastAsia" w:hAnsiTheme="minorEastAsia" w:eastAsiaTheme="minorEastAsia" w:cstheme="minorEastAsia"/>
                <w:color w:val="000000"/>
                <w:kern w:val="0"/>
                <w:sz w:val="24"/>
              </w:rPr>
            </w:pPr>
          </w:p>
        </w:tc>
      </w:tr>
      <w:tr>
        <w:tblPrEx>
          <w:tblCellMar>
            <w:top w:w="0" w:type="dxa"/>
            <w:left w:w="0" w:type="dxa"/>
            <w:bottom w:w="0" w:type="dxa"/>
            <w:right w:w="0" w:type="dxa"/>
          </w:tblCellMar>
        </w:tblPrEx>
        <w:trPr>
          <w:trHeight w:val="23" w:hRule="atLeast"/>
        </w:trPr>
        <w:tc>
          <w:tcPr>
            <w:tcW w:w="36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bidi w:val="0"/>
              <w:adjustRightInd w:val="0"/>
              <w:snapToGrid w:val="0"/>
              <w:spacing w:line="360" w:lineRule="auto"/>
              <w:jc w:val="center"/>
              <w:textAlignment w:val="center"/>
              <w:rPr>
                <w:rFonts w:hint="eastAsia"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11</w:t>
            </w:r>
          </w:p>
        </w:tc>
        <w:tc>
          <w:tcPr>
            <w:tcW w:w="135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bidi w:val="0"/>
              <w:adjustRightInd w:val="0"/>
              <w:snapToGrid w:val="0"/>
              <w:spacing w:line="360" w:lineRule="auto"/>
              <w:jc w:val="center"/>
              <w:textAlignment w:val="center"/>
              <w:rPr>
                <w:rFonts w:hint="eastAsia"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曝气器</w:t>
            </w:r>
          </w:p>
        </w:tc>
        <w:tc>
          <w:tcPr>
            <w:tcW w:w="109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bidi w:val="0"/>
              <w:adjustRightInd w:val="0"/>
              <w:snapToGrid w:val="0"/>
              <w:spacing w:line="360" w:lineRule="auto"/>
              <w:jc w:val="center"/>
              <w:textAlignment w:val="center"/>
              <w:rPr>
                <w:rFonts w:hint="eastAsia"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台</w:t>
            </w:r>
          </w:p>
        </w:tc>
        <w:tc>
          <w:tcPr>
            <w:tcW w:w="109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bidi w:val="0"/>
              <w:adjustRightInd w:val="0"/>
              <w:snapToGrid w:val="0"/>
              <w:spacing w:line="360" w:lineRule="auto"/>
              <w:jc w:val="center"/>
              <w:textAlignment w:val="center"/>
              <w:rPr>
                <w:rFonts w:hint="eastAsia"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1</w:t>
            </w:r>
          </w:p>
        </w:tc>
        <w:tc>
          <w:tcPr>
            <w:tcW w:w="109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bidi w:val="0"/>
              <w:adjustRightInd w:val="0"/>
              <w:snapToGrid w:val="0"/>
              <w:spacing w:line="360" w:lineRule="auto"/>
              <w:jc w:val="center"/>
              <w:textAlignment w:val="center"/>
              <w:rPr>
                <w:rFonts w:hint="eastAsia" w:asciiTheme="minorEastAsia" w:hAnsiTheme="minorEastAsia" w:eastAsiaTheme="minorEastAsia" w:cstheme="minorEastAsia"/>
                <w:color w:val="000000"/>
                <w:kern w:val="0"/>
                <w:sz w:val="24"/>
              </w:rPr>
            </w:pPr>
          </w:p>
        </w:tc>
      </w:tr>
      <w:tr>
        <w:tblPrEx>
          <w:tblCellMar>
            <w:top w:w="0" w:type="dxa"/>
            <w:left w:w="0" w:type="dxa"/>
            <w:bottom w:w="0" w:type="dxa"/>
            <w:right w:w="0" w:type="dxa"/>
          </w:tblCellMar>
        </w:tblPrEx>
        <w:trPr>
          <w:trHeight w:val="23" w:hRule="atLeast"/>
        </w:trPr>
        <w:tc>
          <w:tcPr>
            <w:tcW w:w="36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bidi w:val="0"/>
              <w:adjustRightInd w:val="0"/>
              <w:snapToGrid w:val="0"/>
              <w:spacing w:line="360" w:lineRule="auto"/>
              <w:jc w:val="center"/>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rPr>
              <w:t>12</w:t>
            </w:r>
          </w:p>
        </w:tc>
        <w:tc>
          <w:tcPr>
            <w:tcW w:w="135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bidi w:val="0"/>
              <w:adjustRightInd w:val="0"/>
              <w:snapToGrid w:val="0"/>
              <w:spacing w:line="360" w:lineRule="auto"/>
              <w:jc w:val="center"/>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rPr>
              <w:t>鼓风机</w:t>
            </w:r>
          </w:p>
        </w:tc>
        <w:tc>
          <w:tcPr>
            <w:tcW w:w="109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bidi w:val="0"/>
              <w:adjustRightInd w:val="0"/>
              <w:snapToGrid w:val="0"/>
              <w:spacing w:line="360" w:lineRule="auto"/>
              <w:jc w:val="center"/>
              <w:textAlignment w:val="center"/>
              <w:rPr>
                <w:rFonts w:hint="eastAsia"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台</w:t>
            </w:r>
          </w:p>
        </w:tc>
        <w:tc>
          <w:tcPr>
            <w:tcW w:w="109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bidi w:val="0"/>
              <w:adjustRightInd w:val="0"/>
              <w:snapToGrid w:val="0"/>
              <w:spacing w:line="360" w:lineRule="auto"/>
              <w:jc w:val="center"/>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rPr>
              <w:t>3</w:t>
            </w:r>
          </w:p>
        </w:tc>
        <w:tc>
          <w:tcPr>
            <w:tcW w:w="109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bidi w:val="0"/>
              <w:adjustRightInd w:val="0"/>
              <w:snapToGrid w:val="0"/>
              <w:spacing w:line="360" w:lineRule="auto"/>
              <w:jc w:val="center"/>
              <w:textAlignment w:val="center"/>
              <w:rPr>
                <w:rFonts w:hint="eastAsia" w:asciiTheme="minorEastAsia" w:hAnsiTheme="minorEastAsia" w:eastAsiaTheme="minorEastAsia" w:cstheme="minorEastAsia"/>
                <w:color w:val="000000"/>
                <w:kern w:val="0"/>
                <w:sz w:val="24"/>
              </w:rPr>
            </w:pPr>
          </w:p>
        </w:tc>
      </w:tr>
      <w:tr>
        <w:tblPrEx>
          <w:tblCellMar>
            <w:top w:w="0" w:type="dxa"/>
            <w:left w:w="0" w:type="dxa"/>
            <w:bottom w:w="0" w:type="dxa"/>
            <w:right w:w="0" w:type="dxa"/>
          </w:tblCellMar>
        </w:tblPrEx>
        <w:trPr>
          <w:trHeight w:val="23" w:hRule="atLeast"/>
        </w:trPr>
        <w:tc>
          <w:tcPr>
            <w:tcW w:w="36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bidi w:val="0"/>
              <w:adjustRightInd w:val="0"/>
              <w:snapToGrid w:val="0"/>
              <w:spacing w:line="360" w:lineRule="auto"/>
              <w:jc w:val="center"/>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rPr>
              <w:t>13</w:t>
            </w:r>
          </w:p>
        </w:tc>
        <w:tc>
          <w:tcPr>
            <w:tcW w:w="135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bidi w:val="0"/>
              <w:adjustRightInd w:val="0"/>
              <w:snapToGrid w:val="0"/>
              <w:spacing w:line="360" w:lineRule="auto"/>
              <w:jc w:val="center"/>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rPr>
              <w:t>鼓风机</w:t>
            </w:r>
          </w:p>
        </w:tc>
        <w:tc>
          <w:tcPr>
            <w:tcW w:w="109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bidi w:val="0"/>
              <w:adjustRightInd w:val="0"/>
              <w:snapToGrid w:val="0"/>
              <w:spacing w:line="360" w:lineRule="auto"/>
              <w:jc w:val="center"/>
              <w:textAlignment w:val="center"/>
              <w:rPr>
                <w:rFonts w:hint="eastAsia"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台</w:t>
            </w:r>
          </w:p>
        </w:tc>
        <w:tc>
          <w:tcPr>
            <w:tcW w:w="109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bidi w:val="0"/>
              <w:adjustRightInd w:val="0"/>
              <w:snapToGrid w:val="0"/>
              <w:spacing w:line="360" w:lineRule="auto"/>
              <w:jc w:val="center"/>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rPr>
              <w:t>3</w:t>
            </w:r>
          </w:p>
        </w:tc>
        <w:tc>
          <w:tcPr>
            <w:tcW w:w="109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bidi w:val="0"/>
              <w:adjustRightInd w:val="0"/>
              <w:snapToGrid w:val="0"/>
              <w:spacing w:line="360" w:lineRule="auto"/>
              <w:jc w:val="center"/>
              <w:textAlignment w:val="center"/>
              <w:rPr>
                <w:rFonts w:hint="eastAsia" w:asciiTheme="minorEastAsia" w:hAnsiTheme="minorEastAsia" w:eastAsiaTheme="minorEastAsia" w:cstheme="minorEastAsia"/>
                <w:color w:val="000000"/>
                <w:kern w:val="0"/>
                <w:sz w:val="24"/>
              </w:rPr>
            </w:pPr>
          </w:p>
        </w:tc>
      </w:tr>
      <w:tr>
        <w:tblPrEx>
          <w:tblCellMar>
            <w:top w:w="0" w:type="dxa"/>
            <w:left w:w="0" w:type="dxa"/>
            <w:bottom w:w="0" w:type="dxa"/>
            <w:right w:w="0" w:type="dxa"/>
          </w:tblCellMar>
        </w:tblPrEx>
        <w:trPr>
          <w:trHeight w:val="23" w:hRule="atLeast"/>
        </w:trPr>
        <w:tc>
          <w:tcPr>
            <w:tcW w:w="36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bidi w:val="0"/>
              <w:adjustRightInd w:val="0"/>
              <w:snapToGrid w:val="0"/>
              <w:spacing w:line="360" w:lineRule="auto"/>
              <w:jc w:val="center"/>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rPr>
              <w:t>14</w:t>
            </w:r>
          </w:p>
        </w:tc>
        <w:tc>
          <w:tcPr>
            <w:tcW w:w="135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bidi w:val="0"/>
              <w:adjustRightInd w:val="0"/>
              <w:snapToGrid w:val="0"/>
              <w:spacing w:line="360" w:lineRule="auto"/>
              <w:jc w:val="center"/>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rPr>
              <w:t>DO在线监测仪</w:t>
            </w:r>
          </w:p>
        </w:tc>
        <w:tc>
          <w:tcPr>
            <w:tcW w:w="109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bidi w:val="0"/>
              <w:adjustRightInd w:val="0"/>
              <w:snapToGrid w:val="0"/>
              <w:spacing w:line="360" w:lineRule="auto"/>
              <w:jc w:val="center"/>
              <w:textAlignment w:val="center"/>
              <w:rPr>
                <w:rFonts w:hint="eastAsia"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台</w:t>
            </w:r>
          </w:p>
        </w:tc>
        <w:tc>
          <w:tcPr>
            <w:tcW w:w="109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bidi w:val="0"/>
              <w:adjustRightInd w:val="0"/>
              <w:snapToGrid w:val="0"/>
              <w:spacing w:line="360" w:lineRule="auto"/>
              <w:jc w:val="center"/>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rPr>
              <w:t>2</w:t>
            </w:r>
          </w:p>
        </w:tc>
        <w:tc>
          <w:tcPr>
            <w:tcW w:w="109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bidi w:val="0"/>
              <w:adjustRightInd w:val="0"/>
              <w:snapToGrid w:val="0"/>
              <w:spacing w:line="360" w:lineRule="auto"/>
              <w:jc w:val="center"/>
              <w:textAlignment w:val="center"/>
              <w:rPr>
                <w:rFonts w:hint="eastAsia" w:asciiTheme="minorEastAsia" w:hAnsiTheme="minorEastAsia" w:eastAsiaTheme="minorEastAsia" w:cstheme="minorEastAsia"/>
                <w:color w:val="000000"/>
                <w:kern w:val="0"/>
                <w:sz w:val="24"/>
              </w:rPr>
            </w:pPr>
          </w:p>
        </w:tc>
      </w:tr>
      <w:tr>
        <w:tblPrEx>
          <w:tblCellMar>
            <w:top w:w="0" w:type="dxa"/>
            <w:left w:w="0" w:type="dxa"/>
            <w:bottom w:w="0" w:type="dxa"/>
            <w:right w:w="0" w:type="dxa"/>
          </w:tblCellMar>
        </w:tblPrEx>
        <w:trPr>
          <w:trHeight w:val="23" w:hRule="atLeast"/>
        </w:trPr>
        <w:tc>
          <w:tcPr>
            <w:tcW w:w="36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bidi w:val="0"/>
              <w:adjustRightInd w:val="0"/>
              <w:snapToGrid w:val="0"/>
              <w:spacing w:line="360" w:lineRule="auto"/>
              <w:jc w:val="center"/>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rPr>
              <w:t>15</w:t>
            </w:r>
          </w:p>
        </w:tc>
        <w:tc>
          <w:tcPr>
            <w:tcW w:w="135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bidi w:val="0"/>
              <w:adjustRightInd w:val="0"/>
              <w:snapToGrid w:val="0"/>
              <w:spacing w:line="360" w:lineRule="auto"/>
              <w:jc w:val="center"/>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rPr>
              <w:t>ORP在线监测仪</w:t>
            </w:r>
          </w:p>
        </w:tc>
        <w:tc>
          <w:tcPr>
            <w:tcW w:w="109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bidi w:val="0"/>
              <w:adjustRightInd w:val="0"/>
              <w:snapToGrid w:val="0"/>
              <w:spacing w:line="360" w:lineRule="auto"/>
              <w:jc w:val="center"/>
              <w:textAlignment w:val="center"/>
              <w:rPr>
                <w:rFonts w:hint="eastAsia"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台</w:t>
            </w:r>
          </w:p>
        </w:tc>
        <w:tc>
          <w:tcPr>
            <w:tcW w:w="109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bidi w:val="0"/>
              <w:adjustRightInd w:val="0"/>
              <w:snapToGrid w:val="0"/>
              <w:spacing w:line="360" w:lineRule="auto"/>
              <w:jc w:val="center"/>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rPr>
              <w:t>2</w:t>
            </w:r>
          </w:p>
        </w:tc>
        <w:tc>
          <w:tcPr>
            <w:tcW w:w="109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bidi w:val="0"/>
              <w:adjustRightInd w:val="0"/>
              <w:snapToGrid w:val="0"/>
              <w:spacing w:line="360" w:lineRule="auto"/>
              <w:jc w:val="center"/>
              <w:textAlignment w:val="center"/>
              <w:rPr>
                <w:rFonts w:hint="eastAsia" w:asciiTheme="minorEastAsia" w:hAnsiTheme="minorEastAsia" w:eastAsiaTheme="minorEastAsia" w:cstheme="minorEastAsia"/>
                <w:color w:val="000000"/>
                <w:kern w:val="0"/>
                <w:sz w:val="24"/>
              </w:rPr>
            </w:pPr>
          </w:p>
        </w:tc>
      </w:tr>
      <w:tr>
        <w:tblPrEx>
          <w:tblCellMar>
            <w:top w:w="0" w:type="dxa"/>
            <w:left w:w="0" w:type="dxa"/>
            <w:bottom w:w="0" w:type="dxa"/>
            <w:right w:w="0" w:type="dxa"/>
          </w:tblCellMar>
        </w:tblPrEx>
        <w:trPr>
          <w:trHeight w:val="23" w:hRule="atLeast"/>
        </w:trPr>
        <w:tc>
          <w:tcPr>
            <w:tcW w:w="36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bidi w:val="0"/>
              <w:adjustRightInd w:val="0"/>
              <w:snapToGrid w:val="0"/>
              <w:spacing w:line="360" w:lineRule="auto"/>
              <w:jc w:val="center"/>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16</w:t>
            </w:r>
          </w:p>
        </w:tc>
        <w:tc>
          <w:tcPr>
            <w:tcW w:w="135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bidi w:val="0"/>
              <w:adjustRightInd w:val="0"/>
              <w:snapToGrid w:val="0"/>
              <w:spacing w:line="360" w:lineRule="auto"/>
              <w:jc w:val="center"/>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rPr>
              <w:t>超滤膜成套系统</w:t>
            </w:r>
          </w:p>
        </w:tc>
        <w:tc>
          <w:tcPr>
            <w:tcW w:w="109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bidi w:val="0"/>
              <w:adjustRightInd w:val="0"/>
              <w:snapToGrid w:val="0"/>
              <w:spacing w:line="360" w:lineRule="auto"/>
              <w:jc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套</w:t>
            </w:r>
          </w:p>
        </w:tc>
        <w:tc>
          <w:tcPr>
            <w:tcW w:w="109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bidi w:val="0"/>
              <w:adjustRightInd w:val="0"/>
              <w:snapToGrid w:val="0"/>
              <w:spacing w:line="360" w:lineRule="auto"/>
              <w:jc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1</w:t>
            </w:r>
          </w:p>
        </w:tc>
        <w:tc>
          <w:tcPr>
            <w:tcW w:w="109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bidi w:val="0"/>
              <w:adjustRightInd w:val="0"/>
              <w:snapToGrid w:val="0"/>
              <w:spacing w:line="360" w:lineRule="auto"/>
              <w:jc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膜需更换</w:t>
            </w:r>
          </w:p>
        </w:tc>
      </w:tr>
      <w:tr>
        <w:tblPrEx>
          <w:tblCellMar>
            <w:top w:w="0" w:type="dxa"/>
            <w:left w:w="0" w:type="dxa"/>
            <w:bottom w:w="0" w:type="dxa"/>
            <w:right w:w="0" w:type="dxa"/>
          </w:tblCellMar>
        </w:tblPrEx>
        <w:trPr>
          <w:trHeight w:val="23" w:hRule="atLeast"/>
        </w:trPr>
        <w:tc>
          <w:tcPr>
            <w:tcW w:w="36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bidi w:val="0"/>
              <w:adjustRightInd w:val="0"/>
              <w:snapToGrid w:val="0"/>
              <w:spacing w:line="360" w:lineRule="auto"/>
              <w:jc w:val="center"/>
              <w:textAlignment w:val="center"/>
              <w:rPr>
                <w:rFonts w:hint="eastAsia"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17</w:t>
            </w:r>
          </w:p>
        </w:tc>
        <w:tc>
          <w:tcPr>
            <w:tcW w:w="135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bidi w:val="0"/>
              <w:adjustRightInd w:val="0"/>
              <w:snapToGrid w:val="0"/>
              <w:spacing w:line="360" w:lineRule="auto"/>
              <w:jc w:val="center"/>
              <w:textAlignment w:val="center"/>
              <w:rPr>
                <w:rFonts w:hint="eastAsia"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超滤膜成套系统</w:t>
            </w:r>
          </w:p>
        </w:tc>
        <w:tc>
          <w:tcPr>
            <w:tcW w:w="109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bidi w:val="0"/>
              <w:adjustRightInd w:val="0"/>
              <w:snapToGrid w:val="0"/>
              <w:spacing w:line="360" w:lineRule="auto"/>
              <w:jc w:val="center"/>
              <w:textAlignment w:val="center"/>
              <w:rPr>
                <w:rFonts w:hint="eastAsia"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套</w:t>
            </w:r>
          </w:p>
        </w:tc>
        <w:tc>
          <w:tcPr>
            <w:tcW w:w="109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bidi w:val="0"/>
              <w:adjustRightInd w:val="0"/>
              <w:snapToGrid w:val="0"/>
              <w:spacing w:line="360" w:lineRule="auto"/>
              <w:jc w:val="center"/>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rPr>
              <w:t>2</w:t>
            </w:r>
          </w:p>
        </w:tc>
        <w:tc>
          <w:tcPr>
            <w:tcW w:w="109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bidi w:val="0"/>
              <w:adjustRightInd w:val="0"/>
              <w:snapToGrid w:val="0"/>
              <w:spacing w:line="360" w:lineRule="auto"/>
              <w:jc w:val="center"/>
              <w:textAlignment w:val="center"/>
              <w:rPr>
                <w:rFonts w:hint="eastAsia"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膜</w:t>
            </w:r>
            <w:r>
              <w:rPr>
                <w:rFonts w:hint="eastAsia" w:asciiTheme="minorEastAsia" w:hAnsiTheme="minorEastAsia" w:eastAsiaTheme="minorEastAsia" w:cstheme="minorEastAsia"/>
                <w:color w:val="000000"/>
                <w:sz w:val="24"/>
              </w:rPr>
              <w:t>需</w:t>
            </w:r>
            <w:r>
              <w:rPr>
                <w:rFonts w:hint="eastAsia" w:asciiTheme="minorEastAsia" w:hAnsiTheme="minorEastAsia" w:eastAsiaTheme="minorEastAsia" w:cstheme="minorEastAsia"/>
                <w:color w:val="000000"/>
                <w:kern w:val="0"/>
                <w:sz w:val="24"/>
              </w:rPr>
              <w:t>更换</w:t>
            </w:r>
          </w:p>
        </w:tc>
      </w:tr>
      <w:tr>
        <w:tblPrEx>
          <w:tblCellMar>
            <w:top w:w="0" w:type="dxa"/>
            <w:left w:w="0" w:type="dxa"/>
            <w:bottom w:w="0" w:type="dxa"/>
            <w:right w:w="0" w:type="dxa"/>
          </w:tblCellMar>
        </w:tblPrEx>
        <w:trPr>
          <w:trHeight w:val="23" w:hRule="atLeast"/>
        </w:trPr>
        <w:tc>
          <w:tcPr>
            <w:tcW w:w="36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bidi w:val="0"/>
              <w:adjustRightInd w:val="0"/>
              <w:snapToGrid w:val="0"/>
              <w:spacing w:line="360" w:lineRule="auto"/>
              <w:jc w:val="center"/>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rPr>
              <w:t>18</w:t>
            </w:r>
          </w:p>
        </w:tc>
        <w:tc>
          <w:tcPr>
            <w:tcW w:w="135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bidi w:val="0"/>
              <w:adjustRightInd w:val="0"/>
              <w:snapToGrid w:val="0"/>
              <w:spacing w:line="360" w:lineRule="auto"/>
              <w:jc w:val="center"/>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rPr>
              <w:t>纳滤膜成套</w:t>
            </w:r>
          </w:p>
        </w:tc>
        <w:tc>
          <w:tcPr>
            <w:tcW w:w="109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bidi w:val="0"/>
              <w:adjustRightInd w:val="0"/>
              <w:snapToGrid w:val="0"/>
              <w:spacing w:line="360" w:lineRule="auto"/>
              <w:jc w:val="center"/>
              <w:textAlignment w:val="center"/>
              <w:rPr>
                <w:rFonts w:hint="eastAsia"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套</w:t>
            </w:r>
          </w:p>
        </w:tc>
        <w:tc>
          <w:tcPr>
            <w:tcW w:w="109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bidi w:val="0"/>
              <w:adjustRightInd w:val="0"/>
              <w:snapToGrid w:val="0"/>
              <w:spacing w:line="360" w:lineRule="auto"/>
              <w:jc w:val="center"/>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rPr>
              <w:t>1</w:t>
            </w:r>
          </w:p>
        </w:tc>
        <w:tc>
          <w:tcPr>
            <w:tcW w:w="109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bidi w:val="0"/>
              <w:adjustRightInd w:val="0"/>
              <w:snapToGrid w:val="0"/>
              <w:spacing w:line="360" w:lineRule="auto"/>
              <w:jc w:val="center"/>
              <w:textAlignment w:val="center"/>
              <w:rPr>
                <w:rFonts w:hint="eastAsia"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膜</w:t>
            </w:r>
            <w:r>
              <w:rPr>
                <w:rFonts w:hint="eastAsia" w:asciiTheme="minorEastAsia" w:hAnsiTheme="minorEastAsia" w:eastAsiaTheme="minorEastAsia" w:cstheme="minorEastAsia"/>
                <w:color w:val="000000"/>
                <w:sz w:val="24"/>
              </w:rPr>
              <w:t>需</w:t>
            </w:r>
            <w:r>
              <w:rPr>
                <w:rFonts w:hint="eastAsia" w:asciiTheme="minorEastAsia" w:hAnsiTheme="minorEastAsia" w:eastAsiaTheme="minorEastAsia" w:cstheme="minorEastAsia"/>
                <w:color w:val="000000"/>
                <w:kern w:val="0"/>
                <w:sz w:val="24"/>
              </w:rPr>
              <w:t>更换</w:t>
            </w:r>
          </w:p>
        </w:tc>
      </w:tr>
      <w:tr>
        <w:tblPrEx>
          <w:tblCellMar>
            <w:top w:w="0" w:type="dxa"/>
            <w:left w:w="0" w:type="dxa"/>
            <w:bottom w:w="0" w:type="dxa"/>
            <w:right w:w="0" w:type="dxa"/>
          </w:tblCellMar>
        </w:tblPrEx>
        <w:trPr>
          <w:trHeight w:val="23" w:hRule="atLeast"/>
        </w:trPr>
        <w:tc>
          <w:tcPr>
            <w:tcW w:w="36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bidi w:val="0"/>
              <w:adjustRightInd w:val="0"/>
              <w:snapToGrid w:val="0"/>
              <w:spacing w:line="360" w:lineRule="auto"/>
              <w:jc w:val="center"/>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rPr>
              <w:t>19</w:t>
            </w:r>
          </w:p>
        </w:tc>
        <w:tc>
          <w:tcPr>
            <w:tcW w:w="135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bidi w:val="0"/>
              <w:adjustRightInd w:val="0"/>
              <w:snapToGrid w:val="0"/>
              <w:spacing w:line="360" w:lineRule="auto"/>
              <w:jc w:val="center"/>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rPr>
              <w:t>RO膜成套</w:t>
            </w:r>
          </w:p>
        </w:tc>
        <w:tc>
          <w:tcPr>
            <w:tcW w:w="109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bidi w:val="0"/>
              <w:adjustRightInd w:val="0"/>
              <w:snapToGrid w:val="0"/>
              <w:spacing w:line="360" w:lineRule="auto"/>
              <w:jc w:val="center"/>
              <w:textAlignment w:val="center"/>
              <w:rPr>
                <w:rFonts w:hint="eastAsia"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套</w:t>
            </w:r>
          </w:p>
        </w:tc>
        <w:tc>
          <w:tcPr>
            <w:tcW w:w="109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bidi w:val="0"/>
              <w:adjustRightInd w:val="0"/>
              <w:snapToGrid w:val="0"/>
              <w:spacing w:line="360" w:lineRule="auto"/>
              <w:jc w:val="center"/>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rPr>
              <w:t>1</w:t>
            </w:r>
          </w:p>
        </w:tc>
        <w:tc>
          <w:tcPr>
            <w:tcW w:w="109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bidi w:val="0"/>
              <w:adjustRightInd w:val="0"/>
              <w:snapToGrid w:val="0"/>
              <w:spacing w:line="360" w:lineRule="auto"/>
              <w:jc w:val="center"/>
              <w:textAlignment w:val="center"/>
              <w:rPr>
                <w:rFonts w:hint="eastAsia"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膜</w:t>
            </w:r>
            <w:r>
              <w:rPr>
                <w:rFonts w:hint="eastAsia" w:asciiTheme="minorEastAsia" w:hAnsiTheme="minorEastAsia" w:eastAsiaTheme="minorEastAsia" w:cstheme="minorEastAsia"/>
                <w:color w:val="000000"/>
                <w:sz w:val="24"/>
              </w:rPr>
              <w:t>需</w:t>
            </w:r>
            <w:r>
              <w:rPr>
                <w:rFonts w:hint="eastAsia" w:asciiTheme="minorEastAsia" w:hAnsiTheme="minorEastAsia" w:eastAsiaTheme="minorEastAsia" w:cstheme="minorEastAsia"/>
                <w:color w:val="000000"/>
                <w:kern w:val="0"/>
                <w:sz w:val="24"/>
              </w:rPr>
              <w:t>更换</w:t>
            </w:r>
          </w:p>
        </w:tc>
      </w:tr>
    </w:tbl>
    <w:p>
      <w:pPr>
        <w:pStyle w:val="6"/>
        <w:keepNext w:val="0"/>
        <w:keepLines w:val="0"/>
        <w:pageBreakBefore w:val="0"/>
        <w:kinsoku/>
        <w:wordWrap/>
        <w:overflowPunct/>
        <w:topLinePunct w:val="0"/>
        <w:bidi w:val="0"/>
        <w:adjustRightInd w:val="0"/>
        <w:snapToGrid w:val="0"/>
        <w:spacing w:line="360" w:lineRule="auto"/>
        <w:ind w:firstLine="0"/>
        <w:rPr>
          <w:rFonts w:hint="eastAsia" w:asciiTheme="minorEastAsia" w:hAnsiTheme="minorEastAsia" w:eastAsiaTheme="minorEastAsia" w:cstheme="minorEastAsia"/>
          <w:color w:val="000000"/>
          <w:sz w:val="24"/>
          <w:szCs w:val="24"/>
        </w:rPr>
      </w:pPr>
    </w:p>
    <w:p>
      <w:pPr>
        <w:pStyle w:val="6"/>
        <w:keepNext w:val="0"/>
        <w:keepLines w:val="0"/>
        <w:pageBreakBefore w:val="0"/>
        <w:kinsoku/>
        <w:wordWrap/>
        <w:overflowPunct/>
        <w:topLinePunct w:val="0"/>
        <w:bidi w:val="0"/>
        <w:adjustRightInd w:val="0"/>
        <w:snapToGrid w:val="0"/>
        <w:spacing w:line="360" w:lineRule="auto"/>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val="en-US" w:eastAsia="zh-CN"/>
        </w:rPr>
        <w:t>2、</w:t>
      </w:r>
      <w:r>
        <w:rPr>
          <w:rFonts w:hint="eastAsia" w:asciiTheme="minorEastAsia" w:hAnsiTheme="minorEastAsia" w:eastAsiaTheme="minorEastAsia" w:cstheme="minorEastAsia"/>
          <w:color w:val="000000"/>
          <w:sz w:val="24"/>
          <w:szCs w:val="24"/>
        </w:rPr>
        <w:t>浓缩液处理部分</w:t>
      </w:r>
    </w:p>
    <w:tbl>
      <w:tblPr>
        <w:tblStyle w:val="62"/>
        <w:tblW w:w="4998" w:type="pct"/>
        <w:tblInd w:w="0" w:type="dxa"/>
        <w:tblLayout w:type="autofit"/>
        <w:tblCellMar>
          <w:top w:w="0" w:type="dxa"/>
          <w:left w:w="0" w:type="dxa"/>
          <w:bottom w:w="0" w:type="dxa"/>
          <w:right w:w="0" w:type="dxa"/>
        </w:tblCellMar>
      </w:tblPr>
      <w:tblGrid>
        <w:gridCol w:w="683"/>
        <w:gridCol w:w="2408"/>
        <w:gridCol w:w="2015"/>
        <w:gridCol w:w="2000"/>
        <w:gridCol w:w="1990"/>
      </w:tblGrid>
      <w:tr>
        <w:tblPrEx>
          <w:tblCellMar>
            <w:top w:w="0" w:type="dxa"/>
            <w:left w:w="0" w:type="dxa"/>
            <w:bottom w:w="0" w:type="dxa"/>
            <w:right w:w="0" w:type="dxa"/>
          </w:tblCellMar>
        </w:tblPrEx>
        <w:trPr>
          <w:trHeight w:val="23" w:hRule="atLeast"/>
        </w:trPr>
        <w:tc>
          <w:tcPr>
            <w:tcW w:w="37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bidi w:val="0"/>
              <w:adjustRightInd w:val="0"/>
              <w:snapToGrid w:val="0"/>
              <w:spacing w:line="360" w:lineRule="auto"/>
              <w:jc w:val="center"/>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rPr>
              <w:t>序号</w:t>
            </w:r>
          </w:p>
        </w:tc>
        <w:tc>
          <w:tcPr>
            <w:tcW w:w="132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bidi w:val="0"/>
              <w:adjustRightInd w:val="0"/>
              <w:snapToGrid w:val="0"/>
              <w:spacing w:line="360" w:lineRule="auto"/>
              <w:jc w:val="center"/>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rPr>
              <w:t>设备名称</w:t>
            </w:r>
          </w:p>
        </w:tc>
        <w:tc>
          <w:tcPr>
            <w:tcW w:w="110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bidi w:val="0"/>
              <w:adjustRightInd w:val="0"/>
              <w:snapToGrid w:val="0"/>
              <w:spacing w:line="360" w:lineRule="auto"/>
              <w:jc w:val="center"/>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单位</w:t>
            </w:r>
          </w:p>
        </w:tc>
        <w:tc>
          <w:tcPr>
            <w:tcW w:w="109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bidi w:val="0"/>
              <w:adjustRightInd w:val="0"/>
              <w:snapToGrid w:val="0"/>
              <w:spacing w:line="360" w:lineRule="auto"/>
              <w:jc w:val="center"/>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数量</w:t>
            </w:r>
          </w:p>
        </w:tc>
        <w:tc>
          <w:tcPr>
            <w:tcW w:w="109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bidi w:val="0"/>
              <w:adjustRightInd w:val="0"/>
              <w:snapToGrid w:val="0"/>
              <w:spacing w:line="360" w:lineRule="auto"/>
              <w:jc w:val="center"/>
              <w:textAlignment w:val="center"/>
              <w:rPr>
                <w:rFonts w:hint="eastAsia"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备注</w:t>
            </w:r>
          </w:p>
        </w:tc>
      </w:tr>
      <w:tr>
        <w:tblPrEx>
          <w:tblCellMar>
            <w:top w:w="0" w:type="dxa"/>
            <w:left w:w="0" w:type="dxa"/>
            <w:bottom w:w="0" w:type="dxa"/>
            <w:right w:w="0" w:type="dxa"/>
          </w:tblCellMar>
        </w:tblPrEx>
        <w:trPr>
          <w:trHeight w:val="23" w:hRule="atLeast"/>
        </w:trPr>
        <w:tc>
          <w:tcPr>
            <w:tcW w:w="37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bidi w:val="0"/>
              <w:adjustRightInd w:val="0"/>
              <w:snapToGrid w:val="0"/>
              <w:spacing w:line="360" w:lineRule="auto"/>
              <w:jc w:val="center"/>
              <w:textAlignment w:val="center"/>
              <w:rPr>
                <w:rFonts w:hint="eastAsia"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1</w:t>
            </w:r>
          </w:p>
        </w:tc>
        <w:tc>
          <w:tcPr>
            <w:tcW w:w="132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bidi w:val="0"/>
              <w:adjustRightInd w:val="0"/>
              <w:snapToGrid w:val="0"/>
              <w:spacing w:line="360" w:lineRule="auto"/>
              <w:jc w:val="center"/>
              <w:textAlignment w:val="center"/>
              <w:rPr>
                <w:rFonts w:hint="eastAsia"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罐1</w:t>
            </w:r>
          </w:p>
        </w:tc>
        <w:tc>
          <w:tcPr>
            <w:tcW w:w="110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bidi w:val="0"/>
              <w:adjustRightInd w:val="0"/>
              <w:snapToGrid w:val="0"/>
              <w:spacing w:line="360" w:lineRule="auto"/>
              <w:jc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个</w:t>
            </w:r>
          </w:p>
        </w:tc>
        <w:tc>
          <w:tcPr>
            <w:tcW w:w="109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bidi w:val="0"/>
              <w:adjustRightInd w:val="0"/>
              <w:snapToGrid w:val="0"/>
              <w:spacing w:line="360" w:lineRule="auto"/>
              <w:jc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1</w:t>
            </w:r>
          </w:p>
        </w:tc>
        <w:tc>
          <w:tcPr>
            <w:tcW w:w="109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bidi w:val="0"/>
              <w:adjustRightInd w:val="0"/>
              <w:snapToGrid w:val="0"/>
              <w:spacing w:line="360" w:lineRule="auto"/>
              <w:jc w:val="center"/>
              <w:rPr>
                <w:rFonts w:hint="eastAsia" w:asciiTheme="minorEastAsia" w:hAnsiTheme="minorEastAsia" w:eastAsiaTheme="minorEastAsia" w:cstheme="minorEastAsia"/>
                <w:color w:val="000000"/>
                <w:sz w:val="24"/>
              </w:rPr>
            </w:pPr>
          </w:p>
        </w:tc>
      </w:tr>
      <w:tr>
        <w:tblPrEx>
          <w:tblCellMar>
            <w:top w:w="0" w:type="dxa"/>
            <w:left w:w="0" w:type="dxa"/>
            <w:bottom w:w="0" w:type="dxa"/>
            <w:right w:w="0" w:type="dxa"/>
          </w:tblCellMar>
        </w:tblPrEx>
        <w:trPr>
          <w:trHeight w:val="23" w:hRule="atLeast"/>
        </w:trPr>
        <w:tc>
          <w:tcPr>
            <w:tcW w:w="37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bidi w:val="0"/>
              <w:adjustRightInd w:val="0"/>
              <w:snapToGrid w:val="0"/>
              <w:spacing w:line="360" w:lineRule="auto"/>
              <w:jc w:val="center"/>
              <w:textAlignment w:val="center"/>
              <w:rPr>
                <w:rFonts w:hint="eastAsia"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2</w:t>
            </w:r>
          </w:p>
        </w:tc>
        <w:tc>
          <w:tcPr>
            <w:tcW w:w="132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bidi w:val="0"/>
              <w:adjustRightInd w:val="0"/>
              <w:snapToGrid w:val="0"/>
              <w:spacing w:line="360" w:lineRule="auto"/>
              <w:jc w:val="center"/>
              <w:textAlignment w:val="center"/>
              <w:rPr>
                <w:rFonts w:hint="eastAsia"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罐2</w:t>
            </w:r>
          </w:p>
        </w:tc>
        <w:tc>
          <w:tcPr>
            <w:tcW w:w="110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bidi w:val="0"/>
              <w:adjustRightInd w:val="0"/>
              <w:snapToGrid w:val="0"/>
              <w:spacing w:line="360" w:lineRule="auto"/>
              <w:jc w:val="center"/>
              <w:rPr>
                <w:rFonts w:hint="eastAsia"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sz w:val="24"/>
              </w:rPr>
              <w:t>个</w:t>
            </w:r>
          </w:p>
        </w:tc>
        <w:tc>
          <w:tcPr>
            <w:tcW w:w="109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bidi w:val="0"/>
              <w:adjustRightInd w:val="0"/>
              <w:snapToGrid w:val="0"/>
              <w:spacing w:line="360" w:lineRule="auto"/>
              <w:jc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1</w:t>
            </w:r>
          </w:p>
        </w:tc>
        <w:tc>
          <w:tcPr>
            <w:tcW w:w="109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bidi w:val="0"/>
              <w:adjustRightInd w:val="0"/>
              <w:snapToGrid w:val="0"/>
              <w:spacing w:line="360" w:lineRule="auto"/>
              <w:jc w:val="center"/>
              <w:rPr>
                <w:rFonts w:hint="eastAsia" w:asciiTheme="minorEastAsia" w:hAnsiTheme="minorEastAsia" w:eastAsiaTheme="minorEastAsia" w:cstheme="minorEastAsia"/>
                <w:color w:val="000000"/>
                <w:sz w:val="24"/>
              </w:rPr>
            </w:pPr>
          </w:p>
        </w:tc>
      </w:tr>
      <w:tr>
        <w:tblPrEx>
          <w:tblCellMar>
            <w:top w:w="0" w:type="dxa"/>
            <w:left w:w="0" w:type="dxa"/>
            <w:bottom w:w="0" w:type="dxa"/>
            <w:right w:w="0" w:type="dxa"/>
          </w:tblCellMar>
        </w:tblPrEx>
        <w:trPr>
          <w:trHeight w:val="23" w:hRule="atLeast"/>
        </w:trPr>
        <w:tc>
          <w:tcPr>
            <w:tcW w:w="37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bidi w:val="0"/>
              <w:adjustRightInd w:val="0"/>
              <w:snapToGrid w:val="0"/>
              <w:spacing w:line="360" w:lineRule="auto"/>
              <w:jc w:val="center"/>
              <w:textAlignment w:val="center"/>
              <w:rPr>
                <w:rFonts w:hint="eastAsia"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3</w:t>
            </w:r>
          </w:p>
        </w:tc>
        <w:tc>
          <w:tcPr>
            <w:tcW w:w="132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bidi w:val="0"/>
              <w:adjustRightInd w:val="0"/>
              <w:snapToGrid w:val="0"/>
              <w:spacing w:line="360" w:lineRule="auto"/>
              <w:jc w:val="center"/>
              <w:textAlignment w:val="center"/>
              <w:rPr>
                <w:rFonts w:hint="eastAsia"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罐3</w:t>
            </w:r>
          </w:p>
        </w:tc>
        <w:tc>
          <w:tcPr>
            <w:tcW w:w="110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bidi w:val="0"/>
              <w:adjustRightInd w:val="0"/>
              <w:snapToGrid w:val="0"/>
              <w:spacing w:line="360" w:lineRule="auto"/>
              <w:jc w:val="center"/>
              <w:rPr>
                <w:rFonts w:hint="eastAsia"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sz w:val="24"/>
              </w:rPr>
              <w:t>个</w:t>
            </w:r>
          </w:p>
        </w:tc>
        <w:tc>
          <w:tcPr>
            <w:tcW w:w="109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bidi w:val="0"/>
              <w:adjustRightInd w:val="0"/>
              <w:snapToGrid w:val="0"/>
              <w:spacing w:line="360" w:lineRule="auto"/>
              <w:jc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2</w:t>
            </w:r>
          </w:p>
        </w:tc>
        <w:tc>
          <w:tcPr>
            <w:tcW w:w="109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bidi w:val="0"/>
              <w:adjustRightInd w:val="0"/>
              <w:snapToGrid w:val="0"/>
              <w:spacing w:line="360" w:lineRule="auto"/>
              <w:jc w:val="center"/>
              <w:rPr>
                <w:rFonts w:hint="eastAsia" w:asciiTheme="minorEastAsia" w:hAnsiTheme="minorEastAsia" w:eastAsiaTheme="minorEastAsia" w:cstheme="minorEastAsia"/>
                <w:color w:val="000000"/>
                <w:sz w:val="24"/>
              </w:rPr>
            </w:pPr>
          </w:p>
        </w:tc>
      </w:tr>
      <w:tr>
        <w:tblPrEx>
          <w:tblCellMar>
            <w:top w:w="0" w:type="dxa"/>
            <w:left w:w="0" w:type="dxa"/>
            <w:bottom w:w="0" w:type="dxa"/>
            <w:right w:w="0" w:type="dxa"/>
          </w:tblCellMar>
        </w:tblPrEx>
        <w:trPr>
          <w:trHeight w:val="23" w:hRule="atLeast"/>
        </w:trPr>
        <w:tc>
          <w:tcPr>
            <w:tcW w:w="37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bidi w:val="0"/>
              <w:adjustRightInd w:val="0"/>
              <w:snapToGrid w:val="0"/>
              <w:spacing w:line="360" w:lineRule="auto"/>
              <w:jc w:val="center"/>
              <w:textAlignment w:val="center"/>
              <w:rPr>
                <w:rFonts w:hint="eastAsia"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4</w:t>
            </w:r>
          </w:p>
        </w:tc>
        <w:tc>
          <w:tcPr>
            <w:tcW w:w="132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bidi w:val="0"/>
              <w:adjustRightInd w:val="0"/>
              <w:snapToGrid w:val="0"/>
              <w:spacing w:line="360" w:lineRule="auto"/>
              <w:jc w:val="center"/>
              <w:textAlignment w:val="center"/>
              <w:rPr>
                <w:rFonts w:hint="eastAsia"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罐4</w:t>
            </w:r>
          </w:p>
        </w:tc>
        <w:tc>
          <w:tcPr>
            <w:tcW w:w="110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bidi w:val="0"/>
              <w:adjustRightInd w:val="0"/>
              <w:snapToGrid w:val="0"/>
              <w:spacing w:line="360" w:lineRule="auto"/>
              <w:jc w:val="center"/>
              <w:rPr>
                <w:rFonts w:hint="eastAsia"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sz w:val="24"/>
              </w:rPr>
              <w:t>个</w:t>
            </w:r>
          </w:p>
        </w:tc>
        <w:tc>
          <w:tcPr>
            <w:tcW w:w="109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bidi w:val="0"/>
              <w:adjustRightInd w:val="0"/>
              <w:snapToGrid w:val="0"/>
              <w:spacing w:line="360" w:lineRule="auto"/>
              <w:jc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4</w:t>
            </w:r>
          </w:p>
        </w:tc>
        <w:tc>
          <w:tcPr>
            <w:tcW w:w="109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bidi w:val="0"/>
              <w:adjustRightInd w:val="0"/>
              <w:snapToGrid w:val="0"/>
              <w:spacing w:line="360" w:lineRule="auto"/>
              <w:jc w:val="center"/>
              <w:rPr>
                <w:rFonts w:hint="eastAsia" w:asciiTheme="minorEastAsia" w:hAnsiTheme="minorEastAsia" w:eastAsiaTheme="minorEastAsia" w:cstheme="minorEastAsia"/>
                <w:color w:val="000000"/>
                <w:sz w:val="24"/>
              </w:rPr>
            </w:pPr>
          </w:p>
        </w:tc>
      </w:tr>
      <w:tr>
        <w:tblPrEx>
          <w:tblCellMar>
            <w:top w:w="0" w:type="dxa"/>
            <w:left w:w="0" w:type="dxa"/>
            <w:bottom w:w="0" w:type="dxa"/>
            <w:right w:w="0" w:type="dxa"/>
          </w:tblCellMar>
        </w:tblPrEx>
        <w:trPr>
          <w:trHeight w:val="23" w:hRule="atLeast"/>
        </w:trPr>
        <w:tc>
          <w:tcPr>
            <w:tcW w:w="37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bidi w:val="0"/>
              <w:adjustRightInd w:val="0"/>
              <w:snapToGrid w:val="0"/>
              <w:spacing w:line="360" w:lineRule="auto"/>
              <w:jc w:val="center"/>
              <w:textAlignment w:val="center"/>
              <w:rPr>
                <w:rFonts w:hint="eastAsia"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5</w:t>
            </w:r>
          </w:p>
        </w:tc>
        <w:tc>
          <w:tcPr>
            <w:tcW w:w="132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bidi w:val="0"/>
              <w:adjustRightInd w:val="0"/>
              <w:snapToGrid w:val="0"/>
              <w:spacing w:line="360" w:lineRule="auto"/>
              <w:jc w:val="center"/>
              <w:textAlignment w:val="center"/>
              <w:rPr>
                <w:rFonts w:hint="eastAsia"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罐5</w:t>
            </w:r>
          </w:p>
        </w:tc>
        <w:tc>
          <w:tcPr>
            <w:tcW w:w="110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bidi w:val="0"/>
              <w:adjustRightInd w:val="0"/>
              <w:snapToGrid w:val="0"/>
              <w:spacing w:line="360" w:lineRule="auto"/>
              <w:jc w:val="center"/>
              <w:rPr>
                <w:rFonts w:hint="eastAsia"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sz w:val="24"/>
              </w:rPr>
              <w:t>个</w:t>
            </w:r>
          </w:p>
        </w:tc>
        <w:tc>
          <w:tcPr>
            <w:tcW w:w="109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bidi w:val="0"/>
              <w:adjustRightInd w:val="0"/>
              <w:snapToGrid w:val="0"/>
              <w:spacing w:line="360" w:lineRule="auto"/>
              <w:jc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1</w:t>
            </w:r>
          </w:p>
        </w:tc>
        <w:tc>
          <w:tcPr>
            <w:tcW w:w="109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bidi w:val="0"/>
              <w:adjustRightInd w:val="0"/>
              <w:snapToGrid w:val="0"/>
              <w:spacing w:line="360" w:lineRule="auto"/>
              <w:jc w:val="center"/>
              <w:rPr>
                <w:rFonts w:hint="eastAsia" w:asciiTheme="minorEastAsia" w:hAnsiTheme="minorEastAsia" w:eastAsiaTheme="minorEastAsia" w:cstheme="minorEastAsia"/>
                <w:color w:val="000000"/>
                <w:sz w:val="24"/>
              </w:rPr>
            </w:pPr>
          </w:p>
        </w:tc>
      </w:tr>
      <w:tr>
        <w:tblPrEx>
          <w:tblCellMar>
            <w:top w:w="0" w:type="dxa"/>
            <w:left w:w="0" w:type="dxa"/>
            <w:bottom w:w="0" w:type="dxa"/>
            <w:right w:w="0" w:type="dxa"/>
          </w:tblCellMar>
        </w:tblPrEx>
        <w:trPr>
          <w:trHeight w:val="23" w:hRule="atLeast"/>
        </w:trPr>
        <w:tc>
          <w:tcPr>
            <w:tcW w:w="37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bidi w:val="0"/>
              <w:adjustRightInd w:val="0"/>
              <w:snapToGrid w:val="0"/>
              <w:spacing w:line="360" w:lineRule="auto"/>
              <w:jc w:val="center"/>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rPr>
              <w:t>6</w:t>
            </w:r>
          </w:p>
        </w:tc>
        <w:tc>
          <w:tcPr>
            <w:tcW w:w="132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bidi w:val="0"/>
              <w:adjustRightInd w:val="0"/>
              <w:snapToGrid w:val="0"/>
              <w:spacing w:line="360" w:lineRule="auto"/>
              <w:jc w:val="center"/>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rPr>
              <w:t>泵1</w:t>
            </w:r>
          </w:p>
        </w:tc>
        <w:tc>
          <w:tcPr>
            <w:tcW w:w="110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bidi w:val="0"/>
              <w:adjustRightInd w:val="0"/>
              <w:snapToGrid w:val="0"/>
              <w:spacing w:line="360" w:lineRule="auto"/>
              <w:jc w:val="center"/>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rPr>
              <w:t>台</w:t>
            </w:r>
          </w:p>
        </w:tc>
        <w:tc>
          <w:tcPr>
            <w:tcW w:w="109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bidi w:val="0"/>
              <w:adjustRightInd w:val="0"/>
              <w:snapToGrid w:val="0"/>
              <w:spacing w:line="360" w:lineRule="auto"/>
              <w:jc w:val="center"/>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rPr>
              <w:t>2</w:t>
            </w:r>
          </w:p>
        </w:tc>
        <w:tc>
          <w:tcPr>
            <w:tcW w:w="109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bidi w:val="0"/>
              <w:adjustRightInd w:val="0"/>
              <w:snapToGrid w:val="0"/>
              <w:spacing w:line="360" w:lineRule="auto"/>
              <w:jc w:val="center"/>
              <w:textAlignment w:val="center"/>
              <w:rPr>
                <w:rFonts w:hint="eastAsia" w:asciiTheme="minorEastAsia" w:hAnsiTheme="minorEastAsia" w:eastAsiaTheme="minorEastAsia" w:cstheme="minorEastAsia"/>
                <w:color w:val="000000"/>
                <w:kern w:val="0"/>
                <w:sz w:val="24"/>
              </w:rPr>
            </w:pPr>
          </w:p>
        </w:tc>
      </w:tr>
      <w:tr>
        <w:tblPrEx>
          <w:tblCellMar>
            <w:top w:w="0" w:type="dxa"/>
            <w:left w:w="0" w:type="dxa"/>
            <w:bottom w:w="0" w:type="dxa"/>
            <w:right w:w="0" w:type="dxa"/>
          </w:tblCellMar>
        </w:tblPrEx>
        <w:trPr>
          <w:trHeight w:val="23" w:hRule="atLeast"/>
        </w:trPr>
        <w:tc>
          <w:tcPr>
            <w:tcW w:w="37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bidi w:val="0"/>
              <w:adjustRightInd w:val="0"/>
              <w:snapToGrid w:val="0"/>
              <w:spacing w:line="360" w:lineRule="auto"/>
              <w:jc w:val="center"/>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rPr>
              <w:t>7</w:t>
            </w:r>
          </w:p>
        </w:tc>
        <w:tc>
          <w:tcPr>
            <w:tcW w:w="132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bidi w:val="0"/>
              <w:adjustRightInd w:val="0"/>
              <w:snapToGrid w:val="0"/>
              <w:spacing w:line="360" w:lineRule="auto"/>
              <w:jc w:val="center"/>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rPr>
              <w:t>泵2</w:t>
            </w:r>
          </w:p>
        </w:tc>
        <w:tc>
          <w:tcPr>
            <w:tcW w:w="110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bidi w:val="0"/>
              <w:adjustRightInd w:val="0"/>
              <w:snapToGrid w:val="0"/>
              <w:spacing w:line="360" w:lineRule="auto"/>
              <w:jc w:val="center"/>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rPr>
              <w:t>台</w:t>
            </w:r>
          </w:p>
        </w:tc>
        <w:tc>
          <w:tcPr>
            <w:tcW w:w="109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bidi w:val="0"/>
              <w:adjustRightInd w:val="0"/>
              <w:snapToGrid w:val="0"/>
              <w:spacing w:line="360" w:lineRule="auto"/>
              <w:jc w:val="center"/>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rPr>
              <w:t>2</w:t>
            </w:r>
          </w:p>
        </w:tc>
        <w:tc>
          <w:tcPr>
            <w:tcW w:w="109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bidi w:val="0"/>
              <w:adjustRightInd w:val="0"/>
              <w:snapToGrid w:val="0"/>
              <w:spacing w:line="360" w:lineRule="auto"/>
              <w:jc w:val="center"/>
              <w:textAlignment w:val="center"/>
              <w:rPr>
                <w:rFonts w:hint="eastAsia" w:asciiTheme="minorEastAsia" w:hAnsiTheme="minorEastAsia" w:eastAsiaTheme="minorEastAsia" w:cstheme="minorEastAsia"/>
                <w:color w:val="000000"/>
                <w:kern w:val="0"/>
                <w:sz w:val="24"/>
              </w:rPr>
            </w:pPr>
          </w:p>
        </w:tc>
      </w:tr>
      <w:tr>
        <w:tblPrEx>
          <w:tblCellMar>
            <w:top w:w="0" w:type="dxa"/>
            <w:left w:w="0" w:type="dxa"/>
            <w:bottom w:w="0" w:type="dxa"/>
            <w:right w:w="0" w:type="dxa"/>
          </w:tblCellMar>
        </w:tblPrEx>
        <w:trPr>
          <w:trHeight w:val="23" w:hRule="atLeast"/>
        </w:trPr>
        <w:tc>
          <w:tcPr>
            <w:tcW w:w="37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bidi w:val="0"/>
              <w:adjustRightInd w:val="0"/>
              <w:snapToGrid w:val="0"/>
              <w:spacing w:line="360" w:lineRule="auto"/>
              <w:jc w:val="center"/>
              <w:textAlignment w:val="center"/>
              <w:rPr>
                <w:rFonts w:hint="eastAsia"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8</w:t>
            </w:r>
          </w:p>
        </w:tc>
        <w:tc>
          <w:tcPr>
            <w:tcW w:w="132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bidi w:val="0"/>
              <w:adjustRightInd w:val="0"/>
              <w:snapToGrid w:val="0"/>
              <w:spacing w:line="360" w:lineRule="auto"/>
              <w:jc w:val="center"/>
              <w:textAlignment w:val="center"/>
              <w:rPr>
                <w:rFonts w:hint="eastAsia"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泵3</w:t>
            </w:r>
          </w:p>
        </w:tc>
        <w:tc>
          <w:tcPr>
            <w:tcW w:w="110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bidi w:val="0"/>
              <w:adjustRightInd w:val="0"/>
              <w:snapToGrid w:val="0"/>
              <w:spacing w:line="360" w:lineRule="auto"/>
              <w:jc w:val="center"/>
              <w:textAlignment w:val="center"/>
              <w:rPr>
                <w:rFonts w:hint="eastAsia"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台</w:t>
            </w:r>
          </w:p>
        </w:tc>
        <w:tc>
          <w:tcPr>
            <w:tcW w:w="109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bidi w:val="0"/>
              <w:adjustRightInd w:val="0"/>
              <w:snapToGrid w:val="0"/>
              <w:spacing w:line="360" w:lineRule="auto"/>
              <w:jc w:val="center"/>
              <w:textAlignment w:val="center"/>
              <w:rPr>
                <w:rFonts w:hint="eastAsia"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4</w:t>
            </w:r>
          </w:p>
        </w:tc>
        <w:tc>
          <w:tcPr>
            <w:tcW w:w="109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bidi w:val="0"/>
              <w:adjustRightInd w:val="0"/>
              <w:snapToGrid w:val="0"/>
              <w:spacing w:line="360" w:lineRule="auto"/>
              <w:jc w:val="center"/>
              <w:textAlignment w:val="center"/>
              <w:rPr>
                <w:rFonts w:hint="eastAsia" w:asciiTheme="minorEastAsia" w:hAnsiTheme="minorEastAsia" w:eastAsiaTheme="minorEastAsia" w:cstheme="minorEastAsia"/>
                <w:color w:val="000000"/>
                <w:kern w:val="0"/>
                <w:sz w:val="24"/>
              </w:rPr>
            </w:pPr>
          </w:p>
        </w:tc>
      </w:tr>
      <w:tr>
        <w:tblPrEx>
          <w:tblCellMar>
            <w:top w:w="0" w:type="dxa"/>
            <w:left w:w="0" w:type="dxa"/>
            <w:bottom w:w="0" w:type="dxa"/>
            <w:right w:w="0" w:type="dxa"/>
          </w:tblCellMar>
        </w:tblPrEx>
        <w:trPr>
          <w:trHeight w:val="23" w:hRule="atLeast"/>
        </w:trPr>
        <w:tc>
          <w:tcPr>
            <w:tcW w:w="37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bidi w:val="0"/>
              <w:adjustRightInd w:val="0"/>
              <w:snapToGrid w:val="0"/>
              <w:spacing w:line="360" w:lineRule="auto"/>
              <w:jc w:val="center"/>
              <w:textAlignment w:val="center"/>
              <w:rPr>
                <w:rFonts w:hint="eastAsia"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9</w:t>
            </w:r>
          </w:p>
        </w:tc>
        <w:tc>
          <w:tcPr>
            <w:tcW w:w="132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bidi w:val="0"/>
              <w:adjustRightInd w:val="0"/>
              <w:snapToGrid w:val="0"/>
              <w:spacing w:line="360" w:lineRule="auto"/>
              <w:jc w:val="center"/>
              <w:textAlignment w:val="center"/>
              <w:rPr>
                <w:rFonts w:hint="eastAsia"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泵4</w:t>
            </w:r>
          </w:p>
        </w:tc>
        <w:tc>
          <w:tcPr>
            <w:tcW w:w="110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bidi w:val="0"/>
              <w:adjustRightInd w:val="0"/>
              <w:snapToGrid w:val="0"/>
              <w:spacing w:line="360" w:lineRule="auto"/>
              <w:jc w:val="center"/>
              <w:textAlignment w:val="center"/>
              <w:rPr>
                <w:rFonts w:hint="eastAsia"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台</w:t>
            </w:r>
          </w:p>
        </w:tc>
        <w:tc>
          <w:tcPr>
            <w:tcW w:w="109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bidi w:val="0"/>
              <w:adjustRightInd w:val="0"/>
              <w:snapToGrid w:val="0"/>
              <w:spacing w:line="360" w:lineRule="auto"/>
              <w:jc w:val="center"/>
              <w:textAlignment w:val="center"/>
              <w:rPr>
                <w:rFonts w:hint="eastAsia"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4</w:t>
            </w:r>
          </w:p>
        </w:tc>
        <w:tc>
          <w:tcPr>
            <w:tcW w:w="109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bidi w:val="0"/>
              <w:adjustRightInd w:val="0"/>
              <w:snapToGrid w:val="0"/>
              <w:spacing w:line="360" w:lineRule="auto"/>
              <w:jc w:val="center"/>
              <w:textAlignment w:val="center"/>
              <w:rPr>
                <w:rFonts w:hint="eastAsia" w:asciiTheme="minorEastAsia" w:hAnsiTheme="minorEastAsia" w:eastAsiaTheme="minorEastAsia" w:cstheme="minorEastAsia"/>
                <w:color w:val="000000"/>
                <w:kern w:val="0"/>
                <w:sz w:val="24"/>
              </w:rPr>
            </w:pPr>
          </w:p>
        </w:tc>
      </w:tr>
      <w:tr>
        <w:tblPrEx>
          <w:tblCellMar>
            <w:top w:w="0" w:type="dxa"/>
            <w:left w:w="0" w:type="dxa"/>
            <w:bottom w:w="0" w:type="dxa"/>
            <w:right w:w="0" w:type="dxa"/>
          </w:tblCellMar>
        </w:tblPrEx>
        <w:trPr>
          <w:trHeight w:val="23" w:hRule="atLeast"/>
        </w:trPr>
        <w:tc>
          <w:tcPr>
            <w:tcW w:w="37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bidi w:val="0"/>
              <w:adjustRightInd w:val="0"/>
              <w:snapToGrid w:val="0"/>
              <w:spacing w:line="360" w:lineRule="auto"/>
              <w:jc w:val="center"/>
              <w:textAlignment w:val="center"/>
              <w:rPr>
                <w:rFonts w:hint="eastAsia"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10</w:t>
            </w:r>
          </w:p>
        </w:tc>
        <w:tc>
          <w:tcPr>
            <w:tcW w:w="132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bidi w:val="0"/>
              <w:adjustRightInd w:val="0"/>
              <w:snapToGrid w:val="0"/>
              <w:spacing w:line="360" w:lineRule="auto"/>
              <w:jc w:val="center"/>
              <w:textAlignment w:val="center"/>
              <w:rPr>
                <w:rFonts w:hint="eastAsia"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泵5</w:t>
            </w:r>
          </w:p>
        </w:tc>
        <w:tc>
          <w:tcPr>
            <w:tcW w:w="110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bidi w:val="0"/>
              <w:adjustRightInd w:val="0"/>
              <w:snapToGrid w:val="0"/>
              <w:spacing w:line="360" w:lineRule="auto"/>
              <w:jc w:val="center"/>
              <w:textAlignment w:val="center"/>
              <w:rPr>
                <w:rFonts w:hint="eastAsia"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台</w:t>
            </w:r>
          </w:p>
        </w:tc>
        <w:tc>
          <w:tcPr>
            <w:tcW w:w="109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bidi w:val="0"/>
              <w:adjustRightInd w:val="0"/>
              <w:snapToGrid w:val="0"/>
              <w:spacing w:line="360" w:lineRule="auto"/>
              <w:jc w:val="center"/>
              <w:textAlignment w:val="center"/>
              <w:rPr>
                <w:rFonts w:hint="eastAsia"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4</w:t>
            </w:r>
          </w:p>
        </w:tc>
        <w:tc>
          <w:tcPr>
            <w:tcW w:w="109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bidi w:val="0"/>
              <w:adjustRightInd w:val="0"/>
              <w:snapToGrid w:val="0"/>
              <w:spacing w:line="360" w:lineRule="auto"/>
              <w:jc w:val="center"/>
              <w:textAlignment w:val="center"/>
              <w:rPr>
                <w:rFonts w:hint="eastAsia" w:asciiTheme="minorEastAsia" w:hAnsiTheme="minorEastAsia" w:eastAsiaTheme="minorEastAsia" w:cstheme="minorEastAsia"/>
                <w:color w:val="000000"/>
                <w:kern w:val="0"/>
                <w:sz w:val="24"/>
              </w:rPr>
            </w:pPr>
          </w:p>
        </w:tc>
      </w:tr>
      <w:tr>
        <w:tblPrEx>
          <w:tblCellMar>
            <w:top w:w="0" w:type="dxa"/>
            <w:left w:w="0" w:type="dxa"/>
            <w:bottom w:w="0" w:type="dxa"/>
            <w:right w:w="0" w:type="dxa"/>
          </w:tblCellMar>
        </w:tblPrEx>
        <w:trPr>
          <w:trHeight w:val="23" w:hRule="atLeast"/>
        </w:trPr>
        <w:tc>
          <w:tcPr>
            <w:tcW w:w="37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bidi w:val="0"/>
              <w:adjustRightInd w:val="0"/>
              <w:snapToGrid w:val="0"/>
              <w:spacing w:line="360" w:lineRule="auto"/>
              <w:jc w:val="center"/>
              <w:textAlignment w:val="center"/>
              <w:rPr>
                <w:rFonts w:hint="eastAsia"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11</w:t>
            </w:r>
          </w:p>
        </w:tc>
        <w:tc>
          <w:tcPr>
            <w:tcW w:w="132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bidi w:val="0"/>
              <w:adjustRightInd w:val="0"/>
              <w:snapToGrid w:val="0"/>
              <w:spacing w:line="360" w:lineRule="auto"/>
              <w:jc w:val="center"/>
              <w:textAlignment w:val="center"/>
              <w:rPr>
                <w:rFonts w:hint="eastAsia"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泵6</w:t>
            </w:r>
          </w:p>
        </w:tc>
        <w:tc>
          <w:tcPr>
            <w:tcW w:w="110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bidi w:val="0"/>
              <w:adjustRightInd w:val="0"/>
              <w:snapToGrid w:val="0"/>
              <w:spacing w:line="360" w:lineRule="auto"/>
              <w:jc w:val="center"/>
              <w:textAlignment w:val="center"/>
              <w:rPr>
                <w:rFonts w:hint="eastAsia"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台</w:t>
            </w:r>
          </w:p>
        </w:tc>
        <w:tc>
          <w:tcPr>
            <w:tcW w:w="109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bidi w:val="0"/>
              <w:adjustRightInd w:val="0"/>
              <w:snapToGrid w:val="0"/>
              <w:spacing w:line="360" w:lineRule="auto"/>
              <w:jc w:val="center"/>
              <w:textAlignment w:val="center"/>
              <w:rPr>
                <w:rFonts w:hint="eastAsia"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2</w:t>
            </w:r>
          </w:p>
        </w:tc>
        <w:tc>
          <w:tcPr>
            <w:tcW w:w="109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bidi w:val="0"/>
              <w:adjustRightInd w:val="0"/>
              <w:snapToGrid w:val="0"/>
              <w:spacing w:line="360" w:lineRule="auto"/>
              <w:jc w:val="center"/>
              <w:textAlignment w:val="center"/>
              <w:rPr>
                <w:rFonts w:hint="eastAsia" w:asciiTheme="minorEastAsia" w:hAnsiTheme="minorEastAsia" w:eastAsiaTheme="minorEastAsia" w:cstheme="minorEastAsia"/>
                <w:color w:val="000000"/>
                <w:kern w:val="0"/>
                <w:sz w:val="24"/>
              </w:rPr>
            </w:pPr>
          </w:p>
        </w:tc>
      </w:tr>
      <w:tr>
        <w:tblPrEx>
          <w:tblCellMar>
            <w:top w:w="0" w:type="dxa"/>
            <w:left w:w="0" w:type="dxa"/>
            <w:bottom w:w="0" w:type="dxa"/>
            <w:right w:w="0" w:type="dxa"/>
          </w:tblCellMar>
        </w:tblPrEx>
        <w:trPr>
          <w:trHeight w:val="23" w:hRule="atLeast"/>
        </w:trPr>
        <w:tc>
          <w:tcPr>
            <w:tcW w:w="37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bidi w:val="0"/>
              <w:adjustRightInd w:val="0"/>
              <w:snapToGrid w:val="0"/>
              <w:spacing w:line="360" w:lineRule="auto"/>
              <w:jc w:val="center"/>
              <w:textAlignment w:val="top"/>
              <w:rPr>
                <w:rFonts w:hint="eastAsia"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12</w:t>
            </w:r>
          </w:p>
        </w:tc>
        <w:tc>
          <w:tcPr>
            <w:tcW w:w="132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bidi w:val="0"/>
              <w:adjustRightInd w:val="0"/>
              <w:snapToGrid w:val="0"/>
              <w:spacing w:line="360" w:lineRule="auto"/>
              <w:jc w:val="center"/>
              <w:textAlignment w:val="center"/>
              <w:rPr>
                <w:rFonts w:hint="eastAsia"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在线水质检测设备</w:t>
            </w:r>
          </w:p>
        </w:tc>
        <w:tc>
          <w:tcPr>
            <w:tcW w:w="110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bidi w:val="0"/>
              <w:adjustRightInd w:val="0"/>
              <w:snapToGrid w:val="0"/>
              <w:spacing w:line="360" w:lineRule="auto"/>
              <w:jc w:val="center"/>
              <w:textAlignment w:val="center"/>
              <w:rPr>
                <w:rFonts w:hint="eastAsia"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台</w:t>
            </w:r>
          </w:p>
        </w:tc>
        <w:tc>
          <w:tcPr>
            <w:tcW w:w="109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bidi w:val="0"/>
              <w:adjustRightInd w:val="0"/>
              <w:snapToGrid w:val="0"/>
              <w:spacing w:line="360" w:lineRule="auto"/>
              <w:jc w:val="center"/>
              <w:textAlignment w:val="center"/>
              <w:rPr>
                <w:rFonts w:hint="eastAsia"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5</w:t>
            </w:r>
          </w:p>
        </w:tc>
        <w:tc>
          <w:tcPr>
            <w:tcW w:w="109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bidi w:val="0"/>
              <w:adjustRightInd w:val="0"/>
              <w:snapToGrid w:val="0"/>
              <w:spacing w:line="360" w:lineRule="auto"/>
              <w:jc w:val="center"/>
              <w:textAlignment w:val="center"/>
              <w:rPr>
                <w:rFonts w:hint="eastAsia" w:asciiTheme="minorEastAsia" w:hAnsiTheme="minorEastAsia" w:eastAsiaTheme="minorEastAsia" w:cstheme="minorEastAsia"/>
                <w:color w:val="000000"/>
                <w:kern w:val="0"/>
                <w:sz w:val="24"/>
              </w:rPr>
            </w:pPr>
          </w:p>
        </w:tc>
      </w:tr>
      <w:tr>
        <w:tblPrEx>
          <w:tblCellMar>
            <w:top w:w="0" w:type="dxa"/>
            <w:left w:w="0" w:type="dxa"/>
            <w:bottom w:w="0" w:type="dxa"/>
            <w:right w:w="0" w:type="dxa"/>
          </w:tblCellMar>
        </w:tblPrEx>
        <w:trPr>
          <w:trHeight w:val="23" w:hRule="atLeast"/>
        </w:trPr>
        <w:tc>
          <w:tcPr>
            <w:tcW w:w="37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bidi w:val="0"/>
              <w:adjustRightInd w:val="0"/>
              <w:snapToGrid w:val="0"/>
              <w:spacing w:line="360" w:lineRule="auto"/>
              <w:jc w:val="center"/>
              <w:textAlignment w:val="top"/>
              <w:rPr>
                <w:rFonts w:hint="eastAsia"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13</w:t>
            </w:r>
          </w:p>
        </w:tc>
        <w:tc>
          <w:tcPr>
            <w:tcW w:w="132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bidi w:val="0"/>
              <w:adjustRightInd w:val="0"/>
              <w:snapToGrid w:val="0"/>
              <w:spacing w:line="360" w:lineRule="auto"/>
              <w:jc w:val="center"/>
              <w:textAlignment w:val="center"/>
              <w:rPr>
                <w:rFonts w:hint="eastAsia"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在线水质检测设备</w:t>
            </w:r>
          </w:p>
        </w:tc>
        <w:tc>
          <w:tcPr>
            <w:tcW w:w="110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bidi w:val="0"/>
              <w:adjustRightInd w:val="0"/>
              <w:snapToGrid w:val="0"/>
              <w:spacing w:line="360" w:lineRule="auto"/>
              <w:jc w:val="center"/>
              <w:textAlignment w:val="center"/>
              <w:rPr>
                <w:rFonts w:hint="eastAsia"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台</w:t>
            </w:r>
          </w:p>
        </w:tc>
        <w:tc>
          <w:tcPr>
            <w:tcW w:w="109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bidi w:val="0"/>
              <w:adjustRightInd w:val="0"/>
              <w:snapToGrid w:val="0"/>
              <w:spacing w:line="360" w:lineRule="auto"/>
              <w:jc w:val="center"/>
              <w:textAlignment w:val="center"/>
              <w:rPr>
                <w:rFonts w:hint="eastAsia"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5</w:t>
            </w:r>
          </w:p>
        </w:tc>
        <w:tc>
          <w:tcPr>
            <w:tcW w:w="109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bidi w:val="0"/>
              <w:adjustRightInd w:val="0"/>
              <w:snapToGrid w:val="0"/>
              <w:spacing w:line="360" w:lineRule="auto"/>
              <w:jc w:val="center"/>
              <w:textAlignment w:val="center"/>
              <w:rPr>
                <w:rFonts w:hint="eastAsia" w:asciiTheme="minorEastAsia" w:hAnsiTheme="minorEastAsia" w:eastAsiaTheme="minorEastAsia" w:cstheme="minorEastAsia"/>
                <w:color w:val="000000"/>
                <w:kern w:val="0"/>
                <w:sz w:val="24"/>
              </w:rPr>
            </w:pPr>
          </w:p>
        </w:tc>
      </w:tr>
      <w:tr>
        <w:tblPrEx>
          <w:tblCellMar>
            <w:top w:w="0" w:type="dxa"/>
            <w:left w:w="0" w:type="dxa"/>
            <w:bottom w:w="0" w:type="dxa"/>
            <w:right w:w="0" w:type="dxa"/>
          </w:tblCellMar>
        </w:tblPrEx>
        <w:trPr>
          <w:trHeight w:val="23" w:hRule="atLeast"/>
        </w:trPr>
        <w:tc>
          <w:tcPr>
            <w:tcW w:w="37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bidi w:val="0"/>
              <w:adjustRightInd w:val="0"/>
              <w:snapToGrid w:val="0"/>
              <w:spacing w:line="360" w:lineRule="auto"/>
              <w:jc w:val="center"/>
              <w:textAlignment w:val="top"/>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14</w:t>
            </w:r>
          </w:p>
        </w:tc>
        <w:tc>
          <w:tcPr>
            <w:tcW w:w="132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bidi w:val="0"/>
              <w:adjustRightInd w:val="0"/>
              <w:snapToGrid w:val="0"/>
              <w:spacing w:line="360" w:lineRule="auto"/>
              <w:jc w:val="center"/>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rPr>
              <w:t>传感器</w:t>
            </w:r>
          </w:p>
        </w:tc>
        <w:tc>
          <w:tcPr>
            <w:tcW w:w="110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bidi w:val="0"/>
              <w:adjustRightInd w:val="0"/>
              <w:snapToGrid w:val="0"/>
              <w:spacing w:line="360" w:lineRule="auto"/>
              <w:jc w:val="center"/>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rPr>
              <w:t>台</w:t>
            </w:r>
          </w:p>
        </w:tc>
        <w:tc>
          <w:tcPr>
            <w:tcW w:w="109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bidi w:val="0"/>
              <w:adjustRightInd w:val="0"/>
              <w:snapToGrid w:val="0"/>
              <w:spacing w:line="360" w:lineRule="auto"/>
              <w:jc w:val="center"/>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rPr>
              <w:t>2</w:t>
            </w:r>
          </w:p>
        </w:tc>
        <w:tc>
          <w:tcPr>
            <w:tcW w:w="109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bidi w:val="0"/>
              <w:adjustRightInd w:val="0"/>
              <w:snapToGrid w:val="0"/>
              <w:spacing w:line="360" w:lineRule="auto"/>
              <w:jc w:val="center"/>
              <w:textAlignment w:val="center"/>
              <w:rPr>
                <w:rFonts w:hint="eastAsia" w:asciiTheme="minorEastAsia" w:hAnsiTheme="minorEastAsia" w:eastAsiaTheme="minorEastAsia" w:cstheme="minorEastAsia"/>
                <w:color w:val="000000"/>
                <w:kern w:val="0"/>
                <w:sz w:val="24"/>
              </w:rPr>
            </w:pPr>
          </w:p>
        </w:tc>
      </w:tr>
      <w:tr>
        <w:tblPrEx>
          <w:tblCellMar>
            <w:top w:w="0" w:type="dxa"/>
            <w:left w:w="0" w:type="dxa"/>
            <w:bottom w:w="0" w:type="dxa"/>
            <w:right w:w="0" w:type="dxa"/>
          </w:tblCellMar>
        </w:tblPrEx>
        <w:trPr>
          <w:trHeight w:val="23" w:hRule="atLeast"/>
        </w:trPr>
        <w:tc>
          <w:tcPr>
            <w:tcW w:w="37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bidi w:val="0"/>
              <w:adjustRightInd w:val="0"/>
              <w:snapToGrid w:val="0"/>
              <w:spacing w:line="360" w:lineRule="auto"/>
              <w:jc w:val="center"/>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rPr>
              <w:t>15</w:t>
            </w:r>
          </w:p>
        </w:tc>
        <w:tc>
          <w:tcPr>
            <w:tcW w:w="132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bidi w:val="0"/>
              <w:adjustRightInd w:val="0"/>
              <w:snapToGrid w:val="0"/>
              <w:spacing w:line="360" w:lineRule="auto"/>
              <w:jc w:val="center"/>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rPr>
              <w:t>葫芦</w:t>
            </w:r>
          </w:p>
        </w:tc>
        <w:tc>
          <w:tcPr>
            <w:tcW w:w="110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bidi w:val="0"/>
              <w:adjustRightInd w:val="0"/>
              <w:snapToGrid w:val="0"/>
              <w:spacing w:line="360" w:lineRule="auto"/>
              <w:jc w:val="center"/>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rPr>
              <w:t>台</w:t>
            </w:r>
          </w:p>
        </w:tc>
        <w:tc>
          <w:tcPr>
            <w:tcW w:w="109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bidi w:val="0"/>
              <w:adjustRightInd w:val="0"/>
              <w:snapToGrid w:val="0"/>
              <w:spacing w:line="360" w:lineRule="auto"/>
              <w:jc w:val="center"/>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rPr>
              <w:t>6</w:t>
            </w:r>
          </w:p>
        </w:tc>
        <w:tc>
          <w:tcPr>
            <w:tcW w:w="109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bidi w:val="0"/>
              <w:adjustRightInd w:val="0"/>
              <w:snapToGrid w:val="0"/>
              <w:spacing w:line="360" w:lineRule="auto"/>
              <w:jc w:val="center"/>
              <w:textAlignment w:val="center"/>
              <w:rPr>
                <w:rFonts w:hint="eastAsia" w:asciiTheme="minorEastAsia" w:hAnsiTheme="minorEastAsia" w:eastAsiaTheme="minorEastAsia" w:cstheme="minorEastAsia"/>
                <w:color w:val="000000"/>
                <w:kern w:val="0"/>
                <w:sz w:val="24"/>
              </w:rPr>
            </w:pPr>
          </w:p>
        </w:tc>
      </w:tr>
    </w:tbl>
    <w:p>
      <w:pPr>
        <w:pStyle w:val="6"/>
        <w:keepNext w:val="0"/>
        <w:keepLines w:val="0"/>
        <w:pageBreakBefore w:val="0"/>
        <w:kinsoku/>
        <w:wordWrap/>
        <w:overflowPunct/>
        <w:topLinePunct w:val="0"/>
        <w:bidi w:val="0"/>
        <w:adjustRightInd w:val="0"/>
        <w:snapToGrid w:val="0"/>
        <w:spacing w:line="360" w:lineRule="auto"/>
        <w:ind w:firstLine="0"/>
        <w:rPr>
          <w:rFonts w:hint="eastAsia" w:asciiTheme="minorEastAsia" w:hAnsiTheme="minorEastAsia" w:eastAsiaTheme="minorEastAsia" w:cstheme="minorEastAsia"/>
          <w:color w:val="000000"/>
          <w:sz w:val="24"/>
          <w:szCs w:val="24"/>
        </w:rPr>
      </w:pPr>
    </w:p>
    <w:p>
      <w:pPr>
        <w:pStyle w:val="6"/>
        <w:keepNext w:val="0"/>
        <w:keepLines w:val="0"/>
        <w:pageBreakBefore w:val="0"/>
        <w:kinsoku/>
        <w:wordWrap/>
        <w:overflowPunct/>
        <w:topLinePunct w:val="0"/>
        <w:bidi w:val="0"/>
        <w:adjustRightInd w:val="0"/>
        <w:snapToGrid w:val="0"/>
        <w:spacing w:line="360" w:lineRule="auto"/>
        <w:ind w:firstLine="480" w:firstLineChars="200"/>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color w:val="000000"/>
          <w:sz w:val="24"/>
          <w:szCs w:val="24"/>
          <w:lang w:val="en-US" w:eastAsia="zh-CN"/>
        </w:rPr>
        <w:t>3、</w:t>
      </w:r>
      <w:r>
        <w:rPr>
          <w:rFonts w:hint="eastAsia" w:asciiTheme="minorEastAsia" w:hAnsiTheme="minorEastAsia" w:eastAsiaTheme="minorEastAsia" w:cstheme="minorEastAsia"/>
          <w:color w:val="000000"/>
          <w:sz w:val="24"/>
          <w:szCs w:val="24"/>
          <w:lang w:eastAsia="zh-CN"/>
        </w:rPr>
        <w:t>中转站渗滤液处理部分</w:t>
      </w:r>
    </w:p>
    <w:tbl>
      <w:tblPr>
        <w:tblStyle w:val="62"/>
        <w:tblW w:w="5000" w:type="pct"/>
        <w:tblInd w:w="0" w:type="dxa"/>
        <w:tblLayout w:type="fixed"/>
        <w:tblCellMar>
          <w:top w:w="0" w:type="dxa"/>
          <w:left w:w="0" w:type="dxa"/>
          <w:bottom w:w="0" w:type="dxa"/>
          <w:right w:w="0" w:type="dxa"/>
        </w:tblCellMar>
      </w:tblPr>
      <w:tblGrid>
        <w:gridCol w:w="674"/>
        <w:gridCol w:w="1065"/>
        <w:gridCol w:w="659"/>
        <w:gridCol w:w="6702"/>
      </w:tblGrid>
      <w:tr>
        <w:tblPrEx>
          <w:tblCellMar>
            <w:top w:w="0" w:type="dxa"/>
            <w:left w:w="0" w:type="dxa"/>
            <w:bottom w:w="0" w:type="dxa"/>
            <w:right w:w="0" w:type="dxa"/>
          </w:tblCellMar>
        </w:tblPrEx>
        <w:trPr>
          <w:trHeight w:val="23" w:hRule="atLeast"/>
          <w:tblHeader/>
        </w:trPr>
        <w:tc>
          <w:tcPr>
            <w:tcW w:w="37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bidi w:val="0"/>
              <w:adjustRightInd w:val="0"/>
              <w:snapToGrid w:val="0"/>
              <w:spacing w:line="360" w:lineRule="auto"/>
              <w:jc w:val="center"/>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rPr>
              <w:t>序号</w:t>
            </w:r>
          </w:p>
        </w:tc>
        <w:tc>
          <w:tcPr>
            <w:tcW w:w="58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bidi w:val="0"/>
              <w:adjustRightInd w:val="0"/>
              <w:snapToGrid w:val="0"/>
              <w:spacing w:line="360" w:lineRule="auto"/>
              <w:jc w:val="center"/>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rPr>
              <w:t>设备名称</w:t>
            </w:r>
          </w:p>
        </w:tc>
        <w:tc>
          <w:tcPr>
            <w:tcW w:w="36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bidi w:val="0"/>
              <w:adjustRightInd w:val="0"/>
              <w:snapToGrid w:val="0"/>
              <w:spacing w:line="360" w:lineRule="auto"/>
              <w:jc w:val="center"/>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单位</w:t>
            </w:r>
          </w:p>
        </w:tc>
        <w:tc>
          <w:tcPr>
            <w:tcW w:w="368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bidi w:val="0"/>
              <w:adjustRightInd w:val="0"/>
              <w:snapToGrid w:val="0"/>
              <w:spacing w:line="360" w:lineRule="auto"/>
              <w:jc w:val="center"/>
              <w:textAlignment w:val="center"/>
              <w:rPr>
                <w:rFonts w:hint="eastAsia"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备注</w:t>
            </w:r>
          </w:p>
        </w:tc>
      </w:tr>
      <w:tr>
        <w:tblPrEx>
          <w:tblCellMar>
            <w:top w:w="0" w:type="dxa"/>
            <w:left w:w="0" w:type="dxa"/>
            <w:bottom w:w="0" w:type="dxa"/>
            <w:right w:w="0" w:type="dxa"/>
          </w:tblCellMar>
        </w:tblPrEx>
        <w:trPr>
          <w:trHeight w:val="2619" w:hRule="atLeast"/>
          <w:tblHeader/>
        </w:trPr>
        <w:tc>
          <w:tcPr>
            <w:tcW w:w="37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bidi w:val="0"/>
              <w:adjustRightInd w:val="0"/>
              <w:snapToGrid w:val="0"/>
              <w:spacing w:line="360" w:lineRule="auto"/>
              <w:jc w:val="center"/>
              <w:textAlignment w:val="center"/>
              <w:rPr>
                <w:rFonts w:hint="eastAsia"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1</w:t>
            </w:r>
          </w:p>
        </w:tc>
        <w:tc>
          <w:tcPr>
            <w:tcW w:w="58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bidi w:val="0"/>
              <w:adjustRightInd w:val="0"/>
              <w:snapToGrid w:val="0"/>
              <w:spacing w:line="360" w:lineRule="auto"/>
              <w:jc w:val="center"/>
              <w:textAlignment w:val="center"/>
              <w:rPr>
                <w:rFonts w:hint="eastAsia"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中转站渗滤液预处理系统</w:t>
            </w:r>
          </w:p>
        </w:tc>
        <w:tc>
          <w:tcPr>
            <w:tcW w:w="36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bidi w:val="0"/>
              <w:adjustRightInd w:val="0"/>
              <w:snapToGrid w:val="0"/>
              <w:spacing w:line="360" w:lineRule="auto"/>
              <w:jc w:val="center"/>
              <w:textAlignment w:val="center"/>
              <w:rPr>
                <w:rFonts w:hint="eastAsia"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1套</w:t>
            </w:r>
          </w:p>
        </w:tc>
        <w:tc>
          <w:tcPr>
            <w:tcW w:w="368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bidi w:val="0"/>
              <w:adjustRightInd w:val="0"/>
              <w:spacing w:line="360" w:lineRule="auto"/>
              <w:rPr>
                <w:rFonts w:hint="eastAsia" w:asciiTheme="minorEastAsia" w:hAnsiTheme="minorEastAsia" w:eastAsiaTheme="minorEastAsia" w:cstheme="minorEastAsia"/>
              </w:rPr>
            </w:pPr>
            <w:r>
              <w:rPr>
                <w:rFonts w:hint="eastAsia" w:asciiTheme="minorEastAsia" w:hAnsiTheme="minorEastAsia" w:eastAsiaTheme="minorEastAsia" w:cstheme="minorEastAsia"/>
                <w:sz w:val="24"/>
              </w:rPr>
              <w:t>设计出水水质pH 6.5～9、SS 1800 mg/L、COD</w:t>
            </w:r>
            <w:r>
              <w:rPr>
                <w:rFonts w:hint="eastAsia" w:asciiTheme="minorEastAsia" w:hAnsiTheme="minorEastAsia" w:eastAsiaTheme="minorEastAsia" w:cstheme="minorEastAsia"/>
                <w:sz w:val="24"/>
                <w:vertAlign w:val="subscript"/>
              </w:rPr>
              <w:t>Cr</w:t>
            </w:r>
            <w:r>
              <w:rPr>
                <w:rFonts w:hint="eastAsia" w:asciiTheme="minorEastAsia" w:hAnsiTheme="minorEastAsia" w:eastAsiaTheme="minorEastAsia" w:cstheme="minorEastAsia"/>
                <w:sz w:val="24"/>
              </w:rPr>
              <w:t xml:space="preserve"> 10000mg/L、BOD</w:t>
            </w:r>
            <w:r>
              <w:rPr>
                <w:rFonts w:hint="eastAsia" w:asciiTheme="minorEastAsia" w:hAnsiTheme="minorEastAsia" w:eastAsiaTheme="minorEastAsia" w:cstheme="minorEastAsia"/>
                <w:sz w:val="24"/>
                <w:vertAlign w:val="subscript"/>
              </w:rPr>
              <w:t xml:space="preserve">5 </w:t>
            </w:r>
            <w:r>
              <w:rPr>
                <w:rFonts w:hint="eastAsia" w:asciiTheme="minorEastAsia" w:hAnsiTheme="minorEastAsia" w:eastAsiaTheme="minorEastAsia" w:cstheme="minorEastAsia"/>
                <w:sz w:val="24"/>
              </w:rPr>
              <w:t>4000 mg/L、NH</w:t>
            </w:r>
            <w:r>
              <w:rPr>
                <w:rFonts w:hint="eastAsia" w:asciiTheme="minorEastAsia" w:hAnsiTheme="minorEastAsia" w:eastAsiaTheme="minorEastAsia" w:cstheme="minorEastAsia"/>
                <w:sz w:val="24"/>
                <w:vertAlign w:val="subscript"/>
              </w:rPr>
              <w:t>3</w:t>
            </w:r>
            <w:r>
              <w:rPr>
                <w:rFonts w:hint="eastAsia" w:asciiTheme="minorEastAsia" w:hAnsiTheme="minorEastAsia" w:eastAsiaTheme="minorEastAsia" w:cstheme="minorEastAsia"/>
                <w:sz w:val="24"/>
              </w:rPr>
              <w:t>-N2200 mg/L、TN 2300 mg/L，</w:t>
            </w:r>
            <w:r>
              <w:rPr>
                <w:rFonts w:hint="eastAsia" w:asciiTheme="minorEastAsia" w:hAnsiTheme="minorEastAsia" w:eastAsiaTheme="minorEastAsia" w:cstheme="minorEastAsia"/>
                <w:color w:val="000000"/>
                <w:kern w:val="0"/>
                <w:sz w:val="24"/>
              </w:rPr>
              <w:t>预处理工艺采用絮凝沉淀厌氧耦合气浮工艺</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color w:val="000000"/>
                <w:kern w:val="0"/>
                <w:sz w:val="24"/>
              </w:rPr>
              <w:t>设计</w:t>
            </w:r>
            <w:r>
              <w:rPr>
                <w:rFonts w:hint="eastAsia" w:asciiTheme="minorEastAsia" w:hAnsiTheme="minorEastAsia" w:eastAsiaTheme="minorEastAsia" w:cstheme="minorEastAsia"/>
                <w:sz w:val="24"/>
              </w:rPr>
              <w:t>处理量35</w:t>
            </w:r>
            <w:r>
              <w:rPr>
                <w:rFonts w:hint="eastAsia" w:asciiTheme="minorEastAsia" w:hAnsiTheme="minorEastAsia" w:eastAsiaTheme="minorEastAsia" w:cstheme="minorEastAsia"/>
                <w:color w:val="000000"/>
                <w:kern w:val="0"/>
                <w:sz w:val="24"/>
              </w:rPr>
              <w:t>m³/d，</w:t>
            </w:r>
            <w:r>
              <w:rPr>
                <w:rFonts w:hint="eastAsia" w:asciiTheme="minorEastAsia" w:hAnsiTheme="minorEastAsia" w:eastAsiaTheme="minorEastAsia" w:cstheme="minorEastAsia"/>
                <w:sz w:val="24"/>
              </w:rPr>
              <w:t>本次招标</w:t>
            </w:r>
            <w:r>
              <w:rPr>
                <w:rFonts w:hint="eastAsia" w:asciiTheme="minorEastAsia" w:hAnsiTheme="minorEastAsia" w:eastAsiaTheme="minorEastAsia" w:cstheme="minorEastAsia"/>
                <w:sz w:val="24"/>
                <w:lang w:eastAsia="zh-CN"/>
              </w:rPr>
              <w:t>运营</w:t>
            </w:r>
            <w:r>
              <w:rPr>
                <w:rFonts w:hint="eastAsia" w:asciiTheme="minorEastAsia" w:hAnsiTheme="minorEastAsia" w:eastAsiaTheme="minorEastAsia" w:cstheme="minorEastAsia"/>
                <w:sz w:val="24"/>
              </w:rPr>
              <w:t>费用，</w:t>
            </w:r>
            <w:r>
              <w:rPr>
                <w:rFonts w:hint="eastAsia" w:asciiTheme="minorEastAsia" w:hAnsiTheme="minorEastAsia" w:eastAsiaTheme="minorEastAsia" w:cstheme="minorEastAsia"/>
                <w:color w:val="000000"/>
                <w:kern w:val="0"/>
                <w:sz w:val="24"/>
              </w:rPr>
              <w:t>已包含在投标总价中，投标供应商自行核算。</w:t>
            </w:r>
          </w:p>
        </w:tc>
      </w:tr>
    </w:tbl>
    <w:p>
      <w:pPr>
        <w:keepNext w:val="0"/>
        <w:keepLines w:val="0"/>
        <w:pageBreakBefore w:val="0"/>
        <w:kinsoku/>
        <w:wordWrap/>
        <w:overflowPunct/>
        <w:topLinePunct w:val="0"/>
        <w:bidi w:val="0"/>
        <w:adjustRightInd w:val="0"/>
        <w:snapToGrid w:val="0"/>
        <w:spacing w:line="360" w:lineRule="auto"/>
        <w:jc w:val="left"/>
        <w:rPr>
          <w:rFonts w:hint="eastAsia" w:asciiTheme="minorEastAsia" w:hAnsiTheme="minorEastAsia" w:eastAsiaTheme="minorEastAsia" w:cstheme="minorEastAsia"/>
          <w:color w:val="000000"/>
          <w:sz w:val="24"/>
        </w:rPr>
      </w:pPr>
    </w:p>
    <w:p>
      <w:pPr>
        <w:pStyle w:val="6"/>
        <w:keepNext w:val="0"/>
        <w:keepLines w:val="0"/>
        <w:pageBreakBefore w:val="0"/>
        <w:numPr>
          <w:ilvl w:val="0"/>
          <w:numId w:val="1"/>
        </w:numPr>
        <w:kinsoku/>
        <w:wordWrap/>
        <w:overflowPunct/>
        <w:topLinePunct w:val="0"/>
        <w:bidi w:val="0"/>
        <w:adjustRightInd w:val="0"/>
        <w:snapToGrid w:val="0"/>
        <w:spacing w:line="360" w:lineRule="auto"/>
        <w:rPr>
          <w:rFonts w:hint="eastAsia" w:asciiTheme="minorEastAsia" w:hAnsiTheme="minorEastAsia" w:eastAsiaTheme="minorEastAsia" w:cstheme="minorEastAsia"/>
          <w:b/>
          <w:bCs/>
          <w:snapToGrid/>
          <w:color w:val="000000"/>
          <w:kern w:val="2"/>
          <w:sz w:val="24"/>
          <w:szCs w:val="24"/>
          <w:lang w:val="en-US" w:eastAsia="zh-CN" w:bidi="ar-SA"/>
        </w:rPr>
      </w:pPr>
      <w:r>
        <w:rPr>
          <w:rFonts w:hint="eastAsia" w:asciiTheme="minorEastAsia" w:hAnsiTheme="minorEastAsia" w:eastAsiaTheme="minorEastAsia" w:cstheme="minorEastAsia"/>
          <w:b/>
          <w:bCs/>
          <w:snapToGrid/>
          <w:color w:val="000000"/>
          <w:kern w:val="2"/>
          <w:sz w:val="24"/>
          <w:szCs w:val="24"/>
          <w:lang w:val="en-US" w:eastAsia="zh-CN" w:bidi="ar-SA"/>
        </w:rPr>
        <w:t>运营费用计算方法</w:t>
      </w:r>
    </w:p>
    <w:p>
      <w:pPr>
        <w:keepNext w:val="0"/>
        <w:keepLines w:val="0"/>
        <w:pageBreakBefore w:val="0"/>
        <w:kinsoku/>
        <w:wordWrap/>
        <w:overflowPunct/>
        <w:topLinePunct w:val="0"/>
        <w:bidi w:val="0"/>
        <w:adjustRightInd w:val="0"/>
        <w:snapToGrid w:val="0"/>
        <w:spacing w:line="360" w:lineRule="auto"/>
        <w:ind w:firstLine="480" w:firstLineChars="200"/>
        <w:jc w:val="left"/>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lang w:val="en-US" w:eastAsia="zh-CN"/>
        </w:rPr>
        <w:t>1、</w:t>
      </w:r>
      <w:r>
        <w:rPr>
          <w:rFonts w:hint="eastAsia" w:asciiTheme="minorEastAsia" w:hAnsiTheme="minorEastAsia" w:eastAsiaTheme="minorEastAsia" w:cstheme="minorEastAsia"/>
          <w:color w:val="000000"/>
          <w:sz w:val="24"/>
        </w:rPr>
        <w:t>渗滤液处理量计算方法</w:t>
      </w:r>
    </w:p>
    <w:p>
      <w:pPr>
        <w:keepNext w:val="0"/>
        <w:keepLines w:val="0"/>
        <w:pageBreakBefore w:val="0"/>
        <w:kinsoku/>
        <w:wordWrap/>
        <w:overflowPunct/>
        <w:topLinePunct w:val="0"/>
        <w:bidi w:val="0"/>
        <w:adjustRightInd w:val="0"/>
        <w:snapToGrid w:val="0"/>
        <w:spacing w:line="360" w:lineRule="auto"/>
        <w:ind w:firstLine="480" w:firstLineChars="200"/>
        <w:jc w:val="left"/>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按照年日平均进入处理系统的渗滤液不少于550吨，达标排放量不低于495吨（下浮幅度不超过10%），</w:t>
      </w:r>
      <w:r>
        <w:rPr>
          <w:rFonts w:hint="eastAsia" w:asciiTheme="minorEastAsia" w:hAnsiTheme="minorEastAsia" w:eastAsiaTheme="minorEastAsia" w:cstheme="minorEastAsia"/>
          <w:color w:val="000000"/>
          <w:sz w:val="24"/>
          <w:lang w:eastAsia="zh-CN"/>
        </w:rPr>
        <w:t>采购人</w:t>
      </w:r>
      <w:r>
        <w:rPr>
          <w:rFonts w:hint="eastAsia" w:asciiTheme="minorEastAsia" w:hAnsiTheme="minorEastAsia" w:eastAsiaTheme="minorEastAsia" w:cstheme="minorEastAsia"/>
          <w:color w:val="000000"/>
          <w:sz w:val="24"/>
        </w:rPr>
        <w:t>依据实际进出水表记录量的要求计算垃圾渗滤液处理量。</w:t>
      </w:r>
    </w:p>
    <w:p>
      <w:pPr>
        <w:keepNext w:val="0"/>
        <w:keepLines w:val="0"/>
        <w:pageBreakBefore w:val="0"/>
        <w:kinsoku/>
        <w:wordWrap/>
        <w:overflowPunct/>
        <w:topLinePunct w:val="0"/>
        <w:bidi w:val="0"/>
        <w:adjustRightInd w:val="0"/>
        <w:snapToGrid w:val="0"/>
        <w:spacing w:line="360" w:lineRule="auto"/>
        <w:ind w:firstLine="480" w:firstLineChars="200"/>
        <w:jc w:val="left"/>
        <w:rPr>
          <w:rFonts w:hint="eastAsia"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lang w:val="en-US" w:eastAsia="zh-CN"/>
        </w:rPr>
        <w:t>2、</w:t>
      </w:r>
      <w:r>
        <w:rPr>
          <w:rFonts w:hint="eastAsia" w:asciiTheme="minorEastAsia" w:hAnsiTheme="minorEastAsia" w:eastAsiaTheme="minorEastAsia" w:cstheme="minorEastAsia"/>
          <w:color w:val="000000"/>
          <w:kern w:val="0"/>
          <w:sz w:val="24"/>
        </w:rPr>
        <w:t>运营管理费价格</w:t>
      </w:r>
    </w:p>
    <w:p>
      <w:pPr>
        <w:keepNext w:val="0"/>
        <w:keepLines w:val="0"/>
        <w:pageBreakBefore w:val="0"/>
        <w:kinsoku/>
        <w:wordWrap/>
        <w:overflowPunct/>
        <w:topLinePunct w:val="0"/>
        <w:bidi w:val="0"/>
        <w:adjustRightInd w:val="0"/>
        <w:snapToGrid w:val="0"/>
        <w:spacing w:line="360" w:lineRule="auto"/>
        <w:ind w:firstLine="480" w:firstLineChars="200"/>
        <w:jc w:val="left"/>
        <w:rPr>
          <w:rFonts w:hint="eastAsia"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渗滤液处理厂运营费用按实际发生的处理渗滤液吨数及合同约定的每吨单价计算：</w:t>
      </w:r>
    </w:p>
    <w:p>
      <w:pPr>
        <w:keepNext w:val="0"/>
        <w:keepLines w:val="0"/>
        <w:pageBreakBefore w:val="0"/>
        <w:kinsoku/>
        <w:wordWrap/>
        <w:overflowPunct/>
        <w:topLinePunct w:val="0"/>
        <w:bidi w:val="0"/>
        <w:adjustRightInd w:val="0"/>
        <w:snapToGrid w:val="0"/>
        <w:spacing w:line="360" w:lineRule="auto"/>
        <w:ind w:firstLine="480" w:firstLineChars="200"/>
        <w:jc w:val="left"/>
        <w:rPr>
          <w:rFonts w:hint="eastAsia"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年平均每天处理量少于550吨/天的，按实际发生的单价结算；</w:t>
      </w:r>
    </w:p>
    <w:p>
      <w:pPr>
        <w:pStyle w:val="6"/>
        <w:keepNext w:val="0"/>
        <w:keepLines w:val="0"/>
        <w:pageBreakBefore w:val="0"/>
        <w:kinsoku/>
        <w:wordWrap/>
        <w:overflowPunct/>
        <w:topLinePunct w:val="0"/>
        <w:bidi w:val="0"/>
        <w:adjustRightInd w:val="0"/>
        <w:spacing w:line="360" w:lineRule="auto"/>
        <w:rPr>
          <w:rFonts w:hint="eastAsia" w:asciiTheme="minorEastAsia" w:hAnsiTheme="minorEastAsia" w:eastAsiaTheme="minorEastAsia" w:cstheme="minorEastAsia"/>
          <w:color w:val="C00000"/>
        </w:rPr>
      </w:pPr>
      <w:r>
        <w:rPr>
          <w:rFonts w:hint="eastAsia" w:asciiTheme="minorEastAsia" w:hAnsiTheme="minorEastAsia" w:eastAsiaTheme="minorEastAsia" w:cstheme="minorEastAsia"/>
          <w:b/>
          <w:bCs/>
          <w:color w:val="auto"/>
          <w:kern w:val="0"/>
          <w:sz w:val="24"/>
          <w:szCs w:val="24"/>
        </w:rPr>
        <w:t>▲供应商应合理安排处理量，当处理量超过三年预估总量，但合同还未到期时，委托运行单位须继续对本项目进行正常</w:t>
      </w:r>
      <w:r>
        <w:rPr>
          <w:rFonts w:hint="eastAsia" w:asciiTheme="minorEastAsia" w:hAnsiTheme="minorEastAsia" w:eastAsiaTheme="minorEastAsia" w:cstheme="minorEastAsia"/>
          <w:b/>
          <w:bCs/>
          <w:color w:val="auto"/>
          <w:kern w:val="0"/>
          <w:sz w:val="24"/>
          <w:szCs w:val="24"/>
          <w:lang w:eastAsia="zh-CN"/>
        </w:rPr>
        <w:t>运营</w:t>
      </w:r>
      <w:r>
        <w:rPr>
          <w:rFonts w:hint="eastAsia" w:asciiTheme="minorEastAsia" w:hAnsiTheme="minorEastAsia" w:eastAsiaTheme="minorEastAsia" w:cstheme="minorEastAsia"/>
          <w:b/>
          <w:bCs/>
          <w:color w:val="auto"/>
          <w:kern w:val="0"/>
          <w:sz w:val="24"/>
          <w:szCs w:val="24"/>
        </w:rPr>
        <w:t>，要求出水水质必须达到本次招标要求，具体处理数量不再做要求，但是须将调节池水位控制在警戒线范围以内，直至合同期满，超出的这部分处理量不再支付相应费用</w:t>
      </w:r>
      <w:r>
        <w:rPr>
          <w:rFonts w:hint="eastAsia" w:asciiTheme="minorEastAsia" w:hAnsiTheme="minorEastAsia" w:eastAsiaTheme="minorEastAsia" w:cstheme="minorEastAsia"/>
          <w:b/>
          <w:bCs/>
          <w:color w:val="auto"/>
          <w:sz w:val="24"/>
        </w:rPr>
        <w:t>（</w:t>
      </w:r>
      <w:r>
        <w:rPr>
          <w:rFonts w:hint="eastAsia" w:asciiTheme="minorEastAsia" w:hAnsiTheme="minorEastAsia" w:eastAsiaTheme="minorEastAsia" w:cstheme="minorEastAsia"/>
          <w:b/>
          <w:bCs/>
          <w:color w:val="auto"/>
          <w:sz w:val="24"/>
          <w:lang w:eastAsia="zh-CN"/>
        </w:rPr>
        <w:t>以上</w:t>
      </w:r>
      <w:r>
        <w:rPr>
          <w:rFonts w:hint="eastAsia" w:asciiTheme="minorEastAsia" w:hAnsiTheme="minorEastAsia" w:eastAsiaTheme="minorEastAsia" w:cstheme="minorEastAsia"/>
          <w:b/>
          <w:bCs/>
          <w:color w:val="auto"/>
          <w:sz w:val="24"/>
          <w:highlight w:val="none"/>
          <w:lang w:val="en-US" w:eastAsia="zh-CN"/>
        </w:rPr>
        <w:t>需在商务技术文件中提供相应内容的承诺，否则视为未响应</w:t>
      </w:r>
      <w:r>
        <w:rPr>
          <w:rFonts w:hint="eastAsia" w:asciiTheme="minorEastAsia" w:hAnsiTheme="minorEastAsia" w:eastAsiaTheme="minorEastAsia" w:cstheme="minorEastAsia"/>
          <w:b/>
          <w:bCs/>
          <w:color w:val="auto"/>
          <w:sz w:val="24"/>
          <w:lang w:eastAsia="zh-CN"/>
        </w:rPr>
        <w:t>）</w:t>
      </w:r>
      <w:r>
        <w:rPr>
          <w:rFonts w:hint="eastAsia" w:asciiTheme="minorEastAsia" w:hAnsiTheme="minorEastAsia" w:eastAsiaTheme="minorEastAsia" w:cstheme="minorEastAsia"/>
          <w:b/>
          <w:bCs/>
          <w:color w:val="auto"/>
          <w:kern w:val="0"/>
          <w:sz w:val="24"/>
          <w:szCs w:val="24"/>
        </w:rPr>
        <w:t>。</w:t>
      </w:r>
      <w:r>
        <w:rPr>
          <w:rFonts w:hint="eastAsia" w:asciiTheme="minorEastAsia" w:hAnsiTheme="minorEastAsia" w:eastAsiaTheme="minorEastAsia" w:cstheme="minorEastAsia"/>
          <w:sz w:val="24"/>
          <w:szCs w:val="24"/>
        </w:rPr>
        <w:t>请潜在投标方悉知存在的风险。</w:t>
      </w:r>
    </w:p>
    <w:p>
      <w:pPr>
        <w:keepNext w:val="0"/>
        <w:keepLines w:val="0"/>
        <w:pageBreakBefore w:val="0"/>
        <w:kinsoku/>
        <w:wordWrap/>
        <w:overflowPunct/>
        <w:topLinePunct w:val="0"/>
        <w:bidi w:val="0"/>
        <w:adjustRightInd w:val="0"/>
        <w:snapToGrid w:val="0"/>
        <w:spacing w:line="360" w:lineRule="auto"/>
        <w:ind w:firstLine="480" w:firstLineChars="200"/>
        <w:jc w:val="left"/>
        <w:rPr>
          <w:rFonts w:hint="eastAsia"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处理量以三年处理总量累计支付，直至达到本次招标预估的最大处理量，年处理量超出部分不清零，累计入下一年结算，但三年总费用不超过中标合同总价。</w:t>
      </w:r>
    </w:p>
    <w:p>
      <w:pPr>
        <w:keepNext w:val="0"/>
        <w:keepLines w:val="0"/>
        <w:pageBreakBefore w:val="0"/>
        <w:kinsoku/>
        <w:wordWrap/>
        <w:overflowPunct/>
        <w:topLinePunct w:val="0"/>
        <w:bidi w:val="0"/>
        <w:adjustRightInd w:val="0"/>
        <w:snapToGrid w:val="0"/>
        <w:spacing w:line="360" w:lineRule="auto"/>
        <w:ind w:firstLine="480" w:firstLineChars="200"/>
        <w:jc w:val="left"/>
        <w:rPr>
          <w:rFonts w:hint="eastAsia"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垃圾渗滤液处理达标才能排放，年日平均垃圾渗滤液处理达标排放量不低于495吨（下浮幅度不超过10%）。</w:t>
      </w:r>
    </w:p>
    <w:p>
      <w:pPr>
        <w:pStyle w:val="6"/>
        <w:keepNext w:val="0"/>
        <w:keepLines w:val="0"/>
        <w:pageBreakBefore w:val="0"/>
        <w:numPr>
          <w:ilvl w:val="0"/>
          <w:numId w:val="1"/>
        </w:numPr>
        <w:kinsoku/>
        <w:wordWrap/>
        <w:overflowPunct/>
        <w:topLinePunct w:val="0"/>
        <w:bidi w:val="0"/>
        <w:adjustRightInd w:val="0"/>
        <w:snapToGrid w:val="0"/>
        <w:spacing w:line="360" w:lineRule="auto"/>
        <w:rPr>
          <w:rFonts w:hint="eastAsia" w:asciiTheme="minorEastAsia" w:hAnsiTheme="minorEastAsia" w:eastAsiaTheme="minorEastAsia" w:cstheme="minorEastAsia"/>
          <w:b/>
          <w:bCs/>
          <w:snapToGrid/>
          <w:color w:val="000000"/>
          <w:kern w:val="2"/>
          <w:sz w:val="24"/>
          <w:szCs w:val="24"/>
          <w:lang w:val="en-US" w:eastAsia="zh-CN" w:bidi="ar-SA"/>
        </w:rPr>
      </w:pPr>
      <w:r>
        <w:rPr>
          <w:rFonts w:hint="eastAsia" w:asciiTheme="minorEastAsia" w:hAnsiTheme="minorEastAsia" w:eastAsiaTheme="minorEastAsia" w:cstheme="minorEastAsia"/>
          <w:b/>
          <w:bCs/>
          <w:snapToGrid/>
          <w:color w:val="000000"/>
          <w:kern w:val="2"/>
          <w:sz w:val="24"/>
          <w:szCs w:val="24"/>
          <w:lang w:val="en-US" w:eastAsia="zh-CN" w:bidi="ar-SA"/>
        </w:rPr>
        <w:t>运营责任</w:t>
      </w:r>
    </w:p>
    <w:p>
      <w:pPr>
        <w:keepNext w:val="0"/>
        <w:keepLines w:val="0"/>
        <w:pageBreakBefore w:val="0"/>
        <w:kinsoku/>
        <w:wordWrap/>
        <w:overflowPunct/>
        <w:topLinePunct w:val="0"/>
        <w:bidi w:val="0"/>
        <w:adjustRightInd w:val="0"/>
        <w:snapToGrid w:val="0"/>
        <w:spacing w:line="360" w:lineRule="auto"/>
        <w:ind w:firstLine="482"/>
        <w:jc w:val="left"/>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lang w:val="en-US" w:eastAsia="zh-CN"/>
        </w:rPr>
        <w:t>1、</w:t>
      </w:r>
      <w:r>
        <w:rPr>
          <w:rFonts w:hint="eastAsia" w:asciiTheme="minorEastAsia" w:hAnsiTheme="minorEastAsia" w:eastAsiaTheme="minorEastAsia" w:cstheme="minorEastAsia"/>
          <w:color w:val="000000"/>
          <w:sz w:val="24"/>
          <w:lang w:eastAsia="zh-CN"/>
        </w:rPr>
        <w:t>供应商</w:t>
      </w:r>
      <w:r>
        <w:rPr>
          <w:rFonts w:hint="eastAsia" w:asciiTheme="minorEastAsia" w:hAnsiTheme="minorEastAsia" w:eastAsiaTheme="minorEastAsia" w:cstheme="minorEastAsia"/>
          <w:color w:val="000000"/>
          <w:sz w:val="24"/>
        </w:rPr>
        <w:t>在运营期间若被相关环保部门抽检排水水质不达标（停电等不可抗力除外），根据实际情况，</w:t>
      </w:r>
      <w:r>
        <w:rPr>
          <w:rFonts w:hint="eastAsia" w:asciiTheme="minorEastAsia" w:hAnsiTheme="minorEastAsia" w:eastAsiaTheme="minorEastAsia" w:cstheme="minorEastAsia"/>
          <w:color w:val="000000"/>
          <w:sz w:val="24"/>
          <w:lang w:eastAsia="zh-CN"/>
        </w:rPr>
        <w:t>采购人</w:t>
      </w:r>
      <w:r>
        <w:rPr>
          <w:rFonts w:hint="eastAsia" w:asciiTheme="minorEastAsia" w:hAnsiTheme="minorEastAsia" w:eastAsiaTheme="minorEastAsia" w:cstheme="minorEastAsia"/>
          <w:color w:val="000000"/>
          <w:sz w:val="24"/>
        </w:rPr>
        <w:t>有权扣当月运营费用（上限不超过当月运营费用的2%）；第二次被相关环保部门抽检排水水质不达标，根据实际情况，</w:t>
      </w:r>
      <w:r>
        <w:rPr>
          <w:rFonts w:hint="eastAsia" w:asciiTheme="minorEastAsia" w:hAnsiTheme="minorEastAsia" w:eastAsiaTheme="minorEastAsia" w:cstheme="minorEastAsia"/>
          <w:color w:val="000000"/>
          <w:sz w:val="24"/>
          <w:lang w:eastAsia="zh-CN"/>
        </w:rPr>
        <w:t>采购人</w:t>
      </w:r>
      <w:r>
        <w:rPr>
          <w:rFonts w:hint="eastAsia" w:asciiTheme="minorEastAsia" w:hAnsiTheme="minorEastAsia" w:eastAsiaTheme="minorEastAsia" w:cstheme="minorEastAsia"/>
          <w:color w:val="000000"/>
          <w:sz w:val="24"/>
        </w:rPr>
        <w:t>有权扣除当月运营费用（上限不超过当月运营费用的4%）。以此类推。当年抽检排水水质不达标达到五次及以上的，</w:t>
      </w:r>
      <w:r>
        <w:rPr>
          <w:rFonts w:hint="eastAsia" w:asciiTheme="minorEastAsia" w:hAnsiTheme="minorEastAsia" w:eastAsiaTheme="minorEastAsia" w:cstheme="minorEastAsia"/>
          <w:color w:val="000000"/>
          <w:sz w:val="24"/>
          <w:lang w:eastAsia="zh-CN"/>
        </w:rPr>
        <w:t>采购人</w:t>
      </w:r>
      <w:r>
        <w:rPr>
          <w:rFonts w:hint="eastAsia" w:asciiTheme="minorEastAsia" w:hAnsiTheme="minorEastAsia" w:eastAsiaTheme="minorEastAsia" w:cstheme="minorEastAsia"/>
          <w:color w:val="000000"/>
          <w:sz w:val="24"/>
        </w:rPr>
        <w:t>有权终止合同，因此造成的损失由</w:t>
      </w:r>
      <w:r>
        <w:rPr>
          <w:rFonts w:hint="eastAsia" w:asciiTheme="minorEastAsia" w:hAnsiTheme="minorEastAsia" w:eastAsiaTheme="minorEastAsia" w:cstheme="minorEastAsia"/>
          <w:color w:val="000000"/>
          <w:sz w:val="24"/>
          <w:lang w:eastAsia="zh-CN"/>
        </w:rPr>
        <w:t>供应商</w:t>
      </w:r>
      <w:r>
        <w:rPr>
          <w:rFonts w:hint="eastAsia" w:asciiTheme="minorEastAsia" w:hAnsiTheme="minorEastAsia" w:eastAsiaTheme="minorEastAsia" w:cstheme="minorEastAsia"/>
          <w:color w:val="000000"/>
          <w:sz w:val="24"/>
        </w:rPr>
        <w:t>承担（包括环保部门做出的处罚结果，一律由</w:t>
      </w:r>
      <w:r>
        <w:rPr>
          <w:rFonts w:hint="eastAsia" w:asciiTheme="minorEastAsia" w:hAnsiTheme="minorEastAsia" w:eastAsiaTheme="minorEastAsia" w:cstheme="minorEastAsia"/>
          <w:color w:val="000000"/>
          <w:sz w:val="24"/>
          <w:lang w:eastAsia="zh-CN"/>
        </w:rPr>
        <w:t>供应商</w:t>
      </w:r>
      <w:r>
        <w:rPr>
          <w:rFonts w:hint="eastAsia" w:asciiTheme="minorEastAsia" w:hAnsiTheme="minorEastAsia" w:eastAsiaTheme="minorEastAsia" w:cstheme="minorEastAsia"/>
          <w:color w:val="000000"/>
          <w:sz w:val="24"/>
        </w:rPr>
        <w:t>承担）。</w:t>
      </w:r>
    </w:p>
    <w:p>
      <w:pPr>
        <w:keepNext w:val="0"/>
        <w:keepLines w:val="0"/>
        <w:pageBreakBefore w:val="0"/>
        <w:kinsoku/>
        <w:wordWrap/>
        <w:overflowPunct/>
        <w:topLinePunct w:val="0"/>
        <w:bidi w:val="0"/>
        <w:adjustRightInd w:val="0"/>
        <w:snapToGrid w:val="0"/>
        <w:spacing w:line="360" w:lineRule="auto"/>
        <w:ind w:firstLine="482"/>
        <w:jc w:val="left"/>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lang w:val="en-US" w:eastAsia="zh-CN"/>
        </w:rPr>
        <w:t>2、</w:t>
      </w:r>
      <w:r>
        <w:rPr>
          <w:rFonts w:hint="eastAsia" w:asciiTheme="minorEastAsia" w:hAnsiTheme="minorEastAsia" w:eastAsiaTheme="minorEastAsia" w:cstheme="minorEastAsia"/>
          <w:color w:val="000000"/>
          <w:sz w:val="24"/>
          <w:lang w:eastAsia="zh-CN"/>
        </w:rPr>
        <w:t>采购人</w:t>
      </w:r>
      <w:r>
        <w:rPr>
          <w:rFonts w:hint="eastAsia" w:asciiTheme="minorEastAsia" w:hAnsiTheme="minorEastAsia" w:eastAsiaTheme="minorEastAsia" w:cstheme="minorEastAsia"/>
          <w:color w:val="000000"/>
          <w:sz w:val="24"/>
        </w:rPr>
        <w:t>在</w:t>
      </w:r>
      <w:r>
        <w:rPr>
          <w:rFonts w:hint="eastAsia" w:asciiTheme="minorEastAsia" w:hAnsiTheme="minorEastAsia" w:eastAsiaTheme="minorEastAsia" w:cstheme="minorEastAsia"/>
          <w:color w:val="000000"/>
          <w:sz w:val="24"/>
          <w:lang w:eastAsia="zh-CN"/>
        </w:rPr>
        <w:t>供应商</w:t>
      </w:r>
      <w:r>
        <w:rPr>
          <w:rFonts w:hint="eastAsia" w:asciiTheme="minorEastAsia" w:hAnsiTheme="minorEastAsia" w:eastAsiaTheme="minorEastAsia" w:cstheme="minorEastAsia"/>
          <w:color w:val="000000"/>
          <w:sz w:val="24"/>
        </w:rPr>
        <w:t>运营结束后，统计年平均日垃圾渗滤液处理达标排放量没有达到495吨/天（下浮幅度不超过10%）,当下浮幅度超过10%起，年平均日出水量每下降1%，</w:t>
      </w:r>
      <w:r>
        <w:rPr>
          <w:rFonts w:hint="eastAsia" w:asciiTheme="minorEastAsia" w:hAnsiTheme="minorEastAsia" w:eastAsiaTheme="minorEastAsia" w:cstheme="minorEastAsia"/>
          <w:color w:val="000000"/>
          <w:sz w:val="24"/>
          <w:lang w:eastAsia="zh-CN"/>
        </w:rPr>
        <w:t>采购人</w:t>
      </w:r>
      <w:r>
        <w:rPr>
          <w:rFonts w:hint="eastAsia" w:asciiTheme="minorEastAsia" w:hAnsiTheme="minorEastAsia" w:eastAsiaTheme="minorEastAsia" w:cstheme="minorEastAsia"/>
          <w:color w:val="000000"/>
          <w:sz w:val="24"/>
        </w:rPr>
        <w:t>有权在年运营费用中按下浮相应比率扣除经费；当年平均处理量下浮幅度超过20%（特殊情况除外，如干旱、垃圾渗滤液产生量少于合同规定处理量等自然原因造成的因素及个别长时间停电造成的人为因素除外），</w:t>
      </w:r>
      <w:r>
        <w:rPr>
          <w:rFonts w:hint="eastAsia" w:asciiTheme="minorEastAsia" w:hAnsiTheme="minorEastAsia" w:eastAsiaTheme="minorEastAsia" w:cstheme="minorEastAsia"/>
          <w:color w:val="000000"/>
          <w:sz w:val="24"/>
          <w:lang w:eastAsia="zh-CN"/>
        </w:rPr>
        <w:t>采购人</w:t>
      </w:r>
      <w:r>
        <w:rPr>
          <w:rFonts w:hint="eastAsia" w:asciiTheme="minorEastAsia" w:hAnsiTheme="minorEastAsia" w:eastAsiaTheme="minorEastAsia" w:cstheme="minorEastAsia"/>
          <w:color w:val="000000"/>
          <w:sz w:val="24"/>
        </w:rPr>
        <w:t>有权终止合同，因此造成的损失由</w:t>
      </w:r>
      <w:r>
        <w:rPr>
          <w:rFonts w:hint="eastAsia" w:asciiTheme="minorEastAsia" w:hAnsiTheme="minorEastAsia" w:eastAsiaTheme="minorEastAsia" w:cstheme="minorEastAsia"/>
          <w:color w:val="000000"/>
          <w:sz w:val="24"/>
          <w:lang w:eastAsia="zh-CN"/>
        </w:rPr>
        <w:t>供应商</w:t>
      </w:r>
      <w:r>
        <w:rPr>
          <w:rFonts w:hint="eastAsia" w:asciiTheme="minorEastAsia" w:hAnsiTheme="minorEastAsia" w:eastAsiaTheme="minorEastAsia" w:cstheme="minorEastAsia"/>
          <w:color w:val="000000"/>
          <w:sz w:val="24"/>
        </w:rPr>
        <w:t>承担。</w:t>
      </w:r>
    </w:p>
    <w:p>
      <w:pPr>
        <w:keepNext w:val="0"/>
        <w:keepLines w:val="0"/>
        <w:pageBreakBefore w:val="0"/>
        <w:kinsoku/>
        <w:wordWrap/>
        <w:overflowPunct/>
        <w:topLinePunct w:val="0"/>
        <w:bidi w:val="0"/>
        <w:adjustRightInd w:val="0"/>
        <w:snapToGrid w:val="0"/>
        <w:spacing w:line="360" w:lineRule="auto"/>
        <w:ind w:firstLine="482"/>
        <w:jc w:val="left"/>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lang w:val="en-US" w:eastAsia="zh-CN"/>
        </w:rPr>
        <w:t>3、</w:t>
      </w:r>
      <w:r>
        <w:rPr>
          <w:rFonts w:hint="eastAsia" w:asciiTheme="minorEastAsia" w:hAnsiTheme="minorEastAsia" w:eastAsiaTheme="minorEastAsia" w:cstheme="minorEastAsia"/>
          <w:color w:val="000000"/>
          <w:sz w:val="24"/>
        </w:rPr>
        <w:t>因</w:t>
      </w:r>
      <w:r>
        <w:rPr>
          <w:rFonts w:hint="eastAsia" w:asciiTheme="minorEastAsia" w:hAnsiTheme="minorEastAsia" w:eastAsiaTheme="minorEastAsia" w:cstheme="minorEastAsia"/>
          <w:color w:val="000000"/>
          <w:sz w:val="24"/>
          <w:lang w:eastAsia="zh-CN"/>
        </w:rPr>
        <w:t>供应商</w:t>
      </w:r>
      <w:r>
        <w:rPr>
          <w:rFonts w:hint="eastAsia" w:asciiTheme="minorEastAsia" w:hAnsiTheme="minorEastAsia" w:eastAsiaTheme="minorEastAsia" w:cstheme="minorEastAsia"/>
          <w:color w:val="000000"/>
          <w:sz w:val="24"/>
        </w:rPr>
        <w:t>的原因导致垃圾渗滤液处理厂不能正常运行的、出水水质不达标（极端天气等不可抗力除外），不能达到运营规模以及违反本合同约定的条款，</w:t>
      </w:r>
      <w:r>
        <w:rPr>
          <w:rFonts w:hint="eastAsia" w:asciiTheme="minorEastAsia" w:hAnsiTheme="minorEastAsia" w:eastAsiaTheme="minorEastAsia" w:cstheme="minorEastAsia"/>
          <w:color w:val="000000"/>
          <w:sz w:val="24"/>
          <w:lang w:eastAsia="zh-CN"/>
        </w:rPr>
        <w:t>采购人</w:t>
      </w:r>
      <w:r>
        <w:rPr>
          <w:rFonts w:hint="eastAsia" w:asciiTheme="minorEastAsia" w:hAnsiTheme="minorEastAsia" w:eastAsiaTheme="minorEastAsia" w:cstheme="minorEastAsia"/>
          <w:color w:val="000000"/>
          <w:sz w:val="24"/>
        </w:rPr>
        <w:t>有权停止支付运营费用并解除本合同，由此带来的损失由</w:t>
      </w:r>
      <w:r>
        <w:rPr>
          <w:rFonts w:hint="eastAsia" w:asciiTheme="minorEastAsia" w:hAnsiTheme="minorEastAsia" w:eastAsiaTheme="minorEastAsia" w:cstheme="minorEastAsia"/>
          <w:color w:val="000000"/>
          <w:sz w:val="24"/>
          <w:lang w:eastAsia="zh-CN"/>
        </w:rPr>
        <w:t>供应商</w:t>
      </w:r>
      <w:r>
        <w:rPr>
          <w:rFonts w:hint="eastAsia" w:asciiTheme="minorEastAsia" w:hAnsiTheme="minorEastAsia" w:eastAsiaTheme="minorEastAsia" w:cstheme="minorEastAsia"/>
          <w:color w:val="000000"/>
          <w:sz w:val="24"/>
        </w:rPr>
        <w:t>承担。</w:t>
      </w:r>
    </w:p>
    <w:p>
      <w:pPr>
        <w:keepNext w:val="0"/>
        <w:keepLines w:val="0"/>
        <w:pageBreakBefore w:val="0"/>
        <w:kinsoku/>
        <w:wordWrap/>
        <w:overflowPunct/>
        <w:topLinePunct w:val="0"/>
        <w:bidi w:val="0"/>
        <w:adjustRightInd w:val="0"/>
        <w:snapToGrid w:val="0"/>
        <w:spacing w:line="360" w:lineRule="auto"/>
        <w:ind w:firstLine="482"/>
        <w:jc w:val="left"/>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lang w:val="en-US" w:eastAsia="zh-CN"/>
        </w:rPr>
        <w:t>4、</w:t>
      </w:r>
      <w:r>
        <w:rPr>
          <w:rFonts w:hint="eastAsia" w:asciiTheme="minorEastAsia" w:hAnsiTheme="minorEastAsia" w:eastAsiaTheme="minorEastAsia" w:cstheme="minorEastAsia"/>
          <w:color w:val="000000"/>
          <w:sz w:val="24"/>
        </w:rPr>
        <w:t>在运行期间，因</w:t>
      </w:r>
      <w:r>
        <w:rPr>
          <w:rFonts w:hint="eastAsia" w:asciiTheme="minorEastAsia" w:hAnsiTheme="minorEastAsia" w:eastAsiaTheme="minorEastAsia" w:cstheme="minorEastAsia"/>
          <w:color w:val="000000"/>
          <w:sz w:val="24"/>
          <w:lang w:eastAsia="zh-CN"/>
        </w:rPr>
        <w:t>供应商</w:t>
      </w:r>
      <w:r>
        <w:rPr>
          <w:rFonts w:hint="eastAsia" w:asciiTheme="minorEastAsia" w:hAnsiTheme="minorEastAsia" w:eastAsiaTheme="minorEastAsia" w:cstheme="minorEastAsia"/>
          <w:color w:val="000000"/>
          <w:sz w:val="24"/>
        </w:rPr>
        <w:t>造成的安全生产事故及环境污染事件并由此造成的一切损失由</w:t>
      </w:r>
      <w:r>
        <w:rPr>
          <w:rFonts w:hint="eastAsia" w:asciiTheme="minorEastAsia" w:hAnsiTheme="minorEastAsia" w:eastAsiaTheme="minorEastAsia" w:cstheme="minorEastAsia"/>
          <w:color w:val="000000"/>
          <w:sz w:val="24"/>
          <w:lang w:eastAsia="zh-CN"/>
        </w:rPr>
        <w:t>供应商</w:t>
      </w:r>
      <w:r>
        <w:rPr>
          <w:rFonts w:hint="eastAsia" w:asciiTheme="minorEastAsia" w:hAnsiTheme="minorEastAsia" w:eastAsiaTheme="minorEastAsia" w:cstheme="minorEastAsia"/>
          <w:color w:val="000000"/>
          <w:sz w:val="24"/>
        </w:rPr>
        <w:t>承担。</w:t>
      </w:r>
    </w:p>
    <w:p>
      <w:pPr>
        <w:keepNext w:val="0"/>
        <w:keepLines w:val="0"/>
        <w:pageBreakBefore w:val="0"/>
        <w:kinsoku/>
        <w:wordWrap/>
        <w:overflowPunct/>
        <w:topLinePunct w:val="0"/>
        <w:bidi w:val="0"/>
        <w:adjustRightInd w:val="0"/>
        <w:snapToGrid w:val="0"/>
        <w:spacing w:line="360" w:lineRule="auto"/>
        <w:ind w:firstLine="482"/>
        <w:jc w:val="left"/>
        <w:rPr>
          <w:rFonts w:hint="eastAsia" w:asciiTheme="minorEastAsia" w:hAnsiTheme="minorEastAsia" w:eastAsiaTheme="minorEastAsia" w:cstheme="minorEastAsia"/>
          <w:b/>
          <w:bCs/>
          <w:color w:val="auto"/>
          <w:sz w:val="24"/>
        </w:rPr>
      </w:pPr>
      <w:r>
        <w:rPr>
          <w:rFonts w:hint="eastAsia" w:asciiTheme="minorEastAsia" w:hAnsiTheme="minorEastAsia" w:eastAsiaTheme="minorEastAsia" w:cstheme="minorEastAsia"/>
          <w:b/>
          <w:bCs/>
          <w:color w:val="000000"/>
          <w:sz w:val="24"/>
        </w:rPr>
        <w:t>5、▲临安区中转站渗滤液后期要运至本厂进行处理，采购方需要安装一套预处理设备，中转站渗滤液预处理设施建设安装调试时，中标供应商应无条件配合，后期不得以设备等问题要求</w:t>
      </w:r>
      <w:r>
        <w:rPr>
          <w:rFonts w:hint="eastAsia" w:asciiTheme="minorEastAsia" w:hAnsiTheme="minorEastAsia" w:eastAsiaTheme="minorEastAsia" w:cstheme="minorEastAsia"/>
          <w:b/>
          <w:bCs/>
          <w:color w:val="000000"/>
          <w:sz w:val="24"/>
          <w:lang w:val="en-US" w:eastAsia="zh-CN"/>
        </w:rPr>
        <w:t>采购人</w:t>
      </w:r>
      <w:r>
        <w:rPr>
          <w:rFonts w:hint="eastAsia" w:asciiTheme="minorEastAsia" w:hAnsiTheme="minorEastAsia" w:eastAsiaTheme="minorEastAsia" w:cstheme="minorEastAsia"/>
          <w:b/>
          <w:bCs/>
          <w:color w:val="000000"/>
          <w:sz w:val="24"/>
        </w:rPr>
        <w:t>另行</w:t>
      </w:r>
      <w:r>
        <w:rPr>
          <w:rFonts w:hint="eastAsia" w:asciiTheme="minorEastAsia" w:hAnsiTheme="minorEastAsia" w:eastAsiaTheme="minorEastAsia" w:cstheme="minorEastAsia"/>
          <w:b/>
          <w:bCs/>
          <w:color w:val="auto"/>
          <w:sz w:val="24"/>
        </w:rPr>
        <w:t>投资。（</w:t>
      </w:r>
      <w:r>
        <w:rPr>
          <w:rFonts w:hint="eastAsia" w:asciiTheme="minorEastAsia" w:hAnsiTheme="minorEastAsia" w:eastAsiaTheme="minorEastAsia" w:cstheme="minorEastAsia"/>
          <w:b/>
          <w:bCs/>
          <w:color w:val="auto"/>
          <w:sz w:val="24"/>
          <w:lang w:eastAsia="zh-CN"/>
        </w:rPr>
        <w:t>以上</w:t>
      </w:r>
      <w:r>
        <w:rPr>
          <w:rFonts w:hint="eastAsia" w:asciiTheme="minorEastAsia" w:hAnsiTheme="minorEastAsia" w:eastAsiaTheme="minorEastAsia" w:cstheme="minorEastAsia"/>
          <w:b/>
          <w:bCs/>
          <w:color w:val="auto"/>
          <w:sz w:val="24"/>
          <w:highlight w:val="none"/>
          <w:lang w:val="en-US" w:eastAsia="zh-CN"/>
        </w:rPr>
        <w:t>需在商务技术文件中提供相应内容的承诺，否则视为未响应</w:t>
      </w:r>
      <w:r>
        <w:rPr>
          <w:rFonts w:hint="eastAsia" w:asciiTheme="minorEastAsia" w:hAnsiTheme="minorEastAsia" w:eastAsiaTheme="minorEastAsia" w:cstheme="minorEastAsia"/>
          <w:b/>
          <w:bCs/>
          <w:color w:val="auto"/>
          <w:sz w:val="24"/>
          <w:lang w:eastAsia="zh-CN"/>
        </w:rPr>
        <w:t>）</w:t>
      </w:r>
      <w:r>
        <w:rPr>
          <w:rFonts w:hint="eastAsia" w:asciiTheme="minorEastAsia" w:hAnsiTheme="minorEastAsia" w:eastAsiaTheme="minorEastAsia" w:cstheme="minorEastAsia"/>
          <w:b/>
          <w:bCs/>
          <w:color w:val="auto"/>
          <w:sz w:val="24"/>
        </w:rPr>
        <w:t>。</w:t>
      </w:r>
    </w:p>
    <w:p>
      <w:pPr>
        <w:pStyle w:val="6"/>
        <w:keepNext w:val="0"/>
        <w:keepLines w:val="0"/>
        <w:pageBreakBefore w:val="0"/>
        <w:numPr>
          <w:ilvl w:val="0"/>
          <w:numId w:val="1"/>
        </w:numPr>
        <w:kinsoku/>
        <w:wordWrap/>
        <w:overflowPunct/>
        <w:topLinePunct w:val="0"/>
        <w:bidi w:val="0"/>
        <w:adjustRightInd w:val="0"/>
        <w:snapToGrid w:val="0"/>
        <w:spacing w:line="360" w:lineRule="auto"/>
        <w:rPr>
          <w:rFonts w:hint="eastAsia" w:asciiTheme="minorEastAsia" w:hAnsiTheme="minorEastAsia" w:eastAsiaTheme="minorEastAsia" w:cstheme="minorEastAsia"/>
          <w:b/>
          <w:bCs/>
          <w:snapToGrid/>
          <w:color w:val="auto"/>
          <w:kern w:val="2"/>
          <w:sz w:val="24"/>
          <w:szCs w:val="24"/>
          <w:lang w:val="en-US" w:eastAsia="zh-CN" w:bidi="ar-SA"/>
        </w:rPr>
      </w:pPr>
      <w:r>
        <w:rPr>
          <w:rFonts w:hint="eastAsia" w:asciiTheme="minorEastAsia" w:hAnsiTheme="minorEastAsia" w:eastAsiaTheme="minorEastAsia" w:cstheme="minorEastAsia"/>
          <w:b/>
          <w:bCs/>
          <w:snapToGrid/>
          <w:color w:val="auto"/>
          <w:kern w:val="2"/>
          <w:sz w:val="24"/>
          <w:szCs w:val="24"/>
          <w:lang w:val="en-US" w:eastAsia="zh-CN" w:bidi="ar-SA"/>
        </w:rPr>
        <w:t>付款方式</w:t>
      </w:r>
    </w:p>
    <w:p>
      <w:pPr>
        <w:numPr>
          <w:ilvl w:val="0"/>
          <w:numId w:val="0"/>
        </w:numPr>
        <w:wordWrap w:val="0"/>
        <w:spacing w:line="360" w:lineRule="auto"/>
        <w:ind w:firstLine="480" w:firstLineChars="200"/>
        <w:jc w:val="both"/>
        <w:rPr>
          <w:rFonts w:hint="eastAsia" w:asciiTheme="minorEastAsia" w:hAnsiTheme="minorEastAsia" w:eastAsiaTheme="minorEastAsia" w:cstheme="minorEastAsia"/>
          <w:color w:val="auto"/>
          <w:sz w:val="24"/>
        </w:rPr>
      </w:pPr>
      <w:r>
        <w:rPr>
          <w:rFonts w:hint="eastAsia" w:ascii="宋体" w:hAnsi="宋体" w:cs="宋体"/>
          <w:color w:val="auto"/>
          <w:sz w:val="24"/>
          <w:highlight w:val="none"/>
        </w:rPr>
        <w:t>分三年支付项目款项。合同生效后七个工作日内，预付</w:t>
      </w:r>
      <w:r>
        <w:rPr>
          <w:rFonts w:hint="eastAsia" w:ascii="宋体" w:hAnsi="宋体" w:cs="宋体"/>
          <w:color w:val="auto"/>
          <w:sz w:val="24"/>
          <w:highlight w:val="none"/>
          <w:lang w:eastAsia="zh-CN"/>
        </w:rPr>
        <w:t>年合同金额</w:t>
      </w:r>
      <w:r>
        <w:rPr>
          <w:rFonts w:hint="eastAsia" w:ascii="宋体" w:hAnsi="宋体" w:cs="宋体"/>
          <w:color w:val="auto"/>
          <w:sz w:val="24"/>
          <w:highlight w:val="none"/>
        </w:rPr>
        <w:t>的40%,后半年</w:t>
      </w:r>
      <w:r>
        <w:rPr>
          <w:rFonts w:hint="eastAsia" w:ascii="宋体" w:hAnsi="宋体" w:cs="宋体"/>
          <w:color w:val="auto"/>
          <w:sz w:val="24"/>
          <w:highlight w:val="none"/>
          <w:lang w:eastAsia="zh-CN"/>
        </w:rPr>
        <w:t>按照考核后</w:t>
      </w:r>
      <w:r>
        <w:rPr>
          <w:rFonts w:hint="eastAsia" w:ascii="宋体" w:hAnsi="宋体" w:cs="宋体"/>
          <w:color w:val="auto"/>
          <w:sz w:val="24"/>
          <w:highlight w:val="none"/>
        </w:rPr>
        <w:t>支付30%</w:t>
      </w:r>
      <w:r>
        <w:rPr>
          <w:rFonts w:hint="eastAsia" w:ascii="宋体" w:hAnsi="宋体" w:cs="宋体"/>
          <w:color w:val="auto"/>
          <w:sz w:val="24"/>
          <w:highlight w:val="none"/>
          <w:lang w:eastAsia="zh-CN"/>
        </w:rPr>
        <w:t>，年度履约完毕后，根据实际处理量及考核支付剩余款项</w:t>
      </w:r>
      <w:r>
        <w:rPr>
          <w:rFonts w:hint="eastAsia" w:ascii="宋体" w:hAnsi="宋体" w:cs="宋体"/>
          <w:color w:val="auto"/>
          <w:sz w:val="24"/>
          <w:highlight w:val="none"/>
        </w:rPr>
        <w:t>。在签订合同时,供应商明确表示无需预付款或者主动要求降低预付款比例的,采购单位可不适用前述规定。</w:t>
      </w:r>
    </w:p>
    <w:p>
      <w:pPr>
        <w:keepNext w:val="0"/>
        <w:keepLines w:val="0"/>
        <w:pageBreakBefore w:val="0"/>
        <w:numPr>
          <w:ilvl w:val="0"/>
          <w:numId w:val="1"/>
        </w:numPr>
        <w:kinsoku/>
        <w:wordWrap/>
        <w:overflowPunct/>
        <w:topLinePunct w:val="0"/>
        <w:autoSpaceDE w:val="0"/>
        <w:autoSpaceDN w:val="0"/>
        <w:bidi w:val="0"/>
        <w:adjustRightInd w:val="0"/>
        <w:snapToGrid w:val="0"/>
        <w:spacing w:line="360" w:lineRule="auto"/>
        <w:ind w:left="0" w:leftChars="0" w:firstLine="567" w:firstLineChars="0"/>
        <w:jc w:val="left"/>
        <w:rPr>
          <w:rFonts w:hint="eastAsia" w:asciiTheme="minorEastAsia" w:hAnsiTheme="minorEastAsia" w:eastAsiaTheme="minorEastAsia" w:cstheme="minorEastAsia"/>
          <w:b/>
          <w:bCs/>
          <w:snapToGrid/>
          <w:color w:val="auto"/>
          <w:kern w:val="2"/>
          <w:sz w:val="24"/>
          <w:szCs w:val="24"/>
          <w:lang w:val="en-US" w:eastAsia="zh-CN" w:bidi="ar-SA"/>
        </w:rPr>
      </w:pPr>
      <w:r>
        <w:rPr>
          <w:rFonts w:hint="eastAsia" w:asciiTheme="minorEastAsia" w:hAnsiTheme="minorEastAsia" w:eastAsiaTheme="minorEastAsia" w:cstheme="minorEastAsia"/>
          <w:b/>
          <w:bCs/>
          <w:snapToGrid/>
          <w:color w:val="auto"/>
          <w:kern w:val="2"/>
          <w:sz w:val="24"/>
          <w:szCs w:val="24"/>
          <w:lang w:val="en-US" w:eastAsia="zh-CN" w:bidi="ar-SA"/>
        </w:rPr>
        <w:t>其他事项</w:t>
      </w:r>
    </w:p>
    <w:p>
      <w:pPr>
        <w:keepNext w:val="0"/>
        <w:keepLines w:val="0"/>
        <w:pageBreakBefore w:val="0"/>
        <w:numPr>
          <w:ilvl w:val="0"/>
          <w:numId w:val="0"/>
        </w:numPr>
        <w:kinsoku/>
        <w:wordWrap/>
        <w:overflowPunct/>
        <w:topLinePunct w:val="0"/>
        <w:autoSpaceDE w:val="0"/>
        <w:autoSpaceDN w:val="0"/>
        <w:bidi w:val="0"/>
        <w:adjustRightInd w:val="0"/>
        <w:snapToGrid w:val="0"/>
        <w:spacing w:line="360" w:lineRule="auto"/>
        <w:ind w:firstLine="480" w:firstLineChars="200"/>
        <w:jc w:val="left"/>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lang w:val="en-US" w:eastAsia="zh-CN"/>
        </w:rPr>
        <w:t>1、</w:t>
      </w:r>
      <w:r>
        <w:rPr>
          <w:rFonts w:hint="eastAsia" w:asciiTheme="minorEastAsia" w:hAnsiTheme="minorEastAsia" w:eastAsiaTheme="minorEastAsia" w:cstheme="minorEastAsia"/>
          <w:color w:val="auto"/>
          <w:sz w:val="24"/>
        </w:rPr>
        <w:t>在委托运营期内，</w:t>
      </w:r>
      <w:r>
        <w:rPr>
          <w:rFonts w:hint="eastAsia" w:asciiTheme="minorEastAsia" w:hAnsiTheme="minorEastAsia" w:eastAsiaTheme="minorEastAsia" w:cstheme="minorEastAsia"/>
          <w:color w:val="auto"/>
          <w:sz w:val="24"/>
          <w:lang w:eastAsia="zh-CN"/>
        </w:rPr>
        <w:t>供应商</w:t>
      </w:r>
      <w:r>
        <w:rPr>
          <w:rFonts w:hint="eastAsia" w:asciiTheme="minorEastAsia" w:hAnsiTheme="minorEastAsia" w:eastAsiaTheme="minorEastAsia" w:cstheme="minorEastAsia"/>
          <w:color w:val="auto"/>
          <w:sz w:val="24"/>
        </w:rPr>
        <w:t>负责项目设施设备的管理、运行、维护、更新，保证正常运行，排放的水质符合GB16889-2008《生活垃圾填埋污染控制标准》的表3排放标准和环保部门对本填埋场的最新排放要求进行排放，且回用率不低于30%，严格按本合同要求的年平均日处理量550吨/天处理，年平均日排水量495吨（下浮幅度不超过10%）（结合实际进出水表记录量）</w:t>
      </w:r>
      <w:r>
        <w:rPr>
          <w:rFonts w:hint="eastAsia" w:asciiTheme="minorEastAsia" w:hAnsiTheme="minorEastAsia" w:eastAsiaTheme="minorEastAsia" w:cstheme="minorEastAsia"/>
          <w:color w:val="auto"/>
          <w:sz w:val="24"/>
          <w:lang w:eastAsia="zh-CN"/>
        </w:rPr>
        <w:t>，特殊情况除外</w:t>
      </w:r>
      <w:r>
        <w:rPr>
          <w:rFonts w:hint="eastAsia" w:asciiTheme="minorEastAsia" w:hAnsiTheme="minorEastAsia" w:eastAsiaTheme="minorEastAsia" w:cstheme="minorEastAsia"/>
          <w:color w:val="auto"/>
          <w:sz w:val="24"/>
        </w:rPr>
        <w:t>。</w:t>
      </w:r>
    </w:p>
    <w:p>
      <w:pPr>
        <w:keepNext w:val="0"/>
        <w:keepLines w:val="0"/>
        <w:pageBreakBefore w:val="0"/>
        <w:kinsoku/>
        <w:wordWrap/>
        <w:overflowPunct/>
        <w:topLinePunct w:val="0"/>
        <w:autoSpaceDE w:val="0"/>
        <w:autoSpaceDN w:val="0"/>
        <w:bidi w:val="0"/>
        <w:adjustRightInd w:val="0"/>
        <w:snapToGrid w:val="0"/>
        <w:spacing w:line="360" w:lineRule="auto"/>
        <w:ind w:firstLine="480" w:firstLineChars="200"/>
        <w:jc w:val="left"/>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lang w:val="en-US" w:eastAsia="zh-CN"/>
        </w:rPr>
        <w:t>2、</w:t>
      </w:r>
      <w:r>
        <w:rPr>
          <w:rFonts w:hint="eastAsia" w:asciiTheme="minorEastAsia" w:hAnsiTheme="minorEastAsia" w:eastAsiaTheme="minorEastAsia" w:cstheme="minorEastAsia"/>
          <w:color w:val="000000"/>
          <w:sz w:val="24"/>
          <w:lang w:eastAsia="zh-CN"/>
        </w:rPr>
        <w:t>供应商</w:t>
      </w:r>
      <w:r>
        <w:rPr>
          <w:rFonts w:hint="eastAsia" w:asciiTheme="minorEastAsia" w:hAnsiTheme="minorEastAsia" w:eastAsiaTheme="minorEastAsia" w:cstheme="minorEastAsia"/>
          <w:color w:val="000000"/>
          <w:sz w:val="24"/>
        </w:rPr>
        <w:t>在每月25日向</w:t>
      </w:r>
      <w:r>
        <w:rPr>
          <w:rFonts w:hint="eastAsia" w:asciiTheme="minorEastAsia" w:hAnsiTheme="minorEastAsia" w:eastAsiaTheme="minorEastAsia" w:cstheme="minorEastAsia"/>
          <w:color w:val="000000"/>
          <w:sz w:val="24"/>
          <w:lang w:eastAsia="zh-CN"/>
        </w:rPr>
        <w:t>采购人</w:t>
      </w:r>
      <w:r>
        <w:rPr>
          <w:rFonts w:hint="eastAsia" w:asciiTheme="minorEastAsia" w:hAnsiTheme="minorEastAsia" w:eastAsiaTheme="minorEastAsia" w:cstheme="minorEastAsia"/>
          <w:color w:val="000000"/>
          <w:sz w:val="24"/>
        </w:rPr>
        <w:t>出具一份上月份水质检测记录台帐（自检记录），具体数据包括但不限于:pH、色度、COD、氨氮、总氮。</w:t>
      </w:r>
    </w:p>
    <w:p>
      <w:pPr>
        <w:keepNext w:val="0"/>
        <w:keepLines w:val="0"/>
        <w:pageBreakBefore w:val="0"/>
        <w:kinsoku/>
        <w:wordWrap/>
        <w:overflowPunct/>
        <w:topLinePunct w:val="0"/>
        <w:autoSpaceDE w:val="0"/>
        <w:autoSpaceDN w:val="0"/>
        <w:bidi w:val="0"/>
        <w:adjustRightInd w:val="0"/>
        <w:snapToGrid w:val="0"/>
        <w:spacing w:line="360" w:lineRule="auto"/>
        <w:ind w:firstLine="480" w:firstLineChars="200"/>
        <w:jc w:val="left"/>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lang w:val="en-US" w:eastAsia="zh-CN"/>
        </w:rPr>
        <w:t>3、</w:t>
      </w:r>
      <w:r>
        <w:rPr>
          <w:rFonts w:hint="eastAsia" w:asciiTheme="minorEastAsia" w:hAnsiTheme="minorEastAsia" w:eastAsiaTheme="minorEastAsia" w:cstheme="minorEastAsia"/>
          <w:color w:val="000000"/>
          <w:sz w:val="24"/>
        </w:rPr>
        <w:t xml:space="preserve"> </w:t>
      </w:r>
      <w:r>
        <w:rPr>
          <w:rFonts w:hint="eastAsia" w:asciiTheme="minorEastAsia" w:hAnsiTheme="minorEastAsia" w:eastAsiaTheme="minorEastAsia" w:cstheme="minorEastAsia"/>
          <w:color w:val="000000"/>
          <w:sz w:val="24"/>
          <w:lang w:eastAsia="zh-CN"/>
        </w:rPr>
        <w:t>供应商</w:t>
      </w:r>
      <w:r>
        <w:rPr>
          <w:rFonts w:hint="eastAsia" w:asciiTheme="minorEastAsia" w:hAnsiTheme="minorEastAsia" w:eastAsiaTheme="minorEastAsia" w:cstheme="minorEastAsia"/>
          <w:color w:val="000000"/>
          <w:sz w:val="24"/>
        </w:rPr>
        <w:t>应如实填报运行登记表和每天实验室的检测数据的规范台帐，接受</w:t>
      </w:r>
      <w:r>
        <w:rPr>
          <w:rFonts w:hint="eastAsia" w:asciiTheme="minorEastAsia" w:hAnsiTheme="minorEastAsia" w:eastAsiaTheme="minorEastAsia" w:cstheme="minorEastAsia"/>
          <w:color w:val="000000"/>
          <w:sz w:val="24"/>
          <w:lang w:eastAsia="zh-CN"/>
        </w:rPr>
        <w:t>采购人</w:t>
      </w:r>
      <w:r>
        <w:rPr>
          <w:rFonts w:hint="eastAsia" w:asciiTheme="minorEastAsia" w:hAnsiTheme="minorEastAsia" w:eastAsiaTheme="minorEastAsia" w:cstheme="minorEastAsia"/>
          <w:color w:val="000000"/>
          <w:sz w:val="24"/>
        </w:rPr>
        <w:t>相关的职能部门监督检查，对</w:t>
      </w:r>
      <w:r>
        <w:rPr>
          <w:rFonts w:hint="eastAsia" w:asciiTheme="minorEastAsia" w:hAnsiTheme="minorEastAsia" w:eastAsiaTheme="minorEastAsia" w:cstheme="minorEastAsia"/>
          <w:color w:val="000000"/>
          <w:sz w:val="24"/>
          <w:lang w:eastAsia="zh-CN"/>
        </w:rPr>
        <w:t>采购人</w:t>
      </w:r>
      <w:r>
        <w:rPr>
          <w:rFonts w:hint="eastAsia" w:asciiTheme="minorEastAsia" w:hAnsiTheme="minorEastAsia" w:eastAsiaTheme="minorEastAsia" w:cstheme="minorEastAsia"/>
          <w:color w:val="000000"/>
          <w:sz w:val="24"/>
        </w:rPr>
        <w:t>或政府职能管理部门人员进厂提出的问题，</w:t>
      </w:r>
      <w:r>
        <w:rPr>
          <w:rFonts w:hint="eastAsia" w:asciiTheme="minorEastAsia" w:hAnsiTheme="minorEastAsia" w:eastAsiaTheme="minorEastAsia" w:cstheme="minorEastAsia"/>
          <w:color w:val="000000"/>
          <w:sz w:val="24"/>
          <w:lang w:eastAsia="zh-CN"/>
        </w:rPr>
        <w:t>供应商</w:t>
      </w:r>
      <w:r>
        <w:rPr>
          <w:rFonts w:hint="eastAsia" w:asciiTheme="minorEastAsia" w:hAnsiTheme="minorEastAsia" w:eastAsiaTheme="minorEastAsia" w:cstheme="minorEastAsia"/>
          <w:color w:val="000000"/>
          <w:sz w:val="24"/>
        </w:rPr>
        <w:t>如实讲解和回答，不得虚报实情。</w:t>
      </w:r>
    </w:p>
    <w:p>
      <w:pPr>
        <w:keepNext w:val="0"/>
        <w:keepLines w:val="0"/>
        <w:pageBreakBefore w:val="0"/>
        <w:kinsoku/>
        <w:wordWrap/>
        <w:overflowPunct/>
        <w:topLinePunct w:val="0"/>
        <w:autoSpaceDE w:val="0"/>
        <w:autoSpaceDN w:val="0"/>
        <w:bidi w:val="0"/>
        <w:adjustRightInd w:val="0"/>
        <w:snapToGrid w:val="0"/>
        <w:spacing w:line="360" w:lineRule="auto"/>
        <w:ind w:firstLine="480" w:firstLineChars="200"/>
        <w:jc w:val="left"/>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lang w:val="en-US" w:eastAsia="zh-CN"/>
        </w:rPr>
        <w:t>4、</w:t>
      </w:r>
      <w:r>
        <w:rPr>
          <w:rFonts w:hint="eastAsia" w:asciiTheme="minorEastAsia" w:hAnsiTheme="minorEastAsia" w:eastAsiaTheme="minorEastAsia" w:cstheme="minorEastAsia"/>
          <w:color w:val="000000"/>
          <w:sz w:val="24"/>
          <w:lang w:eastAsia="zh-CN"/>
        </w:rPr>
        <w:t>供应商</w:t>
      </w:r>
      <w:r>
        <w:rPr>
          <w:rFonts w:hint="eastAsia" w:asciiTheme="minorEastAsia" w:hAnsiTheme="minorEastAsia" w:eastAsiaTheme="minorEastAsia" w:cstheme="minorEastAsia"/>
          <w:color w:val="000000"/>
          <w:sz w:val="24"/>
        </w:rPr>
        <w:t>应向</w:t>
      </w:r>
      <w:r>
        <w:rPr>
          <w:rFonts w:hint="eastAsia" w:asciiTheme="minorEastAsia" w:hAnsiTheme="minorEastAsia" w:eastAsiaTheme="minorEastAsia" w:cstheme="minorEastAsia"/>
          <w:color w:val="000000"/>
          <w:sz w:val="24"/>
          <w:lang w:eastAsia="zh-CN"/>
        </w:rPr>
        <w:t>采购人</w:t>
      </w:r>
      <w:r>
        <w:rPr>
          <w:rFonts w:hint="eastAsia" w:asciiTheme="minorEastAsia" w:hAnsiTheme="minorEastAsia" w:eastAsiaTheme="minorEastAsia" w:cstheme="minorEastAsia"/>
          <w:color w:val="000000"/>
          <w:sz w:val="24"/>
        </w:rPr>
        <w:t>提供《渗滤液处理操作规程》，相关的科室制度应上墙，做好安全生产，并做好车间及生活区的卫生。</w:t>
      </w:r>
    </w:p>
    <w:p>
      <w:pPr>
        <w:keepNext w:val="0"/>
        <w:keepLines w:val="0"/>
        <w:pageBreakBefore w:val="0"/>
        <w:kinsoku/>
        <w:wordWrap/>
        <w:overflowPunct/>
        <w:topLinePunct w:val="0"/>
        <w:autoSpaceDE w:val="0"/>
        <w:autoSpaceDN w:val="0"/>
        <w:bidi w:val="0"/>
        <w:adjustRightInd w:val="0"/>
        <w:snapToGrid w:val="0"/>
        <w:spacing w:line="360" w:lineRule="auto"/>
        <w:ind w:firstLine="480" w:firstLineChars="200"/>
        <w:jc w:val="left"/>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lang w:val="en-US" w:eastAsia="zh-CN"/>
        </w:rPr>
        <w:t>5、</w:t>
      </w:r>
      <w:r>
        <w:rPr>
          <w:rFonts w:hint="eastAsia" w:asciiTheme="minorEastAsia" w:hAnsiTheme="minorEastAsia" w:eastAsiaTheme="minorEastAsia" w:cstheme="minorEastAsia"/>
          <w:color w:val="000000"/>
          <w:sz w:val="24"/>
          <w:lang w:eastAsia="zh-CN"/>
        </w:rPr>
        <w:t>采购人</w:t>
      </w:r>
      <w:r>
        <w:rPr>
          <w:rFonts w:hint="eastAsia" w:asciiTheme="minorEastAsia" w:hAnsiTheme="minorEastAsia" w:eastAsiaTheme="minorEastAsia" w:cstheme="minorEastAsia"/>
          <w:color w:val="000000"/>
          <w:sz w:val="24"/>
        </w:rPr>
        <w:t>协助垃圾渗滤液处理厂运营与当地相关行政部门、事业单位等的协调工作。</w:t>
      </w:r>
    </w:p>
    <w:p>
      <w:pPr>
        <w:keepNext w:val="0"/>
        <w:keepLines w:val="0"/>
        <w:pageBreakBefore w:val="0"/>
        <w:kinsoku/>
        <w:wordWrap/>
        <w:overflowPunct/>
        <w:topLinePunct w:val="0"/>
        <w:autoSpaceDE w:val="0"/>
        <w:autoSpaceDN w:val="0"/>
        <w:bidi w:val="0"/>
        <w:adjustRightInd w:val="0"/>
        <w:snapToGrid w:val="0"/>
        <w:spacing w:line="360" w:lineRule="auto"/>
        <w:ind w:firstLine="480" w:firstLineChars="200"/>
        <w:jc w:val="left"/>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lang w:val="en-US" w:eastAsia="zh-CN"/>
        </w:rPr>
        <w:t>6、</w:t>
      </w:r>
      <w:r>
        <w:rPr>
          <w:rFonts w:hint="eastAsia" w:asciiTheme="minorEastAsia" w:hAnsiTheme="minorEastAsia" w:eastAsiaTheme="minorEastAsia" w:cstheme="minorEastAsia"/>
          <w:color w:val="000000"/>
          <w:sz w:val="24"/>
        </w:rPr>
        <w:t xml:space="preserve"> </w:t>
      </w:r>
      <w:r>
        <w:rPr>
          <w:rFonts w:hint="eastAsia" w:asciiTheme="minorEastAsia" w:hAnsiTheme="minorEastAsia" w:eastAsiaTheme="minorEastAsia" w:cstheme="minorEastAsia"/>
          <w:color w:val="000000"/>
          <w:sz w:val="24"/>
          <w:lang w:eastAsia="zh-CN"/>
        </w:rPr>
        <w:t>采购人</w:t>
      </w:r>
      <w:r>
        <w:rPr>
          <w:rFonts w:hint="eastAsia" w:asciiTheme="minorEastAsia" w:hAnsiTheme="minorEastAsia" w:eastAsiaTheme="minorEastAsia" w:cstheme="minorEastAsia"/>
          <w:color w:val="000000"/>
          <w:sz w:val="24"/>
        </w:rPr>
        <w:t>或政府职能部门有权监督项目设施的运行和维护，有权检查生产记录、设备维护和常规检测指标的运营记录。但不得干涉、延误或干扰</w:t>
      </w:r>
      <w:r>
        <w:rPr>
          <w:rFonts w:hint="eastAsia" w:asciiTheme="minorEastAsia" w:hAnsiTheme="minorEastAsia" w:eastAsiaTheme="minorEastAsia" w:cstheme="minorEastAsia"/>
          <w:color w:val="000000"/>
          <w:sz w:val="24"/>
          <w:lang w:eastAsia="zh-CN"/>
        </w:rPr>
        <w:t>供应商</w:t>
      </w:r>
      <w:r>
        <w:rPr>
          <w:rFonts w:hint="eastAsia" w:asciiTheme="minorEastAsia" w:hAnsiTheme="minorEastAsia" w:eastAsiaTheme="minorEastAsia" w:cstheme="minorEastAsia"/>
          <w:color w:val="000000"/>
          <w:sz w:val="24"/>
        </w:rPr>
        <w:t>履行合同的权利和义务。</w:t>
      </w:r>
    </w:p>
    <w:p>
      <w:pPr>
        <w:keepNext w:val="0"/>
        <w:keepLines w:val="0"/>
        <w:pageBreakBefore w:val="0"/>
        <w:numPr>
          <w:ilvl w:val="0"/>
          <w:numId w:val="1"/>
        </w:numPr>
        <w:kinsoku/>
        <w:wordWrap/>
        <w:overflowPunct/>
        <w:topLinePunct w:val="0"/>
        <w:autoSpaceDE w:val="0"/>
        <w:autoSpaceDN w:val="0"/>
        <w:bidi w:val="0"/>
        <w:adjustRightInd w:val="0"/>
        <w:snapToGrid w:val="0"/>
        <w:spacing w:line="360" w:lineRule="auto"/>
        <w:ind w:left="0" w:leftChars="0" w:firstLine="567" w:firstLineChars="0"/>
        <w:jc w:val="left"/>
        <w:rPr>
          <w:rFonts w:hint="eastAsia" w:asciiTheme="minorEastAsia" w:hAnsiTheme="minorEastAsia" w:eastAsiaTheme="minorEastAsia" w:cstheme="minorEastAsia"/>
          <w:b/>
          <w:bCs/>
          <w:snapToGrid/>
          <w:color w:val="000000"/>
          <w:kern w:val="2"/>
          <w:sz w:val="24"/>
          <w:szCs w:val="24"/>
          <w:lang w:val="en-US" w:eastAsia="zh-CN" w:bidi="ar-SA"/>
        </w:rPr>
      </w:pPr>
      <w:r>
        <w:rPr>
          <w:rFonts w:hint="eastAsia" w:asciiTheme="minorEastAsia" w:hAnsiTheme="minorEastAsia" w:eastAsiaTheme="minorEastAsia" w:cstheme="minorEastAsia"/>
          <w:b/>
          <w:bCs/>
          <w:snapToGrid/>
          <w:color w:val="000000"/>
          <w:kern w:val="2"/>
          <w:sz w:val="24"/>
          <w:szCs w:val="24"/>
          <w:lang w:val="en-US" w:eastAsia="zh-CN" w:bidi="ar-SA"/>
        </w:rPr>
        <w:t>设备维护与应急处理</w:t>
      </w:r>
    </w:p>
    <w:p>
      <w:pPr>
        <w:keepNext w:val="0"/>
        <w:keepLines w:val="0"/>
        <w:pageBreakBefore w:val="0"/>
        <w:kinsoku/>
        <w:wordWrap/>
        <w:overflowPunct/>
        <w:topLinePunct w:val="0"/>
        <w:autoSpaceDE w:val="0"/>
        <w:autoSpaceDN w:val="0"/>
        <w:bidi w:val="0"/>
        <w:adjustRightInd w:val="0"/>
        <w:snapToGrid w:val="0"/>
        <w:spacing w:line="360" w:lineRule="auto"/>
        <w:ind w:firstLine="480" w:firstLineChars="200"/>
        <w:jc w:val="left"/>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lang w:val="en-US" w:eastAsia="zh-CN"/>
        </w:rPr>
        <w:t>1、</w:t>
      </w:r>
      <w:r>
        <w:rPr>
          <w:rFonts w:hint="eastAsia" w:asciiTheme="minorEastAsia" w:hAnsiTheme="minorEastAsia" w:eastAsiaTheme="minorEastAsia" w:cstheme="minorEastAsia"/>
          <w:color w:val="000000"/>
          <w:sz w:val="24"/>
        </w:rPr>
        <w:t>在运营期内，</w:t>
      </w:r>
      <w:r>
        <w:rPr>
          <w:rFonts w:hint="eastAsia" w:asciiTheme="minorEastAsia" w:hAnsiTheme="minorEastAsia" w:eastAsiaTheme="minorEastAsia" w:cstheme="minorEastAsia"/>
          <w:color w:val="000000"/>
          <w:sz w:val="24"/>
          <w:lang w:eastAsia="zh-CN"/>
        </w:rPr>
        <w:t>供应商</w:t>
      </w:r>
      <w:r>
        <w:rPr>
          <w:rFonts w:hint="eastAsia" w:asciiTheme="minorEastAsia" w:hAnsiTheme="minorEastAsia" w:eastAsiaTheme="minorEastAsia" w:cstheme="minorEastAsia"/>
          <w:color w:val="000000"/>
          <w:sz w:val="24"/>
        </w:rPr>
        <w:t>应合理安排检修、维护、更新，保证垃圾渗滤液处理厂正常运行。大修须停止运行的情况，</w:t>
      </w:r>
      <w:r>
        <w:rPr>
          <w:rFonts w:hint="eastAsia" w:asciiTheme="minorEastAsia" w:hAnsiTheme="minorEastAsia" w:eastAsiaTheme="minorEastAsia" w:cstheme="minorEastAsia"/>
          <w:color w:val="000000"/>
          <w:sz w:val="24"/>
          <w:lang w:eastAsia="zh-CN"/>
        </w:rPr>
        <w:t>供应商</w:t>
      </w:r>
      <w:r>
        <w:rPr>
          <w:rFonts w:hint="eastAsia" w:asciiTheme="minorEastAsia" w:hAnsiTheme="minorEastAsia" w:eastAsiaTheme="minorEastAsia" w:cstheme="minorEastAsia"/>
          <w:color w:val="000000"/>
          <w:sz w:val="24"/>
        </w:rPr>
        <w:t>须提前一周时间书面通知</w:t>
      </w:r>
      <w:r>
        <w:rPr>
          <w:rFonts w:hint="eastAsia" w:asciiTheme="minorEastAsia" w:hAnsiTheme="minorEastAsia" w:eastAsiaTheme="minorEastAsia" w:cstheme="minorEastAsia"/>
          <w:color w:val="000000"/>
          <w:sz w:val="24"/>
          <w:lang w:eastAsia="zh-CN"/>
        </w:rPr>
        <w:t>采购人</w:t>
      </w:r>
      <w:r>
        <w:rPr>
          <w:rFonts w:hint="eastAsia" w:asciiTheme="minorEastAsia" w:hAnsiTheme="minorEastAsia" w:eastAsiaTheme="minorEastAsia" w:cstheme="minorEastAsia"/>
          <w:color w:val="000000"/>
          <w:sz w:val="24"/>
        </w:rPr>
        <w:t>（如遇突发性事故而必须停止运行大修的，</w:t>
      </w:r>
      <w:r>
        <w:rPr>
          <w:rFonts w:hint="eastAsia" w:asciiTheme="minorEastAsia" w:hAnsiTheme="minorEastAsia" w:eastAsiaTheme="minorEastAsia" w:cstheme="minorEastAsia"/>
          <w:color w:val="000000"/>
          <w:sz w:val="24"/>
          <w:lang w:eastAsia="zh-CN"/>
        </w:rPr>
        <w:t>供应商</w:t>
      </w:r>
      <w:r>
        <w:rPr>
          <w:rFonts w:hint="eastAsia" w:asciiTheme="minorEastAsia" w:hAnsiTheme="minorEastAsia" w:eastAsiaTheme="minorEastAsia" w:cstheme="minorEastAsia"/>
          <w:color w:val="000000"/>
          <w:sz w:val="24"/>
        </w:rPr>
        <w:t>须立即通知</w:t>
      </w:r>
      <w:r>
        <w:rPr>
          <w:rFonts w:hint="eastAsia" w:asciiTheme="minorEastAsia" w:hAnsiTheme="minorEastAsia" w:eastAsiaTheme="minorEastAsia" w:cstheme="minorEastAsia"/>
          <w:color w:val="000000"/>
          <w:sz w:val="24"/>
          <w:lang w:eastAsia="zh-CN"/>
        </w:rPr>
        <w:t>采购人</w:t>
      </w:r>
      <w:r>
        <w:rPr>
          <w:rFonts w:hint="eastAsia" w:asciiTheme="minorEastAsia" w:hAnsiTheme="minorEastAsia" w:eastAsiaTheme="minorEastAsia" w:cstheme="minorEastAsia"/>
          <w:color w:val="000000"/>
          <w:sz w:val="24"/>
        </w:rPr>
        <w:t>），经</w:t>
      </w:r>
      <w:r>
        <w:rPr>
          <w:rFonts w:hint="eastAsia" w:asciiTheme="minorEastAsia" w:hAnsiTheme="minorEastAsia" w:eastAsiaTheme="minorEastAsia" w:cstheme="minorEastAsia"/>
          <w:color w:val="000000"/>
          <w:sz w:val="24"/>
          <w:lang w:eastAsia="zh-CN"/>
        </w:rPr>
        <w:t>采购人</w:t>
      </w:r>
      <w:r>
        <w:rPr>
          <w:rFonts w:hint="eastAsia" w:asciiTheme="minorEastAsia" w:hAnsiTheme="minorEastAsia" w:eastAsiaTheme="minorEastAsia" w:cstheme="minorEastAsia"/>
          <w:color w:val="000000"/>
          <w:sz w:val="24"/>
        </w:rPr>
        <w:t>批准后全力展开维护、维修工作。</w:t>
      </w:r>
    </w:p>
    <w:p>
      <w:pPr>
        <w:keepNext w:val="0"/>
        <w:keepLines w:val="0"/>
        <w:pageBreakBefore w:val="0"/>
        <w:kinsoku/>
        <w:wordWrap/>
        <w:overflowPunct/>
        <w:topLinePunct w:val="0"/>
        <w:bidi w:val="0"/>
        <w:adjustRightInd w:val="0"/>
        <w:snapToGrid w:val="0"/>
        <w:spacing w:line="360" w:lineRule="auto"/>
        <w:ind w:firstLine="480" w:firstLineChars="200"/>
        <w:jc w:val="left"/>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lang w:val="en-US" w:eastAsia="zh-CN"/>
        </w:rPr>
        <w:t>2、</w:t>
      </w:r>
      <w:r>
        <w:rPr>
          <w:rFonts w:hint="eastAsia" w:asciiTheme="minorEastAsia" w:hAnsiTheme="minorEastAsia" w:eastAsiaTheme="minorEastAsia" w:cstheme="minorEastAsia"/>
          <w:color w:val="000000"/>
          <w:sz w:val="24"/>
        </w:rPr>
        <w:t>若遇不可抗力因素造成的蓄水池超警戒水位，</w:t>
      </w:r>
      <w:r>
        <w:rPr>
          <w:rFonts w:hint="eastAsia" w:asciiTheme="minorEastAsia" w:hAnsiTheme="minorEastAsia" w:eastAsiaTheme="minorEastAsia" w:cstheme="minorEastAsia"/>
          <w:color w:val="000000"/>
          <w:sz w:val="24"/>
          <w:lang w:eastAsia="zh-CN"/>
        </w:rPr>
        <w:t>供应商</w:t>
      </w:r>
      <w:r>
        <w:rPr>
          <w:rFonts w:hint="eastAsia" w:asciiTheme="minorEastAsia" w:hAnsiTheme="minorEastAsia" w:eastAsiaTheme="minorEastAsia" w:cstheme="minorEastAsia"/>
          <w:color w:val="000000"/>
          <w:sz w:val="24"/>
        </w:rPr>
        <w:t>应立即启动应急预案，</w:t>
      </w:r>
      <w:r>
        <w:rPr>
          <w:rFonts w:hint="eastAsia" w:asciiTheme="minorEastAsia" w:hAnsiTheme="minorEastAsia" w:eastAsiaTheme="minorEastAsia" w:cstheme="minorEastAsia"/>
          <w:color w:val="000000"/>
          <w:sz w:val="24"/>
          <w:lang w:eastAsia="zh-CN"/>
        </w:rPr>
        <w:t>采购人</w:t>
      </w:r>
      <w:r>
        <w:rPr>
          <w:rFonts w:hint="eastAsia" w:asciiTheme="minorEastAsia" w:hAnsiTheme="minorEastAsia" w:eastAsiaTheme="minorEastAsia" w:cstheme="minorEastAsia"/>
          <w:color w:val="000000"/>
          <w:sz w:val="24"/>
        </w:rPr>
        <w:t>有责任和义务协助</w:t>
      </w:r>
      <w:r>
        <w:rPr>
          <w:rFonts w:hint="eastAsia" w:asciiTheme="minorEastAsia" w:hAnsiTheme="minorEastAsia" w:eastAsiaTheme="minorEastAsia" w:cstheme="minorEastAsia"/>
          <w:color w:val="000000"/>
          <w:sz w:val="24"/>
          <w:lang w:eastAsia="zh-CN"/>
        </w:rPr>
        <w:t>供应商</w:t>
      </w:r>
      <w:r>
        <w:rPr>
          <w:rFonts w:hint="eastAsia" w:asciiTheme="minorEastAsia" w:hAnsiTheme="minorEastAsia" w:eastAsiaTheme="minorEastAsia" w:cstheme="minorEastAsia"/>
          <w:color w:val="000000"/>
          <w:sz w:val="24"/>
        </w:rPr>
        <w:t>启动应急预案，加大水处理量及提供别的应急措施，保障相应设施及周边环境安全。</w:t>
      </w:r>
    </w:p>
    <w:p>
      <w:pPr>
        <w:keepNext w:val="0"/>
        <w:keepLines w:val="0"/>
        <w:pageBreakBefore w:val="0"/>
        <w:kinsoku/>
        <w:wordWrap/>
        <w:overflowPunct/>
        <w:topLinePunct w:val="0"/>
        <w:bidi w:val="0"/>
        <w:adjustRightInd w:val="0"/>
        <w:snapToGrid w:val="0"/>
        <w:spacing w:line="360" w:lineRule="auto"/>
        <w:ind w:firstLine="480" w:firstLineChars="200"/>
        <w:jc w:val="left"/>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000000"/>
          <w:sz w:val="24"/>
          <w:lang w:val="en-US" w:eastAsia="zh-CN"/>
        </w:rPr>
        <w:t>3、</w:t>
      </w:r>
      <w:r>
        <w:rPr>
          <w:rFonts w:hint="eastAsia" w:asciiTheme="minorEastAsia" w:hAnsiTheme="minorEastAsia" w:eastAsiaTheme="minorEastAsia" w:cstheme="minorEastAsia"/>
          <w:color w:val="000000"/>
          <w:sz w:val="24"/>
        </w:rPr>
        <w:t>非甲乙双方人为原因或因电路检修致供电线路中断的，</w:t>
      </w:r>
      <w:r>
        <w:rPr>
          <w:rFonts w:hint="eastAsia" w:asciiTheme="minorEastAsia" w:hAnsiTheme="minorEastAsia" w:eastAsiaTheme="minorEastAsia" w:cstheme="minorEastAsia"/>
          <w:color w:val="000000"/>
          <w:sz w:val="24"/>
          <w:lang w:eastAsia="zh-CN"/>
        </w:rPr>
        <w:t>采购人</w:t>
      </w:r>
      <w:r>
        <w:rPr>
          <w:rFonts w:hint="eastAsia" w:asciiTheme="minorEastAsia" w:hAnsiTheme="minorEastAsia" w:eastAsiaTheme="minorEastAsia" w:cstheme="minorEastAsia"/>
          <w:color w:val="000000"/>
          <w:sz w:val="24"/>
        </w:rPr>
        <w:t>负责协调电力部门抢修。停电连续超</w:t>
      </w:r>
      <w:r>
        <w:rPr>
          <w:rFonts w:hint="eastAsia" w:asciiTheme="minorEastAsia" w:hAnsiTheme="minorEastAsia" w:eastAsiaTheme="minorEastAsia" w:cstheme="minorEastAsia"/>
          <w:color w:val="auto"/>
          <w:sz w:val="24"/>
        </w:rPr>
        <w:t>过72小时的，</w:t>
      </w:r>
      <w:r>
        <w:rPr>
          <w:rFonts w:hint="eastAsia" w:asciiTheme="minorEastAsia" w:hAnsiTheme="minorEastAsia" w:eastAsiaTheme="minorEastAsia" w:cstheme="minorEastAsia"/>
          <w:color w:val="auto"/>
          <w:sz w:val="24"/>
          <w:lang w:eastAsia="zh-CN"/>
        </w:rPr>
        <w:t>供应商</w:t>
      </w:r>
      <w:r>
        <w:rPr>
          <w:rFonts w:hint="eastAsia" w:asciiTheme="minorEastAsia" w:hAnsiTheme="minorEastAsia" w:eastAsiaTheme="minorEastAsia" w:cstheme="minorEastAsia"/>
          <w:color w:val="auto"/>
          <w:sz w:val="24"/>
        </w:rPr>
        <w:t>应及时启动限制措施。</w:t>
      </w:r>
    </w:p>
    <w:p>
      <w:pPr>
        <w:keepNext w:val="0"/>
        <w:keepLines w:val="0"/>
        <w:pageBreakBefore w:val="0"/>
        <w:numPr>
          <w:ilvl w:val="0"/>
          <w:numId w:val="1"/>
        </w:numPr>
        <w:kinsoku/>
        <w:wordWrap/>
        <w:overflowPunct/>
        <w:topLinePunct w:val="0"/>
        <w:autoSpaceDE w:val="0"/>
        <w:autoSpaceDN w:val="0"/>
        <w:bidi w:val="0"/>
        <w:adjustRightInd w:val="0"/>
        <w:snapToGrid w:val="0"/>
        <w:spacing w:line="360" w:lineRule="auto"/>
        <w:ind w:left="0" w:leftChars="0" w:firstLine="567" w:firstLineChars="0"/>
        <w:jc w:val="left"/>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b/>
          <w:bCs/>
          <w:snapToGrid/>
          <w:color w:val="auto"/>
          <w:kern w:val="2"/>
          <w:sz w:val="24"/>
          <w:szCs w:val="24"/>
          <w:lang w:val="en-US" w:eastAsia="zh-CN" w:bidi="ar-SA"/>
        </w:rPr>
        <w:t>其他要求</w:t>
      </w:r>
    </w:p>
    <w:p>
      <w:pPr>
        <w:keepNext w:val="0"/>
        <w:keepLines w:val="0"/>
        <w:pageBreakBefore w:val="0"/>
        <w:numPr>
          <w:ilvl w:val="0"/>
          <w:numId w:val="0"/>
        </w:numPr>
        <w:kinsoku/>
        <w:wordWrap/>
        <w:overflowPunct/>
        <w:topLinePunct w:val="0"/>
        <w:autoSpaceDE w:val="0"/>
        <w:autoSpaceDN w:val="0"/>
        <w:bidi w:val="0"/>
        <w:adjustRightInd w:val="0"/>
        <w:snapToGrid w:val="0"/>
        <w:spacing w:line="360" w:lineRule="auto"/>
        <w:ind w:firstLine="480" w:firstLineChars="200"/>
        <w:jc w:val="left"/>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lang w:val="en-US" w:eastAsia="zh-CN"/>
        </w:rPr>
        <w:t>1、</w:t>
      </w:r>
      <w:r>
        <w:rPr>
          <w:rFonts w:hint="eastAsia" w:asciiTheme="minorEastAsia" w:hAnsiTheme="minorEastAsia" w:eastAsiaTheme="minorEastAsia" w:cstheme="minorEastAsia"/>
          <w:color w:val="auto"/>
          <w:sz w:val="24"/>
        </w:rPr>
        <w:t>履约</w:t>
      </w:r>
      <w:r>
        <w:rPr>
          <w:rFonts w:hint="eastAsia" w:asciiTheme="minorEastAsia" w:hAnsiTheme="minorEastAsia" w:eastAsiaTheme="minorEastAsia" w:cstheme="minorEastAsia"/>
          <w:color w:val="auto"/>
          <w:sz w:val="24"/>
          <w:szCs w:val="24"/>
        </w:rPr>
        <w:t>保证金：合同签订后7个工作日内以支票、汇票、本票或者金融机构、担保机构出具的保函等非现金形式，提交履约保证金；鼓励和支持乙方以银行、保险公司出具的保函形式提供履约保证，乙方以银行、保险公司出具保函形式提交履约保证金的，甲方不得拒收</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履约保证金的比例为合同金额的</w:t>
      </w:r>
      <w:r>
        <w:rPr>
          <w:rFonts w:hint="eastAsia" w:asciiTheme="minorEastAsia" w:hAnsiTheme="minorEastAsia" w:eastAsiaTheme="minorEastAsia" w:cstheme="minorEastAsia"/>
          <w:color w:val="auto"/>
          <w:sz w:val="24"/>
          <w:szCs w:val="24"/>
          <w:lang w:val="en-US" w:eastAsia="zh-CN"/>
        </w:rPr>
        <w:t>1</w:t>
      </w: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sz w:val="24"/>
          <w:szCs w:val="24"/>
          <w:lang w:val="en-US" w:eastAsia="zh-CN"/>
        </w:rPr>
        <w:t>。</w:t>
      </w:r>
    </w:p>
    <w:p>
      <w:pPr>
        <w:keepNext w:val="0"/>
        <w:keepLines w:val="0"/>
        <w:pageBreakBefore w:val="0"/>
        <w:tabs>
          <w:tab w:val="left" w:pos="7560"/>
        </w:tabs>
        <w:kinsoku/>
        <w:wordWrap/>
        <w:overflowPunct/>
        <w:topLinePunct w:val="0"/>
        <w:bidi w:val="0"/>
        <w:adjustRightInd w:val="0"/>
        <w:snapToGrid w:val="0"/>
        <w:spacing w:line="360" w:lineRule="auto"/>
        <w:ind w:firstLine="470" w:firstLineChars="196"/>
        <w:jc w:val="left"/>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lang w:val="en-US" w:eastAsia="zh-CN"/>
        </w:rPr>
        <w:t>2、</w:t>
      </w:r>
      <w:r>
        <w:rPr>
          <w:rFonts w:hint="eastAsia" w:asciiTheme="minorEastAsia" w:hAnsiTheme="minorEastAsia" w:eastAsiaTheme="minorEastAsia" w:cstheme="minorEastAsia"/>
          <w:color w:val="000000"/>
          <w:sz w:val="24"/>
        </w:rPr>
        <w:t>投标人中标后，除本招标文件已写明的情况外，如果有其他不按规定与采购人签订合同或者签订合同后不履行其投标承诺或者其它由于中标人自身原因等造成无法履行合同的，均视为中标人违约，采购人将取消其中标资格，如果已经签订合同的则合同自动解除，且中标人还要承担相应的法律责任。给采购人造成损失的，还必须进行赔偿。</w:t>
      </w:r>
    </w:p>
    <w:p>
      <w:pPr>
        <w:keepNext w:val="0"/>
        <w:keepLines w:val="0"/>
        <w:pageBreakBefore w:val="0"/>
        <w:tabs>
          <w:tab w:val="left" w:pos="7560"/>
        </w:tabs>
        <w:kinsoku/>
        <w:wordWrap/>
        <w:overflowPunct/>
        <w:topLinePunct w:val="0"/>
        <w:bidi w:val="0"/>
        <w:adjustRightInd w:val="0"/>
        <w:snapToGrid w:val="0"/>
        <w:spacing w:line="360" w:lineRule="auto"/>
        <w:ind w:firstLine="470" w:firstLineChars="196"/>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sz w:val="24"/>
          <w:lang w:val="en-US" w:eastAsia="zh-CN"/>
        </w:rPr>
        <w:t>3、</w:t>
      </w:r>
      <w:r>
        <w:rPr>
          <w:rFonts w:hint="eastAsia" w:asciiTheme="minorEastAsia" w:hAnsiTheme="minorEastAsia" w:eastAsiaTheme="minorEastAsia" w:cstheme="minorEastAsia"/>
          <w:sz w:val="24"/>
        </w:rPr>
        <w:t>本项目预算费用包含三年设备耗材更新费用，合同期内，设备耗材更新不再产生额外费用。中标方在更换设备时必须将设备品牌、型号等报</w:t>
      </w:r>
      <w:r>
        <w:rPr>
          <w:rFonts w:hint="eastAsia" w:asciiTheme="minorEastAsia" w:hAnsiTheme="minorEastAsia" w:eastAsiaTheme="minorEastAsia" w:cstheme="minorEastAsia"/>
          <w:sz w:val="24"/>
          <w:lang w:eastAsia="zh-CN"/>
        </w:rPr>
        <w:t>采购人</w:t>
      </w:r>
      <w:r>
        <w:rPr>
          <w:rFonts w:hint="eastAsia" w:asciiTheme="minorEastAsia" w:hAnsiTheme="minorEastAsia" w:eastAsiaTheme="minorEastAsia" w:cstheme="minorEastAsia"/>
          <w:sz w:val="24"/>
        </w:rPr>
        <w:t>批准同意后方可更换</w:t>
      </w:r>
      <w:r>
        <w:rPr>
          <w:rFonts w:hint="eastAsia" w:asciiTheme="minorEastAsia" w:hAnsiTheme="minorEastAsia" w:eastAsiaTheme="minorEastAsia" w:cstheme="minorEastAsia"/>
          <w:color w:val="auto"/>
          <w:sz w:val="24"/>
          <w:highlight w:val="none"/>
          <w:lang w:eastAsia="zh-CN"/>
        </w:rPr>
        <w:t>，所有更换下来的设备归采购方所有</w:t>
      </w:r>
      <w:r>
        <w:rPr>
          <w:rFonts w:hint="eastAsia" w:asciiTheme="minorEastAsia" w:hAnsiTheme="minorEastAsia" w:eastAsiaTheme="minorEastAsia" w:cstheme="minorEastAsia"/>
          <w:color w:val="auto"/>
          <w:sz w:val="24"/>
          <w:highlight w:val="none"/>
        </w:rPr>
        <w:t>。</w:t>
      </w:r>
    </w:p>
    <w:p>
      <w:pPr>
        <w:tabs>
          <w:tab w:val="left" w:pos="7560"/>
        </w:tabs>
        <w:snapToGrid w:val="0"/>
        <w:spacing w:line="360" w:lineRule="auto"/>
        <w:ind w:firstLine="470" w:firstLineChars="196"/>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val="en-US" w:eastAsia="zh-CN"/>
        </w:rPr>
        <w:t>4、</w:t>
      </w:r>
      <w:r>
        <w:rPr>
          <w:rFonts w:hint="eastAsia" w:asciiTheme="minorEastAsia" w:hAnsiTheme="minorEastAsia" w:eastAsiaTheme="minorEastAsia" w:cstheme="minorEastAsia"/>
          <w:color w:val="auto"/>
          <w:sz w:val="24"/>
          <w:highlight w:val="none"/>
        </w:rPr>
        <w:t>本项目作为省重点排污单位，合同签订后2天内完成交接，3天内设备调试完毕后要求开始正常排水，之后进入试运营30天，试运营期间，渗滤液（含浓缩液）处理量、排放量、出水水质连续30天达到《生活垃圾填埋污染控制标准》GB16889-2008的表3标准和《城市污水再生利用 城市杂用水水质》（GB/T 18920-2020）中道路冲洗、绿植灌溉标准）（以第三方检测结果为准），视为考核通过，费用正常支付。</w:t>
      </w:r>
    </w:p>
    <w:p>
      <w:pPr>
        <w:keepNext w:val="0"/>
        <w:keepLines w:val="0"/>
        <w:pageBreakBefore w:val="0"/>
        <w:widowControl/>
        <w:kinsoku/>
        <w:wordWrap/>
        <w:overflowPunct/>
        <w:topLinePunct w:val="0"/>
        <w:bidi w:val="0"/>
        <w:adjustRightInd w:val="0"/>
        <w:snapToGrid w:val="0"/>
        <w:spacing w:line="360" w:lineRule="auto"/>
        <w:ind w:firstLine="480" w:firstLineChars="200"/>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若中标方在试运营期间，渗滤液（含浓缩液）处理量、排放量、出水水质未达标或未能连续30天达到《生活垃圾填埋污染控制标准》GB16889-2008的表3标准和《城市污水再生利用 城市杂用水水质》（GB/T 18920-2020）中道路冲洗、绿植灌溉标准）的（以第三方检测结果为准），采购方不支付运营期间所有费用并有权解除合同，扣除全部履约保证金，由此给采购方造成的二次招标费、咨询费、期间渗滤液处置费、应急费等所有费用由中标方负责，由此造成的渗滤液外溢等事故（若有）产生的行政处罚由中标方负责，事故给项目周边生态环境及相关主体造成损害或损失的，中标方必须承担赔偿责任。</w:t>
      </w:r>
    </w:p>
    <w:p>
      <w:pPr>
        <w:keepNext w:val="0"/>
        <w:keepLines w:val="0"/>
        <w:pageBreakBefore w:val="0"/>
        <w:tabs>
          <w:tab w:val="left" w:pos="7560"/>
        </w:tabs>
        <w:kinsoku/>
        <w:wordWrap/>
        <w:overflowPunct/>
        <w:topLinePunct w:val="0"/>
        <w:bidi w:val="0"/>
        <w:adjustRightInd w:val="0"/>
        <w:snapToGrid w:val="0"/>
        <w:spacing w:line="360" w:lineRule="auto"/>
        <w:ind w:firstLine="470" w:firstLineChars="196"/>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试运营期间，</w:t>
      </w:r>
      <w:r>
        <w:rPr>
          <w:rFonts w:hint="eastAsia" w:asciiTheme="minorEastAsia" w:hAnsiTheme="minorEastAsia" w:eastAsiaTheme="minorEastAsia" w:cstheme="minorEastAsia"/>
          <w:color w:val="auto"/>
          <w:sz w:val="24"/>
          <w:highlight w:val="none"/>
          <w:lang w:eastAsia="zh-CN"/>
        </w:rPr>
        <w:t>供应商</w:t>
      </w:r>
      <w:r>
        <w:rPr>
          <w:rFonts w:hint="eastAsia" w:asciiTheme="minorEastAsia" w:hAnsiTheme="minorEastAsia" w:eastAsiaTheme="minorEastAsia" w:cstheme="minorEastAsia"/>
          <w:color w:val="auto"/>
          <w:sz w:val="24"/>
          <w:highlight w:val="none"/>
        </w:rPr>
        <w:t>须保证</w:t>
      </w:r>
      <w:r>
        <w:rPr>
          <w:rFonts w:hint="eastAsia" w:asciiTheme="minorEastAsia" w:hAnsiTheme="minorEastAsia" w:eastAsiaTheme="minorEastAsia" w:cstheme="minorEastAsia"/>
          <w:color w:val="auto"/>
          <w:sz w:val="24"/>
          <w:highlight w:val="none"/>
          <w:lang w:eastAsia="zh-CN"/>
        </w:rPr>
        <w:t>采购人</w:t>
      </w:r>
      <w:r>
        <w:rPr>
          <w:rFonts w:hint="eastAsia" w:asciiTheme="minorEastAsia" w:hAnsiTheme="minorEastAsia" w:eastAsiaTheme="minorEastAsia" w:cstheme="minorEastAsia"/>
          <w:color w:val="auto"/>
          <w:sz w:val="24"/>
          <w:highlight w:val="none"/>
        </w:rPr>
        <w:t>设备完好无损，如因</w:t>
      </w:r>
      <w:r>
        <w:rPr>
          <w:rFonts w:hint="eastAsia" w:asciiTheme="minorEastAsia" w:hAnsiTheme="minorEastAsia" w:eastAsiaTheme="minorEastAsia" w:cstheme="minorEastAsia"/>
          <w:color w:val="auto"/>
          <w:sz w:val="24"/>
          <w:highlight w:val="none"/>
          <w:lang w:eastAsia="zh-CN"/>
        </w:rPr>
        <w:t>供应商</w:t>
      </w:r>
      <w:r>
        <w:rPr>
          <w:rFonts w:hint="eastAsia" w:asciiTheme="minorEastAsia" w:hAnsiTheme="minorEastAsia" w:eastAsiaTheme="minorEastAsia" w:cstheme="minorEastAsia"/>
          <w:color w:val="auto"/>
          <w:sz w:val="24"/>
          <w:highlight w:val="none"/>
        </w:rPr>
        <w:t>原因导致</w:t>
      </w:r>
      <w:r>
        <w:rPr>
          <w:rFonts w:hint="eastAsia" w:asciiTheme="minorEastAsia" w:hAnsiTheme="minorEastAsia" w:eastAsiaTheme="minorEastAsia" w:cstheme="minorEastAsia"/>
          <w:color w:val="auto"/>
          <w:sz w:val="24"/>
          <w:highlight w:val="none"/>
          <w:lang w:eastAsia="zh-CN"/>
        </w:rPr>
        <w:t>采购人</w:t>
      </w:r>
      <w:r>
        <w:rPr>
          <w:rFonts w:hint="eastAsia" w:asciiTheme="minorEastAsia" w:hAnsiTheme="minorEastAsia" w:eastAsiaTheme="minorEastAsia" w:cstheme="minorEastAsia"/>
          <w:color w:val="auto"/>
          <w:sz w:val="24"/>
          <w:highlight w:val="none"/>
        </w:rPr>
        <w:t>设备损坏的，由</w:t>
      </w:r>
      <w:r>
        <w:rPr>
          <w:rFonts w:hint="eastAsia" w:asciiTheme="minorEastAsia" w:hAnsiTheme="minorEastAsia" w:eastAsiaTheme="minorEastAsia" w:cstheme="minorEastAsia"/>
          <w:color w:val="auto"/>
          <w:sz w:val="24"/>
          <w:highlight w:val="none"/>
          <w:lang w:eastAsia="zh-CN"/>
        </w:rPr>
        <w:t>供应商</w:t>
      </w:r>
      <w:r>
        <w:rPr>
          <w:rFonts w:hint="eastAsia" w:asciiTheme="minorEastAsia" w:hAnsiTheme="minorEastAsia" w:eastAsiaTheme="minorEastAsia" w:cstheme="minorEastAsia"/>
          <w:color w:val="auto"/>
          <w:sz w:val="24"/>
          <w:highlight w:val="none"/>
        </w:rPr>
        <w:t>照价赔偿。</w:t>
      </w:r>
    </w:p>
    <w:p>
      <w:pPr>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5、考核要求：日常运营按照《临安区山牛坞渗滤液处理厂考核细则》考核扣分并扣款。</w:t>
      </w:r>
    </w:p>
    <w:p>
      <w:pPr>
        <w:pStyle w:val="6"/>
        <w:spacing w:line="360" w:lineRule="auto"/>
        <w:ind w:firstLine="482" w:firstLineChars="200"/>
        <w:rPr>
          <w:rFonts w:hint="eastAsia" w:asciiTheme="minorEastAsia" w:hAnsiTheme="minorEastAsia" w:eastAsiaTheme="minorEastAsia" w:cstheme="minorEastAsia"/>
          <w:b/>
          <w:bCs/>
          <w:snapToGrid/>
          <w:kern w:val="2"/>
          <w:sz w:val="24"/>
          <w:szCs w:val="24"/>
          <w:lang w:eastAsia="zh-CN"/>
        </w:rPr>
      </w:pPr>
      <w:r>
        <w:rPr>
          <w:rFonts w:hint="eastAsia" w:asciiTheme="minorEastAsia" w:hAnsiTheme="minorEastAsia" w:eastAsiaTheme="minorEastAsia" w:cstheme="minorEastAsia"/>
          <w:b/>
          <w:bCs/>
          <w:snapToGrid/>
          <w:color w:val="auto"/>
          <w:kern w:val="2"/>
          <w:sz w:val="24"/>
          <w:szCs w:val="24"/>
          <w:highlight w:val="none"/>
          <w:lang w:val="en-US" w:eastAsia="zh-CN"/>
        </w:rPr>
        <w:t>6</w:t>
      </w:r>
      <w:r>
        <w:rPr>
          <w:rFonts w:hint="eastAsia" w:asciiTheme="minorEastAsia" w:hAnsiTheme="minorEastAsia" w:eastAsiaTheme="minorEastAsia" w:cstheme="minorEastAsia"/>
          <w:b/>
          <w:bCs/>
          <w:snapToGrid/>
          <w:color w:val="auto"/>
          <w:kern w:val="2"/>
          <w:sz w:val="24"/>
          <w:szCs w:val="24"/>
          <w:highlight w:val="none"/>
        </w:rPr>
        <w:t>、</w:t>
      </w:r>
      <w:r>
        <w:rPr>
          <w:rFonts w:hint="eastAsia" w:asciiTheme="minorEastAsia" w:hAnsiTheme="minorEastAsia" w:eastAsiaTheme="minorEastAsia" w:cstheme="minorEastAsia"/>
          <w:b/>
          <w:bCs/>
          <w:snapToGrid/>
          <w:color w:val="auto"/>
          <w:kern w:val="2"/>
          <w:sz w:val="24"/>
          <w:szCs w:val="24"/>
          <w:highlight w:val="none"/>
          <w:lang w:eastAsia="zh-CN"/>
        </w:rPr>
        <w:t>特别说明：因本次招标延期导致上一家运营单位超期服务的，超出部分处理费用由新中标单位按照本次招标中标价格支付给上一家运营单位。上一轮运营</w:t>
      </w:r>
      <w:r>
        <w:rPr>
          <w:rFonts w:hint="eastAsia" w:asciiTheme="minorEastAsia" w:hAnsiTheme="minorEastAsia" w:eastAsiaTheme="minorEastAsia" w:cstheme="minorEastAsia"/>
          <w:b/>
          <w:bCs/>
          <w:snapToGrid/>
          <w:kern w:val="2"/>
          <w:sz w:val="24"/>
          <w:szCs w:val="24"/>
          <w:lang w:eastAsia="zh-CN"/>
        </w:rPr>
        <w:t>服务期至2024年3月15日。</w:t>
      </w:r>
    </w:p>
    <w:p>
      <w:pPr>
        <w:jc w:val="center"/>
        <w:rPr>
          <w:b/>
          <w:sz w:val="28"/>
          <w:szCs w:val="28"/>
        </w:rPr>
      </w:pPr>
      <w:r>
        <w:rPr>
          <w:rFonts w:hint="eastAsia"/>
          <w:b/>
          <w:sz w:val="28"/>
          <w:szCs w:val="28"/>
        </w:rPr>
        <w:t>临安区山牛坞渗滤液处理厂考核细则</w:t>
      </w:r>
    </w:p>
    <w:tbl>
      <w:tblPr>
        <w:tblStyle w:val="6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1"/>
        <w:gridCol w:w="872"/>
        <w:gridCol w:w="4838"/>
        <w:gridCol w:w="29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 w:hRule="atLeast"/>
        </w:trPr>
        <w:tc>
          <w:tcPr>
            <w:tcW w:w="368" w:type="pct"/>
            <w:vMerge w:val="restart"/>
            <w:tcBorders>
              <w:bottom w:val="single" w:color="auto" w:sz="4" w:space="0"/>
              <w:right w:val="single" w:color="auto" w:sz="4" w:space="0"/>
            </w:tcBorders>
            <w:noWrap/>
            <w:vAlign w:val="center"/>
          </w:tcPr>
          <w:p>
            <w:pPr>
              <w:spacing w:line="320" w:lineRule="exact"/>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一、污染监控（44分）</w:t>
            </w:r>
          </w:p>
        </w:tc>
        <w:tc>
          <w:tcPr>
            <w:tcW w:w="515" w:type="pct"/>
            <w:vMerge w:val="restart"/>
            <w:tcBorders>
              <w:left w:val="single" w:color="auto" w:sz="4" w:space="0"/>
              <w:bottom w:val="single" w:color="auto" w:sz="4" w:space="0"/>
              <w:right w:val="single" w:color="auto" w:sz="4" w:space="0"/>
            </w:tcBorders>
            <w:noWrap/>
            <w:vAlign w:val="center"/>
          </w:tcPr>
          <w:p>
            <w:pPr>
              <w:spacing w:line="320" w:lineRule="exact"/>
              <w:rPr>
                <w:rFonts w:ascii="宋体" w:hAnsi="宋体"/>
                <w:color w:val="auto"/>
              </w:rPr>
            </w:pPr>
            <w:r>
              <w:rPr>
                <w:rFonts w:hint="eastAsia" w:ascii="宋体" w:hAnsi="宋体"/>
                <w:color w:val="auto"/>
              </w:rPr>
              <w:t>1、渗滤液处理（20分）</w:t>
            </w:r>
          </w:p>
        </w:tc>
        <w:tc>
          <w:tcPr>
            <w:tcW w:w="2518" w:type="pct"/>
            <w:tcBorders>
              <w:left w:val="single" w:color="auto" w:sz="4" w:space="0"/>
              <w:bottom w:val="single" w:color="auto" w:sz="4" w:space="0"/>
              <w:right w:val="single" w:color="auto" w:sz="4" w:space="0"/>
            </w:tcBorders>
            <w:noWrap/>
          </w:tcPr>
          <w:p>
            <w:pPr>
              <w:rPr>
                <w:rFonts w:ascii="宋体" w:hAnsi="宋体"/>
                <w:color w:val="auto"/>
              </w:rPr>
            </w:pPr>
            <w:r>
              <w:rPr>
                <w:rFonts w:hint="eastAsia" w:ascii="宋体" w:hAnsi="宋体"/>
                <w:color w:val="auto"/>
              </w:rPr>
              <w:t>渗滤液处理后出水水质应满足《生活垃圾填埋场污染控制标准》（ GB16889-2008）表3标准及《城市污水再生利用 城市杂用水水质》（GB/T 18920-2020）标准的相关规定。</w:t>
            </w:r>
          </w:p>
        </w:tc>
        <w:tc>
          <w:tcPr>
            <w:tcW w:w="1599" w:type="pct"/>
            <w:tcBorders>
              <w:left w:val="single" w:color="auto" w:sz="4" w:space="0"/>
              <w:bottom w:val="single" w:color="auto" w:sz="4" w:space="0"/>
            </w:tcBorders>
            <w:noWrap/>
          </w:tcPr>
          <w:p>
            <w:pPr>
              <w:spacing w:line="320" w:lineRule="exact"/>
              <w:jc w:val="left"/>
              <w:rPr>
                <w:rFonts w:ascii="宋体" w:hAnsi="宋体"/>
                <w:color w:val="auto"/>
              </w:rPr>
            </w:pPr>
            <w:r>
              <w:rPr>
                <w:rFonts w:hint="eastAsia" w:ascii="宋体" w:hAnsi="宋体"/>
                <w:color w:val="auto"/>
              </w:rPr>
              <w:t>渗滤液出水水质及回用水水质检测发现指标超标的，每次每个指标扣1分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68" w:type="pct"/>
            <w:vMerge w:val="continue"/>
            <w:tcBorders>
              <w:top w:val="nil"/>
              <w:bottom w:val="single" w:color="auto" w:sz="4" w:space="0"/>
              <w:right w:val="single" w:color="auto" w:sz="4" w:space="0"/>
            </w:tcBorders>
            <w:noWrap/>
            <w:vAlign w:val="center"/>
          </w:tcPr>
          <w:p>
            <w:pPr>
              <w:widowControl/>
              <w:jc w:val="left"/>
              <w:rPr>
                <w:rFonts w:ascii="宋体" w:hAnsi="宋体"/>
                <w:color w:val="000000" w:themeColor="text1"/>
                <w14:textFill>
                  <w14:solidFill>
                    <w14:schemeClr w14:val="tx1"/>
                  </w14:solidFill>
                </w14:textFill>
              </w:rPr>
            </w:pPr>
          </w:p>
        </w:tc>
        <w:tc>
          <w:tcPr>
            <w:tcW w:w="515" w:type="pct"/>
            <w:vMerge w:val="continue"/>
            <w:tcBorders>
              <w:top w:val="nil"/>
              <w:left w:val="single" w:color="auto" w:sz="4" w:space="0"/>
              <w:bottom w:val="single" w:color="auto" w:sz="4" w:space="0"/>
              <w:right w:val="single" w:color="auto" w:sz="4" w:space="0"/>
            </w:tcBorders>
            <w:noWrap/>
            <w:vAlign w:val="center"/>
          </w:tcPr>
          <w:p>
            <w:pPr>
              <w:widowControl/>
              <w:jc w:val="left"/>
              <w:rPr>
                <w:rFonts w:ascii="宋体" w:hAnsi="宋体"/>
                <w:color w:val="auto"/>
              </w:rPr>
            </w:pPr>
          </w:p>
        </w:tc>
        <w:tc>
          <w:tcPr>
            <w:tcW w:w="2518" w:type="pct"/>
            <w:tcBorders>
              <w:top w:val="single" w:color="auto" w:sz="4" w:space="0"/>
              <w:left w:val="single" w:color="auto" w:sz="4" w:space="0"/>
              <w:bottom w:val="single" w:color="auto" w:sz="4" w:space="0"/>
              <w:right w:val="single" w:color="auto" w:sz="4" w:space="0"/>
            </w:tcBorders>
            <w:noWrap/>
            <w:vAlign w:val="center"/>
          </w:tcPr>
          <w:p>
            <w:pPr>
              <w:rPr>
                <w:rFonts w:ascii="宋体" w:hAnsi="宋体"/>
                <w:color w:val="auto"/>
              </w:rPr>
            </w:pPr>
            <w:r>
              <w:rPr>
                <w:rFonts w:hint="eastAsia" w:ascii="宋体" w:hAnsi="宋体"/>
                <w:color w:val="auto"/>
              </w:rPr>
              <w:t>渗滤液未经批准处理不得直接排入城市污水管网。</w:t>
            </w:r>
          </w:p>
        </w:tc>
        <w:tc>
          <w:tcPr>
            <w:tcW w:w="1599" w:type="pct"/>
            <w:tcBorders>
              <w:top w:val="single" w:color="auto" w:sz="4" w:space="0"/>
              <w:left w:val="single" w:color="auto" w:sz="4" w:space="0"/>
              <w:bottom w:val="single" w:color="auto" w:sz="4" w:space="0"/>
            </w:tcBorders>
            <w:noWrap/>
          </w:tcPr>
          <w:p>
            <w:pPr>
              <w:spacing w:line="320" w:lineRule="exact"/>
              <w:jc w:val="left"/>
              <w:rPr>
                <w:rFonts w:ascii="宋体" w:hAnsi="宋体"/>
                <w:color w:val="auto"/>
              </w:rPr>
            </w:pPr>
            <w:r>
              <w:rPr>
                <w:rFonts w:hint="eastAsia" w:ascii="宋体" w:hAnsi="宋体"/>
                <w:color w:val="auto"/>
              </w:rPr>
              <w:t>未经批准将渗滤液直接排入城市污水管网的，每次扣5分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368" w:type="pct"/>
            <w:vMerge w:val="continue"/>
            <w:tcBorders>
              <w:top w:val="nil"/>
              <w:bottom w:val="single" w:color="auto" w:sz="4" w:space="0"/>
              <w:right w:val="single" w:color="auto" w:sz="4" w:space="0"/>
            </w:tcBorders>
            <w:noWrap/>
            <w:vAlign w:val="center"/>
          </w:tcPr>
          <w:p>
            <w:pPr>
              <w:widowControl/>
              <w:jc w:val="left"/>
              <w:rPr>
                <w:rFonts w:ascii="宋体" w:hAnsi="宋体"/>
                <w:color w:val="000000" w:themeColor="text1"/>
                <w14:textFill>
                  <w14:solidFill>
                    <w14:schemeClr w14:val="tx1"/>
                  </w14:solidFill>
                </w14:textFill>
              </w:rPr>
            </w:pPr>
          </w:p>
        </w:tc>
        <w:tc>
          <w:tcPr>
            <w:tcW w:w="515" w:type="pct"/>
            <w:vMerge w:val="continue"/>
            <w:tcBorders>
              <w:top w:val="nil"/>
              <w:left w:val="single" w:color="auto" w:sz="4" w:space="0"/>
              <w:bottom w:val="single" w:color="auto" w:sz="4" w:space="0"/>
              <w:right w:val="single" w:color="auto" w:sz="4" w:space="0"/>
            </w:tcBorders>
            <w:noWrap/>
            <w:vAlign w:val="center"/>
          </w:tcPr>
          <w:p>
            <w:pPr>
              <w:widowControl/>
              <w:jc w:val="left"/>
              <w:rPr>
                <w:rFonts w:ascii="宋体" w:hAnsi="宋体"/>
                <w:color w:val="auto"/>
              </w:rPr>
            </w:pPr>
          </w:p>
        </w:tc>
        <w:tc>
          <w:tcPr>
            <w:tcW w:w="2518" w:type="pct"/>
            <w:tcBorders>
              <w:top w:val="single" w:color="auto" w:sz="4" w:space="0"/>
              <w:left w:val="single" w:color="auto" w:sz="4" w:space="0"/>
              <w:bottom w:val="single" w:color="auto" w:sz="4" w:space="0"/>
              <w:right w:val="single" w:color="auto" w:sz="4" w:space="0"/>
            </w:tcBorders>
            <w:noWrap/>
            <w:vAlign w:val="center"/>
          </w:tcPr>
          <w:p>
            <w:pPr>
              <w:spacing w:line="320" w:lineRule="exact"/>
              <w:rPr>
                <w:rFonts w:ascii="宋体" w:hAnsi="宋体"/>
                <w:color w:val="auto"/>
              </w:rPr>
            </w:pPr>
            <w:r>
              <w:rPr>
                <w:rFonts w:hint="eastAsia" w:ascii="宋体" w:hAnsi="宋体"/>
                <w:color w:val="auto"/>
              </w:rPr>
              <w:t>未经批准不得接纳来本填埋场之外项目的垃圾渗滤液。</w:t>
            </w:r>
          </w:p>
        </w:tc>
        <w:tc>
          <w:tcPr>
            <w:tcW w:w="1599" w:type="pct"/>
            <w:tcBorders>
              <w:top w:val="single" w:color="auto" w:sz="4" w:space="0"/>
              <w:left w:val="single" w:color="auto" w:sz="4" w:space="0"/>
              <w:bottom w:val="single" w:color="auto" w:sz="4" w:space="0"/>
            </w:tcBorders>
            <w:noWrap/>
          </w:tcPr>
          <w:p>
            <w:pPr>
              <w:spacing w:line="320" w:lineRule="exact"/>
              <w:jc w:val="left"/>
              <w:rPr>
                <w:rFonts w:ascii="宋体" w:hAnsi="宋体"/>
                <w:color w:val="auto"/>
              </w:rPr>
            </w:pPr>
            <w:r>
              <w:rPr>
                <w:rFonts w:hint="eastAsia" w:ascii="宋体" w:hAnsi="宋体"/>
                <w:color w:val="auto"/>
              </w:rPr>
              <w:t>未经批准擅自接纳本填埋场之外的垃圾渗滤液，每次扣5分。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9" w:hRule="atLeast"/>
        </w:trPr>
        <w:tc>
          <w:tcPr>
            <w:tcW w:w="368" w:type="pct"/>
            <w:vMerge w:val="continue"/>
            <w:tcBorders>
              <w:top w:val="nil"/>
              <w:bottom w:val="single" w:color="auto" w:sz="4" w:space="0"/>
              <w:right w:val="single" w:color="auto" w:sz="4" w:space="0"/>
            </w:tcBorders>
            <w:noWrap/>
            <w:vAlign w:val="center"/>
          </w:tcPr>
          <w:p>
            <w:pPr>
              <w:widowControl/>
              <w:jc w:val="left"/>
              <w:rPr>
                <w:rFonts w:ascii="宋体" w:hAnsi="宋体"/>
                <w:color w:val="000000" w:themeColor="text1"/>
                <w14:textFill>
                  <w14:solidFill>
                    <w14:schemeClr w14:val="tx1"/>
                  </w14:solidFill>
                </w14:textFill>
              </w:rPr>
            </w:pPr>
          </w:p>
        </w:tc>
        <w:tc>
          <w:tcPr>
            <w:tcW w:w="515" w:type="pct"/>
            <w:tcBorders>
              <w:top w:val="single" w:color="auto" w:sz="4" w:space="0"/>
              <w:left w:val="single" w:color="auto" w:sz="4" w:space="0"/>
              <w:bottom w:val="single" w:color="auto" w:sz="4" w:space="0"/>
              <w:right w:val="single" w:color="auto" w:sz="4" w:space="0"/>
            </w:tcBorders>
            <w:noWrap/>
            <w:vAlign w:val="center"/>
          </w:tcPr>
          <w:p>
            <w:pPr>
              <w:spacing w:line="320" w:lineRule="exact"/>
              <w:rPr>
                <w:rFonts w:ascii="宋体" w:hAnsi="宋体"/>
                <w:color w:val="auto"/>
              </w:rPr>
            </w:pPr>
            <w:r>
              <w:rPr>
                <w:rFonts w:hint="eastAsia" w:ascii="宋体" w:hAnsi="宋体"/>
                <w:color w:val="auto"/>
              </w:rPr>
              <w:t>2、污泥处置（9分）</w:t>
            </w:r>
          </w:p>
        </w:tc>
        <w:tc>
          <w:tcPr>
            <w:tcW w:w="2518" w:type="pct"/>
            <w:tcBorders>
              <w:top w:val="single" w:color="auto" w:sz="4" w:space="0"/>
              <w:left w:val="single" w:color="auto" w:sz="4" w:space="0"/>
              <w:bottom w:val="single" w:color="auto" w:sz="4" w:space="0"/>
              <w:right w:val="single" w:color="auto" w:sz="4" w:space="0"/>
            </w:tcBorders>
            <w:noWrap/>
            <w:vAlign w:val="center"/>
          </w:tcPr>
          <w:p>
            <w:pPr>
              <w:spacing w:line="320" w:lineRule="exact"/>
              <w:rPr>
                <w:rFonts w:ascii="宋体" w:hAnsi="宋体"/>
                <w:color w:val="auto"/>
              </w:rPr>
            </w:pPr>
            <w:r>
              <w:rPr>
                <w:rFonts w:hint="eastAsia" w:ascii="宋体" w:hAnsi="宋体"/>
                <w:color w:val="auto"/>
              </w:rPr>
              <w:t>污泥处置应符合本项目环评要求，经脱水后，运营单位自行外运处置。另外，本项目产生的污泥应根据《固体废物鉴别导则》进行危险废物判别，如属于危险废物，运营单位应及时自行委托有相关资质的单位回收处置，不得在现场贮存。</w:t>
            </w:r>
          </w:p>
        </w:tc>
        <w:tc>
          <w:tcPr>
            <w:tcW w:w="1599" w:type="pct"/>
            <w:tcBorders>
              <w:top w:val="single" w:color="auto" w:sz="4" w:space="0"/>
              <w:left w:val="single" w:color="auto" w:sz="4" w:space="0"/>
              <w:bottom w:val="single" w:color="auto" w:sz="4" w:space="0"/>
            </w:tcBorders>
            <w:noWrap/>
          </w:tcPr>
          <w:p>
            <w:pPr>
              <w:spacing w:line="320" w:lineRule="exact"/>
              <w:jc w:val="left"/>
              <w:rPr>
                <w:rFonts w:ascii="宋体" w:hAnsi="宋体"/>
                <w:color w:val="auto"/>
              </w:rPr>
            </w:pPr>
            <w:r>
              <w:rPr>
                <w:rFonts w:hint="eastAsia" w:ascii="宋体" w:hAnsi="宋体"/>
                <w:color w:val="auto"/>
              </w:rPr>
              <w:t>未有效收集污泥的，每次扣1分；</w:t>
            </w:r>
          </w:p>
          <w:p>
            <w:pPr>
              <w:spacing w:line="320" w:lineRule="exact"/>
              <w:jc w:val="left"/>
              <w:rPr>
                <w:rFonts w:hint="eastAsia" w:ascii="宋体" w:hAnsi="宋体"/>
                <w:color w:val="auto"/>
              </w:rPr>
            </w:pPr>
            <w:r>
              <w:rPr>
                <w:rFonts w:hint="eastAsia" w:ascii="宋体" w:hAnsi="宋体"/>
                <w:color w:val="auto"/>
              </w:rPr>
              <w:t>污泥未妥善处置的，每次扣3分；</w:t>
            </w:r>
          </w:p>
          <w:p>
            <w:pPr>
              <w:pStyle w:val="2"/>
              <w:rPr>
                <w:rFonts w:ascii="宋体" w:hAnsi="宋体"/>
                <w:color w:val="auto"/>
              </w:rPr>
            </w:pPr>
            <w:r>
              <w:rPr>
                <w:rFonts w:hint="eastAsia" w:ascii="宋体" w:hAnsi="宋体"/>
                <w:color w:val="auto"/>
              </w:rPr>
              <w:t>产生的污泥如被判为危废的，但未及时进行处置的，现场贮存量每超过1吨扣9分。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68" w:type="pct"/>
            <w:vMerge w:val="continue"/>
            <w:tcBorders>
              <w:top w:val="nil"/>
              <w:bottom w:val="single" w:color="auto" w:sz="4" w:space="0"/>
              <w:right w:val="single" w:color="auto" w:sz="4" w:space="0"/>
            </w:tcBorders>
            <w:noWrap/>
            <w:vAlign w:val="center"/>
          </w:tcPr>
          <w:p>
            <w:pPr>
              <w:widowControl/>
              <w:jc w:val="left"/>
              <w:rPr>
                <w:rFonts w:ascii="宋体" w:hAnsi="宋体"/>
                <w:color w:val="000000" w:themeColor="text1"/>
                <w14:textFill>
                  <w14:solidFill>
                    <w14:schemeClr w14:val="tx1"/>
                  </w14:solidFill>
                </w14:textFill>
              </w:rPr>
            </w:pPr>
          </w:p>
        </w:tc>
        <w:tc>
          <w:tcPr>
            <w:tcW w:w="515" w:type="pct"/>
            <w:tcBorders>
              <w:top w:val="single" w:color="auto" w:sz="4" w:space="0"/>
              <w:left w:val="single" w:color="auto" w:sz="4" w:space="0"/>
              <w:bottom w:val="single" w:color="auto" w:sz="4" w:space="0"/>
              <w:right w:val="single" w:color="auto" w:sz="4" w:space="0"/>
            </w:tcBorders>
            <w:noWrap/>
            <w:vAlign w:val="center"/>
          </w:tcPr>
          <w:p>
            <w:pPr>
              <w:spacing w:line="320" w:lineRule="exact"/>
              <w:rPr>
                <w:rFonts w:ascii="宋体" w:hAnsi="宋体"/>
                <w:color w:val="auto"/>
              </w:rPr>
            </w:pPr>
            <w:r>
              <w:rPr>
                <w:rFonts w:hint="eastAsia" w:ascii="宋体" w:hAnsi="宋体"/>
                <w:color w:val="auto"/>
              </w:rPr>
              <w:t>3、除臭和防疫（10分）</w:t>
            </w:r>
          </w:p>
        </w:tc>
        <w:tc>
          <w:tcPr>
            <w:tcW w:w="2518" w:type="pct"/>
            <w:tcBorders>
              <w:top w:val="single" w:color="auto" w:sz="4" w:space="0"/>
              <w:left w:val="single" w:color="auto" w:sz="4" w:space="0"/>
              <w:bottom w:val="single" w:color="auto" w:sz="4" w:space="0"/>
              <w:right w:val="single" w:color="auto" w:sz="4" w:space="0"/>
            </w:tcBorders>
            <w:noWrap/>
          </w:tcPr>
          <w:p>
            <w:pPr>
              <w:spacing w:line="320" w:lineRule="exact"/>
              <w:rPr>
                <w:rFonts w:ascii="宋体" w:hAnsi="宋体"/>
                <w:color w:val="auto"/>
              </w:rPr>
            </w:pPr>
            <w:r>
              <w:rPr>
                <w:rFonts w:hint="eastAsia" w:ascii="宋体" w:hAnsi="宋体"/>
                <w:color w:val="auto"/>
              </w:rPr>
              <w:t>厂界恶臭污染物排放应符合《恶臭污染物排放标准》（GB14554-94）厂界二级标准要求。</w:t>
            </w:r>
          </w:p>
          <w:p>
            <w:pPr>
              <w:spacing w:line="320" w:lineRule="exact"/>
              <w:rPr>
                <w:rFonts w:ascii="宋体" w:hAnsi="宋体"/>
                <w:color w:val="auto"/>
              </w:rPr>
            </w:pPr>
            <w:r>
              <w:rPr>
                <w:rFonts w:hint="eastAsia" w:ascii="宋体" w:hAnsi="宋体"/>
                <w:color w:val="auto"/>
              </w:rPr>
              <w:t>做好灭蝇等卫生防疫工作，可视范围内，苍蝇应少于6只/次。</w:t>
            </w:r>
          </w:p>
        </w:tc>
        <w:tc>
          <w:tcPr>
            <w:tcW w:w="1599" w:type="pct"/>
            <w:tcBorders>
              <w:top w:val="single" w:color="auto" w:sz="4" w:space="0"/>
              <w:left w:val="single" w:color="auto" w:sz="4" w:space="0"/>
              <w:bottom w:val="single" w:color="auto" w:sz="4" w:space="0"/>
            </w:tcBorders>
            <w:noWrap/>
          </w:tcPr>
          <w:p>
            <w:pPr>
              <w:spacing w:line="320" w:lineRule="exact"/>
              <w:jc w:val="left"/>
              <w:rPr>
                <w:rFonts w:ascii="宋体" w:hAnsi="宋体"/>
                <w:color w:val="auto"/>
              </w:rPr>
            </w:pPr>
            <w:r>
              <w:rPr>
                <w:rFonts w:hint="eastAsia" w:ascii="宋体" w:hAnsi="宋体"/>
                <w:color w:val="auto"/>
              </w:rPr>
              <w:t>每项发现问题一次扣1分，厂界恶臭污染物指标超标的，每次每个指标扣0.5分；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8" w:type="pct"/>
            <w:vMerge w:val="continue"/>
            <w:tcBorders>
              <w:top w:val="nil"/>
              <w:bottom w:val="single" w:color="auto" w:sz="4" w:space="0"/>
              <w:right w:val="single" w:color="auto" w:sz="4" w:space="0"/>
            </w:tcBorders>
            <w:noWrap/>
            <w:vAlign w:val="center"/>
          </w:tcPr>
          <w:p>
            <w:pPr>
              <w:widowControl/>
              <w:jc w:val="left"/>
              <w:rPr>
                <w:rFonts w:ascii="宋体" w:hAnsi="宋体"/>
                <w:color w:val="000000" w:themeColor="text1"/>
                <w14:textFill>
                  <w14:solidFill>
                    <w14:schemeClr w14:val="tx1"/>
                  </w14:solidFill>
                </w14:textFill>
              </w:rPr>
            </w:pPr>
          </w:p>
        </w:tc>
        <w:tc>
          <w:tcPr>
            <w:tcW w:w="515" w:type="pct"/>
            <w:tcBorders>
              <w:top w:val="single" w:color="auto" w:sz="4" w:space="0"/>
              <w:left w:val="single" w:color="auto" w:sz="4" w:space="0"/>
              <w:bottom w:val="single" w:color="auto" w:sz="4" w:space="0"/>
              <w:right w:val="single" w:color="auto" w:sz="4" w:space="0"/>
            </w:tcBorders>
            <w:noWrap/>
            <w:vAlign w:val="center"/>
          </w:tcPr>
          <w:p>
            <w:pPr>
              <w:spacing w:line="320" w:lineRule="exact"/>
              <w:rPr>
                <w:rFonts w:ascii="宋体" w:hAnsi="宋体"/>
                <w:color w:val="auto"/>
              </w:rPr>
            </w:pPr>
            <w:r>
              <w:rPr>
                <w:rFonts w:hint="eastAsia" w:ascii="宋体" w:hAnsi="宋体"/>
                <w:color w:val="auto"/>
              </w:rPr>
              <w:t>4、气体排放（5分）</w:t>
            </w:r>
          </w:p>
        </w:tc>
        <w:tc>
          <w:tcPr>
            <w:tcW w:w="2518" w:type="pct"/>
            <w:tcBorders>
              <w:top w:val="single" w:color="auto" w:sz="4" w:space="0"/>
              <w:left w:val="single" w:color="auto" w:sz="4" w:space="0"/>
              <w:bottom w:val="single" w:color="auto" w:sz="4" w:space="0"/>
              <w:right w:val="single" w:color="auto" w:sz="4" w:space="0"/>
            </w:tcBorders>
            <w:noWrap/>
          </w:tcPr>
          <w:p>
            <w:pPr>
              <w:spacing w:line="320" w:lineRule="exact"/>
              <w:rPr>
                <w:rFonts w:ascii="宋体" w:hAnsi="宋体"/>
                <w:color w:val="auto"/>
              </w:rPr>
            </w:pPr>
            <w:r>
              <w:rPr>
                <w:rFonts w:hint="eastAsia" w:ascii="宋体" w:hAnsi="宋体"/>
                <w:color w:val="auto"/>
              </w:rPr>
              <w:t>气体排放符合国家《恶臭污染物排放标准》二级标准，厂界噪声应满足《工业企业厂界环境噪声排放标准》（ GB12348）要求。</w:t>
            </w:r>
          </w:p>
        </w:tc>
        <w:tc>
          <w:tcPr>
            <w:tcW w:w="1599" w:type="pct"/>
            <w:tcBorders>
              <w:top w:val="single" w:color="auto" w:sz="4" w:space="0"/>
              <w:left w:val="single" w:color="auto" w:sz="4" w:space="0"/>
              <w:bottom w:val="single" w:color="auto" w:sz="4" w:space="0"/>
            </w:tcBorders>
            <w:noWrap/>
          </w:tcPr>
          <w:p>
            <w:pPr>
              <w:spacing w:line="320" w:lineRule="exact"/>
              <w:jc w:val="left"/>
              <w:rPr>
                <w:rFonts w:ascii="宋体" w:hAnsi="宋体"/>
                <w:color w:val="auto"/>
              </w:rPr>
            </w:pPr>
            <w:r>
              <w:rPr>
                <w:rFonts w:hint="eastAsia" w:ascii="宋体" w:hAnsi="宋体"/>
                <w:color w:val="auto"/>
              </w:rPr>
              <w:t>发现指标超标的，每次每个指标扣0.5分；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68" w:type="pct"/>
            <w:vMerge w:val="restart"/>
            <w:tcBorders>
              <w:top w:val="nil"/>
              <w:bottom w:val="single" w:color="auto" w:sz="4" w:space="0"/>
              <w:right w:val="single" w:color="auto" w:sz="4" w:space="0"/>
            </w:tcBorders>
            <w:noWrap/>
            <w:vAlign w:val="center"/>
          </w:tcPr>
          <w:p>
            <w:pPr>
              <w:spacing w:line="320" w:lineRule="exact"/>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二、基础要求（56分）</w:t>
            </w:r>
          </w:p>
        </w:tc>
        <w:tc>
          <w:tcPr>
            <w:tcW w:w="515" w:type="pct"/>
            <w:vMerge w:val="restart"/>
            <w:tcBorders>
              <w:top w:val="nil"/>
              <w:left w:val="nil"/>
              <w:bottom w:val="single" w:color="auto" w:sz="4" w:space="0"/>
              <w:right w:val="single" w:color="auto" w:sz="4" w:space="0"/>
            </w:tcBorders>
            <w:noWrap/>
            <w:vAlign w:val="center"/>
          </w:tcPr>
          <w:p>
            <w:pPr>
              <w:spacing w:line="320" w:lineRule="exact"/>
              <w:ind w:left="360" w:hanging="360"/>
              <w:rPr>
                <w:rFonts w:ascii="宋体" w:hAnsi="宋体"/>
                <w:color w:val="auto"/>
              </w:rPr>
            </w:pPr>
            <w:r>
              <w:rPr>
                <w:rFonts w:hint="eastAsia" w:ascii="宋体" w:hAnsi="宋体"/>
                <w:color w:val="auto"/>
              </w:rPr>
              <w:t>1、资料报送（16分）</w:t>
            </w:r>
          </w:p>
        </w:tc>
        <w:tc>
          <w:tcPr>
            <w:tcW w:w="2518" w:type="pct"/>
            <w:tcBorders>
              <w:top w:val="single" w:color="auto" w:sz="4" w:space="0"/>
              <w:left w:val="nil"/>
              <w:bottom w:val="single" w:color="auto" w:sz="4" w:space="0"/>
              <w:right w:val="single" w:color="auto" w:sz="4" w:space="0"/>
            </w:tcBorders>
            <w:noWrap/>
            <w:vAlign w:val="center"/>
          </w:tcPr>
          <w:p>
            <w:pPr>
              <w:spacing w:line="320" w:lineRule="exact"/>
              <w:rPr>
                <w:rFonts w:ascii="宋体" w:hAnsi="宋体"/>
                <w:color w:val="auto"/>
              </w:rPr>
            </w:pPr>
            <w:r>
              <w:rPr>
                <w:rFonts w:hint="eastAsia" w:ascii="宋体" w:hAnsi="宋体"/>
                <w:color w:val="auto"/>
              </w:rPr>
              <w:t>每年1月15日前提交上一年经营情况运行报告。</w:t>
            </w:r>
          </w:p>
        </w:tc>
        <w:tc>
          <w:tcPr>
            <w:tcW w:w="1599" w:type="pct"/>
            <w:tcBorders>
              <w:top w:val="single" w:color="auto" w:sz="4" w:space="0"/>
              <w:left w:val="nil"/>
              <w:bottom w:val="single" w:color="auto" w:sz="4" w:space="0"/>
            </w:tcBorders>
            <w:noWrap/>
          </w:tcPr>
          <w:p>
            <w:pPr>
              <w:spacing w:line="320" w:lineRule="exact"/>
              <w:jc w:val="left"/>
              <w:rPr>
                <w:rFonts w:ascii="宋体" w:hAnsi="宋体"/>
                <w:color w:val="auto"/>
              </w:rPr>
            </w:pPr>
            <w:r>
              <w:rPr>
                <w:rFonts w:hint="eastAsia" w:ascii="宋体" w:hAnsi="宋体"/>
                <w:color w:val="auto"/>
              </w:rPr>
              <w:t>2分/次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368" w:type="pct"/>
            <w:vMerge w:val="continue"/>
            <w:tcBorders>
              <w:top w:val="nil"/>
              <w:bottom w:val="single" w:color="auto" w:sz="4" w:space="0"/>
              <w:right w:val="single" w:color="auto" w:sz="4" w:space="0"/>
            </w:tcBorders>
            <w:noWrap/>
            <w:vAlign w:val="center"/>
          </w:tcPr>
          <w:p>
            <w:pPr>
              <w:widowControl/>
              <w:jc w:val="left"/>
              <w:rPr>
                <w:rFonts w:ascii="宋体" w:hAnsi="宋体"/>
                <w:color w:val="000000" w:themeColor="text1"/>
                <w14:textFill>
                  <w14:solidFill>
                    <w14:schemeClr w14:val="tx1"/>
                  </w14:solidFill>
                </w14:textFill>
              </w:rPr>
            </w:pPr>
          </w:p>
        </w:tc>
        <w:tc>
          <w:tcPr>
            <w:tcW w:w="515" w:type="pct"/>
            <w:vMerge w:val="continue"/>
            <w:tcBorders>
              <w:top w:val="nil"/>
              <w:left w:val="nil"/>
              <w:bottom w:val="single" w:color="auto" w:sz="4" w:space="0"/>
              <w:right w:val="single" w:color="auto" w:sz="4" w:space="0"/>
            </w:tcBorders>
            <w:noWrap/>
            <w:vAlign w:val="center"/>
          </w:tcPr>
          <w:p>
            <w:pPr>
              <w:widowControl/>
              <w:jc w:val="left"/>
              <w:rPr>
                <w:rFonts w:ascii="宋体" w:hAnsi="宋体"/>
                <w:color w:val="auto"/>
              </w:rPr>
            </w:pPr>
          </w:p>
        </w:tc>
        <w:tc>
          <w:tcPr>
            <w:tcW w:w="2518" w:type="pct"/>
            <w:tcBorders>
              <w:top w:val="single" w:color="auto" w:sz="4" w:space="0"/>
              <w:left w:val="nil"/>
              <w:bottom w:val="single" w:color="auto" w:sz="4" w:space="0"/>
              <w:right w:val="single" w:color="auto" w:sz="4" w:space="0"/>
            </w:tcBorders>
            <w:noWrap/>
            <w:vAlign w:val="center"/>
          </w:tcPr>
          <w:p>
            <w:pPr>
              <w:spacing w:line="320" w:lineRule="exact"/>
              <w:rPr>
                <w:rFonts w:ascii="宋体" w:hAnsi="宋体"/>
                <w:color w:val="auto"/>
              </w:rPr>
            </w:pPr>
            <w:r>
              <w:rPr>
                <w:rFonts w:hint="eastAsia" w:ascii="宋体" w:hAnsi="宋体"/>
                <w:color w:val="auto"/>
              </w:rPr>
              <w:t>年度生产计划合理，得到有效执行，生产组织有序。</w:t>
            </w:r>
          </w:p>
        </w:tc>
        <w:tc>
          <w:tcPr>
            <w:tcW w:w="1599" w:type="pct"/>
            <w:tcBorders>
              <w:top w:val="single" w:color="auto" w:sz="4" w:space="0"/>
              <w:left w:val="nil"/>
              <w:bottom w:val="single" w:color="auto" w:sz="4" w:space="0"/>
            </w:tcBorders>
            <w:noWrap/>
          </w:tcPr>
          <w:p>
            <w:pPr>
              <w:spacing w:line="320" w:lineRule="exact"/>
              <w:jc w:val="left"/>
              <w:rPr>
                <w:rFonts w:ascii="宋体" w:hAnsi="宋体"/>
                <w:color w:val="auto"/>
              </w:rPr>
            </w:pPr>
            <w:r>
              <w:rPr>
                <w:rFonts w:hint="eastAsia" w:ascii="宋体" w:hAnsi="宋体"/>
                <w:color w:val="auto"/>
              </w:rPr>
              <w:t>2分/次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68" w:type="pct"/>
            <w:vMerge w:val="continue"/>
            <w:tcBorders>
              <w:top w:val="nil"/>
              <w:bottom w:val="single" w:color="auto" w:sz="4" w:space="0"/>
              <w:right w:val="single" w:color="auto" w:sz="4" w:space="0"/>
            </w:tcBorders>
            <w:noWrap/>
            <w:vAlign w:val="center"/>
          </w:tcPr>
          <w:p>
            <w:pPr>
              <w:widowControl/>
              <w:jc w:val="left"/>
              <w:rPr>
                <w:rFonts w:ascii="宋体" w:hAnsi="宋体"/>
                <w:color w:val="000000" w:themeColor="text1"/>
                <w14:textFill>
                  <w14:solidFill>
                    <w14:schemeClr w14:val="tx1"/>
                  </w14:solidFill>
                </w14:textFill>
              </w:rPr>
            </w:pPr>
          </w:p>
        </w:tc>
        <w:tc>
          <w:tcPr>
            <w:tcW w:w="515" w:type="pct"/>
            <w:vMerge w:val="continue"/>
            <w:tcBorders>
              <w:top w:val="nil"/>
              <w:left w:val="nil"/>
              <w:bottom w:val="single" w:color="auto" w:sz="4" w:space="0"/>
              <w:right w:val="single" w:color="auto" w:sz="4" w:space="0"/>
            </w:tcBorders>
            <w:noWrap/>
            <w:vAlign w:val="center"/>
          </w:tcPr>
          <w:p>
            <w:pPr>
              <w:widowControl/>
              <w:jc w:val="left"/>
              <w:rPr>
                <w:rFonts w:ascii="宋体" w:hAnsi="宋体"/>
                <w:color w:val="auto"/>
              </w:rPr>
            </w:pPr>
          </w:p>
        </w:tc>
        <w:tc>
          <w:tcPr>
            <w:tcW w:w="2518" w:type="pct"/>
            <w:tcBorders>
              <w:top w:val="single" w:color="auto" w:sz="4" w:space="0"/>
              <w:left w:val="nil"/>
              <w:bottom w:val="single" w:color="auto" w:sz="4" w:space="0"/>
              <w:right w:val="single" w:color="auto" w:sz="4" w:space="0"/>
            </w:tcBorders>
            <w:noWrap/>
            <w:vAlign w:val="center"/>
          </w:tcPr>
          <w:p>
            <w:pPr>
              <w:spacing w:line="320" w:lineRule="exact"/>
              <w:rPr>
                <w:rFonts w:ascii="宋体" w:hAnsi="宋体"/>
                <w:color w:val="auto"/>
              </w:rPr>
            </w:pPr>
            <w:r>
              <w:rPr>
                <w:rFonts w:hint="eastAsia" w:ascii="宋体" w:hAnsi="宋体"/>
                <w:color w:val="auto"/>
              </w:rPr>
              <w:t>每年12月15日前提交下一运营年维护计划和生产计划、应急预案、组织人员、物资准备等情况。</w:t>
            </w:r>
          </w:p>
        </w:tc>
        <w:tc>
          <w:tcPr>
            <w:tcW w:w="1599" w:type="pct"/>
            <w:tcBorders>
              <w:top w:val="single" w:color="auto" w:sz="4" w:space="0"/>
              <w:left w:val="nil"/>
              <w:bottom w:val="single" w:color="auto" w:sz="4" w:space="0"/>
            </w:tcBorders>
            <w:noWrap/>
          </w:tcPr>
          <w:p>
            <w:pPr>
              <w:spacing w:line="320" w:lineRule="exact"/>
              <w:jc w:val="left"/>
              <w:rPr>
                <w:rFonts w:ascii="宋体" w:hAnsi="宋体"/>
                <w:color w:val="auto"/>
              </w:rPr>
            </w:pPr>
            <w:r>
              <w:rPr>
                <w:rFonts w:hint="eastAsia" w:ascii="宋体" w:hAnsi="宋体"/>
                <w:color w:val="auto"/>
              </w:rPr>
              <w:t>2分/次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368" w:type="pct"/>
            <w:vMerge w:val="continue"/>
            <w:tcBorders>
              <w:top w:val="nil"/>
              <w:bottom w:val="single" w:color="auto" w:sz="4" w:space="0"/>
              <w:right w:val="single" w:color="auto" w:sz="4" w:space="0"/>
            </w:tcBorders>
            <w:noWrap/>
            <w:vAlign w:val="center"/>
          </w:tcPr>
          <w:p>
            <w:pPr>
              <w:widowControl/>
              <w:jc w:val="left"/>
              <w:rPr>
                <w:rFonts w:ascii="宋体" w:hAnsi="宋体"/>
                <w:color w:val="000000" w:themeColor="text1"/>
                <w14:textFill>
                  <w14:solidFill>
                    <w14:schemeClr w14:val="tx1"/>
                  </w14:solidFill>
                </w14:textFill>
              </w:rPr>
            </w:pPr>
          </w:p>
        </w:tc>
        <w:tc>
          <w:tcPr>
            <w:tcW w:w="515" w:type="pct"/>
            <w:vMerge w:val="continue"/>
            <w:tcBorders>
              <w:top w:val="nil"/>
              <w:left w:val="nil"/>
              <w:bottom w:val="single" w:color="auto" w:sz="4" w:space="0"/>
              <w:right w:val="single" w:color="auto" w:sz="4" w:space="0"/>
            </w:tcBorders>
            <w:noWrap/>
            <w:vAlign w:val="center"/>
          </w:tcPr>
          <w:p>
            <w:pPr>
              <w:widowControl/>
              <w:jc w:val="left"/>
              <w:rPr>
                <w:rFonts w:ascii="宋体" w:hAnsi="宋体"/>
                <w:color w:val="auto"/>
              </w:rPr>
            </w:pPr>
          </w:p>
        </w:tc>
        <w:tc>
          <w:tcPr>
            <w:tcW w:w="2518" w:type="pct"/>
            <w:tcBorders>
              <w:top w:val="single" w:color="auto" w:sz="4" w:space="0"/>
              <w:left w:val="nil"/>
              <w:bottom w:val="single" w:color="auto" w:sz="4" w:space="0"/>
              <w:right w:val="single" w:color="auto" w:sz="4" w:space="0"/>
            </w:tcBorders>
            <w:noWrap/>
            <w:vAlign w:val="center"/>
          </w:tcPr>
          <w:p>
            <w:pPr>
              <w:spacing w:line="320" w:lineRule="exact"/>
              <w:rPr>
                <w:rFonts w:ascii="宋体" w:hAnsi="宋体"/>
                <w:color w:val="auto"/>
              </w:rPr>
            </w:pPr>
            <w:r>
              <w:rPr>
                <w:rFonts w:hint="eastAsia" w:ascii="宋体" w:hAnsi="宋体"/>
                <w:color w:val="auto"/>
              </w:rPr>
              <w:t>每月10日前提交并核实校对上月渗滤液进水及出水量。</w:t>
            </w:r>
          </w:p>
        </w:tc>
        <w:tc>
          <w:tcPr>
            <w:tcW w:w="1599" w:type="pct"/>
            <w:tcBorders>
              <w:top w:val="single" w:color="auto" w:sz="4" w:space="0"/>
              <w:left w:val="nil"/>
              <w:bottom w:val="single" w:color="auto" w:sz="4" w:space="0"/>
            </w:tcBorders>
            <w:noWrap/>
          </w:tcPr>
          <w:p>
            <w:pPr>
              <w:spacing w:line="320" w:lineRule="exact"/>
              <w:jc w:val="left"/>
              <w:rPr>
                <w:rFonts w:ascii="宋体" w:hAnsi="宋体"/>
                <w:color w:val="auto"/>
              </w:rPr>
            </w:pPr>
            <w:r>
              <w:rPr>
                <w:rFonts w:hint="eastAsia" w:ascii="宋体" w:hAnsi="宋体"/>
                <w:color w:val="auto"/>
              </w:rPr>
              <w:t>2分/次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368" w:type="pct"/>
            <w:vMerge w:val="continue"/>
            <w:tcBorders>
              <w:top w:val="nil"/>
              <w:bottom w:val="single" w:color="auto" w:sz="4" w:space="0"/>
              <w:right w:val="single" w:color="auto" w:sz="4" w:space="0"/>
            </w:tcBorders>
            <w:noWrap/>
            <w:vAlign w:val="center"/>
          </w:tcPr>
          <w:p>
            <w:pPr>
              <w:widowControl/>
              <w:jc w:val="left"/>
              <w:rPr>
                <w:rFonts w:ascii="宋体" w:hAnsi="宋体"/>
                <w:color w:val="000000" w:themeColor="text1"/>
                <w14:textFill>
                  <w14:solidFill>
                    <w14:schemeClr w14:val="tx1"/>
                  </w14:solidFill>
                </w14:textFill>
              </w:rPr>
            </w:pPr>
          </w:p>
        </w:tc>
        <w:tc>
          <w:tcPr>
            <w:tcW w:w="515" w:type="pct"/>
            <w:vMerge w:val="continue"/>
            <w:tcBorders>
              <w:top w:val="nil"/>
              <w:left w:val="nil"/>
              <w:bottom w:val="single" w:color="auto" w:sz="4" w:space="0"/>
              <w:right w:val="single" w:color="auto" w:sz="4" w:space="0"/>
            </w:tcBorders>
            <w:noWrap/>
            <w:vAlign w:val="center"/>
          </w:tcPr>
          <w:p>
            <w:pPr>
              <w:widowControl/>
              <w:jc w:val="left"/>
              <w:rPr>
                <w:rFonts w:ascii="宋体" w:hAnsi="宋体"/>
                <w:color w:val="auto"/>
              </w:rPr>
            </w:pPr>
          </w:p>
        </w:tc>
        <w:tc>
          <w:tcPr>
            <w:tcW w:w="2518" w:type="pct"/>
            <w:tcBorders>
              <w:top w:val="single" w:color="auto" w:sz="4" w:space="0"/>
              <w:left w:val="nil"/>
              <w:bottom w:val="single" w:color="auto" w:sz="4" w:space="0"/>
              <w:right w:val="single" w:color="auto" w:sz="4" w:space="0"/>
            </w:tcBorders>
            <w:noWrap/>
            <w:vAlign w:val="center"/>
          </w:tcPr>
          <w:p>
            <w:pPr>
              <w:spacing w:line="320" w:lineRule="exact"/>
              <w:rPr>
                <w:rFonts w:ascii="宋体" w:hAnsi="宋体"/>
                <w:color w:val="auto"/>
              </w:rPr>
            </w:pPr>
            <w:r>
              <w:rPr>
                <w:rFonts w:hint="eastAsia" w:ascii="宋体" w:hAnsi="宋体"/>
                <w:color w:val="auto"/>
              </w:rPr>
              <w:t>每月10日前提交上月运行报表和水质自检报告。</w:t>
            </w:r>
          </w:p>
        </w:tc>
        <w:tc>
          <w:tcPr>
            <w:tcW w:w="1599" w:type="pct"/>
            <w:tcBorders>
              <w:top w:val="single" w:color="auto" w:sz="4" w:space="0"/>
              <w:left w:val="nil"/>
              <w:bottom w:val="single" w:color="auto" w:sz="4" w:space="0"/>
            </w:tcBorders>
            <w:noWrap/>
          </w:tcPr>
          <w:p>
            <w:pPr>
              <w:spacing w:line="320" w:lineRule="exact"/>
              <w:jc w:val="left"/>
              <w:rPr>
                <w:rFonts w:ascii="宋体" w:hAnsi="宋体"/>
                <w:color w:val="auto"/>
              </w:rPr>
            </w:pPr>
            <w:r>
              <w:rPr>
                <w:rFonts w:hint="eastAsia" w:ascii="宋体" w:hAnsi="宋体"/>
                <w:color w:val="auto"/>
              </w:rPr>
              <w:t>2分/次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368" w:type="pct"/>
            <w:vMerge w:val="continue"/>
            <w:tcBorders>
              <w:top w:val="nil"/>
              <w:bottom w:val="single" w:color="auto" w:sz="4" w:space="0"/>
              <w:right w:val="single" w:color="auto" w:sz="4" w:space="0"/>
            </w:tcBorders>
            <w:noWrap/>
            <w:vAlign w:val="center"/>
          </w:tcPr>
          <w:p>
            <w:pPr>
              <w:widowControl/>
              <w:jc w:val="left"/>
              <w:rPr>
                <w:rFonts w:ascii="宋体" w:hAnsi="宋体"/>
                <w:color w:val="000000" w:themeColor="text1"/>
                <w14:textFill>
                  <w14:solidFill>
                    <w14:schemeClr w14:val="tx1"/>
                  </w14:solidFill>
                </w14:textFill>
              </w:rPr>
            </w:pPr>
          </w:p>
        </w:tc>
        <w:tc>
          <w:tcPr>
            <w:tcW w:w="515" w:type="pct"/>
            <w:vMerge w:val="continue"/>
            <w:tcBorders>
              <w:top w:val="nil"/>
              <w:left w:val="nil"/>
              <w:bottom w:val="single" w:color="auto" w:sz="4" w:space="0"/>
              <w:right w:val="single" w:color="auto" w:sz="4" w:space="0"/>
            </w:tcBorders>
            <w:noWrap/>
            <w:vAlign w:val="center"/>
          </w:tcPr>
          <w:p>
            <w:pPr>
              <w:widowControl/>
              <w:jc w:val="left"/>
              <w:rPr>
                <w:rFonts w:ascii="宋体" w:hAnsi="宋体"/>
                <w:color w:val="auto"/>
              </w:rPr>
            </w:pPr>
          </w:p>
        </w:tc>
        <w:tc>
          <w:tcPr>
            <w:tcW w:w="2518" w:type="pct"/>
            <w:tcBorders>
              <w:top w:val="single" w:color="auto" w:sz="4" w:space="0"/>
              <w:left w:val="nil"/>
              <w:bottom w:val="single" w:color="auto" w:sz="4" w:space="0"/>
              <w:right w:val="single" w:color="auto" w:sz="4" w:space="0"/>
            </w:tcBorders>
            <w:noWrap/>
            <w:vAlign w:val="center"/>
          </w:tcPr>
          <w:p>
            <w:pPr>
              <w:spacing w:line="320" w:lineRule="exact"/>
              <w:rPr>
                <w:rFonts w:ascii="宋体" w:hAnsi="宋体"/>
                <w:color w:val="auto"/>
              </w:rPr>
            </w:pPr>
            <w:r>
              <w:rPr>
                <w:rFonts w:hint="eastAsia" w:ascii="宋体" w:hAnsi="宋体"/>
                <w:color w:val="auto"/>
              </w:rPr>
              <w:t>每月10日提交各种原材料消耗表，实事求是，不得弄虚作假，报表数据真实，上报及时。（可放入月运行报表）</w:t>
            </w:r>
          </w:p>
        </w:tc>
        <w:tc>
          <w:tcPr>
            <w:tcW w:w="1599" w:type="pct"/>
            <w:tcBorders>
              <w:top w:val="single" w:color="auto" w:sz="4" w:space="0"/>
              <w:left w:val="nil"/>
              <w:bottom w:val="single" w:color="auto" w:sz="4" w:space="0"/>
            </w:tcBorders>
            <w:noWrap/>
          </w:tcPr>
          <w:p>
            <w:pPr>
              <w:spacing w:line="320" w:lineRule="exact"/>
              <w:jc w:val="left"/>
              <w:rPr>
                <w:rFonts w:ascii="宋体" w:hAnsi="宋体"/>
                <w:color w:val="auto"/>
              </w:rPr>
            </w:pPr>
            <w:r>
              <w:rPr>
                <w:rFonts w:hint="eastAsia" w:ascii="宋体" w:hAnsi="宋体"/>
                <w:color w:val="auto"/>
              </w:rPr>
              <w:t>2分/次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 w:hRule="atLeast"/>
        </w:trPr>
        <w:tc>
          <w:tcPr>
            <w:tcW w:w="368" w:type="pct"/>
            <w:vMerge w:val="continue"/>
            <w:tcBorders>
              <w:top w:val="nil"/>
              <w:bottom w:val="single" w:color="auto" w:sz="4" w:space="0"/>
              <w:right w:val="single" w:color="auto" w:sz="4" w:space="0"/>
            </w:tcBorders>
            <w:noWrap/>
            <w:vAlign w:val="center"/>
          </w:tcPr>
          <w:p>
            <w:pPr>
              <w:widowControl/>
              <w:jc w:val="left"/>
              <w:rPr>
                <w:rFonts w:ascii="宋体" w:hAnsi="宋体"/>
                <w:color w:val="000000" w:themeColor="text1"/>
                <w14:textFill>
                  <w14:solidFill>
                    <w14:schemeClr w14:val="tx1"/>
                  </w14:solidFill>
                </w14:textFill>
              </w:rPr>
            </w:pPr>
          </w:p>
        </w:tc>
        <w:tc>
          <w:tcPr>
            <w:tcW w:w="515" w:type="pct"/>
            <w:vMerge w:val="continue"/>
            <w:tcBorders>
              <w:top w:val="nil"/>
              <w:left w:val="nil"/>
              <w:bottom w:val="single" w:color="auto" w:sz="4" w:space="0"/>
              <w:right w:val="single" w:color="auto" w:sz="4" w:space="0"/>
            </w:tcBorders>
            <w:noWrap/>
            <w:vAlign w:val="center"/>
          </w:tcPr>
          <w:p>
            <w:pPr>
              <w:widowControl/>
              <w:jc w:val="left"/>
              <w:rPr>
                <w:rFonts w:ascii="宋体" w:hAnsi="宋体"/>
                <w:color w:val="auto"/>
              </w:rPr>
            </w:pPr>
          </w:p>
        </w:tc>
        <w:tc>
          <w:tcPr>
            <w:tcW w:w="2518" w:type="pct"/>
            <w:tcBorders>
              <w:top w:val="single" w:color="auto" w:sz="4" w:space="0"/>
              <w:left w:val="nil"/>
              <w:bottom w:val="single" w:color="auto" w:sz="4" w:space="0"/>
              <w:right w:val="single" w:color="auto" w:sz="4" w:space="0"/>
            </w:tcBorders>
            <w:noWrap/>
          </w:tcPr>
          <w:p>
            <w:pPr>
              <w:spacing w:line="320" w:lineRule="exact"/>
              <w:rPr>
                <w:rFonts w:ascii="宋体" w:hAnsi="宋体"/>
                <w:color w:val="auto"/>
              </w:rPr>
            </w:pPr>
            <w:r>
              <w:rPr>
                <w:rFonts w:hint="eastAsia" w:ascii="宋体" w:hAnsi="宋体"/>
                <w:color w:val="auto"/>
              </w:rPr>
              <w:t>处置单位计划内检修应提前10日向监管机构（部门）报备并同意，未经同意不得擅自停产或减产。因设备故障紧急抢修停产、减产的，应及时报告。</w:t>
            </w:r>
          </w:p>
        </w:tc>
        <w:tc>
          <w:tcPr>
            <w:tcW w:w="1599" w:type="pct"/>
            <w:tcBorders>
              <w:top w:val="single" w:color="auto" w:sz="4" w:space="0"/>
              <w:left w:val="nil"/>
              <w:bottom w:val="single" w:color="auto" w:sz="4" w:space="0"/>
            </w:tcBorders>
            <w:noWrap/>
          </w:tcPr>
          <w:p>
            <w:pPr>
              <w:spacing w:line="320" w:lineRule="exact"/>
              <w:jc w:val="left"/>
              <w:rPr>
                <w:rFonts w:ascii="宋体" w:hAnsi="宋体"/>
                <w:color w:val="auto"/>
              </w:rPr>
            </w:pPr>
            <w:r>
              <w:rPr>
                <w:rFonts w:hint="eastAsia" w:ascii="宋体" w:hAnsi="宋体"/>
                <w:color w:val="auto"/>
              </w:rPr>
              <w:t>2分/次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368" w:type="pct"/>
            <w:vMerge w:val="continue"/>
            <w:tcBorders>
              <w:top w:val="nil"/>
              <w:bottom w:val="single" w:color="auto" w:sz="4" w:space="0"/>
              <w:right w:val="single" w:color="auto" w:sz="4" w:space="0"/>
            </w:tcBorders>
            <w:noWrap/>
            <w:vAlign w:val="center"/>
          </w:tcPr>
          <w:p>
            <w:pPr>
              <w:widowControl/>
              <w:jc w:val="left"/>
              <w:rPr>
                <w:rFonts w:ascii="宋体" w:hAnsi="宋体"/>
                <w:color w:val="000000" w:themeColor="text1"/>
                <w14:textFill>
                  <w14:solidFill>
                    <w14:schemeClr w14:val="tx1"/>
                  </w14:solidFill>
                </w14:textFill>
              </w:rPr>
            </w:pPr>
          </w:p>
        </w:tc>
        <w:tc>
          <w:tcPr>
            <w:tcW w:w="515" w:type="pct"/>
            <w:vMerge w:val="continue"/>
            <w:tcBorders>
              <w:top w:val="nil"/>
              <w:left w:val="nil"/>
              <w:bottom w:val="single" w:color="auto" w:sz="4" w:space="0"/>
              <w:right w:val="single" w:color="auto" w:sz="4" w:space="0"/>
            </w:tcBorders>
            <w:noWrap/>
            <w:vAlign w:val="center"/>
          </w:tcPr>
          <w:p>
            <w:pPr>
              <w:widowControl/>
              <w:jc w:val="left"/>
              <w:rPr>
                <w:rFonts w:ascii="宋体" w:hAnsi="宋体"/>
                <w:color w:val="auto"/>
              </w:rPr>
            </w:pPr>
          </w:p>
        </w:tc>
        <w:tc>
          <w:tcPr>
            <w:tcW w:w="2518" w:type="pct"/>
            <w:tcBorders>
              <w:top w:val="single" w:color="auto" w:sz="4" w:space="0"/>
              <w:left w:val="nil"/>
              <w:bottom w:val="single" w:color="auto" w:sz="4" w:space="0"/>
              <w:right w:val="single" w:color="auto" w:sz="4" w:space="0"/>
            </w:tcBorders>
            <w:noWrap/>
          </w:tcPr>
          <w:p>
            <w:pPr>
              <w:spacing w:line="320" w:lineRule="exact"/>
              <w:rPr>
                <w:rFonts w:ascii="宋体" w:hAnsi="宋体"/>
                <w:color w:val="auto"/>
              </w:rPr>
            </w:pPr>
            <w:r>
              <w:rPr>
                <w:rFonts w:hint="eastAsia" w:ascii="宋体" w:hAnsi="宋体"/>
                <w:color w:val="auto"/>
              </w:rPr>
              <w:t>应急预案及生产安全、环境污染事故1小时内报备，并将处理情况书面报告。</w:t>
            </w:r>
          </w:p>
        </w:tc>
        <w:tc>
          <w:tcPr>
            <w:tcW w:w="1599" w:type="pct"/>
            <w:tcBorders>
              <w:top w:val="single" w:color="auto" w:sz="4" w:space="0"/>
              <w:left w:val="nil"/>
              <w:bottom w:val="single" w:color="auto" w:sz="4" w:space="0"/>
            </w:tcBorders>
            <w:noWrap/>
          </w:tcPr>
          <w:p>
            <w:pPr>
              <w:spacing w:line="320" w:lineRule="exact"/>
              <w:jc w:val="left"/>
              <w:rPr>
                <w:rFonts w:ascii="宋体" w:hAnsi="宋体"/>
                <w:color w:val="auto"/>
              </w:rPr>
            </w:pPr>
            <w:r>
              <w:rPr>
                <w:rFonts w:hint="eastAsia" w:ascii="宋体" w:hAnsi="宋体"/>
                <w:color w:val="auto"/>
              </w:rPr>
              <w:t>2分/次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368" w:type="pct"/>
            <w:vMerge w:val="continue"/>
            <w:tcBorders>
              <w:top w:val="nil"/>
              <w:bottom w:val="single" w:color="auto" w:sz="4" w:space="0"/>
              <w:right w:val="single" w:color="auto" w:sz="4" w:space="0"/>
            </w:tcBorders>
            <w:noWrap/>
            <w:vAlign w:val="center"/>
          </w:tcPr>
          <w:p>
            <w:pPr>
              <w:widowControl/>
              <w:jc w:val="left"/>
              <w:rPr>
                <w:rFonts w:ascii="宋体" w:hAnsi="宋体"/>
                <w:color w:val="000000" w:themeColor="text1"/>
                <w14:textFill>
                  <w14:solidFill>
                    <w14:schemeClr w14:val="tx1"/>
                  </w14:solidFill>
                </w14:textFill>
              </w:rPr>
            </w:pPr>
          </w:p>
        </w:tc>
        <w:tc>
          <w:tcPr>
            <w:tcW w:w="515" w:type="pct"/>
            <w:vMerge w:val="restart"/>
            <w:tcBorders>
              <w:top w:val="nil"/>
              <w:left w:val="nil"/>
              <w:right w:val="single" w:color="auto" w:sz="4" w:space="0"/>
            </w:tcBorders>
            <w:noWrap/>
            <w:vAlign w:val="center"/>
          </w:tcPr>
          <w:p>
            <w:pPr>
              <w:spacing w:line="320" w:lineRule="exact"/>
              <w:ind w:left="360" w:hanging="360"/>
              <w:rPr>
                <w:rFonts w:ascii="宋体" w:hAnsi="宋体"/>
                <w:color w:val="auto"/>
              </w:rPr>
            </w:pPr>
            <w:r>
              <w:rPr>
                <w:rFonts w:hint="eastAsia" w:ascii="宋体" w:hAnsi="宋体"/>
                <w:color w:val="auto"/>
              </w:rPr>
              <w:t>2、运营及安全生产管理（30分）</w:t>
            </w:r>
          </w:p>
        </w:tc>
        <w:tc>
          <w:tcPr>
            <w:tcW w:w="2518" w:type="pct"/>
            <w:tcBorders>
              <w:top w:val="single" w:color="auto" w:sz="4" w:space="0"/>
              <w:left w:val="nil"/>
              <w:bottom w:val="single" w:color="auto" w:sz="4" w:space="0"/>
              <w:right w:val="single" w:color="auto" w:sz="4" w:space="0"/>
            </w:tcBorders>
            <w:noWrap/>
          </w:tcPr>
          <w:p>
            <w:pPr>
              <w:spacing w:line="320" w:lineRule="exact"/>
              <w:rPr>
                <w:rFonts w:ascii="宋体" w:hAnsi="宋体"/>
                <w:color w:val="auto"/>
              </w:rPr>
            </w:pPr>
            <w:r>
              <w:rPr>
                <w:rFonts w:hint="eastAsia" w:ascii="宋体" w:hAnsi="宋体"/>
                <w:color w:val="auto"/>
              </w:rPr>
              <w:t>厂区环境干净整洁，无垃圾和污水积存，主要道路、办公室、会议室等重要场所有统一、整洁标识牌。</w:t>
            </w:r>
          </w:p>
        </w:tc>
        <w:tc>
          <w:tcPr>
            <w:tcW w:w="1599" w:type="pct"/>
            <w:tcBorders>
              <w:top w:val="single" w:color="auto" w:sz="4" w:space="0"/>
              <w:left w:val="nil"/>
              <w:bottom w:val="single" w:color="auto" w:sz="4" w:space="0"/>
            </w:tcBorders>
            <w:noWrap/>
          </w:tcPr>
          <w:p>
            <w:pPr>
              <w:spacing w:line="320" w:lineRule="exact"/>
              <w:jc w:val="left"/>
              <w:rPr>
                <w:rFonts w:ascii="宋体" w:hAnsi="宋体"/>
                <w:color w:val="auto"/>
              </w:rPr>
            </w:pPr>
            <w:r>
              <w:rPr>
                <w:rFonts w:hint="eastAsia" w:ascii="宋体" w:hAnsi="宋体"/>
                <w:color w:val="auto"/>
              </w:rPr>
              <w:t>2分/次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68" w:type="pct"/>
            <w:vMerge w:val="continue"/>
            <w:tcBorders>
              <w:top w:val="nil"/>
              <w:bottom w:val="single" w:color="auto" w:sz="4" w:space="0"/>
              <w:right w:val="single" w:color="auto" w:sz="4" w:space="0"/>
            </w:tcBorders>
            <w:noWrap/>
            <w:vAlign w:val="center"/>
          </w:tcPr>
          <w:p>
            <w:pPr>
              <w:widowControl/>
              <w:jc w:val="left"/>
              <w:rPr>
                <w:rFonts w:ascii="宋体" w:hAnsi="宋体"/>
                <w:color w:val="000000" w:themeColor="text1"/>
                <w14:textFill>
                  <w14:solidFill>
                    <w14:schemeClr w14:val="tx1"/>
                  </w14:solidFill>
                </w14:textFill>
              </w:rPr>
            </w:pPr>
          </w:p>
        </w:tc>
        <w:tc>
          <w:tcPr>
            <w:tcW w:w="515" w:type="pct"/>
            <w:vMerge w:val="continue"/>
            <w:tcBorders>
              <w:left w:val="nil"/>
              <w:right w:val="single" w:color="auto" w:sz="4" w:space="0"/>
            </w:tcBorders>
            <w:noWrap/>
            <w:vAlign w:val="center"/>
          </w:tcPr>
          <w:p>
            <w:pPr>
              <w:widowControl/>
              <w:jc w:val="left"/>
              <w:rPr>
                <w:rFonts w:ascii="宋体" w:hAnsi="宋体"/>
                <w:color w:val="auto"/>
              </w:rPr>
            </w:pPr>
          </w:p>
        </w:tc>
        <w:tc>
          <w:tcPr>
            <w:tcW w:w="2518" w:type="pct"/>
            <w:tcBorders>
              <w:top w:val="single" w:color="auto" w:sz="4" w:space="0"/>
              <w:left w:val="nil"/>
              <w:bottom w:val="single" w:color="auto" w:sz="4" w:space="0"/>
              <w:right w:val="single" w:color="auto" w:sz="4" w:space="0"/>
            </w:tcBorders>
            <w:noWrap/>
          </w:tcPr>
          <w:p>
            <w:pPr>
              <w:spacing w:line="320" w:lineRule="exact"/>
              <w:rPr>
                <w:rFonts w:ascii="宋体" w:hAnsi="宋体"/>
                <w:color w:val="auto"/>
              </w:rPr>
            </w:pPr>
            <w:r>
              <w:rPr>
                <w:rFonts w:hint="eastAsia" w:ascii="宋体" w:hAnsi="宋体"/>
                <w:color w:val="auto"/>
              </w:rPr>
              <w:t>运营管理制度完善，操作规程齐全，岗位职责明确。</w:t>
            </w:r>
          </w:p>
        </w:tc>
        <w:tc>
          <w:tcPr>
            <w:tcW w:w="1599" w:type="pct"/>
            <w:tcBorders>
              <w:top w:val="single" w:color="auto" w:sz="4" w:space="0"/>
              <w:left w:val="nil"/>
              <w:bottom w:val="single" w:color="auto" w:sz="4" w:space="0"/>
            </w:tcBorders>
            <w:noWrap/>
          </w:tcPr>
          <w:p>
            <w:pPr>
              <w:spacing w:line="320" w:lineRule="exact"/>
              <w:jc w:val="left"/>
              <w:rPr>
                <w:rFonts w:ascii="宋体" w:hAnsi="宋体"/>
                <w:color w:val="auto"/>
              </w:rPr>
            </w:pPr>
            <w:r>
              <w:rPr>
                <w:rFonts w:hint="eastAsia" w:ascii="宋体" w:hAnsi="宋体"/>
                <w:color w:val="auto"/>
              </w:rPr>
              <w:t>2分/次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68" w:type="pct"/>
            <w:vMerge w:val="continue"/>
            <w:tcBorders>
              <w:top w:val="nil"/>
              <w:bottom w:val="single" w:color="auto" w:sz="4" w:space="0"/>
              <w:right w:val="single" w:color="auto" w:sz="4" w:space="0"/>
            </w:tcBorders>
            <w:noWrap/>
            <w:vAlign w:val="center"/>
          </w:tcPr>
          <w:p>
            <w:pPr>
              <w:widowControl/>
              <w:jc w:val="left"/>
              <w:rPr>
                <w:rFonts w:ascii="宋体" w:hAnsi="宋体"/>
                <w:color w:val="000000" w:themeColor="text1"/>
                <w14:textFill>
                  <w14:solidFill>
                    <w14:schemeClr w14:val="tx1"/>
                  </w14:solidFill>
                </w14:textFill>
              </w:rPr>
            </w:pPr>
          </w:p>
        </w:tc>
        <w:tc>
          <w:tcPr>
            <w:tcW w:w="515" w:type="pct"/>
            <w:vMerge w:val="continue"/>
            <w:tcBorders>
              <w:left w:val="nil"/>
              <w:right w:val="single" w:color="auto" w:sz="4" w:space="0"/>
            </w:tcBorders>
            <w:noWrap/>
            <w:vAlign w:val="center"/>
          </w:tcPr>
          <w:p>
            <w:pPr>
              <w:widowControl/>
              <w:jc w:val="left"/>
              <w:rPr>
                <w:rFonts w:ascii="宋体" w:hAnsi="宋体"/>
                <w:color w:val="auto"/>
              </w:rPr>
            </w:pPr>
          </w:p>
        </w:tc>
        <w:tc>
          <w:tcPr>
            <w:tcW w:w="2518" w:type="pct"/>
            <w:tcBorders>
              <w:top w:val="single" w:color="auto" w:sz="4" w:space="0"/>
              <w:left w:val="nil"/>
              <w:bottom w:val="single" w:color="auto" w:sz="4" w:space="0"/>
              <w:right w:val="single" w:color="auto" w:sz="4" w:space="0"/>
            </w:tcBorders>
            <w:noWrap/>
          </w:tcPr>
          <w:p>
            <w:pPr>
              <w:spacing w:line="320" w:lineRule="exact"/>
              <w:rPr>
                <w:rFonts w:ascii="宋体" w:hAnsi="宋体"/>
                <w:color w:val="auto"/>
              </w:rPr>
            </w:pPr>
            <w:r>
              <w:rPr>
                <w:rFonts w:hint="eastAsia" w:ascii="宋体" w:hAnsi="宋体"/>
                <w:color w:val="auto"/>
              </w:rPr>
              <w:t>定期检查和维护设备，保障设备功能完备和正常运行。</w:t>
            </w:r>
          </w:p>
        </w:tc>
        <w:tc>
          <w:tcPr>
            <w:tcW w:w="1599" w:type="pct"/>
            <w:tcBorders>
              <w:top w:val="single" w:color="auto" w:sz="4" w:space="0"/>
              <w:left w:val="nil"/>
              <w:bottom w:val="single" w:color="auto" w:sz="4" w:space="0"/>
            </w:tcBorders>
            <w:noWrap/>
          </w:tcPr>
          <w:p>
            <w:pPr>
              <w:spacing w:line="320" w:lineRule="exact"/>
              <w:jc w:val="left"/>
              <w:rPr>
                <w:rFonts w:ascii="宋体" w:hAnsi="宋体"/>
                <w:color w:val="auto"/>
              </w:rPr>
            </w:pPr>
            <w:r>
              <w:rPr>
                <w:rFonts w:hint="eastAsia" w:ascii="宋体" w:hAnsi="宋体"/>
                <w:color w:val="auto"/>
              </w:rPr>
              <w:t>2分/次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 w:hRule="atLeast"/>
        </w:trPr>
        <w:tc>
          <w:tcPr>
            <w:tcW w:w="368" w:type="pct"/>
            <w:vMerge w:val="continue"/>
            <w:tcBorders>
              <w:top w:val="nil"/>
              <w:bottom w:val="single" w:color="auto" w:sz="4" w:space="0"/>
              <w:right w:val="single" w:color="auto" w:sz="4" w:space="0"/>
            </w:tcBorders>
            <w:noWrap/>
            <w:vAlign w:val="center"/>
          </w:tcPr>
          <w:p>
            <w:pPr>
              <w:widowControl/>
              <w:jc w:val="left"/>
              <w:rPr>
                <w:rFonts w:ascii="宋体" w:hAnsi="宋体"/>
                <w:color w:val="000000" w:themeColor="text1"/>
                <w14:textFill>
                  <w14:solidFill>
                    <w14:schemeClr w14:val="tx1"/>
                  </w14:solidFill>
                </w14:textFill>
              </w:rPr>
            </w:pPr>
          </w:p>
        </w:tc>
        <w:tc>
          <w:tcPr>
            <w:tcW w:w="515" w:type="pct"/>
            <w:vMerge w:val="continue"/>
            <w:tcBorders>
              <w:left w:val="nil"/>
              <w:right w:val="single" w:color="auto" w:sz="4" w:space="0"/>
            </w:tcBorders>
            <w:noWrap/>
            <w:vAlign w:val="center"/>
          </w:tcPr>
          <w:p>
            <w:pPr>
              <w:widowControl/>
              <w:jc w:val="left"/>
              <w:rPr>
                <w:rFonts w:ascii="宋体" w:hAnsi="宋体"/>
                <w:color w:val="auto"/>
              </w:rPr>
            </w:pPr>
          </w:p>
        </w:tc>
        <w:tc>
          <w:tcPr>
            <w:tcW w:w="2518" w:type="pct"/>
            <w:tcBorders>
              <w:top w:val="single" w:color="auto" w:sz="4" w:space="0"/>
              <w:left w:val="nil"/>
              <w:bottom w:val="single" w:color="auto" w:sz="4" w:space="0"/>
              <w:right w:val="single" w:color="auto" w:sz="4" w:space="0"/>
            </w:tcBorders>
            <w:noWrap/>
          </w:tcPr>
          <w:p>
            <w:pPr>
              <w:spacing w:line="320" w:lineRule="exact"/>
              <w:rPr>
                <w:rFonts w:ascii="宋体" w:hAnsi="宋体"/>
                <w:color w:val="auto"/>
              </w:rPr>
            </w:pPr>
            <w:r>
              <w:rPr>
                <w:rFonts w:hint="eastAsia" w:ascii="宋体" w:hAnsi="宋体"/>
                <w:color w:val="auto"/>
              </w:rPr>
              <w:t>劳动防护措施到位、标识规范，服务措施完善。</w:t>
            </w:r>
          </w:p>
        </w:tc>
        <w:tc>
          <w:tcPr>
            <w:tcW w:w="1599" w:type="pct"/>
            <w:tcBorders>
              <w:top w:val="single" w:color="auto" w:sz="4" w:space="0"/>
              <w:left w:val="nil"/>
              <w:bottom w:val="single" w:color="auto" w:sz="4" w:space="0"/>
            </w:tcBorders>
            <w:noWrap/>
          </w:tcPr>
          <w:p>
            <w:pPr>
              <w:spacing w:line="320" w:lineRule="exact"/>
              <w:jc w:val="left"/>
              <w:rPr>
                <w:rFonts w:ascii="宋体" w:hAnsi="宋体"/>
                <w:color w:val="auto"/>
              </w:rPr>
            </w:pPr>
            <w:r>
              <w:rPr>
                <w:rFonts w:hint="eastAsia" w:ascii="宋体" w:hAnsi="宋体"/>
                <w:color w:val="auto"/>
              </w:rPr>
              <w:t>2分/次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 w:hRule="atLeast"/>
        </w:trPr>
        <w:tc>
          <w:tcPr>
            <w:tcW w:w="368" w:type="pct"/>
            <w:vMerge w:val="continue"/>
            <w:tcBorders>
              <w:top w:val="nil"/>
              <w:bottom w:val="single" w:color="auto" w:sz="4" w:space="0"/>
              <w:right w:val="single" w:color="auto" w:sz="4" w:space="0"/>
            </w:tcBorders>
            <w:noWrap/>
            <w:vAlign w:val="center"/>
          </w:tcPr>
          <w:p>
            <w:pPr>
              <w:widowControl/>
              <w:jc w:val="left"/>
              <w:rPr>
                <w:rFonts w:ascii="宋体" w:hAnsi="宋体"/>
                <w:color w:val="000000" w:themeColor="text1"/>
                <w14:textFill>
                  <w14:solidFill>
                    <w14:schemeClr w14:val="tx1"/>
                  </w14:solidFill>
                </w14:textFill>
              </w:rPr>
            </w:pPr>
          </w:p>
        </w:tc>
        <w:tc>
          <w:tcPr>
            <w:tcW w:w="515" w:type="pct"/>
            <w:vMerge w:val="continue"/>
            <w:tcBorders>
              <w:left w:val="nil"/>
              <w:right w:val="single" w:color="auto" w:sz="4" w:space="0"/>
            </w:tcBorders>
            <w:noWrap/>
            <w:vAlign w:val="center"/>
          </w:tcPr>
          <w:p>
            <w:pPr>
              <w:widowControl/>
              <w:jc w:val="left"/>
              <w:rPr>
                <w:rFonts w:ascii="宋体" w:hAnsi="宋体"/>
                <w:color w:val="auto"/>
              </w:rPr>
            </w:pPr>
          </w:p>
        </w:tc>
        <w:tc>
          <w:tcPr>
            <w:tcW w:w="2518" w:type="pct"/>
            <w:tcBorders>
              <w:top w:val="single" w:color="auto" w:sz="4" w:space="0"/>
              <w:left w:val="nil"/>
              <w:bottom w:val="single" w:color="auto" w:sz="4" w:space="0"/>
              <w:right w:val="single" w:color="auto" w:sz="4" w:space="0"/>
            </w:tcBorders>
            <w:noWrap/>
          </w:tcPr>
          <w:p>
            <w:pPr>
              <w:spacing w:line="320" w:lineRule="exact"/>
              <w:rPr>
                <w:rFonts w:ascii="宋体" w:hAnsi="宋体"/>
                <w:color w:val="auto"/>
              </w:rPr>
            </w:pPr>
            <w:r>
              <w:rPr>
                <w:rFonts w:hint="eastAsia" w:ascii="宋体" w:hAnsi="宋体"/>
                <w:color w:val="auto"/>
              </w:rPr>
              <w:t>建立并落实安全管理制度，定期组织安全培训安全标示规范、明晰，安全设施齐全，操作人员按要求佩戴劳动防护用具。</w:t>
            </w:r>
          </w:p>
        </w:tc>
        <w:tc>
          <w:tcPr>
            <w:tcW w:w="1599" w:type="pct"/>
            <w:tcBorders>
              <w:top w:val="single" w:color="auto" w:sz="4" w:space="0"/>
              <w:left w:val="nil"/>
              <w:bottom w:val="single" w:color="auto" w:sz="4" w:space="0"/>
            </w:tcBorders>
            <w:noWrap/>
          </w:tcPr>
          <w:p>
            <w:pPr>
              <w:spacing w:line="320" w:lineRule="exact"/>
              <w:jc w:val="left"/>
              <w:rPr>
                <w:rFonts w:ascii="宋体" w:hAnsi="宋体"/>
                <w:color w:val="auto"/>
              </w:rPr>
            </w:pPr>
            <w:r>
              <w:rPr>
                <w:rFonts w:hint="eastAsia" w:ascii="宋体" w:hAnsi="宋体"/>
                <w:color w:val="auto"/>
              </w:rPr>
              <w:t>2分/次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 w:hRule="atLeast"/>
        </w:trPr>
        <w:tc>
          <w:tcPr>
            <w:tcW w:w="368" w:type="pct"/>
            <w:vMerge w:val="continue"/>
            <w:tcBorders>
              <w:top w:val="nil"/>
              <w:bottom w:val="single" w:color="auto" w:sz="4" w:space="0"/>
              <w:right w:val="single" w:color="auto" w:sz="4" w:space="0"/>
            </w:tcBorders>
            <w:noWrap/>
            <w:vAlign w:val="center"/>
          </w:tcPr>
          <w:p>
            <w:pPr>
              <w:widowControl/>
              <w:jc w:val="left"/>
              <w:rPr>
                <w:rFonts w:ascii="宋体" w:hAnsi="宋体"/>
                <w:color w:val="000000" w:themeColor="text1"/>
                <w14:textFill>
                  <w14:solidFill>
                    <w14:schemeClr w14:val="tx1"/>
                  </w14:solidFill>
                </w14:textFill>
              </w:rPr>
            </w:pPr>
          </w:p>
        </w:tc>
        <w:tc>
          <w:tcPr>
            <w:tcW w:w="515" w:type="pct"/>
            <w:vMerge w:val="continue"/>
            <w:tcBorders>
              <w:left w:val="nil"/>
              <w:right w:val="single" w:color="auto" w:sz="4" w:space="0"/>
            </w:tcBorders>
            <w:noWrap/>
            <w:vAlign w:val="center"/>
          </w:tcPr>
          <w:p>
            <w:pPr>
              <w:widowControl/>
              <w:jc w:val="left"/>
              <w:rPr>
                <w:rFonts w:ascii="宋体" w:hAnsi="宋体"/>
                <w:color w:val="auto"/>
              </w:rPr>
            </w:pPr>
          </w:p>
        </w:tc>
        <w:tc>
          <w:tcPr>
            <w:tcW w:w="2518" w:type="pct"/>
            <w:tcBorders>
              <w:top w:val="single" w:color="auto" w:sz="4" w:space="0"/>
              <w:left w:val="nil"/>
              <w:bottom w:val="single" w:color="auto" w:sz="4" w:space="0"/>
              <w:right w:val="single" w:color="auto" w:sz="4" w:space="0"/>
            </w:tcBorders>
            <w:noWrap/>
          </w:tcPr>
          <w:p>
            <w:pPr>
              <w:spacing w:line="320" w:lineRule="exact"/>
              <w:rPr>
                <w:rFonts w:ascii="宋体" w:hAnsi="宋体"/>
                <w:color w:val="auto"/>
              </w:rPr>
            </w:pPr>
            <w:r>
              <w:rPr>
                <w:rFonts w:hint="eastAsia" w:ascii="宋体" w:hAnsi="宋体"/>
                <w:color w:val="auto"/>
              </w:rPr>
              <w:t>建立危化品管理制度，严格应按相关规范要求在厂区内运输、贮存和使用。</w:t>
            </w:r>
          </w:p>
        </w:tc>
        <w:tc>
          <w:tcPr>
            <w:tcW w:w="1599" w:type="pct"/>
            <w:tcBorders>
              <w:top w:val="single" w:color="auto" w:sz="4" w:space="0"/>
              <w:left w:val="nil"/>
              <w:bottom w:val="single" w:color="auto" w:sz="4" w:space="0"/>
            </w:tcBorders>
            <w:noWrap/>
          </w:tcPr>
          <w:p>
            <w:pPr>
              <w:spacing w:line="320" w:lineRule="exact"/>
              <w:jc w:val="left"/>
              <w:rPr>
                <w:rFonts w:ascii="宋体" w:hAnsi="宋体"/>
                <w:color w:val="auto"/>
              </w:rPr>
            </w:pPr>
            <w:r>
              <w:rPr>
                <w:rFonts w:hint="eastAsia" w:ascii="宋体" w:hAnsi="宋体"/>
                <w:color w:val="auto"/>
              </w:rPr>
              <w:t>2分/次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 w:hRule="atLeast"/>
        </w:trPr>
        <w:tc>
          <w:tcPr>
            <w:tcW w:w="368" w:type="pct"/>
            <w:vMerge w:val="continue"/>
            <w:tcBorders>
              <w:top w:val="nil"/>
              <w:bottom w:val="single" w:color="auto" w:sz="4" w:space="0"/>
              <w:right w:val="single" w:color="auto" w:sz="4" w:space="0"/>
            </w:tcBorders>
            <w:noWrap/>
            <w:vAlign w:val="center"/>
          </w:tcPr>
          <w:p>
            <w:pPr>
              <w:widowControl/>
              <w:jc w:val="left"/>
              <w:rPr>
                <w:rFonts w:ascii="宋体" w:hAnsi="宋体"/>
                <w:color w:val="000000" w:themeColor="text1"/>
                <w14:textFill>
                  <w14:solidFill>
                    <w14:schemeClr w14:val="tx1"/>
                  </w14:solidFill>
                </w14:textFill>
              </w:rPr>
            </w:pPr>
          </w:p>
        </w:tc>
        <w:tc>
          <w:tcPr>
            <w:tcW w:w="515" w:type="pct"/>
            <w:vMerge w:val="continue"/>
            <w:tcBorders>
              <w:left w:val="nil"/>
              <w:right w:val="single" w:color="auto" w:sz="4" w:space="0"/>
            </w:tcBorders>
            <w:noWrap/>
            <w:vAlign w:val="center"/>
          </w:tcPr>
          <w:p>
            <w:pPr>
              <w:widowControl/>
              <w:jc w:val="left"/>
              <w:rPr>
                <w:rFonts w:ascii="宋体" w:hAnsi="宋体"/>
                <w:color w:val="auto"/>
              </w:rPr>
            </w:pPr>
          </w:p>
        </w:tc>
        <w:tc>
          <w:tcPr>
            <w:tcW w:w="2518" w:type="pct"/>
            <w:tcBorders>
              <w:top w:val="single" w:color="auto" w:sz="4" w:space="0"/>
              <w:left w:val="nil"/>
              <w:bottom w:val="single" w:color="auto" w:sz="4" w:space="0"/>
              <w:right w:val="single" w:color="auto" w:sz="4" w:space="0"/>
            </w:tcBorders>
            <w:noWrap/>
          </w:tcPr>
          <w:p>
            <w:pPr>
              <w:spacing w:line="320" w:lineRule="exact"/>
              <w:rPr>
                <w:rFonts w:ascii="宋体" w:hAnsi="宋体"/>
                <w:color w:val="auto"/>
              </w:rPr>
            </w:pPr>
            <w:r>
              <w:rPr>
                <w:rFonts w:hint="eastAsia" w:ascii="宋体" w:hAnsi="宋体"/>
                <w:color w:val="auto"/>
              </w:rPr>
              <w:t>做好安全、环保相关知识培训工作；制定应急预案，保障应急物资定期组织应急演练，防止发生安全、环保事故。</w:t>
            </w:r>
          </w:p>
        </w:tc>
        <w:tc>
          <w:tcPr>
            <w:tcW w:w="1599" w:type="pct"/>
            <w:tcBorders>
              <w:top w:val="single" w:color="auto" w:sz="4" w:space="0"/>
              <w:left w:val="nil"/>
              <w:bottom w:val="single" w:color="auto" w:sz="4" w:space="0"/>
            </w:tcBorders>
            <w:noWrap/>
          </w:tcPr>
          <w:p>
            <w:pPr>
              <w:spacing w:line="320" w:lineRule="exact"/>
              <w:jc w:val="left"/>
              <w:rPr>
                <w:rFonts w:ascii="宋体" w:hAnsi="宋体"/>
                <w:color w:val="auto"/>
              </w:rPr>
            </w:pPr>
            <w:r>
              <w:rPr>
                <w:rFonts w:hint="eastAsia" w:ascii="宋体" w:hAnsi="宋体"/>
                <w:color w:val="auto"/>
              </w:rPr>
              <w:t>2分/次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368" w:type="pct"/>
            <w:vMerge w:val="continue"/>
            <w:tcBorders>
              <w:top w:val="nil"/>
              <w:bottom w:val="single" w:color="auto" w:sz="4" w:space="0"/>
              <w:right w:val="single" w:color="auto" w:sz="4" w:space="0"/>
            </w:tcBorders>
            <w:noWrap/>
            <w:vAlign w:val="center"/>
          </w:tcPr>
          <w:p>
            <w:pPr>
              <w:widowControl/>
              <w:jc w:val="left"/>
              <w:rPr>
                <w:rFonts w:ascii="宋体" w:hAnsi="宋体"/>
                <w:color w:val="000000" w:themeColor="text1"/>
                <w14:textFill>
                  <w14:solidFill>
                    <w14:schemeClr w14:val="tx1"/>
                  </w14:solidFill>
                </w14:textFill>
              </w:rPr>
            </w:pPr>
          </w:p>
        </w:tc>
        <w:tc>
          <w:tcPr>
            <w:tcW w:w="515" w:type="pct"/>
            <w:vMerge w:val="continue"/>
            <w:tcBorders>
              <w:left w:val="nil"/>
              <w:right w:val="single" w:color="auto" w:sz="4" w:space="0"/>
            </w:tcBorders>
            <w:noWrap/>
            <w:vAlign w:val="center"/>
          </w:tcPr>
          <w:p>
            <w:pPr>
              <w:widowControl/>
              <w:jc w:val="left"/>
              <w:rPr>
                <w:rFonts w:ascii="宋体" w:hAnsi="宋体"/>
                <w:color w:val="auto"/>
              </w:rPr>
            </w:pPr>
          </w:p>
        </w:tc>
        <w:tc>
          <w:tcPr>
            <w:tcW w:w="2518" w:type="pct"/>
            <w:tcBorders>
              <w:top w:val="single" w:color="auto" w:sz="4" w:space="0"/>
              <w:left w:val="nil"/>
              <w:bottom w:val="single" w:color="auto" w:sz="4" w:space="0"/>
              <w:right w:val="single" w:color="auto" w:sz="4" w:space="0"/>
            </w:tcBorders>
            <w:noWrap/>
          </w:tcPr>
          <w:p>
            <w:pPr>
              <w:spacing w:line="320" w:lineRule="exact"/>
              <w:rPr>
                <w:rFonts w:ascii="宋体" w:hAnsi="宋体"/>
                <w:color w:val="auto"/>
              </w:rPr>
            </w:pPr>
            <w:r>
              <w:rPr>
                <w:rFonts w:hint="eastAsia" w:ascii="宋体" w:hAnsi="宋体"/>
                <w:color w:val="auto"/>
              </w:rPr>
              <w:t>日常运营台账规范、齐全，确保数据真实，根据厂区实情，编制可操作性强的各种（火灾、触电、中毒、防汛、停电、重要设备故障）预案。</w:t>
            </w:r>
          </w:p>
        </w:tc>
        <w:tc>
          <w:tcPr>
            <w:tcW w:w="1599" w:type="pct"/>
            <w:tcBorders>
              <w:top w:val="single" w:color="auto" w:sz="4" w:space="0"/>
              <w:left w:val="nil"/>
              <w:bottom w:val="single" w:color="auto" w:sz="4" w:space="0"/>
            </w:tcBorders>
            <w:noWrap/>
          </w:tcPr>
          <w:p>
            <w:pPr>
              <w:spacing w:line="320" w:lineRule="exact"/>
              <w:jc w:val="left"/>
              <w:rPr>
                <w:rFonts w:ascii="宋体" w:hAnsi="宋体"/>
                <w:color w:val="auto"/>
              </w:rPr>
            </w:pPr>
            <w:r>
              <w:rPr>
                <w:rFonts w:hint="eastAsia" w:ascii="宋体" w:hAnsi="宋体"/>
                <w:color w:val="auto"/>
              </w:rPr>
              <w:t>2分/次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368" w:type="pct"/>
            <w:vMerge w:val="continue"/>
            <w:tcBorders>
              <w:top w:val="nil"/>
              <w:bottom w:val="single" w:color="auto" w:sz="4" w:space="0"/>
              <w:right w:val="single" w:color="auto" w:sz="4" w:space="0"/>
            </w:tcBorders>
            <w:noWrap/>
            <w:vAlign w:val="center"/>
          </w:tcPr>
          <w:p>
            <w:pPr>
              <w:widowControl/>
              <w:jc w:val="left"/>
              <w:rPr>
                <w:rFonts w:ascii="宋体" w:hAnsi="宋体"/>
                <w:color w:val="000000" w:themeColor="text1"/>
                <w14:textFill>
                  <w14:solidFill>
                    <w14:schemeClr w14:val="tx1"/>
                  </w14:solidFill>
                </w14:textFill>
              </w:rPr>
            </w:pPr>
          </w:p>
        </w:tc>
        <w:tc>
          <w:tcPr>
            <w:tcW w:w="515" w:type="pct"/>
            <w:vMerge w:val="continue"/>
            <w:tcBorders>
              <w:left w:val="nil"/>
              <w:right w:val="single" w:color="auto" w:sz="4" w:space="0"/>
            </w:tcBorders>
            <w:noWrap/>
            <w:vAlign w:val="center"/>
          </w:tcPr>
          <w:p>
            <w:pPr>
              <w:widowControl/>
              <w:jc w:val="left"/>
              <w:rPr>
                <w:rFonts w:ascii="宋体" w:hAnsi="宋体"/>
                <w:color w:val="auto"/>
              </w:rPr>
            </w:pPr>
          </w:p>
        </w:tc>
        <w:tc>
          <w:tcPr>
            <w:tcW w:w="2518" w:type="pct"/>
            <w:tcBorders>
              <w:top w:val="single" w:color="auto" w:sz="4" w:space="0"/>
              <w:left w:val="nil"/>
              <w:bottom w:val="single" w:color="auto" w:sz="4" w:space="0"/>
              <w:right w:val="single" w:color="auto" w:sz="4" w:space="0"/>
            </w:tcBorders>
            <w:noWrap/>
          </w:tcPr>
          <w:p>
            <w:pPr>
              <w:spacing w:line="320" w:lineRule="exact"/>
              <w:rPr>
                <w:rFonts w:ascii="宋体" w:hAnsi="宋体"/>
                <w:color w:val="auto"/>
              </w:rPr>
            </w:pPr>
            <w:r>
              <w:rPr>
                <w:rFonts w:hint="eastAsia" w:ascii="宋体" w:hAnsi="宋体"/>
                <w:color w:val="auto"/>
              </w:rPr>
              <w:t>按要求报备检修计划，并严格执行调度指令。</w:t>
            </w:r>
          </w:p>
        </w:tc>
        <w:tc>
          <w:tcPr>
            <w:tcW w:w="1599" w:type="pct"/>
            <w:tcBorders>
              <w:top w:val="single" w:color="auto" w:sz="4" w:space="0"/>
              <w:left w:val="nil"/>
              <w:bottom w:val="single" w:color="auto" w:sz="4" w:space="0"/>
            </w:tcBorders>
            <w:noWrap/>
          </w:tcPr>
          <w:p>
            <w:pPr>
              <w:spacing w:line="320" w:lineRule="exact"/>
              <w:jc w:val="left"/>
              <w:rPr>
                <w:rFonts w:ascii="宋体" w:hAnsi="宋体"/>
                <w:color w:val="auto"/>
              </w:rPr>
            </w:pPr>
            <w:r>
              <w:rPr>
                <w:rFonts w:hint="eastAsia" w:ascii="宋体" w:hAnsi="宋体"/>
                <w:color w:val="auto"/>
              </w:rPr>
              <w:t>2分/次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368" w:type="pct"/>
            <w:vMerge w:val="continue"/>
            <w:tcBorders>
              <w:top w:val="nil"/>
              <w:bottom w:val="single" w:color="auto" w:sz="4" w:space="0"/>
              <w:right w:val="single" w:color="auto" w:sz="4" w:space="0"/>
            </w:tcBorders>
            <w:noWrap/>
            <w:vAlign w:val="center"/>
          </w:tcPr>
          <w:p>
            <w:pPr>
              <w:widowControl/>
              <w:jc w:val="left"/>
              <w:rPr>
                <w:rFonts w:ascii="宋体" w:hAnsi="宋体"/>
                <w:color w:val="000000" w:themeColor="text1"/>
                <w14:textFill>
                  <w14:solidFill>
                    <w14:schemeClr w14:val="tx1"/>
                  </w14:solidFill>
                </w14:textFill>
              </w:rPr>
            </w:pPr>
          </w:p>
        </w:tc>
        <w:tc>
          <w:tcPr>
            <w:tcW w:w="515" w:type="pct"/>
            <w:vMerge w:val="continue"/>
            <w:tcBorders>
              <w:left w:val="nil"/>
              <w:right w:val="single" w:color="auto" w:sz="4" w:space="0"/>
            </w:tcBorders>
            <w:noWrap/>
            <w:vAlign w:val="center"/>
          </w:tcPr>
          <w:p>
            <w:pPr>
              <w:widowControl/>
              <w:jc w:val="left"/>
              <w:rPr>
                <w:rFonts w:ascii="宋体" w:hAnsi="宋体"/>
                <w:color w:val="auto"/>
              </w:rPr>
            </w:pPr>
          </w:p>
        </w:tc>
        <w:tc>
          <w:tcPr>
            <w:tcW w:w="2518" w:type="pct"/>
            <w:tcBorders>
              <w:top w:val="single" w:color="auto" w:sz="4" w:space="0"/>
              <w:left w:val="nil"/>
              <w:bottom w:val="single" w:color="auto" w:sz="4" w:space="0"/>
              <w:right w:val="single" w:color="auto" w:sz="4" w:space="0"/>
            </w:tcBorders>
            <w:noWrap/>
          </w:tcPr>
          <w:p>
            <w:pPr>
              <w:spacing w:line="320" w:lineRule="exact"/>
              <w:rPr>
                <w:rFonts w:ascii="宋体" w:hAnsi="宋体"/>
                <w:color w:val="auto"/>
              </w:rPr>
            </w:pPr>
            <w:r>
              <w:rPr>
                <w:rFonts w:hint="eastAsia" w:ascii="宋体" w:hAnsi="宋体"/>
                <w:color w:val="auto"/>
              </w:rPr>
              <w:t>不得擅自调整主要处置工艺和流程。</w:t>
            </w:r>
          </w:p>
        </w:tc>
        <w:tc>
          <w:tcPr>
            <w:tcW w:w="1599" w:type="pct"/>
            <w:tcBorders>
              <w:top w:val="single" w:color="auto" w:sz="4" w:space="0"/>
              <w:left w:val="nil"/>
              <w:bottom w:val="single" w:color="auto" w:sz="4" w:space="0"/>
            </w:tcBorders>
            <w:noWrap/>
          </w:tcPr>
          <w:p>
            <w:pPr>
              <w:spacing w:line="320" w:lineRule="exact"/>
              <w:rPr>
                <w:rFonts w:ascii="宋体" w:hAnsi="宋体"/>
                <w:color w:val="auto"/>
              </w:rPr>
            </w:pPr>
            <w:r>
              <w:rPr>
                <w:rFonts w:hint="eastAsia" w:ascii="宋体" w:hAnsi="宋体"/>
                <w:color w:val="auto"/>
              </w:rPr>
              <w:t>2分/次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368" w:type="pct"/>
            <w:vMerge w:val="continue"/>
            <w:tcBorders>
              <w:top w:val="nil"/>
              <w:bottom w:val="single" w:color="auto" w:sz="4" w:space="0"/>
              <w:right w:val="single" w:color="auto" w:sz="4" w:space="0"/>
            </w:tcBorders>
            <w:noWrap/>
            <w:vAlign w:val="center"/>
          </w:tcPr>
          <w:p>
            <w:pPr>
              <w:widowControl/>
              <w:jc w:val="left"/>
              <w:rPr>
                <w:rFonts w:ascii="宋体" w:hAnsi="宋体"/>
                <w:color w:val="000000" w:themeColor="text1"/>
                <w14:textFill>
                  <w14:solidFill>
                    <w14:schemeClr w14:val="tx1"/>
                  </w14:solidFill>
                </w14:textFill>
              </w:rPr>
            </w:pPr>
          </w:p>
        </w:tc>
        <w:tc>
          <w:tcPr>
            <w:tcW w:w="515" w:type="pct"/>
            <w:vMerge w:val="continue"/>
            <w:tcBorders>
              <w:left w:val="nil"/>
              <w:right w:val="single" w:color="auto" w:sz="4" w:space="0"/>
            </w:tcBorders>
            <w:noWrap/>
            <w:vAlign w:val="center"/>
          </w:tcPr>
          <w:p>
            <w:pPr>
              <w:widowControl/>
              <w:jc w:val="left"/>
              <w:rPr>
                <w:rFonts w:ascii="宋体" w:hAnsi="宋体"/>
                <w:color w:val="auto"/>
              </w:rPr>
            </w:pPr>
          </w:p>
        </w:tc>
        <w:tc>
          <w:tcPr>
            <w:tcW w:w="2518" w:type="pct"/>
            <w:tcBorders>
              <w:top w:val="single" w:color="auto" w:sz="4" w:space="0"/>
              <w:left w:val="nil"/>
              <w:bottom w:val="single" w:color="auto" w:sz="4" w:space="0"/>
              <w:right w:val="single" w:color="auto" w:sz="4" w:space="0"/>
            </w:tcBorders>
            <w:noWrap/>
          </w:tcPr>
          <w:p>
            <w:pPr>
              <w:spacing w:line="320" w:lineRule="exact"/>
              <w:rPr>
                <w:rFonts w:ascii="宋体" w:hAnsi="宋体"/>
                <w:color w:val="auto"/>
              </w:rPr>
            </w:pPr>
            <w:r>
              <w:rPr>
                <w:rFonts w:hint="eastAsia" w:ascii="宋体" w:hAnsi="宋体"/>
                <w:color w:val="auto"/>
              </w:rPr>
              <w:t>突发事件时按要求启动应急预案。</w:t>
            </w:r>
          </w:p>
        </w:tc>
        <w:tc>
          <w:tcPr>
            <w:tcW w:w="1599" w:type="pct"/>
            <w:tcBorders>
              <w:top w:val="single" w:color="auto" w:sz="4" w:space="0"/>
              <w:left w:val="nil"/>
              <w:bottom w:val="single" w:color="auto" w:sz="4" w:space="0"/>
            </w:tcBorders>
            <w:noWrap/>
          </w:tcPr>
          <w:p>
            <w:pPr>
              <w:spacing w:line="320" w:lineRule="exact"/>
              <w:rPr>
                <w:rFonts w:ascii="宋体" w:hAnsi="宋体"/>
                <w:color w:val="auto"/>
              </w:rPr>
            </w:pPr>
            <w:r>
              <w:rPr>
                <w:rFonts w:hint="eastAsia" w:ascii="宋体" w:hAnsi="宋体"/>
                <w:color w:val="auto"/>
              </w:rPr>
              <w:t>2分/次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368" w:type="pct"/>
            <w:vMerge w:val="continue"/>
            <w:tcBorders>
              <w:top w:val="nil"/>
              <w:bottom w:val="single" w:color="auto" w:sz="4" w:space="0"/>
              <w:right w:val="single" w:color="auto" w:sz="4" w:space="0"/>
            </w:tcBorders>
            <w:noWrap/>
            <w:vAlign w:val="center"/>
          </w:tcPr>
          <w:p>
            <w:pPr>
              <w:widowControl/>
              <w:jc w:val="left"/>
              <w:rPr>
                <w:rFonts w:ascii="宋体" w:hAnsi="宋体"/>
                <w:color w:val="000000" w:themeColor="text1"/>
                <w14:textFill>
                  <w14:solidFill>
                    <w14:schemeClr w14:val="tx1"/>
                  </w14:solidFill>
                </w14:textFill>
              </w:rPr>
            </w:pPr>
          </w:p>
        </w:tc>
        <w:tc>
          <w:tcPr>
            <w:tcW w:w="515" w:type="pct"/>
            <w:vMerge w:val="continue"/>
            <w:tcBorders>
              <w:left w:val="nil"/>
              <w:bottom w:val="single" w:color="auto" w:sz="4" w:space="0"/>
              <w:right w:val="single" w:color="auto" w:sz="4" w:space="0"/>
            </w:tcBorders>
            <w:noWrap/>
            <w:vAlign w:val="center"/>
          </w:tcPr>
          <w:p>
            <w:pPr>
              <w:widowControl/>
              <w:jc w:val="left"/>
              <w:rPr>
                <w:rFonts w:ascii="宋体" w:hAnsi="宋体"/>
                <w:color w:val="auto"/>
              </w:rPr>
            </w:pPr>
          </w:p>
        </w:tc>
        <w:tc>
          <w:tcPr>
            <w:tcW w:w="2518" w:type="pct"/>
            <w:tcBorders>
              <w:top w:val="single" w:color="auto" w:sz="4" w:space="0"/>
              <w:left w:val="nil"/>
              <w:bottom w:val="single" w:color="auto" w:sz="4" w:space="0"/>
              <w:right w:val="single" w:color="auto" w:sz="4" w:space="0"/>
            </w:tcBorders>
            <w:noWrap/>
            <w:vAlign w:val="center"/>
          </w:tcPr>
          <w:p>
            <w:pPr>
              <w:spacing w:line="320" w:lineRule="exact"/>
              <w:rPr>
                <w:rFonts w:ascii="宋体" w:hAnsi="宋体"/>
                <w:color w:val="auto"/>
              </w:rPr>
            </w:pPr>
            <w:r>
              <w:rPr>
                <w:rFonts w:hint="eastAsia" w:ascii="宋体" w:hAnsi="宋体"/>
                <w:color w:val="auto"/>
              </w:rPr>
              <w:t>严禁发生生产安全事故、环境事件和群访事件。</w:t>
            </w:r>
          </w:p>
        </w:tc>
        <w:tc>
          <w:tcPr>
            <w:tcW w:w="1599" w:type="pct"/>
            <w:tcBorders>
              <w:top w:val="single" w:color="auto" w:sz="4" w:space="0"/>
              <w:left w:val="nil"/>
              <w:bottom w:val="single" w:color="auto" w:sz="4" w:space="0"/>
            </w:tcBorders>
            <w:noWrap/>
          </w:tcPr>
          <w:p>
            <w:pPr>
              <w:spacing w:line="320" w:lineRule="exact"/>
              <w:rPr>
                <w:rFonts w:ascii="宋体" w:hAnsi="宋体"/>
                <w:color w:val="auto"/>
              </w:rPr>
            </w:pPr>
            <w:r>
              <w:rPr>
                <w:rFonts w:hint="eastAsia" w:ascii="宋体" w:hAnsi="宋体"/>
                <w:color w:val="auto"/>
              </w:rPr>
              <w:t>发生一般生产安全事故、环境事件和群访事件的，每次扣5分；发生一般安全生产事故、环境事件和群访事件以上等级的，每次扣20分；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 w:hRule="atLeast"/>
        </w:trPr>
        <w:tc>
          <w:tcPr>
            <w:tcW w:w="368" w:type="pct"/>
            <w:vMerge w:val="continue"/>
            <w:tcBorders>
              <w:top w:val="nil"/>
              <w:bottom w:val="single" w:color="auto" w:sz="4" w:space="0"/>
              <w:right w:val="single" w:color="auto" w:sz="4" w:space="0"/>
            </w:tcBorders>
            <w:noWrap/>
            <w:vAlign w:val="center"/>
          </w:tcPr>
          <w:p>
            <w:pPr>
              <w:widowControl/>
              <w:jc w:val="left"/>
              <w:rPr>
                <w:rFonts w:ascii="宋体" w:hAnsi="宋体"/>
                <w:color w:val="000000" w:themeColor="text1"/>
                <w14:textFill>
                  <w14:solidFill>
                    <w14:schemeClr w14:val="tx1"/>
                  </w14:solidFill>
                </w14:textFill>
              </w:rPr>
            </w:pPr>
          </w:p>
        </w:tc>
        <w:tc>
          <w:tcPr>
            <w:tcW w:w="515" w:type="pct"/>
            <w:vMerge w:val="restart"/>
            <w:tcBorders>
              <w:top w:val="nil"/>
              <w:left w:val="nil"/>
              <w:bottom w:val="single" w:color="auto" w:sz="4" w:space="0"/>
              <w:right w:val="single" w:color="auto" w:sz="4" w:space="0"/>
            </w:tcBorders>
            <w:noWrap/>
            <w:vAlign w:val="center"/>
          </w:tcPr>
          <w:p>
            <w:pPr>
              <w:spacing w:line="320" w:lineRule="exact"/>
              <w:ind w:left="360" w:hanging="360"/>
              <w:rPr>
                <w:rFonts w:ascii="宋体" w:hAnsi="宋体"/>
                <w:color w:val="auto"/>
              </w:rPr>
            </w:pPr>
            <w:r>
              <w:rPr>
                <w:rFonts w:hint="eastAsia" w:ascii="宋体" w:hAnsi="宋体"/>
                <w:color w:val="auto"/>
              </w:rPr>
              <w:t>3、接受监督（10分）</w:t>
            </w:r>
          </w:p>
        </w:tc>
        <w:tc>
          <w:tcPr>
            <w:tcW w:w="2518" w:type="pct"/>
            <w:tcBorders>
              <w:top w:val="single" w:color="auto" w:sz="4" w:space="0"/>
              <w:left w:val="nil"/>
              <w:bottom w:val="single" w:color="auto" w:sz="4" w:space="0"/>
              <w:right w:val="single" w:color="auto" w:sz="4" w:space="0"/>
            </w:tcBorders>
            <w:noWrap/>
          </w:tcPr>
          <w:p>
            <w:pPr>
              <w:spacing w:line="320" w:lineRule="exact"/>
              <w:rPr>
                <w:rFonts w:ascii="宋体" w:hAnsi="宋体"/>
                <w:color w:val="auto"/>
              </w:rPr>
            </w:pPr>
            <w:r>
              <w:rPr>
                <w:rFonts w:hint="eastAsia" w:ascii="宋体" w:hAnsi="宋体"/>
                <w:color w:val="auto"/>
              </w:rPr>
              <w:t>自觉接受公众和媒体监督，相关主管部门或联合安全检查发现存在问题，被检查组要求限期整改，应按时完成整改。</w:t>
            </w:r>
          </w:p>
        </w:tc>
        <w:tc>
          <w:tcPr>
            <w:tcW w:w="1599" w:type="pct"/>
            <w:tcBorders>
              <w:top w:val="single" w:color="auto" w:sz="4" w:space="0"/>
              <w:left w:val="nil"/>
              <w:bottom w:val="single" w:color="auto" w:sz="4" w:space="0"/>
            </w:tcBorders>
            <w:noWrap/>
          </w:tcPr>
          <w:p>
            <w:pPr>
              <w:spacing w:line="320" w:lineRule="exact"/>
              <w:jc w:val="left"/>
              <w:rPr>
                <w:rFonts w:ascii="宋体" w:hAnsi="宋体"/>
                <w:color w:val="auto"/>
              </w:rPr>
            </w:pPr>
            <w:r>
              <w:rPr>
                <w:rFonts w:hint="eastAsia" w:ascii="宋体" w:hAnsi="宋体"/>
                <w:color w:val="auto"/>
              </w:rPr>
              <w:t>2分/次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 w:hRule="atLeast"/>
        </w:trPr>
        <w:tc>
          <w:tcPr>
            <w:tcW w:w="368" w:type="pct"/>
            <w:vMerge w:val="continue"/>
            <w:tcBorders>
              <w:top w:val="nil"/>
              <w:bottom w:val="single" w:color="auto" w:sz="4" w:space="0"/>
              <w:right w:val="single" w:color="auto" w:sz="4" w:space="0"/>
            </w:tcBorders>
            <w:noWrap/>
            <w:vAlign w:val="center"/>
          </w:tcPr>
          <w:p>
            <w:pPr>
              <w:widowControl/>
              <w:jc w:val="left"/>
              <w:rPr>
                <w:rFonts w:ascii="宋体" w:hAnsi="宋体"/>
                <w:color w:val="000000" w:themeColor="text1"/>
                <w14:textFill>
                  <w14:solidFill>
                    <w14:schemeClr w14:val="tx1"/>
                  </w14:solidFill>
                </w14:textFill>
              </w:rPr>
            </w:pPr>
          </w:p>
        </w:tc>
        <w:tc>
          <w:tcPr>
            <w:tcW w:w="515" w:type="pct"/>
            <w:vMerge w:val="continue"/>
            <w:tcBorders>
              <w:top w:val="nil"/>
              <w:left w:val="nil"/>
              <w:bottom w:val="single" w:color="auto" w:sz="4" w:space="0"/>
              <w:right w:val="single" w:color="auto" w:sz="4" w:space="0"/>
            </w:tcBorders>
            <w:noWrap/>
            <w:vAlign w:val="center"/>
          </w:tcPr>
          <w:p>
            <w:pPr>
              <w:widowControl/>
              <w:jc w:val="left"/>
              <w:rPr>
                <w:rFonts w:ascii="宋体" w:hAnsi="宋体"/>
                <w:color w:val="auto"/>
              </w:rPr>
            </w:pPr>
          </w:p>
        </w:tc>
        <w:tc>
          <w:tcPr>
            <w:tcW w:w="2518" w:type="pct"/>
            <w:tcBorders>
              <w:top w:val="single" w:color="auto" w:sz="4" w:space="0"/>
              <w:left w:val="nil"/>
              <w:bottom w:val="single" w:color="auto" w:sz="4" w:space="0"/>
              <w:right w:val="single" w:color="auto" w:sz="4" w:space="0"/>
            </w:tcBorders>
            <w:noWrap/>
          </w:tcPr>
          <w:p>
            <w:pPr>
              <w:spacing w:line="320" w:lineRule="exact"/>
              <w:rPr>
                <w:rFonts w:ascii="宋体" w:hAnsi="宋体"/>
                <w:color w:val="auto"/>
              </w:rPr>
            </w:pPr>
            <w:r>
              <w:rPr>
                <w:rFonts w:hint="eastAsia" w:ascii="宋体" w:hAnsi="宋体"/>
                <w:color w:val="auto"/>
              </w:rPr>
              <w:t>自觉接受村民监督小组监督检查。</w:t>
            </w:r>
          </w:p>
        </w:tc>
        <w:tc>
          <w:tcPr>
            <w:tcW w:w="1599" w:type="pct"/>
            <w:tcBorders>
              <w:top w:val="single" w:color="auto" w:sz="4" w:space="0"/>
              <w:left w:val="nil"/>
              <w:bottom w:val="single" w:color="auto" w:sz="4" w:space="0"/>
            </w:tcBorders>
            <w:noWrap/>
          </w:tcPr>
          <w:p>
            <w:pPr>
              <w:spacing w:line="320" w:lineRule="exact"/>
              <w:jc w:val="left"/>
              <w:rPr>
                <w:rFonts w:ascii="宋体" w:hAnsi="宋体"/>
                <w:color w:val="auto"/>
              </w:rPr>
            </w:pPr>
            <w:r>
              <w:rPr>
                <w:rFonts w:hint="eastAsia" w:ascii="宋体" w:hAnsi="宋体"/>
                <w:color w:val="auto"/>
              </w:rPr>
              <w:t>2分/次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368" w:type="pct"/>
            <w:vMerge w:val="continue"/>
            <w:tcBorders>
              <w:top w:val="nil"/>
              <w:bottom w:val="single" w:color="auto" w:sz="4" w:space="0"/>
              <w:right w:val="single" w:color="auto" w:sz="4" w:space="0"/>
            </w:tcBorders>
            <w:noWrap/>
            <w:vAlign w:val="center"/>
          </w:tcPr>
          <w:p>
            <w:pPr>
              <w:widowControl/>
              <w:jc w:val="left"/>
              <w:rPr>
                <w:rFonts w:ascii="宋体" w:hAnsi="宋体"/>
                <w:color w:val="000000" w:themeColor="text1"/>
                <w14:textFill>
                  <w14:solidFill>
                    <w14:schemeClr w14:val="tx1"/>
                  </w14:solidFill>
                </w14:textFill>
              </w:rPr>
            </w:pPr>
          </w:p>
        </w:tc>
        <w:tc>
          <w:tcPr>
            <w:tcW w:w="515" w:type="pct"/>
            <w:vMerge w:val="continue"/>
            <w:tcBorders>
              <w:top w:val="nil"/>
              <w:left w:val="nil"/>
              <w:bottom w:val="single" w:color="auto" w:sz="4" w:space="0"/>
              <w:right w:val="single" w:color="auto" w:sz="4" w:space="0"/>
            </w:tcBorders>
            <w:noWrap/>
            <w:vAlign w:val="center"/>
          </w:tcPr>
          <w:p>
            <w:pPr>
              <w:widowControl/>
              <w:jc w:val="left"/>
              <w:rPr>
                <w:rFonts w:ascii="宋体" w:hAnsi="宋体"/>
                <w:color w:val="auto"/>
              </w:rPr>
            </w:pPr>
          </w:p>
        </w:tc>
        <w:tc>
          <w:tcPr>
            <w:tcW w:w="2518" w:type="pct"/>
            <w:tcBorders>
              <w:top w:val="single" w:color="auto" w:sz="4" w:space="0"/>
              <w:left w:val="nil"/>
              <w:bottom w:val="single" w:color="auto" w:sz="4" w:space="0"/>
              <w:right w:val="single" w:color="auto" w:sz="4" w:space="0"/>
            </w:tcBorders>
            <w:noWrap/>
          </w:tcPr>
          <w:p>
            <w:pPr>
              <w:spacing w:line="320" w:lineRule="exact"/>
              <w:rPr>
                <w:rFonts w:ascii="宋体" w:hAnsi="宋体"/>
                <w:color w:val="auto"/>
              </w:rPr>
            </w:pPr>
            <w:r>
              <w:rPr>
                <w:rFonts w:hint="eastAsia" w:ascii="宋体" w:hAnsi="宋体"/>
                <w:color w:val="auto"/>
              </w:rPr>
              <w:t>积极配合监管部门日常监管工作，按要求配备远程监控系统，保障在线监管设施设备正常运行，并提供相应的监管办公条件。水质、水量由环保部门在线监测，保证出水水质达标排放，出水计量准确，不合格或超出排水量。</w:t>
            </w:r>
          </w:p>
        </w:tc>
        <w:tc>
          <w:tcPr>
            <w:tcW w:w="1599" w:type="pct"/>
            <w:tcBorders>
              <w:top w:val="single" w:color="auto" w:sz="4" w:space="0"/>
              <w:left w:val="nil"/>
              <w:bottom w:val="single" w:color="auto" w:sz="4" w:space="0"/>
            </w:tcBorders>
            <w:noWrap/>
          </w:tcPr>
          <w:p>
            <w:pPr>
              <w:spacing w:line="320" w:lineRule="exact"/>
              <w:jc w:val="left"/>
              <w:rPr>
                <w:rFonts w:ascii="宋体" w:hAnsi="宋体"/>
                <w:color w:val="auto"/>
              </w:rPr>
            </w:pPr>
            <w:r>
              <w:rPr>
                <w:rFonts w:hint="eastAsia" w:ascii="宋体" w:hAnsi="宋体"/>
                <w:color w:val="auto"/>
              </w:rPr>
              <w:t>2分/次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trPr>
        <w:tc>
          <w:tcPr>
            <w:tcW w:w="368" w:type="pct"/>
            <w:vMerge w:val="continue"/>
            <w:tcBorders>
              <w:top w:val="nil"/>
              <w:bottom w:val="single" w:color="auto" w:sz="4" w:space="0"/>
              <w:right w:val="single" w:color="auto" w:sz="4" w:space="0"/>
            </w:tcBorders>
            <w:noWrap/>
            <w:vAlign w:val="center"/>
          </w:tcPr>
          <w:p>
            <w:pPr>
              <w:widowControl/>
              <w:jc w:val="left"/>
              <w:rPr>
                <w:rFonts w:ascii="宋体" w:hAnsi="宋体"/>
                <w:color w:val="000000" w:themeColor="text1"/>
                <w14:textFill>
                  <w14:solidFill>
                    <w14:schemeClr w14:val="tx1"/>
                  </w14:solidFill>
                </w14:textFill>
              </w:rPr>
            </w:pPr>
          </w:p>
        </w:tc>
        <w:tc>
          <w:tcPr>
            <w:tcW w:w="515" w:type="pct"/>
            <w:vMerge w:val="continue"/>
            <w:tcBorders>
              <w:top w:val="nil"/>
              <w:left w:val="nil"/>
              <w:bottom w:val="single" w:color="auto" w:sz="4" w:space="0"/>
              <w:right w:val="single" w:color="auto" w:sz="4" w:space="0"/>
            </w:tcBorders>
            <w:noWrap/>
            <w:vAlign w:val="center"/>
          </w:tcPr>
          <w:p>
            <w:pPr>
              <w:widowControl/>
              <w:jc w:val="left"/>
              <w:rPr>
                <w:rFonts w:ascii="宋体" w:hAnsi="宋体"/>
                <w:color w:val="000000" w:themeColor="text1"/>
                <w14:textFill>
                  <w14:solidFill>
                    <w14:schemeClr w14:val="tx1"/>
                  </w14:solidFill>
                </w14:textFill>
              </w:rPr>
            </w:pPr>
          </w:p>
        </w:tc>
        <w:tc>
          <w:tcPr>
            <w:tcW w:w="2518" w:type="pct"/>
            <w:tcBorders>
              <w:top w:val="single" w:color="auto" w:sz="4" w:space="0"/>
              <w:left w:val="nil"/>
              <w:bottom w:val="single" w:color="auto" w:sz="4" w:space="0"/>
              <w:right w:val="single" w:color="auto" w:sz="4" w:space="0"/>
            </w:tcBorders>
            <w:noWrap/>
          </w:tcPr>
          <w:p>
            <w:pPr>
              <w:spacing w:line="320" w:lineRule="exac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免费向社会公众开放，接受预约参观。</w:t>
            </w:r>
          </w:p>
        </w:tc>
        <w:tc>
          <w:tcPr>
            <w:tcW w:w="1599" w:type="pct"/>
            <w:tcBorders>
              <w:top w:val="single" w:color="auto" w:sz="4" w:space="0"/>
              <w:left w:val="nil"/>
              <w:bottom w:val="single" w:color="auto" w:sz="4" w:space="0"/>
            </w:tcBorders>
            <w:noWrap/>
          </w:tcPr>
          <w:p>
            <w:pPr>
              <w:spacing w:line="320" w:lineRule="exact"/>
              <w:jc w:val="lef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2分/次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trPr>
        <w:tc>
          <w:tcPr>
            <w:tcW w:w="368" w:type="pct"/>
            <w:vMerge w:val="continue"/>
            <w:tcBorders>
              <w:top w:val="nil"/>
              <w:right w:val="single" w:color="auto" w:sz="4" w:space="0"/>
            </w:tcBorders>
            <w:noWrap/>
            <w:vAlign w:val="center"/>
          </w:tcPr>
          <w:p>
            <w:pPr>
              <w:widowControl/>
              <w:jc w:val="left"/>
              <w:rPr>
                <w:rFonts w:ascii="宋体" w:hAnsi="宋体"/>
                <w:color w:val="000000" w:themeColor="text1"/>
                <w14:textFill>
                  <w14:solidFill>
                    <w14:schemeClr w14:val="tx1"/>
                  </w14:solidFill>
                </w14:textFill>
              </w:rPr>
            </w:pPr>
          </w:p>
        </w:tc>
        <w:tc>
          <w:tcPr>
            <w:tcW w:w="515" w:type="pct"/>
            <w:vMerge w:val="continue"/>
            <w:tcBorders>
              <w:top w:val="nil"/>
              <w:left w:val="nil"/>
              <w:right w:val="single" w:color="auto" w:sz="4" w:space="0"/>
            </w:tcBorders>
            <w:noWrap/>
            <w:vAlign w:val="center"/>
          </w:tcPr>
          <w:p>
            <w:pPr>
              <w:widowControl/>
              <w:jc w:val="left"/>
              <w:rPr>
                <w:rFonts w:ascii="宋体" w:hAnsi="宋体"/>
                <w:color w:val="000000" w:themeColor="text1"/>
                <w14:textFill>
                  <w14:solidFill>
                    <w14:schemeClr w14:val="tx1"/>
                  </w14:solidFill>
                </w14:textFill>
              </w:rPr>
            </w:pPr>
          </w:p>
        </w:tc>
        <w:tc>
          <w:tcPr>
            <w:tcW w:w="2518" w:type="pct"/>
            <w:tcBorders>
              <w:top w:val="single" w:color="auto" w:sz="4" w:space="0"/>
              <w:left w:val="nil"/>
              <w:right w:val="single" w:color="auto" w:sz="4" w:space="0"/>
            </w:tcBorders>
            <w:noWrap/>
          </w:tcPr>
          <w:p>
            <w:pPr>
              <w:spacing w:line="320" w:lineRule="exac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积极配合做好各类重大检查和活动迎检工作。</w:t>
            </w:r>
          </w:p>
        </w:tc>
        <w:tc>
          <w:tcPr>
            <w:tcW w:w="1599" w:type="pct"/>
            <w:tcBorders>
              <w:top w:val="single" w:color="auto" w:sz="4" w:space="0"/>
              <w:left w:val="nil"/>
            </w:tcBorders>
            <w:noWrap/>
          </w:tcPr>
          <w:p>
            <w:pPr>
              <w:spacing w:line="320" w:lineRule="exact"/>
              <w:jc w:val="lef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2分/次</w:t>
            </w:r>
          </w:p>
        </w:tc>
      </w:tr>
    </w:tbl>
    <w:p>
      <w:pPr>
        <w:pStyle w:val="34"/>
        <w:spacing w:line="560" w:lineRule="exact"/>
        <w:rPr>
          <w:rFonts w:hAnsi="宋体"/>
          <w:b/>
          <w:color w:val="000000"/>
          <w:sz w:val="44"/>
          <w:szCs w:val="44"/>
        </w:rPr>
      </w:pPr>
      <w:r>
        <w:rPr>
          <w:rFonts w:hint="eastAsia" w:hAnsi="宋体"/>
          <w:b/>
          <w:bCs/>
          <w:sz w:val="24"/>
          <w:szCs w:val="24"/>
        </w:rPr>
        <w:t>注：分值</w:t>
      </w:r>
      <w:r>
        <w:rPr>
          <w:rFonts w:hint="eastAsia"/>
          <w:b/>
          <w:bCs/>
          <w:sz w:val="24"/>
          <w:szCs w:val="24"/>
        </w:rPr>
        <w:t>500</w:t>
      </w:r>
      <w:r>
        <w:rPr>
          <w:rFonts w:hint="eastAsia" w:hAnsi="宋体"/>
          <w:b/>
          <w:bCs/>
          <w:sz w:val="24"/>
          <w:szCs w:val="24"/>
        </w:rPr>
        <w:t>元</w:t>
      </w:r>
      <w:r>
        <w:rPr>
          <w:rFonts w:hint="eastAsia"/>
          <w:b/>
          <w:bCs/>
          <w:sz w:val="24"/>
          <w:szCs w:val="24"/>
        </w:rPr>
        <w:t>/</w:t>
      </w:r>
      <w:r>
        <w:rPr>
          <w:rFonts w:hint="eastAsia" w:hAnsi="宋体"/>
          <w:b/>
          <w:bCs/>
          <w:sz w:val="24"/>
          <w:szCs w:val="24"/>
        </w:rPr>
        <w:t>分，当月兑现</w:t>
      </w:r>
    </w:p>
    <w:p/>
    <w:p>
      <w:pPr>
        <w:spacing w:line="360" w:lineRule="auto"/>
        <w:jc w:val="both"/>
        <w:outlineLvl w:val="0"/>
        <w:rPr>
          <w:rFonts w:hint="eastAsia" w:ascii="宋体" w:hAnsi="宋体" w:cs="宋体"/>
          <w:b/>
          <w:sz w:val="36"/>
          <w:szCs w:val="36"/>
        </w:rPr>
      </w:pPr>
    </w:p>
    <w:p>
      <w:pPr>
        <w:spacing w:line="360" w:lineRule="auto"/>
        <w:jc w:val="center"/>
        <w:outlineLvl w:val="0"/>
        <w:rPr>
          <w:rFonts w:ascii="宋体" w:hAnsi="宋体" w:cs="宋体"/>
          <w:b/>
          <w:sz w:val="36"/>
          <w:szCs w:val="36"/>
        </w:rPr>
      </w:pPr>
      <w:r>
        <w:rPr>
          <w:rFonts w:hint="eastAsia" w:ascii="宋体" w:hAnsi="宋体" w:cs="宋体"/>
          <w:b/>
          <w:sz w:val="36"/>
          <w:szCs w:val="36"/>
        </w:rPr>
        <w:t xml:space="preserve">第四部分   </w:t>
      </w:r>
      <w:bookmarkStart w:id="28" w:name="_Toc184310277"/>
      <w:bookmarkEnd w:id="28"/>
      <w:bookmarkStart w:id="29" w:name="_Toc184308083"/>
      <w:bookmarkEnd w:id="29"/>
      <w:bookmarkStart w:id="30" w:name="_Toc184308054"/>
      <w:bookmarkEnd w:id="30"/>
      <w:bookmarkStart w:id="31" w:name="_Toc184314433"/>
      <w:bookmarkEnd w:id="31"/>
      <w:bookmarkStart w:id="32" w:name="_Toc184312121"/>
      <w:bookmarkEnd w:id="32"/>
      <w:bookmarkStart w:id="33" w:name="_Toc184312133"/>
      <w:bookmarkEnd w:id="33"/>
      <w:bookmarkStart w:id="34" w:name="_Toc184314436"/>
      <w:bookmarkEnd w:id="34"/>
      <w:bookmarkStart w:id="35" w:name="_Toc184312125"/>
      <w:bookmarkEnd w:id="35"/>
      <w:bookmarkStart w:id="36" w:name="_Toc184310309"/>
      <w:bookmarkEnd w:id="36"/>
      <w:bookmarkStart w:id="37" w:name="_Toc184314456"/>
      <w:bookmarkEnd w:id="37"/>
      <w:bookmarkStart w:id="38" w:name="_Toc184310336"/>
      <w:bookmarkEnd w:id="38"/>
      <w:bookmarkStart w:id="39" w:name="_Toc184314464"/>
      <w:bookmarkEnd w:id="39"/>
      <w:bookmarkStart w:id="40" w:name="_Toc184310319"/>
      <w:bookmarkEnd w:id="40"/>
      <w:bookmarkStart w:id="41" w:name="_Toc184308072"/>
      <w:bookmarkEnd w:id="41"/>
      <w:bookmarkStart w:id="42" w:name="_Toc184308099"/>
      <w:bookmarkEnd w:id="42"/>
      <w:bookmarkStart w:id="43" w:name="_Toc184310315"/>
      <w:bookmarkEnd w:id="43"/>
      <w:bookmarkStart w:id="44" w:name="_Toc184313251"/>
      <w:bookmarkEnd w:id="44"/>
      <w:bookmarkStart w:id="45" w:name="_Toc184310330"/>
      <w:bookmarkEnd w:id="45"/>
      <w:bookmarkStart w:id="46" w:name="_Toc184312122"/>
      <w:bookmarkEnd w:id="46"/>
      <w:bookmarkStart w:id="47" w:name="_Toc184313263"/>
      <w:bookmarkEnd w:id="47"/>
      <w:bookmarkStart w:id="48" w:name="_Toc184308076"/>
      <w:bookmarkEnd w:id="48"/>
      <w:bookmarkStart w:id="49" w:name="_Toc184308080"/>
      <w:bookmarkEnd w:id="49"/>
      <w:bookmarkStart w:id="50" w:name="_Toc184310321"/>
      <w:bookmarkEnd w:id="50"/>
      <w:bookmarkStart w:id="51" w:name="_Toc184314441"/>
      <w:bookmarkEnd w:id="51"/>
      <w:bookmarkStart w:id="52" w:name="_Toc184310294"/>
      <w:bookmarkEnd w:id="52"/>
      <w:bookmarkStart w:id="53" w:name="_Toc184313253"/>
      <w:bookmarkEnd w:id="53"/>
      <w:bookmarkStart w:id="54" w:name="_Toc184308070"/>
      <w:bookmarkEnd w:id="54"/>
      <w:bookmarkStart w:id="55" w:name="_Toc184312128"/>
      <w:bookmarkEnd w:id="55"/>
      <w:bookmarkStart w:id="56" w:name="_Toc184313307"/>
      <w:bookmarkEnd w:id="56"/>
      <w:bookmarkStart w:id="57" w:name="_Toc184312118"/>
      <w:bookmarkEnd w:id="57"/>
      <w:bookmarkStart w:id="58" w:name="_Toc184313296"/>
      <w:bookmarkEnd w:id="58"/>
      <w:bookmarkStart w:id="59" w:name="_Toc184314437"/>
      <w:bookmarkEnd w:id="59"/>
      <w:bookmarkStart w:id="60" w:name="_Toc184314435"/>
      <w:bookmarkEnd w:id="60"/>
      <w:bookmarkStart w:id="61" w:name="_Toc184308060"/>
      <w:bookmarkEnd w:id="61"/>
      <w:bookmarkStart w:id="62" w:name="_Toc184312138"/>
      <w:bookmarkEnd w:id="62"/>
      <w:bookmarkStart w:id="63" w:name="_Toc184314469"/>
      <w:bookmarkEnd w:id="63"/>
      <w:bookmarkStart w:id="64" w:name="_Toc184308074"/>
      <w:bookmarkEnd w:id="64"/>
      <w:bookmarkStart w:id="65" w:name="_Toc184313280"/>
      <w:bookmarkEnd w:id="65"/>
      <w:bookmarkStart w:id="66" w:name="_Toc184308092"/>
      <w:bookmarkEnd w:id="66"/>
      <w:bookmarkStart w:id="67" w:name="_Toc184312139"/>
      <w:bookmarkEnd w:id="67"/>
      <w:bookmarkStart w:id="68" w:name="_Toc184313247"/>
      <w:bookmarkEnd w:id="68"/>
      <w:bookmarkStart w:id="69" w:name="_Toc184310338"/>
      <w:bookmarkEnd w:id="69"/>
      <w:bookmarkStart w:id="70" w:name="_Toc184308104"/>
      <w:bookmarkEnd w:id="70"/>
      <w:bookmarkStart w:id="71" w:name="_Toc184313290"/>
      <w:bookmarkEnd w:id="71"/>
      <w:bookmarkStart w:id="72" w:name="_Toc184314420"/>
      <w:bookmarkEnd w:id="72"/>
      <w:bookmarkStart w:id="73" w:name="_Toc184312067"/>
      <w:bookmarkEnd w:id="73"/>
      <w:bookmarkStart w:id="74" w:name="_Toc184312123"/>
      <w:bookmarkEnd w:id="74"/>
      <w:bookmarkStart w:id="75" w:name="_Toc184313302"/>
      <w:bookmarkEnd w:id="75"/>
      <w:bookmarkStart w:id="76" w:name="_Toc184308077"/>
      <w:bookmarkEnd w:id="76"/>
      <w:bookmarkStart w:id="77" w:name="_Toc184313293"/>
      <w:bookmarkEnd w:id="77"/>
      <w:bookmarkStart w:id="78" w:name="_Toc184310283"/>
      <w:bookmarkEnd w:id="78"/>
      <w:bookmarkStart w:id="79" w:name="_Toc184312104"/>
      <w:bookmarkEnd w:id="79"/>
      <w:bookmarkStart w:id="80" w:name="_Toc184308078"/>
      <w:bookmarkEnd w:id="80"/>
      <w:bookmarkStart w:id="81" w:name="_Toc184313286"/>
      <w:bookmarkEnd w:id="81"/>
      <w:bookmarkStart w:id="82" w:name="_Toc184314446"/>
      <w:bookmarkEnd w:id="82"/>
      <w:bookmarkStart w:id="83" w:name="_Toc184310302"/>
      <w:bookmarkEnd w:id="83"/>
      <w:bookmarkStart w:id="84" w:name="_Toc184308073"/>
      <w:bookmarkEnd w:id="84"/>
      <w:bookmarkStart w:id="85" w:name="_Toc184310329"/>
      <w:bookmarkEnd w:id="85"/>
      <w:bookmarkStart w:id="86" w:name="_Toc184314428"/>
      <w:bookmarkEnd w:id="86"/>
      <w:bookmarkStart w:id="87" w:name="_Toc184310287"/>
      <w:bookmarkEnd w:id="87"/>
      <w:bookmarkStart w:id="88" w:name="_Toc184314454"/>
      <w:bookmarkEnd w:id="88"/>
      <w:bookmarkStart w:id="89" w:name="_Toc184312090"/>
      <w:bookmarkEnd w:id="89"/>
      <w:bookmarkStart w:id="90" w:name="_Toc184310284"/>
      <w:bookmarkEnd w:id="90"/>
      <w:bookmarkStart w:id="91" w:name="_Toc184314411"/>
      <w:bookmarkEnd w:id="91"/>
      <w:bookmarkStart w:id="92" w:name="_Toc184314427"/>
      <w:bookmarkEnd w:id="92"/>
      <w:bookmarkStart w:id="93" w:name="_Toc184312078"/>
      <w:bookmarkEnd w:id="93"/>
      <w:bookmarkStart w:id="94" w:name="_Toc184314453"/>
      <w:bookmarkEnd w:id="94"/>
      <w:bookmarkStart w:id="95" w:name="_Toc184314445"/>
      <w:bookmarkEnd w:id="95"/>
      <w:bookmarkStart w:id="96" w:name="_Toc184312137"/>
      <w:bookmarkEnd w:id="96"/>
      <w:bookmarkStart w:id="97" w:name="_Toc184314476"/>
      <w:bookmarkEnd w:id="97"/>
      <w:bookmarkStart w:id="98" w:name="_Toc184314421"/>
      <w:bookmarkEnd w:id="98"/>
      <w:bookmarkStart w:id="99" w:name="_Toc184312113"/>
      <w:bookmarkEnd w:id="99"/>
      <w:bookmarkStart w:id="100" w:name="_Toc184310272"/>
      <w:bookmarkEnd w:id="100"/>
      <w:bookmarkStart w:id="101" w:name="_Toc184313298"/>
      <w:bookmarkEnd w:id="101"/>
      <w:bookmarkStart w:id="102" w:name="_Toc184308101"/>
      <w:bookmarkEnd w:id="102"/>
      <w:bookmarkStart w:id="103" w:name="_Toc184310308"/>
      <w:bookmarkEnd w:id="103"/>
      <w:bookmarkStart w:id="104" w:name="_Toc184314478"/>
      <w:bookmarkEnd w:id="104"/>
      <w:bookmarkStart w:id="105" w:name="_Toc184312098"/>
      <w:bookmarkEnd w:id="105"/>
      <w:bookmarkStart w:id="106" w:name="_Toc184310312"/>
      <w:bookmarkEnd w:id="106"/>
      <w:bookmarkStart w:id="107" w:name="_Toc184312068"/>
      <w:bookmarkEnd w:id="107"/>
      <w:bookmarkStart w:id="108" w:name="_Toc184310314"/>
      <w:bookmarkEnd w:id="108"/>
      <w:bookmarkStart w:id="109" w:name="_Toc184310317"/>
      <w:bookmarkEnd w:id="109"/>
      <w:bookmarkStart w:id="110" w:name="_Toc184312075"/>
      <w:bookmarkEnd w:id="110"/>
      <w:bookmarkStart w:id="111" w:name="_Toc184308084"/>
      <w:bookmarkEnd w:id="111"/>
      <w:bookmarkStart w:id="112" w:name="_Toc184314418"/>
      <w:bookmarkEnd w:id="112"/>
      <w:bookmarkStart w:id="113" w:name="_Toc184312109"/>
      <w:bookmarkEnd w:id="113"/>
      <w:bookmarkStart w:id="114" w:name="_Toc184313306"/>
      <w:bookmarkEnd w:id="114"/>
      <w:bookmarkStart w:id="115" w:name="_Toc184313242"/>
      <w:bookmarkEnd w:id="115"/>
      <w:bookmarkStart w:id="116" w:name="_Toc184312129"/>
      <w:bookmarkEnd w:id="116"/>
      <w:bookmarkStart w:id="117" w:name="_Toc184312116"/>
      <w:bookmarkEnd w:id="117"/>
      <w:bookmarkStart w:id="118" w:name="_Toc184308100"/>
      <w:bookmarkEnd w:id="118"/>
      <w:bookmarkStart w:id="119" w:name="_Toc184310325"/>
      <w:bookmarkEnd w:id="119"/>
      <w:bookmarkStart w:id="120" w:name="_Toc184312099"/>
      <w:bookmarkEnd w:id="120"/>
      <w:bookmarkStart w:id="121" w:name="_Toc184308040"/>
      <w:bookmarkEnd w:id="121"/>
      <w:bookmarkStart w:id="122" w:name="_Toc184310307"/>
      <w:bookmarkEnd w:id="122"/>
      <w:bookmarkStart w:id="123" w:name="_Toc184310288"/>
      <w:bookmarkEnd w:id="123"/>
      <w:bookmarkStart w:id="124" w:name="_Toc184308107"/>
      <w:bookmarkEnd w:id="124"/>
      <w:bookmarkStart w:id="125" w:name="_Toc184313279"/>
      <w:bookmarkEnd w:id="125"/>
      <w:bookmarkStart w:id="126" w:name="_Toc184308069"/>
      <w:bookmarkEnd w:id="126"/>
      <w:bookmarkStart w:id="127" w:name="_Toc184308108"/>
      <w:bookmarkEnd w:id="127"/>
      <w:bookmarkStart w:id="128" w:name="_Toc184310337"/>
      <w:bookmarkEnd w:id="128"/>
      <w:bookmarkStart w:id="129" w:name="_Toc184310280"/>
      <w:bookmarkEnd w:id="129"/>
      <w:bookmarkStart w:id="130" w:name="_Toc184314470"/>
      <w:bookmarkEnd w:id="130"/>
      <w:bookmarkStart w:id="131" w:name="_Toc184314444"/>
      <w:bookmarkEnd w:id="131"/>
      <w:bookmarkStart w:id="132" w:name="_Toc184308088"/>
      <w:bookmarkEnd w:id="132"/>
      <w:bookmarkStart w:id="133" w:name="_Toc184313250"/>
      <w:bookmarkEnd w:id="133"/>
      <w:bookmarkStart w:id="134" w:name="_Toc184313288"/>
      <w:bookmarkEnd w:id="134"/>
      <w:bookmarkStart w:id="135" w:name="_Toc184313277"/>
      <w:bookmarkEnd w:id="135"/>
      <w:bookmarkStart w:id="136" w:name="_Toc184313287"/>
      <w:bookmarkEnd w:id="136"/>
      <w:bookmarkStart w:id="137" w:name="_Toc184313244"/>
      <w:bookmarkEnd w:id="137"/>
      <w:bookmarkStart w:id="138" w:name="_Toc184313303"/>
      <w:bookmarkEnd w:id="138"/>
      <w:bookmarkStart w:id="139" w:name="_Toc184314450"/>
      <w:bookmarkEnd w:id="139"/>
      <w:bookmarkStart w:id="140" w:name="_Toc184308102"/>
      <w:bookmarkEnd w:id="140"/>
      <w:bookmarkStart w:id="141" w:name="_Toc184312124"/>
      <w:bookmarkEnd w:id="141"/>
      <w:bookmarkStart w:id="142" w:name="_Toc184308055"/>
      <w:bookmarkEnd w:id="142"/>
      <w:bookmarkStart w:id="143" w:name="_Toc184310323"/>
      <w:bookmarkEnd w:id="143"/>
      <w:bookmarkStart w:id="144" w:name="_Toc184314465"/>
      <w:bookmarkEnd w:id="144"/>
      <w:bookmarkStart w:id="145" w:name="_Toc184312086"/>
      <w:bookmarkEnd w:id="145"/>
      <w:bookmarkStart w:id="146" w:name="_Toc184313281"/>
      <w:bookmarkEnd w:id="146"/>
      <w:bookmarkStart w:id="147" w:name="_Toc184314460"/>
      <w:bookmarkEnd w:id="147"/>
      <w:bookmarkStart w:id="148" w:name="_Toc184312087"/>
      <w:bookmarkEnd w:id="148"/>
      <w:bookmarkStart w:id="149" w:name="_Toc184308095"/>
      <w:bookmarkEnd w:id="149"/>
      <w:bookmarkStart w:id="150" w:name="_Toc184310286"/>
      <w:bookmarkEnd w:id="150"/>
      <w:bookmarkStart w:id="151" w:name="_Toc184310334"/>
      <w:bookmarkEnd w:id="151"/>
      <w:bookmarkStart w:id="152" w:name="_Toc184314477"/>
      <w:bookmarkEnd w:id="152"/>
      <w:bookmarkStart w:id="153" w:name="_Toc184312093"/>
      <w:bookmarkEnd w:id="153"/>
      <w:bookmarkStart w:id="154" w:name="_Toc184308043"/>
      <w:bookmarkEnd w:id="154"/>
      <w:bookmarkStart w:id="155" w:name="_Toc184308039"/>
      <w:bookmarkEnd w:id="155"/>
      <w:bookmarkStart w:id="156" w:name="_Toc184313248"/>
      <w:bookmarkEnd w:id="156"/>
      <w:bookmarkStart w:id="157" w:name="_Toc184310273"/>
      <w:bookmarkEnd w:id="157"/>
      <w:bookmarkStart w:id="158" w:name="_Toc184312072"/>
      <w:bookmarkEnd w:id="158"/>
      <w:bookmarkStart w:id="159" w:name="_Toc184310340"/>
      <w:bookmarkEnd w:id="159"/>
      <w:bookmarkStart w:id="160" w:name="_Toc184310299"/>
      <w:bookmarkEnd w:id="160"/>
      <w:bookmarkStart w:id="161" w:name="_Toc184312136"/>
      <w:bookmarkEnd w:id="161"/>
      <w:bookmarkStart w:id="162" w:name="_Toc184308048"/>
      <w:bookmarkEnd w:id="162"/>
      <w:bookmarkStart w:id="163" w:name="_Toc184312112"/>
      <w:bookmarkEnd w:id="163"/>
      <w:bookmarkStart w:id="164" w:name="_Toc184313241"/>
      <w:bookmarkEnd w:id="164"/>
      <w:bookmarkStart w:id="165" w:name="_Toc184312091"/>
      <w:bookmarkEnd w:id="165"/>
      <w:bookmarkStart w:id="166" w:name="_Toc184314439"/>
      <w:bookmarkEnd w:id="166"/>
      <w:bookmarkStart w:id="167" w:name="_Toc184312130"/>
      <w:bookmarkEnd w:id="167"/>
      <w:bookmarkStart w:id="168" w:name="_Toc184312073"/>
      <w:bookmarkEnd w:id="168"/>
      <w:bookmarkStart w:id="169" w:name="_Toc184312094"/>
      <w:bookmarkEnd w:id="169"/>
      <w:bookmarkStart w:id="170" w:name="_Toc184314457"/>
      <w:bookmarkEnd w:id="170"/>
      <w:bookmarkStart w:id="171" w:name="_Toc184313295"/>
      <w:bookmarkEnd w:id="171"/>
      <w:bookmarkStart w:id="172" w:name="_Toc184313266"/>
      <w:bookmarkEnd w:id="172"/>
      <w:bookmarkStart w:id="173" w:name="_Toc184310285"/>
      <w:bookmarkEnd w:id="173"/>
      <w:bookmarkStart w:id="174" w:name="_Toc184314429"/>
      <w:bookmarkEnd w:id="174"/>
      <w:bookmarkStart w:id="175" w:name="_Toc184314415"/>
      <w:bookmarkEnd w:id="175"/>
      <w:bookmarkStart w:id="176" w:name="_Toc184312069"/>
      <w:bookmarkEnd w:id="176"/>
      <w:bookmarkStart w:id="177" w:name="_Toc184310304"/>
      <w:bookmarkEnd w:id="177"/>
      <w:bookmarkStart w:id="178" w:name="_Toc184313308"/>
      <w:bookmarkEnd w:id="178"/>
      <w:bookmarkStart w:id="179" w:name="_Toc184313246"/>
      <w:bookmarkEnd w:id="179"/>
      <w:bookmarkStart w:id="180" w:name="_Toc184312097"/>
      <w:bookmarkEnd w:id="180"/>
      <w:bookmarkStart w:id="181" w:name="_Toc184314414"/>
      <w:bookmarkEnd w:id="181"/>
      <w:bookmarkStart w:id="182" w:name="_Toc184314417"/>
      <w:bookmarkEnd w:id="182"/>
      <w:bookmarkStart w:id="183" w:name="_Toc184314472"/>
      <w:bookmarkEnd w:id="183"/>
      <w:bookmarkStart w:id="184" w:name="_Toc184308106"/>
      <w:bookmarkEnd w:id="184"/>
      <w:bookmarkStart w:id="185" w:name="_Toc184308068"/>
      <w:bookmarkEnd w:id="185"/>
      <w:bookmarkStart w:id="186" w:name="_Toc184312079"/>
      <w:bookmarkEnd w:id="186"/>
      <w:bookmarkStart w:id="187" w:name="_Toc184310324"/>
      <w:bookmarkEnd w:id="187"/>
      <w:bookmarkStart w:id="188" w:name="_Toc184312102"/>
      <w:bookmarkEnd w:id="188"/>
      <w:bookmarkStart w:id="189" w:name="_Toc184313278"/>
      <w:bookmarkEnd w:id="189"/>
      <w:bookmarkStart w:id="190" w:name="_Toc184312074"/>
      <w:bookmarkEnd w:id="190"/>
      <w:bookmarkStart w:id="191" w:name="_Toc184314423"/>
      <w:bookmarkEnd w:id="191"/>
      <w:bookmarkStart w:id="192" w:name="_Toc184313238"/>
      <w:bookmarkEnd w:id="192"/>
      <w:bookmarkStart w:id="193" w:name="_Toc184308079"/>
      <w:bookmarkEnd w:id="193"/>
      <w:bookmarkStart w:id="194" w:name="_Toc184313265"/>
      <w:bookmarkEnd w:id="194"/>
      <w:bookmarkStart w:id="195" w:name="_Toc184312131"/>
      <w:bookmarkEnd w:id="195"/>
      <w:bookmarkStart w:id="196" w:name="_Toc184313274"/>
      <w:bookmarkEnd w:id="196"/>
      <w:bookmarkStart w:id="197" w:name="_Toc184312126"/>
      <w:bookmarkEnd w:id="197"/>
      <w:bookmarkStart w:id="198" w:name="_Toc184314479"/>
      <w:bookmarkEnd w:id="198"/>
      <w:bookmarkStart w:id="199" w:name="_Toc184314452"/>
      <w:bookmarkEnd w:id="199"/>
      <w:bookmarkStart w:id="200" w:name="_Toc184310318"/>
      <w:bookmarkEnd w:id="200"/>
      <w:bookmarkStart w:id="201" w:name="_Toc184313282"/>
      <w:bookmarkEnd w:id="201"/>
      <w:bookmarkStart w:id="202" w:name="_Toc184313264"/>
      <w:bookmarkEnd w:id="202"/>
      <w:bookmarkStart w:id="203" w:name="_Toc184308085"/>
      <w:bookmarkEnd w:id="203"/>
      <w:bookmarkStart w:id="204" w:name="_Toc184308091"/>
      <w:bookmarkEnd w:id="204"/>
      <w:bookmarkStart w:id="205" w:name="_Toc184312132"/>
      <w:bookmarkEnd w:id="205"/>
      <w:bookmarkStart w:id="206" w:name="_Toc184313262"/>
      <w:bookmarkEnd w:id="206"/>
      <w:bookmarkStart w:id="207" w:name="_Toc184314424"/>
      <w:bookmarkEnd w:id="207"/>
      <w:bookmarkStart w:id="208" w:name="_Toc184308096"/>
      <w:bookmarkEnd w:id="208"/>
      <w:bookmarkStart w:id="209" w:name="_Toc184308036"/>
      <w:bookmarkEnd w:id="209"/>
      <w:bookmarkStart w:id="210" w:name="_Toc184313294"/>
      <w:bookmarkEnd w:id="210"/>
      <w:bookmarkStart w:id="211" w:name="_Toc184310320"/>
      <w:bookmarkEnd w:id="211"/>
      <w:bookmarkStart w:id="212" w:name="_Toc184313259"/>
      <w:bookmarkEnd w:id="212"/>
      <w:bookmarkStart w:id="213" w:name="_Toc184308047"/>
      <w:bookmarkEnd w:id="213"/>
      <w:bookmarkStart w:id="214" w:name="_Toc184314449"/>
      <w:bookmarkEnd w:id="214"/>
      <w:bookmarkStart w:id="215" w:name="_Toc184310297"/>
      <w:bookmarkEnd w:id="215"/>
      <w:bookmarkStart w:id="216" w:name="_Toc184313268"/>
      <w:bookmarkEnd w:id="216"/>
      <w:bookmarkStart w:id="217" w:name="_Toc184313301"/>
      <w:bookmarkEnd w:id="217"/>
      <w:bookmarkStart w:id="218" w:name="_Toc184313276"/>
      <w:bookmarkEnd w:id="218"/>
      <w:bookmarkStart w:id="219" w:name="_Toc184314462"/>
      <w:bookmarkEnd w:id="219"/>
      <w:bookmarkStart w:id="220" w:name="_Toc184314413"/>
      <w:bookmarkEnd w:id="220"/>
      <w:bookmarkStart w:id="221" w:name="_Toc184312106"/>
      <w:bookmarkEnd w:id="221"/>
      <w:bookmarkStart w:id="222" w:name="_Toc184310305"/>
      <w:bookmarkEnd w:id="222"/>
      <w:bookmarkStart w:id="223" w:name="_Toc184312085"/>
      <w:bookmarkEnd w:id="223"/>
      <w:bookmarkStart w:id="224" w:name="_Toc184312117"/>
      <w:bookmarkEnd w:id="224"/>
      <w:bookmarkStart w:id="225" w:name="_Toc184314482"/>
      <w:bookmarkEnd w:id="225"/>
      <w:bookmarkStart w:id="226" w:name="_Toc184312119"/>
      <w:bookmarkEnd w:id="226"/>
      <w:bookmarkStart w:id="227" w:name="_Toc184314447"/>
      <w:bookmarkEnd w:id="227"/>
      <w:bookmarkStart w:id="228" w:name="_Toc184308098"/>
      <w:bookmarkEnd w:id="228"/>
      <w:bookmarkStart w:id="229" w:name="_Toc184310289"/>
      <w:bookmarkEnd w:id="229"/>
      <w:bookmarkStart w:id="230" w:name="_Toc184313291"/>
      <w:bookmarkEnd w:id="230"/>
      <w:bookmarkStart w:id="231" w:name="_Toc184312092"/>
      <w:bookmarkEnd w:id="231"/>
      <w:bookmarkStart w:id="232" w:name="_Toc184313275"/>
      <w:bookmarkEnd w:id="232"/>
      <w:bookmarkStart w:id="233" w:name="_Toc184308066"/>
      <w:bookmarkEnd w:id="233"/>
      <w:bookmarkStart w:id="234" w:name="_Toc184313310"/>
      <w:bookmarkEnd w:id="234"/>
      <w:bookmarkStart w:id="235" w:name="_Toc184312081"/>
      <w:bookmarkEnd w:id="235"/>
      <w:bookmarkStart w:id="236" w:name="_Toc184308063"/>
      <w:bookmarkEnd w:id="236"/>
      <w:bookmarkStart w:id="237" w:name="_Toc184308086"/>
      <w:bookmarkEnd w:id="237"/>
      <w:bookmarkStart w:id="238" w:name="_Toc184314448"/>
      <w:bookmarkEnd w:id="238"/>
      <w:bookmarkStart w:id="239" w:name="_Toc184313254"/>
      <w:bookmarkEnd w:id="239"/>
      <w:bookmarkStart w:id="240" w:name="_Toc184313269"/>
      <w:bookmarkEnd w:id="240"/>
      <w:bookmarkStart w:id="241" w:name="_Toc184308090"/>
      <w:bookmarkEnd w:id="241"/>
      <w:bookmarkStart w:id="242" w:name="_Toc184310332"/>
      <w:bookmarkEnd w:id="242"/>
      <w:bookmarkStart w:id="243" w:name="_Toc184313256"/>
      <w:bookmarkEnd w:id="243"/>
      <w:bookmarkStart w:id="244" w:name="_Toc184314475"/>
      <w:bookmarkEnd w:id="244"/>
      <w:bookmarkStart w:id="245" w:name="_Toc184313245"/>
      <w:bookmarkEnd w:id="245"/>
      <w:bookmarkStart w:id="246" w:name="_Toc184312101"/>
      <w:bookmarkEnd w:id="246"/>
      <w:bookmarkStart w:id="247" w:name="_Toc184314432"/>
      <w:bookmarkEnd w:id="247"/>
      <w:bookmarkStart w:id="248" w:name="_Toc184308051"/>
      <w:bookmarkEnd w:id="248"/>
      <w:bookmarkStart w:id="249" w:name="_Toc184308071"/>
      <w:bookmarkEnd w:id="249"/>
      <w:bookmarkStart w:id="250" w:name="_Toc184310327"/>
      <w:bookmarkEnd w:id="250"/>
      <w:bookmarkStart w:id="251" w:name="_Toc184313260"/>
      <w:bookmarkEnd w:id="251"/>
      <w:bookmarkStart w:id="252" w:name="_Toc184312070"/>
      <w:bookmarkEnd w:id="252"/>
      <w:bookmarkStart w:id="253" w:name="_Toc184308044"/>
      <w:bookmarkEnd w:id="253"/>
      <w:bookmarkStart w:id="254" w:name="_Toc184314426"/>
      <w:bookmarkEnd w:id="254"/>
      <w:bookmarkStart w:id="255" w:name="_Toc184310342"/>
      <w:bookmarkEnd w:id="255"/>
      <w:bookmarkStart w:id="256" w:name="_Toc184308046"/>
      <w:bookmarkEnd w:id="256"/>
      <w:bookmarkStart w:id="257" w:name="_Toc184313267"/>
      <w:bookmarkEnd w:id="257"/>
      <w:bookmarkStart w:id="258" w:name="_Toc184312134"/>
      <w:bookmarkEnd w:id="258"/>
      <w:bookmarkStart w:id="259" w:name="_Toc184314431"/>
      <w:bookmarkEnd w:id="259"/>
      <w:bookmarkStart w:id="260" w:name="_Toc184312088"/>
      <w:bookmarkEnd w:id="260"/>
      <w:bookmarkStart w:id="261" w:name="_Toc184308062"/>
      <w:bookmarkEnd w:id="261"/>
      <w:bookmarkStart w:id="262" w:name="_Toc184314430"/>
      <w:bookmarkEnd w:id="262"/>
      <w:bookmarkStart w:id="263" w:name="_Toc184310344"/>
      <w:bookmarkEnd w:id="263"/>
      <w:bookmarkStart w:id="264" w:name="_Toc184313305"/>
      <w:bookmarkEnd w:id="264"/>
      <w:bookmarkStart w:id="265" w:name="_Toc184312135"/>
      <w:bookmarkEnd w:id="265"/>
      <w:bookmarkStart w:id="266" w:name="_Toc184314467"/>
      <w:bookmarkEnd w:id="266"/>
      <w:bookmarkStart w:id="267" w:name="_Toc184312096"/>
      <w:bookmarkEnd w:id="267"/>
      <w:bookmarkStart w:id="268" w:name="_Toc184310333"/>
      <w:bookmarkEnd w:id="268"/>
      <w:bookmarkStart w:id="269" w:name="_Toc184310343"/>
      <w:bookmarkEnd w:id="269"/>
      <w:bookmarkStart w:id="270" w:name="_Toc184308089"/>
      <w:bookmarkEnd w:id="270"/>
      <w:bookmarkStart w:id="271" w:name="_Toc184312076"/>
      <w:bookmarkEnd w:id="271"/>
      <w:bookmarkStart w:id="272" w:name="_Toc184312071"/>
      <w:bookmarkEnd w:id="272"/>
      <w:bookmarkStart w:id="273" w:name="_Toc184310292"/>
      <w:bookmarkEnd w:id="273"/>
      <w:bookmarkStart w:id="274" w:name="_Toc184310326"/>
      <w:bookmarkEnd w:id="274"/>
      <w:bookmarkStart w:id="275" w:name="_Toc184313289"/>
      <w:bookmarkEnd w:id="275"/>
      <w:bookmarkStart w:id="276" w:name="_Toc184314480"/>
      <w:bookmarkEnd w:id="276"/>
      <w:bookmarkStart w:id="277" w:name="_Toc184314422"/>
      <w:bookmarkEnd w:id="277"/>
      <w:bookmarkStart w:id="278" w:name="_Toc184308075"/>
      <w:bookmarkEnd w:id="278"/>
      <w:bookmarkStart w:id="279" w:name="_Toc184312080"/>
      <w:bookmarkEnd w:id="279"/>
      <w:bookmarkStart w:id="280" w:name="_Toc184308059"/>
      <w:bookmarkEnd w:id="280"/>
      <w:bookmarkStart w:id="281" w:name="_Toc184308093"/>
      <w:bookmarkEnd w:id="281"/>
      <w:bookmarkStart w:id="282" w:name="_Toc184308067"/>
      <w:bookmarkEnd w:id="282"/>
      <w:bookmarkStart w:id="283" w:name="_Toc184310300"/>
      <w:bookmarkEnd w:id="283"/>
      <w:bookmarkStart w:id="284" w:name="_Toc184310316"/>
      <w:bookmarkEnd w:id="284"/>
      <w:bookmarkStart w:id="285" w:name="_Toc184312115"/>
      <w:bookmarkEnd w:id="285"/>
      <w:bookmarkStart w:id="286" w:name="_Toc184312111"/>
      <w:bookmarkEnd w:id="286"/>
      <w:bookmarkStart w:id="287" w:name="_Toc184312083"/>
      <w:bookmarkEnd w:id="287"/>
      <w:bookmarkStart w:id="288" w:name="_Toc184308041"/>
      <w:bookmarkEnd w:id="288"/>
      <w:bookmarkStart w:id="289" w:name="_Toc184312110"/>
      <w:bookmarkEnd w:id="289"/>
      <w:bookmarkStart w:id="290" w:name="_Toc184314473"/>
      <w:bookmarkEnd w:id="290"/>
      <w:bookmarkStart w:id="291" w:name="_Toc184310281"/>
      <w:bookmarkEnd w:id="291"/>
      <w:bookmarkStart w:id="292" w:name="_Toc184313243"/>
      <w:bookmarkEnd w:id="292"/>
      <w:bookmarkStart w:id="293" w:name="_Toc184308097"/>
      <w:bookmarkEnd w:id="293"/>
      <w:bookmarkStart w:id="294" w:name="_Toc184310328"/>
      <w:bookmarkEnd w:id="294"/>
      <w:bookmarkStart w:id="295" w:name="_Toc184312105"/>
      <w:bookmarkEnd w:id="295"/>
      <w:bookmarkStart w:id="296" w:name="_Toc184310335"/>
      <w:bookmarkEnd w:id="296"/>
      <w:bookmarkStart w:id="297" w:name="_Toc184308049"/>
      <w:bookmarkEnd w:id="297"/>
      <w:bookmarkStart w:id="298" w:name="_Toc184310274"/>
      <w:bookmarkEnd w:id="298"/>
      <w:bookmarkStart w:id="299" w:name="_Toc184312107"/>
      <w:bookmarkEnd w:id="299"/>
      <w:bookmarkStart w:id="300" w:name="_Toc184308087"/>
      <w:bookmarkEnd w:id="300"/>
      <w:bookmarkStart w:id="301" w:name="_Toc184308045"/>
      <w:bookmarkEnd w:id="301"/>
      <w:bookmarkStart w:id="302" w:name="_Toc184312108"/>
      <w:bookmarkEnd w:id="302"/>
      <w:bookmarkStart w:id="303" w:name="_Toc184308082"/>
      <w:bookmarkEnd w:id="303"/>
      <w:bookmarkStart w:id="304" w:name="_Toc184313261"/>
      <w:bookmarkEnd w:id="304"/>
      <w:bookmarkStart w:id="305" w:name="_Toc184314455"/>
      <w:bookmarkEnd w:id="305"/>
      <w:bookmarkStart w:id="306" w:name="_Toc184313257"/>
      <w:bookmarkEnd w:id="306"/>
      <w:bookmarkStart w:id="307" w:name="_Toc184312103"/>
      <w:bookmarkEnd w:id="307"/>
      <w:bookmarkStart w:id="308" w:name="_Toc184314463"/>
      <w:bookmarkEnd w:id="308"/>
      <w:bookmarkStart w:id="309" w:name="_Toc184313240"/>
      <w:bookmarkEnd w:id="309"/>
      <w:bookmarkStart w:id="310" w:name="_Toc184308094"/>
      <w:bookmarkEnd w:id="310"/>
      <w:bookmarkStart w:id="311" w:name="_Toc184314451"/>
      <w:bookmarkEnd w:id="311"/>
      <w:bookmarkStart w:id="312" w:name="_Toc184308042"/>
      <w:bookmarkEnd w:id="312"/>
      <w:bookmarkStart w:id="313" w:name="_Toc184314471"/>
      <w:bookmarkEnd w:id="313"/>
      <w:bookmarkStart w:id="314" w:name="_Toc184312120"/>
      <w:bookmarkEnd w:id="314"/>
      <w:bookmarkStart w:id="315" w:name="_Toc184313271"/>
      <w:bookmarkEnd w:id="315"/>
      <w:bookmarkStart w:id="316" w:name="_Toc184313299"/>
      <w:bookmarkEnd w:id="316"/>
      <w:bookmarkStart w:id="317" w:name="_Toc184314410"/>
      <w:bookmarkEnd w:id="317"/>
      <w:bookmarkStart w:id="318" w:name="_Toc184308064"/>
      <w:bookmarkEnd w:id="318"/>
      <w:bookmarkStart w:id="319" w:name="_Toc184310313"/>
      <w:bookmarkEnd w:id="319"/>
      <w:bookmarkStart w:id="320" w:name="_Toc184314425"/>
      <w:bookmarkEnd w:id="320"/>
      <w:bookmarkStart w:id="321" w:name="_Toc184313297"/>
      <w:bookmarkEnd w:id="321"/>
      <w:bookmarkStart w:id="322" w:name="_Toc184308057"/>
      <w:bookmarkEnd w:id="322"/>
      <w:bookmarkStart w:id="323" w:name="_Toc184310306"/>
      <w:bookmarkEnd w:id="323"/>
      <w:bookmarkStart w:id="324" w:name="_Toc184310301"/>
      <w:bookmarkEnd w:id="324"/>
      <w:bookmarkStart w:id="325" w:name="_Toc184310298"/>
      <w:bookmarkEnd w:id="325"/>
      <w:bookmarkStart w:id="326" w:name="_Toc184310290"/>
      <w:bookmarkEnd w:id="326"/>
      <w:bookmarkStart w:id="327" w:name="_Toc184313258"/>
      <w:bookmarkEnd w:id="327"/>
      <w:bookmarkStart w:id="328" w:name="_Toc184310278"/>
      <w:bookmarkEnd w:id="328"/>
      <w:bookmarkStart w:id="329" w:name="_Toc184313252"/>
      <w:bookmarkEnd w:id="329"/>
      <w:bookmarkStart w:id="330" w:name="_Toc184314443"/>
      <w:bookmarkEnd w:id="330"/>
      <w:bookmarkStart w:id="331" w:name="_Toc184313309"/>
      <w:bookmarkEnd w:id="331"/>
      <w:bookmarkStart w:id="332" w:name="_Toc184314474"/>
      <w:bookmarkEnd w:id="332"/>
      <w:bookmarkStart w:id="333" w:name="_Toc184308053"/>
      <w:bookmarkEnd w:id="333"/>
      <w:bookmarkStart w:id="334" w:name="_Toc184308038"/>
      <w:bookmarkEnd w:id="334"/>
      <w:bookmarkStart w:id="335" w:name="_Toc184310295"/>
      <w:bookmarkEnd w:id="335"/>
      <w:bookmarkStart w:id="336" w:name="_Toc184312084"/>
      <w:bookmarkEnd w:id="336"/>
      <w:bookmarkStart w:id="337" w:name="_Toc184310310"/>
      <w:bookmarkEnd w:id="337"/>
      <w:bookmarkStart w:id="338" w:name="_Toc184310311"/>
      <w:bookmarkEnd w:id="338"/>
      <w:bookmarkStart w:id="339" w:name="_Toc184310293"/>
      <w:bookmarkEnd w:id="339"/>
      <w:bookmarkStart w:id="340" w:name="_Toc184313239"/>
      <w:bookmarkEnd w:id="340"/>
      <w:bookmarkStart w:id="341" w:name="_Toc184313272"/>
      <w:bookmarkEnd w:id="341"/>
      <w:bookmarkStart w:id="342" w:name="_Toc184310339"/>
      <w:bookmarkEnd w:id="342"/>
      <w:bookmarkStart w:id="343" w:name="_Toc184312077"/>
      <w:bookmarkEnd w:id="343"/>
      <w:bookmarkStart w:id="344" w:name="_Toc184308052"/>
      <w:bookmarkEnd w:id="344"/>
      <w:bookmarkStart w:id="345" w:name="_Toc184308081"/>
      <w:bookmarkEnd w:id="345"/>
      <w:bookmarkStart w:id="346" w:name="_Toc184313255"/>
      <w:bookmarkEnd w:id="346"/>
      <w:bookmarkStart w:id="347" w:name="_Toc184314461"/>
      <w:bookmarkEnd w:id="347"/>
      <w:bookmarkStart w:id="348" w:name="_Toc184313292"/>
      <w:bookmarkEnd w:id="348"/>
      <w:bookmarkStart w:id="349" w:name="_Toc184314442"/>
      <w:bookmarkEnd w:id="349"/>
      <w:bookmarkStart w:id="350" w:name="_Toc184313284"/>
      <w:bookmarkEnd w:id="350"/>
      <w:bookmarkStart w:id="351" w:name="_Toc184313273"/>
      <w:bookmarkEnd w:id="351"/>
      <w:bookmarkStart w:id="352" w:name="_Toc184313283"/>
      <w:bookmarkEnd w:id="352"/>
      <w:bookmarkStart w:id="353" w:name="_Toc184314434"/>
      <w:bookmarkEnd w:id="353"/>
      <w:bookmarkStart w:id="354" w:name="_Toc184310282"/>
      <w:bookmarkEnd w:id="354"/>
      <w:bookmarkStart w:id="355" w:name="_Toc184314416"/>
      <w:bookmarkEnd w:id="355"/>
      <w:bookmarkStart w:id="356" w:name="_Toc184308050"/>
      <w:bookmarkEnd w:id="356"/>
      <w:bookmarkStart w:id="357" w:name="_Toc184308037"/>
      <w:bookmarkEnd w:id="357"/>
      <w:bookmarkStart w:id="358" w:name="_Toc184308065"/>
      <w:bookmarkEnd w:id="358"/>
      <w:bookmarkStart w:id="359" w:name="_Toc184314459"/>
      <w:bookmarkEnd w:id="359"/>
      <w:bookmarkStart w:id="360" w:name="_Toc184308061"/>
      <w:bookmarkEnd w:id="360"/>
      <w:bookmarkStart w:id="361" w:name="_Toc184312089"/>
      <w:bookmarkEnd w:id="361"/>
      <w:bookmarkStart w:id="362" w:name="_Toc184308105"/>
      <w:bookmarkEnd w:id="362"/>
      <w:bookmarkStart w:id="363" w:name="_Toc184310279"/>
      <w:bookmarkEnd w:id="363"/>
      <w:bookmarkStart w:id="364" w:name="_Toc184314458"/>
      <w:bookmarkEnd w:id="364"/>
      <w:bookmarkStart w:id="365" w:name="_Toc184308103"/>
      <w:bookmarkEnd w:id="365"/>
      <w:bookmarkStart w:id="366" w:name="_Toc184310276"/>
      <w:bookmarkEnd w:id="366"/>
      <w:bookmarkStart w:id="367" w:name="_Toc184310291"/>
      <w:bookmarkEnd w:id="367"/>
      <w:bookmarkStart w:id="368" w:name="_Toc184312100"/>
      <w:bookmarkEnd w:id="368"/>
      <w:bookmarkStart w:id="369" w:name="_Toc184313300"/>
      <w:bookmarkEnd w:id="369"/>
      <w:bookmarkStart w:id="370" w:name="_Toc184314412"/>
      <w:bookmarkEnd w:id="370"/>
      <w:bookmarkStart w:id="371" w:name="_Toc184310331"/>
      <w:bookmarkEnd w:id="371"/>
      <w:bookmarkStart w:id="372" w:name="_Toc184312082"/>
      <w:bookmarkEnd w:id="372"/>
      <w:bookmarkStart w:id="373" w:name="_Toc184312114"/>
      <w:bookmarkEnd w:id="373"/>
      <w:bookmarkStart w:id="374" w:name="_Toc184312127"/>
      <w:bookmarkEnd w:id="374"/>
      <w:bookmarkStart w:id="375" w:name="_Toc184314438"/>
      <w:bookmarkEnd w:id="375"/>
      <w:bookmarkStart w:id="376" w:name="_Toc184314419"/>
      <w:bookmarkEnd w:id="376"/>
      <w:bookmarkStart w:id="377" w:name="_Toc184314440"/>
      <w:bookmarkEnd w:id="377"/>
      <w:bookmarkStart w:id="378" w:name="_Toc184310275"/>
      <w:bookmarkEnd w:id="378"/>
      <w:bookmarkStart w:id="379" w:name="_Toc184310341"/>
      <w:bookmarkEnd w:id="379"/>
      <w:bookmarkStart w:id="380" w:name="_Toc184313304"/>
      <w:bookmarkEnd w:id="380"/>
      <w:bookmarkStart w:id="381" w:name="_Toc184312095"/>
      <w:bookmarkEnd w:id="381"/>
      <w:bookmarkStart w:id="382" w:name="_Toc184310303"/>
      <w:bookmarkEnd w:id="382"/>
      <w:bookmarkStart w:id="383" w:name="_Toc184314468"/>
      <w:bookmarkEnd w:id="383"/>
      <w:bookmarkStart w:id="384" w:name="_Toc184313270"/>
      <w:bookmarkEnd w:id="384"/>
      <w:bookmarkStart w:id="385" w:name="_Toc184314466"/>
      <w:bookmarkEnd w:id="385"/>
      <w:bookmarkStart w:id="386" w:name="_Toc184308056"/>
      <w:bookmarkEnd w:id="386"/>
      <w:bookmarkStart w:id="387" w:name="_Toc184310322"/>
      <w:bookmarkEnd w:id="387"/>
      <w:bookmarkStart w:id="388" w:name="_Toc184308058"/>
      <w:bookmarkEnd w:id="388"/>
      <w:bookmarkStart w:id="389" w:name="_Toc184310296"/>
      <w:bookmarkEnd w:id="389"/>
      <w:bookmarkStart w:id="390" w:name="_Toc184313249"/>
      <w:bookmarkEnd w:id="390"/>
      <w:bookmarkStart w:id="391" w:name="_Toc184313285"/>
      <w:bookmarkEnd w:id="391"/>
      <w:bookmarkStart w:id="392" w:name="_Toc184314481"/>
      <w:bookmarkEnd w:id="392"/>
      <w:r>
        <w:rPr>
          <w:rFonts w:hint="eastAsia" w:ascii="宋体" w:hAnsi="宋体" w:cs="宋体"/>
          <w:b/>
          <w:sz w:val="36"/>
          <w:szCs w:val="36"/>
        </w:rPr>
        <w:t>评标办法</w:t>
      </w:r>
    </w:p>
    <w:p>
      <w:pPr>
        <w:snapToGrid w:val="0"/>
        <w:spacing w:line="360" w:lineRule="auto"/>
        <w:jc w:val="center"/>
        <w:rPr>
          <w:rFonts w:ascii="宋体" w:hAnsi="宋体" w:cs="宋体"/>
          <w:b/>
          <w:sz w:val="32"/>
          <w:szCs w:val="20"/>
        </w:rPr>
      </w:pPr>
      <w:r>
        <w:rPr>
          <w:rFonts w:hint="eastAsia" w:ascii="宋体" w:hAnsi="宋体" w:cs="宋体"/>
          <w:b/>
          <w:sz w:val="32"/>
          <w:szCs w:val="20"/>
        </w:rPr>
        <w:t>评标办法前附表</w:t>
      </w:r>
    </w:p>
    <w:tbl>
      <w:tblPr>
        <w:tblStyle w:val="62"/>
        <w:tblpPr w:leftFromText="180" w:rightFromText="180" w:vertAnchor="text" w:horzAnchor="margin" w:tblpX="-401" w:tblpY="75"/>
        <w:tblW w:w="529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485"/>
        <w:gridCol w:w="6110"/>
        <w:gridCol w:w="700"/>
        <w:gridCol w:w="948"/>
        <w:gridCol w:w="15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603" w:hRule="atLeast"/>
        </w:trPr>
        <w:tc>
          <w:tcPr>
            <w:tcW w:w="247" w:type="pct"/>
            <w:shd w:val="clear" w:color="auto" w:fill="auto"/>
            <w:noWrap w:val="0"/>
            <w:vAlign w:val="center"/>
          </w:tcPr>
          <w:p>
            <w:pPr>
              <w:spacing w:line="360" w:lineRule="auto"/>
              <w:jc w:val="center"/>
              <w:outlineLvl w:val="0"/>
              <w:rPr>
                <w:rFonts w:hint="eastAsia" w:ascii="仿宋" w:hAnsi="仿宋" w:eastAsia="仿宋" w:cs="仿宋"/>
                <w:b w:val="0"/>
                <w:bCs/>
                <w:color w:val="000000"/>
                <w:sz w:val="24"/>
                <w:highlight w:val="none"/>
              </w:rPr>
            </w:pPr>
            <w:r>
              <w:rPr>
                <w:rFonts w:hint="eastAsia" w:ascii="仿宋" w:hAnsi="仿宋" w:eastAsia="仿宋" w:cs="仿宋"/>
                <w:b w:val="0"/>
                <w:bCs/>
                <w:color w:val="000000"/>
                <w:sz w:val="24"/>
                <w:highlight w:val="none"/>
              </w:rPr>
              <w:t>序号</w:t>
            </w:r>
          </w:p>
        </w:tc>
        <w:tc>
          <w:tcPr>
            <w:tcW w:w="3108" w:type="pct"/>
            <w:shd w:val="clear" w:color="auto" w:fill="auto"/>
            <w:noWrap w:val="0"/>
            <w:vAlign w:val="center"/>
          </w:tcPr>
          <w:p>
            <w:pPr>
              <w:spacing w:line="360" w:lineRule="auto"/>
              <w:ind w:firstLine="1560" w:firstLineChars="650"/>
              <w:outlineLvl w:val="0"/>
              <w:rPr>
                <w:rFonts w:hint="eastAsia" w:ascii="仿宋" w:hAnsi="仿宋" w:eastAsia="仿宋" w:cs="仿宋"/>
                <w:b w:val="0"/>
                <w:bCs/>
                <w:color w:val="000000"/>
                <w:sz w:val="24"/>
                <w:highlight w:val="none"/>
              </w:rPr>
            </w:pPr>
            <w:r>
              <w:rPr>
                <w:rFonts w:hint="eastAsia" w:ascii="仿宋" w:hAnsi="仿宋" w:eastAsia="仿宋" w:cs="仿宋"/>
                <w:b w:val="0"/>
                <w:bCs/>
                <w:color w:val="000000"/>
                <w:sz w:val="24"/>
                <w:highlight w:val="none"/>
              </w:rPr>
              <w:t>评标标准</w:t>
            </w:r>
          </w:p>
        </w:tc>
        <w:tc>
          <w:tcPr>
            <w:tcW w:w="356" w:type="pct"/>
            <w:shd w:val="clear" w:color="auto" w:fill="auto"/>
            <w:noWrap w:val="0"/>
            <w:vAlign w:val="center"/>
          </w:tcPr>
          <w:p>
            <w:pPr>
              <w:spacing w:line="360" w:lineRule="auto"/>
              <w:jc w:val="center"/>
              <w:outlineLvl w:val="0"/>
              <w:rPr>
                <w:rFonts w:hint="eastAsia" w:ascii="仿宋" w:hAnsi="仿宋" w:eastAsia="仿宋" w:cs="仿宋"/>
                <w:b w:val="0"/>
                <w:bCs/>
                <w:color w:val="000000"/>
                <w:sz w:val="24"/>
                <w:highlight w:val="none"/>
              </w:rPr>
            </w:pPr>
            <w:r>
              <w:rPr>
                <w:rFonts w:hint="eastAsia" w:ascii="仿宋" w:hAnsi="仿宋" w:eastAsia="仿宋" w:cs="仿宋"/>
                <w:b w:val="0"/>
                <w:bCs/>
                <w:color w:val="000000"/>
                <w:sz w:val="24"/>
                <w:highlight w:val="none"/>
              </w:rPr>
              <w:t>权重</w:t>
            </w:r>
          </w:p>
        </w:tc>
        <w:tc>
          <w:tcPr>
            <w:tcW w:w="482" w:type="pct"/>
            <w:shd w:val="clear" w:color="auto" w:fill="auto"/>
            <w:noWrap w:val="0"/>
            <w:vAlign w:val="center"/>
          </w:tcPr>
          <w:p>
            <w:pPr>
              <w:spacing w:line="360" w:lineRule="auto"/>
              <w:jc w:val="center"/>
              <w:outlineLvl w:val="0"/>
              <w:rPr>
                <w:rFonts w:hint="eastAsia" w:ascii="仿宋" w:hAnsi="仿宋" w:eastAsia="仿宋" w:cs="仿宋"/>
                <w:b w:val="0"/>
                <w:bCs/>
                <w:color w:val="000000"/>
                <w:sz w:val="24"/>
                <w:highlight w:val="none"/>
              </w:rPr>
            </w:pPr>
            <w:r>
              <w:rPr>
                <w:rFonts w:hint="eastAsia" w:ascii="仿宋" w:hAnsi="仿宋" w:eastAsia="仿宋" w:cs="仿宋"/>
                <w:b w:val="0"/>
                <w:bCs/>
                <w:color w:val="000000"/>
                <w:sz w:val="24"/>
                <w:highlight w:val="none"/>
                <w:lang w:val="en-US" w:eastAsia="zh-CN"/>
              </w:rPr>
              <w:t>主客观属性</w:t>
            </w:r>
          </w:p>
        </w:tc>
        <w:tc>
          <w:tcPr>
            <w:tcW w:w="805" w:type="pct"/>
            <w:shd w:val="clear" w:color="auto" w:fill="auto"/>
            <w:noWrap w:val="0"/>
            <w:vAlign w:val="center"/>
          </w:tcPr>
          <w:p>
            <w:pPr>
              <w:spacing w:line="360" w:lineRule="auto"/>
              <w:jc w:val="center"/>
              <w:outlineLvl w:val="0"/>
              <w:rPr>
                <w:rFonts w:hint="eastAsia" w:ascii="仿宋" w:hAnsi="仿宋" w:eastAsia="仿宋" w:cs="仿宋"/>
                <w:b w:val="0"/>
                <w:bCs/>
                <w:color w:val="000000"/>
                <w:sz w:val="24"/>
                <w:highlight w:val="none"/>
              </w:rPr>
            </w:pPr>
            <w:r>
              <w:rPr>
                <w:rFonts w:hint="eastAsia" w:ascii="仿宋" w:hAnsi="仿宋" w:eastAsia="仿宋" w:cs="仿宋"/>
                <w:b w:val="0"/>
                <w:bCs/>
                <w:color w:val="000000"/>
                <w:sz w:val="24"/>
                <w:highlight w:val="none"/>
              </w:rPr>
              <w:t>投标文件中评标标准相应的商务技术资料目录</w:t>
            </w:r>
            <w:r>
              <w:rPr>
                <w:rFonts w:hint="eastAsia" w:ascii="仿宋" w:hAnsi="仿宋" w:eastAsia="仿宋" w:cs="仿宋"/>
                <w:b w:val="0"/>
                <w:bCs/>
                <w:color w:val="000000"/>
                <w:sz w:val="24"/>
                <w:highlight w:val="none"/>
                <w:shd w:val="clear" w:color="auto" w:fill="FFFFFF"/>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247" w:type="pct"/>
            <w:shd w:val="clear" w:color="auto" w:fill="auto"/>
            <w:noWrap w:val="0"/>
            <w:vAlign w:val="center"/>
          </w:tcPr>
          <w:p>
            <w:pPr>
              <w:shd w:val="clear"/>
              <w:spacing w:line="360" w:lineRule="auto"/>
              <w:jc w:val="center"/>
              <w:outlineLvl w:val="0"/>
              <w:rPr>
                <w:rFonts w:hint="eastAsia" w:ascii="仿宋" w:hAnsi="仿宋" w:eastAsia="仿宋" w:cs="仿宋"/>
                <w:b w:val="0"/>
                <w:bCs/>
                <w:color w:val="000000"/>
                <w:sz w:val="24"/>
                <w:highlight w:val="none"/>
                <w:lang w:val="en-US" w:eastAsia="zh-CN"/>
              </w:rPr>
            </w:pPr>
            <w:r>
              <w:rPr>
                <w:rFonts w:hint="eastAsia" w:ascii="仿宋" w:hAnsi="仿宋" w:eastAsia="仿宋" w:cs="仿宋"/>
                <w:b w:val="0"/>
                <w:bCs/>
                <w:color w:val="000000"/>
                <w:sz w:val="24"/>
                <w:highlight w:val="none"/>
                <w:lang w:val="en-US" w:eastAsia="zh-CN"/>
              </w:rPr>
              <w:t>1</w:t>
            </w:r>
          </w:p>
        </w:tc>
        <w:tc>
          <w:tcPr>
            <w:tcW w:w="3108" w:type="pct"/>
            <w:shd w:val="clear" w:color="auto" w:fill="auto"/>
            <w:noWrap w:val="0"/>
            <w:vAlign w:val="center"/>
          </w:tcPr>
          <w:p>
            <w:pPr>
              <w:pStyle w:val="232"/>
              <w:snapToGrid w:val="0"/>
              <w:spacing w:line="360" w:lineRule="auto"/>
              <w:jc w:val="both"/>
              <w:rPr>
                <w:rFonts w:hint="eastAsia" w:ascii="仿宋" w:hAnsi="仿宋" w:eastAsia="仿宋" w:cs="仿宋"/>
                <w:b/>
                <w:bCs w:val="0"/>
                <w:color w:val="auto"/>
                <w:sz w:val="24"/>
                <w:highlight w:val="none"/>
                <w:lang w:val="en-US" w:eastAsia="zh-CN"/>
              </w:rPr>
            </w:pPr>
            <w:r>
              <w:rPr>
                <w:rFonts w:hint="eastAsia" w:ascii="仿宋" w:hAnsi="仿宋" w:eastAsia="仿宋" w:cs="仿宋"/>
                <w:b/>
                <w:bCs w:val="0"/>
                <w:color w:val="auto"/>
                <w:sz w:val="24"/>
                <w:highlight w:val="none"/>
                <w:lang w:val="en-US" w:eastAsia="zh-CN"/>
              </w:rPr>
              <w:t>重难点分析及应对措施</w:t>
            </w:r>
            <w:r>
              <w:rPr>
                <w:rFonts w:hint="eastAsia" w:ascii="仿宋" w:hAnsi="仿宋" w:eastAsia="仿宋" w:cs="仿宋"/>
                <w:b w:val="0"/>
                <w:bCs/>
                <w:color w:val="auto"/>
                <w:sz w:val="24"/>
                <w:highlight w:val="none"/>
                <w:lang w:val="en-US" w:eastAsia="zh-CN"/>
              </w:rPr>
              <w:t>。投标人根据本项目特点，提出项目重点和难点，同时制定应对措施，对本项目的重点和难点分析到位、切合项目背景和目的</w:t>
            </w:r>
            <w:r>
              <w:rPr>
                <w:rFonts w:hint="eastAsia" w:ascii="仿宋" w:hAnsi="仿宋" w:eastAsia="仿宋" w:cs="仿宋"/>
                <w:bCs/>
                <w:color w:val="auto"/>
                <w:highlight w:val="none"/>
              </w:rPr>
              <w:t>、实际情况</w:t>
            </w:r>
            <w:r>
              <w:rPr>
                <w:rFonts w:hint="eastAsia" w:ascii="仿宋" w:hAnsi="仿宋" w:eastAsia="仿宋" w:cs="仿宋"/>
                <w:b w:val="0"/>
                <w:bCs/>
                <w:color w:val="auto"/>
                <w:sz w:val="24"/>
                <w:highlight w:val="none"/>
                <w:lang w:val="en-US" w:eastAsia="zh-CN"/>
              </w:rPr>
              <w:t>；提出的对策思路清晰、科学合理，能有效解决问题的视为符合，</w:t>
            </w:r>
            <w:r>
              <w:rPr>
                <w:rFonts w:hint="eastAsia" w:ascii="仿宋" w:hAnsi="仿宋" w:eastAsia="仿宋" w:cs="仿宋"/>
                <w:b w:val="0"/>
                <w:bCs/>
                <w:i w:val="0"/>
                <w:iCs w:val="0"/>
                <w:snapToGrid/>
                <w:color w:val="auto"/>
                <w:kern w:val="0"/>
                <w:sz w:val="24"/>
                <w:szCs w:val="24"/>
                <w:highlight w:val="none"/>
                <w:lang w:val="en-US" w:eastAsia="zh-CN" w:bidi="ar"/>
              </w:rPr>
              <w:t>全部符合得6分，基本符合得4分，部分符合得2分，</w:t>
            </w:r>
            <w:r>
              <w:rPr>
                <w:rFonts w:hint="eastAsia" w:ascii="仿宋" w:hAnsi="仿宋" w:eastAsia="仿宋" w:cs="仿宋"/>
                <w:b w:val="0"/>
                <w:bCs/>
                <w:color w:val="auto"/>
                <w:sz w:val="24"/>
                <w:highlight w:val="none"/>
                <w:lang w:val="en-US" w:eastAsia="zh-CN"/>
              </w:rPr>
              <w:t>不符合或没提供不得分。共6分。</w:t>
            </w:r>
          </w:p>
        </w:tc>
        <w:tc>
          <w:tcPr>
            <w:tcW w:w="356" w:type="pct"/>
            <w:shd w:val="clear" w:color="auto" w:fill="auto"/>
            <w:noWrap w:val="0"/>
            <w:vAlign w:val="center"/>
          </w:tcPr>
          <w:p>
            <w:pPr>
              <w:shd w:val="clear"/>
              <w:spacing w:line="360" w:lineRule="auto"/>
              <w:jc w:val="center"/>
              <w:outlineLvl w:val="0"/>
              <w:rPr>
                <w:rFonts w:hint="eastAsia" w:ascii="仿宋" w:hAnsi="仿宋" w:eastAsia="仿宋" w:cs="仿宋"/>
                <w:b w:val="0"/>
                <w:bCs/>
                <w:color w:val="000000"/>
                <w:kern w:val="2"/>
                <w:sz w:val="24"/>
                <w:szCs w:val="22"/>
                <w:highlight w:val="none"/>
                <w:lang w:val="en-US" w:eastAsia="zh-CN" w:bidi="ar-SA"/>
              </w:rPr>
            </w:pPr>
            <w:r>
              <w:rPr>
                <w:rFonts w:hint="eastAsia" w:ascii="仿宋" w:hAnsi="仿宋" w:eastAsia="仿宋" w:cs="仿宋"/>
                <w:b w:val="0"/>
                <w:bCs/>
                <w:color w:val="000000"/>
                <w:sz w:val="24"/>
                <w:highlight w:val="none"/>
                <w:lang w:val="en-US" w:eastAsia="zh-CN"/>
              </w:rPr>
              <w:t>6</w:t>
            </w:r>
          </w:p>
        </w:tc>
        <w:tc>
          <w:tcPr>
            <w:tcW w:w="482" w:type="pct"/>
            <w:shd w:val="clear" w:color="auto" w:fill="auto"/>
            <w:noWrap w:val="0"/>
            <w:vAlign w:val="center"/>
          </w:tcPr>
          <w:p>
            <w:pPr>
              <w:shd w:val="clear"/>
              <w:spacing w:line="360" w:lineRule="auto"/>
              <w:jc w:val="center"/>
              <w:outlineLvl w:val="0"/>
              <w:rPr>
                <w:rFonts w:hint="eastAsia" w:ascii="仿宋" w:hAnsi="仿宋" w:eastAsia="仿宋" w:cs="仿宋"/>
                <w:b w:val="0"/>
                <w:bCs/>
                <w:color w:val="000000"/>
                <w:kern w:val="2"/>
                <w:sz w:val="24"/>
                <w:szCs w:val="22"/>
                <w:highlight w:val="none"/>
                <w:lang w:val="en-US" w:eastAsia="zh-CN" w:bidi="ar-SA"/>
              </w:rPr>
            </w:pPr>
            <w:r>
              <w:rPr>
                <w:rFonts w:hint="eastAsia" w:ascii="仿宋" w:hAnsi="仿宋" w:eastAsia="仿宋" w:cs="仿宋"/>
                <w:b w:val="0"/>
                <w:bCs/>
                <w:color w:val="000000"/>
                <w:sz w:val="24"/>
                <w:highlight w:val="none"/>
                <w:lang w:val="en-US" w:eastAsia="zh-CN"/>
              </w:rPr>
              <w:t>主观分</w:t>
            </w:r>
          </w:p>
        </w:tc>
        <w:tc>
          <w:tcPr>
            <w:tcW w:w="805" w:type="pct"/>
            <w:shd w:val="clear" w:color="auto" w:fill="auto"/>
            <w:noWrap w:val="0"/>
            <w:vAlign w:val="center"/>
          </w:tcPr>
          <w:p>
            <w:pPr>
              <w:shd w:val="clear"/>
              <w:spacing w:line="360" w:lineRule="auto"/>
              <w:jc w:val="center"/>
              <w:outlineLvl w:val="0"/>
              <w:rPr>
                <w:rFonts w:hint="eastAsia" w:ascii="仿宋" w:hAnsi="仿宋" w:eastAsia="仿宋" w:cs="仿宋"/>
                <w:b w:val="0"/>
                <w:bCs/>
                <w:color w:val="000000"/>
                <w:sz w:val="24"/>
                <w:highlight w:val="none"/>
                <w:lang w:val="en-US" w:eastAsia="zh-CN"/>
              </w:rPr>
            </w:pPr>
            <w:r>
              <w:rPr>
                <w:rFonts w:hint="eastAsia" w:ascii="仿宋" w:hAnsi="仿宋" w:eastAsia="仿宋" w:cs="仿宋"/>
                <w:b w:val="0"/>
                <w:bCs/>
                <w:color w:val="000000"/>
                <w:sz w:val="24"/>
                <w:highlight w:val="none"/>
                <w:lang w:val="en-US" w:eastAsia="zh-CN"/>
              </w:rPr>
              <w:t>重难点分析及应对措施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4" w:hRule="atLeast"/>
        </w:trPr>
        <w:tc>
          <w:tcPr>
            <w:tcW w:w="247" w:type="pct"/>
            <w:shd w:val="clear" w:color="auto" w:fill="auto"/>
            <w:noWrap w:val="0"/>
            <w:vAlign w:val="center"/>
          </w:tcPr>
          <w:p>
            <w:pPr>
              <w:shd w:val="clear"/>
              <w:spacing w:line="360" w:lineRule="auto"/>
              <w:jc w:val="center"/>
              <w:outlineLvl w:val="0"/>
              <w:rPr>
                <w:rFonts w:hint="eastAsia" w:ascii="仿宋" w:hAnsi="仿宋" w:eastAsia="仿宋" w:cs="仿宋"/>
                <w:b w:val="0"/>
                <w:bCs/>
                <w:color w:val="000000"/>
                <w:sz w:val="24"/>
                <w:highlight w:val="none"/>
                <w:lang w:eastAsia="zh-CN"/>
              </w:rPr>
            </w:pPr>
            <w:r>
              <w:rPr>
                <w:rFonts w:hint="eastAsia" w:ascii="仿宋" w:hAnsi="仿宋" w:eastAsia="仿宋" w:cs="仿宋"/>
                <w:b w:val="0"/>
                <w:bCs/>
                <w:color w:val="000000"/>
                <w:sz w:val="24"/>
                <w:highlight w:val="none"/>
                <w:lang w:val="en-US" w:eastAsia="zh-CN"/>
              </w:rPr>
              <w:t>2</w:t>
            </w:r>
          </w:p>
        </w:tc>
        <w:tc>
          <w:tcPr>
            <w:tcW w:w="3108" w:type="pct"/>
            <w:shd w:val="clear" w:color="auto" w:fill="auto"/>
            <w:noWrap w:val="0"/>
            <w:vAlign w:val="center"/>
          </w:tcPr>
          <w:p>
            <w:pPr>
              <w:pStyle w:val="232"/>
              <w:snapToGrid w:val="0"/>
              <w:spacing w:line="360" w:lineRule="auto"/>
              <w:jc w:val="both"/>
              <w:rPr>
                <w:rFonts w:hint="eastAsia" w:ascii="仿宋" w:hAnsi="仿宋" w:eastAsia="仿宋" w:cs="仿宋"/>
                <w:b w:val="0"/>
                <w:bCs/>
                <w:color w:val="auto"/>
                <w:sz w:val="24"/>
                <w:highlight w:val="none"/>
              </w:rPr>
            </w:pPr>
            <w:r>
              <w:rPr>
                <w:rFonts w:hint="eastAsia" w:ascii="仿宋" w:hAnsi="仿宋" w:eastAsia="仿宋" w:cs="仿宋"/>
                <w:b/>
                <w:bCs w:val="0"/>
                <w:color w:val="auto"/>
                <w:sz w:val="24"/>
                <w:highlight w:val="none"/>
                <w:lang w:val="en-US" w:eastAsia="zh-CN"/>
              </w:rPr>
              <w:t>总体</w:t>
            </w:r>
            <w:r>
              <w:rPr>
                <w:rFonts w:hint="eastAsia" w:ascii="仿宋" w:hAnsi="仿宋" w:eastAsia="仿宋" w:cs="仿宋"/>
                <w:b/>
                <w:bCs w:val="0"/>
                <w:color w:val="auto"/>
                <w:sz w:val="24"/>
                <w:highlight w:val="none"/>
                <w:lang w:eastAsia="zh-CN"/>
              </w:rPr>
              <w:t>运营方案。</w:t>
            </w:r>
            <w:r>
              <w:rPr>
                <w:rFonts w:hint="eastAsia" w:ascii="仿宋" w:hAnsi="仿宋" w:eastAsia="仿宋" w:cs="仿宋"/>
                <w:b w:val="0"/>
                <w:bCs/>
                <w:color w:val="auto"/>
                <w:sz w:val="24"/>
                <w:highlight w:val="none"/>
              </w:rPr>
              <w:t>投标人根据对</w:t>
            </w:r>
            <w:r>
              <w:rPr>
                <w:rFonts w:hint="eastAsia" w:ascii="仿宋" w:hAnsi="仿宋" w:eastAsia="仿宋" w:cs="仿宋"/>
                <w:b w:val="0"/>
                <w:bCs/>
                <w:color w:val="auto"/>
                <w:sz w:val="24"/>
                <w:highlight w:val="none"/>
                <w:lang w:eastAsia="zh-CN"/>
              </w:rPr>
              <w:t>本项目渗滤液处理、</w:t>
            </w:r>
            <w:r>
              <w:rPr>
                <w:rFonts w:hint="eastAsia" w:ascii="仿宋" w:hAnsi="仿宋" w:eastAsia="仿宋" w:cs="仿宋"/>
                <w:b w:val="0"/>
                <w:bCs/>
                <w:color w:val="auto"/>
                <w:sz w:val="24"/>
                <w:highlight w:val="none"/>
              </w:rPr>
              <w:t>现有</w:t>
            </w:r>
            <w:r>
              <w:rPr>
                <w:rFonts w:hint="eastAsia" w:ascii="仿宋" w:hAnsi="仿宋" w:eastAsia="仿宋" w:cs="仿宋"/>
                <w:b w:val="0"/>
                <w:bCs/>
                <w:color w:val="auto"/>
                <w:sz w:val="24"/>
                <w:highlight w:val="none"/>
                <w:lang w:eastAsia="zh-CN"/>
              </w:rPr>
              <w:t>厂区空间、</w:t>
            </w:r>
            <w:r>
              <w:rPr>
                <w:rFonts w:hint="eastAsia" w:ascii="仿宋" w:hAnsi="仿宋" w:eastAsia="仿宋" w:cs="仿宋"/>
                <w:b w:val="0"/>
                <w:bCs/>
                <w:color w:val="auto"/>
                <w:sz w:val="24"/>
                <w:highlight w:val="none"/>
              </w:rPr>
              <w:t>设施、设备</w:t>
            </w:r>
            <w:r>
              <w:rPr>
                <w:rFonts w:hint="eastAsia" w:ascii="仿宋" w:hAnsi="仿宋" w:eastAsia="仿宋" w:cs="仿宋"/>
                <w:b w:val="0"/>
                <w:bCs/>
                <w:color w:val="auto"/>
                <w:sz w:val="24"/>
                <w:highlight w:val="none"/>
                <w:lang w:eastAsia="zh-CN"/>
              </w:rPr>
              <w:t>等情况的</w:t>
            </w:r>
            <w:r>
              <w:rPr>
                <w:rFonts w:hint="eastAsia" w:ascii="仿宋" w:hAnsi="仿宋" w:eastAsia="仿宋" w:cs="仿宋"/>
                <w:b w:val="0"/>
                <w:bCs/>
                <w:color w:val="auto"/>
                <w:sz w:val="24"/>
                <w:highlight w:val="none"/>
              </w:rPr>
              <w:t>了解制定</w:t>
            </w:r>
            <w:r>
              <w:rPr>
                <w:rFonts w:hint="eastAsia" w:ascii="仿宋" w:hAnsi="仿宋" w:eastAsia="仿宋" w:cs="仿宋"/>
                <w:b w:val="0"/>
                <w:bCs/>
                <w:color w:val="auto"/>
                <w:sz w:val="24"/>
                <w:highlight w:val="none"/>
                <w:lang w:val="en-US" w:eastAsia="zh-CN"/>
              </w:rPr>
              <w:t>总体运营</w:t>
            </w:r>
            <w:r>
              <w:rPr>
                <w:rFonts w:hint="eastAsia" w:ascii="仿宋" w:hAnsi="仿宋" w:eastAsia="仿宋" w:cs="仿宋"/>
                <w:b w:val="0"/>
                <w:bCs/>
                <w:color w:val="auto"/>
                <w:sz w:val="24"/>
                <w:highlight w:val="none"/>
                <w:lang w:eastAsia="zh-CN"/>
              </w:rPr>
              <w:t>方案，方案</w:t>
            </w:r>
            <w:r>
              <w:rPr>
                <w:rFonts w:hint="eastAsia" w:ascii="仿宋" w:hAnsi="仿宋" w:eastAsia="仿宋" w:cs="仿宋"/>
                <w:b w:val="0"/>
                <w:bCs/>
                <w:color w:val="auto"/>
                <w:sz w:val="24"/>
                <w:highlight w:val="none"/>
              </w:rPr>
              <w:t>内容完整</w:t>
            </w:r>
            <w:r>
              <w:rPr>
                <w:rFonts w:hint="eastAsia" w:ascii="仿宋" w:hAnsi="仿宋" w:eastAsia="仿宋" w:cs="仿宋"/>
                <w:b w:val="0"/>
                <w:bCs/>
                <w:color w:val="auto"/>
                <w:sz w:val="24"/>
                <w:highlight w:val="none"/>
                <w:lang w:eastAsia="zh-CN"/>
              </w:rPr>
              <w:t>，设施设备，制定渗滤液处理</w:t>
            </w:r>
            <w:r>
              <w:rPr>
                <w:rFonts w:hint="eastAsia" w:ascii="仿宋" w:hAnsi="仿宋" w:eastAsia="仿宋" w:cs="仿宋"/>
                <w:b w:val="0"/>
                <w:bCs/>
                <w:color w:val="auto"/>
                <w:sz w:val="24"/>
                <w:highlight w:val="none"/>
              </w:rPr>
              <w:t>措施科学、操作性强的</w:t>
            </w:r>
            <w:r>
              <w:rPr>
                <w:rFonts w:hint="eastAsia" w:ascii="仿宋" w:hAnsi="仿宋" w:eastAsia="仿宋" w:cs="仿宋"/>
                <w:b w:val="0"/>
                <w:bCs/>
                <w:i w:val="0"/>
                <w:iCs w:val="0"/>
                <w:snapToGrid/>
                <w:color w:val="auto"/>
                <w:kern w:val="0"/>
                <w:sz w:val="24"/>
                <w:szCs w:val="24"/>
                <w:highlight w:val="none"/>
                <w:lang w:val="en-US" w:eastAsia="zh-CN" w:bidi="ar"/>
              </w:rPr>
              <w:t>视为符合，全部符合得6分，基本符合得4分，部分符合得2分，</w:t>
            </w:r>
            <w:r>
              <w:rPr>
                <w:rFonts w:hint="eastAsia" w:ascii="仿宋" w:hAnsi="仿宋" w:eastAsia="仿宋" w:cs="仿宋"/>
                <w:b w:val="0"/>
                <w:bCs/>
                <w:color w:val="auto"/>
                <w:sz w:val="24"/>
                <w:highlight w:val="none"/>
                <w:lang w:val="en-US" w:eastAsia="zh-CN"/>
              </w:rPr>
              <w:t>不符合或没提供不得分。共6分。</w:t>
            </w:r>
          </w:p>
        </w:tc>
        <w:tc>
          <w:tcPr>
            <w:tcW w:w="356" w:type="pct"/>
            <w:shd w:val="clear" w:color="auto" w:fill="auto"/>
            <w:noWrap w:val="0"/>
            <w:vAlign w:val="center"/>
          </w:tcPr>
          <w:p>
            <w:pPr>
              <w:shd w:val="clear"/>
              <w:spacing w:line="360" w:lineRule="auto"/>
              <w:jc w:val="center"/>
              <w:outlineLvl w:val="0"/>
              <w:rPr>
                <w:rFonts w:hint="eastAsia" w:ascii="仿宋" w:hAnsi="仿宋" w:eastAsia="仿宋" w:cs="仿宋"/>
                <w:b w:val="0"/>
                <w:bCs/>
                <w:color w:val="000000"/>
                <w:sz w:val="24"/>
                <w:highlight w:val="none"/>
                <w:lang w:eastAsia="zh-CN"/>
              </w:rPr>
            </w:pPr>
            <w:r>
              <w:rPr>
                <w:rFonts w:hint="eastAsia" w:ascii="仿宋" w:hAnsi="仿宋" w:eastAsia="仿宋" w:cs="仿宋"/>
                <w:b w:val="0"/>
                <w:bCs/>
                <w:color w:val="000000"/>
                <w:sz w:val="24"/>
                <w:highlight w:val="none"/>
                <w:lang w:val="en-US" w:eastAsia="zh-CN"/>
              </w:rPr>
              <w:t>6</w:t>
            </w:r>
          </w:p>
        </w:tc>
        <w:tc>
          <w:tcPr>
            <w:tcW w:w="482" w:type="pct"/>
            <w:shd w:val="clear" w:color="auto" w:fill="auto"/>
            <w:noWrap w:val="0"/>
            <w:vAlign w:val="center"/>
          </w:tcPr>
          <w:p>
            <w:pPr>
              <w:shd w:val="clear"/>
              <w:spacing w:line="360" w:lineRule="auto"/>
              <w:jc w:val="center"/>
              <w:outlineLvl w:val="0"/>
              <w:rPr>
                <w:rFonts w:hint="eastAsia" w:ascii="仿宋" w:hAnsi="仿宋" w:eastAsia="仿宋" w:cs="仿宋"/>
                <w:b w:val="0"/>
                <w:bCs/>
                <w:color w:val="000000"/>
                <w:sz w:val="24"/>
                <w:highlight w:val="none"/>
                <w:lang w:val="en-US" w:eastAsia="zh-CN"/>
              </w:rPr>
            </w:pPr>
            <w:r>
              <w:rPr>
                <w:rFonts w:hint="eastAsia" w:ascii="仿宋" w:hAnsi="仿宋" w:eastAsia="仿宋" w:cs="仿宋"/>
                <w:b w:val="0"/>
                <w:bCs/>
                <w:color w:val="000000"/>
                <w:sz w:val="24"/>
                <w:highlight w:val="none"/>
                <w:lang w:val="en-US" w:eastAsia="zh-CN"/>
              </w:rPr>
              <w:t>主观分</w:t>
            </w:r>
          </w:p>
        </w:tc>
        <w:tc>
          <w:tcPr>
            <w:tcW w:w="805" w:type="pct"/>
            <w:shd w:val="clear" w:color="auto" w:fill="auto"/>
            <w:noWrap w:val="0"/>
            <w:vAlign w:val="center"/>
          </w:tcPr>
          <w:p>
            <w:pPr>
              <w:shd w:val="clear"/>
              <w:spacing w:line="360" w:lineRule="auto"/>
              <w:jc w:val="center"/>
              <w:outlineLvl w:val="0"/>
              <w:rPr>
                <w:rFonts w:hint="eastAsia" w:ascii="仿宋" w:hAnsi="仿宋" w:eastAsia="仿宋" w:cs="仿宋"/>
                <w:b w:val="0"/>
                <w:bCs/>
                <w:color w:val="000000"/>
                <w:sz w:val="24"/>
                <w:highlight w:val="none"/>
                <w:lang w:eastAsia="zh-CN"/>
              </w:rPr>
            </w:pPr>
            <w:r>
              <w:rPr>
                <w:rFonts w:hint="eastAsia" w:ascii="仿宋" w:hAnsi="仿宋" w:eastAsia="仿宋" w:cs="仿宋"/>
                <w:b w:val="0"/>
                <w:bCs/>
                <w:color w:val="000000"/>
                <w:sz w:val="24"/>
                <w:highlight w:val="none"/>
                <w:lang w:val="en-US" w:eastAsia="zh-CN"/>
              </w:rPr>
              <w:t>总体运营</w:t>
            </w:r>
            <w:r>
              <w:rPr>
                <w:rFonts w:hint="eastAsia" w:ascii="仿宋" w:hAnsi="仿宋" w:eastAsia="仿宋" w:cs="仿宋"/>
                <w:b w:val="0"/>
                <w:bCs/>
                <w:color w:val="000000"/>
                <w:sz w:val="24"/>
                <w:highlight w:val="none"/>
                <w:lang w:eastAsia="zh-CN"/>
              </w:rPr>
              <w:t>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247" w:type="pct"/>
            <w:shd w:val="clear" w:color="auto" w:fill="auto"/>
            <w:noWrap w:val="0"/>
            <w:vAlign w:val="center"/>
          </w:tcPr>
          <w:p>
            <w:pPr>
              <w:shd w:val="clear"/>
              <w:spacing w:line="360" w:lineRule="auto"/>
              <w:jc w:val="center"/>
              <w:outlineLvl w:val="0"/>
              <w:rPr>
                <w:rFonts w:hint="eastAsia" w:ascii="仿宋" w:hAnsi="仿宋" w:eastAsia="仿宋" w:cs="仿宋"/>
                <w:b w:val="0"/>
                <w:bCs/>
                <w:color w:val="000000"/>
                <w:sz w:val="24"/>
                <w:highlight w:val="none"/>
                <w:lang w:val="en-US" w:eastAsia="zh-CN"/>
              </w:rPr>
            </w:pPr>
            <w:r>
              <w:rPr>
                <w:rFonts w:hint="eastAsia" w:ascii="仿宋" w:hAnsi="仿宋" w:eastAsia="仿宋" w:cs="仿宋"/>
                <w:b w:val="0"/>
                <w:bCs/>
                <w:color w:val="000000"/>
                <w:sz w:val="24"/>
                <w:highlight w:val="none"/>
                <w:lang w:val="en-US" w:eastAsia="zh-CN"/>
              </w:rPr>
              <w:t>3</w:t>
            </w:r>
          </w:p>
        </w:tc>
        <w:tc>
          <w:tcPr>
            <w:tcW w:w="3108" w:type="pct"/>
            <w:shd w:val="clear" w:color="auto" w:fill="auto"/>
            <w:noWrap w:val="0"/>
            <w:vAlign w:val="center"/>
          </w:tcPr>
          <w:p>
            <w:pPr>
              <w:shd w:val="clear"/>
              <w:spacing w:line="360" w:lineRule="auto"/>
              <w:outlineLvl w:val="0"/>
              <w:rPr>
                <w:rFonts w:hint="default" w:ascii="仿宋" w:hAnsi="仿宋" w:eastAsia="仿宋" w:cs="仿宋"/>
                <w:b w:val="0"/>
                <w:bCs/>
                <w:color w:val="auto"/>
                <w:sz w:val="24"/>
                <w:highlight w:val="none"/>
                <w:lang w:val="en-US" w:eastAsia="zh-CN"/>
              </w:rPr>
            </w:pPr>
            <w:r>
              <w:rPr>
                <w:rFonts w:hint="eastAsia" w:ascii="仿宋" w:hAnsi="仿宋" w:eastAsia="仿宋" w:cs="仿宋"/>
                <w:b/>
                <w:bCs w:val="0"/>
                <w:color w:val="auto"/>
                <w:sz w:val="24"/>
                <w:highlight w:val="none"/>
                <w:lang w:val="en-US" w:eastAsia="zh-CN"/>
              </w:rPr>
              <w:t>设施设备运行和日常维护方案。</w:t>
            </w:r>
            <w:r>
              <w:rPr>
                <w:rFonts w:hint="eastAsia" w:ascii="仿宋" w:hAnsi="仿宋" w:eastAsia="仿宋" w:cs="仿宋"/>
                <w:b w:val="0"/>
                <w:bCs/>
                <w:color w:val="auto"/>
                <w:sz w:val="24"/>
                <w:highlight w:val="none"/>
                <w:lang w:val="en-US" w:eastAsia="zh-CN"/>
              </w:rPr>
              <w:t>投标人根据采购需求，结合本项目设施设备特点，提出设施设备运行和日常维护方案，方案内容包括但不限于关键设备操作规程、维护规程、维修计划等。方案内容全面完整，能科学安排检修、维护、更新等，保证垃圾渗滤液处理厂正常运行的视为符合，</w:t>
            </w:r>
            <w:r>
              <w:rPr>
                <w:rFonts w:hint="eastAsia" w:ascii="仿宋" w:hAnsi="仿宋" w:eastAsia="仿宋" w:cs="仿宋"/>
                <w:b w:val="0"/>
                <w:bCs/>
                <w:i w:val="0"/>
                <w:iCs w:val="0"/>
                <w:snapToGrid/>
                <w:color w:val="auto"/>
                <w:kern w:val="0"/>
                <w:sz w:val="24"/>
                <w:szCs w:val="24"/>
                <w:highlight w:val="none"/>
                <w:lang w:val="en-US" w:eastAsia="zh-CN" w:bidi="ar"/>
              </w:rPr>
              <w:t>全部符合得5分，基本符合得3分，部分符合得1分，</w:t>
            </w:r>
            <w:r>
              <w:rPr>
                <w:rFonts w:hint="eastAsia" w:ascii="仿宋" w:hAnsi="仿宋" w:eastAsia="仿宋" w:cs="仿宋"/>
                <w:b w:val="0"/>
                <w:bCs/>
                <w:color w:val="auto"/>
                <w:sz w:val="24"/>
                <w:highlight w:val="none"/>
                <w:lang w:val="en-US" w:eastAsia="zh-CN"/>
              </w:rPr>
              <w:t>不符合或没提供不得分。共5分。</w:t>
            </w:r>
          </w:p>
        </w:tc>
        <w:tc>
          <w:tcPr>
            <w:tcW w:w="356" w:type="pct"/>
            <w:shd w:val="clear" w:color="auto" w:fill="auto"/>
            <w:noWrap w:val="0"/>
            <w:vAlign w:val="center"/>
          </w:tcPr>
          <w:p>
            <w:pPr>
              <w:shd w:val="clear"/>
              <w:spacing w:line="360" w:lineRule="auto"/>
              <w:jc w:val="center"/>
              <w:outlineLvl w:val="0"/>
              <w:rPr>
                <w:rFonts w:hint="eastAsia" w:ascii="仿宋" w:hAnsi="仿宋" w:eastAsia="仿宋" w:cs="仿宋"/>
                <w:b w:val="0"/>
                <w:bCs/>
                <w:color w:val="000000"/>
                <w:kern w:val="2"/>
                <w:sz w:val="24"/>
                <w:szCs w:val="22"/>
                <w:highlight w:val="none"/>
                <w:lang w:val="en-US" w:eastAsia="zh-CN" w:bidi="ar-SA"/>
              </w:rPr>
            </w:pPr>
            <w:r>
              <w:rPr>
                <w:rFonts w:hint="eastAsia" w:ascii="仿宋" w:hAnsi="仿宋" w:eastAsia="仿宋" w:cs="仿宋"/>
                <w:b w:val="0"/>
                <w:bCs/>
                <w:color w:val="000000"/>
                <w:sz w:val="24"/>
                <w:highlight w:val="none"/>
                <w:lang w:val="en-US" w:eastAsia="zh-CN"/>
              </w:rPr>
              <w:t>5</w:t>
            </w:r>
          </w:p>
        </w:tc>
        <w:tc>
          <w:tcPr>
            <w:tcW w:w="482" w:type="pct"/>
            <w:shd w:val="clear" w:color="auto" w:fill="auto"/>
            <w:noWrap w:val="0"/>
            <w:vAlign w:val="center"/>
          </w:tcPr>
          <w:p>
            <w:pPr>
              <w:shd w:val="clear"/>
              <w:spacing w:line="360" w:lineRule="auto"/>
              <w:jc w:val="center"/>
              <w:outlineLvl w:val="0"/>
              <w:rPr>
                <w:rFonts w:hint="eastAsia" w:ascii="仿宋" w:hAnsi="仿宋" w:eastAsia="仿宋" w:cs="仿宋"/>
                <w:b w:val="0"/>
                <w:bCs/>
                <w:color w:val="000000"/>
                <w:kern w:val="2"/>
                <w:sz w:val="24"/>
                <w:szCs w:val="22"/>
                <w:highlight w:val="none"/>
                <w:lang w:val="en-US" w:eastAsia="zh-CN" w:bidi="ar-SA"/>
              </w:rPr>
            </w:pPr>
            <w:r>
              <w:rPr>
                <w:rFonts w:hint="eastAsia" w:ascii="仿宋" w:hAnsi="仿宋" w:eastAsia="仿宋" w:cs="仿宋"/>
                <w:b w:val="0"/>
                <w:bCs/>
                <w:color w:val="000000"/>
                <w:sz w:val="24"/>
                <w:highlight w:val="none"/>
                <w:lang w:val="en-US" w:eastAsia="zh-CN"/>
              </w:rPr>
              <w:t>主观分</w:t>
            </w:r>
          </w:p>
        </w:tc>
        <w:tc>
          <w:tcPr>
            <w:tcW w:w="805" w:type="pct"/>
            <w:shd w:val="clear" w:color="auto" w:fill="auto"/>
            <w:noWrap w:val="0"/>
            <w:vAlign w:val="center"/>
          </w:tcPr>
          <w:p>
            <w:pPr>
              <w:shd w:val="clear"/>
              <w:spacing w:line="360" w:lineRule="auto"/>
              <w:jc w:val="center"/>
              <w:outlineLvl w:val="0"/>
              <w:rPr>
                <w:rFonts w:hint="eastAsia" w:ascii="仿宋" w:hAnsi="仿宋" w:eastAsia="仿宋" w:cs="仿宋"/>
                <w:b w:val="0"/>
                <w:bCs/>
                <w:color w:val="000000"/>
                <w:sz w:val="24"/>
                <w:highlight w:val="none"/>
              </w:rPr>
            </w:pPr>
            <w:r>
              <w:rPr>
                <w:rFonts w:hint="eastAsia" w:ascii="仿宋" w:hAnsi="仿宋" w:eastAsia="仿宋" w:cs="仿宋"/>
                <w:b w:val="0"/>
                <w:bCs/>
                <w:color w:val="000000"/>
                <w:sz w:val="24"/>
                <w:highlight w:val="none"/>
                <w:lang w:val="en-US" w:eastAsia="zh-CN"/>
              </w:rPr>
              <w:t>设施设备运行和日常维护方案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247" w:type="pct"/>
            <w:shd w:val="clear" w:color="auto" w:fill="auto"/>
            <w:noWrap w:val="0"/>
            <w:vAlign w:val="center"/>
          </w:tcPr>
          <w:p>
            <w:pPr>
              <w:shd w:val="clear"/>
              <w:spacing w:line="360" w:lineRule="auto"/>
              <w:jc w:val="center"/>
              <w:outlineLvl w:val="0"/>
              <w:rPr>
                <w:rFonts w:hint="default" w:ascii="仿宋" w:hAnsi="仿宋" w:eastAsia="仿宋" w:cs="仿宋"/>
                <w:b w:val="0"/>
                <w:bCs/>
                <w:color w:val="000000"/>
                <w:sz w:val="24"/>
                <w:highlight w:val="none"/>
                <w:lang w:val="en-US" w:eastAsia="zh-CN"/>
              </w:rPr>
            </w:pPr>
            <w:r>
              <w:rPr>
                <w:rFonts w:hint="eastAsia" w:ascii="仿宋" w:hAnsi="仿宋" w:eastAsia="仿宋" w:cs="仿宋"/>
                <w:b w:val="0"/>
                <w:bCs/>
                <w:color w:val="000000"/>
                <w:sz w:val="24"/>
                <w:highlight w:val="none"/>
                <w:lang w:val="en-US" w:eastAsia="zh-CN"/>
              </w:rPr>
              <w:t>4</w:t>
            </w:r>
          </w:p>
        </w:tc>
        <w:tc>
          <w:tcPr>
            <w:tcW w:w="3108" w:type="pct"/>
            <w:shd w:val="clear" w:color="auto" w:fill="auto"/>
            <w:noWrap w:val="0"/>
            <w:vAlign w:val="center"/>
          </w:tcPr>
          <w:p>
            <w:pPr>
              <w:shd w:val="clear"/>
              <w:spacing w:line="360" w:lineRule="auto"/>
              <w:outlineLvl w:val="0"/>
              <w:rPr>
                <w:rFonts w:hint="eastAsia" w:ascii="仿宋" w:hAnsi="仿宋" w:eastAsia="仿宋" w:cs="仿宋"/>
                <w:b/>
                <w:bCs w:val="0"/>
                <w:color w:val="auto"/>
                <w:sz w:val="24"/>
                <w:highlight w:val="none"/>
              </w:rPr>
            </w:pPr>
            <w:r>
              <w:rPr>
                <w:rFonts w:hint="eastAsia" w:ascii="仿宋" w:hAnsi="仿宋" w:eastAsia="仿宋" w:cs="仿宋"/>
                <w:b/>
                <w:bCs w:val="0"/>
                <w:color w:val="auto"/>
                <w:sz w:val="24"/>
                <w:highlight w:val="none"/>
                <w:lang w:val="en-US" w:eastAsia="zh-CN"/>
              </w:rPr>
              <w:t>相关承诺。</w:t>
            </w:r>
            <w:r>
              <w:rPr>
                <w:rFonts w:hint="eastAsia" w:ascii="仿宋" w:hAnsi="仿宋" w:eastAsia="仿宋" w:cs="仿宋"/>
                <w:b w:val="0"/>
                <w:bCs/>
                <w:color w:val="auto"/>
                <w:sz w:val="24"/>
                <w:highlight w:val="none"/>
                <w:lang w:val="en-US" w:eastAsia="zh-CN"/>
              </w:rPr>
              <w:t>投标人承诺在运营期内厂区臭气控制达到GB14554-93厂界二级标准的得1分，需提供相关承诺，否则不得分，共1分。</w:t>
            </w:r>
          </w:p>
        </w:tc>
        <w:tc>
          <w:tcPr>
            <w:tcW w:w="356" w:type="pct"/>
            <w:shd w:val="clear" w:color="auto" w:fill="auto"/>
            <w:noWrap w:val="0"/>
            <w:vAlign w:val="center"/>
          </w:tcPr>
          <w:p>
            <w:pPr>
              <w:shd w:val="clear"/>
              <w:spacing w:line="360" w:lineRule="auto"/>
              <w:jc w:val="center"/>
              <w:outlineLvl w:val="0"/>
              <w:rPr>
                <w:rFonts w:hint="default" w:ascii="仿宋" w:hAnsi="仿宋" w:eastAsia="仿宋" w:cs="仿宋"/>
                <w:b w:val="0"/>
                <w:bCs/>
                <w:color w:val="000000"/>
                <w:sz w:val="24"/>
                <w:highlight w:val="none"/>
                <w:lang w:val="en-US" w:eastAsia="zh-CN"/>
              </w:rPr>
            </w:pPr>
            <w:r>
              <w:rPr>
                <w:rFonts w:hint="eastAsia" w:ascii="仿宋" w:hAnsi="仿宋" w:eastAsia="仿宋" w:cs="仿宋"/>
                <w:b w:val="0"/>
                <w:bCs/>
                <w:color w:val="000000"/>
                <w:sz w:val="24"/>
                <w:highlight w:val="none"/>
                <w:lang w:val="en-US" w:eastAsia="zh-CN"/>
              </w:rPr>
              <w:t>1</w:t>
            </w:r>
          </w:p>
        </w:tc>
        <w:tc>
          <w:tcPr>
            <w:tcW w:w="482" w:type="pct"/>
            <w:shd w:val="clear" w:color="auto" w:fill="auto"/>
            <w:noWrap w:val="0"/>
            <w:vAlign w:val="center"/>
          </w:tcPr>
          <w:p>
            <w:pPr>
              <w:shd w:val="clear"/>
              <w:spacing w:line="360" w:lineRule="auto"/>
              <w:jc w:val="center"/>
              <w:outlineLvl w:val="0"/>
              <w:rPr>
                <w:rFonts w:hint="eastAsia" w:ascii="仿宋" w:hAnsi="仿宋" w:eastAsia="仿宋" w:cs="仿宋"/>
                <w:b w:val="0"/>
                <w:bCs/>
                <w:color w:val="000000"/>
                <w:sz w:val="24"/>
                <w:highlight w:val="none"/>
                <w:lang w:val="en-US" w:eastAsia="zh-CN"/>
              </w:rPr>
            </w:pPr>
            <w:r>
              <w:rPr>
                <w:rFonts w:hint="eastAsia" w:ascii="仿宋" w:hAnsi="仿宋" w:eastAsia="仿宋" w:cs="仿宋"/>
                <w:b w:val="0"/>
                <w:bCs/>
                <w:color w:val="000000"/>
                <w:sz w:val="24"/>
                <w:highlight w:val="none"/>
                <w:lang w:val="en-US" w:eastAsia="zh-CN"/>
              </w:rPr>
              <w:t>客观分</w:t>
            </w:r>
          </w:p>
        </w:tc>
        <w:tc>
          <w:tcPr>
            <w:tcW w:w="805" w:type="pct"/>
            <w:shd w:val="clear" w:color="auto" w:fill="auto"/>
            <w:noWrap w:val="0"/>
            <w:vAlign w:val="center"/>
          </w:tcPr>
          <w:p>
            <w:pPr>
              <w:shd w:val="clear"/>
              <w:spacing w:line="360" w:lineRule="auto"/>
              <w:jc w:val="center"/>
              <w:outlineLvl w:val="0"/>
              <w:rPr>
                <w:rFonts w:hint="eastAsia" w:ascii="仿宋" w:hAnsi="仿宋" w:eastAsia="仿宋" w:cs="仿宋"/>
                <w:b w:val="0"/>
                <w:bCs/>
                <w:color w:val="000000"/>
                <w:sz w:val="24"/>
                <w:highlight w:val="none"/>
                <w:lang w:eastAsia="zh-CN"/>
              </w:rPr>
            </w:pPr>
            <w:r>
              <w:rPr>
                <w:rFonts w:hint="eastAsia" w:ascii="仿宋" w:hAnsi="仿宋" w:eastAsia="仿宋" w:cs="仿宋"/>
                <w:b w:val="0"/>
                <w:bCs/>
                <w:color w:val="000000"/>
                <w:sz w:val="24"/>
                <w:highlight w:val="none"/>
                <w:lang w:eastAsia="zh-CN"/>
              </w:rPr>
              <w:t>相关承诺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247" w:type="pct"/>
            <w:shd w:val="clear" w:color="auto" w:fill="auto"/>
            <w:noWrap w:val="0"/>
            <w:vAlign w:val="center"/>
          </w:tcPr>
          <w:p>
            <w:pPr>
              <w:shd w:val="clear"/>
              <w:spacing w:line="360" w:lineRule="auto"/>
              <w:jc w:val="center"/>
              <w:outlineLvl w:val="0"/>
              <w:rPr>
                <w:rFonts w:hint="default" w:ascii="仿宋" w:hAnsi="仿宋" w:eastAsia="仿宋" w:cs="仿宋"/>
                <w:b w:val="0"/>
                <w:bCs/>
                <w:color w:val="000000"/>
                <w:sz w:val="24"/>
                <w:highlight w:val="none"/>
                <w:lang w:val="en-US" w:eastAsia="zh-CN"/>
              </w:rPr>
            </w:pPr>
            <w:r>
              <w:rPr>
                <w:rFonts w:hint="eastAsia" w:ascii="仿宋" w:hAnsi="仿宋" w:eastAsia="仿宋" w:cs="仿宋"/>
                <w:b w:val="0"/>
                <w:bCs/>
                <w:color w:val="000000"/>
                <w:sz w:val="24"/>
                <w:highlight w:val="none"/>
                <w:lang w:val="en-US" w:eastAsia="zh-CN"/>
              </w:rPr>
              <w:t>5</w:t>
            </w:r>
          </w:p>
        </w:tc>
        <w:tc>
          <w:tcPr>
            <w:tcW w:w="3108" w:type="pct"/>
            <w:shd w:val="clear" w:color="auto" w:fill="auto"/>
            <w:noWrap w:val="0"/>
            <w:vAlign w:val="center"/>
          </w:tcPr>
          <w:p>
            <w:pPr>
              <w:spacing w:line="360" w:lineRule="auto"/>
              <w:outlineLvl w:val="0"/>
              <w:rPr>
                <w:rFonts w:hint="eastAsia" w:ascii="仿宋" w:hAnsi="仿宋" w:eastAsia="仿宋" w:cs="仿宋"/>
                <w:color w:val="auto"/>
                <w:kern w:val="2"/>
                <w:sz w:val="24"/>
                <w:szCs w:val="22"/>
                <w:highlight w:val="none"/>
                <w:lang w:val="en-US" w:eastAsia="zh-CN" w:bidi="ar-SA"/>
              </w:rPr>
            </w:pPr>
            <w:r>
              <w:rPr>
                <w:rFonts w:hint="eastAsia" w:ascii="仿宋" w:hAnsi="仿宋" w:eastAsia="仿宋" w:cs="仿宋"/>
                <w:b/>
                <w:bCs w:val="0"/>
                <w:color w:val="auto"/>
                <w:sz w:val="24"/>
                <w:highlight w:val="none"/>
                <w:lang w:val="en-US" w:eastAsia="zh-CN"/>
              </w:rPr>
              <w:t>备品备件情况。</w:t>
            </w:r>
            <w:r>
              <w:rPr>
                <w:rFonts w:hint="eastAsia" w:ascii="仿宋" w:hAnsi="仿宋" w:eastAsia="仿宋" w:cs="仿宋"/>
                <w:b w:val="0"/>
                <w:bCs/>
                <w:color w:val="auto"/>
                <w:sz w:val="24"/>
                <w:highlight w:val="none"/>
                <w:lang w:val="en-US" w:eastAsia="zh-CN"/>
              </w:rPr>
              <w:t>投标人提供满足项目需要的备品备件（易损件）、易耗品清单，并制定更换与使用计划。</w:t>
            </w:r>
            <w:r>
              <w:rPr>
                <w:rFonts w:hint="eastAsia" w:ascii="仿宋" w:hAnsi="仿宋" w:eastAsia="仿宋" w:cs="仿宋"/>
                <w:b w:val="0"/>
                <w:bCs/>
                <w:color w:val="auto"/>
                <w:sz w:val="24"/>
                <w:highlight w:val="none"/>
                <w:lang w:val="zh-CN" w:eastAsia="zh-CN"/>
              </w:rPr>
              <w:t>备品备件清单内容完整、价格明确、规格产地清楚</w:t>
            </w:r>
            <w:r>
              <w:rPr>
                <w:rFonts w:hint="eastAsia" w:ascii="仿宋" w:hAnsi="仿宋" w:eastAsia="仿宋" w:cs="仿宋"/>
                <w:b w:val="0"/>
                <w:bCs/>
                <w:color w:val="auto"/>
                <w:sz w:val="24"/>
                <w:highlight w:val="none"/>
                <w:lang w:val="en-US" w:eastAsia="zh-CN"/>
              </w:rPr>
              <w:t>，且与本项目设施设备相匹配，计划安排科学合理，保证垃圾渗滤液处理厂正常运行的视为符合，全部符合得6分，基本符合得4分，部分符合得2分，不符合或没提供不得分。共6分。</w:t>
            </w:r>
          </w:p>
        </w:tc>
        <w:tc>
          <w:tcPr>
            <w:tcW w:w="356" w:type="pct"/>
            <w:shd w:val="clear" w:color="auto" w:fill="auto"/>
            <w:noWrap w:val="0"/>
            <w:vAlign w:val="center"/>
          </w:tcPr>
          <w:p>
            <w:pPr>
              <w:spacing w:line="360" w:lineRule="auto"/>
              <w:jc w:val="center"/>
              <w:outlineLvl w:val="0"/>
              <w:rPr>
                <w:rFonts w:hint="eastAsia" w:ascii="仿宋" w:hAnsi="仿宋" w:eastAsia="仿宋" w:cs="仿宋"/>
                <w:color w:val="auto"/>
                <w:kern w:val="2"/>
                <w:sz w:val="24"/>
                <w:szCs w:val="22"/>
                <w:lang w:val="en-US" w:eastAsia="zh-CN" w:bidi="ar-SA"/>
              </w:rPr>
            </w:pPr>
            <w:r>
              <w:rPr>
                <w:rFonts w:hint="eastAsia" w:ascii="仿宋" w:hAnsi="仿宋" w:eastAsia="仿宋" w:cs="仿宋"/>
                <w:color w:val="auto"/>
                <w:sz w:val="24"/>
                <w:lang w:val="en-US" w:eastAsia="zh-CN"/>
              </w:rPr>
              <w:t>6</w:t>
            </w:r>
          </w:p>
        </w:tc>
        <w:tc>
          <w:tcPr>
            <w:tcW w:w="482" w:type="pct"/>
            <w:shd w:val="clear" w:color="auto" w:fill="auto"/>
            <w:noWrap w:val="0"/>
            <w:vAlign w:val="center"/>
          </w:tcPr>
          <w:p>
            <w:pPr>
              <w:spacing w:line="360" w:lineRule="auto"/>
              <w:jc w:val="center"/>
              <w:outlineLvl w:val="0"/>
              <w:rPr>
                <w:rFonts w:hint="eastAsia" w:ascii="仿宋" w:hAnsi="仿宋" w:eastAsia="仿宋" w:cs="仿宋"/>
                <w:color w:val="auto"/>
                <w:kern w:val="2"/>
                <w:sz w:val="24"/>
                <w:szCs w:val="22"/>
                <w:lang w:val="en-US" w:eastAsia="zh-CN" w:bidi="ar-SA"/>
              </w:rPr>
            </w:pPr>
            <w:r>
              <w:rPr>
                <w:rFonts w:hint="eastAsia" w:ascii="仿宋" w:hAnsi="仿宋" w:eastAsia="仿宋" w:cs="仿宋"/>
                <w:color w:val="auto"/>
                <w:sz w:val="24"/>
                <w:lang w:val="zh-CN"/>
              </w:rPr>
              <w:t>主观分</w:t>
            </w:r>
          </w:p>
        </w:tc>
        <w:tc>
          <w:tcPr>
            <w:tcW w:w="805" w:type="pct"/>
            <w:shd w:val="clear" w:color="auto" w:fill="auto"/>
            <w:noWrap w:val="0"/>
            <w:vAlign w:val="center"/>
          </w:tcPr>
          <w:p>
            <w:pPr>
              <w:spacing w:line="360" w:lineRule="auto"/>
              <w:jc w:val="center"/>
              <w:outlineLvl w:val="0"/>
              <w:rPr>
                <w:rFonts w:hint="eastAsia" w:ascii="仿宋" w:hAnsi="仿宋" w:eastAsia="仿宋" w:cs="仿宋"/>
                <w:color w:val="auto"/>
                <w:kern w:val="2"/>
                <w:sz w:val="24"/>
                <w:szCs w:val="22"/>
                <w:lang w:val="en-US" w:eastAsia="zh-CN" w:bidi="ar-SA"/>
              </w:rPr>
            </w:pPr>
            <w:r>
              <w:rPr>
                <w:rFonts w:hint="eastAsia" w:ascii="仿宋" w:hAnsi="仿宋" w:eastAsia="仿宋" w:cs="仿宋"/>
                <w:color w:val="auto"/>
                <w:sz w:val="24"/>
                <w:lang w:val="zh-CN"/>
              </w:rPr>
              <w:t>备品备件情况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247" w:type="pct"/>
            <w:shd w:val="clear" w:color="auto" w:fill="auto"/>
            <w:noWrap w:val="0"/>
            <w:vAlign w:val="center"/>
          </w:tcPr>
          <w:p>
            <w:pPr>
              <w:shd w:val="clear"/>
              <w:spacing w:line="360" w:lineRule="auto"/>
              <w:jc w:val="center"/>
              <w:outlineLvl w:val="0"/>
              <w:rPr>
                <w:rFonts w:hint="default" w:ascii="仿宋" w:hAnsi="仿宋" w:eastAsia="仿宋" w:cs="仿宋"/>
                <w:b w:val="0"/>
                <w:bCs/>
                <w:color w:val="000000"/>
                <w:sz w:val="24"/>
                <w:highlight w:val="none"/>
                <w:lang w:val="en-US" w:eastAsia="zh-CN"/>
              </w:rPr>
            </w:pPr>
            <w:r>
              <w:rPr>
                <w:rFonts w:hint="eastAsia" w:ascii="仿宋" w:hAnsi="仿宋" w:eastAsia="仿宋" w:cs="仿宋"/>
                <w:b w:val="0"/>
                <w:bCs/>
                <w:color w:val="000000"/>
                <w:sz w:val="24"/>
                <w:highlight w:val="none"/>
                <w:lang w:val="en-US" w:eastAsia="zh-CN"/>
              </w:rPr>
              <w:t>6</w:t>
            </w:r>
          </w:p>
        </w:tc>
        <w:tc>
          <w:tcPr>
            <w:tcW w:w="3108" w:type="pct"/>
            <w:shd w:val="clear" w:color="auto" w:fill="auto"/>
            <w:noWrap w:val="0"/>
            <w:vAlign w:val="center"/>
          </w:tcPr>
          <w:p>
            <w:pPr>
              <w:shd w:val="clear"/>
              <w:spacing w:line="360" w:lineRule="auto"/>
              <w:outlineLvl w:val="0"/>
              <w:rPr>
                <w:rFonts w:hint="eastAsia" w:ascii="仿宋" w:hAnsi="仿宋" w:eastAsia="仿宋" w:cs="仿宋"/>
                <w:b/>
                <w:bCs w:val="0"/>
                <w:color w:val="auto"/>
                <w:sz w:val="24"/>
                <w:highlight w:val="none"/>
              </w:rPr>
            </w:pPr>
            <w:r>
              <w:rPr>
                <w:rFonts w:hint="eastAsia" w:ascii="仿宋" w:hAnsi="仿宋" w:eastAsia="仿宋" w:cs="仿宋"/>
                <w:b/>
                <w:bCs w:val="0"/>
                <w:color w:val="auto"/>
                <w:sz w:val="24"/>
                <w:highlight w:val="none"/>
                <w:lang w:val="en-US" w:eastAsia="zh-CN"/>
              </w:rPr>
              <w:t>渗滤液处理工艺。</w:t>
            </w:r>
            <w:r>
              <w:rPr>
                <w:rFonts w:hint="eastAsia" w:ascii="仿宋" w:hAnsi="仿宋" w:eastAsia="仿宋" w:cs="仿宋"/>
                <w:b w:val="0"/>
                <w:bCs/>
                <w:color w:val="auto"/>
                <w:sz w:val="24"/>
                <w:highlight w:val="none"/>
                <w:lang w:val="en-US" w:eastAsia="zh-CN"/>
              </w:rPr>
              <w:t>投标人根据项目现场设施及设备等，制定渗滤液处理工艺，并结合现有设施设备提供详细介绍。投标人制定的渗滤液处理工艺介绍完整详细，与本项目现场设施设备匹配度高，经处理后出水水质能达到排放标准的视为符合，全部符合得6分，基本符合得4分，部分符合得2分，不符合或没提供不得分。共6分。</w:t>
            </w:r>
          </w:p>
        </w:tc>
        <w:tc>
          <w:tcPr>
            <w:tcW w:w="356" w:type="pct"/>
            <w:shd w:val="clear" w:color="auto" w:fill="auto"/>
            <w:noWrap w:val="0"/>
            <w:vAlign w:val="center"/>
          </w:tcPr>
          <w:p>
            <w:pPr>
              <w:shd w:val="clear"/>
              <w:spacing w:line="360" w:lineRule="auto"/>
              <w:jc w:val="center"/>
              <w:outlineLvl w:val="0"/>
              <w:rPr>
                <w:rFonts w:hint="eastAsia" w:ascii="仿宋" w:hAnsi="仿宋" w:eastAsia="仿宋" w:cs="仿宋"/>
                <w:b w:val="0"/>
                <w:bCs/>
                <w:color w:val="000000"/>
                <w:kern w:val="2"/>
                <w:sz w:val="24"/>
                <w:szCs w:val="22"/>
                <w:highlight w:val="none"/>
                <w:lang w:val="en-US" w:eastAsia="zh-CN" w:bidi="ar-SA"/>
              </w:rPr>
            </w:pPr>
            <w:r>
              <w:rPr>
                <w:rFonts w:hint="eastAsia" w:ascii="仿宋" w:hAnsi="仿宋" w:eastAsia="仿宋" w:cs="仿宋"/>
                <w:b w:val="0"/>
                <w:bCs/>
                <w:color w:val="000000"/>
                <w:sz w:val="24"/>
                <w:highlight w:val="none"/>
                <w:lang w:val="en-US" w:eastAsia="zh-CN"/>
              </w:rPr>
              <w:t>6</w:t>
            </w:r>
          </w:p>
        </w:tc>
        <w:tc>
          <w:tcPr>
            <w:tcW w:w="482" w:type="pct"/>
            <w:shd w:val="clear" w:color="auto" w:fill="auto"/>
            <w:noWrap w:val="0"/>
            <w:vAlign w:val="center"/>
          </w:tcPr>
          <w:p>
            <w:pPr>
              <w:shd w:val="clear"/>
              <w:spacing w:line="360" w:lineRule="auto"/>
              <w:jc w:val="center"/>
              <w:outlineLvl w:val="0"/>
              <w:rPr>
                <w:rFonts w:hint="eastAsia" w:ascii="仿宋" w:hAnsi="仿宋" w:eastAsia="仿宋" w:cs="仿宋"/>
                <w:b w:val="0"/>
                <w:bCs/>
                <w:color w:val="000000"/>
                <w:kern w:val="2"/>
                <w:sz w:val="24"/>
                <w:szCs w:val="22"/>
                <w:highlight w:val="none"/>
                <w:lang w:val="en-US" w:eastAsia="zh-CN" w:bidi="ar-SA"/>
              </w:rPr>
            </w:pPr>
            <w:r>
              <w:rPr>
                <w:rFonts w:hint="eastAsia" w:ascii="仿宋" w:hAnsi="仿宋" w:eastAsia="仿宋" w:cs="仿宋"/>
                <w:b w:val="0"/>
                <w:bCs/>
                <w:color w:val="000000"/>
                <w:sz w:val="24"/>
                <w:highlight w:val="none"/>
                <w:lang w:val="en-US" w:eastAsia="zh-CN"/>
              </w:rPr>
              <w:t>主观分</w:t>
            </w:r>
          </w:p>
        </w:tc>
        <w:tc>
          <w:tcPr>
            <w:tcW w:w="805" w:type="pct"/>
            <w:shd w:val="clear" w:color="auto" w:fill="auto"/>
            <w:noWrap w:val="0"/>
            <w:vAlign w:val="center"/>
          </w:tcPr>
          <w:p>
            <w:pPr>
              <w:shd w:val="clear"/>
              <w:spacing w:line="360" w:lineRule="auto"/>
              <w:jc w:val="center"/>
              <w:outlineLvl w:val="0"/>
              <w:rPr>
                <w:rFonts w:hint="eastAsia" w:ascii="仿宋" w:hAnsi="仿宋" w:eastAsia="仿宋" w:cs="仿宋"/>
                <w:b w:val="0"/>
                <w:bCs/>
                <w:color w:val="000000"/>
                <w:sz w:val="24"/>
                <w:highlight w:val="none"/>
              </w:rPr>
            </w:pPr>
            <w:r>
              <w:rPr>
                <w:rFonts w:hint="eastAsia" w:ascii="仿宋" w:hAnsi="仿宋" w:eastAsia="仿宋" w:cs="仿宋"/>
                <w:b w:val="0"/>
                <w:bCs/>
                <w:color w:val="000000"/>
                <w:sz w:val="24"/>
                <w:highlight w:val="none"/>
                <w:lang w:val="en-US" w:eastAsia="zh-CN"/>
              </w:rPr>
              <w:t>渗滤液处理工艺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247" w:type="pct"/>
            <w:shd w:val="clear" w:color="auto" w:fill="auto"/>
            <w:noWrap w:val="0"/>
            <w:vAlign w:val="center"/>
          </w:tcPr>
          <w:p>
            <w:pPr>
              <w:shd w:val="clear"/>
              <w:spacing w:line="360" w:lineRule="auto"/>
              <w:jc w:val="center"/>
              <w:outlineLvl w:val="0"/>
              <w:rPr>
                <w:rFonts w:hint="default" w:ascii="仿宋" w:hAnsi="仿宋" w:eastAsia="仿宋" w:cs="仿宋"/>
                <w:b w:val="0"/>
                <w:bCs/>
                <w:color w:val="000000"/>
                <w:sz w:val="24"/>
                <w:highlight w:val="none"/>
                <w:lang w:val="en-US" w:eastAsia="zh-CN"/>
              </w:rPr>
            </w:pPr>
            <w:r>
              <w:rPr>
                <w:rFonts w:hint="eastAsia" w:ascii="仿宋" w:hAnsi="仿宋" w:eastAsia="仿宋" w:cs="仿宋"/>
                <w:b w:val="0"/>
                <w:bCs/>
                <w:color w:val="000000"/>
                <w:sz w:val="24"/>
                <w:highlight w:val="none"/>
                <w:lang w:val="en-US" w:eastAsia="zh-CN"/>
              </w:rPr>
              <w:t>7</w:t>
            </w:r>
          </w:p>
        </w:tc>
        <w:tc>
          <w:tcPr>
            <w:tcW w:w="3108" w:type="pct"/>
            <w:shd w:val="clear" w:color="auto" w:fill="auto"/>
            <w:noWrap w:val="0"/>
            <w:vAlign w:val="center"/>
          </w:tcPr>
          <w:p>
            <w:pPr>
              <w:shd w:val="clear"/>
              <w:spacing w:line="360" w:lineRule="auto"/>
              <w:outlineLvl w:val="0"/>
              <w:rPr>
                <w:rFonts w:hint="eastAsia" w:ascii="仿宋" w:hAnsi="仿宋" w:eastAsia="仿宋" w:cs="仿宋"/>
                <w:b/>
                <w:bCs w:val="0"/>
                <w:color w:val="auto"/>
                <w:sz w:val="24"/>
                <w:highlight w:val="none"/>
                <w:lang w:val="en-US" w:eastAsia="zh-CN"/>
              </w:rPr>
            </w:pPr>
            <w:r>
              <w:rPr>
                <w:rFonts w:hint="eastAsia" w:ascii="仿宋" w:hAnsi="仿宋" w:eastAsia="仿宋" w:cs="仿宋"/>
                <w:b/>
                <w:bCs w:val="0"/>
                <w:color w:val="auto"/>
                <w:sz w:val="24"/>
                <w:highlight w:val="none"/>
                <w:lang w:val="en-US" w:eastAsia="zh-CN"/>
              </w:rPr>
              <w:t>浓缩液处理工艺。</w:t>
            </w:r>
            <w:r>
              <w:rPr>
                <w:rFonts w:hint="eastAsia" w:ascii="仿宋" w:hAnsi="仿宋" w:eastAsia="仿宋" w:cs="仿宋"/>
                <w:b w:val="0"/>
                <w:bCs/>
                <w:color w:val="auto"/>
                <w:sz w:val="24"/>
                <w:highlight w:val="none"/>
                <w:lang w:val="en-US" w:eastAsia="zh-CN"/>
              </w:rPr>
              <w:t>投标人根据项目现场设施及设备等，制定浓缩液处理工艺，并结合现有设施设备提供详细介绍。投标人制定的浓缩液处理工艺介绍完整详细，与本项目现场设施设备匹配度高，经处理后出水水质能达到排放标准的视为符合，全部符合得8分，基本符合得5分，部分符合得2分，不符合或没提供不得分。共8分。</w:t>
            </w:r>
          </w:p>
        </w:tc>
        <w:tc>
          <w:tcPr>
            <w:tcW w:w="356" w:type="pct"/>
            <w:shd w:val="clear" w:color="auto" w:fill="auto"/>
            <w:noWrap w:val="0"/>
            <w:vAlign w:val="center"/>
          </w:tcPr>
          <w:p>
            <w:pPr>
              <w:shd w:val="clear"/>
              <w:spacing w:line="360" w:lineRule="auto"/>
              <w:jc w:val="center"/>
              <w:outlineLvl w:val="0"/>
              <w:rPr>
                <w:rFonts w:hint="default" w:ascii="仿宋" w:hAnsi="仿宋" w:eastAsia="仿宋" w:cs="仿宋"/>
                <w:b w:val="0"/>
                <w:bCs/>
                <w:color w:val="000000"/>
                <w:sz w:val="24"/>
                <w:highlight w:val="none"/>
                <w:lang w:val="en-US" w:eastAsia="zh-CN"/>
              </w:rPr>
            </w:pPr>
            <w:r>
              <w:rPr>
                <w:rFonts w:hint="eastAsia" w:ascii="仿宋" w:hAnsi="仿宋" w:eastAsia="仿宋" w:cs="仿宋"/>
                <w:b w:val="0"/>
                <w:bCs/>
                <w:color w:val="000000"/>
                <w:sz w:val="24"/>
                <w:highlight w:val="none"/>
                <w:lang w:val="en-US" w:eastAsia="zh-CN"/>
              </w:rPr>
              <w:t>8</w:t>
            </w:r>
          </w:p>
        </w:tc>
        <w:tc>
          <w:tcPr>
            <w:tcW w:w="482" w:type="pct"/>
            <w:shd w:val="clear" w:color="auto" w:fill="auto"/>
            <w:noWrap w:val="0"/>
            <w:vAlign w:val="center"/>
          </w:tcPr>
          <w:p>
            <w:pPr>
              <w:shd w:val="clear"/>
              <w:spacing w:line="360" w:lineRule="auto"/>
              <w:jc w:val="center"/>
              <w:outlineLvl w:val="0"/>
              <w:rPr>
                <w:rFonts w:hint="eastAsia" w:ascii="仿宋" w:hAnsi="仿宋" w:eastAsia="仿宋" w:cs="仿宋"/>
                <w:b w:val="0"/>
                <w:bCs/>
                <w:color w:val="000000"/>
                <w:sz w:val="24"/>
                <w:highlight w:val="none"/>
                <w:lang w:val="en-US" w:eastAsia="zh-CN"/>
              </w:rPr>
            </w:pPr>
            <w:r>
              <w:rPr>
                <w:rFonts w:hint="eastAsia" w:ascii="仿宋" w:hAnsi="仿宋" w:eastAsia="仿宋" w:cs="仿宋"/>
                <w:b w:val="0"/>
                <w:bCs/>
                <w:color w:val="000000"/>
                <w:sz w:val="24"/>
                <w:highlight w:val="none"/>
                <w:lang w:val="en-US" w:eastAsia="zh-CN"/>
              </w:rPr>
              <w:t>主观分</w:t>
            </w:r>
          </w:p>
        </w:tc>
        <w:tc>
          <w:tcPr>
            <w:tcW w:w="805" w:type="pct"/>
            <w:shd w:val="clear" w:color="auto" w:fill="auto"/>
            <w:noWrap w:val="0"/>
            <w:vAlign w:val="center"/>
          </w:tcPr>
          <w:p>
            <w:pPr>
              <w:shd w:val="clear"/>
              <w:spacing w:line="360" w:lineRule="auto"/>
              <w:jc w:val="center"/>
              <w:outlineLvl w:val="0"/>
              <w:rPr>
                <w:rFonts w:hint="eastAsia" w:ascii="仿宋" w:hAnsi="仿宋" w:eastAsia="仿宋" w:cs="仿宋"/>
                <w:b w:val="0"/>
                <w:bCs/>
                <w:color w:val="000000"/>
                <w:sz w:val="24"/>
                <w:highlight w:val="none"/>
                <w:lang w:val="en-US" w:eastAsia="zh-CN"/>
              </w:rPr>
            </w:pPr>
            <w:r>
              <w:rPr>
                <w:rFonts w:hint="eastAsia" w:ascii="仿宋" w:hAnsi="仿宋" w:eastAsia="仿宋" w:cs="仿宋"/>
                <w:b w:val="0"/>
                <w:bCs/>
                <w:color w:val="000000"/>
                <w:sz w:val="24"/>
                <w:highlight w:val="none"/>
                <w:lang w:val="en-US" w:eastAsia="zh-CN"/>
              </w:rPr>
              <w:t>浓缩液处理工艺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247" w:type="pct"/>
            <w:shd w:val="clear" w:color="auto" w:fill="auto"/>
            <w:noWrap w:val="0"/>
            <w:vAlign w:val="center"/>
          </w:tcPr>
          <w:p>
            <w:pPr>
              <w:shd w:val="clear"/>
              <w:spacing w:line="360" w:lineRule="auto"/>
              <w:jc w:val="center"/>
              <w:outlineLvl w:val="0"/>
              <w:rPr>
                <w:rFonts w:hint="default" w:ascii="仿宋" w:hAnsi="仿宋" w:eastAsia="仿宋" w:cs="仿宋"/>
                <w:b w:val="0"/>
                <w:bCs/>
                <w:color w:val="000000"/>
                <w:sz w:val="24"/>
                <w:highlight w:val="none"/>
                <w:lang w:val="en-US" w:eastAsia="zh-CN"/>
              </w:rPr>
            </w:pPr>
            <w:r>
              <w:rPr>
                <w:rFonts w:hint="eastAsia" w:ascii="仿宋" w:hAnsi="仿宋" w:eastAsia="仿宋" w:cs="仿宋"/>
                <w:b w:val="0"/>
                <w:bCs/>
                <w:color w:val="000000"/>
                <w:sz w:val="24"/>
                <w:highlight w:val="none"/>
                <w:lang w:val="en-US" w:eastAsia="zh-CN"/>
              </w:rPr>
              <w:t>8</w:t>
            </w:r>
          </w:p>
        </w:tc>
        <w:tc>
          <w:tcPr>
            <w:tcW w:w="3108" w:type="pct"/>
            <w:shd w:val="clear" w:color="auto" w:fill="auto"/>
            <w:noWrap w:val="0"/>
            <w:vAlign w:val="center"/>
          </w:tcPr>
          <w:p>
            <w:pPr>
              <w:shd w:val="clear"/>
              <w:spacing w:line="360" w:lineRule="auto"/>
              <w:outlineLvl w:val="0"/>
              <w:rPr>
                <w:rFonts w:hint="eastAsia" w:ascii="仿宋" w:hAnsi="仿宋" w:eastAsia="仿宋" w:cs="仿宋"/>
                <w:b/>
                <w:bCs w:val="0"/>
                <w:color w:val="auto"/>
                <w:sz w:val="24"/>
                <w:highlight w:val="none"/>
              </w:rPr>
            </w:pPr>
            <w:r>
              <w:rPr>
                <w:rFonts w:hint="eastAsia" w:ascii="仿宋" w:hAnsi="仿宋" w:eastAsia="仿宋" w:cs="仿宋"/>
                <w:b/>
                <w:bCs w:val="0"/>
                <w:color w:val="auto"/>
                <w:sz w:val="24"/>
                <w:highlight w:val="none"/>
              </w:rPr>
              <w:t>试</w:t>
            </w:r>
            <w:r>
              <w:rPr>
                <w:rFonts w:hint="eastAsia" w:ascii="仿宋" w:hAnsi="仿宋" w:eastAsia="仿宋" w:cs="仿宋"/>
                <w:b/>
                <w:bCs w:val="0"/>
                <w:color w:val="auto"/>
                <w:sz w:val="24"/>
                <w:highlight w:val="none"/>
                <w:lang w:val="en-US" w:eastAsia="zh-CN"/>
              </w:rPr>
              <w:t>运营方案。</w:t>
            </w:r>
            <w:r>
              <w:rPr>
                <w:rFonts w:hint="eastAsia" w:ascii="仿宋" w:hAnsi="仿宋" w:eastAsia="仿宋" w:cs="仿宋"/>
                <w:b w:val="0"/>
                <w:bCs/>
                <w:color w:val="auto"/>
                <w:sz w:val="24"/>
                <w:highlight w:val="none"/>
                <w:lang w:val="en-US" w:eastAsia="zh-CN"/>
              </w:rPr>
              <w:t>投标人根据项目实际情况，科学合理的制定可行的试运营方案和试运营期间技术调整时引起的渗滤液积存处置的方案，方案科学合理，安排周密，贴合项目实际的视为符合，全部符合得5分，基本符合得3分，部分符合得1分，不符合或没提供不得分。共5分。</w:t>
            </w:r>
          </w:p>
        </w:tc>
        <w:tc>
          <w:tcPr>
            <w:tcW w:w="356" w:type="pct"/>
            <w:shd w:val="clear" w:color="auto" w:fill="auto"/>
            <w:noWrap w:val="0"/>
            <w:vAlign w:val="center"/>
          </w:tcPr>
          <w:p>
            <w:pPr>
              <w:shd w:val="clear"/>
              <w:spacing w:line="360" w:lineRule="auto"/>
              <w:jc w:val="center"/>
              <w:outlineLvl w:val="0"/>
              <w:rPr>
                <w:rFonts w:hint="eastAsia" w:ascii="仿宋" w:hAnsi="仿宋" w:eastAsia="仿宋" w:cs="仿宋"/>
                <w:b w:val="0"/>
                <w:bCs/>
                <w:color w:val="000000"/>
                <w:kern w:val="2"/>
                <w:sz w:val="24"/>
                <w:szCs w:val="22"/>
                <w:highlight w:val="none"/>
                <w:lang w:val="en-US" w:eastAsia="zh-CN" w:bidi="ar-SA"/>
              </w:rPr>
            </w:pPr>
            <w:r>
              <w:rPr>
                <w:rFonts w:hint="eastAsia" w:ascii="仿宋" w:hAnsi="仿宋" w:eastAsia="仿宋" w:cs="仿宋"/>
                <w:b w:val="0"/>
                <w:bCs/>
                <w:color w:val="000000"/>
                <w:sz w:val="24"/>
                <w:highlight w:val="none"/>
                <w:lang w:val="en-US" w:eastAsia="zh-CN"/>
              </w:rPr>
              <w:t>5</w:t>
            </w:r>
          </w:p>
        </w:tc>
        <w:tc>
          <w:tcPr>
            <w:tcW w:w="482" w:type="pct"/>
            <w:shd w:val="clear" w:color="auto" w:fill="auto"/>
            <w:noWrap w:val="0"/>
            <w:vAlign w:val="center"/>
          </w:tcPr>
          <w:p>
            <w:pPr>
              <w:shd w:val="clear"/>
              <w:spacing w:line="360" w:lineRule="auto"/>
              <w:jc w:val="center"/>
              <w:outlineLvl w:val="0"/>
              <w:rPr>
                <w:rFonts w:hint="eastAsia" w:ascii="仿宋" w:hAnsi="仿宋" w:eastAsia="仿宋" w:cs="仿宋"/>
                <w:b w:val="0"/>
                <w:bCs/>
                <w:color w:val="000000"/>
                <w:kern w:val="2"/>
                <w:sz w:val="24"/>
                <w:szCs w:val="22"/>
                <w:highlight w:val="none"/>
                <w:lang w:val="en-US" w:eastAsia="zh-CN" w:bidi="ar-SA"/>
              </w:rPr>
            </w:pPr>
            <w:r>
              <w:rPr>
                <w:rFonts w:hint="eastAsia" w:ascii="仿宋" w:hAnsi="仿宋" w:eastAsia="仿宋" w:cs="仿宋"/>
                <w:b w:val="0"/>
                <w:bCs/>
                <w:color w:val="000000"/>
                <w:sz w:val="24"/>
                <w:highlight w:val="none"/>
                <w:lang w:val="en-US" w:eastAsia="zh-CN"/>
              </w:rPr>
              <w:t>主观分</w:t>
            </w:r>
          </w:p>
        </w:tc>
        <w:tc>
          <w:tcPr>
            <w:tcW w:w="805" w:type="pct"/>
            <w:vMerge w:val="restart"/>
            <w:shd w:val="clear" w:color="auto" w:fill="auto"/>
            <w:noWrap w:val="0"/>
            <w:vAlign w:val="center"/>
          </w:tcPr>
          <w:p>
            <w:pPr>
              <w:shd w:val="clear"/>
              <w:spacing w:line="360" w:lineRule="auto"/>
              <w:jc w:val="center"/>
              <w:outlineLvl w:val="0"/>
              <w:rPr>
                <w:rFonts w:hint="eastAsia" w:ascii="仿宋" w:hAnsi="仿宋" w:eastAsia="仿宋" w:cs="仿宋"/>
                <w:b w:val="0"/>
                <w:bCs/>
                <w:color w:val="000000"/>
                <w:sz w:val="24"/>
                <w:highlight w:val="none"/>
              </w:rPr>
            </w:pPr>
            <w:r>
              <w:rPr>
                <w:rFonts w:hint="eastAsia" w:ascii="仿宋" w:hAnsi="仿宋" w:eastAsia="仿宋" w:cs="仿宋"/>
                <w:b w:val="0"/>
                <w:bCs/>
                <w:color w:val="000000"/>
                <w:sz w:val="24"/>
                <w:highlight w:val="none"/>
              </w:rPr>
              <w:t>试</w:t>
            </w:r>
            <w:r>
              <w:rPr>
                <w:rFonts w:hint="eastAsia" w:ascii="仿宋" w:hAnsi="仿宋" w:eastAsia="仿宋" w:cs="仿宋"/>
                <w:b w:val="0"/>
                <w:bCs/>
                <w:color w:val="000000"/>
                <w:sz w:val="24"/>
                <w:highlight w:val="none"/>
                <w:lang w:val="en-US" w:eastAsia="zh-CN"/>
              </w:rPr>
              <w:t>运营安排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247" w:type="pct"/>
            <w:shd w:val="clear" w:color="auto" w:fill="auto"/>
            <w:noWrap w:val="0"/>
            <w:vAlign w:val="center"/>
          </w:tcPr>
          <w:p>
            <w:pPr>
              <w:shd w:val="clear"/>
              <w:spacing w:line="360" w:lineRule="auto"/>
              <w:jc w:val="center"/>
              <w:outlineLvl w:val="0"/>
              <w:rPr>
                <w:rFonts w:hint="default" w:ascii="仿宋" w:hAnsi="仿宋" w:eastAsia="仿宋" w:cs="仿宋"/>
                <w:b w:val="0"/>
                <w:bCs/>
                <w:color w:val="000000"/>
                <w:sz w:val="24"/>
                <w:highlight w:val="none"/>
                <w:lang w:val="en-US" w:eastAsia="zh-CN"/>
              </w:rPr>
            </w:pPr>
            <w:r>
              <w:rPr>
                <w:rFonts w:hint="eastAsia" w:ascii="仿宋" w:hAnsi="仿宋" w:eastAsia="仿宋" w:cs="仿宋"/>
                <w:b w:val="0"/>
                <w:bCs/>
                <w:color w:val="000000"/>
                <w:sz w:val="24"/>
                <w:highlight w:val="none"/>
                <w:lang w:val="en-US" w:eastAsia="zh-CN"/>
              </w:rPr>
              <w:t>9</w:t>
            </w:r>
          </w:p>
        </w:tc>
        <w:tc>
          <w:tcPr>
            <w:tcW w:w="3108" w:type="pct"/>
            <w:shd w:val="clear" w:color="auto" w:fill="auto"/>
            <w:noWrap w:val="0"/>
            <w:vAlign w:val="center"/>
          </w:tcPr>
          <w:p>
            <w:pPr>
              <w:shd w:val="clear"/>
              <w:spacing w:line="360" w:lineRule="auto"/>
              <w:outlineLvl w:val="0"/>
              <w:rPr>
                <w:rFonts w:hint="default" w:ascii="仿宋" w:hAnsi="仿宋" w:eastAsia="仿宋" w:cs="仿宋"/>
                <w:b w:val="0"/>
                <w:bCs/>
                <w:color w:val="000000"/>
                <w:sz w:val="24"/>
                <w:highlight w:val="none"/>
                <w:lang w:val="en-US" w:eastAsia="zh-CN"/>
              </w:rPr>
            </w:pPr>
            <w:r>
              <w:rPr>
                <w:rFonts w:hint="eastAsia" w:ascii="仿宋" w:hAnsi="仿宋" w:eastAsia="仿宋" w:cs="仿宋"/>
                <w:b/>
                <w:bCs w:val="0"/>
                <w:color w:val="000000"/>
                <w:sz w:val="24"/>
                <w:highlight w:val="none"/>
                <w:lang w:val="en-US" w:eastAsia="zh-CN"/>
              </w:rPr>
              <w:t>试运营响应时间。</w:t>
            </w:r>
            <w:r>
              <w:rPr>
                <w:rFonts w:hint="eastAsia" w:ascii="仿宋" w:hAnsi="仿宋" w:eastAsia="仿宋" w:cs="仿宋"/>
                <w:b w:val="0"/>
                <w:bCs/>
                <w:color w:val="000000"/>
                <w:sz w:val="24"/>
                <w:highlight w:val="none"/>
                <w:lang w:val="en-US" w:eastAsia="zh-CN"/>
              </w:rPr>
              <w:t>投标人承诺自交接起24小时内能快速达到出水标准与处理水量的得2分；自交接起48小时内能快速达到出水标准与处理水量的得1分；自交接起72小时内能快速达到出水标准与处理水量的得0.5分，其余不得分。需提供相关承诺，共2分。</w:t>
            </w:r>
          </w:p>
        </w:tc>
        <w:tc>
          <w:tcPr>
            <w:tcW w:w="356" w:type="pct"/>
            <w:shd w:val="clear" w:color="auto" w:fill="auto"/>
            <w:noWrap w:val="0"/>
            <w:vAlign w:val="center"/>
          </w:tcPr>
          <w:p>
            <w:pPr>
              <w:shd w:val="clear"/>
              <w:spacing w:line="360" w:lineRule="auto"/>
              <w:jc w:val="center"/>
              <w:outlineLvl w:val="0"/>
              <w:rPr>
                <w:rFonts w:hint="eastAsia" w:ascii="仿宋" w:hAnsi="仿宋" w:eastAsia="仿宋" w:cs="仿宋"/>
                <w:b w:val="0"/>
                <w:bCs/>
                <w:color w:val="000000"/>
                <w:kern w:val="2"/>
                <w:sz w:val="24"/>
                <w:szCs w:val="22"/>
                <w:highlight w:val="none"/>
                <w:lang w:val="en-US" w:eastAsia="zh-CN" w:bidi="ar-SA"/>
              </w:rPr>
            </w:pPr>
            <w:r>
              <w:rPr>
                <w:rFonts w:hint="eastAsia" w:ascii="仿宋" w:hAnsi="仿宋" w:eastAsia="仿宋" w:cs="仿宋"/>
                <w:b w:val="0"/>
                <w:bCs/>
                <w:color w:val="000000"/>
                <w:sz w:val="24"/>
                <w:highlight w:val="none"/>
                <w:lang w:val="en-US" w:eastAsia="zh-CN"/>
              </w:rPr>
              <w:t>2</w:t>
            </w:r>
          </w:p>
        </w:tc>
        <w:tc>
          <w:tcPr>
            <w:tcW w:w="482" w:type="pct"/>
            <w:shd w:val="clear" w:color="auto" w:fill="auto"/>
            <w:noWrap w:val="0"/>
            <w:vAlign w:val="center"/>
          </w:tcPr>
          <w:p>
            <w:pPr>
              <w:shd w:val="clear"/>
              <w:spacing w:line="360" w:lineRule="auto"/>
              <w:jc w:val="center"/>
              <w:outlineLvl w:val="0"/>
              <w:rPr>
                <w:rFonts w:hint="eastAsia" w:ascii="仿宋" w:hAnsi="仿宋" w:eastAsia="仿宋" w:cs="仿宋"/>
                <w:b w:val="0"/>
                <w:bCs/>
                <w:color w:val="000000"/>
                <w:kern w:val="2"/>
                <w:sz w:val="24"/>
                <w:szCs w:val="22"/>
                <w:highlight w:val="none"/>
                <w:lang w:val="en-US" w:eastAsia="zh-CN" w:bidi="ar-SA"/>
              </w:rPr>
            </w:pPr>
            <w:r>
              <w:rPr>
                <w:rFonts w:hint="eastAsia" w:ascii="仿宋" w:hAnsi="仿宋" w:eastAsia="仿宋" w:cs="仿宋"/>
                <w:b w:val="0"/>
                <w:bCs/>
                <w:color w:val="000000"/>
                <w:sz w:val="24"/>
                <w:highlight w:val="none"/>
                <w:lang w:val="en-US" w:eastAsia="zh-CN"/>
              </w:rPr>
              <w:t>客观分</w:t>
            </w:r>
          </w:p>
        </w:tc>
        <w:tc>
          <w:tcPr>
            <w:tcW w:w="805" w:type="pct"/>
            <w:vMerge w:val="continue"/>
            <w:shd w:val="clear" w:color="auto" w:fill="auto"/>
            <w:noWrap w:val="0"/>
            <w:vAlign w:val="center"/>
          </w:tcPr>
          <w:p>
            <w:pPr>
              <w:shd w:val="clear"/>
              <w:spacing w:line="360" w:lineRule="auto"/>
              <w:jc w:val="center"/>
              <w:outlineLvl w:val="0"/>
              <w:rPr>
                <w:rFonts w:hint="eastAsia" w:ascii="仿宋" w:hAnsi="仿宋" w:eastAsia="仿宋" w:cs="仿宋"/>
                <w:b w:val="0"/>
                <w:bCs/>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247" w:type="pct"/>
            <w:shd w:val="clear" w:color="auto" w:fill="auto"/>
            <w:noWrap w:val="0"/>
            <w:vAlign w:val="center"/>
          </w:tcPr>
          <w:p>
            <w:pPr>
              <w:shd w:val="clear"/>
              <w:spacing w:line="360" w:lineRule="auto"/>
              <w:jc w:val="center"/>
              <w:outlineLvl w:val="0"/>
              <w:rPr>
                <w:rFonts w:hint="default" w:ascii="仿宋" w:hAnsi="仿宋" w:eastAsia="仿宋" w:cs="仿宋"/>
                <w:b w:val="0"/>
                <w:bCs/>
                <w:color w:val="000000"/>
                <w:sz w:val="24"/>
                <w:highlight w:val="none"/>
                <w:lang w:val="en-US" w:eastAsia="zh-CN"/>
              </w:rPr>
            </w:pPr>
            <w:r>
              <w:rPr>
                <w:rFonts w:hint="eastAsia" w:ascii="仿宋" w:hAnsi="仿宋" w:eastAsia="仿宋" w:cs="仿宋"/>
                <w:b w:val="0"/>
                <w:bCs/>
                <w:color w:val="000000"/>
                <w:sz w:val="24"/>
                <w:highlight w:val="none"/>
                <w:lang w:val="en-US" w:eastAsia="zh-CN"/>
              </w:rPr>
              <w:t>10</w:t>
            </w:r>
          </w:p>
        </w:tc>
        <w:tc>
          <w:tcPr>
            <w:tcW w:w="3108" w:type="pct"/>
            <w:shd w:val="clear" w:color="auto" w:fill="auto"/>
            <w:noWrap w:val="0"/>
            <w:vAlign w:val="center"/>
          </w:tcPr>
          <w:p>
            <w:pPr>
              <w:shd w:val="clear"/>
              <w:spacing w:line="360" w:lineRule="auto"/>
              <w:outlineLvl w:val="0"/>
              <w:rPr>
                <w:rFonts w:hint="eastAsia" w:ascii="仿宋" w:hAnsi="仿宋" w:eastAsia="仿宋" w:cs="仿宋"/>
                <w:b/>
                <w:bCs w:val="0"/>
                <w:color w:val="auto"/>
                <w:sz w:val="24"/>
                <w:highlight w:val="none"/>
              </w:rPr>
            </w:pPr>
            <w:r>
              <w:rPr>
                <w:rFonts w:hint="eastAsia" w:ascii="仿宋" w:hAnsi="仿宋" w:eastAsia="仿宋" w:cs="仿宋"/>
                <w:b/>
                <w:bCs w:val="0"/>
                <w:color w:val="auto"/>
                <w:sz w:val="24"/>
                <w:highlight w:val="none"/>
                <w:lang w:val="en-US" w:eastAsia="zh-CN"/>
              </w:rPr>
              <w:t>实验检测方案。</w:t>
            </w:r>
            <w:r>
              <w:rPr>
                <w:rFonts w:hint="eastAsia" w:ascii="仿宋" w:hAnsi="仿宋" w:eastAsia="仿宋" w:cs="仿宋"/>
                <w:b w:val="0"/>
                <w:bCs/>
                <w:color w:val="auto"/>
                <w:sz w:val="24"/>
                <w:highlight w:val="none"/>
                <w:lang w:val="en-US" w:eastAsia="zh-CN"/>
              </w:rPr>
              <w:t>投标人根据项目实际情况，科学合理的制定可行的实验检测方案，方案与现场实际情况匹配度高，检测频次、检测方法科学合理的视为符合，全部符合得2分，基本符合得1分，部分符合得0.5分，不符合或没提供不得分。共2分。</w:t>
            </w:r>
          </w:p>
        </w:tc>
        <w:tc>
          <w:tcPr>
            <w:tcW w:w="356" w:type="pct"/>
            <w:shd w:val="clear" w:color="auto" w:fill="auto"/>
            <w:noWrap w:val="0"/>
            <w:vAlign w:val="center"/>
          </w:tcPr>
          <w:p>
            <w:pPr>
              <w:shd w:val="clear"/>
              <w:spacing w:line="360" w:lineRule="auto"/>
              <w:jc w:val="center"/>
              <w:outlineLvl w:val="0"/>
              <w:rPr>
                <w:rFonts w:hint="eastAsia" w:ascii="仿宋" w:hAnsi="仿宋" w:eastAsia="仿宋" w:cs="仿宋"/>
                <w:b w:val="0"/>
                <w:bCs/>
                <w:color w:val="000000"/>
                <w:kern w:val="2"/>
                <w:sz w:val="24"/>
                <w:szCs w:val="22"/>
                <w:highlight w:val="none"/>
                <w:lang w:val="en-US" w:eastAsia="zh-CN" w:bidi="ar-SA"/>
              </w:rPr>
            </w:pPr>
            <w:r>
              <w:rPr>
                <w:rFonts w:hint="eastAsia" w:ascii="仿宋" w:hAnsi="仿宋" w:eastAsia="仿宋" w:cs="仿宋"/>
                <w:b w:val="0"/>
                <w:bCs/>
                <w:color w:val="000000"/>
                <w:sz w:val="24"/>
                <w:highlight w:val="none"/>
                <w:lang w:val="en-US" w:eastAsia="zh-CN"/>
              </w:rPr>
              <w:t>2</w:t>
            </w:r>
          </w:p>
        </w:tc>
        <w:tc>
          <w:tcPr>
            <w:tcW w:w="482" w:type="pct"/>
            <w:shd w:val="clear" w:color="auto" w:fill="auto"/>
            <w:noWrap w:val="0"/>
            <w:vAlign w:val="center"/>
          </w:tcPr>
          <w:p>
            <w:pPr>
              <w:shd w:val="clear"/>
              <w:spacing w:line="360" w:lineRule="auto"/>
              <w:jc w:val="center"/>
              <w:outlineLvl w:val="0"/>
              <w:rPr>
                <w:rFonts w:hint="eastAsia" w:ascii="仿宋" w:hAnsi="仿宋" w:eastAsia="仿宋" w:cs="仿宋"/>
                <w:b w:val="0"/>
                <w:bCs/>
                <w:color w:val="000000"/>
                <w:kern w:val="2"/>
                <w:sz w:val="24"/>
                <w:szCs w:val="22"/>
                <w:highlight w:val="none"/>
                <w:lang w:val="en-US" w:eastAsia="zh-CN" w:bidi="ar-SA"/>
              </w:rPr>
            </w:pPr>
            <w:r>
              <w:rPr>
                <w:rFonts w:hint="eastAsia" w:ascii="仿宋" w:hAnsi="仿宋" w:eastAsia="仿宋" w:cs="仿宋"/>
                <w:b w:val="0"/>
                <w:bCs/>
                <w:color w:val="000000"/>
                <w:sz w:val="24"/>
                <w:highlight w:val="none"/>
                <w:lang w:val="en-US" w:eastAsia="zh-CN"/>
              </w:rPr>
              <w:t>主观分</w:t>
            </w:r>
          </w:p>
        </w:tc>
        <w:tc>
          <w:tcPr>
            <w:tcW w:w="805" w:type="pct"/>
            <w:vMerge w:val="restart"/>
            <w:shd w:val="clear" w:color="auto" w:fill="auto"/>
            <w:noWrap w:val="0"/>
            <w:vAlign w:val="center"/>
          </w:tcPr>
          <w:p>
            <w:pPr>
              <w:shd w:val="clear"/>
              <w:spacing w:line="360" w:lineRule="auto"/>
              <w:jc w:val="center"/>
              <w:outlineLvl w:val="0"/>
              <w:rPr>
                <w:rFonts w:hint="eastAsia" w:ascii="仿宋" w:hAnsi="仿宋" w:eastAsia="仿宋" w:cs="仿宋"/>
                <w:b w:val="0"/>
                <w:bCs/>
                <w:color w:val="000000"/>
                <w:sz w:val="24"/>
                <w:highlight w:val="none"/>
              </w:rPr>
            </w:pPr>
            <w:r>
              <w:rPr>
                <w:rFonts w:hint="eastAsia" w:ascii="仿宋" w:hAnsi="仿宋" w:eastAsia="仿宋" w:cs="仿宋"/>
                <w:b w:val="0"/>
                <w:bCs/>
                <w:color w:val="000000"/>
                <w:sz w:val="24"/>
                <w:highlight w:val="none"/>
                <w:lang w:val="en-US" w:eastAsia="zh-CN"/>
              </w:rPr>
              <w:t>实验检测方案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247" w:type="pct"/>
            <w:shd w:val="clear" w:color="auto" w:fill="auto"/>
            <w:noWrap w:val="0"/>
            <w:vAlign w:val="center"/>
          </w:tcPr>
          <w:p>
            <w:pPr>
              <w:shd w:val="clear"/>
              <w:spacing w:line="360" w:lineRule="auto"/>
              <w:jc w:val="center"/>
              <w:outlineLvl w:val="0"/>
              <w:rPr>
                <w:rFonts w:hint="default" w:ascii="仿宋" w:hAnsi="仿宋" w:eastAsia="仿宋" w:cs="仿宋"/>
                <w:b w:val="0"/>
                <w:bCs/>
                <w:color w:val="000000"/>
                <w:sz w:val="24"/>
                <w:highlight w:val="none"/>
                <w:lang w:val="en-US" w:eastAsia="zh-CN"/>
              </w:rPr>
            </w:pPr>
            <w:r>
              <w:rPr>
                <w:rFonts w:hint="eastAsia" w:ascii="仿宋" w:hAnsi="仿宋" w:eastAsia="仿宋" w:cs="仿宋"/>
                <w:b w:val="0"/>
                <w:bCs/>
                <w:color w:val="000000"/>
                <w:sz w:val="24"/>
                <w:highlight w:val="none"/>
                <w:lang w:val="en-US" w:eastAsia="zh-CN"/>
              </w:rPr>
              <w:t>11</w:t>
            </w:r>
          </w:p>
        </w:tc>
        <w:tc>
          <w:tcPr>
            <w:tcW w:w="3108" w:type="pct"/>
            <w:shd w:val="clear" w:color="auto" w:fill="auto"/>
            <w:noWrap w:val="0"/>
            <w:vAlign w:val="center"/>
          </w:tcPr>
          <w:p>
            <w:pPr>
              <w:spacing w:line="360" w:lineRule="auto"/>
              <w:outlineLvl w:val="0"/>
              <w:rPr>
                <w:rFonts w:ascii="仿宋" w:hAnsi="仿宋" w:eastAsia="仿宋" w:cs="仿宋"/>
                <w:bCs/>
                <w:color w:val="auto"/>
                <w:sz w:val="24"/>
                <w:highlight w:val="none"/>
              </w:rPr>
            </w:pPr>
            <w:r>
              <w:rPr>
                <w:rFonts w:hint="eastAsia" w:ascii="仿宋" w:hAnsi="仿宋" w:eastAsia="仿宋" w:cs="仿宋"/>
                <w:bCs/>
                <w:color w:val="auto"/>
                <w:sz w:val="24"/>
                <w:highlight w:val="none"/>
              </w:rPr>
              <w:t>投标人与相关检测机构有合作的，</w:t>
            </w:r>
            <w:r>
              <w:rPr>
                <w:rFonts w:hint="eastAsia" w:ascii="仿宋" w:hAnsi="仿宋" w:eastAsia="仿宋" w:cs="仿宋"/>
                <w:bCs/>
                <w:color w:val="auto"/>
                <w:sz w:val="24"/>
                <w:highlight w:val="none"/>
                <w:lang w:eastAsia="zh-CN"/>
              </w:rPr>
              <w:t>并承诺</w:t>
            </w:r>
            <w:r>
              <w:rPr>
                <w:rFonts w:hint="eastAsia" w:ascii="仿宋" w:hAnsi="仿宋" w:eastAsia="仿宋" w:cs="仿宋"/>
                <w:bCs/>
                <w:color w:val="auto"/>
                <w:sz w:val="24"/>
                <w:highlight w:val="none"/>
              </w:rPr>
              <w:t>在</w:t>
            </w:r>
            <w:r>
              <w:rPr>
                <w:rFonts w:hint="eastAsia" w:ascii="仿宋" w:hAnsi="仿宋" w:eastAsia="仿宋" w:cs="仿宋"/>
                <w:bCs/>
                <w:color w:val="auto"/>
                <w:sz w:val="24"/>
                <w:highlight w:val="none"/>
                <w:lang w:eastAsia="zh-CN"/>
              </w:rPr>
              <w:t>检测完成后</w:t>
            </w:r>
            <w:r>
              <w:rPr>
                <w:rFonts w:hint="eastAsia" w:ascii="仿宋" w:hAnsi="仿宋" w:eastAsia="仿宋" w:cs="仿宋"/>
                <w:bCs/>
                <w:color w:val="auto"/>
                <w:sz w:val="24"/>
                <w:highlight w:val="none"/>
              </w:rPr>
              <w:t>12小时内能提供检测报告的得3分，</w:t>
            </w:r>
            <w:r>
              <w:rPr>
                <w:rFonts w:hint="eastAsia" w:ascii="仿宋" w:hAnsi="仿宋" w:eastAsia="仿宋" w:cs="仿宋"/>
                <w:bCs/>
                <w:color w:val="auto"/>
                <w:sz w:val="24"/>
                <w:highlight w:val="none"/>
                <w:lang w:eastAsia="zh-CN"/>
              </w:rPr>
              <w:t>承诺</w:t>
            </w:r>
            <w:r>
              <w:rPr>
                <w:rFonts w:hint="eastAsia" w:ascii="仿宋" w:hAnsi="仿宋" w:eastAsia="仿宋" w:cs="仿宋"/>
                <w:bCs/>
                <w:color w:val="auto"/>
                <w:sz w:val="24"/>
                <w:highlight w:val="none"/>
              </w:rPr>
              <w:t>在</w:t>
            </w:r>
            <w:r>
              <w:rPr>
                <w:rFonts w:hint="eastAsia" w:ascii="仿宋" w:hAnsi="仿宋" w:eastAsia="仿宋" w:cs="仿宋"/>
                <w:bCs/>
                <w:color w:val="auto"/>
                <w:sz w:val="24"/>
                <w:highlight w:val="none"/>
                <w:lang w:eastAsia="zh-CN"/>
              </w:rPr>
              <w:t>检测完成后</w:t>
            </w:r>
            <w:r>
              <w:rPr>
                <w:rFonts w:hint="eastAsia" w:ascii="仿宋" w:hAnsi="仿宋" w:eastAsia="仿宋" w:cs="仿宋"/>
                <w:bCs/>
                <w:color w:val="auto"/>
                <w:sz w:val="24"/>
                <w:highlight w:val="none"/>
              </w:rPr>
              <w:t>24小时内能提供检测报告的得2分。</w:t>
            </w:r>
          </w:p>
          <w:p>
            <w:pPr>
              <w:shd w:val="clear"/>
              <w:spacing w:line="360" w:lineRule="auto"/>
              <w:outlineLvl w:val="0"/>
              <w:rPr>
                <w:rFonts w:hint="eastAsia" w:ascii="仿宋" w:hAnsi="仿宋" w:eastAsia="仿宋" w:cs="仿宋"/>
                <w:b/>
                <w:bCs w:val="0"/>
                <w:color w:val="auto"/>
                <w:sz w:val="24"/>
                <w:highlight w:val="none"/>
                <w:lang w:val="en-US" w:eastAsia="zh-CN"/>
              </w:rPr>
            </w:pPr>
            <w:r>
              <w:rPr>
                <w:rFonts w:hint="eastAsia" w:ascii="仿宋" w:hAnsi="仿宋" w:eastAsia="仿宋" w:cs="仿宋"/>
                <w:bCs/>
                <w:color w:val="auto"/>
                <w:sz w:val="24"/>
                <w:highlight w:val="none"/>
                <w:lang w:eastAsia="zh-CN"/>
              </w:rPr>
              <w:t>需同时</w:t>
            </w:r>
            <w:r>
              <w:rPr>
                <w:rFonts w:hint="eastAsia" w:ascii="仿宋" w:hAnsi="仿宋" w:eastAsia="仿宋" w:cs="仿宋"/>
                <w:bCs/>
                <w:color w:val="auto"/>
                <w:sz w:val="24"/>
                <w:highlight w:val="none"/>
              </w:rPr>
              <w:t>提供与第三方检测机构的合作协议原件扫描件、检测机构位置说明、实验室现场照片</w:t>
            </w:r>
            <w:r>
              <w:rPr>
                <w:rFonts w:hint="eastAsia" w:ascii="仿宋" w:hAnsi="仿宋" w:eastAsia="仿宋" w:cs="仿宋"/>
                <w:bCs/>
                <w:color w:val="auto"/>
                <w:sz w:val="24"/>
                <w:highlight w:val="none"/>
                <w:lang w:eastAsia="zh-CN"/>
              </w:rPr>
              <w:t>、投标人在规定时间内出具检测报告的承诺</w:t>
            </w:r>
            <w:r>
              <w:rPr>
                <w:rFonts w:hint="eastAsia" w:ascii="仿宋" w:hAnsi="仿宋" w:eastAsia="仿宋" w:cs="仿宋"/>
                <w:bCs/>
                <w:color w:val="auto"/>
                <w:sz w:val="24"/>
                <w:highlight w:val="none"/>
              </w:rPr>
              <w:t>，</w:t>
            </w:r>
            <w:r>
              <w:rPr>
                <w:rFonts w:hint="eastAsia" w:ascii="仿宋" w:hAnsi="仿宋" w:eastAsia="仿宋" w:cs="仿宋"/>
                <w:bCs/>
                <w:color w:val="auto"/>
                <w:sz w:val="24"/>
                <w:highlight w:val="none"/>
                <w:lang w:eastAsia="zh-CN"/>
              </w:rPr>
              <w:t>未提供或提供不全</w:t>
            </w:r>
            <w:r>
              <w:rPr>
                <w:rFonts w:hint="eastAsia" w:ascii="仿宋" w:hAnsi="仿宋" w:eastAsia="仿宋" w:cs="仿宋"/>
                <w:bCs/>
                <w:color w:val="auto"/>
                <w:sz w:val="24"/>
                <w:highlight w:val="none"/>
              </w:rPr>
              <w:t>不得分。</w:t>
            </w:r>
          </w:p>
        </w:tc>
        <w:tc>
          <w:tcPr>
            <w:tcW w:w="356" w:type="pct"/>
            <w:shd w:val="clear" w:color="auto" w:fill="auto"/>
            <w:noWrap w:val="0"/>
            <w:vAlign w:val="center"/>
          </w:tcPr>
          <w:p>
            <w:pPr>
              <w:shd w:val="clear"/>
              <w:spacing w:line="360" w:lineRule="auto"/>
              <w:jc w:val="center"/>
              <w:outlineLvl w:val="0"/>
              <w:rPr>
                <w:rFonts w:hint="eastAsia" w:ascii="仿宋" w:hAnsi="仿宋" w:eastAsia="仿宋" w:cs="仿宋"/>
                <w:b w:val="0"/>
                <w:bCs/>
                <w:color w:val="000000"/>
                <w:kern w:val="2"/>
                <w:sz w:val="24"/>
                <w:szCs w:val="22"/>
                <w:highlight w:val="none"/>
                <w:lang w:val="en-US" w:eastAsia="zh-CN" w:bidi="ar-SA"/>
              </w:rPr>
            </w:pPr>
            <w:r>
              <w:rPr>
                <w:rFonts w:hint="eastAsia" w:ascii="仿宋" w:hAnsi="仿宋" w:eastAsia="仿宋" w:cs="仿宋"/>
                <w:b w:val="0"/>
                <w:bCs/>
                <w:color w:val="000000"/>
                <w:sz w:val="24"/>
                <w:highlight w:val="none"/>
                <w:lang w:val="en-US" w:eastAsia="zh-CN"/>
              </w:rPr>
              <w:t>3</w:t>
            </w:r>
          </w:p>
        </w:tc>
        <w:tc>
          <w:tcPr>
            <w:tcW w:w="482" w:type="pct"/>
            <w:shd w:val="clear" w:color="auto" w:fill="auto"/>
            <w:noWrap w:val="0"/>
            <w:vAlign w:val="center"/>
          </w:tcPr>
          <w:p>
            <w:pPr>
              <w:shd w:val="clear"/>
              <w:spacing w:line="360" w:lineRule="auto"/>
              <w:jc w:val="center"/>
              <w:outlineLvl w:val="0"/>
              <w:rPr>
                <w:rFonts w:hint="eastAsia" w:ascii="仿宋" w:hAnsi="仿宋" w:eastAsia="仿宋" w:cs="仿宋"/>
                <w:b w:val="0"/>
                <w:bCs/>
                <w:color w:val="000000"/>
                <w:kern w:val="2"/>
                <w:sz w:val="24"/>
                <w:szCs w:val="22"/>
                <w:highlight w:val="none"/>
                <w:lang w:val="en-US" w:eastAsia="zh-CN" w:bidi="ar-SA"/>
              </w:rPr>
            </w:pPr>
            <w:r>
              <w:rPr>
                <w:rFonts w:hint="eastAsia" w:ascii="仿宋" w:hAnsi="仿宋" w:eastAsia="仿宋" w:cs="仿宋"/>
                <w:b w:val="0"/>
                <w:bCs/>
                <w:color w:val="000000"/>
                <w:sz w:val="24"/>
                <w:highlight w:val="none"/>
                <w:lang w:val="en-US" w:eastAsia="zh-CN"/>
              </w:rPr>
              <w:t>客观分</w:t>
            </w:r>
          </w:p>
        </w:tc>
        <w:tc>
          <w:tcPr>
            <w:tcW w:w="805" w:type="pct"/>
            <w:vMerge w:val="continue"/>
            <w:shd w:val="clear" w:color="auto" w:fill="auto"/>
            <w:noWrap w:val="0"/>
            <w:vAlign w:val="center"/>
          </w:tcPr>
          <w:p>
            <w:pPr>
              <w:shd w:val="clear"/>
              <w:spacing w:line="360" w:lineRule="auto"/>
              <w:jc w:val="center"/>
              <w:outlineLvl w:val="0"/>
              <w:rPr>
                <w:rFonts w:hint="eastAsia" w:ascii="仿宋" w:hAnsi="仿宋" w:eastAsia="仿宋" w:cs="仿宋"/>
                <w:b w:val="0"/>
                <w:bCs/>
                <w:color w:val="000000"/>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247" w:type="pct"/>
            <w:shd w:val="clear" w:color="auto" w:fill="auto"/>
            <w:noWrap w:val="0"/>
            <w:vAlign w:val="center"/>
          </w:tcPr>
          <w:p>
            <w:pPr>
              <w:shd w:val="clear"/>
              <w:spacing w:line="360" w:lineRule="auto"/>
              <w:jc w:val="center"/>
              <w:outlineLvl w:val="0"/>
              <w:rPr>
                <w:rFonts w:hint="default" w:ascii="仿宋" w:hAnsi="仿宋" w:eastAsia="仿宋" w:cs="仿宋"/>
                <w:b w:val="0"/>
                <w:bCs/>
                <w:color w:val="000000"/>
                <w:sz w:val="24"/>
                <w:highlight w:val="none"/>
                <w:lang w:val="en-US" w:eastAsia="zh-CN"/>
              </w:rPr>
            </w:pPr>
            <w:r>
              <w:rPr>
                <w:rFonts w:hint="eastAsia" w:ascii="仿宋" w:hAnsi="仿宋" w:eastAsia="仿宋" w:cs="仿宋"/>
                <w:b w:val="0"/>
                <w:bCs/>
                <w:color w:val="000000"/>
                <w:sz w:val="24"/>
                <w:highlight w:val="none"/>
                <w:lang w:val="en-US" w:eastAsia="zh-CN"/>
              </w:rPr>
              <w:t>12</w:t>
            </w:r>
          </w:p>
        </w:tc>
        <w:tc>
          <w:tcPr>
            <w:tcW w:w="3108" w:type="pct"/>
            <w:shd w:val="clear" w:color="auto" w:fill="auto"/>
            <w:noWrap w:val="0"/>
            <w:vAlign w:val="center"/>
          </w:tcPr>
          <w:p>
            <w:pPr>
              <w:pStyle w:val="6"/>
              <w:ind w:left="0" w:leftChars="0" w:firstLine="0" w:firstLineChars="0"/>
              <w:rPr>
                <w:rFonts w:hint="default" w:ascii="仿宋" w:hAnsi="仿宋" w:eastAsia="仿宋" w:cs="仿宋"/>
                <w:b w:val="0"/>
                <w:bCs/>
                <w:color w:val="auto"/>
                <w:sz w:val="24"/>
                <w:highlight w:val="none"/>
                <w:lang w:val="en-US" w:eastAsia="zh-CN"/>
              </w:rPr>
            </w:pPr>
            <w:r>
              <w:rPr>
                <w:rFonts w:hint="eastAsia" w:ascii="仿宋" w:hAnsi="仿宋" w:eastAsia="仿宋" w:cs="仿宋"/>
                <w:b w:val="0"/>
                <w:bCs/>
                <w:color w:val="auto"/>
                <w:sz w:val="24"/>
                <w:highlight w:val="none"/>
                <w:lang w:val="en-US" w:eastAsia="zh-CN"/>
              </w:rPr>
              <w:t>拟派（1）项目负责人①具有环保相关专业高级工程师及以上证书得1分；②从事垃圾渗滤液（含浓缩液）处理不少于5年得2分。共3分。</w:t>
            </w:r>
          </w:p>
          <w:p>
            <w:pPr>
              <w:pStyle w:val="6"/>
              <w:ind w:left="0" w:leftChars="0" w:firstLine="0" w:firstLineChars="0"/>
              <w:rPr>
                <w:rFonts w:hint="eastAsia" w:ascii="仿宋" w:hAnsi="仿宋" w:eastAsia="仿宋" w:cs="仿宋"/>
                <w:b w:val="0"/>
                <w:bCs/>
                <w:color w:val="auto"/>
                <w:sz w:val="24"/>
                <w:highlight w:val="none"/>
                <w:lang w:val="en-US" w:eastAsia="zh-CN"/>
              </w:rPr>
            </w:pPr>
            <w:r>
              <w:rPr>
                <w:rFonts w:hint="eastAsia" w:ascii="仿宋" w:hAnsi="仿宋" w:eastAsia="仿宋" w:cs="仿宋"/>
                <w:b w:val="0"/>
                <w:bCs/>
                <w:color w:val="auto"/>
                <w:sz w:val="24"/>
                <w:highlight w:val="none"/>
                <w:lang w:val="en-US" w:eastAsia="zh-CN"/>
              </w:rPr>
              <w:t>（2）项目组成员中（除项目负责人）①具有环保相关专业高级及以上证书的每人得1分；具有环保相关专业中级证书，每人得0.5分。共1分；②从事垃圾渗滤液（含浓缩液）处理不少于3年，每人得0.5分，共2分。</w:t>
            </w:r>
          </w:p>
          <w:p>
            <w:pPr>
              <w:pStyle w:val="6"/>
              <w:ind w:left="0" w:leftChars="0" w:firstLine="0" w:firstLineChars="0"/>
              <w:rPr>
                <w:rFonts w:hint="default" w:ascii="仿宋" w:hAnsi="仿宋" w:eastAsia="仿宋" w:cs="仿宋"/>
                <w:b/>
                <w:bCs w:val="0"/>
                <w:color w:val="auto"/>
                <w:sz w:val="24"/>
                <w:highlight w:val="none"/>
                <w:lang w:val="en-US" w:eastAsia="zh-CN"/>
              </w:rPr>
            </w:pPr>
            <w:r>
              <w:rPr>
                <w:rFonts w:hint="eastAsia" w:ascii="仿宋" w:hAnsi="仿宋" w:eastAsia="仿宋" w:cs="仿宋"/>
                <w:b w:val="0"/>
                <w:bCs/>
                <w:color w:val="auto"/>
                <w:sz w:val="24"/>
                <w:highlight w:val="none"/>
                <w:lang w:val="en-US" w:eastAsia="zh-CN"/>
              </w:rPr>
              <w:t>以上须提供人员的身份证明、相关证书、工作经验证明材料（需是业主反馈材料）、在投标人单位社保缴纳记录或用工合同，否则不得分。共6分。</w:t>
            </w:r>
          </w:p>
        </w:tc>
        <w:tc>
          <w:tcPr>
            <w:tcW w:w="356" w:type="pct"/>
            <w:shd w:val="clear" w:color="auto" w:fill="auto"/>
            <w:noWrap w:val="0"/>
            <w:vAlign w:val="center"/>
          </w:tcPr>
          <w:p>
            <w:pPr>
              <w:shd w:val="clear"/>
              <w:spacing w:line="360" w:lineRule="auto"/>
              <w:jc w:val="center"/>
              <w:outlineLvl w:val="0"/>
              <w:rPr>
                <w:rFonts w:hint="eastAsia" w:ascii="仿宋" w:hAnsi="仿宋" w:eastAsia="仿宋" w:cs="仿宋"/>
                <w:b w:val="0"/>
                <w:bCs/>
                <w:color w:val="000000"/>
                <w:kern w:val="2"/>
                <w:sz w:val="24"/>
                <w:szCs w:val="22"/>
                <w:highlight w:val="none"/>
                <w:lang w:val="en-US" w:eastAsia="zh-CN" w:bidi="ar-SA"/>
              </w:rPr>
            </w:pPr>
            <w:r>
              <w:rPr>
                <w:rFonts w:hint="eastAsia" w:ascii="仿宋" w:hAnsi="仿宋" w:eastAsia="仿宋" w:cs="仿宋"/>
                <w:b w:val="0"/>
                <w:bCs/>
                <w:color w:val="000000"/>
                <w:sz w:val="24"/>
                <w:highlight w:val="none"/>
                <w:lang w:val="en-US" w:eastAsia="zh-CN"/>
              </w:rPr>
              <w:t>6</w:t>
            </w:r>
          </w:p>
        </w:tc>
        <w:tc>
          <w:tcPr>
            <w:tcW w:w="482" w:type="pct"/>
            <w:shd w:val="clear" w:color="auto" w:fill="auto"/>
            <w:noWrap w:val="0"/>
            <w:vAlign w:val="center"/>
          </w:tcPr>
          <w:p>
            <w:pPr>
              <w:shd w:val="clear"/>
              <w:spacing w:line="360" w:lineRule="auto"/>
              <w:jc w:val="center"/>
              <w:outlineLvl w:val="0"/>
              <w:rPr>
                <w:rFonts w:hint="eastAsia" w:ascii="仿宋" w:hAnsi="仿宋" w:eastAsia="仿宋" w:cs="仿宋"/>
                <w:b w:val="0"/>
                <w:bCs/>
                <w:color w:val="000000"/>
                <w:kern w:val="2"/>
                <w:sz w:val="24"/>
                <w:szCs w:val="22"/>
                <w:highlight w:val="none"/>
                <w:lang w:val="en-US" w:eastAsia="zh-CN" w:bidi="ar-SA"/>
              </w:rPr>
            </w:pPr>
            <w:r>
              <w:rPr>
                <w:rFonts w:hint="eastAsia" w:ascii="仿宋" w:hAnsi="仿宋" w:eastAsia="仿宋" w:cs="仿宋"/>
                <w:b w:val="0"/>
                <w:bCs/>
                <w:color w:val="000000"/>
                <w:sz w:val="24"/>
                <w:highlight w:val="none"/>
                <w:lang w:val="en-US" w:eastAsia="zh-CN"/>
              </w:rPr>
              <w:t>客观分</w:t>
            </w:r>
          </w:p>
        </w:tc>
        <w:tc>
          <w:tcPr>
            <w:tcW w:w="805" w:type="pct"/>
            <w:shd w:val="clear" w:color="auto" w:fill="auto"/>
            <w:noWrap w:val="0"/>
            <w:vAlign w:val="center"/>
          </w:tcPr>
          <w:p>
            <w:pPr>
              <w:shd w:val="clear"/>
              <w:spacing w:line="360" w:lineRule="auto"/>
              <w:jc w:val="center"/>
              <w:outlineLvl w:val="0"/>
              <w:rPr>
                <w:rFonts w:hint="eastAsia" w:ascii="仿宋" w:hAnsi="仿宋" w:eastAsia="仿宋" w:cs="仿宋"/>
                <w:b w:val="0"/>
                <w:bCs/>
                <w:color w:val="000000"/>
                <w:sz w:val="24"/>
                <w:highlight w:val="none"/>
                <w:lang w:val="en-US" w:eastAsia="zh-CN"/>
              </w:rPr>
            </w:pPr>
            <w:r>
              <w:rPr>
                <w:rFonts w:hint="eastAsia" w:ascii="仿宋" w:hAnsi="仿宋" w:eastAsia="仿宋" w:cs="仿宋"/>
                <w:b w:val="0"/>
                <w:bCs/>
                <w:color w:val="000000"/>
                <w:sz w:val="24"/>
                <w:highlight w:val="none"/>
                <w:lang w:val="en-US" w:eastAsia="zh-CN"/>
              </w:rPr>
              <w:t>项目组成员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247" w:type="pct"/>
            <w:shd w:val="clear" w:color="auto" w:fill="auto"/>
            <w:noWrap w:val="0"/>
            <w:vAlign w:val="center"/>
          </w:tcPr>
          <w:p>
            <w:pPr>
              <w:shd w:val="clear"/>
              <w:spacing w:line="360" w:lineRule="auto"/>
              <w:jc w:val="center"/>
              <w:outlineLvl w:val="0"/>
              <w:rPr>
                <w:rFonts w:hint="default" w:ascii="仿宋" w:hAnsi="仿宋" w:eastAsia="仿宋" w:cs="仿宋"/>
                <w:b w:val="0"/>
                <w:bCs/>
                <w:color w:val="000000"/>
                <w:sz w:val="24"/>
                <w:highlight w:val="none"/>
                <w:lang w:val="en-US" w:eastAsia="zh-CN"/>
              </w:rPr>
            </w:pPr>
            <w:r>
              <w:rPr>
                <w:rFonts w:hint="eastAsia" w:ascii="仿宋" w:hAnsi="仿宋" w:eastAsia="仿宋" w:cs="仿宋"/>
                <w:b w:val="0"/>
                <w:bCs/>
                <w:color w:val="000000"/>
                <w:sz w:val="24"/>
                <w:highlight w:val="none"/>
                <w:lang w:val="en-US" w:eastAsia="zh-CN"/>
              </w:rPr>
              <w:t>13</w:t>
            </w:r>
          </w:p>
        </w:tc>
        <w:tc>
          <w:tcPr>
            <w:tcW w:w="3108" w:type="pct"/>
            <w:shd w:val="clear" w:color="auto" w:fill="auto"/>
            <w:noWrap w:val="0"/>
            <w:vAlign w:val="center"/>
          </w:tcPr>
          <w:p>
            <w:pPr>
              <w:shd w:val="clear"/>
              <w:spacing w:line="360" w:lineRule="auto"/>
              <w:outlineLvl w:val="0"/>
              <w:rPr>
                <w:rFonts w:hint="eastAsia" w:ascii="仿宋" w:hAnsi="仿宋" w:eastAsia="仿宋" w:cs="仿宋"/>
                <w:b/>
                <w:bCs w:val="0"/>
                <w:color w:val="000000"/>
                <w:sz w:val="24"/>
                <w:highlight w:val="green"/>
              </w:rPr>
            </w:pPr>
            <w:r>
              <w:rPr>
                <w:rFonts w:hint="eastAsia" w:ascii="仿宋" w:hAnsi="仿宋" w:eastAsia="仿宋" w:cs="仿宋"/>
                <w:b/>
                <w:bCs w:val="0"/>
                <w:color w:val="000000"/>
                <w:sz w:val="24"/>
                <w:highlight w:val="none"/>
                <w:lang w:val="en-US" w:eastAsia="zh-CN"/>
              </w:rPr>
              <w:t>安全管理。</w:t>
            </w:r>
            <w:r>
              <w:rPr>
                <w:rFonts w:hint="eastAsia" w:ascii="仿宋" w:hAnsi="仿宋" w:eastAsia="仿宋" w:cs="仿宋"/>
                <w:sz w:val="24"/>
                <w:szCs w:val="24"/>
                <w:highlight w:val="none"/>
                <w:lang w:eastAsia="zh-CN"/>
              </w:rPr>
              <w:t>投标人提出安全</w:t>
            </w:r>
            <w:r>
              <w:rPr>
                <w:rFonts w:hint="eastAsia" w:ascii="仿宋" w:hAnsi="仿宋" w:eastAsia="仿宋" w:cs="仿宋"/>
                <w:sz w:val="24"/>
                <w:szCs w:val="24"/>
                <w:highlight w:val="none"/>
              </w:rPr>
              <w:t>管理方案</w:t>
            </w:r>
            <w:r>
              <w:rPr>
                <w:rFonts w:hint="eastAsia" w:ascii="仿宋" w:hAnsi="仿宋" w:eastAsia="仿宋" w:cs="仿宋"/>
                <w:sz w:val="24"/>
                <w:szCs w:val="24"/>
                <w:highlight w:val="none"/>
                <w:lang w:eastAsia="zh-CN"/>
              </w:rPr>
              <w:t>，方案展现安全</w:t>
            </w:r>
            <w:r>
              <w:rPr>
                <w:rFonts w:hint="eastAsia" w:ascii="仿宋" w:hAnsi="仿宋" w:eastAsia="仿宋" w:cs="仿宋"/>
                <w:sz w:val="24"/>
                <w:szCs w:val="24"/>
                <w:highlight w:val="none"/>
              </w:rPr>
              <w:t>管理管控过程，有独立</w:t>
            </w:r>
            <w:r>
              <w:rPr>
                <w:rFonts w:hint="eastAsia" w:ascii="仿宋" w:hAnsi="仿宋" w:eastAsia="仿宋" w:cs="仿宋"/>
                <w:sz w:val="24"/>
                <w:szCs w:val="24"/>
                <w:highlight w:val="none"/>
                <w:lang w:eastAsia="zh-CN"/>
              </w:rPr>
              <w:t>安全管理</w:t>
            </w:r>
            <w:r>
              <w:rPr>
                <w:rFonts w:hint="eastAsia" w:ascii="仿宋" w:hAnsi="仿宋" w:eastAsia="仿宋" w:cs="仿宋"/>
                <w:sz w:val="24"/>
                <w:szCs w:val="24"/>
                <w:highlight w:val="none"/>
              </w:rPr>
              <w:t>部门</w:t>
            </w:r>
            <w:r>
              <w:rPr>
                <w:rFonts w:hint="eastAsia" w:ascii="仿宋" w:hAnsi="仿宋" w:eastAsia="仿宋" w:cs="仿宋"/>
                <w:sz w:val="24"/>
                <w:szCs w:val="24"/>
                <w:highlight w:val="none"/>
                <w:lang w:eastAsia="zh-CN"/>
              </w:rPr>
              <w:t>或安全管理</w:t>
            </w:r>
            <w:r>
              <w:rPr>
                <w:rFonts w:hint="eastAsia" w:ascii="仿宋" w:hAnsi="仿宋" w:eastAsia="仿宋" w:cs="仿宋"/>
                <w:sz w:val="24"/>
                <w:szCs w:val="24"/>
                <w:highlight w:val="none"/>
              </w:rPr>
              <w:t>人员，确保</w:t>
            </w:r>
            <w:r>
              <w:rPr>
                <w:rFonts w:hint="eastAsia" w:ascii="仿宋" w:hAnsi="仿宋" w:eastAsia="仿宋" w:cs="仿宋"/>
                <w:sz w:val="24"/>
                <w:szCs w:val="24"/>
                <w:highlight w:val="none"/>
                <w:lang w:eastAsia="zh-CN"/>
              </w:rPr>
              <w:t>运营</w:t>
            </w:r>
            <w:r>
              <w:rPr>
                <w:rFonts w:hint="eastAsia" w:ascii="仿宋" w:hAnsi="仿宋" w:eastAsia="仿宋" w:cs="仿宋"/>
                <w:sz w:val="24"/>
                <w:szCs w:val="24"/>
                <w:highlight w:val="none"/>
              </w:rPr>
              <w:t>过程的</w:t>
            </w:r>
            <w:r>
              <w:rPr>
                <w:rFonts w:hint="eastAsia" w:ascii="仿宋" w:hAnsi="仿宋" w:eastAsia="仿宋" w:cs="仿宋"/>
                <w:sz w:val="24"/>
                <w:szCs w:val="24"/>
                <w:highlight w:val="none"/>
                <w:lang w:eastAsia="zh-CN"/>
              </w:rPr>
              <w:t>安全视为符合</w:t>
            </w:r>
            <w:r>
              <w:rPr>
                <w:rFonts w:hint="eastAsia" w:ascii="仿宋" w:hAnsi="仿宋" w:eastAsia="仿宋" w:cs="仿宋"/>
                <w:sz w:val="24"/>
                <w:szCs w:val="24"/>
                <w:highlight w:val="none"/>
              </w:rPr>
              <w:t>。</w:t>
            </w:r>
            <w:r>
              <w:rPr>
                <w:rFonts w:hint="eastAsia" w:ascii="仿宋" w:hAnsi="仿宋" w:eastAsia="仿宋" w:cs="仿宋"/>
                <w:sz w:val="24"/>
                <w:szCs w:val="24"/>
                <w:highlight w:val="none"/>
                <w:lang w:eastAsia="zh-CN"/>
              </w:rPr>
              <w:t>全部</w:t>
            </w:r>
            <w:r>
              <w:rPr>
                <w:rFonts w:hint="eastAsia" w:ascii="仿宋" w:hAnsi="仿宋" w:eastAsia="仿宋" w:cs="仿宋"/>
                <w:color w:val="000000"/>
                <w:sz w:val="24"/>
                <w:highlight w:val="none"/>
                <w:lang w:eastAsia="zh-CN"/>
              </w:rPr>
              <w:t>符合得2分，部分符合得1分,不符合或没提供不得分，共</w:t>
            </w:r>
            <w:r>
              <w:rPr>
                <w:rFonts w:hint="eastAsia" w:ascii="仿宋" w:hAnsi="仿宋" w:eastAsia="仿宋" w:cs="仿宋"/>
                <w:color w:val="000000"/>
                <w:sz w:val="24"/>
                <w:highlight w:val="none"/>
                <w:lang w:val="en-US" w:eastAsia="zh-CN"/>
              </w:rPr>
              <w:t>2分</w:t>
            </w:r>
            <w:r>
              <w:rPr>
                <w:rFonts w:hint="eastAsia" w:ascii="仿宋" w:hAnsi="仿宋" w:eastAsia="仿宋" w:cs="仿宋"/>
                <w:color w:val="000000"/>
                <w:sz w:val="24"/>
                <w:highlight w:val="none"/>
                <w:lang w:eastAsia="zh-CN"/>
              </w:rPr>
              <w:t>。</w:t>
            </w:r>
          </w:p>
        </w:tc>
        <w:tc>
          <w:tcPr>
            <w:tcW w:w="356" w:type="pct"/>
            <w:shd w:val="clear" w:color="auto" w:fill="auto"/>
            <w:noWrap w:val="0"/>
            <w:vAlign w:val="center"/>
          </w:tcPr>
          <w:p>
            <w:pPr>
              <w:shd w:val="clear"/>
              <w:spacing w:line="360" w:lineRule="auto"/>
              <w:jc w:val="center"/>
              <w:outlineLvl w:val="0"/>
              <w:rPr>
                <w:rFonts w:hint="eastAsia" w:ascii="仿宋" w:hAnsi="仿宋" w:eastAsia="仿宋" w:cs="仿宋"/>
                <w:b w:val="0"/>
                <w:bCs/>
                <w:color w:val="000000"/>
                <w:kern w:val="2"/>
                <w:sz w:val="24"/>
                <w:szCs w:val="22"/>
                <w:highlight w:val="none"/>
                <w:lang w:val="en-US" w:eastAsia="zh-CN" w:bidi="ar-SA"/>
              </w:rPr>
            </w:pPr>
            <w:r>
              <w:rPr>
                <w:rFonts w:hint="eastAsia" w:ascii="仿宋" w:hAnsi="仿宋" w:eastAsia="仿宋" w:cs="仿宋"/>
                <w:b w:val="0"/>
                <w:bCs/>
                <w:color w:val="000000"/>
                <w:sz w:val="24"/>
                <w:highlight w:val="none"/>
                <w:lang w:val="en-US" w:eastAsia="zh-CN"/>
              </w:rPr>
              <w:t>2</w:t>
            </w:r>
          </w:p>
        </w:tc>
        <w:tc>
          <w:tcPr>
            <w:tcW w:w="482" w:type="pct"/>
            <w:shd w:val="clear" w:color="auto" w:fill="auto"/>
            <w:noWrap w:val="0"/>
            <w:vAlign w:val="center"/>
          </w:tcPr>
          <w:p>
            <w:pPr>
              <w:shd w:val="clear"/>
              <w:spacing w:line="360" w:lineRule="auto"/>
              <w:jc w:val="center"/>
              <w:outlineLvl w:val="0"/>
              <w:rPr>
                <w:rFonts w:hint="eastAsia" w:ascii="仿宋" w:hAnsi="仿宋" w:eastAsia="仿宋" w:cs="仿宋"/>
                <w:b w:val="0"/>
                <w:bCs/>
                <w:color w:val="000000"/>
                <w:kern w:val="2"/>
                <w:sz w:val="24"/>
                <w:szCs w:val="22"/>
                <w:highlight w:val="none"/>
                <w:lang w:val="en-US" w:eastAsia="zh-CN" w:bidi="ar-SA"/>
              </w:rPr>
            </w:pPr>
            <w:r>
              <w:rPr>
                <w:rFonts w:hint="eastAsia" w:ascii="仿宋" w:hAnsi="仿宋" w:eastAsia="仿宋" w:cs="仿宋"/>
                <w:b w:val="0"/>
                <w:bCs/>
                <w:color w:val="000000"/>
                <w:sz w:val="24"/>
                <w:highlight w:val="none"/>
                <w:lang w:val="en-US" w:eastAsia="zh-CN"/>
              </w:rPr>
              <w:t>主观分</w:t>
            </w:r>
          </w:p>
        </w:tc>
        <w:tc>
          <w:tcPr>
            <w:tcW w:w="805" w:type="pct"/>
            <w:shd w:val="clear" w:color="auto" w:fill="auto"/>
            <w:noWrap w:val="0"/>
            <w:vAlign w:val="center"/>
          </w:tcPr>
          <w:p>
            <w:pPr>
              <w:shd w:val="clear"/>
              <w:spacing w:line="360" w:lineRule="auto"/>
              <w:jc w:val="center"/>
              <w:outlineLvl w:val="0"/>
              <w:rPr>
                <w:rFonts w:hint="eastAsia" w:ascii="仿宋" w:hAnsi="仿宋" w:eastAsia="仿宋" w:cs="仿宋"/>
                <w:b w:val="0"/>
                <w:bCs/>
                <w:color w:val="000000"/>
                <w:sz w:val="24"/>
                <w:highlight w:val="none"/>
              </w:rPr>
            </w:pPr>
            <w:r>
              <w:rPr>
                <w:rFonts w:hint="eastAsia" w:ascii="仿宋" w:hAnsi="仿宋" w:eastAsia="仿宋" w:cs="仿宋"/>
                <w:b w:val="0"/>
                <w:bCs/>
                <w:color w:val="000000"/>
                <w:sz w:val="24"/>
                <w:highlight w:val="none"/>
                <w:lang w:val="en-US" w:eastAsia="zh-CN"/>
              </w:rPr>
              <w:t>安全管理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247" w:type="pct"/>
            <w:shd w:val="clear" w:color="auto" w:fill="auto"/>
            <w:noWrap w:val="0"/>
            <w:vAlign w:val="center"/>
          </w:tcPr>
          <w:p>
            <w:pPr>
              <w:shd w:val="clear"/>
              <w:spacing w:line="360" w:lineRule="auto"/>
              <w:jc w:val="center"/>
              <w:outlineLvl w:val="0"/>
              <w:rPr>
                <w:rFonts w:hint="default" w:ascii="仿宋" w:hAnsi="仿宋" w:eastAsia="仿宋" w:cs="仿宋"/>
                <w:b w:val="0"/>
                <w:bCs/>
                <w:color w:val="000000"/>
                <w:sz w:val="24"/>
                <w:highlight w:val="none"/>
                <w:lang w:val="en-US" w:eastAsia="zh-CN"/>
              </w:rPr>
            </w:pPr>
            <w:r>
              <w:rPr>
                <w:rFonts w:hint="eastAsia" w:ascii="仿宋" w:hAnsi="仿宋" w:eastAsia="仿宋" w:cs="仿宋"/>
                <w:b w:val="0"/>
                <w:bCs/>
                <w:color w:val="000000"/>
                <w:sz w:val="24"/>
                <w:highlight w:val="none"/>
                <w:lang w:val="en-US" w:eastAsia="zh-CN"/>
              </w:rPr>
              <w:t>14</w:t>
            </w:r>
          </w:p>
        </w:tc>
        <w:tc>
          <w:tcPr>
            <w:tcW w:w="3108" w:type="pct"/>
            <w:shd w:val="clear" w:color="auto" w:fill="auto"/>
            <w:noWrap w:val="0"/>
            <w:vAlign w:val="center"/>
          </w:tcPr>
          <w:p>
            <w:pPr>
              <w:shd w:val="clear"/>
              <w:spacing w:line="360" w:lineRule="auto"/>
              <w:outlineLvl w:val="0"/>
              <w:rPr>
                <w:rFonts w:hint="eastAsia" w:ascii="仿宋" w:hAnsi="仿宋" w:eastAsia="仿宋" w:cs="仿宋"/>
                <w:b/>
                <w:bCs w:val="0"/>
                <w:color w:val="auto"/>
                <w:sz w:val="24"/>
                <w:highlight w:val="none"/>
                <w:lang w:eastAsia="zh-CN"/>
              </w:rPr>
            </w:pPr>
            <w:r>
              <w:rPr>
                <w:rFonts w:hint="eastAsia" w:ascii="仿宋" w:hAnsi="仿宋" w:eastAsia="仿宋" w:cs="仿宋"/>
                <w:b/>
                <w:bCs w:val="0"/>
                <w:color w:val="auto"/>
                <w:sz w:val="24"/>
                <w:highlight w:val="none"/>
              </w:rPr>
              <w:t>应急措施</w:t>
            </w:r>
            <w:r>
              <w:rPr>
                <w:rFonts w:hint="eastAsia" w:ascii="仿宋" w:hAnsi="仿宋" w:eastAsia="仿宋" w:cs="仿宋"/>
                <w:b/>
                <w:bCs w:val="0"/>
                <w:color w:val="auto"/>
                <w:sz w:val="24"/>
                <w:highlight w:val="none"/>
                <w:lang w:eastAsia="zh-CN"/>
              </w:rPr>
              <w:t>方案</w:t>
            </w:r>
            <w:r>
              <w:rPr>
                <w:rFonts w:hint="eastAsia" w:ascii="仿宋" w:hAnsi="仿宋" w:eastAsia="仿宋" w:cs="仿宋"/>
                <w:b/>
                <w:bCs w:val="0"/>
                <w:color w:val="auto"/>
                <w:sz w:val="24"/>
                <w:highlight w:val="none"/>
                <w:lang w:val="en-US" w:eastAsia="zh-CN"/>
              </w:rPr>
              <w:t>。</w:t>
            </w:r>
            <w:r>
              <w:rPr>
                <w:rFonts w:hint="eastAsia" w:ascii="仿宋" w:hAnsi="仿宋" w:eastAsia="仿宋" w:cs="仿宋"/>
                <w:b w:val="0"/>
                <w:bCs/>
                <w:color w:val="auto"/>
                <w:sz w:val="24"/>
                <w:highlight w:val="none"/>
              </w:rPr>
              <w:t>投标人</w:t>
            </w:r>
            <w:r>
              <w:rPr>
                <w:rFonts w:hint="eastAsia" w:ascii="仿宋" w:hAnsi="仿宋" w:eastAsia="仿宋" w:cs="仿宋"/>
                <w:b w:val="0"/>
                <w:bCs/>
                <w:color w:val="auto"/>
                <w:sz w:val="24"/>
                <w:highlight w:val="none"/>
                <w:lang w:val="en-US" w:eastAsia="zh-CN"/>
              </w:rPr>
              <w:t>根据项目实际情况，科学合理的制定可行的应急措施方案，方案科学合理</w:t>
            </w:r>
            <w:r>
              <w:rPr>
                <w:rFonts w:hint="eastAsia" w:ascii="仿宋" w:hAnsi="仿宋" w:eastAsia="仿宋" w:cs="仿宋"/>
                <w:bCs/>
                <w:color w:val="auto"/>
                <w:sz w:val="24"/>
                <w:highlight w:val="none"/>
              </w:rPr>
              <w:t>可操作强的</w:t>
            </w:r>
            <w:r>
              <w:rPr>
                <w:rFonts w:hint="eastAsia" w:ascii="仿宋" w:hAnsi="仿宋" w:eastAsia="仿宋" w:cs="仿宋"/>
                <w:b w:val="0"/>
                <w:bCs/>
                <w:color w:val="auto"/>
                <w:sz w:val="24"/>
                <w:highlight w:val="none"/>
                <w:lang w:val="en-US" w:eastAsia="zh-CN"/>
              </w:rPr>
              <w:t>，应急得到强力保障的的视为符合，全部符合得5分，基本符合得3分，部分符合得1分，不符合或没提供不得分。共5分。</w:t>
            </w:r>
          </w:p>
        </w:tc>
        <w:tc>
          <w:tcPr>
            <w:tcW w:w="356" w:type="pct"/>
            <w:shd w:val="clear" w:color="auto" w:fill="auto"/>
            <w:noWrap w:val="0"/>
            <w:vAlign w:val="center"/>
          </w:tcPr>
          <w:p>
            <w:pPr>
              <w:shd w:val="clear"/>
              <w:spacing w:line="360" w:lineRule="auto"/>
              <w:jc w:val="center"/>
              <w:outlineLvl w:val="0"/>
              <w:rPr>
                <w:rFonts w:hint="default" w:ascii="仿宋" w:hAnsi="仿宋" w:eastAsia="仿宋" w:cs="仿宋"/>
                <w:b w:val="0"/>
                <w:bCs/>
                <w:color w:val="000000"/>
                <w:sz w:val="24"/>
                <w:highlight w:val="none"/>
                <w:lang w:val="en-US" w:eastAsia="zh-CN"/>
              </w:rPr>
            </w:pPr>
            <w:r>
              <w:rPr>
                <w:rFonts w:hint="eastAsia" w:ascii="仿宋" w:hAnsi="仿宋" w:eastAsia="仿宋" w:cs="仿宋"/>
                <w:b w:val="0"/>
                <w:bCs/>
                <w:color w:val="000000"/>
                <w:sz w:val="24"/>
                <w:highlight w:val="none"/>
                <w:lang w:val="en-US" w:eastAsia="zh-CN"/>
              </w:rPr>
              <w:t>5</w:t>
            </w:r>
          </w:p>
        </w:tc>
        <w:tc>
          <w:tcPr>
            <w:tcW w:w="482" w:type="pct"/>
            <w:shd w:val="clear" w:color="auto" w:fill="auto"/>
            <w:noWrap w:val="0"/>
            <w:vAlign w:val="center"/>
          </w:tcPr>
          <w:p>
            <w:pPr>
              <w:shd w:val="clear"/>
              <w:spacing w:line="360" w:lineRule="auto"/>
              <w:jc w:val="center"/>
              <w:outlineLvl w:val="0"/>
              <w:rPr>
                <w:rFonts w:hint="eastAsia" w:ascii="仿宋" w:hAnsi="仿宋" w:eastAsia="仿宋" w:cs="仿宋"/>
                <w:b w:val="0"/>
                <w:bCs/>
                <w:color w:val="000000"/>
                <w:sz w:val="24"/>
                <w:highlight w:val="none"/>
                <w:lang w:val="en-US" w:eastAsia="zh-CN"/>
              </w:rPr>
            </w:pPr>
            <w:r>
              <w:rPr>
                <w:rFonts w:hint="eastAsia" w:ascii="仿宋" w:hAnsi="仿宋" w:eastAsia="仿宋" w:cs="仿宋"/>
                <w:b w:val="0"/>
                <w:bCs/>
                <w:color w:val="000000"/>
                <w:sz w:val="24"/>
                <w:highlight w:val="none"/>
                <w:lang w:val="en-US" w:eastAsia="zh-CN"/>
              </w:rPr>
              <w:t>主观分</w:t>
            </w:r>
          </w:p>
        </w:tc>
        <w:tc>
          <w:tcPr>
            <w:tcW w:w="805" w:type="pct"/>
            <w:vMerge w:val="restart"/>
            <w:shd w:val="clear" w:color="auto" w:fill="auto"/>
            <w:noWrap w:val="0"/>
            <w:vAlign w:val="center"/>
          </w:tcPr>
          <w:p>
            <w:pPr>
              <w:shd w:val="clear"/>
              <w:spacing w:line="360" w:lineRule="auto"/>
              <w:jc w:val="center"/>
              <w:outlineLvl w:val="0"/>
              <w:rPr>
                <w:rFonts w:hint="eastAsia" w:ascii="仿宋" w:hAnsi="仿宋" w:eastAsia="仿宋" w:cs="仿宋"/>
                <w:b w:val="0"/>
                <w:bCs/>
                <w:color w:val="000000"/>
                <w:sz w:val="24"/>
                <w:highlight w:val="none"/>
              </w:rPr>
            </w:pPr>
            <w:r>
              <w:rPr>
                <w:rFonts w:hint="eastAsia" w:ascii="仿宋" w:hAnsi="仿宋" w:eastAsia="仿宋" w:cs="仿宋"/>
                <w:b w:val="0"/>
                <w:bCs/>
                <w:color w:val="000000"/>
                <w:sz w:val="24"/>
                <w:highlight w:val="none"/>
              </w:rPr>
              <w:t>应急措施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247" w:type="pct"/>
            <w:shd w:val="clear" w:color="auto" w:fill="auto"/>
            <w:noWrap w:val="0"/>
            <w:vAlign w:val="center"/>
          </w:tcPr>
          <w:p>
            <w:pPr>
              <w:shd w:val="clear"/>
              <w:spacing w:line="360" w:lineRule="auto"/>
              <w:jc w:val="center"/>
              <w:outlineLvl w:val="0"/>
              <w:rPr>
                <w:rFonts w:hint="default" w:ascii="仿宋" w:hAnsi="仿宋" w:eastAsia="仿宋" w:cs="仿宋"/>
                <w:b w:val="0"/>
                <w:bCs/>
                <w:color w:val="000000"/>
                <w:sz w:val="24"/>
                <w:highlight w:val="none"/>
                <w:lang w:val="en-US" w:eastAsia="zh-CN"/>
              </w:rPr>
            </w:pPr>
            <w:r>
              <w:rPr>
                <w:rFonts w:hint="eastAsia" w:ascii="仿宋" w:hAnsi="仿宋" w:eastAsia="仿宋" w:cs="仿宋"/>
                <w:b w:val="0"/>
                <w:bCs/>
                <w:color w:val="000000"/>
                <w:sz w:val="24"/>
                <w:highlight w:val="none"/>
                <w:lang w:val="en-US" w:eastAsia="zh-CN"/>
              </w:rPr>
              <w:t>15</w:t>
            </w:r>
          </w:p>
        </w:tc>
        <w:tc>
          <w:tcPr>
            <w:tcW w:w="3108" w:type="pct"/>
            <w:shd w:val="clear" w:color="auto" w:fill="auto"/>
            <w:noWrap w:val="0"/>
            <w:vAlign w:val="center"/>
          </w:tcPr>
          <w:p>
            <w:pPr>
              <w:shd w:val="clear"/>
              <w:spacing w:line="360" w:lineRule="auto"/>
              <w:outlineLvl w:val="0"/>
              <w:rPr>
                <w:rFonts w:hint="eastAsia" w:ascii="仿宋" w:hAnsi="仿宋" w:eastAsia="仿宋" w:cs="仿宋"/>
                <w:b w:val="0"/>
                <w:bCs/>
                <w:color w:val="auto"/>
                <w:sz w:val="24"/>
                <w:highlight w:val="none"/>
                <w:lang w:val="en-US" w:eastAsia="zh-CN"/>
              </w:rPr>
            </w:pPr>
            <w:r>
              <w:rPr>
                <w:rFonts w:hint="eastAsia" w:ascii="仿宋" w:hAnsi="仿宋" w:eastAsia="仿宋" w:cs="仿宋"/>
                <w:b w:val="0"/>
                <w:bCs/>
                <w:color w:val="auto"/>
                <w:sz w:val="24"/>
                <w:highlight w:val="none"/>
                <w:lang w:eastAsia="zh-CN"/>
              </w:rPr>
              <w:t>①投标人</w:t>
            </w:r>
            <w:r>
              <w:rPr>
                <w:rFonts w:hint="eastAsia" w:ascii="仿宋" w:hAnsi="仿宋" w:eastAsia="仿宋" w:cs="仿宋"/>
                <w:b w:val="0"/>
                <w:bCs/>
                <w:color w:val="auto"/>
                <w:sz w:val="24"/>
                <w:highlight w:val="none"/>
              </w:rPr>
              <w:t>在发生突发情况</w:t>
            </w:r>
            <w:r>
              <w:rPr>
                <w:rFonts w:hint="eastAsia" w:ascii="仿宋" w:hAnsi="仿宋" w:eastAsia="仿宋" w:cs="仿宋"/>
                <w:b w:val="0"/>
                <w:bCs/>
                <w:color w:val="auto"/>
                <w:sz w:val="24"/>
                <w:highlight w:val="none"/>
                <w:lang w:eastAsia="zh-CN"/>
              </w:rPr>
              <w:t>能将</w:t>
            </w:r>
            <w:r>
              <w:rPr>
                <w:rFonts w:hint="eastAsia" w:ascii="仿宋" w:hAnsi="仿宋" w:eastAsia="仿宋" w:cs="仿宋"/>
                <w:b w:val="0"/>
                <w:bCs/>
                <w:color w:val="auto"/>
                <w:sz w:val="24"/>
                <w:highlight w:val="none"/>
              </w:rPr>
              <w:t>渗滤液外运处置的</w:t>
            </w:r>
            <w:r>
              <w:rPr>
                <w:rFonts w:hint="eastAsia" w:ascii="仿宋" w:hAnsi="仿宋" w:eastAsia="仿宋" w:cs="仿宋"/>
                <w:b w:val="0"/>
                <w:bCs/>
                <w:color w:val="auto"/>
                <w:sz w:val="24"/>
                <w:highlight w:val="none"/>
                <w:lang w:eastAsia="zh-CN"/>
              </w:rPr>
              <w:t>得</w:t>
            </w:r>
            <w:r>
              <w:rPr>
                <w:rFonts w:hint="eastAsia" w:ascii="仿宋" w:hAnsi="仿宋" w:eastAsia="仿宋" w:cs="仿宋"/>
                <w:b w:val="0"/>
                <w:bCs/>
                <w:color w:val="auto"/>
                <w:sz w:val="24"/>
                <w:highlight w:val="none"/>
                <w:lang w:val="en-US" w:eastAsia="zh-CN"/>
              </w:rPr>
              <w:t>3分，需</w:t>
            </w:r>
            <w:r>
              <w:rPr>
                <w:rFonts w:hint="eastAsia" w:ascii="仿宋" w:hAnsi="仿宋" w:eastAsia="仿宋" w:cs="仿宋"/>
                <w:b w:val="0"/>
                <w:bCs/>
                <w:color w:val="auto"/>
                <w:sz w:val="24"/>
                <w:highlight w:val="none"/>
              </w:rPr>
              <w:t>提供应急场所</w:t>
            </w:r>
            <w:r>
              <w:rPr>
                <w:rFonts w:hint="eastAsia" w:ascii="仿宋" w:hAnsi="仿宋" w:eastAsia="仿宋" w:cs="仿宋"/>
                <w:b w:val="0"/>
                <w:bCs/>
                <w:color w:val="auto"/>
                <w:sz w:val="24"/>
                <w:highlight w:val="none"/>
                <w:lang w:eastAsia="zh-CN"/>
              </w:rPr>
              <w:t>或</w:t>
            </w:r>
            <w:r>
              <w:rPr>
                <w:rFonts w:hint="eastAsia" w:ascii="仿宋" w:hAnsi="仿宋" w:eastAsia="仿宋" w:cs="仿宋"/>
                <w:b w:val="0"/>
                <w:bCs/>
                <w:color w:val="auto"/>
                <w:sz w:val="24"/>
                <w:highlight w:val="none"/>
              </w:rPr>
              <w:t>所属业主单位</w:t>
            </w:r>
            <w:r>
              <w:rPr>
                <w:rFonts w:hint="eastAsia" w:ascii="仿宋" w:hAnsi="仿宋" w:eastAsia="仿宋" w:cs="仿宋"/>
                <w:b w:val="0"/>
                <w:bCs/>
                <w:color w:val="auto"/>
                <w:sz w:val="24"/>
                <w:highlight w:val="none"/>
                <w:lang w:eastAsia="zh-CN"/>
              </w:rPr>
              <w:t>出具的</w:t>
            </w:r>
            <w:r>
              <w:rPr>
                <w:rFonts w:hint="eastAsia" w:ascii="仿宋" w:hAnsi="仿宋" w:eastAsia="仿宋" w:cs="仿宋"/>
                <w:b w:val="0"/>
                <w:bCs/>
                <w:color w:val="auto"/>
                <w:sz w:val="24"/>
                <w:highlight w:val="none"/>
              </w:rPr>
              <w:t>应急处理本厂外运的渗滤液（含浓缩液）的承诺</w:t>
            </w:r>
            <w:r>
              <w:rPr>
                <w:rFonts w:hint="eastAsia" w:ascii="仿宋" w:hAnsi="仿宋" w:eastAsia="仿宋" w:cs="仿宋"/>
                <w:b w:val="0"/>
                <w:bCs/>
                <w:color w:val="auto"/>
                <w:sz w:val="24"/>
                <w:highlight w:val="none"/>
                <w:lang w:eastAsia="zh-CN"/>
              </w:rPr>
              <w:t>、</w:t>
            </w:r>
            <w:r>
              <w:rPr>
                <w:rFonts w:hint="eastAsia" w:ascii="仿宋" w:hAnsi="仿宋" w:eastAsia="仿宋" w:cs="仿宋"/>
                <w:b w:val="0"/>
                <w:bCs/>
                <w:color w:val="auto"/>
                <w:sz w:val="24"/>
                <w:highlight w:val="none"/>
              </w:rPr>
              <w:t>现场照片、位置、现场距离定位、能处理渗滤液（含浓缩液）</w:t>
            </w:r>
            <w:r>
              <w:rPr>
                <w:rFonts w:hint="eastAsia" w:ascii="仿宋" w:hAnsi="仿宋" w:eastAsia="仿宋" w:cs="仿宋"/>
                <w:b w:val="0"/>
                <w:bCs/>
                <w:color w:val="auto"/>
                <w:sz w:val="24"/>
                <w:highlight w:val="none"/>
                <w:lang w:eastAsia="zh-CN"/>
              </w:rPr>
              <w:t>的</w:t>
            </w:r>
            <w:r>
              <w:rPr>
                <w:rFonts w:hint="eastAsia" w:ascii="仿宋" w:hAnsi="仿宋" w:eastAsia="仿宋" w:cs="仿宋"/>
                <w:b w:val="0"/>
                <w:bCs/>
                <w:color w:val="auto"/>
                <w:sz w:val="24"/>
                <w:highlight w:val="none"/>
              </w:rPr>
              <w:t>设备清单证明材料，未提供</w:t>
            </w:r>
            <w:r>
              <w:rPr>
                <w:rFonts w:hint="eastAsia" w:ascii="仿宋" w:hAnsi="仿宋" w:eastAsia="仿宋" w:cs="仿宋"/>
                <w:b w:val="0"/>
                <w:bCs/>
                <w:color w:val="auto"/>
                <w:sz w:val="24"/>
                <w:highlight w:val="none"/>
                <w:lang w:eastAsia="zh-CN"/>
              </w:rPr>
              <w:t>或提供不全</w:t>
            </w:r>
            <w:r>
              <w:rPr>
                <w:rFonts w:hint="eastAsia" w:ascii="仿宋" w:hAnsi="仿宋" w:eastAsia="仿宋" w:cs="仿宋"/>
                <w:b w:val="0"/>
                <w:bCs/>
                <w:color w:val="auto"/>
                <w:sz w:val="24"/>
                <w:highlight w:val="none"/>
              </w:rPr>
              <w:t>不得分。</w:t>
            </w:r>
            <w:r>
              <w:rPr>
                <w:rFonts w:hint="eastAsia" w:ascii="仿宋" w:hAnsi="仿宋" w:eastAsia="仿宋" w:cs="仿宋"/>
                <w:b w:val="0"/>
                <w:bCs/>
                <w:color w:val="auto"/>
                <w:sz w:val="24"/>
                <w:highlight w:val="none"/>
                <w:lang w:eastAsia="zh-CN"/>
              </w:rPr>
              <w:t>共</w:t>
            </w:r>
            <w:r>
              <w:rPr>
                <w:rFonts w:hint="eastAsia" w:ascii="仿宋" w:hAnsi="仿宋" w:eastAsia="仿宋" w:cs="仿宋"/>
                <w:b w:val="0"/>
                <w:bCs/>
                <w:color w:val="auto"/>
                <w:sz w:val="24"/>
                <w:highlight w:val="none"/>
                <w:lang w:val="en-US" w:eastAsia="zh-CN"/>
              </w:rPr>
              <w:t>3分。</w:t>
            </w:r>
          </w:p>
          <w:p>
            <w:pPr>
              <w:shd w:val="clear"/>
              <w:spacing w:line="360" w:lineRule="auto"/>
              <w:outlineLvl w:val="0"/>
              <w:rPr>
                <w:rFonts w:hint="eastAsia" w:ascii="仿宋" w:hAnsi="仿宋" w:eastAsia="仿宋" w:cs="仿宋"/>
                <w:b/>
                <w:bCs w:val="0"/>
                <w:color w:val="auto"/>
                <w:sz w:val="24"/>
                <w:highlight w:val="none"/>
              </w:rPr>
            </w:pPr>
            <w:r>
              <w:rPr>
                <w:rFonts w:hint="eastAsia" w:ascii="仿宋" w:hAnsi="仿宋" w:eastAsia="仿宋" w:cs="仿宋"/>
                <w:b w:val="0"/>
                <w:bCs/>
                <w:color w:val="auto"/>
                <w:sz w:val="24"/>
                <w:highlight w:val="none"/>
                <w:lang w:val="en-US" w:eastAsia="zh-CN"/>
              </w:rPr>
              <w:t>②在评分</w:t>
            </w:r>
            <w:r>
              <w:rPr>
                <w:rFonts w:hint="eastAsia" w:ascii="仿宋" w:hAnsi="仿宋" w:eastAsia="仿宋" w:cs="仿宋"/>
                <w:b w:val="0"/>
                <w:bCs/>
                <w:color w:val="auto"/>
                <w:sz w:val="24"/>
                <w:highlight w:val="none"/>
                <w:lang w:eastAsia="zh-CN"/>
              </w:rPr>
              <w:t>①的基础上，</w:t>
            </w:r>
            <w:r>
              <w:rPr>
                <w:rFonts w:hint="eastAsia" w:ascii="仿宋" w:hAnsi="仿宋" w:eastAsia="仿宋" w:cs="仿宋"/>
                <w:b w:val="0"/>
                <w:bCs/>
                <w:color w:val="auto"/>
                <w:sz w:val="24"/>
                <w:highlight w:val="none"/>
                <w:lang w:val="en-US" w:eastAsia="zh-CN"/>
              </w:rPr>
              <w:t>投标人承诺</w:t>
            </w:r>
            <w:r>
              <w:rPr>
                <w:rFonts w:hint="eastAsia" w:ascii="仿宋" w:hAnsi="仿宋" w:eastAsia="仿宋" w:cs="仿宋"/>
                <w:b w:val="0"/>
                <w:bCs/>
                <w:color w:val="auto"/>
                <w:sz w:val="24"/>
                <w:highlight w:val="none"/>
              </w:rPr>
              <w:t>在</w:t>
            </w:r>
            <w:r>
              <w:rPr>
                <w:rFonts w:hint="eastAsia" w:ascii="仿宋" w:hAnsi="仿宋" w:eastAsia="仿宋" w:cs="仿宋"/>
                <w:b w:val="0"/>
                <w:bCs/>
                <w:color w:val="auto"/>
                <w:sz w:val="24"/>
                <w:highlight w:val="none"/>
                <w:lang w:val="en-US" w:eastAsia="zh-CN"/>
              </w:rPr>
              <w:t>1</w:t>
            </w:r>
            <w:r>
              <w:rPr>
                <w:rFonts w:hint="eastAsia" w:ascii="仿宋" w:hAnsi="仿宋" w:eastAsia="仿宋" w:cs="仿宋"/>
                <w:b w:val="0"/>
                <w:bCs/>
                <w:color w:val="auto"/>
                <w:sz w:val="24"/>
                <w:highlight w:val="none"/>
              </w:rPr>
              <w:t>小时之内渗滤液能外运处置的得</w:t>
            </w:r>
            <w:r>
              <w:rPr>
                <w:rFonts w:hint="eastAsia" w:ascii="仿宋" w:hAnsi="仿宋" w:eastAsia="仿宋" w:cs="仿宋"/>
                <w:b w:val="0"/>
                <w:bCs/>
                <w:color w:val="auto"/>
                <w:sz w:val="24"/>
                <w:highlight w:val="none"/>
                <w:lang w:val="en-US" w:eastAsia="zh-CN"/>
              </w:rPr>
              <w:t>3</w:t>
            </w:r>
            <w:r>
              <w:rPr>
                <w:rFonts w:hint="eastAsia" w:ascii="仿宋" w:hAnsi="仿宋" w:eastAsia="仿宋" w:cs="仿宋"/>
                <w:b w:val="0"/>
                <w:bCs/>
                <w:color w:val="auto"/>
                <w:sz w:val="24"/>
                <w:highlight w:val="none"/>
              </w:rPr>
              <w:t>分</w:t>
            </w:r>
            <w:r>
              <w:rPr>
                <w:rFonts w:hint="eastAsia" w:ascii="仿宋" w:hAnsi="仿宋" w:eastAsia="仿宋" w:cs="仿宋"/>
                <w:b w:val="0"/>
                <w:bCs/>
                <w:color w:val="auto"/>
                <w:sz w:val="24"/>
                <w:highlight w:val="none"/>
                <w:lang w:eastAsia="zh-CN"/>
              </w:rPr>
              <w:t>；</w:t>
            </w:r>
            <w:r>
              <w:rPr>
                <w:rFonts w:hint="eastAsia" w:ascii="仿宋" w:hAnsi="仿宋" w:eastAsia="仿宋" w:cs="仿宋"/>
                <w:b w:val="0"/>
                <w:bCs/>
                <w:color w:val="auto"/>
                <w:sz w:val="24"/>
                <w:highlight w:val="none"/>
              </w:rPr>
              <w:t>在</w:t>
            </w:r>
            <w:r>
              <w:rPr>
                <w:rFonts w:hint="eastAsia" w:ascii="仿宋" w:hAnsi="仿宋" w:eastAsia="仿宋" w:cs="仿宋"/>
                <w:b w:val="0"/>
                <w:bCs/>
                <w:color w:val="auto"/>
                <w:sz w:val="24"/>
                <w:highlight w:val="none"/>
                <w:lang w:val="en-US" w:eastAsia="zh-CN"/>
              </w:rPr>
              <w:t>3</w:t>
            </w:r>
            <w:r>
              <w:rPr>
                <w:rFonts w:hint="eastAsia" w:ascii="仿宋" w:hAnsi="仿宋" w:eastAsia="仿宋" w:cs="仿宋"/>
                <w:b w:val="0"/>
                <w:bCs/>
                <w:color w:val="auto"/>
                <w:sz w:val="24"/>
                <w:highlight w:val="none"/>
              </w:rPr>
              <w:t>小时之内渗滤液能外运处置的</w:t>
            </w:r>
            <w:r>
              <w:rPr>
                <w:rFonts w:hint="eastAsia" w:ascii="仿宋" w:hAnsi="仿宋" w:eastAsia="仿宋" w:cs="仿宋"/>
                <w:b w:val="0"/>
                <w:bCs/>
                <w:color w:val="auto"/>
                <w:sz w:val="24"/>
                <w:highlight w:val="none"/>
                <w:lang w:val="en-US" w:eastAsia="zh-CN"/>
              </w:rPr>
              <w:t>2</w:t>
            </w:r>
            <w:r>
              <w:rPr>
                <w:rFonts w:hint="eastAsia" w:ascii="仿宋" w:hAnsi="仿宋" w:eastAsia="仿宋" w:cs="仿宋"/>
                <w:b w:val="0"/>
                <w:bCs/>
                <w:color w:val="auto"/>
                <w:sz w:val="24"/>
                <w:highlight w:val="none"/>
              </w:rPr>
              <w:t>分</w:t>
            </w:r>
            <w:r>
              <w:rPr>
                <w:rFonts w:hint="eastAsia" w:ascii="仿宋" w:hAnsi="仿宋" w:eastAsia="仿宋" w:cs="仿宋"/>
                <w:b w:val="0"/>
                <w:bCs/>
                <w:color w:val="auto"/>
                <w:sz w:val="24"/>
                <w:highlight w:val="none"/>
                <w:lang w:eastAsia="zh-CN"/>
              </w:rPr>
              <w:t>；</w:t>
            </w:r>
            <w:r>
              <w:rPr>
                <w:rFonts w:hint="eastAsia" w:ascii="仿宋" w:hAnsi="仿宋" w:eastAsia="仿宋" w:cs="仿宋"/>
                <w:b w:val="0"/>
                <w:bCs/>
                <w:color w:val="auto"/>
                <w:sz w:val="24"/>
                <w:highlight w:val="none"/>
              </w:rPr>
              <w:t>在</w:t>
            </w:r>
            <w:r>
              <w:rPr>
                <w:rFonts w:hint="eastAsia" w:ascii="仿宋" w:hAnsi="仿宋" w:eastAsia="仿宋" w:cs="仿宋"/>
                <w:b w:val="0"/>
                <w:bCs/>
                <w:color w:val="auto"/>
                <w:sz w:val="24"/>
                <w:highlight w:val="none"/>
                <w:lang w:val="en-US" w:eastAsia="zh-CN"/>
              </w:rPr>
              <w:t>5</w:t>
            </w:r>
            <w:r>
              <w:rPr>
                <w:rFonts w:hint="eastAsia" w:ascii="仿宋" w:hAnsi="仿宋" w:eastAsia="仿宋" w:cs="仿宋"/>
                <w:b w:val="0"/>
                <w:bCs/>
                <w:color w:val="auto"/>
                <w:sz w:val="24"/>
                <w:highlight w:val="none"/>
              </w:rPr>
              <w:t>小时之内渗滤液能外运处置的得</w:t>
            </w:r>
            <w:r>
              <w:rPr>
                <w:rFonts w:hint="eastAsia" w:ascii="仿宋" w:hAnsi="仿宋" w:eastAsia="仿宋" w:cs="仿宋"/>
                <w:b w:val="0"/>
                <w:bCs/>
                <w:color w:val="auto"/>
                <w:sz w:val="24"/>
                <w:highlight w:val="none"/>
                <w:lang w:val="en-US" w:eastAsia="zh-CN"/>
              </w:rPr>
              <w:t>1</w:t>
            </w:r>
            <w:r>
              <w:rPr>
                <w:rFonts w:hint="eastAsia" w:ascii="仿宋" w:hAnsi="仿宋" w:eastAsia="仿宋" w:cs="仿宋"/>
                <w:b w:val="0"/>
                <w:bCs/>
                <w:color w:val="auto"/>
                <w:sz w:val="24"/>
                <w:highlight w:val="none"/>
              </w:rPr>
              <w:t>分</w:t>
            </w:r>
            <w:r>
              <w:rPr>
                <w:rFonts w:hint="eastAsia" w:ascii="仿宋" w:hAnsi="仿宋" w:eastAsia="仿宋" w:cs="仿宋"/>
                <w:b w:val="0"/>
                <w:bCs/>
                <w:color w:val="auto"/>
                <w:sz w:val="24"/>
                <w:highlight w:val="none"/>
                <w:lang w:eastAsia="zh-CN"/>
              </w:rPr>
              <w:t>，</w:t>
            </w:r>
            <w:r>
              <w:rPr>
                <w:rFonts w:hint="eastAsia" w:ascii="仿宋" w:hAnsi="仿宋" w:eastAsia="仿宋" w:cs="仿宋"/>
                <w:b w:val="0"/>
                <w:bCs/>
                <w:color w:val="auto"/>
                <w:sz w:val="24"/>
                <w:highlight w:val="none"/>
                <w:lang w:val="en-US" w:eastAsia="zh-CN"/>
              </w:rPr>
              <w:t>其余不得分。需提供相关承诺，共3分。如果评分</w:t>
            </w:r>
            <w:r>
              <w:rPr>
                <w:rFonts w:hint="eastAsia" w:ascii="仿宋" w:hAnsi="仿宋" w:eastAsia="仿宋" w:cs="仿宋"/>
                <w:b w:val="0"/>
                <w:bCs/>
                <w:color w:val="auto"/>
                <w:sz w:val="24"/>
                <w:highlight w:val="none"/>
                <w:lang w:eastAsia="zh-CN"/>
              </w:rPr>
              <w:t>①不得分则本项不得分。</w:t>
            </w:r>
          </w:p>
        </w:tc>
        <w:tc>
          <w:tcPr>
            <w:tcW w:w="356" w:type="pct"/>
            <w:shd w:val="clear" w:color="auto" w:fill="auto"/>
            <w:noWrap w:val="0"/>
            <w:vAlign w:val="center"/>
          </w:tcPr>
          <w:p>
            <w:pPr>
              <w:shd w:val="clear"/>
              <w:spacing w:line="360" w:lineRule="auto"/>
              <w:jc w:val="center"/>
              <w:outlineLvl w:val="0"/>
              <w:rPr>
                <w:rFonts w:hint="eastAsia" w:ascii="仿宋" w:hAnsi="仿宋" w:eastAsia="仿宋" w:cs="仿宋"/>
                <w:b w:val="0"/>
                <w:bCs/>
                <w:color w:val="000000"/>
                <w:kern w:val="2"/>
                <w:sz w:val="24"/>
                <w:szCs w:val="22"/>
                <w:highlight w:val="none"/>
                <w:lang w:val="en-US" w:eastAsia="zh-CN" w:bidi="ar-SA"/>
              </w:rPr>
            </w:pPr>
            <w:r>
              <w:rPr>
                <w:rFonts w:hint="eastAsia" w:ascii="仿宋" w:hAnsi="仿宋" w:eastAsia="仿宋" w:cs="仿宋"/>
                <w:b w:val="0"/>
                <w:bCs/>
                <w:color w:val="000000"/>
                <w:sz w:val="24"/>
                <w:highlight w:val="none"/>
                <w:lang w:val="en-US" w:eastAsia="zh-CN"/>
              </w:rPr>
              <w:t>6</w:t>
            </w:r>
          </w:p>
        </w:tc>
        <w:tc>
          <w:tcPr>
            <w:tcW w:w="482" w:type="pct"/>
            <w:shd w:val="clear" w:color="auto" w:fill="auto"/>
            <w:noWrap w:val="0"/>
            <w:vAlign w:val="center"/>
          </w:tcPr>
          <w:p>
            <w:pPr>
              <w:shd w:val="clear"/>
              <w:spacing w:line="360" w:lineRule="auto"/>
              <w:jc w:val="center"/>
              <w:outlineLvl w:val="0"/>
              <w:rPr>
                <w:rFonts w:hint="eastAsia" w:ascii="仿宋" w:hAnsi="仿宋" w:eastAsia="仿宋" w:cs="仿宋"/>
                <w:b w:val="0"/>
                <w:bCs/>
                <w:color w:val="000000"/>
                <w:kern w:val="2"/>
                <w:sz w:val="24"/>
                <w:szCs w:val="22"/>
                <w:highlight w:val="none"/>
                <w:lang w:val="en-US" w:eastAsia="zh-CN" w:bidi="ar-SA"/>
              </w:rPr>
            </w:pPr>
            <w:r>
              <w:rPr>
                <w:rFonts w:hint="eastAsia" w:ascii="仿宋" w:hAnsi="仿宋" w:eastAsia="仿宋" w:cs="仿宋"/>
                <w:b w:val="0"/>
                <w:bCs/>
                <w:color w:val="000000"/>
                <w:sz w:val="24"/>
                <w:highlight w:val="none"/>
                <w:lang w:val="en-US" w:eastAsia="zh-CN"/>
              </w:rPr>
              <w:t>客观分</w:t>
            </w:r>
          </w:p>
        </w:tc>
        <w:tc>
          <w:tcPr>
            <w:tcW w:w="805" w:type="pct"/>
            <w:vMerge w:val="continue"/>
            <w:shd w:val="clear" w:color="auto" w:fill="auto"/>
            <w:noWrap w:val="0"/>
            <w:vAlign w:val="center"/>
          </w:tcPr>
          <w:p>
            <w:pPr>
              <w:shd w:val="clear"/>
              <w:spacing w:line="360" w:lineRule="auto"/>
              <w:jc w:val="center"/>
              <w:outlineLvl w:val="0"/>
              <w:rPr>
                <w:rFonts w:hint="eastAsia" w:ascii="仿宋" w:hAnsi="仿宋" w:eastAsia="仿宋" w:cs="仿宋"/>
                <w:b w:val="0"/>
                <w:bCs/>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247" w:type="pct"/>
            <w:shd w:val="clear" w:color="auto" w:fill="auto"/>
            <w:noWrap w:val="0"/>
            <w:vAlign w:val="center"/>
          </w:tcPr>
          <w:p>
            <w:pPr>
              <w:shd w:val="clear"/>
              <w:spacing w:line="360" w:lineRule="auto"/>
              <w:jc w:val="center"/>
              <w:outlineLvl w:val="0"/>
              <w:rPr>
                <w:rFonts w:hint="default" w:ascii="仿宋" w:hAnsi="仿宋" w:eastAsia="仿宋" w:cs="仿宋"/>
                <w:b w:val="0"/>
                <w:bCs/>
                <w:color w:val="000000"/>
                <w:sz w:val="24"/>
                <w:highlight w:val="none"/>
                <w:lang w:val="en-US" w:eastAsia="zh-CN"/>
              </w:rPr>
            </w:pPr>
            <w:r>
              <w:rPr>
                <w:rFonts w:hint="eastAsia" w:ascii="仿宋" w:hAnsi="仿宋" w:eastAsia="仿宋" w:cs="仿宋"/>
                <w:b w:val="0"/>
                <w:bCs/>
                <w:color w:val="000000"/>
                <w:sz w:val="24"/>
                <w:highlight w:val="none"/>
                <w:lang w:val="en-US" w:eastAsia="zh-CN"/>
              </w:rPr>
              <w:t>16</w:t>
            </w:r>
          </w:p>
        </w:tc>
        <w:tc>
          <w:tcPr>
            <w:tcW w:w="3108" w:type="pct"/>
            <w:shd w:val="clear" w:color="auto" w:fill="auto"/>
            <w:noWrap w:val="0"/>
            <w:vAlign w:val="center"/>
          </w:tcPr>
          <w:p>
            <w:pPr>
              <w:shd w:val="clear"/>
              <w:spacing w:line="360" w:lineRule="auto"/>
              <w:outlineLvl w:val="0"/>
              <w:rPr>
                <w:rFonts w:hint="eastAsia" w:ascii="仿宋" w:hAnsi="仿宋" w:eastAsia="仿宋" w:cs="仿宋"/>
                <w:b w:val="0"/>
                <w:bCs/>
                <w:color w:val="auto"/>
                <w:sz w:val="24"/>
                <w:highlight w:val="none"/>
                <w:lang w:eastAsia="zh-CN"/>
              </w:rPr>
            </w:pPr>
            <w:r>
              <w:rPr>
                <w:rFonts w:hint="eastAsia" w:ascii="仿宋" w:hAnsi="仿宋" w:eastAsia="仿宋" w:cs="仿宋"/>
                <w:b/>
                <w:bCs w:val="0"/>
                <w:color w:val="auto"/>
                <w:sz w:val="24"/>
                <w:highlight w:val="none"/>
              </w:rPr>
              <w:t>运营制度</w:t>
            </w:r>
            <w:r>
              <w:rPr>
                <w:rFonts w:hint="eastAsia" w:ascii="仿宋" w:hAnsi="仿宋" w:eastAsia="仿宋" w:cs="仿宋"/>
                <w:b/>
                <w:bCs w:val="0"/>
                <w:color w:val="auto"/>
                <w:sz w:val="24"/>
                <w:highlight w:val="none"/>
                <w:lang w:eastAsia="zh-CN"/>
              </w:rPr>
              <w:t>。</w:t>
            </w:r>
            <w:r>
              <w:rPr>
                <w:rFonts w:hint="eastAsia" w:ascii="仿宋" w:hAnsi="仿宋" w:eastAsia="仿宋" w:cs="仿宋"/>
                <w:b w:val="0"/>
                <w:bCs/>
                <w:color w:val="auto"/>
                <w:sz w:val="24"/>
                <w:highlight w:val="none"/>
                <w:lang w:val="en-US" w:eastAsia="zh-CN"/>
              </w:rPr>
              <w:t>投标人根据项目实际情况，</w:t>
            </w:r>
            <w:r>
              <w:rPr>
                <w:rFonts w:hint="eastAsia" w:ascii="仿宋" w:hAnsi="仿宋" w:eastAsia="仿宋" w:cs="仿宋"/>
                <w:b w:val="0"/>
                <w:bCs/>
                <w:color w:val="auto"/>
                <w:sz w:val="24"/>
                <w:highlight w:val="none"/>
              </w:rPr>
              <w:t>制定管理制度、安全生产制度、药品管理制度、实验室管理制度</w:t>
            </w:r>
            <w:r>
              <w:rPr>
                <w:rFonts w:hint="eastAsia" w:ascii="仿宋" w:hAnsi="仿宋" w:eastAsia="仿宋" w:cs="仿宋"/>
                <w:b w:val="0"/>
                <w:bCs/>
                <w:color w:val="auto"/>
                <w:sz w:val="24"/>
                <w:highlight w:val="none"/>
                <w:lang w:eastAsia="zh-CN"/>
              </w:rPr>
              <w:t>，相关制度</w:t>
            </w:r>
            <w:r>
              <w:rPr>
                <w:rFonts w:hint="eastAsia" w:ascii="仿宋" w:hAnsi="仿宋" w:eastAsia="仿宋" w:cs="仿宋"/>
                <w:b w:val="0"/>
                <w:bCs/>
                <w:color w:val="auto"/>
                <w:sz w:val="24"/>
                <w:highlight w:val="none"/>
              </w:rPr>
              <w:t>与现场实际情况匹配度高，完整性高，可行性高，科学合理性强</w:t>
            </w:r>
            <w:r>
              <w:rPr>
                <w:rFonts w:hint="eastAsia" w:ascii="仿宋" w:hAnsi="仿宋" w:eastAsia="仿宋" w:cs="仿宋"/>
                <w:b w:val="0"/>
                <w:bCs/>
                <w:color w:val="auto"/>
                <w:sz w:val="24"/>
                <w:highlight w:val="none"/>
                <w:lang w:eastAsia="zh-CN"/>
              </w:rPr>
              <w:t>的视为符合，</w:t>
            </w:r>
            <w:r>
              <w:rPr>
                <w:rFonts w:hint="eastAsia" w:ascii="仿宋" w:hAnsi="仿宋" w:eastAsia="仿宋" w:cs="仿宋"/>
                <w:b w:val="0"/>
                <w:bCs/>
                <w:color w:val="auto"/>
                <w:sz w:val="24"/>
                <w:highlight w:val="none"/>
                <w:lang w:val="en-US" w:eastAsia="zh-CN"/>
              </w:rPr>
              <w:t>全部符合得3分，基本符合得2分，部分符合得1分，不符合或没提供不得分。共3分。</w:t>
            </w:r>
          </w:p>
        </w:tc>
        <w:tc>
          <w:tcPr>
            <w:tcW w:w="356" w:type="pct"/>
            <w:shd w:val="clear" w:color="auto" w:fill="auto"/>
            <w:noWrap w:val="0"/>
            <w:vAlign w:val="center"/>
          </w:tcPr>
          <w:p>
            <w:pPr>
              <w:shd w:val="clear"/>
              <w:spacing w:line="360" w:lineRule="auto"/>
              <w:jc w:val="center"/>
              <w:outlineLvl w:val="0"/>
              <w:rPr>
                <w:rFonts w:hint="default" w:ascii="仿宋" w:hAnsi="仿宋" w:eastAsia="仿宋" w:cs="仿宋"/>
                <w:b w:val="0"/>
                <w:bCs/>
                <w:color w:val="000000"/>
                <w:kern w:val="2"/>
                <w:sz w:val="24"/>
                <w:szCs w:val="22"/>
                <w:highlight w:val="none"/>
                <w:lang w:val="en-US" w:eastAsia="zh-CN" w:bidi="ar-SA"/>
              </w:rPr>
            </w:pPr>
            <w:r>
              <w:rPr>
                <w:rFonts w:hint="eastAsia" w:ascii="仿宋" w:hAnsi="仿宋" w:eastAsia="仿宋" w:cs="仿宋"/>
                <w:b w:val="0"/>
                <w:bCs/>
                <w:color w:val="000000"/>
                <w:sz w:val="24"/>
                <w:highlight w:val="none"/>
                <w:lang w:val="en-US" w:eastAsia="zh-CN"/>
              </w:rPr>
              <w:t>3</w:t>
            </w:r>
          </w:p>
        </w:tc>
        <w:tc>
          <w:tcPr>
            <w:tcW w:w="482" w:type="pct"/>
            <w:shd w:val="clear" w:color="auto" w:fill="auto"/>
            <w:noWrap w:val="0"/>
            <w:vAlign w:val="center"/>
          </w:tcPr>
          <w:p>
            <w:pPr>
              <w:shd w:val="clear"/>
              <w:spacing w:line="360" w:lineRule="auto"/>
              <w:jc w:val="center"/>
              <w:outlineLvl w:val="0"/>
              <w:rPr>
                <w:rFonts w:hint="eastAsia" w:ascii="仿宋" w:hAnsi="仿宋" w:eastAsia="仿宋" w:cs="仿宋"/>
                <w:b w:val="0"/>
                <w:bCs/>
                <w:color w:val="000000"/>
                <w:kern w:val="2"/>
                <w:sz w:val="24"/>
                <w:szCs w:val="22"/>
                <w:highlight w:val="none"/>
                <w:lang w:val="en-US" w:eastAsia="zh-CN" w:bidi="ar-SA"/>
              </w:rPr>
            </w:pPr>
            <w:r>
              <w:rPr>
                <w:rFonts w:hint="eastAsia" w:ascii="仿宋" w:hAnsi="仿宋" w:eastAsia="仿宋" w:cs="仿宋"/>
                <w:b w:val="0"/>
                <w:bCs/>
                <w:color w:val="000000"/>
                <w:sz w:val="24"/>
                <w:highlight w:val="none"/>
                <w:lang w:val="en-US" w:eastAsia="zh-CN"/>
              </w:rPr>
              <w:t>主观分</w:t>
            </w:r>
          </w:p>
        </w:tc>
        <w:tc>
          <w:tcPr>
            <w:tcW w:w="805" w:type="pct"/>
            <w:shd w:val="clear" w:color="auto" w:fill="auto"/>
            <w:noWrap w:val="0"/>
            <w:vAlign w:val="center"/>
          </w:tcPr>
          <w:p>
            <w:pPr>
              <w:shd w:val="clear"/>
              <w:spacing w:line="360" w:lineRule="auto"/>
              <w:jc w:val="center"/>
              <w:outlineLvl w:val="0"/>
              <w:rPr>
                <w:rFonts w:hint="eastAsia" w:ascii="仿宋" w:hAnsi="仿宋" w:eastAsia="仿宋" w:cs="仿宋"/>
                <w:b w:val="0"/>
                <w:bCs/>
                <w:color w:val="000000"/>
                <w:sz w:val="24"/>
                <w:highlight w:val="none"/>
              </w:rPr>
            </w:pPr>
            <w:r>
              <w:rPr>
                <w:rFonts w:hint="eastAsia" w:ascii="仿宋" w:hAnsi="仿宋" w:eastAsia="仿宋" w:cs="仿宋"/>
                <w:b w:val="0"/>
                <w:bCs/>
                <w:color w:val="000000"/>
                <w:sz w:val="24"/>
                <w:highlight w:val="none"/>
              </w:rPr>
              <w:t>运营制度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247" w:type="pct"/>
            <w:shd w:val="clear" w:color="auto" w:fill="auto"/>
            <w:noWrap w:val="0"/>
            <w:vAlign w:val="center"/>
          </w:tcPr>
          <w:p>
            <w:pPr>
              <w:shd w:val="clear"/>
              <w:spacing w:line="360" w:lineRule="auto"/>
              <w:jc w:val="center"/>
              <w:outlineLvl w:val="0"/>
              <w:rPr>
                <w:rFonts w:hint="default" w:ascii="仿宋" w:hAnsi="仿宋" w:eastAsia="仿宋" w:cs="仿宋"/>
                <w:b w:val="0"/>
                <w:bCs/>
                <w:color w:val="000000"/>
                <w:sz w:val="24"/>
                <w:highlight w:val="none"/>
                <w:lang w:val="en-US" w:eastAsia="zh-CN"/>
              </w:rPr>
            </w:pPr>
            <w:r>
              <w:rPr>
                <w:rFonts w:hint="eastAsia" w:ascii="仿宋" w:hAnsi="仿宋" w:eastAsia="仿宋" w:cs="仿宋"/>
                <w:b w:val="0"/>
                <w:bCs/>
                <w:color w:val="000000"/>
                <w:sz w:val="24"/>
                <w:highlight w:val="none"/>
                <w:lang w:val="en-US" w:eastAsia="zh-CN"/>
              </w:rPr>
              <w:t>17</w:t>
            </w:r>
          </w:p>
        </w:tc>
        <w:tc>
          <w:tcPr>
            <w:tcW w:w="3108" w:type="pct"/>
            <w:shd w:val="clear" w:color="auto" w:fill="auto"/>
            <w:noWrap w:val="0"/>
            <w:vAlign w:val="center"/>
          </w:tcPr>
          <w:p>
            <w:pPr>
              <w:shd w:val="clear"/>
              <w:spacing w:line="360" w:lineRule="auto"/>
              <w:outlineLvl w:val="0"/>
              <w:rPr>
                <w:rFonts w:hint="eastAsia" w:ascii="仿宋" w:hAnsi="仿宋" w:eastAsia="仿宋" w:cs="仿宋"/>
                <w:b/>
                <w:bCs w:val="0"/>
                <w:color w:val="auto"/>
                <w:sz w:val="24"/>
                <w:highlight w:val="none"/>
              </w:rPr>
            </w:pPr>
            <w:r>
              <w:rPr>
                <w:rFonts w:hint="eastAsia" w:ascii="仿宋" w:hAnsi="仿宋" w:eastAsia="仿宋" w:cs="仿宋"/>
                <w:b/>
                <w:color w:val="auto"/>
                <w:sz w:val="24"/>
                <w:highlight w:val="none"/>
              </w:rPr>
              <w:t>污泥处置能力。</w:t>
            </w:r>
            <w:r>
              <w:rPr>
                <w:rFonts w:hint="eastAsia" w:ascii="仿宋" w:hAnsi="仿宋" w:eastAsia="仿宋" w:cs="仿宋"/>
                <w:bCs/>
                <w:color w:val="auto"/>
                <w:sz w:val="24"/>
                <w:highlight w:val="none"/>
              </w:rPr>
              <w:t>投标人具有污泥处置能力或能提供专业第三方接收本项目污泥，承诺渗滤液（含浓缩液）处理后的污泥为一般固废污泥，提供专业第三方接收本项目污泥的合同、协议或专业第三方出具的接收承诺书</w:t>
            </w:r>
            <w:r>
              <w:rPr>
                <w:rFonts w:hint="eastAsia" w:ascii="仿宋" w:hAnsi="仿宋" w:eastAsia="仿宋" w:cs="仿宋"/>
                <w:bCs/>
                <w:color w:val="auto"/>
                <w:sz w:val="24"/>
                <w:highlight w:val="none"/>
                <w:lang w:eastAsia="zh-CN"/>
              </w:rPr>
              <w:t>或</w:t>
            </w:r>
            <w:r>
              <w:rPr>
                <w:rFonts w:hint="eastAsia" w:ascii="仿宋" w:hAnsi="仿宋" w:eastAsia="仿宋" w:cs="仿宋"/>
                <w:bCs/>
                <w:color w:val="auto"/>
                <w:sz w:val="24"/>
                <w:highlight w:val="none"/>
              </w:rPr>
              <w:t>投标人具有污泥处置能力</w:t>
            </w:r>
            <w:r>
              <w:rPr>
                <w:rFonts w:hint="eastAsia" w:ascii="仿宋" w:hAnsi="仿宋" w:eastAsia="仿宋" w:cs="仿宋"/>
                <w:bCs/>
                <w:color w:val="auto"/>
                <w:sz w:val="24"/>
                <w:highlight w:val="none"/>
                <w:lang w:eastAsia="zh-CN"/>
              </w:rPr>
              <w:t>的证明材料</w:t>
            </w:r>
            <w:r>
              <w:rPr>
                <w:rFonts w:hint="eastAsia" w:ascii="仿宋" w:hAnsi="仿宋" w:eastAsia="仿宋" w:cs="仿宋"/>
                <w:bCs/>
                <w:color w:val="auto"/>
                <w:sz w:val="24"/>
                <w:highlight w:val="none"/>
              </w:rPr>
              <w:t>，否则不得分，共5分。</w:t>
            </w:r>
          </w:p>
        </w:tc>
        <w:tc>
          <w:tcPr>
            <w:tcW w:w="356" w:type="pct"/>
            <w:shd w:val="clear" w:color="auto" w:fill="auto"/>
            <w:noWrap w:val="0"/>
            <w:vAlign w:val="center"/>
          </w:tcPr>
          <w:p>
            <w:pPr>
              <w:shd w:val="clear"/>
              <w:spacing w:line="360" w:lineRule="auto"/>
              <w:jc w:val="center"/>
              <w:outlineLvl w:val="0"/>
              <w:rPr>
                <w:rFonts w:hint="eastAsia" w:ascii="仿宋" w:hAnsi="仿宋" w:eastAsia="仿宋" w:cs="仿宋"/>
                <w:b w:val="0"/>
                <w:bCs/>
                <w:color w:val="000000"/>
                <w:kern w:val="2"/>
                <w:sz w:val="24"/>
                <w:szCs w:val="22"/>
                <w:highlight w:val="none"/>
                <w:lang w:val="en-US" w:eastAsia="zh-CN" w:bidi="ar-SA"/>
              </w:rPr>
            </w:pPr>
            <w:r>
              <w:rPr>
                <w:rFonts w:hint="eastAsia" w:ascii="仿宋" w:hAnsi="仿宋" w:eastAsia="仿宋" w:cs="仿宋"/>
                <w:b w:val="0"/>
                <w:bCs/>
                <w:color w:val="000000"/>
                <w:sz w:val="24"/>
                <w:highlight w:val="none"/>
                <w:lang w:val="en-US" w:eastAsia="zh-CN"/>
              </w:rPr>
              <w:t>5</w:t>
            </w:r>
          </w:p>
        </w:tc>
        <w:tc>
          <w:tcPr>
            <w:tcW w:w="482" w:type="pct"/>
            <w:shd w:val="clear" w:color="auto" w:fill="auto"/>
            <w:noWrap w:val="0"/>
            <w:vAlign w:val="center"/>
          </w:tcPr>
          <w:p>
            <w:pPr>
              <w:shd w:val="clear"/>
              <w:spacing w:line="360" w:lineRule="auto"/>
              <w:jc w:val="center"/>
              <w:outlineLvl w:val="0"/>
              <w:rPr>
                <w:rFonts w:hint="eastAsia" w:ascii="仿宋" w:hAnsi="仿宋" w:eastAsia="仿宋" w:cs="仿宋"/>
                <w:b w:val="0"/>
                <w:bCs/>
                <w:color w:val="000000"/>
                <w:kern w:val="2"/>
                <w:sz w:val="24"/>
                <w:szCs w:val="22"/>
                <w:highlight w:val="none"/>
                <w:lang w:val="en-US" w:eastAsia="zh-CN" w:bidi="ar-SA"/>
              </w:rPr>
            </w:pPr>
            <w:r>
              <w:rPr>
                <w:rFonts w:hint="eastAsia" w:ascii="仿宋" w:hAnsi="仿宋" w:eastAsia="仿宋" w:cs="仿宋"/>
                <w:b w:val="0"/>
                <w:bCs/>
                <w:color w:val="000000"/>
                <w:sz w:val="24"/>
                <w:highlight w:val="none"/>
                <w:lang w:val="en-US" w:eastAsia="zh-CN"/>
              </w:rPr>
              <w:t>客观分</w:t>
            </w:r>
          </w:p>
        </w:tc>
        <w:tc>
          <w:tcPr>
            <w:tcW w:w="805" w:type="pct"/>
            <w:shd w:val="clear" w:color="auto" w:fill="auto"/>
            <w:noWrap w:val="0"/>
            <w:vAlign w:val="center"/>
          </w:tcPr>
          <w:p>
            <w:pPr>
              <w:shd w:val="clear"/>
              <w:spacing w:line="360" w:lineRule="auto"/>
              <w:jc w:val="center"/>
              <w:outlineLvl w:val="0"/>
              <w:rPr>
                <w:rFonts w:hint="eastAsia" w:ascii="仿宋" w:hAnsi="仿宋" w:eastAsia="仿宋" w:cs="仿宋"/>
                <w:b w:val="0"/>
                <w:bCs/>
                <w:color w:val="000000"/>
                <w:sz w:val="24"/>
                <w:highlight w:val="none"/>
              </w:rPr>
            </w:pPr>
            <w:r>
              <w:rPr>
                <w:rFonts w:hint="eastAsia" w:ascii="仿宋" w:hAnsi="仿宋" w:eastAsia="仿宋" w:cs="仿宋"/>
                <w:b w:val="0"/>
                <w:bCs/>
                <w:color w:val="000000"/>
                <w:sz w:val="24"/>
                <w:highlight w:val="none"/>
              </w:rPr>
              <w:t>污泥处置</w:t>
            </w:r>
            <w:r>
              <w:rPr>
                <w:rFonts w:hint="eastAsia" w:ascii="仿宋" w:hAnsi="仿宋" w:eastAsia="仿宋" w:cs="仿宋"/>
                <w:b w:val="0"/>
                <w:bCs/>
                <w:color w:val="000000"/>
                <w:sz w:val="24"/>
                <w:highlight w:val="none"/>
                <w:lang w:eastAsia="zh-CN"/>
              </w:rPr>
              <w:t>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247" w:type="pct"/>
            <w:shd w:val="clear" w:color="auto" w:fill="auto"/>
            <w:noWrap w:val="0"/>
            <w:vAlign w:val="center"/>
          </w:tcPr>
          <w:p>
            <w:pPr>
              <w:shd w:val="clear"/>
              <w:spacing w:line="360" w:lineRule="auto"/>
              <w:jc w:val="center"/>
              <w:outlineLvl w:val="0"/>
              <w:rPr>
                <w:rFonts w:hint="default" w:ascii="仿宋" w:hAnsi="仿宋" w:eastAsia="仿宋" w:cs="仿宋"/>
                <w:b w:val="0"/>
                <w:bCs/>
                <w:color w:val="000000"/>
                <w:sz w:val="24"/>
                <w:highlight w:val="none"/>
                <w:lang w:val="en-US" w:eastAsia="zh-CN"/>
              </w:rPr>
            </w:pPr>
            <w:r>
              <w:rPr>
                <w:rFonts w:hint="eastAsia" w:ascii="仿宋" w:hAnsi="仿宋" w:eastAsia="仿宋" w:cs="仿宋"/>
                <w:b w:val="0"/>
                <w:bCs/>
                <w:color w:val="000000"/>
                <w:sz w:val="24"/>
                <w:highlight w:val="none"/>
                <w:lang w:val="en-US" w:eastAsia="zh-CN"/>
              </w:rPr>
              <w:t>18</w:t>
            </w:r>
          </w:p>
        </w:tc>
        <w:tc>
          <w:tcPr>
            <w:tcW w:w="3108" w:type="pct"/>
            <w:shd w:val="clear" w:color="auto" w:fill="auto"/>
            <w:noWrap w:val="0"/>
            <w:vAlign w:val="center"/>
          </w:tcPr>
          <w:p>
            <w:pPr>
              <w:shd w:val="clear"/>
              <w:spacing w:line="360" w:lineRule="auto"/>
              <w:outlineLvl w:val="0"/>
              <w:rPr>
                <w:rFonts w:hint="default" w:ascii="仿宋" w:hAnsi="仿宋" w:eastAsia="仿宋" w:cs="仿宋"/>
                <w:b/>
                <w:bCs w:val="0"/>
                <w:color w:val="auto"/>
                <w:sz w:val="24"/>
                <w:highlight w:val="none"/>
                <w:lang w:val="en-US" w:eastAsia="zh-CN"/>
              </w:rPr>
            </w:pPr>
            <w:r>
              <w:rPr>
                <w:rFonts w:hint="eastAsia" w:ascii="仿宋" w:hAnsi="仿宋" w:eastAsia="仿宋" w:cs="仿宋"/>
                <w:b w:val="0"/>
                <w:bCs/>
                <w:color w:val="auto"/>
                <w:sz w:val="24"/>
                <w:highlight w:val="none"/>
                <w:lang w:eastAsia="zh-CN"/>
              </w:rPr>
              <w:t>投标人具有</w:t>
            </w:r>
            <w:r>
              <w:rPr>
                <w:rFonts w:hint="eastAsia" w:ascii="仿宋" w:hAnsi="仿宋" w:eastAsia="仿宋" w:cs="仿宋"/>
                <w:b w:val="0"/>
                <w:bCs/>
                <w:color w:val="auto"/>
                <w:sz w:val="24"/>
                <w:highlight w:val="none"/>
              </w:rPr>
              <w:t>垃圾渗滤液处理相关的发明专利（专利名称中须</w:t>
            </w:r>
            <w:r>
              <w:rPr>
                <w:rFonts w:hint="eastAsia" w:ascii="仿宋" w:hAnsi="仿宋" w:eastAsia="仿宋" w:cs="仿宋"/>
                <w:b w:val="0"/>
                <w:bCs/>
                <w:color w:val="auto"/>
                <w:sz w:val="24"/>
                <w:highlight w:val="none"/>
                <w:lang w:eastAsia="zh-CN"/>
              </w:rPr>
              <w:t>同时</w:t>
            </w:r>
            <w:r>
              <w:rPr>
                <w:rFonts w:hint="eastAsia" w:ascii="仿宋" w:hAnsi="仿宋" w:eastAsia="仿宋" w:cs="仿宋"/>
                <w:b w:val="0"/>
                <w:bCs/>
                <w:color w:val="auto"/>
                <w:sz w:val="24"/>
                <w:highlight w:val="none"/>
              </w:rPr>
              <w:t>有“渗滤液”</w:t>
            </w:r>
            <w:r>
              <w:rPr>
                <w:rFonts w:hint="eastAsia" w:ascii="仿宋" w:hAnsi="仿宋" w:eastAsia="仿宋" w:cs="仿宋"/>
                <w:b w:val="0"/>
                <w:bCs/>
                <w:color w:val="auto"/>
                <w:sz w:val="24"/>
                <w:highlight w:val="none"/>
                <w:lang w:eastAsia="zh-CN"/>
              </w:rPr>
              <w:t>和</w:t>
            </w:r>
            <w:r>
              <w:rPr>
                <w:rFonts w:hint="eastAsia" w:ascii="仿宋" w:hAnsi="仿宋" w:eastAsia="仿宋" w:cs="仿宋"/>
                <w:b w:val="0"/>
                <w:bCs/>
                <w:color w:val="auto"/>
                <w:sz w:val="24"/>
                <w:highlight w:val="none"/>
              </w:rPr>
              <w:t>“方法”字样），</w:t>
            </w:r>
            <w:r>
              <w:rPr>
                <w:rFonts w:hint="eastAsia" w:ascii="仿宋" w:hAnsi="仿宋" w:eastAsia="仿宋" w:cs="仿宋"/>
                <w:b w:val="0"/>
                <w:bCs/>
                <w:color w:val="auto"/>
                <w:sz w:val="24"/>
                <w:highlight w:val="none"/>
                <w:lang w:eastAsia="zh-CN"/>
              </w:rPr>
              <w:t>需提供相关专利证明材料，每提供一项得</w:t>
            </w:r>
            <w:r>
              <w:rPr>
                <w:rFonts w:hint="eastAsia" w:ascii="仿宋" w:hAnsi="仿宋" w:eastAsia="仿宋" w:cs="仿宋"/>
                <w:b w:val="0"/>
                <w:bCs/>
                <w:color w:val="auto"/>
                <w:sz w:val="24"/>
                <w:highlight w:val="none"/>
                <w:lang w:val="en-US" w:eastAsia="zh-CN"/>
              </w:rPr>
              <w:t>1分，共1分。</w:t>
            </w:r>
          </w:p>
        </w:tc>
        <w:tc>
          <w:tcPr>
            <w:tcW w:w="356" w:type="pct"/>
            <w:shd w:val="clear" w:color="auto" w:fill="auto"/>
            <w:noWrap w:val="0"/>
            <w:vAlign w:val="center"/>
          </w:tcPr>
          <w:p>
            <w:pPr>
              <w:shd w:val="clear"/>
              <w:spacing w:line="360" w:lineRule="auto"/>
              <w:jc w:val="center"/>
              <w:outlineLvl w:val="0"/>
              <w:rPr>
                <w:rFonts w:hint="eastAsia" w:ascii="仿宋" w:hAnsi="仿宋" w:eastAsia="仿宋" w:cs="仿宋"/>
                <w:b w:val="0"/>
                <w:bCs/>
                <w:color w:val="000000"/>
                <w:kern w:val="2"/>
                <w:sz w:val="24"/>
                <w:szCs w:val="22"/>
                <w:highlight w:val="none"/>
                <w:lang w:val="en-US" w:eastAsia="zh-CN" w:bidi="ar-SA"/>
              </w:rPr>
            </w:pPr>
            <w:r>
              <w:rPr>
                <w:rFonts w:hint="eastAsia" w:ascii="仿宋" w:hAnsi="仿宋" w:eastAsia="仿宋" w:cs="仿宋"/>
                <w:b w:val="0"/>
                <w:bCs/>
                <w:color w:val="000000"/>
                <w:sz w:val="24"/>
                <w:highlight w:val="none"/>
                <w:lang w:val="en-US" w:eastAsia="zh-CN"/>
              </w:rPr>
              <w:t>1</w:t>
            </w:r>
          </w:p>
        </w:tc>
        <w:tc>
          <w:tcPr>
            <w:tcW w:w="482" w:type="pct"/>
            <w:shd w:val="clear" w:color="auto" w:fill="auto"/>
            <w:noWrap w:val="0"/>
            <w:vAlign w:val="center"/>
          </w:tcPr>
          <w:p>
            <w:pPr>
              <w:shd w:val="clear"/>
              <w:spacing w:line="360" w:lineRule="auto"/>
              <w:jc w:val="center"/>
              <w:outlineLvl w:val="0"/>
              <w:rPr>
                <w:rFonts w:hint="eastAsia" w:ascii="仿宋" w:hAnsi="仿宋" w:eastAsia="仿宋" w:cs="仿宋"/>
                <w:b w:val="0"/>
                <w:bCs/>
                <w:color w:val="000000"/>
                <w:kern w:val="2"/>
                <w:sz w:val="24"/>
                <w:szCs w:val="22"/>
                <w:highlight w:val="none"/>
                <w:lang w:val="en-US" w:eastAsia="zh-CN" w:bidi="ar-SA"/>
              </w:rPr>
            </w:pPr>
            <w:r>
              <w:rPr>
                <w:rFonts w:hint="eastAsia" w:ascii="仿宋" w:hAnsi="仿宋" w:eastAsia="仿宋" w:cs="仿宋"/>
                <w:b w:val="0"/>
                <w:bCs/>
                <w:color w:val="000000"/>
                <w:sz w:val="24"/>
                <w:highlight w:val="none"/>
                <w:lang w:val="en-US" w:eastAsia="zh-CN"/>
              </w:rPr>
              <w:t>客观分</w:t>
            </w:r>
          </w:p>
        </w:tc>
        <w:tc>
          <w:tcPr>
            <w:tcW w:w="805" w:type="pct"/>
            <w:shd w:val="clear" w:color="auto" w:fill="auto"/>
            <w:noWrap w:val="0"/>
            <w:vAlign w:val="center"/>
          </w:tcPr>
          <w:p>
            <w:pPr>
              <w:shd w:val="clear"/>
              <w:spacing w:line="360" w:lineRule="auto"/>
              <w:jc w:val="center"/>
              <w:outlineLvl w:val="0"/>
              <w:rPr>
                <w:rFonts w:hint="eastAsia" w:ascii="仿宋" w:hAnsi="仿宋" w:eastAsia="仿宋" w:cs="仿宋"/>
                <w:b w:val="0"/>
                <w:bCs/>
                <w:color w:val="000000"/>
                <w:sz w:val="24"/>
                <w:highlight w:val="none"/>
              </w:rPr>
            </w:pPr>
            <w:r>
              <w:rPr>
                <w:rFonts w:hint="eastAsia" w:ascii="仿宋" w:hAnsi="仿宋" w:eastAsia="仿宋" w:cs="仿宋"/>
                <w:b w:val="0"/>
                <w:bCs/>
                <w:color w:val="000000"/>
                <w:sz w:val="24"/>
                <w:highlight w:val="none"/>
              </w:rPr>
              <w:t>创新能力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4" w:hRule="atLeast"/>
        </w:trPr>
        <w:tc>
          <w:tcPr>
            <w:tcW w:w="247" w:type="pct"/>
            <w:shd w:val="clear" w:color="auto" w:fill="auto"/>
            <w:noWrap w:val="0"/>
            <w:vAlign w:val="center"/>
          </w:tcPr>
          <w:p>
            <w:pPr>
              <w:shd w:val="clear"/>
              <w:spacing w:line="360" w:lineRule="auto"/>
              <w:jc w:val="center"/>
              <w:outlineLvl w:val="0"/>
              <w:rPr>
                <w:rFonts w:hint="default" w:ascii="仿宋" w:hAnsi="仿宋" w:eastAsia="仿宋" w:cs="仿宋"/>
                <w:b w:val="0"/>
                <w:bCs/>
                <w:color w:val="000000"/>
                <w:sz w:val="24"/>
                <w:highlight w:val="none"/>
                <w:lang w:val="en-US" w:eastAsia="zh-CN"/>
              </w:rPr>
            </w:pPr>
            <w:r>
              <w:rPr>
                <w:rFonts w:hint="eastAsia" w:ascii="仿宋" w:hAnsi="仿宋" w:eastAsia="仿宋" w:cs="仿宋"/>
                <w:b w:val="0"/>
                <w:bCs/>
                <w:color w:val="000000"/>
                <w:sz w:val="24"/>
                <w:highlight w:val="none"/>
                <w:lang w:val="en-US" w:eastAsia="zh-CN"/>
              </w:rPr>
              <w:t>19</w:t>
            </w:r>
          </w:p>
        </w:tc>
        <w:tc>
          <w:tcPr>
            <w:tcW w:w="3108" w:type="pct"/>
            <w:shd w:val="clear" w:color="auto" w:fill="auto"/>
            <w:noWrap w:val="0"/>
            <w:vAlign w:val="center"/>
          </w:tcPr>
          <w:p>
            <w:pPr>
              <w:shd w:val="clear"/>
              <w:spacing w:line="360" w:lineRule="auto"/>
              <w:outlineLvl w:val="0"/>
              <w:rPr>
                <w:rFonts w:hint="eastAsia" w:ascii="仿宋" w:hAnsi="仿宋" w:eastAsia="仿宋" w:cs="仿宋"/>
                <w:b w:val="0"/>
                <w:bCs/>
                <w:color w:val="auto"/>
                <w:sz w:val="24"/>
                <w:highlight w:val="none"/>
                <w:lang w:eastAsia="zh-CN"/>
              </w:rPr>
            </w:pPr>
            <w:r>
              <w:rPr>
                <w:rFonts w:hint="eastAsia" w:ascii="仿宋" w:hAnsi="仿宋" w:eastAsia="仿宋" w:cs="仿宋"/>
                <w:b w:val="0"/>
                <w:bCs/>
                <w:color w:val="auto"/>
                <w:sz w:val="24"/>
                <w:highlight w:val="none"/>
                <w:lang w:eastAsia="zh-CN"/>
              </w:rPr>
              <w:t>投标人自2020年1月1日至开标时间止（以合同签订时间为准），（1）具有渗滤液（含浓缩液）运营案例，提供处理有回用率，出水率不低于95%，能达到GB16889-2008表3标准的渗滤液（含浓缩液），不含试运行和工程施工业绩，以合同或委托服务协议计，符合的得2分；（2）具有渗滤液（含浓缩液）运营案例，出水率不低于90%，能达到GB16889-2008表3标准的渗滤液（含浓缩液），不含试运行和工程施工业绩，以合同或委托服务协议计，符合的得1分；（3）具有渗滤液（含浓缩液）运营案例，出水率不低于80%，能达到GB16889-2008表3标准的渗滤液（含浓缩液），不含试运行和工程施工业绩，以合同或委托服务协议计，符合的得0.5分。否则不得分。需同时提供①合同或中标通知书、②出水率不低于相应出水率的业主单位出具的证明材料、③运营期间具有CMA检测资质的第三方出具的检测合格的报告（水质），未提供或提供不全不得分。</w:t>
            </w:r>
          </w:p>
        </w:tc>
        <w:tc>
          <w:tcPr>
            <w:tcW w:w="356" w:type="pct"/>
            <w:shd w:val="clear" w:color="auto" w:fill="auto"/>
            <w:noWrap w:val="0"/>
            <w:vAlign w:val="center"/>
          </w:tcPr>
          <w:p>
            <w:pPr>
              <w:shd w:val="clear"/>
              <w:jc w:val="center"/>
              <w:rPr>
                <w:rFonts w:hint="eastAsia" w:ascii="仿宋" w:hAnsi="仿宋" w:eastAsia="仿宋" w:cs="仿宋"/>
                <w:b w:val="0"/>
                <w:bCs/>
                <w:color w:val="000000"/>
                <w:kern w:val="2"/>
                <w:sz w:val="24"/>
                <w:szCs w:val="22"/>
                <w:highlight w:val="none"/>
                <w:lang w:val="en-US" w:eastAsia="zh-CN" w:bidi="ar-SA"/>
              </w:rPr>
            </w:pPr>
            <w:r>
              <w:rPr>
                <w:rFonts w:hint="eastAsia" w:ascii="仿宋" w:hAnsi="仿宋" w:eastAsia="仿宋" w:cs="仿宋"/>
                <w:b w:val="0"/>
                <w:bCs/>
                <w:color w:val="000000"/>
                <w:sz w:val="24"/>
                <w:highlight w:val="none"/>
                <w:lang w:val="en-US" w:eastAsia="zh-CN"/>
              </w:rPr>
              <w:t>2</w:t>
            </w:r>
          </w:p>
        </w:tc>
        <w:tc>
          <w:tcPr>
            <w:tcW w:w="482" w:type="pct"/>
            <w:shd w:val="clear" w:color="auto" w:fill="auto"/>
            <w:noWrap w:val="0"/>
            <w:vAlign w:val="center"/>
          </w:tcPr>
          <w:p>
            <w:pPr>
              <w:shd w:val="clear"/>
              <w:jc w:val="center"/>
              <w:rPr>
                <w:rFonts w:hint="eastAsia" w:ascii="仿宋" w:hAnsi="仿宋" w:eastAsia="仿宋" w:cs="仿宋"/>
                <w:b w:val="0"/>
                <w:bCs/>
                <w:color w:val="000000"/>
                <w:kern w:val="2"/>
                <w:sz w:val="24"/>
                <w:szCs w:val="22"/>
                <w:highlight w:val="none"/>
                <w:lang w:val="en-US" w:eastAsia="zh-CN" w:bidi="ar-SA"/>
              </w:rPr>
            </w:pPr>
            <w:r>
              <w:rPr>
                <w:rFonts w:hint="eastAsia" w:ascii="仿宋" w:hAnsi="仿宋" w:eastAsia="仿宋" w:cs="仿宋"/>
                <w:b w:val="0"/>
                <w:bCs/>
                <w:color w:val="000000"/>
                <w:sz w:val="24"/>
                <w:highlight w:val="none"/>
                <w:lang w:eastAsia="zh-CN"/>
              </w:rPr>
              <w:t>客观分</w:t>
            </w:r>
          </w:p>
        </w:tc>
        <w:tc>
          <w:tcPr>
            <w:tcW w:w="805" w:type="pct"/>
            <w:shd w:val="clear" w:color="auto" w:fill="auto"/>
            <w:noWrap w:val="0"/>
            <w:vAlign w:val="center"/>
          </w:tcPr>
          <w:p>
            <w:pPr>
              <w:shd w:val="clear"/>
              <w:jc w:val="center"/>
              <w:rPr>
                <w:rFonts w:hint="eastAsia" w:ascii="仿宋" w:hAnsi="仿宋" w:eastAsia="仿宋" w:cs="仿宋"/>
                <w:b w:val="0"/>
                <w:bCs/>
                <w:color w:val="000000"/>
                <w:kern w:val="2"/>
                <w:sz w:val="24"/>
                <w:szCs w:val="22"/>
                <w:highlight w:val="none"/>
                <w:lang w:val="en-US" w:eastAsia="zh-CN" w:bidi="ar-SA"/>
              </w:rPr>
            </w:pPr>
            <w:r>
              <w:rPr>
                <w:rFonts w:hint="eastAsia" w:ascii="仿宋" w:hAnsi="仿宋" w:eastAsia="仿宋" w:cs="仿宋"/>
                <w:b w:val="0"/>
                <w:bCs/>
                <w:color w:val="000000"/>
                <w:sz w:val="24"/>
                <w:highlight w:val="none"/>
              </w:rPr>
              <w:t>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47" w:type="pct"/>
            <w:shd w:val="clear" w:color="auto" w:fill="auto"/>
            <w:noWrap w:val="0"/>
            <w:vAlign w:val="center"/>
          </w:tcPr>
          <w:p>
            <w:pPr>
              <w:shd w:val="clear"/>
              <w:jc w:val="center"/>
              <w:rPr>
                <w:rFonts w:hint="default" w:ascii="仿宋" w:hAnsi="仿宋" w:eastAsia="仿宋" w:cs="仿宋"/>
                <w:b w:val="0"/>
                <w:bCs/>
                <w:color w:val="000000"/>
                <w:kern w:val="2"/>
                <w:sz w:val="24"/>
                <w:szCs w:val="24"/>
                <w:highlight w:val="none"/>
                <w:lang w:val="en-US" w:eastAsia="zh-CN" w:bidi="ar-SA"/>
              </w:rPr>
            </w:pPr>
            <w:r>
              <w:rPr>
                <w:rFonts w:hint="eastAsia" w:ascii="仿宋" w:hAnsi="仿宋" w:eastAsia="仿宋" w:cs="仿宋"/>
                <w:b w:val="0"/>
                <w:bCs/>
                <w:color w:val="000000"/>
                <w:kern w:val="2"/>
                <w:sz w:val="24"/>
                <w:szCs w:val="24"/>
                <w:highlight w:val="none"/>
                <w:lang w:val="en-US" w:eastAsia="zh-CN" w:bidi="ar-SA"/>
              </w:rPr>
              <w:t>20</w:t>
            </w:r>
            <w:bookmarkStart w:id="406" w:name="_GoBack"/>
            <w:bookmarkEnd w:id="406"/>
          </w:p>
        </w:tc>
        <w:tc>
          <w:tcPr>
            <w:tcW w:w="3108" w:type="pct"/>
            <w:shd w:val="clear" w:color="auto" w:fill="auto"/>
            <w:noWrap w:val="0"/>
            <w:vAlign w:val="top"/>
          </w:tcPr>
          <w:p>
            <w:pPr>
              <w:shd w:val="clear"/>
              <w:spacing w:line="360" w:lineRule="auto"/>
              <w:outlineLvl w:val="0"/>
              <w:rPr>
                <w:rFonts w:hint="eastAsia" w:ascii="仿宋" w:hAnsi="仿宋" w:eastAsia="仿宋" w:cs="仿宋"/>
                <w:b w:val="0"/>
                <w:bCs/>
                <w:color w:val="auto"/>
                <w:sz w:val="24"/>
                <w:highlight w:val="none"/>
              </w:rPr>
            </w:pPr>
            <w:r>
              <w:rPr>
                <w:rFonts w:hint="eastAsia" w:ascii="仿宋" w:hAnsi="仿宋" w:eastAsia="仿宋" w:cs="仿宋"/>
                <w:b w:val="0"/>
                <w:bCs/>
                <w:color w:val="auto"/>
                <w:sz w:val="24"/>
                <w:highlight w:val="none"/>
              </w:rPr>
              <w:t>有效投标报价的最低价作为评标基准价，其最低报价为满分；按［投标报价得分=（评标基准价/投标报价）*</w:t>
            </w:r>
            <w:r>
              <w:rPr>
                <w:rFonts w:hint="eastAsia" w:ascii="仿宋" w:hAnsi="仿宋" w:eastAsia="仿宋" w:cs="仿宋"/>
                <w:b w:val="0"/>
                <w:bCs/>
                <w:color w:val="auto"/>
                <w:sz w:val="24"/>
                <w:highlight w:val="none"/>
                <w:lang w:val="en-US" w:eastAsia="zh-CN"/>
              </w:rPr>
              <w:t>2</w:t>
            </w:r>
            <w:r>
              <w:rPr>
                <w:rFonts w:hint="eastAsia" w:ascii="仿宋" w:hAnsi="仿宋" w:eastAsia="仿宋" w:cs="仿宋"/>
                <w:b w:val="0"/>
                <w:bCs/>
                <w:color w:val="auto"/>
                <w:sz w:val="24"/>
                <w:highlight w:val="none"/>
              </w:rPr>
              <w:t>0］的计算公式计算。</w:t>
            </w:r>
          </w:p>
          <w:p>
            <w:pPr>
              <w:shd w:val="clear"/>
              <w:spacing w:line="360" w:lineRule="auto"/>
              <w:outlineLvl w:val="0"/>
              <w:rPr>
                <w:rFonts w:hint="eastAsia" w:ascii="仿宋" w:hAnsi="仿宋" w:eastAsia="仿宋" w:cs="仿宋"/>
                <w:b w:val="0"/>
                <w:bCs/>
                <w:color w:val="auto"/>
                <w:sz w:val="24"/>
                <w:highlight w:val="none"/>
              </w:rPr>
            </w:pPr>
            <w:r>
              <w:rPr>
                <w:rFonts w:hint="eastAsia" w:ascii="仿宋" w:hAnsi="仿宋" w:eastAsia="仿宋" w:cs="仿宋"/>
                <w:b w:val="0"/>
                <w:bCs/>
                <w:color w:val="auto"/>
                <w:sz w:val="24"/>
                <w:highlight w:val="none"/>
              </w:rPr>
              <w:t>评标过程中，不得去掉报价中的最高报价和最低报价。</w:t>
            </w:r>
          </w:p>
          <w:p>
            <w:pPr>
              <w:shd w:val="clear"/>
              <w:spacing w:line="360" w:lineRule="auto"/>
              <w:outlineLvl w:val="0"/>
              <w:rPr>
                <w:rFonts w:hint="eastAsia" w:ascii="仿宋" w:hAnsi="仿宋" w:eastAsia="仿宋" w:cs="仿宋"/>
                <w:b w:val="0"/>
                <w:bCs/>
                <w:color w:val="auto"/>
                <w:kern w:val="2"/>
                <w:sz w:val="24"/>
                <w:szCs w:val="22"/>
                <w:highlight w:val="none"/>
                <w:lang w:val="en-US" w:eastAsia="zh-CN" w:bidi="ar-SA"/>
              </w:rPr>
            </w:pPr>
            <w:r>
              <w:rPr>
                <w:rFonts w:hint="eastAsia" w:ascii="仿宋" w:hAnsi="仿宋" w:eastAsia="仿宋" w:cs="仿宋"/>
                <w:b w:val="0"/>
                <w:bCs/>
                <w:color w:val="auto"/>
                <w:sz w:val="24"/>
                <w:highlight w:val="none"/>
              </w:rPr>
              <w:t>因落实政府采购政策需要进行价格调整的，以调整后的价格计算评标基准价和投标报价。</w:t>
            </w:r>
          </w:p>
        </w:tc>
        <w:tc>
          <w:tcPr>
            <w:tcW w:w="356" w:type="pct"/>
            <w:shd w:val="clear" w:color="auto" w:fill="auto"/>
            <w:noWrap w:val="0"/>
            <w:vAlign w:val="center"/>
          </w:tcPr>
          <w:p>
            <w:pPr>
              <w:shd w:val="clear"/>
              <w:spacing w:line="360" w:lineRule="auto"/>
              <w:ind w:firstLine="120" w:firstLineChars="50"/>
              <w:jc w:val="center"/>
              <w:outlineLvl w:val="0"/>
              <w:rPr>
                <w:rFonts w:hint="eastAsia" w:ascii="仿宋" w:hAnsi="仿宋" w:eastAsia="仿宋" w:cs="仿宋"/>
                <w:b w:val="0"/>
                <w:bCs/>
                <w:color w:val="000000"/>
                <w:kern w:val="2"/>
                <w:sz w:val="24"/>
                <w:szCs w:val="22"/>
                <w:highlight w:val="none"/>
                <w:lang w:val="en-US" w:eastAsia="zh-CN" w:bidi="ar-SA"/>
              </w:rPr>
            </w:pPr>
            <w:r>
              <w:rPr>
                <w:rFonts w:hint="eastAsia" w:ascii="仿宋" w:hAnsi="仿宋" w:eastAsia="仿宋" w:cs="仿宋"/>
                <w:b w:val="0"/>
                <w:bCs/>
                <w:color w:val="000000"/>
                <w:sz w:val="24"/>
                <w:highlight w:val="none"/>
                <w:lang w:val="en-US" w:eastAsia="zh-CN"/>
              </w:rPr>
              <w:t>2</w:t>
            </w:r>
            <w:r>
              <w:rPr>
                <w:rFonts w:hint="eastAsia" w:ascii="仿宋" w:hAnsi="仿宋" w:eastAsia="仿宋" w:cs="仿宋"/>
                <w:b w:val="0"/>
                <w:bCs/>
                <w:color w:val="000000"/>
                <w:sz w:val="24"/>
                <w:highlight w:val="none"/>
              </w:rPr>
              <w:t>0</w:t>
            </w:r>
          </w:p>
        </w:tc>
        <w:tc>
          <w:tcPr>
            <w:tcW w:w="482" w:type="pct"/>
            <w:shd w:val="clear" w:color="auto" w:fill="auto"/>
            <w:noWrap w:val="0"/>
            <w:vAlign w:val="center"/>
          </w:tcPr>
          <w:p>
            <w:pPr>
              <w:shd w:val="clear"/>
              <w:spacing w:line="360" w:lineRule="auto"/>
              <w:ind w:firstLine="120" w:firstLineChars="50"/>
              <w:jc w:val="center"/>
              <w:outlineLvl w:val="0"/>
              <w:rPr>
                <w:rFonts w:hint="eastAsia" w:ascii="仿宋" w:hAnsi="仿宋" w:eastAsia="仿宋" w:cs="仿宋"/>
                <w:b w:val="0"/>
                <w:bCs/>
                <w:color w:val="000000"/>
                <w:kern w:val="2"/>
                <w:sz w:val="24"/>
                <w:szCs w:val="22"/>
                <w:highlight w:val="none"/>
                <w:lang w:val="en-US" w:eastAsia="zh-CN" w:bidi="ar-SA"/>
              </w:rPr>
            </w:pPr>
            <w:r>
              <w:rPr>
                <w:rFonts w:hint="eastAsia" w:ascii="仿宋" w:hAnsi="仿宋" w:eastAsia="仿宋" w:cs="仿宋"/>
                <w:b w:val="0"/>
                <w:bCs/>
                <w:color w:val="000000"/>
                <w:sz w:val="24"/>
                <w:highlight w:val="none"/>
              </w:rPr>
              <w:t>/</w:t>
            </w:r>
          </w:p>
        </w:tc>
        <w:tc>
          <w:tcPr>
            <w:tcW w:w="805" w:type="pct"/>
            <w:shd w:val="clear" w:color="auto" w:fill="auto"/>
            <w:noWrap w:val="0"/>
            <w:vAlign w:val="center"/>
          </w:tcPr>
          <w:p>
            <w:pPr>
              <w:shd w:val="clear"/>
              <w:jc w:val="center"/>
              <w:rPr>
                <w:rFonts w:hint="eastAsia" w:ascii="仿宋" w:hAnsi="仿宋" w:eastAsia="仿宋" w:cs="仿宋"/>
                <w:b w:val="0"/>
                <w:bCs/>
                <w:color w:val="000000"/>
                <w:kern w:val="2"/>
                <w:sz w:val="24"/>
                <w:szCs w:val="22"/>
                <w:highlight w:val="none"/>
                <w:lang w:val="en-US" w:eastAsia="zh-CN" w:bidi="ar-SA"/>
              </w:rPr>
            </w:pPr>
            <w:r>
              <w:rPr>
                <w:rFonts w:hint="eastAsia" w:ascii="仿宋" w:hAnsi="仿宋" w:eastAsia="仿宋" w:cs="仿宋"/>
                <w:b w:val="0"/>
                <w:bCs/>
                <w:color w:val="000000"/>
                <w:sz w:val="24"/>
                <w:highlight w:val="none"/>
              </w:rPr>
              <w:t>/</w:t>
            </w:r>
          </w:p>
        </w:tc>
      </w:tr>
    </w:tbl>
    <w:p/>
    <w:p>
      <w:pPr>
        <w:snapToGrid w:val="0"/>
        <w:spacing w:line="360" w:lineRule="auto"/>
        <w:rPr>
          <w:rFonts w:ascii="宋体" w:hAnsi="宋体" w:cs="宋体"/>
          <w:b/>
          <w:sz w:val="24"/>
        </w:rPr>
      </w:pPr>
      <w:r>
        <w:rPr>
          <w:rFonts w:hint="eastAsia" w:ascii="宋体" w:hAnsi="宋体" w:cs="宋体"/>
          <w:sz w:val="20"/>
          <w:szCs w:val="20"/>
          <w:shd w:val="clear" w:color="auto" w:fill="FFFFFF"/>
        </w:rPr>
        <w:t> *</w:t>
      </w:r>
      <w:r>
        <w:rPr>
          <w:rFonts w:hint="eastAsia" w:ascii="宋体" w:hAnsi="宋体" w:cs="宋体"/>
          <w:b/>
          <w:sz w:val="24"/>
        </w:rPr>
        <w:t>备注：</w:t>
      </w:r>
      <w:r>
        <w:rPr>
          <w:rFonts w:hint="eastAsia" w:ascii="宋体" w:hAnsi="宋体" w:cs="宋体"/>
          <w:sz w:val="24"/>
        </w:rPr>
        <w:t>投标人编制投标文件（商务技术文件部分）时，建议按此目录（序号和内容）提供评标标准相应的商务技术资料。 </w:t>
      </w:r>
    </w:p>
    <w:p>
      <w:pPr>
        <w:snapToGrid w:val="0"/>
        <w:spacing w:line="360" w:lineRule="auto"/>
        <w:rPr>
          <w:rFonts w:ascii="宋体" w:hAnsi="宋体" w:cs="宋体"/>
          <w:b/>
          <w:sz w:val="28"/>
          <w:szCs w:val="28"/>
        </w:rPr>
      </w:pPr>
      <w:r>
        <w:rPr>
          <w:rFonts w:hint="eastAsia" w:ascii="宋体" w:hAnsi="宋体" w:cs="宋体"/>
          <w:b/>
          <w:sz w:val="32"/>
        </w:rPr>
        <w:t>一、评标方法</w:t>
      </w:r>
    </w:p>
    <w:p>
      <w:pPr>
        <w:adjustRightInd/>
        <w:spacing w:line="360" w:lineRule="auto"/>
        <w:ind w:firstLine="472" w:firstLineChars="196"/>
        <w:rPr>
          <w:rFonts w:ascii="宋体" w:hAnsi="宋体" w:cs="宋体"/>
          <w:kern w:val="0"/>
          <w:sz w:val="24"/>
        </w:rPr>
      </w:pPr>
      <w:r>
        <w:rPr>
          <w:rFonts w:hint="eastAsia" w:ascii="宋体" w:hAnsi="宋体" w:cs="宋体"/>
          <w:b/>
          <w:kern w:val="0"/>
          <w:sz w:val="24"/>
        </w:rPr>
        <w:t>1.本项目采用综合评分法。</w:t>
      </w:r>
      <w:r>
        <w:rPr>
          <w:rFonts w:hint="eastAsia" w:ascii="宋体" w:hAnsi="宋体" w:cs="宋体"/>
          <w:kern w:val="0"/>
          <w:sz w:val="24"/>
        </w:rPr>
        <w:t>综合评分法，是指投标文件满足招标文件全部实质性要求，且按照评审因素的量化指标评审得分最高的投标人为中标候选人的评标方法。</w:t>
      </w:r>
    </w:p>
    <w:p>
      <w:pPr>
        <w:adjustRightInd/>
        <w:spacing w:line="360" w:lineRule="auto"/>
        <w:rPr>
          <w:rFonts w:ascii="宋体" w:hAnsi="宋体" w:cs="宋体"/>
          <w:kern w:val="0"/>
          <w:sz w:val="24"/>
        </w:rPr>
      </w:pPr>
      <w:r>
        <w:rPr>
          <w:rFonts w:hint="eastAsia" w:ascii="宋体" w:hAnsi="宋体" w:cs="宋体"/>
          <w:b/>
          <w:sz w:val="32"/>
        </w:rPr>
        <w:t>二、评标标准</w:t>
      </w:r>
    </w:p>
    <w:p>
      <w:pPr>
        <w:spacing w:line="360" w:lineRule="auto"/>
        <w:ind w:firstLine="472" w:firstLineChars="196"/>
        <w:rPr>
          <w:rFonts w:ascii="宋体" w:hAnsi="宋体" w:cs="宋体"/>
          <w:b/>
          <w:sz w:val="24"/>
        </w:rPr>
      </w:pPr>
      <w:r>
        <w:rPr>
          <w:rFonts w:hint="eastAsia" w:ascii="宋体" w:hAnsi="宋体" w:cs="宋体"/>
          <w:b/>
          <w:sz w:val="24"/>
        </w:rPr>
        <w:t>2.</w:t>
      </w:r>
      <w:r>
        <w:rPr>
          <w:rFonts w:hint="eastAsia" w:ascii="宋体" w:hAnsi="宋体" w:cs="宋体"/>
        </w:rPr>
        <w:t xml:space="preserve"> </w:t>
      </w:r>
      <w:r>
        <w:rPr>
          <w:rFonts w:hint="eastAsia" w:ascii="宋体" w:hAnsi="宋体" w:cs="宋体"/>
          <w:b/>
          <w:sz w:val="24"/>
        </w:rPr>
        <w:t>评标标准：</w:t>
      </w:r>
      <w:r>
        <w:rPr>
          <w:rFonts w:hint="eastAsia" w:ascii="宋体" w:hAnsi="宋体" w:cs="宋体"/>
          <w:kern w:val="0"/>
          <w:sz w:val="24"/>
        </w:rPr>
        <w:t>见评标办法前附表。</w:t>
      </w:r>
    </w:p>
    <w:p>
      <w:pPr>
        <w:spacing w:line="360" w:lineRule="auto"/>
        <w:outlineLvl w:val="0"/>
        <w:rPr>
          <w:rFonts w:ascii="宋体" w:hAnsi="宋体" w:cs="宋体"/>
          <w:b/>
          <w:sz w:val="36"/>
          <w:szCs w:val="36"/>
        </w:rPr>
      </w:pPr>
      <w:r>
        <w:rPr>
          <w:rFonts w:hint="eastAsia" w:ascii="宋体" w:hAnsi="宋体" w:cs="宋体"/>
          <w:b/>
          <w:sz w:val="36"/>
          <w:szCs w:val="36"/>
        </w:rPr>
        <w:t>三、评标程序</w:t>
      </w:r>
    </w:p>
    <w:p>
      <w:pPr>
        <w:spacing w:line="360" w:lineRule="auto"/>
        <w:ind w:firstLine="472" w:firstLineChars="196"/>
        <w:rPr>
          <w:rFonts w:ascii="宋体" w:hAnsi="宋体" w:cs="宋体"/>
          <w:kern w:val="0"/>
          <w:sz w:val="24"/>
        </w:rPr>
      </w:pPr>
      <w:r>
        <w:rPr>
          <w:rFonts w:hint="eastAsia" w:ascii="宋体" w:hAnsi="宋体" w:cs="宋体"/>
          <w:b/>
          <w:kern w:val="0"/>
          <w:sz w:val="24"/>
        </w:rPr>
        <w:t>3.1符合性审查。</w:t>
      </w:r>
      <w:r>
        <w:rPr>
          <w:rFonts w:hint="eastAsia" w:ascii="宋体" w:hAnsi="宋体" w:cs="宋体"/>
          <w:kern w:val="0"/>
          <w:sz w:val="24"/>
        </w:rPr>
        <w:t>评标委员会应当对符合资格的投标人的投标文件进行符合性审查，以确定其是否满足招标文件的实质性要求。不满足招标文件的实质性要求的，投标无效。</w:t>
      </w:r>
    </w:p>
    <w:p>
      <w:pPr>
        <w:spacing w:line="360" w:lineRule="auto"/>
        <w:ind w:firstLine="472" w:firstLineChars="196"/>
        <w:rPr>
          <w:rFonts w:ascii="宋体" w:hAnsi="宋体" w:cs="宋体"/>
          <w:kern w:val="0"/>
          <w:sz w:val="24"/>
        </w:rPr>
      </w:pPr>
      <w:r>
        <w:rPr>
          <w:rFonts w:hint="eastAsia" w:ascii="宋体" w:hAnsi="宋体" w:cs="宋体"/>
          <w:b/>
          <w:kern w:val="0"/>
          <w:sz w:val="24"/>
        </w:rPr>
        <w:t>3.2 比较与评价。</w:t>
      </w:r>
      <w:r>
        <w:rPr>
          <w:rFonts w:hint="eastAsia" w:ascii="宋体" w:hAnsi="宋体" w:cs="宋体"/>
          <w:kern w:val="0"/>
          <w:sz w:val="24"/>
        </w:rPr>
        <w:t>评标委员会应当按照招标文件中规定的评标方法和标准，对符合性审查合格的投标文件进行商务和技术评估，综合比较与评价。</w:t>
      </w:r>
    </w:p>
    <w:p>
      <w:pPr>
        <w:spacing w:line="360" w:lineRule="auto"/>
        <w:ind w:firstLine="472" w:firstLineChars="196"/>
        <w:rPr>
          <w:rFonts w:ascii="宋体" w:hAnsi="宋体" w:cs="宋体"/>
          <w:kern w:val="0"/>
          <w:sz w:val="24"/>
        </w:rPr>
      </w:pPr>
      <w:r>
        <w:rPr>
          <w:rFonts w:hint="eastAsia" w:ascii="宋体" w:hAnsi="宋体" w:cs="宋体"/>
          <w:b/>
          <w:kern w:val="0"/>
          <w:sz w:val="24"/>
        </w:rPr>
        <w:t>3.3汇总商务技术得分。</w:t>
      </w:r>
      <w:r>
        <w:rPr>
          <w:rFonts w:hint="eastAsia" w:ascii="宋体" w:hAnsi="宋体" w:cs="宋体"/>
          <w:kern w:val="0"/>
          <w:sz w:val="24"/>
        </w:rPr>
        <w:t>评标委员会各成员应当独立对每个投标人的商务和技术文件进行评价，并汇总商务技术得分情况。</w:t>
      </w:r>
    </w:p>
    <w:p>
      <w:pPr>
        <w:spacing w:line="360" w:lineRule="auto"/>
        <w:ind w:firstLine="472" w:firstLineChars="196"/>
        <w:rPr>
          <w:rFonts w:ascii="宋体" w:hAnsi="宋体" w:cs="宋体"/>
          <w:b/>
          <w:kern w:val="0"/>
          <w:sz w:val="24"/>
        </w:rPr>
      </w:pPr>
      <w:r>
        <w:rPr>
          <w:rFonts w:hint="eastAsia" w:ascii="宋体" w:hAnsi="宋体" w:cs="宋体"/>
          <w:b/>
          <w:kern w:val="0"/>
          <w:sz w:val="24"/>
        </w:rPr>
        <w:t>3.4报价评审。</w:t>
      </w:r>
    </w:p>
    <w:p>
      <w:pPr>
        <w:pStyle w:val="128"/>
        <w:spacing w:before="0"/>
        <w:ind w:firstLine="508" w:firstLineChars="212"/>
        <w:rPr>
          <w:rFonts w:ascii="宋体" w:hAnsi="宋体" w:cs="宋体"/>
          <w:kern w:val="0"/>
        </w:rPr>
      </w:pPr>
      <w:r>
        <w:rPr>
          <w:rFonts w:hint="eastAsia" w:ascii="宋体" w:hAnsi="宋体" w:cs="宋体"/>
          <w:kern w:val="0"/>
        </w:rPr>
        <w:t>3.4.1投标文件报价出现前后不一致的，按照下列规定修正：</w:t>
      </w:r>
    </w:p>
    <w:p>
      <w:pPr>
        <w:pStyle w:val="128"/>
        <w:spacing w:before="0"/>
        <w:ind w:firstLine="480"/>
        <w:rPr>
          <w:rFonts w:ascii="宋体" w:hAnsi="宋体" w:cs="宋体"/>
          <w:kern w:val="0"/>
          <w:szCs w:val="24"/>
        </w:rPr>
      </w:pPr>
      <w:r>
        <w:rPr>
          <w:rFonts w:hint="eastAsia" w:ascii="宋体" w:hAnsi="宋体" w:cs="宋体"/>
          <w:kern w:val="0"/>
          <w:szCs w:val="24"/>
        </w:rPr>
        <w:t>3.4.1.1投标文件中开标一览表(报价表)内容与投标文件中相应内容不一致的，以开标一览表(报价表)为准;</w:t>
      </w:r>
    </w:p>
    <w:p>
      <w:pPr>
        <w:pStyle w:val="128"/>
        <w:spacing w:before="0"/>
        <w:ind w:firstLine="480"/>
        <w:rPr>
          <w:rFonts w:ascii="宋体" w:hAnsi="宋体" w:cs="宋体"/>
          <w:kern w:val="0"/>
          <w:szCs w:val="24"/>
        </w:rPr>
      </w:pPr>
      <w:r>
        <w:rPr>
          <w:rFonts w:hint="eastAsia" w:ascii="宋体" w:hAnsi="宋体" w:cs="宋体"/>
          <w:kern w:val="0"/>
          <w:szCs w:val="24"/>
        </w:rPr>
        <w:t>3.4.1.2大写金额和小写金额不一致的，以大写金额为准;</w:t>
      </w:r>
    </w:p>
    <w:p>
      <w:pPr>
        <w:pStyle w:val="128"/>
        <w:spacing w:before="0"/>
        <w:ind w:firstLine="480"/>
        <w:rPr>
          <w:rFonts w:ascii="宋体" w:hAnsi="宋体" w:cs="宋体"/>
          <w:kern w:val="0"/>
          <w:szCs w:val="24"/>
        </w:rPr>
      </w:pPr>
      <w:r>
        <w:rPr>
          <w:rFonts w:hint="eastAsia" w:ascii="宋体" w:hAnsi="宋体" w:cs="宋体"/>
          <w:kern w:val="0"/>
          <w:szCs w:val="24"/>
        </w:rPr>
        <w:t>3.4.1.3单价金额小数点或者百分比有明显错位的，以开标一览表的总价为准，并修改单价;</w:t>
      </w:r>
    </w:p>
    <w:p>
      <w:pPr>
        <w:pStyle w:val="128"/>
        <w:spacing w:before="0"/>
        <w:ind w:firstLine="480"/>
        <w:rPr>
          <w:rFonts w:ascii="宋体" w:hAnsi="宋体" w:cs="宋体"/>
          <w:kern w:val="0"/>
          <w:szCs w:val="24"/>
        </w:rPr>
      </w:pPr>
      <w:r>
        <w:rPr>
          <w:rFonts w:hint="eastAsia" w:ascii="宋体" w:hAnsi="宋体" w:cs="宋体"/>
          <w:kern w:val="0"/>
          <w:szCs w:val="24"/>
        </w:rPr>
        <w:t>3.4.1.4总价金额与按单价汇总金额不一致的，以单价金额计算结果为准。</w:t>
      </w:r>
    </w:p>
    <w:p>
      <w:pPr>
        <w:pStyle w:val="128"/>
        <w:spacing w:before="0"/>
        <w:ind w:firstLine="480"/>
        <w:rPr>
          <w:rFonts w:ascii="宋体" w:hAnsi="宋体" w:cs="宋体"/>
          <w:kern w:val="0"/>
          <w:szCs w:val="24"/>
        </w:rPr>
      </w:pPr>
      <w:r>
        <w:rPr>
          <w:rFonts w:hint="eastAsia" w:ascii="宋体" w:hAnsi="宋体" w:cs="宋体"/>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3.4.2投标文件出现不是唯一的、有选择性投标报价的，投标无效。</w:t>
      </w:r>
    </w:p>
    <w:p>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3.4.3投标报价超过招标文件中规定的预算金额或者最高限价的，投标无效。</w:t>
      </w:r>
    </w:p>
    <w:p>
      <w:pPr>
        <w:pStyle w:val="128"/>
        <w:spacing w:before="0"/>
        <w:ind w:firstLine="480"/>
        <w:rPr>
          <w:rFonts w:ascii="宋体" w:hAnsi="宋体" w:cs="宋体"/>
          <w:kern w:val="0"/>
          <w:szCs w:val="24"/>
        </w:rPr>
      </w:pPr>
      <w:r>
        <w:rPr>
          <w:rFonts w:hint="eastAsia" w:ascii="宋体" w:hAnsi="宋体" w:cs="宋体"/>
          <w:kern w:val="0"/>
          <w:szCs w:val="24"/>
        </w:rPr>
        <w:t>3.4.4评标委员会认为投标人的报价明显低于其他通过符合性审查投标人的报价，有可能影响产品质量或者不能诚信履约的，应当要求其在合理的时间内提供书面说明，必要时提交相关证明材料</w:t>
      </w:r>
      <w:r>
        <w:rPr>
          <w:rFonts w:hint="eastAsia" w:ascii="宋体" w:hAnsi="宋体" w:cs="宋体"/>
          <w:kern w:val="0"/>
          <w:szCs w:val="24"/>
          <w:lang w:eastAsia="zh-CN"/>
        </w:rPr>
        <w:t>（</w:t>
      </w:r>
      <w:r>
        <w:rPr>
          <w:rFonts w:hint="eastAsia" w:ascii="宋体" w:hAnsi="宋体" w:cs="宋体"/>
          <w:kern w:val="0"/>
          <w:szCs w:val="24"/>
        </w:rPr>
        <w:t>包括但不限于所用工艺运营单价组成、备品备件价格、合理利润情况说明</w:t>
      </w:r>
      <w:r>
        <w:rPr>
          <w:rFonts w:hint="eastAsia" w:ascii="宋体" w:hAnsi="宋体" w:cs="宋体"/>
          <w:kern w:val="0"/>
          <w:szCs w:val="24"/>
          <w:lang w:eastAsia="zh-CN"/>
        </w:rPr>
        <w:t>、</w:t>
      </w:r>
      <w:r>
        <w:rPr>
          <w:rFonts w:hint="eastAsia" w:ascii="宋体" w:hAnsi="宋体" w:cs="宋体"/>
          <w:kern w:val="0"/>
          <w:szCs w:val="24"/>
        </w:rPr>
        <w:t>资金证明</w:t>
      </w:r>
      <w:r>
        <w:rPr>
          <w:rFonts w:hint="eastAsia" w:ascii="宋体" w:hAnsi="宋体" w:cs="宋体"/>
          <w:kern w:val="0"/>
          <w:szCs w:val="24"/>
          <w:lang w:eastAsia="zh-CN"/>
        </w:rPr>
        <w:t>等）；</w:t>
      </w:r>
      <w:r>
        <w:rPr>
          <w:rFonts w:hint="eastAsia" w:ascii="宋体" w:hAnsi="宋体" w:cs="宋体"/>
          <w:kern w:val="0"/>
          <w:szCs w:val="24"/>
        </w:rPr>
        <w:t>投标人不能证明其报价合理性的，评标委员会应当将其作为无效投标处理。</w:t>
      </w:r>
    </w:p>
    <w:p>
      <w:pPr>
        <w:pStyle w:val="128"/>
        <w:spacing w:before="0"/>
        <w:ind w:firstLine="480"/>
        <w:rPr>
          <w:rFonts w:ascii="宋体" w:hAnsi="宋体" w:cs="宋体"/>
          <w:kern w:val="0"/>
          <w:szCs w:val="24"/>
        </w:rPr>
      </w:pPr>
      <w:r>
        <w:rPr>
          <w:rFonts w:hint="eastAsia" w:ascii="宋体" w:hAnsi="宋体" w:cs="宋体"/>
          <w:kern w:val="0"/>
          <w:szCs w:val="24"/>
        </w:rPr>
        <w:t>3.4.5对于未预留份额专门面向中小企业的政府采购服务项目，以及预留份额政府采购服务项目中的非预留部分标项，对小型和微型企业的投标报价给予10%-</w:t>
      </w:r>
      <w:r>
        <w:rPr>
          <w:rFonts w:ascii="宋体" w:hAnsi="宋体" w:cs="宋体"/>
          <w:kern w:val="0"/>
          <w:szCs w:val="24"/>
        </w:rPr>
        <w:t>20</w:t>
      </w:r>
      <w:r>
        <w:rPr>
          <w:rFonts w:hint="eastAsia" w:ascii="宋体" w:hAnsi="宋体" w:cs="宋体"/>
          <w:kern w:val="0"/>
          <w:szCs w:val="24"/>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kern w:val="0"/>
          <w:szCs w:val="24"/>
        </w:rPr>
        <w:t>6</w:t>
      </w:r>
      <w:r>
        <w:rPr>
          <w:rFonts w:hint="eastAsia" w:ascii="宋体" w:hAnsi="宋体" w:cs="宋体"/>
          <w:kern w:val="0"/>
          <w:szCs w:val="24"/>
        </w:rPr>
        <w:t>%的扣除，用扣除后的价格参加评审。组成联合体或者接受分包的小微企业与联合体内其他企业、分包企业之间存在直接控股、管理关系的，不享受价格扣除优惠政策。</w:t>
      </w:r>
    </w:p>
    <w:p>
      <w:pPr>
        <w:spacing w:line="360" w:lineRule="auto"/>
        <w:ind w:firstLine="482" w:firstLineChars="200"/>
        <w:rPr>
          <w:rFonts w:ascii="宋体" w:hAnsi="宋体" w:cs="宋体"/>
          <w:kern w:val="0"/>
          <w:sz w:val="24"/>
        </w:rPr>
      </w:pPr>
      <w:r>
        <w:rPr>
          <w:rFonts w:hint="eastAsia" w:ascii="宋体" w:hAnsi="宋体" w:cs="宋体"/>
          <w:b/>
          <w:kern w:val="0"/>
          <w:sz w:val="24"/>
        </w:rPr>
        <w:t>3.5排序与推荐。</w:t>
      </w:r>
      <w:r>
        <w:rPr>
          <w:rFonts w:hint="eastAsia" w:ascii="宋体" w:hAnsi="宋体" w:cs="宋体"/>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line="360" w:lineRule="auto"/>
        <w:ind w:firstLine="480" w:firstLineChars="200"/>
        <w:rPr>
          <w:rFonts w:ascii="宋体" w:hAnsi="宋体" w:cs="宋体"/>
          <w:b/>
          <w:kern w:val="0"/>
          <w:sz w:val="24"/>
        </w:rPr>
      </w:pPr>
      <w:r>
        <w:rPr>
          <w:rFonts w:hint="eastAsia" w:ascii="宋体" w:hAnsi="宋体" w:cs="宋体"/>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ascii="宋体" w:hAnsi="宋体" w:cs="宋体"/>
          <w:kern w:val="0"/>
          <w:sz w:val="24"/>
        </w:rPr>
      </w:pPr>
      <w:r>
        <w:rPr>
          <w:rFonts w:hint="eastAsia" w:ascii="宋体" w:hAnsi="宋体" w:cs="宋体"/>
          <w:b/>
          <w:kern w:val="0"/>
          <w:sz w:val="24"/>
        </w:rPr>
        <w:t>3.6编写评标报告。</w:t>
      </w:r>
      <w:r>
        <w:rPr>
          <w:rFonts w:hint="eastAsia" w:ascii="宋体" w:hAnsi="宋体" w:cs="宋体"/>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15" w:lineRule="atLeast"/>
        <w:jc w:val="left"/>
        <w:rPr>
          <w:rFonts w:ascii="宋体" w:hAnsi="宋体" w:cs="宋体"/>
          <w:b/>
          <w:sz w:val="32"/>
        </w:rPr>
      </w:pPr>
      <w:r>
        <w:rPr>
          <w:rFonts w:hint="eastAsia" w:ascii="宋体" w:hAnsi="宋体" w:cs="宋体"/>
          <w:b/>
          <w:sz w:val="32"/>
        </w:rPr>
        <w:t>四、评标中的其他事项</w:t>
      </w:r>
    </w:p>
    <w:p>
      <w:pPr>
        <w:pStyle w:val="128"/>
        <w:spacing w:before="0"/>
        <w:ind w:firstLine="472" w:firstLineChars="196"/>
        <w:rPr>
          <w:rFonts w:ascii="宋体" w:hAnsi="宋体" w:cs="宋体"/>
          <w:kern w:val="0"/>
          <w:szCs w:val="24"/>
        </w:rPr>
      </w:pPr>
      <w:r>
        <w:rPr>
          <w:rFonts w:hint="eastAsia" w:ascii="宋体" w:hAnsi="宋体" w:cs="宋体"/>
          <w:b/>
          <w:kern w:val="0"/>
          <w:szCs w:val="24"/>
        </w:rPr>
        <w:t>4.1投标人澄清、说明或者补正。</w:t>
      </w:r>
      <w:r>
        <w:rPr>
          <w:rFonts w:hint="eastAsia" w:ascii="宋体" w:hAnsi="宋体" w:cs="宋体"/>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6"/>
        <w:spacing w:line="360" w:lineRule="auto"/>
        <w:ind w:left="954" w:leftChars="226" w:hanging="479" w:firstLineChars="0"/>
        <w:rPr>
          <w:rFonts w:cs="宋体"/>
          <w:szCs w:val="21"/>
        </w:rPr>
      </w:pPr>
      <w:r>
        <w:rPr>
          <w:rFonts w:hint="eastAsia" w:cs="宋体"/>
          <w:b/>
          <w:kern w:val="0"/>
        </w:rPr>
        <w:t>4.2投标无效。</w:t>
      </w:r>
      <w:r>
        <w:rPr>
          <w:rFonts w:hint="eastAsia" w:cs="宋体"/>
          <w:szCs w:val="21"/>
        </w:rPr>
        <w:t>有下列情形之一的，投标无效：</w:t>
      </w:r>
    </w:p>
    <w:p>
      <w:pPr>
        <w:spacing w:line="360" w:lineRule="auto"/>
        <w:ind w:firstLine="480" w:firstLineChars="200"/>
        <w:rPr>
          <w:rFonts w:ascii="宋体" w:hAnsi="宋体" w:cs="宋体"/>
          <w:kern w:val="0"/>
          <w:sz w:val="24"/>
        </w:rPr>
      </w:pPr>
      <w:r>
        <w:rPr>
          <w:rFonts w:hint="eastAsia" w:ascii="宋体" w:hAnsi="宋体" w:cs="宋体"/>
          <w:kern w:val="0"/>
          <w:sz w:val="24"/>
        </w:rPr>
        <w:t>4.2.1投标人不具备招标文件中规定的资格要求的（投标人未提供有效的资格文件的，视为投标人不具备招标文件中规定的资格要求）；</w:t>
      </w:r>
    </w:p>
    <w:p>
      <w:pPr>
        <w:spacing w:line="360" w:lineRule="auto"/>
        <w:ind w:firstLine="480" w:firstLineChars="200"/>
        <w:rPr>
          <w:rFonts w:ascii="宋体" w:hAnsi="宋体" w:cs="宋体"/>
          <w:kern w:val="0"/>
          <w:sz w:val="24"/>
        </w:rPr>
      </w:pPr>
      <w:r>
        <w:rPr>
          <w:rFonts w:hint="eastAsia" w:ascii="宋体" w:hAnsi="宋体" w:cs="宋体"/>
          <w:kern w:val="0"/>
          <w:sz w:val="24"/>
        </w:rPr>
        <w:t>4.2.2投标文件未按照招标文件要求签署、盖章的；</w:t>
      </w:r>
    </w:p>
    <w:p>
      <w:pPr>
        <w:spacing w:line="360" w:lineRule="auto"/>
        <w:ind w:firstLine="480" w:firstLineChars="200"/>
        <w:rPr>
          <w:rFonts w:ascii="宋体" w:hAnsi="宋体" w:cs="宋体"/>
          <w:kern w:val="0"/>
          <w:sz w:val="24"/>
        </w:rPr>
      </w:pPr>
      <w:r>
        <w:rPr>
          <w:rFonts w:hint="eastAsia" w:ascii="宋体" w:hAnsi="宋体" w:cs="宋体"/>
          <w:kern w:val="0"/>
          <w:sz w:val="24"/>
        </w:rPr>
        <w:t>4.2.3采购人拟采购的产品属于政府强制采购的节能产品品目清单范围的，投标人相应的投标产品未获得国家确定的认证机构出具的、处于有效期之内的节能产品认证证书的；</w:t>
      </w:r>
    </w:p>
    <w:p>
      <w:pPr>
        <w:spacing w:line="360" w:lineRule="auto"/>
        <w:ind w:firstLine="480" w:firstLineChars="200"/>
        <w:rPr>
          <w:rFonts w:ascii="宋体" w:hAnsi="宋体" w:cs="宋体"/>
          <w:kern w:val="0"/>
          <w:sz w:val="24"/>
        </w:rPr>
      </w:pPr>
      <w:r>
        <w:rPr>
          <w:rFonts w:hint="eastAsia" w:ascii="宋体" w:hAnsi="宋体" w:cs="宋体"/>
          <w:kern w:val="0"/>
          <w:sz w:val="24"/>
        </w:rPr>
        <w:t>4.2.4投标文件含有采购人不能接受的附加条件的；</w:t>
      </w:r>
    </w:p>
    <w:p>
      <w:pPr>
        <w:spacing w:line="360" w:lineRule="auto"/>
        <w:ind w:firstLine="480" w:firstLineChars="200"/>
        <w:rPr>
          <w:rFonts w:ascii="宋体" w:hAnsi="宋体" w:cs="宋体"/>
          <w:kern w:val="0"/>
          <w:sz w:val="24"/>
        </w:rPr>
      </w:pPr>
      <w:r>
        <w:rPr>
          <w:rFonts w:hint="eastAsia" w:ascii="宋体" w:hAnsi="宋体" w:cs="宋体"/>
          <w:kern w:val="0"/>
          <w:sz w:val="24"/>
        </w:rPr>
        <w:t>4.2.5投标文件中承诺的投标有效期少于招标文件中载明的投标有效期的；</w:t>
      </w:r>
    </w:p>
    <w:p>
      <w:pPr>
        <w:snapToGrid w:val="0"/>
        <w:spacing w:line="360" w:lineRule="auto"/>
        <w:ind w:firstLine="120" w:firstLineChars="50"/>
        <w:jc w:val="left"/>
        <w:rPr>
          <w:rFonts w:ascii="宋体" w:hAnsi="宋体" w:cs="宋体"/>
          <w:kern w:val="0"/>
          <w:sz w:val="24"/>
        </w:rPr>
      </w:pPr>
      <w:r>
        <w:rPr>
          <w:rFonts w:hint="eastAsia" w:ascii="宋体" w:hAnsi="宋体" w:cs="宋体"/>
          <w:kern w:val="0"/>
          <w:sz w:val="24"/>
        </w:rPr>
        <w:t xml:space="preserve">   4.2.6投标文件出现不是唯一的、有选择性投标报价的;</w:t>
      </w:r>
    </w:p>
    <w:p>
      <w:pPr>
        <w:spacing w:line="360" w:lineRule="auto"/>
        <w:ind w:firstLine="480" w:firstLineChars="200"/>
        <w:rPr>
          <w:rFonts w:ascii="宋体" w:hAnsi="宋体" w:cs="宋体"/>
          <w:kern w:val="0"/>
          <w:sz w:val="24"/>
        </w:rPr>
      </w:pPr>
      <w:r>
        <w:rPr>
          <w:rFonts w:hint="eastAsia" w:ascii="宋体" w:hAnsi="宋体" w:cs="宋体"/>
          <w:kern w:val="0"/>
          <w:sz w:val="24"/>
        </w:rPr>
        <w:t>4.2.7投标报价超过招标文件中规定的预算金额或者最高限价的;</w:t>
      </w:r>
    </w:p>
    <w:p>
      <w:pPr>
        <w:spacing w:line="360" w:lineRule="auto"/>
        <w:ind w:firstLine="480" w:firstLineChars="200"/>
        <w:rPr>
          <w:rFonts w:ascii="宋体" w:hAnsi="宋体" w:cs="宋体"/>
          <w:kern w:val="0"/>
          <w:sz w:val="24"/>
        </w:rPr>
      </w:pPr>
      <w:r>
        <w:rPr>
          <w:rFonts w:hint="eastAsia" w:ascii="宋体" w:hAnsi="宋体" w:cs="宋体"/>
          <w:kern w:val="0"/>
          <w:sz w:val="24"/>
        </w:rPr>
        <w:t>4.2.8报价明显低于其他通过符合性审查投标人的报价，有可能影响产品质量或者不能诚信履约的，未能按要求提供书面说明或者提交相关证明材料</w:t>
      </w:r>
      <w:r>
        <w:rPr>
          <w:rFonts w:hint="eastAsia" w:ascii="宋体" w:hAnsi="宋体" w:cs="宋体"/>
          <w:kern w:val="0"/>
          <w:sz w:val="24"/>
          <w:lang w:eastAsia="zh-CN"/>
        </w:rPr>
        <w:t>（</w:t>
      </w:r>
      <w:r>
        <w:rPr>
          <w:rFonts w:hint="eastAsia" w:ascii="宋体" w:hAnsi="宋体" w:cs="宋体"/>
          <w:kern w:val="0"/>
          <w:sz w:val="24"/>
        </w:rPr>
        <w:t>包括但不限于所用工艺运营单价组成、备品备件价格、合理利润情况说明</w:t>
      </w:r>
      <w:r>
        <w:rPr>
          <w:rFonts w:hint="eastAsia" w:ascii="宋体" w:hAnsi="宋体" w:cs="宋体"/>
          <w:kern w:val="0"/>
          <w:sz w:val="24"/>
          <w:lang w:eastAsia="zh-CN"/>
        </w:rPr>
        <w:t>、</w:t>
      </w:r>
      <w:r>
        <w:rPr>
          <w:rFonts w:hint="eastAsia" w:ascii="宋体" w:hAnsi="宋体" w:cs="宋体"/>
          <w:kern w:val="0"/>
          <w:sz w:val="24"/>
        </w:rPr>
        <w:t>资金证明</w:t>
      </w:r>
      <w:r>
        <w:rPr>
          <w:rFonts w:hint="eastAsia" w:ascii="宋体" w:hAnsi="宋体" w:cs="宋体"/>
          <w:kern w:val="0"/>
          <w:sz w:val="24"/>
          <w:lang w:eastAsia="zh-CN"/>
        </w:rPr>
        <w:t>等）</w:t>
      </w:r>
      <w:r>
        <w:rPr>
          <w:rFonts w:hint="eastAsia" w:ascii="宋体" w:hAnsi="宋体" w:cs="宋体"/>
          <w:kern w:val="0"/>
          <w:sz w:val="24"/>
        </w:rPr>
        <w:t>，不能证明其报价合理性的;</w:t>
      </w:r>
    </w:p>
    <w:p>
      <w:pPr>
        <w:spacing w:line="360" w:lineRule="auto"/>
        <w:ind w:firstLine="480" w:firstLineChars="200"/>
        <w:rPr>
          <w:rFonts w:ascii="宋体" w:hAnsi="宋体" w:cs="宋体"/>
          <w:kern w:val="0"/>
          <w:sz w:val="24"/>
        </w:rPr>
      </w:pPr>
      <w:r>
        <w:rPr>
          <w:rFonts w:hint="eastAsia" w:ascii="宋体" w:hAnsi="宋体" w:cs="宋体"/>
          <w:kern w:val="0"/>
          <w:sz w:val="24"/>
        </w:rPr>
        <w:t>4.2.9投标人对根据修正原则修正后的报价不确认的；</w:t>
      </w:r>
    </w:p>
    <w:p>
      <w:pPr>
        <w:spacing w:line="360" w:lineRule="auto"/>
        <w:ind w:firstLine="480" w:firstLineChars="200"/>
        <w:rPr>
          <w:rFonts w:ascii="宋体" w:hAnsi="宋体" w:cs="宋体"/>
          <w:kern w:val="0"/>
          <w:sz w:val="24"/>
        </w:rPr>
      </w:pPr>
      <w:r>
        <w:rPr>
          <w:rFonts w:hint="eastAsia" w:ascii="宋体" w:hAnsi="宋体" w:cs="宋体"/>
          <w:kern w:val="0"/>
          <w:sz w:val="24"/>
        </w:rPr>
        <w:t>4.2.10投标人提供虚假材料投标的；</w:t>
      </w:r>
    </w:p>
    <w:p>
      <w:pPr>
        <w:spacing w:line="360" w:lineRule="auto"/>
        <w:ind w:firstLine="240" w:firstLineChars="100"/>
        <w:rPr>
          <w:rFonts w:ascii="宋体" w:hAnsi="宋体" w:cs="宋体"/>
          <w:kern w:val="0"/>
          <w:sz w:val="24"/>
        </w:rPr>
      </w:pPr>
      <w:r>
        <w:rPr>
          <w:rFonts w:hint="eastAsia" w:ascii="宋体" w:hAnsi="宋体" w:cs="宋体"/>
          <w:kern w:val="0"/>
          <w:sz w:val="24"/>
        </w:rPr>
        <w:t xml:space="preserve">  4.2.11投标人有恶意串通、妨碍其他投标人的竞争行为、损害采购人或者其他投标人的合法权益情形的；</w:t>
      </w:r>
    </w:p>
    <w:p>
      <w:pPr>
        <w:spacing w:line="360" w:lineRule="auto"/>
        <w:ind w:firstLine="480" w:firstLineChars="200"/>
        <w:rPr>
          <w:rFonts w:ascii="宋体" w:hAnsi="宋体" w:cs="宋体"/>
          <w:kern w:val="0"/>
          <w:sz w:val="24"/>
        </w:rPr>
      </w:pPr>
      <w:r>
        <w:rPr>
          <w:rFonts w:hint="eastAsia" w:ascii="宋体" w:hAnsi="宋体" w:cs="宋体"/>
          <w:kern w:val="0"/>
          <w:sz w:val="24"/>
        </w:rPr>
        <w:t>4.2.12投标人仅提交备份投标文件，未在电子交易平台传输递交投标文件的，投标无效；</w:t>
      </w:r>
    </w:p>
    <w:p>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4.2.13投标人未提供样品或提供的样品不满足采购需求实质性条件的，投标无效；</w:t>
      </w:r>
    </w:p>
    <w:p>
      <w:pPr>
        <w:pStyle w:val="4"/>
        <w:ind w:left="862" w:leftChars="205"/>
        <w:rPr>
          <w:rFonts w:ascii="宋体" w:hAnsi="宋体" w:eastAsia="宋体" w:cs="宋体"/>
          <w:b w:val="0"/>
          <w:bCs w:val="0"/>
          <w:kern w:val="0"/>
          <w:sz w:val="24"/>
          <w:szCs w:val="24"/>
          <w:highlight w:val="none"/>
          <w:lang w:val="en-US"/>
        </w:rPr>
      </w:pPr>
      <w:r>
        <w:rPr>
          <w:rFonts w:hint="eastAsia" w:ascii="宋体" w:hAnsi="宋体" w:eastAsia="宋体" w:cs="宋体"/>
          <w:b w:val="0"/>
          <w:bCs w:val="0"/>
          <w:kern w:val="0"/>
          <w:sz w:val="24"/>
          <w:szCs w:val="24"/>
          <w:highlight w:val="none"/>
          <w:lang w:val="en-US"/>
        </w:rPr>
        <w:t>4.2.14 投标文件不满足招标文件的其它实质性要求的；</w:t>
      </w:r>
    </w:p>
    <w:p>
      <w:pPr>
        <w:spacing w:line="360" w:lineRule="auto"/>
        <w:ind w:firstLine="480" w:firstLineChars="200"/>
        <w:rPr>
          <w:rFonts w:ascii="宋体" w:hAnsi="宋体" w:cs="宋体"/>
          <w:kern w:val="0"/>
          <w:sz w:val="24"/>
        </w:rPr>
      </w:pPr>
      <w:r>
        <w:rPr>
          <w:rFonts w:hint="eastAsia" w:ascii="宋体" w:hAnsi="宋体" w:cs="宋体"/>
          <w:kern w:val="0"/>
          <w:sz w:val="24"/>
          <w:highlight w:val="none"/>
        </w:rPr>
        <w:t>4.2.15法律、法规、</w:t>
      </w:r>
      <w:r>
        <w:rPr>
          <w:rFonts w:hint="eastAsia" w:ascii="宋体" w:hAnsi="宋体" w:cs="宋体"/>
          <w:kern w:val="0"/>
          <w:sz w:val="24"/>
        </w:rPr>
        <w:t>规章（适用本市的）及省级以上规范性文件（适用本市的）规定的其他无效情形。</w:t>
      </w:r>
    </w:p>
    <w:p>
      <w:pPr>
        <w:pStyle w:val="26"/>
        <w:snapToGrid w:val="0"/>
        <w:spacing w:line="360" w:lineRule="auto"/>
        <w:ind w:firstLine="472" w:firstLineChars="196"/>
        <w:rPr>
          <w:rFonts w:cs="宋体"/>
        </w:rPr>
      </w:pPr>
      <w:r>
        <w:rPr>
          <w:rFonts w:hint="eastAsia" w:cs="宋体"/>
          <w:b/>
        </w:rPr>
        <w:t>5.废标。</w:t>
      </w:r>
      <w:r>
        <w:rPr>
          <w:rFonts w:hint="eastAsia" w:cs="宋体"/>
        </w:rPr>
        <w:t>根据《中华人民共和国政府采购法》第三十六条之规定，在采购中，出现下列情形之一的，应予废标：</w:t>
      </w:r>
    </w:p>
    <w:p>
      <w:pPr>
        <w:pStyle w:val="26"/>
        <w:snapToGrid w:val="0"/>
        <w:spacing w:line="360" w:lineRule="auto"/>
        <w:rPr>
          <w:rFonts w:cs="宋体"/>
        </w:rPr>
      </w:pPr>
      <w:r>
        <w:rPr>
          <w:rFonts w:hint="eastAsia" w:cs="宋体"/>
        </w:rPr>
        <w:t>5.1符合专业条件的供应商或者对招标文件作实质响应的供应商不足3家的；</w:t>
      </w:r>
    </w:p>
    <w:p>
      <w:pPr>
        <w:pStyle w:val="26"/>
        <w:snapToGrid w:val="0"/>
        <w:spacing w:line="360" w:lineRule="auto"/>
        <w:rPr>
          <w:rFonts w:cs="宋体"/>
        </w:rPr>
      </w:pPr>
      <w:r>
        <w:rPr>
          <w:rFonts w:hint="eastAsia" w:cs="宋体"/>
        </w:rPr>
        <w:t>5.2出现影响采购公正的违法、违规行为的；</w:t>
      </w:r>
    </w:p>
    <w:p>
      <w:pPr>
        <w:pStyle w:val="26"/>
        <w:snapToGrid w:val="0"/>
        <w:spacing w:line="360" w:lineRule="auto"/>
        <w:rPr>
          <w:rFonts w:cs="宋体"/>
        </w:rPr>
      </w:pPr>
      <w:r>
        <w:rPr>
          <w:rFonts w:hint="eastAsia" w:cs="宋体"/>
        </w:rPr>
        <w:t>5.3投标人的报价均超过了采购预算，采购人不能支付的；</w:t>
      </w:r>
    </w:p>
    <w:p>
      <w:pPr>
        <w:pStyle w:val="26"/>
        <w:snapToGrid w:val="0"/>
        <w:spacing w:line="360" w:lineRule="auto"/>
        <w:rPr>
          <w:rFonts w:cs="宋体"/>
        </w:rPr>
      </w:pPr>
      <w:r>
        <w:rPr>
          <w:rFonts w:hint="eastAsia" w:cs="宋体"/>
        </w:rPr>
        <w:t>5.4因重大变故，采购任务取消的。</w:t>
      </w:r>
    </w:p>
    <w:p>
      <w:pPr>
        <w:pStyle w:val="26"/>
        <w:snapToGrid w:val="0"/>
        <w:spacing w:line="360" w:lineRule="auto"/>
        <w:rPr>
          <w:rFonts w:cs="宋体"/>
        </w:rPr>
      </w:pPr>
      <w:r>
        <w:rPr>
          <w:rFonts w:hint="eastAsia" w:cs="宋体"/>
        </w:rPr>
        <w:t>废标后，</w:t>
      </w:r>
      <w:r>
        <w:rPr>
          <w:rFonts w:hint="eastAsia" w:cs="宋体"/>
          <w:lang w:eastAsia="zh-CN"/>
        </w:rPr>
        <w:t>采购代理机构</w:t>
      </w:r>
      <w:r>
        <w:rPr>
          <w:rFonts w:hint="eastAsia" w:cs="宋体"/>
        </w:rPr>
        <w:t>应当将废标理由通知所有投标人。</w:t>
      </w:r>
    </w:p>
    <w:p>
      <w:pPr>
        <w:pStyle w:val="26"/>
        <w:snapToGrid w:val="0"/>
        <w:spacing w:line="360" w:lineRule="auto"/>
        <w:ind w:firstLine="590" w:firstLineChars="245"/>
        <w:rPr>
          <w:rFonts w:cs="宋体"/>
        </w:rPr>
      </w:pPr>
      <w:r>
        <w:rPr>
          <w:rFonts w:hint="eastAsia" w:cs="宋体"/>
          <w:b/>
        </w:rPr>
        <w:t>6.修改招标文件，重新组织采购活动。</w:t>
      </w:r>
      <w:r>
        <w:rPr>
          <w:rFonts w:hint="eastAsia" w:cs="宋体"/>
        </w:rPr>
        <w:t>评标委员会发现招标文件存在歧义、重大缺陷导致评标工作无法进行，或者招标文件内容违反国家有关强制性规定的，将停止评标工作，并与采购人、</w:t>
      </w:r>
      <w:r>
        <w:rPr>
          <w:rFonts w:hint="eastAsia" w:cs="宋体"/>
          <w:lang w:eastAsia="zh-CN"/>
        </w:rPr>
        <w:t>采购代理机构</w:t>
      </w:r>
      <w:r>
        <w:rPr>
          <w:rFonts w:hint="eastAsia" w:cs="宋体"/>
        </w:rPr>
        <w:t>沟通并作书面记录。采购人、</w:t>
      </w:r>
      <w:r>
        <w:rPr>
          <w:rFonts w:hint="eastAsia" w:cs="宋体"/>
          <w:lang w:eastAsia="zh-CN"/>
        </w:rPr>
        <w:t>采购代理机构</w:t>
      </w:r>
      <w:r>
        <w:rPr>
          <w:rFonts w:hint="eastAsia" w:cs="宋体"/>
        </w:rPr>
        <w:t>确认后，将修改招标文件，重新组织采购活动。</w:t>
      </w:r>
    </w:p>
    <w:p>
      <w:pPr>
        <w:pStyle w:val="26"/>
        <w:snapToGrid w:val="0"/>
        <w:spacing w:line="360" w:lineRule="auto"/>
        <w:ind w:firstLine="482"/>
        <w:rPr>
          <w:rFonts w:cs="宋体"/>
        </w:rPr>
      </w:pPr>
      <w:r>
        <w:rPr>
          <w:rFonts w:hint="eastAsia" w:cs="宋体"/>
          <w:b/>
          <w:kern w:val="0"/>
        </w:rPr>
        <w:t>7.重新开展采购。</w:t>
      </w:r>
      <w:r>
        <w:rPr>
          <w:rFonts w:hint="eastAsia" w:cs="宋体"/>
        </w:rPr>
        <w:t>有政府采购法第七十一条、第七十二条规定的违法行为之一，影响或者可能影响中标结果的，依照下列规定处理：</w:t>
      </w:r>
    </w:p>
    <w:p>
      <w:pPr>
        <w:pStyle w:val="26"/>
        <w:snapToGrid w:val="0"/>
        <w:spacing w:line="360" w:lineRule="auto"/>
        <w:rPr>
          <w:rFonts w:cs="宋体"/>
        </w:rPr>
      </w:pPr>
      <w:r>
        <w:rPr>
          <w:rFonts w:hint="eastAsia" w:cs="宋体"/>
        </w:rPr>
        <w:t>7.1未确定中标供应商的，终止本次政府采购活动，重新开展政府采购活动。</w:t>
      </w:r>
    </w:p>
    <w:p>
      <w:pPr>
        <w:pStyle w:val="26"/>
        <w:snapToGrid w:val="0"/>
        <w:spacing w:line="360" w:lineRule="auto"/>
        <w:rPr>
          <w:rFonts w:cs="宋体"/>
        </w:rPr>
      </w:pPr>
      <w:r>
        <w:rPr>
          <w:rFonts w:hint="eastAsia" w:cs="宋体"/>
        </w:rPr>
        <w:t>7.2已确定中标供应商但尚未签订政府采购合同的，中标结果无效，从合格的中标候选人中另行确定中标供应商；没有合格的中标候选人的，重新开展政府采购活动。</w:t>
      </w:r>
    </w:p>
    <w:p>
      <w:pPr>
        <w:pStyle w:val="26"/>
        <w:snapToGrid w:val="0"/>
        <w:spacing w:line="360" w:lineRule="auto"/>
        <w:rPr>
          <w:rFonts w:cs="宋体"/>
        </w:rPr>
      </w:pPr>
      <w:r>
        <w:rPr>
          <w:rFonts w:hint="eastAsia" w:cs="宋体"/>
        </w:rPr>
        <w:t>7.3政府采购合同已签订但尚未履行的，撤销合同，从合格的中标候选人中另行确定中标供应商；没有合格的中标候选人的，重新开展政府采购活动。</w:t>
      </w:r>
    </w:p>
    <w:p>
      <w:pPr>
        <w:pStyle w:val="26"/>
        <w:snapToGrid w:val="0"/>
        <w:spacing w:line="360" w:lineRule="auto"/>
        <w:rPr>
          <w:rFonts w:cs="宋体"/>
        </w:rPr>
      </w:pPr>
      <w:r>
        <w:rPr>
          <w:rFonts w:hint="eastAsia" w:cs="宋体"/>
        </w:rPr>
        <w:t>7.4政府采购合同已经履行，给采购人、供应商造成损失的，由责任人承担赔偿责任。</w:t>
      </w:r>
    </w:p>
    <w:p>
      <w:pPr>
        <w:pStyle w:val="26"/>
        <w:snapToGrid w:val="0"/>
        <w:spacing w:line="360" w:lineRule="auto"/>
        <w:rPr>
          <w:rFonts w:cs="宋体"/>
        </w:rPr>
      </w:pPr>
      <w:r>
        <w:rPr>
          <w:rFonts w:hint="eastAsia" w:cs="宋体"/>
        </w:rPr>
        <w:t>7.5政府采购当事人有其他违反政府采购法或者政府采购法实施条例等法律法规规定的行为，经改正后仍然影响或者可能影响中标结果或者依法被认定为中标无效的，依照7.1-7.4规定处理。</w:t>
      </w:r>
    </w:p>
    <w:p>
      <w:pPr>
        <w:pStyle w:val="26"/>
        <w:snapToGrid w:val="0"/>
        <w:spacing w:line="360" w:lineRule="auto"/>
        <w:ind w:firstLine="0" w:firstLineChars="0"/>
        <w:rPr>
          <w:rFonts w:cs="宋体"/>
        </w:rPr>
      </w:pPr>
    </w:p>
    <w:bookmarkEnd w:id="27"/>
    <w:p>
      <w:pPr>
        <w:spacing w:line="360" w:lineRule="auto"/>
        <w:ind w:left="720" w:leftChars="343" w:firstLine="1084" w:firstLineChars="300"/>
        <w:outlineLvl w:val="0"/>
        <w:rPr>
          <w:rFonts w:ascii="宋体" w:hAnsi="宋体" w:cs="宋体"/>
          <w:b/>
          <w:sz w:val="36"/>
          <w:szCs w:val="36"/>
        </w:rPr>
      </w:pPr>
      <w:bookmarkStart w:id="393" w:name="第五部分"/>
      <w:bookmarkStart w:id="394" w:name="_Toc86217003"/>
    </w:p>
    <w:p>
      <w:pPr>
        <w:spacing w:line="360" w:lineRule="auto"/>
        <w:ind w:left="720" w:leftChars="343" w:firstLine="1084" w:firstLineChars="300"/>
        <w:outlineLvl w:val="0"/>
        <w:rPr>
          <w:rFonts w:ascii="宋体" w:hAnsi="宋体" w:cs="宋体"/>
          <w:b/>
          <w:sz w:val="36"/>
          <w:szCs w:val="36"/>
        </w:rPr>
      </w:pPr>
      <w:r>
        <w:rPr>
          <w:rFonts w:hint="eastAsia" w:ascii="宋体" w:hAnsi="宋体" w:cs="宋体"/>
          <w:b/>
          <w:sz w:val="36"/>
          <w:szCs w:val="36"/>
        </w:rPr>
        <w:t xml:space="preserve">    </w:t>
      </w:r>
    </w:p>
    <w:p>
      <w:pPr>
        <w:spacing w:line="360" w:lineRule="auto"/>
        <w:outlineLvl w:val="0"/>
        <w:rPr>
          <w:rFonts w:ascii="宋体" w:hAnsi="宋体" w:cs="宋体"/>
          <w:b/>
          <w:sz w:val="36"/>
          <w:szCs w:val="36"/>
        </w:rPr>
      </w:pPr>
    </w:p>
    <w:p>
      <w:pPr>
        <w:widowControl/>
        <w:adjustRightInd/>
        <w:jc w:val="left"/>
        <w:rPr>
          <w:rFonts w:ascii="宋体" w:hAnsi="宋体" w:cs="宋体"/>
          <w:b/>
          <w:sz w:val="36"/>
          <w:szCs w:val="36"/>
        </w:rPr>
      </w:pPr>
      <w:r>
        <w:rPr>
          <w:rFonts w:ascii="宋体" w:hAnsi="宋体" w:cs="宋体"/>
          <w:b/>
          <w:sz w:val="36"/>
          <w:szCs w:val="36"/>
        </w:rPr>
        <w:br w:type="page"/>
      </w:r>
    </w:p>
    <w:p>
      <w:pPr>
        <w:spacing w:line="360" w:lineRule="auto"/>
        <w:ind w:left="720" w:leftChars="343" w:firstLine="1084" w:firstLineChars="300"/>
        <w:outlineLvl w:val="0"/>
        <w:rPr>
          <w:rFonts w:ascii="宋体" w:hAnsi="宋体" w:cs="宋体"/>
          <w:b/>
          <w:sz w:val="36"/>
          <w:szCs w:val="36"/>
        </w:rPr>
      </w:pPr>
      <w:r>
        <w:rPr>
          <w:rFonts w:hint="eastAsia" w:ascii="宋体" w:hAnsi="宋体" w:cs="宋体"/>
          <w:b/>
          <w:sz w:val="36"/>
          <w:szCs w:val="36"/>
        </w:rPr>
        <w:t>第五部分 拟签订的合同文本</w:t>
      </w:r>
    </w:p>
    <w:p>
      <w:pPr>
        <w:pStyle w:val="3"/>
        <w:spacing w:line="360" w:lineRule="auto"/>
        <w:jc w:val="center"/>
        <w:rPr>
          <w:sz w:val="36"/>
        </w:rPr>
      </w:pPr>
      <w:r>
        <w:rPr>
          <w:rFonts w:hint="eastAsia"/>
          <w:sz w:val="36"/>
        </w:rPr>
        <w:t xml:space="preserve">  政府采购合同主要条款指引</w:t>
      </w:r>
    </w:p>
    <w:p>
      <w:pPr>
        <w:snapToGrid w:val="0"/>
        <w:spacing w:beforeLines="50" w:afterLines="50" w:line="360" w:lineRule="auto"/>
        <w:jc w:val="center"/>
        <w:rPr>
          <w:rFonts w:ascii="宋体" w:hAnsi="宋体"/>
          <w:b/>
          <w:sz w:val="24"/>
        </w:rPr>
      </w:pPr>
      <w:bookmarkStart w:id="395" w:name="_Toc21379_WPSOffice_Level2"/>
      <w:r>
        <w:rPr>
          <w:rFonts w:hint="eastAsia" w:ascii="宋体" w:hAnsi="宋体"/>
          <w:b/>
          <w:sz w:val="24"/>
        </w:rPr>
        <w:t>（本合同为合同样稿，最终稿由双方协商后确定）</w:t>
      </w:r>
      <w:bookmarkEnd w:id="395"/>
    </w:p>
    <w:p>
      <w:pPr>
        <w:pStyle w:val="34"/>
        <w:snapToGrid w:val="0"/>
        <w:spacing w:line="360" w:lineRule="auto"/>
        <w:ind w:firstLine="771"/>
        <w:jc w:val="center"/>
        <w:rPr>
          <w:rFonts w:hAnsi="宋体" w:cs="宋体"/>
        </w:rPr>
      </w:pPr>
      <w:r>
        <w:rPr>
          <w:rFonts w:hint="eastAsia" w:hAnsi="宋体" w:cs="宋体"/>
        </w:rPr>
        <w:t xml:space="preserve">                   编  号：</w:t>
      </w:r>
    </w:p>
    <w:p>
      <w:pPr>
        <w:pStyle w:val="34"/>
        <w:snapToGrid w:val="0"/>
        <w:spacing w:line="360" w:lineRule="auto"/>
        <w:ind w:firstLine="771"/>
        <w:jc w:val="center"/>
        <w:rPr>
          <w:rFonts w:hAnsi="宋体" w:cs="宋体"/>
        </w:rPr>
      </w:pPr>
      <w:r>
        <w:rPr>
          <w:rFonts w:hint="eastAsia" w:hAnsi="宋体" w:cs="宋体"/>
        </w:rPr>
        <w:t xml:space="preserve">                   确认号：</w:t>
      </w:r>
    </w:p>
    <w:p>
      <w:pPr>
        <w:spacing w:line="360" w:lineRule="auto"/>
        <w:ind w:firstLine="560" w:firstLineChars="200"/>
        <w:rPr>
          <w:bCs/>
          <w:sz w:val="28"/>
          <w:szCs w:val="28"/>
        </w:rPr>
      </w:pPr>
      <w:r>
        <w:rPr>
          <w:bCs/>
          <w:sz w:val="28"/>
          <w:szCs w:val="28"/>
        </w:rPr>
        <w:t xml:space="preserve">甲方（采购人）： </w:t>
      </w:r>
    </w:p>
    <w:p>
      <w:pPr>
        <w:spacing w:line="360" w:lineRule="auto"/>
        <w:ind w:firstLine="560" w:firstLineChars="200"/>
        <w:rPr>
          <w:bCs/>
          <w:sz w:val="28"/>
          <w:szCs w:val="28"/>
        </w:rPr>
      </w:pPr>
      <w:r>
        <w:rPr>
          <w:bCs/>
          <w:sz w:val="28"/>
          <w:szCs w:val="28"/>
        </w:rPr>
        <w:t xml:space="preserve">乙方（供应商）： </w:t>
      </w:r>
    </w:p>
    <w:p>
      <w:pPr>
        <w:pStyle w:val="34"/>
        <w:snapToGrid w:val="0"/>
        <w:spacing w:line="360" w:lineRule="auto"/>
        <w:ind w:firstLine="560" w:firstLineChars="200"/>
        <w:rPr>
          <w:rFonts w:ascii="Times New Roman" w:hAnsi="Times New Roman"/>
          <w:bCs/>
          <w:kern w:val="0"/>
          <w:sz w:val="28"/>
          <w:szCs w:val="28"/>
        </w:rPr>
      </w:pPr>
      <w:r>
        <w:rPr>
          <w:rFonts w:ascii="Times New Roman" w:hAnsi="Times New Roman"/>
          <w:bCs/>
          <w:kern w:val="0"/>
          <w:sz w:val="28"/>
          <w:szCs w:val="28"/>
        </w:rPr>
        <w:t>甲、乙双方根据</w:t>
      </w:r>
      <w:r>
        <w:rPr>
          <w:rFonts w:hint="eastAsia" w:ascii="Times New Roman" w:hAnsi="Times New Roman"/>
          <w:bCs/>
          <w:sz w:val="28"/>
          <w:szCs w:val="28"/>
        </w:rPr>
        <w:t>临安区山牛坞渗滤液处理厂全量化处理第三方运维</w:t>
      </w:r>
      <w:r>
        <w:rPr>
          <w:rFonts w:ascii="Times New Roman" w:hAnsi="Times New Roman"/>
          <w:bCs/>
          <w:sz w:val="28"/>
          <w:szCs w:val="28"/>
        </w:rPr>
        <w:t>项目</w:t>
      </w:r>
      <w:r>
        <w:rPr>
          <w:rFonts w:ascii="Times New Roman" w:hAnsi="Times New Roman"/>
          <w:bCs/>
          <w:kern w:val="0"/>
          <w:sz w:val="28"/>
          <w:szCs w:val="28"/>
        </w:rPr>
        <w:t>公开招标的结果，签署本合同。</w:t>
      </w:r>
    </w:p>
    <w:p>
      <w:pPr>
        <w:pStyle w:val="34"/>
        <w:snapToGrid w:val="0"/>
        <w:spacing w:line="360" w:lineRule="auto"/>
        <w:ind w:firstLine="599" w:firstLineChars="213"/>
        <w:outlineLvl w:val="0"/>
        <w:rPr>
          <w:rFonts w:ascii="Times New Roman" w:hAnsi="Times New Roman"/>
          <w:b/>
          <w:sz w:val="28"/>
          <w:szCs w:val="28"/>
        </w:rPr>
      </w:pPr>
      <w:r>
        <w:rPr>
          <w:rFonts w:ascii="Times New Roman" w:hAnsi="Times New Roman"/>
          <w:b/>
          <w:kern w:val="0"/>
          <w:sz w:val="28"/>
          <w:szCs w:val="28"/>
        </w:rPr>
        <w:t>一、服务内容</w:t>
      </w:r>
      <w:r>
        <w:rPr>
          <w:rFonts w:ascii="Times New Roman" w:hAnsi="Times New Roman"/>
          <w:b/>
          <w:sz w:val="28"/>
          <w:szCs w:val="28"/>
        </w:rPr>
        <w:t>及合同价格</w:t>
      </w:r>
    </w:p>
    <w:p>
      <w:pPr>
        <w:pStyle w:val="34"/>
        <w:snapToGrid w:val="0"/>
        <w:spacing w:line="360" w:lineRule="auto"/>
        <w:ind w:firstLine="596" w:firstLineChars="213"/>
        <w:jc w:val="center"/>
        <w:rPr>
          <w:rFonts w:ascii="Times New Roman" w:hAnsi="Times New Roman"/>
          <w:bCs/>
          <w:sz w:val="28"/>
          <w:szCs w:val="28"/>
        </w:rPr>
      </w:pPr>
      <w:r>
        <w:rPr>
          <w:rFonts w:ascii="Times New Roman" w:hAnsi="Times New Roman"/>
          <w:bCs/>
          <w:sz w:val="28"/>
          <w:szCs w:val="28"/>
        </w:rPr>
        <w:t xml:space="preserve">                                      金额单位：元 </w:t>
      </w:r>
    </w:p>
    <w:tbl>
      <w:tblPr>
        <w:tblStyle w:val="62"/>
        <w:tblpPr w:leftFromText="180" w:rightFromText="180" w:vertAnchor="text" w:horzAnchor="page" w:tblpX="1435" w:tblpY="106"/>
        <w:tblOverlap w:val="never"/>
        <w:tblW w:w="91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35"/>
        <w:gridCol w:w="1785"/>
        <w:gridCol w:w="1485"/>
        <w:gridCol w:w="1880"/>
        <w:gridCol w:w="1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2335" w:type="dxa"/>
            <w:noWrap/>
            <w:vAlign w:val="center"/>
          </w:tcPr>
          <w:p>
            <w:pPr>
              <w:pStyle w:val="34"/>
              <w:snapToGrid w:val="0"/>
              <w:spacing w:line="360" w:lineRule="auto"/>
              <w:jc w:val="center"/>
              <w:rPr>
                <w:rFonts w:ascii="Times New Roman" w:hAnsi="Times New Roman"/>
                <w:bCs/>
                <w:sz w:val="28"/>
                <w:szCs w:val="28"/>
              </w:rPr>
            </w:pPr>
            <w:r>
              <w:rPr>
                <w:rFonts w:ascii="Times New Roman" w:hAnsi="Times New Roman"/>
                <w:bCs/>
                <w:sz w:val="28"/>
                <w:szCs w:val="28"/>
              </w:rPr>
              <w:t>项目名称</w:t>
            </w:r>
          </w:p>
        </w:tc>
        <w:tc>
          <w:tcPr>
            <w:tcW w:w="1785" w:type="dxa"/>
            <w:noWrap/>
            <w:vAlign w:val="center"/>
          </w:tcPr>
          <w:p>
            <w:pPr>
              <w:pStyle w:val="34"/>
              <w:snapToGrid w:val="0"/>
              <w:spacing w:line="360" w:lineRule="auto"/>
              <w:jc w:val="center"/>
              <w:rPr>
                <w:rFonts w:ascii="Times New Roman" w:hAnsi="Times New Roman"/>
                <w:bCs/>
                <w:sz w:val="28"/>
                <w:szCs w:val="28"/>
              </w:rPr>
            </w:pPr>
            <w:r>
              <w:rPr>
                <w:rFonts w:ascii="Times New Roman" w:hAnsi="Times New Roman"/>
                <w:bCs/>
                <w:sz w:val="28"/>
                <w:szCs w:val="28"/>
              </w:rPr>
              <w:t>服务期（年）</w:t>
            </w:r>
          </w:p>
        </w:tc>
        <w:tc>
          <w:tcPr>
            <w:tcW w:w="1485" w:type="dxa"/>
            <w:noWrap/>
            <w:vAlign w:val="center"/>
          </w:tcPr>
          <w:p>
            <w:pPr>
              <w:pStyle w:val="34"/>
              <w:snapToGrid w:val="0"/>
              <w:spacing w:line="360" w:lineRule="auto"/>
              <w:jc w:val="center"/>
              <w:rPr>
                <w:rFonts w:ascii="Times New Roman" w:hAnsi="Times New Roman"/>
                <w:bCs/>
                <w:sz w:val="28"/>
                <w:szCs w:val="28"/>
              </w:rPr>
            </w:pPr>
            <w:r>
              <w:rPr>
                <w:rFonts w:hint="eastAsia" w:ascii="Times New Roman" w:hAnsi="Times New Roman"/>
                <w:bCs/>
                <w:sz w:val="28"/>
                <w:szCs w:val="28"/>
              </w:rPr>
              <w:t>总价</w:t>
            </w:r>
          </w:p>
        </w:tc>
        <w:tc>
          <w:tcPr>
            <w:tcW w:w="1880" w:type="dxa"/>
            <w:noWrap/>
            <w:vAlign w:val="center"/>
          </w:tcPr>
          <w:p>
            <w:pPr>
              <w:pStyle w:val="34"/>
              <w:snapToGrid w:val="0"/>
              <w:spacing w:line="360" w:lineRule="auto"/>
              <w:jc w:val="center"/>
              <w:rPr>
                <w:rFonts w:ascii="Times New Roman" w:hAnsi="Times New Roman"/>
                <w:bCs/>
                <w:sz w:val="28"/>
                <w:szCs w:val="28"/>
              </w:rPr>
            </w:pPr>
            <w:r>
              <w:rPr>
                <w:rFonts w:ascii="Times New Roman" w:hAnsi="Times New Roman"/>
                <w:bCs/>
                <w:sz w:val="28"/>
                <w:szCs w:val="28"/>
              </w:rPr>
              <w:t>单 价（元/吨）</w:t>
            </w:r>
          </w:p>
        </w:tc>
        <w:tc>
          <w:tcPr>
            <w:tcW w:w="1630" w:type="dxa"/>
            <w:noWrap/>
            <w:vAlign w:val="center"/>
          </w:tcPr>
          <w:p>
            <w:pPr>
              <w:pStyle w:val="34"/>
              <w:snapToGrid w:val="0"/>
              <w:spacing w:line="360" w:lineRule="auto"/>
              <w:jc w:val="center"/>
              <w:rPr>
                <w:rFonts w:ascii="Times New Roman" w:hAnsi="Times New Roman"/>
                <w:bCs/>
                <w:sz w:val="28"/>
                <w:szCs w:val="28"/>
              </w:rPr>
            </w:pPr>
            <w:r>
              <w:rPr>
                <w:rFonts w:ascii="Times New Roman" w:hAnsi="Times New Roman"/>
                <w:bCs/>
                <w:sz w:val="28"/>
                <w:szCs w:val="28"/>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9" w:hRule="atLeast"/>
        </w:trPr>
        <w:tc>
          <w:tcPr>
            <w:tcW w:w="2335" w:type="dxa"/>
            <w:vMerge w:val="restart"/>
            <w:noWrap/>
            <w:vAlign w:val="center"/>
          </w:tcPr>
          <w:p>
            <w:pPr>
              <w:spacing w:line="360" w:lineRule="auto"/>
              <w:jc w:val="center"/>
              <w:rPr>
                <w:bCs/>
                <w:sz w:val="28"/>
                <w:szCs w:val="28"/>
              </w:rPr>
            </w:pPr>
            <w:r>
              <w:rPr>
                <w:rFonts w:hint="eastAsia"/>
                <w:bCs/>
                <w:sz w:val="28"/>
                <w:szCs w:val="28"/>
              </w:rPr>
              <w:t>临安区山牛坞渗滤液处理厂全量化处理第三方运维</w:t>
            </w:r>
            <w:r>
              <w:rPr>
                <w:bCs/>
                <w:sz w:val="28"/>
                <w:szCs w:val="28"/>
              </w:rPr>
              <w:t>项目</w:t>
            </w:r>
          </w:p>
        </w:tc>
        <w:tc>
          <w:tcPr>
            <w:tcW w:w="1785" w:type="dxa"/>
            <w:vMerge w:val="restart"/>
            <w:noWrap/>
            <w:vAlign w:val="center"/>
          </w:tcPr>
          <w:p>
            <w:pPr>
              <w:spacing w:line="360" w:lineRule="auto"/>
              <w:jc w:val="center"/>
              <w:rPr>
                <w:bCs/>
                <w:sz w:val="28"/>
                <w:szCs w:val="28"/>
              </w:rPr>
            </w:pPr>
            <w:r>
              <w:rPr>
                <w:bCs/>
                <w:sz w:val="28"/>
                <w:szCs w:val="28"/>
              </w:rPr>
              <w:t>3年</w:t>
            </w:r>
          </w:p>
        </w:tc>
        <w:tc>
          <w:tcPr>
            <w:tcW w:w="1485" w:type="dxa"/>
            <w:vMerge w:val="restart"/>
            <w:noWrap/>
            <w:vAlign w:val="center"/>
          </w:tcPr>
          <w:p>
            <w:pPr>
              <w:spacing w:line="360" w:lineRule="auto"/>
              <w:jc w:val="center"/>
              <w:rPr>
                <w:bCs/>
                <w:sz w:val="28"/>
                <w:szCs w:val="28"/>
              </w:rPr>
            </w:pPr>
          </w:p>
        </w:tc>
        <w:tc>
          <w:tcPr>
            <w:tcW w:w="1880" w:type="dxa"/>
            <w:noWrap/>
            <w:vAlign w:val="center"/>
          </w:tcPr>
          <w:p>
            <w:pPr>
              <w:spacing w:line="360" w:lineRule="auto"/>
              <w:jc w:val="center"/>
              <w:rPr>
                <w:bCs/>
                <w:sz w:val="28"/>
                <w:szCs w:val="28"/>
              </w:rPr>
            </w:pPr>
          </w:p>
        </w:tc>
        <w:tc>
          <w:tcPr>
            <w:tcW w:w="1630" w:type="dxa"/>
            <w:noWrap/>
            <w:vAlign w:val="center"/>
          </w:tcPr>
          <w:p>
            <w:pPr>
              <w:pStyle w:val="963"/>
              <w:jc w:val="center"/>
              <w:rPr>
                <w:rFonts w:ascii="Times New Roman"/>
                <w:bCs/>
                <w:color w:val="auto"/>
                <w:sz w:val="28"/>
                <w:szCs w:val="28"/>
              </w:rPr>
            </w:pPr>
            <w:r>
              <w:rPr>
                <w:rFonts w:hint="eastAsia" w:ascii="Times New Roman"/>
                <w:bCs/>
                <w:color w:val="auto"/>
                <w:sz w:val="18"/>
                <w:szCs w:val="18"/>
              </w:rPr>
              <w:t>渗滤液（含浓缩液）单价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trPr>
        <w:tc>
          <w:tcPr>
            <w:tcW w:w="2335" w:type="dxa"/>
            <w:vMerge w:val="continue"/>
            <w:noWrap/>
            <w:vAlign w:val="center"/>
          </w:tcPr>
          <w:p>
            <w:pPr>
              <w:spacing w:line="360" w:lineRule="auto"/>
              <w:jc w:val="center"/>
              <w:rPr>
                <w:bCs/>
                <w:sz w:val="28"/>
                <w:szCs w:val="28"/>
              </w:rPr>
            </w:pPr>
          </w:p>
        </w:tc>
        <w:tc>
          <w:tcPr>
            <w:tcW w:w="1785" w:type="dxa"/>
            <w:vMerge w:val="continue"/>
            <w:noWrap/>
            <w:vAlign w:val="center"/>
          </w:tcPr>
          <w:p>
            <w:pPr>
              <w:spacing w:line="360" w:lineRule="auto"/>
              <w:jc w:val="center"/>
              <w:rPr>
                <w:bCs/>
                <w:sz w:val="28"/>
                <w:szCs w:val="28"/>
              </w:rPr>
            </w:pPr>
          </w:p>
        </w:tc>
        <w:tc>
          <w:tcPr>
            <w:tcW w:w="1485" w:type="dxa"/>
            <w:vMerge w:val="continue"/>
            <w:noWrap/>
            <w:vAlign w:val="center"/>
          </w:tcPr>
          <w:p>
            <w:pPr>
              <w:spacing w:line="360" w:lineRule="auto"/>
              <w:jc w:val="center"/>
              <w:rPr>
                <w:bCs/>
                <w:sz w:val="28"/>
                <w:szCs w:val="28"/>
              </w:rPr>
            </w:pPr>
          </w:p>
        </w:tc>
        <w:tc>
          <w:tcPr>
            <w:tcW w:w="1880" w:type="dxa"/>
            <w:noWrap/>
            <w:vAlign w:val="center"/>
          </w:tcPr>
          <w:p>
            <w:pPr>
              <w:spacing w:line="360" w:lineRule="auto"/>
              <w:jc w:val="center"/>
              <w:rPr>
                <w:bCs/>
                <w:sz w:val="28"/>
                <w:szCs w:val="28"/>
              </w:rPr>
            </w:pPr>
          </w:p>
        </w:tc>
        <w:tc>
          <w:tcPr>
            <w:tcW w:w="1630" w:type="dxa"/>
            <w:noWrap/>
            <w:vAlign w:val="center"/>
          </w:tcPr>
          <w:p>
            <w:pPr>
              <w:pStyle w:val="963"/>
              <w:jc w:val="center"/>
              <w:rPr>
                <w:rFonts w:ascii="Times New Roman"/>
                <w:bCs/>
                <w:color w:val="auto"/>
                <w:sz w:val="28"/>
                <w:szCs w:val="28"/>
              </w:rPr>
            </w:pPr>
            <w:r>
              <w:rPr>
                <w:rFonts w:hint="eastAsia" w:ascii="Times New Roman"/>
                <w:bCs/>
                <w:color w:val="auto"/>
                <w:sz w:val="18"/>
                <w:szCs w:val="18"/>
              </w:rPr>
              <w:t>中转站渗液预处理单价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 w:hRule="atLeast"/>
        </w:trPr>
        <w:tc>
          <w:tcPr>
            <w:tcW w:w="2335" w:type="dxa"/>
            <w:noWrap/>
            <w:vAlign w:val="center"/>
          </w:tcPr>
          <w:p>
            <w:pPr>
              <w:pStyle w:val="34"/>
              <w:snapToGrid w:val="0"/>
              <w:spacing w:line="360" w:lineRule="auto"/>
              <w:rPr>
                <w:rFonts w:ascii="Times New Roman" w:hAnsi="Times New Roman"/>
                <w:bCs/>
                <w:sz w:val="28"/>
                <w:szCs w:val="28"/>
                <w:u w:val="single"/>
              </w:rPr>
            </w:pPr>
            <w:r>
              <w:rPr>
                <w:rFonts w:ascii="Times New Roman" w:hAnsi="Times New Roman"/>
                <w:bCs/>
                <w:sz w:val="28"/>
                <w:szCs w:val="28"/>
              </w:rPr>
              <w:t>合同总价大写：</w:t>
            </w:r>
          </w:p>
          <w:p>
            <w:pPr>
              <w:pStyle w:val="34"/>
              <w:snapToGrid w:val="0"/>
              <w:spacing w:line="360" w:lineRule="auto"/>
              <w:ind w:firstLine="1120" w:firstLineChars="400"/>
              <w:rPr>
                <w:rFonts w:ascii="Times New Roman" w:hAnsi="Times New Roman"/>
                <w:bCs/>
                <w:sz w:val="28"/>
                <w:szCs w:val="28"/>
              </w:rPr>
            </w:pPr>
            <w:r>
              <w:rPr>
                <w:rFonts w:ascii="Times New Roman" w:hAnsi="Times New Roman"/>
                <w:bCs/>
                <w:sz w:val="28"/>
                <w:szCs w:val="28"/>
              </w:rPr>
              <w:t>小写：</w:t>
            </w:r>
          </w:p>
        </w:tc>
        <w:tc>
          <w:tcPr>
            <w:tcW w:w="6780" w:type="dxa"/>
            <w:gridSpan w:val="4"/>
            <w:noWrap/>
            <w:vAlign w:val="center"/>
          </w:tcPr>
          <w:p>
            <w:pPr>
              <w:pStyle w:val="34"/>
              <w:snapToGrid w:val="0"/>
              <w:spacing w:line="360" w:lineRule="auto"/>
              <w:ind w:firstLine="1120" w:firstLineChars="400"/>
              <w:rPr>
                <w:rFonts w:ascii="Times New Roman" w:hAnsi="Times New Roman"/>
                <w:bCs/>
                <w:sz w:val="28"/>
                <w:szCs w:val="28"/>
              </w:rPr>
            </w:pPr>
          </w:p>
        </w:tc>
      </w:tr>
    </w:tbl>
    <w:p>
      <w:pPr>
        <w:pStyle w:val="34"/>
        <w:snapToGrid w:val="0"/>
        <w:spacing w:line="360" w:lineRule="auto"/>
        <w:ind w:firstLine="596" w:firstLineChars="213"/>
        <w:rPr>
          <w:rFonts w:ascii="Times New Roman" w:hAnsi="Times New Roman"/>
          <w:bCs/>
          <w:sz w:val="28"/>
          <w:szCs w:val="28"/>
        </w:rPr>
      </w:pPr>
      <w:r>
        <w:rPr>
          <w:rFonts w:ascii="Times New Roman" w:hAnsi="Times New Roman"/>
          <w:bCs/>
          <w:sz w:val="28"/>
          <w:szCs w:val="28"/>
        </w:rPr>
        <w:t>注：以上合同总价包含渗滤液处理正常运营所需的一切费用。</w:t>
      </w:r>
    </w:p>
    <w:p>
      <w:pPr>
        <w:pStyle w:val="34"/>
        <w:snapToGrid w:val="0"/>
        <w:spacing w:line="360" w:lineRule="auto"/>
        <w:ind w:firstLine="599" w:firstLineChars="213"/>
        <w:outlineLvl w:val="0"/>
        <w:rPr>
          <w:rFonts w:ascii="Times New Roman" w:hAnsi="Times New Roman"/>
          <w:b/>
          <w:kern w:val="0"/>
          <w:sz w:val="28"/>
          <w:szCs w:val="28"/>
        </w:rPr>
      </w:pPr>
      <w:r>
        <w:rPr>
          <w:rFonts w:ascii="Times New Roman" w:hAnsi="Times New Roman"/>
          <w:b/>
          <w:kern w:val="0"/>
          <w:sz w:val="28"/>
          <w:szCs w:val="28"/>
        </w:rPr>
        <w:t>二、技术资料</w:t>
      </w:r>
    </w:p>
    <w:p>
      <w:pPr>
        <w:pStyle w:val="34"/>
        <w:snapToGrid w:val="0"/>
        <w:spacing w:line="360" w:lineRule="auto"/>
        <w:ind w:firstLine="596" w:firstLineChars="213"/>
        <w:rPr>
          <w:rFonts w:ascii="Times New Roman" w:hAnsi="Times New Roman"/>
          <w:bCs/>
          <w:kern w:val="0"/>
          <w:sz w:val="28"/>
          <w:szCs w:val="28"/>
        </w:rPr>
      </w:pPr>
      <w:r>
        <w:rPr>
          <w:rFonts w:ascii="Times New Roman" w:hAnsi="Times New Roman"/>
          <w:bCs/>
          <w:kern w:val="0"/>
          <w:sz w:val="28"/>
          <w:szCs w:val="28"/>
        </w:rPr>
        <w:t>1.乙方应按招标文件规定的时间向甲方提供服务的有关技术资料。</w:t>
      </w:r>
    </w:p>
    <w:p>
      <w:pPr>
        <w:pStyle w:val="34"/>
        <w:snapToGrid w:val="0"/>
        <w:spacing w:line="360" w:lineRule="auto"/>
        <w:ind w:firstLine="596" w:firstLineChars="213"/>
        <w:rPr>
          <w:rFonts w:ascii="Times New Roman" w:hAnsi="Times New Roman"/>
          <w:bCs/>
          <w:kern w:val="0"/>
          <w:sz w:val="28"/>
          <w:szCs w:val="28"/>
        </w:rPr>
      </w:pPr>
      <w:r>
        <w:rPr>
          <w:rFonts w:ascii="Times New Roman" w:hAnsi="Times New Roman"/>
          <w:bCs/>
          <w:kern w:val="0"/>
          <w:sz w:val="28"/>
          <w:szCs w:val="28"/>
        </w:rPr>
        <w:t>2. 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pStyle w:val="34"/>
        <w:snapToGrid w:val="0"/>
        <w:spacing w:line="360" w:lineRule="auto"/>
        <w:ind w:firstLine="599" w:firstLineChars="213"/>
        <w:outlineLvl w:val="0"/>
        <w:rPr>
          <w:rFonts w:ascii="Times New Roman" w:hAnsi="Times New Roman"/>
          <w:b/>
          <w:kern w:val="0"/>
          <w:sz w:val="28"/>
          <w:szCs w:val="28"/>
        </w:rPr>
      </w:pPr>
      <w:r>
        <w:rPr>
          <w:rFonts w:ascii="Times New Roman" w:hAnsi="Times New Roman"/>
          <w:b/>
          <w:kern w:val="0"/>
          <w:sz w:val="28"/>
          <w:szCs w:val="28"/>
        </w:rPr>
        <w:t>三、知识产权</w:t>
      </w:r>
    </w:p>
    <w:p>
      <w:pPr>
        <w:pStyle w:val="34"/>
        <w:snapToGrid w:val="0"/>
        <w:spacing w:line="360" w:lineRule="auto"/>
        <w:ind w:firstLine="596" w:firstLineChars="213"/>
        <w:rPr>
          <w:rFonts w:ascii="Times New Roman" w:hAnsi="Times New Roman"/>
          <w:bCs/>
          <w:kern w:val="0"/>
          <w:sz w:val="28"/>
          <w:szCs w:val="28"/>
        </w:rPr>
      </w:pPr>
      <w:r>
        <w:rPr>
          <w:rFonts w:ascii="Times New Roman" w:hAnsi="Times New Roman"/>
          <w:bCs/>
          <w:kern w:val="0"/>
          <w:sz w:val="28"/>
          <w:szCs w:val="28"/>
        </w:rPr>
        <w:t>乙方应保证所提供的技术服务或其任何一部分均不会侵犯任何第三方的知识产权。</w:t>
      </w:r>
    </w:p>
    <w:p>
      <w:pPr>
        <w:pStyle w:val="34"/>
        <w:snapToGrid w:val="0"/>
        <w:spacing w:line="360" w:lineRule="auto"/>
        <w:ind w:firstLine="599" w:firstLineChars="213"/>
        <w:outlineLvl w:val="0"/>
        <w:rPr>
          <w:rFonts w:ascii="Times New Roman" w:hAnsi="Times New Roman"/>
          <w:b/>
          <w:kern w:val="0"/>
          <w:sz w:val="28"/>
          <w:szCs w:val="28"/>
        </w:rPr>
      </w:pPr>
      <w:r>
        <w:rPr>
          <w:rFonts w:ascii="Times New Roman" w:hAnsi="Times New Roman"/>
          <w:b/>
          <w:kern w:val="0"/>
          <w:sz w:val="28"/>
          <w:szCs w:val="28"/>
        </w:rPr>
        <w:t>四、甲方的权利与义务</w:t>
      </w:r>
    </w:p>
    <w:p>
      <w:pPr>
        <w:autoSpaceDE w:val="0"/>
        <w:autoSpaceDN w:val="0"/>
        <w:spacing w:line="360" w:lineRule="auto"/>
        <w:ind w:firstLine="560" w:firstLineChars="200"/>
        <w:rPr>
          <w:bCs/>
          <w:sz w:val="28"/>
          <w:szCs w:val="28"/>
        </w:rPr>
      </w:pPr>
      <w:r>
        <w:rPr>
          <w:bCs/>
          <w:sz w:val="28"/>
          <w:szCs w:val="28"/>
        </w:rPr>
        <w:t>1.甲方协助垃圾渗滤液处理厂运营与当地相关行政部门、单位等的协调工作。</w:t>
      </w:r>
    </w:p>
    <w:p>
      <w:pPr>
        <w:autoSpaceDE w:val="0"/>
        <w:autoSpaceDN w:val="0"/>
        <w:spacing w:line="360" w:lineRule="auto"/>
        <w:ind w:firstLine="560" w:firstLineChars="200"/>
        <w:rPr>
          <w:bCs/>
          <w:sz w:val="28"/>
          <w:szCs w:val="28"/>
        </w:rPr>
      </w:pPr>
      <w:r>
        <w:rPr>
          <w:bCs/>
          <w:sz w:val="28"/>
          <w:szCs w:val="28"/>
        </w:rPr>
        <w:t>2.甲方应根据招投标文件及合同的规定及时向乙方支付运营费用。</w:t>
      </w:r>
    </w:p>
    <w:p>
      <w:pPr>
        <w:pStyle w:val="34"/>
        <w:snapToGrid w:val="0"/>
        <w:spacing w:line="360" w:lineRule="auto"/>
        <w:ind w:firstLine="554" w:firstLineChars="198"/>
        <w:rPr>
          <w:rFonts w:ascii="Times New Roman" w:hAnsi="Times New Roman"/>
          <w:bCs/>
          <w:kern w:val="0"/>
          <w:sz w:val="28"/>
          <w:szCs w:val="28"/>
        </w:rPr>
      </w:pPr>
      <w:r>
        <w:rPr>
          <w:rFonts w:ascii="Times New Roman" w:hAnsi="Times New Roman"/>
          <w:bCs/>
          <w:sz w:val="28"/>
          <w:szCs w:val="28"/>
        </w:rPr>
        <w:t>3.甲方或政府职能部门有权监督项目设施的运行和维护，有权检查生产记录、设备维护和常规检测指标的运营记录。但不得干涉、延误或干扰乙方履行合同的权利和义务。</w:t>
      </w:r>
    </w:p>
    <w:p>
      <w:pPr>
        <w:pStyle w:val="34"/>
        <w:snapToGrid w:val="0"/>
        <w:spacing w:line="360" w:lineRule="auto"/>
        <w:ind w:firstLine="599" w:firstLineChars="213"/>
        <w:outlineLvl w:val="0"/>
        <w:rPr>
          <w:rFonts w:ascii="Times New Roman" w:hAnsi="Times New Roman"/>
          <w:b/>
          <w:kern w:val="0"/>
          <w:sz w:val="28"/>
          <w:szCs w:val="28"/>
        </w:rPr>
      </w:pPr>
      <w:r>
        <w:rPr>
          <w:rFonts w:ascii="Times New Roman" w:hAnsi="Times New Roman"/>
          <w:b/>
          <w:kern w:val="0"/>
          <w:sz w:val="28"/>
          <w:szCs w:val="28"/>
        </w:rPr>
        <w:t>五、乙方的权利与义务</w:t>
      </w:r>
    </w:p>
    <w:p>
      <w:pPr>
        <w:autoSpaceDE w:val="0"/>
        <w:autoSpaceDN w:val="0"/>
        <w:spacing w:line="360" w:lineRule="auto"/>
        <w:ind w:firstLine="560" w:firstLineChars="200"/>
        <w:rPr>
          <w:bCs/>
          <w:sz w:val="28"/>
          <w:szCs w:val="28"/>
        </w:rPr>
      </w:pPr>
      <w:r>
        <w:rPr>
          <w:bCs/>
          <w:sz w:val="28"/>
          <w:szCs w:val="28"/>
        </w:rPr>
        <w:t>1.在委托运营期内，乙方负责项目设施设备的管理、运行、维护、更新，保证正常运行，排放的水质符合GB16889-2008《生活垃圾填埋污染控制标准》的表3排放</w:t>
      </w:r>
      <w:r>
        <w:rPr>
          <w:bCs/>
          <w:color w:val="auto"/>
          <w:sz w:val="28"/>
          <w:szCs w:val="28"/>
        </w:rPr>
        <w:t>标准和环保部门对本填埋场的最新排放要求进行排放，且回用率不低于</w:t>
      </w:r>
      <w:r>
        <w:rPr>
          <w:rFonts w:hint="eastAsia"/>
          <w:bCs/>
          <w:color w:val="auto"/>
          <w:sz w:val="28"/>
          <w:szCs w:val="28"/>
        </w:rPr>
        <w:t>3</w:t>
      </w:r>
      <w:r>
        <w:rPr>
          <w:bCs/>
          <w:color w:val="auto"/>
          <w:sz w:val="28"/>
          <w:szCs w:val="28"/>
        </w:rPr>
        <w:t>0%，严格按本合同要求的年平均日处理量550吨/天处理</w:t>
      </w:r>
      <w:r>
        <w:rPr>
          <w:rFonts w:hint="eastAsia"/>
          <w:bCs/>
          <w:color w:val="auto"/>
          <w:sz w:val="28"/>
          <w:szCs w:val="28"/>
          <w:lang w:eastAsia="zh-CN"/>
        </w:rPr>
        <w:t>（含中转渗滤液）</w:t>
      </w:r>
      <w:r>
        <w:rPr>
          <w:bCs/>
          <w:color w:val="auto"/>
          <w:sz w:val="28"/>
          <w:szCs w:val="28"/>
        </w:rPr>
        <w:t>，年平均</w:t>
      </w:r>
      <w:r>
        <w:rPr>
          <w:bCs/>
          <w:sz w:val="28"/>
          <w:szCs w:val="28"/>
        </w:rPr>
        <w:t>日排水量</w:t>
      </w:r>
      <w:r>
        <w:rPr>
          <w:rFonts w:hint="eastAsia"/>
          <w:bCs/>
          <w:sz w:val="28"/>
          <w:szCs w:val="28"/>
        </w:rPr>
        <w:t>495</w:t>
      </w:r>
      <w:r>
        <w:rPr>
          <w:bCs/>
          <w:sz w:val="28"/>
          <w:szCs w:val="28"/>
        </w:rPr>
        <w:t>吨（下浮幅度不超过</w:t>
      </w:r>
      <w:r>
        <w:rPr>
          <w:rFonts w:hint="eastAsia"/>
          <w:bCs/>
          <w:sz w:val="28"/>
          <w:szCs w:val="28"/>
        </w:rPr>
        <w:t>10</w:t>
      </w:r>
      <w:r>
        <w:rPr>
          <w:bCs/>
          <w:sz w:val="28"/>
          <w:szCs w:val="28"/>
        </w:rPr>
        <w:t>%）（结合实际进出水表记录量）。</w:t>
      </w:r>
    </w:p>
    <w:p>
      <w:pPr>
        <w:autoSpaceDE w:val="0"/>
        <w:autoSpaceDN w:val="0"/>
        <w:spacing w:line="360" w:lineRule="auto"/>
        <w:ind w:firstLine="560" w:firstLineChars="200"/>
        <w:jc w:val="left"/>
        <w:rPr>
          <w:bCs/>
          <w:sz w:val="28"/>
          <w:szCs w:val="28"/>
        </w:rPr>
      </w:pPr>
      <w:r>
        <w:rPr>
          <w:bCs/>
          <w:sz w:val="28"/>
          <w:szCs w:val="28"/>
        </w:rPr>
        <w:t xml:space="preserve">2.乙方应如实填报运行登记表和每天实验室的检测数据的规范台帐，接受甲方相关的职能部门监督检查，对甲方或政府职能管理部门人员进厂提出的问题，乙方如实讲解和回答，不得虚报实情。  </w:t>
      </w:r>
    </w:p>
    <w:p>
      <w:pPr>
        <w:autoSpaceDE w:val="0"/>
        <w:autoSpaceDN w:val="0"/>
        <w:spacing w:line="360" w:lineRule="auto"/>
        <w:ind w:firstLine="560" w:firstLineChars="200"/>
        <w:jc w:val="left"/>
        <w:rPr>
          <w:bCs/>
          <w:sz w:val="28"/>
          <w:szCs w:val="28"/>
        </w:rPr>
      </w:pPr>
      <w:r>
        <w:rPr>
          <w:rFonts w:hint="eastAsia"/>
          <w:bCs/>
          <w:sz w:val="28"/>
          <w:szCs w:val="28"/>
        </w:rPr>
        <w:t>3</w:t>
      </w:r>
      <w:r>
        <w:rPr>
          <w:bCs/>
          <w:sz w:val="28"/>
          <w:szCs w:val="28"/>
        </w:rPr>
        <w:t>.乙方应向甲方提供《渗滤液处理操作规程》，相关的科室制度应上墙，做好安全生产，并做好车间及生活区的卫生。</w:t>
      </w:r>
    </w:p>
    <w:p>
      <w:pPr>
        <w:autoSpaceDE w:val="0"/>
        <w:autoSpaceDN w:val="0"/>
        <w:spacing w:line="360" w:lineRule="auto"/>
        <w:ind w:firstLine="560" w:firstLineChars="200"/>
        <w:jc w:val="left"/>
        <w:rPr>
          <w:bCs/>
          <w:sz w:val="28"/>
          <w:szCs w:val="28"/>
        </w:rPr>
      </w:pPr>
      <w:r>
        <w:rPr>
          <w:rFonts w:hint="eastAsia"/>
          <w:bCs/>
          <w:sz w:val="28"/>
          <w:szCs w:val="28"/>
        </w:rPr>
        <w:t>4</w:t>
      </w:r>
      <w:r>
        <w:rPr>
          <w:bCs/>
          <w:sz w:val="28"/>
          <w:szCs w:val="28"/>
        </w:rPr>
        <w:t>.在运营期间，乙方须无条件配合甲方完成临安区全区各镇街中转站渗滤液预处理系统建设安装及渗滤液（含浓缩液）的处理，处置费用根据实际发生数量，按中标单价结算。</w:t>
      </w:r>
    </w:p>
    <w:p>
      <w:pPr>
        <w:pStyle w:val="6"/>
        <w:ind w:firstLine="560" w:firstLineChars="200"/>
        <w:rPr>
          <w:bCs/>
          <w:szCs w:val="28"/>
        </w:rPr>
      </w:pPr>
      <w:r>
        <w:rPr>
          <w:rFonts w:hint="eastAsia"/>
          <w:bCs/>
          <w:szCs w:val="28"/>
        </w:rPr>
        <w:t>5. 在运营期间，本项目产生的污泥由乙方自行委托专业第三方处置，处置过程要求严格遵守国家相关法律法规，如未妥善处置，甲方将按照行业主管部门行政处罚金额进行加倍处罚，如涉及违法的，将依法追究刑事责任。</w:t>
      </w:r>
    </w:p>
    <w:p>
      <w:pPr>
        <w:pStyle w:val="6"/>
        <w:ind w:firstLine="560" w:firstLineChars="200"/>
        <w:rPr>
          <w:bCs/>
          <w:szCs w:val="28"/>
        </w:rPr>
      </w:pPr>
      <w:r>
        <w:rPr>
          <w:rFonts w:hint="eastAsia"/>
          <w:bCs/>
          <w:szCs w:val="28"/>
        </w:rPr>
        <w:t>6. 在运营期间，本项目产生的臭气乙方处理后达到GB14554-93厂界二级标准排放，如未达标处置超过3次的，甲方将按照行业主管部门行政处罚金额进行加倍处罚，如涉及违法的，将依法追究刑事责任。</w:t>
      </w:r>
    </w:p>
    <w:p>
      <w:pPr>
        <w:pStyle w:val="34"/>
        <w:snapToGrid w:val="0"/>
        <w:spacing w:line="360" w:lineRule="auto"/>
        <w:ind w:firstLine="599" w:firstLineChars="213"/>
        <w:outlineLvl w:val="0"/>
        <w:rPr>
          <w:rFonts w:ascii="Times New Roman" w:hAnsi="Times New Roman"/>
          <w:b/>
          <w:kern w:val="0"/>
          <w:sz w:val="28"/>
          <w:szCs w:val="28"/>
        </w:rPr>
      </w:pPr>
      <w:r>
        <w:rPr>
          <w:rFonts w:ascii="Times New Roman" w:hAnsi="Times New Roman"/>
          <w:b/>
          <w:kern w:val="0"/>
          <w:sz w:val="28"/>
          <w:szCs w:val="28"/>
        </w:rPr>
        <w:t>六、运营责任</w:t>
      </w:r>
    </w:p>
    <w:p>
      <w:pPr>
        <w:spacing w:line="360" w:lineRule="auto"/>
        <w:ind w:firstLine="560" w:firstLineChars="200"/>
        <w:rPr>
          <w:bCs/>
          <w:color w:val="auto"/>
          <w:sz w:val="28"/>
          <w:szCs w:val="28"/>
        </w:rPr>
      </w:pPr>
      <w:r>
        <w:rPr>
          <w:rFonts w:hint="eastAsia"/>
          <w:bCs/>
          <w:sz w:val="28"/>
          <w:szCs w:val="28"/>
        </w:rPr>
        <w:t xml:space="preserve">1. </w:t>
      </w:r>
      <w:r>
        <w:rPr>
          <w:bCs/>
          <w:sz w:val="28"/>
          <w:szCs w:val="28"/>
        </w:rPr>
        <w:t>乙方在运</w:t>
      </w:r>
      <w:r>
        <w:rPr>
          <w:bCs/>
          <w:color w:val="auto"/>
          <w:sz w:val="28"/>
          <w:szCs w:val="28"/>
        </w:rPr>
        <w:t>营期间若被相关环保部门抽检排水水质不达标（停电等不可抗力除外），根据实际情况，甲方有权扣当月运营费用（上限不超过当月运营费用的2%）；第二次被相关环保部门抽检排水水质不达标，根据实际情况，甲方有权扣除当月运营费用（上限不超过当月运营费用的4%）。以此类推。当年抽检排水水质不达标达到五次及以上的，甲方有权终止合同，因此造成的损失由乙方承担。</w:t>
      </w:r>
    </w:p>
    <w:p>
      <w:pPr>
        <w:numPr>
          <w:ilvl w:val="0"/>
          <w:numId w:val="2"/>
        </w:numPr>
        <w:spacing w:line="360" w:lineRule="auto"/>
        <w:ind w:firstLine="482"/>
        <w:rPr>
          <w:bCs/>
          <w:color w:val="auto"/>
          <w:sz w:val="28"/>
          <w:szCs w:val="28"/>
        </w:rPr>
      </w:pPr>
      <w:r>
        <w:rPr>
          <w:bCs/>
          <w:color w:val="auto"/>
          <w:sz w:val="28"/>
          <w:szCs w:val="28"/>
        </w:rPr>
        <w:t>甲方在乙方运营结束后，统计年平均日垃圾渗滤液处理达标排放量没有达到</w:t>
      </w:r>
      <w:r>
        <w:rPr>
          <w:rFonts w:hint="eastAsia"/>
          <w:bCs/>
          <w:color w:val="auto"/>
          <w:sz w:val="28"/>
          <w:szCs w:val="28"/>
        </w:rPr>
        <w:t>495</w:t>
      </w:r>
      <w:r>
        <w:rPr>
          <w:bCs/>
          <w:color w:val="auto"/>
          <w:sz w:val="28"/>
          <w:szCs w:val="28"/>
        </w:rPr>
        <w:t>吨/天（下浮幅度不超过</w:t>
      </w:r>
      <w:r>
        <w:rPr>
          <w:rFonts w:hint="eastAsia"/>
          <w:bCs/>
          <w:color w:val="auto"/>
          <w:sz w:val="28"/>
          <w:szCs w:val="28"/>
        </w:rPr>
        <w:t>10</w:t>
      </w:r>
      <w:r>
        <w:rPr>
          <w:bCs/>
          <w:color w:val="auto"/>
          <w:sz w:val="28"/>
          <w:szCs w:val="28"/>
        </w:rPr>
        <w:t>%）,当下浮幅度超过</w:t>
      </w:r>
      <w:r>
        <w:rPr>
          <w:rFonts w:hint="eastAsia"/>
          <w:bCs/>
          <w:color w:val="auto"/>
          <w:sz w:val="28"/>
          <w:szCs w:val="28"/>
        </w:rPr>
        <w:t>10</w:t>
      </w:r>
      <w:r>
        <w:rPr>
          <w:bCs/>
          <w:color w:val="auto"/>
          <w:sz w:val="28"/>
          <w:szCs w:val="28"/>
        </w:rPr>
        <w:t>%起，年平均日出水量每下降1%，甲方有权在年运营费用中按下浮相应比率扣除经费；当年平均处理量下浮幅度超过20%（特殊情况除外，如干旱、垃圾渗滤液产生量少于合同规定处理量等自然原因造成的因数及个别长时间停电造成的人为因数除外），甲方有权终止合同，因此造成的损失由乙方承担。</w:t>
      </w:r>
    </w:p>
    <w:p>
      <w:pPr>
        <w:numPr>
          <w:ilvl w:val="0"/>
          <w:numId w:val="2"/>
        </w:numPr>
        <w:spacing w:line="360" w:lineRule="auto"/>
        <w:ind w:firstLine="482"/>
        <w:rPr>
          <w:bCs/>
          <w:color w:val="auto"/>
          <w:sz w:val="28"/>
          <w:szCs w:val="28"/>
        </w:rPr>
      </w:pPr>
      <w:r>
        <w:rPr>
          <w:bCs/>
          <w:color w:val="auto"/>
          <w:sz w:val="28"/>
          <w:szCs w:val="28"/>
        </w:rPr>
        <w:t>因乙方的原因导致垃圾渗滤液处理厂不能正常运行的、出水水质不达标（极端天气等不可抗力除外），不能达到运营规模以及违反本合同约定的条款，甲方有权停止支付运营费用并解除本合同，由此带来的损失由乙方承担。</w:t>
      </w:r>
    </w:p>
    <w:p>
      <w:pPr>
        <w:numPr>
          <w:ilvl w:val="0"/>
          <w:numId w:val="2"/>
        </w:numPr>
        <w:spacing w:line="360" w:lineRule="auto"/>
        <w:ind w:firstLine="482"/>
        <w:rPr>
          <w:bCs/>
          <w:color w:val="auto"/>
          <w:sz w:val="28"/>
          <w:szCs w:val="28"/>
        </w:rPr>
      </w:pPr>
      <w:r>
        <w:rPr>
          <w:bCs/>
          <w:color w:val="auto"/>
          <w:sz w:val="28"/>
          <w:szCs w:val="28"/>
        </w:rPr>
        <w:t>乙方在现有设施、设备基础上进行运维，运营所用技术不限，运维期间（含试运营）不得以任何理由要求甲方再另行新增、改造基础设施、设备等，如有</w:t>
      </w:r>
      <w:r>
        <w:rPr>
          <w:rFonts w:hint="eastAsia"/>
          <w:bCs/>
          <w:color w:val="auto"/>
          <w:sz w:val="28"/>
          <w:szCs w:val="28"/>
        </w:rPr>
        <w:t>，</w:t>
      </w:r>
      <w:r>
        <w:rPr>
          <w:bCs/>
          <w:color w:val="auto"/>
          <w:sz w:val="28"/>
          <w:szCs w:val="28"/>
        </w:rPr>
        <w:t>甲方有权单方面提前解除合同，由此产生的一切后果和给甲方造成的损失均由乙方承担，甲方将向乙方追偿相关损失，乙方应承担赔偿责任。</w:t>
      </w:r>
    </w:p>
    <w:p>
      <w:pPr>
        <w:numPr>
          <w:ilvl w:val="0"/>
          <w:numId w:val="2"/>
        </w:numPr>
        <w:spacing w:line="360" w:lineRule="auto"/>
        <w:ind w:firstLine="482"/>
        <w:rPr>
          <w:bCs/>
          <w:color w:val="auto"/>
          <w:sz w:val="28"/>
          <w:szCs w:val="28"/>
        </w:rPr>
      </w:pPr>
      <w:r>
        <w:rPr>
          <w:bCs/>
          <w:color w:val="auto"/>
          <w:sz w:val="28"/>
          <w:szCs w:val="28"/>
        </w:rPr>
        <w:t>乙方不得改动厂内现有基础设施，如擅自改动由此产生的费用，造成的一切环保责任与损失等后果，比如水质不达标、处理水量过少等，均由乙方承担，甲方有权单方面提前解除合同，限乙方在</w:t>
      </w:r>
      <w:r>
        <w:rPr>
          <w:rFonts w:hint="eastAsia"/>
          <w:bCs/>
          <w:color w:val="auto"/>
          <w:sz w:val="28"/>
          <w:szCs w:val="28"/>
        </w:rPr>
        <w:t>7</w:t>
      </w:r>
      <w:r>
        <w:rPr>
          <w:bCs/>
          <w:color w:val="auto"/>
          <w:sz w:val="28"/>
          <w:szCs w:val="28"/>
        </w:rPr>
        <w:t>天内恢复原样，甲方将向乙方追偿相关损失，乙方应承担赔偿责任。</w:t>
      </w:r>
    </w:p>
    <w:p>
      <w:pPr>
        <w:numPr>
          <w:ilvl w:val="0"/>
          <w:numId w:val="2"/>
        </w:numPr>
        <w:spacing w:line="360" w:lineRule="auto"/>
        <w:ind w:firstLine="482"/>
        <w:rPr>
          <w:bCs/>
          <w:color w:val="auto"/>
          <w:sz w:val="28"/>
          <w:szCs w:val="28"/>
        </w:rPr>
      </w:pPr>
      <w:r>
        <w:rPr>
          <w:bCs/>
          <w:color w:val="auto"/>
          <w:sz w:val="28"/>
          <w:szCs w:val="28"/>
        </w:rPr>
        <w:t>厂区空间已被合理利用，再利用空间非常有限，已无再让乙方自行添加设施与设备的场地，请潜在投标方悉知，后期不得以场地问题、工艺问题、设备问题等与甲方产生任何纠纷，如有甲方有权单方面提前解除合同，由此造成的一切后果由乙方承担，如给甲方造成损失的，比如组织二次招标费，期间的运营费均由乙方承担</w:t>
      </w:r>
      <w:r>
        <w:rPr>
          <w:rFonts w:hint="eastAsia"/>
          <w:bCs/>
          <w:color w:val="auto"/>
          <w:sz w:val="28"/>
          <w:szCs w:val="28"/>
        </w:rPr>
        <w:t>。</w:t>
      </w:r>
    </w:p>
    <w:p>
      <w:pPr>
        <w:numPr>
          <w:ilvl w:val="0"/>
          <w:numId w:val="2"/>
        </w:numPr>
        <w:spacing w:line="360" w:lineRule="auto"/>
        <w:ind w:firstLine="482"/>
        <w:rPr>
          <w:rFonts w:ascii="Times New Roman" w:hAnsi="Times New Roman" w:eastAsia="宋体" w:cs="Times New Roman"/>
          <w:bCs/>
          <w:color w:val="auto"/>
          <w:sz w:val="28"/>
          <w:szCs w:val="28"/>
        </w:rPr>
      </w:pPr>
      <w:r>
        <w:rPr>
          <w:bCs/>
          <w:color w:val="auto"/>
          <w:sz w:val="28"/>
          <w:szCs w:val="28"/>
        </w:rPr>
        <w:t>在运行期间，因乙方造成的安全生产事故及环境污染事件并由此造成</w:t>
      </w:r>
      <w:r>
        <w:rPr>
          <w:rFonts w:ascii="Times New Roman" w:hAnsi="Times New Roman" w:eastAsia="宋体" w:cs="Times New Roman"/>
          <w:bCs/>
          <w:color w:val="auto"/>
          <w:sz w:val="28"/>
          <w:szCs w:val="28"/>
        </w:rPr>
        <w:t>的一切损失由乙方承担。</w:t>
      </w:r>
    </w:p>
    <w:p>
      <w:pPr>
        <w:numPr>
          <w:ilvl w:val="0"/>
          <w:numId w:val="2"/>
        </w:numPr>
        <w:spacing w:line="360" w:lineRule="auto"/>
        <w:ind w:firstLine="482"/>
        <w:rPr>
          <w:rFonts w:ascii="Times New Roman" w:hAnsi="Times New Roman" w:eastAsia="宋体" w:cs="Times New Roman"/>
          <w:bCs/>
          <w:color w:val="auto"/>
          <w:sz w:val="28"/>
          <w:szCs w:val="28"/>
        </w:rPr>
      </w:pPr>
      <w:r>
        <w:rPr>
          <w:rFonts w:ascii="Times New Roman" w:hAnsi="Times New Roman" w:eastAsia="宋体" w:cs="Times New Roman"/>
          <w:bCs/>
          <w:color w:val="auto"/>
          <w:sz w:val="28"/>
          <w:szCs w:val="28"/>
        </w:rPr>
        <w:t>运营期间乙方须配合甲方开展日常巡查、抽查、检查工作，甲方按照《</w:t>
      </w:r>
      <w:r>
        <w:rPr>
          <w:rFonts w:hint="eastAsia" w:ascii="Times New Roman" w:hAnsi="Times New Roman" w:eastAsia="宋体" w:cs="Times New Roman"/>
          <w:bCs/>
          <w:color w:val="auto"/>
          <w:sz w:val="28"/>
          <w:szCs w:val="28"/>
        </w:rPr>
        <w:t>临安区山牛坞渗滤液处理厂考核细则》考核扣分并扣款。</w:t>
      </w:r>
    </w:p>
    <w:p>
      <w:pPr>
        <w:pStyle w:val="6"/>
        <w:rPr>
          <w:rFonts w:ascii="Times New Roman"/>
          <w:b/>
          <w:color w:val="auto"/>
          <w:kern w:val="0"/>
          <w:szCs w:val="28"/>
        </w:rPr>
      </w:pPr>
      <w:r>
        <w:rPr>
          <w:rFonts w:ascii="Times New Roman"/>
          <w:b/>
          <w:color w:val="auto"/>
          <w:kern w:val="0"/>
          <w:szCs w:val="28"/>
        </w:rPr>
        <w:t>七、试运营权利义务</w:t>
      </w:r>
    </w:p>
    <w:p>
      <w:pPr>
        <w:pStyle w:val="6"/>
        <w:rPr>
          <w:rFonts w:ascii="Times New Roman"/>
          <w:bCs/>
          <w:snapToGrid/>
          <w:color w:val="auto"/>
          <w:kern w:val="2"/>
          <w:szCs w:val="28"/>
        </w:rPr>
      </w:pPr>
      <w:r>
        <w:rPr>
          <w:rFonts w:hint="eastAsia" w:ascii="Times New Roman"/>
          <w:bCs/>
          <w:snapToGrid/>
          <w:color w:val="auto"/>
          <w:kern w:val="2"/>
          <w:szCs w:val="28"/>
        </w:rPr>
        <w:t>本项目作为省重点排污单位，合同签订后2天内完成交接，3天内设备调试完毕后要求开始正常排水，之后进入试运营30天，试运营期间，渗滤液（含浓缩液）处理量、排放量、出水水质连续30天达到《生活垃圾填埋污染控制标准》GB16889-2008的表3标准和《城市污水再生利用 城市杂用水水质》（GB/T 18920-2020）中道路冲洗、绿植灌溉标准）（以第三方检测结果为准），视为考核通过，费用正常支付。</w:t>
      </w:r>
    </w:p>
    <w:p>
      <w:pPr>
        <w:widowControl/>
        <w:snapToGrid w:val="0"/>
        <w:spacing w:line="360" w:lineRule="auto"/>
        <w:ind w:firstLine="560" w:firstLineChars="200"/>
        <w:jc w:val="left"/>
        <w:rPr>
          <w:bCs/>
          <w:color w:val="auto"/>
          <w:sz w:val="28"/>
          <w:szCs w:val="28"/>
        </w:rPr>
      </w:pPr>
      <w:r>
        <w:rPr>
          <w:rFonts w:hint="eastAsia"/>
          <w:bCs/>
          <w:color w:val="auto"/>
          <w:sz w:val="28"/>
          <w:szCs w:val="28"/>
        </w:rPr>
        <w:t>若中标方在试运营期间，渗滤液（含浓缩液）处理量、排放量、出水水质未达标或未能连续30天达标，采购方不支付运营期间所有费用并有权解除合同，扣除全部履约保证金，由此给采购方造成的二次招标费、咨询费、期间渗滤液处置费、应急费等所有费用由中标方负责，由此造成的渗滤液外溢等事故（若有）产生的行政处罚由中标方负责，事故给项目周边生态环境及相关主体造成损害或损失的，中标方必须承担赔偿责任。</w:t>
      </w:r>
    </w:p>
    <w:p>
      <w:pPr>
        <w:tabs>
          <w:tab w:val="left" w:pos="7560"/>
        </w:tabs>
        <w:snapToGrid w:val="0"/>
        <w:spacing w:line="360" w:lineRule="auto"/>
        <w:ind w:firstLine="548" w:firstLineChars="196"/>
        <w:jc w:val="left"/>
        <w:rPr>
          <w:bCs/>
          <w:color w:val="auto"/>
          <w:sz w:val="28"/>
          <w:szCs w:val="28"/>
        </w:rPr>
      </w:pPr>
      <w:r>
        <w:rPr>
          <w:rFonts w:hint="eastAsia"/>
          <w:bCs/>
          <w:color w:val="auto"/>
          <w:sz w:val="28"/>
          <w:szCs w:val="28"/>
        </w:rPr>
        <w:t>试运营期间，供应商须保证采购人设备完好无损，如因供应商原因导致采购人设备损坏的，由供应商照价赔偿。</w:t>
      </w:r>
    </w:p>
    <w:p>
      <w:pPr>
        <w:pStyle w:val="34"/>
        <w:snapToGrid w:val="0"/>
        <w:spacing w:line="360" w:lineRule="auto"/>
        <w:ind w:firstLine="599" w:firstLineChars="213"/>
        <w:outlineLvl w:val="0"/>
        <w:rPr>
          <w:rFonts w:ascii="Times New Roman" w:hAnsi="Times New Roman"/>
          <w:b/>
          <w:color w:val="auto"/>
          <w:kern w:val="0"/>
          <w:sz w:val="28"/>
          <w:szCs w:val="28"/>
        </w:rPr>
      </w:pPr>
      <w:r>
        <w:rPr>
          <w:rFonts w:ascii="Times New Roman" w:hAnsi="Times New Roman"/>
          <w:b/>
          <w:color w:val="auto"/>
          <w:kern w:val="0"/>
          <w:sz w:val="28"/>
          <w:szCs w:val="28"/>
        </w:rPr>
        <w:t>八、设备维护与应急处理</w:t>
      </w:r>
    </w:p>
    <w:p>
      <w:pPr>
        <w:autoSpaceDE w:val="0"/>
        <w:autoSpaceDN w:val="0"/>
        <w:spacing w:line="360" w:lineRule="auto"/>
        <w:ind w:firstLine="560" w:firstLineChars="200"/>
        <w:rPr>
          <w:bCs/>
          <w:color w:val="auto"/>
          <w:sz w:val="28"/>
          <w:szCs w:val="28"/>
        </w:rPr>
      </w:pPr>
      <w:r>
        <w:rPr>
          <w:bCs/>
          <w:color w:val="auto"/>
          <w:sz w:val="28"/>
          <w:szCs w:val="28"/>
        </w:rPr>
        <w:t>1. 在运营期内，乙方应合理安排检修、维护、更新，保证垃圾渗滤液处理厂正常运行。大修须停止运行的情况，乙方须提前一周时间书面通知甲方（如遇突发性事故而必须停止运行大修的，乙方须立即通知甲方），经甲方批准后全力展开维护、维修工作。</w:t>
      </w:r>
    </w:p>
    <w:p>
      <w:pPr>
        <w:spacing w:line="360" w:lineRule="auto"/>
        <w:ind w:firstLine="560" w:firstLineChars="200"/>
        <w:rPr>
          <w:bCs/>
          <w:color w:val="auto"/>
          <w:sz w:val="28"/>
          <w:szCs w:val="28"/>
        </w:rPr>
      </w:pPr>
      <w:r>
        <w:rPr>
          <w:bCs/>
          <w:color w:val="auto"/>
          <w:sz w:val="28"/>
          <w:szCs w:val="28"/>
        </w:rPr>
        <w:t>2.若遇不可抗力因素造成的蓄水池超警戒水位，乙方</w:t>
      </w:r>
      <w:r>
        <w:rPr>
          <w:rFonts w:hint="eastAsia"/>
          <w:bCs/>
          <w:color w:val="auto"/>
          <w:sz w:val="28"/>
          <w:szCs w:val="28"/>
        </w:rPr>
        <w:t>应立即</w:t>
      </w:r>
      <w:r>
        <w:rPr>
          <w:bCs/>
          <w:color w:val="auto"/>
          <w:sz w:val="28"/>
          <w:szCs w:val="28"/>
        </w:rPr>
        <w:t>启动应急预案，加大水处理量及提供别的应急措施，保障相应设施安全。</w:t>
      </w:r>
    </w:p>
    <w:p>
      <w:pPr>
        <w:autoSpaceDE w:val="0"/>
        <w:autoSpaceDN w:val="0"/>
        <w:spacing w:line="360" w:lineRule="auto"/>
        <w:ind w:firstLine="560" w:firstLineChars="200"/>
        <w:rPr>
          <w:bCs/>
          <w:color w:val="auto"/>
          <w:sz w:val="28"/>
          <w:szCs w:val="28"/>
        </w:rPr>
      </w:pPr>
      <w:r>
        <w:rPr>
          <w:bCs/>
          <w:color w:val="auto"/>
          <w:sz w:val="28"/>
          <w:szCs w:val="28"/>
        </w:rPr>
        <w:t>3. 非甲乙双方人为原因或因电路检修致供电线路中断的，甲方负责协调电力部门抢修。停电连续超过72小时的，乙方应及时启动限制措施。</w:t>
      </w:r>
    </w:p>
    <w:p>
      <w:pPr>
        <w:pStyle w:val="34"/>
        <w:snapToGrid w:val="0"/>
        <w:spacing w:line="360" w:lineRule="auto"/>
        <w:ind w:firstLine="599" w:firstLineChars="213"/>
        <w:outlineLvl w:val="0"/>
        <w:rPr>
          <w:rFonts w:ascii="Times New Roman" w:hAnsi="Times New Roman"/>
          <w:b/>
          <w:color w:val="auto"/>
          <w:kern w:val="0"/>
          <w:sz w:val="28"/>
          <w:szCs w:val="28"/>
        </w:rPr>
      </w:pPr>
      <w:r>
        <w:rPr>
          <w:rFonts w:ascii="Times New Roman" w:hAnsi="Times New Roman"/>
          <w:b/>
          <w:color w:val="auto"/>
          <w:kern w:val="0"/>
          <w:sz w:val="28"/>
          <w:szCs w:val="28"/>
        </w:rPr>
        <w:t>九、转包或分包</w:t>
      </w:r>
    </w:p>
    <w:p>
      <w:pPr>
        <w:snapToGrid w:val="0"/>
        <w:spacing w:line="360" w:lineRule="auto"/>
        <w:ind w:firstLine="596" w:firstLineChars="213"/>
        <w:rPr>
          <w:bCs/>
          <w:snapToGrid w:val="0"/>
          <w:color w:val="auto"/>
          <w:kern w:val="0"/>
          <w:sz w:val="28"/>
          <w:szCs w:val="28"/>
        </w:rPr>
      </w:pPr>
      <w:r>
        <w:rPr>
          <w:bCs/>
          <w:snapToGrid w:val="0"/>
          <w:color w:val="auto"/>
          <w:kern w:val="0"/>
          <w:sz w:val="28"/>
          <w:szCs w:val="28"/>
        </w:rPr>
        <w:t>本合同范围的服务项目，应由乙方直接实施，不得转让他人，否则，甲方有权解除合同，没收履约保证金并追究乙方的违约责任。</w:t>
      </w:r>
    </w:p>
    <w:p>
      <w:pPr>
        <w:pStyle w:val="34"/>
        <w:snapToGrid w:val="0"/>
        <w:spacing w:line="360" w:lineRule="auto"/>
        <w:ind w:firstLine="599" w:firstLineChars="213"/>
        <w:outlineLvl w:val="0"/>
        <w:rPr>
          <w:rFonts w:ascii="Times New Roman" w:hAnsi="Times New Roman"/>
          <w:b/>
          <w:color w:val="auto"/>
          <w:kern w:val="0"/>
          <w:sz w:val="28"/>
          <w:szCs w:val="28"/>
        </w:rPr>
      </w:pPr>
      <w:r>
        <w:rPr>
          <w:rFonts w:ascii="Times New Roman" w:hAnsi="Times New Roman"/>
          <w:b/>
          <w:color w:val="auto"/>
          <w:kern w:val="0"/>
          <w:sz w:val="28"/>
          <w:szCs w:val="28"/>
        </w:rPr>
        <w:t>十、服务期及服务地点</w:t>
      </w:r>
    </w:p>
    <w:p>
      <w:pPr>
        <w:pStyle w:val="34"/>
        <w:snapToGrid w:val="0"/>
        <w:spacing w:line="360" w:lineRule="auto"/>
        <w:ind w:firstLine="560" w:firstLineChars="200"/>
        <w:rPr>
          <w:rFonts w:ascii="Times New Roman" w:hAnsi="Times New Roman"/>
          <w:bCs/>
          <w:color w:val="auto"/>
          <w:kern w:val="0"/>
          <w:sz w:val="28"/>
          <w:szCs w:val="28"/>
        </w:rPr>
      </w:pPr>
      <w:r>
        <w:rPr>
          <w:rFonts w:ascii="Times New Roman" w:hAnsi="Times New Roman"/>
          <w:bCs/>
          <w:color w:val="auto"/>
          <w:kern w:val="0"/>
          <w:sz w:val="28"/>
          <w:szCs w:val="28"/>
        </w:rPr>
        <w:t xml:space="preserve">1. </w:t>
      </w:r>
      <w:r>
        <w:rPr>
          <w:rFonts w:ascii="Times New Roman" w:hAnsi="Times New Roman"/>
          <w:bCs/>
          <w:color w:val="auto"/>
          <w:sz w:val="28"/>
          <w:szCs w:val="28"/>
        </w:rPr>
        <w:t>服务期： 自合同签订之日起3年。</w:t>
      </w:r>
    </w:p>
    <w:p>
      <w:pPr>
        <w:pStyle w:val="34"/>
        <w:snapToGrid w:val="0"/>
        <w:spacing w:line="360" w:lineRule="auto"/>
        <w:ind w:firstLine="560" w:firstLineChars="200"/>
        <w:rPr>
          <w:rFonts w:ascii="Times New Roman" w:hAnsi="Times New Roman"/>
          <w:bCs/>
          <w:color w:val="auto"/>
          <w:sz w:val="28"/>
          <w:szCs w:val="28"/>
        </w:rPr>
      </w:pPr>
      <w:r>
        <w:rPr>
          <w:rFonts w:ascii="Times New Roman" w:hAnsi="Times New Roman"/>
          <w:bCs/>
          <w:color w:val="auto"/>
          <w:kern w:val="0"/>
          <w:sz w:val="28"/>
          <w:szCs w:val="28"/>
        </w:rPr>
        <w:t>2. 服务地点：</w:t>
      </w:r>
      <w:r>
        <w:rPr>
          <w:rFonts w:ascii="Times New Roman" w:hAnsi="Times New Roman"/>
          <w:bCs/>
          <w:color w:val="auto"/>
          <w:sz w:val="28"/>
          <w:szCs w:val="28"/>
        </w:rPr>
        <w:t>临安区山牛坞垃圾填埋场。</w:t>
      </w:r>
    </w:p>
    <w:p>
      <w:pPr>
        <w:pStyle w:val="34"/>
        <w:snapToGrid w:val="0"/>
        <w:spacing w:line="360" w:lineRule="auto"/>
        <w:ind w:firstLine="599" w:firstLineChars="213"/>
        <w:outlineLvl w:val="0"/>
        <w:rPr>
          <w:rFonts w:ascii="Times New Roman" w:hAnsi="Times New Roman"/>
          <w:b/>
          <w:color w:val="auto"/>
          <w:kern w:val="0"/>
          <w:sz w:val="28"/>
          <w:szCs w:val="28"/>
        </w:rPr>
      </w:pPr>
      <w:r>
        <w:rPr>
          <w:rFonts w:ascii="Times New Roman" w:hAnsi="Times New Roman"/>
          <w:b/>
          <w:color w:val="auto"/>
          <w:kern w:val="0"/>
          <w:sz w:val="28"/>
          <w:szCs w:val="28"/>
        </w:rPr>
        <w:t>十一、付款方式</w:t>
      </w:r>
    </w:p>
    <w:p>
      <w:pPr>
        <w:pStyle w:val="34"/>
        <w:snapToGrid w:val="0"/>
        <w:spacing w:line="360" w:lineRule="auto"/>
        <w:ind w:firstLine="596" w:firstLineChars="213"/>
        <w:rPr>
          <w:bCs/>
          <w:color w:val="auto"/>
          <w:sz w:val="28"/>
          <w:szCs w:val="28"/>
        </w:rPr>
      </w:pPr>
      <w:r>
        <w:rPr>
          <w:bCs/>
          <w:color w:val="auto"/>
          <w:sz w:val="28"/>
          <w:szCs w:val="28"/>
        </w:rPr>
        <w:t>1.</w:t>
      </w:r>
      <w:r>
        <w:rPr>
          <w:rFonts w:ascii="Times New Roman" w:hAnsi="Times New Roman"/>
          <w:bCs/>
          <w:color w:val="auto"/>
          <w:sz w:val="28"/>
          <w:szCs w:val="28"/>
        </w:rPr>
        <w:t>合同</w:t>
      </w:r>
      <w:r>
        <w:rPr>
          <w:bCs/>
          <w:color w:val="auto"/>
          <w:sz w:val="28"/>
          <w:szCs w:val="28"/>
        </w:rPr>
        <w:t>签订前，乙方向甲方支付中标合同总价的</w:t>
      </w:r>
      <w:r>
        <w:rPr>
          <w:rFonts w:hint="eastAsia"/>
          <w:bCs/>
          <w:color w:val="auto"/>
          <w:sz w:val="28"/>
          <w:szCs w:val="28"/>
        </w:rPr>
        <w:t>1</w:t>
      </w:r>
      <w:r>
        <w:rPr>
          <w:bCs/>
          <w:color w:val="auto"/>
          <w:sz w:val="28"/>
          <w:szCs w:val="28"/>
        </w:rPr>
        <w:t>%的金额作为本项目的履约保证金，待乙方三年合同履约完毕后无息退还。</w:t>
      </w:r>
    </w:p>
    <w:p>
      <w:pPr>
        <w:pStyle w:val="34"/>
        <w:snapToGrid w:val="0"/>
        <w:spacing w:line="360" w:lineRule="auto"/>
        <w:ind w:firstLine="596" w:firstLineChars="213"/>
        <w:rPr>
          <w:rFonts w:ascii="Times New Roman" w:hAnsi="Times New Roman"/>
          <w:bCs/>
          <w:color w:val="auto"/>
          <w:sz w:val="28"/>
          <w:szCs w:val="28"/>
        </w:rPr>
      </w:pPr>
      <w:r>
        <w:rPr>
          <w:rFonts w:hint="eastAsia" w:ascii="Times New Roman" w:hAnsi="Times New Roman"/>
          <w:bCs/>
          <w:color w:val="auto"/>
          <w:sz w:val="28"/>
          <w:szCs w:val="28"/>
        </w:rPr>
        <w:t>2</w:t>
      </w:r>
      <w:r>
        <w:rPr>
          <w:rFonts w:ascii="Times New Roman" w:hAnsi="Times New Roman"/>
          <w:bCs/>
          <w:color w:val="auto"/>
          <w:sz w:val="28"/>
          <w:szCs w:val="28"/>
        </w:rPr>
        <w:t>.按照财政政策每月按实际处理量支付费用。</w:t>
      </w:r>
    </w:p>
    <w:p>
      <w:pPr>
        <w:wordWrap w:val="0"/>
        <w:spacing w:line="360" w:lineRule="auto"/>
        <w:ind w:firstLine="560" w:firstLineChars="200"/>
        <w:rPr>
          <w:rFonts w:ascii="Times New Roman" w:hAnsi="Times New Roman"/>
          <w:bCs/>
          <w:color w:val="auto"/>
          <w:sz w:val="28"/>
          <w:szCs w:val="28"/>
        </w:rPr>
      </w:pPr>
      <w:r>
        <w:rPr>
          <w:rFonts w:hint="eastAsia" w:ascii="Times New Roman" w:hAnsi="Times New Roman"/>
          <w:bCs/>
          <w:color w:val="auto"/>
          <w:sz w:val="28"/>
          <w:szCs w:val="28"/>
        </w:rPr>
        <w:t>3.</w:t>
      </w:r>
      <w:r>
        <w:rPr>
          <w:rFonts w:hint="eastAsia" w:ascii="宋体" w:hAnsi="Courier New" w:eastAsia="宋体" w:cs="Arial"/>
          <w:bCs/>
          <w:snapToGrid w:val="0"/>
          <w:color w:val="auto"/>
          <w:kern w:val="2"/>
          <w:sz w:val="28"/>
          <w:szCs w:val="28"/>
          <w:lang w:val="en-US" w:eastAsia="zh-CN" w:bidi="ar-SA"/>
        </w:rPr>
        <w:t>分三年支付项目款项。合同生效后七个工作日内，预付年合同金额的40%,后半年按照考核后支付30%，年度履约完毕后，根据实际处理量及考核支付剩余款项。在签订合同时,供应商明确表示无需预付款或者主动要求降低预付款比例的,采购单位可不适用前述规定。</w:t>
      </w:r>
      <w:r>
        <w:rPr>
          <w:rFonts w:ascii="Times New Roman" w:hAnsi="Times New Roman"/>
          <w:bCs/>
          <w:color w:val="auto"/>
          <w:sz w:val="28"/>
          <w:szCs w:val="28"/>
        </w:rPr>
        <w:t>甲方在收到合法发票的当月</w:t>
      </w:r>
      <w:r>
        <w:rPr>
          <w:rFonts w:hint="eastAsia" w:ascii="Times New Roman" w:hAnsi="Times New Roman"/>
          <w:bCs/>
          <w:color w:val="auto"/>
          <w:sz w:val="28"/>
          <w:szCs w:val="28"/>
        </w:rPr>
        <w:t>7个工作</w:t>
      </w:r>
      <w:r>
        <w:rPr>
          <w:rFonts w:ascii="Times New Roman" w:hAnsi="Times New Roman"/>
          <w:bCs/>
          <w:color w:val="auto"/>
          <w:sz w:val="28"/>
          <w:szCs w:val="28"/>
        </w:rPr>
        <w:t>日</w:t>
      </w:r>
      <w:r>
        <w:rPr>
          <w:rFonts w:hint="eastAsia" w:ascii="Times New Roman" w:hAnsi="Times New Roman"/>
          <w:bCs/>
          <w:color w:val="auto"/>
          <w:sz w:val="28"/>
          <w:szCs w:val="28"/>
        </w:rPr>
        <w:t>内</w:t>
      </w:r>
      <w:r>
        <w:rPr>
          <w:rFonts w:ascii="Times New Roman" w:hAnsi="Times New Roman"/>
          <w:bCs/>
          <w:color w:val="auto"/>
          <w:sz w:val="28"/>
          <w:szCs w:val="28"/>
        </w:rPr>
        <w:t>支付乙方的费用，如遇节假日顺延到下一个工作日，但如因乙方开票迟延导致甲方付款迟延的，由乙方承担迟延责任。</w:t>
      </w:r>
    </w:p>
    <w:p>
      <w:pPr>
        <w:pStyle w:val="34"/>
        <w:snapToGrid w:val="0"/>
        <w:spacing w:line="360" w:lineRule="auto"/>
        <w:ind w:firstLine="599" w:firstLineChars="213"/>
        <w:outlineLvl w:val="0"/>
        <w:rPr>
          <w:rFonts w:ascii="Times New Roman" w:hAnsi="Times New Roman"/>
          <w:b/>
          <w:color w:val="auto"/>
          <w:kern w:val="0"/>
          <w:sz w:val="28"/>
          <w:szCs w:val="28"/>
        </w:rPr>
      </w:pPr>
      <w:r>
        <w:rPr>
          <w:rFonts w:ascii="Times New Roman" w:hAnsi="Times New Roman"/>
          <w:b/>
          <w:color w:val="auto"/>
          <w:kern w:val="0"/>
          <w:sz w:val="28"/>
          <w:szCs w:val="28"/>
        </w:rPr>
        <w:t>十二、税费</w:t>
      </w:r>
    </w:p>
    <w:p>
      <w:pPr>
        <w:snapToGrid w:val="0"/>
        <w:spacing w:line="360" w:lineRule="auto"/>
        <w:ind w:firstLine="560" w:firstLineChars="200"/>
        <w:rPr>
          <w:bCs/>
          <w:snapToGrid w:val="0"/>
          <w:color w:val="auto"/>
          <w:kern w:val="0"/>
          <w:sz w:val="28"/>
          <w:szCs w:val="28"/>
        </w:rPr>
      </w:pPr>
      <w:r>
        <w:rPr>
          <w:bCs/>
          <w:snapToGrid w:val="0"/>
          <w:color w:val="auto"/>
          <w:kern w:val="0"/>
          <w:sz w:val="28"/>
          <w:szCs w:val="28"/>
        </w:rPr>
        <w:t>本合同执行中相关的一切税费均由乙方负担。</w:t>
      </w:r>
    </w:p>
    <w:p>
      <w:pPr>
        <w:pStyle w:val="34"/>
        <w:snapToGrid w:val="0"/>
        <w:spacing w:line="360" w:lineRule="auto"/>
        <w:ind w:firstLine="599" w:firstLineChars="213"/>
        <w:outlineLvl w:val="0"/>
        <w:rPr>
          <w:rFonts w:ascii="Times New Roman" w:hAnsi="Times New Roman"/>
          <w:b/>
          <w:color w:val="auto"/>
          <w:kern w:val="0"/>
          <w:sz w:val="28"/>
          <w:szCs w:val="28"/>
        </w:rPr>
      </w:pPr>
      <w:r>
        <w:rPr>
          <w:rFonts w:ascii="Times New Roman" w:hAnsi="Times New Roman"/>
          <w:b/>
          <w:color w:val="auto"/>
          <w:kern w:val="0"/>
          <w:sz w:val="28"/>
          <w:szCs w:val="28"/>
        </w:rPr>
        <w:t>十三、质量保证及后续服务</w:t>
      </w:r>
    </w:p>
    <w:p>
      <w:pPr>
        <w:pStyle w:val="34"/>
        <w:numPr>
          <w:ins w:id="0" w:author="那年已不在" w:date="2021-03-15T11:38:00Z"/>
        </w:numPr>
        <w:snapToGrid w:val="0"/>
        <w:spacing w:line="360" w:lineRule="auto"/>
        <w:ind w:firstLine="560" w:firstLineChars="200"/>
        <w:rPr>
          <w:rFonts w:ascii="Times New Roman" w:hAnsi="Times New Roman"/>
          <w:bCs/>
          <w:color w:val="auto"/>
          <w:sz w:val="28"/>
          <w:szCs w:val="28"/>
        </w:rPr>
      </w:pPr>
      <w:r>
        <w:rPr>
          <w:rFonts w:ascii="Times New Roman" w:hAnsi="Times New Roman"/>
          <w:bCs/>
          <w:color w:val="auto"/>
          <w:sz w:val="28"/>
          <w:szCs w:val="28"/>
        </w:rPr>
        <w:t>1．乙方应按甲方要求及环保相关数据标准要求提供服务。</w:t>
      </w:r>
    </w:p>
    <w:p>
      <w:pPr>
        <w:pStyle w:val="34"/>
        <w:snapToGrid w:val="0"/>
        <w:spacing w:line="360" w:lineRule="auto"/>
        <w:ind w:firstLine="560" w:firstLineChars="200"/>
        <w:rPr>
          <w:rFonts w:ascii="Times New Roman" w:hAnsi="Times New Roman"/>
          <w:bCs/>
          <w:color w:val="auto"/>
          <w:sz w:val="28"/>
          <w:szCs w:val="28"/>
        </w:rPr>
      </w:pPr>
      <w:r>
        <w:rPr>
          <w:rFonts w:ascii="Times New Roman" w:hAnsi="Times New Roman"/>
          <w:bCs/>
          <w:color w:val="auto"/>
          <w:sz w:val="28"/>
          <w:szCs w:val="28"/>
        </w:rPr>
        <w:t>2．乙方提供的服务成果质量没有达到甲方要求的，乙方应负责免费提供后续服务。对达不到要求者，根据实际情况，经双方协商，可按以下办法处理：</w:t>
      </w:r>
    </w:p>
    <w:p>
      <w:pPr>
        <w:pStyle w:val="34"/>
        <w:snapToGrid w:val="0"/>
        <w:spacing w:line="360" w:lineRule="auto"/>
        <w:ind w:firstLine="560" w:firstLineChars="200"/>
        <w:rPr>
          <w:rFonts w:ascii="Times New Roman" w:hAnsi="Times New Roman"/>
          <w:bCs/>
          <w:color w:val="auto"/>
          <w:sz w:val="28"/>
          <w:szCs w:val="28"/>
        </w:rPr>
      </w:pPr>
      <w:r>
        <w:rPr>
          <w:rFonts w:ascii="Times New Roman" w:hAnsi="Times New Roman"/>
          <w:bCs/>
          <w:color w:val="auto"/>
          <w:sz w:val="28"/>
          <w:szCs w:val="28"/>
        </w:rPr>
        <w:t>⑴重做：由乙方承担所发生的全部费用。</w:t>
      </w:r>
    </w:p>
    <w:p>
      <w:pPr>
        <w:pStyle w:val="34"/>
        <w:snapToGrid w:val="0"/>
        <w:spacing w:line="360" w:lineRule="auto"/>
        <w:ind w:firstLine="560" w:firstLineChars="200"/>
        <w:rPr>
          <w:rFonts w:ascii="Times New Roman" w:hAnsi="Times New Roman"/>
          <w:bCs/>
          <w:color w:val="auto"/>
          <w:sz w:val="28"/>
          <w:szCs w:val="28"/>
        </w:rPr>
      </w:pPr>
      <w:r>
        <w:rPr>
          <w:rFonts w:ascii="Times New Roman" w:hAnsi="Times New Roman"/>
          <w:bCs/>
          <w:color w:val="auto"/>
          <w:sz w:val="28"/>
          <w:szCs w:val="28"/>
        </w:rPr>
        <w:t>⑵解除合同。</w:t>
      </w:r>
    </w:p>
    <w:p>
      <w:pPr>
        <w:pStyle w:val="34"/>
        <w:snapToGrid w:val="0"/>
        <w:spacing w:line="360" w:lineRule="auto"/>
        <w:ind w:firstLine="599" w:firstLineChars="213"/>
        <w:outlineLvl w:val="0"/>
        <w:rPr>
          <w:rFonts w:ascii="Times New Roman" w:hAnsi="Times New Roman"/>
          <w:b/>
          <w:color w:val="auto"/>
          <w:kern w:val="0"/>
          <w:sz w:val="28"/>
          <w:szCs w:val="28"/>
        </w:rPr>
      </w:pPr>
      <w:r>
        <w:rPr>
          <w:rFonts w:ascii="Times New Roman" w:hAnsi="Times New Roman"/>
          <w:b/>
          <w:color w:val="auto"/>
          <w:kern w:val="0"/>
          <w:sz w:val="28"/>
          <w:szCs w:val="28"/>
        </w:rPr>
        <w:t>十四、违约责任</w:t>
      </w:r>
    </w:p>
    <w:p>
      <w:pPr>
        <w:pStyle w:val="34"/>
        <w:snapToGrid w:val="0"/>
        <w:spacing w:line="360" w:lineRule="auto"/>
        <w:ind w:firstLine="560" w:firstLineChars="200"/>
        <w:rPr>
          <w:rFonts w:ascii="Times New Roman" w:hAnsi="Times New Roman"/>
          <w:bCs/>
          <w:color w:val="auto"/>
          <w:sz w:val="28"/>
          <w:szCs w:val="28"/>
        </w:rPr>
      </w:pPr>
      <w:r>
        <w:rPr>
          <w:rFonts w:ascii="Times New Roman" w:hAnsi="Times New Roman"/>
          <w:bCs/>
          <w:color w:val="auto"/>
          <w:sz w:val="28"/>
          <w:szCs w:val="28"/>
        </w:rPr>
        <w:t>1.甲方无正当理由拒收接受服务的，甲方向乙方偿付合同款项百分之五作为违约金。</w:t>
      </w:r>
    </w:p>
    <w:p>
      <w:pPr>
        <w:pStyle w:val="34"/>
        <w:snapToGrid w:val="0"/>
        <w:spacing w:line="360" w:lineRule="auto"/>
        <w:ind w:firstLine="560" w:firstLineChars="200"/>
        <w:rPr>
          <w:rFonts w:ascii="Times New Roman" w:hAnsi="Times New Roman"/>
          <w:bCs/>
          <w:color w:val="auto"/>
          <w:sz w:val="28"/>
          <w:szCs w:val="28"/>
        </w:rPr>
      </w:pPr>
      <w:r>
        <w:rPr>
          <w:rFonts w:ascii="Times New Roman" w:hAnsi="Times New Roman"/>
          <w:bCs/>
          <w:color w:val="auto"/>
          <w:sz w:val="28"/>
          <w:szCs w:val="28"/>
        </w:rPr>
        <w:t>2．乙方未能如期提供服务的，每日向甲方支付合同款项的千分之六作为违约金。乙方超过约定日期10个工作日仍不能提供服务的，甲方可解除本合同。乙方因未能如期提供服务或因其他违约行为导致甲方解除合同的，乙方应向甲方支付合同总值5%的违约金，如造成甲方损失超过违约金的，超出部分由乙方继续承担赔偿责任。</w:t>
      </w:r>
    </w:p>
    <w:p>
      <w:pPr>
        <w:pStyle w:val="34"/>
        <w:snapToGrid w:val="0"/>
        <w:spacing w:line="360" w:lineRule="auto"/>
        <w:ind w:firstLine="599" w:firstLineChars="213"/>
        <w:outlineLvl w:val="0"/>
        <w:rPr>
          <w:rFonts w:ascii="Times New Roman" w:hAnsi="Times New Roman"/>
          <w:b/>
          <w:color w:val="auto"/>
          <w:kern w:val="0"/>
          <w:sz w:val="28"/>
          <w:szCs w:val="28"/>
        </w:rPr>
      </w:pPr>
      <w:r>
        <w:rPr>
          <w:rFonts w:ascii="Times New Roman" w:hAnsi="Times New Roman"/>
          <w:b/>
          <w:color w:val="auto"/>
          <w:kern w:val="0"/>
          <w:sz w:val="28"/>
          <w:szCs w:val="28"/>
        </w:rPr>
        <w:t>十五、不可抗力事件处理</w:t>
      </w:r>
    </w:p>
    <w:p>
      <w:pPr>
        <w:pStyle w:val="34"/>
        <w:snapToGrid w:val="0"/>
        <w:spacing w:line="360" w:lineRule="auto"/>
        <w:ind w:firstLine="596" w:firstLineChars="213"/>
        <w:rPr>
          <w:rFonts w:ascii="Times New Roman" w:hAnsi="Times New Roman"/>
          <w:bCs/>
          <w:kern w:val="0"/>
          <w:sz w:val="28"/>
          <w:szCs w:val="28"/>
        </w:rPr>
      </w:pPr>
      <w:r>
        <w:rPr>
          <w:rFonts w:ascii="Times New Roman" w:hAnsi="Times New Roman"/>
          <w:bCs/>
          <w:color w:val="auto"/>
          <w:kern w:val="0"/>
          <w:sz w:val="28"/>
          <w:szCs w:val="28"/>
        </w:rPr>
        <w:t>1. 在合同有效期内，任何一方因不可抗力事</w:t>
      </w:r>
      <w:r>
        <w:rPr>
          <w:rFonts w:ascii="Times New Roman" w:hAnsi="Times New Roman"/>
          <w:bCs/>
          <w:kern w:val="0"/>
          <w:sz w:val="28"/>
          <w:szCs w:val="28"/>
        </w:rPr>
        <w:t>件导致不能履行合同，则合同履行期可延长，其延长期与不可抗力影响期相同。</w:t>
      </w:r>
    </w:p>
    <w:p>
      <w:pPr>
        <w:pStyle w:val="34"/>
        <w:snapToGrid w:val="0"/>
        <w:spacing w:line="360" w:lineRule="auto"/>
        <w:ind w:firstLine="596" w:firstLineChars="213"/>
        <w:rPr>
          <w:rFonts w:ascii="Times New Roman" w:hAnsi="Times New Roman"/>
          <w:bCs/>
          <w:kern w:val="0"/>
          <w:sz w:val="28"/>
          <w:szCs w:val="28"/>
        </w:rPr>
      </w:pPr>
      <w:r>
        <w:rPr>
          <w:rFonts w:ascii="Times New Roman" w:hAnsi="Times New Roman"/>
          <w:bCs/>
          <w:kern w:val="0"/>
          <w:sz w:val="28"/>
          <w:szCs w:val="28"/>
        </w:rPr>
        <w:t>2. 不可抗力事件发生后，应立即通知对方，并寄送有关权威机构出具的证明。</w:t>
      </w:r>
    </w:p>
    <w:p>
      <w:pPr>
        <w:pStyle w:val="34"/>
        <w:snapToGrid w:val="0"/>
        <w:spacing w:line="360" w:lineRule="auto"/>
        <w:ind w:firstLine="596" w:firstLineChars="213"/>
        <w:rPr>
          <w:rFonts w:ascii="Times New Roman" w:hAnsi="Times New Roman"/>
          <w:bCs/>
          <w:kern w:val="0"/>
          <w:sz w:val="28"/>
          <w:szCs w:val="28"/>
        </w:rPr>
      </w:pPr>
      <w:r>
        <w:rPr>
          <w:rFonts w:ascii="Times New Roman" w:hAnsi="Times New Roman"/>
          <w:bCs/>
          <w:kern w:val="0"/>
          <w:sz w:val="28"/>
          <w:szCs w:val="28"/>
        </w:rPr>
        <w:t>3. 不可抗力事件延续120天以上，双方应通过友好协商，确定是否继续履行合同。</w:t>
      </w:r>
    </w:p>
    <w:p>
      <w:pPr>
        <w:pStyle w:val="34"/>
        <w:snapToGrid w:val="0"/>
        <w:spacing w:line="360" w:lineRule="auto"/>
        <w:ind w:firstLine="599" w:firstLineChars="213"/>
        <w:outlineLvl w:val="0"/>
        <w:rPr>
          <w:rFonts w:ascii="Times New Roman" w:hAnsi="Times New Roman"/>
          <w:b/>
          <w:kern w:val="0"/>
          <w:sz w:val="28"/>
          <w:szCs w:val="28"/>
        </w:rPr>
      </w:pPr>
      <w:r>
        <w:rPr>
          <w:rFonts w:ascii="Times New Roman" w:hAnsi="Times New Roman"/>
          <w:b/>
          <w:kern w:val="0"/>
          <w:sz w:val="28"/>
          <w:szCs w:val="28"/>
        </w:rPr>
        <w:t>十六、诉讼</w:t>
      </w:r>
    </w:p>
    <w:p>
      <w:pPr>
        <w:pStyle w:val="34"/>
        <w:snapToGrid w:val="0"/>
        <w:spacing w:line="360" w:lineRule="auto"/>
        <w:ind w:firstLine="596" w:firstLineChars="213"/>
        <w:rPr>
          <w:rFonts w:ascii="Times New Roman" w:hAnsi="Times New Roman"/>
          <w:bCs/>
          <w:kern w:val="0"/>
          <w:sz w:val="28"/>
          <w:szCs w:val="28"/>
        </w:rPr>
      </w:pPr>
      <w:r>
        <w:rPr>
          <w:rFonts w:ascii="Times New Roman" w:hAnsi="Times New Roman"/>
          <w:bCs/>
          <w:kern w:val="0"/>
          <w:sz w:val="28"/>
          <w:szCs w:val="28"/>
        </w:rPr>
        <w:t>双方在执行合同中所发生的一切争议，应通过协商解决。如协商不成，可向甲方所在地法院起诉。</w:t>
      </w:r>
    </w:p>
    <w:p>
      <w:pPr>
        <w:pStyle w:val="34"/>
        <w:snapToGrid w:val="0"/>
        <w:spacing w:line="360" w:lineRule="auto"/>
        <w:ind w:firstLine="599" w:firstLineChars="213"/>
        <w:outlineLvl w:val="0"/>
        <w:rPr>
          <w:rFonts w:ascii="Times New Roman" w:hAnsi="Times New Roman"/>
          <w:b/>
          <w:kern w:val="0"/>
          <w:sz w:val="28"/>
          <w:szCs w:val="28"/>
        </w:rPr>
      </w:pPr>
      <w:r>
        <w:rPr>
          <w:rFonts w:ascii="Times New Roman" w:hAnsi="Times New Roman"/>
          <w:b/>
          <w:kern w:val="0"/>
          <w:sz w:val="28"/>
          <w:szCs w:val="28"/>
        </w:rPr>
        <w:t>十七、合同生效及其它</w:t>
      </w:r>
    </w:p>
    <w:p>
      <w:pPr>
        <w:pStyle w:val="34"/>
        <w:snapToGrid w:val="0"/>
        <w:spacing w:line="360" w:lineRule="auto"/>
        <w:ind w:firstLine="596" w:firstLineChars="213"/>
        <w:rPr>
          <w:rFonts w:ascii="Times New Roman" w:hAnsi="Times New Roman"/>
          <w:bCs/>
          <w:kern w:val="0"/>
          <w:sz w:val="28"/>
          <w:szCs w:val="28"/>
        </w:rPr>
      </w:pPr>
      <w:r>
        <w:rPr>
          <w:rFonts w:ascii="Times New Roman" w:hAnsi="Times New Roman"/>
          <w:bCs/>
          <w:kern w:val="0"/>
          <w:sz w:val="28"/>
          <w:szCs w:val="28"/>
        </w:rPr>
        <w:t>1. 合同经甲、乙两方签字并加盖单位公章后生效。</w:t>
      </w:r>
    </w:p>
    <w:p>
      <w:pPr>
        <w:pStyle w:val="34"/>
        <w:snapToGrid w:val="0"/>
        <w:spacing w:line="360" w:lineRule="auto"/>
        <w:ind w:firstLine="596" w:firstLineChars="213"/>
        <w:rPr>
          <w:rFonts w:ascii="Times New Roman" w:hAnsi="Times New Roman"/>
          <w:bCs/>
          <w:kern w:val="0"/>
          <w:sz w:val="28"/>
          <w:szCs w:val="28"/>
        </w:rPr>
      </w:pPr>
      <w:r>
        <w:rPr>
          <w:rFonts w:ascii="Times New Roman" w:hAnsi="Times New Roman"/>
          <w:bCs/>
          <w:kern w:val="0"/>
          <w:sz w:val="28"/>
          <w:szCs w:val="28"/>
        </w:rPr>
        <w:t>2.合同执行中涉及采购资金和采购内容修改或补充的，须经采购中心、财政部门审批，并签书面补充协议，经报政府采购监督管理部门备案后，方可作为主合同不可分割的一部分。</w:t>
      </w:r>
    </w:p>
    <w:p>
      <w:pPr>
        <w:pStyle w:val="34"/>
        <w:snapToGrid w:val="0"/>
        <w:spacing w:line="360" w:lineRule="auto"/>
        <w:ind w:firstLine="596" w:firstLineChars="213"/>
        <w:rPr>
          <w:rFonts w:ascii="Times New Roman" w:hAnsi="Times New Roman"/>
          <w:bCs/>
          <w:kern w:val="0"/>
          <w:sz w:val="28"/>
          <w:szCs w:val="28"/>
        </w:rPr>
      </w:pPr>
      <w:r>
        <w:rPr>
          <w:rFonts w:ascii="Times New Roman" w:hAnsi="Times New Roman"/>
          <w:bCs/>
          <w:kern w:val="0"/>
          <w:sz w:val="28"/>
          <w:szCs w:val="28"/>
        </w:rPr>
        <w:t>3.招标文件、投标文件与本合同具有同等法律效力。</w:t>
      </w:r>
    </w:p>
    <w:p>
      <w:pPr>
        <w:pStyle w:val="34"/>
        <w:snapToGrid w:val="0"/>
        <w:spacing w:line="360" w:lineRule="auto"/>
        <w:ind w:firstLine="560" w:firstLineChars="200"/>
        <w:rPr>
          <w:rFonts w:ascii="Times New Roman" w:hAnsi="Times New Roman"/>
          <w:bCs/>
          <w:kern w:val="0"/>
          <w:sz w:val="28"/>
          <w:szCs w:val="28"/>
        </w:rPr>
      </w:pPr>
      <w:r>
        <w:rPr>
          <w:rFonts w:ascii="Times New Roman" w:hAnsi="Times New Roman"/>
          <w:bCs/>
          <w:kern w:val="0"/>
          <w:sz w:val="28"/>
          <w:szCs w:val="28"/>
        </w:rPr>
        <w:t>4.本合同未尽事宜，遵照《合同法》有关条文执行。</w:t>
      </w:r>
    </w:p>
    <w:p>
      <w:pPr>
        <w:pStyle w:val="34"/>
        <w:snapToGrid w:val="0"/>
        <w:spacing w:line="360" w:lineRule="auto"/>
        <w:ind w:firstLine="560" w:firstLineChars="200"/>
        <w:rPr>
          <w:rFonts w:ascii="Times New Roman" w:hAnsi="Times New Roman"/>
          <w:bCs/>
          <w:kern w:val="0"/>
          <w:sz w:val="28"/>
          <w:szCs w:val="28"/>
        </w:rPr>
      </w:pPr>
      <w:r>
        <w:rPr>
          <w:rFonts w:ascii="Times New Roman" w:hAnsi="Times New Roman"/>
          <w:bCs/>
          <w:kern w:val="0"/>
          <w:sz w:val="28"/>
          <w:szCs w:val="28"/>
        </w:rPr>
        <w:t xml:space="preserve">5.本合同一式四份，具有同等法律效力，甲、乙两方各执二份。 </w:t>
      </w:r>
    </w:p>
    <w:p>
      <w:pPr>
        <w:pStyle w:val="34"/>
        <w:snapToGrid w:val="0"/>
        <w:spacing w:line="360" w:lineRule="auto"/>
        <w:ind w:firstLine="560" w:firstLineChars="200"/>
        <w:rPr>
          <w:rFonts w:ascii="Times New Roman" w:hAnsi="Times New Roman"/>
          <w:bCs/>
          <w:kern w:val="0"/>
          <w:sz w:val="28"/>
          <w:szCs w:val="28"/>
        </w:rPr>
      </w:pPr>
    </w:p>
    <w:p>
      <w:pPr>
        <w:pStyle w:val="34"/>
        <w:snapToGrid w:val="0"/>
        <w:spacing w:line="440" w:lineRule="exact"/>
        <w:ind w:firstLine="596" w:firstLineChars="213"/>
        <w:rPr>
          <w:rFonts w:hAnsi="宋体" w:cs="宋体"/>
          <w:kern w:val="0"/>
          <w:sz w:val="28"/>
          <w:szCs w:val="28"/>
        </w:rPr>
      </w:pPr>
      <w:r>
        <w:rPr>
          <w:rFonts w:hint="eastAsia" w:hAnsi="宋体" w:cs="宋体"/>
          <w:kern w:val="0"/>
          <w:sz w:val="28"/>
          <w:szCs w:val="28"/>
        </w:rPr>
        <w:t xml:space="preserve">甲方（盖章）：                 乙方（盖章）：                  </w:t>
      </w:r>
    </w:p>
    <w:p>
      <w:pPr>
        <w:pStyle w:val="34"/>
        <w:snapToGrid w:val="0"/>
        <w:spacing w:line="440" w:lineRule="exact"/>
        <w:ind w:firstLine="596" w:firstLineChars="213"/>
        <w:rPr>
          <w:rFonts w:hAnsi="宋体" w:cs="宋体"/>
          <w:kern w:val="0"/>
          <w:sz w:val="28"/>
          <w:szCs w:val="28"/>
        </w:rPr>
      </w:pPr>
      <w:r>
        <w:rPr>
          <w:rFonts w:hint="eastAsia" w:hAnsi="宋体" w:cs="宋体"/>
          <w:kern w:val="0"/>
          <w:sz w:val="28"/>
          <w:szCs w:val="28"/>
        </w:rPr>
        <w:t xml:space="preserve">地址：                         地址：        </w:t>
      </w:r>
    </w:p>
    <w:p>
      <w:pPr>
        <w:pStyle w:val="34"/>
        <w:snapToGrid w:val="0"/>
        <w:spacing w:line="440" w:lineRule="exact"/>
        <w:ind w:firstLine="596" w:firstLineChars="213"/>
        <w:rPr>
          <w:rFonts w:hAnsi="宋体" w:cs="宋体"/>
          <w:kern w:val="0"/>
          <w:sz w:val="28"/>
          <w:szCs w:val="28"/>
        </w:rPr>
      </w:pPr>
      <w:r>
        <w:rPr>
          <w:rFonts w:hint="eastAsia" w:hAnsi="宋体" w:cs="宋体"/>
          <w:kern w:val="0"/>
          <w:sz w:val="28"/>
          <w:szCs w:val="28"/>
        </w:rPr>
        <w:t xml:space="preserve">法定（授权）代表人：           开户行：     </w:t>
      </w:r>
    </w:p>
    <w:p>
      <w:pPr>
        <w:pStyle w:val="34"/>
        <w:snapToGrid w:val="0"/>
        <w:spacing w:line="440" w:lineRule="exact"/>
        <w:ind w:firstLine="596" w:firstLineChars="213"/>
        <w:rPr>
          <w:rFonts w:hAnsi="宋体" w:cs="宋体"/>
          <w:kern w:val="0"/>
          <w:sz w:val="28"/>
          <w:szCs w:val="28"/>
        </w:rPr>
      </w:pPr>
      <w:r>
        <w:rPr>
          <w:rFonts w:hint="eastAsia" w:hAnsi="宋体" w:cs="宋体"/>
          <w:kern w:val="0"/>
          <w:sz w:val="28"/>
          <w:szCs w:val="28"/>
        </w:rPr>
        <w:t>签字日期： 年  月  日          开户帐号：</w:t>
      </w:r>
    </w:p>
    <w:p>
      <w:pPr>
        <w:pStyle w:val="34"/>
        <w:snapToGrid w:val="0"/>
        <w:spacing w:line="440" w:lineRule="exact"/>
        <w:ind w:firstLine="596" w:firstLineChars="213"/>
        <w:rPr>
          <w:rFonts w:hAnsi="宋体" w:cs="宋体"/>
          <w:kern w:val="0"/>
          <w:sz w:val="28"/>
          <w:szCs w:val="28"/>
        </w:rPr>
      </w:pPr>
      <w:r>
        <w:rPr>
          <w:rFonts w:hint="eastAsia" w:hAnsi="宋体" w:cs="宋体"/>
          <w:kern w:val="0"/>
          <w:sz w:val="28"/>
          <w:szCs w:val="28"/>
        </w:rPr>
        <w:t xml:space="preserve">                               法定（授权）代表人：</w:t>
      </w:r>
    </w:p>
    <w:p>
      <w:pPr>
        <w:pStyle w:val="34"/>
        <w:snapToGrid w:val="0"/>
        <w:spacing w:line="440" w:lineRule="exact"/>
        <w:ind w:firstLine="4900" w:firstLineChars="1750"/>
        <w:rPr>
          <w:rFonts w:hAnsi="宋体" w:cs="宋体"/>
          <w:kern w:val="0"/>
          <w:sz w:val="28"/>
          <w:szCs w:val="28"/>
        </w:rPr>
      </w:pPr>
      <w:r>
        <w:rPr>
          <w:rFonts w:hint="eastAsia" w:hAnsi="宋体" w:cs="宋体"/>
          <w:kern w:val="0"/>
          <w:sz w:val="28"/>
          <w:szCs w:val="28"/>
        </w:rPr>
        <w:t>签字日期：  年  月  日</w:t>
      </w:r>
    </w:p>
    <w:p>
      <w:pPr>
        <w:pStyle w:val="34"/>
        <w:adjustRightInd w:val="0"/>
        <w:snapToGrid w:val="0"/>
        <w:spacing w:beforeLines="0" w:afterLines="0" w:line="440" w:lineRule="exact"/>
        <w:ind w:firstLine="4900" w:firstLineChars="1750"/>
        <w:rPr>
          <w:rFonts w:hAnsi="宋体" w:cs="宋体"/>
          <w:snapToGrid w:val="0"/>
          <w:kern w:val="0"/>
          <w:sz w:val="28"/>
          <w:szCs w:val="28"/>
        </w:rPr>
      </w:pPr>
    </w:p>
    <w:p>
      <w:pPr>
        <w:spacing w:line="360" w:lineRule="auto"/>
        <w:ind w:left="-420" w:leftChars="-200" w:right="-420" w:rightChars="-200" w:firstLine="480" w:firstLineChars="200"/>
        <w:jc w:val="center"/>
        <w:outlineLvl w:val="0"/>
        <w:rPr>
          <w:rFonts w:ascii="宋体" w:hAnsi="宋体" w:cs="宋体"/>
          <w:sz w:val="24"/>
        </w:rPr>
      </w:pPr>
    </w:p>
    <w:p>
      <w:pPr>
        <w:widowControl/>
        <w:adjustRightInd/>
        <w:jc w:val="center"/>
        <w:rPr>
          <w:rFonts w:hint="eastAsia" w:ascii="宋体" w:hAnsi="宋体" w:cs="宋体"/>
          <w:b/>
          <w:sz w:val="36"/>
          <w:szCs w:val="20"/>
        </w:rPr>
      </w:pPr>
    </w:p>
    <w:p>
      <w:pPr>
        <w:widowControl/>
        <w:adjustRightInd/>
        <w:jc w:val="center"/>
        <w:rPr>
          <w:rFonts w:hint="eastAsia" w:ascii="宋体" w:hAnsi="宋体" w:cs="宋体"/>
          <w:b/>
          <w:sz w:val="36"/>
          <w:szCs w:val="20"/>
        </w:rPr>
      </w:pPr>
    </w:p>
    <w:p>
      <w:pPr>
        <w:widowControl/>
        <w:adjustRightInd/>
        <w:jc w:val="center"/>
        <w:rPr>
          <w:rFonts w:hint="eastAsia" w:ascii="宋体" w:hAnsi="宋体" w:cs="宋体"/>
          <w:b/>
          <w:sz w:val="36"/>
          <w:szCs w:val="20"/>
        </w:rPr>
      </w:pPr>
    </w:p>
    <w:p>
      <w:pPr>
        <w:widowControl/>
        <w:adjustRightInd/>
        <w:jc w:val="center"/>
        <w:rPr>
          <w:rFonts w:hint="eastAsia" w:ascii="宋体" w:hAnsi="宋体" w:cs="宋体"/>
          <w:b/>
          <w:sz w:val="36"/>
          <w:szCs w:val="20"/>
        </w:rPr>
      </w:pPr>
    </w:p>
    <w:p>
      <w:pPr>
        <w:widowControl/>
        <w:adjustRightInd/>
        <w:jc w:val="center"/>
        <w:rPr>
          <w:rFonts w:hint="eastAsia" w:ascii="宋体" w:hAnsi="宋体" w:cs="宋体"/>
          <w:b/>
          <w:sz w:val="36"/>
          <w:szCs w:val="20"/>
        </w:rPr>
      </w:pPr>
    </w:p>
    <w:p>
      <w:pPr>
        <w:widowControl/>
        <w:adjustRightInd/>
        <w:jc w:val="center"/>
        <w:rPr>
          <w:rFonts w:hint="eastAsia" w:ascii="宋体" w:hAnsi="宋体" w:cs="宋体"/>
          <w:b/>
          <w:sz w:val="36"/>
          <w:szCs w:val="20"/>
        </w:rPr>
      </w:pPr>
    </w:p>
    <w:p>
      <w:pPr>
        <w:widowControl/>
        <w:adjustRightInd/>
        <w:jc w:val="center"/>
        <w:rPr>
          <w:rFonts w:ascii="宋体" w:hAnsi="宋体" w:cs="宋体"/>
          <w:b/>
          <w:sz w:val="36"/>
          <w:szCs w:val="20"/>
        </w:rPr>
      </w:pPr>
      <w:r>
        <w:rPr>
          <w:rFonts w:hint="eastAsia" w:ascii="宋体" w:hAnsi="宋体" w:cs="宋体"/>
          <w:b/>
          <w:sz w:val="36"/>
          <w:szCs w:val="20"/>
        </w:rPr>
        <w:t>第六部分</w:t>
      </w:r>
      <w:bookmarkEnd w:id="393"/>
      <w:r>
        <w:rPr>
          <w:rFonts w:hint="eastAsia" w:ascii="宋体" w:hAnsi="宋体" w:cs="宋体"/>
          <w:b/>
          <w:sz w:val="36"/>
          <w:szCs w:val="20"/>
        </w:rPr>
        <w:t xml:space="preserve"> </w:t>
      </w:r>
      <w:bookmarkEnd w:id="394"/>
      <w:r>
        <w:rPr>
          <w:rFonts w:hint="eastAsia" w:ascii="宋体" w:hAnsi="宋体" w:cs="宋体"/>
          <w:b/>
          <w:sz w:val="36"/>
          <w:szCs w:val="20"/>
        </w:rPr>
        <w:t>应提交的有关格式范例</w:t>
      </w:r>
    </w:p>
    <w:p>
      <w:pPr>
        <w:spacing w:line="360" w:lineRule="auto"/>
        <w:jc w:val="center"/>
        <w:outlineLvl w:val="0"/>
        <w:rPr>
          <w:rFonts w:ascii="宋体" w:hAnsi="宋体" w:cs="宋体"/>
          <w:b/>
          <w:kern w:val="0"/>
          <w:sz w:val="36"/>
          <w:szCs w:val="36"/>
        </w:rPr>
      </w:pPr>
    </w:p>
    <w:p>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资格文件部分</w:t>
      </w:r>
    </w:p>
    <w:p>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pPr>
        <w:spacing w:line="360" w:lineRule="auto"/>
        <w:jc w:val="center"/>
        <w:outlineLvl w:val="0"/>
        <w:rPr>
          <w:rFonts w:ascii="宋体" w:hAnsi="宋体" w:cs="宋体"/>
          <w:b/>
          <w:kern w:val="0"/>
          <w:sz w:val="36"/>
          <w:szCs w:val="36"/>
        </w:rPr>
      </w:pPr>
    </w:p>
    <w:p>
      <w:pPr>
        <w:snapToGrid w:val="0"/>
        <w:spacing w:line="360" w:lineRule="auto"/>
        <w:rPr>
          <w:rFonts w:ascii="宋体" w:hAnsi="宋体" w:cs="宋体"/>
          <w:sz w:val="24"/>
        </w:rPr>
      </w:pPr>
      <w:r>
        <w:rPr>
          <w:rFonts w:hint="eastAsia" w:ascii="宋体" w:hAnsi="宋体" w:cs="宋体"/>
          <w:sz w:val="24"/>
        </w:rPr>
        <w:t>（1）符合参加政府采购活动应当具备的一般条件的承诺函……………（页码）</w:t>
      </w:r>
    </w:p>
    <w:p>
      <w:pPr>
        <w:snapToGrid w:val="0"/>
        <w:spacing w:line="360" w:lineRule="auto"/>
        <w:rPr>
          <w:rFonts w:ascii="宋体" w:hAnsi="宋体" w:cs="宋体"/>
          <w:sz w:val="24"/>
        </w:rPr>
      </w:pPr>
      <w:r>
        <w:rPr>
          <w:rFonts w:hint="eastAsia" w:ascii="宋体" w:hAnsi="宋体" w:cs="宋体"/>
          <w:snapToGrid w:val="0"/>
          <w:kern w:val="28"/>
          <w:sz w:val="24"/>
          <w:szCs w:val="20"/>
        </w:rPr>
        <w:t>（2）联合协议</w:t>
      </w:r>
      <w:r>
        <w:rPr>
          <w:rFonts w:hint="eastAsia" w:ascii="宋体" w:hAnsi="宋体" w:cs="宋体"/>
          <w:sz w:val="24"/>
        </w:rPr>
        <w:t>………………………………………………………………（页码）</w:t>
      </w:r>
    </w:p>
    <w:p>
      <w:pPr>
        <w:snapToGrid w:val="0"/>
        <w:spacing w:line="360" w:lineRule="auto"/>
        <w:rPr>
          <w:rFonts w:ascii="宋体" w:hAnsi="宋体" w:cs="宋体"/>
          <w:sz w:val="24"/>
        </w:rPr>
      </w:pPr>
      <w:r>
        <w:rPr>
          <w:rFonts w:hint="eastAsia" w:ascii="宋体" w:hAnsi="宋体" w:cs="宋体"/>
          <w:sz w:val="24"/>
        </w:rPr>
        <w:t>（</w:t>
      </w:r>
      <w:r>
        <w:rPr>
          <w:rFonts w:ascii="宋体" w:hAnsi="宋体" w:cs="宋体"/>
          <w:sz w:val="24"/>
        </w:rPr>
        <w:t>3</w:t>
      </w:r>
      <w:r>
        <w:rPr>
          <w:rFonts w:hint="eastAsia" w:ascii="宋体" w:hAnsi="宋体" w:cs="宋体"/>
          <w:sz w:val="24"/>
        </w:rPr>
        <w:t>）落实政府采购政策需满足的资格要求………………………………（页码）</w:t>
      </w:r>
    </w:p>
    <w:p>
      <w:pPr>
        <w:snapToGrid w:val="0"/>
        <w:spacing w:line="360" w:lineRule="auto"/>
        <w:rPr>
          <w:rFonts w:ascii="宋体" w:hAnsi="宋体" w:cs="宋体"/>
          <w:sz w:val="24"/>
        </w:rPr>
      </w:pPr>
      <w:r>
        <w:rPr>
          <w:rFonts w:hint="eastAsia" w:ascii="宋体" w:hAnsi="宋体" w:cs="宋体"/>
          <w:sz w:val="24"/>
        </w:rPr>
        <w:t>（</w:t>
      </w:r>
      <w:r>
        <w:rPr>
          <w:rFonts w:ascii="宋体" w:hAnsi="宋体" w:cs="宋体"/>
          <w:sz w:val="24"/>
        </w:rPr>
        <w:t>4</w:t>
      </w:r>
      <w:r>
        <w:rPr>
          <w:rFonts w:hint="eastAsia" w:ascii="宋体" w:hAnsi="宋体" w:cs="宋体"/>
          <w:sz w:val="24"/>
        </w:rPr>
        <w:t>）本项目的特定资格要求………………………………………………（页码）</w:t>
      </w:r>
    </w:p>
    <w:p>
      <w:pPr>
        <w:snapToGrid w:val="0"/>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p>
    <w:p>
      <w:pPr>
        <w:snapToGrid w:val="0"/>
        <w:spacing w:line="360" w:lineRule="auto"/>
        <w:ind w:right="480"/>
        <w:jc w:val="center"/>
        <w:rPr>
          <w:rFonts w:ascii="宋体" w:hAnsi="宋体" w:cs="宋体"/>
          <w:b/>
          <w:kern w:val="0"/>
          <w:sz w:val="32"/>
          <w:szCs w:val="32"/>
        </w:rPr>
      </w:pPr>
      <w:r>
        <w:rPr>
          <w:rFonts w:hint="eastAsia" w:ascii="宋体" w:hAnsi="宋体" w:cs="宋体"/>
          <w:kern w:val="0"/>
          <w:sz w:val="24"/>
        </w:rPr>
        <w:br w:type="page"/>
      </w:r>
      <w:r>
        <w:rPr>
          <w:rFonts w:hint="eastAsia" w:ascii="宋体" w:hAnsi="宋体" w:cs="宋体"/>
          <w:b/>
          <w:kern w:val="0"/>
          <w:sz w:val="32"/>
          <w:szCs w:val="32"/>
        </w:rPr>
        <w:t xml:space="preserve">  一、 符合参加政府采购活动应当具备的一般条件的承诺函</w:t>
      </w:r>
    </w:p>
    <w:p>
      <w:pPr>
        <w:snapToGrid w:val="0"/>
        <w:spacing w:line="360" w:lineRule="auto"/>
        <w:rPr>
          <w:rFonts w:ascii="宋体" w:hAnsi="宋体" w:cs="宋体"/>
          <w:sz w:val="24"/>
        </w:rPr>
      </w:pPr>
      <w:r>
        <w:rPr>
          <w:rFonts w:hint="eastAsia" w:ascii="宋体" w:hAnsi="宋体" w:cs="宋体"/>
          <w:color w:val="auto"/>
          <w:sz w:val="24"/>
        </w:rPr>
        <w:t>（采购人）</w:t>
      </w:r>
      <w:r>
        <w:rPr>
          <w:rFonts w:hint="eastAsia" w:ascii="宋体" w:hAnsi="宋体" w:cs="宋体"/>
          <w:color w:val="auto"/>
          <w:sz w:val="24"/>
          <w:lang w:val="en-US" w:eastAsia="zh-CN"/>
        </w:rPr>
        <w:t>、杭</w:t>
      </w:r>
      <w:r>
        <w:rPr>
          <w:rFonts w:hint="eastAsia" w:ascii="宋体" w:hAnsi="宋体" w:cs="宋体"/>
          <w:sz w:val="24"/>
          <w:lang w:val="en-US" w:eastAsia="zh-CN"/>
        </w:rPr>
        <w:t>州市公共资源交易中心临安分中心</w:t>
      </w:r>
      <w:r>
        <w:rPr>
          <w:rFonts w:hint="eastAsia" w:ascii="宋体" w:hAnsi="宋体" w:cs="宋体"/>
          <w:sz w:val="24"/>
        </w:rPr>
        <w:t>：</w:t>
      </w:r>
    </w:p>
    <w:p>
      <w:pPr>
        <w:snapToGrid w:val="0"/>
        <w:spacing w:line="360" w:lineRule="auto"/>
        <w:ind w:firstLine="480" w:firstLineChars="200"/>
        <w:rPr>
          <w:rFonts w:ascii="宋体" w:hAnsi="宋体" w:cs="宋体"/>
          <w:sz w:val="24"/>
        </w:rPr>
      </w:pPr>
      <w:r>
        <w:rPr>
          <w:rFonts w:hint="eastAsia" w:ascii="宋体" w:hAnsi="宋体" w:cs="宋体"/>
          <w:sz w:val="24"/>
        </w:rPr>
        <w:t>我方参与</w:t>
      </w:r>
      <w:r>
        <w:rPr>
          <w:rFonts w:hint="eastAsia" w:ascii="宋体" w:hAnsi="宋体" w:cs="宋体"/>
          <w:color w:val="auto"/>
          <w:sz w:val="24"/>
        </w:rPr>
        <w:t>（项目名称）【招标编号：（采购编号）】</w:t>
      </w:r>
      <w:r>
        <w:rPr>
          <w:rFonts w:hint="eastAsia" w:ascii="宋体" w:hAnsi="宋体" w:cs="宋体"/>
          <w:sz w:val="24"/>
        </w:rPr>
        <w:t>政府采购活动，郑重承诺：</w:t>
      </w:r>
    </w:p>
    <w:p>
      <w:pPr>
        <w:snapToGrid w:val="0"/>
        <w:spacing w:line="360" w:lineRule="auto"/>
        <w:ind w:firstLine="360" w:firstLineChars="150"/>
        <w:rPr>
          <w:rFonts w:ascii="宋体" w:hAnsi="宋体" w:cs="宋体"/>
          <w:sz w:val="24"/>
        </w:rPr>
      </w:pPr>
      <w:r>
        <w:rPr>
          <w:rFonts w:hint="eastAsia" w:ascii="宋体" w:hAnsi="宋体" w:cs="宋体"/>
          <w:sz w:val="24"/>
        </w:rPr>
        <w:t>（一）具备《中华人民共和国政府采购法》第二十二条第一款规定的条件：</w:t>
      </w:r>
    </w:p>
    <w:p>
      <w:pPr>
        <w:snapToGrid w:val="0"/>
        <w:spacing w:line="360" w:lineRule="auto"/>
        <w:ind w:firstLine="480" w:firstLineChars="200"/>
        <w:rPr>
          <w:rFonts w:ascii="宋体" w:hAnsi="宋体" w:cs="宋体"/>
          <w:sz w:val="24"/>
        </w:rPr>
      </w:pPr>
      <w:r>
        <w:rPr>
          <w:rFonts w:hint="eastAsia" w:ascii="宋体" w:hAnsi="宋体" w:cs="宋体"/>
          <w:sz w:val="24"/>
        </w:rPr>
        <w:t>1、具有独立承担民事责任的能力；</w:t>
      </w:r>
    </w:p>
    <w:p>
      <w:pPr>
        <w:snapToGrid w:val="0"/>
        <w:spacing w:line="360" w:lineRule="auto"/>
        <w:ind w:firstLine="480" w:firstLineChars="200"/>
        <w:rPr>
          <w:rFonts w:ascii="宋体" w:hAnsi="宋体" w:cs="宋体"/>
          <w:sz w:val="24"/>
        </w:rPr>
      </w:pPr>
      <w:r>
        <w:rPr>
          <w:rFonts w:hint="eastAsia" w:ascii="宋体" w:hAnsi="宋体" w:cs="宋体"/>
          <w:sz w:val="24"/>
        </w:rPr>
        <w:t xml:space="preserve">2、具有良好的商业信誉和健全的财务会计制度； </w:t>
      </w:r>
    </w:p>
    <w:p>
      <w:pPr>
        <w:snapToGrid w:val="0"/>
        <w:spacing w:line="360" w:lineRule="auto"/>
        <w:ind w:firstLine="480" w:firstLineChars="200"/>
        <w:rPr>
          <w:rFonts w:ascii="宋体" w:hAnsi="宋体" w:cs="宋体"/>
          <w:sz w:val="24"/>
        </w:rPr>
      </w:pPr>
      <w:r>
        <w:rPr>
          <w:rFonts w:hint="eastAsia" w:ascii="宋体" w:hAnsi="宋体" w:cs="宋体"/>
          <w:sz w:val="24"/>
        </w:rPr>
        <w:t>3、具有履行合同所必需的设备和专业技术能力；</w:t>
      </w:r>
    </w:p>
    <w:p>
      <w:pPr>
        <w:snapToGrid w:val="0"/>
        <w:spacing w:line="360" w:lineRule="auto"/>
        <w:ind w:firstLine="480" w:firstLineChars="200"/>
        <w:rPr>
          <w:rFonts w:ascii="宋体" w:hAnsi="宋体" w:cs="宋体"/>
          <w:sz w:val="24"/>
        </w:rPr>
      </w:pPr>
      <w:r>
        <w:rPr>
          <w:rFonts w:hint="eastAsia" w:ascii="宋体" w:hAnsi="宋体" w:cs="宋体"/>
          <w:sz w:val="24"/>
        </w:rPr>
        <w:t>4、有依法缴纳税收和社会保障资金的良好记录；</w:t>
      </w:r>
    </w:p>
    <w:p>
      <w:pPr>
        <w:snapToGrid w:val="0"/>
        <w:spacing w:line="360" w:lineRule="auto"/>
        <w:ind w:firstLine="480" w:firstLineChars="200"/>
        <w:rPr>
          <w:rFonts w:ascii="宋体" w:hAnsi="宋体" w:cs="宋体"/>
          <w:sz w:val="24"/>
        </w:rPr>
      </w:pPr>
      <w:r>
        <w:rPr>
          <w:rFonts w:hint="eastAsia" w:ascii="宋体" w:hAnsi="宋体" w:cs="宋体"/>
          <w:sz w:val="24"/>
        </w:rPr>
        <w:t>5、参加政府采购活动前三年内，在经营活动中没有重大违法记录；</w:t>
      </w:r>
    </w:p>
    <w:p>
      <w:pPr>
        <w:snapToGrid w:val="0"/>
        <w:spacing w:line="360" w:lineRule="auto"/>
        <w:ind w:firstLine="480" w:firstLineChars="200"/>
        <w:rPr>
          <w:rFonts w:ascii="宋体" w:hAnsi="宋体" w:cs="宋体"/>
          <w:sz w:val="24"/>
        </w:rPr>
      </w:pPr>
      <w:r>
        <w:rPr>
          <w:rFonts w:hint="eastAsia" w:ascii="宋体" w:hAnsi="宋体" w:cs="宋体"/>
          <w:sz w:val="24"/>
        </w:rPr>
        <w:t>6、具有法律、行政法规规定的其他条件。</w:t>
      </w:r>
    </w:p>
    <w:p>
      <w:pPr>
        <w:snapToGrid w:val="0"/>
        <w:spacing w:line="360" w:lineRule="auto"/>
        <w:ind w:firstLine="480" w:firstLineChars="200"/>
        <w:rPr>
          <w:rFonts w:ascii="宋体" w:hAnsi="宋体" w:cs="宋体"/>
          <w:sz w:val="24"/>
        </w:rPr>
      </w:pPr>
      <w:r>
        <w:rPr>
          <w:rFonts w:hint="eastAsia" w:ascii="宋体" w:hAnsi="宋体" w:cs="宋体"/>
          <w:sz w:val="24"/>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ascii="宋体" w:hAnsi="宋体" w:cs="宋体"/>
          <w:sz w:val="24"/>
        </w:rPr>
      </w:pPr>
      <w:r>
        <w:rPr>
          <w:rFonts w:hint="eastAsia" w:ascii="宋体" w:hAnsi="宋体" w:cs="宋体"/>
          <w:sz w:val="24"/>
        </w:rPr>
        <w:t>（三）不存在以下情况：</w:t>
      </w:r>
    </w:p>
    <w:p>
      <w:pPr>
        <w:snapToGrid w:val="0"/>
        <w:spacing w:line="360" w:lineRule="auto"/>
        <w:ind w:firstLine="480" w:firstLineChars="200"/>
        <w:rPr>
          <w:rFonts w:ascii="宋体" w:hAnsi="宋体" w:cs="宋体"/>
          <w:sz w:val="24"/>
        </w:rPr>
      </w:pPr>
      <w:r>
        <w:rPr>
          <w:rFonts w:hint="eastAsia" w:ascii="宋体" w:hAnsi="宋体" w:cs="宋体"/>
          <w:sz w:val="24"/>
        </w:rPr>
        <w:t>1、单位负责人为同一人或者存在直接控股、管理关系的不同供应商参加同一合同项下的政府采购活动的；</w:t>
      </w:r>
    </w:p>
    <w:p>
      <w:pPr>
        <w:snapToGrid w:val="0"/>
        <w:spacing w:line="360" w:lineRule="auto"/>
        <w:ind w:firstLine="480" w:firstLineChars="200"/>
        <w:rPr>
          <w:rFonts w:ascii="宋体" w:hAnsi="宋体" w:cs="宋体"/>
          <w:sz w:val="24"/>
        </w:rPr>
      </w:pPr>
      <w:r>
        <w:rPr>
          <w:rFonts w:hint="eastAsia" w:ascii="宋体" w:hAnsi="宋体" w:cs="宋体"/>
          <w:sz w:val="24"/>
        </w:rPr>
        <w:t>2、为采购项目提供整体设计、规范编制或者项目管理、监理、检测等服务后再参加该采购项目的其他采购活动的。</w:t>
      </w:r>
    </w:p>
    <w:p>
      <w:pPr>
        <w:snapToGrid w:val="0"/>
        <w:spacing w:line="360" w:lineRule="auto"/>
        <w:ind w:firstLine="5520" w:firstLineChars="2300"/>
        <w:rPr>
          <w:rFonts w:ascii="宋体" w:hAnsi="宋体" w:cs="宋体"/>
          <w:kern w:val="0"/>
          <w:sz w:val="24"/>
        </w:rPr>
      </w:pPr>
      <w:r>
        <w:rPr>
          <w:rFonts w:hint="eastAsia" w:ascii="宋体" w:hAnsi="宋体" w:cs="宋体"/>
          <w:kern w:val="0"/>
          <w:sz w:val="24"/>
          <w:lang w:val="zh-CN"/>
        </w:rPr>
        <w:t>投标人名称(电子签名)：</w:t>
      </w:r>
    </w:p>
    <w:p>
      <w:pPr>
        <w:snapToGrid w:val="0"/>
        <w:spacing w:line="360" w:lineRule="auto"/>
        <w:rPr>
          <w:rFonts w:ascii="宋体" w:hAnsi="宋体" w:cs="宋体"/>
          <w:kern w:val="0"/>
          <w:sz w:val="24"/>
          <w:highlight w:val="none"/>
        </w:rPr>
      </w:pPr>
      <w:r>
        <w:rPr>
          <w:rFonts w:hint="eastAsia" w:ascii="宋体" w:hAnsi="宋体" w:cs="宋体"/>
          <w:kern w:val="0"/>
          <w:sz w:val="24"/>
          <w:lang w:val="zh-CN"/>
        </w:rPr>
        <w:t xml:space="preserve"> </w:t>
      </w:r>
      <w:r>
        <w:rPr>
          <w:rFonts w:hint="eastAsia" w:ascii="宋体" w:hAnsi="宋体" w:cs="宋体"/>
          <w:kern w:val="0"/>
          <w:sz w:val="24"/>
          <w:highlight w:val="none"/>
          <w:lang w:val="zh-CN"/>
        </w:rPr>
        <w:t xml:space="preserve">                       </w:t>
      </w:r>
      <w:r>
        <w:rPr>
          <w:rFonts w:hint="eastAsia" w:ascii="宋体" w:hAnsi="宋体" w:cs="宋体"/>
          <w:kern w:val="0"/>
          <w:sz w:val="24"/>
          <w:highlight w:val="none"/>
        </w:rPr>
        <w:t xml:space="preserve">                      </w:t>
      </w:r>
      <w:r>
        <w:rPr>
          <w:rFonts w:hint="eastAsia" w:ascii="宋体" w:hAnsi="宋体" w:cs="宋体"/>
          <w:kern w:val="0"/>
          <w:sz w:val="24"/>
          <w:highlight w:val="none"/>
          <w:lang w:val="zh-CN"/>
        </w:rPr>
        <w:t>日期</w:t>
      </w:r>
      <w:r>
        <w:rPr>
          <w:rFonts w:hint="eastAsia" w:ascii="宋体" w:hAnsi="宋体" w:cs="宋体"/>
          <w:kern w:val="0"/>
          <w:sz w:val="24"/>
          <w:highlight w:val="none"/>
        </w:rPr>
        <w:t xml:space="preserve">：  年  </w:t>
      </w:r>
      <w:r>
        <w:rPr>
          <w:rFonts w:hint="eastAsia" w:ascii="宋体" w:hAnsi="宋体" w:cs="宋体"/>
          <w:kern w:val="0"/>
          <w:sz w:val="24"/>
          <w:highlight w:val="none"/>
          <w:lang w:val="zh-CN"/>
        </w:rPr>
        <w:t>月</w:t>
      </w:r>
      <w:r>
        <w:rPr>
          <w:rFonts w:hint="eastAsia" w:ascii="宋体" w:hAnsi="宋体" w:cs="宋体"/>
          <w:kern w:val="0"/>
          <w:sz w:val="24"/>
          <w:highlight w:val="none"/>
        </w:rPr>
        <w:t xml:space="preserve">   </w:t>
      </w:r>
      <w:r>
        <w:rPr>
          <w:rFonts w:hint="eastAsia" w:ascii="宋体" w:hAnsi="宋体" w:cs="宋体"/>
          <w:kern w:val="0"/>
          <w:sz w:val="24"/>
          <w:highlight w:val="none"/>
          <w:lang w:val="zh-CN"/>
        </w:rPr>
        <w:t>日</w:t>
      </w:r>
    </w:p>
    <w:p>
      <w:pPr>
        <w:snapToGrid w:val="0"/>
        <w:spacing w:line="360" w:lineRule="auto"/>
        <w:ind w:right="480" w:firstLine="480" w:firstLineChars="200"/>
        <w:jc w:val="left"/>
        <w:rPr>
          <w:rFonts w:ascii="宋体" w:hAnsi="宋体" w:cs="宋体"/>
          <w:b/>
          <w:kern w:val="0"/>
          <w:sz w:val="32"/>
          <w:szCs w:val="32"/>
          <w:highlight w:val="none"/>
        </w:rPr>
      </w:pPr>
      <w:r>
        <w:rPr>
          <w:rFonts w:hint="eastAsia" w:cs="仿宋_GB2312" w:asciiTheme="minorEastAsia" w:hAnsiTheme="minorEastAsia" w:eastAsiaTheme="minorEastAsia"/>
          <w:sz w:val="24"/>
          <w:highlight w:val="none"/>
        </w:rPr>
        <w:t>注：根据《</w:t>
      </w:r>
      <w:r>
        <w:rPr>
          <w:rFonts w:cs="仿宋_GB2312" w:asciiTheme="minorEastAsia" w:hAnsiTheme="minorEastAsia" w:eastAsiaTheme="minorEastAsia"/>
          <w:sz w:val="24"/>
          <w:highlight w:val="none"/>
        </w:rPr>
        <w:t>关于规范政府采购供应商资格设定及资格审查的通知</w:t>
      </w:r>
      <w:r>
        <w:rPr>
          <w:rFonts w:hint="eastAsia" w:cs="仿宋_GB2312" w:asciiTheme="minorEastAsia" w:hAnsiTheme="minorEastAsia" w:eastAsiaTheme="minorEastAsia"/>
          <w:sz w:val="24"/>
          <w:highlight w:val="none"/>
        </w:rPr>
        <w:t>》（</w:t>
      </w:r>
      <w:r>
        <w:rPr>
          <w:rFonts w:cs="仿宋_GB2312" w:asciiTheme="minorEastAsia" w:hAnsiTheme="minorEastAsia" w:eastAsiaTheme="minorEastAsia"/>
          <w:sz w:val="24"/>
          <w:highlight w:val="none"/>
        </w:rPr>
        <w:t>浙财采监[2013]24号</w:t>
      </w:r>
      <w:r>
        <w:rPr>
          <w:rFonts w:hint="eastAsia" w:cs="仿宋_GB2312" w:asciiTheme="minorEastAsia" w:hAnsiTheme="minorEastAsia" w:eastAsiaTheme="minorEastAsia"/>
          <w:sz w:val="24"/>
          <w:highlight w:val="none"/>
        </w:rPr>
        <w:t>）的相关规定，金融、保险、通讯等特定行业的全国性企业所设立的区域性分支机构，以及个体工商户、个人独资企业、合伙企业，参与政府采购活动，如果已经依法办理了工商、税务和社保登记手续，</w:t>
      </w:r>
      <w:r>
        <w:rPr>
          <w:rFonts w:hint="eastAsia" w:cs="仿宋_GB2312" w:asciiTheme="minorEastAsia" w:hAnsiTheme="minorEastAsia" w:eastAsiaTheme="minorEastAsia"/>
          <w:b/>
          <w:sz w:val="24"/>
          <w:highlight w:val="none"/>
          <w:u w:val="single"/>
        </w:rPr>
        <w:t>除提供上述《符合参加政府采购活动应当具备的一般条件的承诺函》外，还需提供下列材料：总公司（总机构）的授权书或提供房产权证或其他有效财产证明材料，证明其具备实际承担责任的能力和法定的缔结合同能力，可以独立参加政府采购活动，由单位负责人签署相关文件材料。</w:t>
      </w:r>
    </w:p>
    <w:p>
      <w:pPr>
        <w:snapToGrid w:val="0"/>
        <w:spacing w:line="360" w:lineRule="auto"/>
        <w:ind w:right="480"/>
        <w:jc w:val="both"/>
        <w:rPr>
          <w:rFonts w:ascii="宋体" w:hAnsi="宋体" w:cs="宋体"/>
          <w:b/>
          <w:kern w:val="0"/>
          <w:sz w:val="32"/>
          <w:szCs w:val="32"/>
        </w:rPr>
      </w:pPr>
    </w:p>
    <w:p>
      <w:pPr>
        <w:widowControl/>
        <w:adjustRightInd/>
        <w:jc w:val="left"/>
        <w:rPr>
          <w:rFonts w:ascii="宋体" w:hAnsi="宋体" w:cs="宋体"/>
          <w:b/>
          <w:kern w:val="0"/>
          <w:sz w:val="32"/>
          <w:szCs w:val="32"/>
        </w:rPr>
      </w:pPr>
      <w:r>
        <w:rPr>
          <w:rFonts w:ascii="宋体" w:hAnsi="宋体" w:cs="宋体"/>
          <w:b/>
          <w:kern w:val="0"/>
          <w:sz w:val="32"/>
          <w:szCs w:val="32"/>
        </w:rPr>
        <w:br w:type="page"/>
      </w:r>
    </w:p>
    <w:p>
      <w:pPr>
        <w:widowControl/>
        <w:spacing w:line="360" w:lineRule="auto"/>
        <w:ind w:firstLine="643" w:firstLineChars="200"/>
        <w:jc w:val="center"/>
        <w:rPr>
          <w:rFonts w:ascii="宋体" w:hAnsi="宋体" w:cs="宋体"/>
          <w:b/>
          <w:color w:val="auto"/>
          <w:kern w:val="0"/>
          <w:sz w:val="32"/>
          <w:szCs w:val="32"/>
        </w:rPr>
      </w:pPr>
      <w:r>
        <w:rPr>
          <w:rFonts w:hint="eastAsia" w:ascii="宋体" w:hAnsi="宋体" w:cs="宋体"/>
          <w:b/>
          <w:kern w:val="0"/>
          <w:sz w:val="32"/>
          <w:szCs w:val="32"/>
        </w:rPr>
        <w:t>二、</w:t>
      </w:r>
      <w:r>
        <w:rPr>
          <w:rFonts w:hint="eastAsia" w:ascii="宋体" w:hAnsi="宋体" w:cs="宋体"/>
          <w:b/>
          <w:color w:val="auto"/>
          <w:kern w:val="0"/>
          <w:sz w:val="32"/>
          <w:szCs w:val="32"/>
        </w:rPr>
        <w:t>联合协议（如果有）</w:t>
      </w:r>
    </w:p>
    <w:p>
      <w:pPr>
        <w:widowControl/>
        <w:spacing w:line="360" w:lineRule="auto"/>
        <w:ind w:firstLine="482" w:firstLineChars="200"/>
        <w:jc w:val="left"/>
        <w:rPr>
          <w:rFonts w:ascii="宋体" w:hAnsi="宋体" w:cs="宋体"/>
          <w:b/>
          <w:sz w:val="24"/>
        </w:rPr>
      </w:pPr>
      <w:r>
        <w:rPr>
          <w:rFonts w:hint="eastAsia" w:ascii="宋体" w:hAnsi="宋体" w:cs="宋体"/>
          <w:b/>
          <w:color w:val="auto"/>
          <w:sz w:val="24"/>
        </w:rPr>
        <w:t>[以联合体形式投标的，提供联合协议（附件5）；本项目</w:t>
      </w:r>
      <w:r>
        <w:rPr>
          <w:rFonts w:hint="eastAsia" w:ascii="宋体" w:hAnsi="宋体" w:cs="宋体"/>
          <w:b/>
          <w:sz w:val="24"/>
        </w:rPr>
        <w:t>不接受联合体投标或者投标人不以联合体形式投标的，则不需要提供）]</w:t>
      </w: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r>
        <w:rPr>
          <w:rFonts w:hint="eastAsia" w:ascii="宋体" w:hAnsi="宋体" w:cs="宋体"/>
          <w:b/>
          <w:kern w:val="0"/>
          <w:sz w:val="32"/>
          <w:szCs w:val="32"/>
        </w:rPr>
        <w:t>三、落实政府采购政策需满足的资格要求（如果有）</w:t>
      </w:r>
    </w:p>
    <w:p>
      <w:pPr>
        <w:spacing w:line="360" w:lineRule="auto"/>
        <w:rPr>
          <w:rFonts w:ascii="宋体" w:hAnsi="宋体" w:cs="宋体"/>
          <w:sz w:val="24"/>
        </w:rPr>
      </w:pPr>
      <w:r>
        <w:rPr>
          <w:rFonts w:hint="eastAsia" w:ascii="宋体" w:hAnsi="宋体" w:cs="宋体"/>
          <w:sz w:val="24"/>
        </w:rPr>
        <w:t>（根据招标公告落实政府采购政策需满足的资格要求选择提供相应的材料；未要求的，无需提供）</w:t>
      </w:r>
    </w:p>
    <w:p>
      <w:pPr>
        <w:snapToGrid w:val="0"/>
        <w:spacing w:before="50" w:after="50" w:line="360" w:lineRule="auto"/>
        <w:ind w:firstLine="472" w:firstLineChars="196"/>
        <w:jc w:val="left"/>
        <w:rPr>
          <w:rFonts w:ascii="宋体" w:hAnsi="宋体" w:cs="宋体"/>
          <w:sz w:val="24"/>
        </w:rPr>
      </w:pPr>
      <w:r>
        <w:rPr>
          <w:rFonts w:hint="eastAsia" w:ascii="宋体" w:hAnsi="宋体" w:cs="宋体"/>
          <w:b/>
          <w:sz w:val="24"/>
        </w:rPr>
        <w:t>A</w:t>
      </w:r>
      <w:r>
        <w:rPr>
          <w:rFonts w:hint="eastAsia" w:ascii="宋体" w:hAnsi="宋体" w:cs="宋体"/>
          <w:sz w:val="24"/>
        </w:rPr>
        <w:t>.专门面向中小企业，服务全部由符合政策要求的中小企业（或小微企业）承接的，提供相应的中小企业声明函（附件</w:t>
      </w:r>
      <w:r>
        <w:rPr>
          <w:rFonts w:ascii="宋体" w:hAnsi="宋体" w:cs="宋体"/>
          <w:sz w:val="24"/>
        </w:rPr>
        <w:t>7</w:t>
      </w:r>
      <w:r>
        <w:rPr>
          <w:rFonts w:hint="eastAsia" w:ascii="宋体" w:hAnsi="宋体" w:cs="宋体"/>
          <w:sz w:val="24"/>
        </w:rPr>
        <w:t xml:space="preserve">）。 </w:t>
      </w:r>
    </w:p>
    <w:p>
      <w:pPr>
        <w:widowControl/>
        <w:spacing w:line="360" w:lineRule="auto"/>
        <w:ind w:firstLine="480"/>
        <w:jc w:val="left"/>
        <w:rPr>
          <w:rFonts w:ascii="宋体" w:hAnsi="宋体" w:cs="宋体"/>
          <w:sz w:val="24"/>
        </w:rPr>
      </w:pPr>
    </w:p>
    <w:p>
      <w:pPr>
        <w:widowControl/>
        <w:spacing w:line="360" w:lineRule="auto"/>
        <w:ind w:firstLine="472" w:firstLineChars="196"/>
        <w:jc w:val="left"/>
        <w:rPr>
          <w:rFonts w:ascii="宋体" w:hAnsi="宋体" w:cs="宋体"/>
          <w:color w:val="auto"/>
          <w:sz w:val="24"/>
        </w:rPr>
      </w:pPr>
      <w:r>
        <w:rPr>
          <w:rFonts w:hint="eastAsia" w:ascii="宋体" w:hAnsi="宋体" w:cs="宋体"/>
          <w:b/>
          <w:sz w:val="24"/>
        </w:rPr>
        <w:t>B.</w:t>
      </w:r>
      <w:r>
        <w:rPr>
          <w:rFonts w:hint="eastAsia" w:ascii="宋体" w:hAnsi="宋体" w:cs="宋体"/>
          <w:sz w:val="24"/>
        </w:rPr>
        <w:t>要求以联合体形式参加</w:t>
      </w:r>
      <w:r>
        <w:rPr>
          <w:rFonts w:hint="eastAsia" w:ascii="宋体" w:hAnsi="宋体" w:cs="宋体"/>
          <w:color w:val="auto"/>
          <w:sz w:val="24"/>
        </w:rPr>
        <w:t>的，提供联合协议（附件</w:t>
      </w:r>
      <w:r>
        <w:rPr>
          <w:rFonts w:ascii="宋体" w:hAnsi="宋体" w:cs="宋体"/>
          <w:color w:val="auto"/>
          <w:sz w:val="24"/>
        </w:rPr>
        <w:t>5</w:t>
      </w:r>
      <w:r>
        <w:rPr>
          <w:rFonts w:hint="eastAsia" w:ascii="宋体" w:hAnsi="宋体" w:cs="宋体"/>
          <w:color w:val="auto"/>
          <w:sz w:val="24"/>
        </w:rPr>
        <w:t>）和中小企业声明函（附件</w:t>
      </w:r>
      <w:r>
        <w:rPr>
          <w:rFonts w:ascii="宋体" w:hAnsi="宋体" w:cs="宋体"/>
          <w:color w:val="auto"/>
          <w:sz w:val="24"/>
        </w:rPr>
        <w:t>7</w:t>
      </w:r>
      <w:r>
        <w:rPr>
          <w:rFonts w:hint="eastAsia" w:ascii="宋体" w:hAnsi="宋体" w:cs="宋体"/>
          <w:color w:val="auto"/>
          <w:sz w:val="24"/>
        </w:rPr>
        <w:t>），联合协议中中小企业合同金额应当达到招标公告载明的比例；如果供应商本身提供所有标的均由中小企业承接的，</w:t>
      </w:r>
      <w:r>
        <w:rPr>
          <w:rFonts w:hint="eastAsia" w:ascii="宋体" w:hAnsi="宋体" w:cs="宋体"/>
          <w:color w:val="auto"/>
          <w:spacing w:val="8"/>
          <w:kern w:val="0"/>
          <w:sz w:val="24"/>
        </w:rPr>
        <w:t>并相应达到了前述比例要求，</w:t>
      </w:r>
      <w:r>
        <w:rPr>
          <w:rFonts w:hint="eastAsia" w:ascii="宋体" w:hAnsi="宋体" w:cs="宋体"/>
          <w:color w:val="auto"/>
          <w:sz w:val="24"/>
        </w:rPr>
        <w:t>视同符合了资格条件，无需再与其他中小企业组成联合体参加政府采购活动，无需提供联合协议。</w:t>
      </w:r>
    </w:p>
    <w:p>
      <w:pPr>
        <w:snapToGrid w:val="0"/>
        <w:spacing w:before="50" w:after="50" w:line="360" w:lineRule="auto"/>
        <w:jc w:val="center"/>
        <w:rPr>
          <w:rFonts w:ascii="宋体" w:hAnsi="宋体" w:cs="宋体"/>
          <w:color w:val="auto"/>
          <w:sz w:val="24"/>
        </w:rPr>
      </w:pPr>
      <w:r>
        <w:rPr>
          <w:rFonts w:hint="eastAsia" w:ascii="宋体" w:hAnsi="宋体" w:cs="宋体"/>
          <w:b/>
          <w:color w:val="auto"/>
          <w:sz w:val="24"/>
        </w:rPr>
        <w:t xml:space="preserve">    </w:t>
      </w:r>
    </w:p>
    <w:p>
      <w:pPr>
        <w:spacing w:line="360" w:lineRule="auto"/>
        <w:ind w:firstLine="482" w:firstLineChars="200"/>
        <w:rPr>
          <w:rFonts w:ascii="宋体" w:hAnsi="宋体" w:cs="宋体"/>
          <w:sz w:val="24"/>
        </w:rPr>
      </w:pPr>
      <w:r>
        <w:rPr>
          <w:rFonts w:hint="eastAsia" w:ascii="宋体" w:hAnsi="宋体" w:cs="宋体"/>
          <w:b/>
          <w:color w:val="auto"/>
          <w:sz w:val="24"/>
        </w:rPr>
        <w:t>C、</w:t>
      </w:r>
      <w:r>
        <w:rPr>
          <w:rFonts w:hint="eastAsia" w:ascii="宋体" w:hAnsi="宋体" w:cs="宋体"/>
          <w:color w:val="auto"/>
          <w:sz w:val="24"/>
        </w:rPr>
        <w:t>要求合同分包的，提供分包意向协议（附件6）和中小企业声明函（附件</w:t>
      </w:r>
      <w:r>
        <w:rPr>
          <w:rFonts w:ascii="宋体" w:hAnsi="宋体" w:cs="宋体"/>
          <w:color w:val="auto"/>
          <w:sz w:val="24"/>
        </w:rPr>
        <w:t>7</w:t>
      </w:r>
      <w:r>
        <w:rPr>
          <w:rFonts w:hint="eastAsia" w:ascii="宋体" w:hAnsi="宋体" w:cs="宋体"/>
          <w:color w:val="auto"/>
          <w:sz w:val="24"/>
        </w:rPr>
        <w:t>），分包意向协议中中小企业合同金额应当达到招标公告载明的比例；如果供应商本身提供所有标的均由中小企业承接的，</w:t>
      </w:r>
      <w:r>
        <w:rPr>
          <w:rFonts w:hint="eastAsia" w:ascii="宋体" w:hAnsi="宋体" w:cs="宋体"/>
          <w:color w:val="auto"/>
          <w:spacing w:val="8"/>
          <w:kern w:val="0"/>
          <w:sz w:val="24"/>
        </w:rPr>
        <w:t>并相应达到了前述比例要求，</w:t>
      </w:r>
      <w:r>
        <w:rPr>
          <w:rFonts w:hint="eastAsia" w:ascii="宋体" w:hAnsi="宋体" w:cs="宋体"/>
          <w:color w:val="auto"/>
          <w:sz w:val="24"/>
        </w:rPr>
        <w:t>视同符合了资</w:t>
      </w:r>
      <w:r>
        <w:rPr>
          <w:rFonts w:hint="eastAsia" w:ascii="宋体" w:hAnsi="宋体" w:cs="宋体"/>
          <w:sz w:val="24"/>
        </w:rPr>
        <w:t>格条件，无需再向中小企业分包，无需提供分包意向协议。</w:t>
      </w:r>
    </w:p>
    <w:p>
      <w:pPr>
        <w:widowControl/>
        <w:spacing w:line="360" w:lineRule="auto"/>
        <w:ind w:left="150"/>
        <w:jc w:val="center"/>
        <w:rPr>
          <w:rFonts w:ascii="宋体" w:hAnsi="宋体" w:cs="宋体"/>
          <w:b/>
          <w:kern w:val="0"/>
          <w:sz w:val="32"/>
          <w:szCs w:val="32"/>
        </w:rPr>
      </w:pPr>
    </w:p>
    <w:p>
      <w:pPr>
        <w:widowControl/>
        <w:spacing w:line="360" w:lineRule="auto"/>
        <w:ind w:left="150"/>
        <w:jc w:val="center"/>
        <w:rPr>
          <w:rFonts w:ascii="宋体" w:hAnsi="宋体" w:cs="宋体"/>
          <w:b/>
          <w:kern w:val="0"/>
          <w:sz w:val="32"/>
          <w:szCs w:val="32"/>
        </w:rPr>
      </w:pPr>
      <w:r>
        <w:rPr>
          <w:rFonts w:hint="eastAsia" w:ascii="宋体" w:hAnsi="宋体" w:cs="宋体"/>
          <w:b/>
          <w:kern w:val="0"/>
          <w:sz w:val="32"/>
          <w:szCs w:val="32"/>
        </w:rPr>
        <w:t>四、本项目的特定资格要求（如果有）</w:t>
      </w:r>
    </w:p>
    <w:p>
      <w:pPr>
        <w:spacing w:line="360" w:lineRule="auto"/>
        <w:jc w:val="center"/>
        <w:rPr>
          <w:rFonts w:ascii="宋体" w:hAnsi="宋体" w:cs="宋体"/>
          <w:sz w:val="24"/>
        </w:rPr>
      </w:pPr>
      <w:r>
        <w:rPr>
          <w:rFonts w:hint="eastAsia" w:ascii="宋体" w:hAnsi="宋体" w:cs="宋体"/>
          <w:sz w:val="24"/>
        </w:rPr>
        <w:t>（根据招标公告本项目的特定资格要求提供相应的材料；未要求的，无需提供）</w:t>
      </w:r>
    </w:p>
    <w:p>
      <w:pPr>
        <w:rPr>
          <w:rFonts w:ascii="宋体" w:hAnsi="宋体" w:cs="宋体"/>
        </w:rPr>
      </w:pPr>
    </w:p>
    <w:p>
      <w:pPr>
        <w:snapToGrid w:val="0"/>
        <w:spacing w:line="360" w:lineRule="auto"/>
        <w:ind w:right="480"/>
        <w:jc w:val="center"/>
        <w:rPr>
          <w:rFonts w:ascii="宋体" w:hAnsi="宋体" w:cs="宋体"/>
          <w:b/>
          <w:kern w:val="0"/>
          <w:sz w:val="32"/>
          <w:szCs w:val="32"/>
        </w:rPr>
      </w:pPr>
    </w:p>
    <w:p>
      <w:pPr>
        <w:widowControl/>
        <w:adjustRightInd/>
        <w:jc w:val="left"/>
        <w:rPr>
          <w:rFonts w:ascii="宋体" w:hAnsi="宋体" w:cs="宋体"/>
          <w:b/>
          <w:kern w:val="0"/>
          <w:sz w:val="36"/>
          <w:szCs w:val="36"/>
        </w:rPr>
      </w:pPr>
      <w:r>
        <w:rPr>
          <w:rFonts w:ascii="宋体" w:hAnsi="宋体" w:cs="宋体"/>
          <w:b/>
          <w:kern w:val="0"/>
          <w:sz w:val="36"/>
          <w:szCs w:val="36"/>
        </w:rPr>
        <w:br w:type="page"/>
      </w:r>
    </w:p>
    <w:p>
      <w:pPr>
        <w:spacing w:line="360" w:lineRule="auto"/>
        <w:ind w:right="420" w:firstLine="3614" w:firstLineChars="1000"/>
        <w:rPr>
          <w:rFonts w:ascii="宋体" w:hAnsi="宋体" w:cs="宋体"/>
          <w:b/>
          <w:kern w:val="0"/>
          <w:sz w:val="36"/>
          <w:szCs w:val="36"/>
        </w:rPr>
      </w:pPr>
      <w:r>
        <w:rPr>
          <w:rFonts w:hint="eastAsia" w:ascii="宋体" w:hAnsi="宋体" w:cs="宋体"/>
          <w:b/>
          <w:kern w:val="0"/>
          <w:sz w:val="36"/>
          <w:szCs w:val="36"/>
        </w:rPr>
        <w:t>商务技术文件部分</w:t>
      </w:r>
    </w:p>
    <w:p>
      <w:pPr>
        <w:spacing w:line="360" w:lineRule="auto"/>
        <w:jc w:val="center"/>
        <w:outlineLvl w:val="0"/>
        <w:rPr>
          <w:rFonts w:ascii="宋体" w:hAnsi="宋体" w:cs="宋体"/>
          <w:b/>
          <w:kern w:val="0"/>
          <w:sz w:val="24"/>
        </w:rPr>
      </w:pPr>
    </w:p>
    <w:p>
      <w:pPr>
        <w:spacing w:line="360" w:lineRule="auto"/>
        <w:jc w:val="center"/>
        <w:outlineLvl w:val="0"/>
        <w:rPr>
          <w:rFonts w:ascii="宋体" w:hAnsi="宋体" w:cs="宋体"/>
          <w:b/>
          <w:kern w:val="0"/>
          <w:sz w:val="28"/>
          <w:szCs w:val="28"/>
        </w:rPr>
      </w:pPr>
      <w:r>
        <w:rPr>
          <w:rFonts w:hint="eastAsia" w:ascii="宋体" w:hAnsi="宋体" w:cs="宋体"/>
          <w:b/>
          <w:kern w:val="0"/>
          <w:sz w:val="28"/>
          <w:szCs w:val="28"/>
        </w:rPr>
        <w:t>目录</w:t>
      </w:r>
    </w:p>
    <w:p>
      <w:pPr>
        <w:snapToGrid w:val="0"/>
        <w:spacing w:line="360" w:lineRule="auto"/>
        <w:ind w:left="479" w:leftChars="228"/>
        <w:rPr>
          <w:rFonts w:ascii="宋体" w:hAnsi="宋体" w:cs="宋体"/>
        </w:rPr>
      </w:pPr>
      <w:r>
        <w:rPr>
          <w:rFonts w:hint="eastAsia" w:ascii="宋体" w:hAnsi="宋体" w:cs="宋体"/>
          <w:sz w:val="24"/>
        </w:rPr>
        <w:t>（1）投标函</w:t>
      </w:r>
      <w:r>
        <w:rPr>
          <w:rFonts w:hint="eastAsia" w:ascii="宋体" w:hAnsi="宋体" w:cs="宋体"/>
        </w:rPr>
        <w:t>…………………………………………………………………………………（页码）</w:t>
      </w:r>
      <w:r>
        <w:rPr>
          <w:rFonts w:hint="eastAsia" w:ascii="宋体" w:hAnsi="宋体" w:cs="宋体"/>
          <w:sz w:val="24"/>
        </w:rPr>
        <w:t>（2）授权委托书或法定代表人（单位负责人、自然人本人）身份证明</w:t>
      </w:r>
      <w:r>
        <w:rPr>
          <w:rFonts w:hint="eastAsia" w:ascii="宋体" w:hAnsi="宋体" w:cs="宋体"/>
        </w:rPr>
        <w:t>………（页码）</w:t>
      </w:r>
    </w:p>
    <w:p>
      <w:pPr>
        <w:snapToGrid w:val="0"/>
        <w:spacing w:line="360" w:lineRule="auto"/>
        <w:ind w:left="479" w:leftChars="228"/>
        <w:rPr>
          <w:rFonts w:ascii="宋体" w:hAnsi="宋体" w:cs="宋体"/>
        </w:rPr>
      </w:pPr>
      <w:r>
        <w:rPr>
          <w:rFonts w:hint="eastAsia" w:ascii="宋体" w:hAnsi="宋体" w:cs="宋体"/>
          <w:sz w:val="24"/>
        </w:rPr>
        <w:t>（</w:t>
      </w:r>
      <w:r>
        <w:rPr>
          <w:rFonts w:ascii="宋体" w:hAnsi="宋体" w:cs="宋体"/>
          <w:sz w:val="24"/>
        </w:rPr>
        <w:t>3</w:t>
      </w:r>
      <w:r>
        <w:rPr>
          <w:rFonts w:hint="eastAsia" w:ascii="宋体" w:hAnsi="宋体" w:cs="宋体"/>
          <w:sz w:val="24"/>
        </w:rPr>
        <w:t>）分包意向协议</w:t>
      </w:r>
      <w:r>
        <w:rPr>
          <w:rFonts w:hint="eastAsia" w:ascii="宋体" w:hAnsi="宋体" w:cs="宋体"/>
        </w:rPr>
        <w:t>…………………………………………………………………………（页码）</w:t>
      </w:r>
    </w:p>
    <w:p>
      <w:pPr>
        <w:snapToGrid w:val="0"/>
        <w:spacing w:line="360" w:lineRule="auto"/>
        <w:ind w:firstLine="480" w:firstLineChars="200"/>
        <w:rPr>
          <w:rFonts w:ascii="宋体" w:hAnsi="宋体" w:cs="宋体"/>
        </w:rPr>
      </w:pPr>
      <w:r>
        <w:rPr>
          <w:rFonts w:hint="eastAsia" w:ascii="宋体" w:hAnsi="宋体" w:cs="宋体"/>
          <w:sz w:val="24"/>
        </w:rPr>
        <w:t>（</w:t>
      </w:r>
      <w:r>
        <w:rPr>
          <w:rFonts w:ascii="宋体" w:hAnsi="宋体" w:cs="宋体"/>
          <w:sz w:val="24"/>
        </w:rPr>
        <w:t>4</w:t>
      </w:r>
      <w:r>
        <w:rPr>
          <w:rFonts w:hint="eastAsia" w:ascii="宋体" w:hAnsi="宋体" w:cs="宋体"/>
          <w:sz w:val="24"/>
        </w:rPr>
        <w:t>）符合性审查资料</w:t>
      </w:r>
      <w:r>
        <w:rPr>
          <w:rFonts w:hint="eastAsia" w:ascii="宋体" w:hAnsi="宋体" w:cs="宋体"/>
        </w:rPr>
        <w:t>………………………………………………………………………（页码）</w:t>
      </w:r>
    </w:p>
    <w:p>
      <w:pPr>
        <w:snapToGrid w:val="0"/>
        <w:spacing w:line="360" w:lineRule="auto"/>
        <w:ind w:left="479" w:leftChars="228"/>
        <w:rPr>
          <w:rFonts w:ascii="宋体" w:hAnsi="宋体" w:cs="宋体"/>
        </w:rPr>
      </w:pPr>
      <w:r>
        <w:rPr>
          <w:rFonts w:hint="eastAsia" w:ascii="宋体" w:hAnsi="宋体" w:cs="宋体"/>
          <w:sz w:val="24"/>
        </w:rPr>
        <w:t>（</w:t>
      </w:r>
      <w:r>
        <w:rPr>
          <w:rFonts w:ascii="宋体" w:hAnsi="宋体" w:cs="宋体"/>
          <w:sz w:val="24"/>
        </w:rPr>
        <w:t>5</w:t>
      </w:r>
      <w:r>
        <w:rPr>
          <w:rFonts w:hint="eastAsia" w:ascii="宋体" w:hAnsi="宋体" w:cs="宋体"/>
          <w:sz w:val="24"/>
        </w:rPr>
        <w:t>）评标标准相应的商务技术资料</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……………（页码）</w:t>
      </w:r>
      <w:r>
        <w:rPr>
          <w:rFonts w:hint="eastAsia" w:ascii="宋体" w:hAnsi="宋体" w:cs="宋体"/>
          <w:sz w:val="24"/>
        </w:rPr>
        <w:t>（</w:t>
      </w:r>
      <w:r>
        <w:rPr>
          <w:rFonts w:ascii="宋体" w:hAnsi="宋体" w:cs="宋体"/>
          <w:sz w:val="24"/>
        </w:rPr>
        <w:t>6</w:t>
      </w:r>
      <w:r>
        <w:rPr>
          <w:rFonts w:hint="eastAsia" w:ascii="宋体" w:hAnsi="宋体" w:cs="宋体"/>
          <w:sz w:val="24"/>
        </w:rPr>
        <w:t>）投标标的清单</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……………（页码）</w:t>
      </w:r>
      <w:r>
        <w:rPr>
          <w:rFonts w:hint="eastAsia" w:ascii="宋体" w:hAnsi="宋体" w:cs="宋体"/>
          <w:sz w:val="24"/>
        </w:rPr>
        <w:t>（</w:t>
      </w:r>
      <w:r>
        <w:rPr>
          <w:rFonts w:ascii="宋体" w:hAnsi="宋体" w:cs="宋体"/>
          <w:sz w:val="24"/>
        </w:rPr>
        <w:t>7</w:t>
      </w:r>
      <w:r>
        <w:rPr>
          <w:rFonts w:hint="eastAsia" w:ascii="宋体" w:hAnsi="宋体" w:cs="宋体"/>
          <w:sz w:val="24"/>
        </w:rPr>
        <w:t>）商务技术偏离表</w:t>
      </w:r>
      <w:r>
        <w:rPr>
          <w:rFonts w:hint="eastAsia" w:ascii="宋体" w:hAnsi="宋体" w:cs="宋体"/>
        </w:rPr>
        <w:t>………………………………………………………………………（页码）</w:t>
      </w:r>
    </w:p>
    <w:p>
      <w:pPr>
        <w:snapToGrid w:val="0"/>
        <w:spacing w:line="360" w:lineRule="auto"/>
        <w:ind w:left="479" w:leftChars="228"/>
        <w:rPr>
          <w:rFonts w:ascii="宋体" w:hAnsi="宋体" w:cs="宋体"/>
        </w:rPr>
      </w:pP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）政府采购供应商廉洁自律承诺书</w:t>
      </w:r>
      <w:r>
        <w:rPr>
          <w:rFonts w:hint="eastAsia" w:ascii="宋体" w:hAnsi="宋体" w:cs="宋体"/>
        </w:rPr>
        <w:t>…………………………………………………（页码）</w:t>
      </w: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rPr>
          <w:rFonts w:ascii="宋体" w:hAnsi="宋体" w:cs="宋体"/>
          <w:b/>
          <w:kern w:val="0"/>
          <w:sz w:val="32"/>
          <w:szCs w:val="32"/>
          <w:lang w:val="zh-CN"/>
        </w:rPr>
      </w:pPr>
    </w:p>
    <w:p>
      <w:pPr>
        <w:widowControl/>
        <w:adjustRightInd/>
        <w:jc w:val="left"/>
        <w:rPr>
          <w:rFonts w:ascii="宋体" w:hAnsi="宋体" w:cs="宋体"/>
          <w:b/>
          <w:kern w:val="0"/>
          <w:sz w:val="32"/>
          <w:szCs w:val="32"/>
        </w:rPr>
      </w:pPr>
      <w:r>
        <w:rPr>
          <w:rFonts w:ascii="宋体" w:hAnsi="宋体" w:cs="宋体"/>
          <w:b/>
          <w:kern w:val="0"/>
          <w:sz w:val="32"/>
          <w:szCs w:val="32"/>
        </w:rPr>
        <w:br w:type="page"/>
      </w:r>
    </w:p>
    <w:p>
      <w:pPr>
        <w:snapToGrid w:val="0"/>
        <w:spacing w:line="360" w:lineRule="auto"/>
        <w:jc w:val="center"/>
        <w:outlineLvl w:val="0"/>
        <w:rPr>
          <w:rFonts w:ascii="宋体" w:hAnsi="宋体" w:cs="宋体"/>
          <w:b/>
          <w:sz w:val="32"/>
          <w:szCs w:val="32"/>
        </w:rPr>
      </w:pPr>
      <w:r>
        <w:rPr>
          <w:rFonts w:hint="eastAsia" w:ascii="宋体" w:hAnsi="宋体" w:cs="宋体"/>
          <w:b/>
          <w:kern w:val="0"/>
          <w:sz w:val="32"/>
          <w:szCs w:val="32"/>
        </w:rPr>
        <w:t>一、投标</w:t>
      </w:r>
      <w:r>
        <w:rPr>
          <w:rFonts w:hint="eastAsia" w:ascii="宋体" w:hAnsi="宋体" w:cs="宋体"/>
          <w:b/>
          <w:sz w:val="32"/>
          <w:szCs w:val="32"/>
        </w:rPr>
        <w:t>函</w:t>
      </w:r>
    </w:p>
    <w:p>
      <w:pPr>
        <w:snapToGrid w:val="0"/>
        <w:spacing w:line="360" w:lineRule="auto"/>
        <w:rPr>
          <w:rFonts w:ascii="宋体" w:hAnsi="宋体" w:cs="宋体"/>
          <w:color w:val="auto"/>
          <w:sz w:val="24"/>
        </w:rPr>
      </w:pPr>
      <w:r>
        <w:rPr>
          <w:rFonts w:hint="eastAsia" w:ascii="宋体" w:hAnsi="宋体" w:cs="宋体"/>
          <w:color w:val="auto"/>
          <w:sz w:val="24"/>
        </w:rPr>
        <w:t>（采购人）、</w:t>
      </w:r>
      <w:r>
        <w:rPr>
          <w:rFonts w:hint="eastAsia" w:ascii="宋体" w:hAnsi="宋体" w:cs="宋体"/>
          <w:color w:val="auto"/>
          <w:sz w:val="24"/>
          <w:lang w:val="en-US" w:eastAsia="zh-CN"/>
        </w:rPr>
        <w:t>杭州市公共资源交易中心临安分中心</w:t>
      </w:r>
      <w:r>
        <w:rPr>
          <w:rFonts w:hint="eastAsia" w:ascii="宋体" w:hAnsi="宋体" w:cs="宋体"/>
          <w:color w:val="auto"/>
          <w:sz w:val="24"/>
        </w:rPr>
        <w:t>：</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我方参加你方组织的（项目名称）【招标编号：（采购编号）】招标的有关活动，并对此项目进行投标。为此：</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1、我方承诺投标有效期从提交投标文件的截止之日起</w:t>
      </w:r>
      <w:r>
        <w:rPr>
          <w:rFonts w:hint="eastAsia" w:ascii="宋体" w:hAnsi="宋体" w:cs="宋体"/>
          <w:color w:val="auto"/>
          <w:sz w:val="24"/>
          <w:u w:val="single"/>
        </w:rPr>
        <w:t xml:space="preserve">     </w:t>
      </w:r>
      <w:r>
        <w:rPr>
          <w:rFonts w:hint="eastAsia" w:ascii="宋体" w:hAnsi="宋体" w:cs="宋体"/>
          <w:color w:val="auto"/>
          <w:sz w:val="24"/>
        </w:rPr>
        <w:t>天（不少于90天）</w:t>
      </w:r>
      <w:r>
        <w:rPr>
          <w:rFonts w:hint="eastAsia" w:ascii="宋体" w:hAnsi="宋体" w:cs="宋体"/>
          <w:color w:val="auto"/>
        </w:rPr>
        <w:t>，</w:t>
      </w:r>
      <w:r>
        <w:rPr>
          <w:rFonts w:hint="eastAsia" w:ascii="宋体" w:hAnsi="宋体" w:cs="宋体"/>
          <w:color w:val="auto"/>
          <w:sz w:val="24"/>
        </w:rPr>
        <w:t>本投标文件在投标有效期满之前均具有约束力。</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2、我方的投标文件包括以下内容：</w:t>
      </w:r>
    </w:p>
    <w:p>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2.1资格文件：</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2.1.1承诺函；</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2.1.2</w:t>
      </w:r>
      <w:r>
        <w:rPr>
          <w:rFonts w:hint="eastAsia" w:ascii="宋体" w:hAnsi="宋体" w:cs="宋体"/>
          <w:snapToGrid w:val="0"/>
          <w:color w:val="auto"/>
          <w:kern w:val="28"/>
          <w:sz w:val="24"/>
          <w:szCs w:val="20"/>
        </w:rPr>
        <w:t>联合协议</w:t>
      </w:r>
      <w:bookmarkStart w:id="396" w:name="_Hlk101257010"/>
      <w:r>
        <w:rPr>
          <w:rFonts w:hint="eastAsia" w:ascii="宋体" w:hAnsi="宋体" w:cs="宋体"/>
          <w:color w:val="auto"/>
          <w:sz w:val="24"/>
        </w:rPr>
        <w:t>（如果有)</w:t>
      </w:r>
      <w:bookmarkEnd w:id="396"/>
      <w:r>
        <w:rPr>
          <w:rFonts w:hint="eastAsia" w:ascii="宋体" w:hAnsi="宋体" w:cs="宋体"/>
          <w:snapToGrid w:val="0"/>
          <w:color w:val="auto"/>
          <w:kern w:val="28"/>
          <w:sz w:val="24"/>
          <w:szCs w:val="20"/>
        </w:rPr>
        <w:t>；</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w:t>
      </w:r>
      <w:r>
        <w:rPr>
          <w:rFonts w:ascii="宋体" w:hAnsi="宋体" w:cs="宋体"/>
          <w:color w:val="auto"/>
          <w:sz w:val="24"/>
        </w:rPr>
        <w:t>.1.3</w:t>
      </w:r>
      <w:r>
        <w:rPr>
          <w:rFonts w:hint="eastAsia" w:ascii="宋体" w:hAnsi="宋体" w:cs="宋体"/>
          <w:color w:val="auto"/>
          <w:sz w:val="24"/>
        </w:rPr>
        <w:t>落实政府采购政策需满足的资格要求（如果有）；</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2.1.</w:t>
      </w:r>
      <w:r>
        <w:rPr>
          <w:rFonts w:ascii="宋体" w:hAnsi="宋体" w:cs="宋体"/>
          <w:color w:val="auto"/>
          <w:sz w:val="24"/>
        </w:rPr>
        <w:t>4</w:t>
      </w:r>
      <w:r>
        <w:rPr>
          <w:rFonts w:hint="eastAsia" w:ascii="宋体" w:hAnsi="宋体" w:cs="宋体"/>
          <w:color w:val="auto"/>
          <w:sz w:val="24"/>
        </w:rPr>
        <w:t>本项目的特定资格要求（如果有)。</w:t>
      </w:r>
    </w:p>
    <w:p>
      <w:pPr>
        <w:snapToGrid w:val="0"/>
        <w:spacing w:line="360" w:lineRule="auto"/>
        <w:ind w:left="210" w:leftChars="100" w:firstLine="480" w:firstLineChars="200"/>
        <w:rPr>
          <w:rFonts w:ascii="宋体" w:hAnsi="宋体" w:cs="宋体"/>
          <w:color w:val="auto"/>
          <w:sz w:val="24"/>
          <w:lang w:val="zh-CN"/>
        </w:rPr>
      </w:pPr>
      <w:r>
        <w:rPr>
          <w:rFonts w:hint="eastAsia" w:ascii="宋体" w:hAnsi="宋体" w:cs="宋体"/>
          <w:color w:val="auto"/>
          <w:sz w:val="24"/>
        </w:rPr>
        <w:t>2</w:t>
      </w:r>
      <w:r>
        <w:rPr>
          <w:rFonts w:hint="eastAsia" w:ascii="宋体" w:hAnsi="宋体" w:cs="宋体"/>
          <w:color w:val="auto"/>
          <w:sz w:val="24"/>
          <w:lang w:val="zh-CN"/>
        </w:rPr>
        <w:t>.</w:t>
      </w:r>
      <w:r>
        <w:rPr>
          <w:rFonts w:hint="eastAsia" w:ascii="宋体" w:hAnsi="宋体" w:cs="宋体"/>
          <w:color w:val="auto"/>
          <w:sz w:val="24"/>
        </w:rPr>
        <w:t>2</w:t>
      </w:r>
      <w:r>
        <w:rPr>
          <w:rFonts w:hint="eastAsia" w:ascii="宋体" w:hAnsi="宋体" w:cs="宋体"/>
          <w:color w:val="auto"/>
          <w:sz w:val="24"/>
          <w:lang w:val="zh-CN"/>
        </w:rPr>
        <w:t xml:space="preserve"> </w:t>
      </w:r>
      <w:r>
        <w:rPr>
          <w:rFonts w:hint="eastAsia" w:ascii="宋体" w:hAnsi="宋体" w:cs="宋体"/>
          <w:color w:val="auto"/>
          <w:sz w:val="24"/>
        </w:rPr>
        <w:t>商务技术</w:t>
      </w:r>
      <w:r>
        <w:rPr>
          <w:rFonts w:hint="eastAsia" w:ascii="宋体" w:hAnsi="宋体" w:cs="宋体"/>
          <w:color w:val="auto"/>
          <w:sz w:val="24"/>
          <w:lang w:val="zh-CN"/>
        </w:rPr>
        <w:t>文件：</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2.2.1投标函；</w:t>
      </w:r>
      <w:r>
        <w:rPr>
          <w:rFonts w:hint="eastAsia" w:ascii="宋体" w:hAnsi="宋体" w:cs="宋体"/>
          <w:color w:val="auto"/>
          <w:sz w:val="24"/>
          <w:lang w:val="zh-CN"/>
        </w:rPr>
        <w:t xml:space="preserve"> </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2.2.2授权委托书或法定代表人（单位负责人）身份证明；</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3</w:t>
      </w:r>
      <w:r>
        <w:rPr>
          <w:rFonts w:hint="eastAsia" w:ascii="宋体" w:hAnsi="宋体" w:cs="宋体"/>
          <w:color w:val="auto"/>
          <w:sz w:val="24"/>
        </w:rPr>
        <w:t>分包意向协议（如果有)；</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4</w:t>
      </w:r>
      <w:r>
        <w:rPr>
          <w:rFonts w:hint="eastAsia" w:ascii="宋体" w:hAnsi="宋体" w:cs="宋体"/>
          <w:color w:val="auto"/>
          <w:sz w:val="24"/>
        </w:rPr>
        <w:t>符合性审查资料；</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5</w:t>
      </w:r>
      <w:r>
        <w:rPr>
          <w:rFonts w:hint="eastAsia" w:ascii="宋体" w:hAnsi="宋体" w:cs="宋体"/>
          <w:color w:val="auto"/>
          <w:sz w:val="24"/>
        </w:rPr>
        <w:t>评标标准相应的商务技术资料；</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6</w:t>
      </w:r>
      <w:r>
        <w:rPr>
          <w:rFonts w:hint="eastAsia" w:ascii="宋体" w:hAnsi="宋体" w:cs="宋体"/>
          <w:color w:val="auto"/>
          <w:sz w:val="24"/>
        </w:rPr>
        <w:t>投标标的清单；</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7</w:t>
      </w:r>
      <w:r>
        <w:rPr>
          <w:rFonts w:hint="eastAsia" w:ascii="宋体" w:hAnsi="宋体" w:cs="宋体"/>
          <w:color w:val="auto"/>
          <w:sz w:val="24"/>
        </w:rPr>
        <w:t>商务技术偏离表；</w:t>
      </w:r>
    </w:p>
    <w:p>
      <w:pPr>
        <w:snapToGrid w:val="0"/>
        <w:spacing w:line="360" w:lineRule="auto"/>
        <w:ind w:left="420" w:leftChars="200" w:firstLine="480" w:firstLineChars="200"/>
        <w:rPr>
          <w:rFonts w:ascii="宋体" w:hAnsi="宋体" w:cs="宋体"/>
          <w:color w:val="auto"/>
          <w:sz w:val="24"/>
          <w:lang w:val="zh-CN"/>
        </w:rPr>
      </w:pPr>
      <w:r>
        <w:rPr>
          <w:rFonts w:hint="eastAsia" w:ascii="宋体" w:hAnsi="宋体" w:cs="宋体"/>
          <w:color w:val="auto"/>
          <w:sz w:val="24"/>
        </w:rPr>
        <w:t>2</w:t>
      </w:r>
      <w:r>
        <w:rPr>
          <w:rFonts w:hint="eastAsia" w:ascii="宋体" w:hAnsi="宋体" w:cs="宋体"/>
          <w:color w:val="auto"/>
          <w:sz w:val="24"/>
          <w:lang w:val="zh-CN"/>
        </w:rPr>
        <w:t>.</w:t>
      </w:r>
      <w:r>
        <w:rPr>
          <w:rFonts w:hint="eastAsia" w:ascii="宋体" w:hAnsi="宋体" w:cs="宋体"/>
          <w:color w:val="auto"/>
          <w:sz w:val="24"/>
        </w:rPr>
        <w:t>2</w:t>
      </w:r>
      <w:r>
        <w:rPr>
          <w:rFonts w:hint="eastAsia" w:ascii="宋体" w:hAnsi="宋体" w:cs="宋体"/>
          <w:color w:val="auto"/>
          <w:sz w:val="24"/>
          <w:lang w:val="zh-CN"/>
        </w:rPr>
        <w:t>.</w:t>
      </w:r>
      <w:r>
        <w:rPr>
          <w:rFonts w:ascii="宋体" w:hAnsi="宋体" w:cs="宋体"/>
          <w:color w:val="auto"/>
          <w:sz w:val="24"/>
        </w:rPr>
        <w:t>8</w:t>
      </w:r>
      <w:r>
        <w:rPr>
          <w:rFonts w:hint="eastAsia" w:ascii="宋体" w:hAnsi="宋体" w:cs="宋体"/>
          <w:color w:val="auto"/>
          <w:sz w:val="24"/>
          <w:lang w:val="zh-CN"/>
        </w:rPr>
        <w:t>政府采购供应商廉洁自律承诺书；</w:t>
      </w:r>
    </w:p>
    <w:p>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2</w:t>
      </w:r>
      <w:r>
        <w:rPr>
          <w:rFonts w:hint="eastAsia" w:ascii="宋体" w:hAnsi="宋体" w:cs="宋体"/>
          <w:color w:val="auto"/>
          <w:sz w:val="24"/>
          <w:lang w:val="zh-CN"/>
        </w:rPr>
        <w:t>.</w:t>
      </w:r>
      <w:r>
        <w:rPr>
          <w:rFonts w:hint="eastAsia" w:ascii="宋体" w:hAnsi="宋体" w:cs="宋体"/>
          <w:color w:val="auto"/>
          <w:sz w:val="24"/>
        </w:rPr>
        <w:t>3报价文件</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2.3.1开标一览表（报价表）；</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2.3.2中小企业声明函（如果有）。</w:t>
      </w:r>
    </w:p>
    <w:p>
      <w:pPr>
        <w:snapToGrid w:val="0"/>
        <w:spacing w:line="360" w:lineRule="auto"/>
        <w:ind w:firstLine="480" w:firstLineChars="200"/>
        <w:rPr>
          <w:rFonts w:ascii="宋体" w:hAnsi="宋体" w:cs="宋体"/>
          <w:sz w:val="24"/>
        </w:rPr>
      </w:pPr>
      <w:r>
        <w:rPr>
          <w:rFonts w:hint="eastAsia" w:ascii="宋体" w:hAnsi="宋体" w:cs="宋体"/>
          <w:sz w:val="24"/>
        </w:rPr>
        <w:t>3、我方承诺除商务技术偏离表列出的偏离外，我方响应招标文件的全部要求。</w:t>
      </w:r>
    </w:p>
    <w:p>
      <w:pPr>
        <w:snapToGrid w:val="0"/>
        <w:spacing w:line="360" w:lineRule="auto"/>
        <w:ind w:firstLine="480" w:firstLineChars="200"/>
        <w:rPr>
          <w:rFonts w:ascii="宋体" w:hAnsi="宋体" w:cs="宋体"/>
          <w:sz w:val="24"/>
        </w:rPr>
      </w:pPr>
      <w:r>
        <w:rPr>
          <w:rFonts w:hint="eastAsia" w:ascii="宋体" w:hAnsi="宋体" w:cs="宋体"/>
          <w:sz w:val="24"/>
        </w:rPr>
        <w:t>4、如我方中标，我方承诺：</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4.1在收到中标通知书后，在中标通知书规定的期限内与你方签订合同； </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4.2在签订合同时不向你方提出附加条件； </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4.3按照招标文件要求提交履约保证金； </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4.4在合同约定的期限内完成合同规定的全部义务。 </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5、其他补充说明:</w:t>
      </w:r>
      <w:r>
        <w:rPr>
          <w:rFonts w:hint="eastAsia" w:ascii="宋体" w:hAnsi="宋体" w:cs="宋体"/>
          <w:sz w:val="24"/>
          <w:u w:val="single"/>
        </w:rPr>
        <w:t xml:space="preserve">                                        </w:t>
      </w:r>
      <w:r>
        <w:rPr>
          <w:rFonts w:hint="eastAsia" w:ascii="宋体" w:hAnsi="宋体" w:cs="宋体"/>
          <w:sz w:val="24"/>
        </w:rPr>
        <w:t>。</w:t>
      </w:r>
    </w:p>
    <w:p>
      <w:pPr>
        <w:spacing w:line="360" w:lineRule="auto"/>
        <w:ind w:firstLine="3600" w:firstLineChars="1500"/>
        <w:rPr>
          <w:rFonts w:ascii="宋体" w:hAnsi="宋体" w:cs="宋体"/>
          <w:sz w:val="24"/>
        </w:rPr>
      </w:pPr>
      <w:r>
        <w:rPr>
          <w:rFonts w:hint="eastAsia" w:ascii="宋体" w:hAnsi="宋体" w:cs="宋体"/>
          <w:sz w:val="24"/>
        </w:rPr>
        <w:t xml:space="preserve">投标人名称（电子签名）：                          </w:t>
      </w:r>
    </w:p>
    <w:p>
      <w:pPr>
        <w:spacing w:line="360" w:lineRule="auto"/>
        <w:jc w:val="center"/>
        <w:rPr>
          <w:rFonts w:ascii="宋体" w:hAnsi="宋体" w:cs="宋体"/>
          <w:sz w:val="24"/>
        </w:rPr>
      </w:pPr>
      <w:r>
        <w:rPr>
          <w:rFonts w:hint="eastAsia" w:ascii="宋体" w:hAnsi="宋体" w:cs="宋体"/>
          <w:sz w:val="24"/>
        </w:rPr>
        <w:t xml:space="preserve">     日期：  年   月   日</w:t>
      </w:r>
    </w:p>
    <w:p>
      <w:pPr>
        <w:snapToGrid w:val="0"/>
        <w:spacing w:line="360" w:lineRule="auto"/>
        <w:ind w:left="420" w:leftChars="200" w:firstLine="4200" w:firstLineChars="1750"/>
        <w:rPr>
          <w:rFonts w:ascii="宋体" w:hAnsi="宋体" w:cs="宋体"/>
          <w:kern w:val="0"/>
          <w:sz w:val="24"/>
          <w:u w:val="single"/>
        </w:rPr>
      </w:pPr>
    </w:p>
    <w:p>
      <w:pPr>
        <w:spacing w:line="360" w:lineRule="auto"/>
        <w:ind w:right="420"/>
        <w:rPr>
          <w:rFonts w:ascii="宋体" w:hAnsi="宋体" w:cs="宋体"/>
          <w:sz w:val="24"/>
        </w:rPr>
      </w:pPr>
      <w:r>
        <w:rPr>
          <w:rFonts w:hint="eastAsia" w:ascii="宋体" w:hAnsi="宋体" w:cs="宋体"/>
          <w:sz w:val="24"/>
        </w:rPr>
        <w:t>注：按本格式和要求提供。</w:t>
      </w:r>
    </w:p>
    <w:p>
      <w:pPr>
        <w:snapToGrid w:val="0"/>
        <w:spacing w:line="360" w:lineRule="auto"/>
        <w:jc w:val="center"/>
        <w:rPr>
          <w:rFonts w:ascii="宋体" w:hAnsi="宋体" w:cs="宋体"/>
          <w:b/>
          <w:kern w:val="0"/>
          <w:sz w:val="32"/>
          <w:szCs w:val="32"/>
        </w:rPr>
      </w:pPr>
    </w:p>
    <w:p>
      <w:pPr>
        <w:snapToGrid w:val="0"/>
        <w:spacing w:line="360" w:lineRule="auto"/>
        <w:rPr>
          <w:rFonts w:ascii="宋体" w:hAnsi="宋体" w:cs="宋体"/>
          <w:sz w:val="24"/>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pStyle w:val="4"/>
        <w:rPr>
          <w:lang w:val="en-US"/>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lang w:val="zh-CN"/>
        </w:rPr>
      </w:pPr>
      <w:r>
        <w:rPr>
          <w:rFonts w:hint="eastAsia" w:ascii="宋体" w:hAnsi="宋体" w:cs="宋体"/>
          <w:b/>
          <w:kern w:val="0"/>
          <w:sz w:val="32"/>
          <w:szCs w:val="32"/>
          <w:lang w:val="zh-CN"/>
        </w:rPr>
        <w:t>二、授权委托书或法定代表人（单位负责人、自然人本人）身份证明</w:t>
      </w:r>
    </w:p>
    <w:p>
      <w:pPr>
        <w:snapToGrid w:val="0"/>
        <w:spacing w:line="360" w:lineRule="auto"/>
        <w:rPr>
          <w:rFonts w:ascii="宋体" w:hAnsi="宋体" w:cs="宋体"/>
          <w:sz w:val="24"/>
        </w:rPr>
      </w:pPr>
      <w:r>
        <w:rPr>
          <w:rFonts w:hint="eastAsia" w:ascii="宋体" w:hAnsi="宋体" w:cs="宋体"/>
          <w:sz w:val="24"/>
        </w:rPr>
        <w:t xml:space="preserve">                                </w:t>
      </w:r>
    </w:p>
    <w:p>
      <w:pPr>
        <w:snapToGrid w:val="0"/>
        <w:spacing w:line="360" w:lineRule="auto"/>
        <w:ind w:firstLine="2872" w:firstLineChars="894"/>
        <w:rPr>
          <w:rFonts w:ascii="宋体" w:hAnsi="宋体" w:cs="宋体"/>
          <w:color w:val="auto"/>
        </w:rPr>
      </w:pPr>
      <w:r>
        <w:rPr>
          <w:rFonts w:hint="eastAsia" w:ascii="宋体" w:hAnsi="宋体" w:cs="宋体"/>
          <w:b/>
          <w:color w:val="auto"/>
          <w:kern w:val="0"/>
          <w:sz w:val="32"/>
          <w:szCs w:val="32"/>
          <w:lang w:val="zh-CN"/>
        </w:rPr>
        <w:t>授权委托书（适用于非联合体投标）</w:t>
      </w:r>
      <w:r>
        <w:rPr>
          <w:rFonts w:hint="eastAsia" w:ascii="宋体" w:hAnsi="宋体" w:cs="宋体"/>
          <w:color w:val="auto"/>
        </w:rPr>
        <w:t xml:space="preserve">                               </w:t>
      </w:r>
    </w:p>
    <w:p>
      <w:pPr>
        <w:snapToGrid w:val="0"/>
        <w:spacing w:line="360" w:lineRule="auto"/>
        <w:rPr>
          <w:rFonts w:ascii="宋体" w:hAnsi="宋体" w:cs="宋体"/>
          <w:color w:val="auto"/>
          <w:kern w:val="0"/>
          <w:sz w:val="24"/>
        </w:rPr>
      </w:pPr>
      <w:r>
        <w:rPr>
          <w:rFonts w:hint="eastAsia" w:ascii="宋体" w:hAnsi="宋体" w:cs="宋体"/>
          <w:color w:val="auto"/>
          <w:sz w:val="24"/>
        </w:rPr>
        <w:t>（采购人）、</w:t>
      </w:r>
      <w:r>
        <w:rPr>
          <w:rFonts w:hint="eastAsia" w:ascii="宋体" w:hAnsi="宋体" w:cs="宋体"/>
          <w:color w:val="auto"/>
          <w:sz w:val="24"/>
          <w:lang w:val="en-US" w:eastAsia="zh-CN"/>
        </w:rPr>
        <w:t>杭州市公共资源交易中心临安分中心</w:t>
      </w:r>
      <w:r>
        <w:rPr>
          <w:rFonts w:hint="eastAsia" w:ascii="宋体" w:hAnsi="宋体" w:cs="宋体"/>
          <w:color w:val="auto"/>
          <w:kern w:val="0"/>
          <w:sz w:val="24"/>
          <w:lang w:val="zh-CN"/>
        </w:rPr>
        <w:t>：</w:t>
      </w:r>
    </w:p>
    <w:p>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rPr>
        <w:t>现</w:t>
      </w:r>
      <w:r>
        <w:rPr>
          <w:rFonts w:hint="eastAsia" w:ascii="宋体" w:hAnsi="宋体" w:cs="宋体"/>
          <w:color w:val="auto"/>
          <w:kern w:val="0"/>
          <w:sz w:val="24"/>
          <w:lang w:val="zh-CN"/>
        </w:rPr>
        <w:t>委托</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（姓名）为我方代理人（身份证号码：</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，手机：</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），以</w:t>
      </w:r>
      <w:r>
        <w:rPr>
          <w:rFonts w:hint="eastAsia" w:ascii="宋体" w:hAnsi="宋体" w:cs="宋体"/>
          <w:color w:val="auto"/>
          <w:kern w:val="0"/>
          <w:sz w:val="24"/>
          <w:highlight w:val="none"/>
          <w:lang w:val="zh-CN"/>
        </w:rPr>
        <w:t>我方名义处理</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政府采购投标的一切事项，其法律后果由我方承担。</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投标人名称(电子签名)：</w:t>
      </w:r>
    </w:p>
    <w:p>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签发日期：  年  月   日</w:t>
      </w:r>
    </w:p>
    <w:p>
      <w:pPr>
        <w:snapToGrid w:val="0"/>
        <w:spacing w:line="360" w:lineRule="auto"/>
        <w:rPr>
          <w:rFonts w:ascii="宋体" w:hAnsi="宋体" w:cs="宋体"/>
          <w:color w:val="auto"/>
          <w:sz w:val="24"/>
          <w:highlight w:val="none"/>
        </w:rPr>
      </w:pPr>
    </w:p>
    <w:p>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val="zh-CN"/>
        </w:rPr>
        <w:t xml:space="preserve">      </w:t>
      </w:r>
      <w:r>
        <w:rPr>
          <w:rFonts w:hint="eastAsia" w:ascii="宋体" w:hAnsi="宋体" w:cs="宋体"/>
          <w:b/>
          <w:color w:val="auto"/>
          <w:kern w:val="0"/>
          <w:sz w:val="32"/>
          <w:szCs w:val="32"/>
          <w:highlight w:val="none"/>
        </w:rPr>
        <w:t xml:space="preserve"> </w:t>
      </w:r>
      <w:r>
        <w:rPr>
          <w:rFonts w:hint="eastAsia" w:ascii="宋体" w:hAnsi="宋体" w:cs="宋体"/>
          <w:b/>
          <w:color w:val="auto"/>
          <w:kern w:val="0"/>
          <w:sz w:val="32"/>
          <w:szCs w:val="32"/>
          <w:highlight w:val="none"/>
          <w:lang w:val="zh-CN"/>
        </w:rPr>
        <w:t>授权委托书（适用于联合体投标）</w:t>
      </w:r>
    </w:p>
    <w:p>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w:t>
      </w:r>
      <w:r>
        <w:rPr>
          <w:rFonts w:hint="eastAsia" w:ascii="宋体" w:hAnsi="宋体" w:cs="宋体"/>
          <w:color w:val="auto"/>
          <w:sz w:val="24"/>
          <w:highlight w:val="none"/>
          <w:lang w:val="en-US" w:eastAsia="zh-CN"/>
        </w:rPr>
        <w:t>杭州市公共资源交易中心临安分中心</w:t>
      </w:r>
      <w:r>
        <w:rPr>
          <w:rFonts w:hint="eastAsia" w:ascii="宋体" w:hAnsi="宋体" w:cs="宋体"/>
          <w:color w:val="auto"/>
          <w:kern w:val="0"/>
          <w:sz w:val="24"/>
          <w:highlight w:val="none"/>
          <w:lang w:val="zh-CN"/>
        </w:rPr>
        <w:t>：</w:t>
      </w:r>
    </w:p>
    <w:p>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政府采购投标的一切事项，其法律后果由我方承担。</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pPr>
        <w:jc w:val="center"/>
        <w:rPr>
          <w:rFonts w:ascii="宋体" w:hAnsi="宋体" w:cs="宋体"/>
          <w:b/>
          <w:color w:val="auto"/>
          <w:kern w:val="0"/>
          <w:sz w:val="32"/>
          <w:szCs w:val="32"/>
          <w:highlight w:val="none"/>
        </w:rPr>
      </w:pPr>
    </w:p>
    <w:p>
      <w:pPr>
        <w:rPr>
          <w:rFonts w:ascii="宋体" w:hAnsi="宋体" w:cs="宋体"/>
          <w:color w:val="auto"/>
          <w:highlight w:val="none"/>
        </w:rPr>
      </w:pPr>
    </w:p>
    <w:p>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pPr>
        <w:snapToGrid w:val="0"/>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注：▲供应商委派不在本单位缴纳社保的人员作为授权代表（代理人）的，应当在投标（响应）文件中，说明具体原因、授权代表缴纳社保的单位，并附列该授权代表缴纳社保清单。</w:t>
      </w:r>
    </w:p>
    <w:p>
      <w:pPr>
        <w:autoSpaceDE w:val="0"/>
        <w:autoSpaceDN w:val="0"/>
        <w:spacing w:line="360" w:lineRule="auto"/>
        <w:jc w:val="center"/>
        <w:rPr>
          <w:rFonts w:ascii="宋体" w:hAnsi="宋体" w:cs="宋体"/>
          <w:b/>
          <w:color w:val="auto"/>
          <w:kern w:val="0"/>
          <w:sz w:val="32"/>
          <w:szCs w:val="32"/>
          <w:highlight w:val="none"/>
          <w:lang w:val="zh-CN"/>
        </w:rPr>
      </w:pPr>
    </w:p>
    <w:p>
      <w:pPr>
        <w:autoSpaceDE w:val="0"/>
        <w:autoSpaceDN w:val="0"/>
        <w:spacing w:line="360" w:lineRule="auto"/>
        <w:jc w:val="center"/>
        <w:rPr>
          <w:rFonts w:ascii="宋体" w:hAnsi="宋体" w:cs="宋体"/>
          <w:b/>
          <w:color w:val="auto"/>
          <w:sz w:val="24"/>
          <w:highlight w:val="none"/>
        </w:rPr>
      </w:pPr>
      <w:r>
        <w:rPr>
          <w:rFonts w:hint="eastAsia" w:ascii="宋体" w:hAnsi="宋体" w:cs="宋体"/>
          <w:b/>
          <w:color w:val="auto"/>
          <w:kern w:val="0"/>
          <w:sz w:val="32"/>
          <w:szCs w:val="32"/>
          <w:highlight w:val="none"/>
          <w:lang w:val="zh-CN"/>
        </w:rPr>
        <w:t>法定代表人、单位负责人或自然人本人</w:t>
      </w:r>
      <w:r>
        <w:rPr>
          <w:rFonts w:hint="eastAsia" w:ascii="宋体" w:hAnsi="宋体" w:cs="宋体"/>
          <w:b/>
          <w:color w:val="auto"/>
          <w:sz w:val="30"/>
          <w:szCs w:val="30"/>
          <w:highlight w:val="none"/>
        </w:rPr>
        <w:t>的身份证明（适用于法定代表人、单位负责人或者自然人本人代表投标人参加投标）</w:t>
      </w:r>
    </w:p>
    <w:p>
      <w:pPr>
        <w:pStyle w:val="146"/>
        <w:spacing w:line="360" w:lineRule="auto"/>
        <w:rPr>
          <w:rFonts w:hAnsi="宋体" w:cs="宋体"/>
          <w:bCs/>
          <w:color w:val="auto"/>
          <w:sz w:val="24"/>
          <w:highlight w:val="none"/>
        </w:rPr>
      </w:pPr>
      <w:r>
        <w:rPr>
          <w:rFonts w:hint="eastAsia" w:hAnsi="宋体" w:cs="宋体"/>
          <w:bCs/>
          <w:color w:val="auto"/>
          <w:sz w:val="24"/>
          <w:highlight w:val="none"/>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146"/>
              <w:adjustRightInd w:val="0"/>
              <w:spacing w:line="360" w:lineRule="auto"/>
              <w:rPr>
                <w:rFonts w:hAnsi="宋体" w:cs="宋体"/>
                <w:bCs/>
                <w:color w:val="auto"/>
                <w:sz w:val="24"/>
                <w:highlight w:val="none"/>
              </w:rPr>
            </w:pPr>
            <w:r>
              <w:rPr>
                <w:rFonts w:hint="eastAsia" w:hAnsi="宋体" w:cs="宋体"/>
                <w:bCs/>
                <w:color w:val="auto"/>
                <w:sz w:val="24"/>
                <w:highlight w:val="none"/>
              </w:rPr>
              <w:t>正面：                                 反面：</w:t>
            </w:r>
          </w:p>
          <w:p>
            <w:pPr>
              <w:pStyle w:val="146"/>
              <w:adjustRightInd w:val="0"/>
              <w:spacing w:line="360" w:lineRule="auto"/>
              <w:rPr>
                <w:rFonts w:hAnsi="宋体" w:cs="宋体"/>
                <w:bCs/>
                <w:color w:val="auto"/>
                <w:sz w:val="24"/>
                <w:highlight w:val="none"/>
              </w:rPr>
            </w:pPr>
          </w:p>
        </w:tc>
      </w:tr>
    </w:tbl>
    <w:p>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投标人名称(电子签名)：                              </w:t>
      </w:r>
    </w:p>
    <w:p>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snapToGrid w:val="0"/>
        <w:spacing w:line="360" w:lineRule="auto"/>
        <w:ind w:right="480"/>
        <w:rPr>
          <w:rFonts w:ascii="宋体" w:hAnsi="宋体" w:cs="宋体"/>
          <w:b/>
          <w:color w:val="auto"/>
          <w:kern w:val="0"/>
          <w:sz w:val="32"/>
          <w:szCs w:val="32"/>
          <w:highlight w:val="none"/>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pPr>
        <w:snapToGrid w:val="0"/>
        <w:spacing w:line="360" w:lineRule="auto"/>
        <w:ind w:firstLine="3534" w:firstLineChars="11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三、分包意向协议（如果有）</w:t>
      </w:r>
    </w:p>
    <w:p>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中标后以分包方式履行合同的，提供分包意向协议(附件6</w:t>
      </w:r>
      <w:r>
        <w:rPr>
          <w:rFonts w:ascii="宋体" w:hAnsi="宋体" w:cs="宋体"/>
          <w:b/>
          <w:color w:val="auto"/>
          <w:sz w:val="24"/>
          <w:highlight w:val="none"/>
        </w:rPr>
        <w:t>)</w:t>
      </w:r>
      <w:r>
        <w:rPr>
          <w:rFonts w:hint="eastAsia" w:ascii="宋体" w:hAnsi="宋体" w:cs="宋体"/>
          <w:b/>
          <w:color w:val="auto"/>
          <w:sz w:val="24"/>
          <w:highlight w:val="none"/>
        </w:rPr>
        <w:t>；采购人不同意分包或者投标人中标后不以分包方式履行合同的，则不需要提供。</w:t>
      </w:r>
      <w:r>
        <w:rPr>
          <w:rFonts w:hint="eastAsia" w:ascii="宋体" w:hAnsi="宋体" w:cs="宋体"/>
          <w:color w:val="auto"/>
          <w:sz w:val="24"/>
          <w:highlight w:val="none"/>
        </w:rPr>
        <w:t>]</w:t>
      </w:r>
    </w:p>
    <w:p>
      <w:pPr>
        <w:snapToGrid w:val="0"/>
        <w:spacing w:line="360" w:lineRule="auto"/>
        <w:rPr>
          <w:rFonts w:ascii="宋体" w:hAnsi="宋体" w:cs="宋体"/>
          <w:color w:val="auto"/>
          <w:kern w:val="0"/>
          <w:sz w:val="24"/>
          <w:highlight w:val="none"/>
        </w:rPr>
      </w:pPr>
    </w:p>
    <w:p>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四、符合性审查资料</w:t>
      </w:r>
    </w:p>
    <w:p>
      <w:pPr>
        <w:jc w:val="center"/>
        <w:rPr>
          <w:rFonts w:ascii="宋体" w:hAnsi="宋体" w:cs="宋体"/>
          <w:b/>
          <w:color w:val="auto"/>
          <w:kern w:val="0"/>
          <w:sz w:val="32"/>
          <w:szCs w:val="32"/>
          <w:highlight w:val="none"/>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4991" w:type="dxa"/>
            <w:vAlign w:val="center"/>
          </w:tcPr>
          <w:p>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实质性要求</w:t>
            </w:r>
          </w:p>
        </w:tc>
        <w:tc>
          <w:tcPr>
            <w:tcW w:w="2551" w:type="dxa"/>
            <w:vAlign w:val="center"/>
          </w:tcPr>
          <w:p>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1418" w:type="dxa"/>
            <w:vAlign w:val="center"/>
          </w:tcPr>
          <w:p>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投标文件中的</w:t>
            </w:r>
          </w:p>
          <w:p>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1</w:t>
            </w:r>
          </w:p>
        </w:tc>
        <w:tc>
          <w:tcPr>
            <w:tcW w:w="4991" w:type="dxa"/>
          </w:tcPr>
          <w:p>
            <w:pPr>
              <w:spacing w:line="360" w:lineRule="auto"/>
              <w:rPr>
                <w:rFonts w:ascii="宋体" w:hAnsi="宋体" w:cs="宋体"/>
                <w:color w:val="auto"/>
                <w:sz w:val="24"/>
                <w:highlight w:val="none"/>
              </w:rPr>
            </w:pPr>
            <w:r>
              <w:rPr>
                <w:rFonts w:hint="eastAsia" w:ascii="宋体" w:hAnsi="宋体" w:cs="宋体"/>
                <w:color w:val="auto"/>
                <w:sz w:val="24"/>
                <w:highlight w:val="none"/>
              </w:rPr>
              <w:t>投标文件按照招标文件要求签署、盖章。</w:t>
            </w:r>
          </w:p>
        </w:tc>
        <w:tc>
          <w:tcPr>
            <w:tcW w:w="2551" w:type="dxa"/>
            <w:vAlign w:val="center"/>
          </w:tcPr>
          <w:p>
            <w:pPr>
              <w:rPr>
                <w:rFonts w:ascii="宋体" w:hAnsi="宋体" w:cs="宋体"/>
                <w:color w:val="auto"/>
                <w:sz w:val="24"/>
                <w:highlight w:val="none"/>
              </w:rPr>
            </w:pPr>
            <w:r>
              <w:rPr>
                <w:rFonts w:hint="eastAsia" w:ascii="宋体" w:hAnsi="宋体" w:cs="宋体"/>
                <w:color w:val="auto"/>
                <w:sz w:val="24"/>
                <w:highlight w:val="none"/>
              </w:rPr>
              <w:t>需要使用电子签名或者签字盖章的投标文件的组成部分</w:t>
            </w:r>
          </w:p>
        </w:tc>
        <w:tc>
          <w:tcPr>
            <w:tcW w:w="1418" w:type="dxa"/>
          </w:tcPr>
          <w:p>
            <w:pPr>
              <w:rPr>
                <w:rFonts w:ascii="宋体" w:hAnsi="宋体" w:cs="宋体"/>
                <w:color w:val="auto"/>
                <w:sz w:val="24"/>
                <w:highlight w:val="none"/>
              </w:rPr>
            </w:pPr>
          </w:p>
          <w:p>
            <w:pPr>
              <w:rPr>
                <w:rFonts w:ascii="宋体" w:hAnsi="宋体" w:cs="宋体"/>
                <w:color w:val="auto"/>
                <w:sz w:val="24"/>
                <w:highlight w:val="none"/>
              </w:rPr>
            </w:pPr>
            <w:r>
              <w:rPr>
                <w:rFonts w:hint="eastAsia" w:ascii="宋体" w:hAnsi="宋体" w:cs="宋体"/>
                <w:color w:val="auto"/>
                <w:sz w:val="24"/>
                <w:highlight w:val="none"/>
              </w:rPr>
              <w:t>见投标文件</w:t>
            </w:r>
          </w:p>
          <w:p>
            <w:pPr>
              <w:rPr>
                <w:rFonts w:ascii="宋体" w:hAnsi="宋体" w:cs="宋体"/>
                <w:color w:val="auto"/>
                <w:highlight w:val="none"/>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2</w:t>
            </w:r>
          </w:p>
        </w:tc>
        <w:tc>
          <w:tcPr>
            <w:tcW w:w="4991" w:type="dxa"/>
          </w:tcPr>
          <w:p>
            <w:pPr>
              <w:spacing w:line="360" w:lineRule="auto"/>
              <w:rPr>
                <w:rFonts w:ascii="宋体" w:hAnsi="宋体" w:cs="宋体"/>
                <w:color w:val="auto"/>
                <w:sz w:val="24"/>
                <w:highlight w:val="none"/>
              </w:rPr>
            </w:pPr>
            <w:r>
              <w:rPr>
                <w:rFonts w:hint="eastAsia" w:ascii="宋体" w:hAnsi="宋体" w:cs="宋体"/>
                <w:color w:val="auto"/>
                <w:sz w:val="24"/>
                <w:highlight w:val="none"/>
              </w:rPr>
              <w:t>投标文件中承诺的投标有效期不少于招标文件中载明的投标有效期。</w:t>
            </w:r>
          </w:p>
        </w:tc>
        <w:tc>
          <w:tcPr>
            <w:tcW w:w="2551" w:type="dxa"/>
            <w:vAlign w:val="center"/>
          </w:tcPr>
          <w:p>
            <w:pPr>
              <w:rPr>
                <w:rFonts w:ascii="宋体" w:hAnsi="宋体" w:cs="宋体"/>
                <w:color w:val="auto"/>
                <w:sz w:val="24"/>
                <w:highlight w:val="none"/>
              </w:rPr>
            </w:pPr>
            <w:r>
              <w:rPr>
                <w:rFonts w:hint="eastAsia" w:ascii="宋体" w:hAnsi="宋体" w:cs="宋体"/>
                <w:color w:val="auto"/>
                <w:sz w:val="24"/>
                <w:highlight w:val="none"/>
              </w:rPr>
              <w:t>投标函</w:t>
            </w:r>
          </w:p>
        </w:tc>
        <w:tc>
          <w:tcPr>
            <w:tcW w:w="1418" w:type="dxa"/>
          </w:tcPr>
          <w:p>
            <w:pP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3</w:t>
            </w:r>
          </w:p>
        </w:tc>
        <w:tc>
          <w:tcPr>
            <w:tcW w:w="4991" w:type="dxa"/>
          </w:tcPr>
          <w:p>
            <w:pPr>
              <w:spacing w:line="360" w:lineRule="auto"/>
              <w:rPr>
                <w:rFonts w:ascii="宋体" w:hAnsi="宋体" w:cs="宋体"/>
                <w:color w:val="auto"/>
                <w:sz w:val="24"/>
                <w:highlight w:val="none"/>
              </w:rPr>
            </w:pPr>
            <w:r>
              <w:rPr>
                <w:rFonts w:hint="eastAsia" w:ascii="宋体" w:hAnsi="宋体" w:cs="宋体"/>
                <w:color w:val="auto"/>
                <w:sz w:val="24"/>
                <w:highlight w:val="none"/>
              </w:rPr>
              <w:t>投标文件满足招标文件的其它实质性要求。</w:t>
            </w:r>
          </w:p>
        </w:tc>
        <w:tc>
          <w:tcPr>
            <w:tcW w:w="2551" w:type="dxa"/>
            <w:vAlign w:val="center"/>
          </w:tcPr>
          <w:p>
            <w:pPr>
              <w:rPr>
                <w:rFonts w:ascii="宋体" w:hAnsi="宋体" w:cs="宋体"/>
                <w:color w:val="auto"/>
                <w:sz w:val="24"/>
                <w:highlight w:val="none"/>
              </w:rPr>
            </w:pPr>
            <w:r>
              <w:rPr>
                <w:rFonts w:hint="eastAsia" w:ascii="宋体" w:hAnsi="宋体" w:cs="宋体"/>
                <w:color w:val="auto"/>
                <w:kern w:val="0"/>
                <w:sz w:val="24"/>
                <w:highlight w:val="none"/>
              </w:rPr>
              <w:t>招标文件其它实质性要求相应的材料（“▲” 系指实质性要求条款，招标文件无其它实质性要求的，无需提供）</w:t>
            </w:r>
          </w:p>
        </w:tc>
        <w:tc>
          <w:tcPr>
            <w:tcW w:w="1418" w:type="dxa"/>
          </w:tcPr>
          <w:p>
            <w:pP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bl>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 xml:space="preserve">            </w:t>
      </w: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color w:val="auto"/>
          <w:highlight w:val="none"/>
        </w:rPr>
      </w:pPr>
      <w:r>
        <w:rPr>
          <w:rFonts w:hint="eastAsia" w:ascii="宋体" w:hAnsi="宋体" w:cs="宋体"/>
          <w:b/>
          <w:color w:val="auto"/>
          <w:kern w:val="0"/>
          <w:sz w:val="32"/>
          <w:szCs w:val="32"/>
          <w:highlight w:val="none"/>
        </w:rPr>
        <w:t>五、评标标准相应的商务技术资料</w:t>
      </w:r>
    </w:p>
    <w:p>
      <w:pPr>
        <w:snapToGrid w:val="0"/>
        <w:spacing w:line="360" w:lineRule="auto"/>
        <w:jc w:val="left"/>
        <w:rPr>
          <w:rFonts w:ascii="宋体" w:hAnsi="宋体" w:cs="宋体"/>
          <w:b/>
          <w:color w:val="auto"/>
          <w:sz w:val="24"/>
          <w:highlight w:val="none"/>
        </w:rPr>
      </w:pPr>
      <w:r>
        <w:rPr>
          <w:rFonts w:hint="eastAsia" w:ascii="宋体" w:hAnsi="宋体" w:cs="宋体"/>
          <w:b/>
          <w:color w:val="auto"/>
          <w:sz w:val="24"/>
          <w:highlight w:val="none"/>
        </w:rPr>
        <w:t>（按招标文件第四部分评标办法前附表中“投标文件中评标标准相应的商务技术资料目录”提供资料。）</w:t>
      </w: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ind w:firstLine="2891" w:firstLineChars="9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六、投标标的清单</w:t>
      </w:r>
    </w:p>
    <w:tbl>
      <w:tblPr>
        <w:tblStyle w:val="62"/>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1114"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b/>
                <w:color w:val="auto"/>
                <w:sz w:val="24"/>
                <w:highlight w:val="none"/>
              </w:rPr>
            </w:pPr>
          </w:p>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highlight w:val="none"/>
              </w:rPr>
            </w:pPr>
          </w:p>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备注（如果有）</w:t>
            </w:r>
          </w:p>
          <w:p>
            <w:pPr>
              <w:spacing w:line="360" w:lineRule="auto"/>
              <w:jc w:val="center"/>
              <w:rPr>
                <w:rFonts w:ascii="宋体" w:hAnsi="宋体" w:cs="宋体"/>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r>
    </w:tbl>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七、商务技术偏离表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3683" w:type="dxa"/>
          </w:tcPr>
          <w:p>
            <w:pPr>
              <w:jc w:val="center"/>
              <w:rPr>
                <w:rFonts w:ascii="宋体" w:hAnsi="宋体" w:cs="宋体"/>
                <w:b/>
                <w:bCs/>
                <w:color w:val="auto"/>
                <w:sz w:val="24"/>
                <w:highlight w:val="none"/>
              </w:rPr>
            </w:pPr>
            <w:r>
              <w:rPr>
                <w:rFonts w:hint="eastAsia" w:ascii="宋体" w:hAnsi="宋体" w:cs="宋体"/>
                <w:b/>
                <w:bCs/>
                <w:color w:val="auto"/>
                <w:sz w:val="24"/>
                <w:highlight w:val="none"/>
              </w:rPr>
              <w:t>招标文件章节及具体内容</w:t>
            </w:r>
          </w:p>
        </w:tc>
        <w:tc>
          <w:tcPr>
            <w:tcW w:w="3546" w:type="dxa"/>
          </w:tcPr>
          <w:p>
            <w:pPr>
              <w:jc w:val="center"/>
              <w:rPr>
                <w:rFonts w:ascii="宋体" w:hAnsi="宋体" w:cs="宋体"/>
                <w:b/>
                <w:bCs/>
                <w:color w:val="auto"/>
                <w:sz w:val="24"/>
                <w:highlight w:val="none"/>
              </w:rPr>
            </w:pPr>
            <w:r>
              <w:rPr>
                <w:rFonts w:hint="eastAsia" w:ascii="宋体" w:hAnsi="宋体" w:cs="宋体"/>
                <w:b/>
                <w:bCs/>
                <w:color w:val="auto"/>
                <w:sz w:val="24"/>
                <w:highlight w:val="none"/>
              </w:rPr>
              <w:t>投标文件章节及具体内容</w:t>
            </w:r>
          </w:p>
        </w:tc>
        <w:tc>
          <w:tcPr>
            <w:tcW w:w="1276" w:type="dxa"/>
          </w:tcPr>
          <w:p>
            <w:pPr>
              <w:jc w:val="center"/>
              <w:rPr>
                <w:rFonts w:ascii="宋体" w:hAnsi="宋体" w:cs="宋体"/>
                <w:b/>
                <w:bCs/>
                <w:color w:val="auto"/>
                <w:sz w:val="24"/>
                <w:highlight w:val="none"/>
              </w:rPr>
            </w:pPr>
            <w:r>
              <w:rPr>
                <w:rFonts w:hint="eastAsia" w:ascii="宋体" w:hAnsi="宋体" w:cs="宋体"/>
                <w:b/>
                <w:bCs/>
                <w:color w:val="auto"/>
                <w:sz w:val="24"/>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3683" w:type="dxa"/>
          </w:tcPr>
          <w:p>
            <w:pPr>
              <w:jc w:val="center"/>
              <w:rPr>
                <w:rFonts w:ascii="宋体" w:hAnsi="宋体" w:cs="宋体"/>
                <w:b/>
                <w:color w:val="auto"/>
                <w:kern w:val="0"/>
                <w:sz w:val="32"/>
                <w:szCs w:val="32"/>
                <w:highlight w:val="none"/>
              </w:rPr>
            </w:pPr>
          </w:p>
        </w:tc>
        <w:tc>
          <w:tcPr>
            <w:tcW w:w="3546" w:type="dxa"/>
          </w:tcPr>
          <w:p>
            <w:pPr>
              <w:jc w:val="center"/>
              <w:rPr>
                <w:rFonts w:ascii="宋体" w:hAnsi="宋体" w:cs="宋体"/>
                <w:b/>
                <w:color w:val="auto"/>
                <w:kern w:val="0"/>
                <w:sz w:val="32"/>
                <w:szCs w:val="32"/>
                <w:highlight w:val="none"/>
              </w:rPr>
            </w:pPr>
          </w:p>
        </w:tc>
        <w:tc>
          <w:tcPr>
            <w:tcW w:w="1276" w:type="dxa"/>
          </w:tcPr>
          <w:p>
            <w:pPr>
              <w:jc w:val="center"/>
              <w:rPr>
                <w:rFonts w:ascii="宋体" w:hAnsi="宋体" w:cs="宋体"/>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3683" w:type="dxa"/>
          </w:tcPr>
          <w:p>
            <w:pPr>
              <w:jc w:val="center"/>
              <w:rPr>
                <w:rFonts w:ascii="宋体" w:hAnsi="宋体" w:cs="宋体"/>
                <w:b/>
                <w:color w:val="auto"/>
                <w:kern w:val="0"/>
                <w:sz w:val="32"/>
                <w:szCs w:val="32"/>
                <w:highlight w:val="none"/>
              </w:rPr>
            </w:pPr>
          </w:p>
        </w:tc>
        <w:tc>
          <w:tcPr>
            <w:tcW w:w="3546" w:type="dxa"/>
          </w:tcPr>
          <w:p>
            <w:pPr>
              <w:jc w:val="center"/>
              <w:rPr>
                <w:rFonts w:ascii="宋体" w:hAnsi="宋体" w:cs="宋体"/>
                <w:b/>
                <w:color w:val="auto"/>
                <w:kern w:val="0"/>
                <w:sz w:val="32"/>
                <w:szCs w:val="32"/>
                <w:highlight w:val="none"/>
              </w:rPr>
            </w:pPr>
          </w:p>
        </w:tc>
        <w:tc>
          <w:tcPr>
            <w:tcW w:w="1276" w:type="dxa"/>
          </w:tcPr>
          <w:p>
            <w:pPr>
              <w:jc w:val="center"/>
              <w:rPr>
                <w:rFonts w:ascii="宋体" w:hAnsi="宋体" w:cs="宋体"/>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3683" w:type="dxa"/>
          </w:tcPr>
          <w:p>
            <w:pPr>
              <w:jc w:val="center"/>
              <w:rPr>
                <w:rFonts w:ascii="宋体" w:hAnsi="宋体" w:cs="宋体"/>
                <w:b/>
                <w:color w:val="auto"/>
                <w:kern w:val="0"/>
                <w:sz w:val="32"/>
                <w:szCs w:val="32"/>
                <w:highlight w:val="none"/>
              </w:rPr>
            </w:pPr>
          </w:p>
        </w:tc>
        <w:tc>
          <w:tcPr>
            <w:tcW w:w="3546" w:type="dxa"/>
          </w:tcPr>
          <w:p>
            <w:pPr>
              <w:jc w:val="center"/>
              <w:rPr>
                <w:rFonts w:ascii="宋体" w:hAnsi="宋体" w:cs="宋体"/>
                <w:b/>
                <w:color w:val="auto"/>
                <w:kern w:val="0"/>
                <w:sz w:val="32"/>
                <w:szCs w:val="32"/>
                <w:highlight w:val="none"/>
              </w:rPr>
            </w:pPr>
          </w:p>
        </w:tc>
        <w:tc>
          <w:tcPr>
            <w:tcW w:w="1276" w:type="dxa"/>
          </w:tcPr>
          <w:p>
            <w:pPr>
              <w:jc w:val="center"/>
              <w:rPr>
                <w:rFonts w:ascii="宋体" w:hAnsi="宋体" w:cs="宋体"/>
                <w:b/>
                <w:color w:val="auto"/>
                <w:kern w:val="0"/>
                <w:sz w:val="32"/>
                <w:szCs w:val="32"/>
                <w:highlight w:val="none"/>
              </w:rPr>
            </w:pPr>
          </w:p>
        </w:tc>
      </w:tr>
    </w:tbl>
    <w:p>
      <w:pPr>
        <w:jc w:val="left"/>
        <w:rPr>
          <w:rFonts w:ascii="宋体" w:hAnsi="宋体" w:cs="宋体"/>
          <w:color w:val="auto"/>
          <w:kern w:val="0"/>
          <w:sz w:val="24"/>
          <w:highlight w:val="none"/>
        </w:rPr>
      </w:pPr>
      <w:r>
        <w:rPr>
          <w:rFonts w:hint="eastAsia" w:ascii="宋体" w:hAnsi="宋体" w:cs="宋体"/>
          <w:color w:val="auto"/>
          <w:kern w:val="0"/>
          <w:sz w:val="24"/>
          <w:highlight w:val="none"/>
        </w:rPr>
        <w:t>投标人保证：除商务技术偏离表列出的偏离外，投标人响应招标文件的全部要求</w:t>
      </w:r>
    </w:p>
    <w:p>
      <w:pPr>
        <w:jc w:val="center"/>
        <w:rPr>
          <w:rFonts w:ascii="宋体" w:hAnsi="宋体" w:cs="宋体"/>
          <w:b/>
          <w:color w:val="auto"/>
          <w:kern w:val="0"/>
          <w:sz w:val="32"/>
          <w:szCs w:val="32"/>
          <w:highlight w:val="none"/>
        </w:rPr>
      </w:pPr>
    </w:p>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ind w:firstLine="1911" w:firstLineChars="595"/>
        <w:rPr>
          <w:rFonts w:ascii="宋体" w:hAnsi="宋体" w:cs="宋体"/>
          <w:b/>
          <w:bCs/>
          <w:color w:val="auto"/>
          <w:sz w:val="32"/>
          <w:szCs w:val="32"/>
          <w:highlight w:val="none"/>
        </w:rPr>
      </w:pPr>
    </w:p>
    <w:p>
      <w:pPr>
        <w:ind w:firstLine="1911" w:firstLineChars="595"/>
        <w:rPr>
          <w:rFonts w:ascii="宋体" w:hAnsi="宋体" w:cs="宋体"/>
          <w:b/>
          <w:bCs/>
          <w:color w:val="auto"/>
          <w:sz w:val="32"/>
          <w:szCs w:val="32"/>
          <w:highlight w:val="none"/>
        </w:rPr>
      </w:pPr>
    </w:p>
    <w:p>
      <w:pPr>
        <w:ind w:firstLine="1911" w:firstLineChars="595"/>
        <w:rPr>
          <w:rFonts w:ascii="宋体" w:hAnsi="宋体" w:cs="宋体"/>
          <w:b/>
          <w:bCs/>
          <w:color w:val="auto"/>
          <w:sz w:val="32"/>
          <w:szCs w:val="32"/>
          <w:highlight w:val="none"/>
        </w:rPr>
      </w:pPr>
    </w:p>
    <w:p>
      <w:pPr>
        <w:widowControl/>
        <w:adjustRightInd/>
        <w:jc w:val="left"/>
        <w:rPr>
          <w:rFonts w:ascii="宋体" w:hAnsi="宋体" w:cs="宋体"/>
          <w:b/>
          <w:bCs/>
          <w:color w:val="auto"/>
          <w:sz w:val="32"/>
          <w:szCs w:val="32"/>
          <w:highlight w:val="none"/>
        </w:rPr>
      </w:pPr>
      <w:r>
        <w:rPr>
          <w:rFonts w:ascii="宋体" w:hAnsi="宋体" w:cs="宋体"/>
          <w:b/>
          <w:bCs/>
          <w:color w:val="auto"/>
          <w:sz w:val="32"/>
          <w:szCs w:val="32"/>
          <w:highlight w:val="none"/>
        </w:rPr>
        <w:br w:type="page"/>
      </w:r>
    </w:p>
    <w:p>
      <w:pPr>
        <w:ind w:firstLine="1911" w:firstLineChars="595"/>
        <w:rPr>
          <w:rFonts w:ascii="宋体" w:hAnsi="宋体" w:cs="宋体"/>
          <w:b/>
          <w:color w:val="auto"/>
          <w:kern w:val="0"/>
          <w:sz w:val="32"/>
          <w:szCs w:val="32"/>
          <w:highlight w:val="none"/>
        </w:rPr>
      </w:pPr>
      <w:r>
        <w:rPr>
          <w:rFonts w:hint="eastAsia" w:ascii="宋体" w:hAnsi="宋体" w:cs="宋体"/>
          <w:b/>
          <w:bCs/>
          <w:color w:val="auto"/>
          <w:sz w:val="32"/>
          <w:szCs w:val="32"/>
          <w:highlight w:val="none"/>
        </w:rPr>
        <w:t>八</w:t>
      </w:r>
      <w:r>
        <w:rPr>
          <w:rFonts w:hint="eastAsia" w:ascii="宋体" w:hAnsi="宋体" w:cs="宋体"/>
          <w:b/>
          <w:color w:val="auto"/>
          <w:kern w:val="0"/>
          <w:sz w:val="32"/>
          <w:szCs w:val="32"/>
          <w:highlight w:val="none"/>
        </w:rPr>
        <w:t>、</w:t>
      </w:r>
      <w:r>
        <w:rPr>
          <w:rFonts w:hint="eastAsia" w:ascii="宋体" w:hAnsi="宋体" w:cs="宋体"/>
          <w:b/>
          <w:color w:val="auto"/>
          <w:kern w:val="0"/>
          <w:sz w:val="32"/>
          <w:szCs w:val="32"/>
          <w:highlight w:val="none"/>
          <w:lang w:val="zh-CN"/>
        </w:rPr>
        <w:t>政府采购供应商廉洁自律承诺书</w:t>
      </w:r>
    </w:p>
    <w:p>
      <w:pPr>
        <w:snapToGrid w:val="0"/>
        <w:spacing w:line="360" w:lineRule="auto"/>
        <w:rPr>
          <w:rFonts w:ascii="宋体" w:hAnsi="宋体" w:cs="宋体"/>
          <w:color w:val="auto"/>
          <w:sz w:val="24"/>
          <w:highlight w:val="none"/>
        </w:rPr>
      </w:pPr>
    </w:p>
    <w:p>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w:t>
      </w:r>
      <w:r>
        <w:rPr>
          <w:rFonts w:hint="eastAsia" w:ascii="宋体" w:hAnsi="宋体" w:cs="宋体"/>
          <w:color w:val="auto"/>
          <w:sz w:val="24"/>
          <w:highlight w:val="none"/>
          <w:lang w:val="en-US" w:eastAsia="zh-CN"/>
        </w:rPr>
        <w:t>杭州市公共资源交易中心临安分中心</w:t>
      </w:r>
      <w:r>
        <w:rPr>
          <w:rFonts w:hint="eastAsia" w:ascii="宋体" w:hAnsi="宋体" w:cs="宋体"/>
          <w:color w:val="auto"/>
          <w:kern w:val="0"/>
          <w:sz w:val="24"/>
          <w:highlight w:val="none"/>
          <w:lang w:val="zh-CN"/>
        </w:rPr>
        <w:t>：</w:t>
      </w:r>
    </w:p>
    <w:p>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w:t>
      </w:r>
    </w:p>
    <w:p>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好处；</w:t>
      </w:r>
    </w:p>
    <w:p>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六、严格遵守《</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政府采购法》《</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招标投标</w:t>
      </w:r>
    </w:p>
    <w:p>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法》</w:t>
      </w:r>
      <w:r>
        <w:rPr>
          <w:rFonts w:hint="eastAsia" w:ascii="宋体" w:hAnsi="宋体" w:cs="宋体"/>
          <w:color w:val="auto"/>
          <w:sz w:val="24"/>
          <w:highlight w:val="none"/>
          <w:lang w:val="zh-CN"/>
        </w:rPr>
        <w:t>《中华人民共和国民法典》</w:t>
      </w:r>
      <w:r>
        <w:rPr>
          <w:rFonts w:hint="eastAsia" w:ascii="宋体" w:hAnsi="宋体" w:cs="宋体"/>
          <w:color w:val="auto"/>
          <w:kern w:val="0"/>
          <w:sz w:val="24"/>
          <w:highlight w:val="none"/>
          <w:lang w:val="zh-CN"/>
        </w:rPr>
        <w:t xml:space="preserve">等法律法规，诚实守信，合法经营，坚决抵制各种违法违纪行为。 </w:t>
      </w:r>
    </w:p>
    <w:p>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如违反上述承诺，你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有权立即取消我单位投标、中标或在建项目的建设资格，有权拒绝我单位在一定时期内进入你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进行项目建设或其他经营活动，并通报市财政局。由此引起的相应损失均由我单位承担。</w:t>
      </w:r>
    </w:p>
    <w:p>
      <w:pPr>
        <w:autoSpaceDE w:val="0"/>
        <w:autoSpaceDN w:val="0"/>
        <w:spacing w:line="360" w:lineRule="auto"/>
        <w:ind w:left="2"/>
        <w:jc w:val="left"/>
        <w:rPr>
          <w:rFonts w:ascii="宋体" w:hAnsi="宋体" w:cs="宋体"/>
          <w:color w:val="auto"/>
          <w:kern w:val="0"/>
          <w:sz w:val="24"/>
          <w:highlight w:val="none"/>
          <w:lang w:val="zh-CN"/>
        </w:rPr>
      </w:pPr>
    </w:p>
    <w:p>
      <w:pPr>
        <w:autoSpaceDE w:val="0"/>
        <w:autoSpaceDN w:val="0"/>
        <w:spacing w:line="360" w:lineRule="auto"/>
        <w:ind w:left="2"/>
        <w:jc w:val="left"/>
        <w:rPr>
          <w:rFonts w:ascii="宋体" w:hAnsi="宋体" w:cs="宋体"/>
          <w:color w:val="auto"/>
          <w:kern w:val="0"/>
          <w:sz w:val="24"/>
          <w:highlight w:val="none"/>
          <w:lang w:val="zh-CN"/>
        </w:rPr>
      </w:pPr>
    </w:p>
    <w:p>
      <w:pPr>
        <w:autoSpaceDE w:val="0"/>
        <w:autoSpaceDN w:val="0"/>
        <w:spacing w:line="360" w:lineRule="auto"/>
        <w:ind w:left="2"/>
        <w:jc w:val="left"/>
        <w:rPr>
          <w:rFonts w:ascii="宋体" w:hAnsi="宋体" w:cs="宋体"/>
          <w:color w:val="auto"/>
          <w:kern w:val="0"/>
          <w:sz w:val="24"/>
          <w:highlight w:val="none"/>
          <w:lang w:val="zh-CN"/>
        </w:rPr>
      </w:pPr>
    </w:p>
    <w:p>
      <w:pPr>
        <w:autoSpaceDE w:val="0"/>
        <w:autoSpaceDN w:val="0"/>
        <w:spacing w:line="360" w:lineRule="auto"/>
        <w:ind w:left="2" w:leftChars="1" w:right="1120" w:firstLine="4560" w:firstLineChars="19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投标人名称（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 xml:space="preserve">）：                                                                                                                                                                                                               </w:t>
      </w:r>
    </w:p>
    <w:p>
      <w:pPr>
        <w:spacing w:line="360" w:lineRule="auto"/>
        <w:ind w:left="4620" w:leftChars="2200"/>
        <w:rPr>
          <w:rFonts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pPr>
        <w:spacing w:line="360" w:lineRule="auto"/>
        <w:jc w:val="center"/>
        <w:rPr>
          <w:rFonts w:ascii="宋体" w:hAnsi="宋体" w:cs="宋体"/>
          <w:b/>
          <w:bCs/>
          <w:color w:val="auto"/>
          <w:sz w:val="24"/>
          <w:highlight w:val="none"/>
        </w:rPr>
      </w:pPr>
    </w:p>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spacing w:line="360" w:lineRule="auto"/>
        <w:jc w:val="center"/>
        <w:rPr>
          <w:rFonts w:ascii="宋体" w:hAnsi="宋体" w:cs="宋体"/>
          <w:b/>
          <w:bCs/>
          <w:color w:val="auto"/>
          <w:sz w:val="24"/>
          <w:highlight w:val="none"/>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报价文件部分</w:t>
      </w:r>
    </w:p>
    <w:p>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pPr>
        <w:spacing w:line="360" w:lineRule="auto"/>
        <w:jc w:val="center"/>
        <w:outlineLvl w:val="0"/>
        <w:rPr>
          <w:rFonts w:ascii="宋体" w:hAnsi="宋体" w:cs="宋体"/>
          <w:b/>
          <w:color w:val="auto"/>
          <w:kern w:val="0"/>
          <w:sz w:val="36"/>
          <w:szCs w:val="36"/>
          <w:highlight w:val="none"/>
        </w:rPr>
      </w:pP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（1）开标一览表（报价表）………………………………………………………（页码）</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（2）中小企业声明函………………………………………………………………（页码）</w:t>
      </w: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pStyle w:val="691"/>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pPr>
        <w:pStyle w:val="691"/>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一、开标一览表（报价表）</w:t>
      </w:r>
    </w:p>
    <w:p>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w:t>
      </w:r>
      <w:r>
        <w:rPr>
          <w:rFonts w:hint="eastAsia" w:ascii="宋体" w:hAnsi="宋体" w:cs="宋体"/>
          <w:color w:val="auto"/>
          <w:sz w:val="24"/>
          <w:highlight w:val="none"/>
          <w:lang w:val="en-US" w:eastAsia="zh-CN"/>
        </w:rPr>
        <w:t>杭州市公共资源交易中心临安分中心</w:t>
      </w:r>
      <w:r>
        <w:rPr>
          <w:rFonts w:hint="eastAsia" w:ascii="宋体" w:hAnsi="宋体" w:cs="宋体"/>
          <w:color w:val="auto"/>
          <w:kern w:val="0"/>
          <w:sz w:val="24"/>
          <w:highlight w:val="none"/>
          <w:lang w:val="zh-CN"/>
        </w:rPr>
        <w:t>：</w:t>
      </w:r>
    </w:p>
    <w:p>
      <w:pPr>
        <w:snapToGrid w:val="0"/>
        <w:spacing w:line="360" w:lineRule="auto"/>
        <w:ind w:firstLine="482"/>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highlight w:val="none"/>
        </w:rPr>
        <w:t>（项目名称）</w:t>
      </w:r>
      <w:r>
        <w:rPr>
          <w:rFonts w:hint="eastAsia" w:ascii="宋体" w:hAnsi="宋体" w:cs="宋体"/>
          <w:color w:val="auto"/>
          <w:kern w:val="0"/>
          <w:sz w:val="24"/>
          <w:highlight w:val="none"/>
          <w:lang w:val="zh-CN"/>
        </w:rPr>
        <w:t>【招标编号：</w:t>
      </w:r>
      <w:r>
        <w:rPr>
          <w:rFonts w:hint="eastAsia" w:ascii="宋体" w:hAnsi="宋体" w:cs="宋体"/>
          <w:color w:val="auto"/>
          <w:sz w:val="24"/>
          <w:highlight w:val="none"/>
        </w:rPr>
        <w:t>（采购编号）】的实施</w:t>
      </w:r>
      <w:r>
        <w:rPr>
          <w:rFonts w:hint="eastAsia" w:ascii="宋体" w:hAnsi="宋体" w:cs="宋体"/>
          <w:color w:val="auto"/>
          <w:kern w:val="0"/>
          <w:sz w:val="24"/>
          <w:highlight w:val="none"/>
          <w:lang w:val="zh-CN"/>
        </w:rPr>
        <w:t>。</w:t>
      </w:r>
    </w:p>
    <w:p>
      <w:pPr>
        <w:spacing w:line="360" w:lineRule="auto"/>
        <w:jc w:val="center"/>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开标一览表（报价表）(单位均为人民币元)</w:t>
      </w:r>
    </w:p>
    <w:tbl>
      <w:tblPr>
        <w:tblStyle w:val="62"/>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2789"/>
        <w:gridCol w:w="2250"/>
        <w:gridCol w:w="1770"/>
        <w:gridCol w:w="1455"/>
        <w:gridCol w:w="1800"/>
        <w:gridCol w:w="2127"/>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5" w:hRule="atLeast"/>
        </w:trPr>
        <w:tc>
          <w:tcPr>
            <w:tcW w:w="817" w:type="dxa"/>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2789" w:type="dxa"/>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2250" w:type="dxa"/>
            <w:vAlign w:val="center"/>
          </w:tcPr>
          <w:p>
            <w:pPr>
              <w:spacing w:line="360" w:lineRule="auto"/>
              <w:jc w:val="center"/>
              <w:rPr>
                <w:rFonts w:hint="eastAsia" w:ascii="宋体" w:hAnsi="宋体" w:eastAsia="宋体" w:cs="宋体"/>
                <w:b/>
                <w:color w:val="auto"/>
                <w:sz w:val="24"/>
                <w:highlight w:val="none"/>
                <w:lang w:eastAsia="zh-CN"/>
              </w:rPr>
            </w:pPr>
            <w:r>
              <w:rPr>
                <w:rFonts w:hint="eastAsia" w:ascii="宋体" w:hAnsi="宋体" w:cs="宋体"/>
                <w:b/>
                <w:color w:val="auto"/>
                <w:sz w:val="24"/>
                <w:highlight w:val="none"/>
              </w:rPr>
              <w:t>服务</w:t>
            </w:r>
            <w:r>
              <w:rPr>
                <w:rFonts w:hint="eastAsia" w:ascii="宋体" w:hAnsi="宋体" w:cs="宋体"/>
                <w:b/>
                <w:color w:val="auto"/>
                <w:sz w:val="24"/>
                <w:highlight w:val="none"/>
                <w:lang w:eastAsia="zh-CN"/>
              </w:rPr>
              <w:t>数量（吨</w:t>
            </w:r>
            <w:r>
              <w:rPr>
                <w:rFonts w:hint="eastAsia" w:ascii="宋体" w:hAnsi="宋体" w:cs="宋体"/>
                <w:b/>
                <w:color w:val="auto"/>
                <w:sz w:val="24"/>
                <w:highlight w:val="none"/>
                <w:lang w:val="en-US" w:eastAsia="zh-CN"/>
              </w:rPr>
              <w:t>/天</w:t>
            </w:r>
            <w:r>
              <w:rPr>
                <w:rFonts w:hint="eastAsia" w:ascii="宋体" w:hAnsi="宋体" w:cs="宋体"/>
                <w:b/>
                <w:color w:val="auto"/>
                <w:sz w:val="24"/>
                <w:highlight w:val="none"/>
                <w:lang w:eastAsia="zh-CN"/>
              </w:rPr>
              <w:t>）</w:t>
            </w:r>
          </w:p>
        </w:tc>
        <w:tc>
          <w:tcPr>
            <w:tcW w:w="1770" w:type="dxa"/>
            <w:vAlign w:val="center"/>
          </w:tcPr>
          <w:p>
            <w:pPr>
              <w:spacing w:line="360" w:lineRule="auto"/>
              <w:jc w:val="center"/>
              <w:rPr>
                <w:rFonts w:hint="eastAsia" w:ascii="宋体" w:hAnsi="宋体" w:eastAsia="宋体" w:cs="宋体"/>
                <w:b/>
                <w:color w:val="auto"/>
                <w:sz w:val="24"/>
                <w:highlight w:val="none"/>
                <w:lang w:eastAsia="zh-CN"/>
              </w:rPr>
            </w:pPr>
            <w:r>
              <w:rPr>
                <w:rFonts w:hint="eastAsia" w:ascii="宋体" w:hAnsi="宋体" w:cs="宋体"/>
                <w:b/>
                <w:color w:val="auto"/>
                <w:sz w:val="24"/>
                <w:highlight w:val="none"/>
                <w:lang w:eastAsia="zh-CN"/>
              </w:rPr>
              <w:t>单价（元</w:t>
            </w:r>
            <w:r>
              <w:rPr>
                <w:rFonts w:hint="eastAsia" w:ascii="宋体" w:hAnsi="宋体" w:cs="宋体"/>
                <w:b/>
                <w:color w:val="auto"/>
                <w:sz w:val="24"/>
                <w:highlight w:val="none"/>
                <w:lang w:val="en-US" w:eastAsia="zh-CN"/>
              </w:rPr>
              <w:t>/吨</w:t>
            </w:r>
            <w:r>
              <w:rPr>
                <w:rFonts w:hint="eastAsia" w:ascii="宋体" w:hAnsi="宋体" w:cs="宋体"/>
                <w:b/>
                <w:color w:val="auto"/>
                <w:sz w:val="24"/>
                <w:highlight w:val="none"/>
                <w:lang w:eastAsia="zh-CN"/>
              </w:rPr>
              <w:t>）</w:t>
            </w:r>
          </w:p>
        </w:tc>
        <w:tc>
          <w:tcPr>
            <w:tcW w:w="1455" w:type="dxa"/>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服务时间</w:t>
            </w:r>
          </w:p>
        </w:tc>
        <w:tc>
          <w:tcPr>
            <w:tcW w:w="1800" w:type="dxa"/>
            <w:vAlign w:val="center"/>
          </w:tcPr>
          <w:p>
            <w:pPr>
              <w:spacing w:line="360" w:lineRule="auto"/>
              <w:jc w:val="center"/>
              <w:rPr>
                <w:rFonts w:hint="eastAsia" w:ascii="宋体" w:hAnsi="宋体" w:eastAsia="宋体" w:cs="宋体"/>
                <w:b/>
                <w:color w:val="auto"/>
                <w:sz w:val="24"/>
                <w:highlight w:val="none"/>
                <w:lang w:eastAsia="zh-CN"/>
              </w:rPr>
            </w:pPr>
            <w:r>
              <w:rPr>
                <w:rFonts w:hint="eastAsia" w:ascii="宋体" w:hAnsi="宋体" w:cs="宋体"/>
                <w:b/>
                <w:color w:val="auto"/>
                <w:sz w:val="24"/>
                <w:highlight w:val="none"/>
                <w:lang w:eastAsia="zh-CN"/>
              </w:rPr>
              <w:t>总价</w:t>
            </w:r>
          </w:p>
        </w:tc>
        <w:tc>
          <w:tcPr>
            <w:tcW w:w="4253" w:type="dxa"/>
            <w:gridSpan w:val="2"/>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备注（如果有）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pPr>
              <w:snapToGrid w:val="0"/>
              <w:spacing w:line="360" w:lineRule="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w:t>
            </w:r>
          </w:p>
        </w:tc>
        <w:tc>
          <w:tcPr>
            <w:tcW w:w="2789" w:type="dxa"/>
            <w:vAlign w:val="center"/>
          </w:tcPr>
          <w:p>
            <w:pPr>
              <w:snapToGrid w:val="0"/>
              <w:spacing w:line="360" w:lineRule="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渗滤液（含浓缩液）处理</w:t>
            </w:r>
          </w:p>
        </w:tc>
        <w:tc>
          <w:tcPr>
            <w:tcW w:w="2250" w:type="dxa"/>
            <w:vAlign w:val="center"/>
          </w:tcPr>
          <w:p>
            <w:pPr>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550</w:t>
            </w:r>
          </w:p>
        </w:tc>
        <w:tc>
          <w:tcPr>
            <w:tcW w:w="1770" w:type="dxa"/>
            <w:vAlign w:val="center"/>
          </w:tcPr>
          <w:p>
            <w:pPr>
              <w:snapToGrid w:val="0"/>
              <w:spacing w:line="360" w:lineRule="auto"/>
              <w:jc w:val="center"/>
              <w:rPr>
                <w:rFonts w:ascii="宋体" w:hAnsi="宋体" w:cs="宋体"/>
                <w:color w:val="auto"/>
                <w:sz w:val="24"/>
                <w:highlight w:val="none"/>
              </w:rPr>
            </w:pPr>
          </w:p>
        </w:tc>
        <w:tc>
          <w:tcPr>
            <w:tcW w:w="1455" w:type="dxa"/>
            <w:vAlign w:val="center"/>
          </w:tcPr>
          <w:p>
            <w:pPr>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3年</w:t>
            </w:r>
          </w:p>
        </w:tc>
        <w:tc>
          <w:tcPr>
            <w:tcW w:w="1800" w:type="dxa"/>
            <w:vAlign w:val="center"/>
          </w:tcPr>
          <w:p>
            <w:pPr>
              <w:spacing w:line="360" w:lineRule="auto"/>
              <w:jc w:val="center"/>
              <w:rPr>
                <w:rFonts w:ascii="宋体" w:hAnsi="宋体" w:cs="宋体"/>
                <w:color w:val="auto"/>
                <w:sz w:val="24"/>
                <w:highlight w:val="none"/>
              </w:rPr>
            </w:pPr>
          </w:p>
        </w:tc>
        <w:tc>
          <w:tcPr>
            <w:tcW w:w="4253" w:type="dxa"/>
            <w:gridSpan w:val="2"/>
          </w:tcPr>
          <w:p>
            <w:pPr>
              <w:spacing w:line="360" w:lineRule="auto"/>
              <w:jc w:val="center"/>
              <w:rPr>
                <w:rFonts w:ascii="宋体" w:hAnsi="宋体" w:cs="宋体"/>
                <w:color w:val="auto"/>
                <w:sz w:val="24"/>
                <w:highlight w:val="none"/>
              </w:rPr>
            </w:pPr>
            <w:r>
              <w:rPr>
                <w:rFonts w:hint="eastAsia" w:ascii="宋体" w:hAnsi="宋体" w:eastAsia="宋体" w:cs="宋体"/>
                <w:color w:val="auto"/>
                <w:sz w:val="24"/>
                <w:highlight w:val="none"/>
                <w:lang w:val="en-US" w:eastAsia="zh-CN"/>
              </w:rPr>
              <w:t>计算方式：渗</w:t>
            </w:r>
            <w:r>
              <w:rPr>
                <w:rFonts w:hint="eastAsia" w:ascii="宋体" w:hAnsi="宋体" w:cs="宋体"/>
                <w:color w:val="auto"/>
                <w:sz w:val="24"/>
                <w:highlight w:val="none"/>
              </w:rPr>
              <w:t>滤液(含浓缩液)处理单价</w:t>
            </w:r>
            <w:r>
              <w:rPr>
                <w:rFonts w:hint="eastAsia" w:ascii="宋体" w:hAnsi="宋体" w:cs="宋体"/>
                <w:color w:val="auto"/>
                <w:sz w:val="24"/>
                <w:highlight w:val="none"/>
                <w:lang w:val="en-US" w:eastAsia="zh-CN"/>
              </w:rPr>
              <w:t>*</w:t>
            </w:r>
            <w:r>
              <w:rPr>
                <w:rFonts w:hint="eastAsia" w:ascii="宋体" w:hAnsi="宋体" w:cs="宋体"/>
                <w:color w:val="auto"/>
                <w:sz w:val="24"/>
                <w:highlight w:val="none"/>
              </w:rPr>
              <w:t>550吨</w:t>
            </w:r>
            <w:r>
              <w:rPr>
                <w:rFonts w:hint="eastAsia" w:ascii="宋体" w:hAnsi="宋体" w:cs="宋体"/>
                <w:color w:val="auto"/>
                <w:sz w:val="24"/>
                <w:highlight w:val="none"/>
                <w:lang w:val="en-US" w:eastAsia="zh-CN"/>
              </w:rPr>
              <w:t>*</w:t>
            </w:r>
            <w:r>
              <w:rPr>
                <w:rFonts w:hint="eastAsia" w:ascii="宋体" w:hAnsi="宋体" w:cs="宋体"/>
                <w:color w:val="auto"/>
                <w:sz w:val="24"/>
                <w:highlight w:val="none"/>
              </w:rPr>
              <w:t>365天</w:t>
            </w:r>
            <w:r>
              <w:rPr>
                <w:rFonts w:hint="eastAsia" w:ascii="宋体" w:hAnsi="宋体" w:cs="宋体"/>
                <w:color w:val="auto"/>
                <w:sz w:val="24"/>
                <w:highlight w:val="none"/>
                <w:lang w:val="en-US" w:eastAsia="zh-CN"/>
              </w:rPr>
              <w:t>*</w:t>
            </w:r>
            <w:r>
              <w:rPr>
                <w:rFonts w:hint="eastAsia" w:ascii="宋体" w:hAnsi="宋体" w:cs="宋体"/>
                <w:color w:val="auto"/>
                <w:sz w:val="24"/>
                <w:highlight w:val="none"/>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napToGrid w:val="0"/>
              <w:spacing w:line="360" w:lineRule="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w:t>
            </w:r>
          </w:p>
        </w:tc>
        <w:tc>
          <w:tcPr>
            <w:tcW w:w="2789" w:type="dxa"/>
            <w:vAlign w:val="center"/>
          </w:tcPr>
          <w:p>
            <w:pPr>
              <w:snapToGrid w:val="0"/>
              <w:spacing w:line="360" w:lineRule="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中转站渗滤液预处理</w:t>
            </w:r>
          </w:p>
        </w:tc>
        <w:tc>
          <w:tcPr>
            <w:tcW w:w="2250" w:type="dxa"/>
            <w:vAlign w:val="center"/>
          </w:tcPr>
          <w:p>
            <w:pPr>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35</w:t>
            </w:r>
          </w:p>
        </w:tc>
        <w:tc>
          <w:tcPr>
            <w:tcW w:w="1770" w:type="dxa"/>
            <w:vAlign w:val="center"/>
          </w:tcPr>
          <w:p>
            <w:pPr>
              <w:snapToGrid w:val="0"/>
              <w:spacing w:line="360" w:lineRule="auto"/>
              <w:jc w:val="center"/>
              <w:rPr>
                <w:rFonts w:ascii="宋体" w:hAnsi="宋体" w:cs="宋体"/>
                <w:color w:val="auto"/>
                <w:sz w:val="24"/>
                <w:highlight w:val="none"/>
              </w:rPr>
            </w:pPr>
          </w:p>
        </w:tc>
        <w:tc>
          <w:tcPr>
            <w:tcW w:w="1455" w:type="dxa"/>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lang w:val="en-US" w:eastAsia="zh-CN"/>
              </w:rPr>
              <w:t>3年</w:t>
            </w:r>
          </w:p>
        </w:tc>
        <w:tc>
          <w:tcPr>
            <w:tcW w:w="1800" w:type="dxa"/>
            <w:vAlign w:val="center"/>
          </w:tcPr>
          <w:p>
            <w:pPr>
              <w:spacing w:line="360" w:lineRule="auto"/>
              <w:jc w:val="center"/>
              <w:rPr>
                <w:rFonts w:ascii="宋体" w:hAnsi="宋体" w:cs="宋体"/>
                <w:color w:val="auto"/>
                <w:sz w:val="24"/>
                <w:highlight w:val="none"/>
              </w:rPr>
            </w:pPr>
          </w:p>
        </w:tc>
        <w:tc>
          <w:tcPr>
            <w:tcW w:w="4253" w:type="dxa"/>
            <w:gridSpan w:val="2"/>
          </w:tcPr>
          <w:p>
            <w:pPr>
              <w:spacing w:line="360" w:lineRule="auto"/>
              <w:jc w:val="center"/>
              <w:rPr>
                <w:rFonts w:ascii="宋体" w:hAnsi="宋体" w:cs="宋体"/>
                <w:color w:val="auto"/>
                <w:sz w:val="24"/>
                <w:highlight w:val="none"/>
              </w:rPr>
            </w:pPr>
            <w:r>
              <w:rPr>
                <w:rFonts w:hint="eastAsia" w:ascii="宋体" w:hAnsi="宋体" w:eastAsia="宋体" w:cs="宋体"/>
                <w:color w:val="auto"/>
                <w:sz w:val="24"/>
                <w:highlight w:val="none"/>
                <w:lang w:val="en-US" w:eastAsia="zh-CN"/>
              </w:rPr>
              <w:t>计算方式：</w:t>
            </w:r>
            <w:r>
              <w:rPr>
                <w:rFonts w:hint="eastAsia" w:ascii="宋体" w:hAnsi="宋体" w:cs="宋体"/>
                <w:color w:val="auto"/>
                <w:sz w:val="24"/>
                <w:highlight w:val="none"/>
              </w:rPr>
              <w:t>中转站</w:t>
            </w:r>
            <w:r>
              <w:rPr>
                <w:rFonts w:hint="eastAsia" w:ascii="宋体" w:hAnsi="宋体" w:eastAsia="宋体" w:cs="宋体"/>
                <w:color w:val="auto"/>
                <w:sz w:val="24"/>
                <w:highlight w:val="none"/>
                <w:lang w:val="en-US" w:eastAsia="zh-CN"/>
              </w:rPr>
              <w:t>渗</w:t>
            </w:r>
            <w:r>
              <w:rPr>
                <w:rFonts w:hint="eastAsia" w:ascii="宋体" w:hAnsi="宋体" w:cs="宋体"/>
                <w:color w:val="auto"/>
                <w:sz w:val="24"/>
                <w:highlight w:val="none"/>
              </w:rPr>
              <w:t>滤液预处理单价</w:t>
            </w:r>
            <w:r>
              <w:rPr>
                <w:rFonts w:hint="eastAsia" w:ascii="宋体" w:hAnsi="宋体" w:cs="宋体"/>
                <w:color w:val="auto"/>
                <w:sz w:val="24"/>
                <w:highlight w:val="none"/>
                <w:lang w:val="en-US" w:eastAsia="zh-CN"/>
              </w:rPr>
              <w:t>*</w:t>
            </w:r>
            <w:r>
              <w:rPr>
                <w:rFonts w:hint="eastAsia" w:ascii="宋体" w:hAnsi="宋体" w:cs="宋体"/>
                <w:color w:val="auto"/>
                <w:sz w:val="24"/>
                <w:highlight w:val="none"/>
              </w:rPr>
              <w:t>35吨</w:t>
            </w:r>
            <w:r>
              <w:rPr>
                <w:rFonts w:hint="eastAsia" w:ascii="宋体" w:hAnsi="宋体" w:cs="宋体"/>
                <w:color w:val="auto"/>
                <w:sz w:val="24"/>
                <w:highlight w:val="none"/>
                <w:lang w:val="en-US" w:eastAsia="zh-CN"/>
              </w:rPr>
              <w:t>*</w:t>
            </w:r>
            <w:r>
              <w:rPr>
                <w:rFonts w:hint="eastAsia" w:ascii="宋体" w:hAnsi="宋体" w:cs="宋体"/>
                <w:color w:val="auto"/>
                <w:sz w:val="24"/>
                <w:highlight w:val="none"/>
              </w:rPr>
              <w:t>365天</w:t>
            </w:r>
            <w:r>
              <w:rPr>
                <w:rFonts w:hint="eastAsia" w:ascii="宋体" w:hAnsi="宋体" w:cs="宋体"/>
                <w:color w:val="auto"/>
                <w:sz w:val="24"/>
                <w:highlight w:val="none"/>
                <w:lang w:val="en-US" w:eastAsia="zh-CN"/>
              </w:rPr>
              <w:t>*</w:t>
            </w:r>
            <w:r>
              <w:rPr>
                <w:rFonts w:hint="eastAsia" w:ascii="宋体" w:hAnsi="宋体" w:cs="宋体"/>
                <w:color w:val="auto"/>
                <w:sz w:val="24"/>
                <w:highlight w:val="none"/>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napToGrid w:val="0"/>
              <w:spacing w:line="360" w:lineRule="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w:t>
            </w:r>
          </w:p>
        </w:tc>
        <w:tc>
          <w:tcPr>
            <w:tcW w:w="2789" w:type="dxa"/>
            <w:vAlign w:val="center"/>
          </w:tcPr>
          <w:p>
            <w:pPr>
              <w:snapToGrid w:val="0"/>
              <w:spacing w:line="360" w:lineRule="auto"/>
              <w:rPr>
                <w:rFonts w:hint="eastAsia" w:ascii="宋体" w:hAnsi="宋体" w:eastAsia="宋体" w:cs="宋体"/>
                <w:color w:val="auto"/>
                <w:sz w:val="24"/>
                <w:highlight w:val="none"/>
                <w:lang w:val="en-US" w:eastAsia="zh-CN"/>
              </w:rPr>
            </w:pPr>
          </w:p>
        </w:tc>
        <w:tc>
          <w:tcPr>
            <w:tcW w:w="2250" w:type="dxa"/>
            <w:vAlign w:val="center"/>
          </w:tcPr>
          <w:p>
            <w:pPr>
              <w:snapToGrid w:val="0"/>
              <w:spacing w:line="360" w:lineRule="auto"/>
              <w:jc w:val="center"/>
              <w:rPr>
                <w:rFonts w:ascii="宋体" w:hAnsi="宋体" w:cs="宋体"/>
                <w:color w:val="auto"/>
                <w:sz w:val="24"/>
                <w:highlight w:val="none"/>
              </w:rPr>
            </w:pPr>
          </w:p>
        </w:tc>
        <w:tc>
          <w:tcPr>
            <w:tcW w:w="1770" w:type="dxa"/>
            <w:vAlign w:val="center"/>
          </w:tcPr>
          <w:p>
            <w:pPr>
              <w:snapToGrid w:val="0"/>
              <w:spacing w:line="360" w:lineRule="auto"/>
              <w:jc w:val="center"/>
              <w:rPr>
                <w:rFonts w:ascii="宋体" w:hAnsi="宋体" w:cs="宋体"/>
                <w:color w:val="auto"/>
                <w:sz w:val="24"/>
                <w:highlight w:val="none"/>
              </w:rPr>
            </w:pPr>
          </w:p>
        </w:tc>
        <w:tc>
          <w:tcPr>
            <w:tcW w:w="1455" w:type="dxa"/>
            <w:vAlign w:val="center"/>
          </w:tcPr>
          <w:p>
            <w:pPr>
              <w:snapToGrid w:val="0"/>
              <w:spacing w:line="360" w:lineRule="auto"/>
              <w:jc w:val="center"/>
              <w:rPr>
                <w:rFonts w:ascii="宋体" w:hAnsi="宋体" w:cs="宋体"/>
                <w:color w:val="auto"/>
                <w:sz w:val="24"/>
                <w:highlight w:val="none"/>
              </w:rPr>
            </w:pPr>
          </w:p>
        </w:tc>
        <w:tc>
          <w:tcPr>
            <w:tcW w:w="1800" w:type="dxa"/>
            <w:vAlign w:val="center"/>
          </w:tcPr>
          <w:p>
            <w:pPr>
              <w:spacing w:line="360" w:lineRule="auto"/>
              <w:jc w:val="center"/>
              <w:rPr>
                <w:rFonts w:ascii="宋体" w:hAnsi="宋体" w:cs="宋体"/>
                <w:color w:val="auto"/>
                <w:sz w:val="24"/>
                <w:highlight w:val="none"/>
              </w:rPr>
            </w:pPr>
          </w:p>
        </w:tc>
        <w:tc>
          <w:tcPr>
            <w:tcW w:w="2127" w:type="dxa"/>
          </w:tcPr>
          <w:p>
            <w:pPr>
              <w:spacing w:line="360" w:lineRule="auto"/>
              <w:jc w:val="center"/>
              <w:rPr>
                <w:rFonts w:ascii="宋体" w:hAnsi="宋体" w:cs="宋体"/>
                <w:color w:val="auto"/>
                <w:sz w:val="24"/>
                <w:highlight w:val="none"/>
              </w:rPr>
            </w:pPr>
          </w:p>
        </w:tc>
        <w:tc>
          <w:tcPr>
            <w:tcW w:w="2126" w:type="dxa"/>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ascii="宋体" w:hAnsi="宋体" w:cs="宋体"/>
                <w:color w:val="auto"/>
                <w:sz w:val="24"/>
                <w:highlight w:val="none"/>
              </w:rPr>
            </w:pPr>
          </w:p>
        </w:tc>
        <w:tc>
          <w:tcPr>
            <w:tcW w:w="2789" w:type="dxa"/>
            <w:vAlign w:val="center"/>
          </w:tcPr>
          <w:p>
            <w:pPr>
              <w:snapToGrid w:val="0"/>
              <w:spacing w:line="360" w:lineRule="auto"/>
              <w:jc w:val="center"/>
              <w:rPr>
                <w:rFonts w:ascii="宋体" w:hAnsi="宋体" w:cs="宋体"/>
                <w:color w:val="auto"/>
                <w:sz w:val="24"/>
                <w:highlight w:val="none"/>
              </w:rPr>
            </w:pPr>
          </w:p>
        </w:tc>
        <w:tc>
          <w:tcPr>
            <w:tcW w:w="2250" w:type="dxa"/>
            <w:vAlign w:val="center"/>
          </w:tcPr>
          <w:p>
            <w:pPr>
              <w:snapToGrid w:val="0"/>
              <w:spacing w:line="360" w:lineRule="auto"/>
              <w:jc w:val="center"/>
              <w:rPr>
                <w:rFonts w:ascii="宋体" w:hAnsi="宋体" w:cs="宋体"/>
                <w:color w:val="auto"/>
                <w:sz w:val="24"/>
                <w:highlight w:val="none"/>
              </w:rPr>
            </w:pPr>
          </w:p>
        </w:tc>
        <w:tc>
          <w:tcPr>
            <w:tcW w:w="1770" w:type="dxa"/>
            <w:vAlign w:val="center"/>
          </w:tcPr>
          <w:p>
            <w:pPr>
              <w:snapToGrid w:val="0"/>
              <w:spacing w:line="360" w:lineRule="auto"/>
              <w:jc w:val="center"/>
              <w:rPr>
                <w:rFonts w:ascii="宋体" w:hAnsi="宋体" w:cs="宋体"/>
                <w:color w:val="auto"/>
                <w:sz w:val="24"/>
                <w:highlight w:val="none"/>
              </w:rPr>
            </w:pPr>
          </w:p>
        </w:tc>
        <w:tc>
          <w:tcPr>
            <w:tcW w:w="1455" w:type="dxa"/>
            <w:vAlign w:val="center"/>
          </w:tcPr>
          <w:p>
            <w:pPr>
              <w:snapToGrid w:val="0"/>
              <w:spacing w:line="360" w:lineRule="auto"/>
              <w:jc w:val="center"/>
              <w:rPr>
                <w:rFonts w:ascii="宋体" w:hAnsi="宋体" w:cs="宋体"/>
                <w:color w:val="auto"/>
                <w:sz w:val="24"/>
                <w:highlight w:val="none"/>
              </w:rPr>
            </w:pPr>
          </w:p>
        </w:tc>
        <w:tc>
          <w:tcPr>
            <w:tcW w:w="1800" w:type="dxa"/>
            <w:vAlign w:val="center"/>
          </w:tcPr>
          <w:p>
            <w:pPr>
              <w:spacing w:line="360" w:lineRule="auto"/>
              <w:jc w:val="center"/>
              <w:rPr>
                <w:rFonts w:ascii="宋体" w:hAnsi="宋体" w:cs="宋体"/>
                <w:color w:val="auto"/>
                <w:sz w:val="24"/>
                <w:highlight w:val="none"/>
              </w:rPr>
            </w:pPr>
          </w:p>
        </w:tc>
        <w:tc>
          <w:tcPr>
            <w:tcW w:w="2127" w:type="dxa"/>
          </w:tcPr>
          <w:p>
            <w:pPr>
              <w:spacing w:line="360" w:lineRule="auto"/>
              <w:jc w:val="center"/>
              <w:rPr>
                <w:rFonts w:ascii="宋体" w:hAnsi="宋体" w:cs="宋体"/>
                <w:color w:val="auto"/>
                <w:sz w:val="24"/>
                <w:highlight w:val="none"/>
              </w:rPr>
            </w:pPr>
          </w:p>
        </w:tc>
        <w:tc>
          <w:tcPr>
            <w:tcW w:w="2126" w:type="dxa"/>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ascii="宋体" w:hAnsi="宋体" w:cs="宋体"/>
                <w:color w:val="auto"/>
                <w:sz w:val="24"/>
                <w:highlight w:val="none"/>
              </w:rPr>
            </w:pPr>
          </w:p>
        </w:tc>
        <w:tc>
          <w:tcPr>
            <w:tcW w:w="2789" w:type="dxa"/>
            <w:vAlign w:val="center"/>
          </w:tcPr>
          <w:p>
            <w:pPr>
              <w:snapToGrid w:val="0"/>
              <w:spacing w:line="360" w:lineRule="auto"/>
              <w:jc w:val="center"/>
              <w:rPr>
                <w:rFonts w:ascii="宋体" w:hAnsi="宋体" w:cs="宋体"/>
                <w:color w:val="auto"/>
                <w:sz w:val="24"/>
                <w:highlight w:val="none"/>
              </w:rPr>
            </w:pPr>
          </w:p>
        </w:tc>
        <w:tc>
          <w:tcPr>
            <w:tcW w:w="2250" w:type="dxa"/>
            <w:vAlign w:val="center"/>
          </w:tcPr>
          <w:p>
            <w:pPr>
              <w:snapToGrid w:val="0"/>
              <w:spacing w:line="360" w:lineRule="auto"/>
              <w:jc w:val="center"/>
              <w:rPr>
                <w:rFonts w:ascii="宋体" w:hAnsi="宋体" w:cs="宋体"/>
                <w:color w:val="auto"/>
                <w:sz w:val="24"/>
                <w:highlight w:val="none"/>
              </w:rPr>
            </w:pPr>
          </w:p>
        </w:tc>
        <w:tc>
          <w:tcPr>
            <w:tcW w:w="1770" w:type="dxa"/>
            <w:vAlign w:val="center"/>
          </w:tcPr>
          <w:p>
            <w:pPr>
              <w:snapToGrid w:val="0"/>
              <w:spacing w:line="360" w:lineRule="auto"/>
              <w:jc w:val="center"/>
              <w:rPr>
                <w:rFonts w:ascii="宋体" w:hAnsi="宋体" w:cs="宋体"/>
                <w:color w:val="auto"/>
                <w:sz w:val="24"/>
                <w:highlight w:val="none"/>
              </w:rPr>
            </w:pPr>
          </w:p>
        </w:tc>
        <w:tc>
          <w:tcPr>
            <w:tcW w:w="1455" w:type="dxa"/>
            <w:vAlign w:val="center"/>
          </w:tcPr>
          <w:p>
            <w:pPr>
              <w:snapToGrid w:val="0"/>
              <w:spacing w:line="360" w:lineRule="auto"/>
              <w:jc w:val="center"/>
              <w:rPr>
                <w:rFonts w:ascii="宋体" w:hAnsi="宋体" w:cs="宋体"/>
                <w:color w:val="auto"/>
                <w:sz w:val="24"/>
                <w:highlight w:val="none"/>
              </w:rPr>
            </w:pPr>
          </w:p>
        </w:tc>
        <w:tc>
          <w:tcPr>
            <w:tcW w:w="1800" w:type="dxa"/>
            <w:vAlign w:val="center"/>
          </w:tcPr>
          <w:p>
            <w:pPr>
              <w:spacing w:line="360" w:lineRule="auto"/>
              <w:jc w:val="center"/>
              <w:rPr>
                <w:rFonts w:ascii="宋体" w:hAnsi="宋体" w:cs="宋体"/>
                <w:color w:val="auto"/>
                <w:sz w:val="24"/>
                <w:highlight w:val="none"/>
              </w:rPr>
            </w:pPr>
          </w:p>
        </w:tc>
        <w:tc>
          <w:tcPr>
            <w:tcW w:w="2127" w:type="dxa"/>
          </w:tcPr>
          <w:p>
            <w:pPr>
              <w:spacing w:line="360" w:lineRule="auto"/>
              <w:jc w:val="center"/>
              <w:rPr>
                <w:rFonts w:ascii="宋体" w:hAnsi="宋体" w:cs="宋体"/>
                <w:color w:val="auto"/>
                <w:sz w:val="24"/>
                <w:highlight w:val="none"/>
              </w:rPr>
            </w:pPr>
          </w:p>
        </w:tc>
        <w:tc>
          <w:tcPr>
            <w:tcW w:w="2126" w:type="dxa"/>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7626" w:type="dxa"/>
            <w:gridSpan w:val="4"/>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投标报价（小写）</w:t>
            </w:r>
          </w:p>
        </w:tc>
        <w:tc>
          <w:tcPr>
            <w:tcW w:w="7508" w:type="dxa"/>
            <w:gridSpan w:val="4"/>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7626" w:type="dxa"/>
            <w:gridSpan w:val="4"/>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投标报价（大写）</w:t>
            </w:r>
          </w:p>
        </w:tc>
        <w:tc>
          <w:tcPr>
            <w:tcW w:w="7508" w:type="dxa"/>
            <w:gridSpan w:val="4"/>
          </w:tcPr>
          <w:p>
            <w:pPr>
              <w:spacing w:line="360" w:lineRule="auto"/>
              <w:jc w:val="center"/>
              <w:rPr>
                <w:rFonts w:ascii="宋体" w:hAnsi="宋体" w:cs="宋体"/>
                <w:color w:val="auto"/>
                <w:sz w:val="24"/>
                <w:highlight w:val="none"/>
              </w:rPr>
            </w:pPr>
          </w:p>
        </w:tc>
      </w:tr>
    </w:tbl>
    <w:p>
      <w:pPr>
        <w:snapToGrid w:val="0"/>
        <w:spacing w:line="360" w:lineRule="auto"/>
        <w:ind w:left="480"/>
        <w:rPr>
          <w:rFonts w:ascii="宋体" w:hAnsi="宋体" w:cs="宋体"/>
          <w:b/>
          <w:kern w:val="0"/>
          <w:sz w:val="24"/>
          <w:lang w:val="zh-CN"/>
        </w:rPr>
      </w:pPr>
      <w:r>
        <w:rPr>
          <w:rFonts w:hint="eastAsia" w:ascii="宋体" w:hAnsi="宋体" w:cs="宋体"/>
          <w:b/>
          <w:kern w:val="0"/>
          <w:sz w:val="24"/>
          <w:lang w:val="zh-CN"/>
        </w:rPr>
        <w:t>注：</w:t>
      </w:r>
    </w:p>
    <w:p>
      <w:pPr>
        <w:spacing w:line="360" w:lineRule="auto"/>
        <w:ind w:left="-2" w:leftChars="-1" w:firstLine="480" w:firstLineChars="200"/>
        <w:rPr>
          <w:rFonts w:ascii="宋体" w:hAnsi="宋体" w:cs="宋体"/>
          <w:kern w:val="0"/>
          <w:sz w:val="24"/>
          <w:lang w:val="zh-CN"/>
        </w:rPr>
      </w:pPr>
      <w:r>
        <w:rPr>
          <w:rFonts w:hint="eastAsia" w:ascii="宋体" w:hAnsi="宋体" w:cs="宋体"/>
          <w:kern w:val="0"/>
          <w:sz w:val="24"/>
          <w:lang w:val="zh-CN"/>
        </w:rPr>
        <w:t>1、投标人需按本表格式填写</w:t>
      </w:r>
      <w:r>
        <w:rPr>
          <w:rFonts w:hint="eastAsia" w:ascii="宋体" w:hAnsi="宋体" w:cs="宋体"/>
          <w:b/>
          <w:kern w:val="0"/>
          <w:sz w:val="24"/>
          <w:lang w:val="zh-CN"/>
        </w:rPr>
        <w:t>，</w:t>
      </w:r>
      <w:r>
        <w:rPr>
          <w:rFonts w:hint="eastAsia" w:ascii="宋体" w:hAnsi="宋体" w:cs="宋体"/>
          <w:b/>
          <w:kern w:val="0"/>
          <w:sz w:val="24"/>
        </w:rPr>
        <w:t>否则视为</w:t>
      </w:r>
      <w:r>
        <w:rPr>
          <w:rFonts w:hint="eastAsia" w:ascii="宋体" w:hAnsi="宋体" w:cs="宋体"/>
          <w:b/>
          <w:sz w:val="24"/>
        </w:rPr>
        <w:t>投标文件含有采购人不能接受的附加条件，投标无效</w:t>
      </w:r>
      <w:r>
        <w:rPr>
          <w:rFonts w:hint="eastAsia" w:ascii="宋体" w:hAnsi="宋体" w:cs="宋体"/>
          <w:b/>
          <w:kern w:val="0"/>
          <w:sz w:val="24"/>
          <w:lang w:val="zh-CN"/>
        </w:rPr>
        <w:t>；</w:t>
      </w:r>
      <w:r>
        <w:rPr>
          <w:rFonts w:hint="eastAsia" w:ascii="宋体" w:hAnsi="宋体" w:cs="宋体"/>
          <w:kern w:val="0"/>
          <w:sz w:val="24"/>
          <w:lang w:val="zh-CN"/>
        </w:rPr>
        <w:t>。</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val="zh-CN"/>
        </w:rPr>
        <w:t>2、有关本项目实施所涉及的一切费用均计入报价。合同总价不为零，报价明细表中部分产品、服务单价为零的，视作已包含在总价中。</w:t>
      </w:r>
      <w:r>
        <w:rPr>
          <w:rFonts w:hint="eastAsia" w:ascii="宋体" w:hAnsi="宋体" w:cs="宋体"/>
          <w:b/>
          <w:color w:val="auto"/>
          <w:kern w:val="0"/>
          <w:sz w:val="24"/>
          <w:highlight w:val="none"/>
          <w:lang w:val="zh-CN"/>
        </w:rPr>
        <w:t>采购人将以合同形式有偿取得货物或服务，不接受投标人给予的赠品、回扣或者与采购无关的其他商品、服务；采购内容未包含在《开标一览表（报价表）》名称栏中，投标人不能作出合理解释的，</w:t>
      </w:r>
      <w:r>
        <w:rPr>
          <w:rFonts w:hint="eastAsia" w:ascii="宋体" w:hAnsi="宋体" w:cs="宋体"/>
          <w:b/>
          <w:color w:val="auto"/>
          <w:kern w:val="0"/>
          <w:sz w:val="24"/>
          <w:highlight w:val="none"/>
        </w:rPr>
        <w:t>视为</w:t>
      </w:r>
      <w:r>
        <w:rPr>
          <w:rFonts w:hint="eastAsia" w:ascii="宋体" w:hAnsi="宋体" w:cs="宋体"/>
          <w:b/>
          <w:color w:val="auto"/>
          <w:sz w:val="24"/>
          <w:highlight w:val="none"/>
        </w:rPr>
        <w:t>投标文件含有采购人不能接受的附加条件的，投标无效。</w:t>
      </w:r>
    </w:p>
    <w:p>
      <w:pPr>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3、特别提示：采购机构将对项目名称和项目编号，中标供应商名称、地址和中标金额，主要中标标的名称、服务范围、服务要求、服务时间、服务标准等予以公示。</w:t>
      </w:r>
    </w:p>
    <w:p>
      <w:pPr>
        <w:spacing w:line="360" w:lineRule="auto"/>
        <w:ind w:firstLine="482" w:firstLineChars="200"/>
        <w:rPr>
          <w:rFonts w:hint="eastAsia" w:ascii="宋体" w:hAnsi="宋体" w:cs="宋体"/>
          <w:b/>
          <w:color w:val="auto"/>
          <w:sz w:val="24"/>
          <w:highlight w:val="none"/>
        </w:rPr>
      </w:pPr>
      <w:r>
        <w:rPr>
          <w:rFonts w:hint="eastAsia" w:ascii="宋体" w:hAnsi="宋体" w:cs="宋体"/>
          <w:b/>
          <w:color w:val="auto"/>
          <w:sz w:val="24"/>
          <w:highlight w:val="none"/>
        </w:rPr>
        <w:t>5、特别说明：▲供应商报价低于项目预算50%的，应当在报价文件中详细阐述不影响产品质量或者诚信履约的具体原因</w:t>
      </w:r>
      <w:r>
        <w:rPr>
          <w:rFonts w:hint="eastAsia" w:ascii="宋体" w:hAnsi="宋体" w:cs="宋体"/>
          <w:b/>
          <w:color w:val="auto"/>
          <w:sz w:val="24"/>
          <w:highlight w:val="none"/>
          <w:lang w:val="en-US" w:eastAsia="zh-CN"/>
        </w:rPr>
        <w:t>,</w:t>
      </w:r>
      <w:r>
        <w:rPr>
          <w:rFonts w:hint="eastAsia" w:asciiTheme="minorEastAsia" w:hAnsiTheme="minorEastAsia" w:eastAsiaTheme="minorEastAsia" w:cstheme="minorEastAsia"/>
          <w:color w:val="auto"/>
          <w:sz w:val="24"/>
          <w:highlight w:val="none"/>
        </w:rPr>
        <w:t>包括但不限于所用工艺运营单价组成、备品备件价格、合理利润情况说明</w:t>
      </w:r>
      <w:r>
        <w:rPr>
          <w:rFonts w:hint="eastAsia" w:asciiTheme="minorEastAsia" w:hAnsiTheme="minorEastAsia" w:eastAsiaTheme="minorEastAsia" w:cstheme="minorEastAsia"/>
          <w:color w:val="auto"/>
          <w:sz w:val="24"/>
          <w:highlight w:val="none"/>
          <w:lang w:eastAsia="zh-CN"/>
        </w:rPr>
        <w:t>、</w:t>
      </w:r>
      <w:r>
        <w:rPr>
          <w:rFonts w:hint="eastAsia" w:asciiTheme="minorEastAsia" w:hAnsiTheme="minorEastAsia" w:eastAsiaTheme="minorEastAsia" w:cstheme="minorEastAsia"/>
          <w:color w:val="auto"/>
          <w:sz w:val="24"/>
          <w:highlight w:val="none"/>
        </w:rPr>
        <w:t>资金证明</w:t>
      </w:r>
      <w:r>
        <w:rPr>
          <w:rFonts w:hint="eastAsia" w:asciiTheme="minorEastAsia" w:hAnsiTheme="minorEastAsia" w:eastAsiaTheme="minorEastAsia" w:cstheme="minorEastAsia"/>
          <w:color w:val="auto"/>
          <w:sz w:val="24"/>
          <w:highlight w:val="none"/>
          <w:lang w:eastAsia="zh-CN"/>
        </w:rPr>
        <w:t>等</w:t>
      </w:r>
      <w:r>
        <w:rPr>
          <w:rFonts w:hint="eastAsia" w:ascii="宋体" w:hAnsi="宋体" w:cs="宋体"/>
          <w:b/>
          <w:color w:val="auto"/>
          <w:sz w:val="24"/>
          <w:highlight w:val="none"/>
        </w:rPr>
        <w:t>。</w:t>
      </w:r>
    </w:p>
    <w:p>
      <w:pPr>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lang w:val="en-US" w:eastAsia="zh-CN"/>
        </w:rPr>
        <w:t>6、</w:t>
      </w:r>
      <w:r>
        <w:rPr>
          <w:rFonts w:hint="eastAsia" w:ascii="宋体" w:hAnsi="宋体" w:eastAsia="宋体" w:cs="宋体"/>
          <w:b/>
          <w:color w:val="auto"/>
          <w:sz w:val="24"/>
          <w:highlight w:val="none"/>
        </w:rPr>
        <w:t>评标委员会认为投标人的报价明显低于其他通过符合性审查投标人的报价，有可能影响产品质量或者不能诚信履约的，应当要求其在合理的时间内提供书面说明，必要时提交相关证明材料</w:t>
      </w:r>
      <w:r>
        <w:rPr>
          <w:rFonts w:hint="eastAsia" w:ascii="宋体" w:hAnsi="宋体" w:eastAsia="宋体" w:cs="宋体"/>
          <w:b/>
          <w:color w:val="auto"/>
          <w:sz w:val="24"/>
          <w:highlight w:val="none"/>
          <w:lang w:eastAsia="zh-CN"/>
        </w:rPr>
        <w:t>（</w:t>
      </w:r>
      <w:r>
        <w:rPr>
          <w:rFonts w:hint="eastAsia" w:ascii="宋体" w:hAnsi="宋体" w:eastAsia="宋体" w:cs="宋体"/>
          <w:b/>
          <w:color w:val="auto"/>
          <w:sz w:val="24"/>
          <w:highlight w:val="none"/>
        </w:rPr>
        <w:t>包括但不限于所用工艺运营单价组成、备品备件价格、合理利润情况说明</w:t>
      </w:r>
      <w:r>
        <w:rPr>
          <w:rFonts w:hint="eastAsia" w:ascii="宋体" w:hAnsi="宋体" w:eastAsia="宋体" w:cs="宋体"/>
          <w:b/>
          <w:color w:val="auto"/>
          <w:sz w:val="24"/>
          <w:highlight w:val="none"/>
          <w:lang w:eastAsia="zh-CN"/>
        </w:rPr>
        <w:t>、</w:t>
      </w:r>
      <w:r>
        <w:rPr>
          <w:rFonts w:hint="eastAsia" w:ascii="宋体" w:hAnsi="宋体" w:eastAsia="宋体" w:cs="宋体"/>
          <w:b/>
          <w:color w:val="auto"/>
          <w:sz w:val="24"/>
          <w:highlight w:val="none"/>
        </w:rPr>
        <w:t>资金证明</w:t>
      </w:r>
      <w:r>
        <w:rPr>
          <w:rFonts w:hint="eastAsia" w:ascii="宋体" w:hAnsi="宋体" w:eastAsia="宋体" w:cs="宋体"/>
          <w:b/>
          <w:color w:val="auto"/>
          <w:sz w:val="24"/>
          <w:highlight w:val="none"/>
          <w:lang w:eastAsia="zh-CN"/>
        </w:rPr>
        <w:t>等）；</w:t>
      </w:r>
      <w:r>
        <w:rPr>
          <w:rFonts w:hint="eastAsia" w:ascii="宋体" w:hAnsi="宋体" w:eastAsia="宋体" w:cs="宋体"/>
          <w:b/>
          <w:color w:val="auto"/>
          <w:sz w:val="24"/>
          <w:highlight w:val="none"/>
        </w:rPr>
        <w:t>投标人不能证明其报价合理性的，评标委员会应当将其作为无效投标处理。</w:t>
      </w:r>
    </w:p>
    <w:p>
      <w:pPr>
        <w:spacing w:line="360" w:lineRule="auto"/>
        <w:ind w:firstLine="482" w:firstLineChars="200"/>
        <w:rPr>
          <w:rFonts w:ascii="宋体" w:hAnsi="宋体" w:cs="宋体"/>
          <w:b/>
          <w:sz w:val="24"/>
          <w:highlight w:val="cyan"/>
        </w:rPr>
      </w:pPr>
    </w:p>
    <w:p>
      <w:pPr>
        <w:snapToGrid w:val="0"/>
        <w:spacing w:line="360" w:lineRule="auto"/>
        <w:ind w:firstLine="480" w:firstLineChars="200"/>
        <w:jc w:val="left"/>
        <w:rPr>
          <w:rFonts w:ascii="宋体" w:hAnsi="宋体" w:cs="宋体"/>
          <w:color w:val="auto"/>
          <w:kern w:val="0"/>
          <w:sz w:val="24"/>
          <w:lang w:val="zh-CN"/>
        </w:rPr>
      </w:pPr>
    </w:p>
    <w:p>
      <w:pPr>
        <w:spacing w:line="360" w:lineRule="auto"/>
        <w:ind w:firstLine="482" w:firstLineChars="200"/>
        <w:rPr>
          <w:rFonts w:ascii="宋体" w:hAnsi="宋体" w:cs="宋体"/>
          <w:b/>
          <w:kern w:val="0"/>
          <w:sz w:val="24"/>
        </w:rPr>
      </w:pPr>
    </w:p>
    <w:p>
      <w:pPr>
        <w:pStyle w:val="691"/>
        <w:keepNext w:val="0"/>
        <w:pageBreakBefore w:val="0"/>
        <w:tabs>
          <w:tab w:val="clear" w:pos="720"/>
        </w:tabs>
        <w:snapToGrid w:val="0"/>
        <w:spacing w:before="120" w:after="120"/>
        <w:ind w:firstLine="643"/>
        <w:outlineLvl w:val="9"/>
        <w:rPr>
          <w:rFonts w:ascii="宋体" w:hAnsi="宋体" w:eastAsia="宋体" w:cs="宋体"/>
          <w:kern w:val="2"/>
          <w:sz w:val="32"/>
          <w:szCs w:val="32"/>
        </w:rPr>
      </w:pPr>
    </w:p>
    <w:p>
      <w:pPr>
        <w:pStyle w:val="691"/>
        <w:keepNext w:val="0"/>
        <w:pageBreakBefore w:val="0"/>
        <w:tabs>
          <w:tab w:val="clear" w:pos="720"/>
        </w:tabs>
        <w:snapToGrid w:val="0"/>
        <w:spacing w:before="120" w:after="120"/>
        <w:ind w:firstLine="643"/>
        <w:outlineLvl w:val="9"/>
        <w:rPr>
          <w:rFonts w:ascii="宋体" w:hAnsi="宋体" w:eastAsia="宋体" w:cs="宋体"/>
          <w:kern w:val="2"/>
          <w:sz w:val="32"/>
          <w:szCs w:val="32"/>
        </w:rPr>
        <w:sectPr>
          <w:pgSz w:w="16838" w:h="11906" w:orient="landscape"/>
          <w:pgMar w:top="1418" w:right="1247" w:bottom="1418" w:left="1276" w:header="851" w:footer="992" w:gutter="0"/>
          <w:cols w:space="720" w:num="1"/>
          <w:titlePg/>
          <w:docGrid w:linePitch="312" w:charSpace="0"/>
        </w:sectPr>
      </w:pPr>
    </w:p>
    <w:p>
      <w:pPr>
        <w:pStyle w:val="691"/>
        <w:keepNext w:val="0"/>
        <w:pageBreakBefore w:val="0"/>
        <w:tabs>
          <w:tab w:val="clear" w:pos="720"/>
        </w:tabs>
        <w:snapToGrid w:val="0"/>
        <w:spacing w:before="120" w:after="120"/>
        <w:ind w:firstLine="643"/>
        <w:outlineLvl w:val="9"/>
        <w:rPr>
          <w:rFonts w:ascii="宋体" w:hAnsi="宋体" w:eastAsia="宋体" w:cs="宋体"/>
          <w:color w:val="auto"/>
          <w:sz w:val="32"/>
          <w:szCs w:val="32"/>
        </w:rPr>
      </w:pPr>
      <w:r>
        <w:rPr>
          <w:rFonts w:hint="eastAsia" w:ascii="宋体" w:hAnsi="宋体" w:eastAsia="宋体" w:cs="宋体"/>
          <w:color w:val="auto"/>
          <w:kern w:val="2"/>
          <w:sz w:val="32"/>
          <w:szCs w:val="32"/>
        </w:rPr>
        <w:t>二、</w:t>
      </w:r>
      <w:r>
        <w:rPr>
          <w:rFonts w:hint="eastAsia" w:ascii="宋体" w:hAnsi="宋体" w:eastAsia="宋体" w:cs="宋体"/>
          <w:color w:val="auto"/>
          <w:sz w:val="32"/>
          <w:szCs w:val="32"/>
        </w:rPr>
        <w:t>中小企业声明函（如果有）</w:t>
      </w:r>
    </w:p>
    <w:p>
      <w:pPr>
        <w:widowControl/>
        <w:spacing w:line="360" w:lineRule="auto"/>
        <w:ind w:firstLine="120" w:firstLineChars="50"/>
        <w:jc w:val="left"/>
        <w:rPr>
          <w:rFonts w:ascii="宋体" w:hAnsi="宋体" w:cs="宋体"/>
          <w:b/>
          <w:color w:val="auto"/>
          <w:sz w:val="24"/>
        </w:rPr>
      </w:pPr>
      <w:r>
        <w:rPr>
          <w:rFonts w:hint="eastAsia" w:ascii="宋体" w:hAnsi="宋体" w:cs="宋体"/>
          <w:b/>
          <w:color w:val="auto"/>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4"/>
        </w:rPr>
        <w:t>7</w:t>
      </w:r>
      <w:r>
        <w:rPr>
          <w:rFonts w:hint="eastAsia" w:ascii="宋体" w:hAnsi="宋体" w:cs="宋体"/>
          <w:b/>
          <w:color w:val="auto"/>
          <w:sz w:val="24"/>
        </w:rPr>
        <w:t>）。]</w:t>
      </w:r>
    </w:p>
    <w:p>
      <w:pPr>
        <w:pStyle w:val="691"/>
        <w:keepNext w:val="0"/>
        <w:pageBreakBefore w:val="0"/>
        <w:tabs>
          <w:tab w:val="clear" w:pos="720"/>
        </w:tabs>
        <w:snapToGrid w:val="0"/>
        <w:spacing w:before="120" w:after="120"/>
        <w:ind w:firstLine="643"/>
        <w:outlineLvl w:val="9"/>
        <w:rPr>
          <w:rFonts w:ascii="宋体" w:hAnsi="宋体" w:eastAsia="宋体" w:cs="宋体"/>
          <w:b w:val="0"/>
          <w:sz w:val="32"/>
          <w:szCs w:val="32"/>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pStyle w:val="3"/>
        <w:keepNext w:val="0"/>
        <w:keepLines w:val="0"/>
        <w:pageBreakBefore/>
        <w:widowControl/>
        <w:spacing w:before="100" w:beforeAutospacing="1" w:after="100" w:afterAutospacing="1" w:line="360" w:lineRule="auto"/>
        <w:ind w:left="1290" w:firstLine="3092" w:firstLineChars="700"/>
        <w:rPr>
          <w:rFonts w:ascii="宋体" w:hAnsi="宋体" w:cs="宋体"/>
        </w:rPr>
      </w:pPr>
      <w:r>
        <w:rPr>
          <w:rFonts w:hint="eastAsia" w:ascii="宋体" w:hAnsi="宋体" w:cs="宋体"/>
        </w:rPr>
        <w:t>附件</w:t>
      </w:r>
    </w:p>
    <w:p>
      <w:pPr>
        <w:spacing w:line="360" w:lineRule="auto"/>
        <w:rPr>
          <w:rFonts w:ascii="宋体" w:hAnsi="宋体" w:cs="宋体"/>
          <w:b/>
          <w:spacing w:val="6"/>
          <w:sz w:val="32"/>
          <w:szCs w:val="32"/>
        </w:rPr>
      </w:pPr>
      <w:r>
        <w:rPr>
          <w:rFonts w:hint="eastAsia" w:ascii="宋体" w:hAnsi="宋体" w:cs="宋体"/>
          <w:b/>
          <w:spacing w:val="6"/>
          <w:sz w:val="32"/>
          <w:szCs w:val="32"/>
        </w:rPr>
        <w:t>附件1：</w:t>
      </w:r>
    </w:p>
    <w:p>
      <w:pPr>
        <w:spacing w:line="360" w:lineRule="auto"/>
        <w:jc w:val="center"/>
        <w:rPr>
          <w:rFonts w:ascii="宋体" w:hAnsi="宋体" w:cs="宋体"/>
          <w:b/>
          <w:spacing w:val="6"/>
          <w:sz w:val="32"/>
          <w:szCs w:val="32"/>
        </w:rPr>
      </w:pPr>
      <w:bookmarkStart w:id="397" w:name="OLE_LINK13"/>
      <w:bookmarkStart w:id="398" w:name="OLE_LINK14"/>
      <w:r>
        <w:rPr>
          <w:rFonts w:hint="eastAsia" w:ascii="宋体" w:hAnsi="宋体" w:cs="宋体"/>
          <w:b/>
          <w:spacing w:val="6"/>
          <w:sz w:val="32"/>
          <w:szCs w:val="32"/>
        </w:rPr>
        <w:t>残疾人福利性单位声明函</w:t>
      </w:r>
    </w:p>
    <w:bookmarkEnd w:id="397"/>
    <w:bookmarkEnd w:id="398"/>
    <w:p>
      <w:pPr>
        <w:spacing w:line="360" w:lineRule="auto"/>
        <w:rPr>
          <w:rFonts w:ascii="宋体" w:hAnsi="宋体" w:cs="宋体"/>
          <w:b/>
          <w:spacing w:val="6"/>
          <w:sz w:val="30"/>
          <w:szCs w:val="30"/>
        </w:rPr>
      </w:pPr>
    </w:p>
    <w:p>
      <w:pPr>
        <w:spacing w:line="360" w:lineRule="auto"/>
        <w:ind w:firstLine="480" w:firstLineChars="200"/>
        <w:rPr>
          <w:rFonts w:ascii="宋体" w:hAnsi="宋体" w:cs="宋体"/>
          <w:sz w:val="24"/>
        </w:rPr>
      </w:pPr>
      <w:r>
        <w:rPr>
          <w:rFonts w:hint="eastAsia" w:ascii="宋体" w:hAnsi="宋体" w:cs="宋体"/>
          <w:sz w:val="24"/>
        </w:rPr>
        <w:t>本单位郑重声明</w:t>
      </w:r>
      <w:r>
        <w:rPr>
          <w:rFonts w:hint="eastAsia" w:ascii="宋体" w:hAnsi="宋体" w:cs="宋体"/>
          <w:color w:val="auto"/>
          <w:sz w:val="24"/>
        </w:rPr>
        <w:t>，根据《财政部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auto"/>
          <w:sz w:val="24"/>
          <w:u w:val="single"/>
        </w:rPr>
        <w:t>(采购人)</w:t>
      </w:r>
      <w:r>
        <w:rPr>
          <w:rFonts w:hint="eastAsia" w:ascii="宋体" w:hAnsi="宋体" w:cs="宋体"/>
          <w:color w:val="auto"/>
          <w:sz w:val="24"/>
        </w:rPr>
        <w:t>_单位的_</w:t>
      </w:r>
      <w:r>
        <w:rPr>
          <w:rFonts w:hint="eastAsia" w:ascii="宋体" w:hAnsi="宋体" w:cs="宋体"/>
          <w:color w:val="auto"/>
          <w:sz w:val="24"/>
          <w:u w:val="single"/>
        </w:rPr>
        <w:t>（项目名称）</w:t>
      </w:r>
      <w:r>
        <w:rPr>
          <w:rFonts w:hint="eastAsia" w:ascii="宋体" w:hAnsi="宋体" w:cs="宋体"/>
          <w:color w:val="auto"/>
          <w:sz w:val="24"/>
        </w:rPr>
        <w:t>__项目采购活动</w:t>
      </w:r>
      <w:r>
        <w:rPr>
          <w:rFonts w:hint="eastAsia" w:ascii="宋体" w:hAnsi="宋体" w:cs="宋体"/>
          <w:sz w:val="24"/>
        </w:rPr>
        <w:t>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cs="宋体"/>
          <w:sz w:val="24"/>
        </w:rPr>
      </w:pPr>
      <w:r>
        <w:rPr>
          <w:rFonts w:hint="eastAsia" w:ascii="宋体" w:hAnsi="宋体" w:cs="宋体"/>
          <w:sz w:val="24"/>
        </w:rPr>
        <w:t>本单位对上述声明的真实性负责。如有虚假，将依法承担相应责任。</w:t>
      </w:r>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p>
    <w:p>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w:t>
      </w:r>
      <w:r>
        <w:rPr>
          <w:rFonts w:hint="eastAsia" w:ascii="宋体" w:hAnsi="宋体" w:cs="宋体"/>
          <w:kern w:val="0"/>
          <w:sz w:val="24"/>
          <w:lang w:val="zh-CN"/>
        </w:rPr>
        <w:t>投标人名称（电子签名）</w:t>
      </w:r>
      <w:r>
        <w:rPr>
          <w:rFonts w:hint="eastAsia" w:ascii="宋体" w:hAnsi="宋体" w:cs="宋体"/>
          <w:sz w:val="24"/>
        </w:rPr>
        <w:t>：</w:t>
      </w:r>
    </w:p>
    <w:p>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日  期：</w:t>
      </w:r>
    </w:p>
    <w:p>
      <w:pPr>
        <w:spacing w:line="360" w:lineRule="auto"/>
        <w:ind w:firstLine="480" w:firstLineChars="200"/>
        <w:rPr>
          <w:rFonts w:ascii="宋体" w:hAnsi="宋体" w:cs="宋体"/>
          <w:sz w:val="24"/>
        </w:rPr>
      </w:pPr>
    </w:p>
    <w:p>
      <w:pPr>
        <w:spacing w:line="360" w:lineRule="auto"/>
        <w:ind w:firstLine="420" w:firstLineChars="200"/>
        <w:rPr>
          <w:rFonts w:ascii="宋体" w:hAnsi="宋体" w:cs="宋体"/>
        </w:rPr>
      </w:pPr>
    </w:p>
    <w:p>
      <w:pPr>
        <w:spacing w:line="360" w:lineRule="auto"/>
        <w:ind w:firstLine="420" w:firstLineChars="200"/>
        <w:rPr>
          <w:rFonts w:ascii="宋体" w:hAnsi="宋体" w:cs="宋体"/>
        </w:rPr>
      </w:pPr>
    </w:p>
    <w:p>
      <w:pPr>
        <w:spacing w:line="360" w:lineRule="auto"/>
        <w:ind w:firstLine="420" w:firstLineChars="200"/>
        <w:rPr>
          <w:rFonts w:ascii="宋体" w:hAnsi="宋体" w:cs="宋体"/>
        </w:rPr>
      </w:pPr>
    </w:p>
    <w:p>
      <w:pPr>
        <w:spacing w:line="360" w:lineRule="auto"/>
        <w:ind w:firstLine="420" w:firstLineChars="200"/>
        <w:rPr>
          <w:rFonts w:ascii="宋体" w:hAnsi="宋体" w:cs="宋体"/>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jc w:val="left"/>
        <w:rPr>
          <w:rFonts w:ascii="宋体" w:hAnsi="宋体" w:cs="宋体"/>
          <w:b/>
          <w:spacing w:val="6"/>
          <w:sz w:val="32"/>
          <w:szCs w:val="32"/>
        </w:rPr>
      </w:pPr>
      <w:r>
        <w:rPr>
          <w:rFonts w:hint="eastAsia" w:ascii="宋体" w:hAnsi="宋体" w:cs="宋体"/>
          <w:b/>
          <w:spacing w:val="6"/>
          <w:sz w:val="32"/>
          <w:szCs w:val="32"/>
        </w:rPr>
        <w:t>附件2：质疑函范本及制作说明</w:t>
      </w:r>
    </w:p>
    <w:p>
      <w:pPr>
        <w:spacing w:line="360" w:lineRule="auto"/>
        <w:jc w:val="center"/>
        <w:rPr>
          <w:rFonts w:ascii="宋体" w:hAnsi="宋体" w:cs="宋体"/>
          <w:b/>
          <w:spacing w:val="6"/>
          <w:sz w:val="32"/>
          <w:szCs w:val="32"/>
        </w:rPr>
      </w:pPr>
      <w:r>
        <w:rPr>
          <w:rFonts w:hint="eastAsia" w:ascii="宋体" w:hAnsi="宋体" w:cs="宋体"/>
          <w:b/>
          <w:spacing w:val="6"/>
          <w:sz w:val="32"/>
          <w:szCs w:val="32"/>
        </w:rPr>
        <w:t>质疑函范本</w:t>
      </w:r>
    </w:p>
    <w:p>
      <w:pPr>
        <w:snapToGrid w:val="0"/>
        <w:spacing w:before="240" w:beforeLines="100" w:line="360" w:lineRule="auto"/>
        <w:rPr>
          <w:rFonts w:ascii="宋体" w:hAnsi="宋体" w:cs="宋体"/>
          <w:bCs/>
          <w:sz w:val="24"/>
        </w:rPr>
      </w:pPr>
      <w:r>
        <w:rPr>
          <w:rFonts w:hint="eastAsia" w:ascii="宋体" w:hAnsi="宋体" w:cs="宋体"/>
          <w:bCs/>
          <w:sz w:val="24"/>
        </w:rPr>
        <w:t>一、质疑供应商基本信息</w:t>
      </w:r>
    </w:p>
    <w:p>
      <w:pPr>
        <w:snapToGrid w:val="0"/>
        <w:spacing w:line="360" w:lineRule="auto"/>
        <w:rPr>
          <w:rFonts w:ascii="宋体" w:hAnsi="宋体" w:cs="宋体"/>
          <w:sz w:val="24"/>
          <w:u w:val="dotted"/>
        </w:rPr>
      </w:pPr>
      <w:r>
        <w:rPr>
          <w:rFonts w:hint="eastAsia" w:ascii="宋体" w:hAnsi="宋体" w:cs="宋体"/>
          <w:sz w:val="24"/>
        </w:rPr>
        <w:t>质疑供应商：</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地址：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rPr>
        <w:t xml:space="preserve"> </w:t>
      </w:r>
    </w:p>
    <w:p>
      <w:pPr>
        <w:snapToGrid w:val="0"/>
        <w:spacing w:line="360" w:lineRule="auto"/>
        <w:rPr>
          <w:rFonts w:ascii="宋体" w:hAnsi="宋体" w:cs="宋体"/>
          <w:sz w:val="24"/>
        </w:rPr>
      </w:pPr>
      <w:r>
        <w:rPr>
          <w:rFonts w:hint="eastAsia" w:ascii="宋体" w:hAnsi="宋体" w:cs="宋体"/>
          <w:sz w:val="24"/>
        </w:rPr>
        <w:t xml:space="preserve">地址： </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pPr>
        <w:snapToGrid w:val="0"/>
        <w:spacing w:line="360" w:lineRule="auto"/>
        <w:rPr>
          <w:rFonts w:ascii="宋体" w:hAnsi="宋体" w:cs="宋体"/>
          <w:bCs/>
          <w:sz w:val="24"/>
        </w:rPr>
      </w:pPr>
      <w:r>
        <w:rPr>
          <w:rFonts w:hint="eastAsia" w:ascii="宋体" w:hAnsi="宋体" w:cs="宋体"/>
          <w:bCs/>
          <w:sz w:val="24"/>
        </w:rPr>
        <w:t>二、质疑项目基本情况</w:t>
      </w:r>
    </w:p>
    <w:p>
      <w:pPr>
        <w:snapToGrid w:val="0"/>
        <w:spacing w:line="360" w:lineRule="auto"/>
        <w:rPr>
          <w:rFonts w:ascii="宋体" w:hAnsi="宋体" w:cs="宋体"/>
          <w:sz w:val="24"/>
        </w:rPr>
      </w:pPr>
      <w:r>
        <w:rPr>
          <w:rFonts w:hint="eastAsia" w:ascii="宋体" w:hAnsi="宋体" w:cs="宋体"/>
          <w:sz w:val="24"/>
        </w:rPr>
        <w:t>质疑项目的名称：</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质疑项目的编号：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采购人名称：</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采购文件获取日期：</w:t>
      </w:r>
      <w:r>
        <w:rPr>
          <w:rFonts w:hint="eastAsia" w:ascii="宋体" w:hAnsi="宋体" w:cs="宋体"/>
          <w:sz w:val="24"/>
          <w:u w:val="dotted"/>
        </w:rPr>
        <w:t xml:space="preserve">                                           </w:t>
      </w:r>
    </w:p>
    <w:p>
      <w:pPr>
        <w:snapToGrid w:val="0"/>
        <w:spacing w:line="360" w:lineRule="auto"/>
        <w:rPr>
          <w:rFonts w:ascii="宋体" w:hAnsi="宋体" w:cs="宋体"/>
          <w:bCs/>
          <w:sz w:val="24"/>
        </w:rPr>
      </w:pPr>
      <w:r>
        <w:rPr>
          <w:rFonts w:hint="eastAsia" w:ascii="宋体" w:hAnsi="宋体" w:cs="宋体"/>
          <w:bCs/>
          <w:sz w:val="24"/>
        </w:rPr>
        <w:t>三、质疑事项具体内容</w:t>
      </w:r>
    </w:p>
    <w:p>
      <w:pPr>
        <w:snapToGrid w:val="0"/>
        <w:spacing w:line="360" w:lineRule="auto"/>
        <w:rPr>
          <w:rFonts w:ascii="宋体" w:hAnsi="宋体" w:cs="宋体"/>
          <w:sz w:val="24"/>
          <w:u w:val="dotted"/>
        </w:rPr>
      </w:pPr>
      <w:r>
        <w:rPr>
          <w:rFonts w:hint="eastAsia" w:ascii="宋体" w:hAnsi="宋体" w:cs="宋体"/>
          <w:sz w:val="24"/>
        </w:rPr>
        <w:t>质疑事项1：</w:t>
      </w: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事实依据：</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法律依据：</w:t>
      </w: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质疑事项2</w:t>
      </w:r>
    </w:p>
    <w:p>
      <w:pPr>
        <w:snapToGrid w:val="0"/>
        <w:spacing w:line="360" w:lineRule="auto"/>
        <w:rPr>
          <w:rFonts w:ascii="宋体" w:hAnsi="宋体" w:cs="宋体"/>
          <w:sz w:val="24"/>
        </w:rPr>
      </w:pPr>
      <w:r>
        <w:rPr>
          <w:rFonts w:hint="eastAsia" w:ascii="宋体" w:hAnsi="宋体" w:cs="宋体"/>
          <w:sz w:val="24"/>
        </w:rPr>
        <w:t>……</w:t>
      </w:r>
    </w:p>
    <w:p>
      <w:pPr>
        <w:snapToGrid w:val="0"/>
        <w:spacing w:line="360" w:lineRule="auto"/>
        <w:rPr>
          <w:rFonts w:ascii="宋体" w:hAnsi="宋体" w:cs="宋体"/>
          <w:bCs/>
          <w:sz w:val="24"/>
        </w:rPr>
      </w:pPr>
      <w:r>
        <w:rPr>
          <w:rFonts w:hint="eastAsia" w:ascii="宋体" w:hAnsi="宋体" w:cs="宋体"/>
          <w:bCs/>
          <w:sz w:val="24"/>
        </w:rPr>
        <w:t>四、与质疑事项相关的质疑请求</w:t>
      </w:r>
    </w:p>
    <w:p>
      <w:pPr>
        <w:snapToGrid w:val="0"/>
        <w:spacing w:line="360" w:lineRule="auto"/>
        <w:rPr>
          <w:rFonts w:ascii="宋体" w:hAnsi="宋体" w:cs="宋体"/>
          <w:sz w:val="24"/>
          <w:u w:val="dotted"/>
        </w:rPr>
      </w:pPr>
      <w:r>
        <w:rPr>
          <w:rFonts w:hint="eastAsia" w:ascii="宋体" w:hAnsi="宋体" w:cs="宋体"/>
          <w:sz w:val="24"/>
        </w:rPr>
        <w:t>请求：</w:t>
      </w: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 xml:space="preserve">签字(签章)：                   公章：                      </w:t>
      </w:r>
    </w:p>
    <w:p>
      <w:pPr>
        <w:spacing w:line="360" w:lineRule="auto"/>
        <w:rPr>
          <w:rFonts w:ascii="宋体" w:hAnsi="宋体" w:cs="宋体"/>
          <w:sz w:val="24"/>
        </w:rPr>
      </w:pPr>
      <w:r>
        <w:rPr>
          <w:rFonts w:hint="eastAsia" w:ascii="宋体" w:hAnsi="宋体" w:cs="宋体"/>
          <w:sz w:val="24"/>
        </w:rPr>
        <w:t xml:space="preserve">日期：    </w:t>
      </w:r>
    </w:p>
    <w:p>
      <w:pPr>
        <w:spacing w:line="360" w:lineRule="auto"/>
        <w:jc w:val="center"/>
        <w:rPr>
          <w:rFonts w:ascii="宋体" w:hAnsi="宋体" w:cs="宋体"/>
          <w:b/>
          <w:bCs/>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r>
        <w:rPr>
          <w:rFonts w:hint="eastAsia" w:ascii="宋体" w:hAnsi="宋体" w:cs="宋体"/>
          <w:b/>
          <w:sz w:val="24"/>
        </w:rPr>
        <w:t>质疑函制作说明：</w:t>
      </w:r>
    </w:p>
    <w:p>
      <w:pPr>
        <w:widowControl/>
        <w:spacing w:line="360" w:lineRule="auto"/>
        <w:ind w:firstLine="480" w:firstLineChars="200"/>
        <w:jc w:val="left"/>
        <w:rPr>
          <w:rFonts w:ascii="宋体" w:hAnsi="宋体" w:cs="宋体"/>
          <w:sz w:val="24"/>
        </w:rPr>
      </w:pPr>
      <w:r>
        <w:rPr>
          <w:rFonts w:hint="eastAsia" w:ascii="宋体" w:hAnsi="宋体" w:cs="宋体"/>
          <w:sz w:val="24"/>
        </w:rPr>
        <w:t>1.供应商提出质疑时，应提交质疑函和必要的证明材料。</w:t>
      </w:r>
    </w:p>
    <w:p>
      <w:pPr>
        <w:widowControl/>
        <w:spacing w:line="360" w:lineRule="auto"/>
        <w:ind w:firstLine="480" w:firstLineChars="200"/>
        <w:jc w:val="left"/>
        <w:rPr>
          <w:rFonts w:ascii="宋体" w:hAnsi="宋体" w:cs="宋体"/>
          <w:sz w:val="24"/>
        </w:rPr>
      </w:pPr>
      <w:r>
        <w:rPr>
          <w:rFonts w:hint="eastAsia" w:ascii="宋体" w:hAnsi="宋体" w:cs="宋体"/>
          <w:sz w:val="24"/>
        </w:rPr>
        <w:t>2.质疑供应商若委托代理人进行质疑的，质疑函应按要求列明“授权代表”的有关内容，并在附件中提交由质疑</w:t>
      </w:r>
      <w:r>
        <w:rPr>
          <w:rFonts w:hint="eastAsia" w:ascii="宋体" w:hAnsi="宋体" w:cs="宋体"/>
          <w:kern w:val="0"/>
          <w:sz w:val="24"/>
        </w:rPr>
        <w:t>供应商签署的授权委托书。授权委托书应载明代理人的姓名或者名称、代理事项、具体权限、期限和相关事项。</w:t>
      </w:r>
    </w:p>
    <w:p>
      <w:pPr>
        <w:widowControl/>
        <w:spacing w:line="360" w:lineRule="auto"/>
        <w:ind w:firstLine="480" w:firstLineChars="200"/>
        <w:jc w:val="left"/>
        <w:rPr>
          <w:rFonts w:ascii="宋体" w:hAnsi="宋体" w:cs="宋体"/>
          <w:sz w:val="24"/>
        </w:rPr>
      </w:pPr>
      <w:r>
        <w:rPr>
          <w:rFonts w:hint="eastAsia" w:ascii="宋体" w:hAnsi="宋体" w:cs="宋体"/>
          <w:sz w:val="24"/>
        </w:rPr>
        <w:t>3.质疑供应商若对项目的某一分包进行质疑，质疑函中应列明具体分包号。</w:t>
      </w:r>
    </w:p>
    <w:p>
      <w:pPr>
        <w:widowControl/>
        <w:spacing w:line="360" w:lineRule="auto"/>
        <w:ind w:firstLine="480" w:firstLineChars="200"/>
        <w:jc w:val="left"/>
        <w:rPr>
          <w:rFonts w:ascii="宋体" w:hAnsi="宋体" w:cs="宋体"/>
          <w:sz w:val="24"/>
        </w:rPr>
      </w:pPr>
      <w:r>
        <w:rPr>
          <w:rFonts w:hint="eastAsia" w:ascii="宋体" w:hAnsi="宋体" w:cs="宋体"/>
          <w:sz w:val="24"/>
        </w:rPr>
        <w:t>4.质疑函的质疑事项应具体、明确，并有必要的事实依据和法律依据。</w:t>
      </w:r>
    </w:p>
    <w:p>
      <w:pPr>
        <w:widowControl/>
        <w:spacing w:line="360" w:lineRule="auto"/>
        <w:ind w:firstLine="480" w:firstLineChars="200"/>
        <w:jc w:val="left"/>
        <w:rPr>
          <w:rFonts w:ascii="宋体" w:hAnsi="宋体" w:cs="宋体"/>
          <w:sz w:val="24"/>
        </w:rPr>
      </w:pPr>
      <w:r>
        <w:rPr>
          <w:rFonts w:hint="eastAsia" w:ascii="宋体" w:hAnsi="宋体" w:cs="宋体"/>
          <w:sz w:val="24"/>
        </w:rPr>
        <w:t>5.质疑函的质疑请求应与质疑事项相关。</w:t>
      </w:r>
    </w:p>
    <w:p>
      <w:pPr>
        <w:widowControl/>
        <w:spacing w:line="360" w:lineRule="auto"/>
        <w:ind w:firstLine="480" w:firstLineChars="200"/>
        <w:jc w:val="left"/>
        <w:rPr>
          <w:rFonts w:ascii="宋体" w:hAnsi="宋体" w:cs="宋体"/>
          <w:sz w:val="24"/>
        </w:rPr>
      </w:pPr>
      <w:r>
        <w:rPr>
          <w:rFonts w:hint="eastAsia" w:ascii="宋体" w:hAnsi="宋体" w:cs="宋体"/>
          <w:sz w:val="24"/>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宋体" w:hAnsi="宋体" w:cs="宋体"/>
          <w:sz w:val="30"/>
          <w:szCs w:val="30"/>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left"/>
        <w:rPr>
          <w:rFonts w:ascii="宋体" w:hAnsi="宋体" w:cs="宋体"/>
          <w:b/>
          <w:spacing w:val="6"/>
          <w:sz w:val="32"/>
          <w:szCs w:val="32"/>
        </w:rPr>
      </w:pPr>
    </w:p>
    <w:p>
      <w:pPr>
        <w:spacing w:line="360" w:lineRule="auto"/>
        <w:jc w:val="left"/>
        <w:rPr>
          <w:rFonts w:ascii="宋体" w:hAnsi="宋体" w:cs="宋体"/>
          <w:b/>
          <w:spacing w:val="6"/>
          <w:sz w:val="32"/>
          <w:szCs w:val="32"/>
        </w:rPr>
      </w:pPr>
    </w:p>
    <w:p>
      <w:pPr>
        <w:spacing w:line="360" w:lineRule="auto"/>
        <w:jc w:val="left"/>
        <w:rPr>
          <w:rFonts w:ascii="宋体" w:hAnsi="宋体" w:cs="宋体"/>
          <w:b/>
          <w:spacing w:val="6"/>
          <w:sz w:val="32"/>
          <w:szCs w:val="32"/>
        </w:rPr>
      </w:pPr>
      <w:r>
        <w:rPr>
          <w:rFonts w:hint="eastAsia" w:ascii="宋体" w:hAnsi="宋体" w:cs="宋体"/>
          <w:b/>
          <w:spacing w:val="6"/>
          <w:sz w:val="32"/>
          <w:szCs w:val="32"/>
        </w:rPr>
        <w:t>附件3：投诉书范本及制作说明</w:t>
      </w:r>
    </w:p>
    <w:p>
      <w:pPr>
        <w:spacing w:line="360" w:lineRule="auto"/>
        <w:jc w:val="center"/>
        <w:rPr>
          <w:rFonts w:ascii="宋体" w:hAnsi="宋体" w:cs="宋体"/>
          <w:b/>
          <w:sz w:val="24"/>
        </w:rPr>
      </w:pPr>
    </w:p>
    <w:p>
      <w:pPr>
        <w:spacing w:line="360" w:lineRule="auto"/>
        <w:jc w:val="center"/>
        <w:rPr>
          <w:rFonts w:ascii="宋体" w:hAnsi="宋体" w:cs="宋体"/>
          <w:b/>
          <w:spacing w:val="6"/>
          <w:sz w:val="32"/>
          <w:szCs w:val="32"/>
        </w:rPr>
      </w:pPr>
      <w:r>
        <w:rPr>
          <w:rFonts w:hint="eastAsia" w:ascii="宋体" w:hAnsi="宋体" w:cs="宋体"/>
          <w:b/>
          <w:spacing w:val="6"/>
          <w:sz w:val="32"/>
          <w:szCs w:val="32"/>
        </w:rPr>
        <w:t>投诉书范本</w:t>
      </w:r>
    </w:p>
    <w:p>
      <w:pPr>
        <w:spacing w:line="360" w:lineRule="auto"/>
        <w:rPr>
          <w:rFonts w:ascii="宋体" w:hAnsi="宋体" w:cs="宋体"/>
          <w:sz w:val="24"/>
        </w:rPr>
      </w:pPr>
      <w:r>
        <w:rPr>
          <w:rFonts w:hint="eastAsia" w:ascii="宋体" w:hAnsi="宋体" w:cs="宋体"/>
          <w:sz w:val="24"/>
        </w:rPr>
        <w:t>一、投诉相关主体基本情况</w:t>
      </w:r>
    </w:p>
    <w:p>
      <w:pPr>
        <w:spacing w:line="360" w:lineRule="auto"/>
        <w:rPr>
          <w:rFonts w:ascii="宋体" w:hAnsi="宋体" w:cs="宋体"/>
          <w:sz w:val="24"/>
          <w:u w:val="dotted"/>
        </w:rPr>
      </w:pPr>
      <w:r>
        <w:rPr>
          <w:rFonts w:hint="eastAsia" w:ascii="宋体" w:hAnsi="宋体" w:cs="宋体"/>
          <w:sz w:val="24"/>
        </w:rPr>
        <w:t>投诉人：</w:t>
      </w: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pPr>
        <w:tabs>
          <w:tab w:val="left" w:pos="6510"/>
        </w:tabs>
        <w:spacing w:line="360" w:lineRule="auto"/>
        <w:jc w:val="left"/>
        <w:rPr>
          <w:rFonts w:ascii="宋体" w:hAnsi="宋体" w:cs="宋体"/>
          <w:sz w:val="24"/>
        </w:rPr>
      </w:pPr>
      <w:r>
        <w:rPr>
          <w:rFonts w:hint="eastAsia" w:ascii="宋体" w:hAnsi="宋体" w:cs="宋体"/>
          <w:sz w:val="24"/>
        </w:rPr>
        <w:t>法定代表人/主要负责人：</w:t>
      </w:r>
      <w:r>
        <w:rPr>
          <w:rFonts w:hint="eastAsia" w:ascii="宋体" w:hAnsi="宋体" w:cs="宋体"/>
          <w:sz w:val="24"/>
          <w:u w:val="dotted"/>
        </w:rPr>
        <w:t xml:space="preserve">                                   </w:t>
      </w:r>
      <w:r>
        <w:rPr>
          <w:rFonts w:hint="eastAsia" w:ascii="宋体" w:hAnsi="宋体" w:cs="宋体"/>
          <w:sz w:val="24"/>
        </w:rPr>
        <w:t xml:space="preserve">  </w:t>
      </w:r>
    </w:p>
    <w:p>
      <w:pPr>
        <w:tabs>
          <w:tab w:val="left" w:pos="6510"/>
        </w:tabs>
        <w:spacing w:line="360" w:lineRule="auto"/>
        <w:rPr>
          <w:rFonts w:ascii="宋体" w:hAnsi="宋体" w:cs="宋体"/>
          <w:sz w:val="24"/>
          <w:u w:val="dotted"/>
        </w:rPr>
      </w:pPr>
      <w:r>
        <w:rPr>
          <w:rFonts w:hint="eastAsia" w:ascii="宋体" w:hAnsi="宋体" w:cs="宋体"/>
          <w:sz w:val="24"/>
        </w:rPr>
        <w:t>联系电话：</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被投诉人1：</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rPr>
      </w:pPr>
      <w:r>
        <w:rPr>
          <w:rFonts w:hint="eastAsia" w:ascii="宋体" w:hAnsi="宋体" w:cs="宋体"/>
          <w:sz w:val="24"/>
        </w:rPr>
        <w:t>被投诉人2</w:t>
      </w:r>
    </w:p>
    <w:p>
      <w:pPr>
        <w:spacing w:line="360" w:lineRule="auto"/>
        <w:rPr>
          <w:rFonts w:ascii="宋体" w:hAnsi="宋体" w:cs="宋体"/>
          <w:sz w:val="24"/>
          <w:u w:val="dotted"/>
        </w:rPr>
      </w:pPr>
      <w:r>
        <w:rPr>
          <w:rFonts w:hint="eastAsia" w:ascii="宋体" w:hAnsi="宋体" w:cs="宋体"/>
          <w:sz w:val="24"/>
        </w:rPr>
        <w:t>……</w:t>
      </w:r>
    </w:p>
    <w:p>
      <w:pPr>
        <w:spacing w:line="360" w:lineRule="auto"/>
        <w:rPr>
          <w:rFonts w:ascii="宋体" w:hAnsi="宋体" w:cs="宋体"/>
          <w:sz w:val="24"/>
          <w:u w:val="single"/>
        </w:rPr>
      </w:pPr>
      <w:r>
        <w:rPr>
          <w:rFonts w:hint="eastAsia" w:ascii="宋体" w:hAnsi="宋体" w:cs="宋体"/>
          <w:sz w:val="24"/>
        </w:rPr>
        <w:t>相关供应商：</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rPr>
      </w:pPr>
      <w:r>
        <w:rPr>
          <w:rFonts w:hint="eastAsia" w:ascii="宋体" w:hAnsi="宋体" w:cs="宋体"/>
          <w:sz w:val="24"/>
        </w:rPr>
        <w:t>二、投诉项目基本情况</w:t>
      </w:r>
    </w:p>
    <w:p>
      <w:pPr>
        <w:spacing w:line="360" w:lineRule="auto"/>
        <w:rPr>
          <w:rFonts w:ascii="宋体" w:hAnsi="宋体" w:cs="宋体"/>
          <w:sz w:val="24"/>
          <w:u w:val="dotted"/>
        </w:rPr>
      </w:pPr>
      <w:r>
        <w:rPr>
          <w:rFonts w:hint="eastAsia" w:ascii="宋体" w:hAnsi="宋体" w:cs="宋体"/>
          <w:sz w:val="24"/>
        </w:rPr>
        <w:t>采购项目名称：</w:t>
      </w: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采购项目编号：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采购人名称：</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代理机构名称：</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rPr>
        <w:t>采购文件公告: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采购结果公告: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三、质疑基本情况</w:t>
      </w:r>
    </w:p>
    <w:p>
      <w:pPr>
        <w:spacing w:line="360" w:lineRule="auto"/>
        <w:ind w:firstLine="480" w:firstLineChars="200"/>
        <w:rPr>
          <w:rFonts w:ascii="宋体" w:hAnsi="宋体" w:cs="宋体"/>
          <w:sz w:val="24"/>
          <w:u w:val="dotted"/>
        </w:rPr>
      </w:pPr>
      <w:r>
        <w:rPr>
          <w:rFonts w:hint="eastAsia" w:ascii="宋体" w:hAnsi="宋体" w:cs="宋体"/>
          <w:sz w:val="24"/>
        </w:rPr>
        <w:t>投诉人于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日,向</w:t>
      </w:r>
      <w:r>
        <w:rPr>
          <w:rFonts w:hint="eastAsia" w:ascii="宋体" w:hAnsi="宋体" w:cs="宋体"/>
          <w:sz w:val="24"/>
          <w:u w:val="dotted"/>
        </w:rPr>
        <w:t xml:space="preserve">                   </w:t>
      </w:r>
      <w:r>
        <w:rPr>
          <w:rFonts w:hint="eastAsia" w:ascii="宋体" w:hAnsi="宋体" w:cs="宋体"/>
          <w:sz w:val="24"/>
        </w:rPr>
        <w:t>提出质疑，质疑事项为：</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u w:val="dotted"/>
        </w:rPr>
        <w:t xml:space="preserve">                                                     </w:t>
      </w:r>
      <w:r>
        <w:rPr>
          <w:rFonts w:hint="eastAsia" w:ascii="宋体" w:hAnsi="宋体" w:cs="宋体"/>
          <w:sz w:val="24"/>
        </w:rPr>
        <w:t xml:space="preserve">  </w:t>
      </w:r>
    </w:p>
    <w:p>
      <w:pPr>
        <w:spacing w:line="360" w:lineRule="auto"/>
        <w:ind w:firstLine="360" w:firstLineChars="150"/>
        <w:rPr>
          <w:rFonts w:ascii="宋体" w:hAnsi="宋体" w:cs="宋体"/>
          <w:sz w:val="24"/>
        </w:rPr>
      </w:pPr>
      <w:r>
        <w:rPr>
          <w:rFonts w:hint="eastAsia" w:ascii="宋体" w:hAnsi="宋体" w:cs="宋体"/>
          <w:sz w:val="24"/>
          <w:u w:val="dotted"/>
        </w:rPr>
        <w:t>采购人/代理机构</w:t>
      </w:r>
      <w:r>
        <w:rPr>
          <w:rFonts w:hint="eastAsia" w:ascii="宋体" w:hAnsi="宋体" w:cs="宋体"/>
          <w:sz w:val="24"/>
        </w:rPr>
        <w:t>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日,就质疑事项作出了答复/没有在法定期限内作出答复。</w:t>
      </w:r>
    </w:p>
    <w:p>
      <w:pPr>
        <w:spacing w:line="360" w:lineRule="auto"/>
        <w:rPr>
          <w:rFonts w:ascii="宋体" w:hAnsi="宋体" w:cs="宋体"/>
          <w:sz w:val="24"/>
        </w:rPr>
      </w:pPr>
      <w:r>
        <w:rPr>
          <w:rFonts w:hint="eastAsia" w:ascii="宋体" w:hAnsi="宋体" w:cs="宋体"/>
          <w:sz w:val="24"/>
        </w:rPr>
        <w:t>四、投诉事项具体内容</w:t>
      </w:r>
    </w:p>
    <w:p>
      <w:pPr>
        <w:spacing w:line="360" w:lineRule="auto"/>
        <w:rPr>
          <w:rFonts w:ascii="宋体" w:hAnsi="宋体" w:cs="宋体"/>
          <w:sz w:val="24"/>
          <w:u w:val="single"/>
        </w:rPr>
      </w:pPr>
      <w:r>
        <w:rPr>
          <w:rFonts w:hint="eastAsia" w:ascii="宋体" w:hAnsi="宋体" w:cs="宋体"/>
          <w:sz w:val="24"/>
        </w:rPr>
        <w:t>投诉事项 1：</w:t>
      </w: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事实依据：</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法律依据：</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投诉事项2</w:t>
      </w:r>
    </w:p>
    <w:p>
      <w:pPr>
        <w:spacing w:line="360" w:lineRule="auto"/>
        <w:rPr>
          <w:rFonts w:ascii="宋体" w:hAnsi="宋体" w:cs="宋体"/>
          <w:sz w:val="24"/>
          <w:u w:val="dotted"/>
        </w:rPr>
      </w:pPr>
      <w:r>
        <w:rPr>
          <w:rFonts w:hint="eastAsia" w:ascii="宋体" w:hAnsi="宋体" w:cs="宋体"/>
          <w:sz w:val="24"/>
        </w:rPr>
        <w:t>……</w:t>
      </w:r>
    </w:p>
    <w:p>
      <w:pPr>
        <w:spacing w:line="360" w:lineRule="auto"/>
        <w:rPr>
          <w:rFonts w:ascii="宋体" w:hAnsi="宋体" w:cs="宋体"/>
          <w:sz w:val="24"/>
        </w:rPr>
      </w:pPr>
      <w:r>
        <w:rPr>
          <w:rFonts w:hint="eastAsia" w:ascii="宋体" w:hAnsi="宋体" w:cs="宋体"/>
          <w:sz w:val="24"/>
        </w:rPr>
        <w:t>五、与投诉事项相关的投诉请求</w:t>
      </w:r>
    </w:p>
    <w:p>
      <w:pPr>
        <w:spacing w:line="360" w:lineRule="auto"/>
        <w:rPr>
          <w:rFonts w:ascii="宋体" w:hAnsi="宋体" w:cs="宋体"/>
          <w:sz w:val="24"/>
        </w:rPr>
      </w:pPr>
      <w:r>
        <w:rPr>
          <w:rFonts w:hint="eastAsia" w:ascii="宋体" w:hAnsi="宋体" w:cs="宋体"/>
          <w:sz w:val="24"/>
        </w:rPr>
        <w:t>请求：</w:t>
      </w:r>
      <w:r>
        <w:rPr>
          <w:rFonts w:hint="eastAsia" w:ascii="宋体" w:hAnsi="宋体" w:cs="宋体"/>
          <w:sz w:val="24"/>
          <w:u w:val="dotted"/>
        </w:rPr>
        <w:t xml:space="preserve">                                              </w:t>
      </w:r>
      <w:r>
        <w:rPr>
          <w:rFonts w:hint="eastAsia" w:ascii="宋体" w:hAnsi="宋体" w:cs="宋体"/>
          <w:sz w:val="24"/>
        </w:rPr>
        <w:t xml:space="preserve"> </w:t>
      </w:r>
    </w:p>
    <w:p>
      <w:pPr>
        <w:spacing w:line="360" w:lineRule="auto"/>
        <w:rPr>
          <w:rFonts w:ascii="宋体" w:hAnsi="宋体" w:cs="宋体"/>
          <w:sz w:val="24"/>
          <w:u w:val="single"/>
        </w:rPr>
      </w:pPr>
      <w:r>
        <w:rPr>
          <w:rFonts w:hint="eastAsia" w:ascii="宋体" w:hAnsi="宋体" w:cs="宋体"/>
          <w:sz w:val="24"/>
        </w:rPr>
        <w:t xml:space="preserve">                                                                                                    </w:t>
      </w:r>
    </w:p>
    <w:p>
      <w:pPr>
        <w:spacing w:line="360" w:lineRule="auto"/>
        <w:rPr>
          <w:rFonts w:ascii="宋体" w:hAnsi="宋体" w:cs="宋体"/>
          <w:sz w:val="24"/>
        </w:rPr>
      </w:pPr>
      <w:r>
        <w:rPr>
          <w:rFonts w:hint="eastAsia" w:ascii="宋体" w:hAnsi="宋体" w:cs="宋体"/>
          <w:sz w:val="24"/>
        </w:rPr>
        <w:t xml:space="preserve">签字(签章)：                   公章：                      </w:t>
      </w:r>
    </w:p>
    <w:p>
      <w:pPr>
        <w:spacing w:line="360" w:lineRule="auto"/>
        <w:rPr>
          <w:rFonts w:ascii="宋体" w:hAnsi="宋体" w:cs="宋体"/>
          <w:sz w:val="24"/>
        </w:rPr>
      </w:pPr>
      <w:r>
        <w:rPr>
          <w:rFonts w:hint="eastAsia" w:ascii="宋体" w:hAnsi="宋体" w:cs="宋体"/>
          <w:sz w:val="24"/>
        </w:rPr>
        <w:t xml:space="preserve">日期：    </w:t>
      </w: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r>
        <w:rPr>
          <w:rFonts w:hint="eastAsia" w:ascii="宋体" w:hAnsi="宋体" w:cs="宋体"/>
          <w:b/>
          <w:sz w:val="24"/>
        </w:rPr>
        <w:t>投诉书制作说明：</w:t>
      </w:r>
    </w:p>
    <w:p>
      <w:pPr>
        <w:widowControl/>
        <w:spacing w:line="360" w:lineRule="auto"/>
        <w:ind w:firstLine="480" w:firstLineChars="200"/>
        <w:rPr>
          <w:rFonts w:ascii="宋体" w:hAnsi="宋体" w:cs="宋体"/>
          <w:kern w:val="0"/>
          <w:sz w:val="24"/>
        </w:rPr>
      </w:pPr>
      <w:r>
        <w:rPr>
          <w:rFonts w:hint="eastAsia" w:ascii="宋体" w:hAnsi="宋体" w:cs="宋体"/>
          <w:sz w:val="24"/>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宋体" w:hAnsi="宋体" w:cs="宋体"/>
          <w:kern w:val="0"/>
          <w:sz w:val="24"/>
        </w:rPr>
      </w:pPr>
      <w:r>
        <w:rPr>
          <w:rFonts w:hint="eastAsia" w:ascii="宋体" w:hAnsi="宋体" w:cs="宋体"/>
          <w:sz w:val="24"/>
        </w:rPr>
        <w:t>2.投诉人若委托代理人进行投诉的，投诉书应按照要求列明“授权代表”的有关内容，并在附件中提交由</w:t>
      </w:r>
      <w:r>
        <w:rPr>
          <w:rFonts w:hint="eastAsia" w:ascii="宋体" w:hAnsi="宋体" w:cs="宋体"/>
          <w:kern w:val="0"/>
          <w:sz w:val="24"/>
        </w:rPr>
        <w:t>投诉人签署的授权委托书。授权委托书应当载明代理人的姓名或者名称、代理事项、具体权限、期限和相关事项。</w:t>
      </w:r>
    </w:p>
    <w:p>
      <w:pPr>
        <w:widowControl/>
        <w:spacing w:line="360" w:lineRule="auto"/>
        <w:ind w:firstLine="480" w:firstLineChars="200"/>
        <w:jc w:val="left"/>
        <w:rPr>
          <w:rFonts w:ascii="宋体" w:hAnsi="宋体" w:cs="宋体"/>
          <w:sz w:val="24"/>
        </w:rPr>
      </w:pPr>
      <w:r>
        <w:rPr>
          <w:rFonts w:hint="eastAsia" w:ascii="宋体" w:hAnsi="宋体" w:cs="宋体"/>
          <w:sz w:val="24"/>
        </w:rPr>
        <w:t>3.投诉人若对项目的某一分包进行投诉，投诉书应列明具体分包号。</w:t>
      </w:r>
    </w:p>
    <w:p>
      <w:pPr>
        <w:widowControl/>
        <w:spacing w:line="360" w:lineRule="auto"/>
        <w:ind w:firstLine="480" w:firstLineChars="200"/>
        <w:jc w:val="left"/>
        <w:rPr>
          <w:rFonts w:ascii="宋体" w:hAnsi="宋体" w:cs="宋体"/>
          <w:sz w:val="24"/>
        </w:rPr>
      </w:pPr>
      <w:r>
        <w:rPr>
          <w:rFonts w:hint="eastAsia" w:ascii="宋体" w:hAnsi="宋体" w:cs="宋体"/>
          <w:sz w:val="24"/>
        </w:rPr>
        <w:t>4.投诉书应简要列明质疑事项，质疑函、质疑答复等作为附件材料提供。</w:t>
      </w:r>
    </w:p>
    <w:p>
      <w:pPr>
        <w:widowControl/>
        <w:spacing w:line="360" w:lineRule="auto"/>
        <w:ind w:firstLine="480" w:firstLineChars="200"/>
        <w:jc w:val="left"/>
        <w:rPr>
          <w:rFonts w:ascii="宋体" w:hAnsi="宋体" w:cs="宋体"/>
          <w:sz w:val="24"/>
        </w:rPr>
      </w:pPr>
      <w:r>
        <w:rPr>
          <w:rFonts w:hint="eastAsia" w:ascii="宋体" w:hAnsi="宋体" w:cs="宋体"/>
          <w:sz w:val="24"/>
        </w:rPr>
        <w:t>5.投诉书的投诉事项应具体、明确，并有必要的事实依据和法律依据。</w:t>
      </w:r>
    </w:p>
    <w:p>
      <w:pPr>
        <w:widowControl/>
        <w:spacing w:line="360" w:lineRule="auto"/>
        <w:ind w:firstLine="480" w:firstLineChars="200"/>
        <w:jc w:val="left"/>
        <w:rPr>
          <w:rFonts w:ascii="宋体" w:hAnsi="宋体" w:cs="宋体"/>
          <w:sz w:val="24"/>
        </w:rPr>
      </w:pPr>
      <w:r>
        <w:rPr>
          <w:rFonts w:hint="eastAsia" w:ascii="宋体" w:hAnsi="宋体" w:cs="宋体"/>
          <w:sz w:val="24"/>
        </w:rPr>
        <w:t>6.投诉书的投诉请求应与投诉事项相关。</w:t>
      </w:r>
    </w:p>
    <w:p>
      <w:pPr>
        <w:widowControl/>
        <w:spacing w:line="360" w:lineRule="auto"/>
        <w:ind w:firstLine="480" w:firstLineChars="200"/>
        <w:jc w:val="left"/>
        <w:rPr>
          <w:rFonts w:ascii="宋体" w:hAnsi="宋体" w:cs="宋体"/>
          <w:kern w:val="0"/>
          <w:sz w:val="24"/>
        </w:rPr>
      </w:pPr>
      <w:r>
        <w:rPr>
          <w:rFonts w:hint="eastAsia" w:ascii="宋体" w:hAnsi="宋体" w:cs="宋体"/>
          <w:sz w:val="24"/>
        </w:rPr>
        <w:t>7.投诉人为自然人的，投诉书应当由本人签字；投诉人为法人或者其他组织的，投诉书应当由法定代表人、主要负责人，或者其授权代表签字或者盖章，并加盖公章。</w:t>
      </w:r>
    </w:p>
    <w:p>
      <w:pPr>
        <w:spacing w:line="360" w:lineRule="auto"/>
        <w:rPr>
          <w:rFonts w:ascii="宋体" w:hAnsi="宋体" w:cs="宋体"/>
          <w:b/>
          <w:sz w:val="24"/>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bCs/>
          <w:sz w:val="32"/>
          <w:szCs w:val="32"/>
        </w:rPr>
      </w:pPr>
      <w:r>
        <w:rPr>
          <w:rFonts w:hint="eastAsia" w:ascii="宋体" w:hAnsi="宋体" w:cs="宋体"/>
          <w:b/>
          <w:spacing w:val="6"/>
          <w:sz w:val="32"/>
          <w:szCs w:val="32"/>
        </w:rPr>
        <w:t>附件4：</w:t>
      </w:r>
      <w:r>
        <w:rPr>
          <w:rFonts w:hint="eastAsia" w:ascii="宋体" w:hAnsi="宋体" w:cs="宋体"/>
          <w:b/>
          <w:bCs/>
          <w:sz w:val="32"/>
          <w:szCs w:val="32"/>
        </w:rPr>
        <w:t>业务专用章使用说明函</w:t>
      </w:r>
    </w:p>
    <w:p>
      <w:pPr>
        <w:spacing w:line="360" w:lineRule="auto"/>
        <w:rPr>
          <w:rFonts w:ascii="宋体" w:hAnsi="宋体" w:cs="宋体"/>
          <w:color w:val="auto"/>
          <w:sz w:val="24"/>
          <w:u w:val="single"/>
        </w:rPr>
      </w:pPr>
    </w:p>
    <w:p>
      <w:pPr>
        <w:spacing w:line="360" w:lineRule="auto"/>
        <w:rPr>
          <w:rFonts w:ascii="宋体" w:hAnsi="宋体" w:cs="宋体"/>
          <w:color w:val="auto"/>
          <w:sz w:val="24"/>
        </w:rPr>
      </w:pPr>
      <w:r>
        <w:rPr>
          <w:rFonts w:hint="eastAsia" w:ascii="宋体" w:hAnsi="宋体" w:cs="宋体"/>
          <w:color w:val="auto"/>
          <w:sz w:val="24"/>
          <w:u w:val="single"/>
        </w:rPr>
        <w:t>（采购人）、</w:t>
      </w:r>
      <w:r>
        <w:rPr>
          <w:rFonts w:hint="eastAsia" w:ascii="宋体" w:hAnsi="宋体" w:cs="宋体"/>
          <w:color w:val="auto"/>
          <w:sz w:val="24"/>
          <w:u w:val="single"/>
          <w:lang w:val="en-US" w:eastAsia="zh-CN"/>
        </w:rPr>
        <w:t>杭州市公共资源交易中心临安分中心</w:t>
      </w:r>
      <w:r>
        <w:rPr>
          <w:rFonts w:hint="eastAsia" w:ascii="宋体" w:hAnsi="宋体" w:cs="宋体"/>
          <w:color w:val="auto"/>
          <w:sz w:val="24"/>
          <w:u w:val="single"/>
        </w:rPr>
        <w:t>：</w:t>
      </w:r>
    </w:p>
    <w:p>
      <w:pPr>
        <w:spacing w:line="360" w:lineRule="auto"/>
        <w:ind w:firstLine="480" w:firstLineChars="200"/>
        <w:rPr>
          <w:rFonts w:ascii="宋体" w:hAnsi="宋体" w:cs="宋体"/>
          <w:sz w:val="24"/>
        </w:rPr>
      </w:pPr>
      <w:r>
        <w:rPr>
          <w:rFonts w:hint="eastAsia" w:ascii="宋体" w:hAnsi="宋体" w:cs="宋体"/>
          <w:color w:val="auto"/>
          <w:kern w:val="0"/>
          <w:sz w:val="24"/>
          <w:lang w:val="zh-CN"/>
        </w:rPr>
        <w:t>我方</w:t>
      </w:r>
      <w:r>
        <w:rPr>
          <w:rFonts w:hint="eastAsia" w:ascii="宋体" w:hAnsi="宋体" w:cs="宋体"/>
          <w:color w:val="auto"/>
          <w:kern w:val="0"/>
          <w:sz w:val="24"/>
          <w:u w:val="single"/>
          <w:lang w:val="zh-CN"/>
        </w:rPr>
        <w:t xml:space="preserve">                         </w:t>
      </w:r>
      <w:r>
        <w:rPr>
          <w:rFonts w:hint="eastAsia" w:ascii="宋体" w:hAnsi="宋体" w:cs="宋体"/>
          <w:color w:val="auto"/>
          <w:sz w:val="24"/>
        </w:rPr>
        <w:t>(投标人全称)是中华人民共和国依法登记注册的合法企业，</w:t>
      </w:r>
      <w:r>
        <w:rPr>
          <w:rFonts w:hint="eastAsia" w:ascii="宋体" w:hAnsi="宋体" w:cs="宋体"/>
          <w:bCs/>
          <w:color w:val="auto"/>
          <w:sz w:val="24"/>
        </w:rPr>
        <w:t>在参加</w:t>
      </w:r>
      <w:r>
        <w:rPr>
          <w:rFonts w:hint="eastAsia" w:ascii="宋体" w:hAnsi="宋体" w:cs="宋体"/>
          <w:color w:val="auto"/>
          <w:sz w:val="24"/>
        </w:rPr>
        <w:t>你方组织的（项目名称）【招标编号：（采购编号）】</w:t>
      </w:r>
      <w:r>
        <w:rPr>
          <w:rFonts w:hint="eastAsia" w:ascii="宋体" w:hAnsi="宋体" w:cs="宋体"/>
          <w:bCs/>
          <w:color w:val="auto"/>
          <w:sz w:val="24"/>
        </w:rPr>
        <w:t>投标活动中作如下说明：</w:t>
      </w:r>
      <w:r>
        <w:rPr>
          <w:rFonts w:hint="eastAsia" w:ascii="宋体" w:hAnsi="宋体" w:cs="宋体"/>
          <w:color w:val="auto"/>
          <w:sz w:val="24"/>
        </w:rPr>
        <w:t>我方所使用的“XX专用章”与法定名称章具有同等的法</w:t>
      </w:r>
      <w:r>
        <w:rPr>
          <w:rFonts w:hint="eastAsia" w:ascii="宋体" w:hAnsi="宋体" w:cs="宋体"/>
          <w:sz w:val="24"/>
        </w:rPr>
        <w:t xml:space="preserve">律效力，对使用“XX专用章”的行为予以完全承认，并愿意承担相应责任。   </w:t>
      </w:r>
    </w:p>
    <w:p>
      <w:pPr>
        <w:spacing w:line="360" w:lineRule="auto"/>
        <w:ind w:firstLine="480" w:firstLineChars="200"/>
        <w:rPr>
          <w:rFonts w:ascii="宋体" w:hAnsi="宋体" w:cs="宋体"/>
          <w:sz w:val="24"/>
        </w:rPr>
      </w:pPr>
      <w:r>
        <w:rPr>
          <w:rFonts w:hint="eastAsia" w:ascii="宋体" w:hAnsi="宋体" w:cs="宋体"/>
          <w:sz w:val="24"/>
        </w:rPr>
        <w:t>特此说明。</w:t>
      </w:r>
    </w:p>
    <w:p>
      <w:pPr>
        <w:spacing w:line="360" w:lineRule="auto"/>
        <w:ind w:firstLine="494"/>
        <w:rPr>
          <w:rFonts w:ascii="宋体" w:hAnsi="宋体" w:cs="宋体"/>
          <w:sz w:val="24"/>
        </w:rPr>
      </w:pPr>
    </w:p>
    <w:p>
      <w:pPr>
        <w:spacing w:line="360" w:lineRule="auto"/>
        <w:ind w:firstLine="494"/>
        <w:rPr>
          <w:rFonts w:ascii="宋体" w:hAnsi="宋体" w:cs="宋体"/>
          <w:sz w:val="24"/>
        </w:rPr>
      </w:pPr>
    </w:p>
    <w:p>
      <w:pPr>
        <w:spacing w:line="360" w:lineRule="auto"/>
        <w:ind w:firstLine="494"/>
        <w:rPr>
          <w:rFonts w:ascii="宋体" w:hAnsi="宋体" w:cs="宋体"/>
          <w:sz w:val="24"/>
        </w:rPr>
      </w:pPr>
    </w:p>
    <w:p>
      <w:pPr>
        <w:spacing w:line="360" w:lineRule="auto"/>
        <w:ind w:firstLine="494"/>
        <w:rPr>
          <w:rFonts w:ascii="宋体" w:hAnsi="宋体" w:cs="宋体"/>
          <w:sz w:val="24"/>
        </w:rPr>
      </w:pPr>
    </w:p>
    <w:p>
      <w:pPr>
        <w:spacing w:line="360" w:lineRule="auto"/>
        <w:ind w:right="480" w:firstLine="4080" w:firstLineChars="1700"/>
        <w:rPr>
          <w:rFonts w:ascii="宋体" w:hAnsi="宋体" w:cs="宋体"/>
          <w:sz w:val="24"/>
        </w:rPr>
      </w:pPr>
      <w:r>
        <w:rPr>
          <w:rFonts w:hint="eastAsia" w:ascii="宋体" w:hAnsi="宋体" w:cs="宋体"/>
          <w:sz w:val="24"/>
        </w:rPr>
        <w:t>投标单位（法定名称章）：</w:t>
      </w:r>
    </w:p>
    <w:p>
      <w:pPr>
        <w:ind w:right="1440" w:firstLine="494"/>
        <w:jc w:val="center"/>
        <w:rPr>
          <w:rFonts w:ascii="宋体" w:hAnsi="宋体" w:cs="宋体"/>
          <w:sz w:val="24"/>
        </w:rPr>
      </w:pPr>
      <w:r>
        <w:rPr>
          <w:rFonts w:hint="eastAsia" w:ascii="宋体" w:hAnsi="宋体" w:cs="宋体"/>
          <w:sz w:val="24"/>
        </w:rPr>
        <w:t xml:space="preserve">                              日期：       年     月     日</w:t>
      </w:r>
    </w:p>
    <w:p>
      <w:pPr>
        <w:rPr>
          <w:rFonts w:ascii="宋体" w:hAnsi="宋体" w:cs="宋体"/>
          <w:sz w:val="24"/>
        </w:rPr>
      </w:pPr>
      <w:r>
        <w:rPr>
          <w:rFonts w:hint="eastAsia" w:ascii="宋体" w:hAnsi="宋体" w:cs="宋体"/>
          <w:b/>
          <w:bCs/>
          <w:sz w:val="24"/>
        </w:rPr>
        <w:t>附：</w:t>
      </w:r>
    </w:p>
    <w:p>
      <w:pPr>
        <w:spacing w:line="360" w:lineRule="auto"/>
        <w:rPr>
          <w:rFonts w:ascii="宋体" w:hAnsi="宋体" w:cs="宋体"/>
          <w:bCs/>
          <w:sz w:val="24"/>
        </w:rPr>
      </w:pPr>
      <w:r>
        <w:rPr>
          <w:rFonts w:hint="eastAsia" w:ascii="宋体" w:hAnsi="宋体" w:cs="宋体"/>
          <w:b/>
          <w:bCs/>
          <w:sz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sz w:val="24"/>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sz w:val="24"/>
        </w:rPr>
        <w:t>投标单位法定名称章（印模）                投标单位“XX专用章”（印模）</w:t>
      </w: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kern w:val="0"/>
          <w:sz w:val="32"/>
          <w:szCs w:val="32"/>
          <w:lang w:val="zh-CN"/>
        </w:rPr>
      </w:pPr>
      <w:r>
        <w:rPr>
          <w:rFonts w:hint="eastAsia" w:ascii="宋体" w:hAnsi="宋体" w:cs="宋体"/>
          <w:b/>
          <w:spacing w:val="6"/>
          <w:sz w:val="32"/>
          <w:szCs w:val="32"/>
        </w:rPr>
        <w:t>附件</w:t>
      </w:r>
      <w:r>
        <w:rPr>
          <w:rFonts w:ascii="宋体" w:hAnsi="宋体" w:cs="宋体"/>
          <w:b/>
          <w:spacing w:val="6"/>
          <w:sz w:val="32"/>
          <w:szCs w:val="32"/>
        </w:rPr>
        <w:t>5</w:t>
      </w:r>
      <w:r>
        <w:rPr>
          <w:rFonts w:hint="eastAsia" w:ascii="宋体" w:hAnsi="宋体" w:cs="宋体"/>
          <w:b/>
          <w:spacing w:val="6"/>
          <w:sz w:val="32"/>
          <w:szCs w:val="32"/>
        </w:rPr>
        <w:t>：</w:t>
      </w:r>
      <w:r>
        <w:rPr>
          <w:rFonts w:hint="eastAsia" w:ascii="宋体" w:hAnsi="宋体" w:cs="宋体"/>
          <w:b/>
          <w:kern w:val="0"/>
          <w:sz w:val="32"/>
          <w:szCs w:val="32"/>
          <w:lang w:val="zh-CN"/>
        </w:rPr>
        <w:t>联合协议</w:t>
      </w:r>
    </w:p>
    <w:p>
      <w:pPr>
        <w:widowControl/>
        <w:spacing w:line="360" w:lineRule="auto"/>
        <w:ind w:firstLine="482" w:firstLineChars="200"/>
        <w:jc w:val="left"/>
        <w:rPr>
          <w:rFonts w:ascii="宋体" w:hAnsi="宋体" w:cs="宋体"/>
          <w:b/>
          <w:sz w:val="24"/>
        </w:rPr>
      </w:pPr>
      <w:r>
        <w:rPr>
          <w:rFonts w:hint="eastAsia" w:ascii="宋体" w:hAnsi="宋体" w:cs="宋体"/>
          <w:b/>
          <w:sz w:val="24"/>
        </w:rPr>
        <w:t>（以联合体形式投标的，提供联合协议；本项目不接受联合体投标或者投标人不以联合体形式投标的，则不需要提供）</w:t>
      </w:r>
    </w:p>
    <w:p>
      <w:pPr>
        <w:snapToGrid w:val="0"/>
        <w:spacing w:line="360" w:lineRule="auto"/>
        <w:ind w:firstLine="576"/>
        <w:rPr>
          <w:rFonts w:ascii="宋体" w:hAnsi="宋体" w:cs="宋体"/>
          <w:color w:val="auto"/>
          <w:kern w:val="0"/>
          <w:sz w:val="24"/>
          <w:lang w:val="zh-CN"/>
        </w:rPr>
      </w:pPr>
      <w:r>
        <w:rPr>
          <w:rFonts w:hint="eastAsia" w:ascii="宋体" w:hAnsi="宋体" w:cs="宋体"/>
          <w:kern w:val="0"/>
          <w:sz w:val="24"/>
          <w:u w:val="single"/>
        </w:rPr>
        <w:t>（联合体所有成员名称）</w:t>
      </w:r>
      <w:r>
        <w:rPr>
          <w:rFonts w:hint="eastAsia" w:ascii="宋体" w:hAnsi="宋体" w:cs="宋体"/>
          <w:kern w:val="0"/>
          <w:sz w:val="24"/>
        </w:rPr>
        <w:t>自愿</w:t>
      </w:r>
      <w:r>
        <w:rPr>
          <w:rFonts w:hint="eastAsia" w:ascii="宋体" w:hAnsi="宋体" w:cs="宋体"/>
          <w:kern w:val="0"/>
          <w:sz w:val="24"/>
          <w:lang w:val="zh-CN"/>
        </w:rPr>
        <w:t>组成</w:t>
      </w:r>
      <w:r>
        <w:rPr>
          <w:rFonts w:hint="eastAsia" w:ascii="宋体" w:hAnsi="宋体" w:cs="宋体"/>
          <w:color w:val="auto"/>
          <w:kern w:val="0"/>
          <w:sz w:val="24"/>
          <w:lang w:val="zh-CN"/>
        </w:rPr>
        <w:t>一个联合体，以一个投标人的身份</w:t>
      </w:r>
      <w:r>
        <w:rPr>
          <w:rFonts w:hint="eastAsia" w:ascii="宋体" w:hAnsi="宋体" w:cs="宋体"/>
          <w:color w:val="auto"/>
          <w:kern w:val="0"/>
          <w:sz w:val="24"/>
        </w:rPr>
        <w:t>参加</w:t>
      </w:r>
      <w:r>
        <w:rPr>
          <w:rFonts w:hint="eastAsia" w:ascii="宋体" w:hAnsi="宋体" w:cs="宋体"/>
          <w:color w:val="auto"/>
          <w:sz w:val="24"/>
        </w:rPr>
        <w:t>（项目名称）【招标编号：（采购编号）】</w:t>
      </w:r>
      <w:r>
        <w:rPr>
          <w:rFonts w:hint="eastAsia" w:ascii="宋体" w:hAnsi="宋体" w:cs="宋体"/>
          <w:color w:val="auto"/>
          <w:kern w:val="0"/>
          <w:sz w:val="24"/>
          <w:lang w:val="zh-CN"/>
        </w:rPr>
        <w:t xml:space="preserve">投标。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一、各方一致决定，</w:t>
      </w:r>
      <w:r>
        <w:rPr>
          <w:rFonts w:hint="eastAsia" w:ascii="宋体" w:hAnsi="宋体" w:cs="宋体"/>
          <w:kern w:val="0"/>
          <w:sz w:val="24"/>
          <w:u w:val="single"/>
        </w:rPr>
        <w:t>（某联合体成员名称）</w:t>
      </w:r>
      <w:r>
        <w:rPr>
          <w:rFonts w:hint="eastAsia" w:ascii="宋体" w:hAnsi="宋体" w:cs="宋体"/>
          <w:kern w:val="0"/>
          <w:sz w:val="24"/>
        </w:rPr>
        <w:t>为联合体</w:t>
      </w:r>
      <w:r>
        <w:rPr>
          <w:rFonts w:hint="eastAsia" w:ascii="宋体" w:hAnsi="宋体" w:cs="宋体"/>
          <w:kern w:val="0"/>
          <w:sz w:val="24"/>
          <w:lang w:val="zh-CN"/>
        </w:rPr>
        <w:t>牵头人</w:t>
      </w:r>
      <w:r>
        <w:rPr>
          <w:rFonts w:hint="eastAsia" w:ascii="宋体" w:hAnsi="宋体" w:cs="宋体"/>
          <w:sz w:val="24"/>
        </w:rPr>
        <w:t>，代表所有联合体成员负责投标和合同实施阶段的主办、协调工作</w:t>
      </w:r>
      <w:r>
        <w:rPr>
          <w:rFonts w:hint="eastAsia" w:ascii="宋体" w:hAnsi="宋体" w:cs="宋体"/>
          <w:kern w:val="0"/>
          <w:sz w:val="24"/>
          <w:lang w:val="zh-CN"/>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w:t>
      </w:r>
      <w:r>
        <w:rPr>
          <w:rFonts w:hint="eastAsia" w:ascii="宋体" w:hAnsi="宋体" w:cs="宋体"/>
          <w:sz w:val="24"/>
        </w:rPr>
        <w:t>所有联合体成员各方签署授权书，授权书载明的</w:t>
      </w:r>
      <w:r>
        <w:rPr>
          <w:rFonts w:hint="eastAsia" w:ascii="宋体" w:hAnsi="宋体" w:cs="宋体"/>
          <w:kern w:val="0"/>
          <w:sz w:val="24"/>
          <w:lang w:val="zh-CN"/>
        </w:rPr>
        <w:t>授权代表根据招标文件规定及投标内容而对采购人、采购代理机构所作的任何合法承诺，包括书面澄清及相应等均对联合投标各方产生约束力。</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三、本次联合投标中，分工如下：</w:t>
      </w:r>
    </w:p>
    <w:p>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（联合体成员1）</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（联合体成员</w:t>
      </w:r>
      <w:r>
        <w:rPr>
          <w:rFonts w:ascii="宋体" w:hAnsi="宋体" w:cs="宋体"/>
          <w:kern w:val="0"/>
          <w:sz w:val="24"/>
          <w:u w:val="single"/>
        </w:rPr>
        <w:t>2</w:t>
      </w:r>
      <w:r>
        <w:rPr>
          <w:rFonts w:hint="eastAsia" w:ascii="宋体" w:hAnsi="宋体" w:cs="宋体"/>
          <w:kern w:val="0"/>
          <w:sz w:val="24"/>
          <w:u w:val="single"/>
        </w:rPr>
        <w:t>）</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四、联合体成员中小企业合同份额。</w:t>
      </w:r>
    </w:p>
    <w:p>
      <w:pPr>
        <w:snapToGrid w:val="0"/>
        <w:spacing w:line="360" w:lineRule="auto"/>
        <w:ind w:firstLine="576"/>
        <w:rPr>
          <w:rFonts w:ascii="宋体" w:hAnsi="宋体" w:cs="宋体"/>
          <w:b/>
          <w:kern w:val="0"/>
          <w:sz w:val="24"/>
          <w:lang w:val="zh-CN"/>
        </w:rPr>
      </w:pPr>
      <w:r>
        <w:rPr>
          <w:rFonts w:hint="eastAsia" w:ascii="宋体" w:hAnsi="宋体" w:cs="宋体"/>
          <w:kern w:val="0"/>
          <w:sz w:val="24"/>
          <w:lang w:val="zh-CN"/>
        </w:rPr>
        <w:t>1、</w:t>
      </w:r>
      <w:r>
        <w:rPr>
          <w:rFonts w:hint="eastAsia" w:ascii="宋体" w:hAnsi="宋体" w:cs="宋体"/>
          <w:kern w:val="0"/>
          <w:sz w:val="24"/>
          <w:u w:val="single"/>
        </w:rPr>
        <w:t>（</w:t>
      </w:r>
      <w:bookmarkStart w:id="399" w:name="_Hlk101131882"/>
      <w:r>
        <w:rPr>
          <w:rFonts w:hint="eastAsia" w:ascii="宋体" w:hAnsi="宋体" w:cs="宋体"/>
          <w:kern w:val="0"/>
          <w:sz w:val="24"/>
          <w:u w:val="single"/>
        </w:rPr>
        <w:t>联合体成员X</w:t>
      </w:r>
      <w:r>
        <w:rPr>
          <w:rFonts w:ascii="宋体" w:hAnsi="宋体" w:cs="宋体"/>
          <w:kern w:val="0"/>
          <w:sz w:val="24"/>
          <w:u w:val="single"/>
        </w:rPr>
        <w:t>,</w:t>
      </w:r>
      <w:r>
        <w:rPr>
          <w:rFonts w:hint="eastAsia" w:ascii="宋体" w:hAnsi="宋体" w:cs="宋体"/>
          <w:kern w:val="0"/>
          <w:sz w:val="24"/>
          <w:u w:val="single"/>
        </w:rPr>
        <w:t>……</w:t>
      </w:r>
      <w:bookmarkEnd w:id="399"/>
      <w:r>
        <w:rPr>
          <w:rFonts w:hint="eastAsia" w:ascii="宋体" w:hAnsi="宋体" w:cs="宋体"/>
          <w:kern w:val="0"/>
          <w:sz w:val="24"/>
          <w:u w:val="single"/>
        </w:rPr>
        <w:t>）</w:t>
      </w:r>
      <w:r>
        <w:rPr>
          <w:rFonts w:hint="eastAsia" w:ascii="宋体" w:hAnsi="宋体" w:cs="宋体"/>
          <w:kern w:val="0"/>
          <w:sz w:val="24"/>
        </w:rPr>
        <w:t>提供的服务由小微企业承接，其合同份额占到合同总金额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kern w:val="0"/>
          <w:sz w:val="24"/>
          <w:lang w:val="zh-CN"/>
        </w:rPr>
        <w:t>。</w:t>
      </w:r>
      <w:r>
        <w:rPr>
          <w:rFonts w:hint="eastAsia" w:ascii="宋体" w:hAnsi="宋体" w:cs="宋体"/>
          <w:b/>
          <w:kern w:val="0"/>
          <w:sz w:val="24"/>
          <w:lang w:val="zh-CN"/>
        </w:rPr>
        <w:t>（</w:t>
      </w:r>
      <w:bookmarkStart w:id="400" w:name="_Hlk101133598"/>
      <w:r>
        <w:rPr>
          <w:rFonts w:hint="eastAsia" w:ascii="宋体" w:hAnsi="宋体" w:cs="宋体"/>
          <w:b/>
          <w:kern w:val="0"/>
          <w:sz w:val="24"/>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sz w:val="24"/>
        </w:rPr>
        <w:t>拟享受以上价格扣除政策的，填写有关内容。</w:t>
      </w:r>
      <w:bookmarkEnd w:id="400"/>
      <w:r>
        <w:rPr>
          <w:rFonts w:hint="eastAsia" w:ascii="宋体" w:hAnsi="宋体" w:cs="宋体"/>
          <w:b/>
          <w:kern w:val="0"/>
          <w:sz w:val="24"/>
          <w:lang w:val="zh-CN"/>
        </w:rPr>
        <w:t>）</w:t>
      </w:r>
    </w:p>
    <w:p>
      <w:pPr>
        <w:spacing w:line="360" w:lineRule="auto"/>
        <w:ind w:firstLine="480" w:firstLineChars="200"/>
        <w:rPr>
          <w:rFonts w:ascii="宋体" w:hAnsi="宋体" w:cs="宋体"/>
          <w:b/>
          <w:bCs/>
          <w:kern w:val="0"/>
          <w:sz w:val="24"/>
          <w:lang w:val="zh-CN"/>
        </w:rPr>
      </w:pPr>
      <w:r>
        <w:rPr>
          <w:rFonts w:hint="eastAsia" w:ascii="宋体" w:hAnsi="宋体" w:cs="宋体"/>
          <w:sz w:val="24"/>
        </w:rPr>
        <w:t>2、</w:t>
      </w:r>
      <w:bookmarkStart w:id="401" w:name="_Hlk101133173"/>
      <w:r>
        <w:rPr>
          <w:rFonts w:hint="eastAsia" w:ascii="宋体" w:hAnsi="宋体" w:cs="宋体"/>
          <w:sz w:val="24"/>
        </w:rPr>
        <w:t>中小企业合同金额达到</w:t>
      </w:r>
      <w:r>
        <w:rPr>
          <w:rFonts w:hint="eastAsia" w:ascii="宋体" w:hAnsi="宋体" w:cs="宋体"/>
          <w:sz w:val="24"/>
          <w:u w:val="single"/>
        </w:rPr>
        <w:t xml:space="preserve">  </w:t>
      </w:r>
      <w:r>
        <w:rPr>
          <w:rFonts w:hint="eastAsia" w:ascii="宋体" w:hAnsi="宋体" w:cs="宋体"/>
          <w:sz w:val="24"/>
        </w:rPr>
        <w:t>%，小微企业合同金额达到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kern w:val="0"/>
          <w:sz w:val="24"/>
          <w:lang w:val="zh-CN"/>
        </w:rPr>
        <w:t>）</w:t>
      </w:r>
      <w:bookmarkEnd w:id="401"/>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五、如果中标，</w:t>
      </w:r>
      <w:r>
        <w:rPr>
          <w:rFonts w:hint="eastAsia" w:ascii="宋体" w:hAnsi="宋体" w:cs="宋体"/>
          <w:sz w:val="24"/>
        </w:rPr>
        <w:t>联合体各成员方共同与采购人签订合同，并就采购合同约定的事项对采购人承担连带责任。</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六、有关本次联合投标的其他事宜：</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1、联合体各方不再单独参加或者与其他供应商另外组成联合体参加同一合同项下的政府采购活动。</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2、联合体中有同类资质的各方按照联合体分工承担相同工作的，按照资质等级较低的供应商确定资质等级。</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3、本协议提交采购人、采购代理机构后，联合体各方不得以任何形式对上述内容进行修改或撤销。</w:t>
      </w:r>
    </w:p>
    <w:p>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pPr>
        <w:snapToGrid w:val="0"/>
        <w:spacing w:line="360" w:lineRule="auto"/>
        <w:ind w:right="960"/>
        <w:jc w:val="center"/>
        <w:rPr>
          <w:rFonts w:ascii="宋体" w:hAnsi="宋体" w:cs="宋体"/>
          <w:kern w:val="0"/>
          <w:sz w:val="24"/>
          <w:lang w:val="zh-CN"/>
        </w:rPr>
      </w:pPr>
      <w:r>
        <w:rPr>
          <w:rFonts w:hint="eastAsia" w:ascii="宋体" w:hAnsi="宋体" w:cs="宋体"/>
          <w:kern w:val="0"/>
          <w:sz w:val="24"/>
          <w:lang w:val="zh-CN"/>
        </w:rPr>
        <w:t xml:space="preserve">                   ……</w:t>
      </w:r>
    </w:p>
    <w:p>
      <w:pPr>
        <w:snapToGrid w:val="0"/>
        <w:spacing w:line="360" w:lineRule="auto"/>
        <w:jc w:val="right"/>
        <w:rPr>
          <w:rFonts w:ascii="宋体" w:hAnsi="宋体" w:cs="宋体"/>
          <w:kern w:val="0"/>
          <w:sz w:val="24"/>
          <w:lang w:val="zh-CN"/>
        </w:rPr>
      </w:pPr>
      <w:r>
        <w:rPr>
          <w:rFonts w:hint="eastAsia" w:ascii="宋体" w:hAnsi="宋体" w:cs="宋体"/>
          <w:kern w:val="0"/>
          <w:sz w:val="24"/>
          <w:lang w:val="zh-CN"/>
        </w:rPr>
        <w:t>日期：  年  月   日</w:t>
      </w:r>
    </w:p>
    <w:p>
      <w:pPr>
        <w:spacing w:line="360" w:lineRule="auto"/>
        <w:ind w:right="420"/>
        <w:rPr>
          <w:rFonts w:ascii="宋体" w:hAnsi="宋体" w:cs="宋体"/>
          <w:sz w:val="24"/>
        </w:rPr>
      </w:pPr>
      <w:r>
        <w:rPr>
          <w:rFonts w:hint="eastAsia" w:ascii="宋体" w:hAnsi="宋体" w:cs="宋体"/>
          <w:sz w:val="24"/>
        </w:rPr>
        <w:t>注：按本格式和要求提供。</w:t>
      </w: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widowControl/>
        <w:adjustRightInd/>
        <w:jc w:val="left"/>
        <w:rPr>
          <w:rFonts w:ascii="宋体" w:hAnsi="宋体" w:cs="宋体"/>
          <w:b/>
          <w:spacing w:val="6"/>
          <w:sz w:val="32"/>
          <w:szCs w:val="32"/>
        </w:rPr>
      </w:pPr>
      <w:r>
        <w:rPr>
          <w:rFonts w:ascii="宋体" w:hAnsi="宋体" w:cs="宋体"/>
          <w:b/>
          <w:spacing w:val="6"/>
          <w:sz w:val="32"/>
          <w:szCs w:val="32"/>
        </w:rPr>
        <w:br w:type="page"/>
      </w:r>
    </w:p>
    <w:p>
      <w:pPr>
        <w:snapToGrid w:val="0"/>
        <w:spacing w:line="360" w:lineRule="auto"/>
        <w:ind w:firstLine="3666" w:firstLineChars="1100"/>
        <w:rPr>
          <w:rFonts w:ascii="宋体" w:hAnsi="宋体" w:cs="宋体"/>
          <w:b/>
          <w:kern w:val="0"/>
          <w:sz w:val="32"/>
          <w:szCs w:val="32"/>
        </w:rPr>
      </w:pPr>
      <w:r>
        <w:rPr>
          <w:rFonts w:hint="eastAsia" w:ascii="宋体" w:hAnsi="宋体" w:cs="宋体"/>
          <w:b/>
          <w:spacing w:val="6"/>
          <w:sz w:val="32"/>
          <w:szCs w:val="32"/>
        </w:rPr>
        <w:t>附件</w:t>
      </w:r>
      <w:r>
        <w:rPr>
          <w:rFonts w:ascii="宋体" w:hAnsi="宋体" w:cs="宋体"/>
          <w:b/>
          <w:spacing w:val="6"/>
          <w:sz w:val="32"/>
          <w:szCs w:val="32"/>
        </w:rPr>
        <w:t>6</w:t>
      </w:r>
      <w:r>
        <w:rPr>
          <w:rFonts w:hint="eastAsia" w:ascii="宋体" w:hAnsi="宋体" w:cs="宋体"/>
          <w:b/>
          <w:spacing w:val="6"/>
          <w:sz w:val="32"/>
          <w:szCs w:val="32"/>
        </w:rPr>
        <w:t>：</w:t>
      </w:r>
      <w:r>
        <w:rPr>
          <w:rFonts w:hint="eastAsia" w:ascii="宋体" w:hAnsi="宋体" w:cs="宋体"/>
          <w:b/>
          <w:kern w:val="0"/>
          <w:sz w:val="32"/>
          <w:szCs w:val="32"/>
        </w:rPr>
        <w:t>分包意向协议</w:t>
      </w:r>
    </w:p>
    <w:p>
      <w:pPr>
        <w:widowControl/>
        <w:spacing w:line="360" w:lineRule="auto"/>
        <w:ind w:firstLine="120" w:firstLineChars="50"/>
        <w:jc w:val="left"/>
        <w:rPr>
          <w:rFonts w:ascii="宋体" w:hAnsi="宋体" w:cs="宋体"/>
          <w:sz w:val="24"/>
        </w:rPr>
      </w:pPr>
      <w:r>
        <w:rPr>
          <w:rFonts w:hint="eastAsia" w:ascii="宋体" w:hAnsi="宋体" w:cs="宋体"/>
          <w:sz w:val="24"/>
        </w:rPr>
        <w:t>（</w:t>
      </w:r>
      <w:r>
        <w:rPr>
          <w:rFonts w:hint="eastAsia" w:ascii="宋体" w:hAnsi="宋体" w:cs="宋体"/>
          <w:b/>
          <w:sz w:val="24"/>
        </w:rPr>
        <w:t>中标后以分包方式履行合同的，提供分包意向协议；采购人不同意分包或者投标人中标后不以分包方式履行合同的，则不需要提供。</w:t>
      </w:r>
      <w:r>
        <w:rPr>
          <w:rFonts w:hint="eastAsia" w:ascii="宋体" w:hAnsi="宋体" w:cs="宋体"/>
          <w:sz w:val="24"/>
        </w:rPr>
        <w:t>）</w:t>
      </w:r>
    </w:p>
    <w:p>
      <w:pPr>
        <w:snapToGrid w:val="0"/>
        <w:spacing w:line="360" w:lineRule="auto"/>
        <w:ind w:firstLine="576"/>
        <w:rPr>
          <w:rFonts w:ascii="宋体" w:hAnsi="宋体" w:cs="宋体"/>
          <w:color w:val="auto"/>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若</w:t>
      </w:r>
      <w:r>
        <w:rPr>
          <w:rFonts w:hint="eastAsia" w:ascii="宋体" w:hAnsi="宋体" w:cs="宋体"/>
          <w:color w:val="auto"/>
          <w:kern w:val="0"/>
          <w:sz w:val="24"/>
          <w:lang w:val="zh-CN"/>
        </w:rPr>
        <w:t>成为</w:t>
      </w:r>
      <w:r>
        <w:rPr>
          <w:rFonts w:hint="eastAsia" w:ascii="宋体" w:hAnsi="宋体" w:cs="宋体"/>
          <w:color w:val="auto"/>
          <w:sz w:val="24"/>
        </w:rPr>
        <w:t>（项目名称）【招标编号：（采购编号）】</w:t>
      </w:r>
      <w:r>
        <w:rPr>
          <w:rFonts w:hint="eastAsia" w:ascii="宋体" w:hAnsi="宋体" w:cs="宋体"/>
          <w:color w:val="auto"/>
          <w:kern w:val="0"/>
          <w:sz w:val="24"/>
          <w:lang w:val="zh-CN"/>
        </w:rPr>
        <w:t>的中标供应商，将依法采取分包方式履行合同。</w:t>
      </w:r>
      <w:r>
        <w:rPr>
          <w:rFonts w:hint="eastAsia" w:ascii="宋体" w:hAnsi="宋体" w:cs="宋体"/>
          <w:color w:val="auto"/>
          <w:kern w:val="0"/>
          <w:sz w:val="24"/>
          <w:u w:val="single"/>
        </w:rPr>
        <w:t>（投标人名称）</w:t>
      </w:r>
      <w:r>
        <w:rPr>
          <w:rFonts w:hint="eastAsia" w:ascii="宋体" w:hAnsi="宋体" w:cs="宋体"/>
          <w:color w:val="auto"/>
          <w:kern w:val="0"/>
          <w:sz w:val="24"/>
        </w:rPr>
        <w:t>与</w:t>
      </w:r>
      <w:r>
        <w:rPr>
          <w:rFonts w:hint="eastAsia" w:ascii="宋体" w:hAnsi="宋体" w:cs="宋体"/>
          <w:color w:val="auto"/>
          <w:kern w:val="0"/>
          <w:sz w:val="24"/>
          <w:u w:val="single"/>
        </w:rPr>
        <w:t>（所有分包供应商名称）</w:t>
      </w:r>
      <w:r>
        <w:rPr>
          <w:rFonts w:hint="eastAsia" w:ascii="宋体" w:hAnsi="宋体" w:cs="宋体"/>
          <w:color w:val="auto"/>
          <w:kern w:val="0"/>
          <w:sz w:val="24"/>
        </w:rPr>
        <w:t>达成分包意向协议</w:t>
      </w:r>
      <w:r>
        <w:rPr>
          <w:rFonts w:hint="eastAsia" w:ascii="宋体" w:hAnsi="宋体" w:cs="宋体"/>
          <w:color w:val="auto"/>
          <w:kern w:val="0"/>
          <w:sz w:val="24"/>
          <w:lang w:val="zh-CN"/>
        </w:rPr>
        <w:t xml:space="preserve">。 </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一、分包标的及数量</w:t>
      </w:r>
    </w:p>
    <w:p>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将</w:t>
      </w:r>
      <w:r>
        <w:rPr>
          <w:rFonts w:hint="eastAsia" w:ascii="宋体" w:hAnsi="宋体" w:cs="宋体"/>
          <w:u w:val="single"/>
        </w:rPr>
        <w:t xml:space="preserve">  </w:t>
      </w:r>
      <w:r>
        <w:rPr>
          <w:rFonts w:ascii="宋体" w:hAnsi="宋体" w:cs="宋体"/>
          <w:kern w:val="0"/>
          <w:sz w:val="24"/>
          <w:u w:val="single"/>
        </w:rPr>
        <w:t xml:space="preserve"> XX工作内容   </w:t>
      </w:r>
      <w:r>
        <w:rPr>
          <w:rFonts w:hint="eastAsia" w:ascii="宋体" w:hAnsi="宋体" w:cs="宋体"/>
          <w:sz w:val="24"/>
        </w:rPr>
        <w:t>分包给</w:t>
      </w:r>
      <w:r>
        <w:rPr>
          <w:rFonts w:hint="eastAsia" w:ascii="宋体" w:hAnsi="宋体" w:cs="宋体"/>
          <w:kern w:val="0"/>
          <w:sz w:val="24"/>
          <w:u w:val="single"/>
        </w:rPr>
        <w:t>（分包供应商1名称）</w:t>
      </w:r>
      <w:r>
        <w:rPr>
          <w:rFonts w:hint="eastAsia" w:ascii="宋体" w:hAnsi="宋体" w:cs="宋体"/>
          <w:kern w:val="0"/>
          <w:sz w:val="24"/>
          <w:lang w:val="zh-CN"/>
        </w:rPr>
        <w:t>，</w:t>
      </w:r>
      <w:r>
        <w:rPr>
          <w:rFonts w:hint="eastAsia" w:ascii="宋体" w:hAnsi="宋体" w:cs="宋体"/>
          <w:kern w:val="0"/>
          <w:sz w:val="24"/>
          <w:u w:val="single"/>
        </w:rPr>
        <w:t>（分包供应商2名称），</w:t>
      </w:r>
      <w:r>
        <w:rPr>
          <w:rFonts w:hint="eastAsia" w:ascii="宋体" w:hAnsi="宋体" w:cs="宋体"/>
          <w:kern w:val="0"/>
          <w:sz w:val="24"/>
          <w:lang w:val="zh-CN"/>
        </w:rPr>
        <w:t>具备承</w:t>
      </w:r>
      <w:r>
        <w:rPr>
          <w:rFonts w:hint="eastAsia" w:ascii="宋体" w:hAnsi="宋体" w:cs="宋体"/>
          <w:kern w:val="0"/>
          <w:sz w:val="24"/>
        </w:rPr>
        <w:t>担</w:t>
      </w:r>
      <w:r>
        <w:rPr>
          <w:rFonts w:hint="eastAsia" w:ascii="宋体" w:hAnsi="宋体" w:cs="宋体"/>
          <w:kern w:val="0"/>
          <w:sz w:val="24"/>
          <w:u w:val="single"/>
          <w:lang w:val="zh-CN"/>
        </w:rPr>
        <w:t>XX工作内容</w:t>
      </w:r>
      <w:r>
        <w:rPr>
          <w:rFonts w:hint="eastAsia" w:ascii="宋体" w:hAnsi="宋体" w:cs="宋体"/>
          <w:kern w:val="0"/>
          <w:sz w:val="24"/>
          <w:lang w:val="zh-CN"/>
        </w:rPr>
        <w:t>相应资质条件且不得再次分包；</w:t>
      </w:r>
    </w:p>
    <w:p>
      <w:pPr>
        <w:pStyle w:val="4"/>
        <w:ind w:left="664" w:leftChars="316" w:firstLine="229" w:firstLineChars="95"/>
        <w:rPr>
          <w:rFonts w:ascii="宋体" w:hAnsi="宋体" w:eastAsia="宋体" w:cs="宋体"/>
          <w:kern w:val="0"/>
          <w:sz w:val="24"/>
          <w:szCs w:val="24"/>
        </w:rPr>
      </w:pPr>
      <w:r>
        <w:rPr>
          <w:rFonts w:hint="eastAsia" w:ascii="宋体" w:hAnsi="宋体" w:eastAsia="宋体" w:cs="宋体"/>
          <w:kern w:val="0"/>
          <w:sz w:val="24"/>
          <w:szCs w:val="24"/>
        </w:rPr>
        <w:t>……</w:t>
      </w:r>
    </w:p>
    <w:p>
      <w:r>
        <w:rPr>
          <w:rFonts w:hint="eastAsia"/>
          <w:lang w:val="zh-CN"/>
        </w:rPr>
        <w:t xml:space="preserve">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二、分包供应商中小企业合同份额</w:t>
      </w:r>
    </w:p>
    <w:p>
      <w:pPr>
        <w:snapToGrid w:val="0"/>
        <w:spacing w:line="360" w:lineRule="auto"/>
        <w:ind w:firstLine="576"/>
        <w:rPr>
          <w:rFonts w:ascii="宋体" w:hAnsi="宋体" w:cs="宋体"/>
          <w:b/>
          <w:kern w:val="0"/>
          <w:sz w:val="24"/>
          <w:lang w:val="zh-CN"/>
        </w:rPr>
      </w:pPr>
      <w:r>
        <w:rPr>
          <w:rFonts w:ascii="宋体" w:hAnsi="宋体" w:cs="宋体"/>
          <w:kern w:val="0"/>
          <w:sz w:val="24"/>
        </w:rPr>
        <w:t>1、</w:t>
      </w:r>
      <w:r>
        <w:rPr>
          <w:rFonts w:hint="eastAsia" w:ascii="宋体" w:hAnsi="宋体" w:cs="宋体"/>
          <w:kern w:val="0"/>
          <w:sz w:val="24"/>
          <w:u w:val="single"/>
        </w:rPr>
        <w:t>（分包供应商X</w:t>
      </w:r>
      <w:r>
        <w:rPr>
          <w:rFonts w:ascii="宋体" w:hAnsi="宋体" w:cs="宋体"/>
          <w:kern w:val="0"/>
          <w:sz w:val="24"/>
          <w:u w:val="single"/>
        </w:rPr>
        <w:t>,</w:t>
      </w:r>
      <w:r>
        <w:rPr>
          <w:rFonts w:hint="eastAsia" w:ascii="宋体" w:hAnsi="宋体" w:cs="宋体"/>
          <w:kern w:val="0"/>
          <w:sz w:val="24"/>
          <w:u w:val="single"/>
        </w:rPr>
        <w:t>……）提供的服务全部由小微企业承接，</w:t>
      </w:r>
      <w:r>
        <w:rPr>
          <w:rFonts w:hint="eastAsia" w:ascii="宋体" w:hAnsi="宋体" w:cs="宋体"/>
          <w:kern w:val="0"/>
          <w:sz w:val="24"/>
        </w:rPr>
        <w:t>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rPr>
        <w:t>。</w:t>
      </w:r>
      <w:r>
        <w:rPr>
          <w:rFonts w:hint="eastAsia" w:ascii="宋体" w:hAnsi="宋体" w:cs="宋体"/>
          <w:b/>
          <w:kern w:val="0"/>
          <w:sz w:val="24"/>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sz w:val="24"/>
        </w:rPr>
        <w:t>拟享受以上价格扣除政策的，填写有关内容。</w:t>
      </w:r>
      <w:r>
        <w:rPr>
          <w:rFonts w:hint="eastAsia" w:ascii="宋体" w:hAnsi="宋体" w:cs="宋体"/>
          <w:b/>
          <w:kern w:val="0"/>
          <w:sz w:val="24"/>
          <w:lang w:val="zh-CN"/>
        </w:rPr>
        <w:t>）</w:t>
      </w:r>
    </w:p>
    <w:p>
      <w:pPr>
        <w:spacing w:line="360" w:lineRule="auto"/>
        <w:ind w:firstLine="480" w:firstLineChars="200"/>
        <w:rPr>
          <w:rFonts w:ascii="宋体" w:hAnsi="宋体" w:cs="宋体"/>
          <w:b/>
          <w:bCs/>
          <w:kern w:val="0"/>
          <w:sz w:val="24"/>
          <w:lang w:val="zh-CN"/>
        </w:rPr>
      </w:pPr>
      <w:r>
        <w:rPr>
          <w:rFonts w:hint="eastAsia" w:ascii="宋体" w:hAnsi="宋体" w:cs="宋体"/>
          <w:sz w:val="24"/>
        </w:rPr>
        <w:t>2、中小企业合同金额达到</w:t>
      </w:r>
      <w:r>
        <w:rPr>
          <w:rFonts w:hint="eastAsia" w:ascii="宋体" w:hAnsi="宋体" w:cs="宋体"/>
          <w:sz w:val="24"/>
          <w:u w:val="single"/>
        </w:rPr>
        <w:t xml:space="preserve">  </w:t>
      </w:r>
      <w:r>
        <w:rPr>
          <w:rFonts w:hint="eastAsia" w:ascii="宋体" w:hAnsi="宋体" w:cs="宋体"/>
          <w:sz w:val="24"/>
        </w:rPr>
        <w:t>%，小微企业合同金额达到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要求合同分包形式参加的项目或采购包，供应商按招标文件第一部分招标公告申请人的资格要求中规定的</w:t>
      </w:r>
      <w:r>
        <w:rPr>
          <w:rFonts w:hint="eastAsia" w:ascii="宋体" w:hAnsi="宋体" w:cs="宋体"/>
          <w:b/>
          <w:kern w:val="0"/>
          <w:sz w:val="24"/>
          <w:lang w:val="zh-CN"/>
        </w:rPr>
        <w:t>分包意向协议</w:t>
      </w:r>
      <w:r>
        <w:rPr>
          <w:rFonts w:hint="eastAsia" w:ascii="宋体" w:hAnsi="宋体" w:cs="宋体"/>
          <w:b/>
          <w:bCs/>
          <w:sz w:val="24"/>
        </w:rPr>
        <w:t>中中小企业、小微企业合同金额应当达到的比例要求填写。</w:t>
      </w:r>
      <w:r>
        <w:rPr>
          <w:rFonts w:hint="eastAsia" w:ascii="宋体" w:hAnsi="宋体" w:cs="宋体"/>
          <w:b/>
          <w:bCs/>
          <w:kern w:val="0"/>
          <w:sz w:val="24"/>
          <w:lang w:val="zh-CN"/>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三、分包工作履行期限、地点、方式</w:t>
      </w:r>
    </w:p>
    <w:p>
      <w:pPr>
        <w:snapToGrid w:val="0"/>
        <w:spacing w:line="360" w:lineRule="auto"/>
        <w:ind w:firstLine="576"/>
        <w:rPr>
          <w:rFonts w:ascii="宋体" w:hAnsi="宋体" w:cs="宋体"/>
          <w:u w:val="single"/>
        </w:rPr>
      </w:pPr>
      <w:r>
        <w:rPr>
          <w:rFonts w:hint="eastAsia" w:ascii="宋体" w:hAnsi="宋体" w:cs="宋体"/>
          <w:u w:val="single"/>
        </w:rPr>
        <w:t xml:space="preserve">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四、质量</w:t>
      </w:r>
    </w:p>
    <w:p>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五、价款或者报酬</w:t>
      </w:r>
    </w:p>
    <w:p>
      <w:pPr>
        <w:snapToGrid w:val="0"/>
        <w:spacing w:line="360" w:lineRule="auto"/>
        <w:ind w:left="573" w:leftChars="273"/>
        <w:rPr>
          <w:rFonts w:ascii="宋体" w:hAnsi="宋体" w:cs="宋体"/>
          <w:kern w:val="0"/>
          <w:sz w:val="24"/>
          <w:lang w:val="zh-CN"/>
        </w:rPr>
      </w:pPr>
      <w:r>
        <w:rPr>
          <w:rFonts w:hint="eastAsia" w:ascii="宋体" w:hAnsi="宋体" w:cs="宋体"/>
          <w:u w:val="single"/>
        </w:rPr>
        <w:t xml:space="preserve">                                                                                     </w:t>
      </w:r>
    </w:p>
    <w:p>
      <w:pPr>
        <w:snapToGrid w:val="0"/>
        <w:spacing w:line="360" w:lineRule="auto"/>
        <w:ind w:left="573" w:leftChars="273"/>
        <w:rPr>
          <w:rFonts w:ascii="宋体" w:hAnsi="宋体" w:cs="宋体"/>
          <w:kern w:val="0"/>
          <w:sz w:val="24"/>
          <w:lang w:val="zh-CN"/>
        </w:rPr>
      </w:pPr>
      <w:r>
        <w:rPr>
          <w:rFonts w:hint="eastAsia" w:ascii="宋体" w:hAnsi="宋体" w:cs="宋体"/>
          <w:kern w:val="0"/>
          <w:sz w:val="24"/>
          <w:lang w:val="zh-CN"/>
        </w:rPr>
        <w:t>六、违约责任</w:t>
      </w:r>
    </w:p>
    <w:p>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七、争议解决的办法</w:t>
      </w:r>
    </w:p>
    <w:p>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八、其他</w:t>
      </w:r>
    </w:p>
    <w:p>
      <w:pPr>
        <w:snapToGrid w:val="0"/>
        <w:spacing w:line="360" w:lineRule="auto"/>
        <w:ind w:left="5758" w:leftChars="342" w:hanging="5040" w:hangingChars="2100"/>
        <w:rPr>
          <w:rFonts w:ascii="宋体" w:hAnsi="宋体" w:cs="宋体"/>
          <w:kern w:val="0"/>
          <w:sz w:val="24"/>
          <w:lang w:val="zh-CN"/>
        </w:rPr>
      </w:pPr>
      <w:r>
        <w:rPr>
          <w:rFonts w:hint="eastAsia" w:ascii="宋体" w:hAnsi="宋体" w:cs="宋体"/>
          <w:sz w:val="24"/>
        </w:rPr>
        <w:t>中小企业合同金额达到</w:t>
      </w:r>
      <w:r>
        <w:rPr>
          <w:rFonts w:hint="eastAsia" w:ascii="宋体" w:hAnsi="宋体" w:cs="宋体"/>
          <w:sz w:val="24"/>
          <w:u w:val="single"/>
        </w:rPr>
        <w:t xml:space="preserve">  </w:t>
      </w:r>
      <w:r>
        <w:rPr>
          <w:rFonts w:hint="eastAsia" w:ascii="宋体" w:hAnsi="宋体" w:cs="宋体"/>
          <w:sz w:val="24"/>
        </w:rPr>
        <w:t>%，小微企业合同金额达到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 xml:space="preserve">  。                                           投标人名称(电子签名)：</w:t>
      </w:r>
    </w:p>
    <w:p>
      <w:pPr>
        <w:snapToGrid w:val="0"/>
        <w:spacing w:line="360" w:lineRule="auto"/>
        <w:jc w:val="right"/>
        <w:rPr>
          <w:rFonts w:ascii="宋体" w:hAnsi="宋体" w:cs="宋体"/>
          <w:kern w:val="0"/>
          <w:sz w:val="24"/>
          <w:lang w:val="zh-CN"/>
        </w:rPr>
      </w:pPr>
      <w:r>
        <w:rPr>
          <w:rFonts w:hint="eastAsia" w:ascii="宋体" w:hAnsi="宋体" w:cs="宋体"/>
          <w:kern w:val="0"/>
          <w:sz w:val="24"/>
          <w:lang w:val="zh-CN"/>
        </w:rPr>
        <w:t>分包供应商名称(电子签名/公章)：</w:t>
      </w:r>
    </w:p>
    <w:p>
      <w:pPr>
        <w:snapToGrid w:val="0"/>
        <w:spacing w:line="360" w:lineRule="auto"/>
        <w:ind w:firstLine="5760" w:firstLineChars="2400"/>
        <w:rPr>
          <w:rFonts w:ascii="宋体" w:hAnsi="宋体" w:cs="宋体"/>
        </w:rPr>
      </w:pPr>
      <w:r>
        <w:rPr>
          <w:rFonts w:hint="eastAsia" w:ascii="宋体" w:hAnsi="宋体" w:cs="宋体"/>
          <w:kern w:val="0"/>
          <w:sz w:val="24"/>
          <w:lang w:val="zh-CN"/>
        </w:rPr>
        <w:t>……</w:t>
      </w:r>
    </w:p>
    <w:p>
      <w:pPr>
        <w:snapToGrid w:val="0"/>
        <w:spacing w:line="360" w:lineRule="auto"/>
        <w:ind w:left="5758" w:leftChars="342" w:hanging="5040" w:hangingChars="2100"/>
        <w:rPr>
          <w:rFonts w:ascii="宋体" w:hAnsi="宋体" w:cs="宋体"/>
          <w:kern w:val="0"/>
          <w:sz w:val="24"/>
          <w:lang w:val="zh-CN"/>
        </w:rPr>
      </w:pPr>
      <w:r>
        <w:rPr>
          <w:rFonts w:hint="eastAsia" w:ascii="宋体" w:hAnsi="宋体" w:cs="宋体"/>
          <w:kern w:val="0"/>
          <w:sz w:val="24"/>
          <w:lang w:val="zh-CN"/>
        </w:rPr>
        <w:t xml:space="preserve">                                        日期：  年  月   日</w:t>
      </w:r>
    </w:p>
    <w:p>
      <w:pPr>
        <w:spacing w:line="360" w:lineRule="auto"/>
        <w:ind w:right="420"/>
        <w:rPr>
          <w:rFonts w:ascii="宋体" w:hAnsi="宋体" w:cs="宋体"/>
          <w:sz w:val="24"/>
        </w:rPr>
      </w:pPr>
      <w:r>
        <w:rPr>
          <w:rFonts w:hint="eastAsia" w:ascii="宋体" w:hAnsi="宋体" w:cs="宋体"/>
          <w:sz w:val="24"/>
        </w:rPr>
        <w:t>注：按本格式和要求提供。</w:t>
      </w: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spacing w:line="360" w:lineRule="auto"/>
        <w:jc w:val="left"/>
        <w:outlineLvl w:val="0"/>
        <w:rPr>
          <w:rFonts w:ascii="宋体" w:hAnsi="宋体" w:cs="宋体"/>
          <w:b/>
          <w:sz w:val="36"/>
          <w:szCs w:val="20"/>
        </w:rPr>
      </w:pPr>
      <w:r>
        <w:rPr>
          <w:rFonts w:hint="eastAsia" w:ascii="宋体" w:hAnsi="宋体" w:cs="宋体"/>
          <w:b/>
          <w:sz w:val="36"/>
          <w:szCs w:val="20"/>
        </w:rPr>
        <w:t>附件</w:t>
      </w:r>
      <w:r>
        <w:rPr>
          <w:rFonts w:ascii="宋体" w:hAnsi="宋体" w:cs="宋体"/>
          <w:b/>
          <w:sz w:val="36"/>
          <w:szCs w:val="20"/>
        </w:rPr>
        <w:t>7</w:t>
      </w:r>
      <w:r>
        <w:rPr>
          <w:rFonts w:hint="eastAsia" w:ascii="宋体" w:hAnsi="宋体" w:cs="宋体"/>
          <w:b/>
          <w:sz w:val="36"/>
          <w:szCs w:val="20"/>
        </w:rPr>
        <w:t>：中小企业声明函</w:t>
      </w:r>
    </w:p>
    <w:p>
      <w:pPr>
        <w:spacing w:line="360" w:lineRule="auto"/>
        <w:jc w:val="center"/>
        <w:rPr>
          <w:rFonts w:ascii="宋体" w:hAnsi="宋体" w:cs="宋体"/>
          <w:sz w:val="24"/>
          <w:u w:val="single"/>
        </w:rPr>
      </w:pPr>
    </w:p>
    <w:p>
      <w:pPr>
        <w:spacing w:line="360" w:lineRule="auto"/>
        <w:jc w:val="center"/>
        <w:rPr>
          <w:rFonts w:ascii="宋体" w:hAnsi="宋体" w:cs="宋体"/>
          <w:b/>
          <w:sz w:val="32"/>
          <w:szCs w:val="32"/>
        </w:rPr>
      </w:pPr>
      <w:r>
        <w:rPr>
          <w:rFonts w:hint="eastAsia" w:ascii="宋体" w:hAnsi="宋体" w:cs="宋体"/>
          <w:b/>
          <w:sz w:val="32"/>
          <w:szCs w:val="32"/>
        </w:rPr>
        <w:t>中小企业声明函（服务）</w:t>
      </w:r>
    </w:p>
    <w:p>
      <w:pPr>
        <w:spacing w:line="360" w:lineRule="auto"/>
        <w:ind w:firstLine="360" w:firstLineChars="150"/>
        <w:jc w:val="left"/>
        <w:rPr>
          <w:rFonts w:ascii="宋体" w:hAnsi="宋体" w:cs="宋体"/>
          <w:color w:val="auto"/>
          <w:sz w:val="24"/>
        </w:rPr>
      </w:pPr>
      <w:r>
        <w:rPr>
          <w:rFonts w:hint="eastAsia" w:ascii="宋体" w:hAnsi="宋体" w:cs="宋体"/>
          <w:sz w:val="24"/>
        </w:rPr>
        <w:t>本公司（联合体</w:t>
      </w:r>
      <w:r>
        <w:rPr>
          <w:rFonts w:hint="eastAsia" w:ascii="宋体" w:hAnsi="宋体" w:cs="宋体"/>
          <w:color w:val="auto"/>
          <w:sz w:val="24"/>
        </w:rPr>
        <w:t xml:space="preserve">）郑重声明，根据《政府采购促进中小企业发展管理办法》（财库﹝2020﹞46 号）的规定，本公司（联合体）参加 </w:t>
      </w:r>
      <w:r>
        <w:rPr>
          <w:rFonts w:hint="eastAsia" w:ascii="宋体" w:hAnsi="宋体" w:cs="宋体"/>
          <w:color w:val="auto"/>
          <w:sz w:val="24"/>
          <w:u w:val="single"/>
        </w:rPr>
        <w:t xml:space="preserve">（采购人） </w:t>
      </w:r>
      <w:r>
        <w:rPr>
          <w:rFonts w:hint="eastAsia" w:ascii="宋体" w:hAnsi="宋体" w:cs="宋体"/>
          <w:color w:val="auto"/>
          <w:sz w:val="24"/>
        </w:rPr>
        <w:t>的</w:t>
      </w:r>
      <w:r>
        <w:rPr>
          <w:rFonts w:hint="eastAsia" w:ascii="宋体" w:hAnsi="宋体" w:cs="宋体"/>
          <w:color w:val="auto"/>
          <w:sz w:val="24"/>
          <w:u w:val="single"/>
        </w:rPr>
        <w:t xml:space="preserve"> （项目名称） </w:t>
      </w:r>
      <w:r>
        <w:rPr>
          <w:rFonts w:hint="eastAsia" w:ascii="宋体" w:hAnsi="宋体" w:cs="宋体"/>
          <w:color w:val="auto"/>
          <w:sz w:val="24"/>
        </w:rPr>
        <w:t>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firstLineChars="200"/>
        <w:jc w:val="left"/>
        <w:rPr>
          <w:rFonts w:ascii="宋体" w:hAnsi="宋体" w:cs="宋体"/>
          <w:color w:val="auto"/>
          <w:sz w:val="24"/>
        </w:rPr>
      </w:pPr>
      <w:r>
        <w:rPr>
          <w:rFonts w:hint="eastAsia" w:ascii="宋体" w:hAnsi="宋体" w:cs="宋体"/>
          <w:color w:val="auto"/>
          <w:sz w:val="24"/>
        </w:rPr>
        <w:t>1.</w:t>
      </w:r>
      <w:r>
        <w:rPr>
          <w:rFonts w:hint="eastAsia" w:ascii="宋体" w:hAnsi="宋体" w:cs="宋体"/>
          <w:color w:val="auto"/>
        </w:rPr>
        <w:t xml:space="preserve"> </w:t>
      </w:r>
      <w:r>
        <w:rPr>
          <w:rFonts w:hint="eastAsia" w:ascii="宋体" w:hAnsi="宋体" w:cs="宋体"/>
          <w:color w:val="auto"/>
          <w:sz w:val="24"/>
          <w:u w:val="single"/>
        </w:rPr>
        <w:t>（</w:t>
      </w:r>
      <w:r>
        <w:rPr>
          <w:rFonts w:hint="eastAsia" w:ascii="宋体" w:hAnsi="宋体" w:cs="宋体"/>
          <w:b w:val="0"/>
          <w:bCs w:val="0"/>
          <w:color w:val="auto"/>
          <w:kern w:val="0"/>
          <w:sz w:val="24"/>
          <w:u w:val="single"/>
        </w:rPr>
        <w:t>渗滤液处理</w:t>
      </w:r>
      <w:r>
        <w:rPr>
          <w:rFonts w:hint="eastAsia" w:ascii="宋体" w:hAnsi="宋体" w:cs="宋体"/>
          <w:b w:val="0"/>
          <w:bCs w:val="0"/>
          <w:color w:val="auto"/>
          <w:kern w:val="0"/>
          <w:sz w:val="24"/>
          <w:u w:val="single"/>
          <w:lang w:eastAsia="zh-CN"/>
        </w:rPr>
        <w:t>运营服务</w:t>
      </w:r>
      <w:r>
        <w:rPr>
          <w:rFonts w:hint="eastAsia" w:ascii="宋体" w:hAnsi="宋体" w:cs="宋体"/>
          <w:color w:val="auto"/>
          <w:sz w:val="24"/>
          <w:u w:val="single"/>
        </w:rPr>
        <w:t>）</w:t>
      </w:r>
      <w:r>
        <w:rPr>
          <w:rFonts w:hint="eastAsia" w:ascii="宋体" w:hAnsi="宋体" w:cs="宋体"/>
          <w:color w:val="auto"/>
          <w:sz w:val="24"/>
        </w:rPr>
        <w:t>，属于</w:t>
      </w:r>
      <w:r>
        <w:rPr>
          <w:rFonts w:hint="eastAsia" w:ascii="宋体" w:hAnsi="宋体" w:cs="宋体"/>
          <w:color w:val="auto"/>
          <w:sz w:val="24"/>
          <w:u w:val="single"/>
        </w:rPr>
        <w:t xml:space="preserve"> （</w:t>
      </w:r>
      <w:r>
        <w:rPr>
          <w:rFonts w:hint="eastAsia" w:ascii="宋体" w:hAnsi="宋体" w:cs="宋体"/>
          <w:color w:val="auto"/>
          <w:kern w:val="0"/>
          <w:sz w:val="24"/>
          <w:u w:val="single"/>
          <w:lang w:val="en-US" w:eastAsia="zh-CN"/>
        </w:rPr>
        <w:t>其他未列明行业</w:t>
      </w:r>
      <w:r>
        <w:rPr>
          <w:rFonts w:hint="eastAsia" w:ascii="宋体" w:hAnsi="宋体" w:cs="宋体"/>
          <w:color w:val="auto"/>
          <w:sz w:val="24"/>
          <w:u w:val="single"/>
        </w:rPr>
        <w:t>）</w:t>
      </w:r>
      <w:r>
        <w:rPr>
          <w:rFonts w:hint="eastAsia" w:ascii="宋体" w:hAnsi="宋体" w:cs="宋体"/>
          <w:color w:val="auto"/>
          <w:sz w:val="24"/>
        </w:rPr>
        <w:t xml:space="preserve"> ；承建（承接）企业为 </w:t>
      </w:r>
      <w:r>
        <w:rPr>
          <w:rFonts w:hint="eastAsia" w:ascii="宋体" w:hAnsi="宋体" w:cs="宋体"/>
          <w:color w:val="auto"/>
          <w:sz w:val="24"/>
          <w:u w:val="single"/>
        </w:rPr>
        <w:t>（企业名称）</w:t>
      </w:r>
      <w:r>
        <w:rPr>
          <w:rFonts w:hint="eastAsia" w:ascii="宋体" w:hAnsi="宋体" w:cs="宋体"/>
          <w:color w:val="auto"/>
          <w:sz w:val="24"/>
        </w:rPr>
        <w:t xml:space="preserve"> ，从业人员</w:t>
      </w:r>
      <w:r>
        <w:rPr>
          <w:rFonts w:hint="eastAsia" w:ascii="宋体" w:hAnsi="宋体" w:cs="宋体"/>
          <w:color w:val="auto"/>
          <w:sz w:val="24"/>
          <w:u w:val="single"/>
        </w:rPr>
        <w:t xml:space="preserve">   </w:t>
      </w:r>
      <w:r>
        <w:rPr>
          <w:rFonts w:hint="eastAsia" w:ascii="宋体" w:hAnsi="宋体" w:cs="宋体"/>
          <w:color w:val="auto"/>
          <w:sz w:val="24"/>
        </w:rPr>
        <w:t>人，营业收入为</w:t>
      </w:r>
      <w:r>
        <w:rPr>
          <w:rFonts w:hint="eastAsia" w:ascii="宋体" w:hAnsi="宋体" w:cs="宋体"/>
          <w:color w:val="auto"/>
          <w:sz w:val="24"/>
          <w:u w:val="single"/>
        </w:rPr>
        <w:t xml:space="preserve">  </w:t>
      </w:r>
      <w:r>
        <w:rPr>
          <w:rFonts w:hint="eastAsia" w:ascii="宋体" w:hAnsi="宋体" w:cs="宋体"/>
          <w:color w:val="auto"/>
          <w:sz w:val="24"/>
        </w:rPr>
        <w:t>万元，资产总额为</w:t>
      </w:r>
      <w:r>
        <w:rPr>
          <w:rFonts w:hint="eastAsia" w:ascii="宋体" w:hAnsi="宋体" w:cs="宋体"/>
          <w:color w:val="auto"/>
          <w:sz w:val="24"/>
          <w:u w:val="single"/>
        </w:rPr>
        <w:t xml:space="preserve">   </w:t>
      </w:r>
      <w:r>
        <w:rPr>
          <w:rFonts w:hint="eastAsia" w:ascii="宋体" w:hAnsi="宋体" w:cs="宋体"/>
          <w:color w:val="auto"/>
          <w:sz w:val="24"/>
        </w:rPr>
        <w:t>万元属于</w:t>
      </w:r>
      <w:r>
        <w:rPr>
          <w:rFonts w:hint="eastAsia" w:ascii="宋体" w:hAnsi="宋体" w:cs="宋体"/>
          <w:color w:val="auto"/>
          <w:sz w:val="24"/>
          <w:u w:val="single"/>
        </w:rPr>
        <w:t xml:space="preserve"> （中型企业、小型企业、微型企业） </w:t>
      </w:r>
      <w:r>
        <w:rPr>
          <w:rFonts w:hint="eastAsia" w:ascii="宋体" w:hAnsi="宋体" w:cs="宋体"/>
          <w:color w:val="auto"/>
          <w:sz w:val="24"/>
        </w:rPr>
        <w:t>；</w:t>
      </w:r>
    </w:p>
    <w:p>
      <w:pPr>
        <w:spacing w:line="360" w:lineRule="auto"/>
        <w:ind w:firstLine="480" w:firstLineChars="200"/>
        <w:jc w:val="left"/>
        <w:rPr>
          <w:rFonts w:ascii="宋体" w:hAnsi="宋体" w:cs="宋体"/>
          <w:color w:val="auto"/>
          <w:sz w:val="24"/>
        </w:rPr>
      </w:pPr>
      <w:r>
        <w:rPr>
          <w:rFonts w:hint="eastAsia" w:ascii="宋体" w:hAnsi="宋体" w:cs="宋体"/>
          <w:color w:val="auto"/>
          <w:sz w:val="24"/>
        </w:rPr>
        <w:t>2.</w:t>
      </w:r>
      <w:r>
        <w:rPr>
          <w:rFonts w:hint="eastAsia" w:ascii="宋体" w:hAnsi="宋体" w:cs="宋体"/>
          <w:color w:val="auto"/>
          <w:sz w:val="24"/>
          <w:u w:val="single"/>
        </w:rPr>
        <w:t xml:space="preserve"> （标的名称），</w:t>
      </w:r>
      <w:r>
        <w:rPr>
          <w:rFonts w:hint="eastAsia" w:ascii="宋体" w:hAnsi="宋体" w:cs="宋体"/>
          <w:color w:val="auto"/>
          <w:sz w:val="24"/>
        </w:rPr>
        <w:t xml:space="preserve">属于 </w:t>
      </w:r>
      <w:r>
        <w:rPr>
          <w:rFonts w:hint="eastAsia" w:ascii="宋体" w:hAnsi="宋体" w:cs="宋体"/>
          <w:color w:val="auto"/>
          <w:sz w:val="24"/>
          <w:u w:val="single"/>
        </w:rPr>
        <w:t xml:space="preserve">（采购文件中明确的所属行业） </w:t>
      </w:r>
      <w:r>
        <w:rPr>
          <w:rFonts w:hint="eastAsia" w:ascii="宋体" w:hAnsi="宋体" w:cs="宋体"/>
          <w:color w:val="auto"/>
          <w:sz w:val="24"/>
        </w:rPr>
        <w:t xml:space="preserve">；承建（承接）企业为 </w:t>
      </w:r>
      <w:r>
        <w:rPr>
          <w:rFonts w:hint="eastAsia" w:ascii="宋体" w:hAnsi="宋体" w:cs="宋体"/>
          <w:color w:val="auto"/>
          <w:sz w:val="24"/>
          <w:u w:val="single"/>
        </w:rPr>
        <w:t>（企业名称）</w:t>
      </w:r>
      <w:r>
        <w:rPr>
          <w:rFonts w:hint="eastAsia" w:ascii="宋体" w:hAnsi="宋体" w:cs="宋体"/>
          <w:color w:val="auto"/>
          <w:sz w:val="24"/>
        </w:rPr>
        <w:t xml:space="preserve"> ，从业人员</w:t>
      </w:r>
      <w:r>
        <w:rPr>
          <w:rFonts w:hint="eastAsia" w:ascii="宋体" w:hAnsi="宋体" w:cs="宋体"/>
          <w:color w:val="auto"/>
          <w:sz w:val="24"/>
          <w:u w:val="single"/>
        </w:rPr>
        <w:t xml:space="preserve">   </w:t>
      </w:r>
      <w:r>
        <w:rPr>
          <w:rFonts w:hint="eastAsia" w:ascii="宋体" w:hAnsi="宋体" w:cs="宋体"/>
          <w:color w:val="auto"/>
          <w:sz w:val="24"/>
        </w:rPr>
        <w:t>人，营业收入为</w:t>
      </w:r>
      <w:r>
        <w:rPr>
          <w:rFonts w:hint="eastAsia" w:ascii="宋体" w:hAnsi="宋体" w:cs="宋体"/>
          <w:color w:val="auto"/>
          <w:sz w:val="24"/>
          <w:u w:val="single"/>
        </w:rPr>
        <w:t xml:space="preserve">  </w:t>
      </w:r>
      <w:r>
        <w:rPr>
          <w:rFonts w:hint="eastAsia" w:ascii="宋体" w:hAnsi="宋体" w:cs="宋体"/>
          <w:color w:val="auto"/>
          <w:sz w:val="24"/>
        </w:rPr>
        <w:t>万元，资产总额为</w:t>
      </w:r>
      <w:r>
        <w:rPr>
          <w:rFonts w:hint="eastAsia" w:ascii="宋体" w:hAnsi="宋体" w:cs="宋体"/>
          <w:color w:val="auto"/>
          <w:sz w:val="24"/>
          <w:u w:val="single"/>
        </w:rPr>
        <w:t xml:space="preserve">   </w:t>
      </w:r>
      <w:r>
        <w:rPr>
          <w:rFonts w:hint="eastAsia" w:ascii="宋体" w:hAnsi="宋体" w:cs="宋体"/>
          <w:color w:val="auto"/>
          <w:sz w:val="24"/>
        </w:rPr>
        <w:t>万元属于</w:t>
      </w:r>
      <w:r>
        <w:rPr>
          <w:rFonts w:hint="eastAsia" w:ascii="宋体" w:hAnsi="宋体" w:cs="宋体"/>
          <w:color w:val="auto"/>
          <w:sz w:val="24"/>
          <w:u w:val="single"/>
        </w:rPr>
        <w:t xml:space="preserve"> （中型企业、小型企业、微型企业） </w:t>
      </w:r>
      <w:r>
        <w:rPr>
          <w:rFonts w:hint="eastAsia" w:ascii="宋体" w:hAnsi="宋体" w:cs="宋体"/>
          <w:color w:val="auto"/>
          <w:sz w:val="24"/>
        </w:rPr>
        <w:t>；</w:t>
      </w:r>
    </w:p>
    <w:p>
      <w:pPr>
        <w:spacing w:line="360" w:lineRule="auto"/>
        <w:ind w:firstLine="480" w:firstLineChars="200"/>
        <w:jc w:val="left"/>
        <w:rPr>
          <w:rFonts w:ascii="宋体" w:hAnsi="宋体" w:cs="宋体"/>
          <w:sz w:val="24"/>
        </w:rPr>
      </w:pPr>
      <w:r>
        <w:rPr>
          <w:rFonts w:hint="eastAsia" w:ascii="宋体" w:hAnsi="宋体" w:cs="宋体"/>
          <w:sz w:val="24"/>
        </w:rPr>
        <w:t>……</w:t>
      </w:r>
    </w:p>
    <w:p>
      <w:pPr>
        <w:spacing w:line="360" w:lineRule="auto"/>
        <w:ind w:firstLine="480" w:firstLineChars="200"/>
        <w:jc w:val="left"/>
        <w:rPr>
          <w:rFonts w:ascii="宋体" w:hAnsi="宋体" w:cs="宋体"/>
          <w:sz w:val="24"/>
        </w:rPr>
      </w:pPr>
      <w:r>
        <w:rPr>
          <w:rFonts w:hint="eastAsia" w:ascii="宋体" w:hAnsi="宋体" w:cs="宋体"/>
          <w:sz w:val="24"/>
        </w:rPr>
        <w:t>以上企业，不属于大企业的分支机构，不存在控股股东为大企业的情形，也不存在与大企业的负责人为同一人的情形。</w:t>
      </w:r>
    </w:p>
    <w:p>
      <w:pPr>
        <w:spacing w:line="360" w:lineRule="auto"/>
        <w:ind w:firstLine="480" w:firstLineChars="200"/>
        <w:jc w:val="left"/>
        <w:rPr>
          <w:rFonts w:ascii="宋体" w:hAnsi="宋体" w:cs="宋体"/>
          <w:sz w:val="24"/>
        </w:rPr>
      </w:pPr>
      <w:r>
        <w:rPr>
          <w:rFonts w:hint="eastAsia" w:ascii="宋体" w:hAnsi="宋体" w:cs="宋体"/>
          <w:sz w:val="24"/>
        </w:rPr>
        <w:t>本企业对上述声明内容的真实性负责。如有虚假，将依法承担相应责任。</w:t>
      </w:r>
    </w:p>
    <w:p>
      <w:pPr>
        <w:spacing w:line="360" w:lineRule="auto"/>
        <w:ind w:right="1760"/>
        <w:jc w:val="right"/>
        <w:rPr>
          <w:rFonts w:ascii="宋体" w:hAnsi="宋体" w:cs="宋体"/>
          <w:sz w:val="24"/>
        </w:rPr>
      </w:pPr>
      <w:r>
        <w:rPr>
          <w:rFonts w:hint="eastAsia" w:ascii="宋体" w:hAnsi="宋体" w:cs="宋体"/>
          <w:sz w:val="24"/>
        </w:rPr>
        <w:t>投标人名称（电子签名）：</w:t>
      </w:r>
    </w:p>
    <w:p>
      <w:pPr>
        <w:spacing w:line="360" w:lineRule="auto"/>
        <w:ind w:right="1120" w:firstLine="4680" w:firstLineChars="1950"/>
        <w:rPr>
          <w:rFonts w:ascii="宋体" w:hAnsi="宋体" w:cs="宋体"/>
          <w:sz w:val="24"/>
        </w:rPr>
      </w:pPr>
      <w:r>
        <w:rPr>
          <w:rFonts w:hint="eastAsia" w:ascii="宋体" w:hAnsi="宋体" w:cs="宋体"/>
          <w:sz w:val="24"/>
        </w:rPr>
        <w:t>日 期：</w:t>
      </w:r>
    </w:p>
    <w:p>
      <w:pPr>
        <w:spacing w:line="360" w:lineRule="auto"/>
        <w:ind w:firstLine="310" w:firstLineChars="147"/>
        <w:jc w:val="left"/>
        <w:rPr>
          <w:rFonts w:ascii="宋体" w:hAnsi="宋体" w:cs="宋体"/>
          <w:b/>
          <w:szCs w:val="21"/>
        </w:rPr>
      </w:pPr>
      <w:r>
        <w:rPr>
          <w:rFonts w:hint="eastAsia" w:ascii="宋体" w:hAnsi="宋体" w:cs="宋体"/>
          <w:b/>
          <w:szCs w:val="21"/>
        </w:rPr>
        <w:t>从业人员、营业收入、资产总额填报上一年度数据，无上一年度数据的新成立企业可不填报。</w:t>
      </w:r>
    </w:p>
    <w:p>
      <w:pPr>
        <w:spacing w:line="360" w:lineRule="auto"/>
        <w:ind w:right="420"/>
        <w:rPr>
          <w:rFonts w:ascii="宋体" w:hAnsi="宋体" w:cs="宋体"/>
          <w:sz w:val="24"/>
        </w:rPr>
      </w:pPr>
    </w:p>
    <w:p>
      <w:pPr>
        <w:spacing w:line="360" w:lineRule="auto"/>
        <w:ind w:right="420"/>
        <w:rPr>
          <w:rFonts w:ascii="宋体" w:hAnsi="宋体" w:cs="宋体"/>
          <w:sz w:val="24"/>
        </w:rPr>
      </w:pPr>
      <w:r>
        <w:rPr>
          <w:rFonts w:hint="eastAsia" w:ascii="宋体" w:hAnsi="宋体" w:cs="宋体"/>
          <w:sz w:val="24"/>
        </w:rPr>
        <w:t xml:space="preserve">   注：</w:t>
      </w:r>
    </w:p>
    <w:p>
      <w:pPr>
        <w:spacing w:line="360" w:lineRule="auto"/>
        <w:ind w:right="420" w:firstLine="480" w:firstLineChars="200"/>
        <w:rPr>
          <w:rFonts w:ascii="宋体" w:hAnsi="宋体" w:cs="宋体"/>
          <w:sz w:val="24"/>
        </w:rPr>
      </w:pPr>
      <w:r>
        <w:rPr>
          <w:rFonts w:hint="eastAsia" w:ascii="宋体" w:hAnsi="宋体" w:cs="宋体"/>
          <w:sz w:val="24"/>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pPr>
        <w:spacing w:line="360" w:lineRule="auto"/>
        <w:ind w:right="420" w:firstLine="720" w:firstLineChars="300"/>
        <w:rPr>
          <w:rFonts w:ascii="宋体" w:hAnsi="宋体" w:cs="宋体"/>
          <w:sz w:val="24"/>
        </w:rPr>
      </w:pPr>
      <w:r>
        <w:rPr>
          <w:rFonts w:hint="eastAsia" w:ascii="宋体" w:hAnsi="宋体" w:cs="宋体"/>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pStyle w:val="4"/>
        <w:rPr>
          <w:rFonts w:ascii="宋体" w:hAnsi="宋体" w:eastAsia="宋体" w:cs="宋体"/>
          <w:lang w:val="en-US"/>
        </w:rPr>
      </w:pPr>
    </w:p>
    <w:p>
      <w:pPr>
        <w:spacing w:line="360" w:lineRule="auto"/>
        <w:ind w:right="420"/>
        <w:rPr>
          <w:rFonts w:ascii="宋体" w:hAnsi="宋体" w:cs="宋体"/>
        </w:rPr>
      </w:pPr>
    </w:p>
    <w:p>
      <w:pPr>
        <w:pStyle w:val="24"/>
        <w:jc w:val="both"/>
        <w:rPr>
          <w:rFonts w:hint="eastAsia" w:cs="仿宋_GB2312" w:asciiTheme="minorEastAsia" w:hAnsiTheme="minorEastAsia" w:eastAsiaTheme="minorEastAsia"/>
          <w:b/>
          <w:sz w:val="32"/>
          <w:szCs w:val="32"/>
        </w:rPr>
      </w:pPr>
    </w:p>
    <w:p>
      <w:pPr>
        <w:pStyle w:val="24"/>
        <w:jc w:val="both"/>
        <w:rPr>
          <w:rFonts w:hint="eastAsia" w:cs="仿宋_GB2312" w:asciiTheme="minorEastAsia" w:hAnsiTheme="minorEastAsia" w:eastAsiaTheme="minorEastAsia"/>
          <w:b/>
          <w:sz w:val="32"/>
          <w:szCs w:val="32"/>
        </w:rPr>
      </w:pPr>
    </w:p>
    <w:p>
      <w:pPr>
        <w:pStyle w:val="24"/>
        <w:jc w:val="both"/>
        <w:rPr>
          <w:rFonts w:hint="eastAsia" w:cs="仿宋_GB2312" w:asciiTheme="minorEastAsia" w:hAnsiTheme="minorEastAsia" w:eastAsiaTheme="minorEastAsia"/>
          <w:b/>
          <w:sz w:val="32"/>
          <w:szCs w:val="32"/>
        </w:rPr>
      </w:pPr>
    </w:p>
    <w:p>
      <w:pPr>
        <w:pStyle w:val="24"/>
        <w:jc w:val="both"/>
        <w:rPr>
          <w:rFonts w:hint="eastAsia" w:cs="仿宋_GB2312" w:asciiTheme="minorEastAsia" w:hAnsiTheme="minorEastAsia" w:eastAsiaTheme="minorEastAsia"/>
          <w:b/>
          <w:sz w:val="32"/>
          <w:szCs w:val="32"/>
        </w:rPr>
      </w:pPr>
    </w:p>
    <w:p>
      <w:pPr>
        <w:pStyle w:val="24"/>
        <w:jc w:val="both"/>
        <w:rPr>
          <w:rFonts w:hint="eastAsia" w:cs="仿宋_GB2312" w:asciiTheme="minorEastAsia" w:hAnsiTheme="minorEastAsia" w:eastAsiaTheme="minorEastAsia"/>
          <w:b/>
          <w:sz w:val="32"/>
          <w:szCs w:val="32"/>
        </w:rPr>
      </w:pPr>
    </w:p>
    <w:p>
      <w:pPr>
        <w:pStyle w:val="24"/>
        <w:jc w:val="both"/>
        <w:rPr>
          <w:rFonts w:hint="eastAsia" w:cs="仿宋_GB2312" w:asciiTheme="minorEastAsia" w:hAnsiTheme="minorEastAsia" w:eastAsiaTheme="minorEastAsia"/>
          <w:b/>
          <w:sz w:val="32"/>
          <w:szCs w:val="32"/>
        </w:rPr>
      </w:pPr>
    </w:p>
    <w:p>
      <w:pPr>
        <w:pStyle w:val="24"/>
        <w:jc w:val="both"/>
        <w:rPr>
          <w:rFonts w:hint="eastAsia" w:cs="仿宋_GB2312" w:asciiTheme="minorEastAsia" w:hAnsiTheme="minorEastAsia" w:eastAsiaTheme="minorEastAsia"/>
          <w:b/>
          <w:sz w:val="32"/>
          <w:szCs w:val="32"/>
        </w:rPr>
      </w:pPr>
    </w:p>
    <w:p>
      <w:pPr>
        <w:pStyle w:val="24"/>
        <w:jc w:val="both"/>
        <w:rPr>
          <w:rFonts w:hint="eastAsia" w:cs="仿宋_GB2312" w:asciiTheme="minorEastAsia" w:hAnsiTheme="minorEastAsia" w:eastAsiaTheme="minorEastAsia"/>
          <w:b/>
          <w:sz w:val="32"/>
          <w:szCs w:val="32"/>
        </w:rPr>
      </w:pPr>
    </w:p>
    <w:p>
      <w:pPr>
        <w:pStyle w:val="24"/>
        <w:jc w:val="both"/>
        <w:rPr>
          <w:rFonts w:hint="eastAsia" w:cs="仿宋_GB2312" w:asciiTheme="minorEastAsia" w:hAnsiTheme="minorEastAsia" w:eastAsiaTheme="minorEastAsia"/>
          <w:b/>
          <w:sz w:val="32"/>
          <w:szCs w:val="32"/>
        </w:rPr>
      </w:pPr>
    </w:p>
    <w:p>
      <w:pPr>
        <w:pStyle w:val="24"/>
        <w:jc w:val="both"/>
        <w:rPr>
          <w:rFonts w:hint="eastAsia" w:cs="仿宋_GB2312" w:asciiTheme="minorEastAsia" w:hAnsiTheme="minorEastAsia" w:eastAsiaTheme="minorEastAsia"/>
          <w:b/>
          <w:sz w:val="32"/>
          <w:szCs w:val="32"/>
        </w:rPr>
      </w:pPr>
    </w:p>
    <w:p>
      <w:pPr>
        <w:pStyle w:val="24"/>
        <w:jc w:val="both"/>
        <w:rPr>
          <w:rFonts w:hint="eastAsia" w:cs="仿宋_GB2312" w:asciiTheme="minorEastAsia" w:hAnsiTheme="minorEastAsia" w:eastAsiaTheme="minorEastAsia"/>
          <w:b/>
          <w:sz w:val="32"/>
          <w:szCs w:val="32"/>
        </w:rPr>
      </w:pPr>
    </w:p>
    <w:p>
      <w:pPr>
        <w:pStyle w:val="24"/>
        <w:jc w:val="both"/>
        <w:rPr>
          <w:rFonts w:hint="eastAsia" w:cs="仿宋_GB2312" w:asciiTheme="minorEastAsia" w:hAnsiTheme="minorEastAsia" w:eastAsiaTheme="minorEastAsia"/>
          <w:b/>
          <w:sz w:val="32"/>
          <w:szCs w:val="32"/>
        </w:rPr>
      </w:pPr>
    </w:p>
    <w:p>
      <w:pPr>
        <w:pStyle w:val="24"/>
        <w:jc w:val="both"/>
        <w:rPr>
          <w:rFonts w:hint="eastAsia" w:cs="仿宋_GB2312" w:asciiTheme="minorEastAsia" w:hAnsiTheme="minorEastAsia" w:eastAsiaTheme="minorEastAsia"/>
          <w:b/>
          <w:sz w:val="32"/>
          <w:szCs w:val="32"/>
        </w:rPr>
      </w:pPr>
    </w:p>
    <w:p>
      <w:pPr>
        <w:pStyle w:val="24"/>
        <w:jc w:val="both"/>
        <w:rPr>
          <w:rFonts w:hint="eastAsia" w:cs="仿宋_GB2312" w:asciiTheme="minorEastAsia" w:hAnsiTheme="minorEastAsia" w:eastAsiaTheme="minorEastAsia"/>
          <w:b/>
          <w:sz w:val="32"/>
          <w:szCs w:val="32"/>
        </w:rPr>
      </w:pPr>
    </w:p>
    <w:p>
      <w:pPr>
        <w:pStyle w:val="24"/>
        <w:jc w:val="both"/>
        <w:rPr>
          <w:rFonts w:hint="eastAsia" w:cs="仿宋_GB2312" w:asciiTheme="minorEastAsia" w:hAnsiTheme="minorEastAsia" w:eastAsiaTheme="minorEastAsia"/>
          <w:b/>
          <w:sz w:val="32"/>
          <w:szCs w:val="32"/>
        </w:rPr>
      </w:pPr>
    </w:p>
    <w:p>
      <w:pPr>
        <w:pStyle w:val="24"/>
        <w:jc w:val="both"/>
        <w:rPr>
          <w:rFonts w:hint="eastAsia" w:cs="仿宋_GB2312" w:asciiTheme="minorEastAsia" w:hAnsiTheme="minorEastAsia" w:eastAsiaTheme="minorEastAsia"/>
          <w:b/>
          <w:sz w:val="32"/>
          <w:szCs w:val="32"/>
        </w:rPr>
      </w:pPr>
    </w:p>
    <w:p>
      <w:pPr>
        <w:pStyle w:val="24"/>
        <w:jc w:val="both"/>
        <w:rPr>
          <w:rFonts w:hint="eastAsia" w:cs="仿宋_GB2312" w:asciiTheme="minorEastAsia" w:hAnsiTheme="minorEastAsia" w:eastAsiaTheme="minorEastAsia"/>
          <w:b/>
          <w:sz w:val="32"/>
          <w:szCs w:val="32"/>
        </w:rPr>
      </w:pPr>
    </w:p>
    <w:p>
      <w:pPr>
        <w:pStyle w:val="24"/>
        <w:jc w:val="both"/>
        <w:rPr>
          <w:rFonts w:hint="eastAsia" w:asciiTheme="minorEastAsia" w:hAnsiTheme="minorEastAsia" w:eastAsiaTheme="minorEastAsia" w:cstheme="minorEastAsia"/>
          <w:b/>
          <w:bCs/>
          <w:sz w:val="32"/>
          <w:szCs w:val="32"/>
          <w:lang w:val="en-US" w:eastAsia="zh-CN"/>
        </w:rPr>
      </w:pPr>
      <w:r>
        <w:rPr>
          <w:rFonts w:hint="eastAsia" w:asciiTheme="minorEastAsia" w:hAnsiTheme="minorEastAsia" w:eastAsiaTheme="minorEastAsia" w:cstheme="minorEastAsia"/>
          <w:b/>
          <w:sz w:val="32"/>
          <w:szCs w:val="32"/>
        </w:rPr>
        <w:t>附件</w:t>
      </w:r>
      <w:r>
        <w:rPr>
          <w:rFonts w:hint="eastAsia" w:asciiTheme="minorEastAsia" w:hAnsiTheme="minorEastAsia" w:eastAsiaTheme="minorEastAsia" w:cstheme="minorEastAsia"/>
          <w:b/>
          <w:sz w:val="32"/>
          <w:szCs w:val="32"/>
          <w:lang w:val="en-US" w:eastAsia="zh-CN"/>
        </w:rPr>
        <w:t>8:</w:t>
      </w:r>
      <w:r>
        <w:rPr>
          <w:rFonts w:hint="eastAsia" w:asciiTheme="minorEastAsia" w:hAnsiTheme="minorEastAsia" w:eastAsiaTheme="minorEastAsia" w:cstheme="minorEastAsia"/>
          <w:b/>
          <w:bCs/>
          <w:sz w:val="32"/>
          <w:szCs w:val="32"/>
          <w:lang w:val="en-US" w:eastAsia="zh-CN"/>
        </w:rPr>
        <w:t>（开标记录开启后，请将此附件填写完整发送至邮箱：3692652350@qq.com）</w:t>
      </w:r>
    </w:p>
    <w:p>
      <w:pPr>
        <w:pStyle w:val="24"/>
        <w:keepNext w:val="0"/>
        <w:keepLines w:val="0"/>
        <w:pageBreakBefore w:val="0"/>
        <w:widowControl w:val="0"/>
        <w:kinsoku/>
        <w:wordWrap/>
        <w:overflowPunct/>
        <w:topLinePunct w:val="0"/>
        <w:autoSpaceDE w:val="0"/>
        <w:autoSpaceDN w:val="0"/>
        <w:bidi w:val="0"/>
        <w:adjustRightInd w:val="0"/>
        <w:snapToGrid/>
        <w:spacing w:line="400" w:lineRule="exact"/>
        <w:jc w:val="center"/>
        <w:textAlignment w:val="auto"/>
        <w:rPr>
          <w:rFonts w:hint="eastAsia"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t>政府采购活动现场确认声明书</w:t>
      </w:r>
    </w:p>
    <w:p>
      <w:pPr>
        <w:pStyle w:val="24"/>
        <w:keepNext w:val="0"/>
        <w:keepLines w:val="0"/>
        <w:pageBreakBefore w:val="0"/>
        <w:widowControl w:val="0"/>
        <w:kinsoku/>
        <w:wordWrap/>
        <w:overflowPunct/>
        <w:topLinePunct w:val="0"/>
        <w:autoSpaceDE w:val="0"/>
        <w:autoSpaceDN w:val="0"/>
        <w:bidi w:val="0"/>
        <w:adjustRightInd w:val="0"/>
        <w:snapToGrid/>
        <w:spacing w:line="400" w:lineRule="exact"/>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杭州市公共资源交易中心临安分中心</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 xml:space="preserve"> </w:t>
      </w:r>
    </w:p>
    <w:p>
      <w:pPr>
        <w:pStyle w:val="24"/>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本人 ____________（授权代表姓名），经由______________________________（单位） ____________ （法定代表人姓名）合法授权参加</w:t>
      </w:r>
      <w:r>
        <w:rPr>
          <w:rFonts w:hint="eastAsia" w:asciiTheme="minorEastAsia" w:hAnsiTheme="minorEastAsia" w:eastAsiaTheme="minorEastAsia" w:cstheme="minorEastAsia"/>
          <w:sz w:val="24"/>
          <w:szCs w:val="24"/>
          <w:lang w:eastAsia="zh-CN"/>
        </w:rPr>
        <w:t>项目名称：</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rPr>
        <w:t>（编号：</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rPr>
        <w:t>）政府采购活动</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 xml:space="preserve">经与本单位法人代表（负责人）联系确认，现就有关公平竞争事项郑重声明如下: </w:t>
      </w:r>
    </w:p>
    <w:p>
      <w:pPr>
        <w:pStyle w:val="24"/>
        <w:keepNext w:val="0"/>
        <w:keepLines w:val="0"/>
        <w:pageBreakBefore w:val="0"/>
        <w:widowControl w:val="0"/>
        <w:numPr>
          <w:ilvl w:val="0"/>
          <w:numId w:val="0"/>
        </w:numPr>
        <w:kinsoku/>
        <w:wordWrap/>
        <w:overflowPunct/>
        <w:topLinePunct w:val="0"/>
        <w:autoSpaceDE w:val="0"/>
        <w:autoSpaceDN w:val="0"/>
        <w:bidi w:val="0"/>
        <w:adjustRightInd w:val="0"/>
        <w:snapToGrid/>
        <w:spacing w:line="40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一、</w:t>
      </w:r>
      <w:r>
        <w:rPr>
          <w:rFonts w:hint="eastAsia" w:asciiTheme="minorEastAsia" w:hAnsiTheme="minorEastAsia" w:eastAsiaTheme="minorEastAsia" w:cstheme="minorEastAsia"/>
          <w:sz w:val="24"/>
          <w:szCs w:val="24"/>
        </w:rPr>
        <w:t>本单位与采购人之间</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sym w:font="Wingdings 2" w:char="00A3"/>
      </w:r>
      <w:r>
        <w:rPr>
          <w:rFonts w:hint="eastAsia" w:asciiTheme="minorEastAsia" w:hAnsiTheme="minorEastAsia" w:eastAsiaTheme="minorEastAsia" w:cstheme="minorEastAsia"/>
          <w:sz w:val="24"/>
          <w:szCs w:val="24"/>
        </w:rPr>
        <w:t>不存在利害关系</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sym w:font="Wingdings 2" w:char="00A3"/>
      </w:r>
      <w:r>
        <w:rPr>
          <w:rFonts w:hint="eastAsia" w:asciiTheme="minorEastAsia" w:hAnsiTheme="minorEastAsia" w:eastAsiaTheme="minorEastAsia" w:cstheme="minorEastAsia"/>
          <w:sz w:val="24"/>
          <w:szCs w:val="24"/>
        </w:rPr>
        <w:t>存在下列利害关系:</w:t>
      </w:r>
    </w:p>
    <w:p>
      <w:pPr>
        <w:pStyle w:val="24"/>
        <w:keepNext w:val="0"/>
        <w:keepLines w:val="0"/>
        <w:pageBreakBefore w:val="0"/>
        <w:widowControl w:val="0"/>
        <w:numPr>
          <w:ilvl w:val="0"/>
          <w:numId w:val="3"/>
        </w:numPr>
        <w:kinsoku/>
        <w:wordWrap/>
        <w:overflowPunct/>
        <w:topLinePunct w:val="0"/>
        <w:autoSpaceDE w:val="0"/>
        <w:autoSpaceDN w:val="0"/>
        <w:bidi w:val="0"/>
        <w:adjustRightInd w:val="0"/>
        <w:snapToGrid/>
        <w:spacing w:line="400" w:lineRule="exact"/>
        <w:ind w:left="120" w:leftChars="0" w:firstLine="0" w:firstLineChars="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投资关系 B．行政隶属关系 C．业务指导关系</w:t>
      </w:r>
    </w:p>
    <w:p>
      <w:pPr>
        <w:pStyle w:val="24"/>
        <w:keepNext w:val="0"/>
        <w:keepLines w:val="0"/>
        <w:pageBreakBefore w:val="0"/>
        <w:widowControl w:val="0"/>
        <w:numPr>
          <w:ilvl w:val="0"/>
          <w:numId w:val="0"/>
        </w:numPr>
        <w:kinsoku/>
        <w:wordWrap/>
        <w:overflowPunct/>
        <w:topLinePunct w:val="0"/>
        <w:autoSpaceDE w:val="0"/>
        <w:autoSpaceDN w:val="0"/>
        <w:bidi w:val="0"/>
        <w:adjustRightInd w:val="0"/>
        <w:snapToGrid/>
        <w:spacing w:line="400" w:lineRule="exact"/>
        <w:ind w:left="120" w:leftChars="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D．其他可能影响采购公正的利害关系（如有，请如实说明）。</w:t>
      </w:r>
    </w:p>
    <w:p>
      <w:pPr>
        <w:pStyle w:val="24"/>
        <w:keepNext w:val="0"/>
        <w:keepLines w:val="0"/>
        <w:pageBreakBefore w:val="0"/>
        <w:widowControl w:val="0"/>
        <w:numPr>
          <w:ilvl w:val="0"/>
          <w:numId w:val="0"/>
        </w:numPr>
        <w:kinsoku/>
        <w:wordWrap/>
        <w:overflowPunct/>
        <w:topLinePunct w:val="0"/>
        <w:autoSpaceDE w:val="0"/>
        <w:autoSpaceDN w:val="0"/>
        <w:bidi w:val="0"/>
        <w:adjustRightInd w:val="0"/>
        <w:snapToGrid/>
        <w:spacing w:line="40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二、现己清楚知道参加本项目采购活动的其他所有供应商名称，本单位</w:t>
      </w:r>
    </w:p>
    <w:p>
      <w:pPr>
        <w:pStyle w:val="24"/>
        <w:keepNext w:val="0"/>
        <w:keepLines w:val="0"/>
        <w:pageBreakBefore w:val="0"/>
        <w:widowControl w:val="0"/>
        <w:numPr>
          <w:ilvl w:val="0"/>
          <w:numId w:val="0"/>
        </w:numPr>
        <w:kinsoku/>
        <w:wordWrap/>
        <w:overflowPunct/>
        <w:topLinePunct w:val="0"/>
        <w:autoSpaceDE w:val="0"/>
        <w:autoSpaceDN w:val="0"/>
        <w:bidi w:val="0"/>
        <w:adjustRightInd w:val="0"/>
        <w:snapToGrid/>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sym w:font="Wingdings 2" w:char="00A3"/>
      </w:r>
      <w:r>
        <w:rPr>
          <w:rFonts w:hint="eastAsia" w:asciiTheme="minorEastAsia" w:hAnsiTheme="minorEastAsia" w:eastAsiaTheme="minorEastAsia" w:cstheme="minorEastAsia"/>
          <w:sz w:val="24"/>
          <w:szCs w:val="24"/>
        </w:rPr>
        <w:t>与其他所有供应商之间均不存在利害关系</w:t>
      </w:r>
    </w:p>
    <w:p>
      <w:pPr>
        <w:pStyle w:val="24"/>
        <w:keepNext w:val="0"/>
        <w:keepLines w:val="0"/>
        <w:pageBreakBefore w:val="0"/>
        <w:widowControl w:val="0"/>
        <w:numPr>
          <w:ilvl w:val="0"/>
          <w:numId w:val="0"/>
        </w:numPr>
        <w:kinsoku/>
        <w:wordWrap/>
        <w:overflowPunct/>
        <w:topLinePunct w:val="0"/>
        <w:autoSpaceDE w:val="0"/>
        <w:autoSpaceDN w:val="0"/>
        <w:bidi w:val="0"/>
        <w:adjustRightInd w:val="0"/>
        <w:snapToGrid/>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sym w:font="Wingdings 2" w:char="00A3"/>
      </w:r>
      <w:r>
        <w:rPr>
          <w:rFonts w:hint="eastAsia" w:asciiTheme="minorEastAsia" w:hAnsiTheme="minorEastAsia" w:eastAsiaTheme="minorEastAsia" w:cstheme="minorEastAsia"/>
          <w:sz w:val="24"/>
          <w:szCs w:val="24"/>
        </w:rPr>
        <w:t xml:space="preserve">与______________（供应商名称）之间存在下列利害关系: </w:t>
      </w:r>
    </w:p>
    <w:p>
      <w:pPr>
        <w:pStyle w:val="24"/>
        <w:keepNext w:val="0"/>
        <w:keepLines w:val="0"/>
        <w:pageBreakBefore w:val="0"/>
        <w:widowControl w:val="0"/>
        <w:numPr>
          <w:ilvl w:val="0"/>
          <w:numId w:val="0"/>
        </w:numPr>
        <w:kinsoku/>
        <w:wordWrap/>
        <w:overflowPunct/>
        <w:topLinePunct w:val="0"/>
        <w:autoSpaceDE w:val="0"/>
        <w:autoSpaceDN w:val="0"/>
        <w:bidi w:val="0"/>
        <w:adjustRightInd w:val="0"/>
        <w:snapToGrid/>
        <w:spacing w:line="40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A．法定代表人或负责人或实际控制人是同一人 </w:t>
      </w:r>
    </w:p>
    <w:p>
      <w:pPr>
        <w:pStyle w:val="24"/>
        <w:keepNext w:val="0"/>
        <w:keepLines w:val="0"/>
        <w:pageBreakBefore w:val="0"/>
        <w:widowControl w:val="0"/>
        <w:numPr>
          <w:ilvl w:val="0"/>
          <w:numId w:val="0"/>
        </w:numPr>
        <w:kinsoku/>
        <w:wordWrap/>
        <w:overflowPunct/>
        <w:topLinePunct w:val="0"/>
        <w:autoSpaceDE w:val="0"/>
        <w:autoSpaceDN w:val="0"/>
        <w:bidi w:val="0"/>
        <w:adjustRightInd w:val="0"/>
        <w:snapToGrid/>
        <w:spacing w:line="40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B．法定代表人或负责人或实际控制人是夫妻关系 </w:t>
      </w:r>
    </w:p>
    <w:p>
      <w:pPr>
        <w:pStyle w:val="24"/>
        <w:keepNext w:val="0"/>
        <w:keepLines w:val="0"/>
        <w:pageBreakBefore w:val="0"/>
        <w:widowControl w:val="0"/>
        <w:numPr>
          <w:ilvl w:val="0"/>
          <w:numId w:val="0"/>
        </w:numPr>
        <w:kinsoku/>
        <w:wordWrap/>
        <w:overflowPunct/>
        <w:topLinePunct w:val="0"/>
        <w:autoSpaceDE w:val="0"/>
        <w:autoSpaceDN w:val="0"/>
        <w:bidi w:val="0"/>
        <w:adjustRightInd w:val="0"/>
        <w:snapToGrid/>
        <w:spacing w:line="40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C．法定代表人或负责人或实际控制人是直系血亲关系 </w:t>
      </w:r>
    </w:p>
    <w:p>
      <w:pPr>
        <w:pStyle w:val="24"/>
        <w:keepNext w:val="0"/>
        <w:keepLines w:val="0"/>
        <w:pageBreakBefore w:val="0"/>
        <w:widowControl w:val="0"/>
        <w:numPr>
          <w:ilvl w:val="0"/>
          <w:numId w:val="0"/>
        </w:numPr>
        <w:kinsoku/>
        <w:wordWrap/>
        <w:overflowPunct/>
        <w:topLinePunct w:val="0"/>
        <w:autoSpaceDE w:val="0"/>
        <w:autoSpaceDN w:val="0"/>
        <w:bidi w:val="0"/>
        <w:adjustRightInd w:val="0"/>
        <w:snapToGrid/>
        <w:spacing w:line="40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D．法定代表人或负责人或实际控制人存在三代以内旁系血亲关系 </w:t>
      </w:r>
    </w:p>
    <w:p>
      <w:pPr>
        <w:pStyle w:val="24"/>
        <w:keepNext w:val="0"/>
        <w:keepLines w:val="0"/>
        <w:pageBreakBefore w:val="0"/>
        <w:widowControl w:val="0"/>
        <w:numPr>
          <w:ilvl w:val="0"/>
          <w:numId w:val="0"/>
        </w:numPr>
        <w:kinsoku/>
        <w:wordWrap/>
        <w:overflowPunct/>
        <w:topLinePunct w:val="0"/>
        <w:autoSpaceDE w:val="0"/>
        <w:autoSpaceDN w:val="0"/>
        <w:bidi w:val="0"/>
        <w:adjustRightInd w:val="0"/>
        <w:snapToGrid/>
        <w:spacing w:line="40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E．法定代表人或负责人或实际控制人存在近姻亲关系 </w:t>
      </w:r>
    </w:p>
    <w:p>
      <w:pPr>
        <w:pStyle w:val="24"/>
        <w:keepNext w:val="0"/>
        <w:keepLines w:val="0"/>
        <w:pageBreakBefore w:val="0"/>
        <w:widowControl w:val="0"/>
        <w:numPr>
          <w:ilvl w:val="0"/>
          <w:numId w:val="0"/>
        </w:numPr>
        <w:kinsoku/>
        <w:wordWrap/>
        <w:overflowPunct/>
        <w:topLinePunct w:val="0"/>
        <w:autoSpaceDE w:val="0"/>
        <w:autoSpaceDN w:val="0"/>
        <w:bidi w:val="0"/>
        <w:adjustRightInd w:val="0"/>
        <w:snapToGrid/>
        <w:spacing w:line="40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F．法定代表人或负责人或实际控制人存在股份控制或实际控制关系 </w:t>
      </w:r>
    </w:p>
    <w:p>
      <w:pPr>
        <w:pStyle w:val="24"/>
        <w:keepNext w:val="0"/>
        <w:keepLines w:val="0"/>
        <w:pageBreakBefore w:val="0"/>
        <w:widowControl w:val="0"/>
        <w:numPr>
          <w:ilvl w:val="0"/>
          <w:numId w:val="0"/>
        </w:numPr>
        <w:kinsoku/>
        <w:wordWrap/>
        <w:overflowPunct/>
        <w:topLinePunct w:val="0"/>
        <w:autoSpaceDE w:val="0"/>
        <w:autoSpaceDN w:val="0"/>
        <w:bidi w:val="0"/>
        <w:adjustRightInd w:val="0"/>
        <w:snapToGrid/>
        <w:spacing w:line="40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G．存在共同直接或间接投资设立子公司、联营企业和合营企业情况 </w:t>
      </w:r>
    </w:p>
    <w:p>
      <w:pPr>
        <w:pStyle w:val="24"/>
        <w:keepNext w:val="0"/>
        <w:keepLines w:val="0"/>
        <w:pageBreakBefore w:val="0"/>
        <w:widowControl w:val="0"/>
        <w:numPr>
          <w:ilvl w:val="0"/>
          <w:numId w:val="0"/>
        </w:numPr>
        <w:kinsoku/>
        <w:wordWrap/>
        <w:overflowPunct/>
        <w:topLinePunct w:val="0"/>
        <w:autoSpaceDE w:val="0"/>
        <w:autoSpaceDN w:val="0"/>
        <w:bidi w:val="0"/>
        <w:adjustRightInd w:val="0"/>
        <w:snapToGrid/>
        <w:spacing w:line="40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H．存在分级代理或代销关系、同一生产制造商关系、管理关系、重要业务（占主营业务收入 50 ％以上）或重要财务 往来关系（如融资）等其他实质性控制关系 </w:t>
      </w:r>
    </w:p>
    <w:p>
      <w:pPr>
        <w:pStyle w:val="24"/>
        <w:keepNext w:val="0"/>
        <w:keepLines w:val="0"/>
        <w:pageBreakBefore w:val="0"/>
        <w:widowControl w:val="0"/>
        <w:numPr>
          <w:ilvl w:val="0"/>
          <w:numId w:val="0"/>
        </w:numPr>
        <w:kinsoku/>
        <w:wordWrap/>
        <w:overflowPunct/>
        <w:topLinePunct w:val="0"/>
        <w:autoSpaceDE w:val="0"/>
        <w:autoSpaceDN w:val="0"/>
        <w:bidi w:val="0"/>
        <w:adjustRightInd w:val="0"/>
        <w:snapToGrid/>
        <w:spacing w:line="40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I．其他利害关系情况 ________________________________________。 </w:t>
      </w:r>
    </w:p>
    <w:p>
      <w:pPr>
        <w:pStyle w:val="24"/>
        <w:keepNext w:val="0"/>
        <w:keepLines w:val="0"/>
        <w:pageBreakBefore w:val="0"/>
        <w:widowControl w:val="0"/>
        <w:numPr>
          <w:ilvl w:val="0"/>
          <w:numId w:val="0"/>
        </w:numPr>
        <w:kinsoku/>
        <w:wordWrap/>
        <w:overflowPunct/>
        <w:topLinePunct w:val="0"/>
        <w:autoSpaceDE w:val="0"/>
        <w:autoSpaceDN w:val="0"/>
        <w:bidi w:val="0"/>
        <w:adjustRightInd w:val="0"/>
        <w:snapToGrid/>
        <w:spacing w:line="40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三、现己清楚知道并严格遵守政府采购法律法规。 </w:t>
      </w:r>
    </w:p>
    <w:p>
      <w:pPr>
        <w:pStyle w:val="24"/>
        <w:keepNext w:val="0"/>
        <w:keepLines w:val="0"/>
        <w:pageBreakBefore w:val="0"/>
        <w:widowControl w:val="0"/>
        <w:numPr>
          <w:ilvl w:val="0"/>
          <w:numId w:val="0"/>
        </w:numPr>
        <w:kinsoku/>
        <w:wordWrap/>
        <w:overflowPunct/>
        <w:topLinePunct w:val="0"/>
        <w:autoSpaceDE w:val="0"/>
        <w:autoSpaceDN w:val="0"/>
        <w:bidi w:val="0"/>
        <w:adjustRightInd w:val="0"/>
        <w:snapToGrid/>
        <w:spacing w:line="40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四、我发现 ____________________供应商之间存在或可能存在上述第二条第 ____________项利害关系。 </w:t>
      </w:r>
    </w:p>
    <w:p>
      <w:pPr>
        <w:pStyle w:val="24"/>
        <w:keepNext w:val="0"/>
        <w:keepLines w:val="0"/>
        <w:pageBreakBefore w:val="0"/>
        <w:widowControl w:val="0"/>
        <w:numPr>
          <w:ilvl w:val="0"/>
          <w:numId w:val="0"/>
        </w:numPr>
        <w:kinsoku/>
        <w:wordWrap/>
        <w:overflowPunct/>
        <w:topLinePunct w:val="0"/>
        <w:autoSpaceDE w:val="0"/>
        <w:autoSpaceDN w:val="0"/>
        <w:bidi w:val="0"/>
        <w:adjustRightInd w:val="0"/>
        <w:snapToGrid/>
        <w:spacing w:line="400" w:lineRule="exact"/>
        <w:ind w:firstLine="5760" w:firstLineChars="24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供应商</w:t>
      </w:r>
      <w:r>
        <w:rPr>
          <w:rFonts w:hint="eastAsia" w:asciiTheme="minorEastAsia" w:hAnsiTheme="minorEastAsia" w:eastAsiaTheme="minorEastAsia" w:cstheme="minorEastAsia"/>
          <w:kern w:val="0"/>
          <w:sz w:val="24"/>
          <w:lang w:val="zh-CN"/>
        </w:rPr>
        <w:t>名称（签章）：</w:t>
      </w:r>
    </w:p>
    <w:p>
      <w:pPr>
        <w:pStyle w:val="24"/>
        <w:keepNext w:val="0"/>
        <w:keepLines w:val="0"/>
        <w:pageBreakBefore w:val="0"/>
        <w:widowControl w:val="0"/>
        <w:numPr>
          <w:ilvl w:val="0"/>
          <w:numId w:val="0"/>
        </w:numPr>
        <w:kinsoku/>
        <w:wordWrap/>
        <w:overflowPunct/>
        <w:topLinePunct w:val="0"/>
        <w:autoSpaceDE w:val="0"/>
        <w:autoSpaceDN w:val="0"/>
        <w:bidi w:val="0"/>
        <w:adjustRightInd w:val="0"/>
        <w:snapToGrid/>
        <w:spacing w:line="400" w:lineRule="exact"/>
        <w:ind w:firstLine="5760" w:firstLineChars="24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供应商代表</w:t>
      </w:r>
      <w:r>
        <w:rPr>
          <w:rFonts w:hint="eastAsia" w:asciiTheme="minorEastAsia" w:hAnsiTheme="minorEastAsia" w:eastAsiaTheme="minorEastAsia" w:cstheme="minorEastAsia"/>
          <w:sz w:val="24"/>
          <w:szCs w:val="24"/>
          <w:lang w:val="en-US" w:eastAsia="zh-CN"/>
        </w:rPr>
        <w:t>(</w:t>
      </w:r>
      <w:r>
        <w:rPr>
          <w:rFonts w:hint="eastAsia" w:asciiTheme="minorEastAsia" w:hAnsiTheme="minorEastAsia" w:eastAsiaTheme="minorEastAsia" w:cstheme="minorEastAsia"/>
          <w:sz w:val="24"/>
          <w:szCs w:val="24"/>
        </w:rPr>
        <w:t>签名</w:t>
      </w:r>
      <w:r>
        <w:rPr>
          <w:rFonts w:hint="eastAsia" w:asciiTheme="minorEastAsia" w:hAnsiTheme="minorEastAsia" w:eastAsiaTheme="minorEastAsia" w:cstheme="minorEastAsia"/>
          <w:sz w:val="24"/>
          <w:szCs w:val="24"/>
          <w:lang w:val="en-US" w:eastAsia="zh-CN"/>
        </w:rPr>
        <w:t>)</w:t>
      </w:r>
      <w:r>
        <w:rPr>
          <w:rFonts w:hint="eastAsia" w:asciiTheme="minorEastAsia" w:hAnsiTheme="minorEastAsia" w:eastAsiaTheme="minorEastAsia" w:cstheme="minorEastAsia"/>
          <w:sz w:val="24"/>
          <w:szCs w:val="24"/>
        </w:rPr>
        <w:t xml:space="preserve">: </w:t>
      </w:r>
    </w:p>
    <w:p>
      <w:pPr>
        <w:pStyle w:val="24"/>
        <w:keepNext w:val="0"/>
        <w:keepLines w:val="0"/>
        <w:pageBreakBefore w:val="0"/>
        <w:widowControl w:val="0"/>
        <w:numPr>
          <w:ilvl w:val="0"/>
          <w:numId w:val="0"/>
        </w:numPr>
        <w:kinsoku/>
        <w:wordWrap/>
        <w:overflowPunct/>
        <w:topLinePunct w:val="0"/>
        <w:autoSpaceDE w:val="0"/>
        <w:autoSpaceDN w:val="0"/>
        <w:bidi w:val="0"/>
        <w:adjustRightInd w:val="0"/>
        <w:snapToGrid/>
        <w:spacing w:line="400" w:lineRule="exact"/>
        <w:ind w:firstLine="5760" w:firstLineChars="2400"/>
        <w:textAlignment w:val="auto"/>
        <w:rPr>
          <w:rFonts w:hint="eastAsia" w:asciiTheme="minorEastAsia" w:hAnsiTheme="minorEastAsia" w:eastAsiaTheme="minorEastAsia" w:cstheme="minorEastAsia"/>
          <w:b/>
          <w:spacing w:val="6"/>
          <w:sz w:val="32"/>
          <w:szCs w:val="32"/>
        </w:rPr>
      </w:pP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年</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月</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日</w:t>
      </w:r>
    </w:p>
    <w:p>
      <w:pPr>
        <w:autoSpaceDE w:val="0"/>
        <w:autoSpaceDN w:val="0"/>
        <w:jc w:val="center"/>
        <w:rPr>
          <w:rFonts w:ascii="宋体" w:hAnsi="宋体" w:cs="宋体"/>
          <w:b/>
          <w:spacing w:val="6"/>
          <w:sz w:val="32"/>
          <w:szCs w:val="32"/>
        </w:rPr>
      </w:pPr>
    </w:p>
    <w:p>
      <w:pPr>
        <w:spacing w:line="360" w:lineRule="auto"/>
        <w:rPr>
          <w:rFonts w:ascii="宋体" w:hAnsi="宋体" w:cs="宋体"/>
          <w:bCs/>
          <w:sz w:val="24"/>
        </w:rPr>
      </w:pP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Futura Bk">
    <w:altName w:val="Segoe Print"/>
    <w:panose1 w:val="00000000000000000000"/>
    <w:charset w:val="00"/>
    <w:family w:val="swiss"/>
    <w:pitch w:val="default"/>
    <w:sig w:usb0="00000000" w:usb1="00000000" w:usb2="00000000" w:usb3="00000000" w:csb0="00000011"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Arial"/>
    <w:panose1 w:val="020B0500000000000000"/>
    <w:charset w:val="00"/>
    <w:family w:val="swiss"/>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altName w:val="宋体"/>
    <w:panose1 w:val="02010600030101010101"/>
    <w:charset w:val="86"/>
    <w:family w:val="auto"/>
    <w:pitch w:val="default"/>
    <w:sig w:usb0="00000000" w:usb1="00000000" w:usb2="00000016" w:usb3="00000000" w:csb0="0004000F" w:csb1="00000000"/>
  </w:font>
  <w:font w:name="Verdana">
    <w:panose1 w:val="020B0604030504040204"/>
    <w:charset w:val="00"/>
    <w:family w:val="swiss"/>
    <w:pitch w:val="default"/>
    <w:sig w:usb0="A1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panose1 w:val="020B0604020202020204"/>
    <w:charset w:val="86"/>
    <w:family w:val="swiss"/>
    <w:pitch w:val="default"/>
    <w:sig w:usb0="FFFFFFFF" w:usb1="E9FFFFFF" w:usb2="0000003F" w:usb3="00000000" w:csb0="603F01FF" w:csb1="FFFF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1"/>
    <w:family w:val="roman"/>
    <w:pitch w:val="default"/>
    <w:sig w:usb0="00100003" w:usb1="00000000" w:usb2="00000000" w:usb3="00000000" w:csb0="00000001" w:csb1="00000000"/>
  </w:font>
  <w:font w:name="等线">
    <w:altName w:val="微软雅黑"/>
    <w:panose1 w:val="02010600030101010101"/>
    <w:charset w:val="86"/>
    <w:family w:val="auto"/>
    <w:pitch w:val="default"/>
    <w:sig w:usb0="00000000" w:usb1="00000000" w:usb2="00000016" w:usb3="00000000" w:csb0="0004000F" w:csb1="00000000"/>
  </w:font>
  <w:font w:name="新宋体">
    <w:panose1 w:val="02010609030101010101"/>
    <w:charset w:val="86"/>
    <w:family w:val="modern"/>
    <w:pitch w:val="default"/>
    <w:sig w:usb0="000000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0000012" w:usb3="00000000" w:csb0="4002009F" w:csb1="DFD70000"/>
  </w:font>
  <w:font w:name="Segoe UI Symbol">
    <w:panose1 w:val="020B0502040204020203"/>
    <w:charset w:val="00"/>
    <w:family w:val="swiss"/>
    <w:pitch w:val="default"/>
    <w:sig w:usb0="8000006F" w:usb1="1200FBEF" w:usb2="0064C000" w:usb3="00000002" w:csb0="00000001" w:csb1="40000000"/>
  </w:font>
  <w:font w:name="MS Mincho">
    <w:panose1 w:val="02020609040205080304"/>
    <w:charset w:val="80"/>
    <w:family w:val="roman"/>
    <w:pitch w:val="default"/>
    <w:sig w:usb0="E00002FF" w:usb1="6AC7FDFB" w:usb2="00000012" w:usb3="00000000" w:csb0="4002009F" w:csb1="DFD70000"/>
  </w:font>
  <w:font w:name="Wingdings 2">
    <w:panose1 w:val="05020102010507070707"/>
    <w:charset w:val="00"/>
    <w:family w:val="auto"/>
    <w:pitch w:val="default"/>
    <w:sig w:usb0="00000000" w:usb1="00000000" w:usb2="00000000" w:usb3="00000000" w:csb0="80000000" w:csb1="0000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framePr w:wrap="around" w:vAnchor="text" w:hAnchor="margin" w:xAlign="right" w:y="1"/>
      <w:rPr>
        <w:rStyle w:val="72"/>
      </w:rPr>
    </w:pPr>
    <w:r>
      <w:fldChar w:fldCharType="begin"/>
    </w:r>
    <w:r>
      <w:rPr>
        <w:rStyle w:val="72"/>
      </w:rPr>
      <w:instrText xml:space="preserve">PAGE  </w:instrText>
    </w:r>
    <w:r>
      <w:fldChar w:fldCharType="end"/>
    </w:r>
  </w:p>
  <w:p>
    <w:pPr>
      <w:pStyle w:val="41"/>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bookmarkStart w:id="402" w:name="_Toc36110187"/>
    <w:bookmarkStart w:id="403" w:name="_Toc91899912"/>
    <w:bookmarkStart w:id="404" w:name="_Toc164085800"/>
    <w:bookmarkStart w:id="405" w:name="_Toc131845147"/>
    <w:r>
      <w:rPr>
        <w:rFonts w:hint="eastAsia" w:ascii="仿宋_GB2312" w:eastAsia="仿宋_GB2312"/>
        <w:kern w:val="0"/>
        <w:szCs w:val="21"/>
      </w:rPr>
      <w:t xml:space="preserve"> 页</w:t>
    </w:r>
    <w:bookmarkEnd w:id="402"/>
    <w:bookmarkEnd w:id="403"/>
    <w:bookmarkEnd w:id="404"/>
    <w:bookmarkEnd w:id="405"/>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framePr w:wrap="around" w:vAnchor="text" w:hAnchor="margin" w:xAlign="right" w:y="1"/>
      <w:rPr>
        <w:rStyle w:val="72"/>
      </w:rPr>
    </w:pPr>
    <w:r>
      <w:fldChar w:fldCharType="begin"/>
    </w:r>
    <w:r>
      <w:rPr>
        <w:rStyle w:val="72"/>
      </w:rPr>
      <w:instrText xml:space="preserve">PAGE  </w:instrText>
    </w:r>
    <w:r>
      <w:fldChar w:fldCharType="end"/>
    </w:r>
  </w:p>
  <w:p>
    <w:pPr>
      <w:pStyle w:val="4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bottom w:val="single" w:color="auto" w:sz="6" w:space="4"/>
      </w:pBdr>
      <w:jc w:val="right"/>
    </w:pPr>
    <w:r>
      <w:t></w:t>
    </w:r>
    <w:r>
      <w:rPr>
        <w:rFonts w:hint="eastAsia"/>
      </w:rPr>
      <w:t xml:space="preserve">             </w:t>
    </w:r>
    <w:r>
      <w:t>杭州市政府采购公开招标文件</w:t>
    </w:r>
  </w:p>
  <w:p>
    <w:pPr>
      <w:pStyle w:val="59"/>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rPr>
        <w:rFonts w:ascii="仿宋_GB2312" w:eastAsia="仿宋_GB2312"/>
        <w:b/>
        <w:i/>
        <w:u w:val="single"/>
      </w:rPr>
    </w:pPr>
    <w:r>
      <w:t></w:t>
    </w:r>
    <w:r>
      <w:rPr>
        <w:rFonts w:hint="eastAsia"/>
      </w:rPr>
      <w:t xml:space="preserve">                                                  </w:t>
    </w:r>
    <w:r>
      <w:t xml:space="preserve">             杭州市政府采购公开招标文件</w:t>
    </w:r>
  </w:p>
  <w:p>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Pr>
    <w:r>
      <w:t></w:t>
    </w:r>
    <w:r>
      <w:rPr>
        <w:rFonts w:hint="eastAsia"/>
      </w:rPr>
      <w:t xml:space="preserve">         </w:t>
    </w:r>
  </w:p>
  <w:p>
    <w:pPr>
      <w:pStyle w:val="42"/>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rPr>
        <w:rFonts w:ascii="仿宋_GB2312" w:eastAsia="仿宋_GB2312"/>
        <w:b/>
        <w:i/>
        <w:u w:val="single"/>
      </w:rPr>
    </w:pPr>
    <w:r>
      <w:t></w:t>
    </w:r>
    <w:r>
      <w:rPr>
        <w:rFonts w:hint="eastAsia"/>
      </w:rPr>
      <w:t xml:space="preserve">                                                  </w:t>
    </w:r>
    <w:r>
      <w:t>杭州市政府采购公开招标文件</w:t>
    </w:r>
  </w:p>
  <w:p>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pPr>
    <w:r>
      <w:t></w:t>
    </w:r>
    <w:r>
      <w:rPr>
        <w:rFonts w:hint="eastAsia"/>
      </w:rPr>
      <w:t xml:space="preserve">                 </w:t>
    </w:r>
    <w:r>
      <w:t xml:space="preserve">                                </w:t>
    </w: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rPr>
        <w:rFonts w:ascii="仿宋_GB2312" w:eastAsia="仿宋_GB2312"/>
        <w:b/>
        <w:i/>
        <w:u w:val="single"/>
      </w:rPr>
    </w:pPr>
    <w:r>
      <w:rPr>
        <w:rFonts w:hint="eastAsia"/>
      </w:rPr>
      <w:t xml:space="preserve">                                  </w:t>
    </w:r>
    <w:r>
      <w:t>杭州市政府采购公开招标文件</w:t>
    </w:r>
  </w:p>
  <w:p>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pP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rPr>
        <w:rFonts w:ascii="仿宋_GB2312" w:eastAsia="仿宋_GB2312"/>
        <w:b/>
        <w:i/>
        <w:iCs/>
        <w:u w:val="single"/>
      </w:rPr>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A060BBE"/>
    <w:multiLevelType w:val="singleLevel"/>
    <w:tmpl w:val="0A060BBE"/>
    <w:lvl w:ilvl="0" w:tentative="0">
      <w:start w:val="1"/>
      <w:numFmt w:val="upperLetter"/>
      <w:suff w:val="nothing"/>
      <w:lvlText w:val="%1．"/>
      <w:lvlJc w:val="left"/>
      <w:pPr>
        <w:ind w:left="120" w:leftChars="0" w:firstLine="0" w:firstLineChars="0"/>
      </w:pPr>
    </w:lvl>
  </w:abstractNum>
  <w:abstractNum w:abstractNumId="1">
    <w:nsid w:val="1F1F7595"/>
    <w:multiLevelType w:val="singleLevel"/>
    <w:tmpl w:val="1F1F7595"/>
    <w:lvl w:ilvl="0" w:tentative="0">
      <w:start w:val="2"/>
      <w:numFmt w:val="decimal"/>
      <w:suff w:val="space"/>
      <w:lvlText w:val="%1."/>
      <w:lvlJc w:val="left"/>
    </w:lvl>
  </w:abstractNum>
  <w:abstractNum w:abstractNumId="2">
    <w:nsid w:val="536541C6"/>
    <w:multiLevelType w:val="singleLevel"/>
    <w:tmpl w:val="536541C6"/>
    <w:lvl w:ilvl="0" w:tentative="0">
      <w:start w:val="4"/>
      <w:numFmt w:val="chineseCounting"/>
      <w:suff w:val="nothing"/>
      <w:lvlText w:val="%1、"/>
      <w:lvlJc w:val="left"/>
      <w:rPr>
        <w:rFonts w:hint="eastAsia"/>
      </w:rPr>
    </w:lvl>
  </w:abstractNum>
  <w:num w:numId="1">
    <w:abstractNumId w:val="2"/>
  </w:num>
  <w:num w:numId="2">
    <w:abstractNumId w:val="1"/>
  </w:num>
  <w:num w:numId="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那年已不在">
    <w15:presenceInfo w15:providerId="None" w15:userId="那年已不在"/>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g3NGNjYWQ4NTFmYTVkMmY0NTQ2ZDVjMmU0NGZhYTk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1DB6"/>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45243F"/>
    <w:rsid w:val="019F7441"/>
    <w:rsid w:val="01B37585"/>
    <w:rsid w:val="01D55165"/>
    <w:rsid w:val="01DF24FF"/>
    <w:rsid w:val="01DF6BF8"/>
    <w:rsid w:val="01EC2C57"/>
    <w:rsid w:val="025F0711"/>
    <w:rsid w:val="026B2E25"/>
    <w:rsid w:val="02824D4D"/>
    <w:rsid w:val="02DC4B10"/>
    <w:rsid w:val="02DD76CE"/>
    <w:rsid w:val="02F36323"/>
    <w:rsid w:val="02F5619C"/>
    <w:rsid w:val="0326446A"/>
    <w:rsid w:val="032D5555"/>
    <w:rsid w:val="03417E66"/>
    <w:rsid w:val="036634D2"/>
    <w:rsid w:val="03873091"/>
    <w:rsid w:val="03DD35E4"/>
    <w:rsid w:val="04076900"/>
    <w:rsid w:val="041A5A3B"/>
    <w:rsid w:val="042054A6"/>
    <w:rsid w:val="042311BA"/>
    <w:rsid w:val="042B157A"/>
    <w:rsid w:val="048F763B"/>
    <w:rsid w:val="04952DB6"/>
    <w:rsid w:val="049F330E"/>
    <w:rsid w:val="04AA775C"/>
    <w:rsid w:val="04AF1889"/>
    <w:rsid w:val="04F66F48"/>
    <w:rsid w:val="05251E14"/>
    <w:rsid w:val="05A16594"/>
    <w:rsid w:val="05A7762D"/>
    <w:rsid w:val="05A85DB4"/>
    <w:rsid w:val="060E5941"/>
    <w:rsid w:val="06110FAF"/>
    <w:rsid w:val="06493CA7"/>
    <w:rsid w:val="065A6178"/>
    <w:rsid w:val="066F1CF3"/>
    <w:rsid w:val="06930BB8"/>
    <w:rsid w:val="07245D42"/>
    <w:rsid w:val="07264C62"/>
    <w:rsid w:val="0779354C"/>
    <w:rsid w:val="08061376"/>
    <w:rsid w:val="08452D77"/>
    <w:rsid w:val="086401F8"/>
    <w:rsid w:val="08751CAA"/>
    <w:rsid w:val="087E4C40"/>
    <w:rsid w:val="08A871D0"/>
    <w:rsid w:val="08D66AD6"/>
    <w:rsid w:val="08DA33A3"/>
    <w:rsid w:val="08E80F13"/>
    <w:rsid w:val="09335624"/>
    <w:rsid w:val="093A3E67"/>
    <w:rsid w:val="0944690F"/>
    <w:rsid w:val="094A739C"/>
    <w:rsid w:val="09535675"/>
    <w:rsid w:val="095F057D"/>
    <w:rsid w:val="09642282"/>
    <w:rsid w:val="09733572"/>
    <w:rsid w:val="09772C16"/>
    <w:rsid w:val="098353B5"/>
    <w:rsid w:val="098E0ADA"/>
    <w:rsid w:val="09A92330"/>
    <w:rsid w:val="09B06B87"/>
    <w:rsid w:val="09C13146"/>
    <w:rsid w:val="09E04166"/>
    <w:rsid w:val="0A1C0718"/>
    <w:rsid w:val="0A3E7710"/>
    <w:rsid w:val="0A5B7E63"/>
    <w:rsid w:val="0AA374A5"/>
    <w:rsid w:val="0AAB7649"/>
    <w:rsid w:val="0ABC5606"/>
    <w:rsid w:val="0B30404E"/>
    <w:rsid w:val="0B4C6C14"/>
    <w:rsid w:val="0B547599"/>
    <w:rsid w:val="0B631A88"/>
    <w:rsid w:val="0B683D45"/>
    <w:rsid w:val="0B7F3F11"/>
    <w:rsid w:val="0B884417"/>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4A7419"/>
    <w:rsid w:val="0D827401"/>
    <w:rsid w:val="0D84094E"/>
    <w:rsid w:val="0D8A00E9"/>
    <w:rsid w:val="0D8D589E"/>
    <w:rsid w:val="0DA01C73"/>
    <w:rsid w:val="0DB35227"/>
    <w:rsid w:val="0DD63300"/>
    <w:rsid w:val="0DF50604"/>
    <w:rsid w:val="0DF702FE"/>
    <w:rsid w:val="0E060E51"/>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0FE65B33"/>
    <w:rsid w:val="10646583"/>
    <w:rsid w:val="107D4B15"/>
    <w:rsid w:val="10846171"/>
    <w:rsid w:val="10872580"/>
    <w:rsid w:val="108A3C80"/>
    <w:rsid w:val="10C26171"/>
    <w:rsid w:val="10F33360"/>
    <w:rsid w:val="10FC16EA"/>
    <w:rsid w:val="110F1D40"/>
    <w:rsid w:val="11266F33"/>
    <w:rsid w:val="116A4312"/>
    <w:rsid w:val="118963A1"/>
    <w:rsid w:val="11A13DBD"/>
    <w:rsid w:val="11C6522A"/>
    <w:rsid w:val="11E104CC"/>
    <w:rsid w:val="11E20309"/>
    <w:rsid w:val="12255233"/>
    <w:rsid w:val="12530213"/>
    <w:rsid w:val="127723A9"/>
    <w:rsid w:val="12862074"/>
    <w:rsid w:val="12883966"/>
    <w:rsid w:val="128910D1"/>
    <w:rsid w:val="129E45B4"/>
    <w:rsid w:val="12B465F0"/>
    <w:rsid w:val="12D81596"/>
    <w:rsid w:val="13072A44"/>
    <w:rsid w:val="135F4BE2"/>
    <w:rsid w:val="13901434"/>
    <w:rsid w:val="139B1A0A"/>
    <w:rsid w:val="139D25C7"/>
    <w:rsid w:val="13BF3CE4"/>
    <w:rsid w:val="141008D8"/>
    <w:rsid w:val="14125FE6"/>
    <w:rsid w:val="146D271E"/>
    <w:rsid w:val="14982588"/>
    <w:rsid w:val="149A5AD9"/>
    <w:rsid w:val="14A7619D"/>
    <w:rsid w:val="150536C3"/>
    <w:rsid w:val="150C1963"/>
    <w:rsid w:val="15136A6D"/>
    <w:rsid w:val="151447A0"/>
    <w:rsid w:val="154A6454"/>
    <w:rsid w:val="15654295"/>
    <w:rsid w:val="15762120"/>
    <w:rsid w:val="16A8729C"/>
    <w:rsid w:val="16B33777"/>
    <w:rsid w:val="16BC70A7"/>
    <w:rsid w:val="16C6339E"/>
    <w:rsid w:val="16C96388"/>
    <w:rsid w:val="172F2D79"/>
    <w:rsid w:val="17557BEF"/>
    <w:rsid w:val="17C83416"/>
    <w:rsid w:val="17CC1224"/>
    <w:rsid w:val="17D349C1"/>
    <w:rsid w:val="181C0F41"/>
    <w:rsid w:val="1830729E"/>
    <w:rsid w:val="184E2965"/>
    <w:rsid w:val="1870062C"/>
    <w:rsid w:val="18817102"/>
    <w:rsid w:val="18830A15"/>
    <w:rsid w:val="18852B28"/>
    <w:rsid w:val="188B5321"/>
    <w:rsid w:val="19195C7F"/>
    <w:rsid w:val="19932372"/>
    <w:rsid w:val="19A20DD5"/>
    <w:rsid w:val="19AE03F1"/>
    <w:rsid w:val="1A071A03"/>
    <w:rsid w:val="1A1F16AE"/>
    <w:rsid w:val="1A3B5C77"/>
    <w:rsid w:val="1A484421"/>
    <w:rsid w:val="1A570AD1"/>
    <w:rsid w:val="1A984BAD"/>
    <w:rsid w:val="1AB8220E"/>
    <w:rsid w:val="1AE4166C"/>
    <w:rsid w:val="1AF06CFB"/>
    <w:rsid w:val="1AF11B8D"/>
    <w:rsid w:val="1B11359C"/>
    <w:rsid w:val="1B2A271F"/>
    <w:rsid w:val="1B530544"/>
    <w:rsid w:val="1B713184"/>
    <w:rsid w:val="1BA209CF"/>
    <w:rsid w:val="1BB4777D"/>
    <w:rsid w:val="1BD75AB8"/>
    <w:rsid w:val="1C0459C2"/>
    <w:rsid w:val="1C1B3B4A"/>
    <w:rsid w:val="1C75542A"/>
    <w:rsid w:val="1C88086E"/>
    <w:rsid w:val="1D266CE1"/>
    <w:rsid w:val="1D3963AF"/>
    <w:rsid w:val="1D6A673C"/>
    <w:rsid w:val="1D9247AE"/>
    <w:rsid w:val="1DB567EC"/>
    <w:rsid w:val="1DF51A98"/>
    <w:rsid w:val="1E3D060F"/>
    <w:rsid w:val="1E3F7D2E"/>
    <w:rsid w:val="1E4134E4"/>
    <w:rsid w:val="1E5062B3"/>
    <w:rsid w:val="1E523514"/>
    <w:rsid w:val="1E714A66"/>
    <w:rsid w:val="1E802593"/>
    <w:rsid w:val="1E8B6156"/>
    <w:rsid w:val="1EA703CC"/>
    <w:rsid w:val="1EB7330C"/>
    <w:rsid w:val="1F0A0FF3"/>
    <w:rsid w:val="1F5771FF"/>
    <w:rsid w:val="1FD52DD5"/>
    <w:rsid w:val="1FDF11D0"/>
    <w:rsid w:val="1FE868A9"/>
    <w:rsid w:val="20034907"/>
    <w:rsid w:val="20173E4B"/>
    <w:rsid w:val="204E48BC"/>
    <w:rsid w:val="208921B3"/>
    <w:rsid w:val="20973DEB"/>
    <w:rsid w:val="20B26522"/>
    <w:rsid w:val="20B44310"/>
    <w:rsid w:val="20BA595B"/>
    <w:rsid w:val="20CD22EF"/>
    <w:rsid w:val="21013E40"/>
    <w:rsid w:val="211116EB"/>
    <w:rsid w:val="216133FC"/>
    <w:rsid w:val="21D56769"/>
    <w:rsid w:val="21E52EF3"/>
    <w:rsid w:val="21FB5D7B"/>
    <w:rsid w:val="22015E94"/>
    <w:rsid w:val="220B1C3D"/>
    <w:rsid w:val="221D1D20"/>
    <w:rsid w:val="22334A87"/>
    <w:rsid w:val="22BE6801"/>
    <w:rsid w:val="22C15E12"/>
    <w:rsid w:val="22D47ABD"/>
    <w:rsid w:val="233500BF"/>
    <w:rsid w:val="23377FF7"/>
    <w:rsid w:val="236B425F"/>
    <w:rsid w:val="23836192"/>
    <w:rsid w:val="23901F29"/>
    <w:rsid w:val="239C0061"/>
    <w:rsid w:val="23B908A4"/>
    <w:rsid w:val="23E95BEF"/>
    <w:rsid w:val="23FD0064"/>
    <w:rsid w:val="243D0578"/>
    <w:rsid w:val="245375B0"/>
    <w:rsid w:val="24642C0A"/>
    <w:rsid w:val="246E364E"/>
    <w:rsid w:val="24B22173"/>
    <w:rsid w:val="24B95AD9"/>
    <w:rsid w:val="24BE24DA"/>
    <w:rsid w:val="24CF5825"/>
    <w:rsid w:val="24D663E6"/>
    <w:rsid w:val="24D77F2B"/>
    <w:rsid w:val="258B00E2"/>
    <w:rsid w:val="25A917A6"/>
    <w:rsid w:val="25BE27CC"/>
    <w:rsid w:val="25F74A5C"/>
    <w:rsid w:val="2628662C"/>
    <w:rsid w:val="262D45DE"/>
    <w:rsid w:val="26871DC8"/>
    <w:rsid w:val="26A53EF9"/>
    <w:rsid w:val="26A94201"/>
    <w:rsid w:val="26AC274F"/>
    <w:rsid w:val="26C22B14"/>
    <w:rsid w:val="26C57128"/>
    <w:rsid w:val="2703471B"/>
    <w:rsid w:val="27044A29"/>
    <w:rsid w:val="271D34C8"/>
    <w:rsid w:val="276142BF"/>
    <w:rsid w:val="27783712"/>
    <w:rsid w:val="27907362"/>
    <w:rsid w:val="27F05E67"/>
    <w:rsid w:val="28333E1D"/>
    <w:rsid w:val="28454BD6"/>
    <w:rsid w:val="28455253"/>
    <w:rsid w:val="28551971"/>
    <w:rsid w:val="285B1C53"/>
    <w:rsid w:val="288F669C"/>
    <w:rsid w:val="289F7086"/>
    <w:rsid w:val="28C32028"/>
    <w:rsid w:val="28CC490F"/>
    <w:rsid w:val="28DE40AA"/>
    <w:rsid w:val="29345E77"/>
    <w:rsid w:val="294C65AD"/>
    <w:rsid w:val="29806583"/>
    <w:rsid w:val="298B3C4C"/>
    <w:rsid w:val="29F26D24"/>
    <w:rsid w:val="2A15033F"/>
    <w:rsid w:val="2A1662C1"/>
    <w:rsid w:val="2A1C7367"/>
    <w:rsid w:val="2A2815FA"/>
    <w:rsid w:val="2A6D6092"/>
    <w:rsid w:val="2A7D76B4"/>
    <w:rsid w:val="2A876EF0"/>
    <w:rsid w:val="2B437463"/>
    <w:rsid w:val="2B7807EE"/>
    <w:rsid w:val="2BA50BF7"/>
    <w:rsid w:val="2BBF00EC"/>
    <w:rsid w:val="2BC37CFD"/>
    <w:rsid w:val="2BD5237F"/>
    <w:rsid w:val="2BE536CE"/>
    <w:rsid w:val="2BE758D9"/>
    <w:rsid w:val="2C09049E"/>
    <w:rsid w:val="2C0A653C"/>
    <w:rsid w:val="2C191F85"/>
    <w:rsid w:val="2CE82D6F"/>
    <w:rsid w:val="2D234D58"/>
    <w:rsid w:val="2D343236"/>
    <w:rsid w:val="2D482C78"/>
    <w:rsid w:val="2D776D5F"/>
    <w:rsid w:val="2DD15014"/>
    <w:rsid w:val="2DF72DE4"/>
    <w:rsid w:val="2E0220AF"/>
    <w:rsid w:val="2E4B082A"/>
    <w:rsid w:val="2E5D4E86"/>
    <w:rsid w:val="2E5D790B"/>
    <w:rsid w:val="2E9A3C18"/>
    <w:rsid w:val="2EBB0FEE"/>
    <w:rsid w:val="2EC63002"/>
    <w:rsid w:val="2F0A6B38"/>
    <w:rsid w:val="2F946CCB"/>
    <w:rsid w:val="2FAA338B"/>
    <w:rsid w:val="2FD25781"/>
    <w:rsid w:val="2FDC745C"/>
    <w:rsid w:val="2FFD7934"/>
    <w:rsid w:val="30733ACD"/>
    <w:rsid w:val="308C3862"/>
    <w:rsid w:val="309379D8"/>
    <w:rsid w:val="30A270F7"/>
    <w:rsid w:val="30DF1478"/>
    <w:rsid w:val="30EC586F"/>
    <w:rsid w:val="314550B7"/>
    <w:rsid w:val="314A7298"/>
    <w:rsid w:val="319C6071"/>
    <w:rsid w:val="31AC537E"/>
    <w:rsid w:val="31E3679B"/>
    <w:rsid w:val="31E732FD"/>
    <w:rsid w:val="32517576"/>
    <w:rsid w:val="32BE5C2C"/>
    <w:rsid w:val="32C126EE"/>
    <w:rsid w:val="32FB6478"/>
    <w:rsid w:val="33263B3F"/>
    <w:rsid w:val="336963EB"/>
    <w:rsid w:val="33816EEB"/>
    <w:rsid w:val="33EB55CD"/>
    <w:rsid w:val="33EC4C02"/>
    <w:rsid w:val="340D2360"/>
    <w:rsid w:val="3410665D"/>
    <w:rsid w:val="34193487"/>
    <w:rsid w:val="34211214"/>
    <w:rsid w:val="342E63AB"/>
    <w:rsid w:val="347D1408"/>
    <w:rsid w:val="34950E68"/>
    <w:rsid w:val="34986E94"/>
    <w:rsid w:val="34AF62C9"/>
    <w:rsid w:val="34CB4388"/>
    <w:rsid w:val="34FA6E12"/>
    <w:rsid w:val="354D7158"/>
    <w:rsid w:val="358D5588"/>
    <w:rsid w:val="35B76CEA"/>
    <w:rsid w:val="362E3B92"/>
    <w:rsid w:val="363A3B40"/>
    <w:rsid w:val="365302AE"/>
    <w:rsid w:val="36607A0A"/>
    <w:rsid w:val="366E227C"/>
    <w:rsid w:val="366F2E0D"/>
    <w:rsid w:val="367B6A5C"/>
    <w:rsid w:val="36A74ADA"/>
    <w:rsid w:val="36AD60D5"/>
    <w:rsid w:val="36B224F9"/>
    <w:rsid w:val="36EC0CC9"/>
    <w:rsid w:val="371D3D90"/>
    <w:rsid w:val="37217005"/>
    <w:rsid w:val="373F410B"/>
    <w:rsid w:val="37B12AC8"/>
    <w:rsid w:val="37EE7094"/>
    <w:rsid w:val="38296C89"/>
    <w:rsid w:val="383002EB"/>
    <w:rsid w:val="3844189A"/>
    <w:rsid w:val="38586797"/>
    <w:rsid w:val="38BC0149"/>
    <w:rsid w:val="38D87D1C"/>
    <w:rsid w:val="39636459"/>
    <w:rsid w:val="396B7F6C"/>
    <w:rsid w:val="39905CAE"/>
    <w:rsid w:val="39B417A9"/>
    <w:rsid w:val="39FC5695"/>
    <w:rsid w:val="3A006D8E"/>
    <w:rsid w:val="3A3651E5"/>
    <w:rsid w:val="3A744481"/>
    <w:rsid w:val="3A8C7BEF"/>
    <w:rsid w:val="3A906246"/>
    <w:rsid w:val="3B2349B7"/>
    <w:rsid w:val="3B616CFF"/>
    <w:rsid w:val="3B6259F6"/>
    <w:rsid w:val="3B976654"/>
    <w:rsid w:val="3BC01EFC"/>
    <w:rsid w:val="3BCA786A"/>
    <w:rsid w:val="3BD31E2F"/>
    <w:rsid w:val="3BD90C36"/>
    <w:rsid w:val="3BF15831"/>
    <w:rsid w:val="3C105946"/>
    <w:rsid w:val="3C471448"/>
    <w:rsid w:val="3C5F759A"/>
    <w:rsid w:val="3C6C525A"/>
    <w:rsid w:val="3CCE23CB"/>
    <w:rsid w:val="3CD153A1"/>
    <w:rsid w:val="3CD17D17"/>
    <w:rsid w:val="3D3C7F39"/>
    <w:rsid w:val="3D440F09"/>
    <w:rsid w:val="3D4504A0"/>
    <w:rsid w:val="3D78075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95482B"/>
    <w:rsid w:val="4019356B"/>
    <w:rsid w:val="403B55FB"/>
    <w:rsid w:val="40592157"/>
    <w:rsid w:val="406E1CAE"/>
    <w:rsid w:val="40A0133A"/>
    <w:rsid w:val="40C31A53"/>
    <w:rsid w:val="40FF545D"/>
    <w:rsid w:val="410067C8"/>
    <w:rsid w:val="418F0D2A"/>
    <w:rsid w:val="41D01505"/>
    <w:rsid w:val="42474939"/>
    <w:rsid w:val="424C3C57"/>
    <w:rsid w:val="42613FF3"/>
    <w:rsid w:val="42660D96"/>
    <w:rsid w:val="428667D2"/>
    <w:rsid w:val="42AD4C82"/>
    <w:rsid w:val="42CD1CE0"/>
    <w:rsid w:val="42E1381E"/>
    <w:rsid w:val="42ED6459"/>
    <w:rsid w:val="42FE58DD"/>
    <w:rsid w:val="43174B3D"/>
    <w:rsid w:val="434B790E"/>
    <w:rsid w:val="4360274F"/>
    <w:rsid w:val="43687851"/>
    <w:rsid w:val="43977AB6"/>
    <w:rsid w:val="43A3342B"/>
    <w:rsid w:val="43C77C27"/>
    <w:rsid w:val="43DE09EE"/>
    <w:rsid w:val="44002FAD"/>
    <w:rsid w:val="4401017D"/>
    <w:rsid w:val="449101DD"/>
    <w:rsid w:val="44DE1391"/>
    <w:rsid w:val="44F92E62"/>
    <w:rsid w:val="451B225C"/>
    <w:rsid w:val="45207657"/>
    <w:rsid w:val="452410C9"/>
    <w:rsid w:val="45317DFB"/>
    <w:rsid w:val="456D3CE4"/>
    <w:rsid w:val="4579042C"/>
    <w:rsid w:val="457F0571"/>
    <w:rsid w:val="45851176"/>
    <w:rsid w:val="45C63B94"/>
    <w:rsid w:val="45F3316A"/>
    <w:rsid w:val="460E7DA5"/>
    <w:rsid w:val="46422483"/>
    <w:rsid w:val="464D7878"/>
    <w:rsid w:val="4659254A"/>
    <w:rsid w:val="465B0637"/>
    <w:rsid w:val="465E3F0D"/>
    <w:rsid w:val="466A16E6"/>
    <w:rsid w:val="46893F2B"/>
    <w:rsid w:val="46A315B2"/>
    <w:rsid w:val="46C4686E"/>
    <w:rsid w:val="477B778F"/>
    <w:rsid w:val="478203EC"/>
    <w:rsid w:val="47B025FA"/>
    <w:rsid w:val="47D1147D"/>
    <w:rsid w:val="4809698F"/>
    <w:rsid w:val="4811697D"/>
    <w:rsid w:val="487A3E25"/>
    <w:rsid w:val="488B5503"/>
    <w:rsid w:val="48937E21"/>
    <w:rsid w:val="489A0361"/>
    <w:rsid w:val="48B94FF3"/>
    <w:rsid w:val="48E37AAB"/>
    <w:rsid w:val="48FD4B4C"/>
    <w:rsid w:val="490209B5"/>
    <w:rsid w:val="490A68E0"/>
    <w:rsid w:val="491055FE"/>
    <w:rsid w:val="492E14EC"/>
    <w:rsid w:val="495F5B3E"/>
    <w:rsid w:val="496F77D7"/>
    <w:rsid w:val="497654FD"/>
    <w:rsid w:val="49B64211"/>
    <w:rsid w:val="49E56AF9"/>
    <w:rsid w:val="49F6167F"/>
    <w:rsid w:val="4A064FA0"/>
    <w:rsid w:val="4A16615C"/>
    <w:rsid w:val="4A3F2FF7"/>
    <w:rsid w:val="4A4424D7"/>
    <w:rsid w:val="4AB82D0F"/>
    <w:rsid w:val="4AEB7664"/>
    <w:rsid w:val="4AFD7C19"/>
    <w:rsid w:val="4B0567D1"/>
    <w:rsid w:val="4B236AAE"/>
    <w:rsid w:val="4B540AB9"/>
    <w:rsid w:val="4B707271"/>
    <w:rsid w:val="4B9739F7"/>
    <w:rsid w:val="4BEE2503"/>
    <w:rsid w:val="4C245A30"/>
    <w:rsid w:val="4C256B4C"/>
    <w:rsid w:val="4CB6685F"/>
    <w:rsid w:val="4CC367FE"/>
    <w:rsid w:val="4CE05C82"/>
    <w:rsid w:val="4D077F3C"/>
    <w:rsid w:val="4D123355"/>
    <w:rsid w:val="4D2A3B31"/>
    <w:rsid w:val="4D312C52"/>
    <w:rsid w:val="4D66206A"/>
    <w:rsid w:val="4D905305"/>
    <w:rsid w:val="4D964A72"/>
    <w:rsid w:val="4D9C1254"/>
    <w:rsid w:val="4DF209C1"/>
    <w:rsid w:val="4DF53348"/>
    <w:rsid w:val="4E793892"/>
    <w:rsid w:val="4E800872"/>
    <w:rsid w:val="4EC569ED"/>
    <w:rsid w:val="4ED50EA1"/>
    <w:rsid w:val="4EEC050C"/>
    <w:rsid w:val="4EF11223"/>
    <w:rsid w:val="4F104EC3"/>
    <w:rsid w:val="4F47354A"/>
    <w:rsid w:val="4F911C54"/>
    <w:rsid w:val="4FCB0679"/>
    <w:rsid w:val="4FE625E0"/>
    <w:rsid w:val="5021480F"/>
    <w:rsid w:val="50222D8C"/>
    <w:rsid w:val="5078392F"/>
    <w:rsid w:val="50962ECB"/>
    <w:rsid w:val="50A42E38"/>
    <w:rsid w:val="50A4577F"/>
    <w:rsid w:val="50B73D1F"/>
    <w:rsid w:val="50BD5BC9"/>
    <w:rsid w:val="50C11EEE"/>
    <w:rsid w:val="50DC14E2"/>
    <w:rsid w:val="50E97CFC"/>
    <w:rsid w:val="50FA4028"/>
    <w:rsid w:val="510D65B7"/>
    <w:rsid w:val="511157AB"/>
    <w:rsid w:val="5142540C"/>
    <w:rsid w:val="518832C8"/>
    <w:rsid w:val="519D3C50"/>
    <w:rsid w:val="51A0432A"/>
    <w:rsid w:val="51A86090"/>
    <w:rsid w:val="51B7396D"/>
    <w:rsid w:val="522E4CC3"/>
    <w:rsid w:val="5244713B"/>
    <w:rsid w:val="52615633"/>
    <w:rsid w:val="526F4DE4"/>
    <w:rsid w:val="52977FD4"/>
    <w:rsid w:val="52A25790"/>
    <w:rsid w:val="52A96B6F"/>
    <w:rsid w:val="52B45975"/>
    <w:rsid w:val="52D94AA4"/>
    <w:rsid w:val="52EA3A62"/>
    <w:rsid w:val="52F50BB8"/>
    <w:rsid w:val="52F945A9"/>
    <w:rsid w:val="53097272"/>
    <w:rsid w:val="53544462"/>
    <w:rsid w:val="5397158E"/>
    <w:rsid w:val="54013861"/>
    <w:rsid w:val="54487265"/>
    <w:rsid w:val="544D6070"/>
    <w:rsid w:val="54605E1E"/>
    <w:rsid w:val="54B3506A"/>
    <w:rsid w:val="54CA0D16"/>
    <w:rsid w:val="54DD4057"/>
    <w:rsid w:val="54E7490F"/>
    <w:rsid w:val="550764A4"/>
    <w:rsid w:val="550B2BF6"/>
    <w:rsid w:val="55214EB5"/>
    <w:rsid w:val="55364EFD"/>
    <w:rsid w:val="5553447D"/>
    <w:rsid w:val="555D4828"/>
    <w:rsid w:val="557A4C8B"/>
    <w:rsid w:val="558931E1"/>
    <w:rsid w:val="55923347"/>
    <w:rsid w:val="55925180"/>
    <w:rsid w:val="55983B1B"/>
    <w:rsid w:val="55A8376B"/>
    <w:rsid w:val="55DC29B6"/>
    <w:rsid w:val="55DD4241"/>
    <w:rsid w:val="55E1158F"/>
    <w:rsid w:val="55E37E8B"/>
    <w:rsid w:val="56161836"/>
    <w:rsid w:val="564149C4"/>
    <w:rsid w:val="566B6D1E"/>
    <w:rsid w:val="57032A2C"/>
    <w:rsid w:val="570F5219"/>
    <w:rsid w:val="575D12B5"/>
    <w:rsid w:val="57610A87"/>
    <w:rsid w:val="57683AE0"/>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E363A9"/>
    <w:rsid w:val="59003117"/>
    <w:rsid w:val="595E1678"/>
    <w:rsid w:val="596D5BD4"/>
    <w:rsid w:val="597E3DD8"/>
    <w:rsid w:val="59F80043"/>
    <w:rsid w:val="5A09252F"/>
    <w:rsid w:val="5A0B2778"/>
    <w:rsid w:val="5A2A7C7B"/>
    <w:rsid w:val="5A3E2560"/>
    <w:rsid w:val="5A5D3B6E"/>
    <w:rsid w:val="5A637A76"/>
    <w:rsid w:val="5A6D33BA"/>
    <w:rsid w:val="5A792B1F"/>
    <w:rsid w:val="5A874767"/>
    <w:rsid w:val="5AA85BE2"/>
    <w:rsid w:val="5AAD6F28"/>
    <w:rsid w:val="5AC473B6"/>
    <w:rsid w:val="5AD63A24"/>
    <w:rsid w:val="5B15359D"/>
    <w:rsid w:val="5B2E1A1D"/>
    <w:rsid w:val="5B6D4536"/>
    <w:rsid w:val="5B843A1C"/>
    <w:rsid w:val="5B873E3F"/>
    <w:rsid w:val="5B8E0D07"/>
    <w:rsid w:val="5BE30EF2"/>
    <w:rsid w:val="5C02690E"/>
    <w:rsid w:val="5C196DA7"/>
    <w:rsid w:val="5C2A048C"/>
    <w:rsid w:val="5C3F4022"/>
    <w:rsid w:val="5C80234E"/>
    <w:rsid w:val="5C8A680C"/>
    <w:rsid w:val="5CA8234F"/>
    <w:rsid w:val="5D0C4701"/>
    <w:rsid w:val="5D0F0395"/>
    <w:rsid w:val="5D221076"/>
    <w:rsid w:val="5D2F360A"/>
    <w:rsid w:val="5D397964"/>
    <w:rsid w:val="5D58539A"/>
    <w:rsid w:val="5D5A391C"/>
    <w:rsid w:val="5D5F10C0"/>
    <w:rsid w:val="5D891B7B"/>
    <w:rsid w:val="5D8E4067"/>
    <w:rsid w:val="5DAD38EE"/>
    <w:rsid w:val="5E006862"/>
    <w:rsid w:val="5E0207B9"/>
    <w:rsid w:val="5E1834A1"/>
    <w:rsid w:val="5E261785"/>
    <w:rsid w:val="5E4A7017"/>
    <w:rsid w:val="5E552BBA"/>
    <w:rsid w:val="5E611C10"/>
    <w:rsid w:val="5E7A0F3F"/>
    <w:rsid w:val="5EFC7377"/>
    <w:rsid w:val="5F06174D"/>
    <w:rsid w:val="5F096338"/>
    <w:rsid w:val="5F287496"/>
    <w:rsid w:val="5F3A3602"/>
    <w:rsid w:val="5F45733B"/>
    <w:rsid w:val="5F6277C6"/>
    <w:rsid w:val="5F6D0B1D"/>
    <w:rsid w:val="5F8D0B82"/>
    <w:rsid w:val="5FCC5339"/>
    <w:rsid w:val="5FE34A5B"/>
    <w:rsid w:val="5FFE1E36"/>
    <w:rsid w:val="60210C05"/>
    <w:rsid w:val="60212E0F"/>
    <w:rsid w:val="60232584"/>
    <w:rsid w:val="607330CE"/>
    <w:rsid w:val="60825176"/>
    <w:rsid w:val="6083082A"/>
    <w:rsid w:val="609F2AC4"/>
    <w:rsid w:val="60FA2EE8"/>
    <w:rsid w:val="61054A27"/>
    <w:rsid w:val="610A52BC"/>
    <w:rsid w:val="611D2366"/>
    <w:rsid w:val="61421856"/>
    <w:rsid w:val="615227C4"/>
    <w:rsid w:val="61654E3F"/>
    <w:rsid w:val="6174771F"/>
    <w:rsid w:val="6182292A"/>
    <w:rsid w:val="619F7F92"/>
    <w:rsid w:val="61F94C26"/>
    <w:rsid w:val="62000E56"/>
    <w:rsid w:val="624F3E49"/>
    <w:rsid w:val="62632286"/>
    <w:rsid w:val="62885958"/>
    <w:rsid w:val="62F40B65"/>
    <w:rsid w:val="62FC2CFE"/>
    <w:rsid w:val="63024505"/>
    <w:rsid w:val="63131CF2"/>
    <w:rsid w:val="635600A5"/>
    <w:rsid w:val="635B1DB5"/>
    <w:rsid w:val="63711FED"/>
    <w:rsid w:val="63880DDC"/>
    <w:rsid w:val="638D750D"/>
    <w:rsid w:val="63AC6CC0"/>
    <w:rsid w:val="64055776"/>
    <w:rsid w:val="64240056"/>
    <w:rsid w:val="643E143A"/>
    <w:rsid w:val="64491666"/>
    <w:rsid w:val="648B6EEF"/>
    <w:rsid w:val="649073B3"/>
    <w:rsid w:val="64C158BF"/>
    <w:rsid w:val="64CE2EAA"/>
    <w:rsid w:val="653C3090"/>
    <w:rsid w:val="65854376"/>
    <w:rsid w:val="658767BE"/>
    <w:rsid w:val="65892531"/>
    <w:rsid w:val="66195831"/>
    <w:rsid w:val="662E75B1"/>
    <w:rsid w:val="66342C2E"/>
    <w:rsid w:val="663E784C"/>
    <w:rsid w:val="668B6A45"/>
    <w:rsid w:val="67011F07"/>
    <w:rsid w:val="672F3F24"/>
    <w:rsid w:val="673E055F"/>
    <w:rsid w:val="67551CE3"/>
    <w:rsid w:val="67A22552"/>
    <w:rsid w:val="67B22DCC"/>
    <w:rsid w:val="67BE71AA"/>
    <w:rsid w:val="67D90273"/>
    <w:rsid w:val="67DE5875"/>
    <w:rsid w:val="67E55852"/>
    <w:rsid w:val="67EB1AB4"/>
    <w:rsid w:val="67EC154F"/>
    <w:rsid w:val="67FA1285"/>
    <w:rsid w:val="68551F4F"/>
    <w:rsid w:val="687C10C9"/>
    <w:rsid w:val="68840C16"/>
    <w:rsid w:val="68872541"/>
    <w:rsid w:val="68876EFB"/>
    <w:rsid w:val="68884654"/>
    <w:rsid w:val="689F444F"/>
    <w:rsid w:val="68B96DBB"/>
    <w:rsid w:val="68CA2805"/>
    <w:rsid w:val="68E937A3"/>
    <w:rsid w:val="691664E5"/>
    <w:rsid w:val="693E15D3"/>
    <w:rsid w:val="69627681"/>
    <w:rsid w:val="6977531D"/>
    <w:rsid w:val="69CC2BFF"/>
    <w:rsid w:val="69FD55B8"/>
    <w:rsid w:val="6A0B1C62"/>
    <w:rsid w:val="6A2406C8"/>
    <w:rsid w:val="6A64073D"/>
    <w:rsid w:val="6ADA4910"/>
    <w:rsid w:val="6ADE0BD1"/>
    <w:rsid w:val="6AE96859"/>
    <w:rsid w:val="6B147746"/>
    <w:rsid w:val="6B24787C"/>
    <w:rsid w:val="6B573233"/>
    <w:rsid w:val="6B5B6274"/>
    <w:rsid w:val="6B761EE4"/>
    <w:rsid w:val="6B935D53"/>
    <w:rsid w:val="6BA916DD"/>
    <w:rsid w:val="6BC7204F"/>
    <w:rsid w:val="6C06676A"/>
    <w:rsid w:val="6C196F71"/>
    <w:rsid w:val="6C1B3ABF"/>
    <w:rsid w:val="6C226FCB"/>
    <w:rsid w:val="6C31226F"/>
    <w:rsid w:val="6C552F0B"/>
    <w:rsid w:val="6C8C67B7"/>
    <w:rsid w:val="6C9D744C"/>
    <w:rsid w:val="6D167928"/>
    <w:rsid w:val="6D26299B"/>
    <w:rsid w:val="6D4772EC"/>
    <w:rsid w:val="6D5B3954"/>
    <w:rsid w:val="6D792A38"/>
    <w:rsid w:val="6D9078AF"/>
    <w:rsid w:val="6DA65E65"/>
    <w:rsid w:val="6DAA3FEF"/>
    <w:rsid w:val="6DC0172B"/>
    <w:rsid w:val="6DCB690C"/>
    <w:rsid w:val="6DD41A5B"/>
    <w:rsid w:val="6DF43C2E"/>
    <w:rsid w:val="6DF51CA3"/>
    <w:rsid w:val="6E05001C"/>
    <w:rsid w:val="6E8335BD"/>
    <w:rsid w:val="6E8E12EF"/>
    <w:rsid w:val="6E972936"/>
    <w:rsid w:val="6ED446C5"/>
    <w:rsid w:val="6F2A7D94"/>
    <w:rsid w:val="6F3D4EF4"/>
    <w:rsid w:val="6F8331F1"/>
    <w:rsid w:val="6F8A7CB5"/>
    <w:rsid w:val="6F8D3D33"/>
    <w:rsid w:val="6FAE1A09"/>
    <w:rsid w:val="6FD75BF8"/>
    <w:rsid w:val="707723D0"/>
    <w:rsid w:val="70F5661B"/>
    <w:rsid w:val="710D3872"/>
    <w:rsid w:val="71360107"/>
    <w:rsid w:val="713B688E"/>
    <w:rsid w:val="71D43752"/>
    <w:rsid w:val="71F1796A"/>
    <w:rsid w:val="72154626"/>
    <w:rsid w:val="72262B5D"/>
    <w:rsid w:val="72283FF7"/>
    <w:rsid w:val="722E7212"/>
    <w:rsid w:val="723A0474"/>
    <w:rsid w:val="724402A2"/>
    <w:rsid w:val="725923E4"/>
    <w:rsid w:val="72864BF7"/>
    <w:rsid w:val="729023FC"/>
    <w:rsid w:val="73C0646E"/>
    <w:rsid w:val="742222F5"/>
    <w:rsid w:val="74476126"/>
    <w:rsid w:val="74706664"/>
    <w:rsid w:val="747F3682"/>
    <w:rsid w:val="749C4185"/>
    <w:rsid w:val="74DD4FD4"/>
    <w:rsid w:val="75067759"/>
    <w:rsid w:val="752E6DCD"/>
    <w:rsid w:val="7551380D"/>
    <w:rsid w:val="75600BE5"/>
    <w:rsid w:val="7564475C"/>
    <w:rsid w:val="7583797F"/>
    <w:rsid w:val="75AB5F60"/>
    <w:rsid w:val="75D20F1D"/>
    <w:rsid w:val="75DA2C18"/>
    <w:rsid w:val="75F54412"/>
    <w:rsid w:val="75FE7F4C"/>
    <w:rsid w:val="761D08E0"/>
    <w:rsid w:val="765D347C"/>
    <w:rsid w:val="76826699"/>
    <w:rsid w:val="76C87133"/>
    <w:rsid w:val="76CD08D5"/>
    <w:rsid w:val="76DB4B92"/>
    <w:rsid w:val="77052AA4"/>
    <w:rsid w:val="77136511"/>
    <w:rsid w:val="77340A39"/>
    <w:rsid w:val="77351FD0"/>
    <w:rsid w:val="77472422"/>
    <w:rsid w:val="777F31F2"/>
    <w:rsid w:val="77CF2F01"/>
    <w:rsid w:val="77D1700D"/>
    <w:rsid w:val="77EC04CC"/>
    <w:rsid w:val="78775729"/>
    <w:rsid w:val="78A42DB0"/>
    <w:rsid w:val="78A656AB"/>
    <w:rsid w:val="78AB58BA"/>
    <w:rsid w:val="78B2245C"/>
    <w:rsid w:val="78E172CC"/>
    <w:rsid w:val="78EA1D1F"/>
    <w:rsid w:val="7904172F"/>
    <w:rsid w:val="790F7E27"/>
    <w:rsid w:val="79177D4D"/>
    <w:rsid w:val="792A231A"/>
    <w:rsid w:val="79316829"/>
    <w:rsid w:val="795B2E14"/>
    <w:rsid w:val="797E66A9"/>
    <w:rsid w:val="798518A4"/>
    <w:rsid w:val="798547EC"/>
    <w:rsid w:val="79A97383"/>
    <w:rsid w:val="79E27E8B"/>
    <w:rsid w:val="79F850CE"/>
    <w:rsid w:val="79FD443C"/>
    <w:rsid w:val="7A1D1975"/>
    <w:rsid w:val="7A3E5150"/>
    <w:rsid w:val="7A4670D6"/>
    <w:rsid w:val="7A534B63"/>
    <w:rsid w:val="7A615382"/>
    <w:rsid w:val="7A67303B"/>
    <w:rsid w:val="7A8A6415"/>
    <w:rsid w:val="7AAB1D04"/>
    <w:rsid w:val="7ABA4368"/>
    <w:rsid w:val="7AD05746"/>
    <w:rsid w:val="7AE0293E"/>
    <w:rsid w:val="7B257FFD"/>
    <w:rsid w:val="7B273D20"/>
    <w:rsid w:val="7B343476"/>
    <w:rsid w:val="7B373EB9"/>
    <w:rsid w:val="7B5A2978"/>
    <w:rsid w:val="7B5A7E4C"/>
    <w:rsid w:val="7B667AF9"/>
    <w:rsid w:val="7B7468F8"/>
    <w:rsid w:val="7BEE0103"/>
    <w:rsid w:val="7C0A0FE4"/>
    <w:rsid w:val="7C254906"/>
    <w:rsid w:val="7C590818"/>
    <w:rsid w:val="7C7C10F6"/>
    <w:rsid w:val="7C853BEA"/>
    <w:rsid w:val="7C881368"/>
    <w:rsid w:val="7CE27788"/>
    <w:rsid w:val="7D0C32F1"/>
    <w:rsid w:val="7D0F408D"/>
    <w:rsid w:val="7D491C6C"/>
    <w:rsid w:val="7D5429C0"/>
    <w:rsid w:val="7D6E6D43"/>
    <w:rsid w:val="7DB57A34"/>
    <w:rsid w:val="7DE60973"/>
    <w:rsid w:val="7DEF0916"/>
    <w:rsid w:val="7E1E5218"/>
    <w:rsid w:val="7E9A4E1F"/>
    <w:rsid w:val="7EA7723A"/>
    <w:rsid w:val="7EE43842"/>
    <w:rsid w:val="7EF56FBB"/>
    <w:rsid w:val="7F0768EB"/>
    <w:rsid w:val="7F143BEC"/>
    <w:rsid w:val="7F715AF2"/>
    <w:rsid w:val="7F886E69"/>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1"/>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5">
    <w:name w:val="heading 3"/>
    <w:basedOn w:val="1"/>
    <w:next w:val="6"/>
    <w:qFormat/>
    <w:uiPriority w:val="0"/>
    <w:pPr>
      <w:keepNext/>
      <w:keepLines/>
      <w:tabs>
        <w:tab w:val="left" w:pos="900"/>
      </w:tabs>
      <w:spacing w:before="260" w:after="260" w:line="416" w:lineRule="auto"/>
      <w:ind w:left="900" w:hanging="720"/>
      <w:outlineLvl w:val="2"/>
    </w:pPr>
    <w:rPr>
      <w:b/>
      <w:bCs/>
      <w:sz w:val="32"/>
      <w:szCs w:val="32"/>
    </w:rPr>
  </w:style>
  <w:style w:type="paragraph" w:styleId="7">
    <w:name w:val="heading 4"/>
    <w:basedOn w:val="1"/>
    <w:next w:val="1"/>
    <w:link w:val="325"/>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8">
    <w:name w:val="heading 5"/>
    <w:basedOn w:val="1"/>
    <w:next w:val="1"/>
    <w:link w:val="291"/>
    <w:qFormat/>
    <w:uiPriority w:val="0"/>
    <w:pPr>
      <w:keepNext/>
      <w:keepLines/>
      <w:tabs>
        <w:tab w:val="left" w:pos="1008"/>
      </w:tabs>
      <w:spacing w:before="280" w:after="290" w:line="376" w:lineRule="auto"/>
      <w:ind w:left="1008" w:hanging="1008"/>
      <w:outlineLvl w:val="4"/>
    </w:pPr>
    <w:rPr>
      <w:b/>
      <w:bCs/>
      <w:sz w:val="28"/>
      <w:szCs w:val="28"/>
    </w:rPr>
  </w:style>
  <w:style w:type="paragraph" w:styleId="9">
    <w:name w:val="heading 6"/>
    <w:basedOn w:val="1"/>
    <w:next w:val="1"/>
    <w:link w:val="144"/>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0">
    <w:name w:val="heading 7"/>
    <w:basedOn w:val="1"/>
    <w:next w:val="1"/>
    <w:link w:val="305"/>
    <w:qFormat/>
    <w:uiPriority w:val="0"/>
    <w:pPr>
      <w:keepNext/>
      <w:keepLines/>
      <w:tabs>
        <w:tab w:val="left" w:pos="1296"/>
      </w:tabs>
      <w:spacing w:before="240" w:after="64" w:line="320" w:lineRule="auto"/>
      <w:ind w:left="1296" w:hanging="1296"/>
      <w:outlineLvl w:val="6"/>
    </w:pPr>
    <w:rPr>
      <w:b/>
      <w:bCs/>
      <w:sz w:val="24"/>
    </w:rPr>
  </w:style>
  <w:style w:type="paragraph" w:styleId="11">
    <w:name w:val="heading 8"/>
    <w:basedOn w:val="1"/>
    <w:next w:val="1"/>
    <w:link w:val="356"/>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2">
    <w:name w:val="heading 9"/>
    <w:basedOn w:val="1"/>
    <w:next w:val="1"/>
    <w:link w:val="179"/>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0"/>
  </w:style>
  <w:style w:type="paragraph" w:styleId="6">
    <w:name w:val="Normal Indent"/>
    <w:basedOn w:val="1"/>
    <w:next w:val="1"/>
    <w:link w:val="190"/>
    <w:qFormat/>
    <w:uiPriority w:val="0"/>
    <w:pPr>
      <w:widowControl/>
      <w:snapToGrid w:val="0"/>
      <w:spacing w:line="480" w:lineRule="exact"/>
      <w:ind w:firstLine="567"/>
    </w:pPr>
    <w:rPr>
      <w:rFonts w:ascii="宋体"/>
      <w:snapToGrid w:val="0"/>
      <w:color w:val="000000"/>
      <w:kern w:val="28"/>
      <w:sz w:val="28"/>
      <w:szCs w:val="20"/>
    </w:rPr>
  </w:style>
  <w:style w:type="paragraph" w:styleId="13">
    <w:name w:val="toc 7"/>
    <w:basedOn w:val="1"/>
    <w:next w:val="1"/>
    <w:qFormat/>
    <w:uiPriority w:val="0"/>
    <w:pPr>
      <w:ind w:left="2520" w:leftChars="1200"/>
    </w:pPr>
  </w:style>
  <w:style w:type="paragraph" w:styleId="14">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5">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7">
    <w:name w:val="caption"/>
    <w:basedOn w:val="1"/>
    <w:next w:val="1"/>
    <w:link w:val="226"/>
    <w:qFormat/>
    <w:uiPriority w:val="0"/>
    <w:rPr>
      <w:b/>
      <w:sz w:val="28"/>
      <w:szCs w:val="20"/>
    </w:rPr>
  </w:style>
  <w:style w:type="paragraph" w:styleId="18">
    <w:name w:val="index 5"/>
    <w:basedOn w:val="1"/>
    <w:next w:val="1"/>
    <w:qFormat/>
    <w:uiPriority w:val="0"/>
    <w:pPr>
      <w:adjustRightInd/>
      <w:ind w:left="800" w:leftChars="800" w:firstLine="200" w:firstLineChars="200"/>
    </w:pPr>
  </w:style>
  <w:style w:type="paragraph" w:styleId="19">
    <w:name w:val="Document Map"/>
    <w:basedOn w:val="1"/>
    <w:link w:val="199"/>
    <w:qFormat/>
    <w:uiPriority w:val="0"/>
    <w:pPr>
      <w:shd w:val="clear" w:color="auto" w:fill="000080"/>
    </w:pPr>
  </w:style>
  <w:style w:type="paragraph" w:styleId="20">
    <w:name w:val="annotation text"/>
    <w:basedOn w:val="1"/>
    <w:link w:val="342"/>
    <w:qFormat/>
    <w:uiPriority w:val="99"/>
    <w:pPr>
      <w:jc w:val="left"/>
    </w:pPr>
  </w:style>
  <w:style w:type="paragraph" w:styleId="21">
    <w:name w:val="Salutation"/>
    <w:basedOn w:val="1"/>
    <w:next w:val="1"/>
    <w:link w:val="296"/>
    <w:qFormat/>
    <w:uiPriority w:val="0"/>
    <w:rPr>
      <w:rFonts w:ascii="仿宋_GB2312" w:eastAsia="仿宋_GB2312"/>
      <w:sz w:val="28"/>
      <w:szCs w:val="20"/>
    </w:rPr>
  </w:style>
  <w:style w:type="paragraph" w:styleId="22">
    <w:name w:val="Body Text 3"/>
    <w:basedOn w:val="1"/>
    <w:link w:val="328"/>
    <w:qFormat/>
    <w:uiPriority w:val="0"/>
    <w:pPr>
      <w:jc w:val="center"/>
    </w:pPr>
    <w:rPr>
      <w:szCs w:val="20"/>
    </w:rPr>
  </w:style>
  <w:style w:type="paragraph" w:styleId="23">
    <w:name w:val="List Bullet 3"/>
    <w:basedOn w:val="1"/>
    <w:unhideWhenUsed/>
    <w:qFormat/>
    <w:uiPriority w:val="0"/>
    <w:pPr>
      <w:snapToGrid w:val="0"/>
      <w:spacing w:line="360" w:lineRule="auto"/>
      <w:ind w:left="360" w:right="238" w:hanging="360"/>
      <w:contextualSpacing/>
    </w:pPr>
    <w:rPr>
      <w:sz w:val="24"/>
    </w:rPr>
  </w:style>
  <w:style w:type="paragraph" w:styleId="24">
    <w:name w:val="Body Text"/>
    <w:basedOn w:val="1"/>
    <w:next w:val="25"/>
    <w:link w:val="428"/>
    <w:qFormat/>
    <w:uiPriority w:val="0"/>
    <w:pPr>
      <w:autoSpaceDE w:val="0"/>
      <w:autoSpaceDN w:val="0"/>
      <w:spacing w:line="360" w:lineRule="auto"/>
    </w:pPr>
    <w:rPr>
      <w:rFonts w:ascii="宋体" w:hAnsi="Arial" w:cs="Arial"/>
      <w:snapToGrid w:val="0"/>
      <w:sz w:val="24"/>
      <w:szCs w:val="21"/>
      <w:lang w:val="zh-CN"/>
    </w:rPr>
  </w:style>
  <w:style w:type="paragraph" w:styleId="25">
    <w:name w:val="Body Text First Indent"/>
    <w:basedOn w:val="24"/>
    <w:link w:val="319"/>
    <w:qFormat/>
    <w:uiPriority w:val="0"/>
    <w:pPr>
      <w:ind w:firstLine="420"/>
    </w:pPr>
    <w:rPr>
      <w:rFonts w:hAnsi="Calibri" w:cs="Times New Roman"/>
      <w:snapToGrid/>
      <w:szCs w:val="20"/>
    </w:rPr>
  </w:style>
  <w:style w:type="paragraph" w:styleId="26">
    <w:name w:val="Body Text Indent"/>
    <w:basedOn w:val="1"/>
    <w:next w:val="6"/>
    <w:link w:val="263"/>
    <w:qFormat/>
    <w:uiPriority w:val="0"/>
    <w:pPr>
      <w:spacing w:line="480" w:lineRule="exact"/>
      <w:ind w:firstLine="480" w:firstLineChars="200"/>
    </w:pPr>
    <w:rPr>
      <w:rFonts w:ascii="宋体" w:hAnsi="宋体"/>
      <w:sz w:val="24"/>
    </w:rPr>
  </w:style>
  <w:style w:type="paragraph" w:styleId="27">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8">
    <w:name w:val="List 2"/>
    <w:basedOn w:val="1"/>
    <w:qFormat/>
    <w:uiPriority w:val="0"/>
    <w:pPr>
      <w:adjustRightInd/>
      <w:spacing w:line="360" w:lineRule="auto"/>
      <w:ind w:left="100" w:leftChars="200" w:hanging="200" w:hangingChars="200"/>
    </w:pPr>
    <w:rPr>
      <w:rFonts w:eastAsia="微软雅黑"/>
    </w:rPr>
  </w:style>
  <w:style w:type="paragraph" w:styleId="29">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216"/>
    <w:qFormat/>
    <w:uiPriority w:val="0"/>
    <w:pPr>
      <w:widowControl/>
      <w:adjustRightInd/>
      <w:ind w:firstLine="200" w:firstLineChars="200"/>
      <w:jc w:val="left"/>
    </w:pPr>
    <w:rPr>
      <w:rFonts w:ascii="宋体" w:hAnsi="宋体"/>
      <w:i/>
      <w:iCs/>
      <w:kern w:val="0"/>
      <w:sz w:val="24"/>
    </w:rPr>
  </w:style>
  <w:style w:type="paragraph" w:styleId="32">
    <w:name w:val="toc 5"/>
    <w:basedOn w:val="1"/>
    <w:next w:val="1"/>
    <w:qFormat/>
    <w:uiPriority w:val="0"/>
    <w:pPr>
      <w:ind w:left="1680" w:leftChars="800"/>
    </w:pPr>
  </w:style>
  <w:style w:type="paragraph" w:styleId="33">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4">
    <w:name w:val="Plain Text"/>
    <w:basedOn w:val="1"/>
    <w:link w:val="122"/>
    <w:qFormat/>
    <w:uiPriority w:val="0"/>
    <w:rPr>
      <w:rFonts w:ascii="宋体" w:hAnsi="Courier New" w:cs="Arial"/>
      <w:snapToGrid w:val="0"/>
      <w:szCs w:val="21"/>
    </w:rPr>
  </w:style>
  <w:style w:type="paragraph" w:styleId="35">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6">
    <w:name w:val="toc 8"/>
    <w:basedOn w:val="1"/>
    <w:next w:val="1"/>
    <w:qFormat/>
    <w:uiPriority w:val="0"/>
    <w:pPr>
      <w:ind w:left="2940" w:leftChars="1400"/>
    </w:pPr>
  </w:style>
  <w:style w:type="paragraph" w:styleId="37">
    <w:name w:val="Date"/>
    <w:basedOn w:val="1"/>
    <w:next w:val="1"/>
    <w:link w:val="178"/>
    <w:qFormat/>
    <w:uiPriority w:val="0"/>
    <w:pPr>
      <w:ind w:left="100" w:leftChars="2500"/>
    </w:pPr>
    <w:rPr>
      <w:rFonts w:ascii="宋体"/>
      <w:sz w:val="24"/>
      <w:szCs w:val="21"/>
      <w:lang w:val="zh-CN"/>
    </w:rPr>
  </w:style>
  <w:style w:type="paragraph" w:styleId="38">
    <w:name w:val="Body Text Indent 2"/>
    <w:basedOn w:val="1"/>
    <w:link w:val="306"/>
    <w:qFormat/>
    <w:uiPriority w:val="0"/>
    <w:pPr>
      <w:spacing w:line="360" w:lineRule="auto"/>
      <w:ind w:firstLine="601"/>
      <w:textAlignment w:val="baseline"/>
    </w:pPr>
    <w:rPr>
      <w:rFonts w:ascii="宋体"/>
      <w:kern w:val="0"/>
      <w:sz w:val="28"/>
      <w:szCs w:val="20"/>
    </w:rPr>
  </w:style>
  <w:style w:type="paragraph" w:styleId="39">
    <w:name w:val="endnote text"/>
    <w:basedOn w:val="1"/>
    <w:link w:val="930"/>
    <w:qFormat/>
    <w:uiPriority w:val="0"/>
    <w:rPr>
      <w:lang w:val="zh-CN"/>
    </w:rPr>
  </w:style>
  <w:style w:type="paragraph" w:styleId="40">
    <w:name w:val="Balloon Text"/>
    <w:basedOn w:val="1"/>
    <w:link w:val="185"/>
    <w:qFormat/>
    <w:uiPriority w:val="0"/>
    <w:rPr>
      <w:sz w:val="18"/>
      <w:szCs w:val="18"/>
    </w:rPr>
  </w:style>
  <w:style w:type="paragraph" w:styleId="41">
    <w:name w:val="footer"/>
    <w:basedOn w:val="1"/>
    <w:link w:val="381"/>
    <w:qFormat/>
    <w:uiPriority w:val="99"/>
    <w:pPr>
      <w:tabs>
        <w:tab w:val="center" w:pos="4153"/>
        <w:tab w:val="right" w:pos="8306"/>
      </w:tabs>
      <w:snapToGrid w:val="0"/>
      <w:jc w:val="left"/>
    </w:pPr>
    <w:rPr>
      <w:sz w:val="18"/>
      <w:szCs w:val="18"/>
    </w:rPr>
  </w:style>
  <w:style w:type="paragraph" w:styleId="42">
    <w:name w:val="header"/>
    <w:basedOn w:val="1"/>
    <w:link w:val="390"/>
    <w:qFormat/>
    <w:uiPriority w:val="99"/>
    <w:pPr>
      <w:pBdr>
        <w:bottom w:val="single" w:color="auto" w:sz="6" w:space="1"/>
      </w:pBdr>
      <w:tabs>
        <w:tab w:val="center" w:pos="4153"/>
        <w:tab w:val="right" w:pos="8306"/>
      </w:tabs>
      <w:snapToGrid w:val="0"/>
      <w:jc w:val="center"/>
    </w:pPr>
    <w:rPr>
      <w:sz w:val="18"/>
      <w:szCs w:val="18"/>
    </w:rPr>
  </w:style>
  <w:style w:type="paragraph" w:styleId="43">
    <w:name w:val="Signature"/>
    <w:basedOn w:val="1"/>
    <w:link w:val="343"/>
    <w:qFormat/>
    <w:uiPriority w:val="0"/>
    <w:pPr>
      <w:spacing w:after="600" w:line="312" w:lineRule="atLeast"/>
      <w:jc w:val="center"/>
      <w:textAlignment w:val="baseline"/>
    </w:pPr>
    <w:rPr>
      <w:rFonts w:eastAsia="仿宋_GB2312"/>
      <w:kern w:val="0"/>
      <w:sz w:val="24"/>
      <w:szCs w:val="20"/>
    </w:rPr>
  </w:style>
  <w:style w:type="paragraph" w:styleId="44">
    <w:name w:val="toc 4"/>
    <w:basedOn w:val="1"/>
    <w:next w:val="1"/>
    <w:qFormat/>
    <w:uiPriority w:val="0"/>
    <w:pPr>
      <w:ind w:left="1260" w:leftChars="600"/>
    </w:pPr>
  </w:style>
  <w:style w:type="paragraph" w:styleId="45">
    <w:name w:val="index heading"/>
    <w:basedOn w:val="1"/>
    <w:next w:val="46"/>
    <w:qFormat/>
    <w:uiPriority w:val="0"/>
    <w:pPr>
      <w:adjustRightInd/>
      <w:ind w:firstLine="200" w:firstLineChars="200"/>
    </w:pPr>
  </w:style>
  <w:style w:type="paragraph" w:styleId="46">
    <w:name w:val="index 1"/>
    <w:basedOn w:val="1"/>
    <w:next w:val="1"/>
    <w:qFormat/>
    <w:uiPriority w:val="0"/>
    <w:pPr>
      <w:adjustRightInd/>
      <w:spacing w:line="360" w:lineRule="auto"/>
      <w:ind w:firstLine="200" w:firstLineChars="200"/>
      <w:jc w:val="center"/>
    </w:pPr>
    <w:rPr>
      <w:sz w:val="24"/>
      <w:szCs w:val="20"/>
    </w:rPr>
  </w:style>
  <w:style w:type="paragraph" w:styleId="47">
    <w:name w:val="Subtitle"/>
    <w:link w:val="130"/>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qFormat/>
    <w:uiPriority w:val="0"/>
    <w:pPr>
      <w:tabs>
        <w:tab w:val="left" w:pos="902"/>
      </w:tabs>
      <w:adjustRightInd/>
      <w:spacing w:line="400" w:lineRule="exact"/>
      <w:ind w:left="902" w:hanging="420"/>
    </w:pPr>
    <w:rPr>
      <w:sz w:val="24"/>
      <w:szCs w:val="20"/>
    </w:rPr>
  </w:style>
  <w:style w:type="paragraph" w:styleId="49">
    <w:name w:val="List"/>
    <w:basedOn w:val="1"/>
    <w:qFormat/>
    <w:uiPriority w:val="0"/>
    <w:pPr>
      <w:ind w:left="200" w:hanging="200" w:hangingChars="200"/>
    </w:pPr>
  </w:style>
  <w:style w:type="paragraph" w:styleId="50">
    <w:name w:val="footnote text"/>
    <w:basedOn w:val="6"/>
    <w:link w:val="308"/>
    <w:qFormat/>
    <w:uiPriority w:val="0"/>
    <w:pPr>
      <w:adjustRightInd/>
      <w:snapToGrid/>
      <w:spacing w:before="60" w:after="60" w:line="300" w:lineRule="exact"/>
      <w:ind w:firstLine="0"/>
    </w:pPr>
    <w:rPr>
      <w:rFonts w:ascii="Calibri"/>
      <w:snapToGrid/>
      <w:color w:val="0000FF"/>
      <w:kern w:val="0"/>
      <w:sz w:val="21"/>
    </w:rPr>
  </w:style>
  <w:style w:type="paragraph" w:styleId="51">
    <w:name w:val="toc 6"/>
    <w:basedOn w:val="1"/>
    <w:next w:val="1"/>
    <w:qFormat/>
    <w:uiPriority w:val="0"/>
    <w:pPr>
      <w:ind w:left="2100" w:leftChars="1000"/>
    </w:pPr>
  </w:style>
  <w:style w:type="paragraph" w:styleId="52">
    <w:name w:val="List 5"/>
    <w:basedOn w:val="1"/>
    <w:qFormat/>
    <w:uiPriority w:val="0"/>
    <w:pPr>
      <w:adjustRightInd/>
      <w:ind w:left="100" w:leftChars="800" w:hanging="200" w:hangingChars="200"/>
    </w:pPr>
  </w:style>
  <w:style w:type="paragraph" w:styleId="53">
    <w:name w:val="Body Text Indent 3"/>
    <w:basedOn w:val="1"/>
    <w:link w:val="373"/>
    <w:qFormat/>
    <w:uiPriority w:val="0"/>
    <w:pPr>
      <w:spacing w:line="360" w:lineRule="auto"/>
      <w:ind w:firstLine="420"/>
    </w:pPr>
    <w:rPr>
      <w:sz w:val="24"/>
      <w:szCs w:val="20"/>
    </w:rPr>
  </w:style>
  <w:style w:type="paragraph" w:styleId="54">
    <w:name w:val="toc 2"/>
    <w:basedOn w:val="1"/>
    <w:next w:val="1"/>
    <w:qFormat/>
    <w:uiPriority w:val="0"/>
    <w:pPr>
      <w:ind w:left="420" w:leftChars="200"/>
    </w:pPr>
  </w:style>
  <w:style w:type="paragraph" w:styleId="55">
    <w:name w:val="toc 9"/>
    <w:basedOn w:val="1"/>
    <w:next w:val="1"/>
    <w:qFormat/>
    <w:uiPriority w:val="0"/>
    <w:pPr>
      <w:ind w:left="3360" w:leftChars="1600"/>
    </w:pPr>
  </w:style>
  <w:style w:type="paragraph" w:styleId="56">
    <w:name w:val="Body Text 2"/>
    <w:basedOn w:val="1"/>
    <w:link w:val="300"/>
    <w:qFormat/>
    <w:uiPriority w:val="0"/>
    <w:pPr>
      <w:spacing w:after="120" w:line="480" w:lineRule="auto"/>
    </w:pPr>
  </w:style>
  <w:style w:type="paragraph" w:styleId="57">
    <w:name w:val="HTML Preformatted"/>
    <w:basedOn w:val="1"/>
    <w:link w:val="299"/>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284"/>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20"/>
    <w:next w:val="20"/>
    <w:link w:val="93"/>
    <w:qFormat/>
    <w:uiPriority w:val="0"/>
    <w:rPr>
      <w:b/>
      <w:bCs/>
    </w:rPr>
  </w:style>
  <w:style w:type="paragraph" w:styleId="61">
    <w:name w:val="Body Text First Indent 2"/>
    <w:basedOn w:val="26"/>
    <w:link w:val="118"/>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character" w:customStyle="1" w:styleId="79">
    <w:name w:val="表格非标题文字 Char"/>
    <w:link w:val="80"/>
    <w:qFormat/>
    <w:uiPriority w:val="0"/>
    <w:rPr>
      <w:rFonts w:ascii="Futura Bk" w:hAnsi="Futura Bk"/>
      <w:kern w:val="2"/>
      <w:sz w:val="18"/>
      <w:szCs w:val="21"/>
      <w:lang w:val="en-US" w:eastAsia="zh-CN" w:bidi="ar-SA"/>
    </w:rPr>
  </w:style>
  <w:style w:type="paragraph" w:customStyle="1" w:styleId="80">
    <w:name w:val="表格非标题文字"/>
    <w:link w:val="79"/>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1">
    <w:name w:val="*正文 Char"/>
    <w:link w:val="82"/>
    <w:qFormat/>
    <w:locked/>
    <w:uiPriority w:val="0"/>
    <w:rPr>
      <w:rFonts w:ascii="宋体" w:hAnsi="宋体"/>
      <w:sz w:val="24"/>
    </w:rPr>
  </w:style>
  <w:style w:type="paragraph" w:customStyle="1" w:styleId="82">
    <w:name w:val="*正文"/>
    <w:basedOn w:val="1"/>
    <w:link w:val="81"/>
    <w:qFormat/>
    <w:uiPriority w:val="0"/>
    <w:pPr>
      <w:snapToGrid w:val="0"/>
      <w:spacing w:line="360" w:lineRule="auto"/>
      <w:ind w:firstLine="482"/>
      <w:jc w:val="left"/>
    </w:pPr>
    <w:rPr>
      <w:rFonts w:ascii="宋体" w:hAnsi="宋体"/>
      <w:kern w:val="0"/>
      <w:sz w:val="24"/>
      <w:szCs w:val="20"/>
    </w:rPr>
  </w:style>
  <w:style w:type="character" w:customStyle="1" w:styleId="83">
    <w:name w:val="Char Char71"/>
    <w:semiHidden/>
    <w:qFormat/>
    <w:uiPriority w:val="0"/>
    <w:rPr>
      <w:rFonts w:eastAsia="宋体"/>
      <w:kern w:val="2"/>
      <w:sz w:val="21"/>
      <w:szCs w:val="24"/>
      <w:lang w:val="en-US" w:eastAsia="zh-CN" w:bidi="ar-SA"/>
    </w:rPr>
  </w:style>
  <w:style w:type="character" w:customStyle="1" w:styleId="84">
    <w:name w:val="Char Char6"/>
    <w:qFormat/>
    <w:uiPriority w:val="0"/>
    <w:rPr>
      <w:rFonts w:eastAsia="宋体"/>
      <w:kern w:val="2"/>
      <w:sz w:val="21"/>
      <w:szCs w:val="24"/>
      <w:lang w:val="en-US" w:eastAsia="zh-CN" w:bidi="ar-SA"/>
    </w:rPr>
  </w:style>
  <w:style w:type="character" w:customStyle="1" w:styleId="85">
    <w:name w:val="正文缩进 Char"/>
    <w:qFormat/>
    <w:uiPriority w:val="0"/>
    <w:rPr>
      <w:rFonts w:eastAsia="宋体"/>
      <w:kern w:val="2"/>
      <w:sz w:val="21"/>
      <w:lang w:val="en-US" w:eastAsia="zh-CN"/>
    </w:rPr>
  </w:style>
  <w:style w:type="character" w:customStyle="1" w:styleId="86">
    <w:name w:val="正文首行缩进 Char1"/>
    <w:qFormat/>
    <w:uiPriority w:val="0"/>
    <w:rPr>
      <w:rFonts w:ascii="宋体" w:hAnsi="Times New Roman" w:eastAsia="宋体" w:cs="Times New Roman"/>
      <w:snapToGrid w:val="0"/>
      <w:kern w:val="2"/>
      <w:sz w:val="24"/>
      <w:szCs w:val="21"/>
      <w:lang w:val="zh-CN"/>
    </w:rPr>
  </w:style>
  <w:style w:type="character" w:customStyle="1" w:styleId="87">
    <w:name w:val="Char Char28"/>
    <w:qFormat/>
    <w:uiPriority w:val="6"/>
    <w:rPr>
      <w:rFonts w:ascii="仿宋_GB2312" w:hAnsi="仿宋_GB2312" w:eastAsia="仿宋_GB2312"/>
      <w:kern w:val="1"/>
      <w:sz w:val="28"/>
    </w:rPr>
  </w:style>
  <w:style w:type="character" w:customStyle="1" w:styleId="88">
    <w:name w:val="标题 3 Char1"/>
    <w:qFormat/>
    <w:uiPriority w:val="0"/>
    <w:rPr>
      <w:rFonts w:hint="eastAsia" w:ascii="华文中宋" w:hAnsi="华文中宋" w:eastAsia="华文中宋"/>
      <w:b/>
      <w:bCs/>
      <w:kern w:val="2"/>
      <w:sz w:val="32"/>
      <w:szCs w:val="32"/>
      <w:lang w:val="en-US" w:eastAsia="zh-CN" w:bidi="ar-SA"/>
    </w:rPr>
  </w:style>
  <w:style w:type="character" w:customStyle="1" w:styleId="89">
    <w:name w:val="Heading 1 Char"/>
    <w:qFormat/>
    <w:uiPriority w:val="6"/>
    <w:rPr>
      <w:rFonts w:ascii="Times New Roman" w:hAnsi="Times New Roman" w:eastAsia="黑体" w:cs="Times New Roman"/>
      <w:b/>
      <w:kern w:val="0"/>
      <w:sz w:val="24"/>
      <w:szCs w:val="24"/>
    </w:rPr>
  </w:style>
  <w:style w:type="character" w:customStyle="1" w:styleId="90">
    <w:name w:val="U_正文 Char"/>
    <w:link w:val="91"/>
    <w:qFormat/>
    <w:uiPriority w:val="0"/>
    <w:rPr>
      <w:sz w:val="24"/>
      <w:szCs w:val="24"/>
    </w:rPr>
  </w:style>
  <w:style w:type="paragraph" w:customStyle="1" w:styleId="91">
    <w:name w:val="U_正文"/>
    <w:basedOn w:val="1"/>
    <w:link w:val="90"/>
    <w:qFormat/>
    <w:uiPriority w:val="0"/>
    <w:pPr>
      <w:adjustRightInd/>
      <w:spacing w:beforeLines="20" w:afterLines="20" w:line="300" w:lineRule="auto"/>
      <w:ind w:firstLine="200" w:firstLineChars="200"/>
    </w:pPr>
    <w:rPr>
      <w:kern w:val="0"/>
      <w:sz w:val="24"/>
    </w:rPr>
  </w:style>
  <w:style w:type="character" w:customStyle="1" w:styleId="92">
    <w:name w:val="HTML 地址 Char1"/>
    <w:qFormat/>
    <w:uiPriority w:val="0"/>
    <w:rPr>
      <w:rFonts w:ascii="Times New Roman" w:hAnsi="Times New Roman" w:eastAsia="宋体" w:cs="Times New Roman"/>
      <w:i/>
      <w:iCs/>
      <w:szCs w:val="24"/>
    </w:rPr>
  </w:style>
  <w:style w:type="character" w:customStyle="1" w:styleId="93">
    <w:name w:val="批注主题 Char1"/>
    <w:link w:val="60"/>
    <w:qFormat/>
    <w:uiPriority w:val="0"/>
    <w:rPr>
      <w:b/>
      <w:bCs/>
      <w:kern w:val="2"/>
      <w:sz w:val="21"/>
      <w:szCs w:val="24"/>
    </w:rPr>
  </w:style>
  <w:style w:type="character" w:customStyle="1" w:styleId="94">
    <w:name w:val="Char Char51"/>
    <w:qFormat/>
    <w:uiPriority w:val="0"/>
    <w:rPr>
      <w:rFonts w:ascii="宋体" w:hAnsi="Courier New" w:eastAsia="宋体"/>
      <w:kern w:val="2"/>
      <w:sz w:val="21"/>
      <w:lang w:val="en-US" w:eastAsia="zh-CN"/>
    </w:rPr>
  </w:style>
  <w:style w:type="character" w:customStyle="1" w:styleId="95">
    <w:name w:val="表正文 Char"/>
    <w:qFormat/>
    <w:uiPriority w:val="0"/>
    <w:rPr>
      <w:rFonts w:ascii="宋体" w:eastAsia="宋体"/>
      <w:snapToGrid w:val="0"/>
      <w:color w:val="000000"/>
      <w:kern w:val="28"/>
      <w:sz w:val="28"/>
      <w:lang w:val="en-US" w:eastAsia="zh-CN" w:bidi="ar-SA"/>
    </w:rPr>
  </w:style>
  <w:style w:type="character" w:customStyle="1" w:styleId="96">
    <w:name w:val="Char Char34"/>
    <w:qFormat/>
    <w:uiPriority w:val="6"/>
    <w:rPr>
      <w:b/>
      <w:kern w:val="1"/>
      <w:sz w:val="28"/>
      <w:szCs w:val="28"/>
    </w:rPr>
  </w:style>
  <w:style w:type="character" w:customStyle="1" w:styleId="97">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98">
    <w:name w:val="哈哈正文 Char"/>
    <w:link w:val="99"/>
    <w:qFormat/>
    <w:uiPriority w:val="0"/>
    <w:rPr>
      <w:rFonts w:ascii="宋体" w:hAnsi="宋体" w:eastAsia="宋体"/>
      <w:kern w:val="2"/>
      <w:sz w:val="24"/>
      <w:lang w:bidi="ar-SA"/>
    </w:rPr>
  </w:style>
  <w:style w:type="paragraph" w:customStyle="1" w:styleId="99">
    <w:name w:val="哈哈正文"/>
    <w:basedOn w:val="1"/>
    <w:link w:val="98"/>
    <w:qFormat/>
    <w:uiPriority w:val="0"/>
    <w:pPr>
      <w:adjustRightInd/>
      <w:spacing w:line="360" w:lineRule="auto"/>
      <w:ind w:firstLine="200" w:firstLineChars="200"/>
    </w:pPr>
    <w:rPr>
      <w:rFonts w:ascii="宋体" w:hAnsi="宋体"/>
      <w:sz w:val="24"/>
      <w:szCs w:val="20"/>
    </w:rPr>
  </w:style>
  <w:style w:type="character" w:customStyle="1" w:styleId="100">
    <w:name w:val="未处理的提及1"/>
    <w:qFormat/>
    <w:uiPriority w:val="0"/>
    <w:rPr>
      <w:color w:val="808080"/>
      <w:shd w:val="clear" w:color="auto" w:fill="E6E6E6"/>
    </w:rPr>
  </w:style>
  <w:style w:type="character" w:customStyle="1" w:styleId="101">
    <w:name w:val="txt"/>
    <w:qFormat/>
    <w:uiPriority w:val="0"/>
    <w:rPr>
      <w:rFonts w:ascii="仿宋_GB2312" w:eastAsia="微软雅黑"/>
      <w:b/>
      <w:kern w:val="2"/>
      <w:sz w:val="32"/>
      <w:szCs w:val="32"/>
      <w:lang w:val="en-US" w:eastAsia="zh-CN" w:bidi="ar-SA"/>
    </w:rPr>
  </w:style>
  <w:style w:type="character" w:customStyle="1" w:styleId="102">
    <w:name w:val="二级标题 Char Char"/>
    <w:qFormat/>
    <w:uiPriority w:val="0"/>
    <w:rPr>
      <w:rFonts w:ascii="宋体" w:hAnsi="宋体" w:eastAsia="宋体"/>
      <w:b/>
      <w:snapToGrid w:val="0"/>
      <w:kern w:val="2"/>
      <w:sz w:val="24"/>
      <w:szCs w:val="24"/>
      <w:lang w:val="en-US" w:eastAsia="zh-CN" w:bidi="ar-SA"/>
    </w:rPr>
  </w:style>
  <w:style w:type="character" w:customStyle="1" w:styleId="103">
    <w:name w:val="Char Char32"/>
    <w:qFormat/>
    <w:uiPriority w:val="6"/>
    <w:rPr>
      <w:b/>
      <w:kern w:val="1"/>
      <w:sz w:val="24"/>
      <w:szCs w:val="24"/>
    </w:rPr>
  </w:style>
  <w:style w:type="character" w:customStyle="1" w:styleId="104">
    <w:name w:val="PI Char1"/>
    <w:qFormat/>
    <w:uiPriority w:val="0"/>
    <w:rPr>
      <w:rFonts w:ascii="宋体" w:hAnsi="宋体"/>
      <w:kern w:val="2"/>
      <w:sz w:val="24"/>
      <w:szCs w:val="24"/>
    </w:rPr>
  </w:style>
  <w:style w:type="character" w:customStyle="1" w:styleId="105">
    <w:name w:val="tw4winTerm"/>
    <w:qFormat/>
    <w:uiPriority w:val="0"/>
    <w:rPr>
      <w:color w:val="0000FF"/>
    </w:rPr>
  </w:style>
  <w:style w:type="character" w:customStyle="1" w:styleId="106">
    <w:name w:val="Footer Char"/>
    <w:qFormat/>
    <w:locked/>
    <w:uiPriority w:val="0"/>
    <w:rPr>
      <w:rFonts w:eastAsia="宋体"/>
      <w:kern w:val="2"/>
      <w:sz w:val="18"/>
      <w:lang w:val="en-US" w:eastAsia="zh-CN" w:bidi="ar-SA"/>
    </w:rPr>
  </w:style>
  <w:style w:type="character" w:customStyle="1" w:styleId="107">
    <w:name w:val="普通文字 Char Char1"/>
    <w:qFormat/>
    <w:uiPriority w:val="0"/>
    <w:rPr>
      <w:rFonts w:ascii="宋体" w:hAnsi="Courier New"/>
      <w:kern w:val="2"/>
      <w:sz w:val="21"/>
    </w:rPr>
  </w:style>
  <w:style w:type="character" w:customStyle="1" w:styleId="108">
    <w:name w:val="Char Char101"/>
    <w:qFormat/>
    <w:uiPriority w:val="6"/>
    <w:rPr>
      <w:rFonts w:ascii="宋体" w:hAnsi="宋体"/>
      <w:kern w:val="2"/>
      <w:sz w:val="21"/>
      <w:szCs w:val="24"/>
      <w:lang w:val="en-US" w:eastAsia="zh-CN"/>
    </w:rPr>
  </w:style>
  <w:style w:type="character" w:customStyle="1" w:styleId="109">
    <w:name w:val="标题 4 Char"/>
    <w:qFormat/>
    <w:uiPriority w:val="0"/>
    <w:rPr>
      <w:rFonts w:ascii="Arial" w:hAnsi="Arial" w:eastAsia="黑体"/>
      <w:b/>
      <w:kern w:val="2"/>
      <w:sz w:val="28"/>
    </w:rPr>
  </w:style>
  <w:style w:type="character" w:customStyle="1" w:styleId="110">
    <w:name w:val="链接"/>
    <w:qFormat/>
    <w:uiPriority w:val="0"/>
    <w:rPr>
      <w:color w:val="0000FF"/>
      <w:sz w:val="21"/>
      <w:szCs w:val="21"/>
      <w:u w:val="single"/>
    </w:rPr>
  </w:style>
  <w:style w:type="character" w:customStyle="1" w:styleId="111">
    <w:name w:val="h4 Char"/>
    <w:qFormat/>
    <w:uiPriority w:val="0"/>
    <w:rPr>
      <w:rFonts w:ascii="Arial" w:hAnsi="Arial" w:eastAsia="黑体"/>
      <w:b/>
      <w:bCs/>
      <w:kern w:val="2"/>
      <w:sz w:val="28"/>
      <w:szCs w:val="28"/>
      <w:lang w:val="zh-CN" w:eastAsia="zh-CN" w:bidi="ar-SA"/>
    </w:rPr>
  </w:style>
  <w:style w:type="character" w:customStyle="1" w:styleId="112">
    <w:name w:val="5正文 Char"/>
    <w:link w:val="113"/>
    <w:qFormat/>
    <w:uiPriority w:val="0"/>
    <w:rPr>
      <w:rFonts w:ascii="仿宋_GB2312" w:hAnsi="微软雅黑" w:eastAsia="仿宋_GB2312"/>
      <w:sz w:val="28"/>
      <w:szCs w:val="21"/>
    </w:rPr>
  </w:style>
  <w:style w:type="paragraph" w:customStyle="1" w:styleId="113">
    <w:name w:val="5正文"/>
    <w:basedOn w:val="1"/>
    <w:link w:val="112"/>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4">
    <w:name w:val="标题 3 字符"/>
    <w:qFormat/>
    <w:uiPriority w:val="9"/>
    <w:rPr>
      <w:b/>
      <w:bCs/>
      <w:kern w:val="2"/>
      <w:sz w:val="32"/>
      <w:szCs w:val="32"/>
    </w:rPr>
  </w:style>
  <w:style w:type="character" w:customStyle="1" w:styleId="115">
    <w:name w:val="样式6 Char"/>
    <w:qFormat/>
    <w:uiPriority w:val="0"/>
    <w:rPr>
      <w:rFonts w:ascii="仿宋_GB2312" w:hAnsi="宋体" w:eastAsia="仿宋_GB2312"/>
      <w:b/>
      <w:bCs/>
      <w:kern w:val="2"/>
      <w:sz w:val="24"/>
      <w:szCs w:val="24"/>
      <w:lang w:val="en-US" w:eastAsia="zh-CN" w:bidi="ar-SA"/>
    </w:rPr>
  </w:style>
  <w:style w:type="character" w:customStyle="1" w:styleId="116">
    <w:name w:val="Char Char14"/>
    <w:qFormat/>
    <w:uiPriority w:val="6"/>
    <w:rPr>
      <w:rFonts w:ascii="黑体" w:hAnsi="黑体" w:eastAsia="黑体"/>
    </w:rPr>
  </w:style>
  <w:style w:type="character" w:customStyle="1" w:styleId="117">
    <w:name w:val="Heading 2 Hidden Char"/>
    <w:qFormat/>
    <w:uiPriority w:val="0"/>
    <w:rPr>
      <w:rFonts w:ascii="仿宋_GB2312" w:eastAsia="仿宋_GB2312"/>
      <w:b/>
      <w:bCs/>
      <w:kern w:val="2"/>
      <w:sz w:val="24"/>
      <w:szCs w:val="24"/>
      <w:lang w:val="zh-CN" w:eastAsia="zh-CN" w:bidi="ar-SA"/>
    </w:rPr>
  </w:style>
  <w:style w:type="character" w:customStyle="1" w:styleId="118">
    <w:name w:val="正文首行缩进 2 Char"/>
    <w:link w:val="61"/>
    <w:qFormat/>
    <w:uiPriority w:val="0"/>
    <w:rPr>
      <w:rFonts w:ascii="宋体" w:hAnsi="宋体"/>
      <w:kern w:val="2"/>
      <w:sz w:val="21"/>
      <w:szCs w:val="24"/>
    </w:rPr>
  </w:style>
  <w:style w:type="character" w:customStyle="1" w:styleId="119">
    <w:name w:val="font11"/>
    <w:qFormat/>
    <w:uiPriority w:val="0"/>
    <w:rPr>
      <w:rFonts w:hint="default" w:ascii="Times New Roman" w:hAnsi="Times New Roman" w:cs="Times New Roman"/>
      <w:color w:val="000000"/>
      <w:sz w:val="22"/>
      <w:szCs w:val="22"/>
      <w:u w:val="none"/>
    </w:rPr>
  </w:style>
  <w:style w:type="character" w:customStyle="1" w:styleId="120">
    <w:name w:val="表正文 Char1"/>
    <w:qFormat/>
    <w:uiPriority w:val="0"/>
    <w:rPr>
      <w:rFonts w:ascii="宋体" w:eastAsia="宋体"/>
      <w:snapToGrid w:val="0"/>
      <w:color w:val="000000"/>
      <w:kern w:val="28"/>
      <w:sz w:val="28"/>
    </w:rPr>
  </w:style>
  <w:style w:type="character" w:customStyle="1" w:styleId="121">
    <w:name w:val="blue1"/>
    <w:basedOn w:val="69"/>
    <w:qFormat/>
    <w:uiPriority w:val="0"/>
    <w:rPr>
      <w:rFonts w:ascii="Arial" w:hAnsi="Arial" w:eastAsia="黑体" w:cs="Arial"/>
      <w:snapToGrid w:val="0"/>
      <w:kern w:val="0"/>
      <w:szCs w:val="21"/>
    </w:rPr>
  </w:style>
  <w:style w:type="character" w:customStyle="1" w:styleId="122">
    <w:name w:val="纯文本 Char"/>
    <w:link w:val="34"/>
    <w:qFormat/>
    <w:uiPriority w:val="0"/>
    <w:rPr>
      <w:rFonts w:ascii="宋体" w:hAnsi="Courier New" w:eastAsia="宋体" w:cs="Arial"/>
      <w:snapToGrid w:val="0"/>
      <w:kern w:val="2"/>
      <w:sz w:val="21"/>
      <w:szCs w:val="21"/>
      <w:lang w:val="en-US" w:eastAsia="zh-CN" w:bidi="ar-SA"/>
    </w:rPr>
  </w:style>
  <w:style w:type="character" w:customStyle="1" w:styleId="123">
    <w:name w:val="标书1 Char"/>
    <w:qFormat/>
    <w:uiPriority w:val="0"/>
    <w:rPr>
      <w:rFonts w:eastAsia="宋体"/>
      <w:b/>
      <w:bCs/>
      <w:kern w:val="44"/>
      <w:sz w:val="44"/>
      <w:szCs w:val="44"/>
      <w:lang w:val="en-US" w:eastAsia="zh-CN" w:bidi="ar-SA"/>
    </w:rPr>
  </w:style>
  <w:style w:type="character" w:customStyle="1" w:styleId="124">
    <w:name w:val="样式5 Char"/>
    <w:qFormat/>
    <w:uiPriority w:val="0"/>
    <w:rPr>
      <w:rFonts w:ascii="仿宋_GB2312" w:hAnsi="仿宋" w:eastAsia="仿宋_GB2312"/>
      <w:kern w:val="2"/>
      <w:sz w:val="24"/>
      <w:szCs w:val="24"/>
    </w:rPr>
  </w:style>
  <w:style w:type="character" w:customStyle="1" w:styleId="125">
    <w:name w:val="样式4 Char"/>
    <w:qFormat/>
    <w:uiPriority w:val="0"/>
    <w:rPr>
      <w:rFonts w:ascii="仿宋_GB2312" w:hAnsi="仿宋" w:eastAsia="仿宋_GB2312"/>
      <w:b/>
      <w:kern w:val="2"/>
      <w:sz w:val="32"/>
      <w:szCs w:val="32"/>
      <w:lang w:bidi="ar-SA"/>
    </w:rPr>
  </w:style>
  <w:style w:type="character" w:customStyle="1" w:styleId="126">
    <w:name w:val="插图说明 Char"/>
    <w:qFormat/>
    <w:uiPriority w:val="0"/>
    <w:rPr>
      <w:rFonts w:eastAsia="黑体"/>
      <w:sz w:val="24"/>
      <w:lang w:val="en-US" w:eastAsia="zh-CN"/>
    </w:rPr>
  </w:style>
  <w:style w:type="character" w:customStyle="1" w:styleId="127">
    <w:name w:val="正文2 Char Char"/>
    <w:link w:val="128"/>
    <w:qFormat/>
    <w:uiPriority w:val="0"/>
    <w:rPr>
      <w:rFonts w:eastAsia="宋体"/>
      <w:kern w:val="2"/>
      <w:sz w:val="24"/>
      <w:lang w:val="en-US" w:eastAsia="zh-CN" w:bidi="ar-SA"/>
    </w:rPr>
  </w:style>
  <w:style w:type="paragraph" w:customStyle="1" w:styleId="128">
    <w:name w:val="正文2"/>
    <w:basedOn w:val="1"/>
    <w:link w:val="127"/>
    <w:qFormat/>
    <w:uiPriority w:val="0"/>
    <w:pPr>
      <w:spacing w:before="156" w:line="360" w:lineRule="auto"/>
      <w:ind w:firstLine="510" w:firstLineChars="200"/>
    </w:pPr>
    <w:rPr>
      <w:sz w:val="24"/>
      <w:szCs w:val="20"/>
    </w:rPr>
  </w:style>
  <w:style w:type="character" w:customStyle="1" w:styleId="129">
    <w:name w:val="Char Char24"/>
    <w:qFormat/>
    <w:uiPriority w:val="6"/>
    <w:rPr>
      <w:kern w:val="1"/>
      <w:sz w:val="21"/>
    </w:rPr>
  </w:style>
  <w:style w:type="character" w:customStyle="1" w:styleId="130">
    <w:name w:val="副标题 Char"/>
    <w:link w:val="47"/>
    <w:qFormat/>
    <w:uiPriority w:val="0"/>
    <w:rPr>
      <w:rFonts w:ascii="Arial" w:hAnsi="Arial" w:eastAsia="隶书"/>
      <w:b/>
      <w:bCs/>
      <w:kern w:val="28"/>
      <w:sz w:val="44"/>
      <w:szCs w:val="32"/>
      <w:lang w:val="en-US" w:eastAsia="zh-CN" w:bidi="ar-SA"/>
    </w:rPr>
  </w:style>
  <w:style w:type="character" w:customStyle="1" w:styleId="131">
    <w:name w:val="普通文字 Char1 Char"/>
    <w:qFormat/>
    <w:uiPriority w:val="0"/>
    <w:rPr>
      <w:rFonts w:ascii="宋体" w:hAnsi="Courier New" w:eastAsia="宋体"/>
      <w:kern w:val="2"/>
      <w:sz w:val="21"/>
      <w:szCs w:val="24"/>
      <w:lang w:val="en-US" w:eastAsia="zh-CN" w:bidi="ar-SA"/>
    </w:rPr>
  </w:style>
  <w:style w:type="character" w:customStyle="1" w:styleId="132">
    <w:name w:val="h3 Char1"/>
    <w:qFormat/>
    <w:uiPriority w:val="0"/>
    <w:rPr>
      <w:rFonts w:eastAsia="宋体"/>
      <w:b/>
      <w:bCs/>
      <w:kern w:val="2"/>
      <w:sz w:val="32"/>
      <w:szCs w:val="32"/>
      <w:lang w:bidi="ar-SA"/>
    </w:rPr>
  </w:style>
  <w:style w:type="character" w:customStyle="1" w:styleId="133">
    <w:name w:val="标题 Char1"/>
    <w:qFormat/>
    <w:uiPriority w:val="0"/>
    <w:rPr>
      <w:rFonts w:ascii="Cambria" w:hAnsi="Cambria" w:eastAsia="宋体" w:cs="Times New Roman"/>
      <w:b/>
      <w:bCs/>
      <w:sz w:val="32"/>
      <w:szCs w:val="32"/>
      <w:lang w:bidi="ar-SA"/>
    </w:rPr>
  </w:style>
  <w:style w:type="character" w:customStyle="1" w:styleId="134">
    <w:name w:val="gf正文1 Char"/>
    <w:qFormat/>
    <w:uiPriority w:val="0"/>
    <w:rPr>
      <w:rFonts w:ascii="宋体" w:hAnsi="宋体" w:eastAsia="宋体" w:cs="宋体"/>
      <w:kern w:val="2"/>
      <w:sz w:val="24"/>
      <w:szCs w:val="24"/>
      <w:lang w:val="en-US" w:eastAsia="zh-CN" w:bidi="ar-SA"/>
    </w:rPr>
  </w:style>
  <w:style w:type="character" w:customStyle="1" w:styleId="135">
    <w:name w:val="正文文本缩进 Char1"/>
    <w:qFormat/>
    <w:uiPriority w:val="0"/>
    <w:rPr>
      <w:rFonts w:ascii="Calibri" w:hAnsi="Calibri"/>
      <w:sz w:val="28"/>
    </w:rPr>
  </w:style>
  <w:style w:type="character" w:customStyle="1" w:styleId="136">
    <w:name w:val="No Spacing Char"/>
    <w:link w:val="137"/>
    <w:qFormat/>
    <w:uiPriority w:val="1"/>
    <w:rPr>
      <w:sz w:val="22"/>
      <w:szCs w:val="22"/>
      <w:lang w:val="en-US" w:eastAsia="zh-CN" w:bidi="ar-SA"/>
    </w:rPr>
  </w:style>
  <w:style w:type="paragraph" w:customStyle="1" w:styleId="137">
    <w:name w:val="无间隔1"/>
    <w:link w:val="136"/>
    <w:qFormat/>
    <w:uiPriority w:val="1"/>
    <w:rPr>
      <w:rFonts w:ascii="Times New Roman" w:hAnsi="Times New Roman" w:eastAsia="宋体" w:cs="Times New Roman"/>
      <w:sz w:val="22"/>
      <w:szCs w:val="22"/>
      <w:lang w:val="en-US" w:eastAsia="zh-CN" w:bidi="ar-SA"/>
    </w:rPr>
  </w:style>
  <w:style w:type="character" w:customStyle="1" w:styleId="138">
    <w:name w:val="样式7 Char"/>
    <w:qFormat/>
    <w:uiPriority w:val="0"/>
    <w:rPr>
      <w:rFonts w:ascii="仿宋_GB2312" w:hAnsi="仿宋" w:eastAsia="仿宋_GB2312"/>
      <w:b/>
      <w:kern w:val="2"/>
      <w:sz w:val="24"/>
      <w:szCs w:val="24"/>
    </w:rPr>
  </w:style>
  <w:style w:type="character" w:customStyle="1" w:styleId="139">
    <w:name w:val="font12gray1"/>
    <w:qFormat/>
    <w:uiPriority w:val="0"/>
    <w:rPr>
      <w:rFonts w:ascii="仿宋_GB2312" w:eastAsia="微软雅黑"/>
      <w:b/>
      <w:spacing w:val="300"/>
      <w:kern w:val="2"/>
      <w:sz w:val="18"/>
      <w:szCs w:val="18"/>
      <w:lang w:val="en-US" w:eastAsia="zh-CN" w:bidi="ar-SA"/>
    </w:rPr>
  </w:style>
  <w:style w:type="character" w:customStyle="1" w:styleId="140">
    <w:name w:val="Char Char7"/>
    <w:semiHidden/>
    <w:qFormat/>
    <w:uiPriority w:val="0"/>
    <w:rPr>
      <w:rFonts w:eastAsia="宋体"/>
      <w:kern w:val="2"/>
      <w:sz w:val="21"/>
      <w:szCs w:val="24"/>
      <w:lang w:val="en-US" w:eastAsia="zh-CN" w:bidi="ar-SA"/>
    </w:rPr>
  </w:style>
  <w:style w:type="character" w:customStyle="1" w:styleId="141">
    <w:name w:val="表名 Char"/>
    <w:qFormat/>
    <w:uiPriority w:val="0"/>
    <w:rPr>
      <w:rFonts w:eastAsia="宋体"/>
      <w:b/>
      <w:bCs/>
      <w:kern w:val="2"/>
      <w:sz w:val="24"/>
      <w:szCs w:val="24"/>
      <w:lang w:val="en-US" w:eastAsia="zh-CN" w:bidi="ar-SA"/>
    </w:rPr>
  </w:style>
  <w:style w:type="character" w:customStyle="1" w:styleId="142">
    <w:name w:val="Document Map Char"/>
    <w:qFormat/>
    <w:locked/>
    <w:uiPriority w:val="0"/>
    <w:rPr>
      <w:rFonts w:eastAsia="宋体"/>
      <w:kern w:val="2"/>
      <w:sz w:val="21"/>
      <w:szCs w:val="24"/>
      <w:lang w:val="en-US" w:eastAsia="zh-CN" w:bidi="ar-SA"/>
    </w:rPr>
  </w:style>
  <w:style w:type="character" w:customStyle="1" w:styleId="143">
    <w:name w:val="font41"/>
    <w:qFormat/>
    <w:uiPriority w:val="0"/>
    <w:rPr>
      <w:rFonts w:hint="eastAsia" w:ascii="仿宋_GB2312" w:eastAsia="仿宋_GB2312" w:cs="仿宋_GB2312"/>
      <w:color w:val="000000"/>
      <w:sz w:val="22"/>
      <w:szCs w:val="22"/>
      <w:u w:val="none"/>
    </w:rPr>
  </w:style>
  <w:style w:type="character" w:customStyle="1" w:styleId="144">
    <w:name w:val="标题 6 Char"/>
    <w:link w:val="9"/>
    <w:qFormat/>
    <w:uiPriority w:val="0"/>
    <w:rPr>
      <w:rFonts w:ascii="Arial" w:hAnsi="Arial" w:eastAsia="黑体"/>
      <w:b/>
      <w:bCs/>
      <w:kern w:val="2"/>
      <w:sz w:val="24"/>
      <w:szCs w:val="24"/>
    </w:rPr>
  </w:style>
  <w:style w:type="character" w:customStyle="1" w:styleId="145">
    <w:name w:val="纯文本 Char_0"/>
    <w:link w:val="146"/>
    <w:qFormat/>
    <w:uiPriority w:val="0"/>
    <w:rPr>
      <w:rFonts w:ascii="宋体" w:hAnsi="Courier New"/>
      <w:kern w:val="2"/>
      <w:sz w:val="21"/>
      <w:szCs w:val="21"/>
      <w:lang w:val="en-US" w:eastAsia="zh-CN"/>
    </w:rPr>
  </w:style>
  <w:style w:type="paragraph" w:customStyle="1" w:styleId="146">
    <w:name w:val="纯文本_0_0"/>
    <w:basedOn w:val="147"/>
    <w:link w:val="145"/>
    <w:qFormat/>
    <w:uiPriority w:val="0"/>
    <w:rPr>
      <w:rFonts w:ascii="宋体" w:hAnsi="Courier New"/>
      <w:szCs w:val="21"/>
    </w:rPr>
  </w:style>
  <w:style w:type="paragraph" w:customStyle="1" w:styleId="147">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48">
    <w:name w:val="Balloon Text Char"/>
    <w:qFormat/>
    <w:locked/>
    <w:uiPriority w:val="0"/>
    <w:rPr>
      <w:rFonts w:eastAsia="宋体"/>
      <w:kern w:val="2"/>
      <w:sz w:val="18"/>
      <w:szCs w:val="18"/>
      <w:lang w:val="en-US" w:eastAsia="zh-CN" w:bidi="ar-SA"/>
    </w:rPr>
  </w:style>
  <w:style w:type="character" w:customStyle="1" w:styleId="149">
    <w:name w:val="正文 项目2 Char"/>
    <w:basedOn w:val="150"/>
    <w:qFormat/>
    <w:uiPriority w:val="0"/>
    <w:rPr>
      <w:rFonts w:ascii="仿宋_GB2312" w:hAnsi="仿宋_GB2312" w:eastAsia="仿宋_GB2312"/>
      <w:kern w:val="2"/>
      <w:sz w:val="24"/>
      <w:lang w:bidi="ar-SA"/>
    </w:rPr>
  </w:style>
  <w:style w:type="character" w:customStyle="1" w:styleId="150">
    <w:name w:val="正文 项目 Char"/>
    <w:qFormat/>
    <w:uiPriority w:val="0"/>
    <w:rPr>
      <w:rFonts w:ascii="仿宋_GB2312" w:hAnsi="仿宋_GB2312" w:eastAsia="仿宋_GB2312"/>
      <w:kern w:val="2"/>
      <w:sz w:val="24"/>
      <w:lang w:bidi="ar-SA"/>
    </w:rPr>
  </w:style>
  <w:style w:type="character" w:customStyle="1" w:styleId="151">
    <w:name w:val="h Char Char1"/>
    <w:qFormat/>
    <w:uiPriority w:val="0"/>
    <w:rPr>
      <w:rFonts w:eastAsia="宋体"/>
      <w:kern w:val="2"/>
      <w:sz w:val="18"/>
      <w:szCs w:val="18"/>
      <w:lang w:val="en-US" w:eastAsia="zh-CN" w:bidi="ar-SA"/>
    </w:rPr>
  </w:style>
  <w:style w:type="character" w:customStyle="1" w:styleId="152">
    <w:name w:val="Char Char27"/>
    <w:qFormat/>
    <w:uiPriority w:val="6"/>
    <w:rPr>
      <w:rFonts w:ascii="宋体" w:hAnsi="宋体" w:eastAsia="宋体"/>
      <w:color w:val="000000"/>
      <w:kern w:val="1"/>
      <w:sz w:val="28"/>
      <w:lang w:val="en-US" w:eastAsia="zh-CN" w:bidi="ar-SA"/>
    </w:rPr>
  </w:style>
  <w:style w:type="character" w:customStyle="1" w:styleId="153">
    <w:name w:val="px14"/>
    <w:qFormat/>
    <w:uiPriority w:val="0"/>
    <w:rPr>
      <w:rFonts w:ascii="仿宋_GB2312" w:eastAsia="微软雅黑" w:cs="Times New Roman"/>
      <w:b/>
      <w:kern w:val="2"/>
      <w:sz w:val="32"/>
      <w:szCs w:val="32"/>
      <w:lang w:val="en-US" w:eastAsia="zh-CN" w:bidi="ar-SA"/>
    </w:rPr>
  </w:style>
  <w:style w:type="character" w:customStyle="1" w:styleId="154">
    <w:name w:val="HTML 预设格式 Char1"/>
    <w:qFormat/>
    <w:uiPriority w:val="0"/>
    <w:rPr>
      <w:rFonts w:ascii="Courier New" w:hAnsi="Courier New" w:eastAsia="宋体" w:cs="Courier New"/>
      <w:sz w:val="20"/>
      <w:szCs w:val="20"/>
    </w:rPr>
  </w:style>
  <w:style w:type="character" w:customStyle="1" w:styleId="155">
    <w:name w:val="普通文字 Char1"/>
    <w:qFormat/>
    <w:uiPriority w:val="0"/>
    <w:rPr>
      <w:rFonts w:ascii="宋体" w:hAnsi="Courier New" w:eastAsia="宋体"/>
      <w:kern w:val="2"/>
      <w:sz w:val="21"/>
      <w:lang w:val="en-US" w:eastAsia="zh-CN"/>
    </w:rPr>
  </w:style>
  <w:style w:type="character" w:customStyle="1" w:styleId="156">
    <w:name w:val="hei16b1"/>
    <w:qFormat/>
    <w:uiPriority w:val="0"/>
    <w:rPr>
      <w:rFonts w:hint="default" w:ascii="Arial" w:hAnsi="Arial" w:cs="Arial"/>
      <w:b/>
      <w:bCs/>
      <w:color w:val="000000"/>
      <w:sz w:val="24"/>
      <w:szCs w:val="24"/>
    </w:rPr>
  </w:style>
  <w:style w:type="character" w:customStyle="1" w:styleId="157">
    <w:name w:val="正文（绿盟科技） Char"/>
    <w:link w:val="158"/>
    <w:qFormat/>
    <w:uiPriority w:val="0"/>
    <w:rPr>
      <w:rFonts w:ascii="Arial" w:hAnsi="Arial"/>
      <w:sz w:val="21"/>
      <w:szCs w:val="21"/>
    </w:rPr>
  </w:style>
  <w:style w:type="paragraph" w:customStyle="1" w:styleId="158">
    <w:name w:val="正文（绿盟科技）"/>
    <w:link w:val="157"/>
    <w:qFormat/>
    <w:uiPriority w:val="0"/>
    <w:pPr>
      <w:spacing w:line="300" w:lineRule="auto"/>
    </w:pPr>
    <w:rPr>
      <w:rFonts w:ascii="Arial" w:hAnsi="Arial" w:eastAsia="宋体" w:cs="Times New Roman"/>
      <w:sz w:val="21"/>
      <w:szCs w:val="21"/>
      <w:lang w:val="en-US" w:eastAsia="zh-CN" w:bidi="ar-SA"/>
    </w:rPr>
  </w:style>
  <w:style w:type="character" w:customStyle="1" w:styleId="159">
    <w:name w:val="Char Char19"/>
    <w:qFormat/>
    <w:uiPriority w:val="6"/>
    <w:rPr>
      <w:rFonts w:ascii="宋体" w:hAnsi="宋体"/>
      <w:i/>
      <w:sz w:val="24"/>
      <w:szCs w:val="24"/>
    </w:rPr>
  </w:style>
  <w:style w:type="character" w:customStyle="1" w:styleId="160">
    <w:name w:val="页脚 Char"/>
    <w:qFormat/>
    <w:uiPriority w:val="0"/>
    <w:rPr>
      <w:rFonts w:eastAsia="仿宋_GB2312"/>
      <w:kern w:val="2"/>
      <w:sz w:val="18"/>
      <w:lang w:val="en-US" w:eastAsia="zh-CN"/>
    </w:rPr>
  </w:style>
  <w:style w:type="character" w:customStyle="1" w:styleId="161">
    <w:name w:val="批注主题 Char"/>
    <w:qFormat/>
    <w:uiPriority w:val="0"/>
    <w:rPr>
      <w:rFonts w:eastAsia="宋体"/>
      <w:b/>
      <w:bCs/>
      <w:kern w:val="2"/>
      <w:sz w:val="21"/>
      <w:szCs w:val="24"/>
      <w:lang w:val="en-US" w:eastAsia="zh-CN" w:bidi="ar-SA"/>
    </w:rPr>
  </w:style>
  <w:style w:type="character" w:customStyle="1" w:styleId="162">
    <w:name w:val="Comment Text Char"/>
    <w:qFormat/>
    <w:locked/>
    <w:uiPriority w:val="0"/>
    <w:rPr>
      <w:rFonts w:ascii="宋体" w:hAnsi="宋体" w:eastAsia="宋体"/>
      <w:kern w:val="2"/>
      <w:sz w:val="24"/>
      <w:lang w:val="en-US" w:eastAsia="zh-CN" w:bidi="ar-SA"/>
    </w:rPr>
  </w:style>
  <w:style w:type="character" w:customStyle="1" w:styleId="163">
    <w:name w:val="标题 2 字符"/>
    <w:qFormat/>
    <w:uiPriority w:val="1"/>
    <w:rPr>
      <w:rFonts w:ascii="仿宋_GB2312" w:hAnsi="Times New Roman" w:eastAsia="仿宋_GB2312" w:cs="Times New Roman"/>
      <w:b/>
      <w:kern w:val="2"/>
      <w:sz w:val="24"/>
      <w:lang w:val="zh-CN"/>
    </w:rPr>
  </w:style>
  <w:style w:type="character" w:customStyle="1" w:styleId="164">
    <w:name w:val="Char Char72"/>
    <w:qFormat/>
    <w:uiPriority w:val="0"/>
    <w:rPr>
      <w:rFonts w:eastAsia="宋体"/>
      <w:kern w:val="2"/>
      <w:sz w:val="21"/>
      <w:szCs w:val="24"/>
      <w:lang w:val="en-US" w:eastAsia="zh-CN" w:bidi="ar-SA"/>
    </w:rPr>
  </w:style>
  <w:style w:type="character" w:customStyle="1" w:styleId="165">
    <w:name w:val="正文文本缩进 Char2"/>
    <w:qFormat/>
    <w:uiPriority w:val="0"/>
    <w:rPr>
      <w:rFonts w:ascii="Times New Roman" w:hAnsi="Times New Roman" w:eastAsia="宋体" w:cs="Times New Roman"/>
      <w:snapToGrid w:val="0"/>
      <w:kern w:val="0"/>
      <w:szCs w:val="24"/>
    </w:rPr>
  </w:style>
  <w:style w:type="character" w:customStyle="1" w:styleId="166">
    <w:name w:val="样式2 Char"/>
    <w:qFormat/>
    <w:uiPriority w:val="0"/>
    <w:rPr>
      <w:rFonts w:ascii="仿宋_GB2312" w:hAnsi="仿宋" w:eastAsia="仿宋_GB2312" w:cs="仿宋_GB2312"/>
      <w:b/>
      <w:bCs/>
      <w:sz w:val="32"/>
      <w:szCs w:val="30"/>
      <w:lang w:val="zh-CN"/>
    </w:rPr>
  </w:style>
  <w:style w:type="character" w:customStyle="1" w:styleId="167">
    <w:name w:val="表格名称[858D7CFB-ED40-4347-BF05-701D383B685F]"/>
    <w:link w:val="168"/>
    <w:qFormat/>
    <w:uiPriority w:val="0"/>
    <w:rPr>
      <w:sz w:val="32"/>
    </w:rPr>
  </w:style>
  <w:style w:type="paragraph" w:customStyle="1" w:styleId="168">
    <w:name w:val="表格名称"/>
    <w:basedOn w:val="4"/>
    <w:link w:val="167"/>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69">
    <w:name w:val="Char Char4"/>
    <w:qFormat/>
    <w:uiPriority w:val="0"/>
    <w:rPr>
      <w:rFonts w:eastAsia="宋体"/>
      <w:b/>
      <w:sz w:val="24"/>
      <w:lang w:val="en-GB" w:eastAsia="zh-CN" w:bidi="ar-SA"/>
    </w:rPr>
  </w:style>
  <w:style w:type="character" w:customStyle="1" w:styleId="170">
    <w:name w:val="c7 style3"/>
    <w:qFormat/>
    <w:uiPriority w:val="0"/>
  </w:style>
  <w:style w:type="character" w:customStyle="1" w:styleId="171">
    <w:name w:val="正文文本 3 Char1"/>
    <w:semiHidden/>
    <w:qFormat/>
    <w:uiPriority w:val="99"/>
    <w:rPr>
      <w:rFonts w:ascii="Times New Roman" w:hAnsi="Times New Roman" w:eastAsia="宋体" w:cs="Times New Roman"/>
      <w:sz w:val="16"/>
      <w:szCs w:val="16"/>
    </w:rPr>
  </w:style>
  <w:style w:type="character" w:customStyle="1" w:styleId="172">
    <w:name w:val="tw4winInternal"/>
    <w:qFormat/>
    <w:uiPriority w:val="0"/>
    <w:rPr>
      <w:rFonts w:ascii="Courier New" w:hAnsi="Courier New" w:cs="Courier New"/>
      <w:color w:val="FF0000"/>
      <w:lang w:val="en-US" w:eastAsia="zh-CN"/>
    </w:rPr>
  </w:style>
  <w:style w:type="character" w:customStyle="1" w:styleId="173">
    <w:name w:val="Char Char10"/>
    <w:semiHidden/>
    <w:qFormat/>
    <w:uiPriority w:val="0"/>
    <w:rPr>
      <w:rFonts w:ascii="宋体" w:hAnsi="宋体"/>
      <w:kern w:val="2"/>
      <w:sz w:val="21"/>
      <w:szCs w:val="24"/>
      <w:lang w:val="en-US" w:eastAsia="zh-CN"/>
    </w:rPr>
  </w:style>
  <w:style w:type="character" w:customStyle="1" w:styleId="174">
    <w:name w:val="shadow11"/>
    <w:qFormat/>
    <w:uiPriority w:val="0"/>
    <w:rPr>
      <w:color w:val="000000"/>
      <w:sz w:val="21"/>
    </w:rPr>
  </w:style>
  <w:style w:type="character" w:customStyle="1" w:styleId="175">
    <w:name w:val="正文非缩进 Char3"/>
    <w:qFormat/>
    <w:uiPriority w:val="0"/>
    <w:rPr>
      <w:rFonts w:ascii="宋体" w:eastAsia="宋体"/>
      <w:snapToGrid w:val="0"/>
      <w:color w:val="000000"/>
      <w:kern w:val="28"/>
      <w:sz w:val="28"/>
      <w:lang w:val="en-US" w:eastAsia="zh-CN" w:bidi="ar-SA"/>
    </w:rPr>
  </w:style>
  <w:style w:type="character" w:customStyle="1" w:styleId="176">
    <w:name w:val="Char Char"/>
    <w:qFormat/>
    <w:uiPriority w:val="0"/>
    <w:rPr>
      <w:rFonts w:ascii="宋体" w:hAnsi="Courier New" w:eastAsia="宋体"/>
      <w:kern w:val="2"/>
      <w:sz w:val="21"/>
      <w:lang w:val="en-US" w:eastAsia="zh-CN" w:bidi="ar-SA"/>
    </w:rPr>
  </w:style>
  <w:style w:type="character" w:customStyle="1" w:styleId="177">
    <w:name w:val="签名 Char1"/>
    <w:qFormat/>
    <w:uiPriority w:val="0"/>
    <w:rPr>
      <w:rFonts w:ascii="Times New Roman" w:hAnsi="Times New Roman" w:eastAsia="宋体" w:cs="Times New Roman"/>
      <w:szCs w:val="24"/>
    </w:rPr>
  </w:style>
  <w:style w:type="character" w:customStyle="1" w:styleId="178">
    <w:name w:val="日期 Char"/>
    <w:link w:val="37"/>
    <w:qFormat/>
    <w:uiPriority w:val="0"/>
    <w:rPr>
      <w:rFonts w:ascii="宋体"/>
      <w:kern w:val="2"/>
      <w:sz w:val="24"/>
      <w:szCs w:val="21"/>
      <w:lang w:val="zh-CN"/>
    </w:rPr>
  </w:style>
  <w:style w:type="character" w:customStyle="1" w:styleId="179">
    <w:name w:val="标题 9 Char"/>
    <w:link w:val="12"/>
    <w:qFormat/>
    <w:uiPriority w:val="0"/>
    <w:rPr>
      <w:rFonts w:ascii="Arial" w:hAnsi="Arial" w:eastAsia="黑体"/>
      <w:kern w:val="2"/>
      <w:sz w:val="21"/>
      <w:szCs w:val="21"/>
    </w:rPr>
  </w:style>
  <w:style w:type="character" w:customStyle="1" w:styleId="180">
    <w:name w:val="Char Char18"/>
    <w:qFormat/>
    <w:uiPriority w:val="6"/>
    <w:rPr>
      <w:rFonts w:ascii="宋体" w:hAnsi="宋体"/>
      <w:sz w:val="28"/>
    </w:rPr>
  </w:style>
  <w:style w:type="character" w:customStyle="1" w:styleId="181">
    <w:name w:val="批注文字 Char"/>
    <w:qFormat/>
    <w:uiPriority w:val="99"/>
    <w:rPr>
      <w:kern w:val="2"/>
      <w:sz w:val="21"/>
      <w:szCs w:val="24"/>
    </w:rPr>
  </w:style>
  <w:style w:type="character" w:customStyle="1" w:styleId="182">
    <w:name w:val="Char Char22"/>
    <w:qFormat/>
    <w:uiPriority w:val="6"/>
    <w:rPr>
      <w:rFonts w:ascii="宋体" w:hAnsi="宋体"/>
      <w:kern w:val="1"/>
      <w:sz w:val="24"/>
      <w:szCs w:val="24"/>
    </w:rPr>
  </w:style>
  <w:style w:type="character" w:customStyle="1" w:styleId="183">
    <w:name w:val="pt141"/>
    <w:qFormat/>
    <w:uiPriority w:val="0"/>
    <w:rPr>
      <w:color w:val="330066"/>
      <w:sz w:val="22"/>
      <w:szCs w:val="22"/>
    </w:rPr>
  </w:style>
  <w:style w:type="character" w:customStyle="1" w:styleId="184">
    <w:name w:val="正文文本缩进 2 Char1"/>
    <w:semiHidden/>
    <w:qFormat/>
    <w:uiPriority w:val="99"/>
    <w:rPr>
      <w:rFonts w:ascii="Times New Roman" w:hAnsi="Times New Roman" w:eastAsia="宋体" w:cs="Times New Roman"/>
      <w:szCs w:val="24"/>
    </w:rPr>
  </w:style>
  <w:style w:type="character" w:customStyle="1" w:styleId="185">
    <w:name w:val="批注框文本 Char"/>
    <w:link w:val="40"/>
    <w:qFormat/>
    <w:uiPriority w:val="0"/>
    <w:rPr>
      <w:kern w:val="2"/>
      <w:sz w:val="18"/>
      <w:szCs w:val="18"/>
    </w:rPr>
  </w:style>
  <w:style w:type="character" w:customStyle="1" w:styleId="186">
    <w:name w:val="Char Char611"/>
    <w:qFormat/>
    <w:uiPriority w:val="0"/>
    <w:rPr>
      <w:rFonts w:eastAsia="宋体"/>
      <w:kern w:val="2"/>
      <w:sz w:val="21"/>
      <w:szCs w:val="24"/>
      <w:lang w:val="en-US" w:eastAsia="zh-CN" w:bidi="ar-SA"/>
    </w:rPr>
  </w:style>
  <w:style w:type="character" w:customStyle="1" w:styleId="187">
    <w:name w:val="highlight1"/>
    <w:qFormat/>
    <w:uiPriority w:val="0"/>
    <w:rPr>
      <w:rFonts w:ascii="仿宋_GB2312" w:eastAsia="微软雅黑"/>
      <w:b/>
      <w:kern w:val="2"/>
      <w:sz w:val="23"/>
      <w:szCs w:val="23"/>
      <w:lang w:val="en-US" w:eastAsia="zh-CN" w:bidi="ar-SA"/>
    </w:rPr>
  </w:style>
  <w:style w:type="character" w:customStyle="1" w:styleId="188">
    <w:name w:val="my正文 Char"/>
    <w:link w:val="189"/>
    <w:qFormat/>
    <w:locked/>
    <w:uiPriority w:val="0"/>
    <w:rPr>
      <w:rFonts w:ascii="Tahoma" w:hAnsi="Tahoma"/>
      <w:sz w:val="24"/>
      <w:szCs w:val="24"/>
    </w:rPr>
  </w:style>
  <w:style w:type="paragraph" w:customStyle="1" w:styleId="189">
    <w:name w:val="my正文"/>
    <w:basedOn w:val="1"/>
    <w:link w:val="188"/>
    <w:qFormat/>
    <w:uiPriority w:val="0"/>
    <w:pPr>
      <w:adjustRightInd/>
      <w:spacing w:line="360" w:lineRule="auto"/>
      <w:ind w:firstLine="480" w:firstLineChars="200"/>
    </w:pPr>
    <w:rPr>
      <w:rFonts w:ascii="Tahoma" w:hAnsi="Tahoma"/>
      <w:kern w:val="0"/>
      <w:sz w:val="24"/>
    </w:rPr>
  </w:style>
  <w:style w:type="character" w:customStyle="1" w:styleId="190">
    <w:name w:val="正文缩进 Char2"/>
    <w:link w:val="6"/>
    <w:qFormat/>
    <w:uiPriority w:val="0"/>
    <w:rPr>
      <w:rFonts w:ascii="宋体" w:eastAsia="宋体"/>
      <w:snapToGrid w:val="0"/>
      <w:color w:val="000000"/>
      <w:kern w:val="28"/>
      <w:sz w:val="28"/>
      <w:lang w:val="en-US" w:eastAsia="zh-CN" w:bidi="ar-SA"/>
    </w:rPr>
  </w:style>
  <w:style w:type="character" w:customStyle="1" w:styleId="191">
    <w:name w:val="Used by Word for text of Help footnotes Char Char1"/>
    <w:qFormat/>
    <w:uiPriority w:val="0"/>
    <w:rPr>
      <w:color w:val="0000FF"/>
      <w:sz w:val="21"/>
    </w:rPr>
  </w:style>
  <w:style w:type="character" w:customStyle="1" w:styleId="192">
    <w:name w:val="页眉 Char"/>
    <w:qFormat/>
    <w:uiPriority w:val="0"/>
    <w:rPr>
      <w:rFonts w:eastAsia="仿宋_GB2312"/>
      <w:kern w:val="2"/>
      <w:sz w:val="18"/>
      <w:lang w:val="en-US" w:eastAsia="zh-CN"/>
    </w:rPr>
  </w:style>
  <w:style w:type="character" w:customStyle="1" w:styleId="193">
    <w:name w:val="FA正文 Char Char"/>
    <w:qFormat/>
    <w:uiPriority w:val="0"/>
    <w:rPr>
      <w:rFonts w:hAnsi="宋体"/>
      <w:kern w:val="2"/>
      <w:sz w:val="24"/>
      <w:lang w:bidi="ar-SA"/>
    </w:rPr>
  </w:style>
  <w:style w:type="character" w:customStyle="1" w:styleId="194">
    <w:name w:val="纯文本 字符"/>
    <w:qFormat/>
    <w:uiPriority w:val="0"/>
    <w:rPr>
      <w:rFonts w:ascii="宋体" w:hAnsi="Courier New" w:eastAsia="宋体" w:cs="Arial"/>
      <w:snapToGrid w:val="0"/>
      <w:kern w:val="2"/>
      <w:sz w:val="21"/>
      <w:szCs w:val="21"/>
      <w:lang w:val="en-US" w:eastAsia="zh-CN" w:bidi="ar-SA"/>
    </w:rPr>
  </w:style>
  <w:style w:type="character" w:customStyle="1" w:styleId="195">
    <w:name w:val="3级 Char"/>
    <w:link w:val="196"/>
    <w:qFormat/>
    <w:uiPriority w:val="0"/>
    <w:rPr>
      <w:rFonts w:ascii="宋体" w:hAnsi="宋体"/>
      <w:b/>
      <w:bCs/>
      <w:snapToGrid/>
      <w:sz w:val="28"/>
    </w:rPr>
  </w:style>
  <w:style w:type="paragraph" w:customStyle="1" w:styleId="196">
    <w:name w:val="3级"/>
    <w:basedOn w:val="197"/>
    <w:link w:val="195"/>
    <w:qFormat/>
    <w:uiPriority w:val="0"/>
    <w:pPr>
      <w:ind w:left="0" w:right="466" w:firstLine="288"/>
    </w:pPr>
    <w:rPr>
      <w:rFonts w:hAnsi="宋体"/>
      <w:snapToGrid/>
    </w:rPr>
  </w:style>
  <w:style w:type="paragraph" w:customStyle="1" w:styleId="197">
    <w:name w:val="样式 标题 3h33rd level3BOD 0H3l3CTHeading 3 - oldLevel 3 He..."/>
    <w:basedOn w:val="5"/>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198">
    <w:name w:val="myp11"/>
    <w:qFormat/>
    <w:uiPriority w:val="0"/>
    <w:rPr>
      <w:rFonts w:ascii="仿宋_GB2312" w:eastAsia="微软雅黑"/>
      <w:b/>
      <w:kern w:val="2"/>
      <w:sz w:val="32"/>
      <w:szCs w:val="32"/>
      <w:lang w:val="en-US" w:eastAsia="zh-CN" w:bidi="ar-SA"/>
    </w:rPr>
  </w:style>
  <w:style w:type="character" w:customStyle="1" w:styleId="199">
    <w:name w:val="文档结构图 Char1"/>
    <w:link w:val="19"/>
    <w:qFormat/>
    <w:uiPriority w:val="0"/>
    <w:rPr>
      <w:kern w:val="2"/>
      <w:sz w:val="21"/>
      <w:szCs w:val="24"/>
      <w:shd w:val="clear" w:color="auto" w:fill="000080"/>
    </w:rPr>
  </w:style>
  <w:style w:type="character" w:customStyle="1" w:styleId="200">
    <w:name w:val="H6 Char"/>
    <w:qFormat/>
    <w:uiPriority w:val="0"/>
    <w:rPr>
      <w:rFonts w:ascii="Arial" w:hAnsi="Arial" w:eastAsia="黑体"/>
      <w:b/>
      <w:bCs/>
      <w:kern w:val="2"/>
      <w:sz w:val="24"/>
      <w:szCs w:val="24"/>
    </w:rPr>
  </w:style>
  <w:style w:type="character" w:customStyle="1" w:styleId="201">
    <w:name w:val="Char Char91"/>
    <w:qFormat/>
    <w:uiPriority w:val="0"/>
    <w:rPr>
      <w:rFonts w:eastAsia="宋体"/>
      <w:kern w:val="2"/>
      <w:sz w:val="18"/>
      <w:szCs w:val="18"/>
      <w:lang w:val="en-US" w:eastAsia="zh-CN" w:bidi="ar-SA"/>
    </w:rPr>
  </w:style>
  <w:style w:type="character" w:customStyle="1" w:styleId="202">
    <w:name w:val="副标题 Char1"/>
    <w:qFormat/>
    <w:uiPriority w:val="0"/>
    <w:rPr>
      <w:rFonts w:ascii="Cambria" w:hAnsi="Cambria" w:eastAsia="宋体" w:cs="Times New Roman"/>
      <w:b/>
      <w:bCs/>
      <w:snapToGrid w:val="0"/>
      <w:kern w:val="28"/>
      <w:sz w:val="32"/>
      <w:szCs w:val="32"/>
    </w:rPr>
  </w:style>
  <w:style w:type="character" w:customStyle="1" w:styleId="203">
    <w:name w:val="font61"/>
    <w:qFormat/>
    <w:uiPriority w:val="0"/>
    <w:rPr>
      <w:rFonts w:hint="eastAsia" w:ascii="仿宋" w:hAnsi="仿宋" w:eastAsia="仿宋" w:cs="仿宋"/>
      <w:color w:val="000000"/>
      <w:sz w:val="20"/>
      <w:szCs w:val="20"/>
      <w:u w:val="none"/>
    </w:rPr>
  </w:style>
  <w:style w:type="character" w:customStyle="1" w:styleId="204">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5">
    <w:name w:val="Char Char211"/>
    <w:qFormat/>
    <w:uiPriority w:val="0"/>
    <w:rPr>
      <w:rFonts w:eastAsia="宋体"/>
      <w:b/>
      <w:bCs/>
      <w:kern w:val="2"/>
      <w:sz w:val="21"/>
      <w:szCs w:val="24"/>
      <w:lang w:val="en-US" w:eastAsia="zh-CN" w:bidi="ar-SA"/>
    </w:rPr>
  </w:style>
  <w:style w:type="character" w:customStyle="1" w:styleId="206">
    <w:name w:val="标题 2 Char"/>
    <w:qFormat/>
    <w:uiPriority w:val="0"/>
    <w:rPr>
      <w:rFonts w:ascii="Arial" w:hAnsi="Arial" w:eastAsia="黑体"/>
      <w:b/>
      <w:kern w:val="2"/>
      <w:sz w:val="32"/>
      <w:lang w:val="en-US" w:eastAsia="zh-CN"/>
    </w:rPr>
  </w:style>
  <w:style w:type="character" w:customStyle="1" w:styleId="207">
    <w:name w:val="maywed421"/>
    <w:qFormat/>
    <w:uiPriority w:val="0"/>
    <w:rPr>
      <w:color w:val="366FB6"/>
      <w:u w:val="none"/>
    </w:rPr>
  </w:style>
  <w:style w:type="character" w:customStyle="1" w:styleId="208">
    <w:name w:val="正文文本缩进 Char"/>
    <w:qFormat/>
    <w:uiPriority w:val="0"/>
    <w:rPr>
      <w:rFonts w:ascii="宋体" w:hAnsi="宋体"/>
      <w:kern w:val="2"/>
      <w:sz w:val="24"/>
      <w:szCs w:val="24"/>
    </w:rPr>
  </w:style>
  <w:style w:type="character" w:customStyle="1" w:styleId="209">
    <w:name w:val="Char Char102"/>
    <w:semiHidden/>
    <w:qFormat/>
    <w:uiPriority w:val="0"/>
    <w:rPr>
      <w:rFonts w:ascii="宋体" w:hAnsi="宋体"/>
      <w:kern w:val="2"/>
      <w:sz w:val="21"/>
      <w:szCs w:val="24"/>
      <w:lang w:val="en-US" w:eastAsia="zh-CN"/>
    </w:rPr>
  </w:style>
  <w:style w:type="character" w:customStyle="1" w:styleId="210">
    <w:name w:val="页眉 Char1"/>
    <w:qFormat/>
    <w:uiPriority w:val="0"/>
    <w:rPr>
      <w:rFonts w:eastAsia="宋体"/>
      <w:kern w:val="2"/>
      <w:sz w:val="18"/>
      <w:szCs w:val="18"/>
      <w:lang w:val="en-US" w:eastAsia="zh-CN" w:bidi="ar-SA"/>
    </w:rPr>
  </w:style>
  <w:style w:type="character" w:customStyle="1" w:styleId="211">
    <w:name w:val="md"/>
    <w:basedOn w:val="69"/>
    <w:qFormat/>
    <w:uiPriority w:val="0"/>
    <w:rPr>
      <w:rFonts w:ascii="Arial" w:hAnsi="Arial" w:eastAsia="黑体" w:cs="Arial"/>
      <w:snapToGrid w:val="0"/>
      <w:kern w:val="0"/>
      <w:szCs w:val="21"/>
    </w:rPr>
  </w:style>
  <w:style w:type="character" w:customStyle="1" w:styleId="212">
    <w:name w:val="big1"/>
    <w:qFormat/>
    <w:uiPriority w:val="0"/>
    <w:rPr>
      <w:rFonts w:hint="eastAsia" w:ascii="宋体" w:hAnsi="宋体" w:eastAsia="宋体"/>
      <w:color w:val="333333"/>
      <w:sz w:val="22"/>
      <w:szCs w:val="22"/>
    </w:rPr>
  </w:style>
  <w:style w:type="character" w:customStyle="1" w:styleId="213">
    <w:name w:val="Char Char311"/>
    <w:qFormat/>
    <w:uiPriority w:val="0"/>
    <w:rPr>
      <w:rFonts w:eastAsia="宋体"/>
      <w:kern w:val="2"/>
      <w:sz w:val="21"/>
      <w:szCs w:val="24"/>
      <w:lang w:val="en-US" w:eastAsia="zh-CN" w:bidi="ar-SA"/>
    </w:rPr>
  </w:style>
  <w:style w:type="character" w:customStyle="1" w:styleId="214">
    <w:name w:val="Char Char81"/>
    <w:qFormat/>
    <w:uiPriority w:val="6"/>
    <w:rPr>
      <w:rFonts w:eastAsia="宋体"/>
      <w:b/>
      <w:sz w:val="24"/>
      <w:lang w:val="en-GB" w:eastAsia="zh-CN"/>
    </w:rPr>
  </w:style>
  <w:style w:type="character" w:customStyle="1" w:styleId="215">
    <w:name w:val="样式3 Char"/>
    <w:basedOn w:val="166"/>
    <w:qFormat/>
    <w:uiPriority w:val="0"/>
    <w:rPr>
      <w:rFonts w:ascii="仿宋_GB2312" w:hAnsi="仿宋" w:eastAsia="仿宋_GB2312" w:cs="仿宋_GB2312"/>
      <w:sz w:val="32"/>
      <w:szCs w:val="30"/>
      <w:lang w:val="zh-CN"/>
    </w:rPr>
  </w:style>
  <w:style w:type="character" w:customStyle="1" w:styleId="216">
    <w:name w:val="HTML 地址 Char"/>
    <w:link w:val="31"/>
    <w:qFormat/>
    <w:uiPriority w:val="0"/>
    <w:rPr>
      <w:rFonts w:ascii="宋体" w:hAnsi="宋体"/>
      <w:i/>
      <w:iCs/>
      <w:sz w:val="24"/>
      <w:szCs w:val="24"/>
    </w:rPr>
  </w:style>
  <w:style w:type="character" w:customStyle="1" w:styleId="217">
    <w:name w:val="正文首行缩进 2 Char1"/>
    <w:qFormat/>
    <w:uiPriority w:val="0"/>
    <w:rPr>
      <w:rFonts w:ascii="Times New Roman" w:hAnsi="Times New Roman" w:eastAsia="宋体" w:cs="Times New Roman"/>
      <w:kern w:val="2"/>
      <w:sz w:val="24"/>
      <w:szCs w:val="24"/>
    </w:rPr>
  </w:style>
  <w:style w:type="character" w:customStyle="1" w:styleId="218">
    <w:name w:val="副标题 Char2"/>
    <w:qFormat/>
    <w:uiPriority w:val="0"/>
    <w:rPr>
      <w:rFonts w:ascii="Cambria" w:hAnsi="Cambria" w:eastAsia="宋体" w:cs="Times New Roman"/>
      <w:b/>
      <w:bCs/>
      <w:snapToGrid w:val="0"/>
      <w:kern w:val="28"/>
      <w:sz w:val="32"/>
      <w:szCs w:val="32"/>
    </w:rPr>
  </w:style>
  <w:style w:type="character" w:customStyle="1" w:styleId="219">
    <w:name w:val="标题4-dyf Char"/>
    <w:link w:val="220"/>
    <w:qFormat/>
    <w:uiPriority w:val="0"/>
    <w:rPr>
      <w:rFonts w:ascii="Cambria" w:hAnsi="Cambria"/>
      <w:b/>
      <w:bCs/>
      <w:color w:val="000000"/>
      <w:kern w:val="2"/>
      <w:sz w:val="21"/>
      <w:szCs w:val="21"/>
    </w:rPr>
  </w:style>
  <w:style w:type="paragraph" w:customStyle="1" w:styleId="220">
    <w:name w:val="标题4-dyf"/>
    <w:basedOn w:val="7"/>
    <w:link w:val="219"/>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1">
    <w:name w:val="dectext1"/>
    <w:qFormat/>
    <w:uiPriority w:val="0"/>
    <w:rPr>
      <w:rFonts w:ascii="宋体" w:hAnsi="宋体" w:eastAsia="宋体"/>
      <w:color w:val="333333"/>
      <w:sz w:val="21"/>
      <w:szCs w:val="21"/>
      <w:u w:val="none"/>
    </w:rPr>
  </w:style>
  <w:style w:type="character" w:customStyle="1" w:styleId="222">
    <w:name w:val="冯 Char"/>
    <w:link w:val="223"/>
    <w:qFormat/>
    <w:uiPriority w:val="0"/>
    <w:rPr>
      <w:rFonts w:ascii="宋体" w:hAnsi="宋体"/>
      <w:color w:val="000000"/>
      <w:sz w:val="24"/>
      <w:szCs w:val="24"/>
    </w:rPr>
  </w:style>
  <w:style w:type="paragraph" w:customStyle="1" w:styleId="223">
    <w:name w:val="冯"/>
    <w:basedOn w:val="1"/>
    <w:link w:val="222"/>
    <w:qFormat/>
    <w:uiPriority w:val="0"/>
    <w:pPr>
      <w:widowControl/>
      <w:adjustRightInd/>
      <w:spacing w:line="360" w:lineRule="auto"/>
      <w:ind w:firstLine="480" w:firstLineChars="200"/>
    </w:pPr>
    <w:rPr>
      <w:rFonts w:ascii="宋体" w:hAnsi="宋体"/>
      <w:color w:val="000000"/>
      <w:kern w:val="0"/>
      <w:sz w:val="24"/>
    </w:rPr>
  </w:style>
  <w:style w:type="character" w:customStyle="1" w:styleId="224">
    <w:name w:val="Header Char"/>
    <w:qFormat/>
    <w:locked/>
    <w:uiPriority w:val="0"/>
    <w:rPr>
      <w:rFonts w:eastAsia="宋体"/>
      <w:kern w:val="2"/>
      <w:sz w:val="18"/>
      <w:szCs w:val="18"/>
      <w:lang w:val="en-US" w:eastAsia="zh-CN" w:bidi="ar-SA"/>
    </w:rPr>
  </w:style>
  <w:style w:type="character" w:customStyle="1" w:styleId="225">
    <w:name w:val="Char Char12"/>
    <w:qFormat/>
    <w:uiPriority w:val="0"/>
    <w:rPr>
      <w:rFonts w:ascii="仿宋_GB2312" w:eastAsia="仿宋_GB2312"/>
      <w:b/>
      <w:bCs/>
      <w:kern w:val="2"/>
      <w:sz w:val="24"/>
      <w:szCs w:val="24"/>
      <w:lang w:val="zh-CN" w:eastAsia="zh-CN" w:bidi="ar-SA"/>
    </w:rPr>
  </w:style>
  <w:style w:type="character" w:customStyle="1" w:styleId="226">
    <w:name w:val="题注 Char"/>
    <w:link w:val="17"/>
    <w:qFormat/>
    <w:uiPriority w:val="0"/>
    <w:rPr>
      <w:b/>
      <w:kern w:val="2"/>
      <w:sz w:val="28"/>
    </w:rPr>
  </w:style>
  <w:style w:type="character" w:customStyle="1" w:styleId="227">
    <w:name w:val="普通文字 Char3"/>
    <w:qFormat/>
    <w:uiPriority w:val="0"/>
    <w:rPr>
      <w:rFonts w:ascii="宋体" w:hAnsi="Courier New" w:eastAsia="宋体"/>
      <w:kern w:val="2"/>
      <w:sz w:val="21"/>
      <w:lang w:val="en-US" w:eastAsia="zh-CN" w:bidi="ar-SA"/>
    </w:rPr>
  </w:style>
  <w:style w:type="character" w:customStyle="1" w:styleId="228">
    <w:name w:val="公文正文 Char"/>
    <w:qFormat/>
    <w:uiPriority w:val="0"/>
    <w:rPr>
      <w:rFonts w:ascii="仿宋_GB2312" w:eastAsia="仿宋_GB2312"/>
      <w:kern w:val="2"/>
      <w:sz w:val="24"/>
      <w:szCs w:val="24"/>
      <w:lang w:val="en-US" w:eastAsia="zh-CN" w:bidi="ar-SA"/>
    </w:rPr>
  </w:style>
  <w:style w:type="character" w:customStyle="1" w:styleId="229">
    <w:name w:val="正文首行缩进 Char Char Char Char Char"/>
    <w:qFormat/>
    <w:uiPriority w:val="0"/>
    <w:rPr>
      <w:rFonts w:ascii="宋体"/>
      <w:kern w:val="2"/>
      <w:sz w:val="24"/>
      <w:lang w:val="zh-CN"/>
    </w:rPr>
  </w:style>
  <w:style w:type="character" w:customStyle="1" w:styleId="230">
    <w:name w:val="PI Char"/>
    <w:qFormat/>
    <w:uiPriority w:val="0"/>
    <w:rPr>
      <w:rFonts w:ascii="宋体" w:hAnsi="宋体" w:eastAsia="宋体"/>
      <w:kern w:val="2"/>
      <w:sz w:val="24"/>
      <w:szCs w:val="24"/>
      <w:lang w:val="en-US" w:eastAsia="zh-CN" w:bidi="ar-SA"/>
    </w:rPr>
  </w:style>
  <w:style w:type="character" w:customStyle="1" w:styleId="231">
    <w:name w:val="Default Char"/>
    <w:link w:val="232"/>
    <w:qFormat/>
    <w:uiPriority w:val="0"/>
    <w:rPr>
      <w:rFonts w:ascii="仿宋_GB2312" w:eastAsia="仿宋_GB2312" w:cs="仿宋_GB2312"/>
      <w:color w:val="000000"/>
      <w:sz w:val="24"/>
      <w:szCs w:val="24"/>
      <w:lang w:val="en-US" w:eastAsia="zh-CN" w:bidi="ar-SA"/>
    </w:rPr>
  </w:style>
  <w:style w:type="paragraph" w:customStyle="1" w:styleId="232">
    <w:name w:val="Default"/>
    <w:next w:val="233"/>
    <w:link w:val="231"/>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233">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234">
    <w:name w:val="style91"/>
    <w:qFormat/>
    <w:uiPriority w:val="0"/>
    <w:rPr>
      <w:color w:val="333333"/>
    </w:rPr>
  </w:style>
  <w:style w:type="character" w:customStyle="1" w:styleId="235">
    <w:name w:val="列出段落 Char2"/>
    <w:qFormat/>
    <w:uiPriority w:val="34"/>
    <w:rPr>
      <w:rFonts w:ascii="Calibri" w:hAnsi="Calibri"/>
      <w:kern w:val="2"/>
      <w:sz w:val="28"/>
    </w:rPr>
  </w:style>
  <w:style w:type="character" w:customStyle="1" w:styleId="236">
    <w:name w:val="mdeck"/>
    <w:qFormat/>
    <w:uiPriority w:val="0"/>
    <w:rPr>
      <w:rFonts w:ascii="仿宋_GB2312" w:eastAsia="微软雅黑"/>
      <w:b/>
      <w:kern w:val="2"/>
      <w:sz w:val="32"/>
      <w:szCs w:val="32"/>
      <w:lang w:val="en-US" w:eastAsia="zh-CN" w:bidi="ar-SA"/>
    </w:rPr>
  </w:style>
  <w:style w:type="character" w:customStyle="1" w:styleId="237">
    <w:name w:val="unnamed11"/>
    <w:qFormat/>
    <w:uiPriority w:val="0"/>
    <w:rPr>
      <w:sz w:val="20"/>
      <w:szCs w:val="20"/>
    </w:rPr>
  </w:style>
  <w:style w:type="character" w:customStyle="1" w:styleId="238">
    <w:name w:val="正文文本 Char2"/>
    <w:semiHidden/>
    <w:qFormat/>
    <w:uiPriority w:val="99"/>
    <w:rPr>
      <w:rFonts w:ascii="Times New Roman" w:hAnsi="Times New Roman" w:eastAsia="宋体" w:cs="Times New Roman"/>
      <w:snapToGrid w:val="0"/>
      <w:kern w:val="0"/>
      <w:szCs w:val="24"/>
    </w:rPr>
  </w:style>
  <w:style w:type="character" w:customStyle="1" w:styleId="239">
    <w:name w:val="标书正文格式 Char"/>
    <w:qFormat/>
    <w:uiPriority w:val="0"/>
    <w:rPr>
      <w:rFonts w:eastAsia="楷体_GB2312"/>
      <w:kern w:val="2"/>
      <w:sz w:val="24"/>
      <w:szCs w:val="24"/>
      <w:lang w:bidi="ar-SA"/>
    </w:rPr>
  </w:style>
  <w:style w:type="character" w:customStyle="1" w:styleId="240">
    <w:name w:val="Char Char11"/>
    <w:qFormat/>
    <w:locked/>
    <w:uiPriority w:val="0"/>
    <w:rPr>
      <w:rFonts w:ascii="宋体" w:hAnsi="宋体" w:eastAsia="宋体"/>
      <w:b/>
      <w:kern w:val="2"/>
      <w:sz w:val="24"/>
      <w:szCs w:val="24"/>
      <w:lang w:val="en-US" w:eastAsia="zh-CN" w:bidi="ar-SA"/>
    </w:rPr>
  </w:style>
  <w:style w:type="character" w:customStyle="1" w:styleId="241">
    <w:name w:val="ca-131"/>
    <w:qFormat/>
    <w:uiPriority w:val="0"/>
    <w:rPr>
      <w:rFonts w:hint="eastAsia" w:ascii="仿宋_GB2312" w:eastAsia="仿宋_GB2312"/>
      <w:b/>
      <w:bCs/>
      <w:color w:val="000000"/>
      <w:spacing w:val="-20"/>
      <w:sz w:val="24"/>
      <w:szCs w:val="24"/>
    </w:rPr>
  </w:style>
  <w:style w:type="character" w:customStyle="1" w:styleId="242">
    <w:name w:val="tw4winMark"/>
    <w:qFormat/>
    <w:uiPriority w:val="0"/>
    <w:rPr>
      <w:rFonts w:ascii="Courier New" w:hAnsi="Courier New" w:cs="Courier New"/>
      <w:vanish/>
      <w:color w:val="800080"/>
      <w:sz w:val="24"/>
      <w:szCs w:val="24"/>
      <w:vertAlign w:val="subscript"/>
    </w:rPr>
  </w:style>
  <w:style w:type="character" w:customStyle="1" w:styleId="243">
    <w:name w:val="正文样式 Char"/>
    <w:link w:val="244"/>
    <w:qFormat/>
    <w:uiPriority w:val="0"/>
    <w:rPr>
      <w:rFonts w:ascii="Calibri" w:hAnsi="Calibri"/>
      <w:sz w:val="24"/>
      <w:szCs w:val="24"/>
    </w:rPr>
  </w:style>
  <w:style w:type="paragraph" w:customStyle="1" w:styleId="244">
    <w:name w:val="正文样式"/>
    <w:basedOn w:val="1"/>
    <w:link w:val="243"/>
    <w:qFormat/>
    <w:uiPriority w:val="0"/>
    <w:pPr>
      <w:adjustRightInd/>
      <w:spacing w:line="360" w:lineRule="auto"/>
      <w:ind w:firstLine="480" w:firstLineChars="200"/>
    </w:pPr>
    <w:rPr>
      <w:kern w:val="0"/>
      <w:sz w:val="24"/>
    </w:rPr>
  </w:style>
  <w:style w:type="character" w:customStyle="1" w:styleId="245">
    <w:name w:val="表正文 Char3"/>
    <w:qFormat/>
    <w:uiPriority w:val="0"/>
    <w:rPr>
      <w:rFonts w:eastAsia="宋体"/>
    </w:rPr>
  </w:style>
  <w:style w:type="character" w:customStyle="1" w:styleId="246">
    <w:name w:val="H5 Char"/>
    <w:qFormat/>
    <w:uiPriority w:val="0"/>
    <w:rPr>
      <w:b/>
      <w:bCs/>
      <w:kern w:val="2"/>
      <w:sz w:val="28"/>
      <w:szCs w:val="28"/>
    </w:rPr>
  </w:style>
  <w:style w:type="character" w:customStyle="1" w:styleId="247">
    <w:name w:val="Char Char3"/>
    <w:qFormat/>
    <w:uiPriority w:val="0"/>
    <w:rPr>
      <w:rFonts w:eastAsia="宋体"/>
      <w:kern w:val="2"/>
      <w:sz w:val="21"/>
      <w:szCs w:val="24"/>
      <w:lang w:val="en-US" w:eastAsia="zh-CN" w:bidi="ar-SA"/>
    </w:rPr>
  </w:style>
  <w:style w:type="character" w:customStyle="1" w:styleId="248">
    <w:name w:val="正文 编号 Char"/>
    <w:qFormat/>
    <w:uiPriority w:val="0"/>
    <w:rPr>
      <w:rFonts w:ascii="仿宋_GB2312" w:hAnsi="仿宋_GB2312" w:eastAsia="仿宋_GB2312"/>
      <w:kern w:val="2"/>
      <w:sz w:val="24"/>
      <w:lang w:bidi="ar-SA"/>
    </w:rPr>
  </w:style>
  <w:style w:type="character" w:customStyle="1" w:styleId="249">
    <w:name w:val="question-title2"/>
    <w:qFormat/>
    <w:uiPriority w:val="6"/>
    <w:rPr>
      <w:rFonts w:ascii="Arial" w:hAnsi="Arial" w:eastAsia="黑体" w:cs="Arial"/>
      <w:snapToGrid w:val="0"/>
      <w:kern w:val="0"/>
      <w:szCs w:val="21"/>
    </w:rPr>
  </w:style>
  <w:style w:type="character" w:customStyle="1" w:styleId="250">
    <w:name w:val="gf正文1 Char Char"/>
    <w:link w:val="251"/>
    <w:qFormat/>
    <w:uiPriority w:val="0"/>
    <w:rPr>
      <w:rFonts w:ascii="宋体" w:hAnsi="宋体" w:cs="宋体"/>
      <w:kern w:val="2"/>
      <w:sz w:val="24"/>
      <w:szCs w:val="24"/>
    </w:rPr>
  </w:style>
  <w:style w:type="paragraph" w:customStyle="1" w:styleId="251">
    <w:name w:val="gf正文1"/>
    <w:basedOn w:val="1"/>
    <w:link w:val="250"/>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2">
    <w:name w:val="Char Char15"/>
    <w:qFormat/>
    <w:uiPriority w:val="6"/>
    <w:rPr>
      <w:rFonts w:ascii="宋体" w:hAnsi="宋体"/>
      <w:kern w:val="1"/>
      <w:sz w:val="21"/>
    </w:rPr>
  </w:style>
  <w:style w:type="character" w:customStyle="1" w:styleId="253">
    <w:name w:val="正文缩进 Char3"/>
    <w:qFormat/>
    <w:uiPriority w:val="0"/>
    <w:rPr>
      <w:rFonts w:ascii="宋体" w:eastAsia="宋体"/>
      <w:snapToGrid w:val="0"/>
      <w:color w:val="000000"/>
      <w:kern w:val="28"/>
      <w:sz w:val="28"/>
      <w:lang w:val="en-US" w:eastAsia="zh-CN" w:bidi="ar-SA"/>
    </w:rPr>
  </w:style>
  <w:style w:type="character" w:customStyle="1" w:styleId="254">
    <w:name w:val="列出段落 Char1"/>
    <w:link w:val="255"/>
    <w:qFormat/>
    <w:uiPriority w:val="0"/>
    <w:rPr>
      <w:rFonts w:ascii="Calibri" w:hAnsi="Calibri"/>
      <w:sz w:val="24"/>
      <w:lang w:eastAsia="en-US"/>
    </w:rPr>
  </w:style>
  <w:style w:type="paragraph" w:customStyle="1" w:styleId="255">
    <w:name w:val="列表1"/>
    <w:basedOn w:val="1"/>
    <w:next w:val="256"/>
    <w:link w:val="254"/>
    <w:qFormat/>
    <w:uiPriority w:val="0"/>
    <w:pPr>
      <w:widowControl/>
      <w:adjustRightInd/>
      <w:spacing w:after="200" w:line="360" w:lineRule="auto"/>
      <w:ind w:left="720" w:firstLine="200" w:firstLineChars="200"/>
      <w:jc w:val="left"/>
    </w:pPr>
    <w:rPr>
      <w:kern w:val="0"/>
      <w:sz w:val="24"/>
      <w:szCs w:val="20"/>
      <w:lang w:eastAsia="en-US"/>
    </w:rPr>
  </w:style>
  <w:style w:type="paragraph" w:styleId="256">
    <w:name w:val="List Paragraph"/>
    <w:basedOn w:val="1"/>
    <w:qFormat/>
    <w:uiPriority w:val="34"/>
    <w:pPr>
      <w:spacing w:line="360" w:lineRule="auto"/>
      <w:ind w:firstLine="200" w:firstLineChars="200"/>
    </w:pPr>
    <w:rPr>
      <w:rFonts w:eastAsia="楷体_GB2312" w:cs="Lucida Sans"/>
      <w:sz w:val="24"/>
    </w:rPr>
  </w:style>
  <w:style w:type="character" w:customStyle="1" w:styleId="257">
    <w:name w:val="Char Char8"/>
    <w:qFormat/>
    <w:uiPriority w:val="0"/>
    <w:rPr>
      <w:rFonts w:eastAsia="宋体"/>
      <w:b/>
      <w:sz w:val="24"/>
      <w:lang w:val="en-GB" w:eastAsia="zh-CN"/>
    </w:rPr>
  </w:style>
  <w:style w:type="character" w:customStyle="1" w:styleId="258">
    <w:name w:val="Normal Indent Char Char"/>
    <w:qFormat/>
    <w:uiPriority w:val="0"/>
    <w:rPr>
      <w:rFonts w:eastAsia="宋体"/>
      <w:kern w:val="2"/>
      <w:sz w:val="21"/>
      <w:lang w:val="en-US" w:eastAsia="zh-CN" w:bidi="ar-SA"/>
    </w:rPr>
  </w:style>
  <w:style w:type="character" w:customStyle="1" w:styleId="259">
    <w:name w:val="列表段落 字符"/>
    <w:qFormat/>
    <w:uiPriority w:val="99"/>
  </w:style>
  <w:style w:type="character" w:customStyle="1" w:styleId="260">
    <w:name w:val="Ò³Ã¼ Char Char1"/>
    <w:qFormat/>
    <w:uiPriority w:val="0"/>
    <w:rPr>
      <w:rFonts w:eastAsia="宋体"/>
      <w:kern w:val="2"/>
      <w:sz w:val="18"/>
      <w:szCs w:val="18"/>
      <w:lang w:val="en-US" w:eastAsia="zh-CN" w:bidi="ar-SA"/>
    </w:rPr>
  </w:style>
  <w:style w:type="character" w:customStyle="1" w:styleId="261">
    <w:name w:val="方案正文 Char"/>
    <w:qFormat/>
    <w:uiPriority w:val="0"/>
    <w:rPr>
      <w:rFonts w:ascii="仿宋_GB2312" w:eastAsia="仿宋_GB2312"/>
      <w:b/>
      <w:color w:val="000000"/>
      <w:kern w:val="2"/>
      <w:sz w:val="24"/>
      <w:lang w:val="en-US" w:eastAsia="zh-CN" w:bidi="ar-SA"/>
    </w:rPr>
  </w:style>
  <w:style w:type="character" w:customStyle="1" w:styleId="262">
    <w:name w:val="Char Char30"/>
    <w:qFormat/>
    <w:uiPriority w:val="6"/>
    <w:rPr>
      <w:rFonts w:ascii="Arial" w:hAnsi="Arial" w:eastAsia="黑体"/>
      <w:kern w:val="1"/>
      <w:sz w:val="21"/>
      <w:szCs w:val="21"/>
    </w:rPr>
  </w:style>
  <w:style w:type="character" w:customStyle="1" w:styleId="263">
    <w:name w:val="正文文本缩进 Char3"/>
    <w:link w:val="26"/>
    <w:qFormat/>
    <w:uiPriority w:val="0"/>
    <w:rPr>
      <w:rFonts w:ascii="宋体" w:hAnsi="宋体"/>
      <w:kern w:val="2"/>
      <w:sz w:val="24"/>
      <w:szCs w:val="24"/>
    </w:rPr>
  </w:style>
  <w:style w:type="character" w:customStyle="1" w:styleId="264">
    <w:name w:val="font01"/>
    <w:qFormat/>
    <w:uiPriority w:val="0"/>
    <w:rPr>
      <w:rFonts w:hint="eastAsia" w:ascii="微软雅黑" w:hAnsi="微软雅黑" w:eastAsia="微软雅黑" w:cs="微软雅黑"/>
      <w:color w:val="000000"/>
      <w:sz w:val="20"/>
      <w:szCs w:val="20"/>
      <w:u w:val="none"/>
    </w:rPr>
  </w:style>
  <w:style w:type="character" w:customStyle="1" w:styleId="265">
    <w:name w:val="Char Char20"/>
    <w:qFormat/>
    <w:uiPriority w:val="6"/>
    <w:rPr>
      <w:kern w:val="1"/>
      <w:sz w:val="24"/>
    </w:rPr>
  </w:style>
  <w:style w:type="character" w:customStyle="1" w:styleId="266">
    <w:name w:val="tw4winExternal"/>
    <w:qFormat/>
    <w:uiPriority w:val="0"/>
    <w:rPr>
      <w:rFonts w:ascii="Courier New" w:hAnsi="Courier New" w:cs="Courier New"/>
      <w:color w:val="808080"/>
      <w:lang w:val="en-US" w:eastAsia="zh-CN"/>
    </w:rPr>
  </w:style>
  <w:style w:type="character" w:customStyle="1" w:styleId="267">
    <w:name w:val="标题 4 Char1"/>
    <w:qFormat/>
    <w:uiPriority w:val="9"/>
    <w:rPr>
      <w:rFonts w:ascii="Cambria" w:hAnsi="Cambria" w:eastAsia="宋体" w:cs="Times New Roman"/>
      <w:b/>
      <w:bCs/>
      <w:kern w:val="2"/>
      <w:sz w:val="28"/>
      <w:szCs w:val="28"/>
    </w:rPr>
  </w:style>
  <w:style w:type="character" w:customStyle="1" w:styleId="268">
    <w:name w:val="批注文字 Char2"/>
    <w:qFormat/>
    <w:uiPriority w:val="99"/>
    <w:rPr>
      <w:rFonts w:ascii="Times New Roman" w:hAnsi="Times New Roman" w:eastAsia="宋体" w:cs="Times New Roman"/>
      <w:snapToGrid w:val="0"/>
      <w:kern w:val="0"/>
      <w:szCs w:val="24"/>
    </w:rPr>
  </w:style>
  <w:style w:type="character" w:customStyle="1" w:styleId="269">
    <w:name w:val="正文文本 2 Char"/>
    <w:qFormat/>
    <w:uiPriority w:val="0"/>
    <w:rPr>
      <w:rFonts w:eastAsia="宋体"/>
      <w:kern w:val="2"/>
      <w:sz w:val="21"/>
      <w:szCs w:val="24"/>
      <w:lang w:val="en-US" w:eastAsia="zh-CN" w:bidi="ar-SA"/>
    </w:rPr>
  </w:style>
  <w:style w:type="character" w:customStyle="1" w:styleId="270">
    <w:name w:val="Ò³Ã¼ Char Char"/>
    <w:qFormat/>
    <w:uiPriority w:val="0"/>
    <w:rPr>
      <w:rFonts w:eastAsia="宋体"/>
      <w:kern w:val="2"/>
      <w:sz w:val="18"/>
      <w:lang w:val="en-US" w:eastAsia="zh-CN" w:bidi="ar-SA"/>
    </w:rPr>
  </w:style>
  <w:style w:type="character" w:customStyle="1" w:styleId="271">
    <w:name w:val="message1"/>
    <w:qFormat/>
    <w:uiPriority w:val="0"/>
    <w:rPr>
      <w:rFonts w:hint="default" w:ascii="Tahoma" w:hAnsi="Tahoma" w:cs="Tahoma"/>
      <w:sz w:val="18"/>
      <w:szCs w:val="18"/>
    </w:rPr>
  </w:style>
  <w:style w:type="character" w:customStyle="1" w:styleId="272">
    <w:name w:val="Char Char23"/>
    <w:qFormat/>
    <w:uiPriority w:val="6"/>
    <w:rPr>
      <w:color w:val="0000FF"/>
      <w:sz w:val="21"/>
    </w:rPr>
  </w:style>
  <w:style w:type="character" w:customStyle="1" w:styleId="273">
    <w:name w:val="批注框文本 字符"/>
    <w:qFormat/>
    <w:uiPriority w:val="0"/>
    <w:rPr>
      <w:rFonts w:ascii="Arial" w:hAnsi="Arial" w:eastAsia="黑体" w:cs="Arial"/>
      <w:snapToGrid w:val="0"/>
      <w:kern w:val="0"/>
      <w:sz w:val="18"/>
      <w:szCs w:val="18"/>
    </w:rPr>
  </w:style>
  <w:style w:type="character" w:customStyle="1" w:styleId="274">
    <w:name w:val="纯文本 Char2"/>
    <w:semiHidden/>
    <w:qFormat/>
    <w:uiPriority w:val="99"/>
    <w:rPr>
      <w:rFonts w:ascii="宋体" w:hAnsi="Courier New" w:eastAsia="宋体" w:cs="Courier New"/>
    </w:rPr>
  </w:style>
  <w:style w:type="character" w:customStyle="1" w:styleId="275">
    <w:name w:val="Char Char25"/>
    <w:qFormat/>
    <w:uiPriority w:val="6"/>
    <w:rPr>
      <w:rFonts w:ascii="宋体" w:hAnsi="宋体"/>
      <w:kern w:val="1"/>
      <w:sz w:val="24"/>
      <w:lang w:val="zh-CN"/>
    </w:rPr>
  </w:style>
  <w:style w:type="character" w:customStyle="1" w:styleId="276">
    <w:name w:val="Char Char411"/>
    <w:qFormat/>
    <w:uiPriority w:val="0"/>
    <w:rPr>
      <w:rFonts w:eastAsia="宋体"/>
      <w:b/>
      <w:sz w:val="24"/>
      <w:lang w:val="en-GB" w:eastAsia="zh-CN" w:bidi="ar-SA"/>
    </w:rPr>
  </w:style>
  <w:style w:type="character" w:customStyle="1" w:styleId="277">
    <w:name w:val="Heading 7 Char"/>
    <w:qFormat/>
    <w:locked/>
    <w:uiPriority w:val="0"/>
    <w:rPr>
      <w:rFonts w:ascii="宋体" w:hAnsi="宋体" w:eastAsia="宋体"/>
      <w:b/>
      <w:bCs/>
      <w:kern w:val="2"/>
      <w:sz w:val="24"/>
      <w:szCs w:val="24"/>
      <w:lang w:val="en-US" w:eastAsia="zh-CN" w:bidi="ar-SA"/>
    </w:rPr>
  </w:style>
  <w:style w:type="character" w:customStyle="1" w:styleId="278">
    <w:name w:val="此正文 Char"/>
    <w:link w:val="279"/>
    <w:qFormat/>
    <w:uiPriority w:val="0"/>
    <w:rPr>
      <w:kern w:val="2"/>
      <w:sz w:val="24"/>
      <w:szCs w:val="24"/>
    </w:rPr>
  </w:style>
  <w:style w:type="paragraph" w:customStyle="1" w:styleId="279">
    <w:name w:val="此正文"/>
    <w:basedOn w:val="1"/>
    <w:link w:val="278"/>
    <w:qFormat/>
    <w:uiPriority w:val="0"/>
    <w:pPr>
      <w:adjustRightInd/>
      <w:spacing w:line="360" w:lineRule="auto"/>
      <w:ind w:firstLine="200" w:firstLineChars="200"/>
    </w:pPr>
    <w:rPr>
      <w:sz w:val="24"/>
    </w:rPr>
  </w:style>
  <w:style w:type="character" w:customStyle="1" w:styleId="280">
    <w:name w:val="Char Char2"/>
    <w:qFormat/>
    <w:uiPriority w:val="0"/>
    <w:rPr>
      <w:rFonts w:eastAsia="宋体"/>
      <w:b/>
      <w:bCs/>
      <w:kern w:val="2"/>
      <w:sz w:val="21"/>
      <w:szCs w:val="24"/>
      <w:lang w:val="en-US" w:eastAsia="zh-CN" w:bidi="ar-SA"/>
    </w:rPr>
  </w:style>
  <w:style w:type="character" w:customStyle="1" w:styleId="281">
    <w:name w:val="标题 1 Char"/>
    <w:link w:val="3"/>
    <w:qFormat/>
    <w:uiPriority w:val="9"/>
    <w:rPr>
      <w:b/>
      <w:bCs/>
      <w:kern w:val="44"/>
      <w:sz w:val="44"/>
      <w:szCs w:val="44"/>
    </w:rPr>
  </w:style>
  <w:style w:type="character" w:customStyle="1" w:styleId="282">
    <w:name w:val="Footer-Even Char1"/>
    <w:qFormat/>
    <w:uiPriority w:val="0"/>
    <w:rPr>
      <w:rFonts w:eastAsia="宋体"/>
      <w:kern w:val="2"/>
      <w:sz w:val="18"/>
      <w:szCs w:val="18"/>
      <w:lang w:val="en-US" w:eastAsia="zh-CN" w:bidi="ar-SA"/>
    </w:rPr>
  </w:style>
  <w:style w:type="character" w:customStyle="1" w:styleId="283">
    <w:name w:val="Char Char29"/>
    <w:qFormat/>
    <w:uiPriority w:val="6"/>
    <w:rPr>
      <w:rFonts w:ascii="Arial" w:hAnsi="Arial" w:eastAsia="微软雅黑"/>
      <w:b/>
      <w:kern w:val="1"/>
      <w:sz w:val="44"/>
      <w:szCs w:val="32"/>
      <w:lang w:val="en-US" w:eastAsia="zh-CN" w:bidi="ar-SA"/>
    </w:rPr>
  </w:style>
  <w:style w:type="character" w:customStyle="1" w:styleId="284">
    <w:name w:val="标题 Char2"/>
    <w:link w:val="59"/>
    <w:qFormat/>
    <w:uiPriority w:val="10"/>
    <w:rPr>
      <w:b/>
      <w:sz w:val="24"/>
      <w:lang w:val="en-GB"/>
    </w:rPr>
  </w:style>
  <w:style w:type="character" w:customStyle="1" w:styleId="285">
    <w:name w:val="font81"/>
    <w:qFormat/>
    <w:uiPriority w:val="0"/>
    <w:rPr>
      <w:rFonts w:ascii="微软雅黑" w:hAnsi="微软雅黑" w:eastAsia="微软雅黑" w:cs="微软雅黑"/>
      <w:color w:val="000000"/>
      <w:sz w:val="20"/>
      <w:szCs w:val="20"/>
      <w:u w:val="none"/>
    </w:rPr>
  </w:style>
  <w:style w:type="character" w:customStyle="1" w:styleId="286">
    <w:name w:val="Char Char312"/>
    <w:qFormat/>
    <w:uiPriority w:val="0"/>
    <w:rPr>
      <w:rFonts w:ascii="Times New Roman" w:hAnsi="Times New Roman" w:eastAsia="宋体" w:cs="Times New Roman"/>
      <w:b/>
      <w:kern w:val="2"/>
      <w:sz w:val="32"/>
      <w:szCs w:val="24"/>
      <w:lang w:val="en-US" w:eastAsia="zh-CN" w:bidi="ar-SA"/>
    </w:rPr>
  </w:style>
  <w:style w:type="character" w:customStyle="1" w:styleId="287">
    <w:name w:val="t21"/>
    <w:qFormat/>
    <w:uiPriority w:val="0"/>
    <w:rPr>
      <w:rFonts w:ascii="仿宋_GB2312" w:eastAsia="微软雅黑"/>
      <w:b/>
      <w:kern w:val="2"/>
      <w:sz w:val="23"/>
      <w:szCs w:val="23"/>
      <w:lang w:val="en-US" w:eastAsia="zh-CN" w:bidi="ar-SA"/>
    </w:rPr>
  </w:style>
  <w:style w:type="character" w:customStyle="1" w:styleId="288">
    <w:name w:val="样式8 Char"/>
    <w:qFormat/>
    <w:uiPriority w:val="0"/>
    <w:rPr>
      <w:rFonts w:ascii="仿宋_GB2312" w:hAnsi="宋体" w:eastAsia="仿宋_GB2312"/>
      <w:b/>
      <w:bCs/>
      <w:kern w:val="2"/>
      <w:sz w:val="24"/>
      <w:szCs w:val="24"/>
    </w:rPr>
  </w:style>
  <w:style w:type="character" w:customStyle="1" w:styleId="289">
    <w:name w:val="表格 Char Char"/>
    <w:qFormat/>
    <w:uiPriority w:val="0"/>
    <w:rPr>
      <w:rFonts w:ascii="宋体" w:hAnsi="宋体" w:eastAsia="宋体"/>
      <w:lang w:bidi="ar-SA"/>
    </w:rPr>
  </w:style>
  <w:style w:type="character" w:customStyle="1" w:styleId="290">
    <w:name w:val="正文文本 字符1"/>
    <w:qFormat/>
    <w:uiPriority w:val="0"/>
    <w:rPr>
      <w:rFonts w:ascii="Calibri" w:hAnsi="Calibri" w:eastAsia="黑体" w:cs="Arial"/>
      <w:snapToGrid w:val="0"/>
      <w:kern w:val="2"/>
      <w:sz w:val="28"/>
      <w:szCs w:val="21"/>
    </w:rPr>
  </w:style>
  <w:style w:type="character" w:customStyle="1" w:styleId="291">
    <w:name w:val="标题 5 Char"/>
    <w:link w:val="8"/>
    <w:qFormat/>
    <w:uiPriority w:val="9"/>
    <w:rPr>
      <w:b/>
      <w:bCs/>
      <w:kern w:val="2"/>
      <w:sz w:val="28"/>
      <w:szCs w:val="28"/>
    </w:rPr>
  </w:style>
  <w:style w:type="character" w:customStyle="1" w:styleId="292">
    <w:name w:val="标题 6 Char1"/>
    <w:qFormat/>
    <w:uiPriority w:val="0"/>
    <w:rPr>
      <w:rFonts w:ascii="Arial" w:hAnsi="Arial" w:eastAsia="黑体" w:cs="Times New Roman"/>
      <w:b/>
      <w:sz w:val="24"/>
      <w:szCs w:val="20"/>
      <w:lang w:bidi="ar-SA"/>
    </w:rPr>
  </w:style>
  <w:style w:type="character" w:customStyle="1" w:styleId="293">
    <w:name w:val="带编号样式 Char"/>
    <w:qFormat/>
    <w:uiPriority w:val="0"/>
    <w:rPr>
      <w:rFonts w:ascii="仿宋_GB2312" w:eastAsia="仿宋_GB2312"/>
      <w:color w:val="000000"/>
      <w:sz w:val="24"/>
      <w:lang w:bidi="ar-SA"/>
    </w:rPr>
  </w:style>
  <w:style w:type="character" w:customStyle="1" w:styleId="294">
    <w:name w:val="unnamed31"/>
    <w:qFormat/>
    <w:uiPriority w:val="0"/>
    <w:rPr>
      <w:rFonts w:ascii="Tahoma" w:hAnsi="Tahoma" w:eastAsia="宋体"/>
      <w:b/>
      <w:kern w:val="2"/>
      <w:sz w:val="24"/>
      <w:szCs w:val="32"/>
      <w:u w:val="none"/>
      <w:lang w:val="en-US" w:eastAsia="zh-CN" w:bidi="ar-SA"/>
    </w:rPr>
  </w:style>
  <w:style w:type="character" w:customStyle="1" w:styleId="295">
    <w:name w:val="正文首行缩进 Char Char Char Char Char Char1"/>
    <w:qFormat/>
    <w:uiPriority w:val="0"/>
    <w:rPr>
      <w:rFonts w:ascii="宋体" w:eastAsia="宋体"/>
      <w:kern w:val="2"/>
      <w:sz w:val="24"/>
      <w:szCs w:val="24"/>
      <w:lang w:val="zh-CN" w:bidi="ar-SA"/>
    </w:rPr>
  </w:style>
  <w:style w:type="character" w:customStyle="1" w:styleId="296">
    <w:name w:val="称呼 Char"/>
    <w:link w:val="21"/>
    <w:qFormat/>
    <w:uiPriority w:val="0"/>
    <w:rPr>
      <w:rFonts w:ascii="仿宋_GB2312" w:eastAsia="仿宋_GB2312"/>
      <w:kern w:val="2"/>
      <w:sz w:val="28"/>
    </w:rPr>
  </w:style>
  <w:style w:type="character" w:customStyle="1" w:styleId="297">
    <w:name w:val="文本正文 Char Char"/>
    <w:qFormat/>
    <w:locked/>
    <w:uiPriority w:val="0"/>
    <w:rPr>
      <w:sz w:val="24"/>
      <w:lang w:bidi="ar-SA"/>
    </w:rPr>
  </w:style>
  <w:style w:type="character" w:customStyle="1" w:styleId="298">
    <w:name w:val="正文缩进 字符"/>
    <w:qFormat/>
    <w:uiPriority w:val="0"/>
    <w:rPr>
      <w:rFonts w:ascii="宋体" w:eastAsia="宋体"/>
      <w:snapToGrid w:val="0"/>
      <w:color w:val="000000"/>
      <w:kern w:val="28"/>
      <w:sz w:val="28"/>
      <w:lang w:val="en-US" w:eastAsia="zh-CN" w:bidi="ar-SA"/>
    </w:rPr>
  </w:style>
  <w:style w:type="character" w:customStyle="1" w:styleId="299">
    <w:name w:val="HTML 预设格式 Char"/>
    <w:link w:val="57"/>
    <w:qFormat/>
    <w:uiPriority w:val="0"/>
    <w:rPr>
      <w:rFonts w:ascii="黑体" w:hAnsi="Courier New" w:eastAsia="黑体"/>
    </w:rPr>
  </w:style>
  <w:style w:type="character" w:customStyle="1" w:styleId="300">
    <w:name w:val="正文文本 2 Char1"/>
    <w:link w:val="56"/>
    <w:qFormat/>
    <w:uiPriority w:val="0"/>
    <w:rPr>
      <w:kern w:val="2"/>
      <w:sz w:val="21"/>
      <w:szCs w:val="24"/>
    </w:rPr>
  </w:style>
  <w:style w:type="character" w:customStyle="1" w:styleId="301">
    <w:name w:val="样式 样式 标题 4h4H4Fab-4T5Ref Heading 1rh1Heading sqlsect 1.2.3.... +... Char"/>
    <w:link w:val="302"/>
    <w:qFormat/>
    <w:uiPriority w:val="0"/>
    <w:rPr>
      <w:rFonts w:ascii="微软雅黑" w:hAnsi="微软雅黑" w:eastAsia="微软雅黑"/>
      <w:b/>
      <w:bCs/>
      <w:kern w:val="2"/>
      <w:sz w:val="24"/>
      <w:szCs w:val="28"/>
    </w:rPr>
  </w:style>
  <w:style w:type="paragraph" w:customStyle="1" w:styleId="302">
    <w:name w:val="样式 样式 标题 4h4H4Fab-4T5Ref Heading 1rh1Heading sqlsect 1.2.3.... +..."/>
    <w:basedOn w:val="303"/>
    <w:link w:val="301"/>
    <w:qFormat/>
    <w:uiPriority w:val="0"/>
    <w:pPr>
      <w:tabs>
        <w:tab w:val="left" w:pos="2356"/>
      </w:tabs>
    </w:pPr>
  </w:style>
  <w:style w:type="paragraph" w:customStyle="1" w:styleId="303">
    <w:name w:val="样式 标题 4h4H4Fab-4T5Ref Heading 1rh1Heading sqlsect 1.2.3...."/>
    <w:basedOn w:val="7"/>
    <w:link w:val="411"/>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4">
    <w:name w:val="正文非缩进 Char"/>
    <w:qFormat/>
    <w:uiPriority w:val="0"/>
    <w:rPr>
      <w:rFonts w:ascii="宋体" w:eastAsia="宋体"/>
      <w:snapToGrid w:val="0"/>
      <w:color w:val="000000"/>
      <w:kern w:val="28"/>
      <w:sz w:val="28"/>
      <w:lang w:val="en-US" w:eastAsia="zh-CN" w:bidi="ar-SA"/>
    </w:rPr>
  </w:style>
  <w:style w:type="character" w:customStyle="1" w:styleId="305">
    <w:name w:val="标题 7 Char"/>
    <w:link w:val="10"/>
    <w:qFormat/>
    <w:uiPriority w:val="0"/>
    <w:rPr>
      <w:b/>
      <w:bCs/>
      <w:kern w:val="2"/>
      <w:sz w:val="24"/>
      <w:szCs w:val="24"/>
    </w:rPr>
  </w:style>
  <w:style w:type="character" w:customStyle="1" w:styleId="306">
    <w:name w:val="正文文本缩进 2 Char"/>
    <w:link w:val="38"/>
    <w:qFormat/>
    <w:uiPriority w:val="0"/>
    <w:rPr>
      <w:rFonts w:ascii="宋体"/>
      <w:sz w:val="28"/>
    </w:rPr>
  </w:style>
  <w:style w:type="character" w:customStyle="1" w:styleId="307">
    <w:name w:val="Char Char5"/>
    <w:qFormat/>
    <w:uiPriority w:val="0"/>
    <w:rPr>
      <w:rFonts w:ascii="宋体" w:hAnsi="Courier New" w:eastAsia="宋体"/>
      <w:kern w:val="2"/>
      <w:sz w:val="21"/>
      <w:lang w:val="en-US" w:eastAsia="zh-CN"/>
    </w:rPr>
  </w:style>
  <w:style w:type="character" w:customStyle="1" w:styleId="308">
    <w:name w:val="脚注文本 Char"/>
    <w:link w:val="50"/>
    <w:qFormat/>
    <w:uiPriority w:val="0"/>
    <w:rPr>
      <w:color w:val="0000FF"/>
      <w:sz w:val="21"/>
    </w:rPr>
  </w:style>
  <w:style w:type="character" w:customStyle="1" w:styleId="309">
    <w:name w:val="称呼 Char1"/>
    <w:qFormat/>
    <w:uiPriority w:val="0"/>
    <w:rPr>
      <w:rFonts w:ascii="Times New Roman" w:hAnsi="Times New Roman" w:eastAsia="宋体" w:cs="Times New Roman"/>
      <w:szCs w:val="24"/>
    </w:rPr>
  </w:style>
  <w:style w:type="character" w:customStyle="1" w:styleId="310">
    <w:name w:val="正文1 Char"/>
    <w:qFormat/>
    <w:uiPriority w:val="0"/>
    <w:rPr>
      <w:rFonts w:ascii="宋体" w:eastAsia="宋体"/>
      <w:snapToGrid w:val="0"/>
      <w:color w:val="000000"/>
      <w:kern w:val="28"/>
      <w:sz w:val="28"/>
      <w:lang w:val="en-US" w:eastAsia="zh-CN" w:bidi="ar-SA"/>
    </w:rPr>
  </w:style>
  <w:style w:type="character" w:customStyle="1" w:styleId="311">
    <w:name w:val="正文缩进 Char1"/>
    <w:qFormat/>
    <w:uiPriority w:val="0"/>
    <w:rPr>
      <w:rFonts w:ascii="宋体" w:eastAsia="宋体"/>
      <w:snapToGrid w:val="0"/>
      <w:color w:val="000000"/>
      <w:kern w:val="28"/>
      <w:sz w:val="28"/>
      <w:lang w:val="en-US" w:eastAsia="zh-CN" w:bidi="ar-SA"/>
    </w:rPr>
  </w:style>
  <w:style w:type="character" w:customStyle="1" w:styleId="312">
    <w:name w:val="font21"/>
    <w:qFormat/>
    <w:uiPriority w:val="0"/>
    <w:rPr>
      <w:rFonts w:hint="eastAsia" w:ascii="宋体" w:hAnsi="宋体" w:eastAsia="宋体"/>
      <w:kern w:val="2"/>
      <w:sz w:val="28"/>
      <w:szCs w:val="28"/>
      <w:lang w:val="en-US" w:eastAsia="zh-CN" w:bidi="ar-SA"/>
    </w:rPr>
  </w:style>
  <w:style w:type="character" w:customStyle="1" w:styleId="313">
    <w:name w:val="Char Char26"/>
    <w:qFormat/>
    <w:uiPriority w:val="6"/>
    <w:rPr>
      <w:kern w:val="1"/>
      <w:sz w:val="21"/>
      <w:szCs w:val="24"/>
    </w:rPr>
  </w:style>
  <w:style w:type="character" w:customStyle="1" w:styleId="314">
    <w:name w:val="Item List Char"/>
    <w:link w:val="315"/>
    <w:qFormat/>
    <w:uiPriority w:val="0"/>
    <w:rPr>
      <w:rFonts w:ascii="Arial"/>
      <w:bCs/>
      <w:sz w:val="21"/>
      <w:szCs w:val="21"/>
      <w:lang w:val="en-US" w:eastAsia="zh-CN" w:bidi="ar-SA"/>
    </w:rPr>
  </w:style>
  <w:style w:type="paragraph" w:customStyle="1" w:styleId="315">
    <w:name w:val="Item List"/>
    <w:link w:val="314"/>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6">
    <w:name w:val="批注框文本 Char1"/>
    <w:qFormat/>
    <w:uiPriority w:val="0"/>
    <w:rPr>
      <w:rFonts w:ascii="Times New Roman" w:hAnsi="Times New Roman" w:eastAsia="宋体" w:cs="Times New Roman"/>
      <w:sz w:val="18"/>
      <w:szCs w:val="18"/>
    </w:rPr>
  </w:style>
  <w:style w:type="character" w:customStyle="1" w:styleId="317">
    <w:name w:val="纯文本 Char1"/>
    <w:link w:val="318"/>
    <w:qFormat/>
    <w:uiPriority w:val="0"/>
    <w:rPr>
      <w:rFonts w:ascii="宋体" w:hAnsi="Courier New"/>
    </w:rPr>
  </w:style>
  <w:style w:type="paragraph" w:customStyle="1" w:styleId="318">
    <w:name w:val="纯文本1"/>
    <w:basedOn w:val="1"/>
    <w:link w:val="317"/>
    <w:qFormat/>
    <w:uiPriority w:val="0"/>
    <w:pPr>
      <w:adjustRightInd/>
    </w:pPr>
    <w:rPr>
      <w:rFonts w:ascii="宋体" w:hAnsi="Courier New"/>
      <w:kern w:val="0"/>
      <w:sz w:val="20"/>
      <w:szCs w:val="20"/>
    </w:rPr>
  </w:style>
  <w:style w:type="character" w:customStyle="1" w:styleId="319">
    <w:name w:val="正文首行缩进 Char"/>
    <w:link w:val="25"/>
    <w:qFormat/>
    <w:uiPriority w:val="0"/>
    <w:rPr>
      <w:rFonts w:ascii="宋体"/>
      <w:kern w:val="2"/>
      <w:sz w:val="24"/>
      <w:lang w:val="zh-CN"/>
    </w:rPr>
  </w:style>
  <w:style w:type="character" w:customStyle="1" w:styleId="320">
    <w:name w:val="h3 Char"/>
    <w:qFormat/>
    <w:uiPriority w:val="0"/>
    <w:rPr>
      <w:rFonts w:eastAsia="宋体"/>
      <w:b/>
      <w:kern w:val="2"/>
      <w:sz w:val="32"/>
      <w:lang w:val="en-US" w:eastAsia="zh-CN" w:bidi="ar-SA"/>
    </w:rPr>
  </w:style>
  <w:style w:type="character" w:customStyle="1" w:styleId="321">
    <w:name w:val="dandyren_title1"/>
    <w:qFormat/>
    <w:uiPriority w:val="0"/>
    <w:rPr>
      <w:b/>
      <w:bCs/>
      <w:color w:val="FF6633"/>
      <w:sz w:val="18"/>
      <w:szCs w:val="18"/>
    </w:rPr>
  </w:style>
  <w:style w:type="character" w:customStyle="1" w:styleId="322">
    <w:name w:val="Char Char31"/>
    <w:qFormat/>
    <w:uiPriority w:val="6"/>
    <w:rPr>
      <w:rFonts w:ascii="Arial" w:hAnsi="Arial" w:eastAsia="黑体"/>
      <w:kern w:val="1"/>
      <w:sz w:val="24"/>
      <w:szCs w:val="24"/>
    </w:rPr>
  </w:style>
  <w:style w:type="character" w:customStyle="1" w:styleId="323">
    <w:name w:val="h Char1"/>
    <w:qFormat/>
    <w:uiPriority w:val="0"/>
    <w:rPr>
      <w:sz w:val="18"/>
      <w:szCs w:val="18"/>
    </w:rPr>
  </w:style>
  <w:style w:type="character" w:customStyle="1" w:styleId="324">
    <w:name w:val="solutionfonts"/>
    <w:qFormat/>
    <w:uiPriority w:val="0"/>
  </w:style>
  <w:style w:type="character" w:customStyle="1" w:styleId="325">
    <w:name w:val="标题 4 Char2"/>
    <w:link w:val="7"/>
    <w:qFormat/>
    <w:uiPriority w:val="9"/>
    <w:rPr>
      <w:rFonts w:ascii="Arial" w:hAnsi="Arial" w:eastAsia="黑体"/>
      <w:b/>
      <w:bCs/>
      <w:kern w:val="2"/>
      <w:sz w:val="28"/>
      <w:szCs w:val="28"/>
      <w:lang w:val="zh-CN"/>
    </w:rPr>
  </w:style>
  <w:style w:type="character" w:customStyle="1" w:styleId="326">
    <w:name w:val="首行缩进 Char"/>
    <w:qFormat/>
    <w:uiPriority w:val="0"/>
    <w:rPr>
      <w:rFonts w:ascii="宋体" w:eastAsia="宋体"/>
      <w:kern w:val="2"/>
      <w:sz w:val="24"/>
      <w:lang w:val="en-US" w:eastAsia="zh-CN" w:bidi="ar-SA"/>
    </w:rPr>
  </w:style>
  <w:style w:type="character" w:customStyle="1" w:styleId="327">
    <w:name w:val="Char Char52"/>
    <w:qFormat/>
    <w:uiPriority w:val="0"/>
    <w:rPr>
      <w:rFonts w:ascii="宋体" w:hAnsi="Courier New" w:eastAsia="宋体"/>
      <w:kern w:val="2"/>
      <w:sz w:val="21"/>
      <w:lang w:val="en-US" w:eastAsia="zh-CN"/>
    </w:rPr>
  </w:style>
  <w:style w:type="character" w:customStyle="1" w:styleId="328">
    <w:name w:val="正文文本 3 Char"/>
    <w:link w:val="22"/>
    <w:qFormat/>
    <w:uiPriority w:val="0"/>
    <w:rPr>
      <w:kern w:val="2"/>
      <w:sz w:val="21"/>
    </w:rPr>
  </w:style>
  <w:style w:type="character" w:customStyle="1" w:styleId="329">
    <w:name w:val="font31"/>
    <w:qFormat/>
    <w:uiPriority w:val="0"/>
    <w:rPr>
      <w:rFonts w:hint="eastAsia" w:ascii="仿宋" w:hAnsi="仿宋" w:eastAsia="仿宋" w:cs="仿宋"/>
      <w:color w:val="000000"/>
      <w:sz w:val="20"/>
      <w:szCs w:val="20"/>
      <w:u w:val="none"/>
    </w:rPr>
  </w:style>
  <w:style w:type="character" w:customStyle="1" w:styleId="330">
    <w:name w:val="正文说明 Char"/>
    <w:link w:val="331"/>
    <w:qFormat/>
    <w:uiPriority w:val="0"/>
    <w:rPr>
      <w:sz w:val="24"/>
      <w:szCs w:val="24"/>
    </w:rPr>
  </w:style>
  <w:style w:type="paragraph" w:customStyle="1" w:styleId="331">
    <w:name w:val="正文说明"/>
    <w:basedOn w:val="1"/>
    <w:link w:val="330"/>
    <w:qFormat/>
    <w:uiPriority w:val="0"/>
    <w:pPr>
      <w:adjustRightInd/>
      <w:spacing w:line="360" w:lineRule="auto"/>
    </w:pPr>
    <w:rPr>
      <w:kern w:val="0"/>
      <w:sz w:val="24"/>
    </w:rPr>
  </w:style>
  <w:style w:type="character" w:customStyle="1" w:styleId="332">
    <w:name w:val="脚注文本 Char1"/>
    <w:qFormat/>
    <w:uiPriority w:val="0"/>
    <w:rPr>
      <w:rFonts w:ascii="Times New Roman" w:hAnsi="Times New Roman" w:eastAsia="宋体" w:cs="Times New Roman"/>
      <w:sz w:val="18"/>
      <w:szCs w:val="18"/>
    </w:rPr>
  </w:style>
  <w:style w:type="character" w:customStyle="1" w:styleId="333">
    <w:name w:val="Char Char1211"/>
    <w:qFormat/>
    <w:uiPriority w:val="0"/>
    <w:rPr>
      <w:rFonts w:ascii="仿宋_GB2312" w:eastAsia="仿宋_GB2312"/>
      <w:b/>
      <w:bCs/>
      <w:kern w:val="2"/>
      <w:sz w:val="24"/>
      <w:szCs w:val="24"/>
      <w:lang w:val="zh-CN" w:eastAsia="zh-CN" w:bidi="ar-SA"/>
    </w:rPr>
  </w:style>
  <w:style w:type="character" w:customStyle="1" w:styleId="334">
    <w:name w:val="标题 Char"/>
    <w:qFormat/>
    <w:uiPriority w:val="0"/>
    <w:rPr>
      <w:rFonts w:eastAsia="宋体"/>
      <w:b/>
      <w:sz w:val="24"/>
      <w:lang w:val="en-GB" w:eastAsia="zh-CN" w:bidi="ar-SA"/>
    </w:rPr>
  </w:style>
  <w:style w:type="character" w:customStyle="1" w:styleId="335">
    <w:name w:val="Char Char35"/>
    <w:qFormat/>
    <w:uiPriority w:val="6"/>
    <w:rPr>
      <w:rFonts w:ascii="Arial" w:hAnsi="Arial" w:eastAsia="黑体"/>
      <w:b/>
      <w:kern w:val="1"/>
      <w:sz w:val="28"/>
      <w:szCs w:val="28"/>
      <w:lang w:val="zh-CN"/>
    </w:rPr>
  </w:style>
  <w:style w:type="character" w:customStyle="1" w:styleId="336">
    <w:name w:val="纯文本 Char Char Char"/>
    <w:qFormat/>
    <w:uiPriority w:val="0"/>
    <w:rPr>
      <w:rFonts w:ascii="宋体" w:hAnsi="Courier New" w:eastAsia="宋体"/>
      <w:kern w:val="2"/>
      <w:sz w:val="21"/>
      <w:lang w:val="en-US" w:eastAsia="zh-CN" w:bidi="ar-SA"/>
    </w:rPr>
  </w:style>
  <w:style w:type="character" w:customStyle="1" w:styleId="337">
    <w:name w:val="Table Text Char"/>
    <w:link w:val="338"/>
    <w:qFormat/>
    <w:uiPriority w:val="0"/>
    <w:rPr>
      <w:sz w:val="24"/>
      <w:szCs w:val="24"/>
    </w:rPr>
  </w:style>
  <w:style w:type="paragraph" w:customStyle="1" w:styleId="338">
    <w:name w:val="Table Text"/>
    <w:basedOn w:val="1"/>
    <w:link w:val="337"/>
    <w:qFormat/>
    <w:uiPriority w:val="0"/>
    <w:pPr>
      <w:widowControl/>
      <w:spacing w:before="60" w:after="60"/>
      <w:jc w:val="left"/>
    </w:pPr>
    <w:rPr>
      <w:kern w:val="0"/>
      <w:sz w:val="24"/>
    </w:rPr>
  </w:style>
  <w:style w:type="character" w:customStyle="1" w:styleId="339">
    <w:name w:val="正文1 Char1"/>
    <w:qFormat/>
    <w:uiPriority w:val="0"/>
    <w:rPr>
      <w:rFonts w:ascii="仿宋_GB2312" w:hAnsi="Courier New" w:eastAsia="仿宋_GB2312"/>
      <w:kern w:val="28"/>
      <w:sz w:val="24"/>
      <w:szCs w:val="24"/>
      <w:lang w:val="en-US" w:eastAsia="zh-CN"/>
    </w:rPr>
  </w:style>
  <w:style w:type="character" w:customStyle="1" w:styleId="340">
    <w:name w:val="页脚 Char1"/>
    <w:qFormat/>
    <w:uiPriority w:val="0"/>
    <w:rPr>
      <w:rFonts w:eastAsia="宋体"/>
      <w:kern w:val="2"/>
      <w:sz w:val="18"/>
      <w:szCs w:val="18"/>
      <w:lang w:val="en-US" w:eastAsia="zh-CN" w:bidi="ar-SA"/>
    </w:rPr>
  </w:style>
  <w:style w:type="character" w:customStyle="1" w:styleId="341">
    <w:name w:val="Bold"/>
    <w:qFormat/>
    <w:uiPriority w:val="0"/>
    <w:rPr>
      <w:rFonts w:ascii="Arial" w:hAnsi="Arial" w:eastAsia="黑体" w:cs="Times New Roman"/>
      <w:b/>
      <w:kern w:val="2"/>
      <w:sz w:val="32"/>
      <w:szCs w:val="32"/>
      <w:lang w:val="en-US" w:eastAsia="zh-CN" w:bidi="ar-SA"/>
    </w:rPr>
  </w:style>
  <w:style w:type="character" w:customStyle="1" w:styleId="342">
    <w:name w:val="批注文字 Char1"/>
    <w:link w:val="20"/>
    <w:qFormat/>
    <w:uiPriority w:val="99"/>
    <w:rPr>
      <w:kern w:val="2"/>
      <w:sz w:val="21"/>
      <w:szCs w:val="24"/>
    </w:rPr>
  </w:style>
  <w:style w:type="character" w:customStyle="1" w:styleId="343">
    <w:name w:val="签名 Char"/>
    <w:link w:val="43"/>
    <w:qFormat/>
    <w:uiPriority w:val="0"/>
    <w:rPr>
      <w:rFonts w:eastAsia="仿宋_GB2312"/>
      <w:sz w:val="24"/>
    </w:rPr>
  </w:style>
  <w:style w:type="character" w:customStyle="1" w:styleId="344">
    <w:name w:val="hui3"/>
    <w:qFormat/>
    <w:uiPriority w:val="0"/>
    <w:rPr>
      <w:color w:val="333333"/>
    </w:rPr>
  </w:style>
  <w:style w:type="character" w:customStyle="1" w:styleId="345">
    <w:name w:val="Char Char17"/>
    <w:qFormat/>
    <w:uiPriority w:val="6"/>
    <w:rPr>
      <w:rFonts w:eastAsia="仿宋_GB2312"/>
      <w:sz w:val="24"/>
    </w:rPr>
  </w:style>
  <w:style w:type="character" w:customStyle="1" w:styleId="346">
    <w:name w:val="标题 4 字符"/>
    <w:qFormat/>
    <w:uiPriority w:val="9"/>
    <w:rPr>
      <w:rFonts w:ascii="等线 Light" w:hAnsi="等线 Light" w:eastAsia="等线 Light" w:cs="Times New Roman"/>
      <w:b/>
      <w:bCs/>
      <w:snapToGrid w:val="0"/>
      <w:kern w:val="0"/>
      <w:sz w:val="28"/>
      <w:szCs w:val="28"/>
    </w:rPr>
  </w:style>
  <w:style w:type="character" w:customStyle="1" w:styleId="347">
    <w:name w:val="Char Char37"/>
    <w:qFormat/>
    <w:uiPriority w:val="6"/>
    <w:rPr>
      <w:b/>
      <w:kern w:val="1"/>
      <w:sz w:val="44"/>
      <w:szCs w:val="44"/>
    </w:rPr>
  </w:style>
  <w:style w:type="character" w:customStyle="1" w:styleId="348">
    <w:name w:val="列出段落 Char"/>
    <w:qFormat/>
    <w:uiPriority w:val="0"/>
    <w:rPr>
      <w:rFonts w:eastAsia="楷体_GB2312" w:cs="Lucida Sans"/>
      <w:kern w:val="2"/>
      <w:sz w:val="24"/>
      <w:szCs w:val="24"/>
      <w:lang w:val="en-US" w:eastAsia="zh-CN" w:bidi="ar-SA"/>
    </w:rPr>
  </w:style>
  <w:style w:type="character" w:customStyle="1" w:styleId="349">
    <w:name w:val="正文文本缩进 3 Char1"/>
    <w:semiHidden/>
    <w:qFormat/>
    <w:uiPriority w:val="99"/>
    <w:rPr>
      <w:rFonts w:ascii="Times New Roman" w:hAnsi="Times New Roman" w:eastAsia="宋体" w:cs="Times New Roman"/>
      <w:sz w:val="16"/>
      <w:szCs w:val="16"/>
    </w:rPr>
  </w:style>
  <w:style w:type="character" w:customStyle="1" w:styleId="350">
    <w:name w:val="公文正文 Char Char"/>
    <w:link w:val="351"/>
    <w:qFormat/>
    <w:uiPriority w:val="0"/>
    <w:rPr>
      <w:rFonts w:ascii="仿宋_GB2312" w:eastAsia="仿宋_GB2312"/>
      <w:kern w:val="2"/>
      <w:sz w:val="24"/>
      <w:szCs w:val="24"/>
    </w:rPr>
  </w:style>
  <w:style w:type="paragraph" w:customStyle="1" w:styleId="351">
    <w:name w:val="公文正文"/>
    <w:basedOn w:val="1"/>
    <w:link w:val="350"/>
    <w:qFormat/>
    <w:uiPriority w:val="0"/>
    <w:pPr>
      <w:adjustRightInd/>
      <w:spacing w:before="156" w:line="360" w:lineRule="auto"/>
      <w:ind w:firstLine="360" w:firstLineChars="200"/>
    </w:pPr>
    <w:rPr>
      <w:rFonts w:ascii="仿宋_GB2312" w:eastAsia="仿宋_GB2312"/>
      <w:sz w:val="24"/>
    </w:rPr>
  </w:style>
  <w:style w:type="character" w:customStyle="1" w:styleId="352">
    <w:name w:val="Table Text Char1"/>
    <w:qFormat/>
    <w:uiPriority w:val="0"/>
    <w:rPr>
      <w:rFonts w:eastAsia="宋体"/>
      <w:sz w:val="24"/>
      <w:szCs w:val="24"/>
      <w:lang w:val="en-US" w:eastAsia="zh-CN" w:bidi="ar-SA"/>
    </w:rPr>
  </w:style>
  <w:style w:type="character" w:customStyle="1" w:styleId="353">
    <w:name w:val="标题 1 Char Char"/>
    <w:qFormat/>
    <w:uiPriority w:val="0"/>
    <w:rPr>
      <w:rFonts w:hint="eastAsia" w:ascii="宋体" w:hAnsi="宋体" w:eastAsia="宋体"/>
      <w:b/>
      <w:spacing w:val="-2"/>
      <w:sz w:val="24"/>
      <w:lang w:val="en-US" w:eastAsia="zh-CN" w:bidi="ar-SA"/>
    </w:rPr>
  </w:style>
  <w:style w:type="character" w:customStyle="1" w:styleId="354">
    <w:name w:val="正文（缩进2汉字） Char"/>
    <w:link w:val="355"/>
    <w:qFormat/>
    <w:uiPriority w:val="0"/>
    <w:rPr>
      <w:rFonts w:ascii="宋体"/>
    </w:rPr>
  </w:style>
  <w:style w:type="paragraph" w:customStyle="1" w:styleId="355">
    <w:name w:val="正文（缩进2汉字）"/>
    <w:basedOn w:val="1"/>
    <w:link w:val="354"/>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6">
    <w:name w:val="标题 8 Char"/>
    <w:link w:val="11"/>
    <w:qFormat/>
    <w:uiPriority w:val="0"/>
    <w:rPr>
      <w:rFonts w:ascii="Arial" w:hAnsi="Arial" w:eastAsia="黑体"/>
      <w:kern w:val="2"/>
      <w:sz w:val="24"/>
      <w:szCs w:val="24"/>
    </w:rPr>
  </w:style>
  <w:style w:type="character" w:customStyle="1" w:styleId="357">
    <w:name w:val="标书表格字体格式 Char"/>
    <w:qFormat/>
    <w:uiPriority w:val="0"/>
    <w:rPr>
      <w:kern w:val="2"/>
      <w:sz w:val="21"/>
      <w:szCs w:val="24"/>
      <w:lang w:bidi="ar-SA"/>
    </w:rPr>
  </w:style>
  <w:style w:type="character" w:customStyle="1" w:styleId="358">
    <w:name w:val="tw4winError"/>
    <w:qFormat/>
    <w:uiPriority w:val="0"/>
    <w:rPr>
      <w:rFonts w:ascii="Courier New" w:hAnsi="Courier New" w:cs="Courier New"/>
      <w:color w:val="00FF00"/>
      <w:sz w:val="40"/>
      <w:szCs w:val="40"/>
    </w:rPr>
  </w:style>
  <w:style w:type="character" w:customStyle="1" w:styleId="359">
    <w:name w:val="Body Text(ch) Char Char"/>
    <w:qFormat/>
    <w:uiPriority w:val="0"/>
    <w:rPr>
      <w:rFonts w:ascii="宋体"/>
      <w:kern w:val="2"/>
      <w:sz w:val="24"/>
      <w:szCs w:val="21"/>
      <w:lang w:val="zh-CN"/>
    </w:rPr>
  </w:style>
  <w:style w:type="character" w:customStyle="1" w:styleId="360">
    <w:name w:val="正文首行缩进两字 Char"/>
    <w:qFormat/>
    <w:uiPriority w:val="0"/>
    <w:rPr>
      <w:sz w:val="24"/>
      <w:szCs w:val="24"/>
      <w:lang w:val="en-US" w:eastAsia="zh-CN" w:bidi="ar-SA"/>
    </w:rPr>
  </w:style>
  <w:style w:type="character" w:customStyle="1" w:styleId="361">
    <w:name w:val="正文文本 Char"/>
    <w:qFormat/>
    <w:uiPriority w:val="0"/>
    <w:rPr>
      <w:rFonts w:eastAsia="宋体"/>
      <w:kern w:val="2"/>
      <w:sz w:val="24"/>
      <w:szCs w:val="24"/>
      <w:lang w:val="en-US" w:eastAsia="zh-CN" w:bidi="ar-SA"/>
    </w:rPr>
  </w:style>
  <w:style w:type="character" w:customStyle="1" w:styleId="362">
    <w:name w:val="文档结构图 字符1"/>
    <w:qFormat/>
    <w:uiPriority w:val="0"/>
    <w:rPr>
      <w:rFonts w:ascii="宋体" w:hAnsi="Calibri" w:eastAsia="黑体" w:cs="Arial"/>
      <w:snapToGrid w:val="0"/>
      <w:kern w:val="2"/>
      <w:sz w:val="18"/>
      <w:szCs w:val="18"/>
    </w:rPr>
  </w:style>
  <w:style w:type="character" w:customStyle="1" w:styleId="363">
    <w:name w:val="content"/>
    <w:qFormat/>
    <w:uiPriority w:val="0"/>
  </w:style>
  <w:style w:type="character" w:customStyle="1" w:styleId="364">
    <w:name w:val="tw4winPopup"/>
    <w:qFormat/>
    <w:uiPriority w:val="0"/>
    <w:rPr>
      <w:rFonts w:ascii="Courier New" w:hAnsi="Courier New" w:cs="Courier New"/>
      <w:color w:val="008000"/>
      <w:lang w:val="en-US" w:eastAsia="zh-CN"/>
    </w:rPr>
  </w:style>
  <w:style w:type="character" w:customStyle="1" w:styleId="365">
    <w:name w:val="param-name"/>
    <w:qFormat/>
    <w:uiPriority w:val="99"/>
    <w:rPr>
      <w:rFonts w:ascii="Arial" w:hAnsi="Arial" w:eastAsia="黑体" w:cs="Arial"/>
      <w:snapToGrid w:val="0"/>
      <w:kern w:val="0"/>
      <w:szCs w:val="21"/>
    </w:rPr>
  </w:style>
  <w:style w:type="character" w:customStyle="1" w:styleId="366">
    <w:name w:val="标准正文格式 Char"/>
    <w:qFormat/>
    <w:uiPriority w:val="0"/>
    <w:rPr>
      <w:rFonts w:ascii="宋体" w:eastAsia="仿宋_GB2312" w:cs="宋体"/>
      <w:color w:val="000000"/>
      <w:sz w:val="24"/>
      <w:lang w:val="en-US" w:eastAsia="zh-CN" w:bidi="ar-SA"/>
    </w:rPr>
  </w:style>
  <w:style w:type="character" w:customStyle="1" w:styleId="367">
    <w:name w:val="Char Char212"/>
    <w:qFormat/>
    <w:uiPriority w:val="0"/>
    <w:rPr>
      <w:rFonts w:eastAsia="宋体"/>
      <w:b/>
      <w:bCs/>
      <w:kern w:val="2"/>
      <w:sz w:val="21"/>
      <w:szCs w:val="24"/>
      <w:lang w:val="en-US" w:eastAsia="zh-CN" w:bidi="ar-SA"/>
    </w:rPr>
  </w:style>
  <w:style w:type="character" w:customStyle="1" w:styleId="368">
    <w:name w:val="文档结构图 Char"/>
    <w:qFormat/>
    <w:uiPriority w:val="0"/>
    <w:rPr>
      <w:rFonts w:eastAsia="宋体"/>
      <w:kern w:val="2"/>
      <w:sz w:val="21"/>
      <w:szCs w:val="24"/>
      <w:lang w:val="en-US" w:eastAsia="zh-CN" w:bidi="ar-SA"/>
    </w:rPr>
  </w:style>
  <w:style w:type="character" w:customStyle="1" w:styleId="369">
    <w:name w:val="zbggmain style9"/>
    <w:qFormat/>
    <w:uiPriority w:val="0"/>
  </w:style>
  <w:style w:type="character" w:customStyle="1" w:styleId="370">
    <w:name w:val="Char Char16"/>
    <w:qFormat/>
    <w:uiPriority w:val="6"/>
    <w:rPr>
      <w:kern w:val="1"/>
      <w:sz w:val="18"/>
      <w:szCs w:val="18"/>
    </w:rPr>
  </w:style>
  <w:style w:type="character" w:customStyle="1" w:styleId="371">
    <w:name w:val="font51"/>
    <w:qFormat/>
    <w:uiPriority w:val="0"/>
    <w:rPr>
      <w:rFonts w:hint="eastAsia" w:ascii="仿宋" w:hAnsi="仿宋" w:eastAsia="仿宋" w:cs="仿宋"/>
      <w:color w:val="000000"/>
      <w:sz w:val="20"/>
      <w:szCs w:val="20"/>
      <w:u w:val="none"/>
    </w:rPr>
  </w:style>
  <w:style w:type="character" w:customStyle="1" w:styleId="372">
    <w:name w:val="Char Char82"/>
    <w:qFormat/>
    <w:uiPriority w:val="0"/>
    <w:rPr>
      <w:rFonts w:eastAsia="宋体"/>
      <w:b/>
      <w:sz w:val="24"/>
      <w:lang w:val="en-GB" w:eastAsia="zh-CN"/>
    </w:rPr>
  </w:style>
  <w:style w:type="character" w:customStyle="1" w:styleId="373">
    <w:name w:val="正文文本缩进 3 Char"/>
    <w:link w:val="53"/>
    <w:qFormat/>
    <w:uiPriority w:val="0"/>
    <w:rPr>
      <w:kern w:val="2"/>
      <w:sz w:val="24"/>
    </w:rPr>
  </w:style>
  <w:style w:type="character" w:customStyle="1" w:styleId="374">
    <w:name w:val="日期 Char1"/>
    <w:semiHidden/>
    <w:qFormat/>
    <w:uiPriority w:val="99"/>
    <w:rPr>
      <w:rFonts w:ascii="Times New Roman" w:hAnsi="Times New Roman" w:eastAsia="宋体" w:cs="Times New Roman"/>
      <w:szCs w:val="24"/>
    </w:rPr>
  </w:style>
  <w:style w:type="character" w:customStyle="1" w:styleId="375">
    <w:name w:val="页眉 字符"/>
    <w:qFormat/>
    <w:uiPriority w:val="99"/>
    <w:rPr>
      <w:kern w:val="2"/>
      <w:sz w:val="18"/>
      <w:szCs w:val="18"/>
    </w:rPr>
  </w:style>
  <w:style w:type="character" w:customStyle="1" w:styleId="376">
    <w:name w:val="Char Char33"/>
    <w:qFormat/>
    <w:uiPriority w:val="6"/>
    <w:rPr>
      <w:rFonts w:ascii="Arial" w:hAnsi="Arial" w:eastAsia="黑体"/>
      <w:b/>
      <w:kern w:val="1"/>
      <w:sz w:val="24"/>
      <w:szCs w:val="24"/>
    </w:rPr>
  </w:style>
  <w:style w:type="character" w:customStyle="1" w:styleId="377">
    <w:name w:val="b11_01b Char"/>
    <w:link w:val="378"/>
    <w:qFormat/>
    <w:uiPriority w:val="0"/>
    <w:rPr>
      <w:rFonts w:ascii="Verdana" w:hAnsi="Verdana"/>
      <w:b/>
      <w:bCs/>
      <w:color w:val="4A82CA"/>
      <w:sz w:val="17"/>
      <w:szCs w:val="17"/>
    </w:rPr>
  </w:style>
  <w:style w:type="paragraph" w:customStyle="1" w:styleId="378">
    <w:name w:val="b11_01b"/>
    <w:basedOn w:val="1"/>
    <w:next w:val="1"/>
    <w:link w:val="377"/>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79">
    <w:name w:val="Char Char121"/>
    <w:qFormat/>
    <w:uiPriority w:val="6"/>
    <w:rPr>
      <w:rFonts w:ascii="仿宋_GB2312" w:eastAsia="仿宋_GB2312"/>
      <w:b/>
      <w:bCs/>
      <w:kern w:val="2"/>
      <w:sz w:val="24"/>
      <w:szCs w:val="24"/>
      <w:lang w:val="zh-CN" w:eastAsia="zh-CN" w:bidi="ar-SA"/>
    </w:rPr>
  </w:style>
  <w:style w:type="character" w:customStyle="1" w:styleId="380">
    <w:name w:val="Footer-Even Char"/>
    <w:qFormat/>
    <w:uiPriority w:val="0"/>
    <w:rPr>
      <w:rFonts w:eastAsia="宋体"/>
      <w:kern w:val="2"/>
      <w:sz w:val="18"/>
      <w:lang w:val="en-US" w:eastAsia="zh-CN" w:bidi="ar-SA"/>
    </w:rPr>
  </w:style>
  <w:style w:type="character" w:customStyle="1" w:styleId="381">
    <w:name w:val="页脚 Char2"/>
    <w:link w:val="41"/>
    <w:qFormat/>
    <w:locked/>
    <w:uiPriority w:val="99"/>
    <w:rPr>
      <w:kern w:val="2"/>
      <w:sz w:val="18"/>
      <w:szCs w:val="18"/>
    </w:rPr>
  </w:style>
  <w:style w:type="character" w:customStyle="1" w:styleId="382">
    <w:name w:val="Char Char36"/>
    <w:qFormat/>
    <w:uiPriority w:val="6"/>
    <w:rPr>
      <w:rFonts w:ascii="仿宋_GB2312" w:hAnsi="仿宋_GB2312" w:eastAsia="仿宋_GB2312" w:cs="Arial"/>
      <w:b/>
      <w:kern w:val="1"/>
      <w:sz w:val="32"/>
      <w:szCs w:val="32"/>
      <w:lang w:val="zh-CN" w:eastAsia="zh-CN" w:bidi="ar-SA"/>
    </w:rPr>
  </w:style>
  <w:style w:type="character" w:customStyle="1" w:styleId="383">
    <w:name w:val="Char Char61"/>
    <w:qFormat/>
    <w:uiPriority w:val="6"/>
    <w:rPr>
      <w:rFonts w:eastAsia="宋体"/>
      <w:kern w:val="2"/>
      <w:sz w:val="21"/>
      <w:szCs w:val="24"/>
      <w:lang w:val="en-US" w:eastAsia="zh-CN" w:bidi="ar-SA"/>
    </w:rPr>
  </w:style>
  <w:style w:type="character" w:customStyle="1" w:styleId="384">
    <w:name w:val="正文文字缩进 2 Char Char"/>
    <w:qFormat/>
    <w:uiPriority w:val="0"/>
    <w:rPr>
      <w:rFonts w:ascii="宋体"/>
      <w:sz w:val="28"/>
    </w:rPr>
  </w:style>
  <w:style w:type="character" w:customStyle="1" w:styleId="385">
    <w:name w:val="f141"/>
    <w:qFormat/>
    <w:uiPriority w:val="0"/>
    <w:rPr>
      <w:rFonts w:ascii="Tahoma" w:hAnsi="Tahoma" w:eastAsia="宋体"/>
      <w:b/>
      <w:kern w:val="2"/>
      <w:sz w:val="21"/>
      <w:szCs w:val="21"/>
      <w:lang w:val="en-US" w:eastAsia="zh-CN" w:bidi="ar-SA"/>
    </w:rPr>
  </w:style>
  <w:style w:type="character" w:customStyle="1" w:styleId="386">
    <w:name w:val="段落 Char Char"/>
    <w:link w:val="387"/>
    <w:qFormat/>
    <w:uiPriority w:val="0"/>
    <w:rPr>
      <w:rFonts w:ascii="宋体" w:hAnsi="宋体"/>
      <w:sz w:val="24"/>
    </w:rPr>
  </w:style>
  <w:style w:type="paragraph" w:customStyle="1" w:styleId="387">
    <w:name w:val="段落"/>
    <w:basedOn w:val="1"/>
    <w:link w:val="386"/>
    <w:qFormat/>
    <w:uiPriority w:val="0"/>
    <w:pPr>
      <w:adjustRightInd/>
      <w:spacing w:line="360" w:lineRule="auto"/>
      <w:ind w:firstLine="480" w:firstLineChars="200"/>
    </w:pPr>
    <w:rPr>
      <w:rFonts w:ascii="宋体" w:hAnsi="宋体"/>
      <w:kern w:val="0"/>
      <w:sz w:val="24"/>
      <w:szCs w:val="20"/>
    </w:rPr>
  </w:style>
  <w:style w:type="character" w:customStyle="1" w:styleId="388">
    <w:name w:val="标题 3 Char2"/>
    <w:qFormat/>
    <w:uiPriority w:val="0"/>
    <w:rPr>
      <w:rFonts w:eastAsia="宋体"/>
      <w:b/>
      <w:bCs/>
      <w:kern w:val="2"/>
      <w:sz w:val="32"/>
      <w:szCs w:val="32"/>
      <w:lang w:val="en-US" w:eastAsia="zh-CN" w:bidi="ar-SA"/>
    </w:rPr>
  </w:style>
  <w:style w:type="character" w:customStyle="1" w:styleId="389">
    <w:name w:val="apple-converted-space"/>
    <w:qFormat/>
    <w:uiPriority w:val="0"/>
  </w:style>
  <w:style w:type="character" w:customStyle="1" w:styleId="390">
    <w:name w:val="页眉 Char2"/>
    <w:link w:val="42"/>
    <w:qFormat/>
    <w:uiPriority w:val="99"/>
    <w:rPr>
      <w:kern w:val="2"/>
      <w:sz w:val="18"/>
      <w:szCs w:val="18"/>
    </w:rPr>
  </w:style>
  <w:style w:type="character" w:customStyle="1" w:styleId="391">
    <w:name w:val="Char Char9"/>
    <w:qFormat/>
    <w:uiPriority w:val="0"/>
    <w:rPr>
      <w:rFonts w:eastAsia="宋体"/>
      <w:kern w:val="2"/>
      <w:sz w:val="18"/>
      <w:szCs w:val="18"/>
      <w:lang w:val="en-US" w:eastAsia="zh-CN" w:bidi="ar-SA"/>
    </w:rPr>
  </w:style>
  <w:style w:type="character" w:customStyle="1" w:styleId="392">
    <w:name w:val="Char Char41"/>
    <w:qFormat/>
    <w:uiPriority w:val="0"/>
    <w:rPr>
      <w:rFonts w:eastAsia="宋体"/>
      <w:b/>
      <w:sz w:val="24"/>
      <w:lang w:val="en-GB" w:eastAsia="zh-CN" w:bidi="ar-SA"/>
    </w:rPr>
  </w:style>
  <w:style w:type="character" w:customStyle="1" w:styleId="393">
    <w:name w:val="large1"/>
    <w:qFormat/>
    <w:uiPriority w:val="0"/>
    <w:rPr>
      <w:rFonts w:hint="eastAsia" w:ascii="宋体" w:hAnsi="宋体" w:eastAsia="宋体"/>
      <w:sz w:val="21"/>
      <w:szCs w:val="21"/>
    </w:rPr>
  </w:style>
  <w:style w:type="character" w:customStyle="1" w:styleId="394">
    <w:name w:val="正文段 Char"/>
    <w:link w:val="395"/>
    <w:qFormat/>
    <w:uiPriority w:val="0"/>
    <w:rPr>
      <w:sz w:val="24"/>
    </w:rPr>
  </w:style>
  <w:style w:type="paragraph" w:customStyle="1" w:styleId="395">
    <w:name w:val="正文段"/>
    <w:basedOn w:val="1"/>
    <w:link w:val="394"/>
    <w:qFormat/>
    <w:uiPriority w:val="0"/>
    <w:pPr>
      <w:widowControl/>
      <w:snapToGrid w:val="0"/>
      <w:spacing w:after="156" w:afterLines="50"/>
      <w:ind w:firstLine="200" w:firstLineChars="200"/>
    </w:pPr>
    <w:rPr>
      <w:kern w:val="0"/>
      <w:sz w:val="24"/>
      <w:szCs w:val="20"/>
    </w:rPr>
  </w:style>
  <w:style w:type="character" w:customStyle="1" w:styleId="396">
    <w:name w:val="Char Char13"/>
    <w:qFormat/>
    <w:uiPriority w:val="6"/>
    <w:rPr>
      <w:rFonts w:ascii="宋体" w:hAnsi="宋体"/>
      <w:kern w:val="1"/>
      <w:sz w:val="21"/>
      <w:szCs w:val="24"/>
    </w:rPr>
  </w:style>
  <w:style w:type="character" w:customStyle="1" w:styleId="397">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398">
    <w:name w:val="冯广丽 Char"/>
    <w:link w:val="399"/>
    <w:qFormat/>
    <w:uiPriority w:val="0"/>
    <w:rPr>
      <w:rFonts w:ascii="宋体" w:hAnsi="宋体"/>
      <w:kern w:val="2"/>
      <w:sz w:val="24"/>
      <w:szCs w:val="22"/>
    </w:rPr>
  </w:style>
  <w:style w:type="paragraph" w:customStyle="1" w:styleId="399">
    <w:name w:val="冯广丽"/>
    <w:basedOn w:val="1"/>
    <w:link w:val="398"/>
    <w:qFormat/>
    <w:uiPriority w:val="0"/>
    <w:pPr>
      <w:adjustRightInd/>
      <w:spacing w:line="360" w:lineRule="auto"/>
      <w:ind w:firstLine="480" w:firstLineChars="200"/>
    </w:pPr>
    <w:rPr>
      <w:rFonts w:ascii="宋体" w:hAnsi="宋体"/>
      <w:sz w:val="24"/>
      <w:szCs w:val="22"/>
    </w:rPr>
  </w:style>
  <w:style w:type="character" w:customStyle="1" w:styleId="400">
    <w:name w:val="批注文字 字符"/>
    <w:qFormat/>
    <w:uiPriority w:val="0"/>
    <w:rPr>
      <w:rFonts w:ascii="Arial" w:hAnsi="Arial" w:eastAsia="黑体" w:cs="Arial"/>
      <w:snapToGrid w:val="0"/>
      <w:kern w:val="0"/>
      <w:szCs w:val="21"/>
    </w:rPr>
  </w:style>
  <w:style w:type="character" w:customStyle="1" w:styleId="401">
    <w:name w:val="Char Char161"/>
    <w:qFormat/>
    <w:uiPriority w:val="0"/>
    <w:rPr>
      <w:rFonts w:eastAsia="宋体"/>
      <w:b/>
      <w:kern w:val="2"/>
      <w:sz w:val="32"/>
      <w:lang w:val="en-US" w:eastAsia="zh-CN"/>
    </w:rPr>
  </w:style>
  <w:style w:type="character" w:customStyle="1" w:styleId="402">
    <w:name w:val="javascript"/>
    <w:qFormat/>
    <w:uiPriority w:val="0"/>
  </w:style>
  <w:style w:type="character" w:customStyle="1" w:styleId="403">
    <w:name w:val="图名 Char"/>
    <w:qFormat/>
    <w:uiPriority w:val="0"/>
    <w:rPr>
      <w:rFonts w:ascii="Arial" w:hAnsi="Arial" w:eastAsia="黑体"/>
      <w:kern w:val="2"/>
      <w:sz w:val="24"/>
      <w:szCs w:val="24"/>
      <w:lang w:val="en-US" w:eastAsia="zh-CN" w:bidi="ar-SA"/>
    </w:rPr>
  </w:style>
  <w:style w:type="character" w:customStyle="1" w:styleId="404">
    <w:name w:val="Used by Word for text of Help footnotes Char Char"/>
    <w:qFormat/>
    <w:uiPriority w:val="0"/>
    <w:rPr>
      <w:rFonts w:ascii="Times New Roman" w:hAnsi="Times New Roman" w:eastAsia="宋体" w:cs="Times New Roman"/>
      <w:sz w:val="20"/>
      <w:szCs w:val="20"/>
    </w:rPr>
  </w:style>
  <w:style w:type="character" w:customStyle="1" w:styleId="405">
    <w:name w:val="编号，小四 Char"/>
    <w:link w:val="406"/>
    <w:qFormat/>
    <w:uiPriority w:val="0"/>
    <w:rPr>
      <w:rFonts w:ascii="Arial" w:hAnsi="Arial"/>
      <w:sz w:val="24"/>
    </w:rPr>
  </w:style>
  <w:style w:type="paragraph" w:customStyle="1" w:styleId="406">
    <w:name w:val="编号，小四"/>
    <w:basedOn w:val="1"/>
    <w:link w:val="405"/>
    <w:qFormat/>
    <w:uiPriority w:val="0"/>
    <w:pPr>
      <w:tabs>
        <w:tab w:val="left" w:pos="432"/>
      </w:tabs>
      <w:adjustRightInd/>
      <w:spacing w:line="360" w:lineRule="auto"/>
      <w:ind w:left="432" w:hanging="432"/>
    </w:pPr>
    <w:rPr>
      <w:rFonts w:ascii="Arial" w:hAnsi="Arial"/>
      <w:kern w:val="0"/>
      <w:sz w:val="24"/>
      <w:szCs w:val="20"/>
    </w:rPr>
  </w:style>
  <w:style w:type="character" w:customStyle="1" w:styleId="407">
    <w:name w:val="Font Style82"/>
    <w:qFormat/>
    <w:uiPriority w:val="99"/>
    <w:rPr>
      <w:rFonts w:ascii="宋体" w:eastAsia="宋体" w:cs="宋体"/>
      <w:color w:val="000000"/>
      <w:sz w:val="14"/>
      <w:szCs w:val="14"/>
    </w:rPr>
  </w:style>
  <w:style w:type="character" w:customStyle="1" w:styleId="408">
    <w:name w:val="标题 2 Char Char"/>
    <w:qFormat/>
    <w:uiPriority w:val="0"/>
    <w:rPr>
      <w:rFonts w:ascii="楷体_GB2312" w:hAnsi="Arial" w:eastAsia="楷体_GB2312"/>
      <w:b/>
      <w:bCs/>
      <w:kern w:val="2"/>
      <w:sz w:val="24"/>
      <w:szCs w:val="32"/>
      <w:lang w:val="en-US" w:eastAsia="zh-CN" w:bidi="ar-SA"/>
    </w:rPr>
  </w:style>
  <w:style w:type="character" w:customStyle="1" w:styleId="409">
    <w:name w:val="未用 Char"/>
    <w:qFormat/>
    <w:uiPriority w:val="0"/>
    <w:rPr>
      <w:rFonts w:ascii="Arial" w:hAnsi="Arial" w:eastAsia="黑体"/>
      <w:kern w:val="2"/>
      <w:sz w:val="21"/>
      <w:szCs w:val="21"/>
      <w:lang w:val="en-US" w:eastAsia="zh-CN" w:bidi="ar-SA"/>
    </w:rPr>
  </w:style>
  <w:style w:type="character" w:customStyle="1" w:styleId="410">
    <w:name w:val="myp1111"/>
    <w:qFormat/>
    <w:uiPriority w:val="0"/>
    <w:rPr>
      <w:rFonts w:hint="default" w:ascii="ˎ̥" w:hAnsi="ˎ̥"/>
      <w:color w:val="000000"/>
      <w:sz w:val="20"/>
      <w:szCs w:val="20"/>
      <w:u w:val="none"/>
    </w:rPr>
  </w:style>
  <w:style w:type="character" w:customStyle="1" w:styleId="411">
    <w:name w:val="样式 标题 4h4H4Fab-4T5Ref Heading 1rh1Heading sqlsect 1.2.3.... Char"/>
    <w:link w:val="303"/>
    <w:qFormat/>
    <w:uiPriority w:val="0"/>
    <w:rPr>
      <w:rFonts w:ascii="微软雅黑" w:hAnsi="微软雅黑" w:eastAsia="微软雅黑"/>
      <w:b/>
      <w:bCs/>
      <w:kern w:val="2"/>
      <w:sz w:val="24"/>
      <w:szCs w:val="28"/>
    </w:rPr>
  </w:style>
  <w:style w:type="character" w:customStyle="1" w:styleId="412">
    <w:name w:val="h Char Char"/>
    <w:qFormat/>
    <w:uiPriority w:val="0"/>
    <w:rPr>
      <w:rFonts w:eastAsia="宋体"/>
      <w:kern w:val="2"/>
      <w:sz w:val="18"/>
      <w:lang w:val="en-US" w:eastAsia="zh-CN" w:bidi="ar-SA"/>
    </w:rPr>
  </w:style>
  <w:style w:type="character" w:customStyle="1" w:styleId="413">
    <w:name w:val="仿宋正文 Char"/>
    <w:link w:val="414"/>
    <w:qFormat/>
    <w:uiPriority w:val="0"/>
    <w:rPr>
      <w:rFonts w:ascii="仿宋_GB2312" w:eastAsia="仿宋_GB2312"/>
      <w:kern w:val="2"/>
      <w:sz w:val="24"/>
      <w:lang w:val="en-US" w:eastAsia="zh-CN" w:bidi="ar-SA"/>
    </w:rPr>
  </w:style>
  <w:style w:type="paragraph" w:customStyle="1" w:styleId="414">
    <w:name w:val="仿宋正文"/>
    <w:basedOn w:val="1"/>
    <w:link w:val="413"/>
    <w:qFormat/>
    <w:uiPriority w:val="0"/>
    <w:pPr>
      <w:adjustRightInd/>
      <w:spacing w:line="360" w:lineRule="auto"/>
      <w:ind w:firstLine="480" w:firstLineChars="200"/>
    </w:pPr>
    <w:rPr>
      <w:rFonts w:ascii="仿宋_GB2312" w:eastAsia="仿宋_GB2312"/>
      <w:sz w:val="24"/>
      <w:szCs w:val="20"/>
    </w:rPr>
  </w:style>
  <w:style w:type="character" w:customStyle="1" w:styleId="415">
    <w:name w:val="正文首行缩进 Char Char Char Char Char Char"/>
    <w:qFormat/>
    <w:uiPriority w:val="0"/>
    <w:rPr>
      <w:rFonts w:ascii="宋体" w:eastAsia="宋体"/>
      <w:kern w:val="2"/>
      <w:sz w:val="24"/>
      <w:lang w:val="zh-CN" w:bidi="ar-SA"/>
    </w:rPr>
  </w:style>
  <w:style w:type="character" w:customStyle="1" w:styleId="416">
    <w:name w:val="样式 宋体"/>
    <w:qFormat/>
    <w:uiPriority w:val="0"/>
    <w:rPr>
      <w:rFonts w:ascii="宋体" w:hAnsi="宋体"/>
      <w:sz w:val="24"/>
    </w:rPr>
  </w:style>
  <w:style w:type="character" w:customStyle="1" w:styleId="417">
    <w:name w:val="tw4winJump"/>
    <w:qFormat/>
    <w:uiPriority w:val="0"/>
    <w:rPr>
      <w:rFonts w:ascii="Courier New" w:hAnsi="Courier New" w:cs="Courier New"/>
      <w:color w:val="008080"/>
      <w:lang w:val="en-US" w:eastAsia="zh-CN"/>
    </w:rPr>
  </w:style>
  <w:style w:type="character" w:customStyle="1" w:styleId="418">
    <w:name w:val="标题 1 字符"/>
    <w:qFormat/>
    <w:uiPriority w:val="9"/>
    <w:rPr>
      <w:rFonts w:ascii="Arial" w:hAnsi="Arial" w:eastAsia="黑体" w:cs="Arial"/>
      <w:b/>
      <w:bCs/>
      <w:snapToGrid w:val="0"/>
      <w:kern w:val="44"/>
      <w:sz w:val="44"/>
      <w:szCs w:val="44"/>
    </w:rPr>
  </w:style>
  <w:style w:type="character" w:customStyle="1" w:styleId="419">
    <w:name w:val="style36"/>
    <w:basedOn w:val="69"/>
    <w:qFormat/>
    <w:uiPriority w:val="0"/>
    <w:rPr>
      <w:rFonts w:ascii="Arial" w:hAnsi="Arial" w:eastAsia="黑体" w:cs="Arial"/>
      <w:snapToGrid w:val="0"/>
      <w:kern w:val="0"/>
      <w:szCs w:val="21"/>
    </w:rPr>
  </w:style>
  <w:style w:type="character" w:customStyle="1" w:styleId="420">
    <w:name w:val="pt9"/>
    <w:qFormat/>
    <w:uiPriority w:val="0"/>
    <w:rPr>
      <w:rFonts w:ascii="仿宋_GB2312" w:eastAsia="微软雅黑"/>
      <w:b/>
      <w:kern w:val="2"/>
      <w:sz w:val="32"/>
      <w:szCs w:val="32"/>
      <w:lang w:val="en-US" w:eastAsia="zh-CN" w:bidi="ar-SA"/>
    </w:rPr>
  </w:style>
  <w:style w:type="character" w:customStyle="1" w:styleId="421">
    <w:name w:val="DO_NOT_TRANSLATE"/>
    <w:qFormat/>
    <w:uiPriority w:val="0"/>
    <w:rPr>
      <w:rFonts w:ascii="Courier New" w:hAnsi="Courier New" w:cs="Courier New"/>
      <w:color w:val="800000"/>
      <w:lang w:val="en-US" w:eastAsia="zh-CN"/>
    </w:rPr>
  </w:style>
  <w:style w:type="character" w:customStyle="1" w:styleId="422">
    <w:name w:val="标书1 Char1"/>
    <w:qFormat/>
    <w:uiPriority w:val="0"/>
    <w:rPr>
      <w:rFonts w:eastAsia="宋体"/>
      <w:b/>
      <w:bCs/>
      <w:kern w:val="44"/>
      <w:sz w:val="44"/>
      <w:szCs w:val="44"/>
      <w:lang w:val="en-US" w:eastAsia="zh-CN" w:bidi="ar-SA"/>
    </w:rPr>
  </w:style>
  <w:style w:type="character" w:customStyle="1" w:styleId="423">
    <w:name w:val="页脚 字符"/>
    <w:qFormat/>
    <w:uiPriority w:val="99"/>
    <w:rPr>
      <w:kern w:val="2"/>
      <w:sz w:val="18"/>
      <w:szCs w:val="18"/>
    </w:rPr>
  </w:style>
  <w:style w:type="character" w:customStyle="1" w:styleId="424">
    <w:name w:val="正文2 Char"/>
    <w:qFormat/>
    <w:uiPriority w:val="0"/>
    <w:rPr>
      <w:rFonts w:eastAsia="宋体"/>
      <w:kern w:val="2"/>
      <w:sz w:val="24"/>
      <w:lang w:val="en-US" w:eastAsia="zh-CN" w:bidi="ar-SA"/>
    </w:rPr>
  </w:style>
  <w:style w:type="character" w:customStyle="1" w:styleId="425">
    <w:name w:val="Char Char21"/>
    <w:qFormat/>
    <w:uiPriority w:val="6"/>
    <w:rPr>
      <w:rFonts w:ascii="宋体" w:hAnsi="宋体"/>
      <w:kern w:val="1"/>
      <w:sz w:val="24"/>
      <w:szCs w:val="21"/>
      <w:lang w:val="zh-CN"/>
    </w:rPr>
  </w:style>
  <w:style w:type="character" w:customStyle="1" w:styleId="426">
    <w:name w:val="样式 正文缩进 + 首行缩进:  2 字符 Char Char"/>
    <w:link w:val="427"/>
    <w:qFormat/>
    <w:uiPriority w:val="0"/>
    <w:rPr>
      <w:rFonts w:cs="宋体"/>
      <w:kern w:val="2"/>
      <w:sz w:val="24"/>
    </w:rPr>
  </w:style>
  <w:style w:type="paragraph" w:customStyle="1" w:styleId="427">
    <w:name w:val="样式 正文缩进 + 首行缩进:  2 字符"/>
    <w:basedOn w:val="6"/>
    <w:link w:val="426"/>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8">
    <w:name w:val="正文文本 Char1"/>
    <w:link w:val="24"/>
    <w:qFormat/>
    <w:uiPriority w:val="0"/>
    <w:rPr>
      <w:rFonts w:ascii="宋体" w:hAnsi="Arial" w:eastAsia="宋体" w:cs="Arial"/>
      <w:snapToGrid w:val="0"/>
      <w:kern w:val="2"/>
      <w:sz w:val="24"/>
      <w:szCs w:val="21"/>
      <w:lang w:val="zh-CN" w:eastAsia="zh-CN" w:bidi="ar-SA"/>
    </w:rPr>
  </w:style>
  <w:style w:type="character" w:customStyle="1" w:styleId="429">
    <w:name w:val="gray6"/>
    <w:basedOn w:val="69"/>
    <w:qFormat/>
    <w:uiPriority w:val="0"/>
    <w:rPr>
      <w:rFonts w:ascii="Arial" w:hAnsi="Arial" w:eastAsia="黑体" w:cs="Arial"/>
      <w:snapToGrid w:val="0"/>
      <w:kern w:val="0"/>
      <w:szCs w:val="21"/>
    </w:rPr>
  </w:style>
  <w:style w:type="character" w:customStyle="1" w:styleId="430">
    <w:name w:val="hui"/>
    <w:basedOn w:val="69"/>
    <w:qFormat/>
    <w:uiPriority w:val="0"/>
    <w:rPr>
      <w:rFonts w:ascii="Arial" w:hAnsi="Arial" w:eastAsia="黑体" w:cs="Arial"/>
      <w:snapToGrid w:val="0"/>
      <w:kern w:val="0"/>
      <w:szCs w:val="21"/>
    </w:rPr>
  </w:style>
  <w:style w:type="character" w:customStyle="1" w:styleId="431">
    <w:name w:val="哈哈正文 Char Char"/>
    <w:qFormat/>
    <w:uiPriority w:val="0"/>
    <w:rPr>
      <w:rFonts w:ascii="宋体" w:hAnsi="宋体" w:eastAsia="宋体" w:cs="宋体"/>
      <w:kern w:val="2"/>
      <w:sz w:val="24"/>
      <w:lang w:val="en-US" w:eastAsia="zh-CN" w:bidi="ar-SA"/>
    </w:rPr>
  </w:style>
  <w:style w:type="paragraph" w:customStyle="1" w:styleId="432">
    <w:name w:val="样式 正文文本缩进 + 左侧:  2 字符 首行缩进:  2 字符"/>
    <w:basedOn w:val="26"/>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3">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4">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5">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6">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7">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8">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39">
    <w:name w:val="标题4_自定义"/>
    <w:basedOn w:val="7"/>
    <w:qFormat/>
    <w:uiPriority w:val="0"/>
    <w:pPr>
      <w:adjustRightInd/>
      <w:spacing w:before="0" w:after="0" w:line="360" w:lineRule="auto"/>
    </w:pPr>
    <w:rPr>
      <w:rFonts w:ascii="Verdana" w:eastAsia="Verdana"/>
      <w:sz w:val="21"/>
      <w:lang w:val="en-US"/>
    </w:rPr>
  </w:style>
  <w:style w:type="paragraph" w:customStyle="1" w:styleId="440">
    <w:name w:val="正文 内标 序号标"/>
    <w:basedOn w:val="441"/>
    <w:qFormat/>
    <w:uiPriority w:val="0"/>
    <w:pPr>
      <w:tabs>
        <w:tab w:val="left" w:pos="0"/>
      </w:tabs>
      <w:adjustRightInd/>
      <w:spacing w:before="0"/>
      <w:ind w:firstLine="482"/>
    </w:pPr>
    <w:rPr>
      <w:rFonts w:ascii="微软雅黑" w:hAnsi="微软雅黑"/>
      <w:sz w:val="24"/>
      <w:szCs w:val="24"/>
    </w:rPr>
  </w:style>
  <w:style w:type="paragraph" w:customStyle="1" w:styleId="441">
    <w:name w:val="My正文"/>
    <w:basedOn w:val="1"/>
    <w:qFormat/>
    <w:uiPriority w:val="0"/>
    <w:pPr>
      <w:spacing w:before="120" w:line="360" w:lineRule="auto"/>
      <w:ind w:firstLine="567"/>
    </w:pPr>
    <w:rPr>
      <w:rFonts w:ascii="Arial" w:hAnsi="Arial"/>
      <w:sz w:val="20"/>
      <w:szCs w:val="20"/>
    </w:rPr>
  </w:style>
  <w:style w:type="paragraph" w:customStyle="1" w:styleId="442">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3">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4">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5">
    <w:name w:val="修订2"/>
    <w:qFormat/>
    <w:uiPriority w:val="0"/>
    <w:rPr>
      <w:rFonts w:ascii="Times New Roman" w:hAnsi="Times New Roman" w:eastAsia="宋体" w:cs="Times New Roman"/>
      <w:kern w:val="2"/>
      <w:sz w:val="21"/>
      <w:lang w:val="en-US" w:eastAsia="zh-CN" w:bidi="ar-SA"/>
    </w:rPr>
  </w:style>
  <w:style w:type="paragraph" w:customStyle="1" w:styleId="446">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7">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8">
    <w:name w:val="文章标题"/>
    <w:next w:val="449"/>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49">
    <w:name w:val="封面公司名"/>
    <w:qFormat/>
    <w:uiPriority w:val="0"/>
    <w:pPr>
      <w:jc w:val="center"/>
    </w:pPr>
    <w:rPr>
      <w:rFonts w:ascii="Arial" w:hAnsi="Arial" w:eastAsia="楷体_GB2312" w:cs="宋体"/>
      <w:bCs/>
      <w:kern w:val="2"/>
      <w:sz w:val="28"/>
      <w:lang w:val="en-US" w:eastAsia="zh-CN" w:bidi="ar-SA"/>
    </w:rPr>
  </w:style>
  <w:style w:type="paragraph" w:customStyle="1" w:styleId="450">
    <w:name w:val="Char1 Char Char Char5"/>
    <w:basedOn w:val="1"/>
    <w:qFormat/>
    <w:uiPriority w:val="0"/>
    <w:pPr>
      <w:adjustRightInd/>
      <w:ind w:firstLine="200" w:firstLineChars="200"/>
    </w:pPr>
    <w:rPr>
      <w:rFonts w:ascii="Tahoma" w:hAnsi="Tahoma"/>
      <w:sz w:val="24"/>
      <w:szCs w:val="20"/>
    </w:rPr>
  </w:style>
  <w:style w:type="paragraph" w:customStyle="1" w:styleId="451">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2">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3">
    <w:name w:val="Char Char Char Char Char Char Char Char"/>
    <w:basedOn w:val="1"/>
    <w:qFormat/>
    <w:uiPriority w:val="0"/>
    <w:pPr>
      <w:tabs>
        <w:tab w:val="left" w:pos="360"/>
      </w:tabs>
    </w:pPr>
    <w:rPr>
      <w:sz w:val="24"/>
      <w:szCs w:val="20"/>
    </w:rPr>
  </w:style>
  <w:style w:type="paragraph" w:customStyle="1" w:styleId="454">
    <w:name w:val="Char Char11 Char Char Char"/>
    <w:basedOn w:val="1"/>
    <w:qFormat/>
    <w:uiPriority w:val="0"/>
    <w:pPr>
      <w:spacing w:line="360" w:lineRule="auto"/>
    </w:pPr>
    <w:rPr>
      <w:szCs w:val="20"/>
    </w:rPr>
  </w:style>
  <w:style w:type="paragraph" w:customStyle="1" w:styleId="455">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6">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7">
    <w:name w:val="样式3"/>
    <w:basedOn w:val="458"/>
    <w:qFormat/>
    <w:uiPriority w:val="0"/>
    <w:pPr>
      <w:tabs>
        <w:tab w:val="left" w:pos="2790"/>
        <w:tab w:val="left" w:pos="4230"/>
      </w:tabs>
      <w:spacing w:before="312" w:beforeLines="100"/>
      <w:jc w:val="left"/>
    </w:pPr>
  </w:style>
  <w:style w:type="paragraph" w:customStyle="1" w:styleId="458">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59">
    <w:name w:val="Char Char1 Char Char1 Char Char1"/>
    <w:basedOn w:val="1"/>
    <w:qFormat/>
    <w:uiPriority w:val="0"/>
    <w:pPr>
      <w:tabs>
        <w:tab w:val="left" w:pos="840"/>
      </w:tabs>
      <w:ind w:left="840" w:hanging="420"/>
    </w:pPr>
    <w:rPr>
      <w:rFonts w:ascii="Tahoma" w:hAnsi="Tahoma"/>
      <w:sz w:val="24"/>
    </w:rPr>
  </w:style>
  <w:style w:type="paragraph" w:customStyle="1" w:styleId="460">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1">
    <w:name w:val="标书标题2"/>
    <w:basedOn w:val="4"/>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2">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3">
    <w:name w:val="正文21"/>
    <w:basedOn w:val="1"/>
    <w:qFormat/>
    <w:uiPriority w:val="0"/>
    <w:pPr>
      <w:adjustRightInd/>
      <w:spacing w:before="156" w:line="360" w:lineRule="auto"/>
      <w:ind w:firstLine="510" w:firstLineChars="200"/>
    </w:pPr>
    <w:rPr>
      <w:sz w:val="24"/>
      <w:szCs w:val="20"/>
    </w:rPr>
  </w:style>
  <w:style w:type="paragraph" w:customStyle="1" w:styleId="464">
    <w:name w:val="Test2"/>
    <w:basedOn w:val="4"/>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5">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6">
    <w:name w:val="Char1"/>
    <w:basedOn w:val="1"/>
    <w:qFormat/>
    <w:uiPriority w:val="0"/>
    <w:rPr>
      <w:rFonts w:ascii="仿宋_GB2312" w:eastAsia="仿宋_GB2312"/>
      <w:b/>
      <w:sz w:val="32"/>
      <w:szCs w:val="32"/>
    </w:rPr>
  </w:style>
  <w:style w:type="paragraph" w:customStyle="1" w:styleId="467">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8">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69">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0">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1">
    <w:name w:val="6级标题"/>
    <w:basedOn w:val="472"/>
    <w:qFormat/>
    <w:uiPriority w:val="0"/>
    <w:pPr>
      <w:keepNext/>
      <w:tabs>
        <w:tab w:val="left" w:pos="360"/>
      </w:tabs>
      <w:spacing w:before="0" w:after="0"/>
      <w:outlineLvl w:val="5"/>
    </w:pPr>
  </w:style>
  <w:style w:type="paragraph" w:customStyle="1" w:styleId="472">
    <w:name w:val="5级标题"/>
    <w:basedOn w:val="473"/>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3">
    <w:name w:val="4级标题"/>
    <w:basedOn w:val="256"/>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4">
    <w:name w:val="样式 正文文本缩进 + 段前: 2 字符"/>
    <w:basedOn w:val="1"/>
    <w:qFormat/>
    <w:uiPriority w:val="0"/>
    <w:pPr>
      <w:adjustRightInd/>
      <w:ind w:left="420" w:leftChars="200"/>
      <w:jc w:val="left"/>
    </w:pPr>
    <w:rPr>
      <w:sz w:val="28"/>
      <w:szCs w:val="20"/>
      <w:lang w:eastAsia="zh-TW"/>
    </w:rPr>
  </w:style>
  <w:style w:type="paragraph" w:customStyle="1" w:styleId="475">
    <w:name w:val="Char2 Char Char"/>
    <w:basedOn w:val="1"/>
    <w:qFormat/>
    <w:uiPriority w:val="0"/>
    <w:pPr>
      <w:adjustRightInd/>
    </w:pPr>
    <w:rPr>
      <w:rFonts w:ascii="Tahoma" w:hAnsi="Tahoma"/>
      <w:sz w:val="24"/>
      <w:szCs w:val="20"/>
    </w:rPr>
  </w:style>
  <w:style w:type="paragraph" w:customStyle="1" w:styleId="476">
    <w:name w:val="_Style 11"/>
    <w:basedOn w:val="1"/>
    <w:qFormat/>
    <w:uiPriority w:val="34"/>
    <w:pPr>
      <w:adjustRightInd/>
      <w:ind w:firstLine="420" w:firstLineChars="200"/>
    </w:pPr>
    <w:rPr>
      <w:rFonts w:eastAsia="仿宋_GB2312"/>
      <w:sz w:val="28"/>
    </w:rPr>
  </w:style>
  <w:style w:type="paragraph" w:customStyle="1" w:styleId="477">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8">
    <w:name w:val="Char Char Char"/>
    <w:basedOn w:val="1"/>
    <w:qFormat/>
    <w:uiPriority w:val="0"/>
    <w:rPr>
      <w:rFonts w:ascii="Tahoma" w:hAnsi="Tahoma"/>
      <w:sz w:val="24"/>
      <w:szCs w:val="20"/>
    </w:rPr>
  </w:style>
  <w:style w:type="paragraph" w:customStyle="1" w:styleId="479">
    <w:name w:val="数字标题6"/>
    <w:basedOn w:val="9"/>
    <w:next w:val="1"/>
    <w:qFormat/>
    <w:uiPriority w:val="0"/>
    <w:pPr>
      <w:tabs>
        <w:tab w:val="left" w:pos="1080"/>
      </w:tabs>
      <w:ind w:left="1080" w:hanging="1080"/>
    </w:pPr>
    <w:rPr>
      <w:rFonts w:ascii="Times New Roman" w:hAnsi="Times New Roman" w:eastAsia="宋体"/>
      <w:i/>
    </w:rPr>
  </w:style>
  <w:style w:type="paragraph" w:customStyle="1" w:styleId="480">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1">
    <w:name w:val="No Spacing"/>
    <w:basedOn w:val="1"/>
    <w:link w:val="931"/>
    <w:qFormat/>
    <w:uiPriority w:val="99"/>
    <w:rPr>
      <w:szCs w:val="22"/>
    </w:rPr>
  </w:style>
  <w:style w:type="paragraph" w:customStyle="1" w:styleId="482">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3">
    <w:name w:val="Char Char Char Char Char Char Char Char Char Char Char Char1 Char1"/>
    <w:basedOn w:val="1"/>
    <w:qFormat/>
    <w:uiPriority w:val="6"/>
    <w:rPr>
      <w:rFonts w:ascii="Tahoma" w:hAnsi="Tahoma" w:cs="仿宋_GB2312"/>
      <w:sz w:val="24"/>
      <w:szCs w:val="20"/>
    </w:rPr>
  </w:style>
  <w:style w:type="paragraph" w:customStyle="1" w:styleId="484">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5">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6">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7">
    <w:name w:val="MM Topic 2"/>
    <w:basedOn w:val="4"/>
    <w:qFormat/>
    <w:uiPriority w:val="0"/>
    <w:pPr>
      <w:tabs>
        <w:tab w:val="left" w:pos="1260"/>
      </w:tabs>
      <w:ind w:left="1260" w:hanging="420"/>
    </w:pPr>
    <w:rPr>
      <w:rFonts w:ascii="Arial" w:hAnsi="Arial" w:eastAsia="黑体"/>
      <w:lang w:val="en-US"/>
    </w:rPr>
  </w:style>
  <w:style w:type="paragraph" w:customStyle="1" w:styleId="488">
    <w:name w:val="五级无标题条"/>
    <w:basedOn w:val="1"/>
    <w:qFormat/>
    <w:uiPriority w:val="0"/>
    <w:pPr>
      <w:adjustRightInd/>
    </w:pPr>
  </w:style>
  <w:style w:type="paragraph" w:customStyle="1" w:styleId="489">
    <w:name w:val="Char5"/>
    <w:basedOn w:val="1"/>
    <w:qFormat/>
    <w:uiPriority w:val="0"/>
    <w:rPr>
      <w:rFonts w:ascii="仿宋_GB2312" w:eastAsia="仿宋_GB2312"/>
      <w:b/>
      <w:sz w:val="32"/>
      <w:szCs w:val="32"/>
    </w:rPr>
  </w:style>
  <w:style w:type="paragraph" w:customStyle="1" w:styleId="490">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1">
    <w:name w:val="彩色列表 - 强调文字颜色 12"/>
    <w:basedOn w:val="1"/>
    <w:qFormat/>
    <w:uiPriority w:val="0"/>
    <w:pPr>
      <w:adjustRightInd/>
      <w:ind w:firstLine="420" w:firstLineChars="200"/>
    </w:pPr>
    <w:rPr>
      <w:rFonts w:ascii="Calibri" w:hAnsi="Calibri"/>
      <w:szCs w:val="22"/>
    </w:rPr>
  </w:style>
  <w:style w:type="paragraph" w:customStyle="1" w:styleId="492">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3">
    <w:name w:val="Char2"/>
    <w:basedOn w:val="1"/>
    <w:qFormat/>
    <w:uiPriority w:val="0"/>
    <w:rPr>
      <w:rFonts w:ascii="仿宋_GB2312" w:eastAsia="仿宋_GB2312"/>
      <w:b/>
      <w:sz w:val="32"/>
      <w:szCs w:val="32"/>
    </w:rPr>
  </w:style>
  <w:style w:type="paragraph" w:customStyle="1" w:styleId="494">
    <w:name w:val="数字标题3"/>
    <w:basedOn w:val="5"/>
    <w:next w:val="1"/>
    <w:qFormat/>
    <w:uiPriority w:val="0"/>
    <w:pPr>
      <w:spacing w:line="240" w:lineRule="auto"/>
    </w:pPr>
    <w:rPr>
      <w:sz w:val="28"/>
      <w:szCs w:val="28"/>
    </w:rPr>
  </w:style>
  <w:style w:type="paragraph" w:customStyle="1" w:styleId="495">
    <w:name w:val="FA正文"/>
    <w:basedOn w:val="1"/>
    <w:qFormat/>
    <w:uiPriority w:val="0"/>
    <w:pPr>
      <w:spacing w:line="360" w:lineRule="auto"/>
      <w:ind w:firstLine="480" w:firstLineChars="200"/>
    </w:pPr>
    <w:rPr>
      <w:rFonts w:hAnsi="宋体"/>
      <w:sz w:val="24"/>
      <w:szCs w:val="20"/>
    </w:rPr>
  </w:style>
  <w:style w:type="paragraph" w:customStyle="1" w:styleId="496">
    <w:name w:val="MM Topic 5"/>
    <w:basedOn w:val="8"/>
    <w:qFormat/>
    <w:uiPriority w:val="0"/>
    <w:pPr>
      <w:tabs>
        <w:tab w:val="left" w:pos="2520"/>
      </w:tabs>
      <w:adjustRightInd/>
      <w:ind w:left="2520" w:hanging="420"/>
    </w:pPr>
  </w:style>
  <w:style w:type="paragraph" w:customStyle="1" w:styleId="497">
    <w:name w:val="Char Char Char Char Char Char Char Char Char Char1"/>
    <w:basedOn w:val="1"/>
    <w:qFormat/>
    <w:uiPriority w:val="0"/>
    <w:rPr>
      <w:rFonts w:ascii="仿宋_GB2312" w:eastAsia="仿宋_GB2312"/>
      <w:b/>
      <w:sz w:val="32"/>
      <w:szCs w:val="32"/>
    </w:rPr>
  </w:style>
  <w:style w:type="paragraph" w:customStyle="1" w:styleId="498">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99">
    <w:name w:val="修订1"/>
    <w:qFormat/>
    <w:uiPriority w:val="3"/>
    <w:rPr>
      <w:rFonts w:ascii="Times New Roman" w:hAnsi="Times New Roman" w:eastAsia="宋体" w:cs="Times New Roman"/>
      <w:color w:val="000000"/>
      <w:kern w:val="1"/>
      <w:sz w:val="21"/>
      <w:lang w:val="en-US" w:eastAsia="zh-CN" w:bidi="ar-SA"/>
    </w:rPr>
  </w:style>
  <w:style w:type="paragraph" w:customStyle="1" w:styleId="500">
    <w:name w:val="Char2 Char Char Char"/>
    <w:basedOn w:val="1"/>
    <w:qFormat/>
    <w:uiPriority w:val="0"/>
    <w:rPr>
      <w:rFonts w:ascii="仿宋_GB2312" w:eastAsia="仿宋_GB2312"/>
      <w:b/>
      <w:sz w:val="32"/>
      <w:szCs w:val="32"/>
    </w:rPr>
  </w:style>
  <w:style w:type="paragraph" w:customStyle="1" w:styleId="501">
    <w:name w:val="Char2 Char Char Char1"/>
    <w:basedOn w:val="1"/>
    <w:qFormat/>
    <w:uiPriority w:val="6"/>
    <w:rPr>
      <w:rFonts w:ascii="仿宋_GB2312" w:eastAsia="仿宋_GB2312"/>
      <w:b/>
      <w:sz w:val="32"/>
      <w:szCs w:val="32"/>
    </w:rPr>
  </w:style>
  <w:style w:type="paragraph" w:customStyle="1" w:styleId="502">
    <w:name w:val="默认段落样式"/>
    <w:basedOn w:val="128"/>
    <w:qFormat/>
    <w:uiPriority w:val="0"/>
    <w:pPr>
      <w:spacing w:before="0"/>
      <w:ind w:firstLine="480"/>
      <w:outlineLvl w:val="2"/>
    </w:pPr>
    <w:rPr>
      <w:rFonts w:ascii="仿宋_GB2312" w:hAnsi="宋体" w:eastAsia="仿宋_GB2312"/>
      <w:color w:val="000000"/>
      <w:szCs w:val="24"/>
    </w:rPr>
  </w:style>
  <w:style w:type="paragraph" w:customStyle="1" w:styleId="503">
    <w:name w:val="图中文字"/>
    <w:basedOn w:val="1"/>
    <w:qFormat/>
    <w:uiPriority w:val="0"/>
    <w:pPr>
      <w:snapToGrid w:val="0"/>
      <w:spacing w:line="0" w:lineRule="atLeast"/>
      <w:ind w:firstLine="200" w:firstLineChars="200"/>
      <w:jc w:val="center"/>
    </w:pPr>
    <w:rPr>
      <w:sz w:val="24"/>
      <w:szCs w:val="20"/>
    </w:rPr>
  </w:style>
  <w:style w:type="paragraph" w:customStyle="1" w:styleId="504">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5">
    <w:name w:val="MM Topic 3"/>
    <w:basedOn w:val="5"/>
    <w:qFormat/>
    <w:uiPriority w:val="0"/>
    <w:pPr>
      <w:tabs>
        <w:tab w:val="left" w:pos="1680"/>
      </w:tabs>
      <w:adjustRightInd/>
      <w:ind w:left="1680" w:hanging="420"/>
    </w:pPr>
  </w:style>
  <w:style w:type="paragraph" w:customStyle="1" w:styleId="506">
    <w:name w:val="标准小四"/>
    <w:basedOn w:val="1"/>
    <w:qFormat/>
    <w:uiPriority w:val="0"/>
    <w:pPr>
      <w:spacing w:line="360" w:lineRule="auto"/>
      <w:ind w:firstLine="480" w:firstLineChars="200"/>
    </w:pPr>
    <w:rPr>
      <w:rFonts w:ascii="Arial" w:hAnsi="Arial"/>
      <w:sz w:val="24"/>
      <w:szCs w:val="21"/>
    </w:rPr>
  </w:style>
  <w:style w:type="paragraph" w:customStyle="1" w:styleId="507">
    <w:name w:val="样式 标题 2H2h2Underrubrik1prop2l2Chapter Titlesect 1.2DO NO..."/>
    <w:basedOn w:val="4"/>
    <w:qFormat/>
    <w:uiPriority w:val="0"/>
    <w:pPr>
      <w:spacing w:before="120" w:after="120"/>
      <w:ind w:left="425" w:hanging="425"/>
    </w:pPr>
    <w:rPr>
      <w:rFonts w:ascii="微软雅黑" w:hAnsi="微软雅黑" w:eastAsia="微软雅黑" w:cs="宋体"/>
      <w:szCs w:val="20"/>
      <w:lang w:val="en-US"/>
    </w:rPr>
  </w:style>
  <w:style w:type="paragraph" w:customStyle="1" w:styleId="508">
    <w:name w:val="表格（小）"/>
    <w:basedOn w:val="1"/>
    <w:qFormat/>
    <w:uiPriority w:val="0"/>
    <w:pPr>
      <w:adjustRightInd/>
      <w:snapToGrid w:val="0"/>
      <w:spacing w:line="300" w:lineRule="auto"/>
    </w:pPr>
    <w:rPr>
      <w:rFonts w:eastAsia="仿宋"/>
      <w:szCs w:val="21"/>
    </w:rPr>
  </w:style>
  <w:style w:type="paragraph" w:customStyle="1" w:styleId="509">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0">
    <w:name w:val="Char2 Char Char1"/>
    <w:basedOn w:val="1"/>
    <w:qFormat/>
    <w:uiPriority w:val="6"/>
    <w:pPr>
      <w:adjustRightInd/>
    </w:pPr>
    <w:rPr>
      <w:rFonts w:ascii="Tahoma" w:hAnsi="Tahoma"/>
      <w:sz w:val="24"/>
      <w:szCs w:val="20"/>
    </w:rPr>
  </w:style>
  <w:style w:type="paragraph" w:customStyle="1" w:styleId="511">
    <w:name w:val="列出段落5"/>
    <w:basedOn w:val="1"/>
    <w:qFormat/>
    <w:uiPriority w:val="0"/>
    <w:pPr>
      <w:spacing w:line="360" w:lineRule="auto"/>
      <w:ind w:firstLine="200" w:firstLineChars="200"/>
    </w:pPr>
    <w:rPr>
      <w:rFonts w:eastAsia="楷体_GB2312" w:cs="Lucida Sans"/>
      <w:sz w:val="24"/>
    </w:rPr>
  </w:style>
  <w:style w:type="paragraph" w:customStyle="1" w:styleId="512">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3">
    <w:name w:val="表格文字"/>
    <w:basedOn w:val="1"/>
    <w:next w:val="6"/>
    <w:qFormat/>
    <w:uiPriority w:val="0"/>
    <w:pPr>
      <w:adjustRightInd/>
      <w:ind w:firstLine="200" w:firstLineChars="200"/>
    </w:pPr>
    <w:rPr>
      <w:rFonts w:ascii="Arial" w:hAnsi="Arial"/>
      <w:spacing w:val="-5"/>
      <w:kern w:val="0"/>
      <w:sz w:val="24"/>
      <w:szCs w:val="20"/>
    </w:rPr>
  </w:style>
  <w:style w:type="paragraph" w:customStyle="1" w:styleId="514">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5">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6">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7">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8">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9">
    <w:name w:val="_Style 3"/>
    <w:basedOn w:val="1"/>
    <w:qFormat/>
    <w:uiPriority w:val="0"/>
    <w:pPr>
      <w:adjustRightInd/>
      <w:ind w:firstLine="420" w:firstLineChars="200"/>
    </w:pPr>
    <w:rPr>
      <w:rFonts w:eastAsia="仿宋_GB2312"/>
      <w:sz w:val="28"/>
    </w:rPr>
  </w:style>
  <w:style w:type="paragraph" w:customStyle="1" w:styleId="520">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1">
    <w:name w:val="Bulleting First Indent 1"/>
    <w:basedOn w:val="25"/>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2">
    <w:name w:val="左对齐表格文字"/>
    <w:basedOn w:val="1"/>
    <w:qFormat/>
    <w:uiPriority w:val="0"/>
    <w:pPr>
      <w:adjustRightInd/>
      <w:ind w:firstLine="200" w:firstLineChars="200"/>
      <w:jc w:val="right"/>
    </w:pPr>
  </w:style>
  <w:style w:type="paragraph" w:customStyle="1" w:styleId="523">
    <w:name w:val="Char Char11 Char Char Char Char Char Char Char Char Char"/>
    <w:basedOn w:val="1"/>
    <w:qFormat/>
    <w:uiPriority w:val="0"/>
    <w:pPr>
      <w:spacing w:line="360" w:lineRule="auto"/>
    </w:pPr>
    <w:rPr>
      <w:szCs w:val="20"/>
    </w:rPr>
  </w:style>
  <w:style w:type="paragraph" w:customStyle="1" w:styleId="524">
    <w:name w:val="正文1.25"/>
    <w:basedOn w:val="1"/>
    <w:qFormat/>
    <w:uiPriority w:val="0"/>
    <w:pPr>
      <w:adjustRightInd/>
      <w:spacing w:line="300" w:lineRule="auto"/>
      <w:ind w:firstLine="480" w:firstLineChars="200"/>
    </w:pPr>
    <w:rPr>
      <w:sz w:val="24"/>
      <w:szCs w:val="20"/>
    </w:rPr>
  </w:style>
  <w:style w:type="paragraph" w:customStyle="1" w:styleId="525">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6">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7">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8">
    <w:name w:val="Char Char1 Char Char Char1"/>
    <w:basedOn w:val="1"/>
    <w:qFormat/>
    <w:uiPriority w:val="6"/>
    <w:rPr>
      <w:rFonts w:ascii="仿宋_GB2312" w:eastAsia="仿宋_GB2312"/>
      <w:b/>
      <w:sz w:val="32"/>
      <w:szCs w:val="20"/>
    </w:rPr>
  </w:style>
  <w:style w:type="paragraph" w:customStyle="1" w:styleId="529">
    <w:name w:val="列出段落2"/>
    <w:basedOn w:val="1"/>
    <w:qFormat/>
    <w:uiPriority w:val="0"/>
    <w:pPr>
      <w:adjustRightInd/>
      <w:ind w:firstLine="420" w:firstLineChars="200"/>
    </w:pPr>
    <w:rPr>
      <w:rFonts w:ascii="宋体" w:hAnsi="宋体"/>
      <w:sz w:val="24"/>
    </w:rPr>
  </w:style>
  <w:style w:type="paragraph" w:customStyle="1" w:styleId="530">
    <w:name w:val="默认段落字体 Para Char Char Char Char Char Char Char"/>
    <w:basedOn w:val="1"/>
    <w:qFormat/>
    <w:uiPriority w:val="0"/>
    <w:rPr>
      <w:rFonts w:eastAsia="仿宋_GB2312"/>
      <w:sz w:val="28"/>
      <w:szCs w:val="20"/>
    </w:rPr>
  </w:style>
  <w:style w:type="paragraph" w:customStyle="1" w:styleId="531">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2">
    <w:name w:val="样式 标题 4PIM 4H4h4bulletblbbH41H42H43H44H45H46H47H48...1"/>
    <w:basedOn w:val="7"/>
    <w:qFormat/>
    <w:uiPriority w:val="0"/>
    <w:pPr>
      <w:widowControl/>
      <w:jc w:val="left"/>
    </w:pPr>
    <w:rPr>
      <w:rFonts w:cs="宋体"/>
      <w:sz w:val="24"/>
      <w:szCs w:val="20"/>
    </w:rPr>
  </w:style>
  <w:style w:type="paragraph" w:customStyle="1" w:styleId="533">
    <w:name w:val="彩色列表 - 强调文字颜色 11"/>
    <w:basedOn w:val="1"/>
    <w:qFormat/>
    <w:uiPriority w:val="0"/>
    <w:pPr>
      <w:adjustRightInd/>
      <w:ind w:firstLine="420" w:firstLineChars="200"/>
    </w:pPr>
    <w:rPr>
      <w:rFonts w:ascii="Calibri" w:hAnsi="Calibri"/>
      <w:szCs w:val="22"/>
    </w:rPr>
  </w:style>
  <w:style w:type="paragraph" w:customStyle="1" w:styleId="534">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5">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6">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7">
    <w:name w:val="Char Char Char1 Char1"/>
    <w:basedOn w:val="1"/>
    <w:qFormat/>
    <w:uiPriority w:val="6"/>
    <w:rPr>
      <w:szCs w:val="20"/>
    </w:rPr>
  </w:style>
  <w:style w:type="paragraph" w:customStyle="1" w:styleId="538">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9">
    <w:name w:val="样式 标题 2 + 宋体 左侧:  1.76 厘米 首行缩进:  0 厘米"/>
    <w:basedOn w:val="4"/>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0">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1">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2">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3">
    <w:name w:val="CM14"/>
    <w:basedOn w:val="232"/>
    <w:next w:val="232"/>
    <w:qFormat/>
    <w:uiPriority w:val="0"/>
    <w:pPr>
      <w:spacing w:after="68"/>
    </w:pPr>
    <w:rPr>
      <w:rFonts w:ascii="FHLHE E+ Futura Bk" w:eastAsia="FHLHE E+ Futura Bk" w:cs="Times New Roman"/>
      <w:color w:val="auto"/>
    </w:rPr>
  </w:style>
  <w:style w:type="paragraph" w:customStyle="1" w:styleId="544">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5">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6">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7">
    <w:name w:val="正文文字 2"/>
    <w:basedOn w:val="232"/>
    <w:next w:val="232"/>
    <w:qFormat/>
    <w:uiPriority w:val="0"/>
    <w:rPr>
      <w:rFonts w:ascii="宋体" w:eastAsia="宋体" w:cs="Times New Roman"/>
      <w:color w:val="auto"/>
    </w:rPr>
  </w:style>
  <w:style w:type="paragraph" w:customStyle="1" w:styleId="548">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9">
    <w:name w:val="Char Char1 Char"/>
    <w:basedOn w:val="1"/>
    <w:qFormat/>
    <w:uiPriority w:val="0"/>
    <w:rPr>
      <w:rFonts w:ascii="仿宋_GB2312" w:eastAsia="仿宋_GB2312"/>
      <w:b/>
      <w:sz w:val="32"/>
      <w:szCs w:val="32"/>
    </w:rPr>
  </w:style>
  <w:style w:type="paragraph" w:customStyle="1" w:styleId="550">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1">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2">
    <w:name w:val="Char Char111"/>
    <w:basedOn w:val="1"/>
    <w:qFormat/>
    <w:uiPriority w:val="0"/>
    <w:pPr>
      <w:spacing w:line="360" w:lineRule="auto"/>
    </w:pPr>
    <w:rPr>
      <w:szCs w:val="20"/>
    </w:rPr>
  </w:style>
  <w:style w:type="paragraph" w:customStyle="1" w:styleId="553">
    <w:name w:val="Char"/>
    <w:basedOn w:val="1"/>
    <w:qFormat/>
    <w:uiPriority w:val="0"/>
    <w:rPr>
      <w:rFonts w:ascii="仿宋_GB2312" w:eastAsia="仿宋_GB2312"/>
      <w:b/>
      <w:sz w:val="32"/>
      <w:szCs w:val="32"/>
    </w:rPr>
  </w:style>
  <w:style w:type="paragraph" w:customStyle="1" w:styleId="554">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5">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6">
    <w:name w:val="Char Char Char1 Char"/>
    <w:basedOn w:val="1"/>
    <w:qFormat/>
    <w:uiPriority w:val="0"/>
    <w:rPr>
      <w:szCs w:val="20"/>
    </w:rPr>
  </w:style>
  <w:style w:type="paragraph" w:customStyle="1" w:styleId="557">
    <w:name w:val="正文标准"/>
    <w:basedOn w:val="1"/>
    <w:qFormat/>
    <w:uiPriority w:val="0"/>
    <w:pPr>
      <w:adjustRightInd/>
      <w:spacing w:line="360" w:lineRule="auto"/>
      <w:ind w:firstLine="200" w:firstLineChars="200"/>
    </w:pPr>
    <w:rPr>
      <w:rFonts w:ascii="宋体" w:hAnsi="Calibri"/>
      <w:sz w:val="24"/>
    </w:rPr>
  </w:style>
  <w:style w:type="paragraph" w:customStyle="1" w:styleId="558">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9">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0">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1">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2">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3">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4">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5">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6">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7">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69">
    <w:name w:val="标准有序列表（L1）"/>
    <w:basedOn w:val="6"/>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0">
    <w:name w:val="Char Char Char Char Char Char Char Char Char Char"/>
    <w:basedOn w:val="1"/>
    <w:qFormat/>
    <w:uiPriority w:val="0"/>
    <w:rPr>
      <w:rFonts w:ascii="仿宋_GB2312" w:eastAsia="仿宋_GB2312"/>
      <w:b/>
      <w:sz w:val="32"/>
      <w:szCs w:val="32"/>
    </w:rPr>
  </w:style>
  <w:style w:type="paragraph" w:customStyle="1" w:styleId="571">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2">
    <w:name w:val="_正文段落"/>
    <w:basedOn w:val="1"/>
    <w:qFormat/>
    <w:uiPriority w:val="0"/>
    <w:pPr>
      <w:adjustRightInd/>
      <w:ind w:firstLine="560"/>
    </w:pPr>
    <w:rPr>
      <w:rFonts w:ascii="仿宋_GB2312" w:hAnsi="仿宋" w:eastAsia="仿宋_GB2312"/>
      <w:kern w:val="0"/>
      <w:sz w:val="28"/>
      <w:szCs w:val="28"/>
    </w:rPr>
  </w:style>
  <w:style w:type="paragraph" w:customStyle="1" w:styleId="573">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4">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5">
    <w:name w:val="正文（首行缩进）"/>
    <w:basedOn w:val="26"/>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6">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7">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8">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9">
    <w:name w:val="Char Char Char1 Char2"/>
    <w:basedOn w:val="1"/>
    <w:qFormat/>
    <w:uiPriority w:val="0"/>
    <w:rPr>
      <w:szCs w:val="20"/>
    </w:rPr>
  </w:style>
  <w:style w:type="paragraph" w:customStyle="1" w:styleId="580">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1">
    <w:name w:val="默认段落字体 Para Char"/>
    <w:basedOn w:val="1"/>
    <w:qFormat/>
    <w:uiPriority w:val="0"/>
    <w:rPr>
      <w:rFonts w:ascii="Tahoma" w:hAnsi="Tahoma"/>
      <w:sz w:val="24"/>
      <w:szCs w:val="20"/>
    </w:rPr>
  </w:style>
  <w:style w:type="paragraph" w:customStyle="1" w:styleId="582">
    <w:name w:val="标题五"/>
    <w:basedOn w:val="1"/>
    <w:qFormat/>
    <w:uiPriority w:val="0"/>
    <w:pPr>
      <w:adjustRightInd/>
      <w:spacing w:before="156" w:beforeLines="50" w:line="360" w:lineRule="auto"/>
    </w:pPr>
    <w:rPr>
      <w:b/>
      <w:sz w:val="24"/>
    </w:rPr>
  </w:style>
  <w:style w:type="paragraph" w:customStyle="1" w:styleId="583">
    <w:name w:val="Char Char1101"/>
    <w:basedOn w:val="1"/>
    <w:qFormat/>
    <w:uiPriority w:val="0"/>
    <w:pPr>
      <w:spacing w:line="360" w:lineRule="auto"/>
    </w:pPr>
    <w:rPr>
      <w:rFonts w:ascii="Tahoma" w:hAnsi="Tahoma"/>
      <w:sz w:val="24"/>
      <w:szCs w:val="20"/>
    </w:rPr>
  </w:style>
  <w:style w:type="paragraph" w:customStyle="1" w:styleId="584">
    <w:name w:val="Char Char Char Char Char Char Char Char1"/>
    <w:basedOn w:val="1"/>
    <w:qFormat/>
    <w:uiPriority w:val="0"/>
    <w:pPr>
      <w:tabs>
        <w:tab w:val="left" w:pos="360"/>
      </w:tabs>
    </w:pPr>
    <w:rPr>
      <w:sz w:val="24"/>
      <w:szCs w:val="20"/>
    </w:rPr>
  </w:style>
  <w:style w:type="paragraph" w:customStyle="1" w:styleId="585">
    <w:name w:val="Char Char Char 字元 字元"/>
    <w:basedOn w:val="1"/>
    <w:qFormat/>
    <w:uiPriority w:val="0"/>
    <w:pPr>
      <w:adjustRightInd/>
      <w:spacing w:line="360" w:lineRule="auto"/>
      <w:ind w:firstLine="200" w:firstLineChars="200"/>
    </w:pPr>
    <w:rPr>
      <w:szCs w:val="20"/>
    </w:rPr>
  </w:style>
  <w:style w:type="paragraph" w:customStyle="1" w:styleId="586">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7">
    <w:name w:val="Char Char Char Char Char Char Char"/>
    <w:basedOn w:val="1"/>
    <w:qFormat/>
    <w:uiPriority w:val="0"/>
    <w:rPr>
      <w:rFonts w:ascii="仿宋_GB2312" w:eastAsia="仿宋_GB2312"/>
      <w:b/>
      <w:sz w:val="32"/>
      <w:szCs w:val="32"/>
    </w:rPr>
  </w:style>
  <w:style w:type="paragraph" w:customStyle="1" w:styleId="588">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9">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0">
    <w:name w:val="样式 标题 22h2L1 Heading 2H2sect 1.2H21sect 1.21H22sect 1.2..."/>
    <w:basedOn w:val="4"/>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1">
    <w:name w:val="样式6"/>
    <w:basedOn w:val="34"/>
    <w:qFormat/>
    <w:uiPriority w:val="0"/>
    <w:pPr>
      <w:spacing w:line="460" w:lineRule="exact"/>
      <w:outlineLvl w:val="2"/>
    </w:pPr>
    <w:rPr>
      <w:rFonts w:ascii="仿宋_GB2312" w:hAnsi="宋体" w:eastAsia="仿宋_GB2312"/>
      <w:b/>
      <w:bCs/>
      <w:sz w:val="24"/>
      <w:szCs w:val="24"/>
    </w:rPr>
  </w:style>
  <w:style w:type="paragraph" w:customStyle="1" w:styleId="592">
    <w:name w:val="批注框文本 Char Char"/>
    <w:basedOn w:val="1"/>
    <w:qFormat/>
    <w:uiPriority w:val="0"/>
    <w:pPr>
      <w:adjustRightInd/>
    </w:pPr>
    <w:rPr>
      <w:sz w:val="18"/>
      <w:szCs w:val="20"/>
    </w:rPr>
  </w:style>
  <w:style w:type="paragraph" w:customStyle="1" w:styleId="593">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4">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5">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6">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7">
    <w:name w:val="索引 11"/>
    <w:basedOn w:val="1"/>
    <w:next w:val="1"/>
    <w:qFormat/>
    <w:uiPriority w:val="99"/>
    <w:pPr>
      <w:adjustRightInd/>
      <w:spacing w:line="360" w:lineRule="auto"/>
    </w:pPr>
    <w:rPr>
      <w:rFonts w:ascii="仿宋_GB2312" w:eastAsia="仿宋_GB2312"/>
      <w:sz w:val="24"/>
      <w:szCs w:val="20"/>
    </w:rPr>
  </w:style>
  <w:style w:type="paragraph" w:customStyle="1" w:styleId="598">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9">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0">
    <w:name w:val="正文文字缩进项目"/>
    <w:basedOn w:val="26"/>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1">
    <w:name w:val="文档正文"/>
    <w:basedOn w:val="1"/>
    <w:qFormat/>
    <w:uiPriority w:val="0"/>
    <w:pPr>
      <w:spacing w:line="480" w:lineRule="atLeast"/>
      <w:ind w:firstLine="567"/>
      <w:textAlignment w:val="baseline"/>
    </w:pPr>
    <w:rPr>
      <w:kern w:val="0"/>
      <w:sz w:val="24"/>
      <w:szCs w:val="20"/>
    </w:rPr>
  </w:style>
  <w:style w:type="paragraph" w:customStyle="1" w:styleId="602">
    <w:name w:val="正文文字表格居中"/>
    <w:basedOn w:val="1"/>
    <w:next w:val="56"/>
    <w:qFormat/>
    <w:uiPriority w:val="0"/>
    <w:pPr>
      <w:snapToGrid w:val="0"/>
      <w:spacing w:line="360" w:lineRule="auto"/>
    </w:pPr>
    <w:rPr>
      <w:rFonts w:ascii="宋体"/>
      <w:b/>
      <w:sz w:val="24"/>
      <w:szCs w:val="20"/>
    </w:rPr>
  </w:style>
  <w:style w:type="paragraph" w:customStyle="1" w:styleId="603">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4">
    <w:name w:val="小节"/>
    <w:basedOn w:val="5"/>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5">
    <w:name w:val="Plain Text1"/>
    <w:basedOn w:val="1"/>
    <w:qFormat/>
    <w:uiPriority w:val="7"/>
    <w:pPr>
      <w:adjustRightInd/>
    </w:pPr>
    <w:rPr>
      <w:rFonts w:ascii="宋体" w:hAnsi="Courier New"/>
    </w:rPr>
  </w:style>
  <w:style w:type="paragraph" w:customStyle="1" w:styleId="606">
    <w:name w:val="Char3"/>
    <w:basedOn w:val="1"/>
    <w:qFormat/>
    <w:uiPriority w:val="0"/>
    <w:pPr>
      <w:adjustRightInd/>
    </w:pPr>
    <w:rPr>
      <w:rFonts w:ascii="仿宋_GB2312" w:eastAsia="仿宋_GB2312"/>
      <w:b/>
      <w:sz w:val="32"/>
      <w:szCs w:val="32"/>
    </w:rPr>
  </w:style>
  <w:style w:type="paragraph" w:customStyle="1" w:styleId="607">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8">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9">
    <w:name w:val="标题2"/>
    <w:basedOn w:val="4"/>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0">
    <w:name w:val="List Paragraph1"/>
    <w:basedOn w:val="1"/>
    <w:qFormat/>
    <w:uiPriority w:val="0"/>
    <w:pPr>
      <w:spacing w:line="360" w:lineRule="auto"/>
      <w:ind w:firstLine="200" w:firstLineChars="200"/>
    </w:pPr>
    <w:rPr>
      <w:rFonts w:eastAsia="楷体_GB2312" w:cs="Lucida Sans"/>
      <w:sz w:val="24"/>
    </w:rPr>
  </w:style>
  <w:style w:type="paragraph" w:customStyle="1" w:styleId="611">
    <w:name w:val="样式 标题 3标题 3 Char第二层条h33Bold Headbh章标题1小标题level_3PIM 3..."/>
    <w:basedOn w:val="5"/>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2">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3">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4">
    <w:name w:val="Char3 Char Char Char"/>
    <w:basedOn w:val="1"/>
    <w:qFormat/>
    <w:uiPriority w:val="0"/>
    <w:pPr>
      <w:widowControl/>
      <w:adjustRightInd/>
      <w:spacing w:after="160" w:line="240" w:lineRule="exact"/>
      <w:jc w:val="left"/>
    </w:pPr>
    <w:rPr>
      <w:szCs w:val="20"/>
    </w:rPr>
  </w:style>
  <w:style w:type="paragraph" w:customStyle="1" w:styleId="615">
    <w:name w:val="表格标题2"/>
    <w:basedOn w:val="616"/>
    <w:qFormat/>
    <w:uiPriority w:val="0"/>
    <w:rPr>
      <w:b/>
    </w:rPr>
  </w:style>
  <w:style w:type="paragraph" w:customStyle="1" w:styleId="616">
    <w:name w:val="表格内文"/>
    <w:basedOn w:val="1"/>
    <w:qFormat/>
    <w:uiPriority w:val="0"/>
    <w:pPr>
      <w:adjustRightInd/>
      <w:spacing w:line="360" w:lineRule="auto"/>
    </w:pPr>
    <w:rPr>
      <w:rFonts w:ascii="宋体" w:hAnsi="宋体" w:cs="宋体"/>
      <w:color w:val="000000"/>
      <w:szCs w:val="20"/>
    </w:rPr>
  </w:style>
  <w:style w:type="paragraph" w:customStyle="1" w:styleId="617">
    <w:name w:val="Char Char Char Char Char Char Char Char Char Char2"/>
    <w:basedOn w:val="1"/>
    <w:qFormat/>
    <w:uiPriority w:val="0"/>
    <w:rPr>
      <w:rFonts w:ascii="仿宋_GB2312" w:eastAsia="仿宋_GB2312"/>
      <w:b/>
      <w:sz w:val="32"/>
      <w:szCs w:val="32"/>
    </w:rPr>
  </w:style>
  <w:style w:type="paragraph" w:customStyle="1" w:styleId="618">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9">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0">
    <w:name w:val="Char Char11 Char Char Char Char Char Char Char Char Char11"/>
    <w:basedOn w:val="1"/>
    <w:qFormat/>
    <w:uiPriority w:val="0"/>
    <w:pPr>
      <w:spacing w:line="360" w:lineRule="auto"/>
    </w:pPr>
    <w:rPr>
      <w:szCs w:val="20"/>
    </w:rPr>
  </w:style>
  <w:style w:type="paragraph" w:customStyle="1" w:styleId="621">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2">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3">
    <w:name w:val="MM Topic 1"/>
    <w:basedOn w:val="3"/>
    <w:qFormat/>
    <w:uiPriority w:val="0"/>
    <w:pPr>
      <w:tabs>
        <w:tab w:val="left" w:pos="840"/>
      </w:tabs>
      <w:adjustRightInd/>
      <w:ind w:left="840" w:hanging="420"/>
    </w:pPr>
  </w:style>
  <w:style w:type="paragraph" w:customStyle="1" w:styleId="624">
    <w:name w:val="样式 标题 2标题2H2Heading 2 HiddenHeading 2 CCBSheading 22nd lev..."/>
    <w:basedOn w:val="4"/>
    <w:qFormat/>
    <w:uiPriority w:val="0"/>
    <w:pPr>
      <w:widowControl/>
      <w:spacing w:before="260" w:after="260" w:line="416" w:lineRule="auto"/>
      <w:ind w:left="0" w:firstLine="0"/>
    </w:pPr>
    <w:rPr>
      <w:rFonts w:ascii="Arial" w:hAnsi="Arial" w:eastAsia="黑体"/>
      <w:sz w:val="30"/>
      <w:szCs w:val="21"/>
    </w:rPr>
  </w:style>
  <w:style w:type="paragraph" w:customStyle="1" w:styleId="625">
    <w:name w:val="文本正文 Char"/>
    <w:basedOn w:val="1"/>
    <w:qFormat/>
    <w:uiPriority w:val="0"/>
    <w:pPr>
      <w:spacing w:line="360" w:lineRule="auto"/>
      <w:ind w:firstLine="200" w:firstLineChars="200"/>
    </w:pPr>
    <w:rPr>
      <w:kern w:val="0"/>
      <w:sz w:val="24"/>
      <w:szCs w:val="20"/>
    </w:rPr>
  </w:style>
  <w:style w:type="paragraph" w:customStyle="1" w:styleId="626">
    <w:name w:val="表格"/>
    <w:basedOn w:val="1"/>
    <w:qFormat/>
    <w:uiPriority w:val="0"/>
    <w:pPr>
      <w:snapToGrid w:val="0"/>
      <w:ind w:firstLine="42" w:firstLineChars="21"/>
    </w:pPr>
    <w:rPr>
      <w:rFonts w:ascii="宋体" w:hAnsi="宋体"/>
      <w:kern w:val="0"/>
      <w:sz w:val="20"/>
      <w:szCs w:val="20"/>
    </w:rPr>
  </w:style>
  <w:style w:type="paragraph" w:customStyle="1" w:styleId="627">
    <w:name w:val="标书标题4"/>
    <w:basedOn w:val="7"/>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8">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29">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0">
    <w:name w:val="表格项目符号 2"/>
    <w:basedOn w:val="30"/>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1">
    <w:name w:val="EB_表格"/>
    <w:basedOn w:val="1"/>
    <w:qFormat/>
    <w:uiPriority w:val="0"/>
    <w:pPr>
      <w:adjustRightInd/>
      <w:spacing w:line="300" w:lineRule="auto"/>
      <w:jc w:val="center"/>
    </w:pPr>
  </w:style>
  <w:style w:type="paragraph" w:customStyle="1" w:styleId="632">
    <w:name w:val="_Style 6"/>
    <w:basedOn w:val="1"/>
    <w:qFormat/>
    <w:uiPriority w:val="34"/>
    <w:pPr>
      <w:adjustRightInd/>
      <w:ind w:firstLine="420" w:firstLineChars="200"/>
    </w:pPr>
    <w:rPr>
      <w:rFonts w:eastAsia="仿宋_GB2312"/>
      <w:sz w:val="28"/>
    </w:rPr>
  </w:style>
  <w:style w:type="paragraph" w:customStyle="1" w:styleId="633">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4">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5">
    <w:name w:val="!大节"/>
    <w:basedOn w:val="4"/>
    <w:qFormat/>
    <w:uiPriority w:val="0"/>
    <w:pPr>
      <w:spacing w:before="260" w:after="260" w:line="415" w:lineRule="auto"/>
      <w:ind w:left="420" w:hanging="420"/>
    </w:pPr>
    <w:rPr>
      <w:rFonts w:ascii="Arial" w:hAnsi="Arial" w:eastAsia="微软雅黑"/>
      <w:lang w:val="en-US"/>
    </w:rPr>
  </w:style>
  <w:style w:type="paragraph" w:customStyle="1" w:styleId="636">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7">
    <w:name w:val="正文表标题"/>
    <w:next w:val="638"/>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8">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9">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0">
    <w:name w:val="trademark"/>
    <w:qFormat/>
    <w:uiPriority w:val="0"/>
    <w:pPr>
      <w:spacing w:after="60"/>
    </w:pPr>
    <w:rPr>
      <w:rFonts w:ascii="Futura Bk" w:hAnsi="Futura Bk" w:eastAsia="宋体" w:cs="Times New Roman"/>
      <w:sz w:val="15"/>
      <w:lang w:val="en-US" w:eastAsia="en-US" w:bidi="ar-SA"/>
    </w:rPr>
  </w:style>
  <w:style w:type="paragraph" w:customStyle="1" w:styleId="641">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2">
    <w:name w:val="Char Char1 Char Char Char Char Char Char1"/>
    <w:basedOn w:val="1"/>
    <w:qFormat/>
    <w:uiPriority w:val="0"/>
    <w:rPr>
      <w:rFonts w:ascii="仿宋_GB2312" w:eastAsia="仿宋_GB2312"/>
      <w:b/>
      <w:sz w:val="32"/>
      <w:szCs w:val="20"/>
    </w:rPr>
  </w:style>
  <w:style w:type="paragraph" w:customStyle="1" w:styleId="643">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4">
    <w:name w:val="Char1 Char Char Char1"/>
    <w:basedOn w:val="1"/>
    <w:qFormat/>
    <w:uiPriority w:val="0"/>
    <w:pPr>
      <w:adjustRightInd/>
      <w:ind w:firstLine="200" w:firstLineChars="200"/>
    </w:pPr>
    <w:rPr>
      <w:rFonts w:ascii="Tahoma" w:hAnsi="Tahoma"/>
      <w:sz w:val="24"/>
      <w:szCs w:val="20"/>
    </w:rPr>
  </w:style>
  <w:style w:type="paragraph" w:customStyle="1" w:styleId="645">
    <w:name w:val="a1"/>
    <w:basedOn w:val="1"/>
    <w:qFormat/>
    <w:uiPriority w:val="0"/>
    <w:pPr>
      <w:widowControl/>
      <w:spacing w:line="300" w:lineRule="atLeast"/>
      <w:jc w:val="left"/>
    </w:pPr>
    <w:rPr>
      <w:rFonts w:ascii="宋体" w:hAnsi="宋体"/>
      <w:kern w:val="0"/>
      <w:sz w:val="18"/>
      <w:szCs w:val="20"/>
    </w:rPr>
  </w:style>
  <w:style w:type="paragraph" w:customStyle="1" w:styleId="646">
    <w:name w:val="样式7"/>
    <w:basedOn w:val="647"/>
    <w:next w:val="1"/>
    <w:qFormat/>
    <w:uiPriority w:val="0"/>
    <w:pPr>
      <w:spacing w:after="156" w:afterLines="50"/>
      <w:jc w:val="left"/>
      <w:outlineLvl w:val="3"/>
    </w:pPr>
    <w:rPr>
      <w:sz w:val="24"/>
      <w:szCs w:val="24"/>
    </w:rPr>
  </w:style>
  <w:style w:type="paragraph" w:customStyle="1" w:styleId="647">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8">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49">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0">
    <w:name w:val="样式 样式2 + 左侧:  1 字符 右侧:  1 字符"/>
    <w:basedOn w:val="458"/>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1">
    <w:name w:val="Char2 Char Char2"/>
    <w:basedOn w:val="1"/>
    <w:qFormat/>
    <w:uiPriority w:val="0"/>
    <w:pPr>
      <w:adjustRightInd/>
    </w:pPr>
    <w:rPr>
      <w:rFonts w:ascii="Tahoma" w:hAnsi="Tahoma"/>
      <w:sz w:val="24"/>
      <w:szCs w:val="20"/>
    </w:rPr>
  </w:style>
  <w:style w:type="paragraph" w:customStyle="1" w:styleId="652">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3">
    <w:name w:val="三级条标题"/>
    <w:basedOn w:val="654"/>
    <w:next w:val="638"/>
    <w:qFormat/>
    <w:uiPriority w:val="0"/>
    <w:pPr>
      <w:tabs>
        <w:tab w:val="left" w:pos="1260"/>
        <w:tab w:val="left" w:pos="1680"/>
        <w:tab w:val="left" w:pos="2100"/>
        <w:tab w:val="left" w:pos="2520"/>
      </w:tabs>
      <w:ind w:left="2520"/>
      <w:outlineLvl w:val="4"/>
    </w:pPr>
  </w:style>
  <w:style w:type="paragraph" w:customStyle="1" w:styleId="654">
    <w:name w:val="二级条标题"/>
    <w:basedOn w:val="655"/>
    <w:next w:val="638"/>
    <w:qFormat/>
    <w:uiPriority w:val="0"/>
    <w:pPr>
      <w:tabs>
        <w:tab w:val="left" w:pos="1260"/>
        <w:tab w:val="left" w:pos="1680"/>
        <w:tab w:val="left" w:pos="2100"/>
      </w:tabs>
      <w:ind w:left="0"/>
      <w:outlineLvl w:val="3"/>
    </w:pPr>
  </w:style>
  <w:style w:type="paragraph" w:customStyle="1" w:styleId="655">
    <w:name w:val="一级条标题"/>
    <w:basedOn w:val="656"/>
    <w:next w:val="638"/>
    <w:qFormat/>
    <w:uiPriority w:val="0"/>
    <w:pPr>
      <w:tabs>
        <w:tab w:val="left" w:pos="1260"/>
        <w:tab w:val="left" w:pos="1680"/>
      </w:tabs>
      <w:spacing w:before="0" w:beforeLines="0" w:after="0" w:afterLines="0"/>
      <w:ind w:left="1680"/>
      <w:outlineLvl w:val="2"/>
    </w:pPr>
  </w:style>
  <w:style w:type="paragraph" w:customStyle="1" w:styleId="656">
    <w:name w:val="章标题"/>
    <w:next w:val="638"/>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7">
    <w:name w:val="数字标题2"/>
    <w:basedOn w:val="4"/>
    <w:next w:val="1"/>
    <w:qFormat/>
    <w:uiPriority w:val="0"/>
    <w:pPr>
      <w:tabs>
        <w:tab w:val="left" w:pos="480"/>
      </w:tabs>
      <w:ind w:left="480" w:hanging="480"/>
    </w:pPr>
    <w:rPr>
      <w:rFonts w:ascii="Times New Roman" w:eastAsia="宋体"/>
      <w:i/>
      <w:sz w:val="36"/>
      <w:szCs w:val="36"/>
      <w:lang w:val="en-US"/>
    </w:rPr>
  </w:style>
  <w:style w:type="paragraph" w:customStyle="1" w:styleId="658">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59">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0">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1">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2">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3">
    <w:name w:val="正文 项目2"/>
    <w:basedOn w:val="664"/>
    <w:qFormat/>
    <w:uiPriority w:val="0"/>
    <w:pPr>
      <w:tabs>
        <w:tab w:val="left" w:pos="840"/>
      </w:tabs>
      <w:spacing w:after="0"/>
      <w:ind w:left="900"/>
    </w:pPr>
  </w:style>
  <w:style w:type="paragraph" w:customStyle="1" w:styleId="664">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5">
    <w:name w:val="Body Text 2*"/>
    <w:basedOn w:val="1"/>
    <w:qFormat/>
    <w:uiPriority w:val="6"/>
    <w:pPr>
      <w:widowControl/>
      <w:adjustRightInd/>
      <w:ind w:left="720" w:hanging="720"/>
    </w:pPr>
    <w:rPr>
      <w:color w:val="000000"/>
      <w:kern w:val="0"/>
      <w:sz w:val="24"/>
      <w:szCs w:val="20"/>
      <w:lang w:val="en-GB"/>
    </w:rPr>
  </w:style>
  <w:style w:type="paragraph" w:customStyle="1" w:styleId="666">
    <w:name w:val="表1"/>
    <w:basedOn w:val="1"/>
    <w:qFormat/>
    <w:uiPriority w:val="0"/>
    <w:pPr>
      <w:tabs>
        <w:tab w:val="left" w:pos="703"/>
      </w:tabs>
      <w:adjustRightInd/>
      <w:spacing w:line="360" w:lineRule="auto"/>
      <w:ind w:left="703"/>
      <w:jc w:val="center"/>
    </w:pPr>
  </w:style>
  <w:style w:type="paragraph" w:customStyle="1" w:styleId="667">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8">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69">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0">
    <w:name w:val="2级标题"/>
    <w:basedOn w:val="671"/>
    <w:qFormat/>
    <w:uiPriority w:val="0"/>
    <w:pPr>
      <w:jc w:val="left"/>
      <w:outlineLvl w:val="1"/>
    </w:pPr>
    <w:rPr>
      <w:rFonts w:ascii="Times New Roman" w:hAnsi="Times New Roman" w:eastAsia="仿宋"/>
      <w:sz w:val="30"/>
    </w:rPr>
  </w:style>
  <w:style w:type="paragraph" w:customStyle="1" w:styleId="671">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2">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3">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4">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5">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6">
    <w:name w:val="bullet"/>
    <w:basedOn w:val="1"/>
    <w:qFormat/>
    <w:uiPriority w:val="0"/>
    <w:pPr>
      <w:tabs>
        <w:tab w:val="left" w:pos="840"/>
      </w:tabs>
      <w:adjustRightInd/>
      <w:ind w:left="840" w:hanging="420"/>
    </w:pPr>
  </w:style>
  <w:style w:type="paragraph" w:customStyle="1" w:styleId="677">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8">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9">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0">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1">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2">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3">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4">
    <w:name w:val="MM Topic 4"/>
    <w:basedOn w:val="7"/>
    <w:qFormat/>
    <w:uiPriority w:val="0"/>
    <w:pPr>
      <w:tabs>
        <w:tab w:val="left" w:pos="2100"/>
      </w:tabs>
      <w:adjustRightInd/>
      <w:ind w:left="2100" w:hanging="420"/>
    </w:pPr>
    <w:rPr>
      <w:lang w:val="en-US"/>
    </w:rPr>
  </w:style>
  <w:style w:type="paragraph" w:customStyle="1" w:styleId="685">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6">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7">
    <w:name w:val="Char Char11 Char Char Char Char Char Char Char Char Char1"/>
    <w:basedOn w:val="1"/>
    <w:qFormat/>
    <w:uiPriority w:val="6"/>
    <w:pPr>
      <w:spacing w:line="360" w:lineRule="auto"/>
    </w:pPr>
    <w:rPr>
      <w:szCs w:val="20"/>
    </w:rPr>
  </w:style>
  <w:style w:type="paragraph" w:customStyle="1" w:styleId="688">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89">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0">
    <w:name w:val="body text bold"/>
    <w:basedOn w:val="24"/>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1">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2">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3">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4">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5">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6">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7">
    <w:name w:val="单元格居中"/>
    <w:basedOn w:val="1"/>
    <w:qFormat/>
    <w:uiPriority w:val="0"/>
    <w:pPr>
      <w:adjustRightInd/>
      <w:spacing w:line="360" w:lineRule="auto"/>
      <w:jc w:val="center"/>
    </w:pPr>
    <w:rPr>
      <w:sz w:val="24"/>
    </w:rPr>
  </w:style>
  <w:style w:type="paragraph" w:customStyle="1" w:styleId="698">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699">
    <w:name w:val="Char Char Char Char Char Char Char1"/>
    <w:basedOn w:val="1"/>
    <w:qFormat/>
    <w:uiPriority w:val="6"/>
    <w:rPr>
      <w:rFonts w:ascii="仿宋_GB2312" w:eastAsia="仿宋_GB2312"/>
      <w:b/>
      <w:sz w:val="32"/>
      <w:szCs w:val="32"/>
    </w:rPr>
  </w:style>
  <w:style w:type="paragraph" w:customStyle="1" w:styleId="700">
    <w:name w:val="正文缩进1"/>
    <w:basedOn w:val="1"/>
    <w:next w:val="26"/>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1">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2">
    <w:name w:val="Char3 Char Char Char11"/>
    <w:basedOn w:val="1"/>
    <w:qFormat/>
    <w:uiPriority w:val="0"/>
    <w:pPr>
      <w:widowControl/>
      <w:adjustRightInd/>
      <w:spacing w:after="160" w:line="240" w:lineRule="exact"/>
      <w:jc w:val="left"/>
    </w:pPr>
    <w:rPr>
      <w:szCs w:val="20"/>
    </w:rPr>
  </w:style>
  <w:style w:type="paragraph" w:customStyle="1" w:styleId="703">
    <w:name w:val="Char Char1121"/>
    <w:basedOn w:val="1"/>
    <w:qFormat/>
    <w:uiPriority w:val="0"/>
    <w:pPr>
      <w:spacing w:line="360" w:lineRule="auto"/>
    </w:pPr>
    <w:rPr>
      <w:szCs w:val="20"/>
    </w:rPr>
  </w:style>
  <w:style w:type="paragraph" w:customStyle="1" w:styleId="704">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5">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6">
    <w:name w:val="Normal0"/>
    <w:qFormat/>
    <w:uiPriority w:val="0"/>
    <w:rPr>
      <w:rFonts w:ascii="Times New Roman" w:hAnsi="Times New Roman" w:eastAsia="宋体" w:cs="Times New Roman"/>
      <w:lang w:val="en-US" w:eastAsia="en-US" w:bidi="ar-SA"/>
    </w:rPr>
  </w:style>
  <w:style w:type="paragraph" w:customStyle="1" w:styleId="707">
    <w:name w:val="带编号样式"/>
    <w:basedOn w:val="625"/>
    <w:qFormat/>
    <w:uiPriority w:val="0"/>
    <w:pPr>
      <w:tabs>
        <w:tab w:val="left" w:pos="840"/>
      </w:tabs>
      <w:snapToGrid w:val="0"/>
      <w:ind w:left="840" w:hanging="420" w:firstLineChars="0"/>
    </w:pPr>
    <w:rPr>
      <w:rFonts w:ascii="仿宋_GB2312" w:eastAsia="仿宋_GB2312"/>
      <w:color w:val="000000"/>
    </w:rPr>
  </w:style>
  <w:style w:type="paragraph" w:customStyle="1" w:styleId="708">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9">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0">
    <w:name w:val="封面"/>
    <w:basedOn w:val="1"/>
    <w:qFormat/>
    <w:uiPriority w:val="0"/>
    <w:pPr>
      <w:spacing w:line="360" w:lineRule="atLeast"/>
      <w:jc w:val="right"/>
      <w:textAlignment w:val="baseline"/>
    </w:pPr>
    <w:rPr>
      <w:rFonts w:ascii="Symbol" w:hAnsi="Symbol"/>
      <w:kern w:val="0"/>
      <w:szCs w:val="20"/>
    </w:rPr>
  </w:style>
  <w:style w:type="paragraph" w:customStyle="1" w:styleId="711">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2">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3">
    <w:name w:val="默认段落字体 Para Char Char Char1 Char"/>
    <w:basedOn w:val="1"/>
    <w:qFormat/>
    <w:uiPriority w:val="0"/>
    <w:pPr>
      <w:spacing w:line="240" w:lineRule="atLeast"/>
      <w:ind w:left="420" w:firstLine="420"/>
    </w:pPr>
    <w:rPr>
      <w:sz w:val="24"/>
    </w:rPr>
  </w:style>
  <w:style w:type="paragraph" w:customStyle="1" w:styleId="714">
    <w:name w:val="WW-正文文字缩进 2"/>
    <w:basedOn w:val="1"/>
    <w:qFormat/>
    <w:uiPriority w:val="0"/>
    <w:pPr>
      <w:suppressAutoHyphens/>
      <w:adjustRightInd/>
      <w:ind w:firstLine="420"/>
    </w:pPr>
    <w:rPr>
      <w:kern w:val="1"/>
      <w:szCs w:val="20"/>
    </w:rPr>
  </w:style>
  <w:style w:type="paragraph" w:customStyle="1" w:styleId="715">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6">
    <w:name w:val="样式 标题 2 + 四号"/>
    <w:basedOn w:val="4"/>
    <w:qFormat/>
    <w:uiPriority w:val="0"/>
    <w:pPr>
      <w:spacing w:before="120" w:after="120"/>
      <w:ind w:left="0" w:firstLine="0"/>
      <w:jc w:val="both"/>
    </w:pPr>
    <w:rPr>
      <w:rFonts w:ascii="宋体" w:hAnsi="Arial" w:eastAsia="宋体"/>
      <w:sz w:val="28"/>
      <w:lang w:val="en-US"/>
    </w:rPr>
  </w:style>
  <w:style w:type="paragraph" w:customStyle="1" w:styleId="717">
    <w:name w:val="有符号正文"/>
    <w:basedOn w:val="1"/>
    <w:qFormat/>
    <w:uiPriority w:val="0"/>
    <w:pPr>
      <w:adjustRightInd/>
      <w:spacing w:line="400" w:lineRule="exact"/>
      <w:ind w:firstLine="200" w:firstLineChars="200"/>
    </w:pPr>
    <w:rPr>
      <w:rFonts w:ascii="Arial" w:hAnsi="Arial"/>
    </w:rPr>
  </w:style>
  <w:style w:type="paragraph" w:customStyle="1" w:styleId="718">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9">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0">
    <w:name w:val="4"/>
    <w:basedOn w:val="1"/>
    <w:next w:val="38"/>
    <w:qFormat/>
    <w:uiPriority w:val="0"/>
    <w:pPr>
      <w:spacing w:after="120" w:line="480" w:lineRule="auto"/>
      <w:ind w:left="420" w:leftChars="200"/>
    </w:pPr>
    <w:rPr>
      <w:sz w:val="24"/>
      <w:szCs w:val="20"/>
    </w:rPr>
  </w:style>
  <w:style w:type="paragraph" w:customStyle="1" w:styleId="721">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2">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3">
    <w:name w:val="样式 标题 3H3 + 两端对齐"/>
    <w:basedOn w:val="5"/>
    <w:qFormat/>
    <w:uiPriority w:val="0"/>
    <w:pPr>
      <w:keepLines w:val="0"/>
      <w:spacing w:before="0" w:after="0" w:line="240" w:lineRule="auto"/>
      <w:jc w:val="left"/>
    </w:pPr>
    <w:rPr>
      <w:rFonts w:cs="宋体"/>
      <w:sz w:val="21"/>
      <w:szCs w:val="20"/>
    </w:rPr>
  </w:style>
  <w:style w:type="paragraph" w:customStyle="1" w:styleId="724">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5">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6">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7">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8">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9">
    <w:name w:val="Char Char1 Char Char Char"/>
    <w:basedOn w:val="1"/>
    <w:qFormat/>
    <w:uiPriority w:val="0"/>
    <w:rPr>
      <w:rFonts w:ascii="仿宋_GB2312" w:eastAsia="仿宋_GB2312"/>
      <w:b/>
      <w:sz w:val="32"/>
      <w:szCs w:val="20"/>
    </w:rPr>
  </w:style>
  <w:style w:type="paragraph" w:customStyle="1" w:styleId="730">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1">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2">
    <w:name w:val="Picture"/>
    <w:basedOn w:val="1"/>
    <w:next w:val="17"/>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3">
    <w:name w:val="Char Char1 Char Char Char2"/>
    <w:basedOn w:val="1"/>
    <w:qFormat/>
    <w:uiPriority w:val="0"/>
    <w:rPr>
      <w:rFonts w:ascii="仿宋_GB2312" w:eastAsia="仿宋_GB2312"/>
      <w:b/>
      <w:sz w:val="32"/>
      <w:szCs w:val="32"/>
    </w:rPr>
  </w:style>
  <w:style w:type="paragraph" w:customStyle="1" w:styleId="734">
    <w:name w:val="Char3 Char Char Char1"/>
    <w:basedOn w:val="1"/>
    <w:qFormat/>
    <w:uiPriority w:val="6"/>
    <w:pPr>
      <w:widowControl/>
      <w:adjustRightInd/>
      <w:spacing w:after="160" w:line="240" w:lineRule="exact"/>
      <w:jc w:val="left"/>
    </w:pPr>
    <w:rPr>
      <w:szCs w:val="20"/>
    </w:rPr>
  </w:style>
  <w:style w:type="paragraph" w:customStyle="1" w:styleId="735">
    <w:name w:val="Char1 Char Char Char21"/>
    <w:basedOn w:val="1"/>
    <w:qFormat/>
    <w:uiPriority w:val="0"/>
    <w:rPr>
      <w:rFonts w:ascii="Tahoma" w:hAnsi="Tahoma"/>
      <w:sz w:val="24"/>
      <w:szCs w:val="20"/>
    </w:rPr>
  </w:style>
  <w:style w:type="paragraph" w:customStyle="1" w:styleId="736">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7">
    <w:name w:val="正文（标题三）"/>
    <w:basedOn w:val="1"/>
    <w:qFormat/>
    <w:uiPriority w:val="0"/>
    <w:pPr>
      <w:spacing w:line="360" w:lineRule="auto"/>
      <w:ind w:firstLine="200" w:firstLineChars="200"/>
    </w:pPr>
    <w:rPr>
      <w:sz w:val="24"/>
    </w:rPr>
  </w:style>
  <w:style w:type="paragraph" w:customStyle="1" w:styleId="738">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39">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0">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1">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2">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3">
    <w:name w:val="Char1 Char Char Char4"/>
    <w:basedOn w:val="1"/>
    <w:qFormat/>
    <w:uiPriority w:val="0"/>
    <w:pPr>
      <w:adjustRightInd/>
      <w:ind w:firstLine="200" w:firstLineChars="200"/>
    </w:pPr>
    <w:rPr>
      <w:rFonts w:ascii="Tahoma" w:hAnsi="Tahoma"/>
      <w:sz w:val="24"/>
      <w:szCs w:val="20"/>
    </w:rPr>
  </w:style>
  <w:style w:type="paragraph" w:customStyle="1" w:styleId="744">
    <w:name w:val="_标题2"/>
    <w:basedOn w:val="711"/>
    <w:next w:val="711"/>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5">
    <w:name w:val="样式1 + (中宋体"/>
    <w:basedOn w:val="722"/>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6">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7">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8">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9">
    <w:name w:val="四号　首行缩进"/>
    <w:basedOn w:val="1"/>
    <w:qFormat/>
    <w:uiPriority w:val="0"/>
    <w:pPr>
      <w:adjustRightInd/>
      <w:spacing w:line="360" w:lineRule="auto"/>
    </w:pPr>
    <w:rPr>
      <w:rFonts w:ascii="宋体" w:hAnsi="宋体"/>
      <w:szCs w:val="20"/>
    </w:rPr>
  </w:style>
  <w:style w:type="paragraph" w:customStyle="1" w:styleId="750">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1">
    <w:name w:val="Char Char Char Char Char Char Char Char Char Char Char1 Char"/>
    <w:basedOn w:val="1"/>
    <w:qFormat/>
    <w:uiPriority w:val="0"/>
    <w:pPr>
      <w:adjustRightInd/>
    </w:pPr>
    <w:rPr>
      <w:rFonts w:ascii="Tahoma" w:hAnsi="Tahoma"/>
      <w:sz w:val="24"/>
    </w:rPr>
  </w:style>
  <w:style w:type="paragraph" w:customStyle="1" w:styleId="752">
    <w:name w:val="Char Char Char Char11"/>
    <w:basedOn w:val="1"/>
    <w:qFormat/>
    <w:uiPriority w:val="0"/>
    <w:rPr>
      <w:rFonts w:ascii="Tahoma" w:hAnsi="Tahoma"/>
      <w:sz w:val="24"/>
      <w:szCs w:val="20"/>
    </w:rPr>
  </w:style>
  <w:style w:type="paragraph" w:customStyle="1" w:styleId="753">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4">
    <w:name w:val="Char Char Char Char"/>
    <w:basedOn w:val="1"/>
    <w:qFormat/>
    <w:uiPriority w:val="0"/>
    <w:rPr>
      <w:rFonts w:ascii="Tahoma" w:hAnsi="Tahoma"/>
      <w:sz w:val="24"/>
      <w:szCs w:val="20"/>
    </w:rPr>
  </w:style>
  <w:style w:type="paragraph" w:customStyle="1" w:styleId="755">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6">
    <w:name w:val="Char19"/>
    <w:basedOn w:val="1"/>
    <w:qFormat/>
    <w:uiPriority w:val="0"/>
    <w:pPr>
      <w:adjustRightInd/>
    </w:pPr>
    <w:rPr>
      <w:szCs w:val="20"/>
    </w:rPr>
  </w:style>
  <w:style w:type="paragraph" w:customStyle="1" w:styleId="757">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8">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59">
    <w:name w:val="_Style 5"/>
    <w:basedOn w:val="1"/>
    <w:qFormat/>
    <w:uiPriority w:val="34"/>
    <w:pPr>
      <w:adjustRightInd/>
      <w:ind w:firstLine="420" w:firstLineChars="200"/>
    </w:pPr>
    <w:rPr>
      <w:rFonts w:eastAsia="仿宋_GB2312"/>
      <w:sz w:val="28"/>
    </w:rPr>
  </w:style>
  <w:style w:type="paragraph" w:customStyle="1" w:styleId="760">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1">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2">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3">
    <w:name w:val="标书表格字体格式"/>
    <w:next w:val="757"/>
    <w:qFormat/>
    <w:uiPriority w:val="0"/>
    <w:rPr>
      <w:rFonts w:ascii="Times New Roman" w:hAnsi="Times New Roman" w:eastAsia="宋体" w:cs="Times New Roman"/>
      <w:kern w:val="2"/>
      <w:sz w:val="21"/>
      <w:szCs w:val="24"/>
      <w:lang w:val="en-US" w:eastAsia="zh-CN" w:bidi="ar-SA"/>
    </w:rPr>
  </w:style>
  <w:style w:type="paragraph" w:customStyle="1" w:styleId="764">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5">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6">
    <w:name w:val="修订3"/>
    <w:qFormat/>
    <w:uiPriority w:val="0"/>
    <w:rPr>
      <w:rFonts w:ascii="Times New Roman" w:hAnsi="Times New Roman" w:eastAsia="宋体" w:cs="Times New Roman"/>
      <w:kern w:val="2"/>
      <w:sz w:val="21"/>
      <w:lang w:val="en-US" w:eastAsia="zh-CN" w:bidi="ar-SA"/>
    </w:rPr>
  </w:style>
  <w:style w:type="paragraph" w:customStyle="1" w:styleId="767">
    <w:name w:val="CSS1级正文 Char"/>
    <w:basedOn w:val="24"/>
    <w:qFormat/>
    <w:uiPriority w:val="0"/>
    <w:pPr>
      <w:autoSpaceDE/>
      <w:autoSpaceDN/>
      <w:snapToGrid w:val="0"/>
      <w:ind w:firstLine="480" w:firstLineChars="200"/>
    </w:pPr>
    <w:rPr>
      <w:rFonts w:ascii="Times New Roman"/>
      <w:szCs w:val="24"/>
      <w:lang w:val="en-US"/>
    </w:rPr>
  </w:style>
  <w:style w:type="paragraph" w:customStyle="1" w:styleId="768">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9">
    <w:name w:val="表文字"/>
    <w:qFormat/>
    <w:uiPriority w:val="0"/>
    <w:rPr>
      <w:rFonts w:ascii="宋体" w:hAnsi="Times New Roman" w:eastAsia="宋体" w:cs="Times New Roman"/>
      <w:kern w:val="2"/>
      <w:lang w:val="en-US" w:eastAsia="zh-CN" w:bidi="ar-SA"/>
    </w:rPr>
  </w:style>
  <w:style w:type="paragraph" w:customStyle="1" w:styleId="770">
    <w:name w:val="MM Title"/>
    <w:basedOn w:val="59"/>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1">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2">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3">
    <w:name w:val="Char Char Char Char Char Char Char Char2"/>
    <w:basedOn w:val="1"/>
    <w:qFormat/>
    <w:uiPriority w:val="0"/>
    <w:pPr>
      <w:tabs>
        <w:tab w:val="left" w:pos="360"/>
      </w:tabs>
    </w:pPr>
    <w:rPr>
      <w:sz w:val="24"/>
      <w:szCs w:val="20"/>
    </w:rPr>
  </w:style>
  <w:style w:type="paragraph" w:customStyle="1" w:styleId="774">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5">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6">
    <w:name w:val="中文标题 3"/>
    <w:basedOn w:val="26"/>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7">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8">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9">
    <w:name w:val="正文－恩普"/>
    <w:basedOn w:val="6"/>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0">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1">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2">
    <w:name w:val="p0"/>
    <w:basedOn w:val="1"/>
    <w:qFormat/>
    <w:uiPriority w:val="0"/>
    <w:pPr>
      <w:widowControl/>
      <w:adjustRightInd/>
    </w:pPr>
    <w:rPr>
      <w:kern w:val="0"/>
      <w:szCs w:val="21"/>
    </w:rPr>
  </w:style>
  <w:style w:type="paragraph" w:customStyle="1" w:styleId="783">
    <w:name w:val="Char6"/>
    <w:basedOn w:val="1"/>
    <w:qFormat/>
    <w:uiPriority w:val="0"/>
    <w:rPr>
      <w:rFonts w:ascii="仿宋_GB2312" w:eastAsia="仿宋_GB2312"/>
      <w:b/>
      <w:sz w:val="32"/>
      <w:szCs w:val="32"/>
    </w:rPr>
  </w:style>
  <w:style w:type="paragraph" w:customStyle="1" w:styleId="784">
    <w:name w:val="Char111"/>
    <w:basedOn w:val="1"/>
    <w:qFormat/>
    <w:uiPriority w:val="0"/>
    <w:rPr>
      <w:rFonts w:ascii="仿宋_GB2312" w:eastAsia="仿宋_GB2312"/>
      <w:b/>
      <w:sz w:val="32"/>
      <w:szCs w:val="32"/>
    </w:rPr>
  </w:style>
  <w:style w:type="paragraph" w:customStyle="1" w:styleId="785">
    <w:name w:val="标题3"/>
    <w:basedOn w:val="5"/>
    <w:next w:val="53"/>
    <w:qFormat/>
    <w:uiPriority w:val="0"/>
    <w:pPr>
      <w:tabs>
        <w:tab w:val="clear" w:pos="900"/>
      </w:tabs>
      <w:spacing w:after="0" w:line="360" w:lineRule="auto"/>
    </w:pPr>
    <w:rPr>
      <w:rFonts w:ascii="仿宋" w:hAnsi="仿宋" w:eastAsia="仿宋" w:cs="仿宋"/>
    </w:rPr>
  </w:style>
  <w:style w:type="paragraph" w:customStyle="1" w:styleId="786">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7">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8">
    <w:name w:val="Char1 Char Char Char2"/>
    <w:basedOn w:val="1"/>
    <w:qFormat/>
    <w:uiPriority w:val="0"/>
    <w:pPr>
      <w:adjustRightInd/>
      <w:ind w:firstLine="200" w:firstLineChars="200"/>
    </w:pPr>
    <w:rPr>
      <w:rFonts w:ascii="Tahoma" w:hAnsi="Tahoma"/>
      <w:sz w:val="24"/>
      <w:szCs w:val="20"/>
    </w:rPr>
  </w:style>
  <w:style w:type="paragraph" w:customStyle="1" w:styleId="789">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0">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1">
    <w:name w:val="Char Char Char Char Char Char Char2"/>
    <w:basedOn w:val="1"/>
    <w:qFormat/>
    <w:uiPriority w:val="0"/>
    <w:rPr>
      <w:rFonts w:ascii="仿宋_GB2312" w:eastAsia="仿宋_GB2312"/>
      <w:b/>
      <w:sz w:val="32"/>
      <w:szCs w:val="32"/>
    </w:rPr>
  </w:style>
  <w:style w:type="paragraph" w:customStyle="1" w:styleId="792">
    <w:name w:val="五级条标题"/>
    <w:basedOn w:val="793"/>
    <w:next w:val="638"/>
    <w:qFormat/>
    <w:uiPriority w:val="0"/>
    <w:pPr>
      <w:tabs>
        <w:tab w:val="left" w:pos="1260"/>
        <w:tab w:val="left" w:pos="1680"/>
        <w:tab w:val="left" w:pos="2100"/>
        <w:tab w:val="left" w:pos="2940"/>
        <w:tab w:val="left" w:pos="3360"/>
      </w:tabs>
      <w:ind w:left="3360"/>
      <w:outlineLvl w:val="6"/>
    </w:pPr>
  </w:style>
  <w:style w:type="paragraph" w:customStyle="1" w:styleId="793">
    <w:name w:val="四级条标题"/>
    <w:basedOn w:val="653"/>
    <w:next w:val="638"/>
    <w:qFormat/>
    <w:uiPriority w:val="0"/>
    <w:pPr>
      <w:tabs>
        <w:tab w:val="left" w:pos="2940"/>
        <w:tab w:val="clear" w:pos="2520"/>
      </w:tabs>
      <w:ind w:left="2940"/>
      <w:outlineLvl w:val="5"/>
    </w:pPr>
  </w:style>
  <w:style w:type="paragraph" w:customStyle="1" w:styleId="794">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5">
    <w:name w:val="Char23"/>
    <w:basedOn w:val="1"/>
    <w:qFormat/>
    <w:uiPriority w:val="0"/>
    <w:rPr>
      <w:rFonts w:ascii="仿宋_GB2312" w:eastAsia="仿宋_GB2312"/>
      <w:b/>
      <w:sz w:val="32"/>
      <w:szCs w:val="32"/>
    </w:rPr>
  </w:style>
  <w:style w:type="paragraph" w:customStyle="1" w:styleId="796">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7">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8">
    <w:name w:val="首行缩进"/>
    <w:basedOn w:val="1"/>
    <w:qFormat/>
    <w:uiPriority w:val="0"/>
    <w:pPr>
      <w:spacing w:line="360" w:lineRule="auto"/>
      <w:ind w:firstLine="480" w:firstLineChars="200"/>
    </w:pPr>
    <w:rPr>
      <w:rFonts w:ascii="宋体"/>
      <w:sz w:val="24"/>
      <w:szCs w:val="20"/>
    </w:rPr>
  </w:style>
  <w:style w:type="paragraph" w:customStyle="1" w:styleId="799">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0">
    <w:name w:val="单元格左对齐"/>
    <w:basedOn w:val="1"/>
    <w:qFormat/>
    <w:uiPriority w:val="0"/>
    <w:pPr>
      <w:adjustRightInd/>
      <w:spacing w:line="360" w:lineRule="auto"/>
    </w:pPr>
    <w:rPr>
      <w:sz w:val="24"/>
    </w:rPr>
  </w:style>
  <w:style w:type="paragraph" w:customStyle="1" w:styleId="801">
    <w:name w:val="正文主体"/>
    <w:basedOn w:val="622"/>
    <w:qFormat/>
    <w:uiPriority w:val="0"/>
  </w:style>
  <w:style w:type="paragraph" w:customStyle="1" w:styleId="802">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3">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4">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5">
    <w:name w:val="正文（首行缩进2字符）"/>
    <w:basedOn w:val="1"/>
    <w:qFormat/>
    <w:uiPriority w:val="0"/>
    <w:pPr>
      <w:adjustRightInd/>
      <w:spacing w:line="360" w:lineRule="auto"/>
      <w:ind w:firstLine="480" w:firstLineChars="200"/>
    </w:pPr>
    <w:rPr>
      <w:sz w:val="24"/>
      <w:szCs w:val="20"/>
    </w:rPr>
  </w:style>
  <w:style w:type="paragraph" w:customStyle="1" w:styleId="806">
    <w:name w:val="P1"/>
    <w:basedOn w:val="1"/>
    <w:qFormat/>
    <w:uiPriority w:val="0"/>
    <w:pPr>
      <w:adjustRightInd/>
      <w:spacing w:line="288" w:lineRule="auto"/>
      <w:ind w:firstLine="425" w:firstLineChars="200"/>
    </w:pPr>
  </w:style>
  <w:style w:type="paragraph" w:customStyle="1" w:styleId="807">
    <w:name w:val="列表内容"/>
    <w:basedOn w:val="1"/>
    <w:next w:val="1"/>
    <w:qFormat/>
    <w:uiPriority w:val="0"/>
    <w:pPr>
      <w:widowControl/>
      <w:tabs>
        <w:tab w:val="left" w:pos="840"/>
      </w:tabs>
      <w:ind w:left="840" w:hanging="420"/>
      <w:jc w:val="left"/>
    </w:pPr>
    <w:rPr>
      <w:kern w:val="0"/>
      <w:sz w:val="18"/>
    </w:rPr>
  </w:style>
  <w:style w:type="paragraph" w:customStyle="1" w:styleId="808">
    <w:name w:val="Char Char11 Char Char Char1"/>
    <w:basedOn w:val="1"/>
    <w:qFormat/>
    <w:uiPriority w:val="6"/>
    <w:pPr>
      <w:spacing w:line="360" w:lineRule="auto"/>
    </w:pPr>
    <w:rPr>
      <w:szCs w:val="20"/>
    </w:rPr>
  </w:style>
  <w:style w:type="paragraph" w:customStyle="1" w:styleId="809">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0">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1">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2">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3">
    <w:name w:val="正文文字缩进2字"/>
    <w:basedOn w:val="24"/>
    <w:qFormat/>
    <w:uiPriority w:val="0"/>
    <w:pPr>
      <w:autoSpaceDE/>
      <w:autoSpaceDN/>
      <w:adjustRightInd/>
      <w:spacing w:before="60" w:after="60"/>
      <w:ind w:firstLine="200" w:firstLineChars="200"/>
    </w:pPr>
    <w:rPr>
      <w:rFonts w:ascii="Times New Roman"/>
      <w:szCs w:val="20"/>
      <w:lang w:val="en-US"/>
    </w:rPr>
  </w:style>
  <w:style w:type="paragraph" w:customStyle="1" w:styleId="814">
    <w:name w:val="默认段落字体 Para Char Char Char Char"/>
    <w:basedOn w:val="1"/>
    <w:qFormat/>
    <w:uiPriority w:val="0"/>
    <w:pPr>
      <w:spacing w:line="360" w:lineRule="auto"/>
    </w:pPr>
    <w:rPr>
      <w:szCs w:val="20"/>
    </w:rPr>
  </w:style>
  <w:style w:type="paragraph" w:customStyle="1" w:styleId="815">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6">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7">
    <w:name w:val="Char2 Char Char Char2"/>
    <w:basedOn w:val="1"/>
    <w:qFormat/>
    <w:uiPriority w:val="0"/>
    <w:rPr>
      <w:rFonts w:ascii="仿宋_GB2312" w:eastAsia="仿宋_GB2312"/>
      <w:b/>
      <w:sz w:val="32"/>
      <w:szCs w:val="32"/>
    </w:rPr>
  </w:style>
  <w:style w:type="paragraph" w:customStyle="1" w:styleId="818">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19">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0">
    <w:name w:val="正文 首行缩进:  2 字符 Char"/>
    <w:basedOn w:val="1"/>
    <w:qFormat/>
    <w:uiPriority w:val="0"/>
    <w:pPr>
      <w:adjustRightInd/>
      <w:spacing w:line="360" w:lineRule="auto"/>
      <w:ind w:firstLine="480"/>
    </w:pPr>
    <w:rPr>
      <w:rFonts w:cs="宋体"/>
      <w:sz w:val="24"/>
      <w:szCs w:val="20"/>
    </w:rPr>
  </w:style>
  <w:style w:type="paragraph" w:customStyle="1" w:styleId="821">
    <w:name w:val="Char Char4 Char Char"/>
    <w:basedOn w:val="1"/>
    <w:qFormat/>
    <w:uiPriority w:val="0"/>
    <w:pPr>
      <w:widowControl/>
      <w:adjustRightInd/>
      <w:spacing w:after="160" w:line="240" w:lineRule="exact"/>
      <w:jc w:val="left"/>
    </w:pPr>
  </w:style>
  <w:style w:type="paragraph" w:customStyle="1" w:styleId="822">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3">
    <w:name w:val="Char Char11 Char Char Char2"/>
    <w:basedOn w:val="1"/>
    <w:qFormat/>
    <w:uiPriority w:val="0"/>
    <w:pPr>
      <w:spacing w:line="360" w:lineRule="auto"/>
    </w:pPr>
    <w:rPr>
      <w:szCs w:val="20"/>
    </w:rPr>
  </w:style>
  <w:style w:type="paragraph" w:customStyle="1" w:styleId="824">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5">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6">
    <w:name w:val="数字标题4"/>
    <w:basedOn w:val="7"/>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7">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8">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29">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0">
    <w:name w:val="Char311"/>
    <w:basedOn w:val="1"/>
    <w:qFormat/>
    <w:uiPriority w:val="0"/>
    <w:pPr>
      <w:adjustRightInd/>
      <w:ind w:firstLine="200" w:firstLineChars="200"/>
    </w:pPr>
    <w:rPr>
      <w:rFonts w:ascii="Tahoma" w:hAnsi="Tahoma"/>
      <w:sz w:val="24"/>
      <w:szCs w:val="20"/>
    </w:rPr>
  </w:style>
  <w:style w:type="paragraph" w:customStyle="1" w:styleId="831">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2">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3">
    <w:name w:val="正文 内标"/>
    <w:basedOn w:val="748"/>
    <w:qFormat/>
    <w:uiPriority w:val="0"/>
    <w:pPr>
      <w:tabs>
        <w:tab w:val="left" w:pos="0"/>
      </w:tabs>
      <w:ind w:left="900" w:firstLine="0" w:firstLineChars="0"/>
    </w:pPr>
  </w:style>
  <w:style w:type="paragraph" w:customStyle="1" w:styleId="834">
    <w:name w:val="Bulleted List"/>
    <w:basedOn w:val="1"/>
    <w:qFormat/>
    <w:uiPriority w:val="0"/>
    <w:pPr>
      <w:tabs>
        <w:tab w:val="left" w:pos="1260"/>
      </w:tabs>
      <w:adjustRightInd/>
      <w:ind w:left="1260" w:hanging="420"/>
    </w:pPr>
  </w:style>
  <w:style w:type="paragraph" w:customStyle="1" w:styleId="835">
    <w:name w:val="样式 正文文本缩进 2 + 仿宋_GB2312 黑色 行距: 1.5 倍行距"/>
    <w:basedOn w:val="38"/>
    <w:qFormat/>
    <w:uiPriority w:val="0"/>
    <w:pPr>
      <w:adjustRightInd/>
      <w:ind w:firstLine="560" w:firstLineChars="200"/>
      <w:textAlignment w:val="auto"/>
    </w:pPr>
    <w:rPr>
      <w:rFonts w:hAnsi="宋体" w:cs="宋体"/>
      <w:color w:val="000000"/>
      <w:kern w:val="2"/>
      <w:sz w:val="24"/>
    </w:rPr>
  </w:style>
  <w:style w:type="paragraph" w:customStyle="1" w:styleId="836">
    <w:name w:val="样式 左侧:  0.85 厘米"/>
    <w:basedOn w:val="1"/>
    <w:qFormat/>
    <w:uiPriority w:val="2"/>
    <w:pPr>
      <w:adjustRightInd/>
      <w:spacing w:line="360" w:lineRule="auto"/>
    </w:pPr>
    <w:rPr>
      <w:rFonts w:cs="宋体"/>
      <w:sz w:val="24"/>
      <w:szCs w:val="20"/>
    </w:rPr>
  </w:style>
  <w:style w:type="paragraph" w:customStyle="1" w:styleId="837">
    <w:name w:val="Char Char Char Char Char Char Char Char Char Char Char Char1 Char"/>
    <w:basedOn w:val="1"/>
    <w:qFormat/>
    <w:uiPriority w:val="0"/>
    <w:rPr>
      <w:rFonts w:ascii="Tahoma" w:hAnsi="Tahoma" w:cs="仿宋_GB2312"/>
      <w:sz w:val="24"/>
      <w:szCs w:val="20"/>
    </w:rPr>
  </w:style>
  <w:style w:type="paragraph" w:customStyle="1" w:styleId="838">
    <w:name w:val="正文1"/>
    <w:basedOn w:val="33"/>
    <w:qFormat/>
    <w:uiPriority w:val="0"/>
    <w:pPr>
      <w:ind w:left="0" w:leftChars="0" w:firstLine="480" w:firstLineChars="200"/>
    </w:pPr>
    <w:rPr>
      <w:rFonts w:ascii="仿宋_GB2312" w:hAnsi="Courier New" w:eastAsia="仿宋_GB2312"/>
      <w:kern w:val="28"/>
      <w:sz w:val="24"/>
    </w:rPr>
  </w:style>
  <w:style w:type="paragraph" w:customStyle="1" w:styleId="839">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0">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1">
    <w:name w:val="模板普通正文"/>
    <w:basedOn w:val="26"/>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2">
    <w:name w:val="Char Char1 Char Char Char Char Char Char"/>
    <w:basedOn w:val="1"/>
    <w:qFormat/>
    <w:uiPriority w:val="0"/>
    <w:rPr>
      <w:rFonts w:ascii="仿宋_GB2312" w:eastAsia="仿宋_GB2312"/>
      <w:b/>
      <w:sz w:val="32"/>
      <w:szCs w:val="20"/>
    </w:rPr>
  </w:style>
  <w:style w:type="paragraph" w:customStyle="1" w:styleId="843">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4">
    <w:name w:val="Char Char1 Char Char Char Char Char Char2"/>
    <w:basedOn w:val="1"/>
    <w:qFormat/>
    <w:uiPriority w:val="0"/>
    <w:rPr>
      <w:rFonts w:ascii="仿宋_GB2312" w:eastAsia="仿宋_GB2312"/>
      <w:b/>
      <w:sz w:val="32"/>
      <w:szCs w:val="20"/>
    </w:rPr>
  </w:style>
  <w:style w:type="paragraph" w:customStyle="1" w:styleId="845">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6">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7">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8">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9">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0">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1">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2">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3">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4">
    <w:name w:val="Char31"/>
    <w:basedOn w:val="1"/>
    <w:qFormat/>
    <w:uiPriority w:val="0"/>
    <w:pPr>
      <w:adjustRightInd/>
    </w:pPr>
    <w:rPr>
      <w:rFonts w:ascii="仿宋_GB2312" w:eastAsia="仿宋_GB2312"/>
      <w:b/>
      <w:sz w:val="32"/>
      <w:szCs w:val="32"/>
    </w:rPr>
  </w:style>
  <w:style w:type="paragraph" w:customStyle="1" w:styleId="855">
    <w:name w:val="样式 标题 3h33rd level3Heading 3 - oldH3l3CTheading 3Headin..."/>
    <w:basedOn w:val="5"/>
    <w:qFormat/>
    <w:uiPriority w:val="0"/>
    <w:pPr>
      <w:snapToGrid w:val="0"/>
      <w:ind w:left="0" w:firstLine="0"/>
      <w:jc w:val="left"/>
    </w:pPr>
    <w:rPr>
      <w:rFonts w:eastAsia="黑体" w:cs="宋体"/>
      <w:sz w:val="28"/>
      <w:szCs w:val="20"/>
    </w:rPr>
  </w:style>
  <w:style w:type="paragraph" w:customStyle="1" w:styleId="856">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7">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8">
    <w:name w:val="Char Char1"/>
    <w:basedOn w:val="1"/>
    <w:qFormat/>
    <w:uiPriority w:val="0"/>
    <w:pPr>
      <w:widowControl/>
      <w:spacing w:after="160" w:line="240" w:lineRule="exact"/>
      <w:jc w:val="left"/>
    </w:pPr>
    <w:rPr>
      <w:rFonts w:eastAsia="仿宋_GB2312"/>
      <w:sz w:val="28"/>
    </w:rPr>
  </w:style>
  <w:style w:type="paragraph" w:customStyle="1" w:styleId="859">
    <w:name w:val="Char21"/>
    <w:basedOn w:val="1"/>
    <w:qFormat/>
    <w:uiPriority w:val="0"/>
    <w:pPr>
      <w:adjustRightInd/>
      <w:ind w:firstLine="200" w:firstLineChars="200"/>
    </w:pPr>
    <w:rPr>
      <w:rFonts w:ascii="仿宋_GB2312" w:eastAsia="仿宋_GB2312"/>
      <w:b/>
      <w:sz w:val="32"/>
      <w:szCs w:val="32"/>
    </w:rPr>
  </w:style>
  <w:style w:type="paragraph" w:customStyle="1" w:styleId="860">
    <w:name w:val="列表段落1"/>
    <w:basedOn w:val="1"/>
    <w:qFormat/>
    <w:uiPriority w:val="34"/>
    <w:pPr>
      <w:adjustRightInd/>
      <w:ind w:right="238" w:firstLine="420"/>
    </w:pPr>
    <w:rPr>
      <w:rFonts w:ascii="Calibri" w:hAnsi="Calibri"/>
      <w:sz w:val="24"/>
    </w:rPr>
  </w:style>
  <w:style w:type="paragraph" w:customStyle="1" w:styleId="861">
    <w:name w:val="Char Char110"/>
    <w:basedOn w:val="1"/>
    <w:qFormat/>
    <w:uiPriority w:val="6"/>
    <w:pPr>
      <w:spacing w:line="360" w:lineRule="auto"/>
    </w:pPr>
    <w:rPr>
      <w:rFonts w:ascii="Tahoma" w:hAnsi="Tahoma"/>
      <w:sz w:val="24"/>
      <w:szCs w:val="20"/>
    </w:rPr>
  </w:style>
  <w:style w:type="paragraph" w:customStyle="1" w:styleId="862">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3">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4">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5">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6">
    <w:name w:val="Char Char Char Char Char Char Char Char Char Char Char Char1 Char2"/>
    <w:basedOn w:val="1"/>
    <w:qFormat/>
    <w:uiPriority w:val="0"/>
    <w:rPr>
      <w:rFonts w:ascii="Tahoma" w:hAnsi="Tahoma" w:cs="仿宋_GB2312"/>
      <w:sz w:val="24"/>
      <w:szCs w:val="20"/>
    </w:rPr>
  </w:style>
  <w:style w:type="paragraph" w:customStyle="1" w:styleId="867">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8">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69">
    <w:name w:val="样式 列表编号 + 段后: 0.5 行"/>
    <w:basedOn w:val="16"/>
    <w:qFormat/>
    <w:uiPriority w:val="2"/>
    <w:pPr>
      <w:tabs>
        <w:tab w:val="clear" w:pos="390"/>
        <w:tab w:val="clear" w:pos="454"/>
      </w:tabs>
      <w:spacing w:after="0"/>
      <w:ind w:left="840" w:hanging="420"/>
      <w:contextualSpacing/>
    </w:pPr>
    <w:rPr>
      <w:rFonts w:cs="宋体"/>
    </w:rPr>
  </w:style>
  <w:style w:type="paragraph" w:customStyle="1" w:styleId="870">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1">
    <w:name w:val="_Style 12"/>
    <w:basedOn w:val="19"/>
    <w:qFormat/>
    <w:uiPriority w:val="0"/>
    <w:pPr>
      <w:snapToGrid w:val="0"/>
      <w:spacing w:line="360" w:lineRule="auto"/>
    </w:pPr>
  </w:style>
  <w:style w:type="paragraph" w:customStyle="1" w:styleId="872">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3">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4">
    <w:name w:val="_Style 94"/>
    <w:basedOn w:val="1"/>
    <w:next w:val="256"/>
    <w:qFormat/>
    <w:uiPriority w:val="34"/>
    <w:pPr>
      <w:adjustRightInd/>
      <w:spacing w:line="360" w:lineRule="auto"/>
      <w:ind w:firstLine="200" w:firstLineChars="200"/>
    </w:pPr>
    <w:rPr>
      <w:rFonts w:ascii="Calibri" w:hAnsi="Calibri"/>
      <w:sz w:val="28"/>
      <w:szCs w:val="20"/>
    </w:rPr>
  </w:style>
  <w:style w:type="paragraph" w:customStyle="1" w:styleId="875">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6">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7">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8">
    <w:name w:val="3级标题"/>
    <w:basedOn w:val="670"/>
    <w:qFormat/>
    <w:uiPriority w:val="0"/>
    <w:pPr>
      <w:outlineLvl w:val="2"/>
    </w:pPr>
  </w:style>
  <w:style w:type="paragraph" w:customStyle="1" w:styleId="879">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0">
    <w:name w:val="Char1 Char Char Char3"/>
    <w:basedOn w:val="1"/>
    <w:qFormat/>
    <w:uiPriority w:val="0"/>
    <w:pPr>
      <w:adjustRightInd/>
      <w:ind w:firstLine="200" w:firstLineChars="200"/>
    </w:pPr>
    <w:rPr>
      <w:rFonts w:ascii="Tahoma" w:hAnsi="Tahoma"/>
      <w:sz w:val="24"/>
      <w:szCs w:val="20"/>
    </w:rPr>
  </w:style>
  <w:style w:type="paragraph" w:customStyle="1" w:styleId="881">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2">
    <w:name w:val="MM Empty"/>
    <w:basedOn w:val="1"/>
    <w:qFormat/>
    <w:uiPriority w:val="0"/>
    <w:pPr>
      <w:adjustRightInd/>
    </w:pPr>
  </w:style>
  <w:style w:type="paragraph" w:customStyle="1" w:styleId="883">
    <w:name w:val="Char24"/>
    <w:basedOn w:val="1"/>
    <w:qFormat/>
    <w:uiPriority w:val="0"/>
    <w:rPr>
      <w:rFonts w:ascii="仿宋_GB2312" w:eastAsia="仿宋_GB2312"/>
      <w:b/>
      <w:sz w:val="32"/>
      <w:szCs w:val="32"/>
    </w:rPr>
  </w:style>
  <w:style w:type="paragraph" w:customStyle="1" w:styleId="884">
    <w:name w:val="正文箭头"/>
    <w:basedOn w:val="536"/>
    <w:qFormat/>
    <w:uiPriority w:val="0"/>
  </w:style>
  <w:style w:type="paragraph" w:customStyle="1" w:styleId="885">
    <w:name w:val="U_编号2"/>
    <w:basedOn w:val="1"/>
    <w:qFormat/>
    <w:uiPriority w:val="0"/>
    <w:pPr>
      <w:tabs>
        <w:tab w:val="left" w:pos="785"/>
      </w:tabs>
      <w:adjustRightInd/>
      <w:spacing w:beforeLines="10" w:afterLines="10" w:line="300" w:lineRule="auto"/>
    </w:pPr>
    <w:rPr>
      <w:sz w:val="24"/>
    </w:rPr>
  </w:style>
  <w:style w:type="paragraph" w:customStyle="1" w:styleId="886">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7">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8">
    <w:name w:val="标书标题3"/>
    <w:basedOn w:val="5"/>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9">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0">
    <w:name w:val="_Style 1"/>
    <w:basedOn w:val="1"/>
    <w:qFormat/>
    <w:uiPriority w:val="34"/>
    <w:pPr>
      <w:adjustRightInd/>
      <w:ind w:firstLine="420" w:firstLineChars="200"/>
    </w:pPr>
    <w:rPr>
      <w:rFonts w:eastAsia="仿宋_GB2312"/>
      <w:sz w:val="28"/>
    </w:rPr>
  </w:style>
  <w:style w:type="paragraph" w:customStyle="1" w:styleId="891">
    <w:name w:val="表格 内容"/>
    <w:basedOn w:val="727"/>
    <w:qFormat/>
    <w:uiPriority w:val="0"/>
    <w:rPr>
      <w:b w:val="0"/>
      <w:sz w:val="20"/>
    </w:rPr>
  </w:style>
  <w:style w:type="paragraph" w:customStyle="1" w:styleId="892">
    <w:name w:val="正文首行缩进1"/>
    <w:basedOn w:val="24"/>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3">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4">
    <w:name w:val="数字标题5"/>
    <w:basedOn w:val="8"/>
    <w:next w:val="1"/>
    <w:qFormat/>
    <w:uiPriority w:val="0"/>
    <w:pPr>
      <w:tabs>
        <w:tab w:val="left" w:pos="1080"/>
      </w:tabs>
      <w:ind w:left="1080" w:hanging="1080"/>
    </w:pPr>
  </w:style>
  <w:style w:type="paragraph" w:customStyle="1" w:styleId="895">
    <w:name w:val="数字标题1"/>
    <w:basedOn w:val="3"/>
    <w:next w:val="1"/>
    <w:qFormat/>
    <w:uiPriority w:val="0"/>
    <w:pPr>
      <w:tabs>
        <w:tab w:val="left" w:pos="480"/>
      </w:tabs>
      <w:ind w:left="480" w:hanging="480"/>
    </w:pPr>
  </w:style>
  <w:style w:type="paragraph" w:customStyle="1" w:styleId="896">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7">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8">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9">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0">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1">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2">
    <w:name w:val="0"/>
    <w:basedOn w:val="1"/>
    <w:qFormat/>
    <w:uiPriority w:val="0"/>
    <w:pPr>
      <w:widowControl/>
    </w:pPr>
    <w:rPr>
      <w:kern w:val="0"/>
      <w:sz w:val="24"/>
      <w:szCs w:val="20"/>
    </w:rPr>
  </w:style>
  <w:style w:type="paragraph" w:customStyle="1" w:styleId="903">
    <w:name w:val="Char Char113"/>
    <w:basedOn w:val="1"/>
    <w:qFormat/>
    <w:uiPriority w:val="0"/>
    <w:pPr>
      <w:widowControl/>
      <w:spacing w:after="160" w:line="240" w:lineRule="exact"/>
      <w:jc w:val="left"/>
    </w:pPr>
    <w:rPr>
      <w:rFonts w:eastAsia="仿宋_GB2312"/>
      <w:sz w:val="28"/>
    </w:rPr>
  </w:style>
  <w:style w:type="paragraph" w:customStyle="1" w:styleId="904">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5">
    <w:name w:val="_Style 8"/>
    <w:basedOn w:val="1"/>
    <w:qFormat/>
    <w:uiPriority w:val="34"/>
    <w:pPr>
      <w:adjustRightInd/>
      <w:ind w:firstLine="420" w:firstLineChars="200"/>
    </w:pPr>
    <w:rPr>
      <w:rFonts w:eastAsia="仿宋_GB2312"/>
      <w:sz w:val="28"/>
    </w:rPr>
  </w:style>
  <w:style w:type="paragraph" w:customStyle="1" w:styleId="906">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7">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08">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9">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0">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1">
    <w:name w:val="Char Char112"/>
    <w:basedOn w:val="1"/>
    <w:qFormat/>
    <w:uiPriority w:val="6"/>
    <w:pPr>
      <w:widowControl/>
      <w:spacing w:after="160" w:line="240" w:lineRule="exact"/>
      <w:jc w:val="left"/>
    </w:pPr>
    <w:rPr>
      <w:rFonts w:eastAsia="仿宋_GB2312"/>
      <w:sz w:val="28"/>
    </w:rPr>
  </w:style>
  <w:style w:type="paragraph" w:customStyle="1" w:styleId="912">
    <w:name w:val="正文 图"/>
    <w:basedOn w:val="441"/>
    <w:qFormat/>
    <w:uiPriority w:val="0"/>
    <w:pPr>
      <w:adjustRightInd/>
      <w:spacing w:before="0"/>
      <w:ind w:firstLine="0"/>
      <w:jc w:val="center"/>
    </w:pPr>
    <w:rPr>
      <w:rFonts w:ascii="微软雅黑" w:hAnsi="微软雅黑"/>
    </w:rPr>
  </w:style>
  <w:style w:type="paragraph" w:customStyle="1" w:styleId="913">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4">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5">
    <w:name w:val="Thf"/>
    <w:basedOn w:val="560"/>
    <w:qFormat/>
    <w:uiPriority w:val="0"/>
    <w:pPr>
      <w:ind w:left="0"/>
    </w:pPr>
  </w:style>
  <w:style w:type="paragraph" w:customStyle="1" w:styleId="916">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7">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8">
    <w:name w:val="注释"/>
    <w:basedOn w:val="1"/>
    <w:qFormat/>
    <w:uiPriority w:val="0"/>
    <w:pPr>
      <w:adjustRightInd/>
      <w:spacing w:line="360" w:lineRule="auto"/>
      <w:ind w:firstLine="480"/>
    </w:pPr>
    <w:rPr>
      <w:sz w:val="24"/>
    </w:rPr>
  </w:style>
  <w:style w:type="table" w:customStyle="1" w:styleId="919">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0">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5">
    <w:name w:val="列出段落111"/>
    <w:basedOn w:val="1"/>
    <w:qFormat/>
    <w:uiPriority w:val="34"/>
    <w:pPr>
      <w:ind w:firstLine="420" w:firstLineChars="200"/>
    </w:pPr>
  </w:style>
  <w:style w:type="character" w:customStyle="1" w:styleId="926">
    <w:name w:val="交叉引用"/>
    <w:qFormat/>
    <w:uiPriority w:val="1"/>
    <w:rPr>
      <w:rFonts w:ascii="Arial" w:hAnsi="Arial" w:eastAsia="黑体"/>
      <w:snapToGrid w:val="0"/>
      <w:color w:val="0000FF"/>
      <w:kern w:val="0"/>
      <w:sz w:val="20"/>
      <w:szCs w:val="21"/>
      <w:u w:val="single"/>
      <w:lang w:val="en-US" w:eastAsia="zh-CN"/>
    </w:rPr>
  </w:style>
  <w:style w:type="character" w:customStyle="1" w:styleId="927">
    <w:name w:val="正文缩进 字符1"/>
    <w:qFormat/>
    <w:uiPriority w:val="0"/>
    <w:rPr>
      <w:rFonts w:ascii="宋体" w:eastAsia="宋体"/>
      <w:snapToGrid w:val="0"/>
      <w:color w:val="000000"/>
      <w:kern w:val="28"/>
      <w:sz w:val="28"/>
      <w:lang w:val="en-US" w:eastAsia="zh-CN" w:bidi="ar-SA"/>
    </w:rPr>
  </w:style>
  <w:style w:type="character" w:customStyle="1" w:styleId="928">
    <w:name w:val="页脚 字符1"/>
    <w:qFormat/>
    <w:locked/>
    <w:uiPriority w:val="99"/>
    <w:rPr>
      <w:kern w:val="2"/>
      <w:sz w:val="18"/>
      <w:szCs w:val="18"/>
    </w:rPr>
  </w:style>
  <w:style w:type="character" w:customStyle="1" w:styleId="929">
    <w:name w:val="页眉 字符1"/>
    <w:qFormat/>
    <w:uiPriority w:val="99"/>
    <w:rPr>
      <w:kern w:val="2"/>
      <w:sz w:val="18"/>
      <w:szCs w:val="18"/>
    </w:rPr>
  </w:style>
  <w:style w:type="character" w:customStyle="1" w:styleId="930">
    <w:name w:val="尾注文本 Char"/>
    <w:link w:val="39"/>
    <w:qFormat/>
    <w:uiPriority w:val="0"/>
    <w:rPr>
      <w:kern w:val="2"/>
      <w:sz w:val="21"/>
      <w:szCs w:val="24"/>
      <w:lang w:val="zh-CN"/>
    </w:rPr>
  </w:style>
  <w:style w:type="character" w:customStyle="1" w:styleId="931">
    <w:name w:val="无间隔 Char"/>
    <w:link w:val="481"/>
    <w:qFormat/>
    <w:uiPriority w:val="99"/>
    <w:rPr>
      <w:kern w:val="2"/>
      <w:sz w:val="21"/>
      <w:szCs w:val="22"/>
    </w:rPr>
  </w:style>
  <w:style w:type="character" w:customStyle="1" w:styleId="932">
    <w:name w:val="标准文本 Char Char"/>
    <w:link w:val="933"/>
    <w:qFormat/>
    <w:uiPriority w:val="0"/>
    <w:rPr>
      <w:rFonts w:cs="宋体"/>
      <w:kern w:val="2"/>
      <w:sz w:val="24"/>
    </w:rPr>
  </w:style>
  <w:style w:type="paragraph" w:customStyle="1" w:styleId="933">
    <w:name w:val="标准文本"/>
    <w:basedOn w:val="1"/>
    <w:link w:val="932"/>
    <w:qFormat/>
    <w:uiPriority w:val="0"/>
    <w:pPr>
      <w:adjustRightInd/>
      <w:spacing w:line="360" w:lineRule="auto"/>
      <w:ind w:firstLine="480" w:firstLineChars="200"/>
    </w:pPr>
    <w:rPr>
      <w:rFonts w:cs="宋体"/>
      <w:sz w:val="24"/>
      <w:szCs w:val="20"/>
    </w:rPr>
  </w:style>
  <w:style w:type="character" w:customStyle="1" w:styleId="934">
    <w:name w:val="Char Char213"/>
    <w:qFormat/>
    <w:uiPriority w:val="0"/>
    <w:rPr>
      <w:rFonts w:eastAsia="Century Gothic"/>
      <w:b/>
      <w:bCs/>
      <w:kern w:val="44"/>
      <w:sz w:val="32"/>
      <w:szCs w:val="44"/>
      <w:lang w:val="en-US" w:eastAsia="zh-CN" w:bidi="ar-SA"/>
    </w:rPr>
  </w:style>
  <w:style w:type="character" w:customStyle="1" w:styleId="935">
    <w:name w:val="apple-style-span"/>
    <w:qFormat/>
    <w:uiPriority w:val="0"/>
    <w:rPr>
      <w:rFonts w:ascii="Arial" w:hAnsi="Arial" w:eastAsia="黑体" w:cs="Arial"/>
      <w:snapToGrid w:val="0"/>
      <w:kern w:val="0"/>
      <w:szCs w:val="21"/>
    </w:rPr>
  </w:style>
  <w:style w:type="character" w:customStyle="1" w:styleId="936">
    <w:name w:val="15"/>
    <w:qFormat/>
    <w:uiPriority w:val="0"/>
    <w:rPr>
      <w:rFonts w:hint="default" w:ascii="Calibri" w:hAnsi="Calibri"/>
      <w:color w:val="0000FF"/>
      <w:u w:val="single"/>
    </w:rPr>
  </w:style>
  <w:style w:type="character" w:customStyle="1" w:styleId="937">
    <w:name w:val="16"/>
    <w:qFormat/>
    <w:uiPriority w:val="0"/>
    <w:rPr>
      <w:rFonts w:hint="eastAsia" w:ascii="宋体" w:hAnsi="宋体" w:eastAsia="宋体"/>
      <w:color w:val="000000"/>
      <w:sz w:val="20"/>
      <w:szCs w:val="20"/>
    </w:rPr>
  </w:style>
  <w:style w:type="character" w:customStyle="1" w:styleId="938">
    <w:name w:val="edui-unclickable"/>
    <w:qFormat/>
    <w:uiPriority w:val="0"/>
    <w:rPr>
      <w:color w:val="808080"/>
    </w:rPr>
  </w:style>
  <w:style w:type="character" w:customStyle="1" w:styleId="939">
    <w:name w:val="tpc_content1"/>
    <w:qFormat/>
    <w:uiPriority w:val="0"/>
    <w:rPr>
      <w:sz w:val="20"/>
      <w:szCs w:val="20"/>
    </w:rPr>
  </w:style>
  <w:style w:type="character" w:customStyle="1" w:styleId="940">
    <w:name w:val="正文文本缩进 字符"/>
    <w:qFormat/>
    <w:uiPriority w:val="0"/>
    <w:rPr>
      <w:rFonts w:ascii="Century Gothic" w:hAnsi="Century Gothic" w:eastAsia="Century Gothic"/>
      <w:kern w:val="2"/>
      <w:sz w:val="24"/>
      <w:lang w:val="en-US" w:eastAsia="zh-CN" w:bidi="ar-SA"/>
    </w:rPr>
  </w:style>
  <w:style w:type="character" w:customStyle="1" w:styleId="941">
    <w:name w:val="正文文本 2 字符"/>
    <w:qFormat/>
    <w:uiPriority w:val="0"/>
    <w:rPr>
      <w:rFonts w:ascii="Arial" w:hAnsi="Arial" w:eastAsia="宋体"/>
      <w:kern w:val="2"/>
      <w:sz w:val="24"/>
      <w:szCs w:val="24"/>
      <w:lang w:val="en-US" w:eastAsia="zh-CN" w:bidi="ar-SA"/>
    </w:rPr>
  </w:style>
  <w:style w:type="character" w:customStyle="1" w:styleId="942">
    <w:name w:val="edui-clickable2"/>
    <w:qFormat/>
    <w:uiPriority w:val="0"/>
    <w:rPr>
      <w:color w:val="0000FF"/>
      <w:u w:val="single"/>
    </w:rPr>
  </w:style>
  <w:style w:type="character" w:customStyle="1" w:styleId="943">
    <w:name w:val="style1"/>
    <w:qFormat/>
    <w:uiPriority w:val="0"/>
    <w:rPr>
      <w:rFonts w:ascii="Arial" w:hAnsi="Arial" w:eastAsia="黑体" w:cs="Arial"/>
      <w:snapToGrid w:val="0"/>
      <w:kern w:val="0"/>
      <w:szCs w:val="21"/>
    </w:rPr>
  </w:style>
  <w:style w:type="character" w:customStyle="1" w:styleId="944">
    <w:name w:val="zbggtop11 style5"/>
    <w:qFormat/>
    <w:uiPriority w:val="0"/>
    <w:rPr>
      <w:rFonts w:ascii="Arial" w:hAnsi="Arial" w:eastAsia="黑体" w:cs="Arial"/>
      <w:snapToGrid w:val="0"/>
      <w:kern w:val="0"/>
      <w:szCs w:val="21"/>
    </w:rPr>
  </w:style>
  <w:style w:type="character" w:customStyle="1" w:styleId="945">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6">
    <w:name w:val="bulletintext1"/>
    <w:qFormat/>
    <w:uiPriority w:val="0"/>
    <w:rPr>
      <w:color w:val="000000"/>
      <w:sz w:val="18"/>
    </w:rPr>
  </w:style>
  <w:style w:type="paragraph" w:customStyle="1" w:styleId="947">
    <w:name w:val="_Style 947"/>
    <w:basedOn w:val="1"/>
    <w:next w:val="256"/>
    <w:qFormat/>
    <w:uiPriority w:val="34"/>
    <w:pPr>
      <w:adjustRightInd/>
      <w:ind w:firstLine="420" w:firstLineChars="200"/>
    </w:pPr>
  </w:style>
  <w:style w:type="paragraph" w:customStyle="1" w:styleId="948">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49">
    <w:name w:val="纯文本2"/>
    <w:basedOn w:val="1"/>
    <w:qFormat/>
    <w:uiPriority w:val="0"/>
    <w:pPr>
      <w:adjustRightInd/>
      <w:snapToGrid w:val="0"/>
      <w:jc w:val="left"/>
    </w:pPr>
    <w:rPr>
      <w:rFonts w:ascii="Century Gothic" w:hAnsi="楷体_GB2312" w:eastAsia="Century Gothic"/>
      <w:szCs w:val="20"/>
    </w:rPr>
  </w:style>
  <w:style w:type="paragraph" w:customStyle="1" w:styleId="950">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1">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2">
    <w:name w:val="节"/>
    <w:basedOn w:val="4"/>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3">
    <w:name w:val="Blockquote"/>
    <w:basedOn w:val="1"/>
    <w:qFormat/>
    <w:uiPriority w:val="0"/>
    <w:pPr>
      <w:autoSpaceDE w:val="0"/>
      <w:autoSpaceDN w:val="0"/>
      <w:spacing w:before="100" w:after="100"/>
      <w:ind w:left="360" w:right="360"/>
      <w:jc w:val="left"/>
    </w:pPr>
    <w:rPr>
      <w:kern w:val="0"/>
      <w:sz w:val="24"/>
      <w:szCs w:val="20"/>
    </w:rPr>
  </w:style>
  <w:style w:type="paragraph" w:customStyle="1" w:styleId="954">
    <w:name w:val="p1"/>
    <w:basedOn w:val="1"/>
    <w:qFormat/>
    <w:uiPriority w:val="0"/>
    <w:pPr>
      <w:widowControl/>
      <w:adjustRightInd/>
      <w:jc w:val="left"/>
    </w:pPr>
    <w:rPr>
      <w:rFonts w:ascii=".PingFang SC" w:eastAsia=".PingFang SC"/>
      <w:color w:val="454545"/>
      <w:kern w:val="0"/>
      <w:sz w:val="18"/>
      <w:szCs w:val="18"/>
    </w:rPr>
  </w:style>
  <w:style w:type="paragraph" w:customStyle="1" w:styleId="955">
    <w:name w:val="Table Paragraph"/>
    <w:basedOn w:val="1"/>
    <w:qFormat/>
    <w:uiPriority w:val="0"/>
    <w:pPr>
      <w:adjustRightInd/>
      <w:jc w:val="left"/>
    </w:pPr>
    <w:rPr>
      <w:rFonts w:ascii="Calibri" w:hAnsi="Calibri"/>
      <w:kern w:val="0"/>
      <w:sz w:val="22"/>
      <w:szCs w:val="22"/>
      <w:lang w:eastAsia="en-US"/>
    </w:rPr>
  </w:style>
  <w:style w:type="paragraph" w:customStyle="1" w:styleId="956">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7">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8">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9">
    <w:name w:val="ksfind_class_select1"/>
    <w:basedOn w:val="69"/>
    <w:qFormat/>
    <w:uiPriority w:val="0"/>
    <w:rPr>
      <w:color w:val="000000"/>
      <w:shd w:val="clear" w:color="auto" w:fill="EFD200"/>
    </w:rPr>
  </w:style>
  <w:style w:type="character" w:customStyle="1" w:styleId="960">
    <w:name w:val="font71"/>
    <w:qFormat/>
    <w:uiPriority w:val="0"/>
    <w:rPr>
      <w:rFonts w:hint="eastAsia" w:ascii="宋体" w:hAnsi="宋体" w:eastAsia="宋体" w:cs="宋体"/>
      <w:color w:val="000000"/>
      <w:sz w:val="22"/>
      <w:szCs w:val="22"/>
      <w:u w:val="none"/>
    </w:rPr>
  </w:style>
  <w:style w:type="character" w:customStyle="1" w:styleId="961">
    <w:name w:val="font91"/>
    <w:qFormat/>
    <w:uiPriority w:val="0"/>
    <w:rPr>
      <w:rFonts w:hint="eastAsia" w:ascii="仿宋" w:hAnsi="仿宋" w:eastAsia="仿宋" w:cs="仿宋"/>
      <w:color w:val="000000"/>
      <w:sz w:val="22"/>
      <w:szCs w:val="22"/>
      <w:u w:val="none"/>
    </w:rPr>
  </w:style>
  <w:style w:type="paragraph" w:customStyle="1" w:styleId="962">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963">
    <w:name w:val="Proposals body"/>
    <w:basedOn w:val="1"/>
    <w:next w:val="1"/>
    <w:qFormat/>
    <w:uiPriority w:val="0"/>
    <w:pPr>
      <w:widowControl/>
      <w:spacing w:line="360" w:lineRule="auto"/>
      <w:jc w:val="left"/>
    </w:pPr>
    <w:rPr>
      <w:rFonts w:ascii="宋体"/>
      <w:snapToGrid w:val="0"/>
      <w:color w:val="000000"/>
      <w:kern w:val="0"/>
      <w:sz w:val="24"/>
      <w:szCs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0" Type="http://schemas.microsoft.com/office/2011/relationships/people" Target="people.xml"/><Relationship Id="rId3" Type="http://schemas.openxmlformats.org/officeDocument/2006/relationships/header" Target="header1.xml"/><Relationship Id="rId29" Type="http://schemas.openxmlformats.org/officeDocument/2006/relationships/fontTable" Target="fontTable.xml"/><Relationship Id="rId28" Type="http://schemas.openxmlformats.org/officeDocument/2006/relationships/customXml" Target="../customXml/item2.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9100F5C-791E-4169-8EF0-697330BC8A45}">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71</Pages>
  <Words>30749</Words>
  <Characters>32519</Characters>
  <Lines>281</Lines>
  <Paragraphs>79</Paragraphs>
  <TotalTime>21</TotalTime>
  <ScaleCrop>false</ScaleCrop>
  <LinksUpToDate>false</LinksUpToDate>
  <CharactersWithSpaces>37980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2021-07-30T00:22:00Z</dcterms:created>
  <dc:creator>玥</dc:creator>
  <cp:lastModifiedBy>Administrator</cp:lastModifiedBy>
  <cp:lastPrinted>2021-12-27T03:06:00Z</cp:lastPrinted>
  <dcterms:modified xsi:type="dcterms:W3CDTF">2024-03-07T06:03:40Z</dcterms:modified>
  <dc:title>杭州市市民卡扩大发卡工程</dc:title>
  <cp:revision>303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0FD1A88BCBDC48C0BE7BED3F6297D455</vt:lpwstr>
  </property>
</Properties>
</file>