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eastAsia="宋体" w:cs="宋体"/>
          <w:sz w:val="48"/>
          <w:szCs w:val="48"/>
          <w:lang w:val="en-US" w:eastAsia="zh-CN"/>
        </w:rPr>
      </w:pPr>
      <w:r>
        <w:rPr>
          <w:rFonts w:hint="eastAsia" w:ascii="宋体" w:hAnsi="宋体" w:cs="宋体"/>
          <w:sz w:val="48"/>
          <w:szCs w:val="48"/>
          <w:lang w:val="en-US" w:eastAsia="zh-CN"/>
        </w:rPr>
        <w:t>杭州市</w:t>
      </w:r>
      <w:r>
        <w:rPr>
          <w:rFonts w:hint="eastAsia" w:ascii="宋体" w:hAnsi="宋体" w:cs="宋体"/>
          <w:sz w:val="48"/>
          <w:szCs w:val="48"/>
        </w:rPr>
        <w:t>临安区教育局2023—2025学年义务教育教辅材料和地方教材采购</w:t>
      </w:r>
      <w:r>
        <w:rPr>
          <w:rFonts w:hint="eastAsia" w:ascii="宋体" w:hAnsi="宋体" w:cs="宋体"/>
          <w:sz w:val="48"/>
          <w:szCs w:val="48"/>
          <w:lang w:val="en-US" w:eastAsia="zh-CN"/>
        </w:rPr>
        <w:t>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color w:val="auto"/>
          <w:sz w:val="44"/>
          <w:szCs w:val="44"/>
        </w:rPr>
      </w:pPr>
      <w:r>
        <w:rPr>
          <w:rFonts w:hint="eastAsia" w:ascii="宋体" w:hAnsi="宋体" w:cs="宋体"/>
          <w:b/>
          <w:sz w:val="44"/>
          <w:szCs w:val="44"/>
        </w:rPr>
        <w:t xml:space="preserve"> （</w:t>
      </w:r>
      <w:r>
        <w:rPr>
          <w:rFonts w:hint="eastAsia" w:ascii="宋体" w:hAnsi="宋体" w:cs="宋体"/>
          <w:b/>
          <w:color w:val="auto"/>
          <w:sz w:val="44"/>
          <w:szCs w:val="44"/>
        </w:rPr>
        <w:t>电子招投标）</w:t>
      </w:r>
    </w:p>
    <w:p>
      <w:pPr>
        <w:snapToGrid w:val="0"/>
        <w:spacing w:line="360" w:lineRule="auto"/>
        <w:jc w:val="center"/>
        <w:rPr>
          <w:rFonts w:ascii="宋体" w:hAnsi="宋体" w:cs="宋体"/>
          <w:color w:val="auto"/>
          <w:sz w:val="30"/>
          <w:szCs w:val="30"/>
        </w:rPr>
      </w:pPr>
      <w:r>
        <w:rPr>
          <w:rFonts w:hint="eastAsia" w:ascii="宋体" w:hAnsi="宋体" w:cs="宋体"/>
          <w:color w:val="auto"/>
          <w:sz w:val="30"/>
          <w:szCs w:val="30"/>
        </w:rPr>
        <w:t>编号:（临[2023]1051号）</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ascii="宋体" w:hAnsi="宋体" w:cs="宋体"/>
          <w:color w:val="0000FF"/>
          <w:sz w:val="32"/>
          <w:szCs w:val="32"/>
        </w:rPr>
      </w:pPr>
      <w:r>
        <w:rPr>
          <w:rFonts w:hint="eastAsia" w:ascii="宋体" w:hAnsi="宋体" w:cs="宋体"/>
          <w:bCs/>
          <w:color w:val="auto"/>
          <w:sz w:val="32"/>
          <w:szCs w:val="32"/>
          <w:lang w:val="en-US" w:eastAsia="zh-CN"/>
        </w:rPr>
        <w:t>杭州市</w:t>
      </w:r>
      <w:r>
        <w:rPr>
          <w:rFonts w:hint="eastAsia" w:ascii="宋体" w:hAnsi="宋体" w:cs="宋体"/>
          <w:bCs/>
          <w:color w:val="auto"/>
          <w:sz w:val="32"/>
          <w:szCs w:val="32"/>
          <w:lang w:eastAsia="zh-CN"/>
        </w:rPr>
        <w:t>临安区教育保障中心</w:t>
      </w:r>
    </w:p>
    <w:p>
      <w:pPr>
        <w:spacing w:line="360" w:lineRule="auto"/>
        <w:jc w:val="center"/>
        <w:rPr>
          <w:rFonts w:hint="eastAsia" w:ascii="宋体" w:hAnsi="宋体" w:eastAsia="宋体" w:cs="宋体"/>
          <w:bCs/>
          <w:color w:val="auto"/>
          <w:sz w:val="32"/>
          <w:szCs w:val="32"/>
          <w:lang w:eastAsia="zh-CN"/>
        </w:rPr>
      </w:pPr>
      <w:r>
        <w:rPr>
          <w:rFonts w:hint="eastAsia" w:ascii="宋体" w:hAnsi="宋体" w:cs="宋体"/>
          <w:bCs/>
          <w:sz w:val="32"/>
          <w:szCs w:val="32"/>
          <w:lang w:eastAsia="zh-CN"/>
        </w:rPr>
        <w:t>杭州市公共资</w:t>
      </w:r>
      <w:r>
        <w:rPr>
          <w:rFonts w:hint="eastAsia" w:ascii="宋体" w:hAnsi="宋体" w:cs="宋体"/>
          <w:bCs/>
          <w:color w:val="auto"/>
          <w:sz w:val="32"/>
          <w:szCs w:val="32"/>
          <w:lang w:eastAsia="zh-CN"/>
        </w:rPr>
        <w:t>源交易中心临安分中心</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eastAsia="zh-CN"/>
        </w:rPr>
        <w:t>三</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六</w:t>
      </w:r>
      <w:r>
        <w:rPr>
          <w:rFonts w:hint="eastAsia" w:ascii="宋体" w:hAnsi="宋体" w:cs="宋体"/>
          <w:bCs/>
          <w:color w:val="auto"/>
          <w:sz w:val="32"/>
          <w:szCs w:val="32"/>
        </w:rPr>
        <w:t>月</w:t>
      </w:r>
      <w:r>
        <w:rPr>
          <w:rFonts w:hint="eastAsia" w:ascii="宋体" w:hAnsi="宋体" w:cs="宋体"/>
          <w:bCs/>
          <w:color w:val="auto"/>
          <w:sz w:val="32"/>
          <w:szCs w:val="32"/>
          <w:lang w:eastAsia="zh-CN"/>
        </w:rPr>
        <w:t>十二</w:t>
      </w:r>
      <w:r>
        <w:rPr>
          <w:rFonts w:hint="eastAsia" w:ascii="宋体" w:hAnsi="宋体" w:cs="宋体"/>
          <w:bCs/>
          <w:color w:val="auto"/>
          <w:sz w:val="32"/>
          <w:szCs w:val="32"/>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lang w:val="en-US" w:eastAsia="zh-CN"/>
        </w:rPr>
        <w:t>杭州市</w:t>
      </w:r>
      <w:r>
        <w:rPr>
          <w:rFonts w:hint="eastAsia" w:asciiTheme="minorEastAsia" w:hAnsiTheme="minorEastAsia" w:eastAsiaTheme="minorEastAsia"/>
          <w:sz w:val="24"/>
        </w:rPr>
        <w:t>临安区教育局2023—2025学年义务教育教辅材料和地方</w:t>
      </w:r>
      <w:r>
        <w:rPr>
          <w:rFonts w:hint="eastAsia" w:asciiTheme="minorEastAsia" w:hAnsiTheme="minorEastAsia" w:eastAsiaTheme="minorEastAsia"/>
          <w:sz w:val="24"/>
          <w:highlight w:val="none"/>
        </w:rPr>
        <w:t>教材采购</w:t>
      </w:r>
      <w:r>
        <w:rPr>
          <w:rFonts w:hint="eastAsia" w:asciiTheme="minorEastAsia" w:hAnsiTheme="minorEastAsia" w:eastAsiaTheme="minorEastAsia"/>
          <w:sz w:val="24"/>
          <w:highlight w:val="none"/>
          <w:lang w:val="en-US" w:eastAsia="zh-CN"/>
        </w:rPr>
        <w:t>项目</w:t>
      </w:r>
      <w:r>
        <w:rPr>
          <w:rFonts w:hint="eastAsia" w:asciiTheme="minorEastAsia" w:hAnsiTheme="minorEastAsia" w:eastAsiaTheme="minorEastAsia"/>
          <w:sz w:val="24"/>
          <w:highlight w:val="none"/>
        </w:rPr>
        <w:t>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6"/>
          <w:rFonts w:cs="Times New Roman" w:asciiTheme="minorEastAsia" w:hAnsiTheme="minorEastAsia" w:eastAsiaTheme="minorEastAsia"/>
          <w:snapToGrid/>
          <w:kern w:val="2"/>
          <w:sz w:val="24"/>
          <w:szCs w:val="24"/>
          <w:highlight w:val="none"/>
        </w:rPr>
        <w:t>https://www.zcygov.cn/）获取（下载）招标文件，并于</w:t>
      </w:r>
      <w:r>
        <w:rPr>
          <w:rStyle w:val="76"/>
          <w:rFonts w:hint="eastAsia" w:cs="Times New Roman" w:asciiTheme="minorEastAsia" w:hAnsiTheme="minorEastAsia" w:eastAsiaTheme="minorEastAsia"/>
          <w:snapToGrid/>
          <w:kern w:val="2"/>
          <w:sz w:val="24"/>
          <w:szCs w:val="24"/>
          <w:highlight w:val="none"/>
          <w:u w:val="single"/>
        </w:rPr>
        <w:t>202</w:t>
      </w:r>
      <w:r>
        <w:rPr>
          <w:rStyle w:val="76"/>
          <w:rFonts w:hint="eastAsia" w:cs="Times New Roman" w:asciiTheme="minorEastAsia" w:hAnsiTheme="minorEastAsia" w:eastAsiaTheme="minorEastAsia"/>
          <w:snapToGrid/>
          <w:kern w:val="2"/>
          <w:sz w:val="24"/>
          <w:szCs w:val="24"/>
          <w:highlight w:val="none"/>
          <w:u w:val="single"/>
          <w:lang w:val="en-US" w:eastAsia="zh-CN"/>
        </w:rPr>
        <w:t>3</w:t>
      </w:r>
      <w:r>
        <w:rPr>
          <w:rStyle w:val="76"/>
          <w:rFonts w:cs="Times New Roman" w:asciiTheme="minorEastAsia" w:hAnsiTheme="minorEastAsia" w:eastAsiaTheme="minorEastAsia"/>
          <w:snapToGrid/>
          <w:kern w:val="2"/>
          <w:sz w:val="24"/>
          <w:szCs w:val="24"/>
          <w:highlight w:val="none"/>
          <w:u w:val="single"/>
        </w:rPr>
        <w:t>年</w:t>
      </w:r>
      <w:r>
        <w:rPr>
          <w:rStyle w:val="76"/>
          <w:rFonts w:hint="eastAsia" w:cs="Times New Roman" w:asciiTheme="minorEastAsia" w:hAnsiTheme="minorEastAsia" w:eastAsiaTheme="minorEastAsia"/>
          <w:snapToGrid/>
          <w:kern w:val="2"/>
          <w:sz w:val="24"/>
          <w:szCs w:val="24"/>
          <w:highlight w:val="none"/>
          <w:u w:val="single"/>
          <w:lang w:val="en-US" w:eastAsia="zh-CN"/>
        </w:rPr>
        <w:t>7</w:t>
      </w:r>
      <w:r>
        <w:rPr>
          <w:rStyle w:val="76"/>
          <w:rFonts w:hint="eastAsia" w:cs="Times New Roman" w:asciiTheme="minorEastAsia" w:hAnsiTheme="minorEastAsia" w:eastAsiaTheme="minorEastAsia"/>
          <w:snapToGrid/>
          <w:kern w:val="2"/>
          <w:sz w:val="24"/>
          <w:szCs w:val="24"/>
          <w:highlight w:val="none"/>
          <w:u w:val="single"/>
        </w:rPr>
        <w:t>月</w:t>
      </w:r>
      <w:r>
        <w:rPr>
          <w:rStyle w:val="76"/>
          <w:rFonts w:hint="eastAsia" w:cs="Times New Roman" w:asciiTheme="minorEastAsia" w:hAnsiTheme="minorEastAsia" w:eastAsiaTheme="minorEastAsia"/>
          <w:snapToGrid/>
          <w:kern w:val="2"/>
          <w:sz w:val="24"/>
          <w:szCs w:val="24"/>
          <w:highlight w:val="none"/>
          <w:u w:val="single"/>
          <w:lang w:val="en-US" w:eastAsia="zh-CN"/>
        </w:rPr>
        <w:t>3</w:t>
      </w:r>
      <w:r>
        <w:rPr>
          <w:rStyle w:val="76"/>
          <w:rFonts w:hint="eastAsia" w:cs="Times New Roman" w:asciiTheme="minorEastAsia" w:hAnsiTheme="minorEastAsia" w:eastAsiaTheme="minorEastAsia"/>
          <w:snapToGrid/>
          <w:kern w:val="2"/>
          <w:sz w:val="24"/>
          <w:szCs w:val="24"/>
          <w:highlight w:val="none"/>
          <w:u w:val="single"/>
        </w:rPr>
        <w:t>日</w:t>
      </w:r>
      <w:r>
        <w:rPr>
          <w:rStyle w:val="76"/>
          <w:rFonts w:hint="eastAsia" w:cs="Times New Roman" w:asciiTheme="minorEastAsia" w:hAnsiTheme="minorEastAsia" w:eastAsiaTheme="minorEastAsia"/>
          <w:snapToGrid/>
          <w:kern w:val="2"/>
          <w:sz w:val="24"/>
          <w:szCs w:val="24"/>
          <w:highlight w:val="none"/>
          <w:u w:val="single"/>
          <w:lang w:val="en-US" w:eastAsia="zh-CN"/>
        </w:rPr>
        <w:t>13</w:t>
      </w:r>
      <w:r>
        <w:rPr>
          <w:rStyle w:val="76"/>
          <w:rFonts w:hint="eastAsia" w:cs="Times New Roman" w:asciiTheme="minorEastAsia" w:hAnsiTheme="minorEastAsia" w:eastAsiaTheme="minorEastAsia"/>
          <w:snapToGrid/>
          <w:kern w:val="2"/>
          <w:sz w:val="24"/>
          <w:szCs w:val="24"/>
          <w:highlight w:val="none"/>
          <w:u w:val="single"/>
        </w:rPr>
        <w:t>点</w:t>
      </w:r>
      <w:r>
        <w:rPr>
          <w:rStyle w:val="76"/>
          <w:rFonts w:hint="eastAsia" w:cs="Times New Roman" w:asciiTheme="minorEastAsia" w:hAnsiTheme="minorEastAsia" w:eastAsiaTheme="minorEastAsia"/>
          <w:snapToGrid/>
          <w:kern w:val="2"/>
          <w:sz w:val="24"/>
          <w:szCs w:val="24"/>
          <w:highlight w:val="none"/>
          <w:u w:val="single"/>
          <w:lang w:val="en-US" w:eastAsia="zh-CN"/>
        </w:rPr>
        <w:t>30</w:t>
      </w:r>
      <w:r>
        <w:rPr>
          <w:rStyle w:val="76"/>
          <w:rFonts w:hint="eastAsia" w:cs="Times New Roman" w:asciiTheme="minorEastAsia" w:hAnsiTheme="minorEastAsia" w:eastAsiaTheme="minorEastAsia"/>
          <w:snapToGrid/>
          <w:kern w:val="2"/>
          <w:sz w:val="24"/>
          <w:szCs w:val="24"/>
          <w:highlight w:val="none"/>
          <w:u w:val="single"/>
        </w:rPr>
        <w:t>分</w:t>
      </w:r>
      <w:r>
        <w:rPr>
          <w:rStyle w:val="76"/>
          <w:rFonts w:hint="eastAsia" w:cs="Times New Roman" w:asciiTheme="minorEastAsia" w:hAnsiTheme="minorEastAsia" w:eastAsiaTheme="minorEastAsia"/>
          <w:bCs/>
          <w:snapToGrid/>
          <w:kern w:val="2"/>
          <w:sz w:val="24"/>
          <w:szCs w:val="24"/>
          <w:highlight w:val="none"/>
          <w:u w:val="single"/>
        </w:rPr>
        <w:t>00秒</w:t>
      </w:r>
      <w:r>
        <w:rPr>
          <w:rStyle w:val="76"/>
          <w:rFonts w:hint="eastAsia" w:cs="Times New Roman" w:asciiTheme="minorEastAsia" w:hAnsiTheme="minorEastAsia" w:eastAsiaTheme="minorEastAsia"/>
          <w:bCs/>
          <w:snapToGrid/>
          <w:kern w:val="2"/>
          <w:sz w:val="24"/>
          <w:szCs w:val="24"/>
          <w:highlight w:val="none"/>
        </w:rPr>
        <w:fldChar w:fldCharType="end"/>
      </w:r>
      <w:r>
        <w:rPr>
          <w:rFonts w:hint="eastAsia" w:asciiTheme="minorEastAsia" w:hAnsiTheme="minorEastAsia" w:eastAsiaTheme="minorEastAsia"/>
          <w:bCs/>
          <w:sz w:val="24"/>
          <w:highlight w:val="none"/>
        </w:rPr>
        <w:t>（北京时间）前</w:t>
      </w:r>
      <w:r>
        <w:rPr>
          <w:rFonts w:hint="eastAsia" w:asciiTheme="minorEastAsia" w:hAnsiTheme="minorEastAsia" w:eastAsiaTheme="minorEastAsia"/>
          <w:sz w:val="24"/>
          <w:highlight w:val="none"/>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项目编号：临[2023]1051号</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b/>
          <w:sz w:val="24"/>
          <w:lang w:val="en-US" w:eastAsia="zh-CN"/>
        </w:rPr>
        <w:t>杭州市</w:t>
      </w:r>
      <w:r>
        <w:rPr>
          <w:rFonts w:hint="eastAsia" w:ascii="宋体" w:hAnsi="宋体" w:cs="宋体"/>
          <w:b/>
          <w:sz w:val="24"/>
        </w:rPr>
        <w:t>临安区教育局2023—2025学年义务教育教辅材料和地方教材采购</w:t>
      </w:r>
      <w:r>
        <w:rPr>
          <w:rFonts w:hint="eastAsia" w:ascii="宋体" w:hAnsi="宋体" w:cs="宋体"/>
          <w:b/>
          <w:sz w:val="24"/>
          <w:lang w:val="en-US" w:eastAsia="zh-CN"/>
        </w:rPr>
        <w:t>项目</w:t>
      </w:r>
    </w:p>
    <w:p>
      <w:pPr>
        <w:spacing w:line="360" w:lineRule="auto"/>
        <w:rPr>
          <w:rFonts w:ascii="宋体" w:hAnsi="宋体" w:cs="宋体"/>
          <w:color w:val="0000FF"/>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sz w:val="24"/>
          <w:lang w:val="en-US" w:eastAsia="zh-CN"/>
        </w:rPr>
        <w:t>30000000</w:t>
      </w:r>
      <w:r>
        <w:rPr>
          <w:rFonts w:hint="eastAsia" w:ascii="宋体" w:hAnsi="宋体" w:cs="宋体"/>
          <w:color w:val="0000FF"/>
          <w:sz w:val="24"/>
        </w:rPr>
        <w:t xml:space="preserve"> </w:t>
      </w:r>
    </w:p>
    <w:p>
      <w:pPr>
        <w:spacing w:line="360" w:lineRule="auto"/>
        <w:ind w:firstLine="480"/>
        <w:rPr>
          <w:rFonts w:ascii="宋体" w:hAnsi="宋体" w:cs="宋体"/>
          <w:color w:val="0000FF"/>
          <w:sz w:val="24"/>
        </w:rPr>
      </w:pPr>
      <w:r>
        <w:rPr>
          <w:rFonts w:hint="eastAsia" w:ascii="宋体" w:hAnsi="宋体" w:cs="宋体"/>
          <w:b/>
          <w:sz w:val="24"/>
        </w:rPr>
        <w:t>最高限价（元）：</w:t>
      </w:r>
      <w:r>
        <w:rPr>
          <w:rFonts w:hint="eastAsia" w:ascii="宋体" w:hAnsi="宋体" w:cs="宋体"/>
          <w:b/>
          <w:sz w:val="24"/>
          <w:lang w:val="en-US" w:eastAsia="zh-CN"/>
        </w:rPr>
        <w:t>30000000</w:t>
      </w:r>
      <w:r>
        <w:rPr>
          <w:rFonts w:hint="eastAsia" w:ascii="宋体" w:hAnsi="宋体" w:cs="宋体"/>
          <w:color w:val="0000FF"/>
          <w:sz w:val="24"/>
        </w:rPr>
        <w:t xml:space="preserve"> </w:t>
      </w:r>
    </w:p>
    <w:p>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 w:val="0"/>
          <w:bCs/>
          <w:color w:val="auto"/>
          <w:sz w:val="24"/>
        </w:rPr>
        <w:t>本项目采购内容为临安区教育局2023—2025学年六个学期义务教育教辅材料和地方教材的采购、运输及相关维护等</w:t>
      </w:r>
      <w:r>
        <w:rPr>
          <w:rFonts w:hint="eastAsia" w:hAnsi="宋体" w:cs="宋体"/>
          <w:bCs/>
          <w:snapToGrid/>
          <w:color w:val="0000FF"/>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28"/>
        <w:ind w:firstLine="482"/>
        <w:outlineLvl w:val="2"/>
        <w:rPr>
          <w:rFonts w:ascii="宋体" w:hAnsi="宋体" w:cs="宋体"/>
          <w:color w:val="0000FF"/>
        </w:rPr>
      </w:pPr>
      <w:r>
        <w:rPr>
          <w:rFonts w:hint="eastAsia" w:ascii="宋体" w:hAnsi="宋体" w:cs="宋体"/>
          <w:b/>
        </w:rPr>
        <w:t>合同履约期限：</w:t>
      </w:r>
      <w:r>
        <w:rPr>
          <w:rFonts w:hint="eastAsia" w:ascii="宋体" w:hAnsi="宋体" w:cs="宋体"/>
          <w:b w:val="0"/>
          <w:bCs/>
        </w:rPr>
        <w:t>2023—2025学年六个学期</w:t>
      </w:r>
      <w:r>
        <w:rPr>
          <w:rFonts w:hint="eastAsia" w:ascii="宋体" w:hAnsi="宋体" w:cs="宋体"/>
          <w:b w:val="0"/>
          <w:bCs/>
          <w:lang w:eastAsia="zh-CN"/>
        </w:rPr>
        <w:t>，每学期，教辅材料和地方教材在开学前须配送到校，做到“课前到校，人手一册”。</w:t>
      </w:r>
      <w:r>
        <w:rPr>
          <w:rFonts w:hint="eastAsia" w:ascii="宋体" w:hAnsi="宋体" w:cs="宋体"/>
          <w:b/>
          <w:color w:val="0000FF"/>
        </w:rPr>
        <w:t xml:space="preserve"> </w:t>
      </w:r>
    </w:p>
    <w:p>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kern w:val="28"/>
          <w:sz w:val="24"/>
          <w:szCs w:val="20"/>
        </w:rPr>
        <w:t>3</w:t>
      </w:r>
      <w:r>
        <w:rPr>
          <w:rFonts w:hint="eastAsia" w:ascii="宋体" w:hAnsi="宋体" w:cs="宋体"/>
          <w:snapToGrid w:val="0"/>
          <w:kern w:val="28"/>
          <w:sz w:val="24"/>
          <w:szCs w:val="20"/>
        </w:rPr>
        <w:t>.落实政府</w:t>
      </w:r>
      <w:r>
        <w:rPr>
          <w:rFonts w:hint="eastAsia" w:ascii="宋体" w:hAnsi="宋体" w:cs="宋体"/>
          <w:snapToGrid w:val="0"/>
          <w:color w:val="auto"/>
          <w:kern w:val="28"/>
          <w:sz w:val="24"/>
          <w:szCs w:val="20"/>
          <w:highlight w:val="none"/>
        </w:rPr>
        <w:t>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货物全部由符合政策要求的中小企业制造，提供中小企业声明函；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50898254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p>
    <w:p>
      <w:pPr>
        <w:snapToGrid w:val="0"/>
        <w:spacing w:line="360" w:lineRule="auto"/>
        <w:ind w:firstLine="480" w:firstLineChars="200"/>
        <w:rPr>
          <w:color w:val="auto"/>
          <w:highlight w:val="none"/>
        </w:rPr>
      </w:pPr>
      <w:sdt>
        <w:sdtPr>
          <w:rPr>
            <w:rFonts w:hint="eastAsia" w:ascii="宋体" w:hAnsi="宋体" w:cs="宋体"/>
            <w:color w:val="auto"/>
            <w:kern w:val="0"/>
            <w:sz w:val="24"/>
            <w:highlight w:val="none"/>
          </w:rPr>
          <w:id w:val="-160711229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投标供应商需</w:t>
      </w:r>
      <w:r>
        <w:rPr>
          <w:rFonts w:hint="eastAsia" w:ascii="宋体" w:hAnsi="宋体" w:cs="宋体"/>
          <w:b/>
          <w:bCs/>
          <w:color w:val="auto"/>
          <w:sz w:val="24"/>
          <w:highlight w:val="none"/>
          <w:u w:val="single"/>
          <w:lang w:val="en-US" w:eastAsia="zh-CN"/>
        </w:rPr>
        <w:t>提供《</w:t>
      </w:r>
      <w:r>
        <w:rPr>
          <w:rFonts w:hint="eastAsia" w:ascii="宋体" w:hAnsi="宋体" w:cs="宋体"/>
          <w:b/>
          <w:bCs/>
          <w:color w:val="auto"/>
          <w:sz w:val="24"/>
          <w:highlight w:val="none"/>
          <w:u w:val="single"/>
        </w:rPr>
        <w:t>出版物经营许可证</w:t>
      </w:r>
      <w:r>
        <w:rPr>
          <w:rFonts w:hint="eastAsia" w:ascii="宋体" w:hAnsi="宋体" w:cs="宋体"/>
          <w:b/>
          <w:bCs/>
          <w:color w:val="auto"/>
          <w:sz w:val="24"/>
          <w:highlight w:val="none"/>
          <w:u w:val="single"/>
          <w:lang w:val="en-US" w:eastAsia="zh-CN"/>
        </w:rPr>
        <w:t>》</w:t>
      </w:r>
      <w:r>
        <w:rPr>
          <w:rFonts w:hint="eastAsia" w:ascii="宋体" w:hAnsi="宋体" w:cs="宋体"/>
          <w:color w:val="auto"/>
          <w:sz w:val="24"/>
          <w:highlight w:val="none"/>
          <w:u w:val="single"/>
        </w:rPr>
        <w:t>，该特定条件的法律法规依据：</w:t>
      </w:r>
      <w:r>
        <w:rPr>
          <w:rFonts w:hint="eastAsia" w:ascii="宋体" w:hAnsi="宋体" w:cs="宋体"/>
          <w:color w:val="auto"/>
          <w:sz w:val="24"/>
          <w:highlight w:val="none"/>
          <w:u w:val="single"/>
        </w:rPr>
        <w:fldChar w:fldCharType="begin"/>
      </w:r>
      <w:r>
        <w:rPr>
          <w:rFonts w:hint="eastAsia" w:ascii="宋体" w:hAnsi="宋体" w:cs="宋体"/>
          <w:color w:val="auto"/>
          <w:sz w:val="24"/>
          <w:highlight w:val="none"/>
          <w:u w:val="single"/>
        </w:rPr>
        <w:instrText xml:space="preserve"> HYPERLINK "https://baike.baidu.com/item/%E4%B8%AD%E5%8D%8E%E4%BA%BA%E6%B0%91%E5%85%B1%E5%92%8C%E5%9B%BD%E5%9B%BD%E5%8A%A1%E9%99%A2%E4%BB%A4/1614689?fromModule=lemma_inlink" \t "https://baike.baidu.com/item/%E5%87%BA%E7%89%88%E7%AE%A1%E7%90%86%E6%9D%A1%E4%BE%8B/_blank" </w:instrText>
      </w:r>
      <w:r>
        <w:rPr>
          <w:rFonts w:hint="eastAsia" w:ascii="宋体" w:hAnsi="宋体" w:cs="宋体"/>
          <w:color w:val="auto"/>
          <w:sz w:val="24"/>
          <w:highlight w:val="none"/>
          <w:u w:val="single"/>
        </w:rPr>
        <w:fldChar w:fldCharType="separate"/>
      </w:r>
      <w:r>
        <w:rPr>
          <w:rFonts w:hint="eastAsia" w:ascii="宋体" w:hAnsi="宋体" w:cs="宋体"/>
          <w:color w:val="auto"/>
          <w:sz w:val="24"/>
          <w:highlight w:val="none"/>
          <w:u w:val="single"/>
        </w:rPr>
        <w:t>中华人民共和国国务院令</w:t>
      </w:r>
      <w:r>
        <w:rPr>
          <w:rFonts w:hint="eastAsia" w:ascii="宋体" w:hAnsi="宋体" w:cs="宋体"/>
          <w:color w:val="auto"/>
          <w:sz w:val="24"/>
          <w:highlight w:val="none"/>
          <w:u w:val="single"/>
        </w:rPr>
        <w:fldChar w:fldCharType="end"/>
      </w:r>
      <w:r>
        <w:rPr>
          <w:rFonts w:hint="eastAsia" w:ascii="宋体" w:hAnsi="宋体" w:cs="宋体"/>
          <w:color w:val="auto"/>
          <w:sz w:val="24"/>
          <w:highlight w:val="none"/>
          <w:u w:val="single"/>
        </w:rPr>
        <w:t>第343号《出版管理条例》</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第三十五条　单位从事出版物批发业务的，须经省、自治区、直辖市人民政府出版行政主管部门审核许可，取得《出版物经营许可证》。</w:t>
      </w:r>
    </w:p>
    <w:p>
      <w:pPr>
        <w:snapToGrid w:val="0"/>
        <w:spacing w:line="360" w:lineRule="auto"/>
        <w:ind w:firstLine="480" w:firstLineChars="200"/>
        <w:rPr>
          <w:rFonts w:ascii="宋体" w:hAnsi="宋体" w:cs="宋体"/>
          <w:color w:val="auto"/>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w:t>
      </w:r>
      <w:r>
        <w:rPr>
          <w:rFonts w:hint="eastAsia" w:ascii="宋体" w:hAnsi="宋体" w:cs="宋体"/>
          <w:color w:val="auto"/>
          <w:sz w:val="24"/>
        </w:rPr>
        <w:t>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3</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3</w:t>
      </w:r>
      <w:r>
        <w:rPr>
          <w:rFonts w:hint="eastAsia" w:ascii="宋体" w:hAnsi="宋体" w:cs="宋体"/>
          <w:color w:val="auto"/>
          <w:sz w:val="24"/>
          <w:u w:val="single"/>
        </w:rPr>
        <w:t>日</w:t>
      </w:r>
      <w:r>
        <w:rPr>
          <w:rFonts w:hint="eastAsia" w:ascii="宋体" w:hAnsi="宋体" w:cs="宋体"/>
          <w:color w:val="auto"/>
          <w:sz w:val="24"/>
          <w:u w:val="single"/>
          <w:lang w:val="en-US" w:eastAsia="zh-CN"/>
        </w:rPr>
        <w:t>13</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3</w:t>
      </w:r>
      <w:r>
        <w:rPr>
          <w:rFonts w:hint="eastAsia" w:ascii="宋体" w:hAnsi="宋体" w:cs="宋体"/>
          <w:color w:val="auto"/>
          <w:sz w:val="24"/>
          <w:u w:val="single"/>
        </w:rPr>
        <w:t>日</w:t>
      </w:r>
      <w:r>
        <w:rPr>
          <w:rFonts w:hint="eastAsia" w:ascii="宋体" w:hAnsi="宋体" w:cs="宋体"/>
          <w:color w:val="auto"/>
          <w:sz w:val="24"/>
          <w:u w:val="single"/>
          <w:lang w:val="en-US" w:eastAsia="zh-CN"/>
        </w:rPr>
        <w:t>13</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sz w:val="24"/>
        </w:rPr>
        <w:t xml:space="preserve">    </w:t>
      </w:r>
      <w:r>
        <w:rPr>
          <w:rFonts w:hint="eastAsia" w:ascii="宋体" w:hAnsi="宋体" w:cs="宋体"/>
          <w:color w:val="auto"/>
          <w:sz w:val="24"/>
          <w:highlight w:val="none"/>
        </w:rPr>
        <w:t>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杭州市</w:t>
      </w:r>
      <w:r>
        <w:rPr>
          <w:rFonts w:hint="eastAsia" w:ascii="宋体" w:hAnsi="宋体" w:cs="宋体"/>
          <w:color w:val="auto"/>
          <w:sz w:val="24"/>
          <w:highlight w:val="none"/>
        </w:rPr>
        <w:t xml:space="preserve">临安区教育保障中心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址：浙江省杭州市临安区锦城街道临安区教育局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项目联系人（询问）：骆明华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项目联系方式（询问）：0571-61095983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质疑联系人：王正华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质疑联系方式：17767272979 </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firstLineChars="200"/>
        <w:rPr>
          <w:rFonts w:hint="eastAsia" w:ascii="宋体" w:hAnsi="宋体" w:cs="宋体"/>
          <w:sz w:val="24"/>
        </w:rPr>
      </w:pPr>
      <w:r>
        <w:rPr>
          <w:rFonts w:hint="eastAsia" w:ascii="宋体" w:hAnsi="宋体" w:cs="宋体"/>
          <w:sz w:val="24"/>
        </w:rPr>
        <w:t>名    称：杭州市公共资源交易中心</w:t>
      </w:r>
      <w:r>
        <w:rPr>
          <w:rFonts w:hint="eastAsia" w:ascii="宋体" w:hAnsi="宋体" w:cs="宋体"/>
          <w:sz w:val="24"/>
          <w:lang w:eastAsia="zh-CN"/>
        </w:rPr>
        <w:t>临安分中心</w:t>
      </w:r>
    </w:p>
    <w:p>
      <w:pPr>
        <w:spacing w:line="360" w:lineRule="auto"/>
        <w:ind w:firstLine="480" w:firstLineChars="200"/>
        <w:rPr>
          <w:rFonts w:hint="eastAsia" w:ascii="宋体" w:hAnsi="宋体" w:cs="宋体"/>
          <w:sz w:val="24"/>
        </w:rPr>
      </w:pPr>
      <w:r>
        <w:rPr>
          <w:rFonts w:hint="eastAsia" w:ascii="宋体" w:hAnsi="宋体" w:cs="宋体"/>
          <w:sz w:val="24"/>
        </w:rPr>
        <w:t>地    址：</w:t>
      </w:r>
      <w:r>
        <w:rPr>
          <w:rFonts w:hint="eastAsia" w:ascii="宋体" w:hAnsi="宋体" w:cs="宋体"/>
          <w:sz w:val="24"/>
          <w:lang w:eastAsia="zh-CN"/>
        </w:rPr>
        <w:t>浙江省杭州市临安区锦北街道科技大道</w:t>
      </w:r>
      <w:r>
        <w:rPr>
          <w:rFonts w:hint="eastAsia" w:ascii="宋体" w:hAnsi="宋体" w:cs="宋体"/>
          <w:sz w:val="24"/>
          <w:lang w:val="en-US" w:eastAsia="zh-CN"/>
        </w:rPr>
        <w:t>4398号市民中心4楼</w:t>
      </w:r>
    </w:p>
    <w:p>
      <w:pPr>
        <w:spacing w:line="360" w:lineRule="auto"/>
        <w:rPr>
          <w:rFonts w:hint="eastAsia" w:ascii="宋体" w:hAnsi="宋体" w:cs="宋体"/>
          <w:sz w:val="24"/>
        </w:rPr>
      </w:pPr>
      <w:r>
        <w:rPr>
          <w:rFonts w:hint="eastAsia" w:ascii="宋体" w:hAnsi="宋体" w:cs="宋体"/>
          <w:sz w:val="24"/>
        </w:rPr>
        <w:t xml:space="preserve">    传    真：</w:t>
      </w:r>
      <w:r>
        <w:rPr>
          <w:rFonts w:hint="eastAsia" w:ascii="宋体" w:hAnsi="宋体" w:cs="宋体"/>
          <w:sz w:val="24"/>
          <w:lang w:val="en-US" w:eastAsia="zh-CN"/>
        </w:rPr>
        <w:t>0571-23616016</w:t>
      </w: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rPr>
        <w:t xml:space="preserve">    项目联系人（询问）：</w:t>
      </w:r>
      <w:r>
        <w:rPr>
          <w:rFonts w:hint="eastAsia" w:ascii="宋体" w:hAnsi="宋体" w:cs="宋体"/>
          <w:sz w:val="24"/>
          <w:lang w:eastAsia="zh-CN"/>
        </w:rPr>
        <w:t>杨颖</w:t>
      </w: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rPr>
        <w:t xml:space="preserve">    项目联系方式（询问）：</w:t>
      </w:r>
      <w:r>
        <w:rPr>
          <w:rFonts w:hint="eastAsia" w:ascii="宋体" w:hAnsi="宋体" w:cs="宋体"/>
          <w:sz w:val="24"/>
          <w:lang w:val="en-US" w:eastAsia="zh-CN"/>
        </w:rPr>
        <w:t>0571-23616011</w:t>
      </w:r>
    </w:p>
    <w:p>
      <w:pPr>
        <w:spacing w:line="360" w:lineRule="auto"/>
        <w:rPr>
          <w:rFonts w:hint="eastAsia" w:ascii="宋体" w:hAnsi="宋体" w:cs="宋体"/>
          <w:sz w:val="24"/>
        </w:rPr>
      </w:pPr>
      <w:r>
        <w:rPr>
          <w:rFonts w:hint="eastAsia" w:ascii="宋体" w:hAnsi="宋体" w:cs="宋体"/>
          <w:sz w:val="24"/>
        </w:rPr>
        <w:t xml:space="preserve">    质疑联系人：</w:t>
      </w:r>
      <w:r>
        <w:rPr>
          <w:rFonts w:hint="eastAsia" w:ascii="宋体" w:hAnsi="宋体" w:cs="宋体"/>
          <w:sz w:val="24"/>
          <w:lang w:eastAsia="zh-CN"/>
        </w:rPr>
        <w:t>王晖</w:t>
      </w:r>
      <w:r>
        <w:rPr>
          <w:rFonts w:hint="eastAsia" w:ascii="宋体" w:hAnsi="宋体" w:cs="宋体"/>
          <w:sz w:val="24"/>
        </w:rPr>
        <w:t xml:space="preserve">              </w:t>
      </w:r>
    </w:p>
    <w:p>
      <w:pPr>
        <w:spacing w:line="360" w:lineRule="auto"/>
        <w:ind w:firstLine="480"/>
        <w:rPr>
          <w:rFonts w:hint="eastAsia" w:ascii="宋体" w:hAnsi="宋体" w:cs="宋体"/>
          <w:sz w:val="24"/>
          <w:lang w:val="en-US" w:eastAsia="zh-CN"/>
        </w:rPr>
      </w:pPr>
      <w:r>
        <w:rPr>
          <w:rFonts w:hint="eastAsia" w:ascii="宋体" w:hAnsi="宋体" w:cs="宋体"/>
          <w:sz w:val="24"/>
        </w:rPr>
        <w:t>质疑联系方式：0571-</w:t>
      </w:r>
      <w:r>
        <w:rPr>
          <w:rFonts w:hint="eastAsia" w:ascii="宋体" w:hAnsi="宋体" w:cs="宋体"/>
          <w:sz w:val="24"/>
          <w:lang w:val="en-US" w:eastAsia="zh-CN"/>
        </w:rPr>
        <w:t>23616016</w:t>
      </w:r>
    </w:p>
    <w:p>
      <w:pPr>
        <w:spacing w:line="360" w:lineRule="auto"/>
        <w:ind w:firstLine="480"/>
        <w:rPr>
          <w:rFonts w:ascii="宋体" w:hAnsi="宋体" w:cs="宋体"/>
          <w:sz w:val="24"/>
        </w:rPr>
      </w:pPr>
      <w:r>
        <w:rPr>
          <w:rFonts w:hint="eastAsia" w:ascii="宋体" w:hAnsi="宋体" w:cs="宋体"/>
          <w:sz w:val="24"/>
        </w:rPr>
        <w:t>3.</w:t>
      </w:r>
      <w:r>
        <w:rPr>
          <w:rFonts w:hint="eastAsia"/>
        </w:rPr>
        <w:t xml:space="preserve"> </w:t>
      </w:r>
      <w:r>
        <w:rPr>
          <w:rFonts w:hint="eastAsia" w:ascii="宋体" w:hAnsi="宋体" w:cs="宋体"/>
          <w:sz w:val="24"/>
        </w:rPr>
        <w:t xml:space="preserve">同级政府采购监督管理部门            </w:t>
      </w:r>
    </w:p>
    <w:p>
      <w:pPr>
        <w:spacing w:line="360" w:lineRule="auto"/>
        <w:ind w:firstLine="480"/>
        <w:rPr>
          <w:rFonts w:hint="eastAsia" w:ascii="宋体" w:hAnsi="宋体" w:cs="宋体"/>
          <w:sz w:val="24"/>
        </w:rPr>
      </w:pPr>
      <w:r>
        <w:rPr>
          <w:rFonts w:hint="eastAsia" w:ascii="宋体" w:hAnsi="宋体" w:cs="宋体"/>
          <w:sz w:val="24"/>
        </w:rPr>
        <w:t xml:space="preserve">名    称：杭州市临安区财政局政府采购监督管理科 </w:t>
      </w:r>
    </w:p>
    <w:p>
      <w:pPr>
        <w:spacing w:line="360" w:lineRule="auto"/>
        <w:ind w:firstLine="480"/>
        <w:rPr>
          <w:rFonts w:hint="eastAsia" w:ascii="宋体" w:hAnsi="宋体" w:cs="宋体"/>
          <w:sz w:val="24"/>
        </w:rPr>
      </w:pPr>
      <w:r>
        <w:rPr>
          <w:rFonts w:hint="eastAsia" w:ascii="宋体" w:hAnsi="宋体" w:cs="宋体"/>
          <w:sz w:val="24"/>
        </w:rPr>
        <w:t>地    址：浙江</w:t>
      </w:r>
      <w:r>
        <w:rPr>
          <w:rFonts w:hint="eastAsia" w:ascii="宋体" w:hAnsi="宋体" w:cs="宋体"/>
          <w:sz w:val="24"/>
          <w:lang w:eastAsia="zh-CN"/>
        </w:rPr>
        <w:t>省杭州市临安区锦北街道科技大道</w:t>
      </w:r>
      <w:r>
        <w:rPr>
          <w:rFonts w:hint="eastAsia" w:ascii="宋体" w:hAnsi="宋体" w:cs="宋体"/>
          <w:sz w:val="24"/>
          <w:lang w:val="en-US" w:eastAsia="zh-CN"/>
        </w:rPr>
        <w:t>4398号4号楼11楼</w:t>
      </w:r>
      <w:r>
        <w:rPr>
          <w:rFonts w:hint="eastAsia" w:ascii="宋体" w:hAnsi="宋体" w:cs="宋体"/>
          <w:sz w:val="24"/>
        </w:rPr>
        <w:t xml:space="preserve"> </w:t>
      </w:r>
    </w:p>
    <w:p>
      <w:pPr>
        <w:spacing w:line="360" w:lineRule="auto"/>
        <w:ind w:firstLine="480"/>
        <w:rPr>
          <w:rFonts w:hint="eastAsia" w:ascii="宋体" w:hAnsi="宋体" w:cs="宋体"/>
          <w:sz w:val="24"/>
        </w:rPr>
      </w:pPr>
      <w:r>
        <w:rPr>
          <w:rFonts w:hint="eastAsia" w:ascii="宋体" w:hAnsi="宋体" w:cs="宋体"/>
          <w:sz w:val="24"/>
        </w:rPr>
        <w:t>传    真：0571-89541600</w:t>
      </w:r>
    </w:p>
    <w:p>
      <w:pPr>
        <w:spacing w:line="360" w:lineRule="auto"/>
        <w:ind w:firstLine="480"/>
        <w:rPr>
          <w:rFonts w:hint="eastAsia" w:ascii="宋体" w:hAnsi="宋体" w:cs="宋体"/>
          <w:sz w:val="24"/>
        </w:rPr>
      </w:pPr>
      <w:r>
        <w:rPr>
          <w:rFonts w:hint="eastAsia" w:ascii="宋体" w:hAnsi="宋体" w:cs="宋体"/>
          <w:sz w:val="24"/>
        </w:rPr>
        <w:t xml:space="preserve">联系人 ：喻先生    </w:t>
      </w:r>
    </w:p>
    <w:p>
      <w:pPr>
        <w:spacing w:line="360" w:lineRule="auto"/>
        <w:ind w:firstLine="480"/>
        <w:rPr>
          <w:rFonts w:ascii="宋体" w:hAnsi="宋体" w:cs="宋体"/>
          <w:sz w:val="24"/>
        </w:rPr>
      </w:pPr>
      <w:r>
        <w:rPr>
          <w:rFonts w:hint="eastAsia" w:ascii="宋体" w:hAnsi="宋体" w:cs="宋体"/>
          <w:sz w:val="24"/>
        </w:rPr>
        <w:t xml:space="preserve">监督投诉电话：0571-89541696、89541691     </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宋体" w:hAnsi="宋体" w:cs="宋体"/>
          <w:sz w:val="24"/>
          <w:highlight w:val="none"/>
        </w:rPr>
        <w:t>95763</w:t>
      </w:r>
      <w:r>
        <w:rPr>
          <w:rFonts w:hint="eastAsia" w:ascii="宋体" w:hAnsi="宋体" w:cs="宋体"/>
          <w:sz w:val="24"/>
        </w:rPr>
        <w:t>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3"/>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pPr>
        <w:pStyle w:val="2"/>
        <w:rPr>
          <w:rFonts w:ascii="宋体"/>
          <w:snapToGrid w:val="0"/>
        </w:rPr>
      </w:pPr>
      <w: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货物类，单一产品或</w:t>
            </w:r>
            <w:r>
              <w:rPr>
                <w:rFonts w:hint="eastAsia" w:ascii="宋体" w:hAnsi="宋体" w:cs="宋体"/>
                <w:color w:val="auto"/>
                <w:kern w:val="0"/>
                <w:sz w:val="24"/>
              </w:rPr>
              <w:t>核心产品为：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w:t>
            </w:r>
            <w:r>
              <w:rPr>
                <w:rFonts w:hint="eastAsia" w:ascii="宋体" w:hAnsi="宋体" w:cs="宋体"/>
                <w:color w:val="auto"/>
                <w:sz w:val="24"/>
                <w:u w:val="single"/>
              </w:rPr>
              <w:t xml:space="preserve"> </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eastAsia="宋体" w:cs="宋体"/>
                <w:color w:val="auto"/>
                <w:highlight w:val="none"/>
                <w:lang w:val="en-US"/>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详见采购清单</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批发业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运输  </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color w:val="auto"/>
                <w:kern w:val="0"/>
                <w:sz w:val="24"/>
                <w:highlight w:val="none"/>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w:t>
            </w:r>
            <w:r>
              <w:rPr>
                <w:rFonts w:hint="eastAsia" w:ascii="宋体" w:hAnsi="宋体" w:cs="宋体"/>
                <w:color w:val="auto"/>
                <w:kern w:val="0"/>
                <w:sz w:val="24"/>
                <w:highlight w:val="none"/>
              </w:rPr>
              <w:t>提供（未提供样品或提供样品不满足采购需求实质性条件的供应商，投标无效）：</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hint="eastAsia"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360" w:lineRule="auto"/>
              <w:ind w:firstLine="240" w:firstLineChars="100"/>
              <w:rPr>
                <w:color w:val="auto"/>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sz w:val="24"/>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 xml:space="preserve"> </w:t>
            </w:r>
            <w:r>
              <w:rPr>
                <w:rFonts w:hint="eastAsia" w:ascii="宋体" w:hAnsi="宋体" w:cs="宋体"/>
                <w:color w:val="FF0000"/>
                <w:sz w:val="24"/>
                <w:u w:val="single"/>
              </w:rPr>
              <w:t xml:space="preserve">     </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lang w:val="zh-CN"/>
              </w:rPr>
            </w:pPr>
            <w:sdt>
              <w:sdtPr>
                <w:rPr>
                  <w:rFonts w:hint="eastAsia" w:ascii="宋体" w:hAnsi="宋体" w:cs="宋体"/>
                  <w:kern w:val="0"/>
                  <w:sz w:val="24"/>
                </w:rPr>
                <w:id w:val="386232013"/>
                <w14:checkbox>
                  <w14:checked w14:val="0"/>
                  <w14:checkedState w14:val="00FE" w14:font="Wingdings"/>
                  <w14:uncheckedState w14:val="2610" w14:font="MS Gothic"/>
                </w14:checkbox>
              </w:sdtPr>
              <w:sdtEndPr>
                <w:rPr>
                  <w:rFonts w:hint="eastAsia" w:ascii="宋体" w:hAnsi="宋体" w:cs="宋体"/>
                  <w:kern w:val="0"/>
                  <w:sz w:val="24"/>
                  <w:lang w:val="zh-CN"/>
                </w:rPr>
              </w:sdtEndPr>
              <w:sdtContent>
                <w:r>
                  <w:rPr>
                    <w:rFonts w:hint="eastAsia" w:ascii="宋体" w:hAnsi="宋体" w:cs="宋体"/>
                    <w:kern w:val="0"/>
                    <w:sz w:val="24"/>
                    <w:lang w:val="zh-CN"/>
                  </w:rPr>
                  <w:t>☐</w:t>
                </w:r>
              </w:sdtContent>
            </w:sdt>
            <w:r>
              <w:rPr>
                <w:rFonts w:hint="eastAsia" w:ascii="宋体" w:hAnsi="宋体" w:cs="宋体"/>
                <w:kern w:val="0"/>
                <w:sz w:val="24"/>
                <w:lang w:val="zh-CN"/>
              </w:rPr>
              <w:t>依据国家确定的认证机构出具的、处于有效期之内的节能产品认证证书，对获得证书的产品实施政府优先采购或强制采购</w:t>
            </w:r>
            <w:r>
              <w:rPr>
                <w:rFonts w:hint="eastAsia" w:ascii="宋体" w:hAnsi="宋体" w:cs="宋体"/>
                <w:color w:val="auto"/>
                <w:kern w:val="0"/>
                <w:sz w:val="24"/>
                <w:lang w:val="zh-CN"/>
              </w:rPr>
              <w:t>；其中，对</w:t>
            </w:r>
            <w:r>
              <w:rPr>
                <w:rFonts w:hint="eastAsia" w:ascii="宋体" w:hAnsi="宋体" w:cs="宋体"/>
                <w:color w:val="auto"/>
                <w:kern w:val="0"/>
                <w:sz w:val="24"/>
                <w:u w:val="single"/>
                <w:lang w:val="zh-CN"/>
              </w:rPr>
              <w:t>产品名称XXX</w:t>
            </w:r>
            <w:r>
              <w:rPr>
                <w:rFonts w:hint="eastAsia" w:ascii="宋体" w:hAnsi="宋体" w:cs="宋体"/>
                <w:color w:val="auto"/>
                <w:kern w:val="0"/>
                <w:sz w:val="24"/>
                <w:lang w:val="zh-CN"/>
              </w:rPr>
              <w:t>实施政府优先采购，</w:t>
            </w:r>
            <w:r>
              <w:rPr>
                <w:rFonts w:hint="eastAsia" w:ascii="宋体" w:hAnsi="宋体" w:cs="宋体"/>
                <w:color w:val="auto"/>
                <w:kern w:val="0"/>
                <w:sz w:val="24"/>
              </w:rPr>
              <w:t>详</w:t>
            </w:r>
            <w:r>
              <w:rPr>
                <w:rFonts w:hint="eastAsia" w:ascii="宋体" w:hAnsi="宋体" w:cs="宋体"/>
                <w:color w:val="auto"/>
                <w:kern w:val="0"/>
                <w:sz w:val="24"/>
                <w:lang w:val="zh-CN"/>
              </w:rPr>
              <w:t>见</w:t>
            </w:r>
            <w:r>
              <w:rPr>
                <w:rFonts w:hint="eastAsia" w:ascii="宋体" w:hAnsi="宋体" w:cs="宋体"/>
                <w:color w:val="auto"/>
                <w:kern w:val="0"/>
                <w:sz w:val="24"/>
                <w:u w:val="single"/>
                <w:lang w:val="zh-CN"/>
              </w:rPr>
              <w:t>评分标准</w:t>
            </w:r>
            <w:r>
              <w:rPr>
                <w:rFonts w:hint="eastAsia" w:ascii="宋体" w:hAnsi="宋体" w:cs="宋体"/>
                <w:color w:val="auto"/>
                <w:kern w:val="0"/>
                <w:sz w:val="24"/>
                <w:lang w:val="zh-CN"/>
              </w:rPr>
              <w:t>；</w:t>
            </w:r>
            <w:r>
              <w:rPr>
                <w:rFonts w:hint="eastAsia" w:ascii="宋体" w:hAnsi="宋体" w:cs="宋体"/>
                <w:color w:val="auto"/>
                <w:sz w:val="24"/>
              </w:rPr>
              <w:t>▲</w:t>
            </w:r>
            <w:r>
              <w:rPr>
                <w:rFonts w:hint="eastAsia" w:ascii="宋体" w:hAnsi="宋体" w:cs="宋体"/>
                <w:color w:val="auto"/>
                <w:kern w:val="0"/>
                <w:sz w:val="24"/>
                <w:lang w:val="zh-CN"/>
              </w:rPr>
              <w:t>对</w:t>
            </w:r>
            <w:r>
              <w:rPr>
                <w:rFonts w:hint="eastAsia" w:ascii="宋体" w:hAnsi="宋体" w:cs="宋体"/>
                <w:color w:val="auto"/>
                <w:kern w:val="0"/>
                <w:sz w:val="24"/>
                <w:u w:val="single"/>
                <w:lang w:val="zh-CN"/>
              </w:rPr>
              <w:t>产品名称XXX</w:t>
            </w:r>
            <w:r>
              <w:rPr>
                <w:rFonts w:hint="eastAsia" w:ascii="宋体" w:hAnsi="宋体" w:cs="宋体"/>
                <w:color w:val="auto"/>
                <w:kern w:val="0"/>
                <w:sz w:val="24"/>
                <w:lang w:val="zh-CN"/>
              </w:rPr>
              <w:t>实施政府强制采购，</w:t>
            </w:r>
            <w:r>
              <w:rPr>
                <w:rFonts w:hint="eastAsia" w:ascii="宋体" w:hAnsi="宋体" w:cs="宋体"/>
                <w:b/>
                <w:bCs/>
                <w:color w:val="auto"/>
                <w:kern w:val="0"/>
                <w:sz w:val="24"/>
                <w:lang w:val="zh-CN"/>
              </w:rPr>
              <w:t>投标人</w:t>
            </w:r>
            <w:r>
              <w:rPr>
                <w:rFonts w:hint="eastAsia" w:ascii="宋体" w:hAnsi="宋体" w:cs="宋体"/>
                <w:b/>
                <w:bCs/>
                <w:color w:val="auto"/>
                <w:kern w:val="0"/>
                <w:sz w:val="24"/>
              </w:rPr>
              <w:t>就</w:t>
            </w:r>
            <w:r>
              <w:rPr>
                <w:rFonts w:hint="eastAsia" w:ascii="宋体" w:hAnsi="宋体" w:cs="宋体"/>
                <w:b/>
                <w:bCs/>
                <w:color w:val="auto"/>
                <w:kern w:val="0"/>
                <w:sz w:val="24"/>
                <w:lang w:val="zh-CN"/>
              </w:rPr>
              <w:t>相应的投标产品未</w:t>
            </w:r>
            <w:r>
              <w:rPr>
                <w:rFonts w:hint="eastAsia" w:ascii="宋体" w:hAnsi="宋体" w:cs="宋体"/>
                <w:b/>
                <w:bCs/>
                <w:color w:val="auto"/>
                <w:kern w:val="0"/>
                <w:sz w:val="24"/>
              </w:rPr>
              <w:t>提供</w:t>
            </w:r>
            <w:r>
              <w:rPr>
                <w:rFonts w:hint="eastAsia" w:ascii="宋体" w:hAnsi="宋体" w:cs="宋体"/>
                <w:b/>
                <w:bCs/>
                <w:color w:val="auto"/>
                <w:kern w:val="0"/>
                <w:sz w:val="24"/>
                <w:lang w:val="zh-CN"/>
              </w:rPr>
              <w:t>国家确定的认证机构出具的、处于有效期之内的节能产品认证证书的，投标无效</w:t>
            </w:r>
            <w:r>
              <w:rPr>
                <w:rFonts w:hint="eastAsia" w:ascii="宋体" w:hAnsi="宋体" w:cs="宋体"/>
                <w:color w:val="auto"/>
                <w:kern w:val="0"/>
                <w:sz w:val="24"/>
                <w:lang w:val="zh-CN"/>
              </w:rPr>
              <w:t>。</w:t>
            </w:r>
          </w:p>
          <w:p>
            <w:pPr>
              <w:spacing w:line="360" w:lineRule="auto"/>
              <w:rPr>
                <w:rFonts w:ascii="宋体" w:hAnsi="宋体" w:cs="宋体"/>
                <w:color w:val="auto"/>
                <w:kern w:val="0"/>
                <w:sz w:val="24"/>
                <w:lang w:val="zh-CN"/>
              </w:rPr>
            </w:pPr>
            <w:sdt>
              <w:sdtPr>
                <w:rPr>
                  <w:rFonts w:hint="eastAsia" w:ascii="宋体" w:hAnsi="宋体" w:cs="宋体"/>
                  <w:color w:val="auto"/>
                  <w:kern w:val="0"/>
                  <w:sz w:val="24"/>
                  <w:lang w:val="zh-CN"/>
                </w:rPr>
                <w:id w:val="93515011"/>
                <w14:checkbox>
                  <w14:checked w14:val="0"/>
                  <w14:checkedState w14:val="00FE" w14:font="Wingdings"/>
                  <w14:uncheckedState w14:val="2610" w14:font="MS Gothic"/>
                </w14:checkbox>
              </w:sdtPr>
              <w:sdtEndPr>
                <w:rPr>
                  <w:rFonts w:hint="eastAsia" w:ascii="宋体" w:hAnsi="宋体" w:cs="宋体"/>
                  <w:color w:val="auto"/>
                  <w:kern w:val="0"/>
                  <w:sz w:val="24"/>
                  <w:lang w:val="zh-CN"/>
                </w:rPr>
              </w:sdtEndPr>
              <w:sdtContent>
                <w:r>
                  <w:rPr>
                    <w:rFonts w:hint="eastAsia" w:ascii="宋体" w:hAnsi="宋体" w:cs="宋体"/>
                    <w:color w:val="auto"/>
                    <w:kern w:val="0"/>
                    <w:sz w:val="24"/>
                    <w:lang w:val="zh-CN"/>
                  </w:rPr>
                  <w:t>☐</w:t>
                </w:r>
              </w:sdtContent>
            </w:sdt>
            <w:r>
              <w:rPr>
                <w:rFonts w:hint="eastAsia" w:ascii="宋体" w:hAnsi="宋体" w:cs="宋体"/>
                <w:color w:val="auto"/>
                <w:kern w:val="0"/>
                <w:sz w:val="24"/>
                <w:lang w:val="zh-CN"/>
              </w:rPr>
              <w:t>依据国家确定的认证机构出具的、处于有效期之内的环境标志产品认证证书，对获得证书的产品名称XXX实施政府优先采购，</w:t>
            </w:r>
            <w:r>
              <w:rPr>
                <w:rFonts w:hint="eastAsia" w:ascii="宋体" w:hAnsi="宋体" w:cs="宋体"/>
                <w:color w:val="auto"/>
                <w:kern w:val="0"/>
                <w:sz w:val="24"/>
              </w:rPr>
              <w:t>详</w:t>
            </w:r>
            <w:r>
              <w:rPr>
                <w:rFonts w:hint="eastAsia" w:ascii="宋体" w:hAnsi="宋体" w:cs="宋体"/>
                <w:color w:val="auto"/>
                <w:kern w:val="0"/>
                <w:sz w:val="24"/>
                <w:lang w:val="zh-CN"/>
              </w:rPr>
              <w:t>见</w:t>
            </w:r>
            <w:r>
              <w:rPr>
                <w:rFonts w:hint="eastAsia" w:ascii="宋体" w:hAnsi="宋体" w:cs="宋体"/>
                <w:color w:val="auto"/>
                <w:kern w:val="0"/>
                <w:sz w:val="24"/>
                <w:u w:val="single"/>
                <w:lang w:val="zh-CN"/>
              </w:rPr>
              <w:t>评分标准</w:t>
            </w:r>
            <w:r>
              <w:rPr>
                <w:rFonts w:hint="eastAsia" w:ascii="宋体" w:hAnsi="宋体" w:cs="宋体"/>
                <w:color w:val="auto"/>
                <w:kern w:val="0"/>
                <w:sz w:val="24"/>
                <w:lang w:val="zh-CN"/>
              </w:rPr>
              <w:t>。</w:t>
            </w:r>
          </w:p>
          <w:p>
            <w:pPr>
              <w:snapToGrid w:val="0"/>
              <w:spacing w:line="360" w:lineRule="auto"/>
              <w:rPr>
                <w:rFonts w:ascii="宋体" w:hAnsi="宋体" w:cs="宋体"/>
              </w:rPr>
            </w:pPr>
            <w:sdt>
              <w:sdtPr>
                <w:rPr>
                  <w:rFonts w:hint="eastAsia" w:ascii="宋体" w:hAnsi="宋体" w:cs="宋体"/>
                  <w:color w:val="auto"/>
                  <w:kern w:val="0"/>
                  <w:sz w:val="24"/>
                </w:rPr>
                <w:id w:val="-37800363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8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杭州市</w:t>
            </w:r>
            <w:r>
              <w:rPr>
                <w:rFonts w:hint="eastAsia" w:hAnsi="宋体" w:cs="宋体"/>
                <w:kern w:val="28"/>
                <w:sz w:val="24"/>
                <w:szCs w:val="24"/>
                <w:u w:val="single"/>
                <w:lang w:eastAsia="zh-CN"/>
              </w:rPr>
              <w:t>临安区锦北街道科技大道</w:t>
            </w:r>
            <w:r>
              <w:rPr>
                <w:rFonts w:hint="eastAsia" w:hAnsi="宋体" w:cs="宋体"/>
                <w:kern w:val="28"/>
                <w:sz w:val="24"/>
                <w:szCs w:val="24"/>
                <w:u w:val="single"/>
                <w:lang w:val="en-US" w:eastAsia="zh-CN"/>
              </w:rPr>
              <w:t>4398号市民中心B座B448室</w:t>
            </w:r>
            <w:r>
              <w:rPr>
                <w:rFonts w:hint="eastAsia" w:hAnsi="宋体" w:cs="宋体"/>
                <w:kern w:val="28"/>
                <w:sz w:val="24"/>
                <w:szCs w:val="24"/>
                <w:u w:val="single"/>
              </w:rPr>
              <w:t>（杭州市公共资源交易中心</w:t>
            </w:r>
            <w:r>
              <w:rPr>
                <w:rFonts w:hint="eastAsia" w:hAnsi="宋体" w:cs="宋体"/>
                <w:kern w:val="28"/>
                <w:sz w:val="24"/>
                <w:szCs w:val="24"/>
                <w:u w:val="single"/>
                <w:lang w:eastAsia="zh-CN"/>
              </w:rPr>
              <w:t>临安分中心</w:t>
            </w:r>
            <w:r>
              <w:rPr>
                <w:rFonts w:hint="eastAsia" w:hAnsi="宋体" w:cs="宋体"/>
                <w:kern w:val="28"/>
                <w:sz w:val="24"/>
                <w:szCs w:val="24"/>
                <w:u w:val="single"/>
              </w:rPr>
              <w:t>政府采购</w:t>
            </w:r>
            <w:r>
              <w:rPr>
                <w:rFonts w:hint="eastAsia" w:hAnsi="宋体" w:cs="宋体"/>
                <w:kern w:val="28"/>
                <w:sz w:val="24"/>
                <w:szCs w:val="24"/>
                <w:u w:val="single"/>
                <w:lang w:eastAsia="zh-CN"/>
              </w:rPr>
              <w:t>科</w:t>
            </w:r>
            <w:r>
              <w:rPr>
                <w:rFonts w:hint="eastAsia" w:hAnsi="宋体" w:cs="宋体"/>
                <w:kern w:val="28"/>
                <w:sz w:val="24"/>
                <w:szCs w:val="24"/>
                <w:u w:val="single"/>
              </w:rPr>
              <w:t>）</w:t>
            </w:r>
            <w:r>
              <w:rPr>
                <w:rFonts w:hint="eastAsia" w:hAnsi="宋体" w:cs="宋体"/>
                <w:kern w:val="28"/>
                <w:sz w:val="24"/>
                <w:szCs w:val="24"/>
              </w:rPr>
              <w:t>；备份投标文件签收人员联系电话：</w:t>
            </w:r>
            <w:r>
              <w:rPr>
                <w:rFonts w:hint="eastAsia" w:hAnsi="宋体" w:cs="宋体"/>
                <w:kern w:val="28"/>
                <w:sz w:val="24"/>
                <w:szCs w:val="24"/>
                <w:u w:val="single"/>
              </w:rPr>
              <w:t>0571-</w:t>
            </w:r>
            <w:r>
              <w:rPr>
                <w:rFonts w:hint="eastAsia" w:hAnsi="宋体" w:cs="宋体"/>
                <w:kern w:val="28"/>
                <w:sz w:val="24"/>
                <w:szCs w:val="24"/>
                <w:u w:val="single"/>
                <w:lang w:val="en-US" w:eastAsia="zh-CN"/>
              </w:rPr>
              <w:t>23616011</w:t>
            </w:r>
            <w:r>
              <w:rPr>
                <w:rFonts w:hint="eastAsia" w:hAnsi="宋体" w:cs="宋体"/>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评审因素对应的要求视为采购需求的一部分。</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3" w:name="_Toc164416483"/>
      <w:bookmarkStart w:id="14"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rPr>
        <w:t>以联合体形式参加政府采购活动，</w:t>
      </w:r>
      <w:r>
        <w:rPr>
          <w:rFonts w:hint="eastAsia" w:ascii="宋体" w:hAnsi="宋体" w:cs="宋体"/>
          <w:kern w:val="0"/>
          <w:sz w:val="24"/>
          <w:highlight w:val="none"/>
        </w:rPr>
        <w:t>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sz w:val="24"/>
          <w:highlight w:val="none"/>
        </w:rPr>
        <w:t>20</w:t>
      </w:r>
      <w:r>
        <w:rPr>
          <w:rFonts w:hint="eastAsia" w:ascii="宋体" w:hAnsi="宋体" w:cs="宋体"/>
          <w:sz w:val="24"/>
          <w:highlight w:val="none"/>
        </w:rPr>
        <w:t>%的扣除（</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highlight w:val="none"/>
        </w:rPr>
        <w:t>联合协议或者分包意向协议约定小微企业的合同份额占到合同总金额30%以上的</w:t>
      </w:r>
      <w:bookmarkEnd w:id="16"/>
      <w:r>
        <w:rPr>
          <w:rFonts w:hint="eastAsia" w:ascii="宋体" w:hAnsi="宋体" w:cs="宋体"/>
          <w:sz w:val="24"/>
          <w:highlight w:val="none"/>
        </w:rPr>
        <w:t>，对联合体或者大中型企业的报价给予4%-</w:t>
      </w:r>
      <w:r>
        <w:rPr>
          <w:rFonts w:ascii="宋体" w:hAnsi="宋体" w:cs="宋体"/>
          <w:sz w:val="24"/>
          <w:highlight w:val="none"/>
        </w:rPr>
        <w:t>6</w:t>
      </w: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keepNext w:val="0"/>
        <w:keepLines w:val="0"/>
        <w:pageBreakBefore w:val="0"/>
        <w:kinsoku/>
        <w:wordWrap/>
        <w:overflowPunct/>
        <w:topLinePunct w:val="0"/>
        <w:bidi w:val="0"/>
        <w:spacing w:line="360" w:lineRule="auto"/>
        <w:ind w:firstLine="480" w:firstLineChars="200"/>
        <w:textAlignment w:val="auto"/>
        <w:rPr>
          <w:rFonts w:ascii="宋体" w:hAnsi="宋体" w:cs="宋体"/>
          <w:sz w:val="24"/>
        </w:rPr>
      </w:pPr>
      <w:r>
        <w:rPr>
          <w:rFonts w:hint="eastAsia" w:ascii="宋体" w:hAnsi="宋体" w:cs="宋体"/>
          <w:sz w:val="24"/>
        </w:rPr>
        <w:t>3.4.1 采购人优先采购被认定为首台套产品和“制造精品”的自主创新产品。</w:t>
      </w:r>
    </w:p>
    <w:p>
      <w:pPr>
        <w:keepNext w:val="0"/>
        <w:keepLines w:val="0"/>
        <w:pageBreakBefore w:val="0"/>
        <w:kinsoku/>
        <w:wordWrap/>
        <w:overflowPunct/>
        <w:topLinePunct w:val="0"/>
        <w:bidi w:val="0"/>
        <w:spacing w:line="360" w:lineRule="auto"/>
        <w:ind w:firstLine="480" w:firstLineChars="200"/>
        <w:textAlignment w:val="auto"/>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keepNext w:val="0"/>
        <w:keepLines w:val="0"/>
        <w:pageBreakBefore w:val="0"/>
        <w:kinsoku/>
        <w:wordWrap/>
        <w:overflowPunct/>
        <w:topLinePunct w:val="0"/>
        <w:bidi w:val="0"/>
        <w:spacing w:line="360" w:lineRule="auto"/>
        <w:ind w:firstLine="240" w:firstLineChars="100"/>
        <w:textAlignment w:val="auto"/>
        <w:rPr>
          <w:rFonts w:ascii="宋体" w:hAnsi="宋体" w:cs="宋体"/>
          <w:sz w:val="24"/>
        </w:rPr>
      </w:pPr>
      <w:r>
        <w:rPr>
          <w:rFonts w:hint="eastAsia" w:ascii="宋体" w:hAnsi="宋体" w:cs="宋体"/>
          <w:sz w:val="24"/>
        </w:rPr>
        <w:t>3.5平等对待内外资企业和符合条件的破产重整企业</w:t>
      </w:r>
    </w:p>
    <w:p>
      <w:pPr>
        <w:keepNext w:val="0"/>
        <w:keepLines w:val="0"/>
        <w:pageBreakBefore w:val="0"/>
        <w:kinsoku/>
        <w:wordWrap/>
        <w:overflowPunct/>
        <w:topLinePunct w:val="0"/>
        <w:bidi w:val="0"/>
        <w:spacing w:line="360" w:lineRule="auto"/>
        <w:ind w:firstLine="480" w:firstLineChars="200"/>
        <w:textAlignment w:val="auto"/>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sz w:val="24"/>
          <w:szCs w:val="32"/>
        </w:rPr>
        <w:t>4. 询问、质疑、投诉</w:t>
      </w:r>
    </w:p>
    <w:p>
      <w:pPr>
        <w:pStyle w:val="886"/>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lang w:val="zh-CN"/>
        </w:rPr>
      </w:pPr>
      <w:r>
        <w:rPr>
          <w:rFonts w:hint="eastAsia"/>
          <w:lang w:val="zh-CN"/>
        </w:rPr>
        <w:t>4.1在线询问、质疑、投诉</w:t>
      </w:r>
    </w:p>
    <w:p>
      <w:pPr>
        <w:pStyle w:val="886"/>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val="0"/>
        <w:autoSpaceDN w:val="0"/>
        <w:bidi w:val="0"/>
        <w:spacing w:line="360" w:lineRule="auto"/>
        <w:ind w:firstLine="240" w:firstLineChars="100"/>
        <w:jc w:val="left"/>
        <w:textAlignment w:val="auto"/>
        <w:rPr>
          <w:rFonts w:ascii="宋体" w:hAnsi="宋体" w:cs="宋体"/>
          <w:kern w:val="0"/>
          <w:sz w:val="24"/>
          <w:lang w:val="zh-CN"/>
        </w:rPr>
      </w:pPr>
      <w:r>
        <w:rPr>
          <w:rFonts w:hint="eastAsia" w:ascii="宋体" w:hAnsi="宋体" w:cs="宋体"/>
          <w:kern w:val="0"/>
          <w:sz w:val="24"/>
          <w:lang w:val="zh-CN"/>
        </w:rPr>
        <w:t>4.2供应商询问</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kinsoku/>
        <w:wordWrap/>
        <w:overflowPunct/>
        <w:topLinePunct w:val="0"/>
        <w:autoSpaceDE w:val="0"/>
        <w:autoSpaceDN w:val="0"/>
        <w:bidi w:val="0"/>
        <w:spacing w:line="360" w:lineRule="auto"/>
        <w:ind w:firstLine="240" w:firstLineChars="100"/>
        <w:jc w:val="left"/>
        <w:textAlignment w:val="auto"/>
        <w:rPr>
          <w:rFonts w:ascii="宋体" w:hAnsi="宋体" w:cs="宋体"/>
          <w:kern w:val="0"/>
          <w:sz w:val="24"/>
          <w:lang w:val="zh-CN"/>
        </w:rPr>
      </w:pPr>
      <w:r>
        <w:rPr>
          <w:rFonts w:hint="eastAsia" w:ascii="宋体" w:hAnsi="宋体" w:cs="宋体"/>
          <w:kern w:val="0"/>
          <w:sz w:val="24"/>
          <w:lang w:val="zh-CN"/>
        </w:rPr>
        <w:t>4.3供应商质疑</w:t>
      </w:r>
    </w:p>
    <w:p>
      <w:pPr>
        <w:pStyle w:val="33"/>
        <w:keepNext w:val="0"/>
        <w:keepLines w:val="0"/>
        <w:pageBreakBefore w:val="0"/>
        <w:kinsoku/>
        <w:wordWrap/>
        <w:overflowPunct/>
        <w:topLinePunct w:val="0"/>
        <w:bidi w:val="0"/>
        <w:spacing w:line="360" w:lineRule="auto"/>
        <w:ind w:firstLine="480" w:firstLineChars="200"/>
        <w:textAlignment w:val="auto"/>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3"/>
        <w:keepNext w:val="0"/>
        <w:keepLines w:val="0"/>
        <w:pageBreakBefore w:val="0"/>
        <w:kinsoku/>
        <w:wordWrap/>
        <w:overflowPunct/>
        <w:topLinePunct w:val="0"/>
        <w:bidi w:val="0"/>
        <w:spacing w:line="360" w:lineRule="auto"/>
        <w:ind w:firstLine="480" w:firstLineChars="200"/>
        <w:textAlignment w:val="auto"/>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5"/>
        <w:keepNext w:val="0"/>
        <w:keepLines w:val="0"/>
        <w:pageBreakBefore w:val="0"/>
        <w:kinsoku/>
        <w:wordWrap/>
        <w:overflowPunct/>
        <w:topLinePunct w:val="0"/>
        <w:bidi w:val="0"/>
        <w:spacing w:line="360" w:lineRule="auto"/>
        <w:ind w:firstLine="480" w:firstLineChars="200"/>
        <w:textAlignment w:val="auto"/>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3"/>
        <w:keepNext w:val="0"/>
        <w:keepLines w:val="0"/>
        <w:pageBreakBefore w:val="0"/>
        <w:kinsoku/>
        <w:wordWrap/>
        <w:overflowPunct/>
        <w:topLinePunct w:val="0"/>
        <w:bidi w:val="0"/>
        <w:spacing w:line="360" w:lineRule="auto"/>
        <w:ind w:left="479" w:leftChars="228"/>
        <w:textAlignment w:val="auto"/>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3"/>
        <w:keepNext w:val="0"/>
        <w:keepLines w:val="0"/>
        <w:pageBreakBefore w:val="0"/>
        <w:kinsoku/>
        <w:wordWrap/>
        <w:overflowPunct/>
        <w:topLinePunct w:val="0"/>
        <w:bidi w:val="0"/>
        <w:spacing w:line="360" w:lineRule="auto"/>
        <w:ind w:firstLine="480" w:firstLineChars="200"/>
        <w:textAlignment w:val="auto"/>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3"/>
        <w:keepNext w:val="0"/>
        <w:keepLines w:val="0"/>
        <w:pageBreakBefore w:val="0"/>
        <w:kinsoku/>
        <w:wordWrap/>
        <w:overflowPunct/>
        <w:topLinePunct w:val="0"/>
        <w:bidi w:val="0"/>
        <w:spacing w:line="360" w:lineRule="auto"/>
        <w:ind w:firstLine="480" w:firstLineChars="200"/>
        <w:textAlignment w:val="auto"/>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3"/>
        <w:keepNext w:val="0"/>
        <w:keepLines w:val="0"/>
        <w:pageBreakBefore w:val="0"/>
        <w:kinsoku/>
        <w:wordWrap/>
        <w:overflowPunct/>
        <w:topLinePunct w:val="0"/>
        <w:bidi w:val="0"/>
        <w:spacing w:line="360" w:lineRule="auto"/>
        <w:ind w:firstLine="480" w:firstLineChars="200"/>
        <w:textAlignment w:val="auto"/>
        <w:rPr>
          <w:rFonts w:hAnsi="宋体" w:cs="宋体"/>
          <w:kern w:val="0"/>
          <w:sz w:val="24"/>
          <w:lang w:val="zh-CN"/>
        </w:rPr>
      </w:pPr>
      <w:r>
        <w:rPr>
          <w:rFonts w:hint="eastAsia" w:hAnsi="宋体" w:cs="宋体"/>
          <w:kern w:val="0"/>
          <w:sz w:val="24"/>
          <w:lang w:val="zh-CN"/>
        </w:rPr>
        <w:t>　　4.3.3.2质疑项目的名称、编号；</w:t>
      </w:r>
    </w:p>
    <w:p>
      <w:pPr>
        <w:pStyle w:val="33"/>
        <w:keepNext w:val="0"/>
        <w:keepLines w:val="0"/>
        <w:pageBreakBefore w:val="0"/>
        <w:kinsoku/>
        <w:wordWrap/>
        <w:overflowPunct/>
        <w:topLinePunct w:val="0"/>
        <w:bidi w:val="0"/>
        <w:spacing w:line="360" w:lineRule="auto"/>
        <w:ind w:firstLine="480" w:firstLineChars="200"/>
        <w:textAlignment w:val="auto"/>
        <w:rPr>
          <w:rFonts w:hAnsi="宋体" w:cs="宋体"/>
          <w:kern w:val="0"/>
          <w:sz w:val="24"/>
          <w:lang w:val="zh-CN"/>
        </w:rPr>
      </w:pPr>
      <w:r>
        <w:rPr>
          <w:rFonts w:hint="eastAsia" w:hAnsi="宋体" w:cs="宋体"/>
          <w:kern w:val="0"/>
          <w:sz w:val="24"/>
          <w:lang w:val="zh-CN"/>
        </w:rPr>
        <w:t>　　4.3.3.3具体、明确的质疑事项和与质疑事项相关的请求；</w:t>
      </w:r>
    </w:p>
    <w:p>
      <w:pPr>
        <w:pStyle w:val="33"/>
        <w:keepNext w:val="0"/>
        <w:keepLines w:val="0"/>
        <w:pageBreakBefore w:val="0"/>
        <w:kinsoku/>
        <w:wordWrap/>
        <w:overflowPunct/>
        <w:topLinePunct w:val="0"/>
        <w:bidi w:val="0"/>
        <w:spacing w:line="360" w:lineRule="auto"/>
        <w:ind w:firstLine="480" w:firstLineChars="200"/>
        <w:textAlignment w:val="auto"/>
        <w:rPr>
          <w:rFonts w:hAnsi="宋体" w:cs="宋体"/>
          <w:kern w:val="0"/>
          <w:sz w:val="24"/>
          <w:lang w:val="zh-CN"/>
        </w:rPr>
      </w:pPr>
      <w:r>
        <w:rPr>
          <w:rFonts w:hint="eastAsia" w:hAnsi="宋体" w:cs="宋体"/>
          <w:kern w:val="0"/>
          <w:sz w:val="24"/>
          <w:lang w:val="zh-CN"/>
        </w:rPr>
        <w:t>　　4.3.3.4事实依据；</w:t>
      </w:r>
    </w:p>
    <w:p>
      <w:pPr>
        <w:pStyle w:val="33"/>
        <w:keepNext w:val="0"/>
        <w:keepLines w:val="0"/>
        <w:pageBreakBefore w:val="0"/>
        <w:kinsoku/>
        <w:wordWrap/>
        <w:overflowPunct/>
        <w:topLinePunct w:val="0"/>
        <w:bidi w:val="0"/>
        <w:spacing w:line="360" w:lineRule="auto"/>
        <w:ind w:firstLine="480" w:firstLineChars="200"/>
        <w:textAlignment w:val="auto"/>
        <w:rPr>
          <w:rFonts w:hAnsi="宋体" w:cs="宋体"/>
          <w:kern w:val="0"/>
          <w:sz w:val="24"/>
          <w:lang w:val="zh-CN"/>
        </w:rPr>
      </w:pPr>
      <w:r>
        <w:rPr>
          <w:rFonts w:hint="eastAsia" w:hAnsi="宋体" w:cs="宋体"/>
          <w:kern w:val="0"/>
          <w:sz w:val="24"/>
          <w:lang w:val="zh-CN"/>
        </w:rPr>
        <w:t>　　4.3.3.5必要的法律依据；</w:t>
      </w:r>
    </w:p>
    <w:p>
      <w:pPr>
        <w:pStyle w:val="33"/>
        <w:keepNext w:val="0"/>
        <w:keepLines w:val="0"/>
        <w:pageBreakBefore w:val="0"/>
        <w:kinsoku/>
        <w:wordWrap/>
        <w:overflowPunct/>
        <w:topLinePunct w:val="0"/>
        <w:bidi w:val="0"/>
        <w:spacing w:line="360" w:lineRule="auto"/>
        <w:ind w:firstLine="960" w:firstLineChars="400"/>
        <w:textAlignment w:val="auto"/>
        <w:rPr>
          <w:rFonts w:hAnsi="宋体" w:cs="宋体"/>
          <w:kern w:val="0"/>
          <w:sz w:val="24"/>
          <w:lang w:val="zh-CN"/>
        </w:rPr>
      </w:pPr>
      <w:r>
        <w:rPr>
          <w:rFonts w:hint="eastAsia" w:hAnsi="宋体" w:cs="宋体"/>
          <w:kern w:val="0"/>
          <w:sz w:val="24"/>
          <w:lang w:val="zh-CN"/>
        </w:rPr>
        <w:t>4.3.3.6提出质疑的日期。</w:t>
      </w:r>
    </w:p>
    <w:p>
      <w:pPr>
        <w:pStyle w:val="886"/>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6"/>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pPr>
        <w:pStyle w:val="886"/>
        <w:shd w:val="clear" w:color="auto" w:fill="FFFFFF"/>
        <w:snapToGrid w:val="0"/>
        <w:spacing w:after="240" w:afterAutospacing="0" w:line="360" w:lineRule="auto"/>
        <w:ind w:firstLine="480" w:firstLineChars="200"/>
        <w:contextualSpacing/>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6"/>
        <w:shd w:val="clear" w:color="auto" w:fill="FFFFFF"/>
        <w:snapToGrid w:val="0"/>
        <w:spacing w:after="240" w:afterAutospacing="0" w:line="360" w:lineRule="auto"/>
        <w:ind w:firstLine="400"/>
        <w:contextualSpacing/>
      </w:pPr>
      <w:r>
        <w:rPr>
          <w:rFonts w:hint="eastAsia"/>
        </w:rPr>
        <w:t>投诉书范本及制作说明详见附件3。</w:t>
      </w:r>
    </w:p>
    <w:p>
      <w:pPr>
        <w:pStyle w:val="128"/>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3"/>
        <w:spacing w:line="360" w:lineRule="auto"/>
        <w:rPr>
          <w:rFonts w:hAnsi="宋体" w:cs="宋体"/>
          <w:b/>
          <w:sz w:val="24"/>
          <w:szCs w:val="24"/>
        </w:rPr>
      </w:pPr>
      <w:r>
        <w:rPr>
          <w:rFonts w:hint="eastAsia" w:hAnsi="宋体" w:cs="宋体"/>
          <w:b/>
          <w:sz w:val="24"/>
          <w:szCs w:val="24"/>
        </w:rPr>
        <w:t>5．招标文件的构成</w:t>
      </w:r>
    </w:p>
    <w:p>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3"/>
        <w:spacing w:line="360" w:lineRule="auto"/>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28"/>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3"/>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3"/>
        <w:spacing w:line="360" w:lineRule="auto"/>
        <w:rPr>
          <w:rFonts w:hAnsi="宋体" w:cs="宋体"/>
          <w:b/>
          <w:sz w:val="24"/>
          <w:szCs w:val="24"/>
        </w:rPr>
      </w:pPr>
      <w:r>
        <w:rPr>
          <w:rFonts w:hint="eastAsia" w:hAnsi="宋体" w:cs="宋体"/>
          <w:b/>
          <w:sz w:val="24"/>
          <w:szCs w:val="24"/>
        </w:rPr>
        <w:t>8.开标前答疑会或现场考察</w:t>
      </w:r>
    </w:p>
    <w:p>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3"/>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3"/>
        <w:spacing w:line="360" w:lineRule="auto"/>
        <w:rPr>
          <w:rFonts w:hAnsi="宋体" w:cs="宋体"/>
          <w:b/>
          <w:color w:val="auto"/>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7" w:name="_Hlk101259339"/>
      <w:r>
        <w:rPr>
          <w:rFonts w:hint="eastAsia" w:ascii="宋体" w:hAnsi="宋体" w:cs="宋体"/>
          <w:snapToGrid w:val="0"/>
          <w:color w:val="auto"/>
          <w:kern w:val="28"/>
          <w:sz w:val="24"/>
          <w:szCs w:val="20"/>
        </w:rPr>
        <w:t>联合协议</w:t>
      </w:r>
      <w:bookmarkEnd w:id="17"/>
      <w:r>
        <w:rPr>
          <w:rFonts w:hint="eastAsia" w:ascii="宋体" w:hAnsi="宋体" w:cs="宋体"/>
          <w:snapToGrid w:val="0"/>
          <w:color w:val="auto"/>
          <w:kern w:val="28"/>
          <w:sz w:val="24"/>
          <w:szCs w:val="20"/>
        </w:rPr>
        <w:t>（如果有)；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pPr>
        <w:pStyle w:val="128"/>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sz w:val="24"/>
        </w:rPr>
      </w:pPr>
      <w:r>
        <w:rPr>
          <w:rFonts w:hint="eastAsia" w:ascii="宋体" w:hAnsi="宋体" w:cs="宋体"/>
          <w:color w:val="auto"/>
          <w:kern w:val="0"/>
          <w:sz w:val="24"/>
          <w:lang w:val="zh-CN"/>
        </w:rPr>
        <w:t>12.1投标文件分为资格文件、商务技术文件</w:t>
      </w:r>
      <w:r>
        <w:rPr>
          <w:rFonts w:hint="eastAsia" w:ascii="宋体" w:hAnsi="宋体" w:cs="宋体"/>
          <w:kern w:val="0"/>
          <w:sz w:val="24"/>
          <w:lang w:val="zh-CN"/>
        </w:rPr>
        <w:t>、报价文件三部分。各投标人在编制投标文件时请按照招标文件第六部分规定的格式进行，混乱的编排导致投标文件被误读或评标委员会查找不到有效文件是投标人的风险。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highlight w:val="none"/>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pPr>
        <w:pStyle w:val="128"/>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pPr>
        <w:pStyle w:val="128"/>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28"/>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highlight w:val="none"/>
        </w:rPr>
      </w:pPr>
      <w:r>
        <w:rPr>
          <w:rFonts w:hint="eastAsia" w:ascii="宋体" w:hAnsi="宋体" w:cs="宋体"/>
          <w:szCs w:val="24"/>
          <w:highlight w:val="none"/>
        </w:rPr>
        <w:t>14.3采购人、</w:t>
      </w:r>
      <w:r>
        <w:rPr>
          <w:rFonts w:hint="eastAsia" w:ascii="宋体" w:hAnsi="宋体" w:cs="宋体"/>
          <w:szCs w:val="24"/>
          <w:highlight w:val="none"/>
          <w:lang w:eastAsia="zh-CN"/>
        </w:rPr>
        <w:t>采购代理机构</w:t>
      </w:r>
      <w:r>
        <w:rPr>
          <w:rFonts w:hint="eastAsia" w:ascii="宋体" w:hAnsi="宋体" w:cs="宋体"/>
          <w:szCs w:val="24"/>
          <w:highlight w:val="none"/>
        </w:rPr>
        <w:t>可以视情况延长投标文件提交的截止时间。在上述情况下，</w:t>
      </w:r>
      <w:r>
        <w:rPr>
          <w:rFonts w:hint="eastAsia" w:ascii="宋体" w:hAnsi="宋体" w:cs="宋体"/>
          <w:szCs w:val="24"/>
          <w:highlight w:val="none"/>
          <w:lang w:eastAsia="zh-CN"/>
        </w:rPr>
        <w:t>采购代理机构</w:t>
      </w:r>
      <w:r>
        <w:rPr>
          <w:rFonts w:hint="eastAsia" w:ascii="宋体" w:hAnsi="宋体" w:cs="宋体"/>
          <w:szCs w:val="24"/>
          <w:highlight w:val="none"/>
        </w:rPr>
        <w:t>与投标人以前在投标截止期方面的全部权利、责任和义务，将适用于延长至新的投标截止期。</w:t>
      </w:r>
    </w:p>
    <w:p>
      <w:pPr>
        <w:pStyle w:val="33"/>
        <w:spacing w:line="360" w:lineRule="auto"/>
        <w:rPr>
          <w:rFonts w:hAnsi="宋体" w:cs="宋体"/>
          <w:b/>
          <w:sz w:val="24"/>
          <w:szCs w:val="24"/>
          <w:highlight w:val="none"/>
        </w:rPr>
      </w:pPr>
      <w:r>
        <w:rPr>
          <w:rFonts w:hint="eastAsia" w:hAnsi="宋体" w:cs="宋体"/>
          <w:b/>
          <w:sz w:val="24"/>
          <w:szCs w:val="24"/>
          <w:highlight w:val="none"/>
        </w:rPr>
        <w:t>15.备份投标文件</w:t>
      </w:r>
    </w:p>
    <w:p>
      <w:pPr>
        <w:pStyle w:val="33"/>
        <w:spacing w:line="360" w:lineRule="auto"/>
        <w:ind w:firstLine="360" w:firstLineChars="150"/>
        <w:rPr>
          <w:rFonts w:hAnsi="宋体" w:cs="宋体"/>
          <w:b/>
          <w:sz w:val="24"/>
          <w:szCs w:val="24"/>
        </w:rPr>
      </w:pPr>
      <w:r>
        <w:rPr>
          <w:rFonts w:hint="eastAsia" w:hAnsi="宋体" w:cs="宋体"/>
          <w:sz w:val="24"/>
          <w:szCs w:val="24"/>
          <w:highlight w:val="none"/>
        </w:rPr>
        <w:t xml:space="preserve"> 15.1投标人在电子交易平台传输递交投标文件后，还可以在投标截止时间前直接提交或者以快递方式递交备份投标文件1份，</w:t>
      </w:r>
      <w:r>
        <w:rPr>
          <w:rFonts w:hint="eastAsia" w:hAnsi="宋体" w:cs="宋体"/>
          <w:b/>
          <w:sz w:val="24"/>
          <w:szCs w:val="24"/>
          <w:highlight w:val="none"/>
        </w:rPr>
        <w:t>但采购人、</w:t>
      </w:r>
      <w:r>
        <w:rPr>
          <w:rFonts w:hint="eastAsia" w:hAnsi="宋体" w:cs="宋体"/>
          <w:b/>
          <w:sz w:val="24"/>
          <w:szCs w:val="24"/>
          <w:highlight w:val="none"/>
          <w:lang w:eastAsia="zh-CN"/>
        </w:rPr>
        <w:t>采购代理机构</w:t>
      </w:r>
      <w:r>
        <w:rPr>
          <w:rFonts w:hint="eastAsia" w:hAnsi="宋体" w:cs="宋体"/>
          <w:b/>
          <w:sz w:val="24"/>
          <w:szCs w:val="24"/>
          <w:highlight w:val="none"/>
        </w:rPr>
        <w:t>不强制或变</w:t>
      </w:r>
      <w:r>
        <w:rPr>
          <w:rFonts w:hint="eastAsia" w:hAnsi="宋体" w:cs="宋体"/>
          <w:b/>
          <w:sz w:val="24"/>
          <w:szCs w:val="24"/>
        </w:rPr>
        <w:t>相强制投标人提交备份投标文件。</w:t>
      </w:r>
    </w:p>
    <w:p>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33"/>
        <w:spacing w:line="360" w:lineRule="auto"/>
        <w:ind w:firstLine="480" w:firstLineChars="200"/>
        <w:rPr>
          <w:rFonts w:hAnsi="宋体" w:cs="宋体"/>
          <w:sz w:val="24"/>
          <w:szCs w:val="24"/>
        </w:rPr>
      </w:pPr>
      <w:r>
        <w:rPr>
          <w:rFonts w:hint="eastAsia" w:hAnsi="宋体" w:cs="宋体"/>
          <w:sz w:val="24"/>
          <w:szCs w:val="24"/>
        </w:rPr>
        <w:t>15.4以快递方式递交备份投标文件的，投标人应先将备份投标文件按要求密封和标记，再进行快递包装后邮寄。备份投标文件须在投标截止时间之前送达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pPr>
        <w:pStyle w:val="6"/>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rPr>
          <w:rFonts w:ascii="宋体" w:hAnsi="宋体" w:cs="宋体"/>
          <w:highlight w:val="none"/>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w:t>
      </w:r>
      <w:r>
        <w:rPr>
          <w:rFonts w:hint="eastAsia" w:ascii="宋体" w:hAnsi="宋体" w:cs="宋体"/>
          <w:highlight w:val="none"/>
        </w:rPr>
        <w:t>长的，不得要求或被允许修改其投标文件，投标人拒绝延长的，其投标无效。</w:t>
      </w:r>
    </w:p>
    <w:p>
      <w:pPr>
        <w:pStyle w:val="128"/>
        <w:spacing w:before="0"/>
        <w:ind w:firstLine="643"/>
        <w:rPr>
          <w:rFonts w:hint="eastAsia" w:ascii="宋体" w:hAnsi="宋体" w:cs="宋体"/>
          <w:highlight w:val="none"/>
        </w:rPr>
      </w:pPr>
      <w:r>
        <w:rPr>
          <w:rFonts w:hint="eastAsia" w:ascii="宋体" w:hAnsi="宋体" w:cs="宋体"/>
          <w:highlight w:val="none"/>
        </w:rPr>
        <w:t>17.4在投标截止时间起至投标有效期届满，供应商投标文件不可撤销。</w:t>
      </w:r>
    </w:p>
    <w:p>
      <w:pPr>
        <w:pStyle w:val="128"/>
        <w:spacing w:before="0"/>
        <w:ind w:firstLine="643"/>
        <w:rPr>
          <w:rFonts w:hint="eastAsia" w:ascii="宋体" w:hAnsi="宋体" w:cs="宋体"/>
          <w:highlight w:val="none"/>
        </w:rPr>
      </w:pPr>
    </w:p>
    <w:p>
      <w:pPr>
        <w:pStyle w:val="128"/>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pPr>
        <w:pStyle w:val="554"/>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pPr>
        <w:pStyle w:val="554"/>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w:t>
      </w:r>
      <w:r>
        <w:rPr>
          <w:rFonts w:hint="eastAsia" w:ascii="宋体" w:hAnsi="宋体" w:cs="宋体"/>
          <w:sz w:val="24"/>
          <w:highlight w:val="none"/>
          <w:lang w:eastAsia="zh-CN"/>
        </w:rPr>
        <w:t>采购代理机构</w:t>
      </w:r>
      <w:r>
        <w:rPr>
          <w:rFonts w:hint="eastAsia" w:ascii="宋体" w:hAnsi="宋体" w:cs="宋体"/>
          <w:sz w:val="24"/>
          <w:highlight w:val="none"/>
        </w:rPr>
        <w:t>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w:t>
      </w:r>
      <w:r>
        <w:rPr>
          <w:rFonts w:hint="eastAsia" w:ascii="宋体" w:hAnsi="宋体" w:cs="宋体"/>
          <w:sz w:val="24"/>
          <w:highlight w:val="none"/>
          <w:lang w:eastAsia="zh-CN"/>
        </w:rPr>
        <w:t>采购代理机构</w:t>
      </w:r>
      <w:r>
        <w:rPr>
          <w:rFonts w:hint="eastAsia" w:ascii="宋体" w:hAnsi="宋体" w:cs="宋体"/>
          <w:sz w:val="24"/>
          <w:highlight w:val="none"/>
        </w:rPr>
        <w:t>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pPr>
        <w:pStyle w:val="128"/>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19.1开标后，采购人将依据法律法规和招标文件的规定，对投标人的资格进行审查。</w:t>
      </w:r>
    </w:p>
    <w:p>
      <w:pPr>
        <w:pStyle w:val="128"/>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pPr>
        <w:pStyle w:val="128"/>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3对未通过资格审查的投标人，告知其未通过的原因。</w:t>
      </w:r>
    </w:p>
    <w:p>
      <w:pPr>
        <w:pStyle w:val="128"/>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pPr>
        <w:pStyle w:val="128"/>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pPr>
        <w:pStyle w:val="128"/>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w:t>
      </w:r>
      <w:r>
        <w:rPr>
          <w:rFonts w:hint="eastAsia" w:ascii="宋体" w:hAnsi="宋体" w:cs="宋体"/>
          <w:kern w:val="0"/>
          <w:szCs w:val="24"/>
          <w:highlight w:val="none"/>
          <w:lang w:eastAsia="zh-CN"/>
        </w:rPr>
        <w:t>采购代理机构</w:t>
      </w:r>
      <w:r>
        <w:rPr>
          <w:rFonts w:hint="eastAsia" w:ascii="宋体" w:hAnsi="宋体" w:cs="宋体"/>
          <w:kern w:val="0"/>
          <w:szCs w:val="24"/>
          <w:highlight w:val="none"/>
        </w:rPr>
        <w:t>将在资格审查时通过“信用中国”网站(www.creditchina.gov.cn)、中国政府采购网(www.ccgp.gov.cn)渠道查询投标人接受资格审查时的信用记录。</w:t>
      </w:r>
    </w:p>
    <w:p>
      <w:pPr>
        <w:pStyle w:val="128"/>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w:t>
      </w:r>
      <w:r>
        <w:rPr>
          <w:rFonts w:hint="eastAsia" w:ascii="宋体" w:hAnsi="宋体" w:cs="宋体"/>
          <w:kern w:val="0"/>
          <w:szCs w:val="24"/>
        </w:rPr>
        <w:t>进行信用记录查询，联合体成员存在不良信用记录的，视同联合体存在不良信用记录</w:t>
      </w:r>
      <w:r>
        <w:rPr>
          <w:rFonts w:hint="eastAsia" w:ascii="宋体" w:hAnsi="宋体" w:cs="宋体"/>
        </w:rPr>
        <w:t>。</w:t>
      </w:r>
    </w:p>
    <w:p>
      <w:pPr>
        <w:pStyle w:val="128"/>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6"/>
        <w:spacing w:line="360" w:lineRule="auto"/>
        <w:ind w:left="479" w:hanging="479" w:hangingChars="199"/>
        <w:rPr>
          <w:rFonts w:cs="宋体"/>
          <w:b/>
        </w:rPr>
      </w:pPr>
      <w:r>
        <w:rPr>
          <w:rFonts w:hint="eastAsia" w:cs="宋体"/>
          <w:b/>
        </w:rPr>
        <w:t>22. 确定中标供应商</w:t>
      </w:r>
    </w:p>
    <w:p>
      <w:pPr>
        <w:pStyle w:val="128"/>
        <w:snapToGrid w:val="0"/>
        <w:spacing w:before="0"/>
        <w:ind w:firstLine="480"/>
        <w:rPr>
          <w:rFonts w:ascii="宋体" w:hAnsi="宋体" w:cs="宋体"/>
          <w:b/>
          <w:szCs w:val="24"/>
          <w:highlight w:val="none"/>
        </w:rPr>
      </w:pPr>
      <w:r>
        <w:rPr>
          <w:rFonts w:hint="eastAsia" w:ascii="宋体" w:hAnsi="宋体" w:cs="宋体"/>
          <w:szCs w:val="24"/>
        </w:rPr>
        <w:t>政府采购项目实行全流程电子</w:t>
      </w:r>
      <w:r>
        <w:rPr>
          <w:rFonts w:hint="eastAsia" w:ascii="宋体" w:hAnsi="宋体" w:cs="宋体"/>
          <w:szCs w:val="24"/>
          <w:highlight w:val="none"/>
        </w:rPr>
        <w:t>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通知书和中标结果公告应当在规定时间内同时发出。</w:t>
      </w:r>
    </w:p>
    <w:p>
      <w:pPr>
        <w:pStyle w:val="128"/>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w:t>
      </w:r>
      <w:r>
        <w:rPr>
          <w:rFonts w:hint="eastAsia" w:ascii="宋体" w:hAnsi="宋体" w:cs="宋体"/>
          <w:sz w:val="24"/>
          <w:highlight w:val="none"/>
          <w:lang w:eastAsia="zh-CN"/>
        </w:rPr>
        <w:t>采购代理机构</w:t>
      </w:r>
      <w:r>
        <w:rPr>
          <w:rFonts w:hint="eastAsia" w:ascii="宋体" w:hAnsi="宋体" w:cs="宋体"/>
          <w:sz w:val="24"/>
          <w:highlight w:val="none"/>
        </w:rPr>
        <w:t>通过电子交易平台向中标人发出中标通知书，同时编制发布采购结果公告。</w:t>
      </w:r>
      <w:r>
        <w:rPr>
          <w:rFonts w:hint="eastAsia" w:ascii="宋体" w:hAnsi="宋体" w:cs="宋体"/>
          <w:sz w:val="24"/>
          <w:highlight w:val="none"/>
          <w:lang w:eastAsia="zh-CN"/>
        </w:rPr>
        <w:t>采购代理机构</w:t>
      </w:r>
      <w:r>
        <w:rPr>
          <w:rFonts w:hint="eastAsia" w:ascii="宋体" w:hAnsi="宋体" w:cs="宋体"/>
          <w:sz w:val="24"/>
          <w:highlight w:val="none"/>
        </w:rPr>
        <w:t>也可以以纸质形式进行中标通知。</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w:t>
      </w:r>
      <w:r>
        <w:rPr>
          <w:rFonts w:hint="eastAsia" w:ascii="宋体" w:hAnsi="宋体" w:cs="宋体"/>
          <w:sz w:val="24"/>
          <w:highlight w:val="none"/>
          <w:lang w:eastAsia="zh-CN"/>
        </w:rPr>
        <w:t>采购代理机构</w:t>
      </w:r>
      <w:r>
        <w:rPr>
          <w:rFonts w:hint="eastAsia" w:ascii="宋体" w:hAnsi="宋体" w:cs="宋体"/>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pPr>
        <w:snapToGrid w:val="0"/>
        <w:spacing w:line="360" w:lineRule="auto"/>
        <w:ind w:left="120" w:leftChars="57" w:firstLine="482" w:firstLineChars="150"/>
        <w:jc w:val="center"/>
        <w:rPr>
          <w:rFonts w:ascii="宋体" w:hAnsi="宋体" w:cs="宋体"/>
          <w:b/>
          <w:sz w:val="32"/>
          <w:highlight w:val="none"/>
        </w:rPr>
      </w:pPr>
    </w:p>
    <w:p>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pPr>
        <w:pStyle w:val="6"/>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pPr>
        <w:pStyle w:val="6"/>
        <w:spacing w:line="360" w:lineRule="auto"/>
        <w:ind w:left="479" w:hanging="479" w:hangingChars="199"/>
        <w:rPr>
          <w:rFonts w:cs="宋体"/>
          <w:b/>
          <w:highlight w:val="none"/>
        </w:rPr>
      </w:pPr>
      <w:r>
        <w:rPr>
          <w:rFonts w:hint="eastAsia" w:cs="宋体"/>
          <w:b/>
          <w:highlight w:val="none"/>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6"/>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2"/>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highlight w:val="none"/>
        </w:rPr>
      </w:pPr>
      <w:r>
        <w:rPr>
          <w:rFonts w:ascii="宋体" w:hAnsi="宋体" w:eastAsia="宋体" w:cs="Times New Roman"/>
          <w:b/>
          <w:bCs/>
          <w:kern w:val="2"/>
          <w:sz w:val="24"/>
          <w:szCs w:val="32"/>
          <w:highlight w:val="none"/>
          <w:lang w:val="en-US"/>
        </w:rPr>
        <w:t>27.预付款</w:t>
      </w:r>
    </w:p>
    <w:p>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28"/>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8"/>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6"/>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68073093"/>
      <w:bookmarkEnd w:id="19"/>
      <w:bookmarkStart w:id="20" w:name="_Hlt74729768"/>
      <w:bookmarkEnd w:id="20"/>
      <w:bookmarkStart w:id="21" w:name="_Hlt74714665"/>
      <w:bookmarkEnd w:id="21"/>
      <w:bookmarkStart w:id="22" w:name="_Hlt75236011"/>
      <w:bookmarkEnd w:id="22"/>
      <w:bookmarkStart w:id="23" w:name="_Hlt74730295"/>
      <w:bookmarkEnd w:id="23"/>
      <w:bookmarkStart w:id="24" w:name="_Hlt75236290"/>
      <w:bookmarkEnd w:id="24"/>
      <w:bookmarkStart w:id="25" w:name="_Hlt74707468"/>
      <w:bookmarkEnd w:id="25"/>
      <w:bookmarkStart w:id="26" w:name="_Hlt75236101"/>
      <w:bookmarkEnd w:id="26"/>
      <w:bookmarkStart w:id="27" w:name="_Hlt68072998"/>
      <w:bookmarkEnd w:id="27"/>
      <w:bookmarkStart w:id="28" w:name="_Hlt68403820"/>
      <w:bookmarkEnd w:id="28"/>
      <w:bookmarkStart w:id="29" w:name="_Hlt68072990"/>
      <w:bookmarkEnd w:id="29"/>
      <w:bookmarkStart w:id="30" w:name="_Hlt68057669"/>
      <w:bookmarkEnd w:id="30"/>
    </w:p>
    <w:bookmarkEnd w:id="13"/>
    <w:bookmarkEnd w:id="14"/>
    <w:p>
      <w:pPr>
        <w:spacing w:line="360" w:lineRule="auto"/>
        <w:jc w:val="center"/>
        <w:outlineLvl w:val="0"/>
        <w:rPr>
          <w:rFonts w:ascii="宋体" w:hAnsi="宋体" w:cs="宋体"/>
          <w:b/>
          <w:sz w:val="36"/>
          <w:szCs w:val="36"/>
        </w:rPr>
      </w:pPr>
      <w:bookmarkStart w:id="31" w:name="第四部分"/>
      <w:r>
        <w:rPr>
          <w:rFonts w:hint="eastAsia" w:ascii="宋体" w:hAnsi="宋体" w:cs="宋体"/>
          <w:b/>
          <w:sz w:val="36"/>
          <w:szCs w:val="36"/>
        </w:rPr>
        <w:t>第三部分   采购需求</w:t>
      </w:r>
    </w:p>
    <w:p>
      <w:pPr>
        <w:numPr>
          <w:ilvl w:val="0"/>
          <w:numId w:val="2"/>
        </w:numPr>
        <w:spacing w:line="480" w:lineRule="exact"/>
        <w:rPr>
          <w:rFonts w:hint="eastAsia" w:ascii="宋体" w:hAnsi="宋体" w:eastAsia="宋体" w:cs="宋体"/>
          <w:b/>
          <w:bCs/>
          <w:sz w:val="24"/>
          <w:szCs w:val="24"/>
        </w:rPr>
      </w:pPr>
      <w:r>
        <w:rPr>
          <w:rFonts w:hint="eastAsia" w:ascii="宋体" w:hAnsi="宋体" w:eastAsia="宋体" w:cs="宋体"/>
          <w:b/>
          <w:bCs/>
          <w:sz w:val="24"/>
          <w:szCs w:val="24"/>
        </w:rPr>
        <w:t>项目概况</w:t>
      </w:r>
    </w:p>
    <w:p>
      <w:pPr>
        <w:spacing w:line="48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rPr>
        <w:t>本项目采购内容为临安区教育局2023—2025学年六个学期义务教育教辅材料和地方教材的采购、运输及相关维护等，投标报价应包括义务教育教辅材料和地方教材的各种费用（人工费、材料费、运输费、必要的保险费用、必须的辅助材料费、税金等所有费用）、采购需求中未提到但在实际采购和安装过程中需要配置的各种设备、材料及其他费用等须由投标人支付的所有费用。</w:t>
      </w:r>
    </w:p>
    <w:p>
      <w:pPr>
        <w:numPr>
          <w:ilvl w:val="0"/>
          <w:numId w:val="2"/>
        </w:numPr>
        <w:spacing w:line="480" w:lineRule="exact"/>
        <w:rPr>
          <w:rFonts w:hint="eastAsia" w:ascii="宋体" w:hAnsi="宋体" w:eastAsia="宋体" w:cs="宋体"/>
          <w:b/>
          <w:bCs/>
          <w:sz w:val="24"/>
          <w:szCs w:val="24"/>
        </w:rPr>
      </w:pPr>
      <w:r>
        <w:rPr>
          <w:rFonts w:hint="eastAsia" w:ascii="宋体" w:hAnsi="宋体" w:eastAsia="宋体" w:cs="宋体"/>
          <w:b/>
          <w:bCs/>
          <w:sz w:val="24"/>
          <w:szCs w:val="24"/>
        </w:rPr>
        <w:t>采购清单</w:t>
      </w:r>
    </w:p>
    <w:tbl>
      <w:tblPr>
        <w:tblStyle w:val="62"/>
        <w:tblW w:w="8931" w:type="dxa"/>
        <w:tblInd w:w="0" w:type="dxa"/>
        <w:tblLayout w:type="autofit"/>
        <w:tblCellMar>
          <w:top w:w="0" w:type="dxa"/>
          <w:left w:w="108" w:type="dxa"/>
          <w:bottom w:w="0" w:type="dxa"/>
          <w:right w:w="108" w:type="dxa"/>
        </w:tblCellMar>
      </w:tblPr>
      <w:tblGrid>
        <w:gridCol w:w="1276"/>
        <w:gridCol w:w="1701"/>
        <w:gridCol w:w="5954"/>
      </w:tblGrid>
      <w:tr>
        <w:tblPrEx>
          <w:tblCellMar>
            <w:top w:w="0" w:type="dxa"/>
            <w:left w:w="108" w:type="dxa"/>
            <w:bottom w:w="0" w:type="dxa"/>
            <w:right w:w="108" w:type="dxa"/>
          </w:tblCellMar>
        </w:tblPrEx>
        <w:trPr>
          <w:trHeight w:val="300" w:hRule="atLeast"/>
        </w:trPr>
        <w:tc>
          <w:tcPr>
            <w:tcW w:w="8931" w:type="dxa"/>
            <w:gridSpan w:val="3"/>
            <w:tcBorders>
              <w:top w:val="nil"/>
              <w:left w:val="nil"/>
              <w:bottom w:val="single" w:color="auto" w:sz="4" w:space="0"/>
              <w:right w:val="nil"/>
            </w:tcBorders>
            <w:noWrap/>
            <w:vAlign w:val="center"/>
          </w:tcPr>
          <w:p>
            <w:pPr>
              <w:widowControl/>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地方教材</w:t>
            </w:r>
          </w:p>
        </w:tc>
      </w:tr>
      <w:tr>
        <w:tblPrEx>
          <w:tblCellMar>
            <w:top w:w="0" w:type="dxa"/>
            <w:left w:w="108" w:type="dxa"/>
            <w:bottom w:w="0" w:type="dxa"/>
            <w:right w:w="108" w:type="dxa"/>
          </w:tblCellMar>
        </w:tblPrEx>
        <w:trPr>
          <w:trHeight w:val="300" w:hRule="atLeast"/>
        </w:trPr>
        <w:tc>
          <w:tcPr>
            <w:tcW w:w="1276" w:type="dxa"/>
            <w:tcBorders>
              <w:top w:val="nil"/>
              <w:left w:val="single" w:color="auto" w:sz="4" w:space="0"/>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第1学期</w:t>
            </w:r>
          </w:p>
        </w:tc>
        <w:tc>
          <w:tcPr>
            <w:tcW w:w="1701" w:type="dxa"/>
            <w:tcBorders>
              <w:top w:val="nil"/>
              <w:left w:val="nil"/>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浙江科技</w:t>
            </w:r>
          </w:p>
        </w:tc>
        <w:tc>
          <w:tcPr>
            <w:tcW w:w="5954" w:type="dxa"/>
            <w:tcBorders>
              <w:top w:val="nil"/>
              <w:left w:val="nil"/>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综合实践活动(小学1-6上)</w:t>
            </w:r>
          </w:p>
        </w:tc>
      </w:tr>
      <w:tr>
        <w:trPr>
          <w:trHeight w:val="300" w:hRule="atLeast"/>
        </w:trPr>
        <w:tc>
          <w:tcPr>
            <w:tcW w:w="1276" w:type="dxa"/>
            <w:tcBorders>
              <w:top w:val="nil"/>
              <w:left w:val="single" w:color="auto" w:sz="4" w:space="0"/>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第1学期</w:t>
            </w:r>
          </w:p>
        </w:tc>
        <w:tc>
          <w:tcPr>
            <w:tcW w:w="1701" w:type="dxa"/>
            <w:tcBorders>
              <w:top w:val="nil"/>
              <w:left w:val="nil"/>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浙江科技</w:t>
            </w:r>
          </w:p>
        </w:tc>
        <w:tc>
          <w:tcPr>
            <w:tcW w:w="5954" w:type="dxa"/>
            <w:tcBorders>
              <w:top w:val="nil"/>
              <w:left w:val="nil"/>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综合实践活动(初中上)</w:t>
            </w:r>
          </w:p>
        </w:tc>
      </w:tr>
      <w:tr>
        <w:tblPrEx>
          <w:tblCellMar>
            <w:top w:w="0" w:type="dxa"/>
            <w:left w:w="108" w:type="dxa"/>
            <w:bottom w:w="0" w:type="dxa"/>
            <w:right w:w="108" w:type="dxa"/>
          </w:tblCellMar>
        </w:tblPrEx>
        <w:trPr>
          <w:trHeight w:val="300" w:hRule="atLeast"/>
        </w:trPr>
        <w:tc>
          <w:tcPr>
            <w:tcW w:w="1276" w:type="dxa"/>
            <w:tcBorders>
              <w:top w:val="nil"/>
              <w:left w:val="single" w:color="auto" w:sz="4" w:space="0"/>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第1学期</w:t>
            </w:r>
          </w:p>
        </w:tc>
        <w:tc>
          <w:tcPr>
            <w:tcW w:w="1701" w:type="dxa"/>
            <w:tcBorders>
              <w:top w:val="nil"/>
              <w:left w:val="nil"/>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浙江教育</w:t>
            </w:r>
          </w:p>
        </w:tc>
        <w:tc>
          <w:tcPr>
            <w:tcW w:w="5954" w:type="dxa"/>
            <w:tcBorders>
              <w:top w:val="nil"/>
              <w:left w:val="nil"/>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心理健康(1-6上)</w:t>
            </w:r>
          </w:p>
        </w:tc>
      </w:tr>
      <w:tr>
        <w:tblPrEx>
          <w:tblCellMar>
            <w:top w:w="0" w:type="dxa"/>
            <w:left w:w="108" w:type="dxa"/>
            <w:bottom w:w="0" w:type="dxa"/>
            <w:right w:w="108" w:type="dxa"/>
          </w:tblCellMar>
        </w:tblPrEx>
        <w:trPr>
          <w:trHeight w:val="300" w:hRule="atLeast"/>
        </w:trPr>
        <w:tc>
          <w:tcPr>
            <w:tcW w:w="1276" w:type="dxa"/>
            <w:tcBorders>
              <w:top w:val="nil"/>
              <w:left w:val="single" w:color="auto" w:sz="4" w:space="0"/>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第1学期</w:t>
            </w:r>
          </w:p>
        </w:tc>
        <w:tc>
          <w:tcPr>
            <w:tcW w:w="1701" w:type="dxa"/>
            <w:tcBorders>
              <w:top w:val="nil"/>
              <w:left w:val="nil"/>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华师大</w:t>
            </w:r>
          </w:p>
        </w:tc>
        <w:tc>
          <w:tcPr>
            <w:tcW w:w="5954" w:type="dxa"/>
            <w:tcBorders>
              <w:top w:val="nil"/>
              <w:left w:val="nil"/>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心理健康(7-9上)</w:t>
            </w:r>
          </w:p>
        </w:tc>
      </w:tr>
      <w:tr>
        <w:tblPrEx>
          <w:tblCellMar>
            <w:top w:w="0" w:type="dxa"/>
            <w:left w:w="108" w:type="dxa"/>
            <w:bottom w:w="0" w:type="dxa"/>
            <w:right w:w="108" w:type="dxa"/>
          </w:tblCellMar>
        </w:tblPrEx>
        <w:trPr>
          <w:trHeight w:val="300" w:hRule="atLeast"/>
        </w:trPr>
        <w:tc>
          <w:tcPr>
            <w:tcW w:w="1276" w:type="dxa"/>
            <w:tcBorders>
              <w:top w:val="nil"/>
              <w:left w:val="single" w:color="auto" w:sz="4" w:space="0"/>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第1学期</w:t>
            </w:r>
          </w:p>
        </w:tc>
        <w:tc>
          <w:tcPr>
            <w:tcW w:w="1701" w:type="dxa"/>
            <w:tcBorders>
              <w:top w:val="nil"/>
              <w:left w:val="nil"/>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浙江教育</w:t>
            </w:r>
          </w:p>
        </w:tc>
        <w:tc>
          <w:tcPr>
            <w:tcW w:w="5954" w:type="dxa"/>
            <w:tcBorders>
              <w:top w:val="nil"/>
              <w:left w:val="nil"/>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安全教育(1-9上)</w:t>
            </w:r>
          </w:p>
        </w:tc>
      </w:tr>
      <w:tr>
        <w:tblPrEx>
          <w:tblCellMar>
            <w:top w:w="0" w:type="dxa"/>
            <w:left w:w="108" w:type="dxa"/>
            <w:bottom w:w="0" w:type="dxa"/>
            <w:right w:w="108" w:type="dxa"/>
          </w:tblCellMar>
        </w:tblPrEx>
        <w:trPr>
          <w:trHeight w:val="300" w:hRule="atLeast"/>
        </w:trPr>
        <w:tc>
          <w:tcPr>
            <w:tcW w:w="1276" w:type="dxa"/>
            <w:tcBorders>
              <w:top w:val="nil"/>
              <w:left w:val="single" w:color="auto" w:sz="4" w:space="0"/>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第1学期</w:t>
            </w:r>
          </w:p>
        </w:tc>
        <w:tc>
          <w:tcPr>
            <w:tcW w:w="1701" w:type="dxa"/>
            <w:tcBorders>
              <w:top w:val="nil"/>
              <w:left w:val="nil"/>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浙江教育</w:t>
            </w:r>
          </w:p>
        </w:tc>
        <w:tc>
          <w:tcPr>
            <w:tcW w:w="5954" w:type="dxa"/>
            <w:tcBorders>
              <w:top w:val="nil"/>
              <w:left w:val="nil"/>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健康1-2年级</w:t>
            </w:r>
          </w:p>
        </w:tc>
      </w:tr>
      <w:tr>
        <w:tblPrEx>
          <w:tblCellMar>
            <w:top w:w="0" w:type="dxa"/>
            <w:left w:w="108" w:type="dxa"/>
            <w:bottom w:w="0" w:type="dxa"/>
            <w:right w:w="108" w:type="dxa"/>
          </w:tblCellMar>
        </w:tblPrEx>
        <w:trPr>
          <w:trHeight w:val="300" w:hRule="atLeast"/>
        </w:trPr>
        <w:tc>
          <w:tcPr>
            <w:tcW w:w="1276" w:type="dxa"/>
            <w:tcBorders>
              <w:top w:val="nil"/>
              <w:left w:val="single" w:color="auto" w:sz="4" w:space="0"/>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第1学期</w:t>
            </w:r>
          </w:p>
        </w:tc>
        <w:tc>
          <w:tcPr>
            <w:tcW w:w="1701" w:type="dxa"/>
            <w:tcBorders>
              <w:top w:val="nil"/>
              <w:left w:val="nil"/>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浙江教育</w:t>
            </w:r>
          </w:p>
        </w:tc>
        <w:tc>
          <w:tcPr>
            <w:tcW w:w="5954" w:type="dxa"/>
            <w:tcBorders>
              <w:top w:val="nil"/>
              <w:left w:val="nil"/>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健康3-4年级</w:t>
            </w:r>
          </w:p>
        </w:tc>
      </w:tr>
      <w:tr>
        <w:tblPrEx>
          <w:tblCellMar>
            <w:top w:w="0" w:type="dxa"/>
            <w:left w:w="108" w:type="dxa"/>
            <w:bottom w:w="0" w:type="dxa"/>
            <w:right w:w="108" w:type="dxa"/>
          </w:tblCellMar>
        </w:tblPrEx>
        <w:trPr>
          <w:trHeight w:val="300" w:hRule="atLeast"/>
        </w:trPr>
        <w:tc>
          <w:tcPr>
            <w:tcW w:w="1276" w:type="dxa"/>
            <w:tcBorders>
              <w:top w:val="nil"/>
              <w:left w:val="single" w:color="auto" w:sz="4" w:space="0"/>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第1学期</w:t>
            </w:r>
          </w:p>
        </w:tc>
        <w:tc>
          <w:tcPr>
            <w:tcW w:w="1701" w:type="dxa"/>
            <w:tcBorders>
              <w:top w:val="nil"/>
              <w:left w:val="nil"/>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浙江教育</w:t>
            </w:r>
          </w:p>
        </w:tc>
        <w:tc>
          <w:tcPr>
            <w:tcW w:w="5954" w:type="dxa"/>
            <w:tcBorders>
              <w:top w:val="nil"/>
              <w:left w:val="nil"/>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健康5-6年级</w:t>
            </w:r>
          </w:p>
        </w:tc>
      </w:tr>
      <w:tr>
        <w:tblPrEx>
          <w:tblCellMar>
            <w:top w:w="0" w:type="dxa"/>
            <w:left w:w="108" w:type="dxa"/>
            <w:bottom w:w="0" w:type="dxa"/>
            <w:right w:w="108" w:type="dxa"/>
          </w:tblCellMar>
        </w:tblPrEx>
        <w:trPr>
          <w:trHeight w:val="300" w:hRule="atLeast"/>
        </w:trPr>
        <w:tc>
          <w:tcPr>
            <w:tcW w:w="1276" w:type="dxa"/>
            <w:tcBorders>
              <w:top w:val="nil"/>
              <w:left w:val="single" w:color="auto" w:sz="4" w:space="0"/>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第1学期</w:t>
            </w:r>
          </w:p>
        </w:tc>
        <w:tc>
          <w:tcPr>
            <w:tcW w:w="1701" w:type="dxa"/>
            <w:tcBorders>
              <w:top w:val="nil"/>
              <w:left w:val="nil"/>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浙江教育</w:t>
            </w:r>
          </w:p>
        </w:tc>
        <w:tc>
          <w:tcPr>
            <w:tcW w:w="5954" w:type="dxa"/>
            <w:tcBorders>
              <w:top w:val="nil"/>
              <w:left w:val="nil"/>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健康7-9年级</w:t>
            </w:r>
          </w:p>
        </w:tc>
      </w:tr>
      <w:tr>
        <w:tblPrEx>
          <w:tblCellMar>
            <w:top w:w="0" w:type="dxa"/>
            <w:left w:w="108" w:type="dxa"/>
            <w:bottom w:w="0" w:type="dxa"/>
            <w:right w:w="108" w:type="dxa"/>
          </w:tblCellMar>
        </w:tblPrEx>
        <w:trPr>
          <w:trHeight w:val="300" w:hRule="atLeast"/>
        </w:trPr>
        <w:tc>
          <w:tcPr>
            <w:tcW w:w="1276" w:type="dxa"/>
            <w:tcBorders>
              <w:top w:val="nil"/>
              <w:left w:val="single" w:color="auto" w:sz="4" w:space="0"/>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第2学期</w:t>
            </w:r>
          </w:p>
        </w:tc>
        <w:tc>
          <w:tcPr>
            <w:tcW w:w="1701" w:type="dxa"/>
            <w:tcBorders>
              <w:top w:val="nil"/>
              <w:left w:val="nil"/>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浙江科技</w:t>
            </w:r>
          </w:p>
        </w:tc>
        <w:tc>
          <w:tcPr>
            <w:tcW w:w="5954" w:type="dxa"/>
            <w:tcBorders>
              <w:top w:val="nil"/>
              <w:left w:val="nil"/>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综合实践活动(小学1-6下)</w:t>
            </w:r>
          </w:p>
        </w:tc>
      </w:tr>
      <w:tr>
        <w:tblPrEx>
          <w:tblCellMar>
            <w:top w:w="0" w:type="dxa"/>
            <w:left w:w="108" w:type="dxa"/>
            <w:bottom w:w="0" w:type="dxa"/>
            <w:right w:w="108" w:type="dxa"/>
          </w:tblCellMar>
        </w:tblPrEx>
        <w:trPr>
          <w:trHeight w:val="300" w:hRule="atLeast"/>
        </w:trPr>
        <w:tc>
          <w:tcPr>
            <w:tcW w:w="1276" w:type="dxa"/>
            <w:tcBorders>
              <w:top w:val="nil"/>
              <w:left w:val="single" w:color="auto" w:sz="4" w:space="0"/>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第2学期</w:t>
            </w:r>
          </w:p>
        </w:tc>
        <w:tc>
          <w:tcPr>
            <w:tcW w:w="1701" w:type="dxa"/>
            <w:tcBorders>
              <w:top w:val="nil"/>
              <w:left w:val="nil"/>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浙江科技</w:t>
            </w:r>
          </w:p>
        </w:tc>
        <w:tc>
          <w:tcPr>
            <w:tcW w:w="5954" w:type="dxa"/>
            <w:tcBorders>
              <w:top w:val="nil"/>
              <w:left w:val="nil"/>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综合实践活动(初中下)</w:t>
            </w:r>
          </w:p>
        </w:tc>
      </w:tr>
      <w:tr>
        <w:tblPrEx>
          <w:tblCellMar>
            <w:top w:w="0" w:type="dxa"/>
            <w:left w:w="108" w:type="dxa"/>
            <w:bottom w:w="0" w:type="dxa"/>
            <w:right w:w="108" w:type="dxa"/>
          </w:tblCellMar>
        </w:tblPrEx>
        <w:trPr>
          <w:trHeight w:val="300" w:hRule="atLeast"/>
        </w:trPr>
        <w:tc>
          <w:tcPr>
            <w:tcW w:w="1276" w:type="dxa"/>
            <w:tcBorders>
              <w:top w:val="nil"/>
              <w:left w:val="single" w:color="auto" w:sz="4" w:space="0"/>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第2学期</w:t>
            </w:r>
          </w:p>
        </w:tc>
        <w:tc>
          <w:tcPr>
            <w:tcW w:w="1701" w:type="dxa"/>
            <w:tcBorders>
              <w:top w:val="nil"/>
              <w:left w:val="nil"/>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浙江教育</w:t>
            </w:r>
          </w:p>
        </w:tc>
        <w:tc>
          <w:tcPr>
            <w:tcW w:w="5954" w:type="dxa"/>
            <w:tcBorders>
              <w:top w:val="nil"/>
              <w:left w:val="nil"/>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心理健康(1-6下)</w:t>
            </w:r>
          </w:p>
        </w:tc>
      </w:tr>
      <w:tr>
        <w:tblPrEx>
          <w:tblCellMar>
            <w:top w:w="0" w:type="dxa"/>
            <w:left w:w="108" w:type="dxa"/>
            <w:bottom w:w="0" w:type="dxa"/>
            <w:right w:w="108" w:type="dxa"/>
          </w:tblCellMar>
        </w:tblPrEx>
        <w:trPr>
          <w:trHeight w:val="300" w:hRule="atLeast"/>
        </w:trPr>
        <w:tc>
          <w:tcPr>
            <w:tcW w:w="1276" w:type="dxa"/>
            <w:tcBorders>
              <w:top w:val="nil"/>
              <w:left w:val="single" w:color="auto" w:sz="4" w:space="0"/>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第2学期</w:t>
            </w:r>
          </w:p>
        </w:tc>
        <w:tc>
          <w:tcPr>
            <w:tcW w:w="1701" w:type="dxa"/>
            <w:tcBorders>
              <w:top w:val="nil"/>
              <w:left w:val="nil"/>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华师大</w:t>
            </w:r>
          </w:p>
        </w:tc>
        <w:tc>
          <w:tcPr>
            <w:tcW w:w="5954" w:type="dxa"/>
            <w:tcBorders>
              <w:top w:val="nil"/>
              <w:left w:val="nil"/>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心理健康(7-9下)</w:t>
            </w:r>
          </w:p>
        </w:tc>
      </w:tr>
      <w:tr>
        <w:tblPrEx>
          <w:tblCellMar>
            <w:top w:w="0" w:type="dxa"/>
            <w:left w:w="108" w:type="dxa"/>
            <w:bottom w:w="0" w:type="dxa"/>
            <w:right w:w="108" w:type="dxa"/>
          </w:tblCellMar>
        </w:tblPrEx>
        <w:trPr>
          <w:trHeight w:val="300" w:hRule="atLeast"/>
        </w:trPr>
        <w:tc>
          <w:tcPr>
            <w:tcW w:w="1276" w:type="dxa"/>
            <w:tcBorders>
              <w:top w:val="nil"/>
              <w:left w:val="single" w:color="auto" w:sz="4" w:space="0"/>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第2学期</w:t>
            </w:r>
          </w:p>
        </w:tc>
        <w:tc>
          <w:tcPr>
            <w:tcW w:w="1701" w:type="dxa"/>
            <w:tcBorders>
              <w:top w:val="nil"/>
              <w:left w:val="nil"/>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浙江教育</w:t>
            </w:r>
          </w:p>
        </w:tc>
        <w:tc>
          <w:tcPr>
            <w:tcW w:w="5954" w:type="dxa"/>
            <w:tcBorders>
              <w:top w:val="nil"/>
              <w:left w:val="nil"/>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安全教育(1-9下)</w:t>
            </w:r>
          </w:p>
        </w:tc>
      </w:tr>
      <w:tr>
        <w:tblPrEx>
          <w:tblCellMar>
            <w:top w:w="0" w:type="dxa"/>
            <w:left w:w="108" w:type="dxa"/>
            <w:bottom w:w="0" w:type="dxa"/>
            <w:right w:w="108" w:type="dxa"/>
          </w:tblCellMar>
        </w:tblPrEx>
        <w:trPr>
          <w:trHeight w:val="300" w:hRule="atLeast"/>
        </w:trPr>
        <w:tc>
          <w:tcPr>
            <w:tcW w:w="8931" w:type="dxa"/>
            <w:gridSpan w:val="3"/>
            <w:tcBorders>
              <w:top w:val="nil"/>
              <w:left w:val="nil"/>
              <w:bottom w:val="single" w:color="auto" w:sz="4" w:space="0"/>
              <w:right w:val="nil"/>
            </w:tcBorders>
            <w:noWrap/>
            <w:vAlign w:val="center"/>
          </w:tcPr>
          <w:p>
            <w:pPr>
              <w:widowControl/>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小学教辅</w:t>
            </w:r>
          </w:p>
        </w:tc>
      </w:tr>
      <w:tr>
        <w:tblPrEx>
          <w:tblCellMar>
            <w:top w:w="0" w:type="dxa"/>
            <w:left w:w="108" w:type="dxa"/>
            <w:bottom w:w="0" w:type="dxa"/>
            <w:right w:w="108" w:type="dxa"/>
          </w:tblCellMar>
        </w:tblPrEx>
        <w:trPr>
          <w:trHeight w:val="300" w:hRule="atLeast"/>
        </w:trPr>
        <w:tc>
          <w:tcPr>
            <w:tcW w:w="1276" w:type="dxa"/>
            <w:tcBorders>
              <w:top w:val="nil"/>
              <w:left w:val="single" w:color="auto" w:sz="4" w:space="0"/>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第1学期</w:t>
            </w:r>
          </w:p>
        </w:tc>
        <w:tc>
          <w:tcPr>
            <w:tcW w:w="170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浙江工商大学</w:t>
            </w:r>
          </w:p>
        </w:tc>
        <w:tc>
          <w:tcPr>
            <w:tcW w:w="5954"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名师面对面先学后练语文(3、4、5、6 上）</w:t>
            </w:r>
          </w:p>
        </w:tc>
      </w:tr>
      <w:tr>
        <w:trPr>
          <w:trHeight w:val="300" w:hRule="atLeast"/>
        </w:trPr>
        <w:tc>
          <w:tcPr>
            <w:tcW w:w="1276" w:type="dxa"/>
            <w:tcBorders>
              <w:top w:val="nil"/>
              <w:left w:val="single" w:color="auto" w:sz="4" w:space="0"/>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第1学期</w:t>
            </w:r>
          </w:p>
        </w:tc>
        <w:tc>
          <w:tcPr>
            <w:tcW w:w="170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浙江工商大学</w:t>
            </w:r>
          </w:p>
        </w:tc>
        <w:tc>
          <w:tcPr>
            <w:tcW w:w="5954"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名师面对面先学后练数学R版(3、4、5、6上)</w:t>
            </w:r>
          </w:p>
        </w:tc>
      </w:tr>
      <w:tr>
        <w:tblPrEx>
          <w:tblCellMar>
            <w:top w:w="0" w:type="dxa"/>
            <w:left w:w="108" w:type="dxa"/>
            <w:bottom w:w="0" w:type="dxa"/>
            <w:right w:w="108" w:type="dxa"/>
          </w:tblCellMar>
        </w:tblPrEx>
        <w:trPr>
          <w:trHeight w:val="300" w:hRule="atLeast"/>
        </w:trPr>
        <w:tc>
          <w:tcPr>
            <w:tcW w:w="1276" w:type="dxa"/>
            <w:tcBorders>
              <w:top w:val="nil"/>
              <w:left w:val="single" w:color="auto" w:sz="4" w:space="0"/>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第1学期</w:t>
            </w:r>
          </w:p>
        </w:tc>
        <w:tc>
          <w:tcPr>
            <w:tcW w:w="170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浙江工商大学</w:t>
            </w:r>
          </w:p>
        </w:tc>
        <w:tc>
          <w:tcPr>
            <w:tcW w:w="5954"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名师面对面先学后练英语(3、4、5、6上)</w:t>
            </w:r>
          </w:p>
        </w:tc>
      </w:tr>
      <w:tr>
        <w:tblPrEx>
          <w:tblCellMar>
            <w:top w:w="0" w:type="dxa"/>
            <w:left w:w="108" w:type="dxa"/>
            <w:bottom w:w="0" w:type="dxa"/>
            <w:right w:w="108" w:type="dxa"/>
          </w:tblCellMar>
        </w:tblPrEx>
        <w:trPr>
          <w:trHeight w:val="300" w:hRule="atLeast"/>
        </w:trPr>
        <w:tc>
          <w:tcPr>
            <w:tcW w:w="1276" w:type="dxa"/>
            <w:tcBorders>
              <w:top w:val="nil"/>
              <w:left w:val="single" w:color="auto" w:sz="4" w:space="0"/>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第1学期</w:t>
            </w:r>
          </w:p>
        </w:tc>
        <w:tc>
          <w:tcPr>
            <w:tcW w:w="170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浙江工商大学</w:t>
            </w:r>
          </w:p>
        </w:tc>
        <w:tc>
          <w:tcPr>
            <w:tcW w:w="5954"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学力测评小学生单元测试卷科学(3、4、5、6上)</w:t>
            </w:r>
          </w:p>
        </w:tc>
      </w:tr>
      <w:tr>
        <w:tblPrEx>
          <w:tblCellMar>
            <w:top w:w="0" w:type="dxa"/>
            <w:left w:w="108" w:type="dxa"/>
            <w:bottom w:w="0" w:type="dxa"/>
            <w:right w:w="108" w:type="dxa"/>
          </w:tblCellMar>
        </w:tblPrEx>
        <w:trPr>
          <w:trHeight w:val="300" w:hRule="atLeast"/>
        </w:trPr>
        <w:tc>
          <w:tcPr>
            <w:tcW w:w="1276" w:type="dxa"/>
            <w:tcBorders>
              <w:top w:val="nil"/>
              <w:left w:val="single" w:color="auto" w:sz="4" w:space="0"/>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第1学期</w:t>
            </w:r>
          </w:p>
        </w:tc>
        <w:tc>
          <w:tcPr>
            <w:tcW w:w="170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浙江教育</w:t>
            </w:r>
          </w:p>
        </w:tc>
        <w:tc>
          <w:tcPr>
            <w:tcW w:w="5954"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道德与法治学习活动册(3、4、5、6上)</w:t>
            </w:r>
          </w:p>
        </w:tc>
      </w:tr>
      <w:tr>
        <w:tblPrEx>
          <w:tblCellMar>
            <w:top w:w="0" w:type="dxa"/>
            <w:left w:w="108" w:type="dxa"/>
            <w:bottom w:w="0" w:type="dxa"/>
            <w:right w:w="108" w:type="dxa"/>
          </w:tblCellMar>
        </w:tblPrEx>
        <w:trPr>
          <w:trHeight w:val="300" w:hRule="atLeast"/>
        </w:trPr>
        <w:tc>
          <w:tcPr>
            <w:tcW w:w="1276" w:type="dxa"/>
            <w:tcBorders>
              <w:top w:val="nil"/>
              <w:left w:val="single" w:color="auto" w:sz="4" w:space="0"/>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第2学期</w:t>
            </w:r>
          </w:p>
        </w:tc>
        <w:tc>
          <w:tcPr>
            <w:tcW w:w="170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浙江工商大学</w:t>
            </w:r>
          </w:p>
        </w:tc>
        <w:tc>
          <w:tcPr>
            <w:tcW w:w="5954"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名师面对面先学后练语文(3、4、5、6下)</w:t>
            </w:r>
          </w:p>
        </w:tc>
      </w:tr>
      <w:tr>
        <w:tblPrEx>
          <w:tblCellMar>
            <w:top w:w="0" w:type="dxa"/>
            <w:left w:w="108" w:type="dxa"/>
            <w:bottom w:w="0" w:type="dxa"/>
            <w:right w:w="108" w:type="dxa"/>
          </w:tblCellMar>
        </w:tblPrEx>
        <w:trPr>
          <w:trHeight w:val="300" w:hRule="atLeast"/>
        </w:trPr>
        <w:tc>
          <w:tcPr>
            <w:tcW w:w="1276" w:type="dxa"/>
            <w:tcBorders>
              <w:top w:val="nil"/>
              <w:left w:val="single" w:color="auto" w:sz="4" w:space="0"/>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第2学期</w:t>
            </w:r>
          </w:p>
        </w:tc>
        <w:tc>
          <w:tcPr>
            <w:tcW w:w="170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浙江工商大学</w:t>
            </w:r>
          </w:p>
        </w:tc>
        <w:tc>
          <w:tcPr>
            <w:tcW w:w="5954"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名师面对面先学后练数学R版(3、4、5、6下)</w:t>
            </w:r>
          </w:p>
        </w:tc>
      </w:tr>
      <w:tr>
        <w:tblPrEx>
          <w:tblCellMar>
            <w:top w:w="0" w:type="dxa"/>
            <w:left w:w="108" w:type="dxa"/>
            <w:bottom w:w="0" w:type="dxa"/>
            <w:right w:w="108" w:type="dxa"/>
          </w:tblCellMar>
        </w:tblPrEx>
        <w:trPr>
          <w:trHeight w:val="300" w:hRule="atLeast"/>
        </w:trPr>
        <w:tc>
          <w:tcPr>
            <w:tcW w:w="1276" w:type="dxa"/>
            <w:tcBorders>
              <w:top w:val="nil"/>
              <w:left w:val="single" w:color="auto" w:sz="4" w:space="0"/>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第2学期</w:t>
            </w:r>
          </w:p>
        </w:tc>
        <w:tc>
          <w:tcPr>
            <w:tcW w:w="170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浙江工商大学</w:t>
            </w:r>
          </w:p>
        </w:tc>
        <w:tc>
          <w:tcPr>
            <w:tcW w:w="5954"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名师面对面先学后练英语(3、4、5、6下)</w:t>
            </w:r>
          </w:p>
        </w:tc>
      </w:tr>
      <w:tr>
        <w:tblPrEx>
          <w:tblCellMar>
            <w:top w:w="0" w:type="dxa"/>
            <w:left w:w="108" w:type="dxa"/>
            <w:bottom w:w="0" w:type="dxa"/>
            <w:right w:w="108" w:type="dxa"/>
          </w:tblCellMar>
        </w:tblPrEx>
        <w:trPr>
          <w:trHeight w:val="300" w:hRule="atLeast"/>
        </w:trPr>
        <w:tc>
          <w:tcPr>
            <w:tcW w:w="1276" w:type="dxa"/>
            <w:tcBorders>
              <w:top w:val="nil"/>
              <w:left w:val="single" w:color="auto" w:sz="4" w:space="0"/>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第2学期</w:t>
            </w:r>
          </w:p>
        </w:tc>
        <w:tc>
          <w:tcPr>
            <w:tcW w:w="170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浙江工商大学</w:t>
            </w:r>
          </w:p>
        </w:tc>
        <w:tc>
          <w:tcPr>
            <w:tcW w:w="5954"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学力测评小学生单元测试卷科学(3、4、5、6下)</w:t>
            </w:r>
          </w:p>
        </w:tc>
      </w:tr>
      <w:tr>
        <w:tblPrEx>
          <w:tblCellMar>
            <w:top w:w="0" w:type="dxa"/>
            <w:left w:w="108" w:type="dxa"/>
            <w:bottom w:w="0" w:type="dxa"/>
            <w:right w:w="108" w:type="dxa"/>
          </w:tblCellMar>
        </w:tblPrEx>
        <w:trPr>
          <w:trHeight w:val="300" w:hRule="atLeast"/>
        </w:trPr>
        <w:tc>
          <w:tcPr>
            <w:tcW w:w="1276" w:type="dxa"/>
            <w:tcBorders>
              <w:top w:val="nil"/>
              <w:left w:val="single" w:color="auto" w:sz="4" w:space="0"/>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第2学期</w:t>
            </w:r>
          </w:p>
        </w:tc>
        <w:tc>
          <w:tcPr>
            <w:tcW w:w="170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浙江教育</w:t>
            </w:r>
          </w:p>
        </w:tc>
        <w:tc>
          <w:tcPr>
            <w:tcW w:w="5954"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道德与法治学习活动册(3、4、5、6下)</w:t>
            </w:r>
          </w:p>
        </w:tc>
      </w:tr>
      <w:tr>
        <w:tblPrEx>
          <w:tblCellMar>
            <w:top w:w="0" w:type="dxa"/>
            <w:left w:w="108" w:type="dxa"/>
            <w:bottom w:w="0" w:type="dxa"/>
            <w:right w:w="108" w:type="dxa"/>
          </w:tblCellMar>
        </w:tblPrEx>
        <w:trPr>
          <w:trHeight w:val="300" w:hRule="atLeast"/>
        </w:trPr>
        <w:tc>
          <w:tcPr>
            <w:tcW w:w="8931" w:type="dxa"/>
            <w:gridSpan w:val="3"/>
            <w:tcBorders>
              <w:top w:val="nil"/>
              <w:left w:val="nil"/>
              <w:bottom w:val="single" w:color="auto" w:sz="4" w:space="0"/>
              <w:right w:val="nil"/>
            </w:tcBorders>
            <w:noWrap/>
            <w:vAlign w:val="center"/>
          </w:tcPr>
          <w:p>
            <w:pPr>
              <w:widowControl/>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初中教辅</w:t>
            </w:r>
          </w:p>
        </w:tc>
      </w:tr>
      <w:tr>
        <w:tblPrEx>
          <w:tblCellMar>
            <w:top w:w="0" w:type="dxa"/>
            <w:left w:w="108" w:type="dxa"/>
            <w:bottom w:w="0" w:type="dxa"/>
            <w:right w:w="108" w:type="dxa"/>
          </w:tblCellMar>
        </w:tblPrEx>
        <w:trPr>
          <w:trHeight w:val="300" w:hRule="atLeast"/>
        </w:trPr>
        <w:tc>
          <w:tcPr>
            <w:tcW w:w="1276" w:type="dxa"/>
            <w:tcBorders>
              <w:top w:val="nil"/>
              <w:left w:val="single" w:color="auto" w:sz="4" w:space="0"/>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第1学期</w:t>
            </w:r>
          </w:p>
        </w:tc>
        <w:tc>
          <w:tcPr>
            <w:tcW w:w="170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浙江工商大学</w:t>
            </w:r>
          </w:p>
        </w:tc>
        <w:tc>
          <w:tcPr>
            <w:tcW w:w="5954"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精彩练习就练这一本语文(7、8上、9年级全一册)</w:t>
            </w:r>
          </w:p>
        </w:tc>
      </w:tr>
      <w:tr>
        <w:trPr>
          <w:trHeight w:val="300" w:hRule="atLeast"/>
        </w:trPr>
        <w:tc>
          <w:tcPr>
            <w:tcW w:w="1276" w:type="dxa"/>
            <w:tcBorders>
              <w:top w:val="nil"/>
              <w:left w:val="single" w:color="auto" w:sz="4" w:space="0"/>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第1学期</w:t>
            </w:r>
          </w:p>
        </w:tc>
        <w:tc>
          <w:tcPr>
            <w:tcW w:w="170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浙江工商大学</w:t>
            </w:r>
          </w:p>
        </w:tc>
        <w:tc>
          <w:tcPr>
            <w:tcW w:w="5954"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精彩练习就练这一本数学(7、8上、9年级全一册)</w:t>
            </w:r>
          </w:p>
        </w:tc>
      </w:tr>
      <w:tr>
        <w:tblPrEx>
          <w:tblCellMar>
            <w:top w:w="0" w:type="dxa"/>
            <w:left w:w="108" w:type="dxa"/>
            <w:bottom w:w="0" w:type="dxa"/>
            <w:right w:w="108" w:type="dxa"/>
          </w:tblCellMar>
        </w:tblPrEx>
        <w:trPr>
          <w:trHeight w:val="300" w:hRule="atLeast"/>
        </w:trPr>
        <w:tc>
          <w:tcPr>
            <w:tcW w:w="1276" w:type="dxa"/>
            <w:tcBorders>
              <w:top w:val="nil"/>
              <w:left w:val="single" w:color="auto" w:sz="4" w:space="0"/>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第1学期</w:t>
            </w:r>
          </w:p>
        </w:tc>
        <w:tc>
          <w:tcPr>
            <w:tcW w:w="170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浙江工商大学</w:t>
            </w:r>
          </w:p>
        </w:tc>
        <w:tc>
          <w:tcPr>
            <w:tcW w:w="5954"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精彩练习就练这一本英语(7、8上、9年级全一册)</w:t>
            </w:r>
          </w:p>
        </w:tc>
      </w:tr>
      <w:tr>
        <w:tblPrEx>
          <w:tblCellMar>
            <w:top w:w="0" w:type="dxa"/>
            <w:left w:w="108" w:type="dxa"/>
            <w:bottom w:w="0" w:type="dxa"/>
            <w:right w:w="108" w:type="dxa"/>
          </w:tblCellMar>
        </w:tblPrEx>
        <w:trPr>
          <w:trHeight w:val="300" w:hRule="atLeast"/>
        </w:trPr>
        <w:tc>
          <w:tcPr>
            <w:tcW w:w="1276" w:type="dxa"/>
            <w:tcBorders>
              <w:top w:val="nil"/>
              <w:left w:val="single" w:color="auto" w:sz="4" w:space="0"/>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第1学期</w:t>
            </w:r>
          </w:p>
        </w:tc>
        <w:tc>
          <w:tcPr>
            <w:tcW w:w="170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浙江教育</w:t>
            </w:r>
          </w:p>
        </w:tc>
        <w:tc>
          <w:tcPr>
            <w:tcW w:w="5954"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学能评价科学(7、8、9上)</w:t>
            </w:r>
          </w:p>
        </w:tc>
      </w:tr>
      <w:tr>
        <w:tblPrEx>
          <w:tblCellMar>
            <w:top w:w="0" w:type="dxa"/>
            <w:left w:w="108" w:type="dxa"/>
            <w:bottom w:w="0" w:type="dxa"/>
            <w:right w:w="108" w:type="dxa"/>
          </w:tblCellMar>
        </w:tblPrEx>
        <w:trPr>
          <w:trHeight w:val="300" w:hRule="atLeast"/>
        </w:trPr>
        <w:tc>
          <w:tcPr>
            <w:tcW w:w="1276" w:type="dxa"/>
            <w:tcBorders>
              <w:top w:val="nil"/>
              <w:left w:val="single" w:color="auto" w:sz="4" w:space="0"/>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第1学期</w:t>
            </w:r>
          </w:p>
        </w:tc>
        <w:tc>
          <w:tcPr>
            <w:tcW w:w="170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浙江教育</w:t>
            </w:r>
          </w:p>
        </w:tc>
        <w:tc>
          <w:tcPr>
            <w:tcW w:w="5954"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学能评价道德与法治(7、8、9上)</w:t>
            </w:r>
          </w:p>
        </w:tc>
      </w:tr>
      <w:tr>
        <w:tblPrEx>
          <w:tblCellMar>
            <w:top w:w="0" w:type="dxa"/>
            <w:left w:w="108" w:type="dxa"/>
            <w:bottom w:w="0" w:type="dxa"/>
            <w:right w:w="108" w:type="dxa"/>
          </w:tblCellMar>
        </w:tblPrEx>
        <w:trPr>
          <w:trHeight w:val="300" w:hRule="atLeast"/>
        </w:trPr>
        <w:tc>
          <w:tcPr>
            <w:tcW w:w="1276" w:type="dxa"/>
            <w:tcBorders>
              <w:top w:val="nil"/>
              <w:left w:val="single" w:color="auto" w:sz="4" w:space="0"/>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第1学期</w:t>
            </w:r>
          </w:p>
        </w:tc>
        <w:tc>
          <w:tcPr>
            <w:tcW w:w="170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浙江教育</w:t>
            </w:r>
          </w:p>
        </w:tc>
        <w:tc>
          <w:tcPr>
            <w:tcW w:w="5954"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古诗文与名著阅读拓展训练营(7、8上、9年级全一册)</w:t>
            </w:r>
          </w:p>
        </w:tc>
      </w:tr>
      <w:tr>
        <w:tblPrEx>
          <w:tblCellMar>
            <w:top w:w="0" w:type="dxa"/>
            <w:left w:w="108" w:type="dxa"/>
            <w:bottom w:w="0" w:type="dxa"/>
            <w:right w:w="108" w:type="dxa"/>
          </w:tblCellMar>
        </w:tblPrEx>
        <w:trPr>
          <w:trHeight w:val="300" w:hRule="atLeast"/>
        </w:trPr>
        <w:tc>
          <w:tcPr>
            <w:tcW w:w="1276" w:type="dxa"/>
            <w:tcBorders>
              <w:top w:val="nil"/>
              <w:left w:val="single" w:color="auto" w:sz="4" w:space="0"/>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第1学期</w:t>
            </w:r>
          </w:p>
        </w:tc>
        <w:tc>
          <w:tcPr>
            <w:tcW w:w="170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浙江教育</w:t>
            </w:r>
          </w:p>
        </w:tc>
        <w:tc>
          <w:tcPr>
            <w:tcW w:w="5954"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学能评价历史与社会(中国历史7上、8上、世界历史9上)</w:t>
            </w:r>
          </w:p>
        </w:tc>
      </w:tr>
      <w:tr>
        <w:tblPrEx>
          <w:tblCellMar>
            <w:top w:w="0" w:type="dxa"/>
            <w:left w:w="108" w:type="dxa"/>
            <w:bottom w:w="0" w:type="dxa"/>
            <w:right w:w="108" w:type="dxa"/>
          </w:tblCellMar>
        </w:tblPrEx>
        <w:trPr>
          <w:trHeight w:val="300" w:hRule="atLeast"/>
        </w:trPr>
        <w:tc>
          <w:tcPr>
            <w:tcW w:w="1276" w:type="dxa"/>
            <w:tcBorders>
              <w:top w:val="nil"/>
              <w:left w:val="single" w:color="auto" w:sz="4" w:space="0"/>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第1学期</w:t>
            </w:r>
          </w:p>
        </w:tc>
        <w:tc>
          <w:tcPr>
            <w:tcW w:w="170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浙江人民</w:t>
            </w:r>
          </w:p>
        </w:tc>
        <w:tc>
          <w:tcPr>
            <w:tcW w:w="5954"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人文地理课时特训（7、8年级）</w:t>
            </w:r>
          </w:p>
        </w:tc>
      </w:tr>
      <w:tr>
        <w:tblPrEx>
          <w:tblCellMar>
            <w:top w:w="0" w:type="dxa"/>
            <w:left w:w="108" w:type="dxa"/>
            <w:bottom w:w="0" w:type="dxa"/>
            <w:right w:w="108" w:type="dxa"/>
          </w:tblCellMar>
        </w:tblPrEx>
        <w:trPr>
          <w:trHeight w:val="300" w:hRule="atLeast"/>
        </w:trPr>
        <w:tc>
          <w:tcPr>
            <w:tcW w:w="1276" w:type="dxa"/>
            <w:tcBorders>
              <w:top w:val="nil"/>
              <w:left w:val="single" w:color="auto" w:sz="4" w:space="0"/>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第2学期</w:t>
            </w:r>
          </w:p>
        </w:tc>
        <w:tc>
          <w:tcPr>
            <w:tcW w:w="170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浙江工商大学</w:t>
            </w:r>
          </w:p>
        </w:tc>
        <w:tc>
          <w:tcPr>
            <w:tcW w:w="5954"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精彩练习就练这一本语文(7、8下)</w:t>
            </w:r>
          </w:p>
        </w:tc>
      </w:tr>
      <w:tr>
        <w:tblPrEx>
          <w:tblCellMar>
            <w:top w:w="0" w:type="dxa"/>
            <w:left w:w="108" w:type="dxa"/>
            <w:bottom w:w="0" w:type="dxa"/>
            <w:right w:w="108" w:type="dxa"/>
          </w:tblCellMar>
        </w:tblPrEx>
        <w:trPr>
          <w:trHeight w:val="300" w:hRule="atLeast"/>
        </w:trPr>
        <w:tc>
          <w:tcPr>
            <w:tcW w:w="1276" w:type="dxa"/>
            <w:tcBorders>
              <w:top w:val="nil"/>
              <w:left w:val="single" w:color="auto" w:sz="4" w:space="0"/>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第2学期</w:t>
            </w:r>
          </w:p>
        </w:tc>
        <w:tc>
          <w:tcPr>
            <w:tcW w:w="170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浙江工商大学</w:t>
            </w:r>
          </w:p>
        </w:tc>
        <w:tc>
          <w:tcPr>
            <w:tcW w:w="5954"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精彩练习就练这一本数学(7、8下)</w:t>
            </w:r>
          </w:p>
        </w:tc>
      </w:tr>
      <w:tr>
        <w:tblPrEx>
          <w:tblCellMar>
            <w:top w:w="0" w:type="dxa"/>
            <w:left w:w="108" w:type="dxa"/>
            <w:bottom w:w="0" w:type="dxa"/>
            <w:right w:w="108" w:type="dxa"/>
          </w:tblCellMar>
        </w:tblPrEx>
        <w:trPr>
          <w:trHeight w:val="300" w:hRule="atLeast"/>
        </w:trPr>
        <w:tc>
          <w:tcPr>
            <w:tcW w:w="1276" w:type="dxa"/>
            <w:tcBorders>
              <w:top w:val="nil"/>
              <w:left w:val="single" w:color="auto" w:sz="4" w:space="0"/>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第2学期</w:t>
            </w:r>
          </w:p>
        </w:tc>
        <w:tc>
          <w:tcPr>
            <w:tcW w:w="170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浙江工商大学</w:t>
            </w:r>
          </w:p>
        </w:tc>
        <w:tc>
          <w:tcPr>
            <w:tcW w:w="5954"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精彩练习就练这一本英语(7、8下)</w:t>
            </w:r>
          </w:p>
        </w:tc>
      </w:tr>
      <w:tr>
        <w:tblPrEx>
          <w:tblCellMar>
            <w:top w:w="0" w:type="dxa"/>
            <w:left w:w="108" w:type="dxa"/>
            <w:bottom w:w="0" w:type="dxa"/>
            <w:right w:w="108" w:type="dxa"/>
          </w:tblCellMar>
        </w:tblPrEx>
        <w:trPr>
          <w:trHeight w:val="300" w:hRule="atLeast"/>
        </w:trPr>
        <w:tc>
          <w:tcPr>
            <w:tcW w:w="1276" w:type="dxa"/>
            <w:tcBorders>
              <w:top w:val="nil"/>
              <w:left w:val="single" w:color="auto" w:sz="4" w:space="0"/>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第2学期</w:t>
            </w:r>
          </w:p>
        </w:tc>
        <w:tc>
          <w:tcPr>
            <w:tcW w:w="170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浙江教育</w:t>
            </w:r>
          </w:p>
        </w:tc>
        <w:tc>
          <w:tcPr>
            <w:tcW w:w="5954"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学能评价科学(7、8、9下)</w:t>
            </w:r>
          </w:p>
        </w:tc>
      </w:tr>
      <w:tr>
        <w:tblPrEx>
          <w:tblCellMar>
            <w:top w:w="0" w:type="dxa"/>
            <w:left w:w="108" w:type="dxa"/>
            <w:bottom w:w="0" w:type="dxa"/>
            <w:right w:w="108" w:type="dxa"/>
          </w:tblCellMar>
        </w:tblPrEx>
        <w:trPr>
          <w:trHeight w:val="300" w:hRule="atLeast"/>
        </w:trPr>
        <w:tc>
          <w:tcPr>
            <w:tcW w:w="1276" w:type="dxa"/>
            <w:tcBorders>
              <w:top w:val="nil"/>
              <w:left w:val="single" w:color="auto" w:sz="4" w:space="0"/>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第2学期</w:t>
            </w:r>
          </w:p>
        </w:tc>
        <w:tc>
          <w:tcPr>
            <w:tcW w:w="170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浙江教育</w:t>
            </w:r>
          </w:p>
        </w:tc>
        <w:tc>
          <w:tcPr>
            <w:tcW w:w="5954"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学能评价道德与法治(7、8、9下)</w:t>
            </w:r>
          </w:p>
        </w:tc>
      </w:tr>
      <w:tr>
        <w:tblPrEx>
          <w:tblCellMar>
            <w:top w:w="0" w:type="dxa"/>
            <w:left w:w="108" w:type="dxa"/>
            <w:bottom w:w="0" w:type="dxa"/>
            <w:right w:w="108" w:type="dxa"/>
          </w:tblCellMar>
        </w:tblPrEx>
        <w:trPr>
          <w:trHeight w:val="300" w:hRule="atLeast"/>
        </w:trPr>
        <w:tc>
          <w:tcPr>
            <w:tcW w:w="1276" w:type="dxa"/>
            <w:tcBorders>
              <w:top w:val="nil"/>
              <w:left w:val="single" w:color="auto" w:sz="4" w:space="0"/>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第2学期</w:t>
            </w:r>
          </w:p>
        </w:tc>
        <w:tc>
          <w:tcPr>
            <w:tcW w:w="170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浙江教育</w:t>
            </w:r>
          </w:p>
        </w:tc>
        <w:tc>
          <w:tcPr>
            <w:tcW w:w="5954"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古诗文与名著阅读拓展训练营(7、8下)</w:t>
            </w:r>
          </w:p>
        </w:tc>
      </w:tr>
      <w:tr>
        <w:tblPrEx>
          <w:tblCellMar>
            <w:top w:w="0" w:type="dxa"/>
            <w:left w:w="108" w:type="dxa"/>
            <w:bottom w:w="0" w:type="dxa"/>
            <w:right w:w="108" w:type="dxa"/>
          </w:tblCellMar>
        </w:tblPrEx>
        <w:trPr>
          <w:trHeight w:val="300" w:hRule="atLeast"/>
        </w:trPr>
        <w:tc>
          <w:tcPr>
            <w:tcW w:w="1276" w:type="dxa"/>
            <w:tcBorders>
              <w:top w:val="nil"/>
              <w:left w:val="single" w:color="auto" w:sz="4" w:space="0"/>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第2学期</w:t>
            </w:r>
          </w:p>
        </w:tc>
        <w:tc>
          <w:tcPr>
            <w:tcW w:w="170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浙江教育</w:t>
            </w:r>
          </w:p>
        </w:tc>
        <w:tc>
          <w:tcPr>
            <w:tcW w:w="5954"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学能评价历史与社会(中国历史7下、8下、世界历史9下)</w:t>
            </w:r>
          </w:p>
        </w:tc>
      </w:tr>
      <w:tr>
        <w:tblPrEx>
          <w:tblCellMar>
            <w:top w:w="0" w:type="dxa"/>
            <w:left w:w="108" w:type="dxa"/>
            <w:bottom w:w="0" w:type="dxa"/>
            <w:right w:w="108" w:type="dxa"/>
          </w:tblCellMar>
        </w:tblPrEx>
        <w:trPr>
          <w:trHeight w:val="300" w:hRule="atLeast"/>
        </w:trPr>
        <w:tc>
          <w:tcPr>
            <w:tcW w:w="1276" w:type="dxa"/>
            <w:tcBorders>
              <w:top w:val="nil"/>
              <w:left w:val="single" w:color="auto" w:sz="4" w:space="0"/>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第2学期</w:t>
            </w:r>
          </w:p>
        </w:tc>
        <w:tc>
          <w:tcPr>
            <w:tcW w:w="170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杭州</w:t>
            </w:r>
          </w:p>
        </w:tc>
        <w:tc>
          <w:tcPr>
            <w:tcW w:w="5954"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赢在中考.语文</w:t>
            </w:r>
          </w:p>
        </w:tc>
      </w:tr>
      <w:tr>
        <w:tblPrEx>
          <w:tblCellMar>
            <w:top w:w="0" w:type="dxa"/>
            <w:left w:w="108" w:type="dxa"/>
            <w:bottom w:w="0" w:type="dxa"/>
            <w:right w:w="108" w:type="dxa"/>
          </w:tblCellMar>
        </w:tblPrEx>
        <w:trPr>
          <w:trHeight w:val="300" w:hRule="atLeast"/>
        </w:trPr>
        <w:tc>
          <w:tcPr>
            <w:tcW w:w="1276" w:type="dxa"/>
            <w:tcBorders>
              <w:top w:val="nil"/>
              <w:left w:val="single" w:color="auto" w:sz="4" w:space="0"/>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第2学期</w:t>
            </w:r>
          </w:p>
        </w:tc>
        <w:tc>
          <w:tcPr>
            <w:tcW w:w="170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杭州</w:t>
            </w:r>
          </w:p>
        </w:tc>
        <w:tc>
          <w:tcPr>
            <w:tcW w:w="5954"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赢在中考.数学</w:t>
            </w:r>
          </w:p>
        </w:tc>
      </w:tr>
      <w:tr>
        <w:tblPrEx>
          <w:tblCellMar>
            <w:top w:w="0" w:type="dxa"/>
            <w:left w:w="108" w:type="dxa"/>
            <w:bottom w:w="0" w:type="dxa"/>
            <w:right w:w="108" w:type="dxa"/>
          </w:tblCellMar>
        </w:tblPrEx>
        <w:trPr>
          <w:trHeight w:val="300" w:hRule="atLeast"/>
        </w:trPr>
        <w:tc>
          <w:tcPr>
            <w:tcW w:w="1276" w:type="dxa"/>
            <w:tcBorders>
              <w:top w:val="nil"/>
              <w:left w:val="single" w:color="auto" w:sz="4" w:space="0"/>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第2学期</w:t>
            </w:r>
          </w:p>
        </w:tc>
        <w:tc>
          <w:tcPr>
            <w:tcW w:w="170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杭州</w:t>
            </w:r>
          </w:p>
        </w:tc>
        <w:tc>
          <w:tcPr>
            <w:tcW w:w="5954"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赢在中考.英语</w:t>
            </w:r>
          </w:p>
        </w:tc>
      </w:tr>
      <w:tr>
        <w:tblPrEx>
          <w:tblCellMar>
            <w:top w:w="0" w:type="dxa"/>
            <w:left w:w="108" w:type="dxa"/>
            <w:bottom w:w="0" w:type="dxa"/>
            <w:right w:w="108" w:type="dxa"/>
          </w:tblCellMar>
        </w:tblPrEx>
        <w:trPr>
          <w:trHeight w:val="300" w:hRule="atLeast"/>
        </w:trPr>
        <w:tc>
          <w:tcPr>
            <w:tcW w:w="1276" w:type="dxa"/>
            <w:tcBorders>
              <w:top w:val="nil"/>
              <w:left w:val="single" w:color="auto" w:sz="4" w:space="0"/>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第2学期</w:t>
            </w:r>
          </w:p>
        </w:tc>
        <w:tc>
          <w:tcPr>
            <w:tcW w:w="170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杭州</w:t>
            </w:r>
          </w:p>
        </w:tc>
        <w:tc>
          <w:tcPr>
            <w:tcW w:w="5954"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赢在中考.科学</w:t>
            </w:r>
          </w:p>
        </w:tc>
      </w:tr>
      <w:tr>
        <w:tblPrEx>
          <w:tblCellMar>
            <w:top w:w="0" w:type="dxa"/>
            <w:left w:w="108" w:type="dxa"/>
            <w:bottom w:w="0" w:type="dxa"/>
            <w:right w:w="108" w:type="dxa"/>
          </w:tblCellMar>
        </w:tblPrEx>
        <w:trPr>
          <w:trHeight w:val="300" w:hRule="atLeast"/>
        </w:trPr>
        <w:tc>
          <w:tcPr>
            <w:tcW w:w="1276" w:type="dxa"/>
            <w:tcBorders>
              <w:top w:val="nil"/>
              <w:left w:val="single" w:color="auto" w:sz="4" w:space="0"/>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第2学期</w:t>
            </w:r>
          </w:p>
        </w:tc>
        <w:tc>
          <w:tcPr>
            <w:tcW w:w="170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杭州</w:t>
            </w:r>
          </w:p>
        </w:tc>
        <w:tc>
          <w:tcPr>
            <w:tcW w:w="5954"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赢在中考.历史与社会·道德与法治</w:t>
            </w:r>
          </w:p>
        </w:tc>
      </w:tr>
      <w:tr>
        <w:tblPrEx>
          <w:tblCellMar>
            <w:top w:w="0" w:type="dxa"/>
            <w:left w:w="108" w:type="dxa"/>
            <w:bottom w:w="0" w:type="dxa"/>
            <w:right w:w="108" w:type="dxa"/>
          </w:tblCellMar>
        </w:tblPrEx>
        <w:trPr>
          <w:trHeight w:val="300" w:hRule="atLeast"/>
        </w:trPr>
        <w:tc>
          <w:tcPr>
            <w:tcW w:w="8931" w:type="dxa"/>
            <w:gridSpan w:val="3"/>
            <w:tcBorders>
              <w:top w:val="nil"/>
              <w:left w:val="nil"/>
              <w:bottom w:val="single" w:color="auto" w:sz="4" w:space="0"/>
              <w:right w:val="nil"/>
            </w:tcBorders>
            <w:noWrap/>
            <w:vAlign w:val="center"/>
          </w:tcPr>
          <w:p>
            <w:pPr>
              <w:widowControl/>
              <w:jc w:val="left"/>
              <w:rPr>
                <w:rFonts w:hint="eastAsia" w:ascii="宋体" w:hAnsi="宋体" w:eastAsia="宋体" w:cs="宋体"/>
                <w:b/>
                <w:bCs/>
                <w:color w:val="000000"/>
                <w:kern w:val="0"/>
                <w:sz w:val="24"/>
                <w:szCs w:val="24"/>
              </w:rPr>
            </w:pPr>
          </w:p>
          <w:p>
            <w:pPr>
              <w:widowControl/>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寒暑假作业</w:t>
            </w:r>
          </w:p>
        </w:tc>
      </w:tr>
      <w:tr>
        <w:tblPrEx>
          <w:tblCellMar>
            <w:top w:w="0" w:type="dxa"/>
            <w:left w:w="108" w:type="dxa"/>
            <w:bottom w:w="0" w:type="dxa"/>
            <w:right w:w="108" w:type="dxa"/>
          </w:tblCellMar>
        </w:tblPrEx>
        <w:trPr>
          <w:trHeight w:val="300" w:hRule="atLeast"/>
        </w:trPr>
        <w:tc>
          <w:tcPr>
            <w:tcW w:w="1276" w:type="dxa"/>
            <w:tcBorders>
              <w:top w:val="nil"/>
              <w:left w:val="single" w:color="auto" w:sz="4" w:space="0"/>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第1学期</w:t>
            </w:r>
          </w:p>
        </w:tc>
        <w:tc>
          <w:tcPr>
            <w:tcW w:w="1701" w:type="dxa"/>
            <w:tcBorders>
              <w:top w:val="nil"/>
              <w:left w:val="nil"/>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杭州</w:t>
            </w:r>
          </w:p>
        </w:tc>
        <w:tc>
          <w:tcPr>
            <w:tcW w:w="5954" w:type="dxa"/>
            <w:tcBorders>
              <w:top w:val="nil"/>
              <w:left w:val="nil"/>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寒假作业（3-9年级）</w:t>
            </w:r>
          </w:p>
        </w:tc>
      </w:tr>
      <w:tr>
        <w:tblPrEx>
          <w:tblCellMar>
            <w:top w:w="0" w:type="dxa"/>
            <w:left w:w="108" w:type="dxa"/>
            <w:bottom w:w="0" w:type="dxa"/>
            <w:right w:w="108" w:type="dxa"/>
          </w:tblCellMar>
        </w:tblPrEx>
        <w:trPr>
          <w:trHeight w:val="300" w:hRule="atLeast"/>
        </w:trPr>
        <w:tc>
          <w:tcPr>
            <w:tcW w:w="1276" w:type="dxa"/>
            <w:tcBorders>
              <w:top w:val="nil"/>
              <w:left w:val="single" w:color="auto" w:sz="4" w:space="0"/>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第2学期</w:t>
            </w:r>
          </w:p>
        </w:tc>
        <w:tc>
          <w:tcPr>
            <w:tcW w:w="1701" w:type="dxa"/>
            <w:tcBorders>
              <w:top w:val="nil"/>
              <w:left w:val="nil"/>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杭州</w:t>
            </w:r>
          </w:p>
        </w:tc>
        <w:tc>
          <w:tcPr>
            <w:tcW w:w="5954" w:type="dxa"/>
            <w:tcBorders>
              <w:top w:val="nil"/>
              <w:left w:val="nil"/>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暑假作业（3、4、5、7、8年级）</w:t>
            </w:r>
          </w:p>
        </w:tc>
      </w:tr>
    </w:tbl>
    <w:p>
      <w:pPr>
        <w:keepNext w:val="0"/>
        <w:keepLines w:val="0"/>
        <w:pageBreakBefore w:val="0"/>
        <w:widowControl w:val="0"/>
        <w:kinsoku/>
        <w:wordWrap/>
        <w:overflowPunct/>
        <w:topLinePunct w:val="0"/>
        <w:autoSpaceDE/>
        <w:autoSpaceDN/>
        <w:bidi w:val="0"/>
        <w:adjustRightInd w:val="0"/>
        <w:snapToGrid w:val="0"/>
        <w:spacing w:before="156" w:beforeLines="50" w:line="360" w:lineRule="auto"/>
        <w:ind w:firstLine="482" w:firstLineChars="200"/>
        <w:textAlignment w:val="auto"/>
        <w:outlineLvl w:val="1"/>
        <w:rPr>
          <w:rFonts w:hint="eastAsia" w:ascii="宋体" w:hAnsi="宋体" w:eastAsia="宋体" w:cs="宋体"/>
          <w:b/>
          <w:bCs/>
          <w:sz w:val="24"/>
          <w:szCs w:val="24"/>
        </w:rPr>
      </w:pPr>
      <w:r>
        <w:rPr>
          <w:rFonts w:hint="eastAsia" w:ascii="宋体" w:hAnsi="宋体" w:eastAsia="宋体" w:cs="宋体"/>
          <w:b/>
          <w:bCs/>
          <w:sz w:val="24"/>
          <w:szCs w:val="24"/>
        </w:rPr>
        <w:t>实际供货品种和数量</w:t>
      </w:r>
      <w:r>
        <w:rPr>
          <w:rFonts w:hint="eastAsia" w:ascii="宋体" w:hAnsi="宋体" w:eastAsia="宋体" w:cs="宋体"/>
          <w:b/>
          <w:bCs/>
          <w:sz w:val="24"/>
          <w:szCs w:val="24"/>
          <w:lang w:eastAsia="zh-CN"/>
        </w:rPr>
        <w:t>：</w:t>
      </w:r>
      <w:r>
        <w:rPr>
          <w:rFonts w:hint="eastAsia" w:ascii="宋体" w:hAnsi="宋体" w:eastAsia="宋体" w:cs="宋体"/>
          <w:sz w:val="24"/>
          <w:szCs w:val="24"/>
        </w:rPr>
        <w:t>根据教育局印发的每学期义务教育教学用书征订目录文件确定供货品种，根据各学年学校实际学生数确定供货数量。</w:t>
      </w:r>
    </w:p>
    <w:p>
      <w:pPr>
        <w:keepNext w:val="0"/>
        <w:keepLines w:val="0"/>
        <w:pageBreakBefore w:val="0"/>
        <w:widowControl w:val="0"/>
        <w:kinsoku/>
        <w:wordWrap/>
        <w:overflowPunct/>
        <w:topLinePunct w:val="0"/>
        <w:autoSpaceDE/>
        <w:autoSpaceDN/>
        <w:bidi w:val="0"/>
        <w:adjustRightInd w:val="0"/>
        <w:snapToGrid w:val="0"/>
        <w:spacing w:before="156" w:beforeLines="50" w:line="360" w:lineRule="auto"/>
        <w:ind w:firstLine="482" w:firstLineChars="200"/>
        <w:textAlignment w:val="auto"/>
        <w:outlineLvl w:val="1"/>
        <w:rPr>
          <w:rFonts w:hint="eastAsia" w:ascii="宋体" w:hAnsi="宋体" w:eastAsia="宋体" w:cs="宋体"/>
          <w:b/>
          <w:bCs/>
          <w:sz w:val="24"/>
          <w:szCs w:val="24"/>
        </w:rPr>
      </w:pPr>
      <w:r>
        <w:rPr>
          <w:rFonts w:hint="eastAsia" w:ascii="宋体" w:hAnsi="宋体" w:eastAsia="宋体" w:cs="宋体"/>
          <w:b/>
          <w:bCs/>
          <w:sz w:val="24"/>
          <w:szCs w:val="24"/>
        </w:rPr>
        <w:t>三、技术与商务要求</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教育局根据义务教育免费教学用书系列政策和上级有关文件，结合本地实际，制订本项目每学期征订目录文件。</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2.中标人须按采购人要求将相应的教辅材料与地方教材配送到指定学校（校区），并按学校要求按年级分别码堆整齐，注明年级。</w:t>
      </w:r>
    </w:p>
    <w:p>
      <w:pPr>
        <w:keepNext w:val="0"/>
        <w:keepLines w:val="0"/>
        <w:pageBreakBefore w:val="0"/>
        <w:widowControl w:val="0"/>
        <w:kinsoku/>
        <w:wordWrap/>
        <w:overflowPunct/>
        <w:topLinePunct w:val="0"/>
        <w:autoSpaceDE/>
        <w:autoSpaceDN/>
        <w:bidi w:val="0"/>
        <w:adjustRightInd w:val="0"/>
        <w:spacing w:before="100" w:beforeAutospacing="1"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highlight w:val="none"/>
        </w:rPr>
        <w:t>.每学期，教辅</w:t>
      </w:r>
      <w:r>
        <w:rPr>
          <w:rFonts w:hint="eastAsia" w:ascii="宋体" w:hAnsi="宋体" w:eastAsia="宋体" w:cs="宋体"/>
          <w:sz w:val="24"/>
          <w:szCs w:val="24"/>
        </w:rPr>
        <w:t>材料和地方教材在开学前须配送到校，做到“课前到校，人手一册”；个别教辅材料和地方教材不能按时配送的，须报采购人同意。</w:t>
      </w:r>
    </w:p>
    <w:p>
      <w:pPr>
        <w:keepNext w:val="0"/>
        <w:keepLines w:val="0"/>
        <w:pageBreakBefore w:val="0"/>
        <w:widowControl w:val="0"/>
        <w:kinsoku/>
        <w:wordWrap/>
        <w:overflowPunct/>
        <w:topLinePunct w:val="0"/>
        <w:autoSpaceDE/>
        <w:autoSpaceDN/>
        <w:bidi w:val="0"/>
        <w:adjustRightInd w:val="0"/>
        <w:spacing w:before="100" w:beforeAutospacing="1"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4.中标人交货前应对教辅材料和地方教材作出全面检查，列出清单；产品送达学校后，学校根据清单进行初验收，签字确认。中标人对以上文件进行整理，整理后作为采购人项目验收的依据。</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5.中标人接到采购人或学校的质量问题反映时应在0.5小时内响应，并在2小时内到达现场解决问题；配合采购人和学校做好开学后的余缺调剂工作，响应时间为2小时。</w:t>
      </w:r>
    </w:p>
    <w:p>
      <w:pPr>
        <w:keepNext w:val="0"/>
        <w:keepLines w:val="0"/>
        <w:pageBreakBefore w:val="0"/>
        <w:widowControl w:val="0"/>
        <w:kinsoku/>
        <w:wordWrap/>
        <w:overflowPunct/>
        <w:topLinePunct w:val="0"/>
        <w:autoSpaceDE/>
        <w:autoSpaceDN/>
        <w:bidi w:val="0"/>
        <w:adjustRightInd w:val="0"/>
        <w:spacing w:before="100" w:beforeAutospacing="1"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6.中标人提供的教辅材料和地方教材的质保期不少于6个月；在质保期内因货物本身的质量问题发生故障，中标人负责免费更换。</w:t>
      </w:r>
    </w:p>
    <w:p>
      <w:pPr>
        <w:keepNext w:val="0"/>
        <w:keepLines w:val="0"/>
        <w:pageBreakBefore w:val="0"/>
        <w:widowControl w:val="0"/>
        <w:kinsoku/>
        <w:wordWrap/>
        <w:overflowPunct/>
        <w:topLinePunct w:val="0"/>
        <w:autoSpaceDE/>
        <w:autoSpaceDN/>
        <w:bidi w:val="0"/>
        <w:adjustRightInd w:val="0"/>
        <w:spacing w:before="100" w:beforeAutospacing="1"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7.中标人在签订合同时，须提供采购地方课程教材出版单位针对本项目的合法授权证明。</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rPr>
        <w:t>8.项目验收：通过学校初验收合格后，采购人根据招标文件的要求和中标人投标文件</w:t>
      </w:r>
      <w:r>
        <w:rPr>
          <w:rFonts w:hint="eastAsia" w:ascii="宋体" w:hAnsi="宋体" w:eastAsia="宋体" w:cs="宋体"/>
          <w:sz w:val="24"/>
          <w:szCs w:val="24"/>
          <w:highlight w:val="none"/>
        </w:rPr>
        <w:t>的承诺组织项目验收；根据本项目的实际，分学期进行验收。</w:t>
      </w:r>
    </w:p>
    <w:p>
      <w:pPr>
        <w:keepNext w:val="0"/>
        <w:keepLines w:val="0"/>
        <w:pageBreakBefore w:val="0"/>
        <w:widowControl w:val="0"/>
        <w:kinsoku/>
        <w:wordWrap/>
        <w:overflowPunct/>
        <w:topLinePunct w:val="0"/>
        <w:autoSpaceDE/>
        <w:autoSpaceDN/>
        <w:bidi w:val="0"/>
        <w:adjustRightInd w:val="0"/>
        <w:spacing w:before="100" w:beforeAutospacing="1" w:after="12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9.付款方式：合同生效以及具备实施条件后7个工作日内支付</w:t>
      </w:r>
      <w:r>
        <w:rPr>
          <w:rFonts w:hint="eastAsia" w:ascii="宋体" w:hAnsi="宋体" w:eastAsia="宋体" w:cs="宋体"/>
          <w:sz w:val="24"/>
          <w:szCs w:val="24"/>
          <w:highlight w:val="none"/>
          <w:lang w:val="en-US" w:eastAsia="zh-CN"/>
        </w:rPr>
        <w:t>当期采购金额的40</w:t>
      </w:r>
      <w:r>
        <w:rPr>
          <w:rFonts w:hint="eastAsia" w:ascii="宋体" w:hAnsi="宋体" w:eastAsia="宋体" w:cs="宋体"/>
          <w:sz w:val="24"/>
          <w:szCs w:val="24"/>
          <w:highlight w:val="none"/>
        </w:rPr>
        <w:t>%预付款</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中标人在每学期开学后一个月左右，将各类品种的定价、各校师生分类供货数量和总金额等有关数据报送教育局。教育局在开学后两个月左右做好本项目相关数据的对账、审核工作,根据销售发票及清单，向中标人支付每学期</w:t>
      </w:r>
      <w:r>
        <w:rPr>
          <w:rFonts w:hint="eastAsia" w:ascii="宋体" w:hAnsi="宋体" w:eastAsia="宋体" w:cs="宋体"/>
          <w:sz w:val="24"/>
          <w:szCs w:val="24"/>
          <w:highlight w:val="none"/>
          <w:lang w:val="en-US" w:eastAsia="zh-CN"/>
        </w:rPr>
        <w:t>剩余</w:t>
      </w:r>
      <w:r>
        <w:rPr>
          <w:rFonts w:hint="eastAsia" w:ascii="宋体" w:hAnsi="宋体" w:eastAsia="宋体" w:cs="宋体"/>
          <w:sz w:val="24"/>
          <w:szCs w:val="24"/>
          <w:highlight w:val="none"/>
        </w:rPr>
        <w:t>货款。在签订合同时，供应商明确表示无需预付款或者主动要求降低预付款比例的，采购单位可不适用前述规定。</w:t>
      </w:r>
    </w:p>
    <w:p>
      <w:pPr>
        <w:keepNext w:val="0"/>
        <w:keepLines w:val="0"/>
        <w:pageBreakBefore w:val="0"/>
        <w:widowControl w:val="0"/>
        <w:kinsoku/>
        <w:wordWrap/>
        <w:overflowPunct/>
        <w:topLinePunct w:val="0"/>
        <w:autoSpaceDE/>
        <w:autoSpaceDN/>
        <w:bidi w:val="0"/>
        <w:adjustRightInd w:val="0"/>
        <w:spacing w:line="360" w:lineRule="auto"/>
        <w:ind w:firstLine="181" w:firstLineChars="50"/>
        <w:textAlignment w:val="auto"/>
        <w:rPr>
          <w:rFonts w:ascii="宋体" w:hAnsi="宋体" w:cs="宋体"/>
          <w:b/>
          <w:sz w:val="36"/>
          <w:szCs w:val="36"/>
          <w:highlight w:val="none"/>
        </w:rPr>
      </w:pPr>
    </w:p>
    <w:p>
      <w:pPr>
        <w:spacing w:line="360" w:lineRule="auto"/>
        <w:rPr>
          <w:rFonts w:ascii="宋体" w:hAnsi="宋体" w:cs="宋体"/>
          <w:sz w:val="24"/>
          <w:highlight w:val="none"/>
        </w:rPr>
      </w:pPr>
    </w:p>
    <w:p>
      <w:pPr>
        <w:widowControl/>
        <w:ind w:firstLine="720" w:firstLineChars="300"/>
        <w:jc w:val="left"/>
        <w:rPr>
          <w:rFonts w:ascii="宋体" w:hAnsi="宋体" w:cs="宋体"/>
          <w:bCs/>
          <w:sz w:val="24"/>
          <w:highlight w:val="none"/>
        </w:rPr>
      </w:pPr>
    </w:p>
    <w:p>
      <w:pPr>
        <w:rPr>
          <w:rFonts w:ascii="宋体" w:hAnsi="宋体" w:cs="宋体"/>
          <w:snapToGrid w:val="0"/>
          <w:kern w:val="0"/>
          <w:sz w:val="24"/>
          <w:highlight w:val="none"/>
        </w:rPr>
      </w:pPr>
    </w:p>
    <w:p>
      <w:pPr>
        <w:spacing w:line="360" w:lineRule="auto"/>
        <w:jc w:val="center"/>
        <w:outlineLvl w:val="0"/>
        <w:rPr>
          <w:rFonts w:ascii="宋体" w:hAnsi="宋体" w:cs="宋体"/>
          <w:b/>
          <w:sz w:val="36"/>
          <w:szCs w:val="36"/>
          <w:highlight w:val="none"/>
        </w:rPr>
      </w:pPr>
      <w:r>
        <w:rPr>
          <w:rFonts w:hint="eastAsia" w:ascii="宋体" w:hAnsi="宋体" w:cs="宋体"/>
          <w:b/>
          <w:sz w:val="24"/>
          <w:highlight w:val="none"/>
        </w:rPr>
        <w:br w:type="page"/>
      </w:r>
      <w:r>
        <w:rPr>
          <w:rFonts w:hint="eastAsia" w:ascii="宋体" w:hAnsi="宋体" w:cs="宋体"/>
          <w:b/>
          <w:sz w:val="36"/>
          <w:szCs w:val="36"/>
          <w:highlight w:val="none"/>
        </w:rPr>
        <w:t xml:space="preserve">第四部分   </w:t>
      </w:r>
      <w:bookmarkStart w:id="32" w:name="_Toc184308038"/>
      <w:bookmarkEnd w:id="32"/>
      <w:bookmarkStart w:id="33" w:name="_Toc184313246"/>
      <w:bookmarkEnd w:id="33"/>
      <w:bookmarkStart w:id="34" w:name="_Toc184314477"/>
      <w:bookmarkEnd w:id="34"/>
      <w:bookmarkStart w:id="35" w:name="_Toc184310312"/>
      <w:bookmarkEnd w:id="35"/>
      <w:bookmarkStart w:id="36" w:name="_Toc184308071"/>
      <w:bookmarkEnd w:id="36"/>
      <w:bookmarkStart w:id="37" w:name="_Toc184313274"/>
      <w:bookmarkEnd w:id="37"/>
      <w:bookmarkStart w:id="38" w:name="_Toc184310300"/>
      <w:bookmarkEnd w:id="38"/>
      <w:bookmarkStart w:id="39" w:name="_Toc184314421"/>
      <w:bookmarkEnd w:id="39"/>
      <w:bookmarkStart w:id="40" w:name="_Toc184310341"/>
      <w:bookmarkEnd w:id="40"/>
      <w:bookmarkStart w:id="41" w:name="_Toc184310316"/>
      <w:bookmarkEnd w:id="41"/>
      <w:bookmarkStart w:id="42" w:name="_Toc184312078"/>
      <w:bookmarkEnd w:id="42"/>
      <w:bookmarkStart w:id="43" w:name="_Toc184310287"/>
      <w:bookmarkEnd w:id="43"/>
      <w:bookmarkStart w:id="44" w:name="_Toc184308039"/>
      <w:bookmarkEnd w:id="44"/>
      <w:bookmarkStart w:id="45" w:name="_Toc184310339"/>
      <w:bookmarkEnd w:id="45"/>
      <w:bookmarkStart w:id="46" w:name="_Toc184313284"/>
      <w:bookmarkEnd w:id="46"/>
      <w:bookmarkStart w:id="47" w:name="_Toc184312100"/>
      <w:bookmarkEnd w:id="47"/>
      <w:bookmarkStart w:id="48" w:name="_Toc184312105"/>
      <w:bookmarkEnd w:id="48"/>
      <w:bookmarkStart w:id="49" w:name="_Toc184314433"/>
      <w:bookmarkEnd w:id="49"/>
      <w:bookmarkStart w:id="50" w:name="_Toc184313283"/>
      <w:bookmarkEnd w:id="50"/>
      <w:bookmarkStart w:id="51" w:name="_Toc184312115"/>
      <w:bookmarkEnd w:id="51"/>
      <w:bookmarkStart w:id="52" w:name="_Toc184310344"/>
      <w:bookmarkEnd w:id="52"/>
      <w:bookmarkStart w:id="53" w:name="_Toc184314478"/>
      <w:bookmarkEnd w:id="53"/>
      <w:bookmarkStart w:id="54" w:name="_Toc184308045"/>
      <w:bookmarkEnd w:id="54"/>
      <w:bookmarkStart w:id="55" w:name="_Toc184308089"/>
      <w:bookmarkEnd w:id="55"/>
      <w:bookmarkStart w:id="56" w:name="_Toc184310306"/>
      <w:bookmarkEnd w:id="56"/>
      <w:bookmarkStart w:id="57" w:name="_Toc184308087"/>
      <w:bookmarkEnd w:id="57"/>
      <w:bookmarkStart w:id="58" w:name="_Toc184310284"/>
      <w:bookmarkEnd w:id="58"/>
      <w:bookmarkStart w:id="59" w:name="_Toc184314428"/>
      <w:bookmarkEnd w:id="59"/>
      <w:bookmarkStart w:id="60" w:name="_Toc184308044"/>
      <w:bookmarkEnd w:id="60"/>
      <w:bookmarkStart w:id="61" w:name="_Toc184313275"/>
      <w:bookmarkEnd w:id="61"/>
      <w:bookmarkStart w:id="62" w:name="_Toc184314445"/>
      <w:bookmarkEnd w:id="62"/>
      <w:bookmarkStart w:id="63" w:name="_Toc184314440"/>
      <w:bookmarkEnd w:id="63"/>
      <w:bookmarkStart w:id="64" w:name="_Toc184312074"/>
      <w:bookmarkEnd w:id="64"/>
      <w:bookmarkStart w:id="65" w:name="_Toc184314418"/>
      <w:bookmarkEnd w:id="65"/>
      <w:bookmarkStart w:id="66" w:name="_Toc184312099"/>
      <w:bookmarkEnd w:id="66"/>
      <w:bookmarkStart w:id="67" w:name="_Toc184312111"/>
      <w:bookmarkEnd w:id="67"/>
      <w:bookmarkStart w:id="68" w:name="_Toc184313277"/>
      <w:bookmarkEnd w:id="68"/>
      <w:bookmarkStart w:id="69" w:name="_Toc184313262"/>
      <w:bookmarkEnd w:id="69"/>
      <w:bookmarkStart w:id="70" w:name="_Toc184308066"/>
      <w:bookmarkEnd w:id="70"/>
      <w:bookmarkStart w:id="71" w:name="_Toc184313264"/>
      <w:bookmarkEnd w:id="71"/>
      <w:bookmarkStart w:id="72" w:name="_Toc184312102"/>
      <w:bookmarkEnd w:id="72"/>
      <w:bookmarkStart w:id="73" w:name="_Toc184308041"/>
      <w:bookmarkEnd w:id="73"/>
      <w:bookmarkStart w:id="74" w:name="_Toc184313261"/>
      <w:bookmarkEnd w:id="74"/>
      <w:bookmarkStart w:id="75" w:name="_Toc184312089"/>
      <w:bookmarkEnd w:id="75"/>
      <w:bookmarkStart w:id="76" w:name="_Toc184310319"/>
      <w:bookmarkEnd w:id="76"/>
      <w:bookmarkStart w:id="77" w:name="_Toc184312073"/>
      <w:bookmarkEnd w:id="77"/>
      <w:bookmarkStart w:id="78" w:name="_Toc184313239"/>
      <w:bookmarkEnd w:id="78"/>
      <w:bookmarkStart w:id="79" w:name="_Toc184313243"/>
      <w:bookmarkEnd w:id="79"/>
      <w:bookmarkStart w:id="80" w:name="_Toc184310324"/>
      <w:bookmarkEnd w:id="80"/>
      <w:bookmarkStart w:id="81" w:name="_Toc184308067"/>
      <w:bookmarkEnd w:id="81"/>
      <w:bookmarkStart w:id="82" w:name="_Toc184314415"/>
      <w:bookmarkEnd w:id="82"/>
      <w:bookmarkStart w:id="83" w:name="_Toc184310296"/>
      <w:bookmarkEnd w:id="83"/>
      <w:bookmarkStart w:id="84" w:name="_Toc184313266"/>
      <w:bookmarkEnd w:id="84"/>
      <w:bookmarkStart w:id="85" w:name="_Toc184312093"/>
      <w:bookmarkEnd w:id="85"/>
      <w:bookmarkStart w:id="86" w:name="_Toc184308086"/>
      <w:bookmarkEnd w:id="86"/>
      <w:bookmarkStart w:id="87" w:name="_Toc184310323"/>
      <w:bookmarkEnd w:id="87"/>
      <w:bookmarkStart w:id="88" w:name="_Toc184310314"/>
      <w:bookmarkEnd w:id="88"/>
      <w:bookmarkStart w:id="89" w:name="_Toc184314449"/>
      <w:bookmarkEnd w:id="89"/>
      <w:bookmarkStart w:id="90" w:name="_Toc184314414"/>
      <w:bookmarkEnd w:id="90"/>
      <w:bookmarkStart w:id="91" w:name="_Toc184308094"/>
      <w:bookmarkEnd w:id="91"/>
      <w:bookmarkStart w:id="92" w:name="_Toc184314472"/>
      <w:bookmarkEnd w:id="92"/>
      <w:bookmarkStart w:id="93" w:name="_Toc184312129"/>
      <w:bookmarkEnd w:id="93"/>
      <w:bookmarkStart w:id="94" w:name="_Toc184308100"/>
      <w:bookmarkEnd w:id="94"/>
      <w:bookmarkStart w:id="95" w:name="_Toc184313259"/>
      <w:bookmarkEnd w:id="95"/>
      <w:bookmarkStart w:id="96" w:name="_Toc184312067"/>
      <w:bookmarkEnd w:id="96"/>
      <w:bookmarkStart w:id="97" w:name="_Toc184313244"/>
      <w:bookmarkEnd w:id="97"/>
      <w:bookmarkStart w:id="98" w:name="_Toc184308042"/>
      <w:bookmarkEnd w:id="98"/>
      <w:bookmarkStart w:id="99" w:name="_Toc184310285"/>
      <w:bookmarkEnd w:id="99"/>
      <w:bookmarkStart w:id="100" w:name="_Toc184314431"/>
      <w:bookmarkEnd w:id="100"/>
      <w:bookmarkStart w:id="101" w:name="_Toc184313238"/>
      <w:bookmarkEnd w:id="101"/>
      <w:bookmarkStart w:id="102" w:name="_Toc184312092"/>
      <w:bookmarkEnd w:id="102"/>
      <w:bookmarkStart w:id="103" w:name="_Toc184314474"/>
      <w:bookmarkEnd w:id="103"/>
      <w:bookmarkStart w:id="104" w:name="_Toc184312127"/>
      <w:bookmarkEnd w:id="104"/>
      <w:bookmarkStart w:id="105" w:name="_Toc184312138"/>
      <w:bookmarkEnd w:id="105"/>
      <w:bookmarkStart w:id="106" w:name="_Toc184312086"/>
      <w:bookmarkEnd w:id="106"/>
      <w:bookmarkStart w:id="107" w:name="_Toc184314411"/>
      <w:bookmarkEnd w:id="107"/>
      <w:bookmarkStart w:id="108" w:name="_Toc184314442"/>
      <w:bookmarkEnd w:id="108"/>
      <w:bookmarkStart w:id="109" w:name="_Toc184314432"/>
      <w:bookmarkEnd w:id="109"/>
      <w:bookmarkStart w:id="110" w:name="_Toc184312079"/>
      <w:bookmarkEnd w:id="110"/>
      <w:bookmarkStart w:id="111" w:name="_Toc184308062"/>
      <w:bookmarkEnd w:id="111"/>
      <w:bookmarkStart w:id="112" w:name="_Toc184314473"/>
      <w:bookmarkEnd w:id="112"/>
      <w:bookmarkStart w:id="113" w:name="_Toc184308108"/>
      <w:bookmarkEnd w:id="113"/>
      <w:bookmarkStart w:id="114" w:name="_Toc184313295"/>
      <w:bookmarkEnd w:id="114"/>
      <w:bookmarkStart w:id="115" w:name="_Toc184312081"/>
      <w:bookmarkEnd w:id="115"/>
      <w:bookmarkStart w:id="116" w:name="_Toc184312071"/>
      <w:bookmarkEnd w:id="116"/>
      <w:bookmarkStart w:id="117" w:name="_Toc184314457"/>
      <w:bookmarkEnd w:id="117"/>
      <w:bookmarkStart w:id="118" w:name="_Toc184314461"/>
      <w:bookmarkEnd w:id="118"/>
      <w:bookmarkStart w:id="119" w:name="_Toc184312075"/>
      <w:bookmarkEnd w:id="119"/>
      <w:bookmarkStart w:id="120" w:name="_Toc184313301"/>
      <w:bookmarkEnd w:id="120"/>
      <w:bookmarkStart w:id="121" w:name="_Toc184310283"/>
      <w:bookmarkEnd w:id="121"/>
      <w:bookmarkStart w:id="122" w:name="_Toc184313272"/>
      <w:bookmarkEnd w:id="122"/>
      <w:bookmarkStart w:id="123" w:name="_Toc184312139"/>
      <w:bookmarkEnd w:id="123"/>
      <w:bookmarkStart w:id="124" w:name="_Toc184308096"/>
      <w:bookmarkEnd w:id="124"/>
      <w:bookmarkStart w:id="125" w:name="_Toc184310311"/>
      <w:bookmarkEnd w:id="125"/>
      <w:bookmarkStart w:id="126" w:name="_Toc184310289"/>
      <w:bookmarkEnd w:id="126"/>
      <w:bookmarkStart w:id="127" w:name="_Toc184310333"/>
      <w:bookmarkEnd w:id="127"/>
      <w:bookmarkStart w:id="128" w:name="_Toc184310272"/>
      <w:bookmarkEnd w:id="128"/>
      <w:bookmarkStart w:id="129" w:name="_Toc184314482"/>
      <w:bookmarkEnd w:id="129"/>
      <w:bookmarkStart w:id="130" w:name="_Toc184313254"/>
      <w:bookmarkEnd w:id="130"/>
      <w:bookmarkStart w:id="131" w:name="_Toc184310279"/>
      <w:bookmarkEnd w:id="131"/>
      <w:bookmarkStart w:id="132" w:name="_Toc184313282"/>
      <w:bookmarkEnd w:id="132"/>
      <w:bookmarkStart w:id="133" w:name="_Toc184314450"/>
      <w:bookmarkEnd w:id="133"/>
      <w:bookmarkStart w:id="134" w:name="_Toc184314447"/>
      <w:bookmarkEnd w:id="134"/>
      <w:bookmarkStart w:id="135" w:name="_Toc184312085"/>
      <w:bookmarkEnd w:id="135"/>
      <w:bookmarkStart w:id="136" w:name="_Toc184308106"/>
      <w:bookmarkEnd w:id="136"/>
      <w:bookmarkStart w:id="137" w:name="_Toc184310301"/>
      <w:bookmarkEnd w:id="137"/>
      <w:bookmarkStart w:id="138" w:name="_Toc184313306"/>
      <w:bookmarkEnd w:id="138"/>
      <w:bookmarkStart w:id="139" w:name="_Toc184314444"/>
      <w:bookmarkEnd w:id="139"/>
      <w:bookmarkStart w:id="140" w:name="_Toc184310303"/>
      <w:bookmarkEnd w:id="140"/>
      <w:bookmarkStart w:id="141" w:name="_Toc184314420"/>
      <w:bookmarkEnd w:id="141"/>
      <w:bookmarkStart w:id="142" w:name="_Toc184312120"/>
      <w:bookmarkEnd w:id="142"/>
      <w:bookmarkStart w:id="143" w:name="_Toc184314434"/>
      <w:bookmarkEnd w:id="143"/>
      <w:bookmarkStart w:id="144" w:name="_Toc184312084"/>
      <w:bookmarkEnd w:id="144"/>
      <w:bookmarkStart w:id="145" w:name="_Toc184312082"/>
      <w:bookmarkEnd w:id="145"/>
      <w:bookmarkStart w:id="146" w:name="_Toc184310274"/>
      <w:bookmarkEnd w:id="146"/>
      <w:bookmarkStart w:id="147" w:name="_Toc184310278"/>
      <w:bookmarkEnd w:id="147"/>
      <w:bookmarkStart w:id="148" w:name="_Toc184314412"/>
      <w:bookmarkEnd w:id="148"/>
      <w:bookmarkStart w:id="149" w:name="_Toc184314438"/>
      <w:bookmarkEnd w:id="149"/>
      <w:bookmarkStart w:id="150" w:name="_Toc184308105"/>
      <w:bookmarkEnd w:id="150"/>
      <w:bookmarkStart w:id="151" w:name="_Toc184313273"/>
      <w:bookmarkEnd w:id="151"/>
      <w:bookmarkStart w:id="152" w:name="_Toc184308081"/>
      <w:bookmarkEnd w:id="152"/>
      <w:bookmarkStart w:id="153" w:name="_Toc184312077"/>
      <w:bookmarkEnd w:id="153"/>
      <w:bookmarkStart w:id="154" w:name="_Toc184312123"/>
      <w:bookmarkEnd w:id="154"/>
      <w:bookmarkStart w:id="155" w:name="_Toc184308083"/>
      <w:bookmarkEnd w:id="155"/>
      <w:bookmarkStart w:id="156" w:name="_Toc184314470"/>
      <w:bookmarkEnd w:id="156"/>
      <w:bookmarkStart w:id="157" w:name="_Toc184313267"/>
      <w:bookmarkEnd w:id="157"/>
      <w:bookmarkStart w:id="158" w:name="_Toc184314454"/>
      <w:bookmarkEnd w:id="158"/>
      <w:bookmarkStart w:id="159" w:name="_Toc184314480"/>
      <w:bookmarkEnd w:id="159"/>
      <w:bookmarkStart w:id="160" w:name="_Toc184310291"/>
      <w:bookmarkEnd w:id="160"/>
      <w:bookmarkStart w:id="161" w:name="_Toc184314453"/>
      <w:bookmarkEnd w:id="161"/>
      <w:bookmarkStart w:id="162" w:name="_Toc184308091"/>
      <w:bookmarkEnd w:id="162"/>
      <w:bookmarkStart w:id="163" w:name="_Toc184310273"/>
      <w:bookmarkEnd w:id="163"/>
      <w:bookmarkStart w:id="164" w:name="_Toc184310335"/>
      <w:bookmarkEnd w:id="164"/>
      <w:bookmarkStart w:id="165" w:name="_Toc184312109"/>
      <w:bookmarkEnd w:id="165"/>
      <w:bookmarkStart w:id="166" w:name="_Toc184312068"/>
      <w:bookmarkEnd w:id="166"/>
      <w:bookmarkStart w:id="167" w:name="_Toc184310342"/>
      <w:bookmarkEnd w:id="167"/>
      <w:bookmarkStart w:id="168" w:name="_Toc184314417"/>
      <w:bookmarkEnd w:id="168"/>
      <w:bookmarkStart w:id="169" w:name="_Toc184312091"/>
      <w:bookmarkEnd w:id="169"/>
      <w:bookmarkStart w:id="170" w:name="_Toc184310331"/>
      <w:bookmarkEnd w:id="170"/>
      <w:bookmarkStart w:id="171" w:name="_Toc184312097"/>
      <w:bookmarkEnd w:id="171"/>
      <w:bookmarkStart w:id="172" w:name="_Toc184314458"/>
      <w:bookmarkEnd w:id="172"/>
      <w:bookmarkStart w:id="173" w:name="_Toc184308046"/>
      <w:bookmarkEnd w:id="173"/>
      <w:bookmarkStart w:id="174" w:name="_Toc184312108"/>
      <w:bookmarkEnd w:id="174"/>
      <w:bookmarkStart w:id="175" w:name="_Toc184308057"/>
      <w:bookmarkEnd w:id="175"/>
      <w:bookmarkStart w:id="176" w:name="_Toc184314466"/>
      <w:bookmarkEnd w:id="176"/>
      <w:bookmarkStart w:id="177" w:name="_Toc184313304"/>
      <w:bookmarkEnd w:id="177"/>
      <w:bookmarkStart w:id="178" w:name="_Toc184313245"/>
      <w:bookmarkEnd w:id="178"/>
      <w:bookmarkStart w:id="179" w:name="_Toc184313308"/>
      <w:bookmarkEnd w:id="179"/>
      <w:bookmarkStart w:id="180" w:name="_Toc184308043"/>
      <w:bookmarkEnd w:id="180"/>
      <w:bookmarkStart w:id="181" w:name="_Toc184313300"/>
      <w:bookmarkEnd w:id="181"/>
      <w:bookmarkStart w:id="182" w:name="_Toc184308061"/>
      <w:bookmarkEnd w:id="182"/>
      <w:bookmarkStart w:id="183" w:name="_Toc184310337"/>
      <w:bookmarkEnd w:id="183"/>
      <w:bookmarkStart w:id="184" w:name="_Toc184310326"/>
      <w:bookmarkEnd w:id="184"/>
      <w:bookmarkStart w:id="185" w:name="_Toc184310290"/>
      <w:bookmarkEnd w:id="185"/>
      <w:bookmarkStart w:id="186" w:name="_Toc184314463"/>
      <w:bookmarkEnd w:id="186"/>
      <w:bookmarkStart w:id="187" w:name="_Toc184308084"/>
      <w:bookmarkEnd w:id="187"/>
      <w:bookmarkStart w:id="188" w:name="_Toc184308103"/>
      <w:bookmarkEnd w:id="188"/>
      <w:bookmarkStart w:id="189" w:name="_Toc184308040"/>
      <w:bookmarkEnd w:id="189"/>
      <w:bookmarkStart w:id="190" w:name="_Toc184308088"/>
      <w:bookmarkEnd w:id="190"/>
      <w:bookmarkStart w:id="191" w:name="_Toc184308064"/>
      <w:bookmarkEnd w:id="191"/>
      <w:bookmarkStart w:id="192" w:name="_Toc184313257"/>
      <w:bookmarkEnd w:id="192"/>
      <w:bookmarkStart w:id="193" w:name="_Toc184312088"/>
      <w:bookmarkEnd w:id="193"/>
      <w:bookmarkStart w:id="194" w:name="_Toc184308075"/>
      <w:bookmarkEnd w:id="194"/>
      <w:bookmarkStart w:id="195" w:name="_Toc184314459"/>
      <w:bookmarkEnd w:id="195"/>
      <w:bookmarkStart w:id="196" w:name="_Toc184313281"/>
      <w:bookmarkEnd w:id="196"/>
      <w:bookmarkStart w:id="197" w:name="_Toc184313270"/>
      <w:bookmarkEnd w:id="197"/>
      <w:bookmarkStart w:id="198" w:name="_Toc184312117"/>
      <w:bookmarkEnd w:id="198"/>
      <w:bookmarkStart w:id="199" w:name="_Toc184313241"/>
      <w:bookmarkEnd w:id="199"/>
      <w:bookmarkStart w:id="200" w:name="_Toc184313287"/>
      <w:bookmarkEnd w:id="200"/>
      <w:bookmarkStart w:id="201" w:name="_Toc184312134"/>
      <w:bookmarkEnd w:id="201"/>
      <w:bookmarkStart w:id="202" w:name="_Toc184313303"/>
      <w:bookmarkEnd w:id="202"/>
      <w:bookmarkStart w:id="203" w:name="_Toc184308065"/>
      <w:bookmarkEnd w:id="203"/>
      <w:bookmarkStart w:id="204" w:name="_Toc184314468"/>
      <w:bookmarkEnd w:id="204"/>
      <w:bookmarkStart w:id="205" w:name="_Toc184314419"/>
      <w:bookmarkEnd w:id="205"/>
      <w:bookmarkStart w:id="206" w:name="_Toc184312076"/>
      <w:bookmarkEnd w:id="206"/>
      <w:bookmarkStart w:id="207" w:name="_Toc184308055"/>
      <w:bookmarkEnd w:id="207"/>
      <w:bookmarkStart w:id="208" w:name="_Toc184312135"/>
      <w:bookmarkEnd w:id="208"/>
      <w:bookmarkStart w:id="209" w:name="_Toc184314439"/>
      <w:bookmarkEnd w:id="209"/>
      <w:bookmarkStart w:id="210" w:name="_Toc184310286"/>
      <w:bookmarkEnd w:id="210"/>
      <w:bookmarkStart w:id="211" w:name="_Toc184312121"/>
      <w:bookmarkEnd w:id="211"/>
      <w:bookmarkStart w:id="212" w:name="_Toc184312132"/>
      <w:bookmarkEnd w:id="212"/>
      <w:bookmarkStart w:id="213" w:name="_Toc184308102"/>
      <w:bookmarkEnd w:id="213"/>
      <w:bookmarkStart w:id="214" w:name="_Toc184312094"/>
      <w:bookmarkEnd w:id="214"/>
      <w:bookmarkStart w:id="215" w:name="_Toc184312083"/>
      <w:bookmarkEnd w:id="215"/>
      <w:bookmarkStart w:id="216" w:name="_Toc184308085"/>
      <w:bookmarkEnd w:id="216"/>
      <w:bookmarkStart w:id="217" w:name="_Toc184314479"/>
      <w:bookmarkEnd w:id="217"/>
      <w:bookmarkStart w:id="218" w:name="_Toc184310322"/>
      <w:bookmarkEnd w:id="218"/>
      <w:bookmarkStart w:id="219" w:name="_Toc184314435"/>
      <w:bookmarkEnd w:id="219"/>
      <w:bookmarkStart w:id="220" w:name="_Toc184313310"/>
      <w:bookmarkEnd w:id="220"/>
      <w:bookmarkStart w:id="221" w:name="_Toc184312106"/>
      <w:bookmarkEnd w:id="221"/>
      <w:bookmarkStart w:id="222" w:name="_Toc184308107"/>
      <w:bookmarkEnd w:id="222"/>
      <w:bookmarkStart w:id="223" w:name="_Toc184312090"/>
      <w:bookmarkEnd w:id="223"/>
      <w:bookmarkStart w:id="224" w:name="_Toc184308054"/>
      <w:bookmarkEnd w:id="224"/>
      <w:bookmarkStart w:id="225" w:name="_Toc184310305"/>
      <w:bookmarkEnd w:id="225"/>
      <w:bookmarkStart w:id="226" w:name="_Toc184308104"/>
      <w:bookmarkEnd w:id="226"/>
      <w:bookmarkStart w:id="227" w:name="_Toc184312114"/>
      <w:bookmarkEnd w:id="227"/>
      <w:bookmarkStart w:id="228" w:name="_Toc184312087"/>
      <w:bookmarkEnd w:id="228"/>
      <w:bookmarkStart w:id="229" w:name="_Toc184314481"/>
      <w:bookmarkEnd w:id="229"/>
      <w:bookmarkStart w:id="230" w:name="_Toc184314475"/>
      <w:bookmarkEnd w:id="230"/>
      <w:bookmarkStart w:id="231" w:name="_Toc184312137"/>
      <w:bookmarkEnd w:id="231"/>
      <w:bookmarkStart w:id="232" w:name="_Toc184313299"/>
      <w:bookmarkEnd w:id="232"/>
      <w:bookmarkStart w:id="233" w:name="_Toc184308058"/>
      <w:bookmarkEnd w:id="233"/>
      <w:bookmarkStart w:id="234" w:name="_Toc184314443"/>
      <w:bookmarkEnd w:id="234"/>
      <w:bookmarkStart w:id="235" w:name="_Toc184313298"/>
      <w:bookmarkEnd w:id="235"/>
      <w:bookmarkStart w:id="236" w:name="_Toc184312119"/>
      <w:bookmarkEnd w:id="236"/>
      <w:bookmarkStart w:id="237" w:name="_Toc184310308"/>
      <w:bookmarkEnd w:id="237"/>
      <w:bookmarkStart w:id="238" w:name="_Toc184312072"/>
      <w:bookmarkEnd w:id="238"/>
      <w:bookmarkStart w:id="239" w:name="_Toc184308090"/>
      <w:bookmarkEnd w:id="239"/>
      <w:bookmarkStart w:id="240" w:name="_Toc184314424"/>
      <w:bookmarkEnd w:id="240"/>
      <w:bookmarkStart w:id="241" w:name="_Toc184314425"/>
      <w:bookmarkEnd w:id="241"/>
      <w:bookmarkStart w:id="242" w:name="_Toc184308048"/>
      <w:bookmarkEnd w:id="242"/>
      <w:bookmarkStart w:id="243" w:name="_Toc184308056"/>
      <w:bookmarkEnd w:id="243"/>
      <w:bookmarkStart w:id="244" w:name="_Toc184310317"/>
      <w:bookmarkEnd w:id="244"/>
      <w:bookmarkStart w:id="245" w:name="_Toc184312136"/>
      <w:bookmarkEnd w:id="245"/>
      <w:bookmarkStart w:id="246" w:name="_Toc184314413"/>
      <w:bookmarkEnd w:id="246"/>
      <w:bookmarkStart w:id="247" w:name="_Toc184308051"/>
      <w:bookmarkEnd w:id="247"/>
      <w:bookmarkStart w:id="248" w:name="_Toc184314476"/>
      <w:bookmarkEnd w:id="248"/>
      <w:bookmarkStart w:id="249" w:name="_Toc184313248"/>
      <w:bookmarkEnd w:id="249"/>
      <w:bookmarkStart w:id="250" w:name="_Toc184312098"/>
      <w:bookmarkEnd w:id="250"/>
      <w:bookmarkStart w:id="251" w:name="_Toc184312125"/>
      <w:bookmarkEnd w:id="251"/>
      <w:bookmarkStart w:id="252" w:name="_Toc184312112"/>
      <w:bookmarkEnd w:id="252"/>
      <w:bookmarkStart w:id="253" w:name="_Toc184310288"/>
      <w:bookmarkEnd w:id="253"/>
      <w:bookmarkStart w:id="254" w:name="_Toc184308092"/>
      <w:bookmarkEnd w:id="254"/>
      <w:bookmarkStart w:id="255" w:name="_Toc184313293"/>
      <w:bookmarkEnd w:id="255"/>
      <w:bookmarkStart w:id="256" w:name="_Toc184312133"/>
      <w:bookmarkEnd w:id="256"/>
      <w:bookmarkStart w:id="257" w:name="_Toc184310325"/>
      <w:bookmarkEnd w:id="257"/>
      <w:bookmarkStart w:id="258" w:name="_Toc184312124"/>
      <w:bookmarkEnd w:id="258"/>
      <w:bookmarkStart w:id="259" w:name="_Toc184310309"/>
      <w:bookmarkEnd w:id="259"/>
      <w:bookmarkStart w:id="260" w:name="_Toc184312130"/>
      <w:bookmarkEnd w:id="260"/>
      <w:bookmarkStart w:id="261" w:name="_Toc184310294"/>
      <w:bookmarkEnd w:id="261"/>
      <w:bookmarkStart w:id="262" w:name="_Toc184310302"/>
      <w:bookmarkEnd w:id="262"/>
      <w:bookmarkStart w:id="263" w:name="_Toc184308078"/>
      <w:bookmarkEnd w:id="263"/>
      <w:bookmarkStart w:id="264" w:name="_Toc184308073"/>
      <w:bookmarkEnd w:id="264"/>
      <w:bookmarkStart w:id="265" w:name="_Toc184308037"/>
      <w:bookmarkEnd w:id="265"/>
      <w:bookmarkStart w:id="266" w:name="_Toc184308099"/>
      <w:bookmarkEnd w:id="266"/>
      <w:bookmarkStart w:id="267" w:name="_Toc184308049"/>
      <w:bookmarkEnd w:id="267"/>
      <w:bookmarkStart w:id="268" w:name="_Toc184310330"/>
      <w:bookmarkEnd w:id="268"/>
      <w:bookmarkStart w:id="269" w:name="_Toc184312128"/>
      <w:bookmarkEnd w:id="269"/>
      <w:bookmarkStart w:id="270" w:name="_Toc184314446"/>
      <w:bookmarkEnd w:id="270"/>
      <w:bookmarkStart w:id="271" w:name="_Toc184308068"/>
      <w:bookmarkEnd w:id="271"/>
      <w:bookmarkStart w:id="272" w:name="_Toc184313290"/>
      <w:bookmarkEnd w:id="272"/>
      <w:bookmarkStart w:id="273" w:name="_Toc184314455"/>
      <w:bookmarkEnd w:id="273"/>
      <w:bookmarkStart w:id="274" w:name="_Toc184314469"/>
      <w:bookmarkEnd w:id="274"/>
      <w:bookmarkStart w:id="275" w:name="_Toc184313251"/>
      <w:bookmarkEnd w:id="275"/>
      <w:bookmarkStart w:id="276" w:name="_Toc184314465"/>
      <w:bookmarkEnd w:id="276"/>
      <w:bookmarkStart w:id="277" w:name="_Toc184314452"/>
      <w:bookmarkEnd w:id="277"/>
      <w:bookmarkStart w:id="278" w:name="_Toc184313288"/>
      <w:bookmarkEnd w:id="278"/>
      <w:bookmarkStart w:id="279" w:name="_Toc184313247"/>
      <w:bookmarkEnd w:id="279"/>
      <w:bookmarkStart w:id="280" w:name="_Toc184314436"/>
      <w:bookmarkEnd w:id="280"/>
      <w:bookmarkStart w:id="281" w:name="_Toc184312116"/>
      <w:bookmarkEnd w:id="281"/>
      <w:bookmarkStart w:id="282" w:name="_Toc184314464"/>
      <w:bookmarkEnd w:id="282"/>
      <w:bookmarkStart w:id="283" w:name="_Toc184310280"/>
      <w:bookmarkEnd w:id="283"/>
      <w:bookmarkStart w:id="284" w:name="_Toc184310340"/>
      <w:bookmarkEnd w:id="284"/>
      <w:bookmarkStart w:id="285" w:name="_Toc184308036"/>
      <w:bookmarkEnd w:id="285"/>
      <w:bookmarkStart w:id="286" w:name="_Toc184313269"/>
      <w:bookmarkEnd w:id="286"/>
      <w:bookmarkStart w:id="287" w:name="_Toc184308074"/>
      <w:bookmarkEnd w:id="287"/>
      <w:bookmarkStart w:id="288" w:name="_Toc184314427"/>
      <w:bookmarkEnd w:id="288"/>
      <w:bookmarkStart w:id="289" w:name="_Toc184313240"/>
      <w:bookmarkEnd w:id="289"/>
      <w:bookmarkStart w:id="290" w:name="_Toc184313255"/>
      <w:bookmarkEnd w:id="290"/>
      <w:bookmarkStart w:id="291" w:name="_Toc184313271"/>
      <w:bookmarkEnd w:id="291"/>
      <w:bookmarkStart w:id="292" w:name="_Toc184308095"/>
      <w:bookmarkEnd w:id="292"/>
      <w:bookmarkStart w:id="293" w:name="_Toc184313297"/>
      <w:bookmarkEnd w:id="293"/>
      <w:bookmarkStart w:id="294" w:name="_Toc184312096"/>
      <w:bookmarkEnd w:id="294"/>
      <w:bookmarkStart w:id="295" w:name="_Toc184313278"/>
      <w:bookmarkEnd w:id="295"/>
      <w:bookmarkStart w:id="296" w:name="_Toc184308098"/>
      <w:bookmarkEnd w:id="296"/>
      <w:bookmarkStart w:id="297" w:name="_Toc184308072"/>
      <w:bookmarkEnd w:id="297"/>
      <w:bookmarkStart w:id="298" w:name="_Toc184310336"/>
      <w:bookmarkEnd w:id="298"/>
      <w:bookmarkStart w:id="299" w:name="_Toc184308047"/>
      <w:bookmarkEnd w:id="299"/>
      <w:bookmarkStart w:id="300" w:name="_Toc184314423"/>
      <w:bookmarkEnd w:id="300"/>
      <w:bookmarkStart w:id="301" w:name="_Toc184313276"/>
      <w:bookmarkEnd w:id="301"/>
      <w:bookmarkStart w:id="302" w:name="_Toc184313279"/>
      <w:bookmarkEnd w:id="302"/>
      <w:bookmarkStart w:id="303" w:name="_Toc184313285"/>
      <w:bookmarkEnd w:id="303"/>
      <w:bookmarkStart w:id="304" w:name="_Toc184312131"/>
      <w:bookmarkEnd w:id="304"/>
      <w:bookmarkStart w:id="305" w:name="_Toc184310304"/>
      <w:bookmarkEnd w:id="305"/>
      <w:bookmarkStart w:id="306" w:name="_Toc184313253"/>
      <w:bookmarkEnd w:id="306"/>
      <w:bookmarkStart w:id="307" w:name="_Toc184310327"/>
      <w:bookmarkEnd w:id="307"/>
      <w:bookmarkStart w:id="308" w:name="_Toc184308069"/>
      <w:bookmarkEnd w:id="308"/>
      <w:bookmarkStart w:id="309" w:name="_Toc184313242"/>
      <w:bookmarkEnd w:id="309"/>
      <w:bookmarkStart w:id="310" w:name="_Toc184312122"/>
      <w:bookmarkEnd w:id="310"/>
      <w:bookmarkStart w:id="311" w:name="_Toc184312113"/>
      <w:bookmarkEnd w:id="311"/>
      <w:bookmarkStart w:id="312" w:name="_Toc184308077"/>
      <w:bookmarkEnd w:id="312"/>
      <w:bookmarkStart w:id="313" w:name="_Toc184313258"/>
      <w:bookmarkEnd w:id="313"/>
      <w:bookmarkStart w:id="314" w:name="_Toc184310332"/>
      <w:bookmarkEnd w:id="314"/>
      <w:bookmarkStart w:id="315" w:name="_Toc184314437"/>
      <w:bookmarkEnd w:id="315"/>
      <w:bookmarkStart w:id="316" w:name="_Toc184310298"/>
      <w:bookmarkEnd w:id="316"/>
      <w:bookmarkStart w:id="317" w:name="_Toc184310334"/>
      <w:bookmarkEnd w:id="317"/>
      <w:bookmarkStart w:id="318" w:name="_Toc184308052"/>
      <w:bookmarkEnd w:id="318"/>
      <w:bookmarkStart w:id="319" w:name="_Toc184313280"/>
      <w:bookmarkEnd w:id="319"/>
      <w:bookmarkStart w:id="320" w:name="_Toc184308053"/>
      <w:bookmarkEnd w:id="320"/>
      <w:bookmarkStart w:id="321" w:name="_Toc184310315"/>
      <w:bookmarkEnd w:id="321"/>
      <w:bookmarkStart w:id="322" w:name="_Toc184313286"/>
      <w:bookmarkEnd w:id="322"/>
      <w:bookmarkStart w:id="323" w:name="_Toc184313265"/>
      <w:bookmarkEnd w:id="323"/>
      <w:bookmarkStart w:id="324" w:name="_Toc184312107"/>
      <w:bookmarkEnd w:id="324"/>
      <w:bookmarkStart w:id="325" w:name="_Toc184308093"/>
      <w:bookmarkEnd w:id="325"/>
      <w:bookmarkStart w:id="326" w:name="_Toc184308070"/>
      <w:bookmarkEnd w:id="326"/>
      <w:bookmarkStart w:id="327" w:name="_Toc184310275"/>
      <w:bookmarkEnd w:id="327"/>
      <w:bookmarkStart w:id="328" w:name="_Toc184314451"/>
      <w:bookmarkEnd w:id="328"/>
      <w:bookmarkStart w:id="329" w:name="_Toc184310320"/>
      <w:bookmarkEnd w:id="329"/>
      <w:bookmarkStart w:id="330" w:name="_Toc184312118"/>
      <w:bookmarkEnd w:id="330"/>
      <w:bookmarkStart w:id="331" w:name="_Toc184310343"/>
      <w:bookmarkEnd w:id="331"/>
      <w:bookmarkStart w:id="332" w:name="_Toc184310313"/>
      <w:bookmarkEnd w:id="332"/>
      <w:bookmarkStart w:id="333" w:name="_Toc184313302"/>
      <w:bookmarkEnd w:id="333"/>
      <w:bookmarkStart w:id="334" w:name="_Toc184313250"/>
      <w:bookmarkEnd w:id="334"/>
      <w:bookmarkStart w:id="335" w:name="_Toc184310276"/>
      <w:bookmarkEnd w:id="335"/>
      <w:bookmarkStart w:id="336" w:name="_Toc184312126"/>
      <w:bookmarkEnd w:id="336"/>
      <w:bookmarkStart w:id="337" w:name="_Toc184308060"/>
      <w:bookmarkEnd w:id="337"/>
      <w:bookmarkStart w:id="338" w:name="_Toc184313268"/>
      <w:bookmarkEnd w:id="338"/>
      <w:bookmarkStart w:id="339" w:name="_Toc184314448"/>
      <w:bookmarkEnd w:id="339"/>
      <w:bookmarkStart w:id="340" w:name="_Toc184310329"/>
      <w:bookmarkEnd w:id="340"/>
      <w:bookmarkStart w:id="341" w:name="_Toc184312069"/>
      <w:bookmarkEnd w:id="341"/>
      <w:bookmarkStart w:id="342" w:name="_Toc184314422"/>
      <w:bookmarkEnd w:id="342"/>
      <w:bookmarkStart w:id="343" w:name="_Toc184308080"/>
      <w:bookmarkEnd w:id="343"/>
      <w:bookmarkStart w:id="344" w:name="_Toc184310338"/>
      <w:bookmarkEnd w:id="344"/>
      <w:bookmarkStart w:id="345" w:name="_Toc184313289"/>
      <w:bookmarkEnd w:id="345"/>
      <w:bookmarkStart w:id="346" w:name="_Toc184310310"/>
      <w:bookmarkEnd w:id="346"/>
      <w:bookmarkStart w:id="347" w:name="_Toc184310321"/>
      <w:bookmarkEnd w:id="347"/>
      <w:bookmarkStart w:id="348" w:name="_Toc184313263"/>
      <w:bookmarkEnd w:id="348"/>
      <w:bookmarkStart w:id="349" w:name="_Toc184310307"/>
      <w:bookmarkEnd w:id="349"/>
      <w:bookmarkStart w:id="350" w:name="_Toc184310295"/>
      <w:bookmarkEnd w:id="350"/>
      <w:bookmarkStart w:id="351" w:name="_Toc184314456"/>
      <w:bookmarkEnd w:id="351"/>
      <w:bookmarkStart w:id="352" w:name="_Toc184313292"/>
      <w:bookmarkEnd w:id="352"/>
      <w:bookmarkStart w:id="353" w:name="_Toc184314471"/>
      <w:bookmarkEnd w:id="353"/>
      <w:bookmarkStart w:id="354" w:name="_Toc184312101"/>
      <w:bookmarkEnd w:id="354"/>
      <w:bookmarkStart w:id="355" w:name="_Toc184308079"/>
      <w:bookmarkEnd w:id="355"/>
      <w:bookmarkStart w:id="356" w:name="_Toc184310282"/>
      <w:bookmarkEnd w:id="356"/>
      <w:bookmarkStart w:id="357" w:name="_Toc184310318"/>
      <w:bookmarkEnd w:id="357"/>
      <w:bookmarkStart w:id="358" w:name="_Toc184308076"/>
      <w:bookmarkEnd w:id="358"/>
      <w:bookmarkStart w:id="359" w:name="_Toc184313305"/>
      <w:bookmarkEnd w:id="359"/>
      <w:bookmarkStart w:id="360" w:name="_Toc184313309"/>
      <w:bookmarkEnd w:id="360"/>
      <w:bookmarkStart w:id="361" w:name="_Toc184313296"/>
      <w:bookmarkEnd w:id="361"/>
      <w:bookmarkStart w:id="362" w:name="_Toc184314430"/>
      <w:bookmarkEnd w:id="362"/>
      <w:bookmarkStart w:id="363" w:name="_Toc184312103"/>
      <w:bookmarkEnd w:id="363"/>
      <w:bookmarkStart w:id="364" w:name="_Toc184313294"/>
      <w:bookmarkEnd w:id="364"/>
      <w:bookmarkStart w:id="365" w:name="_Toc184308082"/>
      <w:bookmarkEnd w:id="365"/>
      <w:bookmarkStart w:id="366" w:name="_Toc184314467"/>
      <w:bookmarkEnd w:id="366"/>
      <w:bookmarkStart w:id="367" w:name="_Toc184313307"/>
      <w:bookmarkEnd w:id="367"/>
      <w:bookmarkStart w:id="368" w:name="_Toc184308101"/>
      <w:bookmarkEnd w:id="368"/>
      <w:bookmarkStart w:id="369" w:name="_Toc184313252"/>
      <w:bookmarkEnd w:id="369"/>
      <w:bookmarkStart w:id="370" w:name="_Toc184313256"/>
      <w:bookmarkEnd w:id="370"/>
      <w:bookmarkStart w:id="371" w:name="_Toc184310281"/>
      <w:bookmarkEnd w:id="371"/>
      <w:bookmarkStart w:id="372" w:name="_Toc184314460"/>
      <w:bookmarkEnd w:id="372"/>
      <w:bookmarkStart w:id="373" w:name="_Toc184310277"/>
      <w:bookmarkEnd w:id="373"/>
      <w:bookmarkStart w:id="374" w:name="_Toc184313291"/>
      <w:bookmarkEnd w:id="374"/>
      <w:bookmarkStart w:id="375" w:name="_Toc184313249"/>
      <w:bookmarkEnd w:id="375"/>
      <w:bookmarkStart w:id="376" w:name="_Toc184313260"/>
      <w:bookmarkEnd w:id="376"/>
      <w:bookmarkStart w:id="377" w:name="_Toc184308097"/>
      <w:bookmarkEnd w:id="377"/>
      <w:bookmarkStart w:id="378" w:name="_Toc184310297"/>
      <w:bookmarkEnd w:id="378"/>
      <w:bookmarkStart w:id="379" w:name="_Toc184308063"/>
      <w:bookmarkEnd w:id="379"/>
      <w:bookmarkStart w:id="380" w:name="_Toc184314441"/>
      <w:bookmarkEnd w:id="380"/>
      <w:bookmarkStart w:id="381" w:name="_Toc184310292"/>
      <w:bookmarkEnd w:id="381"/>
      <w:bookmarkStart w:id="382" w:name="_Toc184308050"/>
      <w:bookmarkEnd w:id="382"/>
      <w:bookmarkStart w:id="383" w:name="_Toc184308059"/>
      <w:bookmarkEnd w:id="383"/>
      <w:bookmarkStart w:id="384" w:name="_Toc184310299"/>
      <w:bookmarkEnd w:id="384"/>
      <w:bookmarkStart w:id="385" w:name="_Toc184312095"/>
      <w:bookmarkEnd w:id="385"/>
      <w:bookmarkStart w:id="386" w:name="_Toc184312110"/>
      <w:bookmarkEnd w:id="386"/>
      <w:bookmarkStart w:id="387" w:name="_Toc184314410"/>
      <w:bookmarkEnd w:id="387"/>
      <w:bookmarkStart w:id="388" w:name="_Toc184312104"/>
      <w:bookmarkEnd w:id="388"/>
      <w:bookmarkStart w:id="389" w:name="_Toc184310293"/>
      <w:bookmarkEnd w:id="389"/>
      <w:bookmarkStart w:id="390" w:name="_Toc184314462"/>
      <w:bookmarkEnd w:id="390"/>
      <w:bookmarkStart w:id="391" w:name="_Toc184314416"/>
      <w:bookmarkEnd w:id="391"/>
      <w:bookmarkStart w:id="392" w:name="_Toc184312070"/>
      <w:bookmarkEnd w:id="392"/>
      <w:bookmarkStart w:id="393" w:name="_Toc184312080"/>
      <w:bookmarkEnd w:id="393"/>
      <w:bookmarkStart w:id="394" w:name="_Toc184314429"/>
      <w:bookmarkEnd w:id="394"/>
      <w:bookmarkStart w:id="395" w:name="_Toc184314426"/>
      <w:bookmarkEnd w:id="395"/>
      <w:bookmarkStart w:id="396" w:name="_Toc184310328"/>
      <w:bookmarkEnd w:id="396"/>
      <w:r>
        <w:rPr>
          <w:rFonts w:hint="eastAsia" w:ascii="宋体" w:hAnsi="宋体" w:cs="宋体"/>
          <w:b/>
          <w:sz w:val="36"/>
          <w:szCs w:val="36"/>
          <w:highlight w:val="none"/>
        </w:rPr>
        <w:t>评标办法</w:t>
      </w:r>
    </w:p>
    <w:p>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4874"/>
        <w:gridCol w:w="675"/>
        <w:gridCol w:w="915"/>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4874"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675"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915" w:type="dxa"/>
            <w:vAlign w:val="center"/>
          </w:tcPr>
          <w:p>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142" w:type="dxa"/>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w:t>
            </w:r>
          </w:p>
        </w:tc>
        <w:tc>
          <w:tcPr>
            <w:tcW w:w="4874" w:type="dxa"/>
            <w:vAlign w:val="center"/>
          </w:tcPr>
          <w:p>
            <w:pPr>
              <w:snapToGrid w:val="0"/>
              <w:spacing w:line="360" w:lineRule="auto"/>
              <w:jc w:val="both"/>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lang w:val="en-US" w:eastAsia="zh-CN"/>
              </w:rPr>
              <w:t>根据对采购需求的理解，提供项目的总体描述、工作流程、实施技术方案，投标人总体方案设计合理、完整、可行，针对性强的得6分；方案设计基本满足用户需求的得4分；方案存在部分缺陷的得2分；方案设计不合理，对用户需求不理解、不贴合实际的不得分。共6分。</w:t>
            </w:r>
          </w:p>
        </w:tc>
        <w:tc>
          <w:tcPr>
            <w:tcW w:w="675" w:type="dxa"/>
            <w:vAlign w:val="center"/>
          </w:tcPr>
          <w:p>
            <w:pPr>
              <w:snapToGrid w:val="0"/>
              <w:spacing w:line="36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6</w:t>
            </w:r>
          </w:p>
        </w:tc>
        <w:tc>
          <w:tcPr>
            <w:tcW w:w="915" w:type="dxa"/>
            <w:vAlign w:val="center"/>
          </w:tcPr>
          <w:p>
            <w:pPr>
              <w:snapToGrid w:val="0"/>
              <w:spacing w:line="360" w:lineRule="auto"/>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lang w:eastAsia="zh-CN"/>
              </w:rPr>
              <w:t>主观分</w:t>
            </w:r>
          </w:p>
        </w:tc>
        <w:tc>
          <w:tcPr>
            <w:tcW w:w="1142" w:type="dxa"/>
            <w:vAlign w:val="center"/>
          </w:tcPr>
          <w:p>
            <w:pPr>
              <w:snapToGrid w:val="0"/>
              <w:spacing w:line="360" w:lineRule="auto"/>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lang w:eastAsia="zh-CN"/>
              </w:rPr>
              <w:t>总体方案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2</w:t>
            </w:r>
          </w:p>
        </w:tc>
        <w:tc>
          <w:tcPr>
            <w:tcW w:w="4874" w:type="dxa"/>
            <w:vAlign w:val="center"/>
          </w:tcPr>
          <w:p>
            <w:pPr>
              <w:snapToGrid w:val="0"/>
              <w:spacing w:line="360" w:lineRule="auto"/>
              <w:jc w:val="both"/>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rPr>
              <w:t>根据提供本项目质量控制方案中保障教辅材料和地方教材2021年后全新的正版出版物、无破损、附件齐全的措施</w:t>
            </w:r>
            <w:r>
              <w:rPr>
                <w:rFonts w:hint="eastAsia" w:cs="仿宋_GB2312" w:asciiTheme="minorEastAsia" w:hAnsiTheme="minorEastAsia" w:eastAsiaTheme="minorEastAsia"/>
                <w:color w:val="auto"/>
                <w:sz w:val="21"/>
                <w:szCs w:val="21"/>
                <w:highlight w:val="none"/>
                <w:lang w:eastAsia="zh-CN"/>
              </w:rPr>
              <w:t>。①</w:t>
            </w:r>
            <w:r>
              <w:rPr>
                <w:rFonts w:hint="eastAsia" w:cs="仿宋_GB2312" w:asciiTheme="minorEastAsia" w:hAnsiTheme="minorEastAsia" w:eastAsiaTheme="minorEastAsia"/>
                <w:color w:val="auto"/>
                <w:sz w:val="21"/>
                <w:szCs w:val="21"/>
                <w:highlight w:val="none"/>
              </w:rPr>
              <w:t>质量保证措施全面</w:t>
            </w:r>
            <w:r>
              <w:rPr>
                <w:rFonts w:hint="eastAsia" w:cs="仿宋_GB2312" w:asciiTheme="minorEastAsia" w:hAnsiTheme="minorEastAsia" w:eastAsiaTheme="minorEastAsia"/>
                <w:color w:val="auto"/>
                <w:sz w:val="21"/>
                <w:szCs w:val="21"/>
                <w:highlight w:val="none"/>
                <w:lang w:eastAsia="zh-CN"/>
              </w:rPr>
              <w:t>、</w:t>
            </w:r>
            <w:r>
              <w:rPr>
                <w:rFonts w:hint="eastAsia" w:cs="仿宋_GB2312" w:asciiTheme="minorEastAsia" w:hAnsiTheme="minorEastAsia" w:eastAsiaTheme="minorEastAsia"/>
                <w:color w:val="auto"/>
                <w:sz w:val="21"/>
                <w:szCs w:val="21"/>
                <w:highlight w:val="none"/>
              </w:rPr>
              <w:t>可行</w:t>
            </w:r>
            <w:r>
              <w:rPr>
                <w:rFonts w:hint="eastAsia" w:cs="仿宋_GB2312" w:asciiTheme="minorEastAsia" w:hAnsiTheme="minorEastAsia" w:eastAsiaTheme="minorEastAsia"/>
                <w:color w:val="auto"/>
                <w:sz w:val="21"/>
                <w:szCs w:val="21"/>
                <w:highlight w:val="none"/>
                <w:lang w:eastAsia="zh-CN"/>
              </w:rPr>
              <w:t>的视为符合采购需求，</w:t>
            </w:r>
            <w:r>
              <w:rPr>
                <w:rFonts w:hint="eastAsia" w:cs="仿宋_GB2312" w:asciiTheme="minorEastAsia" w:hAnsiTheme="minorEastAsia" w:eastAsiaTheme="minorEastAsia"/>
                <w:color w:val="auto"/>
                <w:sz w:val="21"/>
                <w:szCs w:val="21"/>
                <w:highlight w:val="none"/>
                <w:lang w:val="en-US" w:eastAsia="zh-CN"/>
              </w:rPr>
              <w:t>符合得3分，</w:t>
            </w:r>
            <w:r>
              <w:rPr>
                <w:rFonts w:hint="eastAsia" w:cs="仿宋_GB2312" w:asciiTheme="minorEastAsia" w:hAnsiTheme="minorEastAsia" w:eastAsiaTheme="minorEastAsia"/>
                <w:color w:val="auto"/>
                <w:sz w:val="21"/>
                <w:szCs w:val="21"/>
                <w:highlight w:val="none"/>
                <w:lang w:eastAsia="zh-CN"/>
              </w:rPr>
              <w:t>部分符合得</w:t>
            </w:r>
            <w:r>
              <w:rPr>
                <w:rFonts w:hint="eastAsia" w:cs="仿宋_GB2312" w:asciiTheme="minorEastAsia" w:hAnsiTheme="minorEastAsia" w:eastAsiaTheme="minorEastAsia"/>
                <w:color w:val="auto"/>
                <w:sz w:val="21"/>
                <w:szCs w:val="21"/>
                <w:highlight w:val="none"/>
                <w:lang w:val="en-US" w:eastAsia="zh-CN"/>
              </w:rPr>
              <w:t>1分，其余不得分</w:t>
            </w:r>
            <w:r>
              <w:rPr>
                <w:rFonts w:hint="eastAsia" w:cs="仿宋_GB2312" w:asciiTheme="minorEastAsia" w:hAnsiTheme="minorEastAsia" w:eastAsiaTheme="minorEastAsia"/>
                <w:color w:val="auto"/>
                <w:sz w:val="21"/>
                <w:szCs w:val="21"/>
                <w:highlight w:val="none"/>
              </w:rPr>
              <w:t>；</w:t>
            </w:r>
            <w:r>
              <w:rPr>
                <w:rFonts w:hint="eastAsia" w:cs="仿宋_GB2312" w:asciiTheme="minorEastAsia" w:hAnsiTheme="minorEastAsia" w:eastAsiaTheme="minorEastAsia"/>
                <w:color w:val="auto"/>
                <w:sz w:val="21"/>
                <w:szCs w:val="21"/>
                <w:highlight w:val="none"/>
                <w:lang w:eastAsia="zh-CN"/>
              </w:rPr>
              <w:t>②</w:t>
            </w:r>
            <w:r>
              <w:rPr>
                <w:rFonts w:hint="eastAsia" w:cs="仿宋_GB2312" w:asciiTheme="minorEastAsia" w:hAnsiTheme="minorEastAsia" w:eastAsiaTheme="minorEastAsia"/>
                <w:color w:val="auto"/>
                <w:sz w:val="21"/>
                <w:szCs w:val="21"/>
                <w:highlight w:val="none"/>
              </w:rPr>
              <w:t>出现质量问题补救措施合理、可行</w:t>
            </w:r>
            <w:r>
              <w:rPr>
                <w:rFonts w:hint="eastAsia" w:cs="仿宋_GB2312" w:asciiTheme="minorEastAsia" w:hAnsiTheme="minorEastAsia" w:eastAsiaTheme="minorEastAsia"/>
                <w:color w:val="auto"/>
                <w:sz w:val="21"/>
                <w:szCs w:val="21"/>
                <w:highlight w:val="none"/>
                <w:lang w:eastAsia="zh-CN"/>
              </w:rPr>
              <w:t>的视为符合采购需求，</w:t>
            </w:r>
            <w:r>
              <w:rPr>
                <w:rFonts w:hint="eastAsia" w:cs="仿宋_GB2312" w:asciiTheme="minorEastAsia" w:hAnsiTheme="minorEastAsia" w:eastAsiaTheme="minorEastAsia"/>
                <w:color w:val="auto"/>
                <w:sz w:val="21"/>
                <w:szCs w:val="21"/>
                <w:highlight w:val="none"/>
                <w:lang w:val="en-US" w:eastAsia="zh-CN"/>
              </w:rPr>
              <w:t>符合得3分，</w:t>
            </w:r>
            <w:r>
              <w:rPr>
                <w:rFonts w:hint="eastAsia" w:cs="仿宋_GB2312" w:asciiTheme="minorEastAsia" w:hAnsiTheme="minorEastAsia" w:eastAsiaTheme="minorEastAsia"/>
                <w:color w:val="auto"/>
                <w:sz w:val="21"/>
                <w:szCs w:val="21"/>
                <w:highlight w:val="none"/>
                <w:lang w:eastAsia="zh-CN"/>
              </w:rPr>
              <w:t>部分符合得</w:t>
            </w:r>
            <w:r>
              <w:rPr>
                <w:rFonts w:hint="eastAsia" w:cs="仿宋_GB2312" w:asciiTheme="minorEastAsia" w:hAnsiTheme="minorEastAsia" w:eastAsiaTheme="minorEastAsia"/>
                <w:color w:val="auto"/>
                <w:sz w:val="21"/>
                <w:szCs w:val="21"/>
                <w:highlight w:val="none"/>
                <w:lang w:val="en-US" w:eastAsia="zh-CN"/>
              </w:rPr>
              <w:t>1分，其余不得分</w:t>
            </w:r>
            <w:r>
              <w:rPr>
                <w:rFonts w:hint="eastAsia" w:cs="仿宋_GB2312" w:asciiTheme="minorEastAsia" w:hAnsiTheme="minorEastAsia" w:eastAsiaTheme="minorEastAsia"/>
                <w:color w:val="auto"/>
                <w:sz w:val="21"/>
                <w:szCs w:val="21"/>
                <w:highlight w:val="none"/>
              </w:rPr>
              <w:t>；</w:t>
            </w:r>
            <w:r>
              <w:rPr>
                <w:rFonts w:hint="eastAsia" w:cs="仿宋_GB2312" w:asciiTheme="minorEastAsia" w:hAnsiTheme="minorEastAsia" w:eastAsiaTheme="minorEastAsia"/>
                <w:color w:val="auto"/>
                <w:sz w:val="21"/>
                <w:szCs w:val="21"/>
                <w:highlight w:val="none"/>
                <w:lang w:eastAsia="zh-CN"/>
              </w:rPr>
              <w:t>共</w:t>
            </w:r>
            <w:r>
              <w:rPr>
                <w:rFonts w:hint="eastAsia" w:cs="仿宋_GB2312" w:asciiTheme="minorEastAsia" w:hAnsiTheme="minorEastAsia" w:eastAsiaTheme="minorEastAsia"/>
                <w:color w:val="auto"/>
                <w:sz w:val="21"/>
                <w:szCs w:val="21"/>
                <w:highlight w:val="none"/>
                <w:lang w:val="en-US" w:eastAsia="zh-CN"/>
              </w:rPr>
              <w:t>6分。</w:t>
            </w:r>
          </w:p>
        </w:tc>
        <w:tc>
          <w:tcPr>
            <w:tcW w:w="675" w:type="dxa"/>
            <w:vAlign w:val="center"/>
          </w:tcPr>
          <w:p>
            <w:pPr>
              <w:snapToGrid w:val="0"/>
              <w:spacing w:line="36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6</w:t>
            </w:r>
          </w:p>
        </w:tc>
        <w:tc>
          <w:tcPr>
            <w:tcW w:w="915" w:type="dxa"/>
            <w:vAlign w:val="center"/>
          </w:tcPr>
          <w:p>
            <w:pPr>
              <w:snapToGrid w:val="0"/>
              <w:spacing w:line="360" w:lineRule="auto"/>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lang w:eastAsia="zh-CN"/>
              </w:rPr>
              <w:t>主观分</w:t>
            </w:r>
          </w:p>
        </w:tc>
        <w:tc>
          <w:tcPr>
            <w:tcW w:w="1142" w:type="dxa"/>
            <w:vAlign w:val="center"/>
          </w:tcPr>
          <w:p>
            <w:pPr>
              <w:snapToGrid w:val="0"/>
              <w:spacing w:line="360" w:lineRule="auto"/>
              <w:jc w:val="center"/>
              <w:rPr>
                <w:rFonts w:hint="eastAsia" w:eastAsia="宋体" w:cs="仿宋_GB2312" w:asciiTheme="minorEastAsia" w:hAnsiTheme="minorEastAsia"/>
                <w:color w:val="auto"/>
                <w:sz w:val="21"/>
                <w:szCs w:val="21"/>
                <w:highlight w:val="none"/>
                <w:lang w:eastAsia="zh-CN"/>
              </w:rPr>
            </w:pPr>
            <w:r>
              <w:rPr>
                <w:rFonts w:hint="eastAsia" w:ascii="宋体" w:hAnsi="宋体" w:eastAsia="宋体" w:cs="Times New Roman"/>
                <w:sz w:val="21"/>
                <w:szCs w:val="21"/>
                <w:highlight w:val="none"/>
              </w:rPr>
              <w:t>质量保障</w:t>
            </w:r>
            <w:r>
              <w:rPr>
                <w:rFonts w:hint="eastAsia" w:ascii="宋体" w:hAnsi="宋体" w:eastAsia="宋体" w:cs="Times New Roman"/>
                <w:sz w:val="21"/>
                <w:szCs w:val="21"/>
                <w:highlight w:val="none"/>
                <w:lang w:eastAsia="zh-CN"/>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3</w:t>
            </w:r>
          </w:p>
        </w:tc>
        <w:tc>
          <w:tcPr>
            <w:tcW w:w="4874" w:type="dxa"/>
            <w:vAlign w:val="center"/>
          </w:tcPr>
          <w:p>
            <w:pPr>
              <w:snapToGrid w:val="0"/>
              <w:spacing w:line="360" w:lineRule="auto"/>
              <w:jc w:val="both"/>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征订</w:t>
            </w:r>
            <w:r>
              <w:rPr>
                <w:rFonts w:hint="eastAsia" w:cs="仿宋_GB2312" w:asciiTheme="minorEastAsia" w:hAnsiTheme="minorEastAsia" w:eastAsiaTheme="minorEastAsia"/>
                <w:color w:val="auto"/>
                <w:sz w:val="21"/>
                <w:szCs w:val="21"/>
                <w:highlight w:val="none"/>
                <w:lang w:val="zh-CN" w:eastAsia="zh-CN"/>
              </w:rPr>
              <w:t>教材（</w:t>
            </w:r>
            <w:r>
              <w:rPr>
                <w:rFonts w:hint="eastAsia" w:cs="仿宋_GB2312" w:asciiTheme="minorEastAsia" w:hAnsiTheme="minorEastAsia" w:eastAsiaTheme="minorEastAsia"/>
                <w:color w:val="auto"/>
                <w:sz w:val="21"/>
                <w:szCs w:val="21"/>
                <w:highlight w:val="none"/>
                <w:lang w:val="en-US" w:eastAsia="zh-CN"/>
              </w:rPr>
              <w:t>包括增</w:t>
            </w:r>
            <w:r>
              <w:rPr>
                <w:rFonts w:hint="eastAsia" w:cs="仿宋_GB2312" w:asciiTheme="minorEastAsia" w:hAnsiTheme="minorEastAsia" w:eastAsiaTheme="minorEastAsia"/>
                <w:color w:val="auto"/>
                <w:sz w:val="21"/>
                <w:szCs w:val="21"/>
                <w:highlight w:val="none"/>
                <w:lang w:val="zh-CN" w:eastAsia="zh-CN"/>
              </w:rPr>
              <w:t>订、重印、重版），保证在开学前10天运</w:t>
            </w:r>
            <w:r>
              <w:rPr>
                <w:rFonts w:hint="eastAsia" w:cs="仿宋_GB2312" w:asciiTheme="minorEastAsia" w:hAnsiTheme="minorEastAsia" w:eastAsiaTheme="minorEastAsia"/>
                <w:color w:val="auto"/>
                <w:sz w:val="21"/>
                <w:szCs w:val="21"/>
                <w:highlight w:val="none"/>
                <w:lang w:val="en-US" w:eastAsia="zh-CN"/>
              </w:rPr>
              <w:t>送</w:t>
            </w:r>
            <w:r>
              <w:rPr>
                <w:rFonts w:hint="eastAsia" w:cs="仿宋_GB2312" w:asciiTheme="minorEastAsia" w:hAnsiTheme="minorEastAsia" w:eastAsiaTheme="minorEastAsia"/>
                <w:color w:val="auto"/>
                <w:sz w:val="21"/>
                <w:szCs w:val="21"/>
                <w:highlight w:val="none"/>
                <w:lang w:val="zh-CN" w:eastAsia="zh-CN"/>
              </w:rPr>
              <w:t>到</w:t>
            </w:r>
            <w:r>
              <w:rPr>
                <w:rFonts w:hint="eastAsia" w:cs="仿宋_GB2312" w:asciiTheme="minorEastAsia" w:hAnsiTheme="minorEastAsia" w:eastAsiaTheme="minorEastAsia"/>
                <w:color w:val="auto"/>
                <w:sz w:val="21"/>
                <w:szCs w:val="21"/>
                <w:highlight w:val="none"/>
                <w:lang w:val="en-US" w:eastAsia="zh-CN"/>
              </w:rPr>
              <w:t>学校</w:t>
            </w:r>
            <w:r>
              <w:rPr>
                <w:rFonts w:hint="eastAsia" w:cs="仿宋_GB2312" w:asciiTheme="minorEastAsia" w:hAnsiTheme="minorEastAsia" w:eastAsiaTheme="minorEastAsia"/>
                <w:color w:val="auto"/>
                <w:sz w:val="21"/>
                <w:szCs w:val="21"/>
                <w:highlight w:val="none"/>
                <w:lang w:val="zh-CN" w:eastAsia="zh-CN"/>
              </w:rPr>
              <w:t>指定地点，教材教辅书籍到货率 须达到100%。提供相应承诺，达不到的不得分，共</w:t>
            </w:r>
            <w:r>
              <w:rPr>
                <w:rFonts w:hint="eastAsia" w:cs="仿宋_GB2312" w:asciiTheme="minorEastAsia" w:hAnsiTheme="minorEastAsia" w:eastAsiaTheme="minorEastAsia"/>
                <w:color w:val="auto"/>
                <w:sz w:val="21"/>
                <w:szCs w:val="21"/>
                <w:highlight w:val="none"/>
                <w:lang w:val="en-US" w:eastAsia="zh-CN"/>
              </w:rPr>
              <w:t>6分。</w:t>
            </w:r>
          </w:p>
        </w:tc>
        <w:tc>
          <w:tcPr>
            <w:tcW w:w="675" w:type="dxa"/>
            <w:vAlign w:val="center"/>
          </w:tcPr>
          <w:p>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6</w:t>
            </w:r>
          </w:p>
        </w:tc>
        <w:tc>
          <w:tcPr>
            <w:tcW w:w="915" w:type="dxa"/>
            <w:vAlign w:val="center"/>
          </w:tcPr>
          <w:p>
            <w:pPr>
              <w:snapToGrid w:val="0"/>
              <w:spacing w:line="360" w:lineRule="auto"/>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lang w:eastAsia="zh-CN"/>
              </w:rPr>
              <w:t>客观分</w:t>
            </w:r>
          </w:p>
        </w:tc>
        <w:tc>
          <w:tcPr>
            <w:tcW w:w="1142" w:type="dxa"/>
            <w:vAlign w:val="center"/>
          </w:tcPr>
          <w:p>
            <w:pPr>
              <w:snapToGrid w:val="0"/>
              <w:spacing w:line="360" w:lineRule="auto"/>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到书率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4</w:t>
            </w:r>
          </w:p>
        </w:tc>
        <w:tc>
          <w:tcPr>
            <w:tcW w:w="4874" w:type="dxa"/>
            <w:vAlign w:val="center"/>
          </w:tcPr>
          <w:p>
            <w:pPr>
              <w:snapToGrid w:val="0"/>
              <w:spacing w:line="360" w:lineRule="auto"/>
              <w:jc w:val="both"/>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rPr>
              <w:t>投标人具有采购清单所需地方教材出版社（浙江科技、浙江教育、华师大、浙江工商大学、浙江人民、杭州出版社）的供货证明</w:t>
            </w:r>
            <w:r>
              <w:rPr>
                <w:rFonts w:hint="eastAsia" w:cs="仿宋_GB2312" w:asciiTheme="minorEastAsia" w:hAnsiTheme="minorEastAsia" w:eastAsiaTheme="minorEastAsia"/>
                <w:color w:val="auto"/>
                <w:sz w:val="21"/>
                <w:szCs w:val="21"/>
                <w:highlight w:val="none"/>
                <w:lang w:eastAsia="zh-CN"/>
              </w:rPr>
              <w:t>等材料</w:t>
            </w:r>
            <w:r>
              <w:rPr>
                <w:rFonts w:hint="eastAsia" w:cs="仿宋_GB2312" w:asciiTheme="minorEastAsia" w:hAnsiTheme="minorEastAsia" w:eastAsiaTheme="minorEastAsia"/>
                <w:color w:val="auto"/>
                <w:sz w:val="21"/>
                <w:szCs w:val="21"/>
                <w:highlight w:val="none"/>
              </w:rPr>
              <w:t>的，每</w:t>
            </w:r>
            <w:r>
              <w:rPr>
                <w:rFonts w:hint="eastAsia" w:cs="仿宋_GB2312" w:asciiTheme="minorEastAsia" w:hAnsiTheme="minorEastAsia" w:eastAsiaTheme="minorEastAsia"/>
                <w:color w:val="auto"/>
                <w:sz w:val="21"/>
                <w:szCs w:val="21"/>
                <w:highlight w:val="none"/>
                <w:lang w:val="en-US" w:eastAsia="zh-CN"/>
              </w:rPr>
              <w:t>提供</w:t>
            </w:r>
            <w:r>
              <w:rPr>
                <w:rFonts w:hint="eastAsia" w:cs="仿宋_GB2312" w:asciiTheme="minorEastAsia" w:hAnsiTheme="minorEastAsia" w:eastAsiaTheme="minorEastAsia"/>
                <w:color w:val="auto"/>
                <w:sz w:val="21"/>
                <w:szCs w:val="21"/>
                <w:highlight w:val="none"/>
              </w:rPr>
              <w:t>一家得1分，</w:t>
            </w:r>
            <w:r>
              <w:rPr>
                <w:rFonts w:hint="eastAsia" w:cs="仿宋_GB2312" w:asciiTheme="minorEastAsia" w:hAnsiTheme="minorEastAsia" w:eastAsiaTheme="minorEastAsia"/>
                <w:color w:val="auto"/>
                <w:sz w:val="21"/>
                <w:szCs w:val="21"/>
                <w:highlight w:val="none"/>
                <w:lang w:eastAsia="zh-CN"/>
              </w:rPr>
              <w:t>共</w:t>
            </w:r>
            <w:r>
              <w:rPr>
                <w:rFonts w:hint="eastAsia" w:cs="仿宋_GB2312" w:asciiTheme="minorEastAsia" w:hAnsiTheme="minorEastAsia" w:eastAsiaTheme="minorEastAsia"/>
                <w:color w:val="auto"/>
                <w:sz w:val="21"/>
                <w:szCs w:val="21"/>
                <w:highlight w:val="none"/>
              </w:rPr>
              <w:t>6分</w:t>
            </w:r>
            <w:r>
              <w:rPr>
                <w:rFonts w:hint="eastAsia" w:cs="仿宋_GB2312" w:asciiTheme="minorEastAsia" w:hAnsiTheme="minorEastAsia" w:eastAsiaTheme="minorEastAsia"/>
                <w:color w:val="auto"/>
                <w:sz w:val="21"/>
                <w:szCs w:val="21"/>
                <w:highlight w:val="none"/>
                <w:lang w:eastAsia="zh-CN"/>
              </w:rPr>
              <w:t>。</w:t>
            </w:r>
          </w:p>
        </w:tc>
        <w:tc>
          <w:tcPr>
            <w:tcW w:w="675" w:type="dxa"/>
            <w:vAlign w:val="center"/>
          </w:tcPr>
          <w:p>
            <w:pPr>
              <w:snapToGrid w:val="0"/>
              <w:spacing w:line="360" w:lineRule="auto"/>
              <w:jc w:val="center"/>
              <w:rPr>
                <w:rFonts w:hint="eastAsia"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color w:val="auto"/>
                <w:sz w:val="21"/>
                <w:szCs w:val="21"/>
                <w:highlight w:val="none"/>
                <w:lang w:val="en-US" w:eastAsia="zh-CN"/>
              </w:rPr>
              <w:t>6</w:t>
            </w:r>
          </w:p>
        </w:tc>
        <w:tc>
          <w:tcPr>
            <w:tcW w:w="915" w:type="dxa"/>
            <w:vAlign w:val="center"/>
          </w:tcPr>
          <w:p>
            <w:pPr>
              <w:snapToGrid w:val="0"/>
              <w:spacing w:line="360" w:lineRule="auto"/>
              <w:jc w:val="center"/>
              <w:rPr>
                <w:rFonts w:hint="eastAsia"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color w:val="auto"/>
                <w:sz w:val="21"/>
                <w:szCs w:val="21"/>
                <w:highlight w:val="none"/>
                <w:lang w:eastAsia="zh-CN"/>
              </w:rPr>
              <w:t>客观分</w:t>
            </w:r>
          </w:p>
        </w:tc>
        <w:tc>
          <w:tcPr>
            <w:tcW w:w="1142" w:type="dxa"/>
            <w:vAlign w:val="center"/>
          </w:tcPr>
          <w:p>
            <w:pPr>
              <w:snapToGrid w:val="0"/>
              <w:spacing w:line="360" w:lineRule="auto"/>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货源保障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trPr>
        <w:tc>
          <w:tcPr>
            <w:tcW w:w="889" w:type="dxa"/>
            <w:vAlign w:val="center"/>
          </w:tcPr>
          <w:p>
            <w:pPr>
              <w:snapToGrid w:val="0"/>
              <w:spacing w:line="36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5</w:t>
            </w:r>
          </w:p>
        </w:tc>
        <w:tc>
          <w:tcPr>
            <w:tcW w:w="4874" w:type="dxa"/>
            <w:vAlign w:val="center"/>
          </w:tcPr>
          <w:p>
            <w:pPr>
              <w:snapToGrid w:val="0"/>
              <w:spacing w:line="360" w:lineRule="auto"/>
              <w:jc w:val="both"/>
              <w:rPr>
                <w:rFonts w:hint="default" w:cs="仿宋_GB2312" w:asciiTheme="minorEastAsia" w:hAnsiTheme="minorEastAsia" w:eastAsiaTheme="minorEastAsia"/>
                <w:color w:val="auto"/>
                <w:sz w:val="21"/>
                <w:szCs w:val="21"/>
                <w:highlight w:val="none"/>
                <w:lang w:val="en-US"/>
              </w:rPr>
            </w:pPr>
            <w:r>
              <w:rPr>
                <w:rFonts w:hint="eastAsia" w:cs="仿宋_GB2312" w:asciiTheme="minorEastAsia" w:hAnsiTheme="minorEastAsia" w:eastAsiaTheme="minorEastAsia"/>
                <w:color w:val="auto"/>
                <w:sz w:val="21"/>
                <w:szCs w:val="21"/>
                <w:highlight w:val="none"/>
                <w:lang w:val="en-US" w:eastAsia="zh-CN"/>
              </w:rPr>
              <w:t>根据</w:t>
            </w:r>
            <w:r>
              <w:rPr>
                <w:rFonts w:hint="eastAsia" w:cs="仿宋_GB2312" w:asciiTheme="minorEastAsia" w:hAnsiTheme="minorEastAsia" w:eastAsiaTheme="minorEastAsia"/>
                <w:color w:val="auto"/>
                <w:sz w:val="21"/>
                <w:szCs w:val="21"/>
                <w:highlight w:val="none"/>
                <w:lang w:eastAsia="zh-CN"/>
              </w:rPr>
              <w:t>对已订书单的响应能力、反馈能力、服务态度，已订书单因实际情况变化，要求增加订购书目、减少订数或要求取消订购的反应能力进行</w:t>
            </w:r>
            <w:r>
              <w:rPr>
                <w:rFonts w:hint="eastAsia" w:cs="仿宋_GB2312" w:asciiTheme="minorEastAsia" w:hAnsiTheme="minorEastAsia" w:eastAsiaTheme="minorEastAsia"/>
                <w:color w:val="auto"/>
                <w:sz w:val="21"/>
                <w:szCs w:val="21"/>
                <w:highlight w:val="none"/>
                <w:lang w:val="en-US" w:eastAsia="zh-CN"/>
              </w:rPr>
              <w:t>评分，响应迅速、反馈及时、服务态度好的视为符合采购需求，符合得4分，</w:t>
            </w:r>
            <w:r>
              <w:rPr>
                <w:rFonts w:hint="eastAsia" w:cs="仿宋_GB2312" w:asciiTheme="minorEastAsia" w:hAnsiTheme="minorEastAsia" w:eastAsiaTheme="minorEastAsia"/>
                <w:color w:val="auto"/>
                <w:sz w:val="21"/>
                <w:szCs w:val="21"/>
                <w:highlight w:val="none"/>
                <w:lang w:eastAsia="zh-CN"/>
              </w:rPr>
              <w:t>部分符合得</w:t>
            </w:r>
            <w:r>
              <w:rPr>
                <w:rFonts w:hint="eastAsia" w:cs="仿宋_GB2312" w:asciiTheme="minorEastAsia" w:hAnsiTheme="minorEastAsia" w:eastAsiaTheme="minorEastAsia"/>
                <w:color w:val="auto"/>
                <w:sz w:val="21"/>
                <w:szCs w:val="21"/>
                <w:highlight w:val="none"/>
                <w:lang w:val="en-US" w:eastAsia="zh-CN"/>
              </w:rPr>
              <w:t>2分，其余不得分，共4分。</w:t>
            </w:r>
          </w:p>
        </w:tc>
        <w:tc>
          <w:tcPr>
            <w:tcW w:w="675" w:type="dxa"/>
            <w:vAlign w:val="center"/>
          </w:tcPr>
          <w:p>
            <w:pPr>
              <w:snapToGrid w:val="0"/>
              <w:spacing w:line="360" w:lineRule="auto"/>
              <w:jc w:val="center"/>
              <w:rPr>
                <w:rFonts w:hint="eastAsia"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color w:val="auto"/>
                <w:sz w:val="21"/>
                <w:szCs w:val="21"/>
                <w:highlight w:val="none"/>
                <w:lang w:val="en-US" w:eastAsia="zh-CN"/>
              </w:rPr>
              <w:t>4</w:t>
            </w:r>
          </w:p>
        </w:tc>
        <w:tc>
          <w:tcPr>
            <w:tcW w:w="915" w:type="dxa"/>
            <w:vAlign w:val="center"/>
          </w:tcPr>
          <w:p>
            <w:pPr>
              <w:snapToGrid w:val="0"/>
              <w:spacing w:line="360" w:lineRule="auto"/>
              <w:jc w:val="center"/>
              <w:rPr>
                <w:rFonts w:hint="eastAsia"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color w:val="auto"/>
                <w:sz w:val="21"/>
                <w:szCs w:val="21"/>
                <w:highlight w:val="none"/>
                <w:lang w:eastAsia="zh-CN"/>
              </w:rPr>
              <w:t>主观分</w:t>
            </w:r>
          </w:p>
        </w:tc>
        <w:tc>
          <w:tcPr>
            <w:tcW w:w="1142" w:type="dxa"/>
            <w:vMerge w:val="restart"/>
            <w:vAlign w:val="center"/>
          </w:tcPr>
          <w:p>
            <w:pPr>
              <w:snapToGrid w:val="0"/>
              <w:spacing w:line="360" w:lineRule="auto"/>
              <w:jc w:val="center"/>
              <w:rPr>
                <w:rFonts w:cs="仿宋_GB2312" w:asciiTheme="minorEastAsia" w:hAnsiTheme="minorEastAsia" w:eastAsiaTheme="minorEastAsia"/>
                <w:color w:val="auto"/>
                <w:sz w:val="21"/>
                <w:szCs w:val="21"/>
                <w:highlight w:val="none"/>
              </w:rPr>
            </w:pPr>
            <w:r>
              <w:rPr>
                <w:rFonts w:cs="仿宋_GB2312" w:asciiTheme="minorEastAsia" w:hAnsiTheme="minorEastAsia" w:eastAsiaTheme="minorEastAsia"/>
                <w:color w:val="auto"/>
                <w:sz w:val="21"/>
                <w:szCs w:val="21"/>
                <w:highlight w:val="none"/>
              </w:rPr>
              <w:t>对订单的反应能力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889" w:type="dxa"/>
            <w:vAlign w:val="center"/>
          </w:tcPr>
          <w:p>
            <w:pPr>
              <w:snapToGrid w:val="0"/>
              <w:spacing w:line="36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6</w:t>
            </w:r>
          </w:p>
        </w:tc>
        <w:tc>
          <w:tcPr>
            <w:tcW w:w="4874" w:type="dxa"/>
            <w:vAlign w:val="center"/>
          </w:tcPr>
          <w:p>
            <w:pPr>
              <w:snapToGrid w:val="0"/>
              <w:spacing w:line="360" w:lineRule="auto"/>
              <w:jc w:val="both"/>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对采购人已预订，但不能及时到货或取消出版的信息能否及时予以反馈，提供相应的解决方案。能及时予以反馈并有相应解决方案的视为符合采购需求，符合得4分，</w:t>
            </w:r>
            <w:r>
              <w:rPr>
                <w:rFonts w:hint="eastAsia" w:cs="仿宋_GB2312" w:asciiTheme="minorEastAsia" w:hAnsiTheme="minorEastAsia" w:eastAsiaTheme="minorEastAsia"/>
                <w:color w:val="auto"/>
                <w:sz w:val="21"/>
                <w:szCs w:val="21"/>
                <w:highlight w:val="none"/>
                <w:lang w:eastAsia="zh-CN"/>
              </w:rPr>
              <w:t>部分符合得</w:t>
            </w:r>
            <w:r>
              <w:rPr>
                <w:rFonts w:hint="eastAsia" w:cs="仿宋_GB2312" w:asciiTheme="minorEastAsia" w:hAnsiTheme="minorEastAsia" w:eastAsiaTheme="minorEastAsia"/>
                <w:color w:val="auto"/>
                <w:sz w:val="21"/>
                <w:szCs w:val="21"/>
                <w:highlight w:val="none"/>
                <w:lang w:val="en-US" w:eastAsia="zh-CN"/>
              </w:rPr>
              <w:t>2分，其余不得分，共4分。</w:t>
            </w:r>
          </w:p>
        </w:tc>
        <w:tc>
          <w:tcPr>
            <w:tcW w:w="675" w:type="dxa"/>
            <w:vAlign w:val="center"/>
          </w:tcPr>
          <w:p>
            <w:pPr>
              <w:snapToGrid w:val="0"/>
              <w:spacing w:line="360" w:lineRule="auto"/>
              <w:jc w:val="center"/>
              <w:rPr>
                <w:rFonts w:hint="eastAsia"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color w:val="auto"/>
                <w:sz w:val="21"/>
                <w:szCs w:val="21"/>
                <w:highlight w:val="none"/>
                <w:lang w:val="en-US" w:eastAsia="zh-CN"/>
              </w:rPr>
              <w:t>4</w:t>
            </w:r>
          </w:p>
        </w:tc>
        <w:tc>
          <w:tcPr>
            <w:tcW w:w="915" w:type="dxa"/>
            <w:vAlign w:val="center"/>
          </w:tcPr>
          <w:p>
            <w:pPr>
              <w:snapToGrid w:val="0"/>
              <w:spacing w:line="360" w:lineRule="auto"/>
              <w:jc w:val="center"/>
              <w:rPr>
                <w:rFonts w:hint="eastAsia"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color w:val="auto"/>
                <w:sz w:val="21"/>
                <w:szCs w:val="21"/>
                <w:highlight w:val="none"/>
                <w:lang w:eastAsia="zh-CN"/>
              </w:rPr>
              <w:t>主观分</w:t>
            </w:r>
          </w:p>
        </w:tc>
        <w:tc>
          <w:tcPr>
            <w:tcW w:w="1142" w:type="dxa"/>
            <w:vMerge w:val="continue"/>
            <w:vAlign w:val="center"/>
          </w:tcPr>
          <w:p>
            <w:pPr>
              <w:snapToGrid w:val="0"/>
              <w:spacing w:line="360" w:lineRule="auto"/>
              <w:jc w:val="center"/>
              <w:rPr>
                <w:rFonts w:cs="仿宋_GB2312"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1" w:hRule="atLeast"/>
        </w:trPr>
        <w:tc>
          <w:tcPr>
            <w:tcW w:w="889" w:type="dxa"/>
            <w:vAlign w:val="center"/>
          </w:tcPr>
          <w:p>
            <w:pPr>
              <w:snapToGrid w:val="0"/>
              <w:spacing w:line="36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7</w:t>
            </w:r>
          </w:p>
        </w:tc>
        <w:tc>
          <w:tcPr>
            <w:tcW w:w="4874" w:type="dxa"/>
            <w:vAlign w:val="center"/>
          </w:tcPr>
          <w:p>
            <w:pPr>
              <w:snapToGrid w:val="0"/>
              <w:spacing w:line="360" w:lineRule="auto"/>
              <w:jc w:val="both"/>
              <w:rPr>
                <w:rFonts w:hint="default"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color w:val="auto"/>
                <w:kern w:val="2"/>
                <w:sz w:val="21"/>
                <w:szCs w:val="21"/>
                <w:highlight w:val="none"/>
                <w:lang w:val="en-US" w:eastAsia="zh-CN" w:bidi="ar-SA"/>
              </w:rPr>
              <w:t>提供退书处理方案。对有质量问题（使用过程中发现错页、缺页、漏页、倒装、污损、错误等）、与预订不符等原因退书的处理方案进行打分，处理态度好、处理快速且配有有效的处理措施的视为符合采购需求，符合得4分，部分符合得2分，其余不得分，共4分。</w:t>
            </w:r>
          </w:p>
        </w:tc>
        <w:tc>
          <w:tcPr>
            <w:tcW w:w="675" w:type="dxa"/>
            <w:vAlign w:val="center"/>
          </w:tcPr>
          <w:p>
            <w:pPr>
              <w:snapToGrid w:val="0"/>
              <w:spacing w:line="36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4</w:t>
            </w:r>
          </w:p>
        </w:tc>
        <w:tc>
          <w:tcPr>
            <w:tcW w:w="915" w:type="dxa"/>
            <w:vAlign w:val="center"/>
          </w:tcPr>
          <w:p>
            <w:pPr>
              <w:snapToGrid w:val="0"/>
              <w:spacing w:line="360" w:lineRule="auto"/>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lang w:eastAsia="zh-CN"/>
              </w:rPr>
              <w:t>主观分</w:t>
            </w:r>
          </w:p>
        </w:tc>
        <w:tc>
          <w:tcPr>
            <w:tcW w:w="1142" w:type="dxa"/>
            <w:vAlign w:val="center"/>
          </w:tcPr>
          <w:p>
            <w:pPr>
              <w:snapToGrid w:val="0"/>
              <w:spacing w:line="360" w:lineRule="auto"/>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lang w:eastAsia="zh-CN"/>
              </w:rPr>
              <w:t>退书处理方案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vMerge w:val="restart"/>
            <w:vAlign w:val="center"/>
          </w:tcPr>
          <w:p>
            <w:pPr>
              <w:snapToGrid w:val="0"/>
              <w:spacing w:line="36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8</w:t>
            </w:r>
          </w:p>
        </w:tc>
        <w:tc>
          <w:tcPr>
            <w:tcW w:w="4874" w:type="dxa"/>
            <w:vAlign w:val="center"/>
          </w:tcPr>
          <w:p>
            <w:pPr>
              <w:snapToGrid w:val="0"/>
              <w:spacing w:line="360" w:lineRule="auto"/>
              <w:jc w:val="both"/>
              <w:rPr>
                <w:rFonts w:hint="eastAsia"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color w:val="auto"/>
                <w:kern w:val="2"/>
                <w:sz w:val="21"/>
                <w:szCs w:val="21"/>
                <w:highlight w:val="none"/>
                <w:lang w:val="en-US" w:eastAsia="zh-CN" w:bidi="ar-SA"/>
              </w:rPr>
              <w:t>项目实施方案中①成员组成结构合理高效；②拟担任本项目小组项目成员分工明确，以上每满足一项得2分，不满足不得分，共4分。</w:t>
            </w:r>
          </w:p>
        </w:tc>
        <w:tc>
          <w:tcPr>
            <w:tcW w:w="675" w:type="dxa"/>
            <w:vAlign w:val="center"/>
          </w:tcPr>
          <w:p>
            <w:pPr>
              <w:snapToGrid w:val="0"/>
              <w:spacing w:line="360" w:lineRule="auto"/>
              <w:jc w:val="center"/>
              <w:rPr>
                <w:rFonts w:hint="eastAsia"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color w:val="auto"/>
                <w:sz w:val="21"/>
                <w:szCs w:val="21"/>
                <w:highlight w:val="none"/>
                <w:lang w:val="en-US" w:eastAsia="zh-CN"/>
              </w:rPr>
              <w:t>4</w:t>
            </w:r>
          </w:p>
        </w:tc>
        <w:tc>
          <w:tcPr>
            <w:tcW w:w="915" w:type="dxa"/>
            <w:vAlign w:val="center"/>
          </w:tcPr>
          <w:p>
            <w:pPr>
              <w:snapToGrid w:val="0"/>
              <w:spacing w:line="360" w:lineRule="auto"/>
              <w:jc w:val="center"/>
              <w:rPr>
                <w:rFonts w:hint="eastAsia"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color w:val="auto"/>
                <w:sz w:val="21"/>
                <w:szCs w:val="21"/>
                <w:highlight w:val="none"/>
                <w:lang w:eastAsia="zh-CN"/>
              </w:rPr>
              <w:t>主观分</w:t>
            </w:r>
          </w:p>
        </w:tc>
        <w:tc>
          <w:tcPr>
            <w:tcW w:w="1142" w:type="dxa"/>
            <w:vMerge w:val="restart"/>
            <w:vAlign w:val="center"/>
          </w:tcPr>
          <w:p>
            <w:pPr>
              <w:snapToGrid w:val="0"/>
              <w:spacing w:line="360" w:lineRule="auto"/>
              <w:jc w:val="center"/>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lang w:val="en-US" w:eastAsia="zh-CN"/>
              </w:rPr>
              <w:t>项目团队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889" w:type="dxa"/>
            <w:vMerge w:val="continue"/>
            <w:vAlign w:val="center"/>
          </w:tcPr>
          <w:p>
            <w:pPr>
              <w:snapToGrid w:val="0"/>
              <w:spacing w:line="360" w:lineRule="auto"/>
              <w:jc w:val="center"/>
              <w:rPr>
                <w:rFonts w:hint="eastAsia" w:cs="仿宋_GB2312" w:asciiTheme="minorEastAsia" w:hAnsiTheme="minorEastAsia" w:eastAsiaTheme="minorEastAsia"/>
                <w:color w:val="auto"/>
                <w:sz w:val="21"/>
                <w:szCs w:val="21"/>
                <w:highlight w:val="none"/>
              </w:rPr>
            </w:pPr>
          </w:p>
        </w:tc>
        <w:tc>
          <w:tcPr>
            <w:tcW w:w="4874" w:type="dxa"/>
            <w:vAlign w:val="center"/>
          </w:tcPr>
          <w:p>
            <w:pPr>
              <w:snapToGrid w:val="0"/>
              <w:spacing w:line="360" w:lineRule="auto"/>
              <w:jc w:val="both"/>
              <w:rPr>
                <w:rFonts w:hint="default"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color w:val="auto"/>
                <w:kern w:val="2"/>
                <w:sz w:val="21"/>
                <w:szCs w:val="21"/>
                <w:highlight w:val="none"/>
                <w:lang w:val="en-US" w:eastAsia="zh-CN" w:bidi="ar-SA"/>
              </w:rPr>
              <w:t>拟派项目经理，具有大专及以上学历的得2分；拥有3年及以上的项目经理或负责人任职经验的得2分，以上需提供社保证明、学历证书、经验证明。</w:t>
            </w:r>
          </w:p>
        </w:tc>
        <w:tc>
          <w:tcPr>
            <w:tcW w:w="675" w:type="dxa"/>
            <w:vAlign w:val="center"/>
          </w:tcPr>
          <w:p>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4</w:t>
            </w:r>
          </w:p>
        </w:tc>
        <w:tc>
          <w:tcPr>
            <w:tcW w:w="915" w:type="dxa"/>
            <w:vAlign w:val="center"/>
          </w:tcPr>
          <w:p>
            <w:pPr>
              <w:snapToGrid w:val="0"/>
              <w:spacing w:line="360" w:lineRule="auto"/>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lang w:eastAsia="zh-CN"/>
              </w:rPr>
              <w:t>客观分</w:t>
            </w:r>
          </w:p>
        </w:tc>
        <w:tc>
          <w:tcPr>
            <w:tcW w:w="1142" w:type="dxa"/>
            <w:vMerge w:val="continue"/>
            <w:vAlign w:val="center"/>
          </w:tcPr>
          <w:p>
            <w:pPr>
              <w:snapToGrid w:val="0"/>
              <w:spacing w:line="360" w:lineRule="auto"/>
              <w:jc w:val="center"/>
              <w:rPr>
                <w:rFonts w:hint="eastAsia" w:cs="仿宋_GB2312" w:asciiTheme="minorEastAsia" w:hAnsiTheme="minorEastAsia" w:eastAsia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889" w:type="dxa"/>
            <w:vMerge w:val="continue"/>
            <w:vAlign w:val="center"/>
          </w:tcPr>
          <w:p>
            <w:pPr>
              <w:snapToGrid w:val="0"/>
              <w:spacing w:line="360" w:lineRule="auto"/>
              <w:jc w:val="center"/>
              <w:rPr>
                <w:rFonts w:hint="eastAsia" w:cs="仿宋_GB2312" w:asciiTheme="minorEastAsia" w:hAnsiTheme="minorEastAsia" w:eastAsiaTheme="minorEastAsia"/>
                <w:color w:val="auto"/>
                <w:sz w:val="21"/>
                <w:szCs w:val="21"/>
                <w:highlight w:val="none"/>
              </w:rPr>
            </w:pPr>
          </w:p>
        </w:tc>
        <w:tc>
          <w:tcPr>
            <w:tcW w:w="4874" w:type="dxa"/>
            <w:vAlign w:val="center"/>
          </w:tcPr>
          <w:p>
            <w:pPr>
              <w:snapToGrid w:val="0"/>
              <w:spacing w:line="360" w:lineRule="auto"/>
              <w:jc w:val="both"/>
              <w:rPr>
                <w:rFonts w:hint="default"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color w:val="auto"/>
                <w:kern w:val="2"/>
                <w:sz w:val="21"/>
                <w:szCs w:val="21"/>
                <w:highlight w:val="none"/>
                <w:lang w:val="en-US" w:eastAsia="zh-CN" w:bidi="ar-SA"/>
              </w:rPr>
              <w:t>拟派项目组成员具有图书（出版物）相关证书的，每提供一人得1分，一人具有多项证书不重复加分，共3分，以上需提供社保证明、相关证书。</w:t>
            </w:r>
          </w:p>
        </w:tc>
        <w:tc>
          <w:tcPr>
            <w:tcW w:w="675" w:type="dxa"/>
            <w:vAlign w:val="center"/>
          </w:tcPr>
          <w:p>
            <w:pPr>
              <w:snapToGrid w:val="0"/>
              <w:spacing w:line="360" w:lineRule="auto"/>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3</w:t>
            </w:r>
          </w:p>
        </w:tc>
        <w:tc>
          <w:tcPr>
            <w:tcW w:w="915" w:type="dxa"/>
            <w:vAlign w:val="center"/>
          </w:tcPr>
          <w:p>
            <w:pPr>
              <w:snapToGrid w:val="0"/>
              <w:spacing w:line="360" w:lineRule="auto"/>
              <w:jc w:val="center"/>
              <w:rPr>
                <w:rFonts w:hint="eastAsia"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color w:val="auto"/>
                <w:sz w:val="21"/>
                <w:szCs w:val="21"/>
                <w:highlight w:val="none"/>
                <w:lang w:eastAsia="zh-CN"/>
              </w:rPr>
              <w:t>客观分</w:t>
            </w:r>
          </w:p>
        </w:tc>
        <w:tc>
          <w:tcPr>
            <w:tcW w:w="1142" w:type="dxa"/>
            <w:vMerge w:val="continue"/>
            <w:vAlign w:val="center"/>
          </w:tcPr>
          <w:p>
            <w:pPr>
              <w:snapToGrid w:val="0"/>
              <w:spacing w:line="360" w:lineRule="auto"/>
              <w:jc w:val="center"/>
              <w:rPr>
                <w:rFonts w:hint="eastAsia" w:cs="仿宋_GB2312" w:asciiTheme="minorEastAsia" w:hAnsiTheme="minorEastAsia" w:eastAsia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vAlign w:val="center"/>
          </w:tcPr>
          <w:p>
            <w:pPr>
              <w:snapToGrid w:val="0"/>
              <w:spacing w:line="360" w:lineRule="auto"/>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lang w:val="en-US" w:eastAsia="zh-CN"/>
              </w:rPr>
              <w:t>9</w:t>
            </w:r>
          </w:p>
        </w:tc>
        <w:tc>
          <w:tcPr>
            <w:tcW w:w="4874" w:type="dxa"/>
            <w:vAlign w:val="center"/>
          </w:tcPr>
          <w:p>
            <w:pPr>
              <w:snapToGrid w:val="0"/>
              <w:spacing w:line="360" w:lineRule="auto"/>
              <w:jc w:val="both"/>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根据投标人的仓储、运输保障情况</w:t>
            </w:r>
            <w:r>
              <w:rPr>
                <w:rFonts w:hint="eastAsia" w:cs="仿宋_GB2312" w:asciiTheme="minorEastAsia" w:hAnsiTheme="minorEastAsia" w:eastAsiaTheme="minorEastAsia"/>
                <w:color w:val="auto"/>
                <w:sz w:val="21"/>
                <w:szCs w:val="21"/>
                <w:highlight w:val="none"/>
                <w:lang w:val="en-US" w:eastAsia="zh-CN"/>
              </w:rPr>
              <w:t>打分，①投标人自有或租赁教材仓储场地的得4分，自有场地的需提供房产证复印件，租赁场地的需提供租赁合同复印件，未提供不得分；②投标人服务本项目需有固定教辅材料和地方教材运输车辆及固定运输人员配备。提供车辆行驶证（投标人名下的）或车辆租赁合同（同时提供出租方名下车辆行驶证）的得2分；提供运输人员准驾驾驶证的得2分。以上未提供的不得分，共8</w:t>
            </w:r>
            <w:bookmarkStart w:id="559" w:name="_GoBack"/>
            <w:bookmarkEnd w:id="559"/>
            <w:r>
              <w:rPr>
                <w:rFonts w:hint="eastAsia" w:cs="仿宋_GB2312" w:asciiTheme="minorEastAsia" w:hAnsiTheme="minorEastAsia" w:eastAsiaTheme="minorEastAsia"/>
                <w:color w:val="auto"/>
                <w:sz w:val="21"/>
                <w:szCs w:val="21"/>
                <w:highlight w:val="none"/>
                <w:lang w:val="en-US" w:eastAsia="zh-CN"/>
              </w:rPr>
              <w:t>分。</w:t>
            </w:r>
          </w:p>
        </w:tc>
        <w:tc>
          <w:tcPr>
            <w:tcW w:w="675" w:type="dxa"/>
            <w:vAlign w:val="center"/>
          </w:tcPr>
          <w:p>
            <w:pPr>
              <w:snapToGrid w:val="0"/>
              <w:spacing w:line="360" w:lineRule="auto"/>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8</w:t>
            </w:r>
          </w:p>
        </w:tc>
        <w:tc>
          <w:tcPr>
            <w:tcW w:w="915" w:type="dxa"/>
            <w:vAlign w:val="center"/>
          </w:tcPr>
          <w:p>
            <w:pPr>
              <w:snapToGrid w:val="0"/>
              <w:spacing w:line="360" w:lineRule="auto"/>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lang w:eastAsia="zh-CN"/>
              </w:rPr>
              <w:t>客观分</w:t>
            </w:r>
          </w:p>
        </w:tc>
        <w:tc>
          <w:tcPr>
            <w:tcW w:w="1142" w:type="dxa"/>
            <w:vAlign w:val="center"/>
          </w:tcPr>
          <w:p>
            <w:pPr>
              <w:snapToGrid w:val="0"/>
              <w:spacing w:line="360" w:lineRule="auto"/>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仓储、运输保障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89" w:type="dxa"/>
            <w:vAlign w:val="center"/>
          </w:tcPr>
          <w:p>
            <w:pPr>
              <w:snapToGrid w:val="0"/>
              <w:spacing w:line="360" w:lineRule="auto"/>
              <w:jc w:val="center"/>
              <w:rPr>
                <w:rFonts w:hint="default"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10</w:t>
            </w:r>
          </w:p>
        </w:tc>
        <w:tc>
          <w:tcPr>
            <w:tcW w:w="4874" w:type="dxa"/>
            <w:vAlign w:val="center"/>
          </w:tcPr>
          <w:p>
            <w:pPr>
              <w:snapToGrid w:val="0"/>
              <w:spacing w:line="360" w:lineRule="auto"/>
              <w:jc w:val="both"/>
              <w:rPr>
                <w:rFonts w:hint="eastAsia" w:cs="仿宋_GB2312" w:asciiTheme="minorEastAsia" w:hAnsiTheme="minorEastAsia" w:eastAsiaTheme="minorEastAsia"/>
                <w:color w:val="auto"/>
                <w:sz w:val="21"/>
                <w:szCs w:val="21"/>
                <w:lang w:eastAsia="zh-CN"/>
              </w:rPr>
            </w:pPr>
            <w:r>
              <w:rPr>
                <w:rFonts w:hint="eastAsia" w:cs="仿宋_GB2312" w:asciiTheme="minorEastAsia" w:hAnsiTheme="minorEastAsia" w:eastAsiaTheme="minorEastAsia"/>
                <w:color w:val="auto"/>
                <w:sz w:val="21"/>
                <w:szCs w:val="21"/>
                <w:lang w:eastAsia="zh-CN"/>
              </w:rPr>
              <w:t>投标人提供</w:t>
            </w:r>
            <w:r>
              <w:rPr>
                <w:rFonts w:hint="eastAsia" w:cs="仿宋_GB2312" w:asciiTheme="minorEastAsia" w:hAnsiTheme="minorEastAsia" w:eastAsiaTheme="minorEastAsia"/>
                <w:color w:val="auto"/>
                <w:sz w:val="21"/>
                <w:szCs w:val="21"/>
              </w:rPr>
              <w:t>本项目</w:t>
            </w:r>
            <w:r>
              <w:rPr>
                <w:rFonts w:hint="eastAsia" w:cs="仿宋_GB2312" w:asciiTheme="minorEastAsia" w:hAnsiTheme="minorEastAsia" w:eastAsiaTheme="minorEastAsia"/>
                <w:color w:val="auto"/>
                <w:sz w:val="21"/>
                <w:szCs w:val="21"/>
                <w:lang w:eastAsia="zh-CN"/>
              </w:rPr>
              <w:t>包装、</w:t>
            </w:r>
            <w:r>
              <w:rPr>
                <w:rFonts w:hint="eastAsia" w:cs="仿宋_GB2312" w:asciiTheme="minorEastAsia" w:hAnsiTheme="minorEastAsia" w:eastAsiaTheme="minorEastAsia"/>
                <w:color w:val="auto"/>
                <w:sz w:val="21"/>
                <w:szCs w:val="21"/>
              </w:rPr>
              <w:t>配送方案</w:t>
            </w:r>
            <w:r>
              <w:rPr>
                <w:rFonts w:hint="eastAsia" w:cs="仿宋_GB2312" w:asciiTheme="minorEastAsia" w:hAnsiTheme="minorEastAsia" w:eastAsiaTheme="minorEastAsia"/>
                <w:color w:val="auto"/>
                <w:sz w:val="21"/>
                <w:szCs w:val="21"/>
                <w:lang w:eastAsia="zh-CN"/>
              </w:rPr>
              <w:t>，包装、配送方案科学、高效、完善且能满足采购需求的得</w:t>
            </w:r>
            <w:r>
              <w:rPr>
                <w:rFonts w:hint="eastAsia" w:cs="仿宋_GB2312" w:asciiTheme="minorEastAsia" w:hAnsiTheme="minorEastAsia" w:eastAsiaTheme="minorEastAsia"/>
                <w:color w:val="auto"/>
                <w:sz w:val="21"/>
                <w:szCs w:val="21"/>
                <w:lang w:val="en-US" w:eastAsia="zh-CN"/>
              </w:rPr>
              <w:t>4分，配送方案合理部分满足采购需求的得2分，其余不得分</w:t>
            </w:r>
            <w:r>
              <w:rPr>
                <w:rFonts w:hint="eastAsia" w:cs="仿宋_GB2312" w:asciiTheme="minorEastAsia" w:hAnsiTheme="minorEastAsia" w:eastAsiaTheme="minorEastAsia"/>
                <w:color w:val="auto"/>
                <w:sz w:val="21"/>
                <w:szCs w:val="21"/>
                <w:lang w:eastAsia="zh-CN"/>
              </w:rPr>
              <w:t>。</w:t>
            </w:r>
          </w:p>
        </w:tc>
        <w:tc>
          <w:tcPr>
            <w:tcW w:w="675" w:type="dxa"/>
            <w:vAlign w:val="center"/>
          </w:tcPr>
          <w:p>
            <w:pPr>
              <w:snapToGrid w:val="0"/>
              <w:spacing w:line="360" w:lineRule="auto"/>
              <w:jc w:val="center"/>
              <w:rPr>
                <w:rFonts w:hint="default"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4</w:t>
            </w:r>
          </w:p>
        </w:tc>
        <w:tc>
          <w:tcPr>
            <w:tcW w:w="915" w:type="dxa"/>
            <w:vAlign w:val="center"/>
          </w:tcPr>
          <w:p>
            <w:pPr>
              <w:snapToGrid w:val="0"/>
              <w:spacing w:line="360" w:lineRule="auto"/>
              <w:jc w:val="center"/>
              <w:rPr>
                <w:rFonts w:hint="eastAsia" w:cs="仿宋_GB2312" w:asciiTheme="minorEastAsia" w:hAnsiTheme="minorEastAsia" w:eastAsiaTheme="minorEastAsia"/>
                <w:color w:val="auto"/>
                <w:sz w:val="21"/>
                <w:szCs w:val="21"/>
                <w:lang w:eastAsia="zh-CN"/>
              </w:rPr>
            </w:pPr>
            <w:r>
              <w:rPr>
                <w:rFonts w:hint="eastAsia" w:cs="仿宋_GB2312" w:asciiTheme="minorEastAsia" w:hAnsiTheme="minorEastAsia" w:eastAsiaTheme="minorEastAsia"/>
                <w:color w:val="auto"/>
                <w:sz w:val="21"/>
                <w:szCs w:val="21"/>
                <w:lang w:eastAsia="zh-CN"/>
              </w:rPr>
              <w:t>主观分</w:t>
            </w:r>
          </w:p>
        </w:tc>
        <w:tc>
          <w:tcPr>
            <w:tcW w:w="1142" w:type="dxa"/>
            <w:vAlign w:val="center"/>
          </w:tcPr>
          <w:p>
            <w:pPr>
              <w:snapToGrid w:val="0"/>
              <w:spacing w:line="360" w:lineRule="auto"/>
              <w:jc w:val="center"/>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配送方案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889" w:type="dxa"/>
            <w:vAlign w:val="center"/>
          </w:tcPr>
          <w:p>
            <w:pPr>
              <w:snapToGrid w:val="0"/>
              <w:spacing w:line="360" w:lineRule="auto"/>
              <w:jc w:val="center"/>
              <w:rPr>
                <w:rFonts w:hint="default"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11</w:t>
            </w:r>
          </w:p>
        </w:tc>
        <w:tc>
          <w:tcPr>
            <w:tcW w:w="4874" w:type="dxa"/>
            <w:vAlign w:val="center"/>
          </w:tcPr>
          <w:p>
            <w:pPr>
              <w:snapToGrid w:val="0"/>
              <w:spacing w:line="360" w:lineRule="auto"/>
              <w:jc w:val="both"/>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eastAsia="zh-CN"/>
              </w:rPr>
              <w:t>①投标人</w:t>
            </w:r>
            <w:r>
              <w:rPr>
                <w:rFonts w:hint="eastAsia" w:cs="仿宋_GB2312" w:asciiTheme="minorEastAsia" w:hAnsiTheme="minorEastAsia" w:eastAsiaTheme="minorEastAsia"/>
                <w:color w:val="auto"/>
                <w:sz w:val="21"/>
                <w:szCs w:val="21"/>
              </w:rPr>
              <w:t>承诺完全满足采购人“菜单式”采购服务，完全无条件供货的得</w:t>
            </w:r>
            <w:r>
              <w:rPr>
                <w:rFonts w:hint="eastAsia" w:cs="仿宋_GB2312" w:asciiTheme="minorEastAsia" w:hAnsiTheme="minorEastAsia" w:eastAsiaTheme="minorEastAsia"/>
                <w:color w:val="auto"/>
                <w:sz w:val="21"/>
                <w:szCs w:val="21"/>
                <w:lang w:val="en-US" w:eastAsia="zh-CN"/>
              </w:rPr>
              <w:t>2</w:t>
            </w:r>
            <w:r>
              <w:rPr>
                <w:rFonts w:hint="eastAsia" w:cs="仿宋_GB2312" w:asciiTheme="minorEastAsia" w:hAnsiTheme="minorEastAsia" w:eastAsiaTheme="minorEastAsia"/>
                <w:color w:val="auto"/>
                <w:sz w:val="21"/>
                <w:szCs w:val="21"/>
              </w:rPr>
              <w:t>分，</w:t>
            </w:r>
            <w:r>
              <w:rPr>
                <w:rFonts w:hint="eastAsia" w:cs="仿宋_GB2312" w:asciiTheme="minorEastAsia" w:hAnsiTheme="minorEastAsia" w:eastAsiaTheme="minorEastAsia"/>
                <w:color w:val="auto"/>
                <w:sz w:val="21"/>
                <w:szCs w:val="21"/>
                <w:lang w:eastAsia="zh-CN"/>
              </w:rPr>
              <w:t>否则不得分</w:t>
            </w:r>
            <w:r>
              <w:rPr>
                <w:rFonts w:hint="eastAsia" w:cs="仿宋_GB2312" w:asciiTheme="minorEastAsia" w:hAnsiTheme="minorEastAsia" w:eastAsiaTheme="minorEastAsia"/>
                <w:color w:val="auto"/>
                <w:sz w:val="21"/>
                <w:szCs w:val="21"/>
              </w:rPr>
              <w:t>。</w:t>
            </w:r>
          </w:p>
          <w:p>
            <w:pPr>
              <w:snapToGrid w:val="0"/>
              <w:spacing w:line="360" w:lineRule="auto"/>
              <w:jc w:val="both"/>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eastAsia="zh-CN"/>
              </w:rPr>
              <w:t>②投标人承诺</w:t>
            </w:r>
            <w:r>
              <w:rPr>
                <w:rFonts w:hint="eastAsia" w:cs="仿宋_GB2312" w:asciiTheme="minorEastAsia" w:hAnsiTheme="minorEastAsia" w:eastAsiaTheme="minorEastAsia"/>
                <w:color w:val="auto"/>
                <w:sz w:val="21"/>
                <w:szCs w:val="21"/>
              </w:rPr>
              <w:t>能配合采购人学校在临安区范围内常年进行读者自主采购等一些读者活动的，得</w:t>
            </w:r>
            <w:r>
              <w:rPr>
                <w:rFonts w:hint="eastAsia" w:cs="仿宋_GB2312" w:asciiTheme="minorEastAsia" w:hAnsiTheme="minorEastAsia" w:eastAsiaTheme="minorEastAsia"/>
                <w:color w:val="auto"/>
                <w:sz w:val="21"/>
                <w:szCs w:val="21"/>
                <w:lang w:val="en-US" w:eastAsia="zh-CN"/>
              </w:rPr>
              <w:t>2</w:t>
            </w:r>
            <w:r>
              <w:rPr>
                <w:rFonts w:hint="eastAsia" w:cs="仿宋_GB2312" w:asciiTheme="minorEastAsia" w:hAnsiTheme="minorEastAsia" w:eastAsiaTheme="minorEastAsia"/>
                <w:color w:val="auto"/>
                <w:sz w:val="21"/>
                <w:szCs w:val="21"/>
              </w:rPr>
              <w:t>分，</w:t>
            </w:r>
            <w:r>
              <w:rPr>
                <w:rFonts w:hint="eastAsia" w:cs="仿宋_GB2312" w:asciiTheme="minorEastAsia" w:hAnsiTheme="minorEastAsia" w:eastAsiaTheme="minorEastAsia"/>
                <w:color w:val="auto"/>
                <w:sz w:val="21"/>
                <w:szCs w:val="21"/>
                <w:lang w:eastAsia="zh-CN"/>
              </w:rPr>
              <w:t>否则不得分</w:t>
            </w:r>
            <w:r>
              <w:rPr>
                <w:rFonts w:hint="eastAsia" w:cs="仿宋_GB2312" w:asciiTheme="minorEastAsia" w:hAnsiTheme="minorEastAsia" w:eastAsiaTheme="minorEastAsia"/>
                <w:color w:val="auto"/>
                <w:sz w:val="21"/>
                <w:szCs w:val="21"/>
              </w:rPr>
              <w:t>。</w:t>
            </w:r>
          </w:p>
        </w:tc>
        <w:tc>
          <w:tcPr>
            <w:tcW w:w="675" w:type="dxa"/>
            <w:vAlign w:val="center"/>
          </w:tcPr>
          <w:p>
            <w:pPr>
              <w:snapToGrid w:val="0"/>
              <w:spacing w:line="360" w:lineRule="auto"/>
              <w:jc w:val="center"/>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4</w:t>
            </w:r>
          </w:p>
        </w:tc>
        <w:tc>
          <w:tcPr>
            <w:tcW w:w="915" w:type="dxa"/>
            <w:vAlign w:val="center"/>
          </w:tcPr>
          <w:p>
            <w:pPr>
              <w:snapToGrid w:val="0"/>
              <w:spacing w:line="360" w:lineRule="auto"/>
              <w:jc w:val="center"/>
              <w:rPr>
                <w:rFonts w:hint="eastAsia" w:cs="仿宋_GB2312" w:asciiTheme="minorEastAsia" w:hAnsiTheme="minorEastAsia" w:eastAsiaTheme="minorEastAsia"/>
                <w:color w:val="auto"/>
                <w:sz w:val="21"/>
                <w:szCs w:val="21"/>
                <w:lang w:eastAsia="zh-CN"/>
              </w:rPr>
            </w:pPr>
            <w:r>
              <w:rPr>
                <w:rFonts w:hint="eastAsia" w:cs="仿宋_GB2312" w:asciiTheme="minorEastAsia" w:hAnsiTheme="minorEastAsia" w:eastAsiaTheme="minorEastAsia"/>
                <w:color w:val="auto"/>
                <w:sz w:val="21"/>
                <w:szCs w:val="21"/>
                <w:lang w:eastAsia="zh-CN"/>
              </w:rPr>
              <w:t>客观分</w:t>
            </w:r>
          </w:p>
        </w:tc>
        <w:tc>
          <w:tcPr>
            <w:tcW w:w="1142" w:type="dxa"/>
            <w:vAlign w:val="center"/>
          </w:tcPr>
          <w:p>
            <w:pPr>
              <w:snapToGrid w:val="0"/>
              <w:spacing w:line="360" w:lineRule="auto"/>
              <w:jc w:val="center"/>
              <w:rPr>
                <w:rFonts w:hint="eastAsia" w:cs="仿宋_GB2312" w:asciiTheme="minorEastAsia" w:hAnsiTheme="minorEastAsia" w:eastAsiaTheme="minorEastAsia"/>
                <w:color w:val="auto"/>
                <w:sz w:val="21"/>
                <w:szCs w:val="21"/>
                <w:lang w:eastAsia="zh-CN"/>
              </w:rPr>
            </w:pPr>
            <w:r>
              <w:rPr>
                <w:rFonts w:hint="eastAsia" w:cs="仿宋_GB2312" w:asciiTheme="minorEastAsia" w:hAnsiTheme="minorEastAsia" w:eastAsiaTheme="minorEastAsia"/>
                <w:color w:val="auto"/>
                <w:sz w:val="21"/>
                <w:szCs w:val="21"/>
                <w:lang w:eastAsia="zh-CN"/>
              </w:rPr>
              <w:t>其他承诺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12</w:t>
            </w:r>
          </w:p>
        </w:tc>
        <w:tc>
          <w:tcPr>
            <w:tcW w:w="4874" w:type="dxa"/>
            <w:vAlign w:val="center"/>
          </w:tcPr>
          <w:p>
            <w:pPr>
              <w:snapToGrid w:val="0"/>
              <w:spacing w:line="360" w:lineRule="auto"/>
              <w:jc w:val="both"/>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eastAsia="zh-CN"/>
              </w:rPr>
              <w:t>投标人</w:t>
            </w:r>
            <w:r>
              <w:rPr>
                <w:rFonts w:hint="eastAsia" w:cs="仿宋_GB2312" w:asciiTheme="minorEastAsia" w:hAnsiTheme="minorEastAsia" w:eastAsiaTheme="minorEastAsia"/>
                <w:color w:val="auto"/>
                <w:sz w:val="21"/>
                <w:szCs w:val="21"/>
              </w:rPr>
              <w:t>通过对项目的了解，根据现状提出</w:t>
            </w:r>
            <w:r>
              <w:rPr>
                <w:rFonts w:hint="eastAsia" w:cs="仿宋_GB2312" w:asciiTheme="minorEastAsia" w:hAnsiTheme="minorEastAsia" w:eastAsiaTheme="minorEastAsia"/>
                <w:color w:val="auto"/>
                <w:sz w:val="21"/>
                <w:szCs w:val="21"/>
                <w:lang w:eastAsia="zh-CN"/>
              </w:rPr>
              <w:t>各项优惠承诺或特色服务</w:t>
            </w:r>
            <w:r>
              <w:rPr>
                <w:rFonts w:hint="eastAsia" w:cs="仿宋_GB2312"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lang w:eastAsia="zh-CN"/>
              </w:rPr>
              <w:t>优惠程度高或特色服务可操作性强的视为符合，符合的每项得</w:t>
            </w:r>
            <w:r>
              <w:rPr>
                <w:rFonts w:hint="eastAsia" w:cs="仿宋_GB2312" w:asciiTheme="minorEastAsia" w:hAnsiTheme="minorEastAsia" w:eastAsiaTheme="minorEastAsia"/>
                <w:color w:val="auto"/>
                <w:sz w:val="21"/>
                <w:szCs w:val="21"/>
                <w:lang w:val="en-US" w:eastAsia="zh-CN"/>
              </w:rPr>
              <w:t>2分，共4分。</w:t>
            </w:r>
          </w:p>
        </w:tc>
        <w:tc>
          <w:tcPr>
            <w:tcW w:w="675" w:type="dxa"/>
            <w:vAlign w:val="center"/>
          </w:tcPr>
          <w:p>
            <w:pPr>
              <w:snapToGrid w:val="0"/>
              <w:spacing w:line="360" w:lineRule="auto"/>
              <w:jc w:val="center"/>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4</w:t>
            </w:r>
          </w:p>
        </w:tc>
        <w:tc>
          <w:tcPr>
            <w:tcW w:w="915" w:type="dxa"/>
            <w:vAlign w:val="center"/>
          </w:tcPr>
          <w:p>
            <w:pPr>
              <w:snapToGrid w:val="0"/>
              <w:spacing w:line="360" w:lineRule="auto"/>
              <w:jc w:val="center"/>
              <w:rPr>
                <w:rFonts w:hint="eastAsia" w:cs="仿宋_GB2312" w:asciiTheme="minorEastAsia" w:hAnsiTheme="minorEastAsia" w:eastAsiaTheme="minorEastAsia"/>
                <w:color w:val="auto"/>
                <w:sz w:val="21"/>
                <w:szCs w:val="21"/>
                <w:lang w:eastAsia="zh-CN"/>
              </w:rPr>
            </w:pPr>
            <w:r>
              <w:rPr>
                <w:rFonts w:hint="eastAsia" w:cs="仿宋_GB2312" w:asciiTheme="minorEastAsia" w:hAnsiTheme="minorEastAsia" w:eastAsiaTheme="minorEastAsia"/>
                <w:color w:val="auto"/>
                <w:sz w:val="21"/>
                <w:szCs w:val="21"/>
                <w:lang w:eastAsia="zh-CN"/>
              </w:rPr>
              <w:t>主观分</w:t>
            </w:r>
          </w:p>
        </w:tc>
        <w:tc>
          <w:tcPr>
            <w:tcW w:w="1142" w:type="dxa"/>
            <w:vAlign w:val="center"/>
          </w:tcPr>
          <w:p>
            <w:pPr>
              <w:snapToGrid w:val="0"/>
              <w:spacing w:line="360" w:lineRule="auto"/>
              <w:jc w:val="center"/>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特色服务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13</w:t>
            </w:r>
          </w:p>
        </w:tc>
        <w:tc>
          <w:tcPr>
            <w:tcW w:w="4874" w:type="dxa"/>
            <w:vAlign w:val="center"/>
          </w:tcPr>
          <w:p>
            <w:pPr>
              <w:spacing w:line="360" w:lineRule="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napToGrid w:val="0"/>
                <w:sz w:val="21"/>
                <w:szCs w:val="21"/>
                <w:highlight w:val="none"/>
                <w:lang w:val="en-US" w:eastAsia="zh-CN"/>
              </w:rPr>
              <w:t>投标人成功案例及业绩：投标人承担教材教辅项目成功案例情况，须同时提供合同扫描件及中标（成交）通知书，每个案例得1分，</w:t>
            </w:r>
            <w:r>
              <w:rPr>
                <w:rFonts w:hint="eastAsia" w:asciiTheme="minorEastAsia" w:hAnsiTheme="minorEastAsia" w:eastAsiaTheme="minorEastAsia" w:cstheme="minorEastAsia"/>
                <w:kern w:val="2"/>
                <w:sz w:val="21"/>
                <w:szCs w:val="21"/>
                <w:highlight w:val="none"/>
                <w:lang w:val="en-US" w:eastAsia="zh-CN" w:bidi="ar-SA"/>
              </w:rPr>
              <w:t>共3分。</w:t>
            </w:r>
          </w:p>
        </w:tc>
        <w:tc>
          <w:tcPr>
            <w:tcW w:w="675" w:type="dxa"/>
            <w:vAlign w:val="center"/>
          </w:tcPr>
          <w:p>
            <w:pPr>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napToGrid w:val="0"/>
                <w:sz w:val="21"/>
                <w:szCs w:val="21"/>
                <w:highlight w:val="none"/>
                <w:lang w:val="en-US" w:eastAsia="zh-CN"/>
              </w:rPr>
              <w:t>3</w:t>
            </w:r>
          </w:p>
        </w:tc>
        <w:tc>
          <w:tcPr>
            <w:tcW w:w="915" w:type="dxa"/>
            <w:vAlign w:val="center"/>
          </w:tcPr>
          <w:p>
            <w:pPr>
              <w:jc w:val="center"/>
              <w:rPr>
                <w:rFonts w:hint="eastAsia" w:asciiTheme="minorEastAsia" w:hAnsiTheme="minorEastAsia" w:eastAsiaTheme="minorEastAsia" w:cstheme="minorEastAsia"/>
                <w:snapToGrid w:val="0"/>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客观分</w:t>
            </w:r>
          </w:p>
        </w:tc>
        <w:tc>
          <w:tcPr>
            <w:tcW w:w="1142" w:type="dxa"/>
            <w:vAlign w:val="center"/>
          </w:tcPr>
          <w:p>
            <w:pPr>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eastAsia="zh-CN"/>
              </w:rPr>
              <w:t>同类业绩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14</w:t>
            </w:r>
          </w:p>
        </w:tc>
        <w:tc>
          <w:tcPr>
            <w:tcW w:w="4874" w:type="dxa"/>
          </w:tcPr>
          <w:p>
            <w:pPr>
              <w:spacing w:line="360" w:lineRule="auto"/>
              <w:rPr>
                <w:rFonts w:hint="eastAsia" w:asciiTheme="minorEastAsia" w:hAnsiTheme="minorEastAsia" w:eastAsiaTheme="minorEastAsia" w:cstheme="minorEastAsia"/>
                <w:snapToGrid w:val="0"/>
                <w:sz w:val="21"/>
                <w:szCs w:val="21"/>
                <w:highlight w:val="none"/>
                <w:lang w:val="en-US" w:eastAsia="zh-CN"/>
              </w:rPr>
            </w:pPr>
            <w:r>
              <w:rPr>
                <w:rFonts w:hint="eastAsia" w:cs="仿宋_GB2312" w:asciiTheme="minorEastAsia" w:hAnsiTheme="minorEastAsia" w:eastAsiaTheme="minorEastAsia"/>
                <w:color w:val="auto"/>
                <w:sz w:val="21"/>
                <w:szCs w:val="21"/>
              </w:rPr>
              <w:t>有效</w:t>
            </w:r>
            <w:r>
              <w:rPr>
                <w:rFonts w:hint="eastAsia" w:asciiTheme="minorEastAsia" w:hAnsiTheme="minorEastAsia" w:eastAsiaTheme="minorEastAsia" w:cstheme="minorEastAsia"/>
                <w:snapToGrid w:val="0"/>
                <w:sz w:val="21"/>
                <w:szCs w:val="21"/>
                <w:highlight w:val="none"/>
                <w:lang w:val="en-US" w:eastAsia="zh-CN"/>
              </w:rPr>
              <w:t>投标报价的最低价作为评标基准价，其最低报价为满分；按［投标报价得分=（评标基准价/投标报价）*30］的计算公式计算。</w:t>
            </w:r>
          </w:p>
          <w:p>
            <w:pPr>
              <w:spacing w:line="360" w:lineRule="auto"/>
              <w:rPr>
                <w:rFonts w:hint="eastAsia" w:asciiTheme="minorEastAsia" w:hAnsiTheme="minorEastAsia" w:eastAsiaTheme="minorEastAsia" w:cstheme="minorEastAsia"/>
                <w:snapToGrid w:val="0"/>
                <w:sz w:val="21"/>
                <w:szCs w:val="21"/>
                <w:highlight w:val="none"/>
                <w:lang w:val="en-US" w:eastAsia="zh-CN"/>
              </w:rPr>
            </w:pPr>
            <w:r>
              <w:rPr>
                <w:rFonts w:hint="eastAsia" w:asciiTheme="minorEastAsia" w:hAnsiTheme="minorEastAsia" w:eastAsiaTheme="minorEastAsia" w:cstheme="minorEastAsia"/>
                <w:snapToGrid w:val="0"/>
                <w:sz w:val="21"/>
                <w:szCs w:val="21"/>
                <w:highlight w:val="none"/>
                <w:lang w:val="en-US" w:eastAsia="zh-CN"/>
              </w:rPr>
              <w:t>评标过程中，不得去掉报价中的最高报价和最低报价。</w:t>
            </w:r>
          </w:p>
          <w:p>
            <w:pPr>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stheme="minorEastAsia"/>
                <w:snapToGrid w:val="0"/>
                <w:sz w:val="21"/>
                <w:szCs w:val="21"/>
                <w:highlight w:val="none"/>
                <w:lang w:val="en-US" w:eastAsia="zh-CN"/>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675" w:type="dxa"/>
            <w:vAlign w:val="center"/>
          </w:tcPr>
          <w:p>
            <w:pPr>
              <w:spacing w:line="360" w:lineRule="auto"/>
              <w:jc w:val="center"/>
              <w:outlineLvl w:val="0"/>
              <w:rPr>
                <w:rFonts w:hint="default"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30</w:t>
            </w:r>
          </w:p>
        </w:tc>
        <w:tc>
          <w:tcPr>
            <w:tcW w:w="915" w:type="dxa"/>
            <w:vAlign w:val="center"/>
          </w:tcPr>
          <w:p>
            <w:pPr>
              <w:spacing w:line="360" w:lineRule="auto"/>
              <w:jc w:val="center"/>
              <w:outlineLvl w:val="0"/>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w:t>
            </w:r>
          </w:p>
        </w:tc>
        <w:tc>
          <w:tcPr>
            <w:tcW w:w="1142" w:type="dxa"/>
            <w:vAlign w:val="center"/>
          </w:tcPr>
          <w:p>
            <w:pPr>
              <w:spacing w:line="360" w:lineRule="auto"/>
              <w:jc w:val="center"/>
              <w:outlineLvl w:val="0"/>
              <w:rPr>
                <w:rFonts w:cs="仿宋_GB2312" w:asciiTheme="minorEastAsia" w:hAnsiTheme="minorEastAsia" w:eastAsiaTheme="minorEastAsia"/>
                <w:color w:val="auto"/>
                <w:sz w:val="21"/>
                <w:szCs w:val="21"/>
              </w:rPr>
            </w:pPr>
            <w:r>
              <w:rPr>
                <w:rFonts w:cs="仿宋_GB2312" w:asciiTheme="minorEastAsia" w:hAnsiTheme="minorEastAsia" w:eastAsiaTheme="minorEastAsia"/>
                <w:color w:val="auto"/>
                <w:sz w:val="21"/>
                <w:szCs w:val="21"/>
              </w:rPr>
              <w:t>/</w:t>
            </w:r>
          </w:p>
        </w:tc>
      </w:tr>
    </w:tbl>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rPr>
        <w:t>4.2.12</w:t>
      </w:r>
      <w:r>
        <w:rPr>
          <w:rFonts w:hint="eastAsia" w:ascii="宋体" w:hAnsi="宋体" w:cs="宋体"/>
          <w:kern w:val="0"/>
          <w:sz w:val="24"/>
          <w:highlight w:val="none"/>
        </w:rPr>
        <w:t>投标人仅提交备份投标文件，未在电子交易平台传输递交投标文件的，投标无效；</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4.2.13投标人未提供样品或提供的样品不满足采购需求实质性条件的，投标无效；</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 投标文件不满足招标文件的其它实质性要求的；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4.2.15法律、法规、规章（适用本市的）及省级以上规范性文件（适用本市的）规定的其他无效情形。</w:t>
      </w:r>
    </w:p>
    <w:p>
      <w:pPr>
        <w:pStyle w:val="6"/>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pPr>
        <w:pStyle w:val="6"/>
        <w:snapToGrid w:val="0"/>
        <w:spacing w:line="360" w:lineRule="auto"/>
        <w:rPr>
          <w:rFonts w:cs="宋体"/>
          <w:highlight w:val="none"/>
        </w:rPr>
      </w:pPr>
      <w:r>
        <w:rPr>
          <w:rFonts w:hint="eastAsia" w:cs="宋体"/>
          <w:highlight w:val="none"/>
        </w:rPr>
        <w:t>5.1符合专业条件的供应商或者对招标文件作实质响应的供应商不足3家的；</w:t>
      </w:r>
    </w:p>
    <w:p>
      <w:pPr>
        <w:pStyle w:val="6"/>
        <w:snapToGrid w:val="0"/>
        <w:spacing w:line="360" w:lineRule="auto"/>
        <w:rPr>
          <w:rFonts w:cs="宋体"/>
          <w:highlight w:val="none"/>
        </w:rPr>
      </w:pPr>
      <w:r>
        <w:rPr>
          <w:rFonts w:hint="eastAsia" w:cs="宋体"/>
          <w:highlight w:val="none"/>
        </w:rPr>
        <w:t>5.2出现影响采购公正的违法、违规行为的；</w:t>
      </w:r>
    </w:p>
    <w:p>
      <w:pPr>
        <w:pStyle w:val="6"/>
        <w:snapToGrid w:val="0"/>
        <w:spacing w:line="360" w:lineRule="auto"/>
        <w:rPr>
          <w:rFonts w:cs="宋体"/>
          <w:highlight w:val="none"/>
        </w:rPr>
      </w:pPr>
      <w:r>
        <w:rPr>
          <w:rFonts w:hint="eastAsia" w:cs="宋体"/>
          <w:highlight w:val="none"/>
        </w:rPr>
        <w:t>5.3投标人的报价均超过了采购预算，采购人不能支付的；</w:t>
      </w:r>
    </w:p>
    <w:p>
      <w:pPr>
        <w:pStyle w:val="6"/>
        <w:snapToGrid w:val="0"/>
        <w:spacing w:line="360" w:lineRule="auto"/>
        <w:rPr>
          <w:rFonts w:cs="宋体"/>
          <w:highlight w:val="none"/>
        </w:rPr>
      </w:pPr>
      <w:r>
        <w:rPr>
          <w:rFonts w:hint="eastAsia" w:cs="宋体"/>
          <w:highlight w:val="none"/>
        </w:rPr>
        <w:t>5.4因重大变故，采购任务取消的。</w:t>
      </w:r>
    </w:p>
    <w:p>
      <w:pPr>
        <w:pStyle w:val="6"/>
        <w:snapToGrid w:val="0"/>
        <w:spacing w:line="360" w:lineRule="auto"/>
        <w:rPr>
          <w:rFonts w:cs="宋体"/>
          <w:highlight w:val="none"/>
        </w:rPr>
      </w:pPr>
      <w:r>
        <w:rPr>
          <w:rFonts w:hint="eastAsia" w:cs="宋体"/>
          <w:highlight w:val="none"/>
        </w:rPr>
        <w:t>废标后，</w:t>
      </w:r>
      <w:r>
        <w:rPr>
          <w:rFonts w:hint="eastAsia" w:cs="宋体"/>
          <w:highlight w:val="none"/>
          <w:lang w:eastAsia="zh-CN"/>
        </w:rPr>
        <w:t>采购代理机构</w:t>
      </w:r>
      <w:r>
        <w:rPr>
          <w:rFonts w:hint="eastAsia" w:cs="宋体"/>
          <w:highlight w:val="none"/>
        </w:rPr>
        <w:t>应当将废标理由通知所有投标人。</w:t>
      </w:r>
    </w:p>
    <w:p>
      <w:pPr>
        <w:pStyle w:val="6"/>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w:t>
      </w:r>
      <w:r>
        <w:rPr>
          <w:rFonts w:hint="eastAsia" w:cs="宋体"/>
          <w:highlight w:val="none"/>
          <w:lang w:eastAsia="zh-CN"/>
        </w:rPr>
        <w:t>采购代理机构</w:t>
      </w:r>
      <w:r>
        <w:rPr>
          <w:rFonts w:hint="eastAsia" w:cs="宋体"/>
          <w:highlight w:val="none"/>
        </w:rPr>
        <w:t>沟通并作书面记录。采购人、</w:t>
      </w:r>
      <w:r>
        <w:rPr>
          <w:rFonts w:hint="eastAsia" w:cs="宋体"/>
          <w:highlight w:val="none"/>
          <w:lang w:eastAsia="zh-CN"/>
        </w:rPr>
        <w:t>采购代理机构</w:t>
      </w:r>
      <w:r>
        <w:rPr>
          <w:rFonts w:hint="eastAsia" w:cs="宋体"/>
          <w:highlight w:val="none"/>
        </w:rPr>
        <w:t>确认后，将修改招标文件，重新组织采购活动。</w:t>
      </w:r>
    </w:p>
    <w:p>
      <w:pPr>
        <w:pStyle w:val="6"/>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pPr>
        <w:pStyle w:val="6"/>
        <w:snapToGrid w:val="0"/>
        <w:spacing w:line="360" w:lineRule="auto"/>
        <w:rPr>
          <w:rFonts w:cs="宋体"/>
          <w:highlight w:val="none"/>
        </w:rPr>
      </w:pPr>
      <w:r>
        <w:rPr>
          <w:rFonts w:hint="eastAsia" w:cs="宋体"/>
          <w:highlight w:val="none"/>
        </w:rPr>
        <w:t>7.1未确定中标供应商的，终止本次政府采购活动，重新开展政府采购活动。</w:t>
      </w:r>
    </w:p>
    <w:p>
      <w:pPr>
        <w:pStyle w:val="6"/>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pPr>
        <w:pStyle w:val="6"/>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pPr>
        <w:pStyle w:val="6"/>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pPr>
        <w:pStyle w:val="6"/>
        <w:snapToGrid w:val="0"/>
        <w:spacing w:line="360" w:lineRule="auto"/>
        <w:rPr>
          <w:rFonts w:ascii="宋体" w:hAnsi="宋体" w:cs="宋体"/>
          <w:b/>
          <w:sz w:val="36"/>
          <w:szCs w:val="36"/>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1"/>
      <w:bookmarkStart w:id="397" w:name="第五部分"/>
      <w:bookmarkStart w:id="398" w:name="_Toc86217003"/>
    </w:p>
    <w:p>
      <w:pPr>
        <w:spacing w:line="360" w:lineRule="auto"/>
        <w:ind w:left="720" w:leftChars="343" w:firstLine="1084" w:firstLineChars="300"/>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pPr>
        <w:rPr>
          <w:rFonts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pPr>
        <w:spacing w:line="480" w:lineRule="auto"/>
        <w:jc w:val="center"/>
        <w:rPr>
          <w:rFonts w:ascii="宋体" w:hAnsi="宋体" w:cs="宋体"/>
          <w:b/>
          <w:sz w:val="28"/>
          <w:szCs w:val="28"/>
          <w:highlight w:val="none"/>
        </w:rPr>
      </w:pPr>
    </w:p>
    <w:p>
      <w:pPr>
        <w:spacing w:line="480" w:lineRule="auto"/>
        <w:jc w:val="center"/>
        <w:rPr>
          <w:rFonts w:ascii="宋体" w:hAnsi="宋体" w:cs="宋体"/>
          <w:b/>
          <w:sz w:val="24"/>
          <w:highlight w:val="none"/>
        </w:rPr>
      </w:pPr>
    </w:p>
    <w:p>
      <w:pPr>
        <w:spacing w:line="480" w:lineRule="auto"/>
        <w:jc w:val="center"/>
        <w:rPr>
          <w:rFonts w:ascii="宋体" w:hAnsi="宋体" w:cs="宋体"/>
          <w:b/>
          <w:sz w:val="24"/>
          <w:highlight w:val="none"/>
        </w:rPr>
      </w:pPr>
    </w:p>
    <w:p>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pPr>
        <w:spacing w:line="480" w:lineRule="auto"/>
        <w:jc w:val="center"/>
        <w:rPr>
          <w:rFonts w:ascii="宋体" w:hAnsi="宋体" w:cs="宋体"/>
          <w:b/>
          <w:sz w:val="36"/>
          <w:szCs w:val="36"/>
          <w:highlight w:val="none"/>
        </w:rPr>
      </w:pPr>
      <w:r>
        <w:rPr>
          <w:rFonts w:hint="eastAsia" w:ascii="宋体" w:hAnsi="宋体" w:cs="宋体"/>
          <w:b/>
          <w:sz w:val="36"/>
          <w:szCs w:val="36"/>
          <w:highlight w:val="none"/>
        </w:rPr>
        <w:t>（货物类）</w:t>
      </w:r>
    </w:p>
    <w:p>
      <w:pPr>
        <w:pStyle w:val="699"/>
        <w:rPr>
          <w:rFonts w:ascii="宋体" w:hAnsi="宋体" w:cs="宋体"/>
          <w:szCs w:val="24"/>
          <w:highlight w:val="none"/>
        </w:rPr>
      </w:pPr>
    </w:p>
    <w:p>
      <w:pPr>
        <w:pStyle w:val="699"/>
        <w:rPr>
          <w:rFonts w:ascii="宋体" w:hAnsi="宋体" w:cs="宋体"/>
          <w:szCs w:val="24"/>
          <w:highlight w:val="none"/>
        </w:rPr>
      </w:pPr>
    </w:p>
    <w:p>
      <w:pPr>
        <w:pStyle w:val="699"/>
        <w:jc w:val="center"/>
        <w:rPr>
          <w:rFonts w:ascii="宋体" w:hAnsi="宋体" w:cs="宋体"/>
          <w:szCs w:val="24"/>
          <w:highlight w:val="none"/>
        </w:rPr>
      </w:pPr>
    </w:p>
    <w:p>
      <w:pPr>
        <w:pStyle w:val="699"/>
        <w:ind w:firstLine="2843" w:firstLineChars="1180"/>
        <w:rPr>
          <w:rFonts w:ascii="宋体" w:hAnsi="宋体" w:cs="宋体"/>
          <w:b/>
          <w:szCs w:val="24"/>
          <w:highlight w:val="none"/>
        </w:rPr>
      </w:pPr>
      <w:r>
        <w:rPr>
          <w:rFonts w:hint="eastAsia" w:ascii="宋体" w:hAnsi="宋体" w:cs="宋体"/>
          <w:b/>
          <w:szCs w:val="24"/>
          <w:highlight w:val="none"/>
        </w:rPr>
        <w:t>第一部分 合同书</w:t>
      </w:r>
    </w:p>
    <w:p>
      <w:pPr>
        <w:pStyle w:val="699"/>
        <w:rPr>
          <w:rFonts w:ascii="宋体" w:hAnsi="宋体" w:cs="宋体"/>
          <w:szCs w:val="24"/>
          <w:highlight w:val="none"/>
        </w:rPr>
      </w:pPr>
    </w:p>
    <w:p>
      <w:pPr>
        <w:pStyle w:val="699"/>
        <w:rPr>
          <w:rFonts w:ascii="宋体" w:hAnsi="宋体" w:cs="宋体"/>
          <w:szCs w:val="24"/>
          <w:highlight w:val="none"/>
        </w:rPr>
      </w:pPr>
    </w:p>
    <w:p>
      <w:pPr>
        <w:spacing w:before="120" w:line="22" w:lineRule="atLeast"/>
        <w:rPr>
          <w:rFonts w:ascii="宋体" w:hAnsi="宋体" w:cs="宋体"/>
          <w:sz w:val="24"/>
          <w:highlight w:val="none"/>
        </w:rPr>
      </w:pPr>
    </w:p>
    <w:p>
      <w:pPr>
        <w:spacing w:before="120" w:line="22" w:lineRule="atLeast"/>
        <w:ind w:left="960"/>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pPr>
        <w:pStyle w:val="596"/>
        <w:spacing w:before="120" w:line="22" w:lineRule="atLeast"/>
        <w:rPr>
          <w:rFonts w:ascii="宋体" w:hAnsi="宋体" w:eastAsia="宋体" w:cs="宋体"/>
          <w:szCs w:val="24"/>
          <w:highlight w:val="none"/>
        </w:rPr>
      </w:pPr>
    </w:p>
    <w:p>
      <w:pPr>
        <w:pStyle w:val="596"/>
        <w:spacing w:before="120" w:line="22" w:lineRule="atLeast"/>
        <w:rPr>
          <w:rFonts w:ascii="宋体" w:hAnsi="宋体" w:eastAsia="宋体" w:cs="宋体"/>
          <w:szCs w:val="24"/>
          <w:highlight w:val="none"/>
        </w:rPr>
      </w:pPr>
    </w:p>
    <w:p>
      <w:pPr>
        <w:rPr>
          <w:rFonts w:ascii="宋体" w:hAnsi="宋体" w:cs="宋体"/>
          <w:sz w:val="24"/>
          <w:highlight w:val="none"/>
        </w:rPr>
      </w:pPr>
    </w:p>
    <w:p>
      <w:pPr>
        <w:spacing w:before="120" w:line="22" w:lineRule="atLeast"/>
        <w:ind w:left="96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pPr>
        <w:spacing w:before="120" w:line="22" w:lineRule="atLeast"/>
        <w:rPr>
          <w:rFonts w:ascii="宋体" w:hAnsi="宋体" w:cs="宋体"/>
          <w:sz w:val="24"/>
          <w:highlight w:val="none"/>
        </w:rPr>
      </w:pPr>
    </w:p>
    <w:p>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pPr>
        <w:spacing w:before="120" w:line="22" w:lineRule="atLeast"/>
        <w:rPr>
          <w:rFonts w:ascii="宋体" w:hAnsi="宋体" w:cs="宋体"/>
          <w:sz w:val="24"/>
          <w:highlight w:val="none"/>
        </w:rPr>
      </w:pPr>
    </w:p>
    <w:p>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pPr>
        <w:spacing w:before="120" w:line="22" w:lineRule="atLeast"/>
        <w:rPr>
          <w:rFonts w:ascii="宋体" w:hAnsi="宋体" w:cs="宋体"/>
          <w:sz w:val="24"/>
          <w:highlight w:val="none"/>
        </w:rPr>
      </w:pPr>
    </w:p>
    <w:p>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widowControl/>
        <w:jc w:val="left"/>
        <w:rPr>
          <w:rFonts w:ascii="宋体" w:hAnsi="宋体" w:cs="宋体"/>
          <w:kern w:val="0"/>
          <w:sz w:val="24"/>
          <w:highlight w:val="none"/>
        </w:rPr>
        <w:sectPr>
          <w:pgSz w:w="11907" w:h="16840"/>
          <w:pgMar w:top="1474" w:right="1814" w:bottom="1474" w:left="1814" w:header="851" w:footer="851" w:gutter="0"/>
          <w:cols w:space="720" w:num="1"/>
        </w:sectPr>
      </w:pPr>
    </w:p>
    <w:p>
      <w:pPr>
        <w:spacing w:line="560" w:lineRule="exact"/>
        <w:ind w:firstLine="480" w:firstLineChars="200"/>
        <w:rPr>
          <w:rFonts w:ascii="宋体" w:hAnsi="宋体" w:cs="宋体"/>
          <w:sz w:val="24"/>
          <w:highlight w:val="none"/>
        </w:rPr>
      </w:pPr>
      <w:r>
        <w:rPr>
          <w:rFonts w:hint="eastAsia" w:ascii="宋体" w:hAnsi="宋体" w:cs="宋体"/>
          <w:sz w:val="24"/>
          <w:highlight w:val="none"/>
          <w:u w:val="single"/>
          <w:lang w:val="zh-CN"/>
        </w:rPr>
        <w:t xml:space="preserve">        </w:t>
      </w:r>
      <w:r>
        <w:rPr>
          <w:rFonts w:hint="eastAsia" w:ascii="宋体" w:hAnsi="宋体" w:cs="宋体"/>
          <w:sz w:val="24"/>
          <w:highlight w:val="none"/>
          <w:lang w:val="zh-CN"/>
        </w:rPr>
        <w:t>年</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月</w:t>
      </w:r>
      <w:r>
        <w:rPr>
          <w:rFonts w:hint="eastAsia" w:ascii="宋体" w:hAnsi="宋体" w:cs="宋体"/>
          <w:sz w:val="24"/>
          <w:highlight w:val="none"/>
          <w:u w:val="single"/>
          <w:lang w:val="zh-CN"/>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w:t>
      </w:r>
      <w:r>
        <w:rPr>
          <w:rFonts w:hint="eastAsia" w:ascii="宋体" w:hAnsi="宋体" w:cs="宋体"/>
          <w:sz w:val="24"/>
          <w:highlight w:val="none"/>
        </w:rPr>
        <w:t>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sz w:val="24"/>
          <w:highlight w:val="none"/>
        </w:rPr>
      </w:pPr>
      <w:r>
        <w:rPr>
          <w:rFonts w:hint="eastAsia" w:ascii="宋体" w:hAnsi="宋体" w:cs="宋体"/>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sz w:val="24"/>
          <w:highlight w:val="none"/>
          <w:u w:val="single"/>
        </w:rPr>
        <w:t xml:space="preserve">   （采购人）   </w:t>
      </w:r>
      <w:r>
        <w:rPr>
          <w:rFonts w:hint="eastAsia" w:ascii="宋体" w:hAnsi="宋体" w:cs="宋体"/>
          <w:sz w:val="24"/>
          <w:highlight w:val="none"/>
          <w:lang w:val="zh-CN"/>
        </w:rPr>
        <w:t>(以下简称：甲方)和</w:t>
      </w:r>
      <w:r>
        <w:rPr>
          <w:rFonts w:hint="eastAsia" w:ascii="宋体" w:hAnsi="宋体" w:cs="宋体"/>
          <w:sz w:val="24"/>
          <w:highlight w:val="none"/>
          <w:u w:val="single"/>
        </w:rPr>
        <w:t xml:space="preserve">   （中标或者成交供应商名称）   </w:t>
      </w:r>
      <w:r>
        <w:rPr>
          <w:rFonts w:hint="eastAsia" w:ascii="宋体" w:hAnsi="宋体" w:cs="宋体"/>
          <w:sz w:val="24"/>
          <w:highlight w:val="none"/>
          <w:lang w:val="zh-CN"/>
        </w:rPr>
        <w:t>(以下简称：乙方)协商一致，约定以下合同</w:t>
      </w:r>
      <w:r>
        <w:rPr>
          <w:rFonts w:hint="eastAsia" w:ascii="宋体" w:hAnsi="宋体" w:cs="宋体"/>
          <w:sz w:val="24"/>
          <w:highlight w:val="none"/>
        </w:rPr>
        <w:t>条款，以兹共同遵守、全面履行。</w:t>
      </w:r>
    </w:p>
    <w:p>
      <w:pPr>
        <w:spacing w:line="560" w:lineRule="exact"/>
        <w:ind w:firstLine="482" w:firstLineChars="200"/>
        <w:outlineLvl w:val="0"/>
        <w:rPr>
          <w:rFonts w:ascii="宋体" w:hAnsi="宋体" w:cs="宋体"/>
          <w:b/>
          <w:sz w:val="24"/>
          <w:highlight w:val="none"/>
        </w:rPr>
      </w:pPr>
      <w:bookmarkStart w:id="399" w:name="_Toc2232"/>
      <w:bookmarkStart w:id="400" w:name="_Toc24059"/>
      <w:bookmarkStart w:id="401" w:name="_Toc3029"/>
      <w:r>
        <w:rPr>
          <w:rFonts w:hint="eastAsia" w:ascii="宋体" w:hAnsi="宋体" w:cs="宋体"/>
          <w:b/>
          <w:sz w:val="24"/>
          <w:highlight w:val="none"/>
        </w:rPr>
        <w:t>1.1 合同组成部分</w:t>
      </w:r>
      <w:bookmarkEnd w:id="399"/>
      <w:bookmarkEnd w:id="400"/>
      <w:bookmarkEnd w:id="401"/>
    </w:p>
    <w:p>
      <w:pPr>
        <w:spacing w:line="560" w:lineRule="exact"/>
        <w:ind w:firstLine="480" w:firstLineChars="200"/>
        <w:rPr>
          <w:rFonts w:ascii="宋体" w:hAnsi="宋体" w:cs="宋体"/>
          <w:sz w:val="24"/>
          <w:highlight w:val="none"/>
        </w:rPr>
      </w:pPr>
      <w:r>
        <w:rPr>
          <w:rFonts w:hint="eastAsia" w:ascii="宋体" w:hAnsi="宋体" w:cs="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1.1.1 本合同及其补充合同、变更协议；</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1.1.2 中标或者成交通知书；</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1.1.3 投标或者响应文件（含澄清或者说明文件）；</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1.1.4 采购文件（含澄清或者修改文件）；</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1.1.5 其他相关采购文件。</w:t>
      </w:r>
    </w:p>
    <w:p>
      <w:pPr>
        <w:spacing w:line="560" w:lineRule="exact"/>
        <w:ind w:firstLine="482" w:firstLineChars="200"/>
        <w:outlineLvl w:val="0"/>
        <w:rPr>
          <w:rFonts w:ascii="宋体" w:hAnsi="宋体" w:cs="宋体"/>
          <w:b/>
          <w:sz w:val="24"/>
          <w:highlight w:val="none"/>
        </w:rPr>
      </w:pPr>
      <w:bookmarkStart w:id="402" w:name="_Toc21295"/>
      <w:bookmarkStart w:id="403" w:name="_Toc27126"/>
      <w:bookmarkStart w:id="404" w:name="_Toc24300"/>
      <w:r>
        <w:rPr>
          <w:rFonts w:hint="eastAsia" w:ascii="宋体" w:hAnsi="宋体" w:cs="宋体"/>
          <w:b/>
          <w:sz w:val="24"/>
          <w:highlight w:val="none"/>
        </w:rPr>
        <w:t>1.2 货物</w:t>
      </w:r>
      <w:bookmarkEnd w:id="402"/>
      <w:bookmarkEnd w:id="403"/>
      <w:bookmarkEnd w:id="404"/>
    </w:p>
    <w:p>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1.2.1 货物名称、品牌、规格型号、花色：</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1.2.2 货物数量：</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1.2.3 货物质量：</w:t>
      </w:r>
      <w:r>
        <w:rPr>
          <w:rFonts w:hint="eastAsia" w:ascii="宋体" w:hAnsi="宋体" w:cs="宋体"/>
          <w:sz w:val="24"/>
          <w:highlight w:val="none"/>
          <w:u w:val="single"/>
        </w:rPr>
        <w:t>　　　　　　　　　                      　      ；</w:t>
      </w:r>
    </w:p>
    <w:p>
      <w:pPr>
        <w:spacing w:line="560" w:lineRule="exact"/>
        <w:ind w:firstLine="482" w:firstLineChars="200"/>
        <w:outlineLvl w:val="0"/>
        <w:rPr>
          <w:rFonts w:ascii="宋体" w:hAnsi="宋体" w:cs="宋体"/>
          <w:b/>
          <w:sz w:val="24"/>
          <w:highlight w:val="none"/>
        </w:rPr>
      </w:pPr>
      <w:bookmarkStart w:id="405" w:name="_Toc21551"/>
      <w:bookmarkStart w:id="406" w:name="_Toc21631"/>
      <w:bookmarkStart w:id="407" w:name="_Toc23292"/>
      <w:r>
        <w:rPr>
          <w:rFonts w:hint="eastAsia" w:ascii="宋体" w:hAnsi="宋体" w:cs="宋体"/>
          <w:b/>
          <w:sz w:val="24"/>
          <w:highlight w:val="none"/>
        </w:rPr>
        <w:t>1.3 价款</w:t>
      </w:r>
      <w:bookmarkEnd w:id="405"/>
      <w:bookmarkEnd w:id="406"/>
      <w:bookmarkEnd w:id="407"/>
    </w:p>
    <w:p>
      <w:pPr>
        <w:spacing w:line="560" w:lineRule="exact"/>
        <w:ind w:firstLine="480" w:firstLineChars="200"/>
        <w:rPr>
          <w:rFonts w:ascii="宋体" w:hAnsi="宋体" w:cs="宋体"/>
          <w:sz w:val="24"/>
          <w:highlight w:val="none"/>
        </w:rPr>
      </w:pPr>
      <w:r>
        <w:rPr>
          <w:rFonts w:hint="eastAsia" w:ascii="宋体" w:hAnsi="宋体" w:cs="宋体"/>
          <w:sz w:val="24"/>
          <w:highlight w:val="none"/>
        </w:rPr>
        <w:t>本合同总价（含税）为：￥</w:t>
      </w:r>
      <w:r>
        <w:rPr>
          <w:rFonts w:hint="eastAsia" w:ascii="宋体" w:hAnsi="宋体" w:cs="宋体"/>
          <w:sz w:val="24"/>
          <w:highlight w:val="none"/>
          <w:u w:val="single"/>
        </w:rPr>
        <w:t xml:space="preserve">           </w:t>
      </w:r>
      <w:r>
        <w:rPr>
          <w:rFonts w:hint="eastAsia" w:ascii="宋体" w:hAnsi="宋体" w:cs="宋体"/>
          <w:sz w:val="24"/>
          <w:highlight w:val="none"/>
        </w:rPr>
        <w:t>元（大写：</w:t>
      </w:r>
      <w:r>
        <w:rPr>
          <w:rFonts w:hint="eastAsia" w:ascii="宋体" w:hAnsi="宋体" w:cs="宋体"/>
          <w:sz w:val="24"/>
          <w:highlight w:val="none"/>
          <w:u w:val="single"/>
        </w:rPr>
        <w:t xml:space="preserve">                 </w:t>
      </w:r>
      <w:r>
        <w:rPr>
          <w:rFonts w:hint="eastAsia" w:ascii="宋体" w:hAnsi="宋体" w:cs="宋体"/>
          <w:sz w:val="24"/>
          <w:highlight w:val="none"/>
        </w:rPr>
        <w:t>元人民币）。</w:t>
      </w:r>
    </w:p>
    <w:p>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highlight w:val="none"/>
              </w:rPr>
            </w:pPr>
            <w:r>
              <w:rPr>
                <w:rFonts w:hint="eastAsia" w:hAnsi="宋体" w:cs="宋体"/>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highlight w:val="none"/>
              </w:rPr>
            </w:pPr>
            <w:r>
              <w:rPr>
                <w:rFonts w:hint="eastAsia" w:hAnsi="宋体" w:cs="宋体"/>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highlight w:val="none"/>
              </w:rPr>
            </w:pPr>
            <w:r>
              <w:rPr>
                <w:rFonts w:hint="eastAsia" w:hAnsi="宋体" w:cs="宋体"/>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highlight w:val="none"/>
              </w:rPr>
            </w:pPr>
            <w:r>
              <w:rPr>
                <w:rFonts w:hint="eastAsia" w:hAnsi="宋体" w:cs="宋体"/>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highlight w:val="none"/>
              </w:rPr>
            </w:pPr>
          </w:p>
        </w:tc>
      </w:tr>
    </w:tbl>
    <w:p>
      <w:pPr>
        <w:pStyle w:val="957"/>
        <w:spacing w:before="0" w:beforeAutospacing="0" w:after="0" w:afterAutospacing="0" w:line="360" w:lineRule="auto"/>
        <w:ind w:firstLine="480"/>
        <w:rPr>
          <w:b/>
          <w:highlight w:val="none"/>
        </w:rPr>
      </w:pPr>
      <w:bookmarkStart w:id="408" w:name="_Toc10340"/>
      <w:bookmarkStart w:id="409" w:name="_Toc1814"/>
      <w:bookmarkStart w:id="410" w:name="_Toc22618"/>
      <w:r>
        <w:rPr>
          <w:rFonts w:hint="eastAsia"/>
          <w:b/>
          <w:highlight w:val="none"/>
        </w:rPr>
        <w:t>1.4履约保证金</w:t>
      </w:r>
    </w:p>
    <w:p>
      <w:pPr>
        <w:pStyle w:val="957"/>
        <w:spacing w:before="0" w:beforeAutospacing="0" w:after="0" w:afterAutospacing="0" w:line="360" w:lineRule="auto"/>
        <w:ind w:firstLine="480"/>
        <w:rPr>
          <w:highlight w:val="none"/>
        </w:rPr>
      </w:pPr>
      <w:r>
        <w:rPr>
          <w:rFonts w:hint="eastAsia"/>
          <w:highlight w:val="none"/>
        </w:rPr>
        <w:t>乙方</w:t>
      </w:r>
      <w:r>
        <w:rPr>
          <w:rFonts w:hint="eastAsia"/>
          <w:highlight w:val="none"/>
          <w:u w:val="single"/>
        </w:rPr>
        <w:t xml:space="preserve">  否  </w:t>
      </w:r>
      <w:r>
        <w:rPr>
          <w:rFonts w:hint="eastAsia"/>
          <w:highlight w:val="none"/>
        </w:rPr>
        <w:t>（是</w:t>
      </w:r>
      <w:r>
        <w:rPr>
          <w:rFonts w:hint="eastAsia" w:ascii="仿宋" w:hAnsi="仿宋" w:eastAsia="仿宋" w:cs="仿宋"/>
          <w:highlight w:val="none"/>
        </w:rPr>
        <w:t>/</w:t>
      </w:r>
      <w:r>
        <w:rPr>
          <w:rFonts w:hint="eastAsia"/>
          <w:highlight w:val="none"/>
        </w:rPr>
        <w:t>否）需要支付履约保证金。若需要支付履约保证金的，则：</w:t>
      </w:r>
    </w:p>
    <w:p>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1.4.1履约保证金的比例为合同金额的</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1.4.2履约保证金支付方式详见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pPr>
        <w:pStyle w:val="2"/>
        <w:tabs>
          <w:tab w:val="left" w:pos="0"/>
          <w:tab w:val="clear" w:pos="432"/>
        </w:tabs>
        <w:spacing w:line="560" w:lineRule="exact"/>
        <w:ind w:left="0" w:firstLine="480" w:firstLineChars="200"/>
        <w:rPr>
          <w:rFonts w:eastAsia="宋体"/>
          <w:highlight w:val="none"/>
          <w:lang w:val="en-US"/>
        </w:rPr>
      </w:pPr>
      <w:r>
        <w:rPr>
          <w:rFonts w:hint="eastAsia" w:ascii="宋体" w:hAnsi="宋体" w:eastAsia="宋体" w:cs="宋体"/>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8"/>
      <w:bookmarkEnd w:id="409"/>
      <w:bookmarkEnd w:id="410"/>
      <w:r>
        <w:rPr>
          <w:rFonts w:hint="eastAsia" w:ascii="宋体" w:hAnsi="宋体" w:cs="宋体"/>
          <w:b/>
          <w:sz w:val="24"/>
        </w:rPr>
        <w:t>预付款</w:t>
      </w:r>
    </w:p>
    <w:p>
      <w:pPr>
        <w:pStyle w:val="957"/>
        <w:spacing w:before="0" w:beforeAutospacing="0" w:after="0" w:afterAutospacing="0" w:line="360" w:lineRule="auto"/>
        <w:ind w:firstLine="480"/>
      </w:pPr>
      <w:r>
        <w:rPr>
          <w:rFonts w:hint="eastAsia"/>
        </w:rPr>
        <w:t>甲方</w:t>
      </w:r>
      <w:r>
        <w:rPr>
          <w:rFonts w:hint="eastAsia"/>
          <w:u w:val="single"/>
        </w:rPr>
        <w:t xml:space="preserve"> </w:t>
      </w:r>
      <w:r>
        <w:rPr>
          <w:rFonts w:hint="eastAsia"/>
          <w:u w:val="single"/>
          <w:lang w:eastAsia="zh-CN"/>
        </w:rPr>
        <w:t>是</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57"/>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b/>
          <w:bCs/>
        </w:rPr>
      </w:pPr>
      <w:r>
        <w:rPr>
          <w:rFonts w:hint="eastAsia"/>
          <w:b/>
          <w:bCs/>
        </w:rPr>
        <w:t>1.6资金支付</w:t>
      </w:r>
    </w:p>
    <w:p>
      <w:pPr>
        <w:pStyle w:val="95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1" w:name="_Toc32071"/>
      <w:bookmarkStart w:id="412" w:name="_Toc2846"/>
      <w:bookmarkStart w:id="413" w:name="_Toc19304"/>
      <w:r>
        <w:rPr>
          <w:rFonts w:hint="eastAsia" w:ascii="宋体" w:hAnsi="宋体" w:cs="宋体"/>
          <w:b/>
          <w:sz w:val="24"/>
        </w:rPr>
        <w:t>1.7货物交付期限、地点和方式</w:t>
      </w:r>
      <w:bookmarkEnd w:id="411"/>
      <w:bookmarkEnd w:id="412"/>
      <w:bookmarkEnd w:id="413"/>
    </w:p>
    <w:p>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4" w:name="_Toc19554"/>
      <w:bookmarkStart w:id="415" w:name="_Toc27250"/>
      <w:bookmarkStart w:id="416" w:name="_Toc21423"/>
      <w:r>
        <w:rPr>
          <w:rFonts w:hint="eastAsia" w:ascii="宋体" w:hAnsi="宋体" w:cs="宋体"/>
          <w:b/>
          <w:sz w:val="24"/>
        </w:rPr>
        <w:t>1.8违约责任</w:t>
      </w:r>
      <w:bookmarkEnd w:id="414"/>
      <w:bookmarkEnd w:id="415"/>
      <w:bookmarkEnd w:id="416"/>
    </w:p>
    <w:p>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560" w:lineRule="exact"/>
        <w:ind w:firstLine="482" w:firstLineChars="200"/>
        <w:outlineLvl w:val="0"/>
        <w:rPr>
          <w:rFonts w:ascii="宋体" w:hAnsi="宋体" w:cs="宋体"/>
          <w:b/>
          <w:sz w:val="24"/>
        </w:rPr>
      </w:pPr>
      <w:bookmarkStart w:id="417" w:name="_Toc16021"/>
      <w:bookmarkStart w:id="418" w:name="_Toc28375"/>
      <w:bookmarkStart w:id="419" w:name="_Toc15583"/>
      <w:r>
        <w:rPr>
          <w:rFonts w:hint="eastAsia" w:ascii="宋体" w:hAnsi="宋体" w:cs="宋体"/>
          <w:b/>
          <w:sz w:val="24"/>
        </w:rPr>
        <w:t>1.9合同争议的解决</w:t>
      </w:r>
      <w:bookmarkEnd w:id="417"/>
      <w:bookmarkEnd w:id="418"/>
      <w:bookmarkEnd w:id="419"/>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20" w:name="_Toc7245"/>
      <w:bookmarkStart w:id="421" w:name="_Toc11173"/>
      <w:bookmarkStart w:id="422" w:name="_Toc15322"/>
      <w:r>
        <w:rPr>
          <w:rFonts w:hint="eastAsia" w:ascii="宋体" w:hAnsi="宋体" w:cs="宋体"/>
          <w:b/>
          <w:sz w:val="24"/>
        </w:rPr>
        <w:t>2.0 合同生效</w:t>
      </w:r>
      <w:bookmarkEnd w:id="420"/>
      <w:bookmarkEnd w:id="421"/>
      <w:bookmarkEnd w:id="422"/>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Pr>
        <w:rPr>
          <w:rFonts w:ascii="宋体" w:hAnsi="宋体" w:cs="宋体"/>
          <w:sz w:val="24"/>
        </w:rPr>
      </w:pPr>
    </w:p>
    <w:p>
      <w:pPr>
        <w:pStyle w:val="699"/>
        <w:spacing w:line="560" w:lineRule="exact"/>
        <w:ind w:firstLine="482"/>
        <w:jc w:val="center"/>
        <w:rPr>
          <w:rFonts w:ascii="宋体" w:hAnsi="宋体" w:cs="宋体"/>
          <w:b/>
          <w:szCs w:val="24"/>
        </w:rPr>
      </w:pPr>
      <w:r>
        <w:rPr>
          <w:rFonts w:hint="eastAsia" w:ascii="宋体" w:hAnsi="宋体" w:cs="宋体"/>
          <w:b/>
          <w:szCs w:val="24"/>
        </w:rPr>
        <w:t>第二部分 合同一般条款</w:t>
      </w:r>
    </w:p>
    <w:p>
      <w:pPr>
        <w:spacing w:line="560" w:lineRule="exact"/>
        <w:ind w:firstLine="482" w:firstLineChars="200"/>
        <w:outlineLvl w:val="0"/>
        <w:rPr>
          <w:rFonts w:ascii="宋体" w:hAnsi="宋体" w:cs="宋体"/>
          <w:b/>
          <w:sz w:val="24"/>
        </w:rPr>
      </w:pPr>
      <w:bookmarkStart w:id="423" w:name="_Toc16917"/>
      <w:bookmarkStart w:id="424" w:name="_Toc28763"/>
      <w:bookmarkStart w:id="425" w:name="_Ref467378463"/>
      <w:bookmarkStart w:id="426" w:name="_Toc19614"/>
      <w:bookmarkStart w:id="427" w:name="_Ref467379195"/>
      <w:bookmarkStart w:id="428" w:name="_Ref467379094"/>
      <w:bookmarkStart w:id="429" w:name="_Toc259093669"/>
      <w:bookmarkStart w:id="430" w:name="_Ref467379109"/>
      <w:bookmarkStart w:id="431" w:name="_Ref467379101"/>
      <w:bookmarkStart w:id="432" w:name="_Toc279701240"/>
      <w:bookmarkStart w:id="433" w:name="_Ref467379214"/>
      <w:bookmarkStart w:id="434" w:name="_Ref467379205"/>
      <w:bookmarkStart w:id="435" w:name="_Ref467378404"/>
      <w:bookmarkStart w:id="436" w:name="_Ref467378499"/>
      <w:bookmarkStart w:id="437" w:name="_Ref467379225"/>
      <w:bookmarkStart w:id="438" w:name="_Toc487900349"/>
      <w:r>
        <w:rPr>
          <w:rFonts w:hint="eastAsia" w:ascii="宋体" w:hAnsi="宋体" w:cs="宋体"/>
          <w:b/>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439" w:name="_Ref467378840"/>
      <w:r>
        <w:rPr>
          <w:rFonts w:hint="eastAsia" w:ascii="宋体" w:hAnsi="宋体" w:cs="宋体"/>
          <w:sz w:val="24"/>
        </w:rPr>
        <w:t>2.1.4 “甲方”系指与中标或成交供应商签署合同的采购人</w:t>
      </w:r>
      <w:bookmarkEnd w:id="439"/>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440" w:name="_Ref467379400"/>
      <w:r>
        <w:rPr>
          <w:rFonts w:hint="eastAsia" w:ascii="宋体" w:hAnsi="宋体" w:cs="宋体"/>
          <w:sz w:val="24"/>
        </w:rPr>
        <w:t>2.1.5 “乙方”系指根据合同约定交付货物的中标或成交供应商</w:t>
      </w:r>
      <w:bookmarkEnd w:id="440"/>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441" w:name="_Ref467379436"/>
      <w:r>
        <w:rPr>
          <w:rFonts w:hint="eastAsia" w:ascii="宋体" w:hAnsi="宋体" w:cs="宋体"/>
          <w:sz w:val="24"/>
        </w:rPr>
        <w:t>2.1.6 “现场”系指合同约定货物将要运至或者安装的地点。</w:t>
      </w:r>
      <w:bookmarkEnd w:id="441"/>
    </w:p>
    <w:p>
      <w:pPr>
        <w:spacing w:line="560" w:lineRule="exact"/>
        <w:ind w:firstLine="482" w:firstLineChars="200"/>
        <w:outlineLvl w:val="0"/>
        <w:rPr>
          <w:rFonts w:ascii="宋体" w:hAnsi="宋体" w:cs="宋体"/>
          <w:b/>
          <w:sz w:val="24"/>
        </w:rPr>
      </w:pPr>
      <w:bookmarkStart w:id="442" w:name="_Toc32504"/>
      <w:bookmarkStart w:id="443" w:name="_Toc13336"/>
      <w:bookmarkStart w:id="444" w:name="_Toc27635"/>
      <w:bookmarkStart w:id="445" w:name="_Toc259093670"/>
      <w:bookmarkStart w:id="446" w:name="_Toc279701241"/>
      <w:bookmarkStart w:id="447" w:name="_Toc487900350"/>
      <w:r>
        <w:rPr>
          <w:rFonts w:hint="eastAsia" w:ascii="宋体" w:hAnsi="宋体" w:cs="宋体"/>
          <w:b/>
          <w:sz w:val="24"/>
        </w:rPr>
        <w:t>2.2 技术规范</w:t>
      </w:r>
      <w:bookmarkEnd w:id="442"/>
      <w:bookmarkEnd w:id="443"/>
      <w:bookmarkEnd w:id="444"/>
      <w:bookmarkEnd w:id="445"/>
      <w:bookmarkEnd w:id="446"/>
      <w:bookmarkEnd w:id="447"/>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448" w:name="_Toc279701242"/>
      <w:bookmarkStart w:id="449" w:name="_Toc487900351"/>
      <w:bookmarkStart w:id="450" w:name="_Toc259093671"/>
      <w:bookmarkStart w:id="451" w:name="_Toc9829"/>
      <w:bookmarkStart w:id="452" w:name="_Toc31634"/>
      <w:bookmarkStart w:id="453" w:name="_Toc27853"/>
      <w:r>
        <w:rPr>
          <w:rFonts w:hint="eastAsia" w:ascii="宋体" w:hAnsi="宋体" w:cs="宋体"/>
          <w:b/>
          <w:sz w:val="24"/>
        </w:rPr>
        <w:t>2.3 知识产权</w:t>
      </w:r>
      <w:bookmarkEnd w:id="448"/>
      <w:bookmarkEnd w:id="449"/>
      <w:bookmarkEnd w:id="450"/>
      <w:bookmarkEnd w:id="451"/>
      <w:bookmarkEnd w:id="452"/>
      <w:bookmarkEnd w:id="453"/>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4" w:name="_Toc11932"/>
      <w:bookmarkStart w:id="455" w:name="_Toc29149"/>
      <w:bookmarkStart w:id="456" w:name="_Toc4194"/>
      <w:r>
        <w:rPr>
          <w:rFonts w:hint="eastAsia" w:ascii="宋体" w:hAnsi="宋体" w:cs="宋体"/>
          <w:b/>
          <w:sz w:val="24"/>
        </w:rPr>
        <w:t>2.4 包装和装运</w:t>
      </w:r>
      <w:bookmarkEnd w:id="454"/>
      <w:bookmarkEnd w:id="455"/>
      <w:bookmarkEnd w:id="456"/>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7" w:name="_Ref467379542"/>
      <w:bookmarkStart w:id="458" w:name="_Toc279701245"/>
      <w:bookmarkStart w:id="459" w:name="_Toc259093674"/>
      <w:bookmarkStart w:id="460" w:name="_Ref467378591"/>
      <w:bookmarkStart w:id="461" w:name="_Ref467379527"/>
      <w:bookmarkStart w:id="462" w:name="_Toc487900354"/>
      <w:bookmarkStart w:id="463" w:name="_Ref467378541"/>
      <w:bookmarkStart w:id="464" w:name="_Ref467379536"/>
      <w:bookmarkStart w:id="465" w:name="_Toc19074"/>
      <w:bookmarkStart w:id="466" w:name="_Toc26182"/>
      <w:bookmarkStart w:id="467" w:name="_Toc30272"/>
      <w:r>
        <w:rPr>
          <w:rFonts w:hint="eastAsia" w:ascii="宋体" w:hAnsi="宋体" w:cs="宋体"/>
          <w:b/>
          <w:sz w:val="24"/>
        </w:rPr>
        <w:t>2.</w:t>
      </w:r>
      <w:bookmarkEnd w:id="457"/>
      <w:bookmarkEnd w:id="458"/>
      <w:bookmarkEnd w:id="459"/>
      <w:bookmarkEnd w:id="460"/>
      <w:bookmarkEnd w:id="461"/>
      <w:bookmarkEnd w:id="462"/>
      <w:bookmarkEnd w:id="463"/>
      <w:bookmarkEnd w:id="464"/>
      <w:r>
        <w:rPr>
          <w:rFonts w:hint="eastAsia" w:ascii="宋体" w:hAnsi="宋体" w:cs="宋体"/>
          <w:b/>
          <w:sz w:val="24"/>
        </w:rPr>
        <w:t>5 履约检查和问题反馈</w:t>
      </w:r>
      <w:bookmarkEnd w:id="465"/>
      <w:bookmarkEnd w:id="466"/>
      <w:bookmarkEnd w:id="467"/>
    </w:p>
    <w:p>
      <w:pPr>
        <w:spacing w:line="560" w:lineRule="exact"/>
        <w:ind w:firstLine="480" w:firstLineChars="200"/>
        <w:rPr>
          <w:rFonts w:ascii="宋体" w:hAnsi="宋体" w:cs="宋体"/>
          <w:sz w:val="24"/>
        </w:rPr>
      </w:pPr>
      <w:bookmarkStart w:id="468" w:name="_Ref467379657"/>
      <w:r>
        <w:rPr>
          <w:rFonts w:hint="eastAsia" w:ascii="宋体" w:hAnsi="宋体" w:cs="宋体"/>
          <w:sz w:val="24"/>
        </w:rPr>
        <w:t>2.5.1</w:t>
      </w:r>
      <w:bookmarkEnd w:id="468"/>
      <w:bookmarkStart w:id="469" w:name="_Toc186431854"/>
      <w:bookmarkStart w:id="470" w:name="_Ref467379807"/>
      <w:bookmarkStart w:id="471" w:name="_Toc259093676"/>
      <w:bookmarkStart w:id="472" w:name="_Toc487900357"/>
      <w:bookmarkStart w:id="473" w:name="_Ref467379793"/>
      <w:bookmarkStart w:id="474" w:name="_Toc27970124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sz w:val="24"/>
        </w:rPr>
        <w:t>。</w:t>
      </w:r>
    </w:p>
    <w:bookmarkEnd w:id="470"/>
    <w:bookmarkEnd w:id="471"/>
    <w:bookmarkEnd w:id="472"/>
    <w:bookmarkEnd w:id="473"/>
    <w:bookmarkEnd w:id="474"/>
    <w:bookmarkEnd w:id="475"/>
    <w:p>
      <w:pPr>
        <w:spacing w:line="560" w:lineRule="exact"/>
        <w:ind w:firstLine="482" w:firstLineChars="200"/>
        <w:outlineLvl w:val="0"/>
        <w:rPr>
          <w:rFonts w:ascii="宋体" w:hAnsi="宋体" w:cs="宋体"/>
          <w:b/>
          <w:sz w:val="24"/>
        </w:rPr>
      </w:pPr>
      <w:bookmarkStart w:id="476" w:name="_Toc259093677"/>
      <w:bookmarkStart w:id="477" w:name="_Ref467379852"/>
      <w:bookmarkStart w:id="478" w:name="_Ref467379923"/>
      <w:bookmarkStart w:id="479" w:name="_Toc487900358"/>
      <w:bookmarkStart w:id="480" w:name="_Ref467379863"/>
      <w:bookmarkStart w:id="481" w:name="_Toc279701248"/>
      <w:bookmarkStart w:id="482" w:name="_Toc16110"/>
      <w:bookmarkStart w:id="483" w:name="_Toc774"/>
      <w:bookmarkStart w:id="484" w:name="_Toc3225"/>
      <w:r>
        <w:rPr>
          <w:rFonts w:hint="eastAsia" w:ascii="宋体" w:hAnsi="宋体" w:cs="宋体"/>
          <w:b/>
          <w:sz w:val="24"/>
        </w:rPr>
        <w:t>2.6 技术资料</w:t>
      </w:r>
      <w:bookmarkEnd w:id="476"/>
      <w:bookmarkEnd w:id="477"/>
      <w:bookmarkEnd w:id="478"/>
      <w:bookmarkEnd w:id="479"/>
      <w:bookmarkEnd w:id="480"/>
      <w:bookmarkEnd w:id="481"/>
      <w:r>
        <w:rPr>
          <w:rFonts w:hint="eastAsia" w:ascii="宋体" w:hAnsi="宋体" w:cs="宋体"/>
          <w:b/>
          <w:sz w:val="24"/>
        </w:rPr>
        <w:t>和保密义务</w:t>
      </w:r>
      <w:bookmarkEnd w:id="482"/>
      <w:bookmarkEnd w:id="483"/>
      <w:bookmarkEnd w:id="484"/>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485" w:name="_Toc7860"/>
      <w:r>
        <w:rPr>
          <w:rFonts w:hint="eastAsia" w:ascii="宋体" w:hAnsi="宋体" w:cs="宋体"/>
          <w:b/>
          <w:sz w:val="24"/>
        </w:rPr>
        <w:t>2.7 质量保证</w:t>
      </w:r>
      <w:bookmarkEnd w:id="485"/>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486" w:name="_Toc17244"/>
      <w:bookmarkStart w:id="487" w:name="_Toc259093681"/>
      <w:bookmarkStart w:id="488" w:name="_Toc279701252"/>
      <w:bookmarkStart w:id="489" w:name="_Toc487900362"/>
      <w:r>
        <w:rPr>
          <w:rFonts w:hint="eastAsia" w:ascii="宋体" w:hAnsi="宋体" w:cs="宋体"/>
          <w:b/>
          <w:sz w:val="24"/>
        </w:rPr>
        <w:t>2.8 货物的风险负担</w:t>
      </w:r>
      <w:bookmarkEnd w:id="486"/>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90" w:name="_Toc14055"/>
      <w:r>
        <w:rPr>
          <w:rFonts w:hint="eastAsia" w:ascii="宋体" w:hAnsi="宋体" w:cs="宋体"/>
          <w:b/>
          <w:sz w:val="24"/>
        </w:rPr>
        <w:t>2.9 延迟交货</w:t>
      </w:r>
      <w:bookmarkEnd w:id="487"/>
      <w:bookmarkEnd w:id="488"/>
      <w:bookmarkEnd w:id="489"/>
      <w:bookmarkEnd w:id="490"/>
    </w:p>
    <w:p>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491" w:name="_Toc7502"/>
      <w:bookmarkStart w:id="492" w:name="_Toc259093683"/>
      <w:bookmarkStart w:id="493" w:name="_Toc487900364"/>
      <w:bookmarkStart w:id="494" w:name="_Ref467378121"/>
      <w:bookmarkStart w:id="495" w:name="_Toc279701254"/>
      <w:r>
        <w:rPr>
          <w:rFonts w:hint="eastAsia" w:ascii="宋体" w:hAnsi="宋体" w:cs="宋体"/>
          <w:b/>
          <w:sz w:val="24"/>
        </w:rPr>
        <w:t>2.10 合同变更</w:t>
      </w:r>
      <w:bookmarkEnd w:id="491"/>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6" w:name="_Toc259093688"/>
      <w:bookmarkStart w:id="497" w:name="_Toc487900369"/>
      <w:bookmarkStart w:id="498" w:name="_Toc279701259"/>
    </w:p>
    <w:p>
      <w:pPr>
        <w:spacing w:line="560" w:lineRule="exact"/>
        <w:ind w:firstLine="482" w:firstLineChars="200"/>
        <w:outlineLvl w:val="0"/>
        <w:rPr>
          <w:rFonts w:ascii="宋体" w:hAnsi="宋体" w:cs="宋体"/>
          <w:b/>
          <w:sz w:val="24"/>
        </w:rPr>
      </w:pPr>
      <w:bookmarkStart w:id="499" w:name="_Toc22955"/>
      <w:bookmarkStart w:id="500" w:name="_Toc15237"/>
      <w:bookmarkStart w:id="501" w:name="_Toc10366"/>
      <w:r>
        <w:rPr>
          <w:rFonts w:hint="eastAsia" w:ascii="宋体" w:hAnsi="宋体" w:cs="宋体"/>
          <w:b/>
          <w:sz w:val="24"/>
        </w:rPr>
        <w:t>2.11 合同转让</w:t>
      </w:r>
      <w:bookmarkEnd w:id="496"/>
      <w:bookmarkEnd w:id="497"/>
      <w:bookmarkEnd w:id="498"/>
      <w:r>
        <w:rPr>
          <w:rFonts w:hint="eastAsia" w:ascii="宋体" w:hAnsi="宋体" w:cs="宋体"/>
          <w:b/>
          <w:sz w:val="24"/>
        </w:rPr>
        <w:t>和分包</w:t>
      </w:r>
      <w:bookmarkEnd w:id="499"/>
      <w:bookmarkEnd w:id="500"/>
      <w:bookmarkEnd w:id="501"/>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502" w:name="_Toc16508"/>
      <w:bookmarkStart w:id="503" w:name="_Toc14066"/>
      <w:bookmarkStart w:id="504" w:name="_Toc13566"/>
      <w:r>
        <w:rPr>
          <w:rFonts w:hint="eastAsia" w:ascii="宋体" w:hAnsi="宋体" w:cs="宋体"/>
          <w:b/>
          <w:sz w:val="24"/>
        </w:rPr>
        <w:t>2.12 不可抗力</w:t>
      </w:r>
      <w:bookmarkEnd w:id="502"/>
      <w:bookmarkEnd w:id="503"/>
      <w:bookmarkEnd w:id="504"/>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505" w:name="_Toc689"/>
      <w:bookmarkStart w:id="506" w:name="_Toc487900365"/>
      <w:bookmarkStart w:id="507" w:name="_Toc279701255"/>
      <w:bookmarkStart w:id="508" w:name="_Toc6969"/>
      <w:bookmarkStart w:id="509" w:name="_Toc259093684"/>
      <w:bookmarkStart w:id="510" w:name="_Toc30676"/>
      <w:r>
        <w:rPr>
          <w:rFonts w:hint="eastAsia" w:ascii="宋体" w:hAnsi="宋体" w:cs="宋体"/>
          <w:b/>
          <w:sz w:val="24"/>
        </w:rPr>
        <w:t>2.13 税费</w:t>
      </w:r>
      <w:bookmarkEnd w:id="505"/>
      <w:bookmarkEnd w:id="506"/>
      <w:bookmarkEnd w:id="507"/>
      <w:bookmarkEnd w:id="508"/>
      <w:bookmarkEnd w:id="509"/>
      <w:bookmarkEnd w:id="510"/>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511" w:name="_Toc279701258"/>
      <w:bookmarkStart w:id="512" w:name="_Toc487900368"/>
      <w:bookmarkStart w:id="513" w:name="_Toc16959"/>
      <w:bookmarkStart w:id="514" w:name="_Toc259093687"/>
      <w:bookmarkStart w:id="515" w:name="_Toc8298"/>
      <w:bookmarkStart w:id="516" w:name="_Toc7102"/>
      <w:r>
        <w:rPr>
          <w:rFonts w:hint="eastAsia" w:ascii="宋体" w:hAnsi="宋体" w:cs="宋体"/>
          <w:b/>
          <w:sz w:val="24"/>
        </w:rPr>
        <w:t>2.14乙方破产</w:t>
      </w:r>
      <w:bookmarkEnd w:id="511"/>
      <w:bookmarkEnd w:id="512"/>
      <w:bookmarkEnd w:id="513"/>
      <w:bookmarkEnd w:id="514"/>
      <w:bookmarkEnd w:id="515"/>
      <w:bookmarkEnd w:id="516"/>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517" w:name="_Toc6134"/>
      <w:bookmarkStart w:id="518" w:name="_Toc15387"/>
      <w:bookmarkStart w:id="519" w:name="_Toc29333"/>
      <w:r>
        <w:rPr>
          <w:rFonts w:hint="eastAsia" w:ascii="宋体" w:hAnsi="宋体" w:cs="宋体"/>
          <w:b/>
          <w:sz w:val="24"/>
        </w:rPr>
        <w:t>2.15 合同中止、终止</w:t>
      </w:r>
      <w:bookmarkEnd w:id="517"/>
      <w:bookmarkEnd w:id="518"/>
      <w:bookmarkEnd w:id="519"/>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520" w:name="_Toc6596"/>
      <w:bookmarkStart w:id="521" w:name="_Toc1125"/>
      <w:bookmarkStart w:id="522" w:name="_Toc14563"/>
      <w:r>
        <w:rPr>
          <w:rFonts w:hint="eastAsia" w:ascii="宋体" w:hAnsi="宋体" w:cs="宋体"/>
          <w:b/>
          <w:sz w:val="24"/>
        </w:rPr>
        <w:t>2.16检验和验收</w:t>
      </w:r>
      <w:bookmarkEnd w:id="520"/>
      <w:bookmarkEnd w:id="521"/>
      <w:bookmarkEnd w:id="522"/>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2"/>
    <w:bookmarkEnd w:id="493"/>
    <w:bookmarkEnd w:id="494"/>
    <w:bookmarkEnd w:id="495"/>
    <w:p>
      <w:pPr>
        <w:spacing w:line="560" w:lineRule="exact"/>
        <w:ind w:firstLine="482" w:firstLineChars="200"/>
        <w:outlineLvl w:val="0"/>
        <w:rPr>
          <w:rFonts w:ascii="宋体" w:hAnsi="宋体" w:cs="宋体"/>
          <w:b/>
          <w:sz w:val="24"/>
        </w:rPr>
      </w:pPr>
      <w:bookmarkStart w:id="523" w:name="_Toc259093690"/>
      <w:bookmarkStart w:id="524" w:name="_Toc487900371"/>
      <w:bookmarkStart w:id="525" w:name="_Toc279701261"/>
      <w:bookmarkStart w:id="526" w:name="_Toc25182"/>
      <w:bookmarkStart w:id="527" w:name="_Toc11284"/>
      <w:bookmarkStart w:id="528" w:name="_Toc19604"/>
      <w:r>
        <w:rPr>
          <w:rFonts w:hint="eastAsia" w:ascii="宋体" w:hAnsi="宋体" w:cs="宋体"/>
          <w:b/>
          <w:sz w:val="24"/>
        </w:rPr>
        <w:t>2.17 通知</w:t>
      </w:r>
      <w:bookmarkEnd w:id="523"/>
      <w:bookmarkEnd w:id="524"/>
      <w:bookmarkEnd w:id="525"/>
      <w:r>
        <w:rPr>
          <w:rFonts w:hint="eastAsia" w:ascii="宋体" w:hAnsi="宋体" w:cs="宋体"/>
          <w:b/>
          <w:sz w:val="24"/>
        </w:rPr>
        <w:t>和送达</w:t>
      </w:r>
      <w:bookmarkEnd w:id="526"/>
      <w:bookmarkEnd w:id="527"/>
      <w:bookmarkEnd w:id="528"/>
    </w:p>
    <w:p>
      <w:pPr>
        <w:spacing w:line="560" w:lineRule="exact"/>
        <w:ind w:firstLine="480" w:firstLineChars="200"/>
        <w:rPr>
          <w:rFonts w:ascii="宋体" w:hAnsi="宋体" w:cs="宋体"/>
          <w:sz w:val="24"/>
        </w:rPr>
      </w:pPr>
      <w:bookmarkStart w:id="529" w:name="_Toc6698"/>
      <w:bookmarkStart w:id="530" w:name="_Toc3135"/>
      <w:bookmarkStart w:id="531" w:name="_Toc259093691"/>
      <w:bookmarkStart w:id="532" w:name="_Toc487900372"/>
      <w:bookmarkStart w:id="533" w:name="_Toc27970126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9"/>
      <w:bookmarkEnd w:id="530"/>
    </w:p>
    <w:p>
      <w:pPr>
        <w:spacing w:line="560" w:lineRule="exact"/>
        <w:ind w:firstLine="480" w:firstLineChars="200"/>
        <w:rPr>
          <w:rFonts w:ascii="宋体" w:hAnsi="宋体" w:cs="宋体"/>
          <w:sz w:val="24"/>
        </w:rPr>
      </w:pPr>
      <w:bookmarkStart w:id="534" w:name="_Toc23294"/>
      <w:bookmarkStart w:id="535"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pPr>
        <w:spacing w:line="560" w:lineRule="exact"/>
        <w:ind w:firstLine="482" w:firstLineChars="200"/>
        <w:outlineLvl w:val="0"/>
        <w:rPr>
          <w:rFonts w:ascii="宋体" w:hAnsi="宋体" w:cs="宋体"/>
          <w:b/>
          <w:sz w:val="24"/>
        </w:rPr>
      </w:pPr>
      <w:bookmarkStart w:id="536" w:name="_Toc4355"/>
      <w:bookmarkStart w:id="537" w:name="_Toc18540"/>
      <w:bookmarkStart w:id="538" w:name="_Toc30599"/>
      <w:r>
        <w:rPr>
          <w:rFonts w:hint="eastAsia" w:ascii="宋体" w:hAnsi="宋体" w:cs="宋体"/>
          <w:b/>
          <w:sz w:val="24"/>
        </w:rPr>
        <w:t>2.18 计量单位</w:t>
      </w:r>
      <w:bookmarkEnd w:id="531"/>
      <w:bookmarkEnd w:id="532"/>
      <w:bookmarkEnd w:id="533"/>
      <w:bookmarkEnd w:id="536"/>
      <w:bookmarkEnd w:id="537"/>
      <w:bookmarkEnd w:id="538"/>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539" w:name="_Toc279701263"/>
      <w:bookmarkStart w:id="540" w:name="_Toc259093692"/>
      <w:bookmarkStart w:id="541" w:name="_Toc12773"/>
      <w:bookmarkStart w:id="542" w:name="_Toc487900373"/>
      <w:bookmarkStart w:id="543" w:name="_Toc18567"/>
      <w:bookmarkStart w:id="544" w:name="_Toc10330"/>
      <w:r>
        <w:rPr>
          <w:rFonts w:hint="eastAsia" w:ascii="宋体" w:hAnsi="宋体" w:cs="宋体"/>
          <w:b/>
          <w:sz w:val="24"/>
        </w:rPr>
        <w:t>2.19 合同使用的文字和适用的法律</w:t>
      </w:r>
      <w:bookmarkEnd w:id="539"/>
      <w:bookmarkEnd w:id="540"/>
      <w:bookmarkEnd w:id="541"/>
      <w:bookmarkEnd w:id="542"/>
      <w:bookmarkEnd w:id="543"/>
      <w:bookmarkEnd w:id="544"/>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545" w:name="_Toc6885"/>
      <w:bookmarkStart w:id="546" w:name="_Toc19890"/>
      <w:bookmarkStart w:id="547" w:name="_Toc14001"/>
      <w:r>
        <w:rPr>
          <w:rFonts w:hint="eastAsia" w:ascii="宋体" w:hAnsi="宋体" w:cs="宋体"/>
          <w:b/>
          <w:sz w:val="24"/>
        </w:rPr>
        <w:t>2.20 合同份数</w:t>
      </w:r>
      <w:bookmarkEnd w:id="545"/>
      <w:bookmarkEnd w:id="546"/>
      <w:bookmarkEnd w:id="547"/>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456"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26"/>
        <w:gridCol w:w="90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534" w:type="pct"/>
            <w:vAlign w:val="center"/>
          </w:tcPr>
          <w:p>
            <w:pPr>
              <w:spacing w:line="360" w:lineRule="auto"/>
              <w:rPr>
                <w:rFonts w:ascii="宋体" w:hAnsi="宋体" w:cs="宋体"/>
                <w:sz w:val="24"/>
              </w:rPr>
            </w:pPr>
            <w:r>
              <w:rPr>
                <w:rFonts w:hint="eastAsia" w:ascii="宋体" w:hAnsi="宋体" w:cs="宋体"/>
                <w:sz w:val="24"/>
              </w:rPr>
              <w:t>合同签订后7个工作日内以支票、汇票、本票或者金融机构、担保机构出具的保函等非现金形式，提交履约保证金；鼓励和支持乙方以银行、保险公司出具的保函形式提供履约保证，乙方以银行、保险公司出具保函形式提交履约保证金的，甲方不得拒收</w:t>
            </w:r>
            <w:r>
              <w:rPr>
                <w:rFonts w:hint="eastAsia" w:ascii="宋体" w:hAnsi="宋体" w:cs="宋体"/>
                <w:sz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1.5.1</w:t>
            </w:r>
          </w:p>
        </w:tc>
        <w:tc>
          <w:tcPr>
            <w:tcW w:w="4534" w:type="pct"/>
            <w:vAlign w:val="center"/>
          </w:tcPr>
          <w:p>
            <w:pPr>
              <w:spacing w:line="360" w:lineRule="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同生效以及具备实施条件后7个工作日内支付当期采购金额的40%预付款，中标人在每学期开学后一个月左右，将各类品种的定价、各校师生分类供货数量和总金额等有关数据报送教育局。教育局在开学后两个月左右做好本项目相关数据的对账、审核工作,根据销售发票及清单，向中标人支付每学期剩余货款。在签订合同时，供应商明确表示无需预付款或者主动要求降低预付款比例的，采购单位可不适用前述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1.5.2 </w:t>
            </w:r>
          </w:p>
        </w:tc>
        <w:tc>
          <w:tcPr>
            <w:tcW w:w="4534" w:type="pct"/>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1.5.3</w:t>
            </w:r>
          </w:p>
        </w:tc>
        <w:tc>
          <w:tcPr>
            <w:tcW w:w="4534" w:type="pct"/>
            <w:vAlign w:val="center"/>
          </w:tcPr>
          <w:p>
            <w:pPr>
              <w:spacing w:line="360" w:lineRule="auto"/>
              <w:rPr>
                <w:rFonts w:hint="default" w:ascii="宋体" w:hAnsi="宋体" w:eastAsia="宋体" w:cs="宋体"/>
                <w:kern w:val="2"/>
                <w:sz w:val="24"/>
                <w:szCs w:val="24"/>
                <w:lang w:val="en-US" w:eastAsia="zh-CN" w:bidi="ar-SA"/>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534" w:type="pct"/>
            <w:vAlign w:val="center"/>
          </w:tcPr>
          <w:p>
            <w:pPr>
              <w:spacing w:line="360" w:lineRule="auto"/>
              <w:rPr>
                <w:rFonts w:ascii="宋体" w:hAnsi="宋体" w:cs="宋体"/>
                <w:sz w:val="24"/>
              </w:rPr>
            </w:pPr>
            <w:r>
              <w:rPr>
                <w:rFonts w:hint="eastAsia" w:ascii="宋体" w:hAnsi="宋体" w:cs="宋体"/>
                <w:sz w:val="24"/>
              </w:rPr>
              <w:t>合同生效以及具备实施条件后7个工作日内支付</w:t>
            </w:r>
            <w:r>
              <w:rPr>
                <w:rFonts w:hint="eastAsia" w:ascii="宋体" w:hAnsi="宋体" w:cs="宋体"/>
                <w:sz w:val="24"/>
                <w:lang w:val="en-US" w:eastAsia="zh-CN"/>
              </w:rPr>
              <w:t>当期采购金额的40</w:t>
            </w:r>
            <w:r>
              <w:rPr>
                <w:rFonts w:hint="eastAsia" w:ascii="宋体" w:hAnsi="宋体" w:cs="宋体"/>
                <w:sz w:val="24"/>
              </w:rPr>
              <w:t>%预付款</w:t>
            </w:r>
            <w:r>
              <w:rPr>
                <w:rFonts w:hint="eastAsia" w:ascii="宋体" w:hAnsi="宋体" w:cs="宋体"/>
                <w:sz w:val="24"/>
                <w:lang w:eastAsia="zh-CN"/>
              </w:rPr>
              <w:t>，</w:t>
            </w:r>
            <w:r>
              <w:rPr>
                <w:rFonts w:hint="eastAsia" w:ascii="宋体" w:hAnsi="宋体" w:cs="宋体"/>
                <w:sz w:val="24"/>
              </w:rPr>
              <w:t>中标人在每学期开学后一个月左右，将各类品种的定价、各校师生分类供货数量和总金额等有关数据报送教育局。教育局在开学后两个月左右做好本项目相关数据的对账、审核工作,根据销售发票及清单，向中标人支付每学期</w:t>
            </w:r>
            <w:r>
              <w:rPr>
                <w:rFonts w:hint="eastAsia" w:ascii="宋体" w:hAnsi="宋体" w:cs="宋体"/>
                <w:sz w:val="24"/>
                <w:lang w:val="en-US" w:eastAsia="zh-CN"/>
              </w:rPr>
              <w:t>剩余</w:t>
            </w:r>
            <w:r>
              <w:rPr>
                <w:rFonts w:hint="eastAsia" w:ascii="宋体" w:hAnsi="宋体" w:cs="宋体"/>
                <w:sz w:val="24"/>
              </w:rPr>
              <w:t>货款。在签订合同时，供应商明确表示无需预付款或者主动要求降低预付款比例的，采购单位可不适用前述规定。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534" w:type="pct"/>
            <w:vAlign w:val="center"/>
          </w:tcPr>
          <w:p>
            <w:pPr>
              <w:spacing w:line="360" w:lineRule="auto"/>
              <w:rPr>
                <w:rFonts w:ascii="宋体" w:hAnsi="宋体" w:eastAsia="宋体" w:cs="宋体"/>
                <w:kern w:val="2"/>
                <w:sz w:val="24"/>
                <w:szCs w:val="24"/>
                <w:lang w:val="en-US" w:eastAsia="zh-CN" w:bidi="ar-SA"/>
              </w:rPr>
            </w:pPr>
            <w:r>
              <w:rPr>
                <w:rFonts w:hint="eastAsia" w:ascii="宋体" w:hAnsi="宋体" w:cs="宋体"/>
                <w:sz w:val="24"/>
              </w:rPr>
              <w:t>年   月   日前供货完毕。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534" w:type="pct"/>
            <w:vAlign w:val="center"/>
          </w:tcPr>
          <w:p>
            <w:pPr>
              <w:spacing w:line="360" w:lineRule="auto"/>
              <w:rPr>
                <w:rFonts w:ascii="宋体" w:hAnsi="宋体" w:cs="宋体" w:eastAsiaTheme="minorEastAsia"/>
                <w:kern w:val="2"/>
                <w:sz w:val="24"/>
                <w:szCs w:val="24"/>
                <w:lang w:val="en-US" w:eastAsia="zh-CN" w:bidi="ar-SA"/>
              </w:rPr>
            </w:pPr>
            <w:r>
              <w:rPr>
                <w:rFonts w:hint="eastAsia" w:ascii="宋体" w:hAnsi="宋体" w:cs="宋体"/>
                <w:sz w:val="24"/>
                <w:lang w:eastAsia="zh-CN" w:bidi="ar"/>
              </w:rPr>
              <w:t>采购</w:t>
            </w:r>
            <w:r>
              <w:rPr>
                <w:rFonts w:hint="eastAsia" w:ascii="宋体" w:hAnsi="宋体" w:cs="宋体"/>
                <w:sz w:val="24"/>
                <w:lang w:bidi="ar"/>
              </w:rPr>
              <w:t>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534" w:type="pct"/>
            <w:vAlign w:val="center"/>
          </w:tcPr>
          <w:p>
            <w:pPr>
              <w:spacing w:line="360" w:lineRule="auto"/>
              <w:rPr>
                <w:rFonts w:ascii="宋体" w:hAnsi="宋体" w:cs="宋体" w:eastAsiaTheme="minorEastAsia"/>
                <w:kern w:val="2"/>
                <w:sz w:val="24"/>
                <w:szCs w:val="24"/>
                <w:lang w:val="en-US" w:eastAsia="zh-CN" w:bidi="ar-SA"/>
              </w:rPr>
            </w:pPr>
            <w:r>
              <w:rPr>
                <w:rFonts w:hint="eastAsia" w:ascii="宋体" w:hAnsi="宋体" w:cs="宋体"/>
                <w:sz w:val="24"/>
                <w:lang w:bidi="ar"/>
              </w:rPr>
              <w:t>货到现场，包安装、调试、验收等交钥匙项目。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1.8.6</w:t>
            </w:r>
          </w:p>
        </w:tc>
        <w:tc>
          <w:tcPr>
            <w:tcW w:w="4534" w:type="pct"/>
            <w:vAlign w:val="center"/>
          </w:tcPr>
          <w:p>
            <w:pPr>
              <w:spacing w:line="360" w:lineRule="auto"/>
              <w:rPr>
                <w:rFonts w:ascii="宋体" w:hAnsi="宋体" w:cs="宋体"/>
                <w:sz w:val="24"/>
              </w:rPr>
            </w:pPr>
            <w:r>
              <w:rPr>
                <w:rFonts w:hint="eastAsia" w:ascii="宋体" w:hAnsi="宋体" w:cs="宋体"/>
                <w:sz w:val="24"/>
              </w:rPr>
              <w:t>如产品质量未达到投标承诺技术要求及品牌、型号的；采购人将退货处理，乙方承担项目总额20%的违约金。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w:t>
            </w:r>
          </w:p>
        </w:tc>
        <w:tc>
          <w:tcPr>
            <w:tcW w:w="4534" w:type="pct"/>
            <w:vAlign w:val="center"/>
          </w:tcPr>
          <w:p>
            <w:pPr>
              <w:spacing w:line="360" w:lineRule="auto"/>
              <w:rPr>
                <w:rFonts w:ascii="宋体" w:hAnsi="宋体" w:cs="宋体"/>
                <w:sz w:val="24"/>
              </w:rPr>
            </w:pPr>
            <w:r>
              <w:rPr>
                <w:rFonts w:hint="eastAsia" w:ascii="宋体" w:hAnsi="宋体" w:cs="宋体"/>
                <w:sz w:val="24"/>
                <w:lang w:bidi="ar"/>
              </w:rPr>
              <w:t>1.</w:t>
            </w:r>
            <w:r>
              <w:rPr>
                <w:rFonts w:hint="eastAsia" w:ascii="宋体" w:hAnsi="宋体" w:cs="宋体"/>
                <w:sz w:val="24"/>
                <w:lang w:val="en-US" w:eastAsia="zh-CN" w:bidi="ar"/>
              </w:rPr>
              <w:t>9</w:t>
            </w:r>
            <w:r>
              <w:rPr>
                <w:rFonts w:hint="eastAsia" w:ascii="宋体" w:hAnsi="宋体" w:cs="宋体"/>
                <w:sz w:val="24"/>
                <w:lang w:bidi="ar"/>
              </w:rPr>
              <w:t>.2(诉讼)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cs="宋体"/>
                <w:sz w:val="24"/>
              </w:rPr>
            </w:pPr>
            <w:r>
              <w:rPr>
                <w:rFonts w:hint="eastAsia" w:ascii="宋体" w:hAnsi="宋体" w:cs="宋体"/>
                <w:sz w:val="24"/>
                <w:lang w:val="en-US" w:eastAsia="zh-CN"/>
              </w:rPr>
              <w:t>1.9.1</w:t>
            </w:r>
          </w:p>
        </w:tc>
        <w:tc>
          <w:tcPr>
            <w:tcW w:w="4534" w:type="pct"/>
            <w:vAlign w:val="center"/>
          </w:tcPr>
          <w:p>
            <w:pPr>
              <w:spacing w:line="360" w:lineRule="auto"/>
              <w:ind w:left="-420" w:leftChars="-200" w:right="-420" w:rightChars="-200" w:firstLine="480" w:firstLineChars="200"/>
              <w:rPr>
                <w:rFonts w:ascii="宋体" w:hAnsi="宋体" w:cs="宋体"/>
                <w:sz w:val="24"/>
              </w:rPr>
            </w:pPr>
            <w:r>
              <w:rPr>
                <w:rFonts w:hint="eastAsia" w:ascii="宋体" w:hAnsi="宋体" w:cs="宋体"/>
                <w:sz w:val="24"/>
                <w:lang w:val="en-US" w:eastAsia="zh-CN"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cs="宋体"/>
                <w:sz w:val="24"/>
              </w:rPr>
            </w:pPr>
            <w:r>
              <w:rPr>
                <w:rFonts w:hint="eastAsia" w:ascii="宋体" w:hAnsi="宋体" w:cs="宋体"/>
                <w:sz w:val="24"/>
                <w:lang w:val="en-US" w:eastAsia="zh-CN"/>
              </w:rPr>
              <w:t>1.9.2</w:t>
            </w:r>
          </w:p>
        </w:tc>
        <w:tc>
          <w:tcPr>
            <w:tcW w:w="4534" w:type="pct"/>
            <w:vAlign w:val="center"/>
          </w:tcPr>
          <w:p>
            <w:pPr>
              <w:spacing w:line="360" w:lineRule="auto"/>
              <w:ind w:left="-420" w:leftChars="-200" w:right="-420" w:rightChars="-200" w:firstLine="480" w:firstLineChars="200"/>
              <w:rPr>
                <w:rFonts w:ascii="宋体" w:hAnsi="宋体" w:cs="宋体"/>
                <w:sz w:val="24"/>
              </w:rPr>
            </w:pPr>
            <w:r>
              <w:rPr>
                <w:rFonts w:hint="eastAsia" w:ascii="宋体" w:hAnsi="宋体" w:cs="宋体"/>
                <w:sz w:val="24"/>
                <w:lang w:bidi="ar"/>
              </w:rPr>
              <w:t>项目所在地的人民法院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534" w:type="pct"/>
            <w:vAlign w:val="center"/>
          </w:tcPr>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lang w:bidi="ar"/>
              </w:rPr>
              <w:t>归乙方所有，但针对本项目，甲方有无限使用权。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2.4.1</w:t>
            </w:r>
          </w:p>
        </w:tc>
        <w:tc>
          <w:tcPr>
            <w:tcW w:w="4534" w:type="pct"/>
            <w:vAlign w:val="center"/>
          </w:tcPr>
          <w:p>
            <w:pPr>
              <w:spacing w:line="360" w:lineRule="auto"/>
              <w:ind w:left="-420" w:leftChars="-200" w:right="-420" w:rightChars="-200" w:firstLine="480" w:firstLineChars="200"/>
              <w:rPr>
                <w:rFonts w:ascii="宋体" w:hAnsi="宋体" w:cs="宋体"/>
                <w:sz w:val="24"/>
              </w:rPr>
            </w:pPr>
            <w:r>
              <w:rPr>
                <w:rFonts w:hint="eastAsia" w:ascii="宋体" w:hAnsi="宋体" w:cs="宋体"/>
                <w:sz w:val="24"/>
                <w:lang w:bidi="ar"/>
              </w:rPr>
              <w:t>按行业及通用条款要求。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2.4.3</w:t>
            </w:r>
          </w:p>
        </w:tc>
        <w:tc>
          <w:tcPr>
            <w:tcW w:w="4534" w:type="pct"/>
            <w:vAlign w:val="center"/>
          </w:tcPr>
          <w:p>
            <w:pPr>
              <w:spacing w:line="360" w:lineRule="auto"/>
              <w:rPr>
                <w:rFonts w:ascii="宋体" w:hAnsi="宋体" w:cs="宋体"/>
                <w:sz w:val="24"/>
              </w:rPr>
            </w:pPr>
            <w:r>
              <w:rPr>
                <w:rFonts w:hint="eastAsia" w:ascii="宋体" w:hAnsi="宋体" w:cs="宋体"/>
                <w:sz w:val="24"/>
                <w:lang w:bidi="ar"/>
              </w:rPr>
              <w:t>装运货物的要求和通知，乙方应提前7天通知甲方并协调设备的卸货及安装事宜。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ascii="宋体" w:hAnsi="宋体" w:cs="宋体"/>
                <w:sz w:val="24"/>
              </w:rPr>
            </w:pPr>
            <w:r>
              <w:rPr>
                <w:rFonts w:hint="eastAsia" w:ascii="宋体" w:hAnsi="宋体" w:cs="宋体"/>
                <w:sz w:val="24"/>
              </w:rPr>
              <w:t xml:space="preserve">2.8 </w:t>
            </w:r>
          </w:p>
        </w:tc>
        <w:tc>
          <w:tcPr>
            <w:tcW w:w="4534" w:type="pct"/>
            <w:vAlign w:val="top"/>
          </w:tcPr>
          <w:p>
            <w:pPr>
              <w:spacing w:line="360" w:lineRule="auto"/>
              <w:rPr>
                <w:rFonts w:ascii="宋体" w:hAnsi="宋体" w:eastAsia="宋体" w:cs="宋体"/>
                <w:kern w:val="2"/>
                <w:sz w:val="24"/>
                <w:szCs w:val="24"/>
                <w:lang w:val="en-US" w:eastAsia="zh-CN" w:bidi="ar-SA"/>
              </w:rPr>
            </w:pPr>
            <w:r>
              <w:rPr>
                <w:rFonts w:hint="eastAsia" w:ascii="宋体" w:hAnsi="宋体" w:cs="宋体"/>
                <w:sz w:val="24"/>
                <w:lang w:bidi="ar"/>
              </w:rPr>
              <w:t>货物或者在途货物或者交付给第一承运人后的货物毁损、灭失的风险负担均由乙方负责，并承担延期交货的违约责任。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2.12.3</w:t>
            </w:r>
          </w:p>
        </w:tc>
        <w:tc>
          <w:tcPr>
            <w:tcW w:w="4534" w:type="pct"/>
            <w:vAlign w:val="center"/>
          </w:tcPr>
          <w:p>
            <w:pPr>
              <w:spacing w:line="360" w:lineRule="auto"/>
              <w:rPr>
                <w:rFonts w:ascii="宋体" w:hAnsi="宋体" w:cs="宋体" w:eastAsiaTheme="minorEastAsia"/>
                <w:kern w:val="2"/>
                <w:sz w:val="24"/>
                <w:szCs w:val="24"/>
                <w:lang w:val="en-US" w:eastAsia="zh-CN" w:bidi="ar-SA"/>
              </w:rPr>
            </w:pPr>
            <w:r>
              <w:rPr>
                <w:rFonts w:hint="eastAsia" w:ascii="宋体" w:hAnsi="宋体" w:cs="宋体"/>
                <w:sz w:val="24"/>
                <w:lang w:bidi="ar"/>
              </w:rPr>
              <w:t>不可抗力时间发生后7天内以书面形式变更合同。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2.12.4</w:t>
            </w:r>
          </w:p>
        </w:tc>
        <w:tc>
          <w:tcPr>
            <w:tcW w:w="4534" w:type="pct"/>
            <w:vAlign w:val="center"/>
          </w:tcPr>
          <w:p>
            <w:pPr>
              <w:spacing w:line="360" w:lineRule="auto"/>
              <w:rPr>
                <w:rFonts w:ascii="宋体" w:hAnsi="宋体" w:cs="宋体" w:eastAsiaTheme="minorEastAsia"/>
                <w:kern w:val="2"/>
                <w:sz w:val="24"/>
                <w:szCs w:val="24"/>
                <w:lang w:val="en-US" w:eastAsia="zh-CN" w:bidi="ar-SA"/>
              </w:rPr>
            </w:pPr>
            <w:r>
              <w:rPr>
                <w:rFonts w:hint="eastAsia" w:ascii="宋体" w:hAnsi="宋体" w:cs="宋体"/>
                <w:sz w:val="24"/>
                <w:lang w:bidi="ar"/>
              </w:rPr>
              <w:t>受不可抗力影响的一方在不可抗力发生后，应在1个工作日内以书面形式通知对方当事人，并在3个工作日内，将有关部门出具的证明文件送达对方当事人。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2.16.1</w:t>
            </w:r>
          </w:p>
        </w:tc>
        <w:tc>
          <w:tcPr>
            <w:tcW w:w="4534" w:type="pct"/>
            <w:vAlign w:val="center"/>
          </w:tcPr>
          <w:p>
            <w:pPr>
              <w:spacing w:line="360" w:lineRule="auto"/>
              <w:rPr>
                <w:rFonts w:ascii="宋体" w:hAnsi="宋体" w:cs="宋体" w:eastAsiaTheme="minorEastAsia"/>
                <w:kern w:val="2"/>
                <w:sz w:val="24"/>
                <w:szCs w:val="24"/>
                <w:lang w:val="en-US" w:eastAsia="zh-CN" w:bidi="ar-SA"/>
              </w:rPr>
            </w:pPr>
            <w:r>
              <w:rPr>
                <w:rFonts w:hint="eastAsia" w:ascii="宋体" w:hAnsi="宋体" w:cs="宋体"/>
                <w:sz w:val="24"/>
                <w:lang w:bidi="ar"/>
              </w:rPr>
              <w:t>提交申请后30天内。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2.16.3</w:t>
            </w:r>
          </w:p>
        </w:tc>
        <w:tc>
          <w:tcPr>
            <w:tcW w:w="4534" w:type="pct"/>
            <w:vAlign w:val="center"/>
          </w:tcPr>
          <w:p>
            <w:pPr>
              <w:spacing w:line="360" w:lineRule="auto"/>
              <w:rPr>
                <w:rFonts w:ascii="宋体" w:hAnsi="宋体" w:cs="宋体" w:eastAsiaTheme="minorEastAsia"/>
                <w:kern w:val="2"/>
                <w:sz w:val="24"/>
                <w:szCs w:val="24"/>
                <w:lang w:val="en-US" w:eastAsia="zh-CN" w:bidi="ar-SA"/>
              </w:rPr>
            </w:pPr>
            <w:r>
              <w:rPr>
                <w:rFonts w:hint="eastAsia" w:ascii="宋体" w:hAnsi="宋体" w:cs="宋体"/>
                <w:sz w:val="24"/>
                <w:lang w:bidi="ar"/>
              </w:rPr>
              <w:t>检验和验收标准，以及前述验收文件的有效性以招标采购需求为准。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pPr>
              <w:spacing w:line="360" w:lineRule="auto"/>
              <w:rPr>
                <w:rFonts w:ascii="宋体" w:hAnsi="宋体" w:eastAsia="宋体" w:cs="宋体"/>
                <w:kern w:val="2"/>
                <w:sz w:val="24"/>
                <w:szCs w:val="24"/>
                <w:lang w:val="en-US" w:eastAsia="zh-CN" w:bidi="ar-SA"/>
              </w:rPr>
            </w:pPr>
            <w:r>
              <w:rPr>
                <w:rFonts w:hint="eastAsia" w:cs="仿宋" w:asciiTheme="minorEastAsia" w:hAnsiTheme="minorEastAsia"/>
                <w:color w:val="auto"/>
                <w:sz w:val="24"/>
              </w:rPr>
              <w:t>本合同一式六份，双方各执三份。</w:t>
            </w: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pStyle w:val="2"/>
      </w:pPr>
    </w:p>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outlineLvl w:val="0"/>
        <w:rPr>
          <w:rFonts w:hint="eastAsia" w:ascii="宋体" w:hAnsi="宋体" w:cs="宋体"/>
          <w:b/>
          <w:sz w:val="36"/>
          <w:szCs w:val="20"/>
        </w:rPr>
      </w:pP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w:t>
      </w:r>
      <w:r>
        <w:rPr>
          <w:rFonts w:hint="eastAsia" w:ascii="宋体" w:hAnsi="宋体" w:cs="宋体"/>
          <w:b/>
          <w:color w:val="auto"/>
          <w:kern w:val="0"/>
          <w:sz w:val="32"/>
          <w:szCs w:val="32"/>
        </w:rPr>
        <w:t xml:space="preserve"> 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rPr>
        <w:t>（采购人）、</w:t>
      </w:r>
      <w:r>
        <w:rPr>
          <w:rFonts w:hint="eastAsia" w:ascii="宋体" w:hAnsi="宋体" w:cs="宋体"/>
          <w:color w:val="auto"/>
          <w:sz w:val="24"/>
          <w:lang w:eastAsia="zh-CN"/>
        </w:rPr>
        <w:t>杭州市公共资源交易中心临安分中心</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color w:val="auto"/>
          <w:sz w:val="24"/>
        </w:rPr>
        <w:t>2、具有良好的商业信誉和健全的财务会计制度</w:t>
      </w:r>
      <w:r>
        <w:rPr>
          <w:rFonts w:hint="eastAsia" w:ascii="宋体" w:hAnsi="宋体" w:cs="宋体"/>
          <w:sz w:val="24"/>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firstLine="559" w:firstLineChars="233"/>
        <w:jc w:val="left"/>
        <w:rPr>
          <w:rFonts w:ascii="宋体" w:hAnsi="宋体" w:cs="宋体"/>
          <w:b/>
          <w:kern w:val="0"/>
          <w:sz w:val="32"/>
          <w:szCs w:val="32"/>
          <w:highlight w:val="none"/>
        </w:rPr>
      </w:pPr>
      <w:r>
        <w:rPr>
          <w:rFonts w:hint="eastAsia" w:cs="仿宋_GB2312" w:asciiTheme="minorEastAsia" w:hAnsiTheme="minorEastAsia" w:eastAsiaTheme="minorEastAsia"/>
          <w:sz w:val="24"/>
          <w:highlight w:val="none"/>
        </w:rPr>
        <w:t>注：根据《</w:t>
      </w:r>
      <w:r>
        <w:rPr>
          <w:rFonts w:cs="仿宋_GB2312" w:asciiTheme="minorEastAsia" w:hAnsiTheme="minorEastAsia" w:eastAsiaTheme="minorEastAsia"/>
          <w:sz w:val="24"/>
          <w:highlight w:val="none"/>
        </w:rPr>
        <w:t>关于规范政府采购供应商资格设定及资格审查的通知</w:t>
      </w: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浙财采监[2013]24号</w:t>
      </w:r>
      <w:r>
        <w:rPr>
          <w:rFonts w:hint="eastAsia" w:cs="仿宋_GB2312" w:asciiTheme="minorEastAsia" w:hAnsiTheme="minorEastAsia" w:eastAsiaTheme="minorEastAsia"/>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kern w:val="0"/>
          <w:sz w:val="32"/>
          <w:szCs w:val="32"/>
        </w:rPr>
        <w:t>二、联</w:t>
      </w:r>
      <w:r>
        <w:rPr>
          <w:rFonts w:hint="eastAsia" w:ascii="宋体" w:hAnsi="宋体" w:cs="宋体"/>
          <w:b/>
          <w:color w:val="auto"/>
          <w:kern w:val="0"/>
          <w:sz w:val="32"/>
          <w:szCs w:val="32"/>
        </w:rPr>
        <w:t>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pStyle w:val="2"/>
        <w:rPr>
          <w:lang w:val="en-US"/>
        </w:rPr>
      </w:pPr>
    </w:p>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ind w:firstLine="3855" w:firstLineChars="1200"/>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rPr>
        <w:t>（采购人）、</w:t>
      </w:r>
      <w:r>
        <w:rPr>
          <w:rFonts w:hint="eastAsia" w:ascii="宋体" w:hAnsi="宋体" w:cs="宋体"/>
          <w:color w:val="auto"/>
          <w:sz w:val="24"/>
          <w:lang w:eastAsia="zh-CN"/>
        </w:rPr>
        <w:t>杭州市公共资源交易中心临安分中心</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eastAsia="zh-CN"/>
        </w:rPr>
        <w:t>杭州市公共资源交易中心临安分中心</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eastAsia="zh-CN"/>
        </w:rPr>
        <w:t>杭州市公共资源交易中心临安分中心</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b/>
          <w:kern w:val="0"/>
          <w:sz w:val="32"/>
          <w:szCs w:val="32"/>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pPr>
        <w:snapToGrid w:val="0"/>
        <w:spacing w:line="360" w:lineRule="auto"/>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pStyle w:val="2"/>
        <w:rPr>
          <w:rFonts w:hint="eastAsia" w:asciiTheme="minorEastAsia" w:hAnsiTheme="minorEastAsia" w:eastAsiaTheme="minorEastAsia" w:cstheme="minorEastAsia"/>
          <w:b w:val="0"/>
          <w:bCs w:val="0"/>
          <w:highlight w:val="none"/>
          <w:lang w:val="zh-CN"/>
        </w:rPr>
      </w:pPr>
      <w:r>
        <w:rPr>
          <w:rFonts w:hint="eastAsia" w:asciiTheme="minorEastAsia" w:hAnsiTheme="minorEastAsia" w:eastAsiaTheme="minorEastAsia" w:cstheme="minorEastAsia"/>
          <w:b w:val="0"/>
          <w:bCs w:val="0"/>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hint="eastAsia"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                                 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rPr>
      </w:pPr>
      <w:r>
        <w:rPr>
          <w:rFonts w:hint="eastAsia" w:ascii="宋体" w:hAnsi="宋体" w:cs="宋体"/>
          <w:b/>
          <w:kern w:val="0"/>
          <w:sz w:val="32"/>
          <w:szCs w:val="32"/>
        </w:rPr>
        <w:t>三、分</w:t>
      </w:r>
      <w:r>
        <w:rPr>
          <w:rFonts w:hint="eastAsia" w:ascii="宋体" w:hAnsi="宋体" w:cs="宋体"/>
          <w:b/>
          <w:color w:val="auto"/>
          <w:kern w:val="0"/>
          <w:sz w:val="32"/>
          <w:szCs w:val="32"/>
        </w:rPr>
        <w:t>包意向协议（如果有）</w:t>
      </w:r>
    </w:p>
    <w:p>
      <w:pPr>
        <w:widowControl/>
        <w:spacing w:line="360" w:lineRule="auto"/>
        <w:ind w:firstLine="120" w:firstLineChars="50"/>
        <w:jc w:val="left"/>
        <w:rPr>
          <w:rFonts w:ascii="宋体" w:hAnsi="宋体" w:cs="宋体"/>
          <w:color w:val="auto"/>
          <w:sz w:val="24"/>
        </w:rPr>
      </w:pPr>
      <w:bookmarkStart w:id="548"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548"/>
    <w:p>
      <w:pPr>
        <w:snapToGrid w:val="0"/>
        <w:spacing w:line="360" w:lineRule="auto"/>
        <w:rPr>
          <w:rFonts w:ascii="宋体" w:hAnsi="宋体" w:cs="宋体"/>
          <w:color w:val="auto"/>
          <w:kern w:val="0"/>
          <w:sz w:val="24"/>
        </w:rPr>
      </w:pPr>
    </w:p>
    <w:p>
      <w:pPr>
        <w:jc w:val="center"/>
        <w:rPr>
          <w:rFonts w:ascii="宋体" w:hAnsi="宋体" w:cs="宋体"/>
          <w:b/>
          <w:color w:val="auto"/>
          <w:kern w:val="0"/>
          <w:sz w:val="32"/>
          <w:szCs w:val="32"/>
        </w:rPr>
      </w:pPr>
    </w:p>
    <w:p>
      <w:pPr>
        <w:pStyle w:val="2"/>
        <w:rPr>
          <w:color w:val="auto"/>
          <w:lang w:val="en-US"/>
        </w:rPr>
      </w:pPr>
    </w:p>
    <w:p>
      <w:pPr>
        <w:rPr>
          <w:color w:val="auto"/>
        </w:rPr>
      </w:pPr>
    </w:p>
    <w:p>
      <w:pPr>
        <w:pStyle w:val="2"/>
        <w:rPr>
          <w:color w:val="auto"/>
          <w:lang w:val="en-US"/>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eastAsia="zh-CN"/>
        </w:rPr>
        <w:t>杭州市公共资源交易中心临安分中心</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w:t>
      </w:r>
      <w:r>
        <w:rPr>
          <w:rFonts w:hint="eastAsia" w:ascii="宋体" w:hAnsi="宋体" w:cs="宋体"/>
          <w:kern w:val="0"/>
          <w:sz w:val="24"/>
          <w:lang w:val="zh-CN"/>
        </w:rPr>
        <w:t>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val="en-US" w:eastAsia="zh-CN"/>
        </w:rPr>
        <w:t>杭州市公共资源交易中心临安分中心</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pPr>
        <w:spacing w:line="360" w:lineRule="auto"/>
        <w:jc w:val="center"/>
        <w:rPr>
          <w:rFonts w:hint="eastAsia" w:ascii="宋体" w:hAnsi="宋体" w:cs="宋体"/>
          <w:b/>
          <w:color w:val="auto"/>
          <w:kern w:val="0"/>
          <w:sz w:val="24"/>
          <w:lang w:val="zh-CN"/>
        </w:rPr>
      </w:pPr>
      <w:r>
        <w:rPr>
          <w:rFonts w:hint="eastAsia" w:ascii="宋体" w:hAnsi="宋体" w:cs="宋体"/>
          <w:b/>
          <w:color w:val="auto"/>
          <w:kern w:val="0"/>
          <w:sz w:val="24"/>
          <w:lang w:val="zh-CN"/>
        </w:rPr>
        <w:t>开标一览表（报价表）(统一折扣率)</w:t>
      </w:r>
    </w:p>
    <w:tbl>
      <w:tblPr>
        <w:tblStyle w:val="62"/>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429"/>
        <w:gridCol w:w="110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80" w:type="pct"/>
            <w:noWrap w:val="0"/>
            <w:vAlign w:val="center"/>
          </w:tcPr>
          <w:p>
            <w:pPr>
              <w:snapToGrid w:val="0"/>
              <w:spacing w:line="460" w:lineRule="exact"/>
              <w:jc w:val="center"/>
              <w:rPr>
                <w:rFonts w:hAnsi="宋体" w:cs="宋体"/>
              </w:rPr>
            </w:pPr>
            <w:r>
              <w:rPr>
                <w:rFonts w:hint="eastAsia" w:hAnsi="宋体" w:cs="宋体"/>
              </w:rPr>
              <w:t>项目编号</w:t>
            </w:r>
          </w:p>
        </w:tc>
        <w:tc>
          <w:tcPr>
            <w:tcW w:w="3819" w:type="pct"/>
            <w:noWrap w:val="0"/>
            <w:vAlign w:val="top"/>
          </w:tcPr>
          <w:p>
            <w:pPr>
              <w:snapToGrid w:val="0"/>
              <w:spacing w:line="460" w:lineRule="exact"/>
              <w:jc w:val="center"/>
              <w:rPr>
                <w:rFonts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180" w:type="pct"/>
            <w:noWrap w:val="0"/>
            <w:vAlign w:val="center"/>
          </w:tcPr>
          <w:p>
            <w:pPr>
              <w:snapToGrid w:val="0"/>
              <w:spacing w:line="460" w:lineRule="exact"/>
              <w:jc w:val="center"/>
              <w:rPr>
                <w:rFonts w:hAnsi="宋体" w:cs="宋体"/>
              </w:rPr>
            </w:pPr>
            <w:r>
              <w:rPr>
                <w:rFonts w:hint="eastAsia" w:hAnsi="宋体" w:cs="宋体"/>
              </w:rPr>
              <w:t>项目名称</w:t>
            </w:r>
          </w:p>
        </w:tc>
        <w:tc>
          <w:tcPr>
            <w:tcW w:w="3819" w:type="pct"/>
            <w:noWrap w:val="0"/>
            <w:vAlign w:val="top"/>
          </w:tcPr>
          <w:p>
            <w:pPr>
              <w:snapToGrid w:val="0"/>
              <w:spacing w:line="460" w:lineRule="exact"/>
              <w:jc w:val="center"/>
              <w:rPr>
                <w:rFonts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4" w:hRule="atLeast"/>
        </w:trPr>
        <w:tc>
          <w:tcPr>
            <w:tcW w:w="1180" w:type="pct"/>
            <w:noWrap w:val="0"/>
            <w:vAlign w:val="center"/>
          </w:tcPr>
          <w:p>
            <w:pPr>
              <w:snapToGrid w:val="0"/>
              <w:spacing w:line="460" w:lineRule="exact"/>
              <w:jc w:val="center"/>
              <w:rPr>
                <w:rFonts w:hAnsi="宋体" w:cs="宋体"/>
              </w:rPr>
            </w:pPr>
            <w:r>
              <w:rPr>
                <w:rFonts w:hint="eastAsia" w:hAnsi="宋体" w:cs="宋体"/>
              </w:rPr>
              <w:t>项目报价</w:t>
            </w:r>
          </w:p>
          <w:p>
            <w:pPr>
              <w:snapToGrid w:val="0"/>
              <w:spacing w:line="460" w:lineRule="exact"/>
              <w:jc w:val="center"/>
              <w:rPr>
                <w:rFonts w:hAnsi="宋体" w:cs="宋体"/>
              </w:rPr>
            </w:pPr>
            <w:r>
              <w:rPr>
                <w:rFonts w:hint="eastAsia" w:hAnsi="宋体" w:cs="宋体"/>
              </w:rPr>
              <w:t>（</w:t>
            </w:r>
            <w:r>
              <w:rPr>
                <w:rFonts w:hint="eastAsia" w:hAnsi="宋体"/>
                <w:szCs w:val="24"/>
              </w:rPr>
              <w:t>统一折扣率</w:t>
            </w:r>
            <w:r>
              <w:rPr>
                <w:rFonts w:hint="eastAsia" w:hAnsi="宋体" w:cs="宋体"/>
              </w:rPr>
              <w:t>）</w:t>
            </w:r>
          </w:p>
        </w:tc>
        <w:tc>
          <w:tcPr>
            <w:tcW w:w="3819" w:type="pct"/>
            <w:noWrap w:val="0"/>
            <w:vAlign w:val="center"/>
          </w:tcPr>
          <w:p>
            <w:pPr>
              <w:snapToGrid w:val="0"/>
              <w:spacing w:line="460" w:lineRule="exact"/>
              <w:rPr>
                <w:rFonts w:hAnsi="宋体" w:cs="宋体"/>
                <w:u w:val="single"/>
              </w:rPr>
            </w:pPr>
            <w:r>
              <w:rPr>
                <w:rFonts w:hint="eastAsia" w:hAnsi="宋体" w:cs="宋体"/>
              </w:rPr>
              <w:t>统一折扣率：</w:t>
            </w:r>
            <w:r>
              <w:rPr>
                <w:rFonts w:hint="eastAsia" w:hAnsi="宋体" w:cs="宋体"/>
                <w:u w:val="single"/>
              </w:rPr>
              <w:t xml:space="preserve">             </w:t>
            </w:r>
            <w:r>
              <w:rPr>
                <w:rFonts w:hint="eastAsia" w:hAnsi="宋体" w:cs="宋体"/>
                <w:u w:val="single"/>
                <w:lang w:val="en-US" w:eastAsia="zh-CN"/>
              </w:rPr>
              <w:t xml:space="preserve">  %</w:t>
            </w:r>
          </w:p>
          <w:p>
            <w:pPr>
              <w:spacing w:line="460" w:lineRule="exact"/>
              <w:ind w:firstLine="420" w:firstLineChars="200"/>
              <w:rPr>
                <w:rFonts w:hAnsi="宋体"/>
                <w:szCs w:val="24"/>
              </w:rPr>
            </w:pPr>
            <w:r>
              <w:rPr>
                <w:rFonts w:hint="eastAsia"/>
              </w:rPr>
              <w:t>注：</w:t>
            </w:r>
            <w:r>
              <w:rPr>
                <w:rFonts w:hint="eastAsia" w:ascii="仿宋_GB2312" w:eastAsia="仿宋_GB2312"/>
                <w:b/>
                <w:bCs/>
                <w:szCs w:val="24"/>
              </w:rPr>
              <w:t>计费标准：</w:t>
            </w:r>
            <w:r>
              <w:rPr>
                <w:rFonts w:hint="eastAsia" w:hAnsi="宋体"/>
                <w:szCs w:val="24"/>
              </w:rPr>
              <w:t>计费额=收费标准限额（</w:t>
            </w:r>
            <w:r>
              <w:rPr>
                <w:rFonts w:hint="eastAsia" w:hAnsi="宋体"/>
                <w:szCs w:val="24"/>
                <w:lang w:eastAsia="zh-CN"/>
              </w:rPr>
              <w:t>码洋</w:t>
            </w:r>
            <w:r>
              <w:rPr>
                <w:rFonts w:hint="eastAsia" w:hAnsi="宋体"/>
                <w:szCs w:val="24"/>
              </w:rPr>
              <w:t>）</w:t>
            </w:r>
            <w:r>
              <w:rPr>
                <w:rFonts w:hint="eastAsia" w:ascii="汉仪细圆B5" w:hAnsi="汉仪细圆B5" w:eastAsia="汉仪细圆B5" w:cs="汉仪细圆B5"/>
                <w:szCs w:val="24"/>
              </w:rPr>
              <w:t>×</w:t>
            </w:r>
            <w:r>
              <w:rPr>
                <w:rFonts w:hint="eastAsia" w:hAnsi="宋体"/>
                <w:szCs w:val="24"/>
              </w:rPr>
              <w:t>统一折扣率。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0" w:type="pct"/>
            <w:noWrap w:val="0"/>
            <w:vAlign w:val="center"/>
          </w:tcPr>
          <w:p>
            <w:pPr>
              <w:snapToGrid w:val="0"/>
              <w:spacing w:line="460" w:lineRule="exact"/>
              <w:jc w:val="center"/>
              <w:rPr>
                <w:rFonts w:hAnsi="宋体" w:cs="宋体"/>
                <w:szCs w:val="21"/>
              </w:rPr>
            </w:pPr>
            <w:r>
              <w:rPr>
                <w:rFonts w:hint="eastAsia" w:hAnsi="宋体" w:cs="宋体"/>
                <w:szCs w:val="21"/>
              </w:rPr>
              <w:t>报价说明</w:t>
            </w:r>
          </w:p>
        </w:tc>
        <w:tc>
          <w:tcPr>
            <w:tcW w:w="3819" w:type="pct"/>
            <w:noWrap w:val="0"/>
            <w:vAlign w:val="center"/>
          </w:tcPr>
          <w:p>
            <w:pPr>
              <w:widowControl/>
              <w:snapToGrid w:val="0"/>
              <w:spacing w:line="460" w:lineRule="exact"/>
              <w:rPr>
                <w:rFonts w:hAnsi="宋体" w:cs="宋体"/>
                <w:szCs w:val="21"/>
                <w:u w:val="single"/>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lang w:val="zh-CN"/>
        </w:rPr>
        <w:t>1、投标人需</w:t>
      </w:r>
      <w:r>
        <w:rPr>
          <w:rFonts w:hint="eastAsia" w:ascii="宋体" w:hAnsi="宋体" w:cs="宋体"/>
          <w:kern w:val="0"/>
          <w:sz w:val="24"/>
          <w:highlight w:val="none"/>
          <w:lang w:val="zh-CN"/>
        </w:rPr>
        <w:t>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kern w:val="0"/>
          <w:sz w:val="24"/>
          <w:highlight w:val="none"/>
          <w:lang w:val="zh-CN"/>
        </w:rPr>
        <w:t>2、有关本项目实施所涉及的一切费用均计入报价。总价不为零，报价明细表中部分产品、服务单价为零的，视作已包含在总价中。</w:t>
      </w:r>
      <w:r>
        <w:rPr>
          <w:rFonts w:hint="eastAsia" w:ascii="宋体" w:hAnsi="宋体" w:cs="宋体"/>
          <w:b/>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w:t>
      </w:r>
      <w:r>
        <w:rPr>
          <w:rFonts w:hint="eastAsia" w:ascii="宋体" w:hAnsi="宋体" w:cs="宋体"/>
          <w:color w:val="auto"/>
          <w:kern w:val="0"/>
          <w:sz w:val="24"/>
          <w:lang w:val="zh-CN"/>
        </w:rPr>
        <w:t>（如果有）、规格型号、数量、单价等予以公示。</w:t>
      </w:r>
    </w:p>
    <w:p>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w:t>
      </w:r>
      <w:bookmarkStart w:id="549" w:name="_Hlk101259491"/>
      <w:r>
        <w:rPr>
          <w:rFonts w:hint="eastAsia" w:ascii="宋体" w:hAnsi="宋体" w:eastAsia="宋体" w:cs="宋体"/>
          <w:color w:val="auto"/>
          <w:sz w:val="32"/>
          <w:szCs w:val="32"/>
        </w:rPr>
        <w:t>（如果有）</w:t>
      </w:r>
      <w:bookmarkEnd w:id="549"/>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0"/>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0" w:name="_Toc465665161"/>
      <w:r>
        <w:rPr>
          <w:rFonts w:hint="eastAsia" w:ascii="宋体" w:hAnsi="宋体" w:cs="宋体"/>
        </w:rPr>
        <w:t>附件</w:t>
      </w:r>
      <w:bookmarkEnd w:id="550"/>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51" w:name="OLE_LINK13"/>
      <w:bookmarkStart w:id="552" w:name="OLE_LINK14"/>
      <w:r>
        <w:rPr>
          <w:rFonts w:hint="eastAsia" w:ascii="宋体" w:hAnsi="宋体" w:cs="宋体"/>
          <w:b/>
          <w:spacing w:val="6"/>
          <w:sz w:val="32"/>
          <w:szCs w:val="32"/>
        </w:rPr>
        <w:t>残疾人福利性单位声明函</w:t>
      </w:r>
    </w:p>
    <w:bookmarkEnd w:id="551"/>
    <w:bookmarkEnd w:id="552"/>
    <w:p>
      <w:pPr>
        <w:spacing w:line="360" w:lineRule="auto"/>
        <w:rPr>
          <w:rFonts w:ascii="宋体" w:hAnsi="宋体" w:cs="宋体"/>
          <w:b/>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sz w:val="24"/>
        </w:rPr>
        <w:t>本单位郑重声明，根据《</w:t>
      </w:r>
      <w:r>
        <w:rPr>
          <w:rFonts w:hint="eastAsia" w:ascii="宋体" w:hAnsi="宋体" w:cs="宋体"/>
          <w:color w:val="auto"/>
          <w:sz w:val="24"/>
        </w:rPr>
        <w:t>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sz w:val="24"/>
        </w:rPr>
        <w:t>6.投诉书的投诉请求应与投诉事</w:t>
      </w:r>
      <w:r>
        <w:rPr>
          <w:rFonts w:hint="eastAsia" w:ascii="宋体" w:hAnsi="宋体" w:cs="宋体"/>
          <w:color w:val="auto"/>
          <w:sz w:val="24"/>
        </w:rPr>
        <w:t>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（采购人）、（采购代理机构）：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投标</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553"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3"/>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w:t>
      </w:r>
      <w:r>
        <w:rPr>
          <w:rFonts w:hint="eastAsia" w:ascii="宋体" w:hAnsi="宋体" w:cs="宋体"/>
          <w:b/>
          <w:color w:val="auto"/>
          <w:sz w:val="24"/>
        </w:rPr>
        <w:t>合同的，则不需要提供。</w:t>
      </w:r>
      <w:r>
        <w:rPr>
          <w:rFonts w:hint="eastAsia" w:ascii="宋体" w:hAnsi="宋体" w:cs="宋体"/>
          <w:color w:val="auto"/>
          <w:sz w:val="24"/>
        </w:rPr>
        <w:t>）</w:t>
      </w:r>
    </w:p>
    <w:p>
      <w:pPr>
        <w:snapToGrid w:val="0"/>
        <w:spacing w:line="360" w:lineRule="auto"/>
        <w:ind w:firstLine="576"/>
        <w:rPr>
          <w:rFonts w:ascii="宋体" w:hAnsi="宋体" w:cs="宋体"/>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w:t>
      </w:r>
      <w:r>
        <w:rPr>
          <w:rFonts w:hint="eastAsia" w:ascii="宋体" w:hAnsi="宋体" w:cs="宋体"/>
          <w:kern w:val="0"/>
          <w:sz w:val="24"/>
          <w:u w:val="single"/>
        </w:rPr>
        <w:t>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4"/>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color w:val="auto"/>
          <w:sz w:val="24"/>
        </w:rPr>
      </w:pPr>
      <w:r>
        <w:rPr>
          <w:rFonts w:hint="eastAsia" w:ascii="宋体" w:hAnsi="宋体" w:cs="宋体"/>
          <w:sz w:val="24"/>
        </w:rPr>
        <w:t>本公司（联合体）郑重声明，根据《政府采购促进中小企业发展管理办法》（财库﹝2020﹞46 号）的规定，本</w:t>
      </w:r>
      <w:r>
        <w:rPr>
          <w:rFonts w:hint="eastAsia" w:ascii="宋体" w:hAnsi="宋体" w:cs="宋体"/>
          <w:color w:val="auto"/>
          <w:sz w:val="24"/>
        </w:rPr>
        <w:t xml:space="preserve">公司（联合体）参加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rPr>
          <w:rFonts w:ascii="宋体" w:hAnsi="宋体" w:cs="宋体"/>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汉仪细圆B5">
    <w:altName w:val="Microsoft JhengHei"/>
    <w:panose1 w:val="02010600000101010101"/>
    <w:charset w:val="88"/>
    <w:family w:val="auto"/>
    <w:pitch w:val="default"/>
    <w:sig w:usb0="00000000" w:usb1="00000000" w:usb2="00000002" w:usb3="00000000" w:csb0="00100000" w:csb1="00000000"/>
  </w:font>
  <w:font w:name="PMingLiU">
    <w:panose1 w:val="02020500000000000000"/>
    <w:charset w:val="88"/>
    <w:family w:val="auto"/>
    <w:pitch w:val="default"/>
    <w:sig w:usb0="A00002FF" w:usb1="28CFFCFA" w:usb2="00000016" w:usb3="00000000" w:csb0="00100001" w:csb1="00000000"/>
  </w:font>
  <w:font w:name="Microsoft JhengHei">
    <w:panose1 w:val="020B0604030504040204"/>
    <w:charset w:val="88"/>
    <w:family w:val="auto"/>
    <w:pitch w:val="default"/>
    <w:sig w:usb0="00000087" w:usb1="28AF40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5" w:name="_Toc36110187"/>
    <w:bookmarkStart w:id="556" w:name="_Toc131845147"/>
    <w:bookmarkStart w:id="557" w:name="_Toc91899912"/>
    <w:bookmarkStart w:id="558" w:name="_Toc164085800"/>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D5B66"/>
    <w:multiLevelType w:val="singleLevel"/>
    <w:tmpl w:val="941D5B66"/>
    <w:lvl w:ilvl="0" w:tentative="0">
      <w:start w:val="4"/>
      <w:numFmt w:val="decimal"/>
      <w:lvlText w:val="%1."/>
      <w:lvlJc w:val="left"/>
      <w:pPr>
        <w:tabs>
          <w:tab w:val="left" w:pos="312"/>
        </w:tabs>
      </w:pPr>
    </w:lvl>
  </w:abstractNum>
  <w:abstractNum w:abstractNumId="1">
    <w:nsid w:val="2C894454"/>
    <w:multiLevelType w:val="multilevel"/>
    <w:tmpl w:val="2C894454"/>
    <w:lvl w:ilvl="0" w:tentative="0">
      <w:start w:val="1"/>
      <w:numFmt w:val="japaneseCounting"/>
      <w:lvlText w:val="%1、"/>
      <w:lvlJc w:val="left"/>
      <w:pPr>
        <w:ind w:left="1284" w:hanging="720"/>
      </w:pPr>
      <w:rPr>
        <w:rFonts w:hint="default" w:ascii="Times New Roman" w:hAnsi="Times New Roman" w:cs="Times New Roman"/>
      </w:rPr>
    </w:lvl>
    <w:lvl w:ilvl="1" w:tentative="0">
      <w:start w:val="1"/>
      <w:numFmt w:val="lowerLetter"/>
      <w:lvlText w:val="%2)"/>
      <w:lvlJc w:val="left"/>
      <w:pPr>
        <w:ind w:left="1404" w:hanging="420"/>
      </w:pPr>
      <w:rPr>
        <w:rFonts w:hint="default" w:ascii="Times New Roman" w:hAnsi="Times New Roman" w:cs="Times New Roman"/>
      </w:rPr>
    </w:lvl>
    <w:lvl w:ilvl="2" w:tentative="0">
      <w:start w:val="1"/>
      <w:numFmt w:val="lowerRoman"/>
      <w:lvlText w:val="%3."/>
      <w:lvlJc w:val="right"/>
      <w:pPr>
        <w:ind w:left="1824" w:hanging="420"/>
      </w:pPr>
      <w:rPr>
        <w:rFonts w:hint="default" w:ascii="Times New Roman" w:hAnsi="Times New Roman" w:cs="Times New Roman"/>
      </w:rPr>
    </w:lvl>
    <w:lvl w:ilvl="3" w:tentative="0">
      <w:start w:val="1"/>
      <w:numFmt w:val="decimal"/>
      <w:lvlText w:val="%4."/>
      <w:lvlJc w:val="left"/>
      <w:pPr>
        <w:ind w:left="2244" w:hanging="420"/>
      </w:pPr>
      <w:rPr>
        <w:rFonts w:hint="default" w:ascii="Times New Roman" w:hAnsi="Times New Roman" w:cs="Times New Roman"/>
      </w:rPr>
    </w:lvl>
    <w:lvl w:ilvl="4" w:tentative="0">
      <w:start w:val="1"/>
      <w:numFmt w:val="lowerLetter"/>
      <w:lvlText w:val="%5)"/>
      <w:lvlJc w:val="left"/>
      <w:pPr>
        <w:ind w:left="2664" w:hanging="420"/>
      </w:pPr>
      <w:rPr>
        <w:rFonts w:hint="default" w:ascii="Times New Roman" w:hAnsi="Times New Roman" w:cs="Times New Roman"/>
      </w:rPr>
    </w:lvl>
    <w:lvl w:ilvl="5" w:tentative="0">
      <w:start w:val="1"/>
      <w:numFmt w:val="lowerRoman"/>
      <w:lvlText w:val="%6."/>
      <w:lvlJc w:val="right"/>
      <w:pPr>
        <w:ind w:left="3084" w:hanging="420"/>
      </w:pPr>
      <w:rPr>
        <w:rFonts w:hint="default" w:ascii="Times New Roman" w:hAnsi="Times New Roman" w:cs="Times New Roman"/>
      </w:rPr>
    </w:lvl>
    <w:lvl w:ilvl="6" w:tentative="0">
      <w:start w:val="1"/>
      <w:numFmt w:val="decimal"/>
      <w:lvlText w:val="%7."/>
      <w:lvlJc w:val="left"/>
      <w:pPr>
        <w:ind w:left="3504" w:hanging="420"/>
      </w:pPr>
      <w:rPr>
        <w:rFonts w:hint="default" w:ascii="Times New Roman" w:hAnsi="Times New Roman" w:cs="Times New Roman"/>
      </w:rPr>
    </w:lvl>
    <w:lvl w:ilvl="7" w:tentative="0">
      <w:start w:val="1"/>
      <w:numFmt w:val="lowerLetter"/>
      <w:lvlText w:val="%8)"/>
      <w:lvlJc w:val="left"/>
      <w:pPr>
        <w:ind w:left="3924" w:hanging="420"/>
      </w:pPr>
      <w:rPr>
        <w:rFonts w:hint="default" w:ascii="Times New Roman" w:hAnsi="Times New Roman" w:cs="Times New Roman"/>
      </w:rPr>
    </w:lvl>
    <w:lvl w:ilvl="8" w:tentative="0">
      <w:start w:val="1"/>
      <w:numFmt w:val="lowerRoman"/>
      <w:lvlText w:val="%9."/>
      <w:lvlJc w:val="right"/>
      <w:pPr>
        <w:ind w:left="4344" w:hanging="420"/>
      </w:pPr>
      <w:rPr>
        <w:rFonts w:hint="default" w:ascii="Times New Roman" w:hAnsi="Times New Roman"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YmY4OGYyYWMxMWVhZDVhNmM4YzZhN2FjM2FiMz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1FD5211"/>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687CD1"/>
    <w:rsid w:val="05A16594"/>
    <w:rsid w:val="05A7762D"/>
    <w:rsid w:val="05C700F0"/>
    <w:rsid w:val="060E5941"/>
    <w:rsid w:val="06110FAF"/>
    <w:rsid w:val="06493CA7"/>
    <w:rsid w:val="065A6178"/>
    <w:rsid w:val="066F1CF3"/>
    <w:rsid w:val="06930BB8"/>
    <w:rsid w:val="07245D42"/>
    <w:rsid w:val="07264C62"/>
    <w:rsid w:val="0779354C"/>
    <w:rsid w:val="07A36A10"/>
    <w:rsid w:val="07DD45C5"/>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87F18"/>
    <w:rsid w:val="0A1C0718"/>
    <w:rsid w:val="0A3E7710"/>
    <w:rsid w:val="0A5618E5"/>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1B528D"/>
    <w:rsid w:val="10646583"/>
    <w:rsid w:val="107D4B15"/>
    <w:rsid w:val="108A3C80"/>
    <w:rsid w:val="10C26171"/>
    <w:rsid w:val="10F33360"/>
    <w:rsid w:val="10FC16EA"/>
    <w:rsid w:val="110F1D40"/>
    <w:rsid w:val="11266F33"/>
    <w:rsid w:val="118963A1"/>
    <w:rsid w:val="11C6522A"/>
    <w:rsid w:val="11E104CC"/>
    <w:rsid w:val="11E20309"/>
    <w:rsid w:val="12255233"/>
    <w:rsid w:val="12310B9E"/>
    <w:rsid w:val="12530213"/>
    <w:rsid w:val="127723A9"/>
    <w:rsid w:val="12862074"/>
    <w:rsid w:val="12883966"/>
    <w:rsid w:val="129E45B4"/>
    <w:rsid w:val="12A67B53"/>
    <w:rsid w:val="12D81596"/>
    <w:rsid w:val="13072A44"/>
    <w:rsid w:val="135F4BE2"/>
    <w:rsid w:val="139B1A0A"/>
    <w:rsid w:val="139D25C7"/>
    <w:rsid w:val="13BF3CE4"/>
    <w:rsid w:val="13FC6B61"/>
    <w:rsid w:val="141008D8"/>
    <w:rsid w:val="14125FE6"/>
    <w:rsid w:val="14526478"/>
    <w:rsid w:val="146D271E"/>
    <w:rsid w:val="14982588"/>
    <w:rsid w:val="149A5AD9"/>
    <w:rsid w:val="14A7619D"/>
    <w:rsid w:val="150536C3"/>
    <w:rsid w:val="150C1963"/>
    <w:rsid w:val="151447A0"/>
    <w:rsid w:val="154A6454"/>
    <w:rsid w:val="154C1D2D"/>
    <w:rsid w:val="15762120"/>
    <w:rsid w:val="157F5DCE"/>
    <w:rsid w:val="16A8729C"/>
    <w:rsid w:val="16B33777"/>
    <w:rsid w:val="16BC70A7"/>
    <w:rsid w:val="16C6339E"/>
    <w:rsid w:val="172F2D79"/>
    <w:rsid w:val="17557BEF"/>
    <w:rsid w:val="17D349C1"/>
    <w:rsid w:val="18244F26"/>
    <w:rsid w:val="1830729E"/>
    <w:rsid w:val="1870062C"/>
    <w:rsid w:val="18817102"/>
    <w:rsid w:val="18830A15"/>
    <w:rsid w:val="18852B28"/>
    <w:rsid w:val="188B5321"/>
    <w:rsid w:val="19932372"/>
    <w:rsid w:val="19A20DD5"/>
    <w:rsid w:val="19AE03F1"/>
    <w:rsid w:val="19C534ED"/>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8B0541"/>
    <w:rsid w:val="1C9A1D36"/>
    <w:rsid w:val="1D266CE1"/>
    <w:rsid w:val="1D3963AF"/>
    <w:rsid w:val="1D6A673C"/>
    <w:rsid w:val="1D9247AE"/>
    <w:rsid w:val="1DB567EC"/>
    <w:rsid w:val="1DF51A98"/>
    <w:rsid w:val="1E051CD9"/>
    <w:rsid w:val="1E3D060F"/>
    <w:rsid w:val="1E3F7D2E"/>
    <w:rsid w:val="1E4134E4"/>
    <w:rsid w:val="1E5062B3"/>
    <w:rsid w:val="1E523514"/>
    <w:rsid w:val="1E601A36"/>
    <w:rsid w:val="1E714A66"/>
    <w:rsid w:val="1E802593"/>
    <w:rsid w:val="1E8B6156"/>
    <w:rsid w:val="1EA703CC"/>
    <w:rsid w:val="1EB7330C"/>
    <w:rsid w:val="1F0A0FF3"/>
    <w:rsid w:val="1F5771FF"/>
    <w:rsid w:val="1FD52574"/>
    <w:rsid w:val="1FE868A9"/>
    <w:rsid w:val="20034907"/>
    <w:rsid w:val="20173E4B"/>
    <w:rsid w:val="204E48BC"/>
    <w:rsid w:val="205B4E2F"/>
    <w:rsid w:val="208921B3"/>
    <w:rsid w:val="20973DEB"/>
    <w:rsid w:val="20B26522"/>
    <w:rsid w:val="20B44310"/>
    <w:rsid w:val="20D83B05"/>
    <w:rsid w:val="211116EB"/>
    <w:rsid w:val="216133FC"/>
    <w:rsid w:val="2168544F"/>
    <w:rsid w:val="21D56769"/>
    <w:rsid w:val="21E52EF3"/>
    <w:rsid w:val="21FB5D7B"/>
    <w:rsid w:val="22015E94"/>
    <w:rsid w:val="220B1C3D"/>
    <w:rsid w:val="221D1D20"/>
    <w:rsid w:val="22334A87"/>
    <w:rsid w:val="224D2C4C"/>
    <w:rsid w:val="22927521"/>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4D2989"/>
    <w:rsid w:val="26871DC8"/>
    <w:rsid w:val="26A53EF9"/>
    <w:rsid w:val="26A94201"/>
    <w:rsid w:val="26AC274F"/>
    <w:rsid w:val="27044A29"/>
    <w:rsid w:val="27140B3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1F6D"/>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9500DA"/>
    <w:rsid w:val="30A270F7"/>
    <w:rsid w:val="30DF1478"/>
    <w:rsid w:val="30EC586F"/>
    <w:rsid w:val="318D4C83"/>
    <w:rsid w:val="319C6071"/>
    <w:rsid w:val="31AC537E"/>
    <w:rsid w:val="31DF422C"/>
    <w:rsid w:val="31E3679B"/>
    <w:rsid w:val="31E732FD"/>
    <w:rsid w:val="32517576"/>
    <w:rsid w:val="32BE5C2C"/>
    <w:rsid w:val="32FB6478"/>
    <w:rsid w:val="331A1E68"/>
    <w:rsid w:val="33263B3F"/>
    <w:rsid w:val="336963EB"/>
    <w:rsid w:val="33816EEB"/>
    <w:rsid w:val="33EB55CD"/>
    <w:rsid w:val="33EC4C02"/>
    <w:rsid w:val="33F756D7"/>
    <w:rsid w:val="340D2360"/>
    <w:rsid w:val="3410665D"/>
    <w:rsid w:val="34211214"/>
    <w:rsid w:val="342E63AB"/>
    <w:rsid w:val="347637A2"/>
    <w:rsid w:val="34950E68"/>
    <w:rsid w:val="34986E94"/>
    <w:rsid w:val="34AF62C9"/>
    <w:rsid w:val="34CB4388"/>
    <w:rsid w:val="34FA6E12"/>
    <w:rsid w:val="354D7158"/>
    <w:rsid w:val="358D5588"/>
    <w:rsid w:val="3599632A"/>
    <w:rsid w:val="363A3B40"/>
    <w:rsid w:val="36514EA3"/>
    <w:rsid w:val="365302AE"/>
    <w:rsid w:val="36607A0A"/>
    <w:rsid w:val="366E227C"/>
    <w:rsid w:val="366F2E0D"/>
    <w:rsid w:val="367B6A5C"/>
    <w:rsid w:val="36A74ADA"/>
    <w:rsid w:val="36AD60D5"/>
    <w:rsid w:val="36B224F9"/>
    <w:rsid w:val="36EC0CC9"/>
    <w:rsid w:val="373F410B"/>
    <w:rsid w:val="377C1A80"/>
    <w:rsid w:val="37EE7094"/>
    <w:rsid w:val="38296C89"/>
    <w:rsid w:val="383002EB"/>
    <w:rsid w:val="38586797"/>
    <w:rsid w:val="385D15DF"/>
    <w:rsid w:val="38BC0149"/>
    <w:rsid w:val="38D87D1C"/>
    <w:rsid w:val="39636459"/>
    <w:rsid w:val="3965150F"/>
    <w:rsid w:val="396B7F6C"/>
    <w:rsid w:val="39B417A9"/>
    <w:rsid w:val="39FC5695"/>
    <w:rsid w:val="3A006D8E"/>
    <w:rsid w:val="3A3651E5"/>
    <w:rsid w:val="3A744481"/>
    <w:rsid w:val="3A8C7BEF"/>
    <w:rsid w:val="3A906246"/>
    <w:rsid w:val="3A971EE4"/>
    <w:rsid w:val="3ACE5B29"/>
    <w:rsid w:val="3B2349B7"/>
    <w:rsid w:val="3B616CFF"/>
    <w:rsid w:val="3B6259F6"/>
    <w:rsid w:val="3B976654"/>
    <w:rsid w:val="3BC01EFC"/>
    <w:rsid w:val="3BCA786A"/>
    <w:rsid w:val="3BD31E2F"/>
    <w:rsid w:val="3BF15831"/>
    <w:rsid w:val="3C105946"/>
    <w:rsid w:val="3C471448"/>
    <w:rsid w:val="3C574E0D"/>
    <w:rsid w:val="3C5F759A"/>
    <w:rsid w:val="3C6C525A"/>
    <w:rsid w:val="3CCE23CB"/>
    <w:rsid w:val="3CD17D17"/>
    <w:rsid w:val="3D20324C"/>
    <w:rsid w:val="3D3C7F39"/>
    <w:rsid w:val="3D440F09"/>
    <w:rsid w:val="3D4504A0"/>
    <w:rsid w:val="3D8734BB"/>
    <w:rsid w:val="3D9A11D4"/>
    <w:rsid w:val="3DA16D89"/>
    <w:rsid w:val="3DA364BE"/>
    <w:rsid w:val="3DE041CB"/>
    <w:rsid w:val="3E0D48F6"/>
    <w:rsid w:val="3E1868B4"/>
    <w:rsid w:val="3E377251"/>
    <w:rsid w:val="3E3C3C7D"/>
    <w:rsid w:val="3E42664B"/>
    <w:rsid w:val="3E5A7334"/>
    <w:rsid w:val="3E7B5D6B"/>
    <w:rsid w:val="3E827E1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536267"/>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A87CC0"/>
    <w:rsid w:val="43C77C27"/>
    <w:rsid w:val="43D404B3"/>
    <w:rsid w:val="43DE09EE"/>
    <w:rsid w:val="44002FAD"/>
    <w:rsid w:val="449101DD"/>
    <w:rsid w:val="44DE1391"/>
    <w:rsid w:val="44F56C87"/>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B131EF"/>
    <w:rsid w:val="46C4686E"/>
    <w:rsid w:val="477B778F"/>
    <w:rsid w:val="478203EC"/>
    <w:rsid w:val="47A57AC5"/>
    <w:rsid w:val="47B025FA"/>
    <w:rsid w:val="4809698F"/>
    <w:rsid w:val="4811697D"/>
    <w:rsid w:val="48503F16"/>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4FF62210"/>
    <w:rsid w:val="5021480F"/>
    <w:rsid w:val="50962ECB"/>
    <w:rsid w:val="50A42E38"/>
    <w:rsid w:val="50A4577F"/>
    <w:rsid w:val="50B73D1F"/>
    <w:rsid w:val="50BD5BC9"/>
    <w:rsid w:val="50C11EEE"/>
    <w:rsid w:val="50D71B94"/>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6F762A"/>
    <w:rsid w:val="54A5249B"/>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3B3A95"/>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0B5FB2"/>
    <w:rsid w:val="59166304"/>
    <w:rsid w:val="595E1678"/>
    <w:rsid w:val="596D5BD4"/>
    <w:rsid w:val="597E3DD8"/>
    <w:rsid w:val="59F80043"/>
    <w:rsid w:val="5A09252F"/>
    <w:rsid w:val="5A0B2778"/>
    <w:rsid w:val="5A2A7C7B"/>
    <w:rsid w:val="5A326D74"/>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63747E"/>
    <w:rsid w:val="5C80234E"/>
    <w:rsid w:val="5C8A680C"/>
    <w:rsid w:val="5D0C4701"/>
    <w:rsid w:val="5D0F0395"/>
    <w:rsid w:val="5D221076"/>
    <w:rsid w:val="5D397964"/>
    <w:rsid w:val="5D5A391C"/>
    <w:rsid w:val="5D5F10C0"/>
    <w:rsid w:val="5D742BF1"/>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D6614A"/>
    <w:rsid w:val="61F94C26"/>
    <w:rsid w:val="62000E56"/>
    <w:rsid w:val="622F79A5"/>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AF2D90"/>
    <w:rsid w:val="66195831"/>
    <w:rsid w:val="662E75B1"/>
    <w:rsid w:val="66342C2E"/>
    <w:rsid w:val="663E784C"/>
    <w:rsid w:val="668B6A45"/>
    <w:rsid w:val="672F3F24"/>
    <w:rsid w:val="673E055F"/>
    <w:rsid w:val="67551CE3"/>
    <w:rsid w:val="675D42BB"/>
    <w:rsid w:val="67A22552"/>
    <w:rsid w:val="67B22DCC"/>
    <w:rsid w:val="67BE71AA"/>
    <w:rsid w:val="67D90273"/>
    <w:rsid w:val="67DE5875"/>
    <w:rsid w:val="67E55852"/>
    <w:rsid w:val="67EB1AB4"/>
    <w:rsid w:val="67FA1285"/>
    <w:rsid w:val="68551F4F"/>
    <w:rsid w:val="687C10C9"/>
    <w:rsid w:val="68840C16"/>
    <w:rsid w:val="68876EFB"/>
    <w:rsid w:val="68884654"/>
    <w:rsid w:val="68904D13"/>
    <w:rsid w:val="689F444F"/>
    <w:rsid w:val="68B96DBB"/>
    <w:rsid w:val="68CA2805"/>
    <w:rsid w:val="68E937A3"/>
    <w:rsid w:val="693E15D3"/>
    <w:rsid w:val="69627681"/>
    <w:rsid w:val="6977531D"/>
    <w:rsid w:val="69CC2BFF"/>
    <w:rsid w:val="69FD55B8"/>
    <w:rsid w:val="6A0B1C62"/>
    <w:rsid w:val="6A2406C8"/>
    <w:rsid w:val="6ADE0BD1"/>
    <w:rsid w:val="6AE96859"/>
    <w:rsid w:val="6B005BA3"/>
    <w:rsid w:val="6B147746"/>
    <w:rsid w:val="6B24787C"/>
    <w:rsid w:val="6B573233"/>
    <w:rsid w:val="6B5B6274"/>
    <w:rsid w:val="6B935D53"/>
    <w:rsid w:val="6C196F71"/>
    <w:rsid w:val="6C226FCB"/>
    <w:rsid w:val="6C31226F"/>
    <w:rsid w:val="6C425976"/>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0534A"/>
    <w:rsid w:val="742222F5"/>
    <w:rsid w:val="74476126"/>
    <w:rsid w:val="74706664"/>
    <w:rsid w:val="747F3682"/>
    <w:rsid w:val="749C4185"/>
    <w:rsid w:val="75067759"/>
    <w:rsid w:val="752E6DCD"/>
    <w:rsid w:val="7551380D"/>
    <w:rsid w:val="75600BE5"/>
    <w:rsid w:val="7564475C"/>
    <w:rsid w:val="75773271"/>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D43B9F"/>
    <w:rsid w:val="79E27E8B"/>
    <w:rsid w:val="79F850CE"/>
    <w:rsid w:val="79FD443C"/>
    <w:rsid w:val="7A1D1975"/>
    <w:rsid w:val="7A3E5150"/>
    <w:rsid w:val="7A4670D6"/>
    <w:rsid w:val="7A534B63"/>
    <w:rsid w:val="7A615382"/>
    <w:rsid w:val="7A67303B"/>
    <w:rsid w:val="7AAB1D04"/>
    <w:rsid w:val="7ABA4368"/>
    <w:rsid w:val="7AD05746"/>
    <w:rsid w:val="7AD658DD"/>
    <w:rsid w:val="7B257FFD"/>
    <w:rsid w:val="7B343476"/>
    <w:rsid w:val="7B5A2978"/>
    <w:rsid w:val="7B5A7E4C"/>
    <w:rsid w:val="7B667AF9"/>
    <w:rsid w:val="7B7468F8"/>
    <w:rsid w:val="7BEE0103"/>
    <w:rsid w:val="7C0A0FE4"/>
    <w:rsid w:val="7C254906"/>
    <w:rsid w:val="7C4B60AF"/>
    <w:rsid w:val="7C590818"/>
    <w:rsid w:val="7C7C10F6"/>
    <w:rsid w:val="7C853BEA"/>
    <w:rsid w:val="7C881368"/>
    <w:rsid w:val="7CE27788"/>
    <w:rsid w:val="7D0C32F1"/>
    <w:rsid w:val="7D0F408D"/>
    <w:rsid w:val="7D491C6C"/>
    <w:rsid w:val="7D5429C0"/>
    <w:rsid w:val="7D6E6D43"/>
    <w:rsid w:val="7DB57A34"/>
    <w:rsid w:val="7DBE41C7"/>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0"/>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5"/>
    <w:link w:val="262"/>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7"/>
    <w:qFormat/>
    <w:uiPriority w:val="0"/>
    <w:pPr>
      <w:autoSpaceDE w:val="0"/>
      <w:autoSpaceDN w:val="0"/>
      <w:spacing w:line="360" w:lineRule="auto"/>
    </w:pPr>
    <w:rPr>
      <w:rFonts w:ascii="宋体" w:hAnsi="Arial" w:cs="Arial"/>
      <w:snapToGrid w:val="0"/>
      <w:sz w:val="24"/>
      <w:szCs w:val="21"/>
      <w:lang w:val="zh-CN"/>
    </w:rPr>
  </w:style>
  <w:style w:type="paragraph" w:styleId="25">
    <w:name w:val="Subtitle"/>
    <w:basedOn w:val="1"/>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3"/>
    <w:qFormat/>
    <w:uiPriority w:val="0"/>
    <w:rPr>
      <w:b/>
      <w:bCs/>
    </w:rPr>
  </w:style>
  <w:style w:type="paragraph" w:styleId="60">
    <w:name w:val="Body Text First Indent"/>
    <w:basedOn w:val="24"/>
    <w:link w:val="318"/>
    <w:qFormat/>
    <w:uiPriority w:val="0"/>
    <w:pPr>
      <w:ind w:firstLine="420"/>
    </w:pPr>
    <w:rPr>
      <w:rFonts w:hAnsi="Calibri" w:cs="Times New Roman"/>
      <w:snapToGrid/>
      <w:szCs w:val="20"/>
    </w:rPr>
  </w:style>
  <w:style w:type="paragraph" w:styleId="61">
    <w:name w:val="Body Text First Indent 2"/>
    <w:basedOn w:val="6"/>
    <w:next w:val="37"/>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25"/>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0"/>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0"/>
    <w:qFormat/>
    <w:uiPriority w:val="0"/>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72B4D-9256-4782-95A6-08916EF33AD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36413</Words>
  <Characters>38408</Characters>
  <Lines>279</Lines>
  <Paragraphs>78</Paragraphs>
  <TotalTime>149</TotalTime>
  <ScaleCrop>false</ScaleCrop>
  <LinksUpToDate>false</LinksUpToDate>
  <CharactersWithSpaces>43695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2021-12-27T03:06:00Z</cp:lastPrinted>
  <dcterms:modified xsi:type="dcterms:W3CDTF">2023-06-12T05:30:39Z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