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p>
    <w:p>
      <w:pPr>
        <w:adjustRightInd/>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b/>
          <w:sz w:val="44"/>
          <w:szCs w:val="44"/>
        </w:rPr>
      </w:pPr>
    </w:p>
    <w:p>
      <w:pPr>
        <w:adjustRightInd/>
        <w:spacing w:line="360" w:lineRule="auto"/>
        <w:jc w:val="center"/>
        <w:rPr>
          <w:rFonts w:hint="eastAsia" w:ascii="仿宋" w:hAnsi="仿宋" w:eastAsia="仿宋" w:cs="仿宋"/>
          <w:b/>
          <w:sz w:val="48"/>
          <w:szCs w:val="48"/>
        </w:rPr>
      </w:pPr>
    </w:p>
    <w:p>
      <w:pPr>
        <w:adjustRightInd/>
        <w:spacing w:line="360" w:lineRule="auto"/>
        <w:jc w:val="center"/>
        <w:rPr>
          <w:rFonts w:hint="eastAsia" w:ascii="仿宋" w:hAnsi="仿宋" w:eastAsia="仿宋" w:cs="仿宋"/>
          <w:sz w:val="48"/>
          <w:szCs w:val="48"/>
        </w:rPr>
      </w:pPr>
      <w:r>
        <w:rPr>
          <w:rFonts w:hint="eastAsia" w:ascii="仿宋" w:hAnsi="仿宋" w:eastAsia="仿宋" w:cs="仿宋"/>
          <w:sz w:val="48"/>
          <w:szCs w:val="48"/>
        </w:rPr>
        <w:t>杭州市临安区政务信息系统商用密码应用方案和安全性评估项目</w:t>
      </w:r>
    </w:p>
    <w:p>
      <w:pPr>
        <w:adjustRightInd/>
        <w:spacing w:line="360" w:lineRule="auto"/>
        <w:jc w:val="center"/>
        <w:rPr>
          <w:rFonts w:hint="eastAsia" w:ascii="仿宋" w:hAnsi="仿宋" w:eastAsia="仿宋" w:cs="仿宋"/>
          <w:sz w:val="48"/>
          <w:szCs w:val="48"/>
          <w:highlight w:val="none"/>
        </w:rPr>
      </w:pPr>
      <w:r>
        <w:rPr>
          <w:rFonts w:hint="eastAsia" w:ascii="仿宋" w:hAnsi="仿宋" w:eastAsia="仿宋" w:cs="仿宋"/>
          <w:sz w:val="48"/>
          <w:szCs w:val="48"/>
        </w:rPr>
        <w:t>招标</w:t>
      </w:r>
      <w:r>
        <w:rPr>
          <w:rFonts w:hint="eastAsia" w:ascii="仿宋" w:hAnsi="仿宋" w:eastAsia="仿宋" w:cs="仿宋"/>
          <w:sz w:val="48"/>
          <w:szCs w:val="48"/>
          <w:highlight w:val="none"/>
        </w:rPr>
        <w:t xml:space="preserve">文件 </w:t>
      </w:r>
    </w:p>
    <w:p>
      <w:pPr>
        <w:adjustRightInd/>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 xml:space="preserve"> （电子招投标）</w:t>
      </w:r>
    </w:p>
    <w:p>
      <w:pPr>
        <w:snapToGrid w:val="0"/>
        <w:spacing w:line="360" w:lineRule="auto"/>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编号:（采购编号</w:t>
      </w:r>
      <w:r>
        <w:rPr>
          <w:rFonts w:hint="eastAsia" w:ascii="仿宋" w:hAnsi="仿宋" w:eastAsia="仿宋" w:cs="仿宋"/>
          <w:sz w:val="30"/>
          <w:szCs w:val="30"/>
          <w:highlight w:val="none"/>
          <w:lang w:val="en-US" w:eastAsia="zh-CN"/>
        </w:rPr>
        <w:t>LZC-GK-2022-09062</w:t>
      </w:r>
      <w:r>
        <w:rPr>
          <w:rFonts w:hint="eastAsia" w:ascii="仿宋" w:hAnsi="仿宋" w:eastAsia="仿宋" w:cs="仿宋"/>
          <w:sz w:val="30"/>
          <w:szCs w:val="30"/>
          <w:highlight w:val="none"/>
        </w:rPr>
        <w:t>）</w:t>
      </w:r>
    </w:p>
    <w:p>
      <w:pPr>
        <w:adjustRightInd/>
        <w:spacing w:line="360" w:lineRule="auto"/>
        <w:rPr>
          <w:rFonts w:hint="eastAsia" w:ascii="仿宋" w:hAnsi="仿宋" w:eastAsia="仿宋" w:cs="仿宋"/>
          <w:sz w:val="28"/>
          <w:szCs w:val="20"/>
        </w:rPr>
      </w:pPr>
    </w:p>
    <w:p>
      <w:pPr>
        <w:spacing w:line="360" w:lineRule="auto"/>
        <w:jc w:val="center"/>
        <w:rPr>
          <w:rFonts w:hint="eastAsia" w:ascii="仿宋" w:hAnsi="仿宋" w:eastAsia="仿宋" w:cs="仿宋"/>
          <w:b/>
          <w:sz w:val="44"/>
          <w:szCs w:val="44"/>
        </w:rPr>
      </w:pPr>
      <w:r>
        <w:rPr>
          <w:rFonts w:hint="eastAsia" w:ascii="仿宋" w:hAnsi="仿宋" w:eastAsia="仿宋" w:cs="仿宋"/>
          <w:b/>
          <w:sz w:val="44"/>
          <w:szCs w:val="44"/>
        </w:rPr>
        <w:t xml:space="preserve"> </w:t>
      </w:r>
    </w:p>
    <w:p>
      <w:pPr>
        <w:spacing w:line="360" w:lineRule="auto"/>
        <w:jc w:val="center"/>
        <w:rPr>
          <w:rFonts w:hint="eastAsia" w:ascii="仿宋" w:hAnsi="仿宋" w:eastAsia="仿宋" w:cs="仿宋"/>
          <w:b/>
          <w:sz w:val="44"/>
          <w:szCs w:val="44"/>
        </w:rPr>
      </w:pPr>
    </w:p>
    <w:p>
      <w:pPr>
        <w:spacing w:line="360" w:lineRule="auto"/>
        <w:jc w:val="center"/>
        <w:rPr>
          <w:rFonts w:hint="eastAsia" w:ascii="仿宋" w:hAnsi="仿宋" w:eastAsia="仿宋" w:cs="仿宋"/>
          <w:sz w:val="24"/>
        </w:rPr>
      </w:pPr>
    </w:p>
    <w:p>
      <w:pPr>
        <w:spacing w:line="360" w:lineRule="auto"/>
        <w:jc w:val="center"/>
        <w:rPr>
          <w:rFonts w:hint="eastAsia" w:ascii="仿宋" w:hAnsi="仿宋" w:eastAsia="仿宋" w:cs="仿宋"/>
          <w:sz w:val="24"/>
        </w:rPr>
      </w:pPr>
    </w:p>
    <w:p>
      <w:pPr>
        <w:spacing w:line="360" w:lineRule="auto"/>
        <w:rPr>
          <w:rFonts w:hint="eastAsia" w:ascii="仿宋" w:hAnsi="仿宋" w:eastAsia="仿宋" w:cs="仿宋"/>
          <w:sz w:val="32"/>
          <w:szCs w:val="32"/>
        </w:rPr>
      </w:pPr>
    </w:p>
    <w:p>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杭州市临安区数据资源管理局</w:t>
      </w:r>
    </w:p>
    <w:p>
      <w:pPr>
        <w:snapToGrid w:val="0"/>
        <w:spacing w:line="360" w:lineRule="auto"/>
        <w:jc w:val="center"/>
        <w:rPr>
          <w:rFonts w:hint="eastAsia" w:ascii="仿宋" w:hAnsi="仿宋" w:eastAsia="仿宋" w:cs="仿宋"/>
          <w:bCs/>
          <w:sz w:val="32"/>
          <w:szCs w:val="32"/>
          <w:lang w:val="en-US" w:eastAsia="zh-CN"/>
        </w:rPr>
      </w:pPr>
      <w:r>
        <w:rPr>
          <w:rFonts w:hint="eastAsia" w:ascii="仿宋" w:hAnsi="仿宋" w:eastAsia="仿宋" w:cs="仿宋"/>
          <w:bCs/>
          <w:sz w:val="32"/>
          <w:szCs w:val="32"/>
        </w:rPr>
        <w:t>杭州市公共资源交易中心</w:t>
      </w:r>
      <w:r>
        <w:rPr>
          <w:rFonts w:hint="eastAsia" w:ascii="仿宋" w:hAnsi="仿宋" w:eastAsia="仿宋" w:cs="仿宋"/>
          <w:bCs/>
          <w:sz w:val="32"/>
          <w:szCs w:val="32"/>
          <w:lang w:eastAsia="zh-CN"/>
        </w:rPr>
        <w:t>临安分中心</w:t>
      </w:r>
    </w:p>
    <w:p>
      <w:pPr>
        <w:snapToGrid w:val="0"/>
        <w:spacing w:line="360" w:lineRule="auto"/>
        <w:jc w:val="center"/>
        <w:rPr>
          <w:rFonts w:hint="eastAsia" w:ascii="仿宋" w:hAnsi="仿宋" w:eastAsia="仿宋" w:cs="仿宋"/>
          <w:bCs/>
          <w:sz w:val="32"/>
          <w:szCs w:val="32"/>
        </w:rPr>
      </w:pPr>
      <w:r>
        <w:rPr>
          <w:rFonts w:hint="eastAsia" w:ascii="仿宋" w:hAnsi="仿宋" w:eastAsia="仿宋" w:cs="仿宋"/>
          <w:bCs/>
          <w:sz w:val="32"/>
          <w:szCs w:val="32"/>
        </w:rPr>
        <w:t>二〇二</w:t>
      </w:r>
      <w:r>
        <w:rPr>
          <w:rFonts w:hint="eastAsia" w:ascii="仿宋" w:hAnsi="仿宋" w:eastAsia="仿宋" w:cs="仿宋"/>
          <w:bCs/>
          <w:sz w:val="32"/>
          <w:szCs w:val="32"/>
          <w:lang w:val="en-US" w:eastAsia="zh-CN"/>
        </w:rPr>
        <w:t>二</w:t>
      </w:r>
      <w:r>
        <w:rPr>
          <w:rFonts w:hint="eastAsia" w:ascii="仿宋" w:hAnsi="仿宋" w:eastAsia="仿宋" w:cs="仿宋"/>
          <w:bCs/>
          <w:sz w:val="32"/>
          <w:szCs w:val="32"/>
        </w:rPr>
        <w:t>年</w:t>
      </w:r>
      <w:r>
        <w:rPr>
          <w:rFonts w:hint="eastAsia" w:ascii="仿宋" w:hAnsi="仿宋" w:eastAsia="仿宋" w:cs="仿宋"/>
          <w:bCs/>
          <w:sz w:val="32"/>
          <w:szCs w:val="32"/>
          <w:lang w:eastAsia="zh-CN"/>
        </w:rPr>
        <w:t>九月二十一</w:t>
      </w:r>
      <w:r>
        <w:rPr>
          <w:rFonts w:hint="eastAsia" w:ascii="仿宋" w:hAnsi="仿宋" w:eastAsia="仿宋" w:cs="仿宋"/>
          <w:bCs/>
          <w:sz w:val="32"/>
          <w:szCs w:val="32"/>
        </w:rPr>
        <w:t>日</w:t>
      </w:r>
    </w:p>
    <w:p>
      <w:pPr>
        <w:spacing w:line="360" w:lineRule="auto"/>
        <w:jc w:val="center"/>
        <w:rPr>
          <w:rFonts w:hint="eastAsia" w:ascii="仿宋" w:hAnsi="仿宋" w:eastAsia="仿宋" w:cs="仿宋"/>
          <w:sz w:val="24"/>
        </w:rPr>
      </w:pPr>
      <w:r>
        <w:rPr>
          <w:rFonts w:hint="eastAsia" w:ascii="仿宋" w:hAnsi="仿宋" w:eastAsia="仿宋" w:cs="仿宋"/>
          <w:sz w:val="24"/>
        </w:rPr>
        <w:br w:type="page"/>
      </w:r>
      <w:bookmarkStart w:id="0" w:name="_Hlt67893495"/>
      <w:bookmarkEnd w:id="0"/>
    </w:p>
    <w:p>
      <w:pPr>
        <w:pStyle w:val="634"/>
        <w:rPr>
          <w:rFonts w:hint="eastAsia" w:ascii="仿宋" w:hAnsi="仿宋" w:eastAsia="仿宋" w:cs="仿宋"/>
        </w:rPr>
      </w:pPr>
    </w:p>
    <w:p>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  录</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第一部分      招标公告</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第二部分      投标人须知</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第三部分      采购需求</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第四部分      评标办法</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第五部分      拟签订的合同文本</w:t>
      </w:r>
    </w:p>
    <w:p>
      <w:pPr>
        <w:spacing w:line="360" w:lineRule="auto"/>
        <w:ind w:firstLine="1280" w:firstLineChars="400"/>
        <w:rPr>
          <w:rFonts w:hint="eastAsia" w:ascii="仿宋" w:hAnsi="仿宋" w:eastAsia="仿宋" w:cs="仿宋"/>
          <w:sz w:val="32"/>
          <w:szCs w:val="32"/>
        </w:rPr>
      </w:pPr>
      <w:r>
        <w:rPr>
          <w:rFonts w:hint="eastAsia" w:ascii="仿宋" w:hAnsi="仿宋" w:eastAsia="仿宋" w:cs="仿宋"/>
          <w:sz w:val="32"/>
          <w:szCs w:val="32"/>
        </w:rPr>
        <w:t>第六部分      应提交的有关格式范例</w:t>
      </w:r>
    </w:p>
    <w:p>
      <w:pPr>
        <w:spacing w:line="360" w:lineRule="auto"/>
        <w:ind w:firstLine="549" w:firstLineChars="229"/>
        <w:rPr>
          <w:rFonts w:hint="eastAsia" w:ascii="仿宋" w:hAnsi="仿宋" w:eastAsia="仿宋" w:cs="仿宋"/>
          <w:sz w:val="24"/>
        </w:rPr>
      </w:pPr>
      <w:bookmarkStart w:id="1" w:name="_Hlt91233176"/>
      <w:bookmarkEnd w:id="1"/>
      <w:bookmarkStart w:id="2" w:name="_Toc91899869"/>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ind w:firstLine="549" w:firstLineChars="229"/>
        <w:rPr>
          <w:rFonts w:hint="eastAsia" w:ascii="仿宋" w:hAnsi="仿宋" w:eastAsia="仿宋" w:cs="仿宋"/>
          <w:sz w:val="24"/>
        </w:rPr>
      </w:pPr>
    </w:p>
    <w:p>
      <w:pPr>
        <w:spacing w:line="360" w:lineRule="auto"/>
        <w:rPr>
          <w:rFonts w:hint="eastAsia" w:ascii="仿宋" w:hAnsi="仿宋" w:eastAsia="仿宋" w:cs="仿宋"/>
          <w:sz w:val="24"/>
        </w:rPr>
      </w:pPr>
    </w:p>
    <w:p>
      <w:pPr>
        <w:adjustRightInd/>
        <w:spacing w:line="360" w:lineRule="auto"/>
        <w:jc w:val="center"/>
        <w:outlineLvl w:val="0"/>
        <w:rPr>
          <w:rFonts w:hint="eastAsia" w:ascii="仿宋" w:hAnsi="仿宋" w:eastAsia="仿宋" w:cs="仿宋"/>
          <w:b/>
          <w:sz w:val="36"/>
          <w:szCs w:val="20"/>
        </w:rPr>
      </w:pPr>
      <w:bookmarkStart w:id="3" w:name="第一部分"/>
      <w:r>
        <w:rPr>
          <w:rFonts w:hint="eastAsia" w:ascii="仿宋" w:hAnsi="仿宋" w:eastAsia="仿宋" w:cs="仿宋"/>
          <w:b/>
          <w:sz w:val="36"/>
          <w:szCs w:val="36"/>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rPr>
      </w:pPr>
      <w:r>
        <w:rPr>
          <w:rFonts w:hint="eastAsia" w:ascii="仿宋" w:hAnsi="仿宋" w:eastAsia="仿宋" w:cs="仿宋"/>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杭州市临安区政务信息系统商用密码应用方案和安全性评估项目招标项目的潜在投标人应在政采云平台（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"https://www.zcygov.cn/）获取（下载）招标文件，并于2021年" </w:instrText>
      </w:r>
      <w:r>
        <w:rPr>
          <w:rFonts w:hint="eastAsia" w:ascii="仿宋" w:hAnsi="仿宋" w:eastAsia="仿宋" w:cs="仿宋"/>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10</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13</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13</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00秒</w:t>
      </w:r>
      <w:r>
        <w:rPr>
          <w:rFonts w:hint="eastAsia" w:ascii="仿宋" w:hAnsi="仿宋" w:eastAsia="仿宋" w:cs="仿宋"/>
          <w:bCs/>
          <w:sz w:val="24"/>
          <w:highlight w:val="none"/>
          <w:u w:val="single"/>
        </w:rPr>
        <w:fldChar w:fldCharType="end"/>
      </w:r>
      <w:r>
        <w:rPr>
          <w:rFonts w:hint="eastAsia" w:ascii="仿宋" w:hAnsi="仿宋" w:eastAsia="仿宋" w:cs="仿宋"/>
          <w:bCs/>
          <w:sz w:val="24"/>
          <w:highlight w:val="none"/>
        </w:rPr>
        <w:t>（北京时间）前</w:t>
      </w:r>
      <w:r>
        <w:rPr>
          <w:rFonts w:hint="eastAsia" w:ascii="仿宋" w:hAnsi="仿宋" w:eastAsia="仿宋" w:cs="仿宋"/>
          <w:sz w:val="24"/>
        </w:rPr>
        <w:t>递交（上传）投标文件。</w:t>
      </w:r>
    </w:p>
    <w:p>
      <w:pPr>
        <w:spacing w:line="360" w:lineRule="auto"/>
        <w:rPr>
          <w:rFonts w:hint="eastAsia" w:ascii="仿宋" w:hAnsi="仿宋" w:eastAsia="仿宋" w:cs="仿宋"/>
          <w:b/>
          <w:sz w:val="24"/>
        </w:rPr>
      </w:pPr>
      <w:r>
        <w:rPr>
          <w:rFonts w:hint="eastAsia" w:ascii="仿宋" w:hAnsi="仿宋" w:eastAsia="仿宋" w:cs="仿宋"/>
          <w:b/>
          <w:sz w:val="24"/>
        </w:rPr>
        <w:t xml:space="preserve">一、项目基本情况                                            </w:t>
      </w:r>
    </w:p>
    <w:p>
      <w:pPr>
        <w:spacing w:line="360" w:lineRule="auto"/>
        <w:rPr>
          <w:rFonts w:hint="eastAsia" w:ascii="仿宋" w:hAnsi="仿宋" w:eastAsia="仿宋" w:cs="仿宋"/>
          <w:b w:val="0"/>
          <w:bCs/>
          <w:sz w:val="24"/>
        </w:rPr>
      </w:pPr>
      <w:r>
        <w:rPr>
          <w:rFonts w:hint="eastAsia" w:ascii="仿宋" w:hAnsi="仿宋" w:eastAsia="仿宋" w:cs="仿宋"/>
          <w:sz w:val="24"/>
        </w:rPr>
        <w:t xml:space="preserve">    </w:t>
      </w:r>
      <w:r>
        <w:rPr>
          <w:rFonts w:hint="eastAsia" w:ascii="仿宋" w:hAnsi="仿宋" w:eastAsia="仿宋" w:cs="仿宋"/>
          <w:b/>
          <w:sz w:val="24"/>
        </w:rPr>
        <w:t>项目编号：</w:t>
      </w:r>
      <w:r>
        <w:rPr>
          <w:rFonts w:hint="eastAsia" w:ascii="仿宋" w:hAnsi="仿宋" w:eastAsia="仿宋" w:cs="仿宋"/>
          <w:b w:val="0"/>
          <w:bCs/>
          <w:sz w:val="24"/>
          <w:lang w:val="en-US" w:eastAsia="zh-CN"/>
        </w:rPr>
        <w:t>LZC-GK-2022-09062</w:t>
      </w:r>
    </w:p>
    <w:p>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项目名称：</w:t>
      </w:r>
      <w:r>
        <w:rPr>
          <w:rFonts w:hint="eastAsia" w:ascii="仿宋" w:hAnsi="仿宋" w:eastAsia="仿宋" w:cs="仿宋"/>
          <w:b w:val="0"/>
          <w:bCs/>
          <w:sz w:val="24"/>
        </w:rPr>
        <w:t>杭州市临安区政务信息系统商用密码应用方案和安全性评估项目</w:t>
      </w:r>
    </w:p>
    <w:p>
      <w:pPr>
        <w:spacing w:line="360" w:lineRule="auto"/>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b/>
          <w:sz w:val="24"/>
        </w:rPr>
        <w:t xml:space="preserve"> 预算金额（元）：</w:t>
      </w:r>
      <w:r>
        <w:rPr>
          <w:rFonts w:hint="eastAsia" w:ascii="仿宋" w:hAnsi="仿宋" w:eastAsia="仿宋" w:cs="仿宋"/>
          <w:b/>
          <w:sz w:val="24"/>
          <w:lang w:val="en-US" w:eastAsia="zh-CN"/>
        </w:rPr>
        <w:t>1650000</w:t>
      </w:r>
      <w:r>
        <w:rPr>
          <w:rFonts w:hint="eastAsia" w:ascii="仿宋" w:hAnsi="仿宋" w:eastAsia="仿宋" w:cs="仿宋"/>
          <w:sz w:val="24"/>
        </w:rPr>
        <w:t xml:space="preserve">  </w:t>
      </w:r>
    </w:p>
    <w:p>
      <w:pPr>
        <w:spacing w:line="360" w:lineRule="auto"/>
        <w:ind w:firstLine="480"/>
        <w:rPr>
          <w:rFonts w:hint="eastAsia" w:ascii="仿宋" w:hAnsi="仿宋" w:eastAsia="仿宋" w:cs="仿宋"/>
          <w:sz w:val="24"/>
        </w:rPr>
      </w:pPr>
      <w:r>
        <w:rPr>
          <w:rFonts w:hint="eastAsia" w:ascii="仿宋" w:hAnsi="仿宋" w:eastAsia="仿宋" w:cs="仿宋"/>
          <w:b/>
          <w:sz w:val="24"/>
        </w:rPr>
        <w:t>最高限价（元）：</w:t>
      </w:r>
      <w:r>
        <w:rPr>
          <w:rFonts w:hint="eastAsia" w:ascii="仿宋" w:hAnsi="仿宋" w:eastAsia="仿宋" w:cs="仿宋"/>
          <w:b/>
          <w:sz w:val="24"/>
          <w:lang w:val="en-US" w:eastAsia="zh-CN"/>
        </w:rPr>
        <w:t>1650000</w:t>
      </w:r>
      <w:r>
        <w:rPr>
          <w:rFonts w:hint="eastAsia" w:ascii="仿宋" w:hAnsi="仿宋" w:eastAsia="仿宋" w:cs="仿宋"/>
          <w:sz w:val="24"/>
        </w:rPr>
        <w:t xml:space="preserve">  </w:t>
      </w:r>
    </w:p>
    <w:p>
      <w:pPr>
        <w:pStyle w:val="2"/>
        <w:spacing w:line="360" w:lineRule="auto"/>
        <w:ind w:firstLine="480"/>
        <w:rPr>
          <w:rFonts w:hint="eastAsia" w:ascii="仿宋" w:hAnsi="仿宋" w:eastAsia="仿宋" w:cs="仿宋"/>
          <w:bCs/>
          <w:snapToGrid/>
          <w:color w:val="auto"/>
          <w:kern w:val="2"/>
          <w:sz w:val="24"/>
          <w:szCs w:val="24"/>
        </w:rPr>
      </w:pPr>
      <w:r>
        <w:rPr>
          <w:rFonts w:hint="eastAsia" w:ascii="仿宋" w:hAnsi="仿宋" w:eastAsia="仿宋" w:cs="仿宋"/>
          <w:b/>
          <w:color w:val="auto"/>
          <w:sz w:val="24"/>
        </w:rPr>
        <w:t>采购需求：</w:t>
      </w:r>
      <w:r>
        <w:rPr>
          <w:rFonts w:hint="eastAsia" w:ascii="仿宋" w:hAnsi="仿宋" w:eastAsia="仿宋" w:cs="仿宋"/>
          <w:b w:val="0"/>
          <w:bCs/>
          <w:color w:val="auto"/>
          <w:sz w:val="24"/>
        </w:rPr>
        <w:t>商用密码应用安全性评估（系统密评）</w:t>
      </w:r>
      <w:r>
        <w:rPr>
          <w:rFonts w:hint="eastAsia" w:ascii="仿宋" w:hAnsi="仿宋" w:eastAsia="仿宋" w:cs="仿宋"/>
          <w:b w:val="0"/>
          <w:bCs/>
          <w:color w:val="auto"/>
          <w:sz w:val="24"/>
          <w:lang w:val="en-US" w:eastAsia="zh-CN"/>
        </w:rPr>
        <w:t>15次、《密码应用方案》商用密码应用安全性评估（方案密评）15次</w:t>
      </w:r>
      <w:r>
        <w:rPr>
          <w:rFonts w:hint="eastAsia" w:ascii="仿宋" w:hAnsi="仿宋" w:eastAsia="仿宋" w:cs="仿宋"/>
          <w:bCs/>
          <w:snapToGrid/>
          <w:color w:val="auto"/>
          <w:kern w:val="2"/>
          <w:sz w:val="24"/>
          <w:szCs w:val="24"/>
        </w:rPr>
        <w:t>。</w:t>
      </w:r>
    </w:p>
    <w:p>
      <w:pPr>
        <w:pStyle w:val="128"/>
        <w:ind w:firstLine="482"/>
        <w:outlineLvl w:val="2"/>
        <w:rPr>
          <w:rFonts w:hint="eastAsia" w:ascii="仿宋" w:hAnsi="仿宋" w:eastAsia="仿宋" w:cs="仿宋"/>
          <w:b w:val="0"/>
          <w:bCs/>
          <w:lang w:eastAsia="zh-CN"/>
        </w:rPr>
      </w:pPr>
      <w:r>
        <w:rPr>
          <w:rFonts w:hint="eastAsia" w:ascii="仿宋" w:hAnsi="仿宋" w:eastAsia="仿宋" w:cs="仿宋"/>
          <w:b/>
        </w:rPr>
        <w:t>合同履约期限：</w:t>
      </w:r>
      <w:r>
        <w:rPr>
          <w:rFonts w:hint="eastAsia" w:ascii="仿宋" w:hAnsi="仿宋" w:eastAsia="仿宋" w:cs="仿宋"/>
          <w:b w:val="0"/>
          <w:bCs/>
        </w:rPr>
        <w:t>本项目服务期限为合同签订之日起三个月完成本采购需求规定所有内容</w:t>
      </w:r>
      <w:r>
        <w:rPr>
          <w:rFonts w:hint="eastAsia" w:ascii="仿宋" w:hAnsi="仿宋" w:eastAsia="仿宋" w:cs="仿宋"/>
          <w:b w:val="0"/>
          <w:bCs/>
          <w:lang w:eastAsia="zh-CN"/>
        </w:rPr>
        <w:t>。</w:t>
      </w:r>
    </w:p>
    <w:p>
      <w:pPr>
        <w:pStyle w:val="2"/>
        <w:spacing w:line="360" w:lineRule="auto"/>
        <w:ind w:firstLine="480"/>
        <w:rPr>
          <w:rFonts w:hint="eastAsia" w:ascii="仿宋" w:hAnsi="仿宋" w:eastAsia="仿宋" w:cs="仿宋"/>
          <w:b/>
          <w:color w:val="auto"/>
        </w:rPr>
      </w:pPr>
      <w:r>
        <w:rPr>
          <w:rFonts w:hint="eastAsia" w:ascii="仿宋" w:hAnsi="仿宋" w:eastAsia="仿宋" w:cs="仿宋"/>
          <w:b/>
          <w:color w:val="auto"/>
          <w:sz w:val="24"/>
        </w:rPr>
        <w:t>本项目接受联合体投标：：</w:t>
      </w:r>
      <w:sdt>
        <w:sdtPr>
          <w:rPr>
            <w:rFonts w:hint="eastAsia" w:ascii="仿宋" w:hAnsi="仿宋" w:eastAsia="仿宋" w:cs="仿宋"/>
            <w:color w:val="auto"/>
            <w:kern w:val="0"/>
            <w:sz w:val="24"/>
          </w:rPr>
          <w:id w:val="-441836950"/>
          <w14:checkbox>
            <w14:checked w14:val="1"/>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sym w:font="Wingdings" w:char="F0FE"/>
          </w:r>
        </w:sdtContent>
      </w:sdt>
      <w:r>
        <w:rPr>
          <w:rFonts w:hint="eastAsia" w:ascii="仿宋" w:hAnsi="仿宋" w:eastAsia="仿宋" w:cs="仿宋"/>
          <w:b/>
          <w:color w:val="auto"/>
          <w:sz w:val="24"/>
        </w:rPr>
        <w:t>是；</w:t>
      </w:r>
      <w:sdt>
        <w:sdtPr>
          <w:rPr>
            <w:rFonts w:hint="eastAsia" w:ascii="仿宋" w:hAnsi="仿宋" w:eastAsia="仿宋" w:cs="仿宋"/>
            <w:color w:val="auto"/>
            <w:kern w:val="0"/>
            <w:sz w:val="24"/>
          </w:rPr>
          <w:id w:val="-1591624199"/>
          <w14:checkbox>
            <w14:checked w14:val="0"/>
            <w14:checkedState w14:val="00FE" w14:font="Wingdings"/>
            <w14:uncheckedState w14:val="2610" w14:font="MS Gothic"/>
          </w14:checkbox>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b/>
          <w:color w:val="auto"/>
          <w:sz w:val="24"/>
        </w:rPr>
        <w:t>否</w:t>
      </w:r>
      <w:r>
        <w:rPr>
          <w:rFonts w:hint="eastAsia" w:ascii="仿宋" w:hAnsi="仿宋" w:eastAsia="仿宋" w:cs="仿宋"/>
          <w:color w:val="auto"/>
          <w:kern w:val="0"/>
          <w:sz w:val="24"/>
        </w:rPr>
        <w:t>。</w:t>
      </w:r>
    </w:p>
    <w:p>
      <w:pPr>
        <w:spacing w:line="360" w:lineRule="auto"/>
        <w:rPr>
          <w:rFonts w:hint="eastAsia" w:ascii="仿宋" w:hAnsi="仿宋" w:eastAsia="仿宋" w:cs="仿宋"/>
          <w:b/>
          <w:sz w:val="24"/>
        </w:rPr>
      </w:pPr>
      <w:r>
        <w:rPr>
          <w:rFonts w:hint="eastAsia" w:ascii="仿宋" w:hAnsi="仿宋" w:eastAsia="仿宋" w:cs="仿宋"/>
          <w:b/>
          <w:sz w:val="24"/>
        </w:rPr>
        <w:t>二、申请人的资格要求：</w:t>
      </w:r>
    </w:p>
    <w:p>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 xml:space="preserve">    2.</w:t>
      </w:r>
      <w:r>
        <w:rPr>
          <w:rFonts w:hint="eastAsia" w:ascii="仿宋" w:hAnsi="仿宋" w:eastAsia="仿宋" w:cs="仿宋"/>
        </w:rPr>
        <w:t xml:space="preserve"> </w:t>
      </w:r>
      <w:r>
        <w:rPr>
          <w:rFonts w:hint="eastAsia" w:ascii="仿宋" w:hAnsi="仿宋" w:eastAsia="仿宋" w:cs="仿宋"/>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3.落实政府采购政策需满足的资格要求：</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92861692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无</w:t>
      </w:r>
      <w:r>
        <w:rPr>
          <w:rFonts w:hint="eastAsia" w:ascii="仿宋" w:hAnsi="仿宋" w:eastAsia="仿宋" w:cs="仿宋"/>
          <w:snapToGrid w:val="0"/>
          <w:kern w:val="28"/>
          <w:sz w:val="24"/>
          <w:szCs w:val="20"/>
        </w:rPr>
        <w:t>（注：不得限制大中型企业与小微企业组成联合体参与投标）；</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02470430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专</w:t>
      </w:r>
      <w:r>
        <w:rPr>
          <w:rFonts w:hint="eastAsia" w:ascii="仿宋" w:hAnsi="仿宋" w:eastAsia="仿宋" w:cs="仿宋"/>
          <w:sz w:val="24"/>
        </w:rPr>
        <w:t>门面向中小企业</w:t>
      </w:r>
    </w:p>
    <w:p>
      <w:pPr>
        <w:spacing w:line="360" w:lineRule="auto"/>
        <w:ind w:firstLine="897" w:firstLineChars="374"/>
        <w:rPr>
          <w:rFonts w:hint="eastAsia" w:ascii="仿宋" w:hAnsi="仿宋" w:eastAsia="仿宋" w:cs="仿宋"/>
          <w:sz w:val="24"/>
        </w:rPr>
      </w:pPr>
      <w:sdt>
        <w:sdtPr>
          <w:rPr>
            <w:rFonts w:hint="eastAsia" w:ascii="仿宋" w:hAnsi="仿宋" w:eastAsia="仿宋" w:cs="仿宋"/>
            <w:kern w:val="0"/>
            <w:sz w:val="24"/>
          </w:rPr>
          <w:id w:val="-333685401"/>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z w:val="24"/>
        </w:rPr>
        <w:t>服务全部由符合政策要求的中小企业承接，提供中小企业声明函；</w:t>
      </w:r>
    </w:p>
    <w:p>
      <w:pPr>
        <w:spacing w:line="360" w:lineRule="auto"/>
        <w:ind w:firstLine="897" w:firstLineChars="374"/>
        <w:rPr>
          <w:rFonts w:hint="eastAsia" w:ascii="仿宋" w:hAnsi="仿宋" w:eastAsia="仿宋" w:cs="仿宋"/>
        </w:rPr>
      </w:pPr>
      <w:sdt>
        <w:sdtPr>
          <w:rPr>
            <w:rFonts w:hint="eastAsia" w:ascii="仿宋" w:hAnsi="仿宋" w:eastAsia="仿宋" w:cs="仿宋"/>
            <w:kern w:val="0"/>
            <w:sz w:val="24"/>
          </w:rPr>
          <w:id w:val="-214102535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服务全部由符合政策要求的小微企业承接，提供中小企业声明函；</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198560779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要求以联合体形式参加，提供联合协议和中小企业声明函，联合协议中中小企业合同金额应当达到</w:t>
      </w:r>
      <w:r>
        <w:rPr>
          <w:rFonts w:hint="eastAsia" w:ascii="仿宋" w:hAnsi="仿宋" w:eastAsia="仿宋" w:cs="仿宋"/>
          <w:sz w:val="24"/>
          <w:u w:val="single"/>
        </w:rPr>
        <w:t xml:space="preserve">  </w:t>
      </w:r>
      <w:r>
        <w:rPr>
          <w:rFonts w:hint="eastAsia" w:ascii="仿宋" w:hAnsi="仿宋" w:eastAsia="仿宋" w:cs="仿宋"/>
          <w:sz w:val="24"/>
        </w:rPr>
        <w:t>%，小微企业合同金额应当达到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sdt>
        <w:sdtPr>
          <w:rPr>
            <w:rFonts w:hint="eastAsia" w:ascii="仿宋" w:hAnsi="仿宋" w:eastAsia="仿宋" w:cs="仿宋"/>
            <w:kern w:val="0"/>
            <w:sz w:val="24"/>
          </w:rPr>
          <w:id w:val="3463064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要求合同分包，提供分包意向协议和中小企业声明函，分包意向协议中中小企业合同金额应当达到达到</w:t>
      </w:r>
      <w:r>
        <w:rPr>
          <w:rFonts w:hint="eastAsia" w:ascii="仿宋" w:hAnsi="仿宋" w:eastAsia="仿宋" w:cs="仿宋"/>
          <w:sz w:val="24"/>
          <w:u w:val="single"/>
        </w:rPr>
        <w:t xml:space="preserve">  </w:t>
      </w:r>
      <w:r>
        <w:rPr>
          <w:rFonts w:hint="eastAsia" w:ascii="仿宋" w:hAnsi="仿宋" w:eastAsia="仿宋" w:cs="仿宋"/>
          <w:sz w:val="24"/>
        </w:rPr>
        <w:t>% ，小微企业合同金额应当达到</w:t>
      </w:r>
      <w:r>
        <w:rPr>
          <w:rFonts w:hint="eastAsia" w:ascii="仿宋" w:hAnsi="仿宋" w:eastAsia="仿宋" w:cs="仿宋"/>
          <w:sz w:val="24"/>
          <w:u w:val="single"/>
        </w:rPr>
        <w:t xml:space="preserve"> </w:t>
      </w:r>
      <w:r>
        <w:rPr>
          <w:rFonts w:hint="eastAsia" w:ascii="仿宋" w:hAnsi="仿宋" w:eastAsia="仿宋" w:cs="仿宋"/>
          <w:sz w:val="24"/>
        </w:rPr>
        <w:t>% ;</w:t>
      </w:r>
      <w:r>
        <w:rPr>
          <w:rFonts w:hint="eastAsia" w:ascii="仿宋" w:hAnsi="仿宋" w:eastAsia="仿宋" w:cs="仿宋"/>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cs="仿宋"/>
          <w:sz w:val="24"/>
        </w:rPr>
        <w:t>；</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4.本项目的特定资格要求：无；</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sz w:val="24"/>
          <w:highlight w:val="none"/>
        </w:rPr>
      </w:pPr>
      <w:r>
        <w:rPr>
          <w:rFonts w:hint="eastAsia" w:ascii="仿宋" w:hAnsi="仿宋" w:eastAsia="仿宋" w:cs="仿宋"/>
          <w:b/>
          <w:sz w:val="24"/>
        </w:rPr>
        <w:t>三、获取招标文</w:t>
      </w:r>
      <w:r>
        <w:rPr>
          <w:rFonts w:hint="eastAsia" w:ascii="仿宋" w:hAnsi="仿宋" w:eastAsia="仿宋" w:cs="仿宋"/>
          <w:b/>
          <w:sz w:val="24"/>
          <w:highlight w:val="none"/>
        </w:rPr>
        <w:t xml:space="preserve">件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4"/>
          <w:highlight w:val="none"/>
        </w:rPr>
        <w:t>/至</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10</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13</w:t>
      </w:r>
      <w:r>
        <w:rPr>
          <w:rFonts w:hint="eastAsia" w:ascii="仿宋" w:hAnsi="仿宋" w:eastAsia="仿宋" w:cs="仿宋"/>
          <w:sz w:val="24"/>
          <w:highlight w:val="none"/>
          <w:u w:val="single"/>
        </w:rPr>
        <w:t>日</w:t>
      </w:r>
      <w:r>
        <w:rPr>
          <w:rFonts w:hint="eastAsia" w:ascii="仿宋" w:hAnsi="仿宋" w:eastAsia="仿宋" w:cs="仿宋"/>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地点（网址）：</w:t>
      </w:r>
      <w:r>
        <w:rPr>
          <w:rFonts w:hint="eastAsia" w:ascii="仿宋" w:hAnsi="仿宋" w:eastAsia="仿宋" w:cs="仿宋"/>
          <w:sz w:val="24"/>
          <w:highlight w:val="none"/>
        </w:rPr>
        <w:t xml:space="preserve">政采云平台（https://www.zcygov.cn/）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方式：</w:t>
      </w:r>
      <w:r>
        <w:rPr>
          <w:rFonts w:hint="eastAsia" w:ascii="仿宋" w:hAnsi="仿宋" w:eastAsia="仿宋" w:cs="仿宋"/>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售价（元）：</w:t>
      </w:r>
      <w:r>
        <w:rPr>
          <w:rFonts w:hint="eastAsia" w:ascii="仿宋" w:hAnsi="仿宋" w:eastAsia="仿宋" w:cs="仿宋"/>
          <w:sz w:val="24"/>
          <w:highlight w:val="none"/>
        </w:rPr>
        <w:t xml:space="preserve">0 </w:t>
      </w:r>
      <w:r>
        <w:rPr>
          <w:rFonts w:hint="eastAsia" w:ascii="仿宋" w:hAnsi="仿宋" w:eastAsia="仿宋" w:cs="仿宋"/>
          <w:sz w:val="24"/>
          <w:highlight w:val="none"/>
        </w:rPr>
        <w:tab/>
      </w:r>
    </w:p>
    <w:p>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四、提交投标文件截止时间、开标时间和地点</w:t>
      </w:r>
    </w:p>
    <w:p>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提交投标文件截止时间：</w:t>
      </w:r>
      <w:r>
        <w:rPr>
          <w:rFonts w:hint="eastAsia" w:ascii="仿宋" w:hAnsi="仿宋" w:eastAsia="仿宋" w:cs="仿宋"/>
          <w:sz w:val="24"/>
          <w:highlight w:val="none"/>
          <w:u w:val="single"/>
        </w:rPr>
        <w:t xml:space="preserve"> 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10</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13</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13</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 xml:space="preserve"> </w:t>
      </w:r>
      <w:r>
        <w:rPr>
          <w:rFonts w:hint="eastAsia" w:ascii="仿宋" w:hAnsi="仿宋" w:eastAsia="仿宋" w:cs="仿宋"/>
          <w:sz w:val="24"/>
          <w:highlight w:val="none"/>
        </w:rPr>
        <w:t>（北京时间）</w:t>
      </w:r>
    </w:p>
    <w:p>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投标地点（网址）：</w:t>
      </w:r>
      <w:r>
        <w:rPr>
          <w:rFonts w:hint="eastAsia" w:ascii="仿宋" w:hAnsi="仿宋" w:eastAsia="仿宋" w:cs="仿宋"/>
          <w:sz w:val="24"/>
          <w:highlight w:val="none"/>
        </w:rPr>
        <w:t xml:space="preserve">政采云平台（https://www.zcygov.cn/） </w:t>
      </w:r>
    </w:p>
    <w:p>
      <w:pPr>
        <w:spacing w:line="360" w:lineRule="auto"/>
        <w:ind w:firstLine="482" w:firstLineChars="200"/>
        <w:rPr>
          <w:rFonts w:hint="eastAsia" w:ascii="仿宋" w:hAnsi="仿宋" w:eastAsia="仿宋" w:cs="仿宋"/>
          <w:bCs/>
          <w:sz w:val="24"/>
          <w:highlight w:val="none"/>
          <w:u w:val="single"/>
        </w:rPr>
      </w:pPr>
      <w:r>
        <w:rPr>
          <w:rFonts w:hint="eastAsia" w:ascii="仿宋" w:hAnsi="仿宋" w:eastAsia="仿宋" w:cs="仿宋"/>
          <w:b/>
          <w:sz w:val="24"/>
          <w:highlight w:val="none"/>
        </w:rPr>
        <w:t>开标时间：</w:t>
      </w:r>
      <w:r>
        <w:rPr>
          <w:rFonts w:hint="eastAsia" w:ascii="仿宋" w:hAnsi="仿宋" w:eastAsia="仿宋" w:cs="仿宋"/>
          <w:sz w:val="24"/>
          <w:highlight w:val="none"/>
          <w:u w:val="single"/>
        </w:rPr>
        <w:t>202</w:t>
      </w:r>
      <w:r>
        <w:rPr>
          <w:rFonts w:hint="eastAsia" w:ascii="仿宋" w:hAnsi="仿宋" w:eastAsia="仿宋" w:cs="仿宋"/>
          <w:sz w:val="24"/>
          <w:highlight w:val="none"/>
          <w:u w:val="single"/>
          <w:lang w:val="en-US" w:eastAsia="zh-CN"/>
        </w:rPr>
        <w:t>2</w:t>
      </w:r>
      <w:r>
        <w:rPr>
          <w:rFonts w:hint="eastAsia" w:ascii="仿宋" w:hAnsi="仿宋" w:eastAsia="仿宋" w:cs="仿宋"/>
          <w:sz w:val="24"/>
          <w:highlight w:val="none"/>
          <w:u w:val="single"/>
        </w:rPr>
        <w:t>年</w:t>
      </w:r>
      <w:r>
        <w:rPr>
          <w:rFonts w:hint="eastAsia" w:ascii="仿宋" w:hAnsi="仿宋" w:eastAsia="仿宋" w:cs="仿宋"/>
          <w:sz w:val="24"/>
          <w:highlight w:val="none"/>
          <w:u w:val="single"/>
          <w:lang w:val="en-US" w:eastAsia="zh-CN"/>
        </w:rPr>
        <w:t>10</w:t>
      </w:r>
      <w:r>
        <w:rPr>
          <w:rFonts w:hint="eastAsia" w:ascii="仿宋" w:hAnsi="仿宋" w:eastAsia="仿宋" w:cs="仿宋"/>
          <w:sz w:val="24"/>
          <w:highlight w:val="none"/>
          <w:u w:val="single"/>
        </w:rPr>
        <w:t>月</w:t>
      </w:r>
      <w:r>
        <w:rPr>
          <w:rFonts w:hint="eastAsia" w:ascii="仿宋" w:hAnsi="仿宋" w:eastAsia="仿宋" w:cs="仿宋"/>
          <w:sz w:val="24"/>
          <w:highlight w:val="none"/>
          <w:u w:val="single"/>
          <w:lang w:val="en-US" w:eastAsia="zh-CN"/>
        </w:rPr>
        <w:t>13</w:t>
      </w:r>
      <w:r>
        <w:rPr>
          <w:rFonts w:hint="eastAsia" w:ascii="仿宋" w:hAnsi="仿宋" w:eastAsia="仿宋" w:cs="仿宋"/>
          <w:sz w:val="24"/>
          <w:highlight w:val="none"/>
          <w:u w:val="single"/>
        </w:rPr>
        <w:t>日</w:t>
      </w:r>
      <w:r>
        <w:rPr>
          <w:rFonts w:hint="eastAsia" w:ascii="仿宋" w:hAnsi="仿宋" w:eastAsia="仿宋" w:cs="仿宋"/>
          <w:sz w:val="24"/>
          <w:highlight w:val="none"/>
          <w:u w:val="single"/>
          <w:lang w:val="en-US" w:eastAsia="zh-CN"/>
        </w:rPr>
        <w:t>13</w:t>
      </w:r>
      <w:r>
        <w:rPr>
          <w:rFonts w:hint="eastAsia" w:ascii="仿宋" w:hAnsi="仿宋" w:eastAsia="仿宋" w:cs="仿宋"/>
          <w:sz w:val="24"/>
          <w:highlight w:val="none"/>
          <w:u w:val="single"/>
        </w:rPr>
        <w:t>点</w:t>
      </w:r>
      <w:r>
        <w:rPr>
          <w:rFonts w:hint="eastAsia" w:ascii="仿宋" w:hAnsi="仿宋" w:eastAsia="仿宋" w:cs="仿宋"/>
          <w:sz w:val="24"/>
          <w:highlight w:val="none"/>
          <w:u w:val="single"/>
          <w:lang w:val="en-US" w:eastAsia="zh-CN"/>
        </w:rPr>
        <w:t>30</w:t>
      </w:r>
      <w:r>
        <w:rPr>
          <w:rFonts w:hint="eastAsia" w:ascii="仿宋" w:hAnsi="仿宋" w:eastAsia="仿宋" w:cs="仿宋"/>
          <w:sz w:val="24"/>
          <w:highlight w:val="none"/>
          <w:u w:val="single"/>
        </w:rPr>
        <w:t>分</w:t>
      </w:r>
      <w:r>
        <w:rPr>
          <w:rFonts w:hint="eastAsia" w:ascii="仿宋" w:hAnsi="仿宋" w:eastAsia="仿宋" w:cs="仿宋"/>
          <w:bCs/>
          <w:sz w:val="24"/>
          <w:highlight w:val="none"/>
          <w:u w:val="single"/>
        </w:rPr>
        <w:t xml:space="preserve"> </w:t>
      </w:r>
    </w:p>
    <w:p>
      <w:pPr>
        <w:spacing w:line="360" w:lineRule="auto"/>
        <w:ind w:firstLine="482" w:firstLineChars="200"/>
        <w:rPr>
          <w:rFonts w:hint="eastAsia" w:ascii="仿宋" w:hAnsi="仿宋" w:eastAsia="仿宋" w:cs="仿宋"/>
          <w:sz w:val="24"/>
        </w:rPr>
      </w:pPr>
      <w:r>
        <w:rPr>
          <w:rFonts w:hint="eastAsia" w:ascii="仿宋" w:hAnsi="仿宋" w:eastAsia="仿宋" w:cs="仿宋"/>
          <w:b/>
          <w:sz w:val="24"/>
        </w:rPr>
        <w:t>开标地点（网址）：</w:t>
      </w:r>
      <w:r>
        <w:rPr>
          <w:rFonts w:hint="eastAsia" w:ascii="仿宋" w:hAnsi="仿宋" w:eastAsia="仿宋" w:cs="仿宋"/>
          <w:sz w:val="24"/>
        </w:rPr>
        <w:t>政采云平台（https://www.zcygov.cn/）</w:t>
      </w:r>
    </w:p>
    <w:p>
      <w:pPr>
        <w:spacing w:line="360" w:lineRule="auto"/>
        <w:rPr>
          <w:rFonts w:hint="eastAsia" w:ascii="仿宋" w:hAnsi="仿宋" w:eastAsia="仿宋" w:cs="仿宋"/>
          <w:sz w:val="24"/>
        </w:rPr>
      </w:pPr>
      <w:r>
        <w:rPr>
          <w:rFonts w:hint="eastAsia" w:ascii="仿宋" w:hAnsi="仿宋" w:eastAsia="仿宋" w:cs="仿宋"/>
          <w:b/>
          <w:sz w:val="24"/>
        </w:rPr>
        <w:t xml:space="preserve">五、公告期限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自本公告发布之日起5个工作日。</w:t>
      </w:r>
    </w:p>
    <w:p>
      <w:pPr>
        <w:spacing w:line="360" w:lineRule="auto"/>
        <w:rPr>
          <w:rFonts w:hint="eastAsia" w:ascii="仿宋" w:hAnsi="仿宋" w:eastAsia="仿宋" w:cs="仿宋"/>
          <w:b/>
          <w:sz w:val="24"/>
        </w:rPr>
      </w:pPr>
      <w:r>
        <w:rPr>
          <w:rFonts w:hint="eastAsia" w:ascii="仿宋" w:hAnsi="仿宋" w:eastAsia="仿宋" w:cs="仿宋"/>
          <w:b/>
          <w:sz w:val="24"/>
        </w:rPr>
        <w:t>六、其他补充事宜</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pPr>
        <w:spacing w:line="360" w:lineRule="auto"/>
        <w:rPr>
          <w:rFonts w:hint="eastAsia" w:ascii="仿宋" w:hAnsi="仿宋" w:eastAsia="仿宋" w:cs="仿宋"/>
          <w:sz w:val="24"/>
        </w:rPr>
      </w:pPr>
      <w:r>
        <w:rPr>
          <w:rFonts w:hint="eastAsia" w:ascii="仿宋" w:hAnsi="仿宋" w:eastAsia="仿宋" w:cs="仿宋"/>
          <w:sz w:val="24"/>
        </w:rPr>
        <w:t xml:space="preserve">    1.采购人信息</w:t>
      </w:r>
    </w:p>
    <w:p>
      <w:pPr>
        <w:spacing w:line="360" w:lineRule="auto"/>
        <w:rPr>
          <w:rFonts w:hint="eastAsia" w:ascii="仿宋" w:hAnsi="仿宋" w:eastAsia="仿宋" w:cs="仿宋"/>
          <w:sz w:val="24"/>
        </w:rPr>
      </w:pPr>
      <w:r>
        <w:rPr>
          <w:rFonts w:hint="eastAsia" w:ascii="仿宋" w:hAnsi="仿宋" w:eastAsia="仿宋" w:cs="仿宋"/>
          <w:sz w:val="24"/>
        </w:rPr>
        <w:t xml:space="preserve">    名    称：杭州市临安区数据资源管理局 </w:t>
      </w:r>
    </w:p>
    <w:p>
      <w:pPr>
        <w:spacing w:line="360" w:lineRule="auto"/>
        <w:rPr>
          <w:rFonts w:hint="eastAsia" w:ascii="仿宋" w:hAnsi="仿宋" w:eastAsia="仿宋" w:cs="仿宋"/>
          <w:sz w:val="24"/>
        </w:rPr>
      </w:pPr>
      <w:r>
        <w:rPr>
          <w:rFonts w:hint="eastAsia" w:ascii="仿宋" w:hAnsi="仿宋" w:eastAsia="仿宋" w:cs="仿宋"/>
          <w:sz w:val="24"/>
        </w:rPr>
        <w:t xml:space="preserve">    地    址：市民中心2号楼4楼       </w:t>
      </w:r>
    </w:p>
    <w:p>
      <w:pPr>
        <w:spacing w:line="360" w:lineRule="auto"/>
        <w:ind w:firstLine="480"/>
        <w:rPr>
          <w:rFonts w:hint="eastAsia" w:ascii="仿宋" w:hAnsi="仿宋" w:eastAsia="仿宋" w:cs="仿宋"/>
          <w:sz w:val="24"/>
        </w:rPr>
      </w:pPr>
      <w:r>
        <w:rPr>
          <w:rFonts w:hint="eastAsia" w:ascii="仿宋" w:hAnsi="仿宋" w:eastAsia="仿宋" w:cs="仿宋"/>
          <w:sz w:val="24"/>
        </w:rPr>
        <w:t>传    真： /</w:t>
      </w:r>
    </w:p>
    <w:p>
      <w:pPr>
        <w:spacing w:line="360" w:lineRule="auto"/>
        <w:ind w:firstLine="480"/>
        <w:rPr>
          <w:rFonts w:hint="eastAsia" w:ascii="仿宋" w:hAnsi="仿宋" w:eastAsia="仿宋" w:cs="仿宋"/>
          <w:sz w:val="24"/>
        </w:rPr>
      </w:pPr>
      <w:r>
        <w:rPr>
          <w:rFonts w:hint="eastAsia" w:ascii="仿宋" w:hAnsi="仿宋" w:eastAsia="仿宋" w:cs="仿宋"/>
          <w:sz w:val="24"/>
        </w:rPr>
        <w:t xml:space="preserve">项目联系人（询问）：蒋雨婕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项目联系方式（询问）：0571-58606722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质疑联系人：方先生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质疑联系方式：0571-63700016 </w:t>
      </w:r>
    </w:p>
    <w:p>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pPr>
        <w:spacing w:line="360" w:lineRule="auto"/>
        <w:ind w:firstLine="480"/>
        <w:rPr>
          <w:rFonts w:hint="eastAsia" w:ascii="仿宋" w:hAnsi="仿宋" w:eastAsia="仿宋" w:cs="仿宋"/>
          <w:sz w:val="24"/>
        </w:rPr>
      </w:pPr>
      <w:r>
        <w:rPr>
          <w:rFonts w:hint="eastAsia" w:ascii="仿宋" w:hAnsi="仿宋" w:eastAsia="仿宋" w:cs="仿宋"/>
          <w:sz w:val="24"/>
        </w:rPr>
        <w:t>名    称：杭州市公共资源交易中心</w:t>
      </w:r>
      <w:r>
        <w:rPr>
          <w:rFonts w:hint="eastAsia" w:ascii="仿宋" w:hAnsi="仿宋" w:eastAsia="仿宋" w:cs="仿宋"/>
          <w:sz w:val="24"/>
          <w:lang w:eastAsia="zh-CN"/>
        </w:rPr>
        <w:t>临安分中心</w:t>
      </w:r>
    </w:p>
    <w:p>
      <w:pPr>
        <w:spacing w:line="360" w:lineRule="auto"/>
        <w:ind w:firstLine="480"/>
        <w:rPr>
          <w:rFonts w:hint="eastAsia" w:ascii="仿宋" w:hAnsi="仿宋" w:eastAsia="仿宋" w:cs="仿宋"/>
          <w:sz w:val="24"/>
        </w:rPr>
      </w:pPr>
      <w:r>
        <w:rPr>
          <w:rFonts w:hint="eastAsia" w:ascii="仿宋" w:hAnsi="仿宋" w:eastAsia="仿宋" w:cs="仿宋"/>
          <w:sz w:val="24"/>
        </w:rPr>
        <w:t>地    址：</w:t>
      </w:r>
      <w:r>
        <w:rPr>
          <w:rFonts w:hint="eastAsia" w:ascii="仿宋" w:hAnsi="仿宋" w:eastAsia="仿宋" w:cs="仿宋"/>
          <w:sz w:val="24"/>
          <w:lang w:eastAsia="zh-CN"/>
        </w:rPr>
        <w:t>浙江省杭州市临安区锦北街道科技大道</w:t>
      </w:r>
      <w:r>
        <w:rPr>
          <w:rFonts w:hint="eastAsia" w:ascii="仿宋" w:hAnsi="仿宋" w:eastAsia="仿宋" w:cs="仿宋"/>
          <w:sz w:val="24"/>
          <w:lang w:val="en-US" w:eastAsia="zh-CN"/>
        </w:rPr>
        <w:t>4398号市民中心4楼</w:t>
      </w:r>
    </w:p>
    <w:p>
      <w:pPr>
        <w:spacing w:line="360" w:lineRule="auto"/>
        <w:rPr>
          <w:rFonts w:hint="eastAsia" w:ascii="仿宋" w:hAnsi="仿宋" w:eastAsia="仿宋" w:cs="仿宋"/>
          <w:sz w:val="24"/>
        </w:rPr>
      </w:pPr>
      <w:r>
        <w:rPr>
          <w:rFonts w:hint="eastAsia" w:ascii="仿宋" w:hAnsi="仿宋" w:eastAsia="仿宋" w:cs="仿宋"/>
          <w:sz w:val="24"/>
        </w:rPr>
        <w:t xml:space="preserve">    传    真：</w:t>
      </w:r>
      <w:r>
        <w:rPr>
          <w:rFonts w:hint="eastAsia" w:ascii="仿宋" w:hAnsi="仿宋" w:eastAsia="仿宋" w:cs="仿宋"/>
          <w:sz w:val="24"/>
          <w:lang w:val="en-US" w:eastAsia="zh-CN"/>
        </w:rPr>
        <w:t>0571-23616016</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eastAsia="zh-CN"/>
        </w:rPr>
        <w:t>杨颖</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项目联系方式（询问）：</w:t>
      </w:r>
      <w:r>
        <w:rPr>
          <w:rFonts w:hint="eastAsia" w:ascii="仿宋" w:hAnsi="仿宋" w:eastAsia="仿宋" w:cs="仿宋"/>
          <w:sz w:val="24"/>
          <w:lang w:val="en-US" w:eastAsia="zh-CN"/>
        </w:rPr>
        <w:t>0571-23616011</w:t>
      </w:r>
    </w:p>
    <w:p>
      <w:pPr>
        <w:spacing w:line="360" w:lineRule="auto"/>
        <w:rPr>
          <w:rFonts w:hint="eastAsia"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eastAsia="zh-CN"/>
        </w:rPr>
        <w:t>王晖</w:t>
      </w: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    质疑联系方式：0571-</w:t>
      </w:r>
      <w:r>
        <w:rPr>
          <w:rFonts w:hint="eastAsia" w:ascii="仿宋" w:hAnsi="仿宋" w:eastAsia="仿宋" w:cs="仿宋"/>
          <w:sz w:val="24"/>
          <w:lang w:val="en-US" w:eastAsia="zh-CN"/>
        </w:rPr>
        <w:t>23616016</w:t>
      </w:r>
    </w:p>
    <w:p>
      <w:pPr>
        <w:spacing w:line="360" w:lineRule="auto"/>
        <w:rPr>
          <w:rFonts w:hint="eastAsia" w:ascii="仿宋" w:hAnsi="仿宋" w:eastAsia="仿宋" w:cs="仿宋"/>
          <w:sz w:val="24"/>
        </w:rPr>
      </w:pPr>
      <w:r>
        <w:rPr>
          <w:rFonts w:hint="eastAsia" w:ascii="仿宋" w:hAnsi="仿宋" w:eastAsia="仿宋" w:cs="仿宋"/>
          <w:sz w:val="24"/>
        </w:rPr>
        <w:t xml:space="preserve">    3.同级政府采购监督管理部门            </w:t>
      </w:r>
    </w:p>
    <w:p>
      <w:pPr>
        <w:spacing w:line="360" w:lineRule="auto"/>
        <w:rPr>
          <w:rFonts w:hint="eastAsia" w:ascii="仿宋" w:hAnsi="仿宋" w:eastAsia="仿宋" w:cs="仿宋"/>
          <w:sz w:val="24"/>
        </w:rPr>
      </w:pPr>
      <w:r>
        <w:rPr>
          <w:rFonts w:hint="eastAsia" w:ascii="仿宋" w:hAnsi="仿宋" w:eastAsia="仿宋" w:cs="仿宋"/>
          <w:sz w:val="24"/>
        </w:rPr>
        <w:t xml:space="preserve">    名    称：杭州市临安区财政局政府采购监督管理科 </w:t>
      </w:r>
    </w:p>
    <w:p>
      <w:pPr>
        <w:spacing w:line="360" w:lineRule="auto"/>
        <w:rPr>
          <w:rFonts w:hint="eastAsia" w:ascii="仿宋" w:hAnsi="仿宋" w:eastAsia="仿宋" w:cs="仿宋"/>
          <w:sz w:val="24"/>
        </w:rPr>
      </w:pPr>
      <w:r>
        <w:rPr>
          <w:rFonts w:hint="eastAsia" w:ascii="仿宋" w:hAnsi="仿宋" w:eastAsia="仿宋" w:cs="仿宋"/>
          <w:sz w:val="24"/>
        </w:rPr>
        <w:t xml:space="preserve">    地    址：浙江</w:t>
      </w:r>
      <w:r>
        <w:rPr>
          <w:rFonts w:hint="eastAsia" w:ascii="仿宋" w:hAnsi="仿宋" w:eastAsia="仿宋" w:cs="仿宋"/>
          <w:sz w:val="24"/>
          <w:lang w:eastAsia="zh-CN"/>
        </w:rPr>
        <w:t>省杭州市临安区锦北街道科技大道</w:t>
      </w:r>
      <w:r>
        <w:rPr>
          <w:rFonts w:hint="eastAsia" w:ascii="仿宋" w:hAnsi="仿宋" w:eastAsia="仿宋" w:cs="仿宋"/>
          <w:sz w:val="24"/>
          <w:lang w:val="en-US" w:eastAsia="zh-CN"/>
        </w:rPr>
        <w:t>4398号4号楼11楼</w:t>
      </w:r>
      <w:r>
        <w:rPr>
          <w:rFonts w:hint="eastAsia" w:ascii="仿宋" w:hAnsi="仿宋" w:eastAsia="仿宋" w:cs="仿宋"/>
          <w:sz w:val="24"/>
        </w:rPr>
        <w:t xml:space="preserve"> </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 xml:space="preserve">  传    真： 0571-63722886</w:t>
      </w:r>
    </w:p>
    <w:p>
      <w:pPr>
        <w:spacing w:line="360" w:lineRule="auto"/>
        <w:rPr>
          <w:rFonts w:hint="eastAsia" w:ascii="仿宋" w:hAnsi="仿宋" w:eastAsia="仿宋" w:cs="仿宋"/>
          <w:sz w:val="24"/>
        </w:rPr>
      </w:pPr>
      <w:r>
        <w:rPr>
          <w:rFonts w:hint="eastAsia" w:ascii="仿宋" w:hAnsi="仿宋" w:eastAsia="仿宋" w:cs="仿宋"/>
          <w:sz w:val="24"/>
        </w:rPr>
        <w:t xml:space="preserve">    联系人 ：喻先生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监督投诉电话：0571-61073953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pPr>
        <w:pStyle w:val="33"/>
        <w:spacing w:line="360" w:lineRule="auto"/>
        <w:rPr>
          <w:rFonts w:hint="eastAsia" w:ascii="仿宋" w:hAnsi="仿宋" w:eastAsia="仿宋" w:cs="仿宋"/>
          <w:b/>
          <w:sz w:val="36"/>
          <w:szCs w:val="20"/>
        </w:rPr>
      </w:pPr>
      <w:r>
        <w:rPr>
          <w:rFonts w:hint="eastAsia" w:ascii="仿宋" w:hAnsi="仿宋" w:eastAsia="仿宋" w:cs="仿宋"/>
          <w:sz w:val="24"/>
        </w:rPr>
        <w:t xml:space="preserve">                        </w:t>
      </w:r>
      <w:r>
        <w:rPr>
          <w:rFonts w:hint="eastAsia" w:ascii="仿宋" w:hAnsi="仿宋" w:eastAsia="仿宋" w:cs="仿宋"/>
          <w:b/>
          <w:sz w:val="36"/>
          <w:szCs w:val="20"/>
        </w:rPr>
        <w:t>第二部分</w:t>
      </w:r>
      <w:bookmarkEnd w:id="8"/>
      <w:r>
        <w:rPr>
          <w:rFonts w:hint="eastAsia" w:ascii="仿宋" w:hAnsi="仿宋" w:eastAsia="仿宋" w:cs="仿宋"/>
          <w:b/>
          <w:sz w:val="36"/>
          <w:szCs w:val="20"/>
        </w:rPr>
        <w:t xml:space="preserve"> 投标人须知</w:t>
      </w:r>
      <w:bookmarkEnd w:id="9"/>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hint="eastAsia" w:ascii="仿宋" w:hAnsi="仿宋" w:eastAsia="仿宋" w:cs="仿宋"/>
                <w:b/>
                <w:sz w:val="24"/>
              </w:rPr>
            </w:pPr>
            <w:r>
              <w:rPr>
                <w:rFonts w:hint="eastAsia" w:ascii="仿宋" w:hAnsi="仿宋" w:eastAsia="仿宋" w:cs="仿宋"/>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lang w:val="en-US"/>
              </w:rPr>
            </w:pPr>
            <w:r>
              <w:rPr>
                <w:rFonts w:hint="eastAsia" w:ascii="仿宋" w:hAnsi="仿宋" w:eastAsia="仿宋" w:cs="仿宋"/>
                <w:kern w:val="0"/>
                <w:sz w:val="24"/>
              </w:rPr>
              <w:t>标的：</w:t>
            </w:r>
            <w:r>
              <w:rPr>
                <w:rFonts w:hint="eastAsia" w:ascii="仿宋" w:hAnsi="仿宋" w:eastAsia="仿宋" w:cs="仿宋"/>
                <w:b/>
                <w:bCs/>
                <w:kern w:val="0"/>
                <w:sz w:val="24"/>
                <w:u w:val="single"/>
              </w:rPr>
              <w:t>商用密码应用方案和安全性评估</w:t>
            </w:r>
            <w:r>
              <w:rPr>
                <w:rFonts w:hint="eastAsia" w:ascii="仿宋" w:hAnsi="仿宋" w:eastAsia="仿宋" w:cs="仿宋"/>
                <w:kern w:val="0"/>
                <w:sz w:val="24"/>
              </w:rPr>
              <w:t>，属于</w:t>
            </w:r>
            <w:r>
              <w:rPr>
                <w:rFonts w:hint="eastAsia" w:ascii="仿宋" w:hAnsi="仿宋" w:eastAsia="仿宋" w:cs="仿宋"/>
                <w:b/>
                <w:bCs/>
                <w:kern w:val="0"/>
                <w:sz w:val="24"/>
                <w:u w:val="single"/>
              </w:rPr>
              <w:t>软件和信息技术服务业</w:t>
            </w:r>
            <w:r>
              <w:rPr>
                <w:rFonts w:hint="eastAsia" w:ascii="仿宋" w:hAnsi="仿宋" w:eastAsia="仿宋" w:cs="仿宋"/>
                <w:kern w:val="0"/>
                <w:sz w:val="24"/>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82842570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本项目不允许采购进口产品。</w:t>
            </w:r>
          </w:p>
          <w:p>
            <w:pPr>
              <w:spacing w:line="360" w:lineRule="auto"/>
              <w:rPr>
                <w:rFonts w:hint="eastAsia" w:ascii="仿宋" w:hAnsi="仿宋" w:eastAsia="仿宋" w:cs="仿宋"/>
              </w:rPr>
            </w:pPr>
            <w:sdt>
              <w:sdtPr>
                <w:rPr>
                  <w:rFonts w:hint="eastAsia" w:ascii="仿宋" w:hAnsi="仿宋" w:eastAsia="仿宋" w:cs="仿宋"/>
                  <w:kern w:val="0"/>
                  <w:sz w:val="24"/>
                </w:rPr>
                <w:id w:val="-5285282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可以就</w:t>
            </w:r>
            <w:r>
              <w:rPr>
                <w:rFonts w:hint="eastAsia" w:ascii="仿宋" w:hAnsi="仿宋" w:eastAsia="仿宋" w:cs="仿宋"/>
                <w:sz w:val="24"/>
                <w:u w:val="single"/>
              </w:rPr>
              <w:t xml:space="preserve">    </w:t>
            </w:r>
            <w:r>
              <w:rPr>
                <w:rFonts w:hint="eastAsia" w:ascii="仿宋" w:hAnsi="仿宋" w:eastAsia="仿宋" w:cs="仿宋"/>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477286927"/>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MS Gothic" w:hAnsi="MS Gothic" w:eastAsia="仿宋" w:cs="仿宋"/>
                    <w:kern w:val="0"/>
                    <w:sz w:val="24"/>
                    <w:szCs w:val="24"/>
                    <w:lang w:val="en-US" w:eastAsia="zh-CN" w:bidi="ar-SA"/>
                  </w:rPr>
                  <w:t>☐</w:t>
                </w:r>
              </w:sdtContent>
            </w:sdt>
            <w:r>
              <w:rPr>
                <w:rFonts w:hint="eastAsia" w:ascii="仿宋" w:hAnsi="仿宋" w:eastAsia="仿宋" w:cs="仿宋"/>
                <w:kern w:val="0"/>
                <w:sz w:val="24"/>
              </w:rPr>
              <w:t xml:space="preserve">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工作分包。</w:t>
            </w:r>
            <w:sdt>
              <w:sdtPr>
                <w:rPr>
                  <w:rFonts w:hint="eastAsia" w:ascii="仿宋" w:hAnsi="仿宋" w:eastAsia="仿宋" w:cs="仿宋"/>
                  <w:kern w:val="0"/>
                  <w:sz w:val="24"/>
                </w:rPr>
                <w:id w:val="-1276331357"/>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 xml:space="preserve"> B</w:t>
            </w:r>
            <w:r>
              <w:rPr>
                <w:rFonts w:hint="eastAsia" w:ascii="仿宋" w:hAnsi="仿宋" w:eastAsia="仿宋" w:cs="仿宋"/>
                <w:sz w:val="24"/>
              </w:rPr>
              <w:t>不同意分包。</w:t>
            </w:r>
          </w:p>
          <w:p>
            <w:pPr>
              <w:spacing w:line="360" w:lineRule="auto"/>
              <w:rPr>
                <w:rFonts w:hint="eastAsia" w:ascii="仿宋" w:hAnsi="仿宋" w:eastAsia="仿宋" w:cs="仿宋"/>
                <w:sz w:val="24"/>
              </w:rPr>
            </w:pPr>
            <w:r>
              <w:rPr>
                <w:rFonts w:hint="eastAsia" w:ascii="仿宋" w:hAnsi="仿宋" w:eastAsia="仿宋" w:cs="仿宋"/>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21296641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sz w:val="24"/>
                <w:szCs w:val="20"/>
              </w:rPr>
            </w:pPr>
            <w:sdt>
              <w:sdtPr>
                <w:rPr>
                  <w:rFonts w:hint="eastAsia" w:ascii="仿宋" w:hAnsi="仿宋" w:eastAsia="仿宋" w:cs="仿宋"/>
                  <w:kern w:val="0"/>
                  <w:sz w:val="24"/>
                </w:rPr>
                <w:id w:val="-99980297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63994648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A</w:t>
            </w:r>
            <w:r>
              <w:rPr>
                <w:rFonts w:hint="eastAsia" w:ascii="仿宋" w:hAnsi="仿宋" w:eastAsia="仿宋" w:cs="仿宋"/>
                <w:sz w:val="24"/>
              </w:rPr>
              <w:t>不要求提供。</w:t>
            </w:r>
          </w:p>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026831988"/>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B要求提供，</w:t>
            </w:r>
          </w:p>
          <w:p>
            <w:pPr>
              <w:spacing w:line="36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pPr>
              <w:spacing w:line="360" w:lineRule="auto"/>
              <w:rPr>
                <w:rFonts w:hint="eastAsia"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pPr>
              <w:spacing w:line="360" w:lineRule="auto"/>
              <w:rPr>
                <w:rFonts w:hint="eastAsia"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pPr>
              <w:spacing w:line="360" w:lineRule="auto"/>
              <w:rPr>
                <w:rFonts w:hint="eastAsia" w:ascii="仿宋" w:hAnsi="仿宋" w:eastAsia="仿宋" w:cs="仿宋"/>
                <w:sz w:val="24"/>
              </w:rPr>
            </w:pPr>
            <w:r>
              <w:rPr>
                <w:rFonts w:hint="eastAsia" w:ascii="仿宋" w:hAnsi="仿宋" w:eastAsia="仿宋" w:cs="仿宋"/>
                <w:sz w:val="24"/>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hint="eastAsia" w:ascii="仿宋" w:hAnsi="仿宋" w:eastAsia="仿宋" w:cs="仿宋"/>
                <w:b/>
                <w:sz w:val="24"/>
              </w:rPr>
            </w:pPr>
            <w:r>
              <w:rPr>
                <w:rFonts w:hint="eastAsia" w:ascii="仿宋" w:hAnsi="仿宋" w:eastAsia="仿宋" w:cs="仿宋"/>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sdt>
              <w:sdtPr>
                <w:rPr>
                  <w:rFonts w:hint="eastAsia" w:ascii="仿宋" w:hAnsi="仿宋" w:eastAsia="仿宋" w:cs="仿宋"/>
                  <w:kern w:val="0"/>
                  <w:sz w:val="24"/>
                </w:rPr>
                <w:id w:val="-1859348549"/>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kern w:val="0"/>
                <w:sz w:val="24"/>
              </w:rPr>
              <w:t>A</w:t>
            </w:r>
            <w:r>
              <w:rPr>
                <w:rFonts w:hint="eastAsia" w:ascii="仿宋" w:hAnsi="仿宋" w:eastAsia="仿宋" w:cs="仿宋"/>
                <w:sz w:val="24"/>
              </w:rPr>
              <w:t>不组织。</w:t>
            </w:r>
          </w:p>
          <w:p>
            <w:pPr>
              <w:spacing w:line="360" w:lineRule="auto"/>
              <w:rPr>
                <w:rFonts w:hint="eastAsia" w:ascii="仿宋" w:hAnsi="仿宋" w:eastAsia="仿宋" w:cs="仿宋"/>
                <w:kern w:val="0"/>
                <w:sz w:val="24"/>
              </w:rPr>
            </w:pPr>
            <w:sdt>
              <w:sdtPr>
                <w:rPr>
                  <w:rFonts w:hint="eastAsia" w:ascii="仿宋" w:hAnsi="仿宋" w:eastAsia="仿宋" w:cs="仿宋"/>
                  <w:kern w:val="0"/>
                  <w:sz w:val="24"/>
                </w:rPr>
                <w:id w:val="1174071719"/>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B组织。</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（2）方案讲解演示可选择以下其中一种方式：</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方式一：政采云平台在线讲解演示。政采云平台在线讲解需投标人根据政采云平台操作要求做好准备工作，提前完善软硬件配置环境。</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方式二：交易中心现场讲解演示。现场讲解地点为</w:t>
            </w:r>
            <w:r>
              <w:rPr>
                <w:rFonts w:hint="eastAsia" w:ascii="仿宋" w:hAnsi="仿宋" w:eastAsia="仿宋" w:cs="仿宋"/>
                <w:sz w:val="24"/>
                <w:u w:val="single"/>
              </w:rPr>
              <w:t xml:space="preserve">    </w:t>
            </w:r>
            <w:r>
              <w:rPr>
                <w:rFonts w:hint="eastAsia" w:ascii="仿宋" w:hAnsi="仿宋" w:eastAsia="仿宋" w:cs="仿宋"/>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hint="eastAsia" w:ascii="仿宋" w:hAnsi="仿宋" w:eastAsia="仿宋" w:cs="仿宋"/>
                <w:b/>
                <w:kern w:val="0"/>
                <w:sz w:val="24"/>
                <w:lang w:val="zh-CN"/>
              </w:rPr>
            </w:pPr>
            <w:r>
              <w:rPr>
                <w:rFonts w:hint="eastAsia" w:ascii="仿宋" w:hAnsi="仿宋" w:eastAsia="仿宋" w:cs="仿宋"/>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rPr>
            </w:pPr>
            <w:r>
              <w:rPr>
                <w:rFonts w:hint="eastAsia" w:ascii="仿宋" w:hAnsi="仿宋" w:eastAsia="仿宋" w:cs="仿宋"/>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r>
              <w:rPr>
                <w:rFonts w:hint="eastAsia" w:ascii="仿宋" w:hAnsi="仿宋" w:eastAsia="仿宋" w:cs="仿宋"/>
                <w:b/>
                <w:kern w:val="0"/>
                <w:sz w:val="24"/>
                <w:lang w:val="zh-CN"/>
              </w:rPr>
              <w:t>提醒：验收时检测费用由采购人承担，不包含在投标总价中。</w:t>
            </w:r>
          </w:p>
          <w:p>
            <w:pPr>
              <w:snapToGrid w:val="0"/>
              <w:spacing w:line="360" w:lineRule="auto"/>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pPr>
              <w:snapToGrid w:val="0"/>
              <w:spacing w:line="360" w:lineRule="auto"/>
              <w:ind w:firstLine="241" w:firstLineChars="100"/>
              <w:jc w:val="left"/>
              <w:rPr>
                <w:rFonts w:hint="eastAsia" w:ascii="仿宋" w:hAnsi="仿宋" w:eastAsia="仿宋" w:cs="仿宋"/>
                <w:b/>
                <w:kern w:val="0"/>
                <w:sz w:val="24"/>
                <w:lang w:val="zh-CN"/>
              </w:rPr>
            </w:pPr>
            <w:r>
              <w:rPr>
                <w:rFonts w:hint="eastAsia" w:ascii="仿宋" w:hAnsi="仿宋" w:eastAsia="仿宋" w:cs="仿宋"/>
                <w:b/>
                <w:kern w:val="0"/>
                <w:sz w:val="24"/>
                <w:lang w:val="zh-CN"/>
              </w:rPr>
              <w:t>投标文件出现不是唯一的、有选择性投标报价的；</w:t>
            </w:r>
          </w:p>
          <w:p>
            <w:pPr>
              <w:snapToGrid w:val="0"/>
              <w:spacing w:line="360" w:lineRule="auto"/>
              <w:ind w:firstLine="241" w:firstLineChars="100"/>
              <w:jc w:val="left"/>
              <w:rPr>
                <w:rFonts w:hint="eastAsia" w:ascii="仿宋" w:hAnsi="仿宋" w:eastAsia="仿宋" w:cs="仿宋"/>
                <w:kern w:val="0"/>
                <w:sz w:val="24"/>
                <w:lang w:val="zh-CN"/>
              </w:rPr>
            </w:pPr>
            <w:r>
              <w:rPr>
                <w:rFonts w:hint="eastAsia" w:ascii="仿宋" w:hAnsi="仿宋" w:eastAsia="仿宋" w:cs="仿宋"/>
                <w:b/>
                <w:kern w:val="0"/>
                <w:sz w:val="24"/>
                <w:lang w:val="zh-CN"/>
              </w:rPr>
              <w:t>投标报价超过招标文件中规定的预算金额或者最高限价的;</w:t>
            </w:r>
          </w:p>
          <w:p>
            <w:pPr>
              <w:spacing w:line="360" w:lineRule="auto"/>
              <w:ind w:firstLine="241" w:firstLineChars="100"/>
              <w:rPr>
                <w:rFonts w:hint="eastAsia" w:ascii="仿宋" w:hAnsi="仿宋" w:eastAsia="仿宋" w:cs="仿宋"/>
                <w:b/>
                <w:sz w:val="24"/>
              </w:rPr>
            </w:pPr>
            <w:r>
              <w:rPr>
                <w:rFonts w:hint="eastAsia" w:ascii="仿宋" w:hAnsi="仿宋" w:eastAsia="仿宋" w:cs="仿宋"/>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pPr>
              <w:spacing w:line="360" w:lineRule="auto"/>
              <w:ind w:firstLine="241" w:firstLineChars="100"/>
              <w:rPr>
                <w:rFonts w:hint="eastAsia" w:ascii="仿宋" w:hAnsi="仿宋" w:eastAsia="仿宋" w:cs="仿宋"/>
                <w:sz w:val="24"/>
              </w:rPr>
            </w:pPr>
            <w:r>
              <w:rPr>
                <w:rFonts w:hint="eastAsia" w:ascii="仿宋" w:hAnsi="仿宋" w:eastAsia="仿宋" w:cs="仿宋"/>
                <w:b/>
                <w:kern w:val="0"/>
                <w:sz w:val="24"/>
              </w:rPr>
              <w:t>投标人对根据修正原则修正后的报价不确认的</w:t>
            </w:r>
            <w:r>
              <w:rPr>
                <w:rFonts w:hint="eastAsia" w:ascii="仿宋" w:hAnsi="仿宋" w:eastAsia="仿宋" w:cs="仿宋"/>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sz w:val="24"/>
              </w:rPr>
            </w:pPr>
          </w:p>
          <w:p>
            <w:pPr>
              <w:snapToGrid w:val="0"/>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z w:val="24"/>
              </w:rPr>
            </w:pPr>
            <w:r>
              <w:rPr>
                <w:rFonts w:hint="eastAsia" w:ascii="仿宋" w:hAnsi="仿宋" w:eastAsia="仿宋" w:cs="仿宋"/>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tcPr>
          <w:p>
            <w:pPr>
              <w:spacing w:line="360" w:lineRule="auto"/>
              <w:ind w:firstLine="420" w:firstLineChars="200"/>
              <w:rPr>
                <w:rFonts w:hint="eastAsia" w:ascii="仿宋" w:hAnsi="仿宋" w:eastAsia="仿宋" w:cs="仿宋"/>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hint="eastAsia" w:ascii="仿宋" w:hAnsi="仿宋" w:eastAsia="仿宋" w:cs="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eastAsia" w:ascii="仿宋" w:hAnsi="仿宋" w:eastAsia="仿宋" w:cs="仿宋"/>
                <w:kern w:val="28"/>
                <w:sz w:val="24"/>
              </w:rPr>
            </w:pPr>
            <w:r>
              <w:rPr>
                <w:rFonts w:hint="eastAsia" w:ascii="仿宋" w:hAnsi="仿宋" w:eastAsia="仿宋" w:cs="仿宋"/>
                <w:kern w:val="28"/>
                <w:sz w:val="24"/>
                <w:szCs w:val="24"/>
              </w:rPr>
              <w:t>备份投标文件送达地点：</w:t>
            </w:r>
            <w:r>
              <w:rPr>
                <w:rFonts w:hint="eastAsia" w:ascii="仿宋" w:hAnsi="仿宋" w:eastAsia="仿宋" w:cs="仿宋"/>
                <w:kern w:val="28"/>
                <w:sz w:val="24"/>
                <w:szCs w:val="24"/>
                <w:u w:val="single"/>
              </w:rPr>
              <w:t>杭州市</w:t>
            </w:r>
            <w:r>
              <w:rPr>
                <w:rFonts w:hint="eastAsia" w:ascii="仿宋" w:hAnsi="仿宋" w:eastAsia="仿宋" w:cs="仿宋"/>
                <w:kern w:val="28"/>
                <w:sz w:val="24"/>
                <w:szCs w:val="24"/>
                <w:u w:val="single"/>
                <w:lang w:eastAsia="zh-CN"/>
              </w:rPr>
              <w:t>临安区锦北街道科技大道</w:t>
            </w:r>
            <w:r>
              <w:rPr>
                <w:rFonts w:hint="eastAsia" w:ascii="仿宋" w:hAnsi="仿宋" w:eastAsia="仿宋" w:cs="仿宋"/>
                <w:kern w:val="28"/>
                <w:sz w:val="24"/>
                <w:szCs w:val="24"/>
                <w:u w:val="single"/>
                <w:lang w:val="en-US" w:eastAsia="zh-CN"/>
              </w:rPr>
              <w:t>4398号市民中心B座B448室</w:t>
            </w:r>
            <w:r>
              <w:rPr>
                <w:rFonts w:hint="eastAsia" w:ascii="仿宋" w:hAnsi="仿宋" w:eastAsia="仿宋" w:cs="仿宋"/>
                <w:kern w:val="28"/>
                <w:sz w:val="24"/>
                <w:szCs w:val="24"/>
                <w:u w:val="single"/>
              </w:rPr>
              <w:t>（杭州市公共资源交易中心</w:t>
            </w:r>
            <w:r>
              <w:rPr>
                <w:rFonts w:hint="eastAsia" w:ascii="仿宋" w:hAnsi="仿宋" w:eastAsia="仿宋" w:cs="仿宋"/>
                <w:kern w:val="28"/>
                <w:sz w:val="24"/>
                <w:szCs w:val="24"/>
                <w:u w:val="single"/>
                <w:lang w:eastAsia="zh-CN"/>
              </w:rPr>
              <w:t>临安分中心</w:t>
            </w:r>
            <w:r>
              <w:rPr>
                <w:rFonts w:hint="eastAsia" w:ascii="仿宋" w:hAnsi="仿宋" w:eastAsia="仿宋" w:cs="仿宋"/>
                <w:kern w:val="28"/>
                <w:sz w:val="24"/>
                <w:szCs w:val="24"/>
                <w:u w:val="single"/>
              </w:rPr>
              <w:t>政府采购</w:t>
            </w:r>
            <w:r>
              <w:rPr>
                <w:rFonts w:hint="eastAsia" w:ascii="仿宋" w:hAnsi="仿宋" w:eastAsia="仿宋" w:cs="仿宋"/>
                <w:kern w:val="28"/>
                <w:sz w:val="24"/>
                <w:szCs w:val="24"/>
                <w:u w:val="single"/>
                <w:lang w:eastAsia="zh-CN"/>
              </w:rPr>
              <w:t>科</w:t>
            </w:r>
            <w:r>
              <w:rPr>
                <w:rFonts w:hint="eastAsia" w:ascii="仿宋" w:hAnsi="仿宋" w:eastAsia="仿宋" w:cs="仿宋"/>
                <w:kern w:val="28"/>
                <w:sz w:val="24"/>
                <w:szCs w:val="24"/>
                <w:u w:val="single"/>
              </w:rPr>
              <w:t>） ；备份投标文件签收人员联系电话：0571-</w:t>
            </w:r>
            <w:r>
              <w:rPr>
                <w:rFonts w:hint="eastAsia" w:ascii="仿宋" w:hAnsi="仿宋" w:eastAsia="仿宋" w:cs="仿宋"/>
                <w:kern w:val="28"/>
                <w:sz w:val="24"/>
                <w:szCs w:val="24"/>
                <w:u w:val="single"/>
                <w:lang w:val="en-US" w:eastAsia="zh-CN"/>
              </w:rPr>
              <w:t>23616011</w:t>
            </w:r>
            <w:r>
              <w:rPr>
                <w:rFonts w:hint="eastAsia" w:ascii="仿宋" w:hAnsi="仿宋" w:eastAsia="仿宋" w:cs="仿宋"/>
                <w:kern w:val="28"/>
                <w:sz w:val="24"/>
                <w:szCs w:val="24"/>
                <w:u w:val="single"/>
              </w:rPr>
              <w:t>。</w:t>
            </w:r>
            <w:r>
              <w:rPr>
                <w:rFonts w:hint="eastAsia" w:ascii="仿宋" w:hAnsi="仿宋" w:eastAsia="仿宋" w:cs="仿宋"/>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181633666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pPr>
              <w:spacing w:line="360" w:lineRule="auto"/>
              <w:rPr>
                <w:rFonts w:hint="eastAsia" w:ascii="仿宋" w:hAnsi="仿宋" w:eastAsia="仿宋" w:cs="仿宋"/>
                <w:snapToGrid w:val="0"/>
                <w:kern w:val="28"/>
                <w:sz w:val="24"/>
              </w:rPr>
            </w:pPr>
            <w:sdt>
              <w:sdtPr>
                <w:rPr>
                  <w:rFonts w:hint="eastAsia" w:ascii="仿宋" w:hAnsi="仿宋" w:eastAsia="仿宋" w:cs="仿宋"/>
                  <w:kern w:val="0"/>
                  <w:sz w:val="24"/>
                </w:rPr>
                <w:id w:val="-232311894"/>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sym w:font="Wingdings" w:char="F0FE"/>
                </w:r>
              </w:sdtContent>
            </w:sdt>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hint="eastAsia" w:ascii="仿宋" w:hAnsi="仿宋" w:eastAsia="仿宋" w:cs="仿宋"/>
          <w:b/>
          <w:sz w:val="32"/>
          <w:szCs w:val="20"/>
        </w:rPr>
      </w:pPr>
    </w:p>
    <w:bookmarkEnd w:id="10"/>
    <w:p>
      <w:pPr>
        <w:adjustRightInd/>
        <w:spacing w:line="360" w:lineRule="auto"/>
        <w:ind w:firstLine="3845" w:firstLineChars="1197"/>
        <w:outlineLvl w:val="0"/>
        <w:rPr>
          <w:rFonts w:hint="eastAsia" w:ascii="仿宋" w:hAnsi="仿宋" w:eastAsia="仿宋" w:cs="仿宋"/>
          <w:b/>
          <w:sz w:val="32"/>
          <w:szCs w:val="20"/>
        </w:rPr>
      </w:pPr>
      <w:bookmarkStart w:id="11" w:name="第三部分"/>
      <w:bookmarkStart w:id="12" w:name="_Toc164416483"/>
      <w:r>
        <w:rPr>
          <w:rFonts w:hint="eastAsia" w:ascii="仿宋" w:hAnsi="仿宋" w:eastAsia="仿宋" w:cs="仿宋"/>
          <w:b/>
          <w:sz w:val="32"/>
          <w:szCs w:val="20"/>
        </w:rPr>
        <w:t>一、总则</w:t>
      </w:r>
    </w:p>
    <w:p>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sdt>
        <w:sdtPr>
          <w:rPr>
            <w:rFonts w:hint="eastAsia" w:ascii="仿宋" w:hAnsi="仿宋" w:eastAsia="仿宋" w:cs="仿宋"/>
            <w:kern w:val="0"/>
            <w:sz w:val="24"/>
          </w:rPr>
          <w:id w:val="512970236"/>
          <w14:checkbox>
            <w14:checked w14:val="1"/>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Wingdings" w:hAnsi="Wingdings" w:eastAsia="仿宋" w:cs="仿宋"/>
              <w:kern w:val="0"/>
              <w:sz w:val="24"/>
              <w:szCs w:val="24"/>
              <w:lang w:val="en-US" w:eastAsia="zh-CN" w:bidi="ar-SA"/>
            </w:rPr>
            <w:t>þ</w:t>
          </w:r>
        </w:sdtContent>
      </w:sdt>
      <w:r>
        <w:rPr>
          <w:rFonts w:hint="eastAsia" w:ascii="仿宋" w:hAnsi="仿宋" w:eastAsia="仿宋" w:cs="仿宋"/>
          <w:sz w:val="24"/>
        </w:rPr>
        <w:t>” 系指适用本项目的要求，“</w:t>
      </w:r>
      <w:sdt>
        <w:sdtPr>
          <w:rPr>
            <w:rFonts w:hint="eastAsia" w:ascii="仿宋" w:hAnsi="仿宋" w:eastAsia="仿宋" w:cs="仿宋"/>
            <w:kern w:val="0"/>
            <w:sz w:val="24"/>
          </w:rPr>
          <w:id w:val="404888855"/>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sz w:val="24"/>
        </w:rPr>
        <w:t>” 系指不适用本项目的要求。</w:t>
      </w:r>
    </w:p>
    <w:p>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3.2 支持绿色发展</w:t>
      </w:r>
    </w:p>
    <w:p>
      <w:pPr>
        <w:spacing w:line="360" w:lineRule="auto"/>
        <w:ind w:firstLine="480" w:firstLineChars="200"/>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3.3支持中小企业发展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sz w:val="24"/>
        </w:rPr>
      </w:pPr>
      <w:r>
        <w:rPr>
          <w:rFonts w:hint="eastAsia" w:ascii="仿宋" w:hAnsi="仿宋" w:eastAsia="仿宋" w:cs="仿宋"/>
          <w:sz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ind w:firstLine="240" w:firstLineChars="100"/>
        <w:rPr>
          <w:rFonts w:hint="eastAsia" w:ascii="仿宋" w:hAnsi="仿宋" w:eastAsia="仿宋" w:cs="仿宋"/>
          <w:sz w:val="24"/>
        </w:rPr>
      </w:pPr>
      <w:r>
        <w:rPr>
          <w:rFonts w:hint="eastAsia" w:ascii="仿宋" w:hAnsi="仿宋" w:eastAsia="仿宋" w:cs="仿宋"/>
          <w:sz w:val="24"/>
        </w:rPr>
        <w:t>3.5平等对待内外资企业和符合条件的破产重整企业</w:t>
      </w:r>
    </w:p>
    <w:p>
      <w:pPr>
        <w:spacing w:line="360" w:lineRule="auto"/>
        <w:ind w:firstLine="240" w:firstLineChars="100"/>
        <w:rPr>
          <w:rFonts w:hint="eastAsia" w:ascii="仿宋" w:hAnsi="仿宋" w:eastAsia="仿宋" w:cs="仿宋"/>
          <w:b/>
          <w:sz w:val="24"/>
        </w:rPr>
      </w:pPr>
      <w:r>
        <w:rPr>
          <w:rFonts w:hint="eastAsia" w:ascii="仿宋" w:hAnsi="仿宋" w:eastAsia="仿宋" w:cs="仿宋"/>
          <w:sz w:val="24"/>
        </w:rPr>
        <w:t>平等对待内外资企业和符合条件的破产重整企业，切实保障企业公平竞争，平等维护企业的合法利益。</w:t>
      </w:r>
      <w:r>
        <w:rPr>
          <w:rFonts w:hint="eastAsia" w:ascii="仿宋" w:hAnsi="仿宋" w:eastAsia="仿宋" w:cs="仿宋"/>
          <w:sz w:val="24"/>
        </w:rPr>
        <w:cr/>
      </w:r>
      <w:r>
        <w:rPr>
          <w:rFonts w:hint="eastAsia" w:ascii="仿宋" w:hAnsi="仿宋" w:eastAsia="仿宋" w:cs="仿宋"/>
          <w:b/>
          <w:sz w:val="24"/>
        </w:rPr>
        <w:t>4. 询问、质疑、投诉</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4.1供应商询问</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pPr>
        <w:pStyle w:val="33"/>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2"/>
        <w:spacing w:line="360" w:lineRule="auto"/>
        <w:ind w:firstLine="480" w:firstLineChars="200"/>
        <w:rPr>
          <w:rFonts w:hint="eastAsia" w:ascii="仿宋" w:hAnsi="仿宋" w:eastAsia="仿宋" w:cs="仿宋"/>
          <w:snapToGrid/>
          <w:color w:val="auto"/>
          <w:kern w:val="2"/>
          <w:sz w:val="24"/>
        </w:rPr>
      </w:pPr>
      <w:r>
        <w:rPr>
          <w:rFonts w:hint="eastAsia" w:ascii="仿宋" w:hAnsi="仿宋" w:eastAsia="仿宋" w:cs="仿宋"/>
          <w:snapToGrid/>
          <w:color w:val="auto"/>
          <w:kern w:val="2"/>
          <w:sz w:val="24"/>
        </w:rPr>
        <w:t>4.2.2.1对招标文件提出质疑的，质疑期限为供应商获得招标文件之日或者招标文件公告期限届满之日起计算。</w:t>
      </w:r>
    </w:p>
    <w:p>
      <w:pPr>
        <w:pStyle w:val="33"/>
        <w:spacing w:line="360" w:lineRule="auto"/>
        <w:ind w:left="479" w:leftChars="228"/>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4.2.2.2对采购过程提出质疑的，质疑期限为各采购程序环节结束之日起计算。4.2.2.3对采购结果提出质疑的，质疑期限自采购结果公告期限届满之日起计算。</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4.2.3.1供应商的姓名或者名称、地址、邮编、联系人及联系电话；</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4.2.3.2质疑项目的名称、编号；</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4.2.3.3具体、明确的质疑事项和与质疑事项相关的请求；</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4.2.3.4事实依据；</w:t>
      </w:r>
    </w:p>
    <w:p>
      <w:pPr>
        <w:pStyle w:val="33"/>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4.2.3.5必要的法律依据；</w:t>
      </w:r>
    </w:p>
    <w:p>
      <w:pPr>
        <w:pStyle w:val="33"/>
        <w:spacing w:line="360" w:lineRule="auto"/>
        <w:ind w:firstLine="960" w:firstLineChars="400"/>
        <w:rPr>
          <w:rFonts w:hint="eastAsia" w:ascii="仿宋" w:hAnsi="仿宋" w:eastAsia="仿宋" w:cs="仿宋"/>
          <w:kern w:val="0"/>
          <w:sz w:val="24"/>
          <w:lang w:val="zh-CN"/>
        </w:rPr>
      </w:pPr>
      <w:r>
        <w:rPr>
          <w:rFonts w:hint="eastAsia" w:ascii="仿宋" w:hAnsi="仿宋" w:eastAsia="仿宋" w:cs="仿宋"/>
          <w:kern w:val="0"/>
          <w:sz w:val="24"/>
          <w:lang w:val="zh-CN"/>
        </w:rPr>
        <w:t>4.2.3.6提出质疑的日期。</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质疑函范本及制作说明详见附件2。</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4.2.4对同一采购程序环节的质疑，供应商须在法定质疑期内一次性提出。</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lang w:val="zh-CN"/>
        </w:rPr>
        <w:t>4.2</w:t>
      </w:r>
      <w:r>
        <w:rPr>
          <w:rFonts w:hint="eastAsia" w:ascii="仿宋" w:hAnsi="仿宋" w:eastAsia="仿宋" w:cs="仿宋"/>
        </w:rPr>
        <w:t>.6询问或者质疑事项可能影响采购结果的，采购人应当暂停签订合同，已经签订合同的，应当中止履行合同。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ascii="仿宋" w:hAnsi="仿宋" w:eastAsia="仿宋" w:cs="仿宋"/>
          <w:lang w:val="zh-CN"/>
        </w:rPr>
      </w:pPr>
      <w:r>
        <w:rPr>
          <w:rFonts w:hint="eastAsia" w:ascii="仿宋" w:hAnsi="仿宋" w:eastAsia="仿宋" w:cs="仿宋"/>
          <w:lang w:val="zh-CN"/>
        </w:rPr>
        <w:t>4.3供应商投诉</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w:t>
      </w:r>
      <w:r>
        <w:rPr>
          <w:rFonts w:hint="eastAsia" w:ascii="仿宋" w:hAnsi="仿宋" w:eastAsia="仿宋" w:cs="仿宋"/>
          <w:lang w:val="zh-CN"/>
        </w:rPr>
        <w:t>2</w:t>
      </w:r>
      <w:r>
        <w:rPr>
          <w:rFonts w:hint="eastAsia" w:ascii="仿宋" w:hAnsi="仿宋" w:eastAsia="仿宋" w:cs="仿宋"/>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投诉书范本及制作说明详见附件3。</w:t>
      </w:r>
    </w:p>
    <w:p>
      <w:pPr>
        <w:pStyle w:val="886"/>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4.4在线质疑、投诉。</w:t>
      </w:r>
    </w:p>
    <w:p>
      <w:pPr>
        <w:pStyle w:val="886"/>
        <w:shd w:val="clear" w:color="auto" w:fill="FFFFFF"/>
        <w:snapToGrid w:val="0"/>
        <w:spacing w:after="240" w:afterAutospacing="0" w:line="360" w:lineRule="auto"/>
        <w:ind w:firstLine="480" w:firstLineChars="200"/>
        <w:contextualSpacing/>
        <w:rPr>
          <w:rFonts w:hint="eastAsia" w:ascii="仿宋" w:hAnsi="仿宋" w:eastAsia="仿宋" w:cs="仿宋"/>
        </w:rPr>
      </w:pPr>
      <w:r>
        <w:rPr>
          <w:rFonts w:hint="eastAsia" w:ascii="仿宋" w:hAnsi="仿宋" w:eastAsia="仿宋" w:cs="仿宋"/>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128"/>
        <w:snapToGrid w:val="0"/>
        <w:spacing w:before="0"/>
        <w:ind w:firstLine="360"/>
        <w:rPr>
          <w:rFonts w:hint="eastAsia" w:ascii="仿宋" w:hAnsi="仿宋" w:eastAsia="仿宋" w:cs="仿宋"/>
          <w:sz w:val="18"/>
          <w:szCs w:val="18"/>
        </w:rPr>
      </w:pPr>
    </w:p>
    <w:p>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二、招标文件的构成、澄清、修改</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pPr>
        <w:pStyle w:val="33"/>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pPr>
        <w:pStyle w:val="128"/>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pPr>
        <w:pStyle w:val="128"/>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仿宋" w:hAnsi="仿宋" w:eastAsia="仿宋" w:cs="仿宋"/>
          <w:sz w:val="18"/>
          <w:szCs w:val="18"/>
          <w:lang w:val="en-US"/>
        </w:rPr>
      </w:pPr>
      <w:r>
        <w:rPr>
          <w:rFonts w:hint="eastAsia" w:ascii="仿宋" w:hAnsi="仿宋" w:eastAsia="仿宋" w:cs="仿宋"/>
          <w:szCs w:val="24"/>
          <w:lang w:val="en-US"/>
        </w:rPr>
        <w:t xml:space="preserve">    </w:t>
      </w:r>
    </w:p>
    <w:p>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仿宋" w:hAnsi="仿宋" w:eastAsia="仿宋" w:cs="仿宋"/>
          <w:b/>
          <w:szCs w:val="24"/>
        </w:rPr>
      </w:pPr>
      <w:r>
        <w:rPr>
          <w:rFonts w:hint="eastAsia" w:ascii="仿宋" w:hAnsi="仿宋" w:eastAsia="仿宋" w:cs="仿宋"/>
          <w:b/>
          <w:kern w:val="28"/>
          <w:sz w:val="24"/>
          <w:szCs w:val="24"/>
        </w:rPr>
        <w:t>9.投标保证金</w:t>
      </w:r>
    </w:p>
    <w:p>
      <w:pPr>
        <w:pStyle w:val="2"/>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w:t>
      </w:r>
      <w:r>
        <w:rPr>
          <w:rFonts w:hint="eastAsia" w:ascii="仿宋" w:hAnsi="仿宋" w:eastAsia="仿宋" w:cs="仿宋"/>
          <w:b/>
          <w:sz w:val="24"/>
        </w:rPr>
        <w:t>资格文件</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11.1.2</w:t>
      </w:r>
      <w:r>
        <w:rPr>
          <w:rFonts w:hint="eastAsia" w:ascii="仿宋" w:hAnsi="仿宋" w:eastAsia="仿宋" w:cs="仿宋"/>
          <w:snapToGrid w:val="0"/>
          <w:kern w:val="28"/>
          <w:sz w:val="24"/>
          <w:szCs w:val="20"/>
        </w:rPr>
        <w:t>联合协议（如果有)；</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11.1.3落实政府采购政策需满足的资格要求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11.1.4本项目的特定资格要求</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11.2.3分包意向协议</w:t>
      </w:r>
      <w:r>
        <w:rPr>
          <w:rFonts w:hint="eastAsia" w:ascii="仿宋" w:hAnsi="仿宋" w:eastAsia="仿宋" w:cs="仿宋"/>
          <w:snapToGrid w:val="0"/>
          <w:kern w:val="28"/>
          <w:sz w:val="24"/>
          <w:szCs w:val="20"/>
        </w:rPr>
        <w:t>（如果有)</w:t>
      </w:r>
      <w:r>
        <w:rPr>
          <w:rFonts w:hint="eastAsia" w:ascii="仿宋" w:hAnsi="仿宋" w:eastAsia="仿宋" w:cs="仿宋"/>
          <w:sz w:val="24"/>
        </w:rPr>
        <w:t>；</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11.2.5评标标准相应的商务技术资料；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11.2.6投标标的清单；</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pPr>
        <w:snapToGrid w:val="0"/>
        <w:spacing w:line="360" w:lineRule="auto"/>
        <w:ind w:firstLine="960" w:firstLineChars="400"/>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firstLine="480" w:firstLineChars="200"/>
        <w:rPr>
          <w:rFonts w:hint="eastAsia" w:ascii="仿宋" w:hAnsi="仿宋" w:eastAsia="仿宋" w:cs="仿宋"/>
          <w:sz w:val="24"/>
          <w:u w:val="single"/>
          <w:lang w:val="zh-CN"/>
        </w:rPr>
      </w:pPr>
      <w:r>
        <w:rPr>
          <w:rFonts w:hint="eastAsia" w:ascii="仿宋" w:hAnsi="仿宋" w:eastAsia="仿宋" w:cs="仿宋"/>
          <w:kern w:val="0"/>
          <w:sz w:val="24"/>
          <w:lang w:val="zh-CN"/>
        </w:rPr>
        <w:t>11.</w:t>
      </w:r>
      <w:r>
        <w:rPr>
          <w:rFonts w:hint="eastAsia" w:ascii="仿宋" w:hAnsi="仿宋" w:eastAsia="仿宋" w:cs="仿宋"/>
          <w:kern w:val="0"/>
          <w:sz w:val="24"/>
        </w:rPr>
        <w:t>3</w:t>
      </w:r>
      <w:r>
        <w:rPr>
          <w:rFonts w:hint="eastAsia" w:ascii="仿宋" w:hAnsi="仿宋" w:eastAsia="仿宋" w:cs="仿宋"/>
          <w:b/>
          <w:sz w:val="24"/>
        </w:rPr>
        <w:t>报价文件：</w:t>
      </w:r>
      <w:r>
        <w:rPr>
          <w:rFonts w:hint="eastAsia" w:ascii="仿宋" w:hAnsi="仿宋" w:eastAsia="仿宋" w:cs="仿宋"/>
          <w:sz w:val="24"/>
        </w:rPr>
        <w:t xml:space="preserve"> </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11.3.1开标一览表（报价表）；</w:t>
      </w:r>
    </w:p>
    <w:p>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11.3.2中小企业声明函。</w:t>
      </w:r>
    </w:p>
    <w:p>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投标文件含有采购人不能接受的附加条件的，投标无效；</w:t>
      </w:r>
    </w:p>
    <w:p>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pPr>
        <w:pStyle w:val="128"/>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sz w:val="24"/>
        </w:rPr>
      </w:pPr>
      <w:r>
        <w:rPr>
          <w:rFonts w:hint="eastAsia" w:ascii="仿宋" w:hAnsi="仿宋" w:eastAsia="仿宋" w:cs="仿宋"/>
          <w:b/>
          <w:sz w:val="24"/>
        </w:rPr>
        <w:t>13.投标文件的签署、盖章</w:t>
      </w:r>
    </w:p>
    <w:p>
      <w:pPr>
        <w:pStyle w:val="128"/>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pPr>
        <w:pStyle w:val="128"/>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pPr>
        <w:pStyle w:val="128"/>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pPr>
        <w:pStyle w:val="128"/>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pPr>
        <w:pStyle w:val="33"/>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pPr>
        <w:pStyle w:val="33"/>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pPr>
        <w:pStyle w:val="33"/>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DVD光盘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pPr>
        <w:pStyle w:val="3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sz w:val="24"/>
          <w:szCs w:val="24"/>
        </w:rPr>
        <w:t>招标文件第二部分投标人须知前附表规定的备份投标文件送达地点；</w:t>
      </w:r>
      <w:r>
        <w:rPr>
          <w:rFonts w:hint="eastAsia" w:ascii="仿宋" w:hAnsi="仿宋" w:eastAsia="仿宋" w:cs="仿宋"/>
          <w:sz w:val="24"/>
          <w:szCs w:val="24"/>
        </w:rPr>
        <w:t>送达时间以签收人签收时间为准。采购机构将拒绝接受逾期送达的备份投标文件。邮寄过程中，电子备份投标文件发生泄露、遗失、损坏或延期送达等情况的，由投标人自行负责。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pPr>
        <w:pStyle w:val="128"/>
        <w:spacing w:before="0"/>
        <w:ind w:firstLine="0" w:firstLineChars="0"/>
        <w:rPr>
          <w:rFonts w:hint="eastAsia" w:ascii="仿宋" w:hAnsi="仿宋" w:eastAsia="仿宋" w:cs="仿宋"/>
          <w:b/>
          <w:szCs w:val="24"/>
        </w:rPr>
      </w:pPr>
      <w:r>
        <w:rPr>
          <w:rFonts w:hint="eastAsia" w:ascii="仿宋" w:hAnsi="仿宋" w:eastAsia="仿宋" w:cs="仿宋"/>
          <w:b/>
          <w:szCs w:val="24"/>
        </w:rPr>
        <w:t>16.投标文件的无效处理</w:t>
      </w:r>
    </w:p>
    <w:p>
      <w:pPr>
        <w:pStyle w:val="25"/>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有招标文件第四部分4.2规定的情形之一的，投标无效：</w:t>
      </w:r>
    </w:p>
    <w:p>
      <w:pPr>
        <w:pStyle w:val="128"/>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pPr>
        <w:pStyle w:val="128"/>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pPr>
        <w:pStyle w:val="128"/>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hint="eastAsia" w:ascii="仿宋" w:hAnsi="仿宋" w:eastAsia="仿宋" w:cs="仿宋"/>
          <w:b/>
          <w:sz w:val="32"/>
        </w:rPr>
      </w:pPr>
    </w:p>
    <w:p>
      <w:pPr>
        <w:pStyle w:val="128"/>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pPr>
        <w:pStyle w:val="554"/>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pPr>
        <w:pStyle w:val="554"/>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19、资格审查</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采购人或采购机构依据法律法规和招标文件的规定，对投标人的资格进行审查。</w:t>
      </w:r>
    </w:p>
    <w:p>
      <w:pPr>
        <w:pStyle w:val="128"/>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pPr>
        <w:pStyle w:val="128"/>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pPr>
        <w:pStyle w:val="128"/>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pPr>
        <w:pStyle w:val="128"/>
        <w:spacing w:before="0"/>
        <w:ind w:firstLine="0" w:firstLineChars="0"/>
        <w:rPr>
          <w:rFonts w:hint="eastAsia" w:ascii="仿宋" w:hAnsi="仿宋" w:eastAsia="仿宋" w:cs="仿宋"/>
          <w:b/>
          <w:szCs w:val="24"/>
        </w:rPr>
      </w:pPr>
      <w:r>
        <w:rPr>
          <w:rFonts w:hint="eastAsia" w:ascii="仿宋" w:hAnsi="仿宋" w:eastAsia="仿宋" w:cs="仿宋"/>
          <w:b/>
          <w:szCs w:val="24"/>
        </w:rPr>
        <w:t>20、信用信息查询</w:t>
      </w:r>
    </w:p>
    <w:p>
      <w:pPr>
        <w:pStyle w:val="12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20.1信用信息查询渠道及截止时间：采购机构将在资格审查时通过“信用中国”网站(www.creditchina.gov.cn)、中国政府采购网(www.ccgp.gov.cn)渠道查询投标人接受资格时的信用记录。</w:t>
      </w:r>
    </w:p>
    <w:p>
      <w:pPr>
        <w:pStyle w:val="12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pPr>
        <w:pStyle w:val="128"/>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pPr>
        <w:pStyle w:val="128"/>
        <w:spacing w:before="0"/>
        <w:ind w:firstLine="0" w:firstLineChars="0"/>
        <w:rPr>
          <w:rFonts w:hint="eastAsia" w:ascii="仿宋" w:hAnsi="仿宋" w:eastAsia="仿宋" w:cs="仿宋"/>
          <w:kern w:val="0"/>
          <w:szCs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pPr>
        <w:spacing w:line="360" w:lineRule="auto"/>
        <w:rPr>
          <w:rFonts w:hint="eastAsia" w:ascii="仿宋" w:hAnsi="仿宋" w:eastAsia="仿宋" w:cs="仿宋"/>
          <w:b/>
          <w:sz w:val="24"/>
        </w:rPr>
      </w:pPr>
      <w:bookmarkStart w:id="13" w:name="_Toc91899903"/>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pPr>
        <w:spacing w:line="360" w:lineRule="auto"/>
        <w:rPr>
          <w:rFonts w:hint="eastAsia" w:ascii="仿宋" w:hAnsi="仿宋" w:eastAsia="仿宋" w:cs="仿宋"/>
          <w:b/>
          <w:sz w:val="24"/>
        </w:rPr>
      </w:pPr>
    </w:p>
    <w:p>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 标</w:t>
      </w:r>
    </w:p>
    <w:p>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pPr>
        <w:pStyle w:val="128"/>
        <w:snapToGrid w:val="0"/>
        <w:spacing w:before="0"/>
        <w:ind w:firstLine="480"/>
        <w:rPr>
          <w:rFonts w:hint="eastAsia" w:ascii="仿宋" w:hAnsi="仿宋" w:eastAsia="仿宋" w:cs="仿宋"/>
          <w:b/>
          <w:szCs w:val="24"/>
        </w:rPr>
      </w:pPr>
      <w:r>
        <w:rPr>
          <w:rFonts w:hint="eastAsia" w:ascii="仿宋" w:hAnsi="仿宋" w:eastAsia="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8"/>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sz w:val="24"/>
        </w:rPr>
        <w:t>资格审查情况、评审专家抽取规则、符合性审查情况、</w:t>
      </w:r>
      <w:bookmarkEnd w:id="14"/>
      <w:r>
        <w:rPr>
          <w:rFonts w:hint="eastAsia" w:ascii="仿宋" w:hAnsi="仿宋" w:eastAsia="仿宋" w:cs="仿宋"/>
          <w:sz w:val="24"/>
        </w:rPr>
        <w:t>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pPr>
        <w:snapToGrid w:val="0"/>
        <w:spacing w:line="360" w:lineRule="auto"/>
        <w:ind w:left="120" w:leftChars="57" w:firstLine="482" w:firstLineChars="150"/>
        <w:jc w:val="center"/>
        <w:rPr>
          <w:rFonts w:hint="eastAsia" w:ascii="仿宋" w:hAnsi="仿宋" w:eastAsia="仿宋" w:cs="仿宋"/>
          <w:b/>
          <w:sz w:val="32"/>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28"/>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pPr>
        <w:pStyle w:val="128"/>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25.5采购合同由采购人与中标供应商根据招标文件、投标文件等内容通过政府采购电子交易平台在线签订，自动备案。</w:t>
      </w:r>
    </w:p>
    <w:p>
      <w:pPr>
        <w:pStyle w:val="25"/>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tabs>
          <w:tab w:val="left" w:pos="0"/>
        </w:tabs>
        <w:spacing w:line="360" w:lineRule="auto"/>
        <w:ind w:firstLine="482"/>
        <w:rPr>
          <w:rFonts w:hint="eastAsia" w:ascii="仿宋" w:hAnsi="仿宋" w:eastAsia="仿宋" w:cs="仿宋"/>
          <w:sz w:val="24"/>
          <w:szCs w:val="20"/>
        </w:rPr>
      </w:pPr>
      <w:r>
        <w:rPr>
          <w:rFonts w:hint="eastAsia" w:ascii="仿宋" w:hAnsi="仿宋" w:eastAsia="仿宋" w:cs="仿宋"/>
          <w:sz w:val="24"/>
          <w:szCs w:val="20"/>
        </w:rPr>
        <w:t>政府采购货物和服务项目中，采购单位可根据杭州市政府采购网公布的供应商履约评价情况减免履约保证金。供应商履约验收评价总分为100分的，采购单位应当免收履约保证金。</w:t>
      </w:r>
    </w:p>
    <w:p>
      <w:pPr>
        <w:pStyle w:val="4"/>
        <w:ind w:left="0" w:firstLine="480" w:firstLineChars="200"/>
        <w:rPr>
          <w:rFonts w:hint="eastAsia" w:ascii="仿宋" w:hAnsi="仿宋" w:eastAsia="仿宋" w:cs="仿宋"/>
          <w:lang w:val="en-US"/>
        </w:rPr>
      </w:pPr>
      <w:r>
        <w:rPr>
          <w:rFonts w:hint="eastAsia" w:ascii="仿宋" w:hAnsi="仿宋" w:eastAsia="仿宋" w:cs="仿宋"/>
          <w:b w:val="0"/>
          <w:bCs w:val="0"/>
          <w:snapToGrid w:val="0"/>
          <w:kern w:val="28"/>
          <w:sz w:val="24"/>
        </w:rPr>
        <w:t>供应商</w:t>
      </w:r>
      <w:r>
        <w:rPr>
          <w:rFonts w:hint="eastAsia" w:ascii="仿宋" w:hAnsi="仿宋" w:eastAsia="仿宋" w:cs="仿宋"/>
          <w:b w:val="0"/>
          <w:bCs w:val="0"/>
          <w:snapToGrid w:val="0"/>
          <w:kern w:val="28"/>
          <w:sz w:val="24"/>
          <w:lang w:val="en-US"/>
        </w:rPr>
        <w:t>可</w:t>
      </w:r>
      <w:r>
        <w:rPr>
          <w:rFonts w:hint="eastAsia" w:ascii="仿宋" w:hAnsi="仿宋" w:eastAsia="仿宋" w:cs="仿宋"/>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sz w:val="32"/>
        </w:rPr>
      </w:pPr>
    </w:p>
    <w:p>
      <w:pPr>
        <w:snapToGrid w:val="0"/>
        <w:spacing w:line="360" w:lineRule="auto"/>
        <w:ind w:firstLine="3357" w:firstLineChars="1045"/>
        <w:rPr>
          <w:rFonts w:hint="eastAsia" w:ascii="仿宋" w:hAnsi="仿宋" w:eastAsia="仿宋" w:cs="仿宋"/>
          <w:b/>
          <w:sz w:val="24"/>
        </w:rPr>
      </w:pPr>
      <w:r>
        <w:rPr>
          <w:rFonts w:hint="eastAsia" w:ascii="仿宋" w:hAnsi="仿宋" w:eastAsia="仿宋" w:cs="仿宋"/>
          <w:b/>
          <w:sz w:val="32"/>
        </w:rPr>
        <w:t>八、电子交易活动的中止</w:t>
      </w:r>
    </w:p>
    <w:p>
      <w:pPr>
        <w:pStyle w:val="128"/>
        <w:snapToGrid w:val="0"/>
        <w:spacing w:before="0"/>
        <w:ind w:firstLine="0" w:firstLineChars="0"/>
        <w:rPr>
          <w:rFonts w:hint="eastAsia" w:ascii="仿宋" w:hAnsi="仿宋" w:eastAsia="仿宋" w:cs="仿宋"/>
        </w:rPr>
      </w:pPr>
      <w:r>
        <w:rPr>
          <w:rFonts w:hint="eastAsia" w:ascii="仿宋" w:hAnsi="仿宋" w:eastAsia="仿宋" w:cs="仿宋"/>
        </w:rPr>
        <w:t>2</w:t>
      </w:r>
      <w:r>
        <w:rPr>
          <w:rFonts w:hint="eastAsia" w:ascii="仿宋" w:hAnsi="仿宋" w:eastAsia="仿宋" w:cs="仿宋"/>
          <w:b/>
          <w:szCs w:val="24"/>
        </w:rPr>
        <w:t>7.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pPr>
        <w:pStyle w:val="128"/>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pPr>
        <w:pStyle w:val="128"/>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pPr>
        <w:pStyle w:val="128"/>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pPr>
        <w:pStyle w:val="128"/>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pPr>
        <w:pStyle w:val="128"/>
        <w:snapToGrid w:val="0"/>
        <w:spacing w:before="0"/>
        <w:ind w:firstLine="0" w:firstLineChars="0"/>
        <w:rPr>
          <w:rFonts w:hint="eastAsia" w:ascii="仿宋" w:hAnsi="仿宋" w:eastAsia="仿宋" w:cs="仿宋"/>
        </w:rPr>
      </w:pPr>
      <w:r>
        <w:rPr>
          <w:rFonts w:hint="eastAsia" w:ascii="仿宋" w:hAnsi="仿宋" w:eastAsia="仿宋" w:cs="仿宋"/>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sz w:val="24"/>
        </w:rPr>
      </w:pPr>
    </w:p>
    <w:p>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九、验收</w:t>
      </w:r>
    </w:p>
    <w:p>
      <w:pPr>
        <w:pStyle w:val="25"/>
        <w:spacing w:line="360" w:lineRule="auto"/>
        <w:ind w:firstLine="0" w:firstLineChars="0"/>
        <w:rPr>
          <w:rFonts w:hint="eastAsia" w:ascii="仿宋" w:hAnsi="仿宋" w:eastAsia="仿宋" w:cs="仿宋"/>
          <w:b/>
        </w:rPr>
      </w:pPr>
      <w:r>
        <w:rPr>
          <w:rFonts w:hint="eastAsia" w:ascii="仿宋" w:hAnsi="仿宋" w:eastAsia="仿宋" w:cs="仿宋"/>
          <w:b/>
        </w:rPr>
        <w:t>29.验收</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hint="eastAsia" w:ascii="仿宋" w:hAnsi="仿宋" w:eastAsia="仿宋" w:cs="仿宋"/>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07468"/>
      <w:bookmarkEnd w:id="15"/>
      <w:bookmarkStart w:id="16" w:name="_Hlt75236101"/>
      <w:bookmarkEnd w:id="16"/>
      <w:bookmarkStart w:id="17" w:name="_Hlt68057669"/>
      <w:bookmarkEnd w:id="17"/>
      <w:bookmarkStart w:id="18" w:name="_Hlt74714665"/>
      <w:bookmarkEnd w:id="18"/>
      <w:bookmarkStart w:id="19" w:name="_Hlt68072998"/>
      <w:bookmarkEnd w:id="19"/>
      <w:bookmarkStart w:id="20" w:name="_Hlt68073093"/>
      <w:bookmarkEnd w:id="20"/>
      <w:bookmarkStart w:id="21" w:name="_Hlt68072990"/>
      <w:bookmarkEnd w:id="21"/>
      <w:bookmarkStart w:id="22" w:name="_Hlt68403820"/>
      <w:bookmarkEnd w:id="22"/>
      <w:bookmarkStart w:id="23" w:name="_Hlt74729768"/>
      <w:bookmarkEnd w:id="23"/>
      <w:bookmarkStart w:id="24" w:name="_Hlt74730295"/>
      <w:bookmarkEnd w:id="24"/>
      <w:bookmarkStart w:id="25" w:name="_Hlt75236011"/>
      <w:bookmarkEnd w:id="25"/>
      <w:bookmarkStart w:id="26" w:name="_Hlt75236290"/>
      <w:bookmarkEnd w:id="26"/>
    </w:p>
    <w:bookmarkEnd w:id="11"/>
    <w:bookmarkEnd w:id="12"/>
    <w:p>
      <w:pPr>
        <w:spacing w:line="360" w:lineRule="auto"/>
        <w:jc w:val="center"/>
        <w:outlineLvl w:val="0"/>
        <w:rPr>
          <w:rFonts w:hint="eastAsia" w:ascii="仿宋" w:hAnsi="仿宋" w:eastAsia="仿宋" w:cs="仿宋"/>
          <w:b/>
          <w:sz w:val="36"/>
          <w:szCs w:val="36"/>
        </w:rPr>
      </w:pPr>
      <w:bookmarkStart w:id="27" w:name="第四部分"/>
      <w:r>
        <w:rPr>
          <w:rFonts w:hint="eastAsia" w:ascii="仿宋" w:hAnsi="仿宋" w:eastAsia="仿宋" w:cs="仿宋"/>
          <w:b/>
          <w:sz w:val="36"/>
          <w:szCs w:val="36"/>
        </w:rPr>
        <w:t>第三部分   采购需求</w:t>
      </w:r>
    </w:p>
    <w:p>
      <w:pPr>
        <w:pStyle w:val="4"/>
        <w:pageBreakBefore w:val="0"/>
        <w:numPr>
          <w:ilvl w:val="0"/>
          <w:numId w:val="1"/>
        </w:numPr>
        <w:kinsoku/>
        <w:wordWrap/>
        <w:overflowPunct/>
        <w:topLinePunct w:val="0"/>
        <w:autoSpaceDE/>
        <w:autoSpaceDN/>
        <w:bidi w:val="0"/>
        <w:spacing w:line="400" w:lineRule="exact"/>
        <w:ind w:firstLineChars="0"/>
        <w:rPr>
          <w:rFonts w:hint="eastAsia" w:ascii="仿宋" w:hAnsi="仿宋" w:eastAsia="仿宋" w:cs="仿宋"/>
          <w:sz w:val="24"/>
          <w:szCs w:val="24"/>
        </w:rPr>
      </w:pPr>
      <w:r>
        <w:rPr>
          <w:rFonts w:hint="eastAsia" w:ascii="仿宋" w:hAnsi="仿宋" w:eastAsia="仿宋" w:cs="仿宋"/>
          <w:sz w:val="24"/>
          <w:szCs w:val="24"/>
        </w:rPr>
        <w:t>项目背景</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党的十八大以来，我国商用密码管理逐步向法治化、规范化、体系化方向迈进。2021年1月1日，《中华人民共和国密码法》正式施行。该法对密码应用的主要制度和开展商用密码应用安全性评估的要求作了明确规定。同时《网络安全法》、《电子签名法》、《商用密码管理条例》等稳步推进金融和重要领域的密码应用，这既是党中央作出的重要战略部署，也是顺应全球信息化发展趋势、维护国家网络和信息安全的必然要求。</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为深入贯彻落实习近平总书记关于核心技术自主可控重要批示精神和《中央办公厅、国务院办公厅关于印发〈金融和重要领域密码应用与创新发展工作规划（2018—2022年）〉的通知》（厅字〔2018〕36号）要求，省委密码工作领导小组于2019年6月印发了《浙江省密码应用与创新发展实施方案》（浙密组发〔2019〕1号），对开展商用密码应用安全性评估工作做了具体部署。根据《商用密码应用安全性评估管理办法（试行）》规定，应对三级系统开展商用密码应用安全性评估工作，对商用密码应用的合规性、正确性、有效性进行准确评估分析。开展密码应用安全性评估工作是完善信息系统密码应用安全防护能力的一个重要环节，也是信息系统密码应用安全建设和管理的重要组成部分。通过测评可以发现信息系统密码应用的安全现状与需要达到的安全等级或目标的差异，进行全面有效的密码应用安全整改建设，使系统密码应用在技术和管理方面有针对性的加强和完善，以确保网络和信息系统的安全。</w:t>
      </w:r>
    </w:p>
    <w:p>
      <w:pPr>
        <w:pStyle w:val="4"/>
        <w:pageBreakBefore w:val="0"/>
        <w:numPr>
          <w:ilvl w:val="0"/>
          <w:numId w:val="1"/>
        </w:numPr>
        <w:kinsoku/>
        <w:wordWrap/>
        <w:overflowPunct/>
        <w:topLinePunct w:val="0"/>
        <w:autoSpaceDE/>
        <w:autoSpaceDN/>
        <w:bidi w:val="0"/>
        <w:spacing w:line="400" w:lineRule="exact"/>
        <w:ind w:firstLineChars="0"/>
        <w:rPr>
          <w:rFonts w:hint="eastAsia" w:ascii="仿宋" w:hAnsi="仿宋" w:eastAsia="仿宋" w:cs="仿宋"/>
          <w:sz w:val="24"/>
          <w:szCs w:val="24"/>
        </w:rPr>
      </w:pPr>
      <w:r>
        <w:rPr>
          <w:rFonts w:hint="eastAsia" w:ascii="仿宋" w:hAnsi="仿宋" w:eastAsia="仿宋" w:cs="仿宋"/>
          <w:sz w:val="24"/>
          <w:szCs w:val="24"/>
        </w:rPr>
        <w:t>项目必要性</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随着《中华人民共和国网络安全法》《中华人民共和国密码法》等法律法规的陆续出台，网络安全、密码应用受到社会各界的广泛关注，尤其是“商用密码应用安全性评估”机制的确立，让各重点行业逐渐意识到密码技术在企业安全防护体系中的重要作用。为提高现有15个等保三级信息系统的安全性、稳定性、可靠性等，现对的网络和信息系统仍存在密码应用不规范、密码保障体系不健全等问题，密码应用安全建设迫在眉睫。</w:t>
      </w:r>
    </w:p>
    <w:p>
      <w:pPr>
        <w:pStyle w:val="4"/>
        <w:pageBreakBefore w:val="0"/>
        <w:numPr>
          <w:ilvl w:val="0"/>
          <w:numId w:val="1"/>
        </w:numPr>
        <w:kinsoku/>
        <w:wordWrap/>
        <w:overflowPunct/>
        <w:topLinePunct w:val="0"/>
        <w:autoSpaceDE/>
        <w:autoSpaceDN/>
        <w:bidi w:val="0"/>
        <w:spacing w:line="400" w:lineRule="exact"/>
        <w:ind w:firstLineChars="0"/>
        <w:rPr>
          <w:rFonts w:hint="eastAsia" w:ascii="仿宋" w:hAnsi="仿宋" w:eastAsia="仿宋" w:cs="仿宋"/>
          <w:sz w:val="24"/>
          <w:szCs w:val="24"/>
        </w:rPr>
      </w:pPr>
      <w:bookmarkStart w:id="28" w:name="_Toc110535943"/>
      <w:r>
        <w:rPr>
          <w:rFonts w:hint="eastAsia" w:ascii="仿宋" w:hAnsi="仿宋" w:eastAsia="仿宋" w:cs="仿宋"/>
          <w:sz w:val="24"/>
          <w:szCs w:val="24"/>
        </w:rPr>
        <w:t>项目的建设目标</w:t>
      </w:r>
      <w:bookmarkEnd w:id="28"/>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bookmarkStart w:id="29" w:name="_Toc110535944"/>
      <w:r>
        <w:rPr>
          <w:rFonts w:hint="eastAsia" w:ascii="仿宋" w:hAnsi="仿宋" w:eastAsia="仿宋" w:cs="仿宋"/>
          <w:sz w:val="24"/>
          <w:szCs w:val="24"/>
        </w:rPr>
        <w:t>（一）商用密码应用安全性评估（系统密评）</w:t>
      </w:r>
      <w:bookmarkEnd w:id="29"/>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从《信息系统密码应用基本要求》（GM/T 39786-2021）中选择相应等级的评估指标，结合信息系统的构成特点，确定具体的评估对象，制定评估方案，通过访谈、检查和测试等方式判断其安全技术和安全管理各层面所对应评估指标的符合程度，判断被评估系统在密码应用设计和落地方面是否满足符合国家信息系统商用密码应用安全中的合规性、正确性、有效性要求，找出与国家标准要求之间的差距，根据评估结果出具商用密码应用安全性评估报告，作为后续安全整改的依据，帮助其达到信息系统商用密码应用安全的要求。</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商用密码应用安全性评估，是指在采用商用密码技术、产品和服务集成建设的网络和信息系统中，对其密码应用的合规性、正确性、有效性等进行评估。</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合规性，是指密码算法、密码协议、密钥管理、密码产品和服务使用合规，即按照《商用密码管理条例》等密码法规和行业相关的密码使用要求，使用符合国家密码法规和标准规定的商用密码算法，使用经过国家密码管理局审批的密码产品或服务；按照《信息系统密码应用基本要求》等标准，进行相应的密码应用建设方案设计。</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正确性，是指密码算法、密码协议、密钥管理、密码产品和服务使用正确，即系统中采用的标准密码算法、协议和密钥管理机制按照相应的密码国家和行业标准进行正确的设计和实现；自定义密码协议、密钥管理机制的设计和实现正确，符合相关标准要求；密码保障系统建设或改造过程中密码产品和服务的部署和应用正确。</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有效性，是指密码应用安全立足系统安全、体系安全、动态安全，信息系统中采用的密码协议、密钥管理系统、密码应用子系统和密码安全防护机制不仅设计合理，并且在系统运行过程中能够发挥密码效用，保障信息的机密性、完整性、真实性、抗抵赖性。</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根据《GB/T 39786-2021信息安全技术 信息系统密码应用基本要求》，测评机构选择与之相对应的标准条款，对信息系统所涉及的物理和环境安全、网络和通信安全、设备和计算安全、应用和数据安全、密钥管理及安全管理等方面进行测评，出具密码应用安全性评估报告，提交包括且不仅仅包括以下成果：</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（1）《XXX系统商用密码应用安全性评估测评方案》</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（2）《XXX系统商用密码应用安全性评估报告》</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bookmarkStart w:id="30" w:name="_Toc110535945"/>
      <w:r>
        <w:rPr>
          <w:rFonts w:hint="eastAsia" w:ascii="仿宋" w:hAnsi="仿宋" w:eastAsia="仿宋" w:cs="仿宋"/>
          <w:sz w:val="24"/>
          <w:szCs w:val="24"/>
        </w:rPr>
        <w:t>（二）《密码应用方案》商用密码应用安全性评估（方案密评）</w:t>
      </w:r>
      <w:bookmarkEnd w:id="30"/>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从《信息安全技术 信息系统密码应用基本要求》（GM/T 39786-2021）中选择相应等级的评估指标，结合信息系统的构成特点，确定具体的评估对象，针对编制完成的密码应用方案，通过访谈、检查和测试等方式判断其安全技术和安全管理各层面所对应评估指标的符合程度，判断被评估系统在密码应用设计和落地方面是否满足符合国家信息系统商用密码应用安全中的合规性、正确性、有效性要求，找出与国家标准要求之间的差距，根据评估结果出具差距分析报告，作为后续安全整改的依据，帮助其达到信息系统商用密码应用安全的要求。</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密码应用方案通过方案密评，是政务信息系统新建项目或整改项目立项的必要条件。</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方案密评测评工作输出包括且不限于以下成果：</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《&lt;密码应用方案&gt;商用密码应用安全性评估报告》</w:t>
      </w:r>
    </w:p>
    <w:p>
      <w:pPr>
        <w:pStyle w:val="4"/>
        <w:pageBreakBefore w:val="0"/>
        <w:numPr>
          <w:ilvl w:val="0"/>
          <w:numId w:val="1"/>
        </w:numPr>
        <w:kinsoku/>
        <w:wordWrap/>
        <w:overflowPunct/>
        <w:topLinePunct w:val="0"/>
        <w:autoSpaceDE/>
        <w:autoSpaceDN/>
        <w:bidi w:val="0"/>
        <w:spacing w:line="400" w:lineRule="exact"/>
        <w:ind w:firstLineChars="0"/>
        <w:rPr>
          <w:rFonts w:hint="eastAsia" w:ascii="仿宋" w:hAnsi="仿宋" w:eastAsia="仿宋" w:cs="仿宋"/>
          <w:sz w:val="24"/>
          <w:szCs w:val="24"/>
        </w:rPr>
      </w:pPr>
      <w:bookmarkStart w:id="31" w:name="_Toc110535946"/>
      <w:r>
        <w:rPr>
          <w:rFonts w:hint="eastAsia" w:ascii="仿宋" w:hAnsi="仿宋" w:eastAsia="仿宋" w:cs="仿宋"/>
          <w:sz w:val="24"/>
          <w:szCs w:val="24"/>
        </w:rPr>
        <w:t>项目的总体原则</w:t>
      </w:r>
      <w:bookmarkEnd w:id="31"/>
    </w:p>
    <w:p>
      <w:pPr>
        <w:pStyle w:val="2"/>
        <w:pageBreakBefore w:val="0"/>
        <w:kinsoku/>
        <w:wordWrap/>
        <w:overflowPunct/>
        <w:topLinePunct w:val="0"/>
        <w:autoSpaceDE/>
        <w:autoSpaceDN/>
        <w:bidi w:val="0"/>
        <w:spacing w:line="400" w:lineRule="exact"/>
        <w:ind w:firstLineChars="150"/>
        <w:rPr>
          <w:rFonts w:hint="eastAsia" w:ascii="仿宋" w:hAnsi="仿宋" w:eastAsia="仿宋" w:cs="仿宋"/>
          <w:sz w:val="24"/>
          <w:szCs w:val="24"/>
        </w:rPr>
      </w:pPr>
      <w:r>
        <w:rPr>
          <w:rFonts w:hint="eastAsia" w:ascii="仿宋" w:hAnsi="仿宋" w:eastAsia="仿宋" w:cs="仿宋"/>
          <w:sz w:val="24"/>
          <w:szCs w:val="24"/>
        </w:rPr>
        <w:t>本次测评实施方案设计与具体实施应满足以下原则：</w:t>
      </w:r>
    </w:p>
    <w:p>
      <w:pPr>
        <w:pStyle w:val="2"/>
        <w:pageBreakBefore w:val="0"/>
        <w:kinsoku/>
        <w:wordWrap/>
        <w:overflowPunct/>
        <w:topLinePunct w:val="0"/>
        <w:autoSpaceDE/>
        <w:autoSpaceDN/>
        <w:bidi w:val="0"/>
        <w:spacing w:line="400" w:lineRule="exact"/>
        <w:ind w:firstLine="560"/>
        <w:rPr>
          <w:rFonts w:hint="eastAsia" w:ascii="仿宋" w:hAnsi="仿宋" w:eastAsia="仿宋" w:cs="仿宋"/>
          <w:sz w:val="24"/>
          <w:szCs w:val="24"/>
        </w:rPr>
      </w:pPr>
      <w:r>
        <w:rPr>
          <w:rFonts w:hint="eastAsia" w:ascii="仿宋" w:hAnsi="仿宋" w:eastAsia="仿宋" w:cs="仿宋"/>
          <w:sz w:val="24"/>
          <w:szCs w:val="24"/>
        </w:rPr>
        <w:t>（1）保密原则：对测评的过程数据和结果数据严格保密，未经授权不得泄露给任何单位和个人，不得利用此数据进行任何侵害采购人的行为，否则采购人有权追究投标供应商的责任。</w:t>
      </w:r>
    </w:p>
    <w:p>
      <w:pPr>
        <w:pStyle w:val="2"/>
        <w:pageBreakBefore w:val="0"/>
        <w:kinsoku/>
        <w:wordWrap/>
        <w:overflowPunct/>
        <w:topLinePunct w:val="0"/>
        <w:autoSpaceDE/>
        <w:autoSpaceDN/>
        <w:bidi w:val="0"/>
        <w:spacing w:line="400" w:lineRule="exact"/>
        <w:ind w:firstLine="560"/>
        <w:rPr>
          <w:rFonts w:hint="eastAsia" w:ascii="仿宋" w:hAnsi="仿宋" w:eastAsia="仿宋" w:cs="仿宋"/>
          <w:sz w:val="24"/>
          <w:szCs w:val="24"/>
        </w:rPr>
      </w:pPr>
      <w:r>
        <w:rPr>
          <w:rFonts w:hint="eastAsia" w:ascii="仿宋" w:hAnsi="仿宋" w:eastAsia="仿宋" w:cs="仿宋"/>
          <w:sz w:val="24"/>
          <w:szCs w:val="24"/>
        </w:rPr>
        <w:t>（2）标准性原则：测评方案的设计与实施应依据国家或行业相关标准进行。</w:t>
      </w:r>
    </w:p>
    <w:p>
      <w:pPr>
        <w:pStyle w:val="2"/>
        <w:pageBreakBefore w:val="0"/>
        <w:kinsoku/>
        <w:wordWrap/>
        <w:overflowPunct/>
        <w:topLinePunct w:val="0"/>
        <w:autoSpaceDE/>
        <w:autoSpaceDN/>
        <w:bidi w:val="0"/>
        <w:spacing w:line="400" w:lineRule="exact"/>
        <w:ind w:firstLine="560"/>
        <w:rPr>
          <w:rFonts w:hint="eastAsia" w:ascii="仿宋" w:hAnsi="仿宋" w:eastAsia="仿宋" w:cs="仿宋"/>
          <w:sz w:val="24"/>
          <w:szCs w:val="24"/>
        </w:rPr>
      </w:pPr>
      <w:r>
        <w:rPr>
          <w:rFonts w:hint="eastAsia" w:ascii="仿宋" w:hAnsi="仿宋" w:eastAsia="仿宋" w:cs="仿宋"/>
          <w:sz w:val="24"/>
          <w:szCs w:val="24"/>
        </w:rPr>
        <w:t>（3）规范性原则：投标供应商的工作中的过程和文档，具有很好的规范性，可以便于项目的跟踪和控制。</w:t>
      </w:r>
    </w:p>
    <w:p>
      <w:pPr>
        <w:pStyle w:val="2"/>
        <w:pageBreakBefore w:val="0"/>
        <w:kinsoku/>
        <w:wordWrap/>
        <w:overflowPunct/>
        <w:topLinePunct w:val="0"/>
        <w:autoSpaceDE/>
        <w:autoSpaceDN/>
        <w:bidi w:val="0"/>
        <w:spacing w:line="400" w:lineRule="exact"/>
        <w:ind w:firstLine="560"/>
        <w:rPr>
          <w:rFonts w:hint="eastAsia" w:ascii="仿宋" w:hAnsi="仿宋" w:eastAsia="仿宋" w:cs="仿宋"/>
          <w:sz w:val="24"/>
          <w:szCs w:val="24"/>
        </w:rPr>
      </w:pPr>
      <w:r>
        <w:rPr>
          <w:rFonts w:hint="eastAsia" w:ascii="仿宋" w:hAnsi="仿宋" w:eastAsia="仿宋" w:cs="仿宋"/>
          <w:sz w:val="24"/>
          <w:szCs w:val="24"/>
        </w:rPr>
        <w:t>（4）可控性原则：测评服务的进度要跟上进度表的安排，保证采购人对于测评工作的可控性。</w:t>
      </w:r>
    </w:p>
    <w:p>
      <w:pPr>
        <w:pStyle w:val="2"/>
        <w:pageBreakBefore w:val="0"/>
        <w:kinsoku/>
        <w:wordWrap/>
        <w:overflowPunct/>
        <w:topLinePunct w:val="0"/>
        <w:autoSpaceDE/>
        <w:autoSpaceDN/>
        <w:bidi w:val="0"/>
        <w:spacing w:line="400" w:lineRule="exact"/>
        <w:ind w:firstLine="560"/>
        <w:rPr>
          <w:rFonts w:hint="eastAsia" w:ascii="仿宋" w:hAnsi="仿宋" w:eastAsia="仿宋" w:cs="仿宋"/>
          <w:sz w:val="24"/>
          <w:szCs w:val="24"/>
        </w:rPr>
      </w:pPr>
      <w:r>
        <w:rPr>
          <w:rFonts w:hint="eastAsia" w:ascii="仿宋" w:hAnsi="仿宋" w:eastAsia="仿宋" w:cs="仿宋"/>
          <w:sz w:val="24"/>
          <w:szCs w:val="24"/>
        </w:rPr>
        <w:t>（5）整体性原则：测评的范围和内容应当整体全面，包括国家或行业要求涉及的各个层面。</w:t>
      </w:r>
    </w:p>
    <w:p>
      <w:pPr>
        <w:pStyle w:val="2"/>
        <w:pageBreakBefore w:val="0"/>
        <w:kinsoku/>
        <w:wordWrap/>
        <w:overflowPunct/>
        <w:topLinePunct w:val="0"/>
        <w:autoSpaceDE/>
        <w:autoSpaceDN/>
        <w:bidi w:val="0"/>
        <w:spacing w:line="400" w:lineRule="exact"/>
        <w:ind w:firstLine="560"/>
        <w:rPr>
          <w:rFonts w:hint="eastAsia" w:ascii="仿宋" w:hAnsi="仿宋" w:eastAsia="仿宋" w:cs="仿宋"/>
          <w:sz w:val="24"/>
          <w:szCs w:val="24"/>
        </w:rPr>
      </w:pPr>
      <w:r>
        <w:rPr>
          <w:rFonts w:hint="eastAsia" w:ascii="仿宋" w:hAnsi="仿宋" w:eastAsia="仿宋" w:cs="仿宋"/>
          <w:sz w:val="24"/>
          <w:szCs w:val="24"/>
        </w:rPr>
        <w:t>（6）最小影响原则：测评工作应尽可能小的影响系统和网络，并在可控范围内；测评工作不能对现有信息系统的正常运行、业务的正常开展产生任何影响。</w:t>
      </w:r>
    </w:p>
    <w:p>
      <w:pPr>
        <w:pStyle w:val="4"/>
        <w:pageBreakBefore w:val="0"/>
        <w:numPr>
          <w:ilvl w:val="0"/>
          <w:numId w:val="1"/>
        </w:numPr>
        <w:kinsoku/>
        <w:wordWrap/>
        <w:overflowPunct/>
        <w:topLinePunct w:val="0"/>
        <w:autoSpaceDE/>
        <w:autoSpaceDN/>
        <w:bidi w:val="0"/>
        <w:spacing w:line="400" w:lineRule="exact"/>
        <w:ind w:firstLineChars="0"/>
        <w:rPr>
          <w:rFonts w:hint="eastAsia" w:ascii="仿宋" w:hAnsi="仿宋" w:eastAsia="仿宋" w:cs="仿宋"/>
          <w:sz w:val="24"/>
          <w:szCs w:val="24"/>
        </w:rPr>
      </w:pPr>
      <w:bookmarkStart w:id="32" w:name="_Toc110535947"/>
      <w:r>
        <w:rPr>
          <w:rFonts w:hint="eastAsia" w:ascii="仿宋" w:hAnsi="仿宋" w:eastAsia="仿宋" w:cs="仿宋"/>
          <w:sz w:val="24"/>
          <w:szCs w:val="24"/>
        </w:rPr>
        <w:t>项目的整体要求：</w:t>
      </w:r>
      <w:bookmarkEnd w:id="32"/>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（1）本次测评应详细描述测评的整体实施方案，包括项目概述、测评方案、项目实施方案、测试过程中需使用测试设备清单、时间安排、阶段性文档提交和验收标准等。</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 xml:space="preserve">（2）本次测评应详细描述测评人员的组成、资质及各自职责的划分。 </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3）本次测评实施过程中所使用到的各种工具软件由测评机构推荐，经被测单位确认后才可由测评机构提供并在测评中使用。测评机构在测评实施方案中应详细描述所使用的安全测评工具（软硬件型号、功能和性能描述）、使用的方式和时间、对环境和平台的要求以及使用可能对系统造成的风险等。</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（4）安全测评工具软件运行可能需要的硬件平台（如笔记本电脑、PC、工作站等）和操作系统软件等由测评机构推荐，经被测单位确认后由测评机构提供并在测评中使用。</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（5）安全测评需要的运行环境（如场地、网络环境等）由被测单位提供，测评机构应详细描述需要的运行环境的具体要求。</w:t>
      </w:r>
    </w:p>
    <w:p>
      <w:pPr>
        <w:pStyle w:val="4"/>
        <w:pageBreakBefore w:val="0"/>
        <w:numPr>
          <w:ilvl w:val="0"/>
          <w:numId w:val="1"/>
        </w:numPr>
        <w:kinsoku/>
        <w:wordWrap/>
        <w:overflowPunct/>
        <w:topLinePunct w:val="0"/>
        <w:autoSpaceDE/>
        <w:autoSpaceDN/>
        <w:bidi w:val="0"/>
        <w:spacing w:line="400" w:lineRule="exact"/>
        <w:ind w:firstLineChars="0"/>
        <w:rPr>
          <w:rFonts w:hint="eastAsia" w:ascii="仿宋" w:hAnsi="仿宋" w:eastAsia="仿宋" w:cs="仿宋"/>
          <w:sz w:val="24"/>
          <w:szCs w:val="24"/>
        </w:rPr>
      </w:pPr>
      <w:bookmarkStart w:id="33" w:name="_Toc110535948"/>
      <w:r>
        <w:rPr>
          <w:rFonts w:hint="eastAsia" w:ascii="仿宋" w:hAnsi="仿宋" w:eastAsia="仿宋" w:cs="仿宋"/>
          <w:sz w:val="24"/>
          <w:szCs w:val="24"/>
        </w:rPr>
        <w:t>项目实施要求</w:t>
      </w:r>
      <w:bookmarkEnd w:id="33"/>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1. 测评机构应在条件成熟时应立即开展实施；</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2. 测评机构在项目实施过程中应服从统一领导和协调，被测单位有权裁决测评机构的责任范围，测评机构必须执行，在被测单位限定的时间内解决问题。如果测评机构不能按时完成测评内容，被测单位有权中止项目、索赔或拒付款项；</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3. 测评机构需根据自己的工程实施经验结合被测单位的实际需求进一步细化和完善工作任务书，作为工程实施的指导性文件；</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4. 测评机构应根据被测单位工作需求、进度要求、实际情况制定详细的项目实施管理规范和项目实施计划，对工程目标、工作任务、阶段性工作、项目组织机构、职责分工、项目进度、质量控制等内容进行详细的说明，以确保工程实施按时保质的完成；</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5. 为保证本次项目的质量，承担本次项目的项目负责人必须具有5年以上商用密码应用安全性评估工作经验，且为高级测评师，项目实施骨干人员要求至少有2名具有商用密码应用安全性评估工作经验，其它骨干人员应具有信息安全测评相关工作经验，提供证明文件。</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6. 为便于被测单位建立一套规范的信息安全管理体系，测评机构应具备信息安全管理体系认证资质；</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7. 项目验收完成后，要求提供为期一年的技术咨询服务，以保证项目正常运行。</w:t>
      </w:r>
    </w:p>
    <w:p>
      <w:pPr>
        <w:pStyle w:val="4"/>
        <w:pageBreakBefore w:val="0"/>
        <w:numPr>
          <w:ilvl w:val="0"/>
          <w:numId w:val="1"/>
        </w:numPr>
        <w:kinsoku/>
        <w:wordWrap/>
        <w:overflowPunct/>
        <w:topLinePunct w:val="0"/>
        <w:autoSpaceDE/>
        <w:autoSpaceDN/>
        <w:bidi w:val="0"/>
        <w:spacing w:line="400" w:lineRule="exact"/>
        <w:ind w:firstLineChars="0"/>
        <w:rPr>
          <w:rFonts w:hint="eastAsia" w:ascii="仿宋" w:hAnsi="仿宋" w:eastAsia="仿宋" w:cs="仿宋"/>
          <w:sz w:val="24"/>
          <w:szCs w:val="24"/>
        </w:rPr>
      </w:pPr>
      <w:bookmarkStart w:id="34" w:name="_Toc110535949"/>
      <w:r>
        <w:rPr>
          <w:rFonts w:hint="eastAsia" w:ascii="仿宋" w:hAnsi="仿宋" w:eastAsia="仿宋" w:cs="仿宋"/>
          <w:sz w:val="24"/>
          <w:szCs w:val="24"/>
        </w:rPr>
        <w:t>项目的安全保密设计</w:t>
      </w:r>
      <w:bookmarkEnd w:id="34"/>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bookmarkStart w:id="35" w:name="_Toc110535950"/>
      <w:r>
        <w:rPr>
          <w:rFonts w:hint="eastAsia" w:ascii="仿宋" w:hAnsi="仿宋" w:eastAsia="仿宋" w:cs="仿宋"/>
          <w:sz w:val="24"/>
          <w:szCs w:val="24"/>
        </w:rPr>
        <w:t>（一）保密范围：</w:t>
      </w:r>
      <w:bookmarkEnd w:id="35"/>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1、在完成项目过程中所涉及的属于被测单位的以及法律或其他原因对第三方承担保密义务的资料和信息，包括：技术资料、工作文件和其他资料等各种内部信息。</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2、在测评过程中的协商内容以及协商过程含有的保密内容。</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3、在测评过程中可能涉及的有关被测单位的各种信息。</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bookmarkStart w:id="36" w:name="_Toc110535951"/>
      <w:r>
        <w:rPr>
          <w:rFonts w:hint="eastAsia" w:ascii="仿宋" w:hAnsi="仿宋" w:eastAsia="仿宋" w:cs="仿宋"/>
          <w:sz w:val="24"/>
          <w:szCs w:val="24"/>
        </w:rPr>
        <w:t>（二）采取的保密措施：</w:t>
      </w:r>
      <w:bookmarkEnd w:id="36"/>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1、在技术方面，测评机构采取如下措施保障本项目信息系统的保密性：</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1）使用商业加密软件对测评师专用计算机文件进行加密，即使文件被非法窃取也不会造成信息泄漏；</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2）在项目实施过程中，测评师主机禁止访问Internet网络；</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3）项目组之间采用加密U盘进行数据交互；</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4）所有测评主机均设置复杂密码，防止待机状态时发生信息泄漏。</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2、在管理方面，测评机构将采取如下措施：</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1）与项目实施测评师签署《保密协议》、《测评师声明》，约束测评师相关行为；</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2）为了加强员工保密工作和意识，测评机构制定内部保密制度，并且每年落实保密培训工作；</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3）测评机构承诺派遣的测评人员均已在公安部和省公安厅备案，为其单位正式员工。</w:t>
      </w:r>
    </w:p>
    <w:p>
      <w:pPr>
        <w:pStyle w:val="2"/>
        <w:pageBreakBefore w:val="0"/>
        <w:kinsoku/>
        <w:wordWrap/>
        <w:overflowPunct/>
        <w:topLinePunct w:val="0"/>
        <w:autoSpaceDE/>
        <w:autoSpaceDN/>
        <w:bidi w:val="0"/>
        <w:spacing w:line="400" w:lineRule="exact"/>
        <w:ind w:firstLine="480"/>
        <w:rPr>
          <w:rFonts w:hint="eastAsia" w:ascii="仿宋" w:hAnsi="仿宋" w:eastAsia="仿宋" w:cs="仿宋"/>
          <w:sz w:val="24"/>
          <w:szCs w:val="24"/>
        </w:rPr>
      </w:pPr>
    </w:p>
    <w:p>
      <w:pPr>
        <w:pStyle w:val="4"/>
        <w:pageBreakBefore w:val="0"/>
        <w:numPr>
          <w:ilvl w:val="0"/>
          <w:numId w:val="1"/>
        </w:numPr>
        <w:kinsoku/>
        <w:wordWrap/>
        <w:overflowPunct/>
        <w:topLinePunct w:val="0"/>
        <w:autoSpaceDE/>
        <w:autoSpaceDN/>
        <w:bidi w:val="0"/>
        <w:spacing w:line="400" w:lineRule="exact"/>
        <w:ind w:firstLineChars="0"/>
        <w:rPr>
          <w:rFonts w:hint="eastAsia" w:ascii="仿宋" w:hAnsi="仿宋" w:eastAsia="仿宋" w:cs="仿宋"/>
          <w:sz w:val="24"/>
          <w:szCs w:val="24"/>
        </w:rPr>
      </w:pPr>
      <w:r>
        <w:rPr>
          <w:rFonts w:hint="eastAsia" w:ascii="仿宋" w:hAnsi="仿宋" w:eastAsia="仿宋" w:cs="仿宋"/>
          <w:sz w:val="24"/>
          <w:szCs w:val="24"/>
        </w:rPr>
        <w:t>采购清单</w:t>
      </w:r>
    </w:p>
    <w:tbl>
      <w:tblPr>
        <w:tblStyle w:val="62"/>
        <w:tblW w:w="5000" w:type="pct"/>
        <w:tblInd w:w="0" w:type="dxa"/>
        <w:tblLayout w:type="autofit"/>
        <w:tblCellMar>
          <w:top w:w="0" w:type="dxa"/>
          <w:left w:w="108" w:type="dxa"/>
          <w:bottom w:w="0" w:type="dxa"/>
          <w:right w:w="108" w:type="dxa"/>
        </w:tblCellMar>
      </w:tblPr>
      <w:tblGrid>
        <w:gridCol w:w="958"/>
        <w:gridCol w:w="2447"/>
        <w:gridCol w:w="3576"/>
        <w:gridCol w:w="1514"/>
      </w:tblGrid>
      <w:tr>
        <w:tblPrEx>
          <w:tblCellMar>
            <w:top w:w="0" w:type="dxa"/>
            <w:left w:w="108" w:type="dxa"/>
            <w:bottom w:w="0" w:type="dxa"/>
            <w:right w:w="108" w:type="dxa"/>
          </w:tblCellMar>
        </w:tblPrEx>
        <w:trPr>
          <w:trHeight w:val="640" w:hRule="atLeast"/>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spacing w:line="400" w:lineRule="exact"/>
              <w:rPr>
                <w:rFonts w:hint="eastAsia" w:ascii="仿宋" w:hAnsi="仿宋" w:eastAsia="仿宋" w:cs="仿宋"/>
                <w:sz w:val="24"/>
                <w:szCs w:val="24"/>
              </w:rPr>
            </w:pPr>
            <w:r>
              <w:rPr>
                <w:rFonts w:hint="eastAsia" w:ascii="仿宋" w:hAnsi="仿宋" w:eastAsia="仿宋" w:cs="仿宋"/>
                <w:sz w:val="24"/>
                <w:szCs w:val="24"/>
              </w:rPr>
              <w:t>序号</w:t>
            </w:r>
          </w:p>
        </w:tc>
        <w:tc>
          <w:tcPr>
            <w:tcW w:w="1440" w:type="pct"/>
            <w:tcBorders>
              <w:top w:val="single" w:color="auto" w:sz="4" w:space="0"/>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服务名称</w:t>
            </w:r>
          </w:p>
        </w:tc>
        <w:tc>
          <w:tcPr>
            <w:tcW w:w="2105" w:type="pct"/>
            <w:tcBorders>
              <w:top w:val="single" w:color="auto" w:sz="4" w:space="0"/>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服务说明</w:t>
            </w:r>
          </w:p>
        </w:tc>
        <w:tc>
          <w:tcPr>
            <w:tcW w:w="891" w:type="pct"/>
            <w:tcBorders>
              <w:top w:val="single" w:color="auto" w:sz="4" w:space="0"/>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服务次数</w:t>
            </w:r>
          </w:p>
        </w:tc>
      </w:tr>
      <w:tr>
        <w:tblPrEx>
          <w:tblCellMar>
            <w:top w:w="0" w:type="dxa"/>
            <w:left w:w="108" w:type="dxa"/>
            <w:bottom w:w="0" w:type="dxa"/>
            <w:right w:w="108" w:type="dxa"/>
          </w:tblCellMar>
        </w:tblPrEx>
        <w:trPr>
          <w:trHeight w:val="192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1440" w:type="pct"/>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商用密码应用安全性评估（系统密评）</w:t>
            </w:r>
          </w:p>
        </w:tc>
        <w:tc>
          <w:tcPr>
            <w:tcW w:w="2105" w:type="pct"/>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spacing w:line="400" w:lineRule="exact"/>
              <w:rPr>
                <w:rFonts w:hint="eastAsia" w:ascii="仿宋" w:hAnsi="仿宋" w:eastAsia="仿宋" w:cs="仿宋"/>
                <w:sz w:val="24"/>
                <w:szCs w:val="24"/>
              </w:rPr>
            </w:pPr>
            <w:r>
              <w:rPr>
                <w:rFonts w:hint="eastAsia" w:ascii="仿宋" w:hAnsi="仿宋" w:eastAsia="仿宋" w:cs="仿宋"/>
                <w:sz w:val="24"/>
                <w:szCs w:val="24"/>
              </w:rPr>
              <w:t>根据国家和相关行业商用密码应用安全性评估相关标准，选取三级测评指标，开展系统密评，出具密评报告</w:t>
            </w:r>
          </w:p>
        </w:tc>
        <w:tc>
          <w:tcPr>
            <w:tcW w:w="891" w:type="pct"/>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15次</w:t>
            </w:r>
          </w:p>
        </w:tc>
      </w:tr>
      <w:tr>
        <w:tblPrEx>
          <w:tblCellMar>
            <w:top w:w="0" w:type="dxa"/>
            <w:left w:w="108" w:type="dxa"/>
            <w:bottom w:w="0" w:type="dxa"/>
            <w:right w:w="108" w:type="dxa"/>
          </w:tblCellMar>
        </w:tblPrEx>
        <w:trPr>
          <w:trHeight w:val="128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2</w:t>
            </w:r>
          </w:p>
        </w:tc>
        <w:tc>
          <w:tcPr>
            <w:tcW w:w="1440" w:type="pct"/>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《密码应用方案》商用密码应用安全性评估（方案密评）</w:t>
            </w:r>
          </w:p>
        </w:tc>
        <w:tc>
          <w:tcPr>
            <w:tcW w:w="2105" w:type="pct"/>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spacing w:line="400" w:lineRule="exact"/>
              <w:rPr>
                <w:rFonts w:hint="eastAsia" w:ascii="仿宋" w:hAnsi="仿宋" w:eastAsia="仿宋" w:cs="仿宋"/>
                <w:sz w:val="24"/>
                <w:szCs w:val="24"/>
              </w:rPr>
            </w:pPr>
            <w:r>
              <w:rPr>
                <w:rFonts w:hint="eastAsia" w:ascii="仿宋" w:hAnsi="仿宋" w:eastAsia="仿宋" w:cs="仿宋"/>
                <w:sz w:val="24"/>
                <w:szCs w:val="24"/>
              </w:rPr>
              <w:t>针对密码应用方案进行评估，出具评估报告</w:t>
            </w:r>
          </w:p>
        </w:tc>
        <w:tc>
          <w:tcPr>
            <w:tcW w:w="891" w:type="pct"/>
            <w:tcBorders>
              <w:top w:val="nil"/>
              <w:left w:val="nil"/>
              <w:bottom w:val="single" w:color="auto" w:sz="4" w:space="0"/>
              <w:right w:val="single" w:color="auto" w:sz="4" w:space="0"/>
            </w:tcBorders>
            <w:shd w:val="clear" w:color="auto" w:fill="auto"/>
            <w:vAlign w:val="center"/>
          </w:tcPr>
          <w:p>
            <w:pPr>
              <w:pageBreakBefore w:val="0"/>
              <w:kinsoku/>
              <w:wordWrap/>
              <w:overflowPunct/>
              <w:topLinePunct w:val="0"/>
              <w:autoSpaceDE/>
              <w:autoSpaceDN/>
              <w:bidi w:val="0"/>
              <w:spacing w:line="400" w:lineRule="exact"/>
              <w:jc w:val="center"/>
              <w:rPr>
                <w:rFonts w:hint="eastAsia" w:ascii="仿宋" w:hAnsi="仿宋" w:eastAsia="仿宋" w:cs="仿宋"/>
                <w:sz w:val="24"/>
                <w:szCs w:val="24"/>
              </w:rPr>
            </w:pPr>
            <w:r>
              <w:rPr>
                <w:rFonts w:hint="eastAsia" w:ascii="仿宋" w:hAnsi="仿宋" w:eastAsia="仿宋" w:cs="仿宋"/>
                <w:sz w:val="24"/>
                <w:szCs w:val="24"/>
              </w:rPr>
              <w:t>15次</w:t>
            </w:r>
          </w:p>
        </w:tc>
      </w:tr>
    </w:tbl>
    <w:p>
      <w:pPr>
        <w:pageBreakBefore w:val="0"/>
        <w:kinsoku/>
        <w:wordWrap/>
        <w:overflowPunct/>
        <w:topLinePunct w:val="0"/>
        <w:autoSpaceDE/>
        <w:autoSpaceDN/>
        <w:bidi w:val="0"/>
        <w:spacing w:line="400" w:lineRule="exact"/>
        <w:rPr>
          <w:rFonts w:hint="eastAsia" w:ascii="仿宋" w:hAnsi="仿宋" w:eastAsia="仿宋" w:cs="仿宋"/>
          <w:sz w:val="24"/>
          <w:szCs w:val="24"/>
        </w:rPr>
      </w:pP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本次设计项目系统为临安区政务云上符合等保三级要求的系统，总计数量预计15个，投标时须给出单价与总价，届时结款时以实际评估系统的数量来计算总价，投标时总价即为单价*系统数量，不得有赠送从而提高单价。</w:t>
      </w:r>
    </w:p>
    <w:p>
      <w:pPr>
        <w:pStyle w:val="4"/>
        <w:pageBreakBefore w:val="0"/>
        <w:numPr>
          <w:ilvl w:val="0"/>
          <w:numId w:val="1"/>
        </w:numPr>
        <w:kinsoku/>
        <w:wordWrap/>
        <w:overflowPunct/>
        <w:topLinePunct w:val="0"/>
        <w:autoSpaceDE/>
        <w:autoSpaceDN/>
        <w:bidi w:val="0"/>
        <w:spacing w:line="400" w:lineRule="exact"/>
        <w:ind w:firstLineChars="0"/>
        <w:rPr>
          <w:rFonts w:hint="eastAsia" w:ascii="仿宋" w:hAnsi="仿宋" w:eastAsia="仿宋" w:cs="仿宋"/>
          <w:sz w:val="24"/>
          <w:szCs w:val="24"/>
        </w:rPr>
      </w:pPr>
      <w:bookmarkStart w:id="37" w:name="_Toc110535956"/>
      <w:bookmarkStart w:id="38" w:name="_Toc110535938"/>
      <w:r>
        <w:rPr>
          <w:rFonts w:hint="eastAsia" w:ascii="仿宋" w:hAnsi="仿宋" w:eastAsia="仿宋" w:cs="仿宋"/>
          <w:sz w:val="24"/>
          <w:szCs w:val="24"/>
        </w:rPr>
        <w:t>商用密码应用安全性评估的具体内容</w:t>
      </w:r>
      <w:bookmarkEnd w:id="37"/>
    </w:p>
    <w:bookmarkEnd w:id="38"/>
    <w:p>
      <w:pPr>
        <w:pStyle w:val="5"/>
        <w:pageBreakBefore w:val="0"/>
        <w:kinsoku/>
        <w:wordWrap/>
        <w:overflowPunct/>
        <w:topLinePunct w:val="0"/>
        <w:autoSpaceDE/>
        <w:autoSpaceDN/>
        <w:bidi w:val="0"/>
        <w:spacing w:line="400" w:lineRule="exact"/>
        <w:rPr>
          <w:rFonts w:hint="eastAsia" w:ascii="仿宋" w:hAnsi="仿宋" w:eastAsia="仿宋" w:cs="仿宋"/>
          <w:sz w:val="24"/>
          <w:szCs w:val="24"/>
        </w:rPr>
      </w:pPr>
      <w:r>
        <w:rPr>
          <w:rFonts w:hint="eastAsia" w:ascii="仿宋" w:hAnsi="仿宋" w:eastAsia="仿宋" w:cs="仿宋"/>
          <w:sz w:val="24"/>
          <w:szCs w:val="24"/>
        </w:rPr>
        <w:t>1. 商用密码应用安全性评估内容</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根据信息系统的安全保护等级，依据《GB/T 39786-2021信息安全技术 信息系统密码应用基本要求》的条款要求，逐一对信息系统密码应用进行检测，测评的内容包括但不限于以下内容：</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1.1安全技术测评：包括物理和环境安全、网络和通信安全、设备和计算安全、应用和数据安全等四个方面的安全测评。</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1.2安全管理测评：包括密钥管理、安全管理（分为制度、人员、建设和应急四个子模块）两个方面的安全测评。</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商用密码应用安全性评估的具体内容：</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bookmarkStart w:id="39" w:name="_Toc8976424"/>
      <w:bookmarkStart w:id="40" w:name="_Toc7396"/>
      <w:r>
        <w:rPr>
          <w:rFonts w:hint="eastAsia" w:ascii="仿宋" w:hAnsi="仿宋" w:eastAsia="仿宋" w:cs="仿宋"/>
          <w:sz w:val="24"/>
          <w:szCs w:val="24"/>
        </w:rPr>
        <w:t>物理和环境安全</w:t>
      </w:r>
      <w:bookmarkEnd w:id="39"/>
      <w:bookmarkEnd w:id="40"/>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1991"/>
        <w:gridCol w:w="5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trPr>
        <w:tc>
          <w:tcPr>
            <w:tcW w:w="409" w:type="pct"/>
            <w:shd w:val="clear" w:color="auto" w:fill="E7E6E6"/>
            <w:vAlign w:val="center"/>
          </w:tcPr>
          <w:p>
            <w:pPr>
              <w:pageBreakBefore w:val="0"/>
              <w:kinsoku/>
              <w:wordWrap/>
              <w:overflowPunct/>
              <w:topLinePunct w:val="0"/>
              <w:autoSpaceDE/>
              <w:autoSpaceDN/>
              <w:bidi w:val="0"/>
              <w:spacing w:line="4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序号</w:t>
            </w:r>
          </w:p>
        </w:tc>
        <w:tc>
          <w:tcPr>
            <w:tcW w:w="1172" w:type="pct"/>
            <w:shd w:val="clear" w:color="auto" w:fill="E7E6E6"/>
            <w:vAlign w:val="center"/>
          </w:tcPr>
          <w:p>
            <w:pPr>
              <w:pageBreakBefore w:val="0"/>
              <w:kinsoku/>
              <w:wordWrap/>
              <w:overflowPunct/>
              <w:topLinePunct w:val="0"/>
              <w:autoSpaceDE/>
              <w:autoSpaceDN/>
              <w:bidi w:val="0"/>
              <w:spacing w:line="4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工作单元名称</w:t>
            </w:r>
          </w:p>
        </w:tc>
        <w:tc>
          <w:tcPr>
            <w:tcW w:w="3419" w:type="pct"/>
            <w:shd w:val="clear" w:color="auto" w:fill="E7E6E6"/>
            <w:vAlign w:val="center"/>
          </w:tcPr>
          <w:p>
            <w:pPr>
              <w:pageBreakBefore w:val="0"/>
              <w:kinsoku/>
              <w:wordWrap/>
              <w:overflowPunct/>
              <w:topLinePunct w:val="0"/>
              <w:autoSpaceDE/>
              <w:autoSpaceDN/>
              <w:bidi w:val="0"/>
              <w:spacing w:line="4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工作单元描述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9" w:type="pct"/>
            <w:vAlign w:val="center"/>
          </w:tcPr>
          <w:p>
            <w:pPr>
              <w:pageBreakBefore w:val="0"/>
              <w:kinsoku/>
              <w:wordWrap/>
              <w:overflowPunct/>
              <w:topLinePunct w:val="0"/>
              <w:autoSpaceDE/>
              <w:autoSpaceDN/>
              <w:bidi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172" w:type="pct"/>
            <w:vAlign w:val="center"/>
          </w:tcPr>
          <w:p>
            <w:pPr>
              <w:pageBreakBefore w:val="0"/>
              <w:kinsoku/>
              <w:wordWrap/>
              <w:overflowPunct/>
              <w:topLinePunct w:val="0"/>
              <w:autoSpaceDE/>
              <w:autoSpaceDN/>
              <w:bidi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身份鉴别</w:t>
            </w:r>
          </w:p>
        </w:tc>
        <w:tc>
          <w:tcPr>
            <w:tcW w:w="3419" w:type="pct"/>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应使用密码技术的真实性服务来保护物理访问控制身份鉴别信息，保证重要区域进入人员身份的真实性。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9" w:type="pct"/>
            <w:vAlign w:val="center"/>
          </w:tcPr>
          <w:p>
            <w:pPr>
              <w:pageBreakBefore w:val="0"/>
              <w:kinsoku/>
              <w:wordWrap/>
              <w:overflowPunct/>
              <w:topLinePunct w:val="0"/>
              <w:autoSpaceDE/>
              <w:autoSpaceDN/>
              <w:bidi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172" w:type="pct"/>
            <w:vAlign w:val="center"/>
          </w:tcPr>
          <w:p>
            <w:pPr>
              <w:pageBreakBefore w:val="0"/>
              <w:kinsoku/>
              <w:wordWrap/>
              <w:overflowPunct/>
              <w:topLinePunct w:val="0"/>
              <w:autoSpaceDE/>
              <w:autoSpaceDN/>
              <w:bidi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电子门禁记录数据完整性</w:t>
            </w:r>
          </w:p>
        </w:tc>
        <w:tc>
          <w:tcPr>
            <w:tcW w:w="3419" w:type="pct"/>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检查使用密码技术的完整性服务来保证电子门禁系统进出记录的完整性情况。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9" w:type="pct"/>
            <w:vAlign w:val="center"/>
          </w:tcPr>
          <w:p>
            <w:pPr>
              <w:pageBreakBefore w:val="0"/>
              <w:kinsoku/>
              <w:wordWrap/>
              <w:overflowPunct/>
              <w:topLinePunct w:val="0"/>
              <w:autoSpaceDE/>
              <w:autoSpaceDN/>
              <w:bidi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172" w:type="pct"/>
            <w:vAlign w:val="center"/>
          </w:tcPr>
          <w:p>
            <w:pPr>
              <w:pageBreakBefore w:val="0"/>
              <w:kinsoku/>
              <w:wordWrap/>
              <w:overflowPunct/>
              <w:topLinePunct w:val="0"/>
              <w:autoSpaceDE/>
              <w:autoSpaceDN/>
              <w:bidi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视频记录数据完整性</w:t>
            </w:r>
          </w:p>
        </w:tc>
        <w:tc>
          <w:tcPr>
            <w:tcW w:w="3419" w:type="pct"/>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检查使用密码技术的完整性服务来保证视频监控音像记录的完整性情况。</w:t>
            </w:r>
          </w:p>
        </w:tc>
      </w:tr>
    </w:tbl>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bookmarkStart w:id="41" w:name="_Toc8976425"/>
      <w:bookmarkStart w:id="42" w:name="_Toc19573"/>
      <w:r>
        <w:rPr>
          <w:rFonts w:hint="eastAsia" w:ascii="仿宋" w:hAnsi="仿宋" w:eastAsia="仿宋" w:cs="仿宋"/>
          <w:sz w:val="24"/>
          <w:szCs w:val="24"/>
        </w:rPr>
        <w:t>网络和通信安全</w:t>
      </w:r>
      <w:bookmarkEnd w:id="41"/>
      <w:bookmarkEnd w:id="42"/>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685"/>
        <w:gridCol w:w="1835"/>
        <w:gridCol w:w="5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blHeader/>
        </w:trPr>
        <w:tc>
          <w:tcPr>
            <w:tcW w:w="661" w:type="dxa"/>
            <w:shd w:val="clear" w:color="auto" w:fill="F3F3F3"/>
            <w:vAlign w:val="center"/>
          </w:tcPr>
          <w:p>
            <w:pPr>
              <w:pageBreakBefore w:val="0"/>
              <w:kinsoku/>
              <w:wordWrap/>
              <w:overflowPunct/>
              <w:topLinePunct w:val="0"/>
              <w:autoSpaceDE/>
              <w:autoSpaceDN/>
              <w:bidi w:val="0"/>
              <w:spacing w:line="4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序号</w:t>
            </w:r>
          </w:p>
        </w:tc>
        <w:tc>
          <w:tcPr>
            <w:tcW w:w="1771" w:type="dxa"/>
            <w:shd w:val="clear" w:color="auto" w:fill="F3F3F3"/>
            <w:vAlign w:val="center"/>
          </w:tcPr>
          <w:p>
            <w:pPr>
              <w:pageBreakBefore w:val="0"/>
              <w:kinsoku/>
              <w:wordWrap/>
              <w:overflowPunct/>
              <w:topLinePunct w:val="0"/>
              <w:autoSpaceDE/>
              <w:autoSpaceDN/>
              <w:bidi w:val="0"/>
              <w:spacing w:line="4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工作单元名称</w:t>
            </w:r>
          </w:p>
        </w:tc>
        <w:tc>
          <w:tcPr>
            <w:tcW w:w="5722" w:type="dxa"/>
            <w:shd w:val="clear" w:color="auto" w:fill="F3F3F3"/>
            <w:vAlign w:val="center"/>
          </w:tcPr>
          <w:p>
            <w:pPr>
              <w:pageBreakBefore w:val="0"/>
              <w:kinsoku/>
              <w:wordWrap/>
              <w:overflowPunct/>
              <w:topLinePunct w:val="0"/>
              <w:autoSpaceDE/>
              <w:autoSpaceDN/>
              <w:bidi w:val="0"/>
              <w:spacing w:line="4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工作单元描述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661" w:type="dxa"/>
            <w:vAlign w:val="center"/>
          </w:tcPr>
          <w:p>
            <w:pPr>
              <w:pageBreakBefore w:val="0"/>
              <w:kinsoku/>
              <w:wordWrap/>
              <w:overflowPunct/>
              <w:topLinePunct w:val="0"/>
              <w:autoSpaceDE/>
              <w:autoSpaceDN/>
              <w:bidi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771" w:type="dxa"/>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bookmarkStart w:id="43" w:name="_Toc1337"/>
            <w:r>
              <w:rPr>
                <w:rFonts w:hint="eastAsia" w:ascii="仿宋" w:hAnsi="仿宋" w:eastAsia="仿宋" w:cs="仿宋"/>
                <w:sz w:val="24"/>
                <w:szCs w:val="24"/>
              </w:rPr>
              <w:t>身份鉴别</w:t>
            </w:r>
            <w:bookmarkEnd w:id="43"/>
          </w:p>
        </w:tc>
        <w:tc>
          <w:tcPr>
            <w:tcW w:w="5722" w:type="dxa"/>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检查</w:t>
            </w:r>
            <w:r>
              <w:rPr>
                <w:rFonts w:hint="eastAsia" w:ascii="仿宋" w:hAnsi="仿宋" w:eastAsia="仿宋" w:cs="仿宋"/>
                <w:sz w:val="24"/>
                <w:szCs w:val="24"/>
              </w:rPr>
              <w:t>网络和通信设备</w:t>
            </w:r>
            <w:r>
              <w:rPr>
                <w:rFonts w:hint="eastAsia" w:ascii="仿宋" w:hAnsi="仿宋" w:eastAsia="仿宋" w:cs="仿宋"/>
                <w:color w:val="000000"/>
                <w:sz w:val="24"/>
                <w:szCs w:val="24"/>
              </w:rPr>
              <w:t>的身份标识与鉴别和用户登录的配置情况。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661" w:type="dxa"/>
            <w:vAlign w:val="center"/>
          </w:tcPr>
          <w:p>
            <w:pPr>
              <w:pageBreakBefore w:val="0"/>
              <w:kinsoku/>
              <w:wordWrap/>
              <w:overflowPunct/>
              <w:topLinePunct w:val="0"/>
              <w:autoSpaceDE/>
              <w:autoSpaceDN/>
              <w:bidi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771" w:type="dxa"/>
            <w:vAlign w:val="center"/>
          </w:tcPr>
          <w:p>
            <w:pPr>
              <w:pageBreakBefore w:val="0"/>
              <w:kinsoku/>
              <w:wordWrap/>
              <w:overflowPunct/>
              <w:topLinePunct w:val="0"/>
              <w:autoSpaceDE/>
              <w:autoSpaceDN/>
              <w:bidi w:val="0"/>
              <w:spacing w:line="400" w:lineRule="exact"/>
              <w:rPr>
                <w:rFonts w:hint="eastAsia" w:ascii="仿宋" w:hAnsi="仿宋" w:eastAsia="仿宋" w:cs="仿宋"/>
                <w:sz w:val="24"/>
                <w:szCs w:val="24"/>
              </w:rPr>
            </w:pPr>
            <w:r>
              <w:rPr>
                <w:rFonts w:hint="eastAsia" w:ascii="仿宋" w:hAnsi="仿宋" w:eastAsia="仿宋" w:cs="仿宋"/>
                <w:color w:val="000000"/>
                <w:sz w:val="24"/>
                <w:szCs w:val="24"/>
              </w:rPr>
              <w:t>通信数据完整性</w:t>
            </w:r>
          </w:p>
        </w:tc>
        <w:tc>
          <w:tcPr>
            <w:tcW w:w="5722" w:type="dxa"/>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通过抓包分析及验证的方式对访通信数据的完整性进行分析检查。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661" w:type="dxa"/>
            <w:vAlign w:val="center"/>
          </w:tcPr>
          <w:p>
            <w:pPr>
              <w:pageBreakBefore w:val="0"/>
              <w:kinsoku/>
              <w:wordWrap/>
              <w:overflowPunct/>
              <w:topLinePunct w:val="0"/>
              <w:autoSpaceDE/>
              <w:autoSpaceDN/>
              <w:bidi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771" w:type="dxa"/>
            <w:vAlign w:val="center"/>
          </w:tcPr>
          <w:p>
            <w:pPr>
              <w:pageBreakBefore w:val="0"/>
              <w:kinsoku/>
              <w:wordWrap/>
              <w:overflowPunct/>
              <w:topLinePunct w:val="0"/>
              <w:autoSpaceDE/>
              <w:autoSpaceDN/>
              <w:bidi w:val="0"/>
              <w:spacing w:line="400" w:lineRule="exact"/>
              <w:rPr>
                <w:rFonts w:hint="eastAsia" w:ascii="仿宋" w:hAnsi="仿宋" w:eastAsia="仿宋" w:cs="仿宋"/>
                <w:sz w:val="24"/>
                <w:szCs w:val="24"/>
              </w:rPr>
            </w:pPr>
            <w:r>
              <w:rPr>
                <w:rFonts w:hint="eastAsia" w:ascii="仿宋" w:hAnsi="仿宋" w:eastAsia="仿宋" w:cs="仿宋"/>
                <w:color w:val="000000"/>
                <w:sz w:val="24"/>
                <w:szCs w:val="24"/>
              </w:rPr>
              <w:t>通信数据机密性</w:t>
            </w:r>
          </w:p>
        </w:tc>
        <w:tc>
          <w:tcPr>
            <w:tcW w:w="5722" w:type="dxa"/>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通过抓包分析及验证的方式对访通信数据的机密性进行分析检查。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661" w:type="dxa"/>
            <w:vAlign w:val="center"/>
          </w:tcPr>
          <w:p>
            <w:pPr>
              <w:pageBreakBefore w:val="0"/>
              <w:kinsoku/>
              <w:wordWrap/>
              <w:overflowPunct/>
              <w:topLinePunct w:val="0"/>
              <w:autoSpaceDE/>
              <w:autoSpaceDN/>
              <w:bidi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771" w:type="dxa"/>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网络边界访问控制信息完整性</w:t>
            </w:r>
          </w:p>
        </w:tc>
        <w:tc>
          <w:tcPr>
            <w:tcW w:w="5722" w:type="dxa"/>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通过抓包分析、配置检查、工具测试等方式对访问控制信息的完整性进行分析检查。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661" w:type="dxa"/>
            <w:vAlign w:val="center"/>
          </w:tcPr>
          <w:p>
            <w:pPr>
              <w:pageBreakBefore w:val="0"/>
              <w:kinsoku/>
              <w:wordWrap/>
              <w:overflowPunct/>
              <w:topLinePunct w:val="0"/>
              <w:autoSpaceDE/>
              <w:autoSpaceDN/>
              <w:bidi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771" w:type="dxa"/>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安全接入认证</w:t>
            </w:r>
          </w:p>
        </w:tc>
        <w:tc>
          <w:tcPr>
            <w:tcW w:w="5722" w:type="dxa"/>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检查是否使用数据签名等密码技术对从外部接入到内部网络的行为进行安全认证。</w:t>
            </w:r>
          </w:p>
        </w:tc>
      </w:tr>
    </w:tbl>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bookmarkStart w:id="44" w:name="_Toc19784"/>
      <w:bookmarkStart w:id="45" w:name="_Toc8976426"/>
      <w:r>
        <w:rPr>
          <w:rFonts w:hint="eastAsia" w:ascii="仿宋" w:hAnsi="仿宋" w:eastAsia="仿宋" w:cs="仿宋"/>
          <w:sz w:val="24"/>
          <w:szCs w:val="24"/>
        </w:rPr>
        <w:t>设备和计算安全</w:t>
      </w:r>
      <w:bookmarkEnd w:id="44"/>
      <w:bookmarkEnd w:id="45"/>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685"/>
        <w:gridCol w:w="1835"/>
        <w:gridCol w:w="5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blHeader/>
        </w:trPr>
        <w:tc>
          <w:tcPr>
            <w:tcW w:w="661" w:type="dxa"/>
            <w:shd w:val="clear" w:color="auto" w:fill="F3F3F3"/>
            <w:vAlign w:val="center"/>
          </w:tcPr>
          <w:p>
            <w:pPr>
              <w:pageBreakBefore w:val="0"/>
              <w:kinsoku/>
              <w:wordWrap/>
              <w:overflowPunct/>
              <w:topLinePunct w:val="0"/>
              <w:autoSpaceDE/>
              <w:autoSpaceDN/>
              <w:bidi w:val="0"/>
              <w:spacing w:line="400" w:lineRule="exact"/>
              <w:jc w:val="center"/>
              <w:rPr>
                <w:rFonts w:hint="eastAsia" w:ascii="仿宋" w:hAnsi="仿宋" w:eastAsia="仿宋" w:cs="仿宋"/>
                <w:b/>
                <w:color w:val="000000"/>
                <w:sz w:val="24"/>
                <w:szCs w:val="24"/>
              </w:rPr>
            </w:pPr>
            <w:bookmarkStart w:id="46" w:name="_Toc8976427"/>
            <w:bookmarkStart w:id="47" w:name="_Toc4713"/>
            <w:r>
              <w:rPr>
                <w:rFonts w:hint="eastAsia" w:ascii="仿宋" w:hAnsi="仿宋" w:eastAsia="仿宋" w:cs="仿宋"/>
                <w:b/>
                <w:color w:val="000000"/>
                <w:sz w:val="24"/>
                <w:szCs w:val="24"/>
              </w:rPr>
              <w:t>序号</w:t>
            </w:r>
          </w:p>
        </w:tc>
        <w:tc>
          <w:tcPr>
            <w:tcW w:w="1771" w:type="dxa"/>
            <w:shd w:val="clear" w:color="auto" w:fill="F3F3F3"/>
            <w:vAlign w:val="center"/>
          </w:tcPr>
          <w:p>
            <w:pPr>
              <w:pageBreakBefore w:val="0"/>
              <w:kinsoku/>
              <w:wordWrap/>
              <w:overflowPunct/>
              <w:topLinePunct w:val="0"/>
              <w:autoSpaceDE/>
              <w:autoSpaceDN/>
              <w:bidi w:val="0"/>
              <w:spacing w:line="4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工作单元名称</w:t>
            </w:r>
          </w:p>
        </w:tc>
        <w:tc>
          <w:tcPr>
            <w:tcW w:w="5722" w:type="dxa"/>
            <w:shd w:val="clear" w:color="auto" w:fill="F3F3F3"/>
            <w:vAlign w:val="center"/>
          </w:tcPr>
          <w:p>
            <w:pPr>
              <w:pageBreakBefore w:val="0"/>
              <w:kinsoku/>
              <w:wordWrap/>
              <w:overflowPunct/>
              <w:topLinePunct w:val="0"/>
              <w:autoSpaceDE/>
              <w:autoSpaceDN/>
              <w:bidi w:val="0"/>
              <w:spacing w:line="4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工作单元描述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661" w:type="dxa"/>
            <w:vAlign w:val="center"/>
          </w:tcPr>
          <w:p>
            <w:pPr>
              <w:pageBreakBefore w:val="0"/>
              <w:kinsoku/>
              <w:wordWrap/>
              <w:overflowPunct/>
              <w:topLinePunct w:val="0"/>
              <w:autoSpaceDE/>
              <w:autoSpaceDN/>
              <w:bidi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771" w:type="dxa"/>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sz w:val="24"/>
                <w:szCs w:val="24"/>
              </w:rPr>
              <w:t>身份鉴别</w:t>
            </w:r>
          </w:p>
        </w:tc>
        <w:tc>
          <w:tcPr>
            <w:tcW w:w="5722" w:type="dxa"/>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检查</w:t>
            </w:r>
            <w:r>
              <w:rPr>
                <w:rFonts w:hint="eastAsia" w:ascii="仿宋" w:hAnsi="仿宋" w:eastAsia="仿宋" w:cs="仿宋"/>
                <w:sz w:val="24"/>
                <w:szCs w:val="24"/>
              </w:rPr>
              <w:t>服务器</w:t>
            </w:r>
            <w:r>
              <w:rPr>
                <w:rFonts w:hint="eastAsia" w:ascii="仿宋" w:hAnsi="仿宋" w:eastAsia="仿宋" w:cs="仿宋"/>
                <w:color w:val="000000"/>
                <w:sz w:val="24"/>
                <w:szCs w:val="24"/>
              </w:rPr>
              <w:t>的身份标识与鉴别和用户登录的配置情况。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661" w:type="dxa"/>
            <w:vAlign w:val="center"/>
          </w:tcPr>
          <w:p>
            <w:pPr>
              <w:pageBreakBefore w:val="0"/>
              <w:kinsoku/>
              <w:wordWrap/>
              <w:overflowPunct/>
              <w:topLinePunct w:val="0"/>
              <w:autoSpaceDE/>
              <w:autoSpaceDN/>
              <w:bidi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771" w:type="dxa"/>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远程管理通道安全</w:t>
            </w:r>
          </w:p>
        </w:tc>
        <w:tc>
          <w:tcPr>
            <w:tcW w:w="5722" w:type="dxa"/>
            <w:vAlign w:val="center"/>
          </w:tcPr>
          <w:p>
            <w:pPr>
              <w:pageBreakBefore w:val="0"/>
              <w:kinsoku/>
              <w:wordWrap/>
              <w:overflowPunct/>
              <w:topLinePunct w:val="0"/>
              <w:autoSpaceDE/>
              <w:autoSpaceDN/>
              <w:bidi w:val="0"/>
              <w:spacing w:line="400" w:lineRule="exact"/>
              <w:rPr>
                <w:rFonts w:hint="eastAsia" w:ascii="仿宋" w:hAnsi="仿宋" w:eastAsia="仿宋" w:cs="仿宋"/>
                <w:sz w:val="24"/>
                <w:szCs w:val="24"/>
              </w:rPr>
            </w:pPr>
            <w:r>
              <w:rPr>
                <w:rFonts w:hint="eastAsia" w:ascii="仿宋" w:hAnsi="仿宋" w:eastAsia="仿宋" w:cs="仿宋"/>
                <w:color w:val="000000"/>
                <w:sz w:val="24"/>
                <w:szCs w:val="24"/>
              </w:rPr>
              <w:t>核查远程管理过程中，身份鉴别数据是否采用密码技术进行保护；身份过程是否满足要求。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661" w:type="dxa"/>
            <w:vAlign w:val="center"/>
          </w:tcPr>
          <w:p>
            <w:pPr>
              <w:pageBreakBefore w:val="0"/>
              <w:kinsoku/>
              <w:wordWrap/>
              <w:overflowPunct/>
              <w:topLinePunct w:val="0"/>
              <w:autoSpaceDE/>
              <w:autoSpaceDN/>
              <w:bidi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771" w:type="dxa"/>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系统资源访问控制信息完整性</w:t>
            </w:r>
          </w:p>
        </w:tc>
        <w:tc>
          <w:tcPr>
            <w:tcW w:w="5722" w:type="dxa"/>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检查各主机相应操作系统或数据库的自主访问控制设置情况，包括安全策略覆盖、访问控制信息完整性情况等。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661" w:type="dxa"/>
            <w:vAlign w:val="center"/>
          </w:tcPr>
          <w:p>
            <w:pPr>
              <w:pageBreakBefore w:val="0"/>
              <w:kinsoku/>
              <w:wordWrap/>
              <w:overflowPunct/>
              <w:topLinePunct w:val="0"/>
              <w:autoSpaceDE/>
              <w:autoSpaceDN/>
              <w:bidi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771" w:type="dxa"/>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重要信息资源安全标记完整性</w:t>
            </w:r>
          </w:p>
        </w:tc>
        <w:tc>
          <w:tcPr>
            <w:tcW w:w="5722" w:type="dxa"/>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通过访谈系统管理员和安全管理员关于信息系统重要信息资源的敏感标记设置，并且通过相关技术手段进行强制访问控制措施有效性，同时检查敏感标记的完整性。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661" w:type="dxa"/>
            <w:vAlign w:val="center"/>
          </w:tcPr>
          <w:p>
            <w:pPr>
              <w:pageBreakBefore w:val="0"/>
              <w:kinsoku/>
              <w:wordWrap/>
              <w:overflowPunct/>
              <w:topLinePunct w:val="0"/>
              <w:autoSpaceDE/>
              <w:autoSpaceDN/>
              <w:bidi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771" w:type="dxa"/>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日记记录完整性</w:t>
            </w:r>
          </w:p>
        </w:tc>
        <w:tc>
          <w:tcPr>
            <w:tcW w:w="5722" w:type="dxa"/>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检查各主机服务器相应操作系统或数据库的日志记录的配置情况，如覆盖范围、记录的项目和内容等；检查安全审计记录的保护及完整性验证情况。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661" w:type="dxa"/>
            <w:vAlign w:val="center"/>
          </w:tcPr>
          <w:p>
            <w:pPr>
              <w:pageBreakBefore w:val="0"/>
              <w:kinsoku/>
              <w:wordWrap/>
              <w:overflowPunct/>
              <w:topLinePunct w:val="0"/>
              <w:autoSpaceDE/>
              <w:autoSpaceDN/>
              <w:bidi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771" w:type="dxa"/>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重要可执行程序文件完整性、重要可执行程序来源真实性</w:t>
            </w:r>
          </w:p>
        </w:tc>
        <w:tc>
          <w:tcPr>
            <w:tcW w:w="5722" w:type="dxa"/>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对重要程序及文件的完整性进行分析检查。</w:t>
            </w:r>
          </w:p>
        </w:tc>
      </w:tr>
    </w:tbl>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应用和数据安全</w:t>
      </w:r>
      <w:bookmarkEnd w:id="46"/>
      <w:bookmarkEnd w:id="47"/>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685"/>
        <w:gridCol w:w="1835"/>
        <w:gridCol w:w="5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blHeader/>
        </w:trPr>
        <w:tc>
          <w:tcPr>
            <w:tcW w:w="661" w:type="dxa"/>
            <w:shd w:val="clear" w:color="auto" w:fill="F3F3F3"/>
            <w:vAlign w:val="center"/>
          </w:tcPr>
          <w:p>
            <w:pPr>
              <w:pageBreakBefore w:val="0"/>
              <w:kinsoku/>
              <w:wordWrap/>
              <w:overflowPunct/>
              <w:topLinePunct w:val="0"/>
              <w:autoSpaceDE/>
              <w:autoSpaceDN/>
              <w:bidi w:val="0"/>
              <w:spacing w:line="400" w:lineRule="exact"/>
              <w:jc w:val="center"/>
              <w:rPr>
                <w:rFonts w:hint="eastAsia" w:ascii="仿宋" w:hAnsi="仿宋" w:eastAsia="仿宋" w:cs="仿宋"/>
                <w:b/>
                <w:color w:val="000000"/>
                <w:sz w:val="24"/>
                <w:szCs w:val="24"/>
              </w:rPr>
            </w:pPr>
            <w:bookmarkStart w:id="48" w:name="_Toc18859"/>
            <w:bookmarkStart w:id="49" w:name="_Toc8976428"/>
            <w:r>
              <w:rPr>
                <w:rFonts w:hint="eastAsia" w:ascii="仿宋" w:hAnsi="仿宋" w:eastAsia="仿宋" w:cs="仿宋"/>
                <w:b/>
                <w:color w:val="000000"/>
                <w:sz w:val="24"/>
                <w:szCs w:val="24"/>
              </w:rPr>
              <w:t>序号</w:t>
            </w:r>
          </w:p>
        </w:tc>
        <w:tc>
          <w:tcPr>
            <w:tcW w:w="1771" w:type="dxa"/>
            <w:shd w:val="clear" w:color="auto" w:fill="F3F3F3"/>
            <w:vAlign w:val="center"/>
          </w:tcPr>
          <w:p>
            <w:pPr>
              <w:pageBreakBefore w:val="0"/>
              <w:kinsoku/>
              <w:wordWrap/>
              <w:overflowPunct/>
              <w:topLinePunct w:val="0"/>
              <w:autoSpaceDE/>
              <w:autoSpaceDN/>
              <w:bidi w:val="0"/>
              <w:spacing w:line="4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工作单元名称</w:t>
            </w:r>
          </w:p>
        </w:tc>
        <w:tc>
          <w:tcPr>
            <w:tcW w:w="5722" w:type="dxa"/>
            <w:shd w:val="clear" w:color="auto" w:fill="F3F3F3"/>
            <w:vAlign w:val="center"/>
          </w:tcPr>
          <w:p>
            <w:pPr>
              <w:pageBreakBefore w:val="0"/>
              <w:kinsoku/>
              <w:wordWrap/>
              <w:overflowPunct/>
              <w:topLinePunct w:val="0"/>
              <w:autoSpaceDE/>
              <w:autoSpaceDN/>
              <w:bidi w:val="0"/>
              <w:spacing w:line="4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工作单元描述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661" w:type="dxa"/>
            <w:vAlign w:val="center"/>
          </w:tcPr>
          <w:p>
            <w:pPr>
              <w:pageBreakBefore w:val="0"/>
              <w:kinsoku/>
              <w:wordWrap/>
              <w:overflowPunct/>
              <w:topLinePunct w:val="0"/>
              <w:autoSpaceDE/>
              <w:autoSpaceDN/>
              <w:bidi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771" w:type="dxa"/>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身份鉴别</w:t>
            </w:r>
          </w:p>
        </w:tc>
        <w:tc>
          <w:tcPr>
            <w:tcW w:w="5722" w:type="dxa"/>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检查业务应用系统的身份标识与鉴别功能设置和使用配置情况；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661" w:type="dxa"/>
            <w:vAlign w:val="center"/>
          </w:tcPr>
          <w:p>
            <w:pPr>
              <w:pageBreakBefore w:val="0"/>
              <w:kinsoku/>
              <w:wordWrap/>
              <w:overflowPunct/>
              <w:topLinePunct w:val="0"/>
              <w:autoSpaceDE/>
              <w:autoSpaceDN/>
              <w:bidi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771" w:type="dxa"/>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访问控制</w:t>
            </w:r>
          </w:p>
        </w:tc>
        <w:tc>
          <w:tcPr>
            <w:tcW w:w="5722" w:type="dxa"/>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检查业务应用系统的访问控制功能设置情况，如访问控制的策略、访问控制粒度、权限设置情况等。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661" w:type="dxa"/>
            <w:vAlign w:val="center"/>
          </w:tcPr>
          <w:p>
            <w:pPr>
              <w:pageBreakBefore w:val="0"/>
              <w:kinsoku/>
              <w:wordWrap/>
              <w:overflowPunct/>
              <w:topLinePunct w:val="0"/>
              <w:autoSpaceDE/>
              <w:autoSpaceDN/>
              <w:bidi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771" w:type="dxa"/>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重要信息资源安全标记完整性</w:t>
            </w:r>
          </w:p>
        </w:tc>
        <w:tc>
          <w:tcPr>
            <w:tcW w:w="5722" w:type="dxa"/>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通过访谈系统管理员和安全管理员关于信息系统重要信息资源的敏感标记设置，并且通过相关技术手段进行强制访问控制措施有效性，同时检查敏感标记的完整性。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661" w:type="dxa"/>
            <w:vAlign w:val="center"/>
          </w:tcPr>
          <w:p>
            <w:pPr>
              <w:pageBreakBefore w:val="0"/>
              <w:kinsoku/>
              <w:wordWrap/>
              <w:overflowPunct/>
              <w:topLinePunct w:val="0"/>
              <w:autoSpaceDE/>
              <w:autoSpaceDN/>
              <w:bidi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771" w:type="dxa"/>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重要数据传输机密性</w:t>
            </w:r>
          </w:p>
        </w:tc>
        <w:tc>
          <w:tcPr>
            <w:tcW w:w="5722" w:type="dxa"/>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检查业务应用系统的重要数据传输机制、加密算法等信息。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661" w:type="dxa"/>
            <w:vAlign w:val="center"/>
          </w:tcPr>
          <w:p>
            <w:pPr>
              <w:pageBreakBefore w:val="0"/>
              <w:kinsoku/>
              <w:wordWrap/>
              <w:overflowPunct/>
              <w:topLinePunct w:val="0"/>
              <w:autoSpaceDE/>
              <w:autoSpaceDN/>
              <w:bidi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1771" w:type="dxa"/>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重要数据存储机密性</w:t>
            </w:r>
          </w:p>
        </w:tc>
        <w:tc>
          <w:tcPr>
            <w:tcW w:w="5722" w:type="dxa"/>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检查业务应用系统的重要数据传输机制、加密算法等信息。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661" w:type="dxa"/>
            <w:vAlign w:val="center"/>
          </w:tcPr>
          <w:p>
            <w:pPr>
              <w:pageBreakBefore w:val="0"/>
              <w:kinsoku/>
              <w:wordWrap/>
              <w:overflowPunct/>
              <w:topLinePunct w:val="0"/>
              <w:autoSpaceDE/>
              <w:autoSpaceDN/>
              <w:bidi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771" w:type="dxa"/>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重要数据传输完整性</w:t>
            </w:r>
          </w:p>
        </w:tc>
        <w:tc>
          <w:tcPr>
            <w:tcW w:w="5722" w:type="dxa"/>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检查重要数据存储的环境及安全性。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661" w:type="dxa"/>
            <w:vAlign w:val="center"/>
          </w:tcPr>
          <w:p>
            <w:pPr>
              <w:pageBreakBefore w:val="0"/>
              <w:kinsoku/>
              <w:wordWrap/>
              <w:overflowPunct/>
              <w:topLinePunct w:val="0"/>
              <w:autoSpaceDE/>
              <w:autoSpaceDN/>
              <w:bidi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7</w:t>
            </w:r>
          </w:p>
        </w:tc>
        <w:tc>
          <w:tcPr>
            <w:tcW w:w="1771" w:type="dxa"/>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重要数据存储完整性</w:t>
            </w:r>
          </w:p>
        </w:tc>
        <w:tc>
          <w:tcPr>
            <w:tcW w:w="5722" w:type="dxa"/>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检查重要数据存储的环境及安全性。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661" w:type="dxa"/>
            <w:vAlign w:val="center"/>
          </w:tcPr>
          <w:p>
            <w:pPr>
              <w:pageBreakBefore w:val="0"/>
              <w:kinsoku/>
              <w:wordWrap/>
              <w:overflowPunct/>
              <w:topLinePunct w:val="0"/>
              <w:autoSpaceDE/>
              <w:autoSpaceDN/>
              <w:bidi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8</w:t>
            </w:r>
          </w:p>
        </w:tc>
        <w:tc>
          <w:tcPr>
            <w:tcW w:w="1771" w:type="dxa"/>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不可否认性</w:t>
            </w:r>
          </w:p>
        </w:tc>
        <w:tc>
          <w:tcPr>
            <w:tcW w:w="5722" w:type="dxa"/>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检查业务应用系统的数据接收行为和数据原发行为是否进行了不可否认性确定。</w:t>
            </w:r>
          </w:p>
        </w:tc>
      </w:tr>
      <w:bookmarkEnd w:id="48"/>
      <w:bookmarkEnd w:id="49"/>
    </w:tbl>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bookmarkStart w:id="50" w:name="_Toc14242"/>
      <w:bookmarkStart w:id="51" w:name="_Toc8976429"/>
      <w:r>
        <w:rPr>
          <w:rFonts w:hint="eastAsia" w:ascii="仿宋" w:hAnsi="仿宋" w:eastAsia="仿宋" w:cs="仿宋"/>
          <w:sz w:val="24"/>
          <w:szCs w:val="24"/>
        </w:rPr>
        <w:t>安全管理</w:t>
      </w:r>
      <w:bookmarkEnd w:id="50"/>
      <w:bookmarkEnd w:id="51"/>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85" w:type="dxa"/>
          <w:bottom w:w="85" w:type="dxa"/>
          <w:right w:w="85" w:type="dxa"/>
        </w:tblCellMar>
      </w:tblPr>
      <w:tblGrid>
        <w:gridCol w:w="684"/>
        <w:gridCol w:w="1835"/>
        <w:gridCol w:w="5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blHeader/>
        </w:trPr>
        <w:tc>
          <w:tcPr>
            <w:tcW w:w="405" w:type="pct"/>
            <w:shd w:val="clear" w:color="auto" w:fill="F3F3F3"/>
            <w:vAlign w:val="center"/>
          </w:tcPr>
          <w:p>
            <w:pPr>
              <w:pageBreakBefore w:val="0"/>
              <w:kinsoku/>
              <w:wordWrap/>
              <w:overflowPunct/>
              <w:topLinePunct w:val="0"/>
              <w:autoSpaceDE/>
              <w:autoSpaceDN/>
              <w:bidi w:val="0"/>
              <w:spacing w:line="4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序号</w:t>
            </w:r>
          </w:p>
        </w:tc>
        <w:tc>
          <w:tcPr>
            <w:tcW w:w="1086" w:type="pct"/>
            <w:shd w:val="clear" w:color="auto" w:fill="F3F3F3"/>
            <w:vAlign w:val="center"/>
          </w:tcPr>
          <w:p>
            <w:pPr>
              <w:pageBreakBefore w:val="0"/>
              <w:kinsoku/>
              <w:wordWrap/>
              <w:overflowPunct/>
              <w:topLinePunct w:val="0"/>
              <w:autoSpaceDE/>
              <w:autoSpaceDN/>
              <w:bidi w:val="0"/>
              <w:spacing w:line="4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工作单元名称</w:t>
            </w:r>
          </w:p>
        </w:tc>
        <w:tc>
          <w:tcPr>
            <w:tcW w:w="3509" w:type="pct"/>
            <w:shd w:val="clear" w:color="auto" w:fill="F3F3F3"/>
            <w:vAlign w:val="center"/>
          </w:tcPr>
          <w:p>
            <w:pPr>
              <w:pageBreakBefore w:val="0"/>
              <w:kinsoku/>
              <w:wordWrap/>
              <w:overflowPunct/>
              <w:topLinePunct w:val="0"/>
              <w:autoSpaceDE/>
              <w:autoSpaceDN/>
              <w:bidi w:val="0"/>
              <w:spacing w:line="40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工作单元描述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405" w:type="pct"/>
            <w:vAlign w:val="center"/>
          </w:tcPr>
          <w:p>
            <w:pPr>
              <w:pageBreakBefore w:val="0"/>
              <w:kinsoku/>
              <w:wordWrap/>
              <w:overflowPunct/>
              <w:topLinePunct w:val="0"/>
              <w:autoSpaceDE/>
              <w:autoSpaceDN/>
              <w:bidi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1086" w:type="pct"/>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管理制度</w:t>
            </w:r>
          </w:p>
        </w:tc>
        <w:tc>
          <w:tcPr>
            <w:tcW w:w="3509" w:type="pct"/>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检查密码安全管理制度的制订情况。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405" w:type="pct"/>
            <w:vAlign w:val="center"/>
          </w:tcPr>
          <w:p>
            <w:pPr>
              <w:pageBreakBefore w:val="0"/>
              <w:kinsoku/>
              <w:wordWrap/>
              <w:overflowPunct/>
              <w:topLinePunct w:val="0"/>
              <w:autoSpaceDE/>
              <w:autoSpaceDN/>
              <w:bidi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086" w:type="pct"/>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人员管理</w:t>
            </w:r>
          </w:p>
        </w:tc>
        <w:tc>
          <w:tcPr>
            <w:tcW w:w="3509" w:type="pct"/>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通过访谈安全主管，检查人员名单等文档，检查关于密码管理的相关规定及岗位设置、职责情况。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405" w:type="pct"/>
            <w:vAlign w:val="center"/>
          </w:tcPr>
          <w:p>
            <w:pPr>
              <w:pageBreakBefore w:val="0"/>
              <w:kinsoku/>
              <w:wordWrap/>
              <w:overflowPunct/>
              <w:topLinePunct w:val="0"/>
              <w:autoSpaceDE/>
              <w:autoSpaceDN/>
              <w:bidi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1086" w:type="pct"/>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建设运行</w:t>
            </w:r>
          </w:p>
        </w:tc>
        <w:tc>
          <w:tcPr>
            <w:tcW w:w="3509" w:type="pct"/>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通过检查相关密码项目文档对密码项目的规划、建设及运行情况进行检查。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454" w:hRule="atLeast"/>
        </w:trPr>
        <w:tc>
          <w:tcPr>
            <w:tcW w:w="405" w:type="pct"/>
            <w:vAlign w:val="center"/>
          </w:tcPr>
          <w:p>
            <w:pPr>
              <w:pageBreakBefore w:val="0"/>
              <w:kinsoku/>
              <w:wordWrap/>
              <w:overflowPunct/>
              <w:topLinePunct w:val="0"/>
              <w:autoSpaceDE/>
              <w:autoSpaceDN/>
              <w:bidi w:val="0"/>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1086" w:type="pct"/>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应急处置</w:t>
            </w:r>
          </w:p>
        </w:tc>
        <w:tc>
          <w:tcPr>
            <w:tcW w:w="3509" w:type="pct"/>
            <w:vAlign w:val="center"/>
          </w:tcPr>
          <w:p>
            <w:pPr>
              <w:pageBreakBefore w:val="0"/>
              <w:kinsoku/>
              <w:wordWrap/>
              <w:overflowPunct/>
              <w:topLinePunct w:val="0"/>
              <w:autoSpaceDE/>
              <w:autoSpaceDN/>
              <w:bidi w:val="0"/>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通过访谈系统运维负责人，检查密码应用安全事件的应急预案、记录分析文档、密码应用安全事件报告和处置管理制度等过程，评估被评估单位是否采取必要的措施对密码应用安全事件进行等级划分和对密码应用安全事件的报告、处理过程进行有效的管理。</w:t>
            </w:r>
          </w:p>
        </w:tc>
      </w:tr>
    </w:tbl>
    <w:p>
      <w:pPr>
        <w:pStyle w:val="5"/>
        <w:pageBreakBefore w:val="0"/>
        <w:kinsoku/>
        <w:wordWrap/>
        <w:overflowPunct/>
        <w:topLinePunct w:val="0"/>
        <w:autoSpaceDE/>
        <w:autoSpaceDN/>
        <w:bidi w:val="0"/>
        <w:spacing w:line="400" w:lineRule="exact"/>
        <w:rPr>
          <w:rFonts w:hint="eastAsia" w:ascii="仿宋" w:hAnsi="仿宋" w:eastAsia="仿宋" w:cs="仿宋"/>
          <w:sz w:val="24"/>
          <w:szCs w:val="24"/>
        </w:rPr>
      </w:pPr>
      <w:r>
        <w:rPr>
          <w:rFonts w:hint="eastAsia" w:ascii="仿宋" w:hAnsi="仿宋" w:eastAsia="仿宋" w:cs="仿宋"/>
          <w:sz w:val="24"/>
          <w:szCs w:val="24"/>
        </w:rPr>
        <w:t>2. 商用密码应用安全性测评应满足的原则</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遵循以下若干原则，是评估结论真实、准确、可信的基础，也是评估组在独立实施评估时，在相似的情况下得出相似结论的前提。本次商用密码应用安全性测评实施方案设计与具体实施应满足以下原则：</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（1）客观公正原则：评估实施过程中评估人员应保证在最小主观判断情形下，按照评估双方认可的评估方案，基于明确定义的评估方式和解释，实施评估活动。</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（2）经济性和可重用性原则：评估工作可重用已有评估结果，包括商用密码应用安全性评估结果。所有重用结果都应以结果适用于待评估系统为前提，并能够客观反映目前系统的安全状态。</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3）可重复性和可再现性原则：依照同样的要求，使用同样的评估方法，不同的评估机构对每个评估实施过程的重复执行应得到同样的结果。可再现性和可重复性的区别在于，前者关注不同评估者评估结果的一致性，后者则与同一评估者评估结果的一致性有关。</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（4）结果完善性原则：在正确理解《GB/T 39786-2021信息安全技术 信息系统密码应用基本要求》各个要求项内容的基础之上，检测所产生的结果应客观反映系统的运行状态。评估过程和结果应服从正确的评估方法，以确保其满足要求。</w:t>
      </w:r>
    </w:p>
    <w:p>
      <w:pPr>
        <w:pStyle w:val="5"/>
        <w:pageBreakBefore w:val="0"/>
        <w:kinsoku/>
        <w:wordWrap/>
        <w:overflowPunct/>
        <w:topLinePunct w:val="0"/>
        <w:autoSpaceDE/>
        <w:autoSpaceDN/>
        <w:bidi w:val="0"/>
        <w:spacing w:line="400" w:lineRule="exact"/>
        <w:rPr>
          <w:rFonts w:hint="eastAsia" w:ascii="仿宋" w:hAnsi="仿宋" w:eastAsia="仿宋" w:cs="仿宋"/>
          <w:sz w:val="24"/>
          <w:szCs w:val="24"/>
        </w:rPr>
      </w:pPr>
      <w:r>
        <w:rPr>
          <w:rFonts w:hint="eastAsia" w:ascii="仿宋" w:hAnsi="仿宋" w:eastAsia="仿宋" w:cs="仿宋"/>
          <w:sz w:val="24"/>
          <w:szCs w:val="24"/>
        </w:rPr>
        <w:t>3. 测评要求</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（1）供应商应详细描述本次项目的整体实施方案，包括项目概述、密评方案、测试过程中需使用测试设备清单、时间安排、阶段性文档提交和验收标准等。</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（2）供应商应详细描述实施人员的组成、资质及各自职责的划分。供应商应配置有经验的技术人员进行本次项目实施。</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3）本次项目实施过程中所使用到的各种工具软件由供应商推荐，经采购人确认后由供应商提供并在项目中使用。在响应文件中应详细描述所使用的安全技术工具（软硬件型号、功能和性能描述）、使用的方式和时间、对环境和平台的要求以及使用可能对系统造成的风险等。</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（4）本次项目实施过程中所使用到的测评工具，应包括国密局认可的密码专用检测工具、漏洞扫描工具等获得许可的检测工具，对系统数据进行分析，并以分析结果辅证评估报告。</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（5）安全技术工具软件运行可能需要的硬件平台（如笔记本电脑、PC、工作站等）和操作系统软件等由供应商推荐，经采购人确认后由供应商提供并在项目中使用。</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（6）项目实施需要的运行环境（如场地、网络环境等）由采购人提供，供应商应详细描述需要的运行环境的具体要求。</w:t>
      </w:r>
    </w:p>
    <w:p>
      <w:pPr>
        <w:pStyle w:val="5"/>
        <w:pageBreakBefore w:val="0"/>
        <w:kinsoku/>
        <w:wordWrap/>
        <w:overflowPunct/>
        <w:topLinePunct w:val="0"/>
        <w:autoSpaceDE/>
        <w:autoSpaceDN/>
        <w:bidi w:val="0"/>
        <w:spacing w:line="400" w:lineRule="exact"/>
        <w:rPr>
          <w:rFonts w:hint="eastAsia" w:ascii="仿宋" w:hAnsi="仿宋" w:eastAsia="仿宋" w:cs="仿宋"/>
          <w:sz w:val="24"/>
          <w:szCs w:val="24"/>
          <w:highlight w:val="none"/>
        </w:rPr>
      </w:pPr>
      <w:r>
        <w:rPr>
          <w:rFonts w:hint="eastAsia" w:ascii="仿宋" w:hAnsi="仿宋" w:eastAsia="仿宋" w:cs="仿宋"/>
          <w:sz w:val="24"/>
          <w:szCs w:val="24"/>
        </w:rPr>
        <w:t>4. 商用</w:t>
      </w:r>
      <w:r>
        <w:rPr>
          <w:rFonts w:hint="eastAsia" w:ascii="仿宋" w:hAnsi="仿宋" w:eastAsia="仿宋" w:cs="仿宋"/>
          <w:sz w:val="24"/>
          <w:szCs w:val="24"/>
          <w:highlight w:val="none"/>
        </w:rPr>
        <w:t>密码应用安全性评估成果</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highlight w:val="none"/>
        </w:rPr>
      </w:pPr>
      <w:r>
        <w:rPr>
          <w:rFonts w:hint="eastAsia" w:ascii="仿宋" w:hAnsi="仿宋" w:eastAsia="仿宋" w:cs="仿宋"/>
          <w:sz w:val="24"/>
          <w:szCs w:val="24"/>
          <w:highlight w:val="none"/>
        </w:rPr>
        <w:t>本项目测评工作输出包括且不仅仅包括以下成果：</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highlight w:val="none"/>
        </w:rPr>
      </w:pPr>
      <w:r>
        <w:rPr>
          <w:rFonts w:hint="eastAsia" w:ascii="仿宋" w:hAnsi="仿宋" w:eastAsia="仿宋" w:cs="仿宋"/>
          <w:sz w:val="24"/>
          <w:szCs w:val="24"/>
          <w:highlight w:val="none"/>
        </w:rPr>
        <w:t>（1）《XXX系统商用密码应用安全性评估测评方案》</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highlight w:val="none"/>
        </w:rPr>
        <w:t>（2）《XXX系统商用</w:t>
      </w:r>
      <w:r>
        <w:rPr>
          <w:rFonts w:hint="eastAsia" w:ascii="仿宋" w:hAnsi="仿宋" w:eastAsia="仿宋" w:cs="仿宋"/>
          <w:sz w:val="24"/>
          <w:szCs w:val="24"/>
        </w:rPr>
        <w:t>密码应用安全性评估报告》</w:t>
      </w:r>
    </w:p>
    <w:p>
      <w:pPr>
        <w:pStyle w:val="4"/>
        <w:pageBreakBefore w:val="0"/>
        <w:numPr>
          <w:ilvl w:val="0"/>
          <w:numId w:val="1"/>
        </w:numPr>
        <w:kinsoku/>
        <w:wordWrap/>
        <w:overflowPunct/>
        <w:topLinePunct w:val="0"/>
        <w:autoSpaceDE/>
        <w:autoSpaceDN/>
        <w:bidi w:val="0"/>
        <w:spacing w:line="400" w:lineRule="exact"/>
        <w:ind w:firstLineChars="0"/>
        <w:rPr>
          <w:rFonts w:hint="eastAsia" w:ascii="仿宋" w:hAnsi="仿宋" w:eastAsia="仿宋" w:cs="仿宋"/>
          <w:sz w:val="24"/>
          <w:szCs w:val="24"/>
        </w:rPr>
      </w:pPr>
      <w:r>
        <w:rPr>
          <w:rFonts w:hint="eastAsia" w:ascii="仿宋" w:hAnsi="仿宋" w:eastAsia="仿宋" w:cs="仿宋"/>
          <w:sz w:val="24"/>
          <w:szCs w:val="24"/>
        </w:rPr>
        <w:t>保密要求</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供应商必须和采购人签订保密协议，供应商必须要与参加此次项目的所有项目组成员签订保密协议，在合同签订时一并提供给采购人。</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供应商具体实施项目中的重要资料和结果，在项目实施期间和实施结束后，供应商不得带离该地点。</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供应商对本规范书中的内容及在应标过程中接触的设备信息、数据资料等负有保密责任，不得泄露给任何第三方。无论供应商中标与否，其对上述内容的保密责任将长期存在。</w:t>
      </w:r>
    </w:p>
    <w:p>
      <w:pPr>
        <w:pStyle w:val="4"/>
        <w:pageBreakBefore w:val="0"/>
        <w:numPr>
          <w:ilvl w:val="0"/>
          <w:numId w:val="1"/>
        </w:numPr>
        <w:kinsoku/>
        <w:wordWrap/>
        <w:overflowPunct/>
        <w:topLinePunct w:val="0"/>
        <w:autoSpaceDE/>
        <w:autoSpaceDN/>
        <w:bidi w:val="0"/>
        <w:spacing w:line="400" w:lineRule="exact"/>
        <w:ind w:firstLineChars="0"/>
        <w:rPr>
          <w:rFonts w:hint="eastAsia" w:ascii="仿宋" w:hAnsi="仿宋" w:eastAsia="仿宋" w:cs="仿宋"/>
          <w:sz w:val="24"/>
          <w:szCs w:val="24"/>
        </w:rPr>
      </w:pPr>
      <w:r>
        <w:rPr>
          <w:rFonts w:hint="eastAsia" w:ascii="仿宋" w:hAnsi="仿宋" w:eastAsia="仿宋" w:cs="仿宋"/>
          <w:sz w:val="24"/>
          <w:szCs w:val="24"/>
        </w:rPr>
        <w:t>项目实施要求</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1. 供应商应保证投标项目在采购人条件成熟时应立即开展实施；</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2. 供应商在项目实施过程中应服从采购人的统一领导和协调，采购人有权裁决供应商的责任范围，供应商必须执行，在采购人限定的时间内解决问题。如果供应商不能按时完成测评内容，采购人有权中止项目、索赔或拒付款项；</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3. 供应商需根据自己的工程实施经验结合采购人的实际需求进一步细化和完善工作任务书，作为工程实施的指导性文件；</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4. 供应商应根据采购人工作需求、进度要求、实际情况制定详细的项目实施管理规范和项目实施计划，对工程目标、工作任务、阶段性工作、项目组织机构、职责分工、项目进度、质量控制等内容进行详细的说明，以确保工程实施按时保质的完成；</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5. 为保证本次项目的质量，承担本次项目的项目负责人具有商用密码应用安全性评估工作经验，且为高级测评师（需提供资格证明文件），项目实施骨干人员要求至少有1名具有密码领域工作经验，其它骨干人员应具有信息安全测评相关工作经验，提供证明文件。</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6. 为便于采购人建立一套规范的信息安全管理体系，供应商应具备信息安全管理体系认证资质；</w:t>
      </w:r>
    </w:p>
    <w:p>
      <w:pPr>
        <w:pageBreakBefore w:val="0"/>
        <w:kinsoku/>
        <w:wordWrap/>
        <w:overflowPunct/>
        <w:topLinePunct w:val="0"/>
        <w:autoSpaceDE/>
        <w:autoSpaceDN/>
        <w:bidi w:val="0"/>
        <w:adjustRightInd w:val="0"/>
        <w:spacing w:line="400" w:lineRule="exact"/>
        <w:ind w:firstLine="480" w:firstLineChars="200"/>
        <w:textAlignment w:val="bottom"/>
        <w:rPr>
          <w:rFonts w:hint="eastAsia" w:ascii="仿宋" w:hAnsi="仿宋" w:eastAsia="仿宋" w:cs="仿宋"/>
          <w:sz w:val="24"/>
          <w:szCs w:val="24"/>
        </w:rPr>
      </w:pPr>
      <w:r>
        <w:rPr>
          <w:rFonts w:hint="eastAsia" w:ascii="仿宋" w:hAnsi="仿宋" w:eastAsia="仿宋" w:cs="仿宋"/>
          <w:sz w:val="24"/>
          <w:szCs w:val="24"/>
        </w:rPr>
        <w:t>7. 项目验收完成后，要求提供为期一年的技术咨询服务，以保证项目正常运行。</w:t>
      </w:r>
    </w:p>
    <w:p>
      <w:pPr>
        <w:pStyle w:val="4"/>
        <w:pageBreakBefore w:val="0"/>
        <w:numPr>
          <w:ilvl w:val="0"/>
          <w:numId w:val="1"/>
        </w:numPr>
        <w:kinsoku/>
        <w:wordWrap/>
        <w:overflowPunct/>
        <w:topLinePunct w:val="0"/>
        <w:autoSpaceDE/>
        <w:autoSpaceDN/>
        <w:bidi w:val="0"/>
        <w:spacing w:line="400" w:lineRule="exact"/>
        <w:ind w:firstLineChars="0"/>
        <w:rPr>
          <w:rFonts w:hint="eastAsia" w:ascii="仿宋" w:hAnsi="仿宋" w:eastAsia="仿宋" w:cs="仿宋"/>
          <w:sz w:val="24"/>
          <w:szCs w:val="24"/>
        </w:rPr>
      </w:pPr>
      <w:r>
        <w:rPr>
          <w:rFonts w:hint="eastAsia" w:ascii="仿宋" w:hAnsi="仿宋" w:eastAsia="仿宋" w:cs="仿宋"/>
          <w:sz w:val="24"/>
          <w:szCs w:val="24"/>
        </w:rPr>
        <w:t>服务期限</w:t>
      </w:r>
    </w:p>
    <w:p>
      <w:pPr>
        <w:pageBreakBefore w:val="0"/>
        <w:kinsoku/>
        <w:wordWrap/>
        <w:overflowPunct/>
        <w:topLinePunct w:val="0"/>
        <w:autoSpaceDE/>
        <w:autoSpaceDN/>
        <w:bidi w:val="0"/>
        <w:spacing w:line="4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本项目服务期限为合同签订之日起三个月完成本采购需求规定所有内容。</w:t>
      </w:r>
    </w:p>
    <w:p>
      <w:pPr>
        <w:pStyle w:val="4"/>
        <w:pageBreakBefore w:val="0"/>
        <w:numPr>
          <w:ilvl w:val="0"/>
          <w:numId w:val="1"/>
        </w:numPr>
        <w:kinsoku/>
        <w:wordWrap/>
        <w:overflowPunct/>
        <w:topLinePunct w:val="0"/>
        <w:autoSpaceDE/>
        <w:autoSpaceDN/>
        <w:bidi w:val="0"/>
        <w:spacing w:line="400" w:lineRule="exact"/>
        <w:ind w:firstLineChars="0"/>
        <w:rPr>
          <w:rFonts w:hint="eastAsia" w:ascii="仿宋" w:hAnsi="仿宋" w:eastAsia="仿宋" w:cs="仿宋"/>
          <w:sz w:val="24"/>
          <w:szCs w:val="24"/>
        </w:rPr>
      </w:pPr>
      <w:r>
        <w:rPr>
          <w:rFonts w:hint="eastAsia" w:ascii="仿宋" w:hAnsi="仿宋" w:eastAsia="仿宋" w:cs="仿宋"/>
          <w:sz w:val="24"/>
          <w:szCs w:val="24"/>
        </w:rPr>
        <w:t>付款方式:</w:t>
      </w:r>
    </w:p>
    <w:p>
      <w:pPr>
        <w:pageBreakBefore w:val="0"/>
        <w:kinsoku/>
        <w:wordWrap/>
        <w:overflowPunct/>
        <w:topLinePunct w:val="0"/>
        <w:autoSpaceDE/>
        <w:autoSpaceDN/>
        <w:bidi w:val="0"/>
        <w:adjustRightInd w:val="0"/>
        <w:snapToGrid w:val="0"/>
        <w:spacing w:line="400" w:lineRule="exact"/>
        <w:ind w:firstLine="482" w:firstLineChars="200"/>
        <w:rPr>
          <w:rFonts w:hint="eastAsia" w:ascii="仿宋" w:hAnsi="仿宋" w:eastAsia="仿宋" w:cs="仿宋"/>
          <w:sz w:val="24"/>
          <w:szCs w:val="24"/>
        </w:rPr>
      </w:pPr>
      <w:r>
        <w:rPr>
          <w:rFonts w:hint="eastAsia" w:ascii="仿宋" w:hAnsi="仿宋" w:eastAsia="仿宋" w:cs="仿宋"/>
          <w:b/>
          <w:bCs/>
          <w:kern w:val="2"/>
          <w:sz w:val="24"/>
          <w:szCs w:val="24"/>
        </w:rPr>
        <w:t>分两期支付：</w:t>
      </w:r>
      <w:r>
        <w:rPr>
          <w:rFonts w:hint="eastAsia" w:ascii="仿宋" w:hAnsi="仿宋" w:eastAsia="仿宋" w:cs="仿宋"/>
          <w:sz w:val="24"/>
          <w:szCs w:val="24"/>
        </w:rPr>
        <w:br w:type="textWrapping"/>
      </w:r>
      <w:r>
        <w:rPr>
          <w:rFonts w:hint="eastAsia" w:ascii="仿宋" w:hAnsi="仿宋" w:eastAsia="仿宋" w:cs="仿宋"/>
          <w:sz w:val="24"/>
          <w:szCs w:val="24"/>
        </w:rPr>
        <w:t>第一期：合同签订后</w:t>
      </w:r>
      <w:r>
        <w:rPr>
          <w:rFonts w:hint="eastAsia" w:ascii="仿宋" w:hAnsi="仿宋" w:eastAsia="仿宋" w:cs="仿宋"/>
          <w:sz w:val="24"/>
          <w:szCs w:val="24"/>
          <w:lang w:val="en-US" w:eastAsia="zh-CN"/>
        </w:rPr>
        <w:t>7</w:t>
      </w:r>
      <w:r>
        <w:rPr>
          <w:rFonts w:hint="eastAsia" w:ascii="仿宋" w:hAnsi="仿宋" w:eastAsia="仿宋" w:cs="仿宋"/>
          <w:sz w:val="24"/>
          <w:szCs w:val="24"/>
        </w:rPr>
        <w:t>个工作日内，</w:t>
      </w:r>
      <w:r>
        <w:rPr>
          <w:rFonts w:hint="eastAsia" w:ascii="仿宋" w:hAnsi="仿宋" w:eastAsia="仿宋" w:cs="仿宋"/>
          <w:sz w:val="24"/>
          <w:szCs w:val="24"/>
          <w:lang w:eastAsia="zh-CN"/>
        </w:rPr>
        <w:t>预付</w:t>
      </w:r>
      <w:r>
        <w:rPr>
          <w:rFonts w:hint="eastAsia" w:ascii="仿宋" w:hAnsi="仿宋" w:eastAsia="仿宋" w:cs="仿宋"/>
          <w:sz w:val="24"/>
          <w:szCs w:val="24"/>
        </w:rPr>
        <w:t>合同总金额的40％；</w:t>
      </w:r>
      <w:r>
        <w:rPr>
          <w:rFonts w:hint="eastAsia" w:ascii="仿宋" w:hAnsi="仿宋" w:eastAsia="仿宋" w:cs="仿宋"/>
          <w:sz w:val="24"/>
          <w:szCs w:val="24"/>
        </w:rPr>
        <w:br w:type="textWrapping"/>
      </w:r>
      <w:r>
        <w:rPr>
          <w:rFonts w:hint="eastAsia" w:ascii="仿宋" w:hAnsi="仿宋" w:eastAsia="仿宋" w:cs="仿宋"/>
          <w:sz w:val="24"/>
          <w:szCs w:val="24"/>
        </w:rPr>
        <w:t>第二期：项目验收</w:t>
      </w:r>
      <w:r>
        <w:rPr>
          <w:rFonts w:hint="eastAsia" w:ascii="仿宋" w:hAnsi="仿宋" w:eastAsia="仿宋" w:cs="仿宋"/>
          <w:sz w:val="24"/>
          <w:szCs w:val="24"/>
          <w:lang w:eastAsia="zh-CN"/>
        </w:rPr>
        <w:t>合格</w:t>
      </w:r>
      <w:r>
        <w:rPr>
          <w:rFonts w:hint="eastAsia" w:ascii="仿宋" w:hAnsi="仿宋" w:eastAsia="仿宋" w:cs="仿宋"/>
          <w:sz w:val="24"/>
          <w:szCs w:val="24"/>
        </w:rPr>
        <w:t>后，根据实际完成数量及中标单价进行结算。</w:t>
      </w:r>
    </w:p>
    <w:p>
      <w:pPr>
        <w:spacing w:line="360" w:lineRule="auto"/>
        <w:ind w:firstLine="181" w:firstLineChars="50"/>
        <w:rPr>
          <w:rFonts w:hint="eastAsia" w:ascii="仿宋" w:hAnsi="仿宋" w:eastAsia="仿宋" w:cs="仿宋"/>
          <w:b/>
          <w:sz w:val="36"/>
          <w:szCs w:val="36"/>
        </w:rPr>
      </w:pPr>
    </w:p>
    <w:p>
      <w:pPr>
        <w:spacing w:line="360" w:lineRule="auto"/>
        <w:rPr>
          <w:rFonts w:hint="eastAsia" w:ascii="仿宋" w:hAnsi="仿宋" w:eastAsia="仿宋" w:cs="仿宋"/>
          <w:sz w:val="24"/>
        </w:rPr>
      </w:pPr>
    </w:p>
    <w:p>
      <w:pPr>
        <w:widowControl/>
        <w:ind w:firstLine="720" w:firstLineChars="300"/>
        <w:jc w:val="left"/>
        <w:rPr>
          <w:rFonts w:hint="eastAsia" w:ascii="仿宋" w:hAnsi="仿宋" w:eastAsia="仿宋" w:cs="仿宋"/>
          <w:bCs/>
          <w:sz w:val="24"/>
        </w:rPr>
      </w:pPr>
    </w:p>
    <w:p>
      <w:pPr>
        <w:snapToGrid w:val="0"/>
        <w:spacing w:line="360" w:lineRule="auto"/>
        <w:jc w:val="center"/>
        <w:rPr>
          <w:rFonts w:hint="eastAsia" w:ascii="仿宋" w:hAnsi="仿宋" w:eastAsia="仿宋" w:cs="仿宋"/>
          <w:b/>
          <w:sz w:val="36"/>
          <w:szCs w:val="36"/>
        </w:rPr>
      </w:pPr>
      <w:r>
        <w:rPr>
          <w:rFonts w:hint="eastAsia" w:ascii="仿宋" w:hAnsi="仿宋" w:eastAsia="仿宋" w:cs="仿宋"/>
          <w:b/>
          <w:sz w:val="24"/>
        </w:rPr>
        <w:br w:type="page"/>
      </w:r>
      <w:r>
        <w:rPr>
          <w:rFonts w:hint="eastAsia" w:ascii="仿宋" w:hAnsi="仿宋" w:eastAsia="仿宋" w:cs="仿宋"/>
          <w:b/>
          <w:sz w:val="36"/>
          <w:szCs w:val="36"/>
        </w:rPr>
        <w:t xml:space="preserve">第四部分   </w:t>
      </w:r>
      <w:bookmarkStart w:id="52" w:name="_Toc184314450"/>
      <w:bookmarkEnd w:id="52"/>
      <w:bookmarkStart w:id="53" w:name="_Toc184314421"/>
      <w:bookmarkEnd w:id="53"/>
      <w:bookmarkStart w:id="54" w:name="_Toc184314414"/>
      <w:bookmarkEnd w:id="54"/>
      <w:bookmarkStart w:id="55" w:name="_Toc184310296"/>
      <w:bookmarkEnd w:id="55"/>
      <w:bookmarkStart w:id="56" w:name="_Toc184310283"/>
      <w:bookmarkEnd w:id="56"/>
      <w:bookmarkStart w:id="57" w:name="_Toc184310299"/>
      <w:bookmarkEnd w:id="57"/>
      <w:bookmarkStart w:id="58" w:name="_Toc184314472"/>
      <w:bookmarkEnd w:id="58"/>
      <w:bookmarkStart w:id="59" w:name="_Toc184314428"/>
      <w:bookmarkEnd w:id="59"/>
      <w:bookmarkStart w:id="60" w:name="_Toc184313277"/>
      <w:bookmarkEnd w:id="60"/>
      <w:bookmarkStart w:id="61" w:name="_Toc184312139"/>
      <w:bookmarkEnd w:id="61"/>
      <w:bookmarkStart w:id="62" w:name="_Toc184312067"/>
      <w:bookmarkEnd w:id="62"/>
      <w:bookmarkStart w:id="63" w:name="_Toc184313295"/>
      <w:bookmarkEnd w:id="63"/>
      <w:bookmarkStart w:id="64" w:name="_Toc184314449"/>
      <w:bookmarkEnd w:id="64"/>
      <w:bookmarkStart w:id="65" w:name="_Toc184310289"/>
      <w:bookmarkEnd w:id="65"/>
      <w:bookmarkStart w:id="66" w:name="_Toc184314444"/>
      <w:bookmarkEnd w:id="66"/>
      <w:bookmarkStart w:id="67" w:name="_Toc184312085"/>
      <w:bookmarkEnd w:id="67"/>
      <w:bookmarkStart w:id="68" w:name="_Toc184312138"/>
      <w:bookmarkEnd w:id="68"/>
      <w:bookmarkStart w:id="69" w:name="_Toc184313238"/>
      <w:bookmarkEnd w:id="69"/>
      <w:bookmarkStart w:id="70" w:name="_Toc184313244"/>
      <w:bookmarkEnd w:id="70"/>
      <w:bookmarkStart w:id="71" w:name="_Toc184313262"/>
      <w:bookmarkEnd w:id="71"/>
      <w:bookmarkStart w:id="72" w:name="_Toc184313282"/>
      <w:bookmarkEnd w:id="72"/>
      <w:bookmarkStart w:id="73" w:name="_Toc184314482"/>
      <w:bookmarkEnd w:id="73"/>
      <w:bookmarkStart w:id="74" w:name="_Toc184313274"/>
      <w:bookmarkEnd w:id="74"/>
      <w:bookmarkStart w:id="75" w:name="_Toc184313306"/>
      <w:bookmarkEnd w:id="75"/>
      <w:bookmarkStart w:id="76" w:name="_Toc184312079"/>
      <w:bookmarkEnd w:id="76"/>
      <w:bookmarkStart w:id="77" w:name="_Toc184312075"/>
      <w:bookmarkEnd w:id="77"/>
      <w:bookmarkStart w:id="78" w:name="_Toc184308079"/>
      <w:bookmarkEnd w:id="78"/>
      <w:bookmarkStart w:id="79" w:name="_Toc184310323"/>
      <w:bookmarkEnd w:id="79"/>
      <w:bookmarkStart w:id="80" w:name="_Toc184314415"/>
      <w:bookmarkEnd w:id="80"/>
      <w:bookmarkStart w:id="81" w:name="_Toc184312104"/>
      <w:bookmarkEnd w:id="81"/>
      <w:bookmarkStart w:id="82" w:name="_Toc184312099"/>
      <w:bookmarkEnd w:id="82"/>
      <w:bookmarkStart w:id="83" w:name="_Toc184314445"/>
      <w:bookmarkEnd w:id="83"/>
      <w:bookmarkStart w:id="84" w:name="_Toc184314460"/>
      <w:bookmarkEnd w:id="84"/>
      <w:bookmarkStart w:id="85" w:name="_Toc184314420"/>
      <w:bookmarkEnd w:id="85"/>
      <w:bookmarkStart w:id="86" w:name="_Toc184310319"/>
      <w:bookmarkEnd w:id="86"/>
      <w:bookmarkStart w:id="87" w:name="_Toc184310272"/>
      <w:bookmarkEnd w:id="87"/>
      <w:bookmarkStart w:id="88" w:name="_Toc184308108"/>
      <w:bookmarkEnd w:id="88"/>
      <w:bookmarkStart w:id="89" w:name="_Toc184310284"/>
      <w:bookmarkEnd w:id="89"/>
      <w:bookmarkStart w:id="90" w:name="_Toc184308100"/>
      <w:bookmarkEnd w:id="90"/>
      <w:bookmarkStart w:id="91" w:name="_Toc184308041"/>
      <w:bookmarkEnd w:id="91"/>
      <w:bookmarkStart w:id="92" w:name="_Toc184312074"/>
      <w:bookmarkEnd w:id="92"/>
      <w:bookmarkStart w:id="93" w:name="_Toc184310312"/>
      <w:bookmarkEnd w:id="93"/>
      <w:bookmarkStart w:id="94" w:name="_Toc184312102"/>
      <w:bookmarkEnd w:id="94"/>
      <w:bookmarkStart w:id="95" w:name="_Toc184308039"/>
      <w:bookmarkEnd w:id="95"/>
      <w:bookmarkStart w:id="96" w:name="_Toc184310297"/>
      <w:bookmarkEnd w:id="96"/>
      <w:bookmarkStart w:id="97" w:name="_Toc184314478"/>
      <w:bookmarkEnd w:id="97"/>
      <w:bookmarkStart w:id="98" w:name="_Toc184310318"/>
      <w:bookmarkEnd w:id="98"/>
      <w:bookmarkStart w:id="99" w:name="_Toc184308044"/>
      <w:bookmarkEnd w:id="99"/>
      <w:bookmarkStart w:id="100" w:name="_Toc184308086"/>
      <w:bookmarkEnd w:id="100"/>
      <w:bookmarkStart w:id="101" w:name="_Toc184310328"/>
      <w:bookmarkEnd w:id="101"/>
      <w:bookmarkStart w:id="102" w:name="_Toc184308066"/>
      <w:bookmarkEnd w:id="102"/>
      <w:bookmarkStart w:id="103" w:name="_Toc184310316"/>
      <w:bookmarkEnd w:id="103"/>
      <w:bookmarkStart w:id="104" w:name="_Toc184313265"/>
      <w:bookmarkEnd w:id="104"/>
      <w:bookmarkStart w:id="105" w:name="_Toc184313256"/>
      <w:bookmarkEnd w:id="105"/>
      <w:bookmarkStart w:id="106" w:name="_Toc184314462"/>
      <w:bookmarkEnd w:id="106"/>
      <w:bookmarkStart w:id="107" w:name="_Toc184310287"/>
      <w:bookmarkEnd w:id="107"/>
      <w:bookmarkStart w:id="108" w:name="_Toc184310324"/>
      <w:bookmarkEnd w:id="108"/>
      <w:bookmarkStart w:id="109" w:name="_Toc184314411"/>
      <w:bookmarkEnd w:id="109"/>
      <w:bookmarkStart w:id="110" w:name="_Toc184312078"/>
      <w:bookmarkEnd w:id="110"/>
      <w:bookmarkStart w:id="111" w:name="_Toc184308096"/>
      <w:bookmarkEnd w:id="111"/>
      <w:bookmarkStart w:id="112" w:name="_Toc184314432"/>
      <w:bookmarkEnd w:id="112"/>
      <w:bookmarkStart w:id="113" w:name="_Toc184312073"/>
      <w:bookmarkEnd w:id="113"/>
      <w:bookmarkStart w:id="114" w:name="_Toc184310285"/>
      <w:bookmarkEnd w:id="114"/>
      <w:bookmarkStart w:id="115" w:name="_Toc184314473"/>
      <w:bookmarkEnd w:id="115"/>
      <w:bookmarkStart w:id="116" w:name="_Toc184313264"/>
      <w:bookmarkEnd w:id="116"/>
      <w:bookmarkStart w:id="117" w:name="_Toc184312081"/>
      <w:bookmarkEnd w:id="117"/>
      <w:bookmarkStart w:id="118" w:name="_Toc184312093"/>
      <w:bookmarkEnd w:id="118"/>
      <w:bookmarkStart w:id="119" w:name="_Toc184314418"/>
      <w:bookmarkEnd w:id="119"/>
      <w:bookmarkStart w:id="120" w:name="_Toc184312089"/>
      <w:bookmarkEnd w:id="120"/>
      <w:bookmarkStart w:id="121" w:name="_Toc184313246"/>
      <w:bookmarkEnd w:id="121"/>
      <w:bookmarkStart w:id="122" w:name="_Toc184310311"/>
      <w:bookmarkEnd w:id="122"/>
      <w:bookmarkStart w:id="123" w:name="_Toc184313301"/>
      <w:bookmarkEnd w:id="123"/>
      <w:bookmarkStart w:id="124" w:name="_Toc184312129"/>
      <w:bookmarkEnd w:id="124"/>
      <w:bookmarkStart w:id="125" w:name="_Toc184312086"/>
      <w:bookmarkEnd w:id="125"/>
      <w:bookmarkStart w:id="126" w:name="_Toc184314480"/>
      <w:bookmarkEnd w:id="126"/>
      <w:bookmarkStart w:id="127" w:name="_Toc184312111"/>
      <w:bookmarkEnd w:id="127"/>
      <w:bookmarkStart w:id="128" w:name="_Toc184314431"/>
      <w:bookmarkEnd w:id="128"/>
      <w:bookmarkStart w:id="129" w:name="_Toc184310339"/>
      <w:bookmarkEnd w:id="129"/>
      <w:bookmarkStart w:id="130" w:name="_Toc184313243"/>
      <w:bookmarkEnd w:id="130"/>
      <w:bookmarkStart w:id="131" w:name="_Toc184310314"/>
      <w:bookmarkEnd w:id="131"/>
      <w:bookmarkStart w:id="132" w:name="_Toc184314479"/>
      <w:bookmarkEnd w:id="132"/>
      <w:bookmarkStart w:id="133" w:name="_Toc184308059"/>
      <w:bookmarkEnd w:id="133"/>
      <w:bookmarkStart w:id="134" w:name="_Toc184314442"/>
      <w:bookmarkEnd w:id="134"/>
      <w:bookmarkStart w:id="135" w:name="_Toc184313259"/>
      <w:bookmarkEnd w:id="135"/>
      <w:bookmarkStart w:id="136" w:name="_Toc184314461"/>
      <w:bookmarkEnd w:id="136"/>
      <w:bookmarkStart w:id="137" w:name="_Toc184313260"/>
      <w:bookmarkEnd w:id="137"/>
      <w:bookmarkStart w:id="138" w:name="_Toc184310277"/>
      <w:bookmarkEnd w:id="138"/>
      <w:bookmarkStart w:id="139" w:name="_Toc184314457"/>
      <w:bookmarkEnd w:id="139"/>
      <w:bookmarkStart w:id="140" w:name="_Toc184310344"/>
      <w:bookmarkEnd w:id="140"/>
      <w:bookmarkStart w:id="141" w:name="_Toc184312071"/>
      <w:bookmarkEnd w:id="141"/>
      <w:bookmarkStart w:id="142" w:name="_Toc184312092"/>
      <w:bookmarkEnd w:id="142"/>
      <w:bookmarkStart w:id="143" w:name="_Toc184310333"/>
      <w:bookmarkEnd w:id="143"/>
      <w:bookmarkStart w:id="144" w:name="_Toc184313272"/>
      <w:bookmarkEnd w:id="144"/>
      <w:bookmarkStart w:id="145" w:name="_Toc184313266"/>
      <w:bookmarkEnd w:id="145"/>
      <w:bookmarkStart w:id="146" w:name="_Toc184310279"/>
      <w:bookmarkEnd w:id="146"/>
      <w:bookmarkStart w:id="147" w:name="_Toc184308067"/>
      <w:bookmarkEnd w:id="147"/>
      <w:bookmarkStart w:id="148" w:name="_Toc184313261"/>
      <w:bookmarkEnd w:id="148"/>
      <w:bookmarkStart w:id="149" w:name="_Toc184313254"/>
      <w:bookmarkEnd w:id="149"/>
      <w:bookmarkStart w:id="150" w:name="_Toc184313245"/>
      <w:bookmarkEnd w:id="150"/>
      <w:bookmarkStart w:id="151" w:name="_Toc184314467"/>
      <w:bookmarkEnd w:id="151"/>
      <w:bookmarkStart w:id="152" w:name="_Toc184308071"/>
      <w:bookmarkEnd w:id="152"/>
      <w:bookmarkStart w:id="153" w:name="_Toc184314447"/>
      <w:bookmarkEnd w:id="153"/>
      <w:bookmarkStart w:id="154" w:name="_Toc184312127"/>
      <w:bookmarkEnd w:id="154"/>
      <w:bookmarkStart w:id="155" w:name="_Toc184310342"/>
      <w:bookmarkEnd w:id="155"/>
      <w:bookmarkStart w:id="156" w:name="_Toc184313239"/>
      <w:bookmarkEnd w:id="156"/>
      <w:bookmarkStart w:id="157" w:name="_Toc184308062"/>
      <w:bookmarkEnd w:id="157"/>
      <w:bookmarkStart w:id="158" w:name="_Toc184312106"/>
      <w:bookmarkEnd w:id="158"/>
      <w:bookmarkStart w:id="159" w:name="_Toc184314417"/>
      <w:bookmarkEnd w:id="159"/>
      <w:bookmarkStart w:id="160" w:name="_Toc184308106"/>
      <w:bookmarkEnd w:id="160"/>
      <w:bookmarkStart w:id="161" w:name="_Toc184308091"/>
      <w:bookmarkEnd w:id="161"/>
      <w:bookmarkStart w:id="162" w:name="_Toc184308083"/>
      <w:bookmarkEnd w:id="162"/>
      <w:bookmarkStart w:id="163" w:name="_Toc184313267"/>
      <w:bookmarkEnd w:id="163"/>
      <w:bookmarkStart w:id="164" w:name="_Toc184310274"/>
      <w:bookmarkEnd w:id="164"/>
      <w:bookmarkStart w:id="165" w:name="_Toc184312097"/>
      <w:bookmarkEnd w:id="165"/>
      <w:bookmarkStart w:id="166" w:name="_Toc184310276"/>
      <w:bookmarkEnd w:id="166"/>
      <w:bookmarkStart w:id="167" w:name="_Toc184314433"/>
      <w:bookmarkEnd w:id="167"/>
      <w:bookmarkStart w:id="168" w:name="_Toc184312095"/>
      <w:bookmarkEnd w:id="168"/>
      <w:bookmarkStart w:id="169" w:name="_Toc184314416"/>
      <w:bookmarkEnd w:id="169"/>
      <w:bookmarkStart w:id="170" w:name="_Toc184308094"/>
      <w:bookmarkEnd w:id="170"/>
      <w:bookmarkStart w:id="171" w:name="_Toc184310303"/>
      <w:bookmarkEnd w:id="171"/>
      <w:bookmarkStart w:id="172" w:name="_Toc184312100"/>
      <w:bookmarkEnd w:id="172"/>
      <w:bookmarkStart w:id="173" w:name="_Toc184314463"/>
      <w:bookmarkEnd w:id="173"/>
      <w:bookmarkStart w:id="174" w:name="_Toc184308105"/>
      <w:bookmarkEnd w:id="174"/>
      <w:bookmarkStart w:id="175" w:name="_Toc184313270"/>
      <w:bookmarkEnd w:id="175"/>
      <w:bookmarkStart w:id="176" w:name="_Toc184308042"/>
      <w:bookmarkEnd w:id="176"/>
      <w:bookmarkStart w:id="177" w:name="_Toc184310341"/>
      <w:bookmarkEnd w:id="177"/>
      <w:bookmarkStart w:id="178" w:name="_Toc184314474"/>
      <w:bookmarkEnd w:id="178"/>
      <w:bookmarkStart w:id="179" w:name="_Toc184308089"/>
      <w:bookmarkEnd w:id="179"/>
      <w:bookmarkStart w:id="180" w:name="_Toc184314477"/>
      <w:bookmarkEnd w:id="180"/>
      <w:bookmarkStart w:id="181" w:name="_Toc184310326"/>
      <w:bookmarkEnd w:id="181"/>
      <w:bookmarkStart w:id="182" w:name="_Toc184314434"/>
      <w:bookmarkEnd w:id="182"/>
      <w:bookmarkStart w:id="183" w:name="_Toc184313308"/>
      <w:bookmarkEnd w:id="183"/>
      <w:bookmarkStart w:id="184" w:name="_Toc184310290"/>
      <w:bookmarkEnd w:id="184"/>
      <w:bookmarkStart w:id="185" w:name="_Toc184308061"/>
      <w:bookmarkEnd w:id="185"/>
      <w:bookmarkStart w:id="186" w:name="_Toc184312082"/>
      <w:bookmarkEnd w:id="186"/>
      <w:bookmarkStart w:id="187" w:name="_Toc184310301"/>
      <w:bookmarkEnd w:id="187"/>
      <w:bookmarkStart w:id="188" w:name="_Toc184308038"/>
      <w:bookmarkEnd w:id="188"/>
      <w:bookmarkStart w:id="189" w:name="_Toc184312120"/>
      <w:bookmarkEnd w:id="189"/>
      <w:bookmarkStart w:id="190" w:name="_Toc184312084"/>
      <w:bookmarkEnd w:id="190"/>
      <w:bookmarkStart w:id="191" w:name="_Toc184308057"/>
      <w:bookmarkEnd w:id="191"/>
      <w:bookmarkStart w:id="192" w:name="_Toc184313257"/>
      <w:bookmarkEnd w:id="192"/>
      <w:bookmarkStart w:id="193" w:name="_Toc184313299"/>
      <w:bookmarkEnd w:id="193"/>
      <w:bookmarkStart w:id="194" w:name="_Toc184314438"/>
      <w:bookmarkEnd w:id="194"/>
      <w:bookmarkStart w:id="195" w:name="_Toc184308043"/>
      <w:bookmarkEnd w:id="195"/>
      <w:bookmarkStart w:id="196" w:name="_Toc184314440"/>
      <w:bookmarkEnd w:id="196"/>
      <w:bookmarkStart w:id="197" w:name="_Toc184310335"/>
      <w:bookmarkEnd w:id="197"/>
      <w:bookmarkStart w:id="198" w:name="_Toc184314425"/>
      <w:bookmarkEnd w:id="198"/>
      <w:bookmarkStart w:id="199" w:name="_Toc184310291"/>
      <w:bookmarkEnd w:id="199"/>
      <w:bookmarkStart w:id="200" w:name="_Toc184313294"/>
      <w:bookmarkEnd w:id="200"/>
      <w:bookmarkStart w:id="201" w:name="_Toc184308075"/>
      <w:bookmarkEnd w:id="201"/>
      <w:bookmarkStart w:id="202" w:name="_Toc184310337"/>
      <w:bookmarkEnd w:id="202"/>
      <w:bookmarkStart w:id="203" w:name="_Toc184314453"/>
      <w:bookmarkEnd w:id="203"/>
      <w:bookmarkStart w:id="204" w:name="_Toc184312123"/>
      <w:bookmarkEnd w:id="204"/>
      <w:bookmarkStart w:id="205" w:name="_Toc184314470"/>
      <w:bookmarkEnd w:id="205"/>
      <w:bookmarkStart w:id="206" w:name="_Toc184310278"/>
      <w:bookmarkEnd w:id="206"/>
      <w:bookmarkStart w:id="207" w:name="_Toc184308065"/>
      <w:bookmarkEnd w:id="207"/>
      <w:bookmarkStart w:id="208" w:name="_Toc184313300"/>
      <w:bookmarkEnd w:id="208"/>
      <w:bookmarkStart w:id="209" w:name="_Toc184310275"/>
      <w:bookmarkEnd w:id="209"/>
      <w:bookmarkStart w:id="210" w:name="_Toc184308087"/>
      <w:bookmarkEnd w:id="210"/>
      <w:bookmarkStart w:id="211" w:name="_Toc184314419"/>
      <w:bookmarkEnd w:id="211"/>
      <w:bookmarkStart w:id="212" w:name="_Toc184312068"/>
      <w:bookmarkEnd w:id="212"/>
      <w:bookmarkStart w:id="213" w:name="_Toc184310331"/>
      <w:bookmarkEnd w:id="213"/>
      <w:bookmarkStart w:id="214" w:name="_Toc184308048"/>
      <w:bookmarkEnd w:id="214"/>
      <w:bookmarkStart w:id="215" w:name="_Toc184312076"/>
      <w:bookmarkEnd w:id="215"/>
      <w:bookmarkStart w:id="216" w:name="_Toc184312077"/>
      <w:bookmarkEnd w:id="216"/>
      <w:bookmarkStart w:id="217" w:name="_Toc184314458"/>
      <w:bookmarkEnd w:id="217"/>
      <w:bookmarkStart w:id="218" w:name="_Toc184308090"/>
      <w:bookmarkEnd w:id="218"/>
      <w:bookmarkStart w:id="219" w:name="_Toc184308081"/>
      <w:bookmarkEnd w:id="219"/>
      <w:bookmarkStart w:id="220" w:name="_Toc184314443"/>
      <w:bookmarkEnd w:id="220"/>
      <w:bookmarkStart w:id="221" w:name="_Toc184308055"/>
      <w:bookmarkEnd w:id="221"/>
      <w:bookmarkStart w:id="222" w:name="_Toc184310317"/>
      <w:bookmarkEnd w:id="222"/>
      <w:bookmarkStart w:id="223" w:name="_Toc184308064"/>
      <w:bookmarkEnd w:id="223"/>
      <w:bookmarkStart w:id="224" w:name="_Toc184312108"/>
      <w:bookmarkEnd w:id="224"/>
      <w:bookmarkStart w:id="225" w:name="_Toc184308103"/>
      <w:bookmarkEnd w:id="225"/>
      <w:bookmarkStart w:id="226" w:name="_Toc184308040"/>
      <w:bookmarkEnd w:id="226"/>
      <w:bookmarkStart w:id="227" w:name="_Toc184314468"/>
      <w:bookmarkEnd w:id="227"/>
      <w:bookmarkStart w:id="228" w:name="_Toc184314459"/>
      <w:bookmarkEnd w:id="228"/>
      <w:bookmarkStart w:id="229" w:name="_Toc184312121"/>
      <w:bookmarkEnd w:id="229"/>
      <w:bookmarkStart w:id="230" w:name="_Toc184312112"/>
      <w:bookmarkEnd w:id="230"/>
      <w:bookmarkStart w:id="231" w:name="_Toc184314439"/>
      <w:bookmarkEnd w:id="231"/>
      <w:bookmarkStart w:id="232" w:name="_Toc184312137"/>
      <w:bookmarkEnd w:id="232"/>
      <w:bookmarkStart w:id="233" w:name="_Toc184313304"/>
      <w:bookmarkEnd w:id="233"/>
      <w:bookmarkStart w:id="234" w:name="_Toc184310273"/>
      <w:bookmarkEnd w:id="234"/>
      <w:bookmarkStart w:id="235" w:name="_Toc184314412"/>
      <w:bookmarkEnd w:id="235"/>
      <w:bookmarkStart w:id="236" w:name="_Toc184308037"/>
      <w:bookmarkEnd w:id="236"/>
      <w:bookmarkStart w:id="237" w:name="_Toc184313310"/>
      <w:bookmarkEnd w:id="237"/>
      <w:bookmarkStart w:id="238" w:name="_Toc184313241"/>
      <w:bookmarkEnd w:id="238"/>
      <w:bookmarkStart w:id="239" w:name="_Toc184312109"/>
      <w:bookmarkEnd w:id="239"/>
      <w:bookmarkStart w:id="240" w:name="_Toc184313273"/>
      <w:bookmarkEnd w:id="240"/>
      <w:bookmarkStart w:id="241" w:name="_Toc184308084"/>
      <w:bookmarkEnd w:id="241"/>
      <w:bookmarkStart w:id="242" w:name="_Toc184312114"/>
      <w:bookmarkEnd w:id="242"/>
      <w:bookmarkStart w:id="243" w:name="_Toc184308046"/>
      <w:bookmarkEnd w:id="243"/>
      <w:bookmarkStart w:id="244" w:name="_Toc184310286"/>
      <w:bookmarkEnd w:id="244"/>
      <w:bookmarkStart w:id="245" w:name="_Toc184310304"/>
      <w:bookmarkEnd w:id="245"/>
      <w:bookmarkStart w:id="246" w:name="_Toc184308049"/>
      <w:bookmarkEnd w:id="246"/>
      <w:bookmarkStart w:id="247" w:name="_Toc184312134"/>
      <w:bookmarkEnd w:id="247"/>
      <w:bookmarkStart w:id="248" w:name="_Toc184312132"/>
      <w:bookmarkEnd w:id="248"/>
      <w:bookmarkStart w:id="249" w:name="_Toc184314475"/>
      <w:bookmarkEnd w:id="249"/>
      <w:bookmarkStart w:id="250" w:name="_Toc184308085"/>
      <w:bookmarkEnd w:id="250"/>
      <w:bookmarkStart w:id="251" w:name="_Toc184314465"/>
      <w:bookmarkEnd w:id="251"/>
      <w:bookmarkStart w:id="252" w:name="_Toc184312117"/>
      <w:bookmarkEnd w:id="252"/>
      <w:bookmarkStart w:id="253" w:name="_Toc184310325"/>
      <w:bookmarkEnd w:id="253"/>
      <w:bookmarkStart w:id="254" w:name="_Toc184312087"/>
      <w:bookmarkEnd w:id="254"/>
      <w:bookmarkStart w:id="255" w:name="_Toc184312130"/>
      <w:bookmarkEnd w:id="255"/>
      <w:bookmarkStart w:id="256" w:name="_Toc184312113"/>
      <w:bookmarkEnd w:id="256"/>
      <w:bookmarkStart w:id="257" w:name="_Toc184312116"/>
      <w:bookmarkEnd w:id="257"/>
      <w:bookmarkStart w:id="258" w:name="_Toc184308088"/>
      <w:bookmarkEnd w:id="258"/>
      <w:bookmarkStart w:id="259" w:name="_Toc184314423"/>
      <w:bookmarkEnd w:id="259"/>
      <w:bookmarkStart w:id="260" w:name="_Toc184312094"/>
      <w:bookmarkEnd w:id="260"/>
      <w:bookmarkStart w:id="261" w:name="_Toc184312088"/>
      <w:bookmarkEnd w:id="261"/>
      <w:bookmarkStart w:id="262" w:name="_Toc184310308"/>
      <w:bookmarkEnd w:id="262"/>
      <w:bookmarkStart w:id="263" w:name="_Toc184313298"/>
      <w:bookmarkEnd w:id="263"/>
      <w:bookmarkStart w:id="264" w:name="_Toc184312096"/>
      <w:bookmarkEnd w:id="264"/>
      <w:bookmarkStart w:id="265" w:name="_Toc184308102"/>
      <w:bookmarkEnd w:id="265"/>
      <w:bookmarkStart w:id="266" w:name="_Toc184308068"/>
      <w:bookmarkEnd w:id="266"/>
      <w:bookmarkStart w:id="267" w:name="_Toc184313287"/>
      <w:bookmarkEnd w:id="267"/>
      <w:bookmarkStart w:id="268" w:name="_Toc184313248"/>
      <w:bookmarkEnd w:id="268"/>
      <w:bookmarkStart w:id="269" w:name="_Toc184312119"/>
      <w:bookmarkEnd w:id="269"/>
      <w:bookmarkStart w:id="270" w:name="_Toc184312135"/>
      <w:bookmarkEnd w:id="270"/>
      <w:bookmarkStart w:id="271" w:name="_Toc184314466"/>
      <w:bookmarkEnd w:id="271"/>
      <w:bookmarkStart w:id="272" w:name="_Toc184313281"/>
      <w:bookmarkEnd w:id="272"/>
      <w:bookmarkStart w:id="273" w:name="_Toc184308104"/>
      <w:bookmarkEnd w:id="273"/>
      <w:bookmarkStart w:id="274" w:name="_Toc184310305"/>
      <w:bookmarkEnd w:id="274"/>
      <w:bookmarkStart w:id="275" w:name="_Toc184312091"/>
      <w:bookmarkEnd w:id="275"/>
      <w:bookmarkStart w:id="276" w:name="_Toc184313242"/>
      <w:bookmarkEnd w:id="276"/>
      <w:bookmarkStart w:id="277" w:name="_Toc184312083"/>
      <w:bookmarkEnd w:id="277"/>
      <w:bookmarkStart w:id="278" w:name="_Toc184314476"/>
      <w:bookmarkEnd w:id="278"/>
      <w:bookmarkStart w:id="279" w:name="_Toc184313288"/>
      <w:bookmarkEnd w:id="279"/>
      <w:bookmarkStart w:id="280" w:name="_Toc184314413"/>
      <w:bookmarkEnd w:id="280"/>
      <w:bookmarkStart w:id="281" w:name="_Toc184313303"/>
      <w:bookmarkEnd w:id="281"/>
      <w:bookmarkStart w:id="282" w:name="_Toc184310334"/>
      <w:bookmarkEnd w:id="282"/>
      <w:bookmarkStart w:id="283" w:name="_Toc184312072"/>
      <w:bookmarkEnd w:id="283"/>
      <w:bookmarkStart w:id="284" w:name="_Toc184314436"/>
      <w:bookmarkEnd w:id="284"/>
      <w:bookmarkStart w:id="285" w:name="_Toc184313263"/>
      <w:bookmarkEnd w:id="285"/>
      <w:bookmarkStart w:id="286" w:name="_Toc184314424"/>
      <w:bookmarkEnd w:id="286"/>
      <w:bookmarkStart w:id="287" w:name="_Toc184310288"/>
      <w:bookmarkEnd w:id="287"/>
      <w:bookmarkStart w:id="288" w:name="_Toc184308099"/>
      <w:bookmarkEnd w:id="288"/>
      <w:bookmarkStart w:id="289" w:name="_Toc184313285"/>
      <w:bookmarkEnd w:id="289"/>
      <w:bookmarkStart w:id="290" w:name="_Toc184313251"/>
      <w:bookmarkEnd w:id="290"/>
      <w:bookmarkStart w:id="291" w:name="_Toc184310340"/>
      <w:bookmarkEnd w:id="291"/>
      <w:bookmarkStart w:id="292" w:name="_Toc184310322"/>
      <w:bookmarkEnd w:id="292"/>
      <w:bookmarkStart w:id="293" w:name="_Toc184312125"/>
      <w:bookmarkEnd w:id="293"/>
      <w:bookmarkStart w:id="294" w:name="_Toc184312136"/>
      <w:bookmarkEnd w:id="294"/>
      <w:bookmarkStart w:id="295" w:name="_Toc184312069"/>
      <w:bookmarkEnd w:id="295"/>
      <w:bookmarkStart w:id="296" w:name="_Toc184314452"/>
      <w:bookmarkEnd w:id="296"/>
      <w:bookmarkStart w:id="297" w:name="_Toc184308051"/>
      <w:bookmarkEnd w:id="297"/>
      <w:bookmarkStart w:id="298" w:name="_Toc184312098"/>
      <w:bookmarkEnd w:id="298"/>
      <w:bookmarkStart w:id="299" w:name="_Toc184308054"/>
      <w:bookmarkEnd w:id="299"/>
      <w:bookmarkStart w:id="300" w:name="_Toc184313258"/>
      <w:bookmarkEnd w:id="300"/>
      <w:bookmarkStart w:id="301" w:name="_Toc184308056"/>
      <w:bookmarkEnd w:id="301"/>
      <w:bookmarkStart w:id="302" w:name="_Toc184314454"/>
      <w:bookmarkEnd w:id="302"/>
      <w:bookmarkStart w:id="303" w:name="_Toc184310329"/>
      <w:bookmarkEnd w:id="303"/>
      <w:bookmarkStart w:id="304" w:name="_Toc184308098"/>
      <w:bookmarkEnd w:id="304"/>
      <w:bookmarkStart w:id="305" w:name="_Toc184312126"/>
      <w:bookmarkEnd w:id="305"/>
      <w:bookmarkStart w:id="306" w:name="_Toc184308073"/>
      <w:bookmarkEnd w:id="306"/>
      <w:bookmarkStart w:id="307" w:name="_Toc184314446"/>
      <w:bookmarkEnd w:id="307"/>
      <w:bookmarkStart w:id="308" w:name="_Toc184308077"/>
      <w:bookmarkEnd w:id="308"/>
      <w:bookmarkStart w:id="309" w:name="_Toc184308072"/>
      <w:bookmarkEnd w:id="309"/>
      <w:bookmarkStart w:id="310" w:name="_Toc184314441"/>
      <w:bookmarkEnd w:id="310"/>
      <w:bookmarkStart w:id="311" w:name="_Toc184312122"/>
      <w:bookmarkEnd w:id="311"/>
      <w:bookmarkStart w:id="312" w:name="_Toc184310321"/>
      <w:bookmarkEnd w:id="312"/>
      <w:bookmarkStart w:id="313" w:name="_Toc184310315"/>
      <w:bookmarkEnd w:id="313"/>
      <w:bookmarkStart w:id="314" w:name="_Toc184314435"/>
      <w:bookmarkEnd w:id="314"/>
      <w:bookmarkStart w:id="315" w:name="_Toc184308107"/>
      <w:bookmarkEnd w:id="315"/>
      <w:bookmarkStart w:id="316" w:name="_Toc184313280"/>
      <w:bookmarkEnd w:id="316"/>
      <w:bookmarkStart w:id="317" w:name="_Toc184314481"/>
      <w:bookmarkEnd w:id="317"/>
      <w:bookmarkStart w:id="318" w:name="_Toc184310309"/>
      <w:bookmarkEnd w:id="318"/>
      <w:bookmarkStart w:id="319" w:name="_Toc184313253"/>
      <w:bookmarkEnd w:id="319"/>
      <w:bookmarkStart w:id="320" w:name="_Toc184313247"/>
      <w:bookmarkEnd w:id="320"/>
      <w:bookmarkStart w:id="321" w:name="_Toc184310280"/>
      <w:bookmarkEnd w:id="321"/>
      <w:bookmarkStart w:id="322" w:name="_Toc184310294"/>
      <w:bookmarkEnd w:id="322"/>
      <w:bookmarkStart w:id="323" w:name="_Toc184310338"/>
      <w:bookmarkEnd w:id="323"/>
      <w:bookmarkStart w:id="324" w:name="_Toc184312090"/>
      <w:bookmarkEnd w:id="324"/>
      <w:bookmarkStart w:id="325" w:name="_Toc184308078"/>
      <w:bookmarkEnd w:id="325"/>
      <w:bookmarkStart w:id="326" w:name="_Toc184313290"/>
      <w:bookmarkEnd w:id="326"/>
      <w:bookmarkStart w:id="327" w:name="_Toc184310307"/>
      <w:bookmarkEnd w:id="327"/>
      <w:bookmarkStart w:id="328" w:name="_Toc184310330"/>
      <w:bookmarkEnd w:id="328"/>
      <w:bookmarkStart w:id="329" w:name="_Toc184312133"/>
      <w:bookmarkEnd w:id="329"/>
      <w:bookmarkStart w:id="330" w:name="_Toc184312131"/>
      <w:bookmarkEnd w:id="330"/>
      <w:bookmarkStart w:id="331" w:name="_Toc184312128"/>
      <w:bookmarkEnd w:id="331"/>
      <w:bookmarkStart w:id="332" w:name="_Toc184313279"/>
      <w:bookmarkEnd w:id="332"/>
      <w:bookmarkStart w:id="333" w:name="_Toc184314437"/>
      <w:bookmarkEnd w:id="333"/>
      <w:bookmarkStart w:id="334" w:name="_Toc184308095"/>
      <w:bookmarkEnd w:id="334"/>
      <w:bookmarkStart w:id="335" w:name="_Toc184308058"/>
      <w:bookmarkEnd w:id="335"/>
      <w:bookmarkStart w:id="336" w:name="_Toc184308076"/>
      <w:bookmarkEnd w:id="336"/>
      <w:bookmarkStart w:id="337" w:name="_Toc184312118"/>
      <w:bookmarkEnd w:id="337"/>
      <w:bookmarkStart w:id="338" w:name="_Toc184308047"/>
      <w:bookmarkEnd w:id="338"/>
      <w:bookmarkStart w:id="339" w:name="_Toc184308074"/>
      <w:bookmarkEnd w:id="339"/>
      <w:bookmarkStart w:id="340" w:name="_Toc184310336"/>
      <w:bookmarkEnd w:id="340"/>
      <w:bookmarkStart w:id="341" w:name="_Toc184314427"/>
      <w:bookmarkEnd w:id="341"/>
      <w:bookmarkStart w:id="342" w:name="_Toc184313293"/>
      <w:bookmarkEnd w:id="342"/>
      <w:bookmarkStart w:id="343" w:name="_Toc184313278"/>
      <w:bookmarkEnd w:id="343"/>
      <w:bookmarkStart w:id="344" w:name="_Toc184313297"/>
      <w:bookmarkEnd w:id="344"/>
      <w:bookmarkStart w:id="345" w:name="_Toc184314456"/>
      <w:bookmarkEnd w:id="345"/>
      <w:bookmarkStart w:id="346" w:name="_Toc184313307"/>
      <w:bookmarkEnd w:id="346"/>
      <w:bookmarkStart w:id="347" w:name="_Toc184313286"/>
      <w:bookmarkEnd w:id="347"/>
      <w:bookmarkStart w:id="348" w:name="_Toc184308080"/>
      <w:bookmarkEnd w:id="348"/>
      <w:bookmarkStart w:id="349" w:name="_Toc184310298"/>
      <w:bookmarkEnd w:id="349"/>
      <w:bookmarkStart w:id="350" w:name="_Toc184308036"/>
      <w:bookmarkEnd w:id="350"/>
      <w:bookmarkStart w:id="351" w:name="_Toc184310310"/>
      <w:bookmarkEnd w:id="351"/>
      <w:bookmarkStart w:id="352" w:name="_Toc184313296"/>
      <w:bookmarkEnd w:id="352"/>
      <w:bookmarkStart w:id="353" w:name="_Toc184313289"/>
      <w:bookmarkEnd w:id="353"/>
      <w:bookmarkStart w:id="354" w:name="_Toc184308092"/>
      <w:bookmarkEnd w:id="354"/>
      <w:bookmarkStart w:id="355" w:name="_Toc184310327"/>
      <w:bookmarkEnd w:id="355"/>
      <w:bookmarkStart w:id="356" w:name="_Toc184308101"/>
      <w:bookmarkEnd w:id="356"/>
      <w:bookmarkStart w:id="357" w:name="_Toc184310306"/>
      <w:bookmarkEnd w:id="357"/>
      <w:bookmarkStart w:id="358" w:name="_Toc184308097"/>
      <w:bookmarkEnd w:id="358"/>
      <w:bookmarkStart w:id="359" w:name="_Toc184313250"/>
      <w:bookmarkEnd w:id="359"/>
      <w:bookmarkStart w:id="360" w:name="_Toc184314469"/>
      <w:bookmarkEnd w:id="360"/>
      <w:bookmarkStart w:id="361" w:name="_Toc184313291"/>
      <w:bookmarkEnd w:id="361"/>
      <w:bookmarkStart w:id="362" w:name="_Toc184312124"/>
      <w:bookmarkEnd w:id="362"/>
      <w:bookmarkStart w:id="363" w:name="_Toc184308069"/>
      <w:bookmarkEnd w:id="363"/>
      <w:bookmarkStart w:id="364" w:name="_Toc184308070"/>
      <w:bookmarkEnd w:id="364"/>
      <w:bookmarkStart w:id="365" w:name="_Toc184310302"/>
      <w:bookmarkEnd w:id="365"/>
      <w:bookmarkStart w:id="366" w:name="_Toc184308060"/>
      <w:bookmarkEnd w:id="366"/>
      <w:bookmarkStart w:id="367" w:name="_Toc184314464"/>
      <w:bookmarkEnd w:id="367"/>
      <w:bookmarkStart w:id="368" w:name="_Toc184313249"/>
      <w:bookmarkEnd w:id="368"/>
      <w:bookmarkStart w:id="369" w:name="_Toc184314422"/>
      <w:bookmarkEnd w:id="369"/>
      <w:bookmarkStart w:id="370" w:name="_Toc184313240"/>
      <w:bookmarkEnd w:id="370"/>
      <w:bookmarkStart w:id="371" w:name="_Toc184314455"/>
      <w:bookmarkEnd w:id="371"/>
      <w:bookmarkStart w:id="372" w:name="_Toc184314410"/>
      <w:bookmarkEnd w:id="372"/>
      <w:bookmarkStart w:id="373" w:name="_Toc184313276"/>
      <w:bookmarkEnd w:id="373"/>
      <w:bookmarkStart w:id="374" w:name="_Toc184310313"/>
      <w:bookmarkEnd w:id="374"/>
      <w:bookmarkStart w:id="375" w:name="_Toc184313305"/>
      <w:bookmarkEnd w:id="375"/>
      <w:bookmarkStart w:id="376" w:name="_Toc184314448"/>
      <w:bookmarkEnd w:id="376"/>
      <w:bookmarkStart w:id="377" w:name="_Toc184313302"/>
      <w:bookmarkEnd w:id="377"/>
      <w:bookmarkStart w:id="378" w:name="_Toc184310300"/>
      <w:bookmarkEnd w:id="378"/>
      <w:bookmarkStart w:id="379" w:name="_Toc184308093"/>
      <w:bookmarkEnd w:id="379"/>
      <w:bookmarkStart w:id="380" w:name="_Toc184314430"/>
      <w:bookmarkEnd w:id="380"/>
      <w:bookmarkStart w:id="381" w:name="_Toc184310320"/>
      <w:bookmarkEnd w:id="381"/>
      <w:bookmarkStart w:id="382" w:name="_Toc184308053"/>
      <w:bookmarkEnd w:id="382"/>
      <w:bookmarkStart w:id="383" w:name="_Toc184313309"/>
      <w:bookmarkEnd w:id="383"/>
      <w:bookmarkStart w:id="384" w:name="_Toc184312105"/>
      <w:bookmarkEnd w:id="384"/>
      <w:bookmarkStart w:id="385" w:name="_Toc184312103"/>
      <w:bookmarkEnd w:id="385"/>
      <w:bookmarkStart w:id="386" w:name="_Toc184310293"/>
      <w:bookmarkEnd w:id="386"/>
      <w:bookmarkStart w:id="387" w:name="_Toc184310281"/>
      <w:bookmarkEnd w:id="387"/>
      <w:bookmarkStart w:id="388" w:name="_Toc184313255"/>
      <w:bookmarkEnd w:id="388"/>
      <w:bookmarkStart w:id="389" w:name="_Toc184314471"/>
      <w:bookmarkEnd w:id="389"/>
      <w:bookmarkStart w:id="390" w:name="_Toc184314426"/>
      <w:bookmarkEnd w:id="390"/>
      <w:bookmarkStart w:id="391" w:name="_Toc184310295"/>
      <w:bookmarkEnd w:id="391"/>
      <w:bookmarkStart w:id="392" w:name="_Toc184310332"/>
      <w:bookmarkEnd w:id="392"/>
      <w:bookmarkStart w:id="393" w:name="_Toc184313268"/>
      <w:bookmarkEnd w:id="393"/>
      <w:bookmarkStart w:id="394" w:name="_Toc184314429"/>
      <w:bookmarkEnd w:id="394"/>
      <w:bookmarkStart w:id="395" w:name="_Toc184312070"/>
      <w:bookmarkEnd w:id="395"/>
      <w:bookmarkStart w:id="396" w:name="_Toc184313269"/>
      <w:bookmarkEnd w:id="396"/>
      <w:bookmarkStart w:id="397" w:name="_Toc184308052"/>
      <w:bookmarkEnd w:id="397"/>
      <w:bookmarkStart w:id="398" w:name="_Toc184308050"/>
      <w:bookmarkEnd w:id="398"/>
      <w:bookmarkStart w:id="399" w:name="_Toc184312107"/>
      <w:bookmarkEnd w:id="399"/>
      <w:bookmarkStart w:id="400" w:name="_Toc184313271"/>
      <w:bookmarkEnd w:id="400"/>
      <w:bookmarkStart w:id="401" w:name="_Toc184313252"/>
      <w:bookmarkEnd w:id="401"/>
      <w:bookmarkStart w:id="402" w:name="_Toc184313283"/>
      <w:bookmarkEnd w:id="402"/>
      <w:bookmarkStart w:id="403" w:name="_Toc184312101"/>
      <w:bookmarkEnd w:id="403"/>
      <w:bookmarkStart w:id="404" w:name="_Toc184308082"/>
      <w:bookmarkEnd w:id="404"/>
      <w:bookmarkStart w:id="405" w:name="_Toc184312110"/>
      <w:bookmarkEnd w:id="405"/>
      <w:bookmarkStart w:id="406" w:name="_Toc184312080"/>
      <w:bookmarkEnd w:id="406"/>
      <w:bookmarkStart w:id="407" w:name="_Toc184313284"/>
      <w:bookmarkEnd w:id="407"/>
      <w:bookmarkStart w:id="408" w:name="_Toc184313292"/>
      <w:bookmarkEnd w:id="408"/>
      <w:bookmarkStart w:id="409" w:name="_Toc184308063"/>
      <w:bookmarkEnd w:id="409"/>
      <w:bookmarkStart w:id="410" w:name="_Toc184310343"/>
      <w:bookmarkEnd w:id="410"/>
      <w:bookmarkStart w:id="411" w:name="_Toc184312115"/>
      <w:bookmarkEnd w:id="411"/>
      <w:bookmarkStart w:id="412" w:name="_Toc184313275"/>
      <w:bookmarkEnd w:id="412"/>
      <w:bookmarkStart w:id="413" w:name="_Toc184308045"/>
      <w:bookmarkEnd w:id="413"/>
      <w:bookmarkStart w:id="414" w:name="_Toc184314451"/>
      <w:bookmarkEnd w:id="414"/>
      <w:bookmarkStart w:id="415" w:name="_Toc184310292"/>
      <w:bookmarkEnd w:id="415"/>
      <w:bookmarkStart w:id="416" w:name="_Toc184310282"/>
      <w:bookmarkEnd w:id="416"/>
      <w:r>
        <w:rPr>
          <w:rFonts w:hint="eastAsia" w:ascii="仿宋" w:hAnsi="仿宋" w:eastAsia="仿宋" w:cs="仿宋"/>
          <w:b/>
          <w:sz w:val="36"/>
          <w:szCs w:val="36"/>
        </w:rPr>
        <w:t>评标办法</w:t>
      </w:r>
    </w:p>
    <w:p>
      <w:pPr>
        <w:snapToGrid w:val="0"/>
        <w:spacing w:line="360" w:lineRule="auto"/>
        <w:jc w:val="center"/>
        <w:rPr>
          <w:rFonts w:hint="eastAsia" w:ascii="仿宋" w:hAnsi="仿宋" w:eastAsia="仿宋" w:cs="仿宋"/>
          <w:b/>
          <w:sz w:val="32"/>
          <w:szCs w:val="20"/>
        </w:rPr>
      </w:pPr>
      <w:r>
        <w:rPr>
          <w:rFonts w:hint="eastAsia" w:ascii="仿宋" w:hAnsi="仿宋" w:eastAsia="仿宋" w:cs="仿宋"/>
          <w:b/>
          <w:sz w:val="32"/>
          <w:szCs w:val="20"/>
        </w:rPr>
        <w:t>评标办法前附表</w:t>
      </w:r>
    </w:p>
    <w:tbl>
      <w:tblPr>
        <w:tblStyle w:val="62"/>
        <w:tblpPr w:leftFromText="180" w:rightFromText="180" w:vertAnchor="text" w:horzAnchor="page" w:tblpXSpec="center" w:tblpY="126"/>
        <w:tblW w:w="52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5399"/>
        <w:gridCol w:w="727"/>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468" w:type="pct"/>
            <w:vAlign w:val="center"/>
          </w:tcPr>
          <w:p>
            <w:pPr>
              <w:spacing w:line="360" w:lineRule="auto"/>
              <w:jc w:val="center"/>
              <w:outlineLvl w:val="0"/>
              <w:rPr>
                <w:rFonts w:hint="eastAsia" w:ascii="仿宋" w:hAnsi="仿宋" w:eastAsia="仿宋" w:cs="仿宋"/>
                <w:bCs/>
                <w:sz w:val="24"/>
              </w:rPr>
            </w:pPr>
            <w:r>
              <w:rPr>
                <w:rFonts w:hint="eastAsia" w:ascii="仿宋" w:hAnsi="仿宋" w:eastAsia="仿宋" w:cs="仿宋"/>
                <w:bCs/>
                <w:sz w:val="24"/>
              </w:rPr>
              <w:t>序号</w:t>
            </w:r>
          </w:p>
        </w:tc>
        <w:tc>
          <w:tcPr>
            <w:tcW w:w="3028" w:type="pct"/>
            <w:vAlign w:val="center"/>
          </w:tcPr>
          <w:p>
            <w:pPr>
              <w:spacing w:line="360" w:lineRule="auto"/>
              <w:ind w:firstLine="1560" w:firstLineChars="650"/>
              <w:outlineLvl w:val="0"/>
              <w:rPr>
                <w:rFonts w:hint="eastAsia" w:ascii="仿宋" w:hAnsi="仿宋" w:eastAsia="仿宋" w:cs="仿宋"/>
                <w:bCs/>
                <w:sz w:val="24"/>
              </w:rPr>
            </w:pPr>
            <w:r>
              <w:rPr>
                <w:rFonts w:hint="eastAsia" w:ascii="仿宋" w:hAnsi="仿宋" w:eastAsia="仿宋" w:cs="仿宋"/>
                <w:bCs/>
                <w:sz w:val="24"/>
              </w:rPr>
              <w:t>评标标准</w:t>
            </w:r>
          </w:p>
        </w:tc>
        <w:tc>
          <w:tcPr>
            <w:tcW w:w="407" w:type="pct"/>
            <w:vAlign w:val="center"/>
          </w:tcPr>
          <w:p>
            <w:pPr>
              <w:spacing w:line="360" w:lineRule="auto"/>
              <w:outlineLvl w:val="0"/>
              <w:rPr>
                <w:rFonts w:hint="eastAsia" w:ascii="仿宋" w:hAnsi="仿宋" w:eastAsia="仿宋" w:cs="仿宋"/>
                <w:bCs/>
                <w:sz w:val="24"/>
              </w:rPr>
            </w:pPr>
            <w:r>
              <w:rPr>
                <w:rFonts w:hint="eastAsia" w:ascii="仿宋" w:hAnsi="仿宋" w:eastAsia="仿宋" w:cs="仿宋"/>
                <w:bCs/>
                <w:sz w:val="24"/>
              </w:rPr>
              <w:t>权重</w:t>
            </w:r>
          </w:p>
        </w:tc>
        <w:tc>
          <w:tcPr>
            <w:tcW w:w="1095" w:type="pct"/>
          </w:tcPr>
          <w:p>
            <w:pPr>
              <w:spacing w:line="360" w:lineRule="auto"/>
              <w:outlineLvl w:val="0"/>
              <w:rPr>
                <w:rFonts w:hint="eastAsia" w:ascii="仿宋" w:hAnsi="仿宋" w:eastAsia="仿宋" w:cs="仿宋"/>
                <w:bCs/>
                <w:sz w:val="24"/>
              </w:rPr>
            </w:pPr>
            <w:r>
              <w:rPr>
                <w:rFonts w:hint="eastAsia" w:ascii="仿宋" w:hAnsi="仿宋" w:eastAsia="仿宋" w:cs="仿宋"/>
                <w:bCs/>
                <w:sz w:val="24"/>
              </w:rPr>
              <w:t>投标文件中评标标准相应的商务技术资料目录</w:t>
            </w:r>
            <w:r>
              <w:rPr>
                <w:rFonts w:hint="eastAsia" w:ascii="仿宋" w:hAnsi="仿宋" w:eastAsia="仿宋" w:cs="仿宋"/>
                <w:sz w:val="24"/>
                <w:shd w:val="clear" w:color="auto" w:fill="FFFFFF"/>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68" w:type="pct"/>
            <w:vAlign w:val="center"/>
          </w:tcPr>
          <w:p>
            <w:pPr>
              <w:spacing w:line="360" w:lineRule="auto"/>
              <w:ind w:firstLine="360" w:firstLineChars="150"/>
              <w:jc w:val="center"/>
              <w:outlineLvl w:val="0"/>
              <w:rPr>
                <w:rFonts w:hint="eastAsia" w:ascii="仿宋" w:hAnsi="仿宋" w:eastAsia="仿宋" w:cs="仿宋"/>
                <w:sz w:val="24"/>
                <w:szCs w:val="24"/>
              </w:rPr>
            </w:pPr>
            <w:r>
              <w:rPr>
                <w:rFonts w:hint="eastAsia" w:ascii="仿宋" w:hAnsi="仿宋" w:eastAsia="仿宋" w:cs="仿宋"/>
                <w:sz w:val="24"/>
                <w:szCs w:val="24"/>
              </w:rPr>
              <w:t>1</w:t>
            </w:r>
          </w:p>
        </w:tc>
        <w:tc>
          <w:tcPr>
            <w:tcW w:w="3028" w:type="pct"/>
            <w:vAlign w:val="center"/>
          </w:tcPr>
          <w:p>
            <w:pPr>
              <w:spacing w:line="360" w:lineRule="auto"/>
              <w:outlineLvl w:val="0"/>
              <w:rPr>
                <w:rFonts w:hint="eastAsia" w:ascii="仿宋" w:hAnsi="仿宋" w:eastAsia="仿宋" w:cs="仿宋"/>
                <w:sz w:val="24"/>
              </w:rPr>
            </w:pPr>
            <w:r>
              <w:rPr>
                <w:rFonts w:hint="eastAsia" w:ascii="仿宋" w:hAnsi="仿宋" w:eastAsia="仿宋" w:cs="仿宋"/>
                <w:sz w:val="24"/>
                <w:lang w:val="zh-TW" w:eastAsia="zh-CN"/>
              </w:rPr>
              <w:t>根据投标人对本项目商用密码应用安全性评估的熟悉程度、对项目需求的理解程度，了解项目现状情况，充分理解用户需求的得</w:t>
            </w:r>
            <w:r>
              <w:rPr>
                <w:rFonts w:hint="eastAsia" w:ascii="仿宋" w:hAnsi="仿宋" w:eastAsia="仿宋" w:cs="仿宋"/>
                <w:sz w:val="24"/>
                <w:lang w:val="en-US" w:eastAsia="zh-CN"/>
              </w:rPr>
              <w:t>3</w:t>
            </w:r>
            <w:r>
              <w:rPr>
                <w:rFonts w:hint="eastAsia" w:ascii="仿宋" w:hAnsi="仿宋" w:eastAsia="仿宋" w:cs="仿宋"/>
                <w:sz w:val="24"/>
                <w:lang w:val="zh-TW" w:eastAsia="zh-CN"/>
              </w:rPr>
              <w:t>分；基本理解的得</w:t>
            </w:r>
            <w:r>
              <w:rPr>
                <w:rFonts w:hint="eastAsia" w:ascii="仿宋" w:hAnsi="仿宋" w:eastAsia="仿宋" w:cs="仿宋"/>
                <w:sz w:val="24"/>
                <w:lang w:val="en-US" w:eastAsia="zh-CN"/>
              </w:rPr>
              <w:t>2</w:t>
            </w:r>
            <w:r>
              <w:rPr>
                <w:rFonts w:hint="eastAsia" w:ascii="仿宋" w:hAnsi="仿宋" w:eastAsia="仿宋" w:cs="仿宋"/>
                <w:sz w:val="24"/>
                <w:lang w:val="zh-TW" w:eastAsia="zh-CN"/>
              </w:rPr>
              <w:t>分；理解程度一般的得1分；对本项目情况不熟悉的不得分。</w:t>
            </w:r>
          </w:p>
        </w:tc>
        <w:tc>
          <w:tcPr>
            <w:tcW w:w="407" w:type="pct"/>
            <w:vAlign w:val="center"/>
          </w:tcPr>
          <w:p>
            <w:pPr>
              <w:jc w:val="center"/>
              <w:rPr>
                <w:rFonts w:hint="eastAsia" w:ascii="仿宋" w:hAnsi="仿宋" w:eastAsia="仿宋" w:cs="仿宋"/>
                <w:sz w:val="24"/>
                <w:szCs w:val="24"/>
              </w:rPr>
            </w:pPr>
          </w:p>
          <w:p>
            <w:pPr>
              <w:spacing w:line="360" w:lineRule="auto"/>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95" w:type="pct"/>
            <w:vAlign w:val="center"/>
          </w:tcPr>
          <w:p>
            <w:pPr>
              <w:spacing w:line="360" w:lineRule="auto"/>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（一）对项目的认识、理解和熟悉程度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8" w:type="pct"/>
            <w:vAlign w:val="center"/>
          </w:tcPr>
          <w:p>
            <w:pPr>
              <w:spacing w:line="360" w:lineRule="auto"/>
              <w:ind w:firstLine="360" w:firstLineChars="150"/>
              <w:jc w:val="center"/>
              <w:outlineLvl w:val="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3028" w:type="pct"/>
            <w:vAlign w:val="center"/>
          </w:tcPr>
          <w:p>
            <w:pPr>
              <w:spacing w:line="360" w:lineRule="auto"/>
              <w:outlineLvl w:val="0"/>
              <w:rPr>
                <w:rFonts w:hint="default" w:ascii="仿宋" w:hAnsi="仿宋" w:eastAsia="仿宋" w:cs="仿宋"/>
                <w:kern w:val="2"/>
                <w:sz w:val="24"/>
                <w:szCs w:val="24"/>
                <w:lang w:val="en-US" w:eastAsia="zh-CN" w:bidi="ar-SA"/>
              </w:rPr>
            </w:pPr>
            <w:r>
              <w:rPr>
                <w:rFonts w:hint="eastAsia" w:ascii="仿宋" w:hAnsi="仿宋" w:eastAsia="仿宋" w:cs="仿宋"/>
                <w:sz w:val="24"/>
              </w:rPr>
              <w:t>详细阐述服务体系架构、实现思路和关键技术应用，安全技术测评内容分解、安全管理测评内容分解以及常见问题及解决方案。测评方案科学合理且能达到测评要求</w:t>
            </w:r>
            <w:r>
              <w:rPr>
                <w:rFonts w:hint="eastAsia" w:ascii="仿宋" w:hAnsi="仿宋" w:eastAsia="仿宋" w:cs="仿宋"/>
                <w:sz w:val="24"/>
                <w:lang w:eastAsia="zh-CN"/>
              </w:rPr>
              <w:t>的得</w:t>
            </w:r>
            <w:r>
              <w:rPr>
                <w:rFonts w:hint="eastAsia" w:ascii="仿宋" w:hAnsi="仿宋" w:eastAsia="仿宋" w:cs="仿宋"/>
                <w:sz w:val="24"/>
                <w:lang w:val="en-US" w:eastAsia="zh-CN"/>
              </w:rPr>
              <w:t>5分；</w:t>
            </w:r>
            <w:r>
              <w:rPr>
                <w:rFonts w:hint="eastAsia" w:ascii="仿宋" w:hAnsi="仿宋" w:eastAsia="仿宋" w:cs="仿宋"/>
                <w:sz w:val="24"/>
              </w:rPr>
              <w:t>测评方案</w:t>
            </w:r>
            <w:r>
              <w:rPr>
                <w:rFonts w:hint="eastAsia" w:ascii="仿宋" w:hAnsi="仿宋" w:eastAsia="仿宋" w:cs="仿宋"/>
                <w:sz w:val="24"/>
                <w:lang w:eastAsia="zh-CN"/>
              </w:rPr>
              <w:t>科学基本能达到测评要求的得</w:t>
            </w:r>
            <w:r>
              <w:rPr>
                <w:rFonts w:hint="eastAsia" w:ascii="仿宋" w:hAnsi="仿宋" w:eastAsia="仿宋" w:cs="仿宋"/>
                <w:sz w:val="24"/>
                <w:lang w:val="en-US" w:eastAsia="zh-CN"/>
              </w:rPr>
              <w:t>3分；</w:t>
            </w:r>
            <w:r>
              <w:rPr>
                <w:rFonts w:hint="eastAsia" w:ascii="仿宋" w:hAnsi="仿宋" w:eastAsia="仿宋" w:cs="仿宋"/>
                <w:sz w:val="24"/>
              </w:rPr>
              <w:t>测评方案</w:t>
            </w:r>
            <w:r>
              <w:rPr>
                <w:rFonts w:hint="eastAsia" w:ascii="仿宋" w:hAnsi="仿宋" w:eastAsia="仿宋" w:cs="仿宋"/>
                <w:sz w:val="24"/>
                <w:lang w:eastAsia="zh-CN"/>
              </w:rPr>
              <w:t>存在不合理的得</w:t>
            </w:r>
            <w:r>
              <w:rPr>
                <w:rFonts w:hint="eastAsia" w:ascii="仿宋" w:hAnsi="仿宋" w:eastAsia="仿宋" w:cs="仿宋"/>
                <w:sz w:val="24"/>
                <w:lang w:val="en-US" w:eastAsia="zh-CN"/>
              </w:rPr>
              <w:t>1分；不满足要求或未提供的不得分</w:t>
            </w:r>
            <w:r>
              <w:rPr>
                <w:rFonts w:hint="eastAsia" w:ascii="仿宋" w:hAnsi="仿宋" w:eastAsia="仿宋" w:cs="仿宋"/>
                <w:sz w:val="24"/>
              </w:rPr>
              <w:t>。</w:t>
            </w:r>
            <w:r>
              <w:rPr>
                <w:rFonts w:hint="eastAsia" w:ascii="仿宋" w:hAnsi="仿宋" w:eastAsia="仿宋" w:cs="仿宋"/>
                <w:sz w:val="24"/>
                <w:lang w:eastAsia="zh-CN"/>
              </w:rPr>
              <w:t>共</w:t>
            </w:r>
            <w:r>
              <w:rPr>
                <w:rFonts w:hint="eastAsia" w:ascii="仿宋" w:hAnsi="仿宋" w:eastAsia="仿宋" w:cs="仿宋"/>
                <w:sz w:val="24"/>
                <w:lang w:val="en-US" w:eastAsia="zh-CN"/>
              </w:rPr>
              <w:t>5分。</w:t>
            </w:r>
          </w:p>
        </w:tc>
        <w:tc>
          <w:tcPr>
            <w:tcW w:w="407" w:type="pct"/>
            <w:vAlign w:val="center"/>
          </w:tcPr>
          <w:p>
            <w:pPr>
              <w:spacing w:line="360" w:lineRule="auto"/>
              <w:jc w:val="center"/>
              <w:outlineLvl w:val="0"/>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w:t>
            </w:r>
          </w:p>
        </w:tc>
        <w:tc>
          <w:tcPr>
            <w:tcW w:w="1095" w:type="pct"/>
            <w:vAlign w:val="center"/>
          </w:tcPr>
          <w:p>
            <w:pPr>
              <w:spacing w:line="360" w:lineRule="auto"/>
              <w:jc w:val="center"/>
              <w:outlineLvl w:val="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（二）测评方案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jc w:val="center"/>
        </w:trPr>
        <w:tc>
          <w:tcPr>
            <w:tcW w:w="468" w:type="pct"/>
            <w:vAlign w:val="center"/>
          </w:tcPr>
          <w:p>
            <w:pPr>
              <w:spacing w:line="360" w:lineRule="auto"/>
              <w:ind w:firstLine="360" w:firstLineChars="150"/>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3028" w:type="pct"/>
            <w:vAlign w:val="center"/>
          </w:tcPr>
          <w:p>
            <w:pPr>
              <w:spacing w:line="360" w:lineRule="auto"/>
              <w:outlineLvl w:val="0"/>
              <w:rPr>
                <w:rFonts w:hint="default" w:ascii="仿宋" w:hAnsi="仿宋" w:eastAsia="仿宋" w:cs="仿宋"/>
                <w:sz w:val="24"/>
                <w:lang w:val="en-US" w:eastAsia="zh-CN"/>
              </w:rPr>
            </w:pPr>
            <w:r>
              <w:rPr>
                <w:rFonts w:hint="eastAsia" w:ascii="仿宋" w:hAnsi="仿宋" w:eastAsia="仿宋" w:cs="仿宋"/>
                <w:sz w:val="24"/>
              </w:rPr>
              <w:t>评估的具体内容响应</w:t>
            </w:r>
            <w:r>
              <w:rPr>
                <w:rFonts w:hint="eastAsia" w:ascii="仿宋" w:hAnsi="仿宋" w:eastAsia="仿宋" w:cs="仿宋"/>
                <w:sz w:val="24"/>
                <w:lang w:eastAsia="zh-CN"/>
              </w:rPr>
              <w:t>情况：对</w:t>
            </w:r>
            <w:r>
              <w:rPr>
                <w:rFonts w:hint="eastAsia" w:ascii="仿宋" w:hAnsi="仿宋" w:eastAsia="仿宋" w:cs="仿宋"/>
                <w:sz w:val="24"/>
              </w:rPr>
              <w:t>采购</w:t>
            </w:r>
            <w:r>
              <w:rPr>
                <w:rFonts w:hint="eastAsia" w:ascii="仿宋" w:hAnsi="仿宋" w:eastAsia="仿宋" w:cs="仿宋"/>
                <w:sz w:val="24"/>
                <w:lang w:eastAsia="zh-CN"/>
              </w:rPr>
              <w:t>需求中</w:t>
            </w:r>
            <w:r>
              <w:rPr>
                <w:rFonts w:hint="eastAsia" w:ascii="仿宋" w:hAnsi="仿宋" w:eastAsia="仿宋" w:cs="仿宋"/>
                <w:sz w:val="24"/>
              </w:rPr>
              <w:t>“</w:t>
            </w:r>
            <w:r>
              <w:rPr>
                <w:rFonts w:hint="eastAsia" w:ascii="仿宋" w:hAnsi="仿宋" w:eastAsia="仿宋" w:cs="仿宋"/>
                <w:sz w:val="24"/>
                <w:lang w:eastAsia="zh-CN"/>
              </w:rPr>
              <w:t>九、</w:t>
            </w:r>
            <w:r>
              <w:rPr>
                <w:rFonts w:hint="eastAsia" w:ascii="仿宋" w:hAnsi="仿宋" w:eastAsia="仿宋" w:cs="仿宋"/>
                <w:sz w:val="24"/>
              </w:rPr>
              <w:t>商用密码应用安全性评估的具体内容”</w:t>
            </w:r>
            <w:r>
              <w:rPr>
                <w:rFonts w:hint="eastAsia" w:ascii="仿宋" w:hAnsi="仿宋" w:eastAsia="仿宋" w:cs="仿宋"/>
                <w:sz w:val="24"/>
                <w:lang w:eastAsia="zh-CN"/>
              </w:rPr>
              <w:t>进行响应，内容含①商用密码应用安全性评估内容、②商用密码应用安全性测评应满足的原则、③测评要求及评估成果</w:t>
            </w:r>
            <w:r>
              <w:rPr>
                <w:rFonts w:hint="eastAsia" w:ascii="仿宋" w:hAnsi="仿宋" w:eastAsia="仿宋" w:cs="仿宋"/>
                <w:sz w:val="24"/>
              </w:rPr>
              <w:t>，根据</w:t>
            </w:r>
            <w:r>
              <w:rPr>
                <w:rFonts w:hint="eastAsia" w:ascii="仿宋" w:hAnsi="仿宋" w:eastAsia="仿宋" w:cs="仿宋"/>
                <w:sz w:val="24"/>
                <w:lang w:eastAsia="zh-CN"/>
              </w:rPr>
              <w:t>投标</w:t>
            </w:r>
            <w:r>
              <w:rPr>
                <w:rFonts w:hint="eastAsia" w:ascii="仿宋" w:hAnsi="仿宋" w:eastAsia="仿宋" w:cs="仿宋"/>
                <w:sz w:val="24"/>
              </w:rPr>
              <w:t>文件的响应情况进行评分，</w:t>
            </w:r>
            <w:r>
              <w:rPr>
                <w:rFonts w:hint="eastAsia" w:ascii="仿宋" w:hAnsi="仿宋" w:eastAsia="仿宋" w:cs="仿宋"/>
                <w:sz w:val="24"/>
                <w:lang w:eastAsia="zh-CN"/>
              </w:rPr>
              <w:t>完全满足采购需求的每项得</w:t>
            </w:r>
            <w:r>
              <w:rPr>
                <w:rFonts w:hint="eastAsia" w:ascii="仿宋" w:hAnsi="仿宋" w:eastAsia="仿宋" w:cs="仿宋"/>
                <w:sz w:val="24"/>
                <w:lang w:val="en-US" w:eastAsia="zh-CN"/>
              </w:rPr>
              <w:t>5分；基本满足采购需求的</w:t>
            </w:r>
            <w:r>
              <w:rPr>
                <w:rFonts w:hint="eastAsia" w:ascii="仿宋" w:hAnsi="仿宋" w:eastAsia="仿宋" w:cs="仿宋"/>
                <w:sz w:val="24"/>
                <w:lang w:eastAsia="zh-CN"/>
              </w:rPr>
              <w:t>每项</w:t>
            </w:r>
            <w:r>
              <w:rPr>
                <w:rFonts w:hint="eastAsia" w:ascii="仿宋" w:hAnsi="仿宋" w:eastAsia="仿宋" w:cs="仿宋"/>
                <w:sz w:val="24"/>
                <w:lang w:val="en-US" w:eastAsia="zh-CN"/>
              </w:rPr>
              <w:t>得3分；部分满足的</w:t>
            </w:r>
            <w:r>
              <w:rPr>
                <w:rFonts w:hint="eastAsia" w:ascii="仿宋" w:hAnsi="仿宋" w:eastAsia="仿宋" w:cs="仿宋"/>
                <w:sz w:val="24"/>
                <w:lang w:eastAsia="zh-CN"/>
              </w:rPr>
              <w:t>每项</w:t>
            </w:r>
            <w:r>
              <w:rPr>
                <w:rFonts w:hint="eastAsia" w:ascii="仿宋" w:hAnsi="仿宋" w:eastAsia="仿宋" w:cs="仿宋"/>
                <w:sz w:val="24"/>
                <w:lang w:val="en-US" w:eastAsia="zh-CN"/>
              </w:rPr>
              <w:t>得1分；较多不满足或不满足不得分。共15分。</w:t>
            </w:r>
          </w:p>
        </w:tc>
        <w:tc>
          <w:tcPr>
            <w:tcW w:w="407" w:type="pct"/>
            <w:vAlign w:val="center"/>
          </w:tcPr>
          <w:p>
            <w:pPr>
              <w:jc w:val="center"/>
              <w:rPr>
                <w:rFonts w:hint="eastAsia" w:ascii="仿宋" w:hAnsi="仿宋" w:eastAsia="仿宋" w:cs="仿宋"/>
                <w:sz w:val="24"/>
                <w:szCs w:val="24"/>
              </w:rPr>
            </w:pPr>
          </w:p>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1095" w:type="pct"/>
            <w:vAlign w:val="center"/>
          </w:tcPr>
          <w:p>
            <w:pPr>
              <w:spacing w:line="360" w:lineRule="auto"/>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（三）商用密码应用安全性评估内容符合情况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68" w:type="pct"/>
            <w:vAlign w:val="center"/>
          </w:tcPr>
          <w:p>
            <w:pPr>
              <w:spacing w:line="360" w:lineRule="auto"/>
              <w:ind w:firstLine="360" w:firstLineChars="150"/>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3028" w:type="pct"/>
            <w:vAlign w:val="center"/>
          </w:tcPr>
          <w:p>
            <w:pPr>
              <w:spacing w:line="360" w:lineRule="auto"/>
              <w:outlineLvl w:val="0"/>
              <w:rPr>
                <w:rFonts w:hint="default" w:ascii="仿宋" w:hAnsi="仿宋" w:eastAsia="仿宋" w:cs="仿宋"/>
                <w:sz w:val="24"/>
                <w:lang w:val="en-US" w:eastAsia="zh-CN"/>
              </w:rPr>
            </w:pPr>
            <w:r>
              <w:rPr>
                <w:rFonts w:hint="eastAsia" w:ascii="仿宋" w:hAnsi="仿宋" w:eastAsia="仿宋" w:cs="仿宋"/>
                <w:sz w:val="24"/>
                <w:lang w:eastAsia="zh-CN"/>
              </w:rPr>
              <w:t>投标人</w:t>
            </w:r>
            <w:r>
              <w:rPr>
                <w:rFonts w:hint="eastAsia" w:ascii="仿宋" w:hAnsi="仿宋" w:eastAsia="仿宋" w:cs="仿宋"/>
                <w:sz w:val="24"/>
              </w:rPr>
              <w:t>制定项目实施管理规范和项目实施计划，对工程目标、工作任务、阶段性工作、职责分工、项目进度等内容进行详细的说明</w:t>
            </w:r>
            <w:r>
              <w:rPr>
                <w:rFonts w:hint="eastAsia" w:ascii="仿宋" w:hAnsi="仿宋" w:eastAsia="仿宋" w:cs="仿宋"/>
                <w:sz w:val="24"/>
                <w:lang w:eastAsia="zh-CN"/>
              </w:rPr>
              <w:t>，</w:t>
            </w:r>
            <w:r>
              <w:rPr>
                <w:rFonts w:hint="eastAsia" w:ascii="仿宋" w:hAnsi="仿宋" w:eastAsia="仿宋" w:cs="仿宋"/>
                <w:sz w:val="24"/>
              </w:rPr>
              <w:t>项目实施管理规范</w:t>
            </w:r>
            <w:r>
              <w:rPr>
                <w:rFonts w:hint="eastAsia" w:ascii="仿宋" w:hAnsi="仿宋" w:eastAsia="仿宋" w:cs="仿宋"/>
                <w:sz w:val="24"/>
                <w:lang w:eastAsia="zh-CN"/>
              </w:rPr>
              <w:t>和</w:t>
            </w:r>
            <w:r>
              <w:rPr>
                <w:rFonts w:hint="eastAsia" w:ascii="仿宋" w:hAnsi="仿宋" w:eastAsia="仿宋" w:cs="仿宋"/>
                <w:sz w:val="24"/>
              </w:rPr>
              <w:t>实施计划明确</w:t>
            </w:r>
            <w:r>
              <w:rPr>
                <w:rFonts w:hint="eastAsia" w:ascii="仿宋" w:hAnsi="仿宋" w:eastAsia="仿宋" w:cs="仿宋"/>
                <w:sz w:val="24"/>
                <w:lang w:eastAsia="zh-CN"/>
              </w:rPr>
              <w:t>、</w:t>
            </w:r>
            <w:r>
              <w:rPr>
                <w:rFonts w:hint="eastAsia" w:ascii="仿宋" w:hAnsi="仿宋" w:eastAsia="仿宋" w:cs="仿宋"/>
                <w:sz w:val="24"/>
              </w:rPr>
              <w:t>可行的得5分；基本可行的得3分；存在不合理的得1分；不满足要求或未提供不得分。</w:t>
            </w:r>
            <w:r>
              <w:rPr>
                <w:rFonts w:hint="eastAsia" w:ascii="仿宋" w:hAnsi="仿宋" w:eastAsia="仿宋" w:cs="仿宋"/>
                <w:sz w:val="24"/>
                <w:lang w:eastAsia="zh-CN"/>
              </w:rPr>
              <w:t>共</w:t>
            </w:r>
            <w:r>
              <w:rPr>
                <w:rFonts w:hint="eastAsia" w:ascii="仿宋" w:hAnsi="仿宋" w:eastAsia="仿宋" w:cs="仿宋"/>
                <w:sz w:val="24"/>
                <w:lang w:val="en-US" w:eastAsia="zh-CN"/>
              </w:rPr>
              <w:t>5分。</w:t>
            </w:r>
          </w:p>
        </w:tc>
        <w:tc>
          <w:tcPr>
            <w:tcW w:w="407" w:type="pct"/>
            <w:vAlign w:val="center"/>
          </w:tcPr>
          <w:p>
            <w:pPr>
              <w:jc w:val="center"/>
              <w:rPr>
                <w:rFonts w:hint="eastAsia" w:ascii="仿宋" w:hAnsi="仿宋" w:eastAsia="仿宋" w:cs="仿宋"/>
                <w:sz w:val="24"/>
                <w:szCs w:val="24"/>
              </w:rPr>
            </w:pPr>
          </w:p>
          <w:p>
            <w:pPr>
              <w:spacing w:line="360" w:lineRule="auto"/>
              <w:ind w:firstLine="240" w:firstLineChars="100"/>
              <w:jc w:val="both"/>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095" w:type="pct"/>
            <w:vAlign w:val="center"/>
          </w:tcPr>
          <w:p>
            <w:pPr>
              <w:spacing w:line="360" w:lineRule="auto"/>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（四）实施计划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3028" w:type="pct"/>
            <w:vAlign w:val="center"/>
          </w:tcPr>
          <w:p>
            <w:pPr>
              <w:spacing w:line="360" w:lineRule="auto"/>
              <w:outlineLvl w:val="0"/>
              <w:rPr>
                <w:rFonts w:hint="eastAsia" w:ascii="仿宋" w:hAnsi="仿宋" w:eastAsia="仿宋" w:cs="仿宋"/>
                <w:sz w:val="24"/>
              </w:rPr>
            </w:pPr>
            <w:r>
              <w:rPr>
                <w:rFonts w:hint="eastAsia" w:ascii="仿宋" w:hAnsi="仿宋" w:eastAsia="仿宋" w:cs="仿宋"/>
                <w:sz w:val="24"/>
                <w:lang w:eastAsia="zh-CN"/>
              </w:rPr>
              <w:t>拟派</w:t>
            </w:r>
            <w:r>
              <w:rPr>
                <w:rFonts w:hint="eastAsia" w:ascii="仿宋" w:hAnsi="仿宋" w:eastAsia="仿宋" w:cs="仿宋"/>
                <w:sz w:val="24"/>
              </w:rPr>
              <w:t>项目负责人具有</w:t>
            </w:r>
            <w:r>
              <w:rPr>
                <w:rFonts w:hint="eastAsia" w:ascii="仿宋" w:hAnsi="仿宋" w:eastAsia="仿宋" w:cs="仿宋"/>
                <w:sz w:val="24"/>
                <w:lang w:eastAsia="zh-CN"/>
              </w:rPr>
              <w:t>商用密码应用安全性评估测评工作经验、具备</w:t>
            </w:r>
            <w:r>
              <w:rPr>
                <w:rFonts w:hint="eastAsia" w:ascii="仿宋" w:hAnsi="仿宋" w:eastAsia="仿宋" w:cs="仿宋"/>
                <w:sz w:val="24"/>
              </w:rPr>
              <w:t>商用密码应用安全性评估人员测评能力考核证书</w:t>
            </w:r>
            <w:r>
              <w:rPr>
                <w:rFonts w:hint="eastAsia" w:ascii="仿宋" w:hAnsi="仿宋" w:eastAsia="仿宋" w:cs="仿宋"/>
                <w:sz w:val="24"/>
                <w:lang w:eastAsia="zh-CN"/>
              </w:rPr>
              <w:t>、</w:t>
            </w:r>
            <w:r>
              <w:rPr>
                <w:rFonts w:hint="eastAsia" w:ascii="仿宋" w:hAnsi="仿宋" w:eastAsia="仿宋" w:cs="仿宋"/>
                <w:sz w:val="24"/>
              </w:rPr>
              <w:t>网络安全等级高级测评师证书、软件性能测试高级工程师证书、国际注册信息系统审计师CISA证书、信息安全管理高级工程师证书，满足</w:t>
            </w:r>
            <w:r>
              <w:rPr>
                <w:rFonts w:hint="eastAsia" w:ascii="仿宋" w:hAnsi="仿宋" w:eastAsia="仿宋" w:cs="仿宋"/>
                <w:sz w:val="24"/>
                <w:lang w:val="en-US" w:eastAsia="zh-CN"/>
              </w:rPr>
              <w:t>一项</w:t>
            </w:r>
            <w:r>
              <w:rPr>
                <w:rFonts w:hint="eastAsia" w:ascii="仿宋" w:hAnsi="仿宋" w:eastAsia="仿宋" w:cs="仿宋"/>
                <w:sz w:val="24"/>
              </w:rPr>
              <w:t>得</w:t>
            </w:r>
            <w:r>
              <w:rPr>
                <w:rFonts w:hint="eastAsia" w:ascii="仿宋" w:hAnsi="仿宋" w:eastAsia="仿宋" w:cs="仿宋"/>
                <w:sz w:val="24"/>
                <w:lang w:val="en-US" w:eastAsia="zh-CN"/>
              </w:rPr>
              <w:t>1</w:t>
            </w:r>
            <w:r>
              <w:rPr>
                <w:rFonts w:hint="eastAsia" w:ascii="仿宋" w:hAnsi="仿宋" w:eastAsia="仿宋" w:cs="仿宋"/>
                <w:sz w:val="24"/>
              </w:rPr>
              <w:t>分，</w:t>
            </w:r>
            <w:r>
              <w:rPr>
                <w:rFonts w:hint="eastAsia" w:ascii="仿宋" w:hAnsi="仿宋" w:eastAsia="仿宋" w:cs="仿宋"/>
                <w:sz w:val="24"/>
                <w:lang w:val="en-US" w:eastAsia="zh-CN"/>
              </w:rPr>
              <w:t>共6分</w:t>
            </w:r>
            <w:r>
              <w:rPr>
                <w:rFonts w:hint="eastAsia" w:ascii="仿宋" w:hAnsi="仿宋" w:eastAsia="仿宋" w:cs="仿宋"/>
                <w:sz w:val="24"/>
              </w:rPr>
              <w:t>。</w:t>
            </w:r>
          </w:p>
          <w:p>
            <w:pPr>
              <w:spacing w:line="360" w:lineRule="auto"/>
              <w:outlineLvl w:val="0"/>
              <w:rPr>
                <w:rFonts w:hint="eastAsia" w:ascii="仿宋" w:hAnsi="仿宋" w:eastAsia="仿宋" w:cs="仿宋"/>
                <w:sz w:val="24"/>
                <w:lang w:eastAsia="zh-CN"/>
              </w:rPr>
            </w:pPr>
            <w:r>
              <w:rPr>
                <w:rFonts w:hint="eastAsia" w:ascii="仿宋" w:hAnsi="仿宋" w:eastAsia="仿宋" w:cs="仿宋"/>
                <w:sz w:val="24"/>
                <w:lang w:eastAsia="zh-CN"/>
              </w:rPr>
              <w:t>注：需同时提供相关证书（工作经验证明）及社保证明，否则不得分。</w:t>
            </w:r>
          </w:p>
        </w:tc>
        <w:tc>
          <w:tcPr>
            <w:tcW w:w="407" w:type="pct"/>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1095" w:type="pct"/>
            <w:vMerge w:val="restart"/>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（五）项目组成员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3028" w:type="pct"/>
            <w:vAlign w:val="center"/>
          </w:tcPr>
          <w:p>
            <w:pPr>
              <w:spacing w:line="360" w:lineRule="auto"/>
              <w:outlineLvl w:val="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拟派项目组成员（不含项目负责人）具有以下证书：商用密码应用安全性评估人员测评能力考核证书、网络安全等级中级及以上测评师证书、数据安全能力成熟度模型证书（DSMM）、国家网络安全应用检测专业测评人员（NSATP-A）证书。每个证书得1分，一人多证最多得</w:t>
            </w:r>
            <w:r>
              <w:rPr>
                <w:rFonts w:hint="eastAsia" w:ascii="仿宋" w:hAnsi="仿宋" w:eastAsia="仿宋" w:cs="仿宋"/>
                <w:sz w:val="24"/>
                <w:highlight w:val="none"/>
                <w:lang w:val="en-US" w:eastAsia="zh-CN"/>
              </w:rPr>
              <w:t>2分</w:t>
            </w:r>
            <w:r>
              <w:rPr>
                <w:rFonts w:hint="eastAsia" w:ascii="仿宋" w:hAnsi="仿宋" w:eastAsia="仿宋" w:cs="仿宋"/>
                <w:sz w:val="24"/>
                <w:highlight w:val="none"/>
                <w:lang w:eastAsia="zh-CN"/>
              </w:rPr>
              <w:t>，共8分。</w:t>
            </w:r>
          </w:p>
          <w:p>
            <w:pPr>
              <w:spacing w:line="360" w:lineRule="auto"/>
              <w:outlineLvl w:val="0"/>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注：须同时提供相关证书及社保证明，否则不得分。</w:t>
            </w:r>
          </w:p>
        </w:tc>
        <w:tc>
          <w:tcPr>
            <w:tcW w:w="407" w:type="pct"/>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095" w:type="pct"/>
            <w:vMerge w:val="continue"/>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8" w:type="pct"/>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7</w:t>
            </w:r>
          </w:p>
        </w:tc>
        <w:tc>
          <w:tcPr>
            <w:tcW w:w="3028" w:type="pct"/>
            <w:vAlign w:val="center"/>
          </w:tcPr>
          <w:p>
            <w:pPr>
              <w:spacing w:line="360" w:lineRule="auto"/>
              <w:outlineLvl w:val="0"/>
              <w:rPr>
                <w:rFonts w:hint="default" w:ascii="仿宋" w:hAnsi="仿宋" w:eastAsia="仿宋" w:cs="仿宋"/>
                <w:sz w:val="24"/>
                <w:lang w:val="en-US" w:eastAsia="zh-CN"/>
              </w:rPr>
            </w:pPr>
            <w:r>
              <w:rPr>
                <w:rFonts w:hint="eastAsia" w:ascii="仿宋" w:hAnsi="仿宋" w:eastAsia="仿宋" w:cs="仿宋"/>
                <w:sz w:val="24"/>
                <w:lang w:eastAsia="zh-CN"/>
              </w:rPr>
              <w:t>提供项目质量保证措施，内容明确、保障措施可行的得5分；基本可行的得3分；存在不合理的得1分；不满足要求或未提供不得分。共</w:t>
            </w:r>
            <w:r>
              <w:rPr>
                <w:rFonts w:hint="eastAsia" w:ascii="仿宋" w:hAnsi="仿宋" w:eastAsia="仿宋" w:cs="仿宋"/>
                <w:sz w:val="24"/>
                <w:lang w:val="en-US" w:eastAsia="zh-CN"/>
              </w:rPr>
              <w:t>5分。</w:t>
            </w:r>
          </w:p>
        </w:tc>
        <w:tc>
          <w:tcPr>
            <w:tcW w:w="407" w:type="pct"/>
            <w:vAlign w:val="center"/>
          </w:tcPr>
          <w:p>
            <w:pPr>
              <w:jc w:val="center"/>
              <w:rPr>
                <w:rFonts w:hint="eastAsia" w:ascii="仿宋" w:hAnsi="仿宋" w:eastAsia="仿宋" w:cs="仿宋"/>
                <w:sz w:val="24"/>
                <w:szCs w:val="24"/>
              </w:rPr>
            </w:pPr>
          </w:p>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1095" w:type="pct"/>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（六）质量保证措施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68" w:type="pct"/>
            <w:vAlign w:val="center"/>
          </w:tcPr>
          <w:p>
            <w:pPr>
              <w:spacing w:line="360" w:lineRule="auto"/>
              <w:ind w:firstLine="240" w:firstLineChars="100"/>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3028" w:type="pct"/>
          </w:tcPr>
          <w:p>
            <w:pPr>
              <w:spacing w:line="360" w:lineRule="auto"/>
              <w:outlineLvl w:val="0"/>
              <w:rPr>
                <w:rFonts w:hint="eastAsia" w:ascii="仿宋" w:hAnsi="仿宋" w:eastAsia="仿宋" w:cs="仿宋"/>
                <w:sz w:val="24"/>
                <w:lang w:eastAsia="zh-CN"/>
              </w:rPr>
            </w:pPr>
            <w:r>
              <w:rPr>
                <w:rFonts w:hint="eastAsia" w:ascii="仿宋" w:hAnsi="仿宋" w:eastAsia="仿宋" w:cs="仿宋"/>
                <w:sz w:val="24"/>
                <w:lang w:eastAsia="zh-CN"/>
              </w:rPr>
              <w:t>投标人能够测评完成后，协助用户完成信息系统整改，提供的整改建议科学、合理、有效并承诺及时跟进方案，可行的得2分；基本可行的得1分；不满足要求或未提供不得分。共</w:t>
            </w:r>
            <w:r>
              <w:rPr>
                <w:rFonts w:hint="eastAsia" w:ascii="仿宋" w:hAnsi="仿宋" w:eastAsia="仿宋" w:cs="仿宋"/>
                <w:sz w:val="24"/>
                <w:lang w:val="en-US" w:eastAsia="zh-CN"/>
              </w:rPr>
              <w:t>2分。</w:t>
            </w:r>
          </w:p>
        </w:tc>
        <w:tc>
          <w:tcPr>
            <w:tcW w:w="407" w:type="pct"/>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95" w:type="pct"/>
            <w:vMerge w:val="restart"/>
            <w:vAlign w:val="center"/>
          </w:tcPr>
          <w:p>
            <w:pPr>
              <w:spacing w:line="360" w:lineRule="auto"/>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（七）</w:t>
            </w:r>
            <w:r>
              <w:rPr>
                <w:rFonts w:hint="eastAsia" w:ascii="仿宋" w:hAnsi="仿宋" w:eastAsia="仿宋" w:cs="仿宋"/>
                <w:sz w:val="24"/>
                <w:szCs w:val="24"/>
                <w:lang w:val="en-GB" w:eastAsia="zh-CN"/>
              </w:rPr>
              <w:t>售后服务方案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8" w:type="pct"/>
            <w:vAlign w:val="center"/>
          </w:tcPr>
          <w:p>
            <w:pPr>
              <w:spacing w:line="360" w:lineRule="auto"/>
              <w:ind w:firstLine="240" w:firstLineChars="100"/>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3028" w:type="pct"/>
          </w:tcPr>
          <w:p>
            <w:pPr>
              <w:spacing w:line="360" w:lineRule="auto"/>
              <w:outlineLvl w:val="0"/>
              <w:rPr>
                <w:rFonts w:hint="eastAsia" w:ascii="仿宋" w:hAnsi="仿宋" w:eastAsia="仿宋" w:cs="仿宋"/>
                <w:sz w:val="24"/>
                <w:lang w:eastAsia="zh-CN"/>
              </w:rPr>
            </w:pPr>
            <w:r>
              <w:rPr>
                <w:rFonts w:hint="eastAsia" w:ascii="仿宋" w:hAnsi="仿宋" w:eastAsia="仿宋" w:cs="仿宋"/>
                <w:sz w:val="24"/>
                <w:lang w:eastAsia="zh-CN"/>
              </w:rPr>
              <w:t>项目测评完成后，承诺提供为期一年的技术咨询服务，以保证项目正常运行。提供相</w:t>
            </w:r>
            <w:bookmarkStart w:id="542" w:name="_GoBack"/>
            <w:bookmarkEnd w:id="542"/>
            <w:r>
              <w:rPr>
                <w:rFonts w:hint="eastAsia" w:ascii="仿宋" w:hAnsi="仿宋" w:eastAsia="仿宋" w:cs="仿宋"/>
                <w:sz w:val="24"/>
                <w:lang w:eastAsia="zh-CN"/>
              </w:rPr>
              <w:t>应承诺的得</w:t>
            </w:r>
            <w:r>
              <w:rPr>
                <w:rFonts w:hint="eastAsia" w:ascii="仿宋" w:hAnsi="仿宋" w:eastAsia="仿宋" w:cs="仿宋"/>
                <w:sz w:val="24"/>
                <w:lang w:val="en-US" w:eastAsia="zh-CN"/>
              </w:rPr>
              <w:t>2分，未提供不得分。</w:t>
            </w:r>
          </w:p>
        </w:tc>
        <w:tc>
          <w:tcPr>
            <w:tcW w:w="407" w:type="pct"/>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95" w:type="pct"/>
            <w:vMerge w:val="continue"/>
            <w:vAlign w:val="center"/>
          </w:tcPr>
          <w:p>
            <w:pPr>
              <w:spacing w:line="36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68" w:type="pct"/>
            <w:vAlign w:val="center"/>
          </w:tcPr>
          <w:p>
            <w:pPr>
              <w:spacing w:line="360" w:lineRule="auto"/>
              <w:ind w:firstLine="240" w:firstLineChars="100"/>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3028" w:type="pct"/>
          </w:tcPr>
          <w:p>
            <w:pPr>
              <w:spacing w:line="360" w:lineRule="auto"/>
              <w:outlineLvl w:val="0"/>
              <w:rPr>
                <w:rFonts w:hint="default" w:ascii="仿宋" w:hAnsi="仿宋" w:eastAsia="仿宋" w:cs="仿宋"/>
                <w:sz w:val="24"/>
                <w:lang w:val="en-US" w:eastAsia="zh-CN"/>
              </w:rPr>
            </w:pPr>
            <w:r>
              <w:rPr>
                <w:rFonts w:hint="eastAsia" w:ascii="仿宋" w:hAnsi="仿宋" w:eastAsia="仿宋" w:cs="仿宋"/>
                <w:sz w:val="24"/>
                <w:lang w:eastAsia="zh-CN"/>
              </w:rPr>
              <w:t>根据采购需求提供项目的安全保密设计方案，方案满足采购需求且可操作性强的得3分；基本满足采购需求且可操作的得1分；存在不合理的不得分，未提供不得分。共</w:t>
            </w:r>
            <w:r>
              <w:rPr>
                <w:rFonts w:hint="eastAsia" w:ascii="仿宋" w:hAnsi="仿宋" w:eastAsia="仿宋" w:cs="仿宋"/>
                <w:sz w:val="24"/>
                <w:lang w:val="en-US" w:eastAsia="zh-CN"/>
              </w:rPr>
              <w:t>3分。</w:t>
            </w:r>
          </w:p>
        </w:tc>
        <w:tc>
          <w:tcPr>
            <w:tcW w:w="407" w:type="pct"/>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95" w:type="pct"/>
            <w:vAlign w:val="center"/>
          </w:tcPr>
          <w:p>
            <w:pPr>
              <w:spacing w:line="360" w:lineRule="auto"/>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（八）服务保密方案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468" w:type="pct"/>
            <w:vAlign w:val="center"/>
          </w:tcPr>
          <w:p>
            <w:pPr>
              <w:spacing w:line="360" w:lineRule="auto"/>
              <w:ind w:firstLine="240" w:firstLineChars="100"/>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3028" w:type="pct"/>
          </w:tcPr>
          <w:p>
            <w:pPr>
              <w:spacing w:line="360" w:lineRule="auto"/>
              <w:outlineLvl w:val="0"/>
              <w:rPr>
                <w:rFonts w:hint="default" w:ascii="仿宋" w:hAnsi="仿宋" w:eastAsia="仿宋" w:cs="仿宋"/>
                <w:sz w:val="24"/>
                <w:lang w:val="en-US" w:eastAsia="zh-CN"/>
              </w:rPr>
            </w:pPr>
            <w:r>
              <w:rPr>
                <w:rFonts w:hint="eastAsia" w:ascii="仿宋" w:hAnsi="仿宋" w:eastAsia="仿宋" w:cs="仿宋"/>
                <w:sz w:val="24"/>
                <w:lang w:eastAsia="zh-CN"/>
              </w:rPr>
              <w:t>投入本项目的测评包括国密局认可的密码专用检测工具、漏洞扫描工具等，且承诺所有投入本项目使用的工具应为正版化工具，并出具采购协议作为证明。符合以上的得</w:t>
            </w:r>
            <w:r>
              <w:rPr>
                <w:rFonts w:hint="eastAsia" w:ascii="仿宋" w:hAnsi="仿宋" w:eastAsia="仿宋" w:cs="仿宋"/>
                <w:sz w:val="24"/>
                <w:lang w:val="en-US" w:eastAsia="zh-CN"/>
              </w:rPr>
              <w:t>2分，不符合不得分。</w:t>
            </w:r>
          </w:p>
        </w:tc>
        <w:tc>
          <w:tcPr>
            <w:tcW w:w="407" w:type="pct"/>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95" w:type="pct"/>
            <w:vMerge w:val="restart"/>
            <w:vAlign w:val="center"/>
          </w:tcPr>
          <w:p>
            <w:pPr>
              <w:spacing w:line="360" w:lineRule="auto"/>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（九）</w:t>
            </w:r>
            <w:r>
              <w:rPr>
                <w:rFonts w:hint="eastAsia" w:ascii="仿宋" w:hAnsi="仿宋" w:eastAsia="仿宋" w:cs="仿宋"/>
                <w:sz w:val="24"/>
                <w:szCs w:val="24"/>
                <w:lang w:val="en-GB" w:eastAsia="zh-CN"/>
              </w:rPr>
              <w:t>测评工具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68" w:type="pct"/>
            <w:vAlign w:val="center"/>
          </w:tcPr>
          <w:p>
            <w:pPr>
              <w:spacing w:line="360" w:lineRule="auto"/>
              <w:ind w:firstLine="240" w:firstLineChars="100"/>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3028" w:type="pct"/>
          </w:tcPr>
          <w:p>
            <w:pPr>
              <w:spacing w:line="360" w:lineRule="auto"/>
              <w:outlineLvl w:val="0"/>
              <w:rPr>
                <w:rFonts w:hint="default" w:ascii="仿宋" w:hAnsi="仿宋" w:eastAsia="仿宋" w:cs="仿宋"/>
                <w:sz w:val="24"/>
                <w:lang w:val="en-US" w:eastAsia="zh-CN"/>
              </w:rPr>
            </w:pPr>
            <w:r>
              <w:rPr>
                <w:rFonts w:hint="eastAsia" w:ascii="仿宋" w:hAnsi="仿宋" w:eastAsia="仿宋" w:cs="仿宋"/>
                <w:sz w:val="24"/>
                <w:lang w:eastAsia="zh-CN"/>
              </w:rPr>
              <w:t>投入本项目的第三方便携式运维安全工具。为保证测评师在现场实施过程中，不增加新增工具设备接入的网络安全风险点，在设备或工具接入过程中需使用便携式运维安全管理平台工具，以实现测评过程的违规外联检测、外设监控与分析评价、操作行为监控与审计等安全功能。需提供便携式运维安全管理平台的检测报告，以证明该工具设备满足便携式工具要求。符合以上的得</w:t>
            </w:r>
            <w:r>
              <w:rPr>
                <w:rFonts w:hint="eastAsia" w:ascii="仿宋" w:hAnsi="仿宋" w:eastAsia="仿宋" w:cs="仿宋"/>
                <w:sz w:val="24"/>
                <w:lang w:val="en-US" w:eastAsia="zh-CN"/>
              </w:rPr>
              <w:t>2分，否则不得分。</w:t>
            </w:r>
          </w:p>
        </w:tc>
        <w:tc>
          <w:tcPr>
            <w:tcW w:w="407" w:type="pct"/>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95" w:type="pct"/>
            <w:vMerge w:val="continue"/>
            <w:vAlign w:val="center"/>
          </w:tcPr>
          <w:p>
            <w:pPr>
              <w:spacing w:line="36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468" w:type="pct"/>
            <w:vAlign w:val="center"/>
          </w:tcPr>
          <w:p>
            <w:pPr>
              <w:spacing w:line="360" w:lineRule="auto"/>
              <w:ind w:firstLine="240" w:firstLineChars="100"/>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3028" w:type="pct"/>
          </w:tcPr>
          <w:p>
            <w:pPr>
              <w:spacing w:line="360" w:lineRule="auto"/>
              <w:outlineLvl w:val="0"/>
              <w:rPr>
                <w:rFonts w:hint="eastAsia" w:ascii="仿宋" w:hAnsi="仿宋" w:eastAsia="仿宋" w:cs="仿宋"/>
                <w:sz w:val="24"/>
                <w:lang w:eastAsia="zh-CN"/>
              </w:rPr>
            </w:pPr>
            <w:r>
              <w:rPr>
                <w:rFonts w:hint="eastAsia" w:ascii="仿宋" w:hAnsi="仿宋" w:eastAsia="仿宋" w:cs="仿宋"/>
                <w:sz w:val="24"/>
                <w:lang w:eastAsia="zh-CN"/>
              </w:rPr>
              <w:t>投标人被列入国家密码管理局认可的商用密码应用安全性评估试点机构目录（国家密码管理局第 42 号公告），提供相关证明材料的，得 2 分。</w:t>
            </w:r>
          </w:p>
        </w:tc>
        <w:tc>
          <w:tcPr>
            <w:tcW w:w="407" w:type="pct"/>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095" w:type="pct"/>
            <w:vMerge w:val="restart"/>
            <w:vAlign w:val="center"/>
          </w:tcPr>
          <w:p>
            <w:pPr>
              <w:spacing w:line="360" w:lineRule="auto"/>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（十）供应商综合实力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468" w:type="pct"/>
            <w:vAlign w:val="center"/>
          </w:tcPr>
          <w:p>
            <w:pPr>
              <w:spacing w:line="360" w:lineRule="auto"/>
              <w:ind w:firstLine="240" w:firstLineChars="100"/>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3028" w:type="pct"/>
          </w:tcPr>
          <w:p>
            <w:pPr>
              <w:spacing w:line="360" w:lineRule="auto"/>
              <w:outlineLvl w:val="0"/>
              <w:rPr>
                <w:rFonts w:hint="default" w:ascii="仿宋" w:hAnsi="仿宋" w:eastAsia="仿宋" w:cs="仿宋"/>
                <w:sz w:val="24"/>
                <w:lang w:val="en-US" w:eastAsia="zh-CN"/>
              </w:rPr>
            </w:pPr>
            <w:r>
              <w:rPr>
                <w:rFonts w:hint="eastAsia" w:ascii="仿宋" w:hAnsi="仿宋" w:eastAsia="仿宋" w:cs="仿宋"/>
                <w:sz w:val="24"/>
                <w:lang w:eastAsia="zh-CN"/>
              </w:rPr>
              <w:t>投标人具有中国合格评定国家认可委员会颁布的（CNAS）检验机构</w:t>
            </w:r>
            <w:r>
              <w:rPr>
                <w:rFonts w:hint="eastAsia" w:ascii="仿宋" w:hAnsi="仿宋" w:eastAsia="仿宋" w:cs="仿宋"/>
                <w:sz w:val="24"/>
                <w:lang w:val="en-US" w:eastAsia="zh-CN"/>
              </w:rPr>
              <w:t>或</w:t>
            </w:r>
            <w:r>
              <w:rPr>
                <w:rFonts w:hint="eastAsia" w:ascii="仿宋" w:hAnsi="仿宋" w:eastAsia="仿宋" w:cs="仿宋"/>
                <w:sz w:val="24"/>
                <w:lang w:eastAsia="zh-CN"/>
              </w:rPr>
              <w:t>实验室认可证书的，具有检验检测机构资质认定证书（CMA）的，提供相关证明材料，每项得</w:t>
            </w:r>
            <w:r>
              <w:rPr>
                <w:rFonts w:hint="eastAsia" w:ascii="仿宋" w:hAnsi="仿宋" w:eastAsia="仿宋" w:cs="仿宋"/>
                <w:sz w:val="24"/>
                <w:lang w:val="en-US" w:eastAsia="zh-CN"/>
              </w:rPr>
              <w:t>2</w:t>
            </w:r>
            <w:r>
              <w:rPr>
                <w:rFonts w:hint="eastAsia" w:ascii="仿宋" w:hAnsi="仿宋" w:eastAsia="仿宋" w:cs="仿宋"/>
                <w:sz w:val="24"/>
                <w:lang w:eastAsia="zh-CN"/>
              </w:rPr>
              <w:t>分，共</w:t>
            </w:r>
            <w:r>
              <w:rPr>
                <w:rFonts w:hint="eastAsia" w:ascii="仿宋" w:hAnsi="仿宋" w:eastAsia="仿宋" w:cs="仿宋"/>
                <w:sz w:val="24"/>
                <w:lang w:val="en-US" w:eastAsia="zh-CN"/>
              </w:rPr>
              <w:t>4分。</w:t>
            </w:r>
          </w:p>
        </w:tc>
        <w:tc>
          <w:tcPr>
            <w:tcW w:w="407" w:type="pct"/>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095" w:type="pct"/>
            <w:vMerge w:val="continue"/>
            <w:vAlign w:val="center"/>
          </w:tcPr>
          <w:p>
            <w:pPr>
              <w:spacing w:line="36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468" w:type="pct"/>
            <w:vAlign w:val="center"/>
          </w:tcPr>
          <w:p>
            <w:pPr>
              <w:spacing w:line="360" w:lineRule="auto"/>
              <w:ind w:firstLine="240" w:firstLineChars="100"/>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3028" w:type="pct"/>
          </w:tcPr>
          <w:p>
            <w:pPr>
              <w:spacing w:line="360" w:lineRule="auto"/>
              <w:outlineLvl w:val="0"/>
              <w:rPr>
                <w:rFonts w:hint="eastAsia" w:ascii="仿宋" w:hAnsi="仿宋" w:eastAsia="仿宋" w:cs="仿宋"/>
                <w:sz w:val="24"/>
                <w:lang w:eastAsia="zh-CN"/>
              </w:rPr>
            </w:pPr>
            <w:r>
              <w:rPr>
                <w:rFonts w:hint="eastAsia" w:ascii="仿宋" w:hAnsi="仿宋" w:eastAsia="仿宋" w:cs="仿宋"/>
                <w:sz w:val="24"/>
                <w:lang w:eastAsia="zh-CN"/>
              </w:rPr>
              <w:t>投标人具有ISO9001质量管理证书、ISO27001信息安全管理体系认证证书、ISO20000信息技术服务管理体系认证证书的，提供相关证明材料，每项得</w:t>
            </w:r>
            <w:r>
              <w:rPr>
                <w:rFonts w:hint="eastAsia" w:ascii="仿宋" w:hAnsi="仿宋" w:eastAsia="仿宋" w:cs="仿宋"/>
                <w:sz w:val="24"/>
                <w:lang w:val="en-US" w:eastAsia="zh-CN"/>
              </w:rPr>
              <w:t>1</w:t>
            </w:r>
            <w:r>
              <w:rPr>
                <w:rFonts w:hint="eastAsia" w:ascii="仿宋" w:hAnsi="仿宋" w:eastAsia="仿宋" w:cs="仿宋"/>
                <w:sz w:val="24"/>
                <w:lang w:eastAsia="zh-CN"/>
              </w:rPr>
              <w:t>分，共</w:t>
            </w:r>
            <w:r>
              <w:rPr>
                <w:rFonts w:hint="eastAsia" w:ascii="仿宋" w:hAnsi="仿宋" w:eastAsia="仿宋" w:cs="仿宋"/>
                <w:sz w:val="24"/>
                <w:lang w:val="en-US" w:eastAsia="zh-CN"/>
              </w:rPr>
              <w:t>3分。</w:t>
            </w:r>
          </w:p>
        </w:tc>
        <w:tc>
          <w:tcPr>
            <w:tcW w:w="407" w:type="pct"/>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95" w:type="pct"/>
            <w:vMerge w:val="continue"/>
            <w:vAlign w:val="center"/>
          </w:tcPr>
          <w:p>
            <w:pPr>
              <w:spacing w:line="360" w:lineRule="auto"/>
              <w:jc w:val="center"/>
              <w:outlineLvl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68" w:type="pct"/>
            <w:vAlign w:val="center"/>
          </w:tcPr>
          <w:p>
            <w:pPr>
              <w:spacing w:line="360" w:lineRule="auto"/>
              <w:ind w:firstLine="240" w:firstLineChars="100"/>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3028" w:type="pct"/>
          </w:tcPr>
          <w:p>
            <w:pPr>
              <w:spacing w:line="360" w:lineRule="auto"/>
              <w:outlineLvl w:val="0"/>
              <w:rPr>
                <w:rFonts w:hint="eastAsia" w:ascii="仿宋" w:hAnsi="仿宋" w:eastAsia="仿宋" w:cs="仿宋"/>
                <w:sz w:val="24"/>
                <w:lang w:eastAsia="zh-CN"/>
              </w:rPr>
            </w:pPr>
            <w:r>
              <w:rPr>
                <w:rFonts w:hint="eastAsia" w:ascii="仿宋" w:hAnsi="仿宋" w:eastAsia="仿宋" w:cs="仿宋"/>
                <w:sz w:val="24"/>
                <w:lang w:eastAsia="zh-CN"/>
              </w:rPr>
              <w:t>投标人提供自 20</w:t>
            </w:r>
            <w:r>
              <w:rPr>
                <w:rFonts w:hint="eastAsia" w:ascii="仿宋" w:hAnsi="仿宋" w:eastAsia="仿宋" w:cs="仿宋"/>
                <w:sz w:val="24"/>
                <w:lang w:val="en-US" w:eastAsia="zh-CN"/>
              </w:rPr>
              <w:t>20</w:t>
            </w:r>
            <w:r>
              <w:rPr>
                <w:rFonts w:hint="eastAsia" w:ascii="仿宋" w:hAnsi="仿宋" w:eastAsia="仿宋" w:cs="仿宋"/>
                <w:sz w:val="24"/>
                <w:lang w:eastAsia="zh-CN"/>
              </w:rPr>
              <w:t>年1月1日至开标时间止(以合同签订时间为准) 商用密码应用安全性评估项目业绩案例，每个案例得</w:t>
            </w:r>
            <w:r>
              <w:rPr>
                <w:rFonts w:hint="eastAsia" w:ascii="仿宋" w:hAnsi="仿宋" w:eastAsia="仿宋" w:cs="仿宋"/>
                <w:sz w:val="24"/>
                <w:lang w:val="en-US" w:eastAsia="zh-CN"/>
              </w:rPr>
              <w:t>1</w:t>
            </w:r>
            <w:r>
              <w:rPr>
                <w:rFonts w:hint="eastAsia" w:ascii="仿宋" w:hAnsi="仿宋" w:eastAsia="仿宋" w:cs="仿宋"/>
                <w:sz w:val="24"/>
                <w:lang w:eastAsia="zh-CN"/>
              </w:rPr>
              <w:t>分，共</w:t>
            </w:r>
            <w:r>
              <w:rPr>
                <w:rFonts w:hint="eastAsia" w:ascii="仿宋" w:hAnsi="仿宋" w:eastAsia="仿宋" w:cs="仿宋"/>
                <w:sz w:val="24"/>
                <w:lang w:val="en-US" w:eastAsia="zh-CN"/>
              </w:rPr>
              <w:t>3</w:t>
            </w:r>
            <w:r>
              <w:rPr>
                <w:rFonts w:hint="eastAsia" w:ascii="仿宋" w:hAnsi="仿宋" w:eastAsia="仿宋" w:cs="仿宋"/>
                <w:sz w:val="24"/>
                <w:lang w:eastAsia="zh-CN"/>
              </w:rPr>
              <w:t>分。</w:t>
            </w:r>
          </w:p>
          <w:p>
            <w:pPr>
              <w:spacing w:line="360" w:lineRule="auto"/>
              <w:outlineLvl w:val="0"/>
              <w:rPr>
                <w:rFonts w:hint="eastAsia" w:ascii="仿宋" w:hAnsi="仿宋" w:eastAsia="仿宋" w:cs="仿宋"/>
                <w:sz w:val="24"/>
                <w:lang w:eastAsia="zh-CN"/>
              </w:rPr>
            </w:pPr>
            <w:r>
              <w:rPr>
                <w:rFonts w:hint="eastAsia" w:ascii="仿宋" w:hAnsi="仿宋" w:eastAsia="仿宋" w:cs="仿宋"/>
                <w:sz w:val="24"/>
                <w:lang w:eastAsia="zh-CN"/>
              </w:rPr>
              <w:t>注：需提供合同扫描件，否则不得分。</w:t>
            </w:r>
          </w:p>
        </w:tc>
        <w:tc>
          <w:tcPr>
            <w:tcW w:w="407" w:type="pct"/>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095" w:type="pct"/>
            <w:vAlign w:val="center"/>
          </w:tcPr>
          <w:p>
            <w:pPr>
              <w:spacing w:line="360" w:lineRule="auto"/>
              <w:jc w:val="center"/>
              <w:outlineLvl w:val="0"/>
              <w:rPr>
                <w:rFonts w:hint="eastAsia" w:ascii="仿宋" w:hAnsi="仿宋" w:eastAsia="仿宋" w:cs="仿宋"/>
                <w:sz w:val="24"/>
                <w:szCs w:val="24"/>
                <w:lang w:eastAsia="zh-CN"/>
              </w:rPr>
            </w:pPr>
            <w:r>
              <w:rPr>
                <w:rFonts w:hint="eastAsia" w:ascii="仿宋" w:hAnsi="仿宋" w:eastAsia="仿宋" w:cs="仿宋"/>
                <w:sz w:val="24"/>
                <w:szCs w:val="24"/>
                <w:lang w:eastAsia="zh-CN"/>
              </w:rPr>
              <w:t>（十一）类似业绩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jc w:val="center"/>
        </w:trPr>
        <w:tc>
          <w:tcPr>
            <w:tcW w:w="468" w:type="pct"/>
            <w:vAlign w:val="center"/>
          </w:tcPr>
          <w:p>
            <w:pPr>
              <w:spacing w:line="360" w:lineRule="auto"/>
              <w:ind w:firstLine="240" w:firstLineChars="100"/>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3028" w:type="pct"/>
          </w:tcPr>
          <w:p>
            <w:pPr>
              <w:spacing w:line="360" w:lineRule="auto"/>
              <w:outlineLvl w:val="0"/>
              <w:rPr>
                <w:rFonts w:hint="eastAsia"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w:t>
            </w:r>
            <w:r>
              <w:rPr>
                <w:rFonts w:hint="eastAsia" w:ascii="仿宋" w:hAnsi="仿宋" w:eastAsia="仿宋" w:cs="仿宋"/>
                <w:sz w:val="24"/>
                <w:lang w:val="en-US" w:eastAsia="zh-CN"/>
              </w:rPr>
              <w:t>3</w:t>
            </w:r>
            <w:r>
              <w:rPr>
                <w:rFonts w:hint="eastAsia" w:ascii="仿宋" w:hAnsi="仿宋" w:eastAsia="仿宋" w:cs="仿宋"/>
                <w:sz w:val="24"/>
              </w:rPr>
              <w:t>0］的计算公式计算。</w:t>
            </w:r>
          </w:p>
          <w:p>
            <w:pPr>
              <w:widowControl/>
              <w:shd w:val="clear" w:color="auto" w:fill="FFFFFF"/>
              <w:adjustRightInd/>
              <w:spacing w:after="225" w:line="315" w:lineRule="atLeast"/>
              <w:ind w:firstLine="420"/>
              <w:jc w:val="left"/>
              <w:rPr>
                <w:rFonts w:hint="eastAsia" w:ascii="仿宋" w:hAnsi="仿宋" w:eastAsia="仿宋" w:cs="仿宋"/>
                <w:sz w:val="24"/>
              </w:rPr>
            </w:pPr>
            <w:r>
              <w:rPr>
                <w:rFonts w:hint="eastAsia" w:ascii="仿宋" w:hAnsi="仿宋" w:eastAsia="仿宋" w:cs="仿宋"/>
                <w:sz w:val="24"/>
              </w:rPr>
              <w:t>评标过程中，不得去掉报价中的最高报价和最低报价。</w:t>
            </w:r>
          </w:p>
          <w:p>
            <w:pPr>
              <w:widowControl/>
              <w:shd w:val="clear" w:color="auto" w:fill="FFFFFF"/>
              <w:adjustRightInd/>
              <w:spacing w:after="225" w:line="315" w:lineRule="atLeast"/>
              <w:ind w:firstLine="420"/>
              <w:jc w:val="left"/>
              <w:rPr>
                <w:rFonts w:hint="eastAsia" w:ascii="仿宋" w:hAnsi="仿宋" w:eastAsia="仿宋" w:cs="仿宋"/>
                <w:sz w:val="24"/>
              </w:rPr>
            </w:pPr>
            <w:r>
              <w:rPr>
                <w:rFonts w:hint="eastAsia" w:ascii="仿宋" w:hAnsi="仿宋" w:eastAsia="仿宋" w:cs="仿宋"/>
                <w:sz w:val="24"/>
              </w:rPr>
              <w:t>因落实政府采购政策需要进行价格调整的，以调整后的价格计算评标基准价和投标报价。</w:t>
            </w:r>
          </w:p>
        </w:tc>
        <w:tc>
          <w:tcPr>
            <w:tcW w:w="407" w:type="pct"/>
            <w:vAlign w:val="center"/>
          </w:tcPr>
          <w:p>
            <w:pPr>
              <w:spacing w:line="360" w:lineRule="auto"/>
              <w:jc w:val="center"/>
              <w:outlineLvl w:val="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1095" w:type="pct"/>
            <w:vAlign w:val="center"/>
          </w:tcPr>
          <w:p>
            <w:pPr>
              <w:spacing w:line="360" w:lineRule="auto"/>
              <w:jc w:val="center"/>
              <w:outlineLvl w:val="0"/>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468" w:type="pct"/>
            <w:vAlign w:val="center"/>
          </w:tcPr>
          <w:p>
            <w:pPr>
              <w:spacing w:line="360" w:lineRule="auto"/>
              <w:ind w:firstLine="240" w:firstLineChars="100"/>
              <w:outlineLvl w:val="0"/>
              <w:rPr>
                <w:rFonts w:hint="eastAsia" w:ascii="仿宋" w:hAnsi="仿宋" w:eastAsia="仿宋" w:cs="仿宋"/>
                <w:sz w:val="24"/>
              </w:rPr>
            </w:pPr>
          </w:p>
        </w:tc>
        <w:tc>
          <w:tcPr>
            <w:tcW w:w="3028" w:type="pct"/>
          </w:tcPr>
          <w:p>
            <w:pPr>
              <w:widowControl/>
              <w:shd w:val="clear" w:color="auto" w:fill="FFFFFF"/>
              <w:adjustRightInd/>
              <w:spacing w:after="225" w:line="315" w:lineRule="atLeast"/>
              <w:ind w:firstLine="420"/>
              <w:jc w:val="left"/>
              <w:rPr>
                <w:rFonts w:hint="eastAsia" w:ascii="仿宋" w:hAnsi="仿宋" w:eastAsia="仿宋" w:cs="仿宋"/>
                <w:sz w:val="24"/>
              </w:rPr>
            </w:pPr>
            <w:r>
              <w:rPr>
                <w:rFonts w:hint="eastAsia" w:ascii="仿宋" w:hAnsi="仿宋" w:eastAsia="仿宋" w:cs="仿宋"/>
                <w:sz w:val="24"/>
              </w:rPr>
              <w:t>注意：不得以特定金额的业绩作为评审因素，政府采购货物和服务项目业绩分不得高于价格分的10%。</w:t>
            </w:r>
          </w:p>
        </w:tc>
        <w:tc>
          <w:tcPr>
            <w:tcW w:w="407" w:type="pct"/>
            <w:vAlign w:val="center"/>
          </w:tcPr>
          <w:p>
            <w:pPr>
              <w:spacing w:line="360" w:lineRule="auto"/>
              <w:ind w:firstLine="120" w:firstLineChars="50"/>
              <w:jc w:val="center"/>
              <w:outlineLvl w:val="0"/>
              <w:rPr>
                <w:rFonts w:hint="eastAsia" w:ascii="仿宋" w:hAnsi="仿宋" w:eastAsia="仿宋" w:cs="仿宋"/>
                <w:sz w:val="24"/>
                <w:szCs w:val="24"/>
              </w:rPr>
            </w:pPr>
          </w:p>
        </w:tc>
        <w:tc>
          <w:tcPr>
            <w:tcW w:w="1095" w:type="pct"/>
            <w:vAlign w:val="center"/>
          </w:tcPr>
          <w:p>
            <w:pPr>
              <w:spacing w:line="360" w:lineRule="auto"/>
              <w:jc w:val="center"/>
              <w:outlineLvl w:val="0"/>
              <w:rPr>
                <w:rFonts w:hint="eastAsia" w:ascii="仿宋" w:hAnsi="仿宋" w:eastAsia="仿宋" w:cs="仿宋"/>
                <w:sz w:val="24"/>
                <w:szCs w:val="24"/>
              </w:rPr>
            </w:pPr>
          </w:p>
        </w:tc>
      </w:tr>
    </w:tbl>
    <w:p>
      <w:pPr>
        <w:snapToGrid w:val="0"/>
        <w:spacing w:line="360" w:lineRule="auto"/>
        <w:rPr>
          <w:rFonts w:hint="eastAsia" w:ascii="仿宋" w:hAnsi="仿宋" w:eastAsia="仿宋" w:cs="仿宋"/>
          <w:b/>
          <w:sz w:val="24"/>
        </w:rPr>
      </w:pPr>
      <w:r>
        <w:rPr>
          <w:rFonts w:hint="eastAsia" w:ascii="仿宋" w:hAnsi="仿宋" w:eastAsia="仿宋" w:cs="仿宋"/>
          <w:sz w:val="20"/>
          <w:szCs w:val="20"/>
          <w:shd w:val="clear" w:color="auto" w:fill="FFFFFF"/>
        </w:rPr>
        <w:t> *</w:t>
      </w:r>
      <w:r>
        <w:rPr>
          <w:rFonts w:hint="eastAsia" w:ascii="仿宋" w:hAnsi="仿宋" w:eastAsia="仿宋" w:cs="仿宋"/>
          <w:b/>
          <w:sz w:val="24"/>
        </w:rPr>
        <w:t>备注：</w:t>
      </w:r>
      <w:r>
        <w:rPr>
          <w:rFonts w:hint="eastAsia" w:ascii="仿宋" w:hAnsi="仿宋" w:eastAsia="仿宋" w:cs="仿宋"/>
          <w:sz w:val="24"/>
        </w:rPr>
        <w:t>投标人编制投标文件（商务技术文件部分）时，建议按此目录（序号和内容）提供评标标准相应的商务技术资料。 </w:t>
      </w:r>
    </w:p>
    <w:p>
      <w:pPr>
        <w:snapToGrid w:val="0"/>
        <w:spacing w:line="360" w:lineRule="auto"/>
        <w:rPr>
          <w:rFonts w:hint="eastAsia" w:ascii="仿宋" w:hAnsi="仿宋" w:eastAsia="仿宋" w:cs="仿宋"/>
          <w:b/>
          <w:sz w:val="28"/>
          <w:szCs w:val="28"/>
        </w:rPr>
      </w:pPr>
      <w:r>
        <w:rPr>
          <w:rFonts w:hint="eastAsia" w:ascii="仿宋" w:hAnsi="仿宋" w:eastAsia="仿宋" w:cs="仿宋"/>
          <w:b/>
          <w:sz w:val="32"/>
        </w:rPr>
        <w:t>一、评标方法</w:t>
      </w:r>
    </w:p>
    <w:p>
      <w:pPr>
        <w:adjustRightInd/>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kern w:val="0"/>
          <w:sz w:val="24"/>
        </w:rPr>
      </w:pPr>
      <w:r>
        <w:rPr>
          <w:rFonts w:hint="eastAsia" w:ascii="仿宋" w:hAnsi="仿宋" w:eastAsia="仿宋" w:cs="仿宋"/>
          <w:b/>
          <w:sz w:val="32"/>
        </w:rPr>
        <w:t>二、评标标准</w:t>
      </w:r>
    </w:p>
    <w:p>
      <w:pPr>
        <w:spacing w:line="360" w:lineRule="auto"/>
        <w:ind w:firstLine="472" w:firstLineChars="196"/>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rPr>
        <w:t xml:space="preserve"> </w:t>
      </w:r>
      <w:r>
        <w:rPr>
          <w:rFonts w:hint="eastAsia" w:ascii="仿宋" w:hAnsi="仿宋" w:eastAsia="仿宋" w:cs="仿宋"/>
          <w:b/>
          <w:sz w:val="24"/>
        </w:rPr>
        <w:t>评标标准：</w:t>
      </w:r>
      <w:r>
        <w:rPr>
          <w:rFonts w:hint="eastAsia" w:ascii="仿宋" w:hAnsi="仿宋" w:eastAsia="仿宋" w:cs="仿宋"/>
          <w:kern w:val="0"/>
          <w:sz w:val="24"/>
        </w:rPr>
        <w:t>见评标办法前附表。</w:t>
      </w:r>
    </w:p>
    <w:p>
      <w:pPr>
        <w:spacing w:line="360" w:lineRule="auto"/>
        <w:outlineLvl w:val="0"/>
        <w:rPr>
          <w:rFonts w:hint="eastAsia" w:ascii="仿宋" w:hAnsi="仿宋" w:eastAsia="仿宋" w:cs="仿宋"/>
          <w:b/>
          <w:sz w:val="36"/>
          <w:szCs w:val="36"/>
        </w:rPr>
      </w:pPr>
      <w:r>
        <w:rPr>
          <w:rFonts w:hint="eastAsia" w:ascii="仿宋" w:hAnsi="仿宋" w:eastAsia="仿宋" w:cs="仿宋"/>
          <w:b/>
          <w:sz w:val="36"/>
          <w:szCs w:val="36"/>
        </w:rPr>
        <w:t>三、评标程序</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pPr>
        <w:pStyle w:val="128"/>
        <w:spacing w:before="0"/>
        <w:ind w:firstLine="508" w:firstLineChars="212"/>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sz w:val="32"/>
        </w:rPr>
      </w:pPr>
      <w:r>
        <w:rPr>
          <w:rFonts w:hint="eastAsia" w:ascii="仿宋" w:hAnsi="仿宋" w:eastAsia="仿宋" w:cs="仿宋"/>
          <w:b/>
          <w:sz w:val="32"/>
        </w:rPr>
        <w:t>四、评标中的其他事项</w:t>
      </w:r>
    </w:p>
    <w:p>
      <w:pPr>
        <w:pStyle w:val="128"/>
        <w:spacing w:before="0"/>
        <w:ind w:firstLine="472" w:firstLineChars="196"/>
        <w:rPr>
          <w:rFonts w:hint="eastAsia" w:ascii="仿宋" w:hAnsi="仿宋" w:eastAsia="仿宋" w:cs="仿宋"/>
          <w:kern w:val="0"/>
          <w:szCs w:val="24"/>
        </w:rPr>
      </w:pPr>
      <w:r>
        <w:rPr>
          <w:rFonts w:hint="eastAsia" w:ascii="仿宋" w:hAnsi="仿宋" w:eastAsia="仿宋" w:cs="仿宋"/>
          <w:b/>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hint="eastAsia" w:ascii="仿宋" w:hAnsi="仿宋" w:eastAsia="仿宋" w:cs="仿宋"/>
          <w:szCs w:val="21"/>
        </w:rPr>
      </w:pPr>
      <w:r>
        <w:rPr>
          <w:rFonts w:hint="eastAsia" w:ascii="仿宋" w:hAnsi="仿宋" w:eastAsia="仿宋" w:cs="仿宋"/>
          <w:b/>
          <w:kern w:val="0"/>
        </w:rPr>
        <w:t>4.2投标无效。</w:t>
      </w:r>
      <w:r>
        <w:rPr>
          <w:rFonts w:hint="eastAsia" w:ascii="仿宋" w:hAnsi="仿宋" w:eastAsia="仿宋" w:cs="仿宋"/>
          <w:szCs w:val="21"/>
        </w:rPr>
        <w:t>有下列情形之一的，投标无效：</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4.2.4投标文件含有采购人不能接受的附加条件的；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pPr>
        <w:pStyle w:val="4"/>
        <w:ind w:left="862" w:leftChars="205"/>
        <w:rPr>
          <w:rFonts w:hint="eastAsia" w:ascii="仿宋" w:hAnsi="仿宋" w:eastAsia="仿宋" w:cs="仿宋"/>
          <w:b w:val="0"/>
          <w:bCs w:val="0"/>
          <w:kern w:val="0"/>
          <w:sz w:val="24"/>
          <w:szCs w:val="24"/>
          <w:lang w:val="en-US"/>
        </w:rPr>
      </w:pPr>
      <w:r>
        <w:rPr>
          <w:rFonts w:hint="eastAsia" w:ascii="仿宋" w:hAnsi="仿宋" w:eastAsia="仿宋" w:cs="仿宋"/>
          <w:b w:val="0"/>
          <w:bCs w:val="0"/>
          <w:kern w:val="0"/>
          <w:sz w:val="24"/>
          <w:szCs w:val="24"/>
          <w:lang w:val="en-US"/>
        </w:rPr>
        <w:t>4.2.13 投标文件不满足招标文件的其它实质性要求的；</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4.2.14法律、法规、规章（适用本市的）及省级以上规范性文件（适用本市的）规定的其他无效情形。</w:t>
      </w:r>
    </w:p>
    <w:p>
      <w:pPr>
        <w:pStyle w:val="25"/>
        <w:snapToGrid w:val="0"/>
        <w:spacing w:line="360" w:lineRule="auto"/>
        <w:ind w:firstLine="472" w:firstLineChars="196"/>
        <w:rPr>
          <w:rFonts w:hint="eastAsia" w:ascii="仿宋" w:hAnsi="仿宋" w:eastAsia="仿宋" w:cs="仿宋"/>
        </w:rPr>
      </w:pPr>
      <w:r>
        <w:rPr>
          <w:rFonts w:hint="eastAsia" w:ascii="仿宋" w:hAnsi="仿宋" w:eastAsia="仿宋" w:cs="仿宋"/>
          <w:b/>
        </w:rPr>
        <w:t>5.废标。</w:t>
      </w:r>
      <w:r>
        <w:rPr>
          <w:rFonts w:hint="eastAsia" w:ascii="仿宋" w:hAnsi="仿宋" w:eastAsia="仿宋" w:cs="仿宋"/>
        </w:rPr>
        <w:t>根据《中华人民共和国政府采购法》第三十六条之规定，在采购中，出现下列情形之一的，应予废标：</w:t>
      </w:r>
    </w:p>
    <w:p>
      <w:pPr>
        <w:pStyle w:val="25"/>
        <w:snapToGrid w:val="0"/>
        <w:spacing w:line="360" w:lineRule="auto"/>
        <w:rPr>
          <w:rFonts w:hint="eastAsia" w:ascii="仿宋" w:hAnsi="仿宋" w:eastAsia="仿宋" w:cs="仿宋"/>
        </w:rPr>
      </w:pPr>
      <w:r>
        <w:rPr>
          <w:rFonts w:hint="eastAsia" w:ascii="仿宋" w:hAnsi="仿宋" w:eastAsia="仿宋" w:cs="仿宋"/>
        </w:rPr>
        <w:t>5.1符合专业条件的供应商或者对招标文件作实质响应的供应商不足3家的；</w:t>
      </w:r>
    </w:p>
    <w:p>
      <w:pPr>
        <w:pStyle w:val="25"/>
        <w:snapToGrid w:val="0"/>
        <w:spacing w:line="360" w:lineRule="auto"/>
        <w:rPr>
          <w:rFonts w:hint="eastAsia" w:ascii="仿宋" w:hAnsi="仿宋" w:eastAsia="仿宋" w:cs="仿宋"/>
        </w:rPr>
      </w:pPr>
      <w:r>
        <w:rPr>
          <w:rFonts w:hint="eastAsia" w:ascii="仿宋" w:hAnsi="仿宋" w:eastAsia="仿宋" w:cs="仿宋"/>
        </w:rPr>
        <w:t>5.2出现影响采购公正的违法、违规行为的；</w:t>
      </w:r>
    </w:p>
    <w:p>
      <w:pPr>
        <w:pStyle w:val="25"/>
        <w:snapToGrid w:val="0"/>
        <w:spacing w:line="360" w:lineRule="auto"/>
        <w:rPr>
          <w:rFonts w:hint="eastAsia" w:ascii="仿宋" w:hAnsi="仿宋" w:eastAsia="仿宋" w:cs="仿宋"/>
        </w:rPr>
      </w:pPr>
      <w:r>
        <w:rPr>
          <w:rFonts w:hint="eastAsia" w:ascii="仿宋" w:hAnsi="仿宋" w:eastAsia="仿宋" w:cs="仿宋"/>
        </w:rPr>
        <w:t>5.3投标人的报价均超过了采购预算，采购人不能支付的；</w:t>
      </w:r>
    </w:p>
    <w:p>
      <w:pPr>
        <w:pStyle w:val="25"/>
        <w:snapToGrid w:val="0"/>
        <w:spacing w:line="360" w:lineRule="auto"/>
        <w:rPr>
          <w:rFonts w:hint="eastAsia" w:ascii="仿宋" w:hAnsi="仿宋" w:eastAsia="仿宋" w:cs="仿宋"/>
        </w:rPr>
      </w:pPr>
      <w:r>
        <w:rPr>
          <w:rFonts w:hint="eastAsia" w:ascii="仿宋" w:hAnsi="仿宋" w:eastAsia="仿宋" w:cs="仿宋"/>
        </w:rPr>
        <w:t>5.4因重大变故，采购任务取消的。</w:t>
      </w:r>
    </w:p>
    <w:p>
      <w:pPr>
        <w:pStyle w:val="25"/>
        <w:snapToGrid w:val="0"/>
        <w:spacing w:line="360" w:lineRule="auto"/>
        <w:rPr>
          <w:rFonts w:hint="eastAsia" w:ascii="仿宋" w:hAnsi="仿宋" w:eastAsia="仿宋" w:cs="仿宋"/>
        </w:rPr>
      </w:pPr>
      <w:r>
        <w:rPr>
          <w:rFonts w:hint="eastAsia" w:ascii="仿宋" w:hAnsi="仿宋" w:eastAsia="仿宋" w:cs="仿宋"/>
        </w:rPr>
        <w:t>废标后，采购机构应当将废标理由通知所有投标人。</w:t>
      </w:r>
    </w:p>
    <w:p>
      <w:pPr>
        <w:pStyle w:val="25"/>
        <w:snapToGrid w:val="0"/>
        <w:spacing w:line="360" w:lineRule="auto"/>
        <w:ind w:firstLine="590" w:firstLineChars="245"/>
        <w:rPr>
          <w:rFonts w:hint="eastAsia" w:ascii="仿宋" w:hAnsi="仿宋" w:eastAsia="仿宋" w:cs="仿宋"/>
        </w:rPr>
      </w:pPr>
      <w:r>
        <w:rPr>
          <w:rFonts w:hint="eastAsia" w:ascii="仿宋" w:hAnsi="仿宋" w:eastAsia="仿宋" w:cs="仿宋"/>
          <w:b/>
        </w:rPr>
        <w:t>6.修改招标文件，重新组织采购活动。</w:t>
      </w:r>
      <w:r>
        <w:rPr>
          <w:rFonts w:hint="eastAsia" w:ascii="仿宋" w:hAnsi="仿宋" w:eastAsia="仿宋" w:cs="仿宋"/>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5"/>
        <w:snapToGrid w:val="0"/>
        <w:spacing w:line="360" w:lineRule="auto"/>
        <w:ind w:firstLine="482"/>
        <w:rPr>
          <w:rFonts w:hint="eastAsia" w:ascii="仿宋" w:hAnsi="仿宋" w:eastAsia="仿宋" w:cs="仿宋"/>
        </w:rPr>
      </w:pPr>
      <w:r>
        <w:rPr>
          <w:rFonts w:hint="eastAsia" w:ascii="仿宋" w:hAnsi="仿宋" w:eastAsia="仿宋" w:cs="仿宋"/>
          <w:b/>
          <w:kern w:val="0"/>
        </w:rPr>
        <w:t>7.重新开展采购。</w:t>
      </w:r>
      <w:r>
        <w:rPr>
          <w:rFonts w:hint="eastAsia" w:ascii="仿宋" w:hAnsi="仿宋" w:eastAsia="仿宋" w:cs="仿宋"/>
        </w:rPr>
        <w:t>有政府采购法第七十一条、第七十二条规定的违法行为之一，影响或者可能影响中标结果的，依照下列规定处理：</w:t>
      </w:r>
    </w:p>
    <w:p>
      <w:pPr>
        <w:pStyle w:val="25"/>
        <w:snapToGrid w:val="0"/>
        <w:spacing w:line="360" w:lineRule="auto"/>
        <w:rPr>
          <w:rFonts w:hint="eastAsia" w:ascii="仿宋" w:hAnsi="仿宋" w:eastAsia="仿宋" w:cs="仿宋"/>
        </w:rPr>
      </w:pPr>
      <w:r>
        <w:rPr>
          <w:rFonts w:hint="eastAsia" w:ascii="仿宋" w:hAnsi="仿宋" w:eastAsia="仿宋" w:cs="仿宋"/>
        </w:rPr>
        <w:t>7.1未确定中标供应商的，终止本次政府采购活动，重新开展政府采购活动。</w:t>
      </w:r>
    </w:p>
    <w:p>
      <w:pPr>
        <w:pStyle w:val="25"/>
        <w:snapToGrid w:val="0"/>
        <w:spacing w:line="360" w:lineRule="auto"/>
        <w:rPr>
          <w:rFonts w:hint="eastAsia" w:ascii="仿宋" w:hAnsi="仿宋" w:eastAsia="仿宋" w:cs="仿宋"/>
        </w:rPr>
      </w:pPr>
      <w:r>
        <w:rPr>
          <w:rFonts w:hint="eastAsia" w:ascii="仿宋" w:hAnsi="仿宋" w:eastAsia="仿宋" w:cs="仿宋"/>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hint="eastAsia" w:ascii="仿宋" w:hAnsi="仿宋" w:eastAsia="仿宋" w:cs="仿宋"/>
        </w:rPr>
      </w:pPr>
      <w:r>
        <w:rPr>
          <w:rFonts w:hint="eastAsia" w:ascii="仿宋" w:hAnsi="仿宋" w:eastAsia="仿宋" w:cs="仿宋"/>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hint="eastAsia" w:ascii="仿宋" w:hAnsi="仿宋" w:eastAsia="仿宋" w:cs="仿宋"/>
        </w:rPr>
      </w:pPr>
      <w:r>
        <w:rPr>
          <w:rFonts w:hint="eastAsia" w:ascii="仿宋" w:hAnsi="仿宋" w:eastAsia="仿宋" w:cs="仿宋"/>
        </w:rPr>
        <w:t>7.4政府采购合同已经履行，给采购人、供应商造成损失的，由责任人承担赔偿责任。</w:t>
      </w:r>
    </w:p>
    <w:p>
      <w:pPr>
        <w:pStyle w:val="25"/>
        <w:snapToGrid w:val="0"/>
        <w:spacing w:line="360" w:lineRule="auto"/>
        <w:rPr>
          <w:rFonts w:hint="eastAsia" w:ascii="仿宋" w:hAnsi="仿宋" w:eastAsia="仿宋" w:cs="仿宋"/>
        </w:rPr>
      </w:pPr>
      <w:r>
        <w:rPr>
          <w:rFonts w:hint="eastAsia" w:ascii="仿宋" w:hAnsi="仿宋" w:eastAsia="仿宋" w:cs="仿宋"/>
        </w:rPr>
        <w:t>7.5政府采购当事人有其他违反政府采购法或者政府采购法实施条例等法律法规规定的行为，经改正后仍然影响或者可能影响中标结果或者依法被认定为中标无效的，依照7.1-7.4规定处理。</w:t>
      </w:r>
    </w:p>
    <w:p>
      <w:pPr>
        <w:pStyle w:val="25"/>
        <w:snapToGrid w:val="0"/>
        <w:spacing w:line="360" w:lineRule="auto"/>
        <w:ind w:firstLine="0" w:firstLineChars="0"/>
        <w:rPr>
          <w:rFonts w:hint="eastAsia" w:ascii="仿宋" w:hAnsi="仿宋" w:eastAsia="仿宋" w:cs="仿宋"/>
        </w:rPr>
      </w:pPr>
    </w:p>
    <w:bookmarkEnd w:id="27"/>
    <w:p>
      <w:pPr>
        <w:spacing w:line="360" w:lineRule="auto"/>
        <w:ind w:left="720" w:leftChars="343" w:firstLine="1084" w:firstLineChars="300"/>
        <w:outlineLvl w:val="0"/>
        <w:rPr>
          <w:rFonts w:hint="eastAsia" w:ascii="仿宋" w:hAnsi="仿宋" w:eastAsia="仿宋" w:cs="仿宋"/>
          <w:b/>
          <w:sz w:val="36"/>
          <w:szCs w:val="36"/>
        </w:rPr>
      </w:pPr>
      <w:bookmarkStart w:id="417" w:name="第五部分"/>
      <w:bookmarkStart w:id="418" w:name="_Toc86217003"/>
    </w:p>
    <w:p>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 xml:space="preserve">    </w:t>
      </w: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p>
    <w:p>
      <w:pPr>
        <w:spacing w:line="360" w:lineRule="auto"/>
        <w:outlineLvl w:val="0"/>
        <w:rPr>
          <w:rFonts w:hint="eastAsia" w:ascii="仿宋" w:hAnsi="仿宋" w:eastAsia="仿宋" w:cs="仿宋"/>
          <w:b/>
          <w:sz w:val="36"/>
          <w:szCs w:val="36"/>
        </w:rPr>
      </w:pPr>
    </w:p>
    <w:p>
      <w:pPr>
        <w:spacing w:line="360" w:lineRule="auto"/>
        <w:ind w:left="720" w:leftChars="343" w:firstLine="1084" w:firstLineChars="300"/>
        <w:outlineLvl w:val="0"/>
        <w:rPr>
          <w:rFonts w:hint="eastAsia" w:ascii="仿宋" w:hAnsi="仿宋" w:eastAsia="仿宋" w:cs="仿宋"/>
          <w:b/>
          <w:sz w:val="36"/>
          <w:szCs w:val="36"/>
        </w:rPr>
      </w:pPr>
      <w:r>
        <w:rPr>
          <w:rFonts w:hint="eastAsia" w:ascii="仿宋" w:hAnsi="仿宋" w:eastAsia="仿宋" w:cs="仿宋"/>
          <w:b/>
          <w:sz w:val="36"/>
          <w:szCs w:val="36"/>
        </w:rPr>
        <w:t>第五部分 拟签订的合同文本</w:t>
      </w:r>
    </w:p>
    <w:p>
      <w:pPr>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pPr>
        <w:spacing w:line="480" w:lineRule="auto"/>
        <w:jc w:val="center"/>
        <w:rPr>
          <w:rFonts w:hint="eastAsia" w:ascii="仿宋" w:hAnsi="仿宋" w:eastAsia="仿宋" w:cs="仿宋"/>
          <w:b/>
          <w:sz w:val="28"/>
          <w:szCs w:val="28"/>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24"/>
        </w:rPr>
      </w:pP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政府采购合同参考范本</w:t>
      </w:r>
    </w:p>
    <w:p>
      <w:pPr>
        <w:spacing w:line="480" w:lineRule="auto"/>
        <w:jc w:val="center"/>
        <w:rPr>
          <w:rFonts w:hint="eastAsia" w:ascii="仿宋" w:hAnsi="仿宋" w:eastAsia="仿宋" w:cs="仿宋"/>
          <w:b/>
          <w:sz w:val="36"/>
          <w:szCs w:val="36"/>
        </w:rPr>
      </w:pPr>
      <w:r>
        <w:rPr>
          <w:rFonts w:hint="eastAsia" w:ascii="仿宋" w:hAnsi="仿宋" w:eastAsia="仿宋" w:cs="仿宋"/>
          <w:b/>
          <w:sz w:val="36"/>
          <w:szCs w:val="36"/>
        </w:rPr>
        <w:t>（服务类）</w:t>
      </w:r>
    </w:p>
    <w:p>
      <w:pPr>
        <w:pStyle w:val="699"/>
        <w:ind w:firstLine="2843" w:firstLineChars="1180"/>
        <w:rPr>
          <w:rFonts w:hint="eastAsia" w:ascii="仿宋" w:hAnsi="仿宋" w:eastAsia="仿宋" w:cs="仿宋"/>
          <w:b/>
          <w:szCs w:val="24"/>
        </w:rPr>
      </w:pPr>
      <w:r>
        <w:rPr>
          <w:rFonts w:hint="eastAsia" w:ascii="仿宋" w:hAnsi="仿宋" w:eastAsia="仿宋" w:cs="仿宋"/>
          <w:b/>
          <w:szCs w:val="24"/>
        </w:rPr>
        <w:t>第一部分 合同书</w:t>
      </w:r>
    </w:p>
    <w:p>
      <w:pPr>
        <w:spacing w:before="120" w:line="22" w:lineRule="atLeast"/>
        <w:rPr>
          <w:rFonts w:hint="eastAsia" w:ascii="仿宋" w:hAnsi="仿宋" w:eastAsia="仿宋" w:cs="仿宋"/>
          <w:sz w:val="24"/>
        </w:rPr>
      </w:pPr>
    </w:p>
    <w:p>
      <w:pPr>
        <w:pStyle w:val="4"/>
        <w:rPr>
          <w:rFonts w:hint="eastAsia" w:ascii="仿宋" w:hAnsi="仿宋" w:eastAsia="仿宋" w:cs="仿宋"/>
        </w:rPr>
      </w:pPr>
    </w:p>
    <w:p>
      <w:pPr>
        <w:spacing w:before="120" w:line="22" w:lineRule="atLeast"/>
        <w:ind w:left="96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pPr>
        <w:pStyle w:val="596"/>
        <w:spacing w:before="120" w:line="22" w:lineRule="atLeast"/>
        <w:rPr>
          <w:rFonts w:hint="eastAsia" w:ascii="仿宋" w:hAnsi="仿宋" w:eastAsia="仿宋" w:cs="仿宋"/>
          <w:szCs w:val="24"/>
        </w:rPr>
      </w:pPr>
    </w:p>
    <w:p>
      <w:pPr>
        <w:pStyle w:val="596"/>
        <w:spacing w:before="120" w:line="22" w:lineRule="atLeast"/>
        <w:rPr>
          <w:rFonts w:hint="eastAsia" w:ascii="仿宋" w:hAnsi="仿宋" w:eastAsia="仿宋" w:cs="仿宋"/>
          <w:szCs w:val="24"/>
        </w:rPr>
      </w:pPr>
    </w:p>
    <w:p>
      <w:pPr>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甲方：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left="960"/>
        <w:rPr>
          <w:rFonts w:hint="eastAsia" w:ascii="仿宋" w:hAnsi="仿宋" w:eastAsia="仿宋" w:cs="仿宋"/>
          <w:sz w:val="24"/>
          <w:u w:val="single"/>
        </w:rPr>
      </w:pPr>
      <w:r>
        <w:rPr>
          <w:rFonts w:hint="eastAsia" w:ascii="仿宋" w:hAnsi="仿宋" w:eastAsia="仿宋" w:cs="仿宋"/>
          <w:sz w:val="24"/>
        </w:rPr>
        <w:t>乙方：</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签订地：</w:t>
      </w:r>
      <w:r>
        <w:rPr>
          <w:rFonts w:hint="eastAsia" w:ascii="仿宋" w:hAnsi="仿宋" w:eastAsia="仿宋" w:cs="仿宋"/>
          <w:sz w:val="24"/>
          <w:u w:val="single"/>
        </w:rPr>
        <w:t xml:space="preserve">                                     </w:t>
      </w:r>
    </w:p>
    <w:p>
      <w:pPr>
        <w:spacing w:before="120" w:line="22" w:lineRule="atLeast"/>
        <w:rPr>
          <w:rFonts w:hint="eastAsia" w:ascii="仿宋" w:hAnsi="仿宋" w:eastAsia="仿宋" w:cs="仿宋"/>
          <w:sz w:val="24"/>
        </w:rPr>
      </w:pPr>
    </w:p>
    <w:p>
      <w:pPr>
        <w:spacing w:before="120" w:line="22" w:lineRule="atLeast"/>
        <w:ind w:firstLine="960" w:firstLineChars="400"/>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widowControl/>
        <w:jc w:val="left"/>
        <w:rPr>
          <w:rFonts w:hint="eastAsia" w:ascii="仿宋" w:hAnsi="仿宋" w:eastAsia="仿宋" w:cs="仿宋"/>
          <w:kern w:val="0"/>
          <w:sz w:val="24"/>
        </w:rPr>
        <w:sectPr>
          <w:pgSz w:w="11907" w:h="16840"/>
          <w:pgMar w:top="1474" w:right="1814" w:bottom="1474" w:left="1814" w:header="851" w:footer="851" w:gutter="0"/>
          <w:cols w:space="720" w:num="1"/>
        </w:sectPr>
      </w:pPr>
    </w:p>
    <w:p>
      <w:pPr>
        <w:spacing w:line="560" w:lineRule="exact"/>
        <w:ind w:firstLine="480" w:firstLineChars="200"/>
        <w:rPr>
          <w:rFonts w:hint="eastAsia" w:ascii="仿宋" w:hAnsi="仿宋" w:eastAsia="仿宋" w:cs="仿宋"/>
          <w:sz w:val="24"/>
        </w:rPr>
      </w:pP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rPr>
        <w:t>，</w:t>
      </w:r>
      <w:r>
        <w:rPr>
          <w:rFonts w:hint="eastAsia" w:ascii="仿宋" w:hAnsi="仿宋" w:eastAsia="仿宋" w:cs="仿宋"/>
          <w:sz w:val="24"/>
          <w:u w:val="single"/>
        </w:rPr>
        <w:t xml:space="preserve">   （采购人名称）   </w:t>
      </w:r>
      <w:r>
        <w:rPr>
          <w:rFonts w:hint="eastAsia" w:ascii="仿宋" w:hAnsi="仿宋" w:eastAsia="仿宋" w:cs="仿宋"/>
          <w:sz w:val="24"/>
        </w:rPr>
        <w:t>以</w:t>
      </w:r>
      <w:r>
        <w:rPr>
          <w:rFonts w:hint="eastAsia" w:ascii="仿宋" w:hAnsi="仿宋" w:eastAsia="仿宋" w:cs="仿宋"/>
          <w:sz w:val="24"/>
          <w:u w:val="single"/>
        </w:rPr>
        <w:t xml:space="preserve">   （政府采购方式）  </w:t>
      </w:r>
      <w:r>
        <w:rPr>
          <w:rFonts w:hint="eastAsia" w:ascii="仿宋" w:hAnsi="仿宋" w:eastAsia="仿宋" w:cs="仿宋"/>
          <w:sz w:val="24"/>
        </w:rPr>
        <w:t>对</w:t>
      </w:r>
      <w:r>
        <w:rPr>
          <w:rFonts w:hint="eastAsia" w:ascii="仿宋" w:hAnsi="仿宋" w:eastAsia="仿宋" w:cs="仿宋"/>
          <w:sz w:val="24"/>
          <w:u w:val="single"/>
        </w:rPr>
        <w:t xml:space="preserve">   （同前页项目名称）   </w:t>
      </w:r>
      <w:r>
        <w:rPr>
          <w:rFonts w:hint="eastAsia" w:ascii="仿宋" w:hAnsi="仿宋" w:eastAsia="仿宋" w:cs="仿宋"/>
          <w:sz w:val="24"/>
        </w:rPr>
        <w:t>项目进行了采购。经</w:t>
      </w:r>
      <w:r>
        <w:rPr>
          <w:rFonts w:hint="eastAsia" w:ascii="仿宋" w:hAnsi="仿宋" w:eastAsia="仿宋" w:cs="仿宋"/>
          <w:sz w:val="24"/>
          <w:u w:val="single"/>
        </w:rPr>
        <w:t xml:space="preserve">   （相关评定主体名称）   </w:t>
      </w:r>
      <w:r>
        <w:rPr>
          <w:rFonts w:hint="eastAsia" w:ascii="仿宋" w:hAnsi="仿宋" w:eastAsia="仿宋" w:cs="仿宋"/>
          <w:sz w:val="24"/>
        </w:rPr>
        <w:t>评定，</w:t>
      </w:r>
      <w:r>
        <w:rPr>
          <w:rFonts w:hint="eastAsia" w:ascii="仿宋" w:hAnsi="仿宋" w:eastAsia="仿宋" w:cs="仿宋"/>
          <w:sz w:val="24"/>
          <w:u w:val="single"/>
        </w:rPr>
        <w:t xml:space="preserve">   （中标供应商名称） </w:t>
      </w:r>
      <w:r>
        <w:rPr>
          <w:rFonts w:hint="eastAsia" w:ascii="仿宋" w:hAnsi="仿宋" w:eastAsia="仿宋" w:cs="仿宋"/>
          <w:sz w:val="24"/>
        </w:rPr>
        <w:t>为该项目中标供应商。现于中标通知书发出之日起10个工作日内，按照采购文件确定的事项签订本合同。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根据《中华人民共和国民法典》《中华人民共和国政府采购法》等相关法律法规之规定，按照平等、自愿、公平和诚实信用的原则，经</w:t>
      </w:r>
      <w:r>
        <w:rPr>
          <w:rFonts w:hint="eastAsia" w:ascii="仿宋" w:hAnsi="仿宋" w:eastAsia="仿宋" w:cs="仿宋"/>
          <w:sz w:val="24"/>
          <w:u w:val="single"/>
        </w:rPr>
        <w:t xml:space="preserve">   （采购人名称）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pPr>
        <w:spacing w:line="560" w:lineRule="exact"/>
        <w:ind w:firstLine="482" w:firstLineChars="200"/>
        <w:outlineLvl w:val="0"/>
        <w:rPr>
          <w:rFonts w:hint="eastAsia" w:ascii="仿宋" w:hAnsi="仿宋" w:eastAsia="仿宋" w:cs="仿宋"/>
          <w:sz w:val="24"/>
        </w:rPr>
      </w:pPr>
      <w:bookmarkStart w:id="419" w:name="_Toc20421"/>
      <w:bookmarkStart w:id="420" w:name="_Toc28855"/>
      <w:bookmarkStart w:id="421" w:name="_Toc19273"/>
      <w:bookmarkStart w:id="422" w:name="_Toc22967"/>
      <w:bookmarkStart w:id="423" w:name="_Toc15367"/>
      <w:r>
        <w:rPr>
          <w:rFonts w:hint="eastAsia" w:ascii="仿宋" w:hAnsi="仿宋" w:eastAsia="仿宋" w:cs="仿宋"/>
          <w:b/>
          <w:sz w:val="24"/>
        </w:rPr>
        <w:t>1.1 合同组成部分</w:t>
      </w:r>
      <w:bookmarkEnd w:id="419"/>
      <w:bookmarkEnd w:id="420"/>
      <w:bookmarkEnd w:id="421"/>
      <w:bookmarkEnd w:id="422"/>
      <w:bookmarkEnd w:id="42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1.1.1 本合同及其补充合同、变更协议；</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1.1.2 中标通知书；</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1.1.3 投标文件（含澄清或者说明文件）；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1.1.4 招标文件（含澄清或者修改文件）；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1.1.5 其他相关采购文件。</w:t>
      </w:r>
    </w:p>
    <w:p>
      <w:pPr>
        <w:spacing w:line="560" w:lineRule="exact"/>
        <w:ind w:firstLine="482" w:firstLineChars="200"/>
        <w:outlineLvl w:val="0"/>
        <w:rPr>
          <w:rFonts w:hint="eastAsia" w:ascii="仿宋" w:hAnsi="仿宋" w:eastAsia="仿宋" w:cs="仿宋"/>
          <w:b/>
          <w:sz w:val="24"/>
        </w:rPr>
      </w:pPr>
      <w:bookmarkStart w:id="424" w:name="_Toc18585"/>
      <w:bookmarkStart w:id="425" w:name="_Toc6773"/>
      <w:bookmarkStart w:id="426" w:name="_Toc2918"/>
      <w:bookmarkStart w:id="427" w:name="_Toc22185"/>
      <w:bookmarkStart w:id="428" w:name="_Toc6311"/>
      <w:r>
        <w:rPr>
          <w:rFonts w:hint="eastAsia" w:ascii="仿宋" w:hAnsi="仿宋" w:eastAsia="仿宋" w:cs="仿宋"/>
          <w:b/>
          <w:sz w:val="24"/>
        </w:rPr>
        <w:t>1.2 标的</w:t>
      </w:r>
      <w:bookmarkEnd w:id="424"/>
      <w:bookmarkEnd w:id="425"/>
      <w:bookmarkEnd w:id="426"/>
      <w:bookmarkEnd w:id="427"/>
      <w:bookmarkEnd w:id="428"/>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1.2.1 标的名称：</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1.2.2 标的数量：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1.2.3 标的质量：</w:t>
      </w:r>
      <w:r>
        <w:rPr>
          <w:rFonts w:hint="eastAsia" w:ascii="仿宋" w:hAnsi="仿宋" w:eastAsia="仿宋" w:cs="仿宋"/>
          <w:sz w:val="24"/>
          <w:u w:val="single"/>
        </w:rPr>
        <w:t xml:space="preserve">　　　　　　　　　                      　      </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29" w:name="_Toc21124"/>
      <w:bookmarkStart w:id="430" w:name="_Toc5635"/>
      <w:bookmarkStart w:id="431" w:name="_Toc13918"/>
      <w:bookmarkStart w:id="432" w:name="_Toc4929"/>
      <w:bookmarkStart w:id="433" w:name="_Toc1386"/>
      <w:r>
        <w:rPr>
          <w:rFonts w:hint="eastAsia" w:ascii="仿宋" w:hAnsi="仿宋" w:eastAsia="仿宋" w:cs="仿宋"/>
          <w:b/>
          <w:sz w:val="24"/>
        </w:rPr>
        <w:t>1.3 价款</w:t>
      </w:r>
      <w:bookmarkEnd w:id="429"/>
      <w:bookmarkEnd w:id="430"/>
      <w:bookmarkEnd w:id="431"/>
      <w:bookmarkEnd w:id="432"/>
      <w:bookmarkEnd w:id="43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vAlign w:val="center"/>
          </w:tcPr>
          <w:p>
            <w:pPr>
              <w:pStyle w:val="317"/>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vAlign w:val="center"/>
          </w:tcPr>
          <w:p>
            <w:pPr>
              <w:pStyle w:val="317"/>
              <w:spacing w:line="560" w:lineRule="exact"/>
              <w:jc w:val="center"/>
              <w:rPr>
                <w:rFonts w:hint="eastAsia" w:ascii="仿宋" w:hAnsi="仿宋" w:eastAsia="仿宋" w:cs="仿宋"/>
                <w:sz w:val="24"/>
                <w:szCs w:val="24"/>
              </w:rPr>
            </w:pPr>
            <w:r>
              <w:rPr>
                <w:rFonts w:hint="eastAsia" w:ascii="仿宋" w:hAnsi="仿宋" w:eastAsia="仿宋" w:cs="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sz w:val="24"/>
                <w:szCs w:val="24"/>
              </w:rPr>
            </w:pPr>
          </w:p>
        </w:tc>
        <w:tc>
          <w:tcPr>
            <w:tcW w:w="3402" w:type="dxa"/>
            <w:vAlign w:val="center"/>
          </w:tcPr>
          <w:p>
            <w:pPr>
              <w:pStyle w:val="317"/>
              <w:spacing w:line="560" w:lineRule="exact"/>
              <w:ind w:firstLine="200"/>
              <w:jc w:val="center"/>
              <w:rPr>
                <w:rFonts w:hint="eastAsia" w:ascii="仿宋" w:hAnsi="仿宋" w:eastAsia="仿宋" w:cs="仿宋"/>
                <w:sz w:val="24"/>
                <w:szCs w:val="24"/>
              </w:rPr>
            </w:pPr>
          </w:p>
        </w:tc>
        <w:tc>
          <w:tcPr>
            <w:tcW w:w="2552" w:type="dxa"/>
            <w:vAlign w:val="center"/>
          </w:tcPr>
          <w:p>
            <w:pPr>
              <w:pStyle w:val="317"/>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sz w:val="24"/>
                <w:szCs w:val="24"/>
              </w:rPr>
            </w:pPr>
          </w:p>
        </w:tc>
        <w:tc>
          <w:tcPr>
            <w:tcW w:w="3402" w:type="dxa"/>
            <w:vAlign w:val="center"/>
          </w:tcPr>
          <w:p>
            <w:pPr>
              <w:pStyle w:val="317"/>
              <w:spacing w:line="560" w:lineRule="exact"/>
              <w:ind w:firstLine="200"/>
              <w:jc w:val="center"/>
              <w:rPr>
                <w:rFonts w:hint="eastAsia" w:ascii="仿宋" w:hAnsi="仿宋" w:eastAsia="仿宋" w:cs="仿宋"/>
                <w:sz w:val="24"/>
                <w:szCs w:val="24"/>
              </w:rPr>
            </w:pPr>
          </w:p>
        </w:tc>
        <w:tc>
          <w:tcPr>
            <w:tcW w:w="2552" w:type="dxa"/>
            <w:vAlign w:val="center"/>
          </w:tcPr>
          <w:p>
            <w:pPr>
              <w:pStyle w:val="317"/>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sz w:val="24"/>
                <w:szCs w:val="24"/>
              </w:rPr>
            </w:pPr>
          </w:p>
        </w:tc>
        <w:tc>
          <w:tcPr>
            <w:tcW w:w="3402" w:type="dxa"/>
            <w:vAlign w:val="center"/>
          </w:tcPr>
          <w:p>
            <w:pPr>
              <w:pStyle w:val="317"/>
              <w:spacing w:line="560" w:lineRule="exact"/>
              <w:ind w:firstLine="200"/>
              <w:jc w:val="center"/>
              <w:rPr>
                <w:rFonts w:hint="eastAsia" w:ascii="仿宋" w:hAnsi="仿宋" w:eastAsia="仿宋" w:cs="仿宋"/>
                <w:sz w:val="24"/>
                <w:szCs w:val="24"/>
              </w:rPr>
            </w:pPr>
          </w:p>
        </w:tc>
        <w:tc>
          <w:tcPr>
            <w:tcW w:w="2552" w:type="dxa"/>
            <w:vAlign w:val="center"/>
          </w:tcPr>
          <w:p>
            <w:pPr>
              <w:pStyle w:val="317"/>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17"/>
              <w:spacing w:line="560" w:lineRule="exact"/>
              <w:ind w:firstLine="200"/>
              <w:jc w:val="center"/>
              <w:rPr>
                <w:rFonts w:hint="eastAsia" w:ascii="仿宋" w:hAnsi="仿宋" w:eastAsia="仿宋" w:cs="仿宋"/>
                <w:sz w:val="24"/>
                <w:szCs w:val="24"/>
              </w:rPr>
            </w:pPr>
          </w:p>
        </w:tc>
        <w:tc>
          <w:tcPr>
            <w:tcW w:w="3402" w:type="dxa"/>
            <w:vAlign w:val="center"/>
          </w:tcPr>
          <w:p>
            <w:pPr>
              <w:pStyle w:val="317"/>
              <w:spacing w:line="560" w:lineRule="exact"/>
              <w:ind w:firstLine="200"/>
              <w:jc w:val="center"/>
              <w:rPr>
                <w:rFonts w:hint="eastAsia" w:ascii="仿宋" w:hAnsi="仿宋" w:eastAsia="仿宋" w:cs="仿宋"/>
                <w:sz w:val="24"/>
                <w:szCs w:val="24"/>
              </w:rPr>
            </w:pPr>
          </w:p>
        </w:tc>
        <w:tc>
          <w:tcPr>
            <w:tcW w:w="2552" w:type="dxa"/>
            <w:vAlign w:val="center"/>
          </w:tcPr>
          <w:p>
            <w:pPr>
              <w:pStyle w:val="317"/>
              <w:spacing w:line="560" w:lineRule="exact"/>
              <w:ind w:firstLine="20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17"/>
              <w:spacing w:line="560" w:lineRule="exact"/>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vAlign w:val="center"/>
          </w:tcPr>
          <w:p>
            <w:pPr>
              <w:pStyle w:val="317"/>
              <w:spacing w:line="560" w:lineRule="exact"/>
              <w:ind w:firstLine="200"/>
              <w:jc w:val="center"/>
              <w:rPr>
                <w:rFonts w:hint="eastAsia" w:ascii="仿宋" w:hAnsi="仿宋" w:eastAsia="仿宋" w:cs="仿宋"/>
                <w:sz w:val="24"/>
                <w:szCs w:val="24"/>
              </w:rPr>
            </w:pPr>
          </w:p>
        </w:tc>
      </w:tr>
    </w:tbl>
    <w:p>
      <w:pPr>
        <w:spacing w:line="560" w:lineRule="exact"/>
        <w:ind w:firstLine="482" w:firstLineChars="200"/>
        <w:outlineLvl w:val="0"/>
        <w:rPr>
          <w:rFonts w:hint="eastAsia" w:ascii="仿宋" w:hAnsi="仿宋" w:eastAsia="仿宋" w:cs="仿宋"/>
          <w:b/>
          <w:sz w:val="24"/>
        </w:rPr>
      </w:pPr>
      <w:bookmarkStart w:id="434" w:name="_Toc26916"/>
      <w:bookmarkStart w:id="435" w:name="_Toc14993"/>
      <w:bookmarkStart w:id="436" w:name="_Toc30506"/>
      <w:bookmarkStart w:id="437" w:name="_Toc3654"/>
      <w:bookmarkStart w:id="438" w:name="_Toc30158"/>
      <w:r>
        <w:rPr>
          <w:rFonts w:hint="eastAsia" w:ascii="仿宋" w:hAnsi="仿宋" w:eastAsia="仿宋" w:cs="仿宋"/>
          <w:b/>
          <w:sz w:val="24"/>
        </w:rPr>
        <w:t>1.4 付款方式和发票开具方式</w:t>
      </w:r>
      <w:bookmarkEnd w:id="434"/>
      <w:bookmarkEnd w:id="435"/>
      <w:bookmarkEnd w:id="436"/>
      <w:bookmarkEnd w:id="437"/>
      <w:bookmarkEnd w:id="438"/>
    </w:p>
    <w:p>
      <w:pPr>
        <w:pStyle w:val="957"/>
        <w:spacing w:before="0" w:beforeAutospacing="0" w:after="0" w:afterAutospacing="0" w:line="360" w:lineRule="auto"/>
        <w:ind w:firstLine="480"/>
        <w:rPr>
          <w:rFonts w:hint="eastAsia" w:ascii="仿宋" w:hAnsi="仿宋" w:eastAsia="仿宋" w:cs="仿宋"/>
        </w:rPr>
      </w:pPr>
      <w:r>
        <w:rPr>
          <w:rFonts w:hint="eastAsia" w:ascii="仿宋" w:hAnsi="仿宋" w:eastAsia="仿宋" w:cs="仿宋"/>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1.4.2 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1.4.4资金支付的方式、时间和条件详见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outlineLvl w:val="0"/>
        <w:rPr>
          <w:rFonts w:hint="eastAsia" w:ascii="仿宋" w:hAnsi="仿宋" w:eastAsia="仿宋" w:cs="仿宋"/>
          <w:sz w:val="24"/>
        </w:rPr>
      </w:pPr>
      <w:r>
        <w:rPr>
          <w:rFonts w:hint="eastAsia" w:ascii="仿宋" w:hAnsi="仿宋" w:eastAsia="仿宋" w:cs="仿宋"/>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hint="eastAsia" w:ascii="仿宋" w:hAnsi="仿宋" w:eastAsia="仿宋" w:cs="仿宋"/>
          <w:b/>
          <w:sz w:val="24"/>
        </w:rPr>
      </w:pPr>
      <w:bookmarkStart w:id="439" w:name="_Toc31421"/>
      <w:bookmarkStart w:id="440" w:name="_Toc4760"/>
      <w:bookmarkStart w:id="441" w:name="_Toc11108"/>
      <w:bookmarkStart w:id="442" w:name="_Toc3625"/>
      <w:bookmarkStart w:id="443" w:name="_Toc8772"/>
      <w:r>
        <w:rPr>
          <w:rFonts w:hint="eastAsia" w:ascii="仿宋" w:hAnsi="仿宋" w:eastAsia="仿宋" w:cs="仿宋"/>
          <w:b/>
          <w:sz w:val="24"/>
        </w:rPr>
        <w:t>1.5 履行期限、地点和方式</w:t>
      </w:r>
      <w:bookmarkEnd w:id="439"/>
      <w:bookmarkEnd w:id="440"/>
      <w:bookmarkEnd w:id="441"/>
      <w:bookmarkEnd w:id="442"/>
      <w:bookmarkEnd w:id="443"/>
    </w:p>
    <w:p>
      <w:pPr>
        <w:spacing w:line="560" w:lineRule="exact"/>
        <w:ind w:firstLine="480" w:firstLineChars="200"/>
        <w:rPr>
          <w:rFonts w:hint="eastAsia" w:ascii="仿宋" w:hAnsi="仿宋" w:eastAsia="仿宋" w:cs="仿宋"/>
          <w:sz w:val="24"/>
          <w:u w:val="single"/>
        </w:rPr>
      </w:pPr>
      <w:r>
        <w:rPr>
          <w:rFonts w:hint="eastAsia" w:ascii="仿宋" w:hAnsi="仿宋" w:eastAsia="仿宋" w:cs="仿宋"/>
          <w:sz w:val="24"/>
        </w:rPr>
        <w:t>1.5.1 履行期限：</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1.5.2 履行地点：</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1.5.3 履行方式：</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sz w:val="24"/>
          <w:u w:val="single"/>
        </w:rPr>
      </w:pPr>
      <w:bookmarkStart w:id="444" w:name="_Toc8586"/>
      <w:bookmarkStart w:id="445" w:name="_Toc2375"/>
      <w:bookmarkStart w:id="446" w:name="_Toc24662"/>
      <w:bookmarkStart w:id="447" w:name="_Toc5698"/>
      <w:bookmarkStart w:id="448" w:name="_Toc3079"/>
      <w:r>
        <w:rPr>
          <w:rFonts w:hint="eastAsia" w:ascii="仿宋" w:hAnsi="仿宋" w:eastAsia="仿宋" w:cs="仿宋"/>
          <w:b/>
          <w:sz w:val="24"/>
        </w:rPr>
        <w:t>1.6 违约责任</w:t>
      </w:r>
      <w:bookmarkEnd w:id="444"/>
      <w:bookmarkEnd w:id="445"/>
      <w:bookmarkEnd w:id="446"/>
      <w:bookmarkEnd w:id="447"/>
      <w:bookmarkEnd w:id="448"/>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1.6.1 除不可抗力外，如果乙方没有按照本合同约定的期限、地点和方式履行，那么甲方可要求乙方支付违约金，违约金按每迟延履行一日的应提供而未提供服务价格的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%；迟延履行的违约金计算数额达到前述最高限额之日起，甲方有权在要求乙方支付违约金的同时，书面通知乙方解除本合同；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20   </w:t>
      </w:r>
      <w:r>
        <w:rPr>
          <w:rFonts w:hint="eastAsia" w:ascii="仿宋" w:hAnsi="仿宋" w:eastAsia="仿宋" w:cs="仿宋"/>
          <w:sz w:val="24"/>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hint="eastAsia" w:ascii="仿宋" w:hAnsi="仿宋" w:eastAsia="仿宋" w:cs="仿宋"/>
        </w:rPr>
      </w:pPr>
      <w:r>
        <w:rPr>
          <w:rFonts w:hint="eastAsia" w:ascii="仿宋" w:hAnsi="仿宋" w:eastAsia="仿宋" w:cs="仿宋"/>
          <w:sz w:val="24"/>
        </w:rPr>
        <w:t>1.6.7违约责任</w:t>
      </w:r>
      <w:r>
        <w:rPr>
          <w:rFonts w:hint="eastAsia" w:ascii="仿宋" w:hAnsi="仿宋" w:eastAsia="仿宋" w:cs="仿宋"/>
          <w:b/>
          <w:i/>
          <w:sz w:val="24"/>
          <w:u w:val="single"/>
        </w:rPr>
        <w:t>合同专用条款</w:t>
      </w:r>
      <w:r>
        <w:rPr>
          <w:rFonts w:hint="eastAsia" w:ascii="仿宋" w:hAnsi="仿宋" w:eastAsia="仿宋" w:cs="仿宋"/>
          <w:sz w:val="24"/>
        </w:rPr>
        <w:t>另有约定的，从其约定。</w:t>
      </w:r>
    </w:p>
    <w:p>
      <w:pPr>
        <w:spacing w:line="560" w:lineRule="exact"/>
        <w:ind w:firstLine="482" w:firstLineChars="200"/>
        <w:outlineLvl w:val="0"/>
        <w:rPr>
          <w:rFonts w:hint="eastAsia" w:ascii="仿宋" w:hAnsi="仿宋" w:eastAsia="仿宋" w:cs="仿宋"/>
          <w:b/>
          <w:sz w:val="24"/>
        </w:rPr>
      </w:pPr>
      <w:bookmarkStart w:id="449" w:name="_Toc32454"/>
      <w:bookmarkStart w:id="450" w:name="_Toc30329"/>
      <w:bookmarkStart w:id="451" w:name="_Toc9497"/>
      <w:bookmarkStart w:id="452" w:name="_Toc26807"/>
      <w:bookmarkStart w:id="453" w:name="_Toc18683"/>
      <w:r>
        <w:rPr>
          <w:rFonts w:hint="eastAsia" w:ascii="仿宋" w:hAnsi="仿宋" w:eastAsia="仿宋" w:cs="仿宋"/>
          <w:b/>
          <w:sz w:val="24"/>
        </w:rPr>
        <w:t>1.7 合同争议的解决</w:t>
      </w:r>
      <w:bookmarkEnd w:id="449"/>
      <w:bookmarkEnd w:id="450"/>
      <w:bookmarkEnd w:id="451"/>
      <w:bookmarkEnd w:id="452"/>
      <w:bookmarkEnd w:id="453"/>
    </w:p>
    <w:p>
      <w:pPr>
        <w:spacing w:line="560" w:lineRule="exact"/>
        <w:ind w:left="-61" w:leftChars="-29" w:right="-420" w:rightChars="-200" w:firstLine="240" w:firstLineChars="100"/>
        <w:rPr>
          <w:rFonts w:hint="eastAsia" w:ascii="仿宋" w:hAnsi="仿宋" w:eastAsia="仿宋" w:cs="仿宋"/>
          <w:sz w:val="24"/>
        </w:rPr>
      </w:pPr>
      <w:r>
        <w:rPr>
          <w:rFonts w:hint="eastAsia" w:ascii="仿宋" w:hAnsi="仿宋" w:eastAsia="仿宋" w:cs="仿宋"/>
          <w:sz w:val="24"/>
        </w:rPr>
        <w:t>本合同履行过程中发生的任何争议，双方当事人均可通过和解或者调解解决；不愿和解、调解或者和解、调解不成的，可以选择以下第</w:t>
      </w:r>
      <w:r>
        <w:rPr>
          <w:rFonts w:hint="eastAsia" w:ascii="仿宋" w:hAnsi="仿宋" w:eastAsia="仿宋" w:cs="仿宋"/>
          <w:b/>
          <w:i/>
          <w:sz w:val="24"/>
          <w:u w:val="single"/>
        </w:rPr>
        <w:t xml:space="preserve"> 合同专用条款  </w:t>
      </w:r>
      <w:r>
        <w:rPr>
          <w:rFonts w:hint="eastAsia" w:ascii="仿宋" w:hAnsi="仿宋" w:eastAsia="仿宋" w:cs="仿宋"/>
          <w:sz w:val="24"/>
        </w:rPr>
        <w:t>条款规定的方式解决：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1.7.1 将争议提交</w:t>
      </w:r>
      <w:r>
        <w:rPr>
          <w:rFonts w:hint="eastAsia" w:ascii="仿宋" w:hAnsi="仿宋" w:eastAsia="仿宋" w:cs="仿宋"/>
          <w:b/>
          <w:i/>
          <w:sz w:val="24"/>
          <w:u w:val="single"/>
        </w:rPr>
        <w:t>合同专用条款</w:t>
      </w:r>
      <w:r>
        <w:rPr>
          <w:rFonts w:hint="eastAsia" w:ascii="仿宋" w:hAnsi="仿宋" w:eastAsia="仿宋" w:cs="仿宋"/>
          <w:sz w:val="24"/>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sz w:val="24"/>
        </w:rPr>
      </w:pPr>
      <w:r>
        <w:rPr>
          <w:rFonts w:hint="eastAsia" w:ascii="仿宋" w:hAnsi="仿宋" w:eastAsia="仿宋" w:cs="仿宋"/>
          <w:sz w:val="24"/>
        </w:rPr>
        <w:t>1.7.2 向</w:t>
      </w:r>
      <w:r>
        <w:rPr>
          <w:rFonts w:hint="eastAsia" w:ascii="仿宋" w:hAnsi="仿宋" w:eastAsia="仿宋" w:cs="仿宋"/>
          <w:b/>
          <w:i/>
          <w:sz w:val="24"/>
          <w:u w:val="single"/>
        </w:rPr>
        <w:t>合同专用条款</w:t>
      </w:r>
      <w:r>
        <w:rPr>
          <w:rFonts w:hint="eastAsia" w:ascii="仿宋" w:hAnsi="仿宋" w:eastAsia="仿宋" w:cs="仿宋"/>
          <w:sz w:val="24"/>
        </w:rPr>
        <w:t>人民法院起诉。</w:t>
      </w:r>
    </w:p>
    <w:p>
      <w:pPr>
        <w:spacing w:line="560" w:lineRule="exact"/>
        <w:ind w:firstLine="241" w:firstLineChars="100"/>
        <w:outlineLvl w:val="0"/>
        <w:rPr>
          <w:rFonts w:hint="eastAsia" w:ascii="仿宋" w:hAnsi="仿宋" w:eastAsia="仿宋" w:cs="仿宋"/>
          <w:b/>
          <w:sz w:val="24"/>
        </w:rPr>
      </w:pPr>
      <w:bookmarkStart w:id="454" w:name="_Toc15827"/>
      <w:bookmarkStart w:id="455" w:name="_Toc26227"/>
      <w:bookmarkStart w:id="456" w:name="_Toc12273"/>
      <w:bookmarkStart w:id="457" w:name="_Toc16417"/>
      <w:bookmarkStart w:id="458" w:name="_Toc23784"/>
      <w:r>
        <w:rPr>
          <w:rFonts w:hint="eastAsia" w:ascii="仿宋" w:hAnsi="仿宋" w:eastAsia="仿宋" w:cs="仿宋"/>
          <w:b/>
          <w:sz w:val="24"/>
        </w:rPr>
        <w:t>1.8 合同生效</w:t>
      </w:r>
      <w:bookmarkEnd w:id="454"/>
      <w:bookmarkEnd w:id="455"/>
      <w:bookmarkEnd w:id="456"/>
      <w:bookmarkEnd w:id="457"/>
      <w:bookmarkEnd w:id="458"/>
    </w:p>
    <w:p>
      <w:pPr>
        <w:spacing w:line="560" w:lineRule="exact"/>
        <w:ind w:firstLine="480" w:firstLineChars="200"/>
        <w:rPr>
          <w:rFonts w:hint="eastAsia" w:ascii="仿宋" w:hAnsi="仿宋" w:eastAsia="仿宋" w:cs="仿宋"/>
          <w:b/>
          <w:sz w:val="24"/>
        </w:rPr>
      </w:pPr>
      <w:r>
        <w:rPr>
          <w:rFonts w:hint="eastAsia" w:ascii="仿宋" w:hAnsi="仿宋" w:eastAsia="仿宋" w:cs="仿宋"/>
          <w:sz w:val="24"/>
        </w:rPr>
        <w:t>本合同自双方当事人盖章或者签字时生效。</w:t>
      </w:r>
    </w:p>
    <w:p>
      <w:pPr>
        <w:autoSpaceDE w:val="0"/>
        <w:autoSpaceDN w:val="0"/>
        <w:spacing w:line="560" w:lineRule="exact"/>
        <w:rPr>
          <w:rFonts w:hint="eastAsia" w:ascii="仿宋" w:hAnsi="仿宋" w:eastAsia="仿宋" w:cs="仿宋"/>
          <w:sz w:val="24"/>
          <w:lang w:val="zh-CN"/>
        </w:rPr>
      </w:pP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b/>
          <w:sz w:val="24"/>
          <w:lang w:val="zh-CN"/>
        </w:rPr>
        <w:t>甲方</w:t>
      </w:r>
      <w:r>
        <w:rPr>
          <w:rFonts w:hint="eastAsia" w:ascii="仿宋" w:hAnsi="仿宋" w:eastAsia="仿宋" w:cs="仿宋"/>
          <w:sz w:val="24"/>
          <w:lang w:val="zh-CN"/>
        </w:rPr>
        <w:t xml:space="preserve">：                             </w:t>
      </w:r>
      <w:r>
        <w:rPr>
          <w:rFonts w:hint="eastAsia" w:ascii="仿宋" w:hAnsi="仿宋" w:eastAsia="仿宋" w:cs="仿宋"/>
          <w:b/>
          <w:sz w:val="24"/>
          <w:lang w:val="zh-CN"/>
        </w:rPr>
        <w:t xml:space="preserve">      乙方</w:t>
      </w:r>
      <w:r>
        <w:rPr>
          <w:rFonts w:hint="eastAsia" w:ascii="仿宋" w:hAnsi="仿宋" w:eastAsia="仿宋" w:cs="仿宋"/>
          <w:sz w:val="24"/>
          <w:lang w:val="zh-CN"/>
        </w:rPr>
        <w:t>：</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pPr>
        <w:autoSpaceDE w:val="0"/>
        <w:autoSpaceDN w:val="0"/>
        <w:spacing w:line="560" w:lineRule="exact"/>
        <w:rPr>
          <w:rFonts w:hint="eastAsia" w:ascii="仿宋" w:hAnsi="仿宋" w:eastAsia="仿宋" w:cs="仿宋"/>
          <w:sz w:val="24"/>
          <w:lang w:val="zh-CN"/>
        </w:rPr>
      </w:pP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住所：                                   住所：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法定代表人或                             法定代表人或</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授权代表（签字）：                       授权代表（签字）: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联系人：                                 联系人：</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邮政编码：                               邮政编码：</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 xml:space="preserve">电话:                                    电话: </w:t>
      </w:r>
    </w:p>
    <w:p>
      <w:pPr>
        <w:autoSpaceDE w:val="0"/>
        <w:autoSpaceDN w:val="0"/>
        <w:spacing w:line="560" w:lineRule="exact"/>
        <w:rPr>
          <w:rFonts w:hint="eastAsia" w:ascii="仿宋" w:hAnsi="仿宋" w:eastAsia="仿宋" w:cs="仿宋"/>
          <w:sz w:val="24"/>
          <w:lang w:val="zh-CN"/>
        </w:rPr>
      </w:pPr>
      <w:r>
        <w:rPr>
          <w:rFonts w:hint="eastAsia" w:ascii="仿宋" w:hAnsi="仿宋" w:eastAsia="仿宋" w:cs="仿宋"/>
          <w:sz w:val="24"/>
          <w:lang w:val="zh-CN"/>
        </w:rPr>
        <w:t>传真:                                    传真:</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lang w:val="zh-CN"/>
        </w:rPr>
        <w:t>电子邮箱：                               电子邮箱：</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开户银行：                               开户银行：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 xml:space="preserve">开户名称：                               开户名称： </w:t>
      </w:r>
    </w:p>
    <w:p>
      <w:pPr>
        <w:autoSpaceDE w:val="0"/>
        <w:autoSpaceDN w:val="0"/>
        <w:spacing w:line="560" w:lineRule="exact"/>
        <w:rPr>
          <w:rFonts w:hint="eastAsia" w:ascii="仿宋" w:hAnsi="仿宋" w:eastAsia="仿宋" w:cs="仿宋"/>
          <w:sz w:val="24"/>
        </w:rPr>
      </w:pPr>
      <w:r>
        <w:rPr>
          <w:rFonts w:hint="eastAsia" w:ascii="仿宋" w:hAnsi="仿宋" w:eastAsia="仿宋" w:cs="仿宋"/>
          <w:sz w:val="24"/>
        </w:rPr>
        <w:t>开户账号：</w:t>
      </w:r>
      <w:r>
        <w:rPr>
          <w:rFonts w:hint="eastAsia" w:ascii="仿宋" w:hAnsi="仿宋" w:eastAsia="仿宋" w:cs="仿宋"/>
          <w:sz w:val="24"/>
          <w:lang w:val="zh-CN"/>
        </w:rPr>
        <w:t xml:space="preserve">                               </w:t>
      </w:r>
      <w:r>
        <w:rPr>
          <w:rFonts w:hint="eastAsia" w:ascii="仿宋" w:hAnsi="仿宋" w:eastAsia="仿宋" w:cs="仿宋"/>
          <w:sz w:val="24"/>
        </w:rPr>
        <w:t>开户账号：</w:t>
      </w:r>
    </w:p>
    <w:p>
      <w:pPr>
        <w:widowControl/>
        <w:spacing w:line="560" w:lineRule="exact"/>
        <w:jc w:val="left"/>
        <w:rPr>
          <w:rFonts w:hint="eastAsia" w:ascii="仿宋" w:hAnsi="仿宋" w:eastAsia="仿宋" w:cs="仿宋"/>
          <w:b/>
          <w:sz w:val="24"/>
        </w:rPr>
      </w:pPr>
    </w:p>
    <w:p>
      <w:pPr>
        <w:pStyle w:val="699"/>
        <w:spacing w:line="560" w:lineRule="exact"/>
        <w:ind w:firstLine="482"/>
        <w:jc w:val="center"/>
        <w:rPr>
          <w:rFonts w:hint="eastAsia" w:ascii="仿宋" w:hAnsi="仿宋" w:eastAsia="仿宋" w:cs="仿宋"/>
          <w:b/>
          <w:szCs w:val="24"/>
        </w:rPr>
      </w:pPr>
      <w:r>
        <w:rPr>
          <w:rFonts w:hint="eastAsia" w:ascii="仿宋" w:hAnsi="仿宋" w:eastAsia="仿宋" w:cs="仿宋"/>
          <w:b/>
          <w:szCs w:val="24"/>
        </w:rPr>
        <w:t>第二部分 合同一般条款</w:t>
      </w:r>
    </w:p>
    <w:p>
      <w:pPr>
        <w:spacing w:line="560" w:lineRule="exact"/>
        <w:ind w:firstLine="482" w:firstLineChars="200"/>
        <w:outlineLvl w:val="0"/>
        <w:rPr>
          <w:rFonts w:hint="eastAsia" w:ascii="仿宋" w:hAnsi="仿宋" w:eastAsia="仿宋" w:cs="仿宋"/>
          <w:b/>
          <w:sz w:val="24"/>
        </w:rPr>
      </w:pPr>
      <w:bookmarkStart w:id="459" w:name="_Toc19680"/>
      <w:bookmarkStart w:id="460" w:name="_Toc5228"/>
      <w:bookmarkStart w:id="461" w:name="_Toc31297"/>
      <w:bookmarkStart w:id="462" w:name="_Toc14021"/>
      <w:bookmarkStart w:id="463" w:name="_Toc25079"/>
      <w:r>
        <w:rPr>
          <w:rFonts w:hint="eastAsia" w:ascii="仿宋" w:hAnsi="仿宋" w:eastAsia="仿宋" w:cs="仿宋"/>
          <w:b/>
          <w:sz w:val="24"/>
        </w:rPr>
        <w:t>2.1 定义</w:t>
      </w:r>
      <w:bookmarkEnd w:id="459"/>
      <w:bookmarkEnd w:id="460"/>
      <w:bookmarkEnd w:id="461"/>
      <w:bookmarkEnd w:id="462"/>
      <w:bookmarkEnd w:id="46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 “甲方”系指与中标供应商签署合同的采购人；采购人委托采购代理机构代表其与乙方签订合同的，采购人的授权委托书作为合同附件。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2.1.6 “现场”系指合同约定提供服务的地点。</w:t>
      </w:r>
    </w:p>
    <w:p>
      <w:pPr>
        <w:spacing w:line="560" w:lineRule="exact"/>
        <w:ind w:firstLine="482" w:firstLineChars="200"/>
        <w:outlineLvl w:val="0"/>
        <w:rPr>
          <w:rFonts w:hint="eastAsia" w:ascii="仿宋" w:hAnsi="仿宋" w:eastAsia="仿宋" w:cs="仿宋"/>
          <w:b/>
          <w:sz w:val="24"/>
        </w:rPr>
      </w:pPr>
      <w:bookmarkStart w:id="464" w:name="_Toc3769"/>
      <w:bookmarkStart w:id="465" w:name="_Toc16752"/>
      <w:bookmarkStart w:id="466" w:name="_Toc19539"/>
      <w:bookmarkStart w:id="467" w:name="_Toc31402"/>
      <w:bookmarkStart w:id="468" w:name="_Toc23289"/>
      <w:r>
        <w:rPr>
          <w:rFonts w:hint="eastAsia" w:ascii="仿宋" w:hAnsi="仿宋" w:eastAsia="仿宋" w:cs="仿宋"/>
          <w:b/>
          <w:sz w:val="24"/>
        </w:rPr>
        <w:t>2.2 技术规范</w:t>
      </w:r>
      <w:bookmarkEnd w:id="464"/>
      <w:bookmarkEnd w:id="465"/>
      <w:bookmarkEnd w:id="466"/>
      <w:bookmarkEnd w:id="467"/>
      <w:bookmarkEnd w:id="468"/>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sz w:val="24"/>
        </w:rPr>
      </w:pPr>
      <w:bookmarkStart w:id="469" w:name="_Toc13673"/>
      <w:bookmarkStart w:id="470" w:name="_Toc4133"/>
      <w:bookmarkStart w:id="471" w:name="_Toc12412"/>
      <w:bookmarkStart w:id="472" w:name="_Toc27945"/>
      <w:bookmarkStart w:id="473" w:name="_Toc9161"/>
      <w:r>
        <w:rPr>
          <w:rFonts w:hint="eastAsia" w:ascii="仿宋" w:hAnsi="仿宋" w:eastAsia="仿宋" w:cs="仿宋"/>
          <w:b/>
          <w:sz w:val="24"/>
        </w:rPr>
        <w:t>2.3 知识产权</w:t>
      </w:r>
      <w:bookmarkEnd w:id="469"/>
      <w:bookmarkEnd w:id="470"/>
      <w:bookmarkEnd w:id="471"/>
      <w:bookmarkEnd w:id="472"/>
      <w:bookmarkEnd w:id="47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2.3.2 合同涉及技术成果的归属和收益的分成办法的，详见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2.4 履约检查和问题反馈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hint="eastAsia" w:ascii="仿宋" w:hAnsi="仿宋" w:eastAsia="仿宋" w:cs="仿宋"/>
          <w:b/>
          <w:sz w:val="24"/>
        </w:rPr>
      </w:pPr>
      <w:bookmarkStart w:id="474" w:name="_Toc22011"/>
      <w:bookmarkStart w:id="475" w:name="_Toc26555"/>
      <w:bookmarkStart w:id="476" w:name="_Toc31233"/>
      <w:bookmarkStart w:id="477" w:name="_Toc32670"/>
      <w:bookmarkStart w:id="478" w:name="_Toc15447"/>
      <w:r>
        <w:rPr>
          <w:rFonts w:hint="eastAsia" w:ascii="仿宋" w:hAnsi="仿宋" w:eastAsia="仿宋" w:cs="仿宋"/>
          <w:b/>
          <w:sz w:val="24"/>
        </w:rPr>
        <w:t>2.5 结算方式和付款条件</w:t>
      </w:r>
      <w:bookmarkEnd w:id="474"/>
      <w:bookmarkEnd w:id="475"/>
      <w:bookmarkEnd w:id="476"/>
      <w:bookmarkEnd w:id="477"/>
      <w:bookmarkEnd w:id="478"/>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详见</w:t>
      </w:r>
      <w:r>
        <w:rPr>
          <w:rFonts w:hint="eastAsia" w:ascii="仿宋" w:hAnsi="仿宋" w:eastAsia="仿宋" w:cs="仿宋"/>
          <w:b/>
          <w:i/>
          <w:sz w:val="24"/>
          <w:u w:val="single"/>
        </w:rPr>
        <w:t>合同专用条款</w:t>
      </w:r>
      <w:r>
        <w:rPr>
          <w:rFonts w:hint="eastAsia" w:ascii="仿宋" w:hAnsi="仿宋" w:eastAsia="仿宋" w:cs="仿宋"/>
          <w:sz w:val="24"/>
        </w:rPr>
        <w:t>。</w:t>
      </w:r>
    </w:p>
    <w:p>
      <w:pPr>
        <w:spacing w:line="560" w:lineRule="exact"/>
        <w:ind w:firstLine="482" w:firstLineChars="200"/>
        <w:outlineLvl w:val="0"/>
        <w:rPr>
          <w:rFonts w:hint="eastAsia" w:ascii="仿宋" w:hAnsi="仿宋" w:eastAsia="仿宋" w:cs="仿宋"/>
          <w:b/>
          <w:sz w:val="24"/>
        </w:rPr>
      </w:pPr>
      <w:bookmarkStart w:id="479" w:name="_Toc13467"/>
      <w:bookmarkStart w:id="480" w:name="_Toc30507"/>
      <w:bookmarkStart w:id="481" w:name="_Toc16163"/>
      <w:bookmarkStart w:id="482" w:name="_Toc18990"/>
      <w:bookmarkStart w:id="483" w:name="_Toc13154"/>
      <w:r>
        <w:rPr>
          <w:rFonts w:hint="eastAsia" w:ascii="仿宋" w:hAnsi="仿宋" w:eastAsia="仿宋" w:cs="仿宋"/>
          <w:b/>
          <w:sz w:val="24"/>
        </w:rPr>
        <w:t>2.6 技术资料和保密义务</w:t>
      </w:r>
      <w:bookmarkEnd w:id="479"/>
      <w:bookmarkEnd w:id="480"/>
      <w:bookmarkEnd w:id="481"/>
      <w:bookmarkEnd w:id="482"/>
      <w:bookmarkEnd w:id="483"/>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2.6.2 乙方有义务妥善保管和保护由甲方提供的前款信息和资料等；</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sz w:val="24"/>
        </w:rPr>
      </w:pPr>
      <w:bookmarkStart w:id="484" w:name="_Toc19069"/>
      <w:r>
        <w:rPr>
          <w:rFonts w:hint="eastAsia" w:ascii="仿宋" w:hAnsi="仿宋" w:eastAsia="仿宋" w:cs="仿宋"/>
          <w:b/>
          <w:sz w:val="24"/>
        </w:rPr>
        <w:t>2.7 质量保证</w:t>
      </w:r>
      <w:bookmarkEnd w:id="48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sz w:val="24"/>
        </w:rPr>
      </w:pPr>
      <w:bookmarkStart w:id="485" w:name="_Toc22267"/>
      <w:r>
        <w:rPr>
          <w:rFonts w:hint="eastAsia" w:ascii="仿宋" w:hAnsi="仿宋" w:eastAsia="仿宋" w:cs="仿宋"/>
          <w:b/>
          <w:sz w:val="24"/>
        </w:rPr>
        <w:t>2.8 延迟履行</w:t>
      </w:r>
      <w:bookmarkEnd w:id="485"/>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hint="eastAsia" w:ascii="仿宋" w:hAnsi="仿宋" w:eastAsia="仿宋" w:cs="仿宋"/>
          <w:b/>
          <w:sz w:val="24"/>
        </w:rPr>
      </w:pPr>
      <w:bookmarkStart w:id="486" w:name="_Toc10611"/>
      <w:r>
        <w:rPr>
          <w:rFonts w:hint="eastAsia" w:ascii="仿宋" w:hAnsi="仿宋" w:eastAsia="仿宋" w:cs="仿宋"/>
          <w:b/>
          <w:sz w:val="24"/>
        </w:rPr>
        <w:t>2.9 合同变更</w:t>
      </w:r>
      <w:bookmarkEnd w:id="486"/>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487" w:name="_Toc10663"/>
      <w:bookmarkStart w:id="488" w:name="_Toc42"/>
      <w:bookmarkStart w:id="489" w:name="_Toc23368"/>
      <w:bookmarkStart w:id="490" w:name="_Toc21830"/>
      <w:bookmarkStart w:id="491" w:name="_Toc26689"/>
      <w:r>
        <w:rPr>
          <w:rFonts w:hint="eastAsia" w:ascii="仿宋" w:hAnsi="仿宋" w:eastAsia="仿宋" w:cs="仿宋"/>
          <w:b/>
          <w:sz w:val="24"/>
        </w:rPr>
        <w:t>2.10 合同转让和分包</w:t>
      </w:r>
      <w:bookmarkEnd w:id="487"/>
      <w:bookmarkEnd w:id="488"/>
      <w:bookmarkEnd w:id="489"/>
      <w:bookmarkEnd w:id="490"/>
      <w:bookmarkEnd w:id="49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sz w:val="24"/>
        </w:rPr>
      </w:pPr>
      <w:bookmarkStart w:id="492" w:name="_Toc25571"/>
      <w:bookmarkStart w:id="493" w:name="_Toc14371"/>
      <w:bookmarkStart w:id="494" w:name="_Toc4720"/>
      <w:bookmarkStart w:id="495" w:name="_Toc26633"/>
      <w:bookmarkStart w:id="496" w:name="_Toc32494"/>
      <w:r>
        <w:rPr>
          <w:rFonts w:hint="eastAsia" w:ascii="仿宋" w:hAnsi="仿宋" w:eastAsia="仿宋" w:cs="仿宋"/>
          <w:b/>
          <w:sz w:val="24"/>
        </w:rPr>
        <w:t>2.11 不可抗力</w:t>
      </w:r>
      <w:bookmarkEnd w:id="492"/>
      <w:bookmarkEnd w:id="493"/>
      <w:bookmarkEnd w:id="494"/>
      <w:bookmarkEnd w:id="495"/>
      <w:bookmarkEnd w:id="496"/>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2.11.2 因不可抗力致使不能实现合同目的的，当事人可以解除合同；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2.11.3 因不可抗力致使合同有变更必要的，双方当事人应在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约定时间内以书面形式变更合同；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2.11.4受不可抗力影响的一方在不可抗力发生后，应在</w:t>
      </w:r>
      <w:r>
        <w:rPr>
          <w:rFonts w:hint="eastAsia" w:ascii="仿宋" w:hAnsi="仿宋" w:eastAsia="仿宋" w:cs="仿宋"/>
          <w:b/>
          <w:i/>
          <w:sz w:val="24"/>
          <w:u w:val="single"/>
        </w:rPr>
        <w:t>合同专用条款</w:t>
      </w:r>
      <w:r>
        <w:rPr>
          <w:rFonts w:hint="eastAsia" w:ascii="仿宋" w:hAnsi="仿宋" w:eastAsia="仿宋" w:cs="仿宋"/>
          <w:sz w:val="24"/>
        </w:rPr>
        <w:t>约定时间内以书面形式通知对方当事人，并在</w:t>
      </w:r>
      <w:r>
        <w:rPr>
          <w:rFonts w:hint="eastAsia" w:ascii="仿宋" w:hAnsi="仿宋" w:eastAsia="仿宋" w:cs="仿宋"/>
          <w:b/>
          <w:i/>
          <w:sz w:val="24"/>
          <w:u w:val="single"/>
        </w:rPr>
        <w:t>合同专用条款</w:t>
      </w:r>
      <w:r>
        <w:rPr>
          <w:rFonts w:hint="eastAsia" w:ascii="仿宋" w:hAnsi="仿宋" w:eastAsia="仿宋" w:cs="仿宋"/>
          <w:sz w:val="24"/>
        </w:rPr>
        <w:t>约定时间内，将有关部门出具的证明文件送达对方当事人。</w:t>
      </w:r>
    </w:p>
    <w:p>
      <w:pPr>
        <w:spacing w:line="560" w:lineRule="exact"/>
        <w:ind w:firstLine="482" w:firstLineChars="200"/>
        <w:outlineLvl w:val="0"/>
        <w:rPr>
          <w:rFonts w:hint="eastAsia" w:ascii="仿宋" w:hAnsi="仿宋" w:eastAsia="仿宋" w:cs="仿宋"/>
          <w:b/>
          <w:sz w:val="24"/>
        </w:rPr>
      </w:pPr>
      <w:bookmarkStart w:id="497" w:name="_Toc14115"/>
      <w:bookmarkStart w:id="498" w:name="_Toc25783"/>
      <w:bookmarkStart w:id="499" w:name="_Toc23854"/>
      <w:bookmarkStart w:id="500" w:name="_Toc3638"/>
      <w:bookmarkStart w:id="501" w:name="_Toc24465"/>
      <w:r>
        <w:rPr>
          <w:rFonts w:hint="eastAsia" w:ascii="仿宋" w:hAnsi="仿宋" w:eastAsia="仿宋" w:cs="仿宋"/>
          <w:b/>
          <w:sz w:val="24"/>
        </w:rPr>
        <w:t>2.12 税费</w:t>
      </w:r>
      <w:bookmarkEnd w:id="497"/>
      <w:bookmarkEnd w:id="498"/>
      <w:bookmarkEnd w:id="499"/>
      <w:bookmarkEnd w:id="500"/>
      <w:bookmarkEnd w:id="501"/>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与合同有关的一切税费，均按照中华人民共和国法律的相关规定缴纳。</w:t>
      </w:r>
    </w:p>
    <w:p>
      <w:pPr>
        <w:spacing w:line="560" w:lineRule="exact"/>
        <w:ind w:firstLine="482" w:firstLineChars="200"/>
        <w:outlineLvl w:val="0"/>
        <w:rPr>
          <w:rFonts w:hint="eastAsia" w:ascii="仿宋" w:hAnsi="仿宋" w:eastAsia="仿宋" w:cs="仿宋"/>
          <w:b/>
          <w:sz w:val="24"/>
        </w:rPr>
      </w:pPr>
      <w:bookmarkStart w:id="502" w:name="_Toc25525"/>
      <w:bookmarkStart w:id="503" w:name="_Toc7315"/>
      <w:bookmarkStart w:id="504" w:name="_Toc30105"/>
      <w:bookmarkStart w:id="505" w:name="_Toc26883"/>
      <w:bookmarkStart w:id="506" w:name="_Toc14814"/>
      <w:r>
        <w:rPr>
          <w:rFonts w:hint="eastAsia" w:ascii="仿宋" w:hAnsi="仿宋" w:eastAsia="仿宋" w:cs="仿宋"/>
          <w:b/>
          <w:sz w:val="24"/>
        </w:rPr>
        <w:t>2.13 乙方破产</w:t>
      </w:r>
      <w:bookmarkEnd w:id="502"/>
      <w:bookmarkEnd w:id="503"/>
      <w:bookmarkEnd w:id="504"/>
      <w:bookmarkEnd w:id="505"/>
      <w:bookmarkEnd w:id="506"/>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sz w:val="24"/>
        </w:rPr>
      </w:pPr>
      <w:bookmarkStart w:id="507" w:name="_Toc1123"/>
      <w:bookmarkStart w:id="508" w:name="_Toc23323"/>
      <w:bookmarkStart w:id="509" w:name="_Toc2016"/>
      <w:r>
        <w:rPr>
          <w:rFonts w:hint="eastAsia" w:ascii="仿宋" w:hAnsi="仿宋" w:eastAsia="仿宋" w:cs="仿宋"/>
          <w:b/>
          <w:sz w:val="24"/>
        </w:rPr>
        <w:t>2.14 合同中止、终止</w:t>
      </w:r>
      <w:bookmarkEnd w:id="507"/>
      <w:bookmarkEnd w:id="508"/>
      <w:bookmarkEnd w:id="509"/>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2.14.1 双方当事人不得擅自中止或者终止合同；</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sz w:val="24"/>
        </w:rPr>
      </w:pPr>
      <w:bookmarkStart w:id="510" w:name="_Toc14525"/>
      <w:bookmarkStart w:id="511" w:name="_Toc1969"/>
      <w:bookmarkStart w:id="512" w:name="_Toc17363"/>
      <w:r>
        <w:rPr>
          <w:rFonts w:hint="eastAsia" w:ascii="仿宋" w:hAnsi="仿宋" w:eastAsia="仿宋" w:cs="仿宋"/>
          <w:b/>
          <w:sz w:val="24"/>
        </w:rPr>
        <w:t>2.15 检验和验收</w:t>
      </w:r>
      <w:bookmarkEnd w:id="510"/>
      <w:bookmarkEnd w:id="511"/>
      <w:bookmarkEnd w:id="512"/>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2.15.1 乙方按照</w:t>
      </w:r>
      <w:r>
        <w:rPr>
          <w:rFonts w:hint="eastAsia" w:ascii="仿宋" w:hAnsi="仿宋" w:eastAsia="仿宋" w:cs="仿宋"/>
          <w:b/>
          <w:i/>
          <w:sz w:val="24"/>
          <w:u w:val="single"/>
        </w:rPr>
        <w:t>合同专用条款</w:t>
      </w:r>
      <w:r>
        <w:rPr>
          <w:rFonts w:hint="eastAsia" w:ascii="仿宋" w:hAnsi="仿宋" w:eastAsia="仿宋" w:cs="仿宋"/>
          <w:sz w:val="24"/>
        </w:rPr>
        <w:t>的约定，定期提交服务报告，甲方按照</w:t>
      </w:r>
      <w:r>
        <w:rPr>
          <w:rFonts w:hint="eastAsia" w:ascii="仿宋" w:hAnsi="仿宋" w:eastAsia="仿宋" w:cs="仿宋"/>
          <w:b/>
          <w:i/>
          <w:sz w:val="24"/>
          <w:u w:val="single"/>
        </w:rPr>
        <w:t>合同专用条款</w:t>
      </w:r>
      <w:r>
        <w:rPr>
          <w:rFonts w:hint="eastAsia" w:ascii="仿宋" w:hAnsi="仿宋" w:eastAsia="仿宋" w:cs="仿宋"/>
          <w:sz w:val="24"/>
        </w:rPr>
        <w:t>的约定进行定期验收；</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hint="eastAsia" w:ascii="仿宋" w:hAnsi="仿宋" w:eastAsia="仿宋" w:cs="仿宋"/>
          <w:sz w:val="24"/>
        </w:rPr>
      </w:pPr>
      <w:r>
        <w:rPr>
          <w:rFonts w:hint="eastAsia" w:ascii="仿宋" w:hAnsi="仿宋" w:eastAsia="仿宋" w:cs="仿宋"/>
          <w:sz w:val="24"/>
        </w:rPr>
        <w:t>2.15.3 检验和验收标准、程序等具体内容以及前述验收书的效力详见</w:t>
      </w:r>
      <w:r>
        <w:rPr>
          <w:rFonts w:hint="eastAsia" w:ascii="仿宋" w:hAnsi="仿宋" w:eastAsia="仿宋" w:cs="仿宋"/>
          <w:b/>
          <w:i/>
          <w:sz w:val="24"/>
          <w:u w:val="single"/>
        </w:rPr>
        <w:t>合同专用条款</w:t>
      </w:r>
      <w:r>
        <w:rPr>
          <w:rFonts w:hint="eastAsia" w:ascii="仿宋" w:hAnsi="仿宋" w:eastAsia="仿宋" w:cs="仿宋"/>
          <w:i/>
          <w:sz w:val="24"/>
        </w:rPr>
        <w:t>。</w:t>
      </w:r>
    </w:p>
    <w:p>
      <w:pPr>
        <w:spacing w:line="560" w:lineRule="exact"/>
        <w:ind w:firstLine="482" w:firstLineChars="200"/>
        <w:outlineLvl w:val="0"/>
        <w:rPr>
          <w:rFonts w:hint="eastAsia" w:ascii="仿宋" w:hAnsi="仿宋" w:eastAsia="仿宋" w:cs="仿宋"/>
          <w:b/>
          <w:sz w:val="24"/>
        </w:rPr>
      </w:pPr>
      <w:bookmarkStart w:id="513" w:name="_Toc2308"/>
      <w:bookmarkStart w:id="514" w:name="_Toc9808"/>
      <w:bookmarkStart w:id="515" w:name="_Toc31892"/>
      <w:bookmarkStart w:id="516" w:name="_Toc25198"/>
      <w:bookmarkStart w:id="517" w:name="_Toc12666"/>
      <w:r>
        <w:rPr>
          <w:rFonts w:hint="eastAsia" w:ascii="仿宋" w:hAnsi="仿宋" w:eastAsia="仿宋" w:cs="仿宋"/>
          <w:b/>
          <w:sz w:val="24"/>
        </w:rPr>
        <w:t>2.16 通知和送达</w:t>
      </w:r>
      <w:bookmarkEnd w:id="513"/>
      <w:bookmarkEnd w:id="514"/>
      <w:bookmarkEnd w:id="515"/>
      <w:bookmarkEnd w:id="516"/>
      <w:bookmarkEnd w:id="517"/>
    </w:p>
    <w:p>
      <w:pPr>
        <w:spacing w:line="560" w:lineRule="exact"/>
        <w:ind w:firstLine="480" w:firstLineChars="200"/>
        <w:rPr>
          <w:rFonts w:hint="eastAsia" w:ascii="仿宋" w:hAnsi="仿宋" w:eastAsia="仿宋" w:cs="仿宋"/>
          <w:sz w:val="24"/>
        </w:rPr>
      </w:pPr>
      <w:bookmarkStart w:id="518" w:name="_Toc18401"/>
      <w:bookmarkStart w:id="519" w:name="_Toc27674"/>
      <w:r>
        <w:rPr>
          <w:rFonts w:hint="eastAsia" w:ascii="仿宋" w:hAnsi="仿宋" w:eastAsia="仿宋" w:cs="仿宋"/>
          <w:sz w:val="24"/>
        </w:rPr>
        <w:t xml:space="preserve">2.17.1任何一方因履行合同而以合同第一部分尾部所列明的传真或电子邮件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18"/>
      <w:bookmarkEnd w:id="519"/>
    </w:p>
    <w:p>
      <w:pPr>
        <w:spacing w:line="560" w:lineRule="exact"/>
        <w:ind w:firstLine="482" w:firstLineChars="200"/>
        <w:outlineLvl w:val="0"/>
        <w:rPr>
          <w:rFonts w:hint="eastAsia" w:ascii="仿宋" w:hAnsi="仿宋" w:eastAsia="仿宋" w:cs="仿宋"/>
          <w:b/>
          <w:sz w:val="24"/>
        </w:rPr>
      </w:pPr>
      <w:bookmarkStart w:id="520" w:name="_Toc20808"/>
      <w:bookmarkStart w:id="521" w:name="_Toc5063"/>
      <w:bookmarkStart w:id="522" w:name="_Toc12254"/>
      <w:bookmarkStart w:id="523" w:name="_Toc28906"/>
      <w:bookmarkStart w:id="524" w:name="_Toc27644"/>
      <w:r>
        <w:rPr>
          <w:rFonts w:hint="eastAsia" w:ascii="仿宋" w:hAnsi="仿宋" w:eastAsia="仿宋" w:cs="仿宋"/>
          <w:b/>
          <w:sz w:val="24"/>
        </w:rPr>
        <w:t>2.17 合同使用的文字和适用的法律</w:t>
      </w:r>
      <w:bookmarkEnd w:id="520"/>
      <w:bookmarkEnd w:id="521"/>
      <w:bookmarkEnd w:id="522"/>
      <w:bookmarkEnd w:id="523"/>
      <w:bookmarkEnd w:id="524"/>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2.17.1 合同使用汉语书就、变更和解释；</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2.17.2 合同适用中华人民共和国法律。</w:t>
      </w:r>
    </w:p>
    <w:p>
      <w:pPr>
        <w:spacing w:line="560" w:lineRule="exact"/>
        <w:ind w:firstLine="482" w:firstLineChars="200"/>
        <w:outlineLvl w:val="0"/>
        <w:rPr>
          <w:rFonts w:hint="eastAsia" w:ascii="仿宋" w:hAnsi="仿宋" w:eastAsia="仿宋" w:cs="仿宋"/>
          <w:b/>
          <w:sz w:val="24"/>
        </w:rPr>
      </w:pPr>
      <w:bookmarkStart w:id="525" w:name="_Toc27127"/>
      <w:bookmarkStart w:id="526" w:name="_Toc22266"/>
      <w:bookmarkStart w:id="527" w:name="_Toc27403"/>
      <w:bookmarkStart w:id="528" w:name="_Toc1492"/>
      <w:bookmarkStart w:id="529" w:name="_Toc30096"/>
      <w:r>
        <w:rPr>
          <w:rFonts w:hint="eastAsia" w:ascii="仿宋" w:hAnsi="仿宋" w:eastAsia="仿宋" w:cs="仿宋"/>
          <w:b/>
          <w:sz w:val="24"/>
        </w:rPr>
        <w:t>2.18 履约保证金</w:t>
      </w:r>
      <w:bookmarkEnd w:id="525"/>
      <w:bookmarkEnd w:id="526"/>
      <w:bookmarkEnd w:id="527"/>
      <w:bookmarkEnd w:id="528"/>
      <w:bookmarkEnd w:id="529"/>
    </w:p>
    <w:p>
      <w:pPr>
        <w:pStyle w:val="957"/>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rPr>
        <w:t>2.18.1 采购文件要求乙方提交履约保证金的，乙方应按</w:t>
      </w:r>
      <w:r>
        <w:rPr>
          <w:rFonts w:hint="eastAsia" w:ascii="仿宋" w:hAnsi="仿宋" w:eastAsia="仿宋" w:cs="仿宋"/>
          <w:b/>
          <w:i/>
          <w:u w:val="single"/>
        </w:rPr>
        <w:t>合同专用条款</w:t>
      </w:r>
      <w:r>
        <w:rPr>
          <w:rFonts w:hint="eastAsia" w:ascii="仿宋" w:hAnsi="仿宋" w:eastAsia="仿宋" w:cs="仿宋"/>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2.18.2  甲方在项目验收结束后及时退还履约保证金。甲方在项目通过验收之日起</w:t>
      </w:r>
      <w:r>
        <w:rPr>
          <w:rFonts w:hint="eastAsia" w:ascii="仿宋" w:hAnsi="仿宋" w:eastAsia="仿宋" w:cs="仿宋"/>
          <w:sz w:val="24"/>
          <w:u w:val="single"/>
        </w:rPr>
        <w:t xml:space="preserve"> 5 </w:t>
      </w:r>
      <w:r>
        <w:rPr>
          <w:rFonts w:hint="eastAsia" w:ascii="仿宋" w:hAnsi="仿宋" w:eastAsia="仿宋" w:cs="仿宋"/>
          <w:sz w:val="24"/>
        </w:rPr>
        <w:t>个工作日内，按</w:t>
      </w:r>
      <w:r>
        <w:rPr>
          <w:rFonts w:hint="eastAsia" w:ascii="仿宋" w:hAnsi="仿宋" w:eastAsia="仿宋" w:cs="仿宋"/>
          <w:b/>
          <w:i/>
          <w:sz w:val="24"/>
          <w:u w:val="single"/>
        </w:rPr>
        <w:t>合同专用条款</w:t>
      </w:r>
      <w:r>
        <w:rPr>
          <w:rFonts w:hint="eastAsia" w:ascii="仿宋" w:hAnsi="仿宋" w:eastAsia="仿宋" w:cs="仿宋"/>
          <w:sz w:val="24"/>
        </w:rPr>
        <w:t>约定的方式将履约保证金退还乙方，逾期退还的，乙方可要求甲方支付违约金，违约金按每迟延退还一日的应退还而未退还金额的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%计算，最高限额为本合同履约保证金的</w:t>
      </w:r>
      <w:r>
        <w:rPr>
          <w:rFonts w:hint="eastAsia" w:ascii="仿宋" w:hAnsi="仿宋" w:eastAsia="仿宋" w:cs="仿宋"/>
          <w:sz w:val="24"/>
          <w:u w:val="single"/>
        </w:rPr>
        <w:t xml:space="preserve">  20   </w:t>
      </w:r>
      <w:r>
        <w:rPr>
          <w:rFonts w:hint="eastAsia" w:ascii="仿宋" w:hAnsi="仿宋" w:eastAsia="仿宋" w:cs="仿宋"/>
          <w:sz w:val="24"/>
        </w:rPr>
        <w:t xml:space="preserve">%；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2.18.4 甲方根据杭州市政府采购网公布的供应商履约评价情况减免履约保证金。乙方履约验收评价总分为100分的，甲方免收履约保证金。</w:t>
      </w:r>
    </w:p>
    <w:p>
      <w:pPr>
        <w:spacing w:line="560" w:lineRule="exact"/>
        <w:ind w:firstLine="480" w:firstLineChars="200"/>
        <w:rPr>
          <w:rFonts w:hint="eastAsia" w:ascii="仿宋" w:hAnsi="仿宋" w:eastAsia="仿宋" w:cs="仿宋"/>
        </w:rPr>
      </w:pPr>
      <w:r>
        <w:rPr>
          <w:rFonts w:hint="eastAsia" w:ascii="仿宋" w:hAnsi="仿宋" w:eastAsia="仿宋" w:cs="仿宋"/>
          <w:sz w:val="24"/>
        </w:rPr>
        <w:t>2.18.5甲方在乙方履行完合同约定义务事项后及时退还，延迟退还的，应当按照合同约定和法律规定承担相应的赔偿责任。</w:t>
      </w:r>
    </w:p>
    <w:p>
      <w:pPr>
        <w:spacing w:line="560" w:lineRule="exact"/>
        <w:ind w:firstLine="482" w:firstLineChars="200"/>
        <w:rPr>
          <w:rFonts w:hint="eastAsia" w:ascii="仿宋" w:hAnsi="仿宋" w:eastAsia="仿宋" w:cs="仿宋"/>
          <w:sz w:val="24"/>
        </w:rPr>
      </w:pPr>
      <w:r>
        <w:rPr>
          <w:rFonts w:hint="eastAsia" w:ascii="仿宋" w:hAnsi="仿宋" w:eastAsia="仿宋" w:cs="仿宋"/>
          <w:b/>
          <w:bCs/>
          <w:sz w:val="24"/>
        </w:rPr>
        <w:t>2.19</w:t>
      </w:r>
      <w:r>
        <w:rPr>
          <w:rFonts w:hint="eastAsia" w:ascii="仿宋" w:hAnsi="仿宋" w:eastAsia="仿宋" w:cs="仿宋"/>
          <w:sz w:val="24"/>
        </w:rPr>
        <w:t>对于因甲方原因导致变更、中止或者终止政府采购合同的，甲方应当依照合同约定对供应商受到的损失予以赔偿或者补偿。</w:t>
      </w:r>
    </w:p>
    <w:p>
      <w:pPr>
        <w:spacing w:line="560" w:lineRule="exact"/>
        <w:ind w:firstLine="482" w:firstLineChars="200"/>
        <w:rPr>
          <w:rFonts w:hint="eastAsia" w:ascii="仿宋" w:hAnsi="仿宋" w:eastAsia="仿宋" w:cs="仿宋"/>
          <w:b/>
          <w:sz w:val="24"/>
        </w:rPr>
      </w:pPr>
      <w:r>
        <w:rPr>
          <w:rFonts w:hint="eastAsia" w:ascii="仿宋" w:hAnsi="仿宋" w:eastAsia="仿宋" w:cs="仿宋"/>
          <w:b/>
          <w:sz w:val="24"/>
        </w:rPr>
        <w:t>2.20合同份数</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合同份数按</w:t>
      </w:r>
      <w:r>
        <w:rPr>
          <w:rFonts w:hint="eastAsia" w:ascii="仿宋" w:hAnsi="仿宋" w:eastAsia="仿宋" w:cs="仿宋"/>
          <w:b/>
          <w:i/>
          <w:sz w:val="24"/>
          <w:u w:val="single"/>
        </w:rPr>
        <w:t>合同专用条款</w:t>
      </w:r>
      <w:r>
        <w:rPr>
          <w:rFonts w:hint="eastAsia" w:ascii="仿宋" w:hAnsi="仿宋" w:eastAsia="仿宋" w:cs="仿宋"/>
          <w:sz w:val="24"/>
        </w:rPr>
        <w:t>规定，每份均具有同等法律效力。</w:t>
      </w:r>
    </w:p>
    <w:p>
      <w:pPr>
        <w:pStyle w:val="699"/>
        <w:spacing w:line="560" w:lineRule="exact"/>
        <w:jc w:val="center"/>
        <w:rPr>
          <w:rFonts w:hint="eastAsia" w:ascii="仿宋" w:hAnsi="仿宋" w:eastAsia="仿宋" w:cs="仿宋"/>
          <w:b/>
          <w:szCs w:val="24"/>
        </w:rPr>
      </w:pPr>
      <w:r>
        <w:rPr>
          <w:rFonts w:hint="eastAsia" w:ascii="仿宋" w:hAnsi="仿宋" w:eastAsia="仿宋" w:cs="仿宋"/>
          <w:kern w:val="0"/>
          <w:szCs w:val="24"/>
        </w:rPr>
        <w:br w:type="page"/>
      </w:r>
      <w:bookmarkStart w:id="530" w:name="_Toc331685784"/>
      <w:r>
        <w:rPr>
          <w:rFonts w:hint="eastAsia" w:ascii="仿宋" w:hAnsi="仿宋" w:eastAsia="仿宋" w:cs="仿宋"/>
          <w:b/>
          <w:szCs w:val="24"/>
        </w:rPr>
        <w:t xml:space="preserve"> </w:t>
      </w:r>
      <w:bookmarkEnd w:id="530"/>
      <w:r>
        <w:rPr>
          <w:rFonts w:hint="eastAsia" w:ascii="仿宋" w:hAnsi="仿宋" w:eastAsia="仿宋" w:cs="仿宋"/>
          <w:b/>
          <w:szCs w:val="24"/>
        </w:rPr>
        <w:t>第三部分  合同专用条款</w:t>
      </w:r>
    </w:p>
    <w:p>
      <w:pPr>
        <w:spacing w:line="560" w:lineRule="exact"/>
        <w:ind w:left="-420" w:leftChars="-200" w:right="-420" w:rightChars="-200" w:firstLine="480" w:firstLineChars="200"/>
        <w:rPr>
          <w:rFonts w:hint="eastAsia" w:ascii="仿宋" w:hAnsi="仿宋" w:eastAsia="仿宋" w:cs="仿宋"/>
        </w:rPr>
      </w:pPr>
      <w:r>
        <w:rPr>
          <w:rFonts w:hint="eastAsia" w:ascii="仿宋" w:hAnsi="仿宋" w:eastAsia="仿宋" w:cs="仿宋"/>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条款号</w:t>
            </w:r>
          </w:p>
        </w:tc>
        <w:tc>
          <w:tcPr>
            <w:tcW w:w="4533"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1.4.4</w:t>
            </w:r>
          </w:p>
        </w:tc>
        <w:tc>
          <w:tcPr>
            <w:tcW w:w="4533" w:type="pct"/>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资金支付</w:t>
            </w:r>
            <w:r>
              <w:rPr>
                <w:rFonts w:hint="eastAsia" w:ascii="仿宋" w:hAnsi="仿宋" w:eastAsia="仿宋" w:cs="仿宋"/>
                <w:sz w:val="24"/>
                <w:highlight w:val="none"/>
                <w:lang w:eastAsia="zh-CN"/>
              </w:rPr>
              <w:t>：</w:t>
            </w:r>
            <w:r>
              <w:rPr>
                <w:rFonts w:hint="eastAsia" w:ascii="仿宋" w:hAnsi="仿宋" w:eastAsia="仿宋" w:cs="仿宋"/>
                <w:sz w:val="24"/>
                <w:highlight w:val="none"/>
              </w:rPr>
              <w:t>本次项目合同总价为大写人民币元整（￥元），采用分期付款方式，具体如下：第一期：合同签订后</w:t>
            </w:r>
            <w:r>
              <w:rPr>
                <w:rFonts w:hint="eastAsia" w:ascii="仿宋" w:hAnsi="仿宋" w:eastAsia="仿宋" w:cs="仿宋"/>
                <w:sz w:val="24"/>
                <w:highlight w:val="none"/>
                <w:lang w:val="en-US" w:eastAsia="zh-CN"/>
              </w:rPr>
              <w:t>7</w:t>
            </w:r>
            <w:r>
              <w:rPr>
                <w:rFonts w:hint="eastAsia" w:ascii="仿宋" w:hAnsi="仿宋" w:eastAsia="仿宋" w:cs="仿宋"/>
                <w:sz w:val="24"/>
                <w:highlight w:val="none"/>
              </w:rPr>
              <w:t>个工作日内，</w:t>
            </w:r>
            <w:r>
              <w:rPr>
                <w:rFonts w:hint="eastAsia" w:ascii="仿宋" w:hAnsi="仿宋" w:eastAsia="仿宋" w:cs="仿宋"/>
                <w:sz w:val="24"/>
                <w:highlight w:val="none"/>
                <w:lang w:eastAsia="zh-CN"/>
              </w:rPr>
              <w:t>预付</w:t>
            </w:r>
            <w:r>
              <w:rPr>
                <w:rFonts w:hint="eastAsia" w:ascii="仿宋" w:hAnsi="仿宋" w:eastAsia="仿宋" w:cs="仿宋"/>
                <w:sz w:val="24"/>
                <w:highlight w:val="none"/>
              </w:rPr>
              <w:t>合同总金额的40％；</w:t>
            </w:r>
            <w:r>
              <w:rPr>
                <w:rFonts w:hint="eastAsia" w:ascii="仿宋" w:hAnsi="仿宋" w:eastAsia="仿宋" w:cs="仿宋"/>
                <w:sz w:val="24"/>
                <w:highlight w:val="none"/>
              </w:rPr>
              <w:br w:type="textWrapping"/>
            </w:r>
            <w:r>
              <w:rPr>
                <w:rFonts w:hint="eastAsia" w:ascii="仿宋" w:hAnsi="仿宋" w:eastAsia="仿宋" w:cs="仿宋"/>
                <w:sz w:val="24"/>
                <w:highlight w:val="none"/>
              </w:rPr>
              <w:t>第二期：项目验收</w:t>
            </w:r>
            <w:r>
              <w:rPr>
                <w:rFonts w:hint="eastAsia" w:ascii="仿宋" w:hAnsi="仿宋" w:eastAsia="仿宋" w:cs="仿宋"/>
                <w:sz w:val="24"/>
                <w:highlight w:val="none"/>
                <w:lang w:eastAsia="zh-CN"/>
              </w:rPr>
              <w:t>合格</w:t>
            </w:r>
            <w:r>
              <w:rPr>
                <w:rFonts w:hint="eastAsia" w:ascii="仿宋" w:hAnsi="仿宋" w:eastAsia="仿宋" w:cs="仿宋"/>
                <w:sz w:val="24"/>
                <w:highlight w:val="none"/>
              </w:rPr>
              <w:t>后，根据实际完成数量及中标单价进行结算。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 xml:space="preserve">1.5.1 </w:t>
            </w:r>
          </w:p>
        </w:tc>
        <w:tc>
          <w:tcPr>
            <w:tcW w:w="4533" w:type="pct"/>
            <w:vAlign w:val="center"/>
          </w:tcPr>
          <w:p>
            <w:pPr>
              <w:spacing w:line="360" w:lineRule="auto"/>
              <w:rPr>
                <w:rFonts w:hint="eastAsia" w:ascii="仿宋" w:hAnsi="仿宋" w:eastAsia="仿宋" w:cs="仿宋"/>
                <w:sz w:val="24"/>
                <w:highlight w:val="none"/>
                <w:lang w:eastAsia="zh-CN"/>
              </w:rPr>
            </w:pPr>
            <w:r>
              <w:rPr>
                <w:rFonts w:hint="eastAsia" w:ascii="仿宋" w:hAnsi="仿宋" w:eastAsia="仿宋" w:cs="仿宋"/>
                <w:sz w:val="24"/>
                <w:highlight w:val="none"/>
              </w:rPr>
              <w:t>交付期限</w:t>
            </w:r>
            <w:r>
              <w:rPr>
                <w:rFonts w:hint="eastAsia" w:ascii="仿宋" w:hAnsi="仿宋" w:eastAsia="仿宋" w:cs="仿宋"/>
                <w:sz w:val="24"/>
                <w:highlight w:val="none"/>
                <w:lang w:eastAsia="zh-CN"/>
              </w:rPr>
              <w:t>：本项目服务期限为合同签订之日起三个月完成本采购需求规定所有内容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1.5.2</w:t>
            </w:r>
          </w:p>
        </w:tc>
        <w:tc>
          <w:tcPr>
            <w:tcW w:w="4533" w:type="pct"/>
            <w:vAlign w:val="center"/>
          </w:tcPr>
          <w:p>
            <w:pPr>
              <w:spacing w:line="360" w:lineRule="auto"/>
              <w:rPr>
                <w:rFonts w:hint="eastAsia" w:ascii="仿宋" w:hAnsi="仿宋" w:eastAsia="仿宋" w:cs="仿宋"/>
                <w:sz w:val="24"/>
                <w:lang w:eastAsia="zh-CN"/>
              </w:rPr>
            </w:pPr>
            <w:r>
              <w:rPr>
                <w:rFonts w:hint="eastAsia" w:ascii="仿宋" w:hAnsi="仿宋" w:eastAsia="仿宋" w:cs="仿宋"/>
                <w:sz w:val="24"/>
              </w:rPr>
              <w:t>交付地点</w:t>
            </w:r>
            <w:r>
              <w:rPr>
                <w:rFonts w:hint="eastAsia" w:ascii="仿宋" w:hAnsi="仿宋" w:eastAsia="仿宋" w:cs="仿宋"/>
                <w:sz w:val="24"/>
                <w:lang w:eastAsia="zh-CN"/>
              </w:rPr>
              <w:t>：甲方指定地点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 xml:space="preserve">1.5.3 </w:t>
            </w:r>
          </w:p>
        </w:tc>
        <w:tc>
          <w:tcPr>
            <w:tcW w:w="4533" w:type="pct"/>
            <w:vAlign w:val="center"/>
          </w:tcPr>
          <w:p>
            <w:pPr>
              <w:spacing w:line="360" w:lineRule="auto"/>
              <w:rPr>
                <w:rFonts w:hint="eastAsia" w:ascii="仿宋" w:hAnsi="仿宋" w:eastAsia="仿宋" w:cs="仿宋"/>
                <w:sz w:val="24"/>
                <w:lang w:val="en-US" w:eastAsia="zh-CN"/>
              </w:rPr>
            </w:pPr>
            <w:r>
              <w:rPr>
                <w:rFonts w:hint="eastAsia" w:ascii="仿宋" w:hAnsi="仿宋" w:eastAsia="仿宋" w:cs="仿宋"/>
                <w:sz w:val="24"/>
              </w:rPr>
              <w:t>交付方式</w:t>
            </w:r>
            <w:r>
              <w:rPr>
                <w:rFonts w:hint="eastAsia" w:ascii="仿宋" w:hAnsi="仿宋" w:eastAsia="仿宋" w:cs="仿宋"/>
                <w:sz w:val="24"/>
                <w:lang w:eastAsia="zh-CN"/>
              </w:rPr>
              <w:t>：</w:t>
            </w:r>
            <w:r>
              <w:rPr>
                <w:rFonts w:hint="eastAsia" w:ascii="仿宋" w:hAnsi="仿宋" w:eastAsia="仿宋" w:cs="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1.6.7</w:t>
            </w:r>
          </w:p>
        </w:tc>
        <w:tc>
          <w:tcPr>
            <w:tcW w:w="4533" w:type="pct"/>
            <w:vAlign w:val="center"/>
          </w:tcPr>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w:t>
            </w:r>
          </w:p>
        </w:tc>
        <w:tc>
          <w:tcPr>
            <w:tcW w:w="4533" w:type="pct"/>
            <w:vAlign w:val="center"/>
          </w:tcPr>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1.7.1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1.7.1</w:t>
            </w:r>
          </w:p>
        </w:tc>
        <w:tc>
          <w:tcPr>
            <w:tcW w:w="4533" w:type="pct"/>
            <w:vAlign w:val="center"/>
          </w:tcPr>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color w:val="auto"/>
                <w:sz w:val="24"/>
                <w:highlight w:val="none"/>
                <w:lang w:val="en-US" w:eastAsia="zh-CN"/>
              </w:rPr>
              <w:t>甲方所在地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1.7.2</w:t>
            </w:r>
          </w:p>
        </w:tc>
        <w:tc>
          <w:tcPr>
            <w:tcW w:w="4533" w:type="pct"/>
            <w:vAlign w:val="center"/>
          </w:tcPr>
          <w:p>
            <w:p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sz w:val="24"/>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2.3.2</w:t>
            </w:r>
          </w:p>
        </w:tc>
        <w:tc>
          <w:tcPr>
            <w:tcW w:w="4533" w:type="pct"/>
            <w:vAlign w:val="center"/>
          </w:tcPr>
          <w:p>
            <w:pPr>
              <w:spacing w:line="360" w:lineRule="auto"/>
              <w:ind w:left="-420" w:leftChars="-200" w:right="-420" w:rightChars="-200"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color w:val="auto"/>
                <w:sz w:val="24"/>
              </w:rPr>
              <w:t>知识产权归甲方所有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2.5</w:t>
            </w:r>
          </w:p>
        </w:tc>
        <w:tc>
          <w:tcPr>
            <w:tcW w:w="4533" w:type="pct"/>
            <w:vAlign w:val="center"/>
          </w:tcPr>
          <w:p>
            <w:pPr>
              <w:spacing w:line="360" w:lineRule="auto"/>
              <w:ind w:left="-420" w:leftChars="-200" w:right="-420" w:rightChars="-20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结算方式和付款条件：第一期：合同签订后7个工作日内，预付合同总金额的40％；</w:t>
            </w:r>
            <w:r>
              <w:rPr>
                <w:rFonts w:hint="eastAsia" w:ascii="仿宋" w:hAnsi="仿宋" w:eastAsia="仿宋" w:cs="仿宋"/>
                <w:kern w:val="2"/>
                <w:sz w:val="24"/>
                <w:szCs w:val="24"/>
                <w:highlight w:val="none"/>
                <w:lang w:val="en-US" w:eastAsia="zh-CN" w:bidi="ar-SA"/>
              </w:rPr>
              <w:br w:type="textWrapping"/>
            </w:r>
            <w:r>
              <w:rPr>
                <w:rFonts w:hint="eastAsia" w:ascii="仿宋" w:hAnsi="仿宋" w:eastAsia="仿宋" w:cs="仿宋"/>
                <w:kern w:val="2"/>
                <w:sz w:val="24"/>
                <w:szCs w:val="24"/>
                <w:highlight w:val="none"/>
                <w:lang w:val="en-US" w:eastAsia="zh-CN" w:bidi="ar-SA"/>
              </w:rPr>
              <w:t>第二期：项目验收合格后，根据实际完成数量及中标单价进行结算。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2.11.3</w:t>
            </w:r>
          </w:p>
        </w:tc>
        <w:tc>
          <w:tcPr>
            <w:tcW w:w="8275" w:type="dxa"/>
            <w:vAlign w:val="center"/>
          </w:tcPr>
          <w:p>
            <w:pPr>
              <w:spacing w:line="360" w:lineRule="auto"/>
              <w:jc w:val="left"/>
              <w:rPr>
                <w:rFonts w:hint="eastAsia" w:ascii="仿宋" w:hAnsi="仿宋" w:eastAsia="仿宋" w:cs="仿宋"/>
                <w:kern w:val="2"/>
                <w:sz w:val="24"/>
                <w:szCs w:val="24"/>
                <w:lang w:val="en-US" w:eastAsia="zh-CN" w:bidi="ar-SA"/>
              </w:rPr>
            </w:pPr>
            <w:r>
              <w:rPr>
                <w:rFonts w:hint="eastAsia" w:ascii="仿宋" w:hAnsi="仿宋" w:eastAsia="仿宋" w:cs="仿宋"/>
                <w:color w:val="auto"/>
                <w:sz w:val="24"/>
                <w:szCs w:val="24"/>
              </w:rPr>
              <w:t>因不可抗力致使合同有变更必要的，双方当事人应在15日内以书面形式变更合同；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hint="eastAsia" w:ascii="仿宋" w:hAnsi="仿宋" w:eastAsia="仿宋" w:cs="仿宋"/>
                <w:sz w:val="24"/>
              </w:rPr>
            </w:pPr>
            <w:r>
              <w:rPr>
                <w:rFonts w:hint="eastAsia" w:ascii="仿宋" w:hAnsi="仿宋" w:eastAsia="仿宋" w:cs="仿宋"/>
                <w:sz w:val="24"/>
              </w:rPr>
              <w:t xml:space="preserve">2.11.4 </w:t>
            </w:r>
          </w:p>
        </w:tc>
        <w:tc>
          <w:tcPr>
            <w:tcW w:w="8275" w:type="dxa"/>
            <w:vAlign w:val="center"/>
          </w:tcPr>
          <w:p>
            <w:pPr>
              <w:spacing w:line="360" w:lineRule="auto"/>
              <w:jc w:val="left"/>
              <w:rPr>
                <w:rFonts w:hint="eastAsia" w:ascii="仿宋" w:hAnsi="仿宋" w:eastAsia="仿宋" w:cs="仿宋"/>
                <w:sz w:val="24"/>
              </w:rPr>
            </w:pPr>
            <w:r>
              <w:rPr>
                <w:rFonts w:hint="eastAsia" w:ascii="仿宋" w:hAnsi="仿宋" w:eastAsia="仿宋" w:cs="仿宋"/>
                <w:color w:val="auto"/>
                <w:sz w:val="24"/>
                <w:szCs w:val="24"/>
              </w:rPr>
              <w:t>受不可抗力影响的一方在不可抗力发生后，应在15日内以书面形式通知对方当事人，并在15日内，将有关部门出具的证明文件送达对方当事人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2.15.1</w:t>
            </w:r>
          </w:p>
        </w:tc>
        <w:tc>
          <w:tcPr>
            <w:tcW w:w="4533" w:type="pct"/>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2.15.3</w:t>
            </w:r>
          </w:p>
        </w:tc>
        <w:tc>
          <w:tcPr>
            <w:tcW w:w="4533" w:type="pct"/>
            <w:vAlign w:val="center"/>
          </w:tcPr>
          <w:p>
            <w:pPr>
              <w:spacing w:line="360" w:lineRule="auto"/>
              <w:rPr>
                <w:rFonts w:hint="eastAsia" w:ascii="仿宋" w:hAnsi="仿宋" w:eastAsia="仿宋" w:cs="仿宋"/>
                <w:sz w:val="24"/>
              </w:rPr>
            </w:pPr>
            <w:r>
              <w:rPr>
                <w:rFonts w:hint="eastAsia" w:ascii="仿宋" w:hAnsi="仿宋" w:eastAsia="仿宋" w:cs="仿宋"/>
                <w:sz w:val="24"/>
              </w:rPr>
              <w:t>检验和验收标准、程序等具体内容以及前述验收书的效力，采用本行业通用标准。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2.18.1</w:t>
            </w:r>
          </w:p>
        </w:tc>
        <w:tc>
          <w:tcPr>
            <w:tcW w:w="8275" w:type="dxa"/>
            <w:vAlign w:val="center"/>
          </w:tcPr>
          <w:p>
            <w:pPr>
              <w:spacing w:line="360" w:lineRule="auto"/>
              <w:jc w:val="left"/>
              <w:rPr>
                <w:rFonts w:hint="eastAsia" w:ascii="仿宋" w:hAnsi="仿宋" w:eastAsia="仿宋" w:cs="仿宋"/>
                <w:sz w:val="24"/>
                <w:highlight w:val="none"/>
                <w:lang w:eastAsia="zh-CN"/>
              </w:rPr>
            </w:pPr>
            <w:r>
              <w:rPr>
                <w:rFonts w:hint="eastAsia" w:ascii="仿宋" w:hAnsi="仿宋" w:eastAsia="仿宋" w:cs="仿宋"/>
                <w:color w:val="auto"/>
                <w:sz w:val="24"/>
                <w:szCs w:val="24"/>
                <w:highlight w:val="none"/>
                <w:lang w:eastAsia="zh-CN"/>
              </w:rPr>
              <w:t>履约保证金：</w:t>
            </w:r>
            <w:r>
              <w:rPr>
                <w:rFonts w:hint="eastAsia" w:ascii="仿宋" w:hAnsi="仿宋" w:eastAsia="仿宋" w:cs="仿宋"/>
                <w:color w:val="auto"/>
                <w:sz w:val="24"/>
                <w:szCs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w:t>2.18.2</w:t>
            </w:r>
          </w:p>
        </w:tc>
        <w:tc>
          <w:tcPr>
            <w:tcW w:w="8275" w:type="dxa"/>
            <w:vAlign w:val="center"/>
          </w:tcPr>
          <w:p>
            <w:pPr>
              <w:spacing w:line="360" w:lineRule="auto"/>
              <w:jc w:val="left"/>
              <w:rPr>
                <w:rFonts w:hint="eastAsia" w:ascii="仿宋" w:hAnsi="仿宋" w:eastAsia="仿宋" w:cs="仿宋"/>
                <w:sz w:val="24"/>
                <w:highlight w:val="none"/>
              </w:rPr>
            </w:pPr>
            <w:r>
              <w:rPr>
                <w:rFonts w:hint="eastAsia" w:ascii="仿宋" w:hAnsi="仿宋" w:eastAsia="仿宋" w:cs="仿宋"/>
                <w:color w:val="auto"/>
                <w:sz w:val="24"/>
                <w:szCs w:val="24"/>
                <w:highlight w:val="none"/>
              </w:rPr>
              <w:t>履约保证金在项目通过验收前不予退还，甲方在项目通过验收之日起5个工作日内，将履约保证金退还乙方。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hint="eastAsia" w:ascii="仿宋" w:hAnsi="仿宋" w:eastAsia="仿宋" w:cs="仿宋"/>
                <w:sz w:val="24"/>
              </w:rPr>
            </w:pPr>
            <w:r>
              <w:rPr>
                <w:rFonts w:hint="eastAsia" w:ascii="仿宋" w:hAnsi="仿宋" w:eastAsia="仿宋" w:cs="仿宋"/>
                <w:sz w:val="24"/>
              </w:rPr>
              <w:t>2.20</w:t>
            </w:r>
          </w:p>
        </w:tc>
        <w:tc>
          <w:tcPr>
            <w:tcW w:w="4533" w:type="pct"/>
          </w:tcPr>
          <w:p>
            <w:pPr>
              <w:spacing w:line="360" w:lineRule="auto"/>
              <w:rPr>
                <w:rFonts w:hint="eastAsia" w:ascii="仿宋" w:hAnsi="仿宋" w:eastAsia="仿宋" w:cs="仿宋"/>
                <w:sz w:val="24"/>
              </w:rPr>
            </w:pPr>
            <w:r>
              <w:rPr>
                <w:rFonts w:hint="eastAsia" w:ascii="仿宋" w:hAnsi="仿宋" w:eastAsia="仿宋" w:cs="仿宋"/>
                <w:color w:val="auto"/>
                <w:sz w:val="24"/>
                <w:szCs w:val="24"/>
              </w:rPr>
              <w:t>本合同壹式   份，甲方执   份，乙方执   份。每份均具有同等法律效力。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hint="eastAsia" w:ascii="仿宋" w:hAnsi="仿宋" w:eastAsia="仿宋" w:cs="仿宋"/>
                <w:sz w:val="24"/>
              </w:rPr>
            </w:pPr>
          </w:p>
        </w:tc>
        <w:tc>
          <w:tcPr>
            <w:tcW w:w="4533" w:type="pct"/>
            <w:vAlign w:val="center"/>
          </w:tcPr>
          <w:p>
            <w:pPr>
              <w:spacing w:line="360" w:lineRule="auto"/>
              <w:rPr>
                <w:rFonts w:hint="eastAsia" w:ascii="仿宋" w:hAnsi="仿宋" w:eastAsia="仿宋" w:cs="仿宋"/>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hint="eastAsia" w:ascii="仿宋" w:hAnsi="仿宋" w:eastAsia="仿宋" w:cs="仿宋"/>
                <w:sz w:val="24"/>
              </w:rPr>
            </w:pPr>
          </w:p>
        </w:tc>
        <w:tc>
          <w:tcPr>
            <w:tcW w:w="4533" w:type="pct"/>
            <w:vAlign w:val="center"/>
          </w:tcPr>
          <w:p>
            <w:pPr>
              <w:spacing w:line="360" w:lineRule="auto"/>
              <w:rPr>
                <w:rFonts w:hint="eastAsia" w:ascii="仿宋" w:hAnsi="仿宋" w:eastAsia="仿宋" w:cs="仿宋"/>
                <w:sz w:val="24"/>
              </w:rPr>
            </w:pPr>
          </w:p>
        </w:tc>
      </w:tr>
    </w:tbl>
    <w:p>
      <w:pPr>
        <w:spacing w:line="360" w:lineRule="auto"/>
        <w:ind w:left="-420" w:leftChars="-200" w:right="-420" w:rightChars="-200" w:firstLine="480" w:firstLineChars="200"/>
        <w:rPr>
          <w:rFonts w:hint="eastAsia" w:ascii="仿宋" w:hAnsi="仿宋" w:eastAsia="仿宋" w:cs="仿宋"/>
          <w:sz w:val="24"/>
        </w:rPr>
      </w:pPr>
    </w:p>
    <w:p>
      <w:pPr>
        <w:spacing w:line="360" w:lineRule="auto"/>
        <w:ind w:left="-420" w:leftChars="-200" w:right="-420" w:rightChars="-200"/>
        <w:rPr>
          <w:rFonts w:hint="eastAsia" w:ascii="仿宋" w:hAnsi="仿宋" w:eastAsia="仿宋" w:cs="仿宋"/>
          <w:sz w:val="24"/>
        </w:rPr>
      </w:pPr>
    </w:p>
    <w:p>
      <w:pPr>
        <w:spacing w:line="360" w:lineRule="auto"/>
        <w:ind w:left="-420" w:leftChars="-200" w:right="-420" w:rightChars="-200" w:firstLine="480" w:firstLineChars="200"/>
        <w:jc w:val="center"/>
        <w:outlineLvl w:val="0"/>
        <w:rPr>
          <w:rFonts w:hint="eastAsia" w:ascii="仿宋" w:hAnsi="仿宋" w:eastAsia="仿宋" w:cs="仿宋"/>
          <w:sz w:val="24"/>
        </w:rPr>
      </w:pPr>
    </w:p>
    <w:p>
      <w:pPr>
        <w:spacing w:line="360" w:lineRule="auto"/>
        <w:ind w:left="-420" w:leftChars="-200" w:right="-420" w:rightChars="-200" w:firstLine="480" w:firstLineChars="200"/>
        <w:jc w:val="center"/>
        <w:outlineLvl w:val="0"/>
        <w:rPr>
          <w:rFonts w:hint="eastAsia" w:ascii="仿宋" w:hAnsi="仿宋" w:eastAsia="仿宋" w:cs="仿宋"/>
          <w:sz w:val="24"/>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p>
    <w:p>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w:t>
      </w:r>
      <w:bookmarkEnd w:id="417"/>
      <w:r>
        <w:rPr>
          <w:rFonts w:hint="eastAsia" w:ascii="仿宋" w:hAnsi="仿宋" w:eastAsia="仿宋" w:cs="仿宋"/>
          <w:b/>
          <w:sz w:val="36"/>
          <w:szCs w:val="20"/>
        </w:rPr>
        <w:t xml:space="preserve"> </w:t>
      </w:r>
      <w:bookmarkEnd w:id="418"/>
      <w:r>
        <w:rPr>
          <w:rFonts w:hint="eastAsia" w:ascii="仿宋" w:hAnsi="仿宋" w:eastAsia="仿宋" w:cs="仿宋"/>
          <w:b/>
          <w:sz w:val="36"/>
          <w:szCs w:val="20"/>
        </w:rPr>
        <w:t>应提交的有关格式范例</w:t>
      </w:r>
    </w:p>
    <w:p>
      <w:pPr>
        <w:spacing w:line="360" w:lineRule="auto"/>
        <w:jc w:val="center"/>
        <w:outlineLvl w:val="0"/>
        <w:rPr>
          <w:rFonts w:hint="eastAsia" w:ascii="仿宋" w:hAnsi="仿宋" w:eastAsia="仿宋" w:cs="仿宋"/>
          <w:b/>
          <w:kern w:val="0"/>
          <w:sz w:val="36"/>
          <w:szCs w:val="36"/>
        </w:r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（1）符合参加政府采购活动应当具备的一般条件的承诺函……………（页码）</w:t>
      </w:r>
    </w:p>
    <w:p>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（2）联合协议</w:t>
      </w:r>
      <w:r>
        <w:rPr>
          <w:rFonts w:hint="eastAsia" w:ascii="仿宋" w:hAnsi="仿宋" w:eastAsia="仿宋" w:cs="仿宋"/>
          <w:sz w:val="24"/>
        </w:rPr>
        <w:t>………………………………………………………………（页码）</w:t>
      </w:r>
    </w:p>
    <w:p>
      <w:pPr>
        <w:snapToGrid w:val="0"/>
        <w:spacing w:line="360" w:lineRule="auto"/>
        <w:rPr>
          <w:rFonts w:hint="eastAsia" w:ascii="仿宋" w:hAnsi="仿宋" w:eastAsia="仿宋" w:cs="仿宋"/>
          <w:sz w:val="24"/>
        </w:rPr>
      </w:pPr>
      <w:r>
        <w:rPr>
          <w:rFonts w:hint="eastAsia" w:ascii="仿宋" w:hAnsi="仿宋" w:eastAsia="仿宋" w:cs="仿宋"/>
          <w:sz w:val="24"/>
        </w:rPr>
        <w:t>（3）落实政府采购政策需满足的资格要求………………………………（页码）</w:t>
      </w:r>
    </w:p>
    <w:p>
      <w:pPr>
        <w:snapToGrid w:val="0"/>
        <w:spacing w:line="360" w:lineRule="auto"/>
        <w:rPr>
          <w:rFonts w:hint="eastAsia" w:ascii="仿宋" w:hAnsi="仿宋" w:eastAsia="仿宋" w:cs="仿宋"/>
          <w:sz w:val="24"/>
        </w:rPr>
      </w:pPr>
      <w:r>
        <w:rPr>
          <w:rFonts w:hint="eastAsia" w:ascii="仿宋" w:hAnsi="仿宋" w:eastAsia="仿宋" w:cs="仿宋"/>
          <w:sz w:val="24"/>
        </w:rPr>
        <w:t>（4）本项目的特定资格要求………………………………………………（页码）</w:t>
      </w:r>
    </w:p>
    <w:p>
      <w:pPr>
        <w:snapToGrid w:val="0"/>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符合参加政府采购活动应当具备的一般条件的承诺函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pPr>
        <w:snapToGrid w:val="0"/>
        <w:spacing w:line="360" w:lineRule="auto"/>
        <w:ind w:firstLine="360" w:firstLineChars="150"/>
        <w:rPr>
          <w:rFonts w:hint="eastAsia" w:ascii="仿宋" w:hAnsi="仿宋" w:eastAsia="仿宋" w:cs="仿宋"/>
          <w:sz w:val="24"/>
        </w:rPr>
      </w:pPr>
      <w:r>
        <w:rPr>
          <w:rFonts w:hint="eastAsia" w:ascii="仿宋" w:hAnsi="仿宋" w:eastAsia="仿宋" w:cs="仿宋"/>
          <w:sz w:val="24"/>
        </w:rPr>
        <w:t>（一）具备《中华人民共和国政府采购法》第二十二条第一款规定的条件：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1、具有独立承担民事责任的能力；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3、具有履行合同所必需的设备和专业技术能力；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4、有依法缴纳税收和社会保障资金的良好记录；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5、参加政府采购活动前三年内，在经营活动中没有重大违法记录；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6、具有法律、行政法规规定的其他条件。</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widowControl/>
        <w:spacing w:line="360" w:lineRule="auto"/>
        <w:ind w:firstLine="643" w:firstLineChars="200"/>
        <w:jc w:val="center"/>
        <w:rPr>
          <w:rFonts w:hint="eastAsia" w:ascii="仿宋" w:hAnsi="仿宋" w:eastAsia="仿宋" w:cs="仿宋"/>
          <w:b/>
          <w:kern w:val="0"/>
          <w:sz w:val="32"/>
          <w:szCs w:val="32"/>
        </w:rPr>
      </w:pPr>
    </w:p>
    <w:p>
      <w:pPr>
        <w:widowControl/>
        <w:spacing w:line="360" w:lineRule="auto"/>
        <w:ind w:firstLine="643" w:firstLineChars="200"/>
        <w:jc w:val="center"/>
        <w:rPr>
          <w:rFonts w:hint="eastAsia" w:ascii="仿宋" w:hAnsi="仿宋" w:eastAsia="仿宋" w:cs="仿宋"/>
          <w:b/>
          <w:kern w:val="0"/>
          <w:sz w:val="32"/>
          <w:szCs w:val="32"/>
        </w:rPr>
      </w:pPr>
      <w:r>
        <w:rPr>
          <w:rFonts w:hint="eastAsia" w:ascii="仿宋" w:hAnsi="仿宋" w:eastAsia="仿宋" w:cs="仿宋"/>
          <w:b/>
          <w:kern w:val="0"/>
          <w:sz w:val="32"/>
          <w:szCs w:val="32"/>
        </w:rPr>
        <w:t>二、联合协议（如果有）</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三、落实政府采购政策需满足的资格要求</w:t>
      </w:r>
    </w:p>
    <w:p>
      <w:pPr>
        <w:spacing w:line="360" w:lineRule="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sz w:val="24"/>
        </w:rPr>
      </w:pPr>
      <w:r>
        <w:rPr>
          <w:rFonts w:hint="eastAsia" w:ascii="仿宋" w:hAnsi="仿宋" w:eastAsia="仿宋" w:cs="仿宋"/>
          <w:b/>
          <w:sz w:val="24"/>
        </w:rPr>
        <w:t>A</w:t>
      </w:r>
      <w:r>
        <w:rPr>
          <w:rFonts w:hint="eastAsia" w:ascii="仿宋" w:hAnsi="仿宋" w:eastAsia="仿宋" w:cs="仿宋"/>
          <w:sz w:val="24"/>
        </w:rPr>
        <w:t xml:space="preserve">.专门面向中小企业，服务全部由符合政策要求的中小企业（或小微企业）承接的，提供相应的中小企业声明函（附件7）。 </w:t>
      </w: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w:t>
      </w:r>
      <w:r>
        <w:rPr>
          <w:rFonts w:hint="eastAsia" w:ascii="仿宋" w:hAnsi="仿宋" w:eastAsia="仿宋" w:cs="仿宋"/>
          <w:b/>
          <w:bCs/>
          <w:kern w:val="0"/>
          <w:sz w:val="24"/>
          <w:u w:val="single"/>
        </w:rPr>
        <w:t>商用密码应用方案和安全性评估</w:t>
      </w:r>
      <w:r>
        <w:rPr>
          <w:rFonts w:hint="eastAsia" w:ascii="仿宋" w:hAnsi="仿宋" w:eastAsia="仿宋" w:cs="仿宋"/>
          <w:sz w:val="24"/>
          <w:u w:val="single"/>
        </w:rPr>
        <w:t>）</w:t>
      </w:r>
      <w:r>
        <w:rPr>
          <w:rFonts w:hint="eastAsia" w:ascii="仿宋" w:hAnsi="仿宋" w:eastAsia="仿宋" w:cs="仿宋"/>
          <w:sz w:val="24"/>
        </w:rPr>
        <w:t xml:space="preserve">，属于 </w:t>
      </w:r>
      <w:r>
        <w:rPr>
          <w:rFonts w:hint="eastAsia" w:ascii="仿宋" w:hAnsi="仿宋" w:eastAsia="仿宋" w:cs="仿宋"/>
          <w:sz w:val="24"/>
          <w:u w:val="single"/>
        </w:rPr>
        <w:t>（</w:t>
      </w:r>
      <w:r>
        <w:rPr>
          <w:rFonts w:hint="eastAsia" w:ascii="仿宋" w:hAnsi="仿宋" w:eastAsia="仿宋" w:cs="仿宋"/>
          <w:b/>
          <w:bCs/>
          <w:kern w:val="0"/>
          <w:sz w:val="24"/>
          <w:u w:val="single"/>
        </w:rPr>
        <w:t>软件和信息技术服务业</w:t>
      </w:r>
      <w:r>
        <w:rPr>
          <w:rFonts w:hint="eastAsia" w:ascii="仿宋" w:hAnsi="仿宋" w:eastAsia="仿宋" w:cs="仿宋"/>
          <w:sz w:val="24"/>
          <w:u w:val="single"/>
        </w:rPr>
        <w:t>）</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widowControl/>
        <w:spacing w:line="360" w:lineRule="auto"/>
        <w:ind w:left="150"/>
        <w:jc w:val="center"/>
        <w:rPr>
          <w:rFonts w:hint="eastAsia" w:ascii="仿宋" w:hAnsi="仿宋" w:eastAsia="仿宋" w:cs="仿宋"/>
          <w:b/>
          <w:kern w:val="0"/>
          <w:sz w:val="32"/>
          <w:szCs w:val="32"/>
        </w:rPr>
      </w:pPr>
    </w:p>
    <w:p>
      <w:pPr>
        <w:pStyle w:val="2"/>
        <w:rPr>
          <w:rFonts w:hint="eastAsia" w:ascii="仿宋" w:hAnsi="仿宋" w:eastAsia="仿宋" w:cs="仿宋"/>
          <w:b/>
          <w:kern w:val="0"/>
          <w:sz w:val="32"/>
          <w:szCs w:val="32"/>
        </w:rPr>
      </w:pPr>
    </w:p>
    <w:p>
      <w:pPr>
        <w:pStyle w:val="2"/>
        <w:rPr>
          <w:rFonts w:hint="eastAsia" w:ascii="仿宋" w:hAnsi="仿宋" w:eastAsia="仿宋" w:cs="仿宋"/>
          <w:b/>
          <w:kern w:val="0"/>
          <w:sz w:val="32"/>
          <w:szCs w:val="32"/>
        </w:rPr>
      </w:pPr>
    </w:p>
    <w:p>
      <w:pPr>
        <w:pStyle w:val="2"/>
        <w:rPr>
          <w:rFonts w:hint="eastAsia" w:ascii="仿宋" w:hAnsi="仿宋" w:eastAsia="仿宋" w:cs="仿宋"/>
          <w:b/>
          <w:kern w:val="0"/>
          <w:sz w:val="32"/>
          <w:szCs w:val="32"/>
        </w:rPr>
      </w:pPr>
    </w:p>
    <w:p>
      <w:pPr>
        <w:pStyle w:val="2"/>
        <w:rPr>
          <w:rFonts w:hint="eastAsia" w:ascii="仿宋" w:hAnsi="仿宋" w:eastAsia="仿宋" w:cs="仿宋"/>
          <w:b/>
          <w:kern w:val="0"/>
          <w:sz w:val="32"/>
          <w:szCs w:val="32"/>
        </w:rPr>
      </w:pPr>
    </w:p>
    <w:p>
      <w:pPr>
        <w:pStyle w:val="2"/>
        <w:rPr>
          <w:rFonts w:hint="eastAsia" w:ascii="仿宋" w:hAnsi="仿宋" w:eastAsia="仿宋" w:cs="仿宋"/>
          <w:b/>
          <w:kern w:val="0"/>
          <w:sz w:val="32"/>
          <w:szCs w:val="32"/>
        </w:rPr>
      </w:pPr>
    </w:p>
    <w:p>
      <w:pPr>
        <w:pStyle w:val="2"/>
        <w:rPr>
          <w:rFonts w:hint="eastAsia" w:ascii="仿宋" w:hAnsi="仿宋" w:eastAsia="仿宋" w:cs="仿宋"/>
          <w:b/>
          <w:kern w:val="0"/>
          <w:sz w:val="32"/>
          <w:szCs w:val="32"/>
        </w:rPr>
      </w:pPr>
    </w:p>
    <w:p>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rPr>
        <w:t>四、本项目的特定资格要求</w:t>
      </w:r>
    </w:p>
    <w:p>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pPr>
        <w:rPr>
          <w:rFonts w:hint="eastAsia" w:ascii="仿宋" w:hAnsi="仿宋" w:eastAsia="仿宋" w:cs="仿宋"/>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4"/>
        <w:rPr>
          <w:rFonts w:hint="eastAsia" w:ascii="仿宋" w:hAnsi="仿宋" w:eastAsia="仿宋" w:cs="仿宋"/>
          <w:b w:val="0"/>
        </w:rPr>
      </w:pPr>
    </w:p>
    <w:p>
      <w:pPr>
        <w:snapToGrid w:val="0"/>
        <w:spacing w:line="360" w:lineRule="auto"/>
        <w:ind w:right="480"/>
        <w:jc w:val="center"/>
        <w:rPr>
          <w:rFonts w:hint="eastAsia" w:ascii="仿宋" w:hAnsi="仿宋" w:eastAsia="仿宋" w:cs="仿宋"/>
          <w:b/>
          <w:kern w:val="0"/>
          <w:sz w:val="32"/>
          <w:szCs w:val="32"/>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pPr>
        <w:spacing w:line="360" w:lineRule="auto"/>
        <w:jc w:val="center"/>
        <w:outlineLvl w:val="0"/>
        <w:rPr>
          <w:rFonts w:hint="eastAsia" w:ascii="仿宋" w:hAnsi="仿宋" w:eastAsia="仿宋" w:cs="仿宋"/>
          <w:b/>
          <w:kern w:val="0"/>
          <w:sz w:val="24"/>
        </w:rPr>
      </w:pPr>
    </w:p>
    <w:p>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（3）分包意向协议</w:t>
      </w:r>
      <w:r>
        <w:rPr>
          <w:rFonts w:hint="eastAsia" w:ascii="仿宋" w:hAnsi="仿宋" w:eastAsia="仿宋" w:cs="仿宋"/>
        </w:rPr>
        <w:t>…………………………………………………………………………（页码）</w:t>
      </w:r>
    </w:p>
    <w:p>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（4）符合性审查资料</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rPr>
        <w:t>（5）评标标准相应的商务技术资料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（6）投标标的清单</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sz w:val="24"/>
        </w:rPr>
        <w:t>（7）商务技术偏离表</w:t>
      </w:r>
      <w:r>
        <w:rPr>
          <w:rFonts w:hint="eastAsia" w:ascii="仿宋" w:hAnsi="仿宋" w:eastAsia="仿宋" w:cs="仿宋"/>
        </w:rPr>
        <w:t>………………………………………………………………………（页码）</w:t>
      </w:r>
    </w:p>
    <w:p>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snapToGrid w:val="0"/>
        <w:spacing w:line="360" w:lineRule="auto"/>
        <w:jc w:val="center"/>
        <w:rPr>
          <w:rFonts w:hint="eastAsia" w:ascii="仿宋" w:hAnsi="仿宋" w:eastAsia="仿宋" w:cs="仿宋"/>
          <w:b/>
          <w:kern w:val="0"/>
          <w:sz w:val="32"/>
          <w:szCs w:val="32"/>
          <w:lang w:val="zh-CN"/>
        </w:rPr>
      </w:pPr>
    </w:p>
    <w:p>
      <w:pPr>
        <w:rPr>
          <w:rFonts w:hint="eastAsia" w:ascii="仿宋" w:hAnsi="仿宋" w:eastAsia="仿宋" w:cs="仿宋"/>
          <w:b/>
          <w:kern w:val="0"/>
          <w:sz w:val="32"/>
          <w:szCs w:val="32"/>
          <w:lang w:val="zh-CN"/>
        </w:rPr>
      </w:pPr>
    </w:p>
    <w:p>
      <w:pPr>
        <w:pStyle w:val="4"/>
        <w:rPr>
          <w:rFonts w:hint="eastAsia" w:ascii="仿宋" w:hAnsi="仿宋" w:eastAsia="仿宋" w:cs="仿宋"/>
        </w:rPr>
      </w:pPr>
    </w:p>
    <w:p>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pPr>
        <w:snapToGrid w:val="0"/>
        <w:spacing w:line="360" w:lineRule="auto"/>
        <w:rPr>
          <w:rFonts w:hint="eastAsia" w:ascii="仿宋" w:hAnsi="仿宋" w:eastAsia="仿宋" w:cs="仿宋"/>
          <w:sz w:val="24"/>
        </w:rPr>
      </w:pPr>
      <w:r>
        <w:rPr>
          <w:rFonts w:hint="eastAsia" w:ascii="仿宋" w:hAnsi="仿宋" w:eastAsia="仿宋" w:cs="仿宋"/>
          <w:sz w:val="24"/>
        </w:rPr>
        <w:t>（采购人）、（采购代理机构）：</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2.1.2</w:t>
      </w:r>
      <w:r>
        <w:rPr>
          <w:rFonts w:hint="eastAsia" w:ascii="仿宋" w:hAnsi="仿宋" w:eastAsia="仿宋" w:cs="仿宋"/>
          <w:snapToGrid w:val="0"/>
          <w:kern w:val="28"/>
          <w:sz w:val="24"/>
          <w:szCs w:val="20"/>
        </w:rPr>
        <w:t>联合协议</w:t>
      </w:r>
      <w:bookmarkStart w:id="531" w:name="_Hlk101257010"/>
      <w:r>
        <w:rPr>
          <w:rFonts w:hint="eastAsia" w:ascii="仿宋" w:hAnsi="仿宋" w:eastAsia="仿宋" w:cs="仿宋"/>
          <w:snapToGrid w:val="0"/>
          <w:kern w:val="28"/>
          <w:sz w:val="24"/>
          <w:szCs w:val="20"/>
        </w:rPr>
        <w:t>（如果有)</w:t>
      </w:r>
      <w:bookmarkEnd w:id="531"/>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2.1.3落实政府采购政策需满足的资格要求（如果有）；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2.1.4本项目的特定资格要求（如果有）。</w:t>
      </w:r>
    </w:p>
    <w:p>
      <w:pPr>
        <w:snapToGrid w:val="0"/>
        <w:spacing w:line="360"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2.2.3分包意向协议（如果有）；</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2.2.4符合性审查资料；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2.2.5评标标准相应的商务技术资料；</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2.2.6投标标的清单；</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2.2.7商务技术偏离表；</w:t>
      </w:r>
    </w:p>
    <w:p>
      <w:pPr>
        <w:snapToGrid w:val="0"/>
        <w:spacing w:line="360"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pPr>
        <w:snapToGrid w:val="0"/>
        <w:spacing w:line="360"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pPr>
        <w:spacing w:line="360" w:lineRule="auto"/>
        <w:jc w:val="center"/>
        <w:rPr>
          <w:rFonts w:hint="eastAsia" w:ascii="仿宋" w:hAnsi="仿宋" w:eastAsia="仿宋" w:cs="仿宋"/>
          <w:sz w:val="24"/>
        </w:rPr>
      </w:pPr>
      <w:r>
        <w:rPr>
          <w:rFonts w:hint="eastAsia" w:ascii="仿宋" w:hAnsi="仿宋" w:eastAsia="仿宋" w:cs="仿宋"/>
          <w:sz w:val="24"/>
        </w:rPr>
        <w:t xml:space="preserve">     日期：  年   月   日</w:t>
      </w:r>
    </w:p>
    <w:p>
      <w:pPr>
        <w:snapToGrid w:val="0"/>
        <w:spacing w:line="360" w:lineRule="auto"/>
        <w:ind w:left="420" w:leftChars="200" w:firstLine="4200" w:firstLineChars="1750"/>
        <w:rPr>
          <w:rFonts w:hint="eastAsia" w:ascii="仿宋" w:hAnsi="仿宋" w:eastAsia="仿宋" w:cs="仿宋"/>
          <w:kern w:val="0"/>
          <w:sz w:val="24"/>
          <w:u w:val="single"/>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napToGrid w:val="0"/>
        <w:spacing w:line="360" w:lineRule="auto"/>
        <w:jc w:val="center"/>
        <w:rPr>
          <w:rFonts w:hint="eastAsia" w:ascii="仿宋" w:hAnsi="仿宋" w:eastAsia="仿宋" w:cs="仿宋"/>
          <w:b/>
          <w:kern w:val="0"/>
          <w:sz w:val="32"/>
          <w:szCs w:val="32"/>
        </w:rPr>
      </w:pP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pStyle w:val="4"/>
        <w:rPr>
          <w:rFonts w:hint="eastAsia" w:ascii="仿宋" w:hAnsi="仿宋" w:eastAsia="仿宋" w:cs="仿宋"/>
          <w:lang w:val="en-US"/>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                                </w:t>
      </w:r>
    </w:p>
    <w:p>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授权委托书（适用于非联合体投标）</w:t>
      </w:r>
      <w:r>
        <w:rPr>
          <w:rFonts w:hint="eastAsia" w:ascii="仿宋" w:hAnsi="仿宋" w:eastAsia="仿宋" w:cs="仿宋"/>
        </w:rPr>
        <w:t xml:space="preserve">                               </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投标人名称(电子签名)：</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pPr>
        <w:snapToGrid w:val="0"/>
        <w:spacing w:line="360" w:lineRule="auto"/>
        <w:rPr>
          <w:rFonts w:hint="eastAsia" w:ascii="仿宋" w:hAnsi="仿宋" w:eastAsia="仿宋" w:cs="仿宋"/>
          <w:sz w:val="24"/>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lang w:val="zh-CN"/>
        </w:rPr>
        <w:t xml:space="preserve">      </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zh-CN"/>
        </w:rPr>
        <w:t>授权委托书（适用于联合体投标）</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rPr>
      </w:pPr>
      <w:r>
        <w:rPr>
          <w:rFonts w:hint="eastAsia" w:ascii="仿宋" w:hAnsi="仿宋" w:eastAsia="仿宋" w:cs="仿宋"/>
          <w:kern w:val="0"/>
          <w:sz w:val="24"/>
        </w:rPr>
        <w:t>现</w:t>
      </w:r>
      <w:r>
        <w:rPr>
          <w:rFonts w:hint="eastAsia" w:ascii="仿宋" w:hAnsi="仿宋" w:eastAsia="仿宋" w:cs="仿宋"/>
          <w:kern w:val="0"/>
          <w:sz w:val="24"/>
          <w:lang w:val="zh-CN"/>
        </w:rPr>
        <w:t>委托</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（姓名）为我方代理人（身份证号码：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，手机：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），以我方名义处理</w:t>
      </w:r>
      <w:r>
        <w:rPr>
          <w:rFonts w:hint="eastAsia" w:ascii="仿宋" w:hAnsi="仿宋" w:eastAsia="仿宋" w:cs="仿宋"/>
          <w:sz w:val="24"/>
        </w:rPr>
        <w:t>（项目名称）【招标编号：（采购编号）】</w:t>
      </w:r>
      <w:r>
        <w:rPr>
          <w:rFonts w:hint="eastAsia" w:ascii="仿宋" w:hAnsi="仿宋" w:eastAsia="仿宋" w:cs="仿宋"/>
          <w:kern w:val="0"/>
          <w:sz w:val="24"/>
          <w:lang w:val="zh-CN"/>
        </w:rPr>
        <w:t>政府采购投标的一切事项，其法律后果由我方承担。</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委托期限</w:t>
      </w:r>
      <w:r>
        <w:rPr>
          <w:rFonts w:hint="eastAsia" w:ascii="仿宋" w:hAnsi="仿宋" w:eastAsia="仿宋" w:cs="仿宋"/>
          <w:kern w:val="0"/>
          <w:sz w:val="24"/>
        </w:rPr>
        <w:t>：</w:t>
      </w:r>
      <w:r>
        <w:rPr>
          <w:rFonts w:hint="eastAsia" w:ascii="仿宋" w:hAnsi="仿宋" w:eastAsia="仿宋" w:cs="仿宋"/>
          <w:kern w:val="0"/>
          <w:sz w:val="24"/>
          <w:lang w:val="zh-CN"/>
        </w:rPr>
        <w:t>自</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日起至</w:t>
      </w:r>
      <w:r>
        <w:rPr>
          <w:rFonts w:hint="eastAsia" w:ascii="仿宋" w:hAnsi="仿宋" w:eastAsia="仿宋" w:cs="仿宋"/>
          <w:kern w:val="0"/>
          <w:sz w:val="24"/>
        </w:rPr>
        <w:t xml:space="preserve">  </w:t>
      </w:r>
      <w:r>
        <w:rPr>
          <w:rFonts w:hint="eastAsia" w:ascii="仿宋" w:hAnsi="仿宋" w:eastAsia="仿宋" w:cs="仿宋"/>
          <w:kern w:val="0"/>
          <w:sz w:val="24"/>
          <w:lang w:val="zh-CN"/>
        </w:rPr>
        <w:t>年</w:t>
      </w:r>
      <w:r>
        <w:rPr>
          <w:rFonts w:hint="eastAsia" w:ascii="仿宋" w:hAnsi="仿宋" w:eastAsia="仿宋" w:cs="仿宋"/>
          <w:kern w:val="0"/>
          <w:sz w:val="24"/>
        </w:rPr>
        <w:t xml:space="preserve">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日止。</w:t>
      </w:r>
    </w:p>
    <w:p>
      <w:pPr>
        <w:snapToGrid w:val="0"/>
        <w:spacing w:line="360" w:lineRule="auto"/>
        <w:rPr>
          <w:rFonts w:hint="eastAsia" w:ascii="仿宋" w:hAnsi="仿宋" w:eastAsia="仿宋" w:cs="仿宋"/>
          <w:kern w:val="0"/>
          <w:sz w:val="24"/>
        </w:rPr>
      </w:pPr>
      <w:r>
        <w:rPr>
          <w:rFonts w:hint="eastAsia" w:ascii="仿宋" w:hAnsi="仿宋" w:eastAsia="仿宋" w:cs="仿宋"/>
          <w:kern w:val="0"/>
          <w:sz w:val="24"/>
        </w:rPr>
        <w:t xml:space="preserve">    </w:t>
      </w:r>
      <w:r>
        <w:rPr>
          <w:rFonts w:hint="eastAsia" w:ascii="仿宋" w:hAnsi="仿宋" w:eastAsia="仿宋" w:cs="仿宋"/>
          <w:kern w:val="0"/>
          <w:sz w:val="24"/>
          <w:lang w:val="zh-CN"/>
        </w:rPr>
        <w:t>特此告知。</w:t>
      </w:r>
    </w:p>
    <w:p>
      <w:pPr>
        <w:jc w:val="center"/>
        <w:rPr>
          <w:rFonts w:hint="eastAsia" w:ascii="仿宋" w:hAnsi="仿宋" w:eastAsia="仿宋" w:cs="仿宋"/>
          <w:b/>
          <w:kern w:val="0"/>
          <w:sz w:val="32"/>
          <w:szCs w:val="32"/>
        </w:rPr>
      </w:pPr>
    </w:p>
    <w:p>
      <w:pPr>
        <w:rPr>
          <w:rFonts w:hint="eastAsia" w:ascii="仿宋" w:hAnsi="仿宋" w:eastAsia="仿宋" w:cs="仿宋"/>
        </w:rPr>
      </w:pP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kern w:val="0"/>
          <w:sz w:val="32"/>
          <w:szCs w:val="32"/>
          <w:lang w:val="zh-CN"/>
        </w:rPr>
      </w:pPr>
    </w:p>
    <w:p>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pPr>
        <w:pStyle w:val="146"/>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pPr>
              <w:pStyle w:val="146"/>
              <w:adjustRightInd w:val="0"/>
              <w:spacing w:line="360" w:lineRule="auto"/>
              <w:rPr>
                <w:rFonts w:hint="eastAsia" w:ascii="仿宋" w:hAnsi="仿宋" w:eastAsia="仿宋" w:cs="仿宋"/>
                <w:bCs/>
                <w:sz w:val="24"/>
              </w:rPr>
            </w:pPr>
          </w:p>
        </w:tc>
      </w:tr>
    </w:tbl>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snapToGrid w:val="0"/>
        <w:spacing w:line="360" w:lineRule="auto"/>
        <w:ind w:right="480"/>
        <w:rPr>
          <w:rFonts w:hint="eastAsia" w:ascii="仿宋" w:hAnsi="仿宋" w:eastAsia="仿宋" w:cs="仿宋"/>
          <w:b/>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三、分包意向协议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中标后以分包方式履行合同的，提供分包意向协议(附件6)；采购人不同意分包或者投标人中标后不以分包方式履行合同的，则不需要提供。</w:t>
      </w:r>
      <w:r>
        <w:rPr>
          <w:rFonts w:hint="eastAsia" w:ascii="仿宋" w:hAnsi="仿宋" w:eastAsia="仿宋" w:cs="仿宋"/>
          <w:sz w:val="24"/>
        </w:rPr>
        <w:t>]</w:t>
      </w:r>
    </w:p>
    <w:p>
      <w:pPr>
        <w:snapToGrid w:val="0"/>
        <w:spacing w:line="360" w:lineRule="auto"/>
        <w:rPr>
          <w:rFonts w:hint="eastAsia" w:ascii="仿宋" w:hAnsi="仿宋" w:eastAsia="仿宋" w:cs="仿宋"/>
          <w:kern w:val="0"/>
          <w:sz w:val="24"/>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四、符合性审查资料</w:t>
      </w:r>
    </w:p>
    <w:p>
      <w:pPr>
        <w:jc w:val="center"/>
        <w:rPr>
          <w:rFonts w:hint="eastAsia" w:ascii="仿宋" w:hAnsi="仿宋" w:eastAsia="仿宋" w:cs="仿宋"/>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2551"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1</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2551" w:type="dxa"/>
            <w:vAlign w:val="center"/>
          </w:tcPr>
          <w:p>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见投标文件</w:t>
            </w:r>
          </w:p>
          <w:p>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sz w:val="24"/>
              </w:rPr>
            </w:pPr>
            <w:r>
              <w:rPr>
                <w:rFonts w:hint="eastAsia" w:ascii="仿宋" w:hAnsi="仿宋" w:eastAsia="仿宋" w:cs="仿宋"/>
                <w:sz w:val="24"/>
              </w:rPr>
              <w:t>2</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c>
          <w:tcPr>
            <w:tcW w:w="1418" w:type="dxa"/>
          </w:tcPr>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见投标文件</w:t>
            </w:r>
          </w:p>
          <w:p>
            <w:pPr>
              <w:pStyle w:val="4"/>
              <w:rPr>
                <w:rFonts w:hint="eastAsia" w:ascii="仿宋" w:hAnsi="仿宋" w:eastAsia="仿宋" w:cs="仿宋"/>
                <w:lang w:val="en-US"/>
              </w:rPr>
            </w:pPr>
            <w:r>
              <w:rPr>
                <w:rFonts w:hint="eastAsia" w:ascii="仿宋" w:hAnsi="仿宋" w:eastAsia="仿宋" w:cs="仿宋"/>
                <w:b w:val="0"/>
                <w:bCs w:val="0"/>
                <w:sz w:val="24"/>
                <w:szCs w:val="24"/>
                <w:lang w:val="en-US"/>
              </w:rPr>
              <w:t>第</w:t>
            </w:r>
            <w:r>
              <w:rPr>
                <w:rFonts w:hint="eastAsia" w:ascii="仿宋" w:hAnsi="仿宋" w:eastAsia="仿宋" w:cs="仿宋"/>
                <w:b w:val="0"/>
                <w:bCs w:val="0"/>
                <w:sz w:val="24"/>
                <w:szCs w:val="24"/>
                <w:u w:val="single"/>
                <w:lang w:val="en-US"/>
              </w:rPr>
              <w:t xml:space="preserve">  </w:t>
            </w:r>
            <w:r>
              <w:rPr>
                <w:rFonts w:hint="eastAsia" w:ascii="仿宋" w:hAnsi="仿宋" w:eastAsia="仿宋" w:cs="仿宋"/>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3</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2551" w:type="dxa"/>
            <w:vAlign w:val="center"/>
          </w:tcPr>
          <w:p>
            <w:pPr>
              <w:rPr>
                <w:rFonts w:hint="eastAsia" w:ascii="仿宋" w:hAnsi="仿宋" w:eastAsia="仿宋" w:cs="仿宋"/>
                <w:sz w:val="24"/>
              </w:rPr>
            </w:pPr>
            <w:r>
              <w:rPr>
                <w:rFonts w:hint="eastAsia" w:ascii="仿宋" w:hAnsi="仿宋" w:eastAsia="仿宋" w:cs="仿宋"/>
                <w:sz w:val="24"/>
              </w:rPr>
              <w:t>投标函</w:t>
            </w:r>
          </w:p>
        </w:tc>
        <w:tc>
          <w:tcPr>
            <w:tcW w:w="1418" w:type="dxa"/>
          </w:tcPr>
          <w:p>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sz w:val="24"/>
              </w:rPr>
            </w:pPr>
            <w:r>
              <w:rPr>
                <w:rFonts w:hint="eastAsia" w:ascii="仿宋" w:hAnsi="仿宋" w:eastAsia="仿宋" w:cs="仿宋"/>
                <w:sz w:val="24"/>
              </w:rPr>
              <w:t>4</w:t>
            </w:r>
          </w:p>
        </w:tc>
        <w:tc>
          <w:tcPr>
            <w:tcW w:w="4991" w:type="dxa"/>
          </w:tcPr>
          <w:p>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2551" w:type="dxa"/>
            <w:vAlign w:val="center"/>
          </w:tcPr>
          <w:p>
            <w:pPr>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rPr>
      </w:pPr>
      <w:r>
        <w:rPr>
          <w:rFonts w:hint="eastAsia" w:ascii="仿宋" w:hAnsi="仿宋" w:eastAsia="仿宋" w:cs="仿宋"/>
          <w:b/>
          <w:kern w:val="0"/>
          <w:sz w:val="32"/>
          <w:szCs w:val="32"/>
        </w:rPr>
        <w:t>五、评标标准相应的商务技术资料</w:t>
      </w:r>
    </w:p>
    <w:p>
      <w:pPr>
        <w:snapToGrid w:val="0"/>
        <w:spacing w:line="360" w:lineRule="auto"/>
        <w:jc w:val="left"/>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ind w:firstLine="2891" w:firstLineChars="900"/>
        <w:rPr>
          <w:rFonts w:hint="eastAsia" w:ascii="仿宋" w:hAnsi="仿宋" w:eastAsia="仿宋" w:cs="仿宋"/>
          <w:b/>
          <w:kern w:val="0"/>
          <w:sz w:val="32"/>
          <w:szCs w:val="32"/>
        </w:rPr>
      </w:pPr>
      <w:r>
        <w:rPr>
          <w:rFonts w:hint="eastAsia" w:ascii="仿宋" w:hAnsi="仿宋" w:eastAsia="仿宋" w:cs="仿宋"/>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pPr>
              <w:spacing w:line="360" w:lineRule="auto"/>
              <w:jc w:val="center"/>
              <w:rPr>
                <w:rFonts w:hint="eastAsia" w:ascii="仿宋" w:hAnsi="仿宋" w:eastAsia="仿宋" w:cs="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sz w:val="24"/>
              </w:rPr>
            </w:pPr>
          </w:p>
        </w:tc>
      </w:tr>
    </w:tbl>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p>
    <w:p>
      <w:pPr>
        <w:jc w:val="center"/>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sz w:val="24"/>
              </w:rPr>
            </w:pPr>
            <w:r>
              <w:rPr>
                <w:rFonts w:hint="eastAsia" w:ascii="仿宋" w:hAnsi="仿宋" w:eastAsia="仿宋" w:cs="仿宋"/>
                <w:b/>
                <w:bCs/>
                <w:sz w:val="24"/>
              </w:rPr>
              <w:t>序号</w:t>
            </w:r>
          </w:p>
        </w:tc>
        <w:tc>
          <w:tcPr>
            <w:tcW w:w="3683" w:type="dxa"/>
          </w:tcPr>
          <w:p>
            <w:pPr>
              <w:jc w:val="center"/>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546" w:type="dxa"/>
          </w:tcPr>
          <w:p>
            <w:pPr>
              <w:jc w:val="center"/>
              <w:rPr>
                <w:rFonts w:hint="eastAsia" w:ascii="仿宋" w:hAnsi="仿宋" w:eastAsia="仿宋" w:cs="仿宋"/>
                <w:b/>
                <w:bCs/>
                <w:sz w:val="24"/>
              </w:rPr>
            </w:pPr>
            <w:r>
              <w:rPr>
                <w:rFonts w:hint="eastAsia" w:ascii="仿宋" w:hAnsi="仿宋" w:eastAsia="仿宋" w:cs="仿宋"/>
                <w:b/>
                <w:bCs/>
                <w:sz w:val="24"/>
              </w:rPr>
              <w:t>投标文件章节及具体内容</w:t>
            </w:r>
          </w:p>
        </w:tc>
        <w:tc>
          <w:tcPr>
            <w:tcW w:w="1276" w:type="dxa"/>
          </w:tcPr>
          <w:p>
            <w:pPr>
              <w:jc w:val="center"/>
              <w:rPr>
                <w:rFonts w:hint="eastAsia" w:ascii="仿宋" w:hAnsi="仿宋" w:eastAsia="仿宋" w:cs="仿宋"/>
                <w:b/>
                <w:bCs/>
                <w:sz w:val="24"/>
              </w:rPr>
            </w:pPr>
            <w:r>
              <w:rPr>
                <w:rFonts w:hint="eastAsia" w:ascii="仿宋" w:hAnsi="仿宋" w:eastAsia="仿宋" w:cs="仿宋"/>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1</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2</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kern w:val="0"/>
                <w:sz w:val="24"/>
              </w:rPr>
            </w:pPr>
            <w:r>
              <w:rPr>
                <w:rFonts w:hint="eastAsia" w:ascii="仿宋" w:hAnsi="仿宋" w:eastAsia="仿宋" w:cs="仿宋"/>
                <w:kern w:val="0"/>
                <w:sz w:val="24"/>
              </w:rPr>
              <w:t>……</w:t>
            </w:r>
          </w:p>
        </w:tc>
        <w:tc>
          <w:tcPr>
            <w:tcW w:w="3683" w:type="dxa"/>
          </w:tcPr>
          <w:p>
            <w:pPr>
              <w:jc w:val="center"/>
              <w:rPr>
                <w:rFonts w:hint="eastAsia" w:ascii="仿宋" w:hAnsi="仿宋" w:eastAsia="仿宋" w:cs="仿宋"/>
                <w:b/>
                <w:kern w:val="0"/>
                <w:sz w:val="32"/>
                <w:szCs w:val="32"/>
              </w:rPr>
            </w:pPr>
          </w:p>
        </w:tc>
        <w:tc>
          <w:tcPr>
            <w:tcW w:w="3546" w:type="dxa"/>
          </w:tcPr>
          <w:p>
            <w:pPr>
              <w:jc w:val="center"/>
              <w:rPr>
                <w:rFonts w:hint="eastAsia" w:ascii="仿宋" w:hAnsi="仿宋" w:eastAsia="仿宋" w:cs="仿宋"/>
                <w:b/>
                <w:kern w:val="0"/>
                <w:sz w:val="32"/>
                <w:szCs w:val="32"/>
              </w:rPr>
            </w:pPr>
          </w:p>
        </w:tc>
        <w:tc>
          <w:tcPr>
            <w:tcW w:w="1276" w:type="dxa"/>
          </w:tcPr>
          <w:p>
            <w:pPr>
              <w:jc w:val="center"/>
              <w:rPr>
                <w:rFonts w:hint="eastAsia" w:ascii="仿宋" w:hAnsi="仿宋" w:eastAsia="仿宋" w:cs="仿宋"/>
                <w:b/>
                <w:kern w:val="0"/>
                <w:sz w:val="32"/>
                <w:szCs w:val="32"/>
              </w:rPr>
            </w:pPr>
          </w:p>
        </w:tc>
      </w:tr>
    </w:tbl>
    <w:p>
      <w:pPr>
        <w:jc w:val="left"/>
        <w:rPr>
          <w:rFonts w:hint="eastAsia" w:ascii="仿宋" w:hAnsi="仿宋" w:eastAsia="仿宋" w:cs="仿宋"/>
          <w:kern w:val="0"/>
          <w:sz w:val="24"/>
        </w:rPr>
      </w:pPr>
      <w:r>
        <w:rPr>
          <w:rFonts w:hint="eastAsia" w:ascii="仿宋" w:hAnsi="仿宋" w:eastAsia="仿宋" w:cs="仿宋"/>
          <w:kern w:val="0"/>
          <w:sz w:val="24"/>
        </w:rPr>
        <w:t>投标人保证：除商务技术偏离表列出的偏离外，投标人响应招标文件的全部要求</w:t>
      </w:r>
    </w:p>
    <w:p>
      <w:pPr>
        <w:jc w:val="center"/>
        <w:rPr>
          <w:rFonts w:hint="eastAsia" w:ascii="仿宋" w:hAnsi="仿宋" w:eastAsia="仿宋" w:cs="仿宋"/>
          <w:b/>
          <w:kern w:val="0"/>
          <w:sz w:val="32"/>
          <w:szCs w:val="32"/>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bCs/>
          <w:sz w:val="32"/>
          <w:szCs w:val="32"/>
        </w:rPr>
      </w:pPr>
    </w:p>
    <w:p>
      <w:pPr>
        <w:ind w:firstLine="1911" w:firstLineChars="595"/>
        <w:rPr>
          <w:rFonts w:hint="eastAsia" w:ascii="仿宋" w:hAnsi="仿宋" w:eastAsia="仿宋" w:cs="仿宋"/>
          <w:b/>
          <w:kern w:val="0"/>
          <w:sz w:val="32"/>
          <w:szCs w:val="32"/>
        </w:rPr>
      </w:pPr>
      <w:r>
        <w:rPr>
          <w:rFonts w:hint="eastAsia" w:ascii="仿宋" w:hAnsi="仿宋" w:eastAsia="仿宋" w:cs="仿宋"/>
          <w:b/>
          <w:bCs/>
          <w:sz w:val="32"/>
          <w:szCs w:val="32"/>
        </w:rPr>
        <w:t>八</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政府采购供应商廉洁自律承诺书</w:t>
      </w:r>
    </w:p>
    <w:p>
      <w:pPr>
        <w:snapToGrid w:val="0"/>
        <w:spacing w:line="360" w:lineRule="auto"/>
        <w:rPr>
          <w:rFonts w:hint="eastAsia" w:ascii="仿宋" w:hAnsi="仿宋" w:eastAsia="仿宋" w:cs="仿宋"/>
          <w:sz w:val="24"/>
        </w:rPr>
      </w:pP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w:t>
      </w:r>
    </w:p>
    <w:p>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jc w:val="left"/>
        <w:rPr>
          <w:rFonts w:hint="eastAsia" w:ascii="仿宋" w:hAnsi="仿宋" w:eastAsia="仿宋" w:cs="仿宋"/>
          <w:kern w:val="0"/>
          <w:sz w:val="24"/>
          <w:lang w:val="zh-CN"/>
        </w:rPr>
      </w:pPr>
    </w:p>
    <w:p>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pPr>
        <w:spacing w:line="360" w:lineRule="auto"/>
        <w:jc w:val="center"/>
        <w:rPr>
          <w:rFonts w:hint="eastAsia" w:ascii="仿宋" w:hAnsi="仿宋" w:eastAsia="仿宋" w:cs="仿宋"/>
          <w:b/>
          <w:bCs/>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spacing w:line="360" w:lineRule="auto"/>
        <w:jc w:val="center"/>
        <w:rPr>
          <w:rFonts w:hint="eastAsia" w:ascii="仿宋" w:hAnsi="仿宋" w:eastAsia="仿宋" w:cs="仿宋"/>
          <w:b/>
          <w:bCs/>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pPr>
        <w:spacing w:line="360" w:lineRule="auto"/>
        <w:jc w:val="center"/>
        <w:outlineLvl w:val="0"/>
        <w:rPr>
          <w:rFonts w:hint="eastAsia" w:ascii="仿宋" w:hAnsi="仿宋" w:eastAsia="仿宋" w:cs="仿宋"/>
          <w:b/>
          <w:kern w:val="0"/>
          <w:sz w:val="36"/>
          <w:szCs w:val="36"/>
        </w:rPr>
      </w:pPr>
    </w:p>
    <w:p>
      <w:pPr>
        <w:snapToGrid w:val="0"/>
        <w:spacing w:line="360" w:lineRule="auto"/>
        <w:rPr>
          <w:rFonts w:hint="eastAsia" w:ascii="仿宋" w:hAnsi="仿宋" w:eastAsia="仿宋" w:cs="仿宋"/>
          <w:sz w:val="24"/>
        </w:rPr>
      </w:pPr>
      <w:r>
        <w:rPr>
          <w:rFonts w:hint="eastAsia" w:ascii="仿宋" w:hAnsi="仿宋" w:eastAsia="仿宋" w:cs="仿宋"/>
          <w:sz w:val="24"/>
        </w:rPr>
        <w:t>（1）开标一览表（报价表）………………………………………………………（页码）</w:t>
      </w:r>
    </w:p>
    <w:p>
      <w:pPr>
        <w:snapToGrid w:val="0"/>
        <w:spacing w:line="360" w:lineRule="auto"/>
        <w:rPr>
          <w:rFonts w:hint="eastAsia" w:ascii="仿宋" w:hAnsi="仿宋" w:eastAsia="仿宋" w:cs="仿宋"/>
          <w:sz w:val="24"/>
        </w:rPr>
      </w:pPr>
      <w:r>
        <w:rPr>
          <w:rFonts w:hint="eastAsia" w:ascii="仿宋" w:hAnsi="仿宋" w:eastAsia="仿宋" w:cs="仿宋"/>
          <w:sz w:val="24"/>
        </w:rPr>
        <w:t>（2）中小企业声明函………………………………………………………………（页码）</w:t>
      </w: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snapToGrid w:val="0"/>
        <w:spacing w:line="360" w:lineRule="auto"/>
        <w:ind w:right="480"/>
        <w:jc w:val="center"/>
        <w:rPr>
          <w:rFonts w:hint="eastAsia" w:ascii="仿宋" w:hAnsi="仿宋" w:eastAsia="仿宋" w:cs="仿宋"/>
          <w:b/>
          <w:kern w:val="0"/>
          <w:sz w:val="32"/>
          <w:szCs w:val="32"/>
        </w:rPr>
      </w:pPr>
    </w:p>
    <w:p>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r>
        <w:rPr>
          <w:rFonts w:hint="eastAsia" w:ascii="仿宋" w:hAnsi="仿宋" w:eastAsia="仿宋" w:cs="仿宋"/>
          <w:kern w:val="2"/>
          <w:sz w:val="32"/>
          <w:szCs w:val="32"/>
        </w:rPr>
        <w:t>一、开标一览表（报价表）</w:t>
      </w:r>
    </w:p>
    <w:p>
      <w:pPr>
        <w:snapToGrid w:val="0"/>
        <w:spacing w:line="360" w:lineRule="auto"/>
        <w:rPr>
          <w:rFonts w:hint="eastAsia" w:ascii="仿宋" w:hAnsi="仿宋" w:eastAsia="仿宋" w:cs="仿宋"/>
          <w:kern w:val="0"/>
          <w:sz w:val="24"/>
        </w:rPr>
      </w:pPr>
      <w:r>
        <w:rPr>
          <w:rFonts w:hint="eastAsia" w:ascii="仿宋" w:hAnsi="仿宋" w:eastAsia="仿宋" w:cs="仿宋"/>
          <w:sz w:val="24"/>
        </w:rPr>
        <w:t>（采购人）、（采购代理机构）</w:t>
      </w:r>
      <w:r>
        <w:rPr>
          <w:rFonts w:hint="eastAsia" w:ascii="仿宋" w:hAnsi="仿宋" w:eastAsia="仿宋" w:cs="仿宋"/>
          <w:kern w:val="0"/>
          <w:sz w:val="24"/>
          <w:lang w:val="zh-CN"/>
        </w:rPr>
        <w:t>：</w:t>
      </w:r>
    </w:p>
    <w:p>
      <w:pPr>
        <w:snapToGrid w:val="0"/>
        <w:spacing w:line="360" w:lineRule="auto"/>
        <w:ind w:firstLine="482"/>
        <w:rPr>
          <w:rFonts w:hint="eastAsia" w:ascii="仿宋" w:hAnsi="仿宋" w:eastAsia="仿宋" w:cs="仿宋"/>
          <w:kern w:val="0"/>
          <w:sz w:val="24"/>
          <w:lang w:val="zh-CN"/>
        </w:rPr>
      </w:pPr>
      <w:r>
        <w:rPr>
          <w:rFonts w:hint="eastAsia" w:ascii="仿宋" w:hAnsi="仿宋" w:eastAsia="仿宋" w:cs="仿宋"/>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rPr>
        <w:t>（项目名称）</w:t>
      </w:r>
      <w:r>
        <w:rPr>
          <w:rFonts w:hint="eastAsia" w:ascii="仿宋" w:hAnsi="仿宋" w:eastAsia="仿宋" w:cs="仿宋"/>
          <w:kern w:val="0"/>
          <w:sz w:val="24"/>
          <w:lang w:val="zh-CN"/>
        </w:rPr>
        <w:t>【招标编号：</w:t>
      </w:r>
      <w:r>
        <w:rPr>
          <w:rFonts w:hint="eastAsia" w:ascii="仿宋" w:hAnsi="仿宋" w:eastAsia="仿宋" w:cs="仿宋"/>
          <w:sz w:val="24"/>
        </w:rPr>
        <w:t>（采购编号）】的实施</w:t>
      </w:r>
      <w:r>
        <w:rPr>
          <w:rFonts w:hint="eastAsia" w:ascii="仿宋" w:hAnsi="仿宋" w:eastAsia="仿宋" w:cs="仿宋"/>
          <w:kern w:val="0"/>
          <w:sz w:val="24"/>
          <w:lang w:val="zh-CN"/>
        </w:rPr>
        <w:t>。</w:t>
      </w:r>
    </w:p>
    <w:p>
      <w:pPr>
        <w:spacing w:line="360" w:lineRule="auto"/>
        <w:jc w:val="center"/>
        <w:rPr>
          <w:rFonts w:hint="eastAsia" w:ascii="仿宋" w:hAnsi="仿宋" w:eastAsia="仿宋" w:cs="仿宋"/>
          <w:b/>
          <w:kern w:val="0"/>
          <w:sz w:val="24"/>
          <w:lang w:val="zh-CN"/>
        </w:rPr>
      </w:pPr>
      <w:r>
        <w:rPr>
          <w:rFonts w:hint="eastAsia" w:ascii="仿宋" w:hAnsi="仿宋" w:eastAsia="仿宋" w:cs="仿宋"/>
          <w:b/>
          <w:kern w:val="0"/>
          <w:sz w:val="24"/>
          <w:lang w:val="zh-CN"/>
        </w:rPr>
        <w:t>开标一览表（报价表）(单位均为人民币元)</w:t>
      </w:r>
    </w:p>
    <w:tbl>
      <w:tblPr>
        <w:tblStyle w:val="62"/>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2198"/>
        <w:gridCol w:w="1975"/>
        <w:gridCol w:w="1481"/>
        <w:gridCol w:w="1437"/>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362"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184" w:type="pct"/>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名称</w:t>
            </w:r>
          </w:p>
        </w:tc>
        <w:tc>
          <w:tcPr>
            <w:tcW w:w="1064" w:type="pct"/>
            <w:vAlign w:val="center"/>
          </w:tcPr>
          <w:p>
            <w:pPr>
              <w:spacing w:line="360" w:lineRule="auto"/>
              <w:jc w:val="center"/>
              <w:rPr>
                <w:rFonts w:hint="eastAsia" w:ascii="仿宋" w:hAnsi="仿宋" w:eastAsia="仿宋" w:cs="仿宋"/>
                <w:b/>
                <w:sz w:val="24"/>
                <w:lang w:eastAsia="zh-CN"/>
              </w:rPr>
            </w:pPr>
            <w:r>
              <w:rPr>
                <w:rFonts w:hint="eastAsia" w:ascii="仿宋" w:hAnsi="仿宋" w:eastAsia="仿宋" w:cs="仿宋"/>
                <w:b/>
                <w:sz w:val="24"/>
                <w:lang w:eastAsia="zh-CN"/>
              </w:rPr>
              <w:t>服务次数</w:t>
            </w:r>
          </w:p>
        </w:tc>
        <w:tc>
          <w:tcPr>
            <w:tcW w:w="796" w:type="pct"/>
            <w:vAlign w:val="center"/>
          </w:tcPr>
          <w:p>
            <w:pPr>
              <w:spacing w:line="360" w:lineRule="auto"/>
              <w:jc w:val="center"/>
              <w:rPr>
                <w:rFonts w:hint="eastAsia" w:ascii="仿宋" w:hAnsi="仿宋" w:eastAsia="仿宋" w:cs="仿宋"/>
                <w:b/>
                <w:sz w:val="24"/>
                <w:lang w:eastAsia="zh-CN"/>
              </w:rPr>
            </w:pPr>
            <w:r>
              <w:rPr>
                <w:rFonts w:hint="eastAsia" w:ascii="仿宋" w:hAnsi="仿宋" w:eastAsia="仿宋" w:cs="仿宋"/>
                <w:b/>
                <w:sz w:val="24"/>
                <w:lang w:eastAsia="zh-CN"/>
              </w:rPr>
              <w:t>单价</w:t>
            </w:r>
          </w:p>
        </w:tc>
        <w:tc>
          <w:tcPr>
            <w:tcW w:w="774" w:type="pct"/>
            <w:vAlign w:val="center"/>
          </w:tcPr>
          <w:p>
            <w:pPr>
              <w:spacing w:line="360" w:lineRule="auto"/>
              <w:jc w:val="center"/>
              <w:rPr>
                <w:rFonts w:hint="eastAsia" w:ascii="仿宋" w:hAnsi="仿宋" w:eastAsia="仿宋" w:cs="仿宋"/>
                <w:b/>
                <w:sz w:val="24"/>
                <w:lang w:eastAsia="zh-CN"/>
              </w:rPr>
            </w:pPr>
            <w:r>
              <w:rPr>
                <w:rFonts w:hint="eastAsia" w:ascii="仿宋" w:hAnsi="仿宋" w:eastAsia="仿宋" w:cs="仿宋"/>
                <w:b/>
                <w:sz w:val="24"/>
                <w:lang w:eastAsia="zh-CN"/>
              </w:rPr>
              <w:t>总价</w:t>
            </w:r>
          </w:p>
        </w:tc>
        <w:tc>
          <w:tcPr>
            <w:tcW w:w="817" w:type="pct"/>
            <w:vAlign w:val="center"/>
          </w:tcPr>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z w:val="24"/>
              </w:rPr>
            </w:pPr>
            <w:r>
              <w:rPr>
                <w:rFonts w:hint="eastAsia" w:ascii="仿宋" w:hAnsi="仿宋" w:eastAsia="仿宋" w:cs="仿宋"/>
                <w:b/>
                <w:sz w:val="24"/>
              </w:rPr>
              <w:t>备注（如果有）</w:t>
            </w:r>
          </w:p>
          <w:p>
            <w:pPr>
              <w:spacing w:line="360" w:lineRule="auto"/>
              <w:jc w:val="center"/>
              <w:rPr>
                <w:rFonts w:hint="eastAsia" w:ascii="仿宋" w:hAnsi="仿宋" w:eastAsia="仿宋" w:cs="仿宋"/>
                <w:b/>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62" w:type="pc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184" w:type="pct"/>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商用密码应用安全性评估（系统密评）</w:t>
            </w:r>
          </w:p>
        </w:tc>
        <w:tc>
          <w:tcPr>
            <w:tcW w:w="1064"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15</w:t>
            </w:r>
          </w:p>
        </w:tc>
        <w:tc>
          <w:tcPr>
            <w:tcW w:w="796" w:type="pct"/>
            <w:vAlign w:val="center"/>
          </w:tcPr>
          <w:p>
            <w:pPr>
              <w:snapToGrid w:val="0"/>
              <w:spacing w:line="360" w:lineRule="auto"/>
              <w:jc w:val="center"/>
              <w:rPr>
                <w:rFonts w:hint="eastAsia" w:ascii="仿宋" w:hAnsi="仿宋" w:eastAsia="仿宋" w:cs="仿宋"/>
                <w:sz w:val="24"/>
              </w:rPr>
            </w:pPr>
          </w:p>
        </w:tc>
        <w:tc>
          <w:tcPr>
            <w:tcW w:w="774" w:type="pct"/>
            <w:vAlign w:val="center"/>
          </w:tcPr>
          <w:p>
            <w:pPr>
              <w:snapToGrid w:val="0"/>
              <w:spacing w:line="360" w:lineRule="auto"/>
              <w:jc w:val="center"/>
              <w:rPr>
                <w:rFonts w:hint="eastAsia" w:ascii="仿宋" w:hAnsi="仿宋" w:eastAsia="仿宋" w:cs="仿宋"/>
                <w:sz w:val="24"/>
              </w:rPr>
            </w:pPr>
          </w:p>
        </w:tc>
        <w:tc>
          <w:tcPr>
            <w:tcW w:w="817" w:type="pct"/>
            <w:vAlign w:val="center"/>
          </w:tcPr>
          <w:p>
            <w:pPr>
              <w:spacing w:line="360" w:lineRule="auto"/>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362" w:type="pct"/>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184" w:type="pct"/>
            <w:vAlign w:val="center"/>
          </w:tcPr>
          <w:p>
            <w:pPr>
              <w:snapToGrid w:val="0"/>
              <w:spacing w:line="360" w:lineRule="auto"/>
              <w:jc w:val="center"/>
              <w:rPr>
                <w:rFonts w:hint="eastAsia" w:ascii="仿宋" w:hAnsi="仿宋" w:eastAsia="仿宋" w:cs="仿宋"/>
                <w:sz w:val="24"/>
              </w:rPr>
            </w:pPr>
            <w:r>
              <w:rPr>
                <w:rFonts w:hint="eastAsia" w:ascii="仿宋" w:hAnsi="仿宋" w:eastAsia="仿宋" w:cs="仿宋"/>
                <w:sz w:val="24"/>
              </w:rPr>
              <w:t>《密码应用方案》商用密码应用安全性评估（方案密评</w:t>
            </w:r>
          </w:p>
        </w:tc>
        <w:tc>
          <w:tcPr>
            <w:tcW w:w="1064" w:type="pct"/>
            <w:vAlign w:val="center"/>
          </w:tcPr>
          <w:p>
            <w:pPr>
              <w:jc w:val="center"/>
              <w:rPr>
                <w:rFonts w:hint="eastAsia" w:ascii="仿宋" w:hAnsi="仿宋" w:eastAsia="仿宋" w:cs="仿宋"/>
                <w:sz w:val="24"/>
                <w:szCs w:val="24"/>
              </w:rPr>
            </w:pPr>
            <w:r>
              <w:rPr>
                <w:rFonts w:hint="eastAsia" w:ascii="仿宋" w:hAnsi="仿宋" w:eastAsia="仿宋" w:cs="仿宋"/>
                <w:sz w:val="24"/>
                <w:szCs w:val="24"/>
              </w:rPr>
              <w:t>15</w:t>
            </w:r>
          </w:p>
        </w:tc>
        <w:tc>
          <w:tcPr>
            <w:tcW w:w="796" w:type="pct"/>
            <w:vAlign w:val="center"/>
          </w:tcPr>
          <w:p>
            <w:pPr>
              <w:snapToGrid w:val="0"/>
              <w:spacing w:line="360" w:lineRule="auto"/>
              <w:jc w:val="center"/>
              <w:rPr>
                <w:rFonts w:hint="eastAsia" w:ascii="仿宋" w:hAnsi="仿宋" w:eastAsia="仿宋" w:cs="仿宋"/>
                <w:sz w:val="24"/>
              </w:rPr>
            </w:pPr>
          </w:p>
        </w:tc>
        <w:tc>
          <w:tcPr>
            <w:tcW w:w="774" w:type="pct"/>
            <w:vAlign w:val="center"/>
          </w:tcPr>
          <w:p>
            <w:pPr>
              <w:snapToGrid w:val="0"/>
              <w:spacing w:line="360" w:lineRule="auto"/>
              <w:jc w:val="center"/>
              <w:rPr>
                <w:rFonts w:hint="eastAsia" w:ascii="仿宋" w:hAnsi="仿宋" w:eastAsia="仿宋" w:cs="仿宋"/>
                <w:sz w:val="24"/>
              </w:rPr>
            </w:pPr>
          </w:p>
        </w:tc>
        <w:tc>
          <w:tcPr>
            <w:tcW w:w="817" w:type="pct"/>
            <w:vAlign w:val="center"/>
          </w:tcPr>
          <w:p>
            <w:pPr>
              <w:spacing w:line="360" w:lineRule="auto"/>
              <w:jc w:val="center"/>
              <w:rPr>
                <w:rFonts w:hint="eastAsia" w:ascii="仿宋" w:hAnsi="仿宋" w:eastAsia="仿宋" w:cs="仿宋"/>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3408" w:type="pct"/>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投标报价（小写）</w:t>
            </w:r>
          </w:p>
        </w:tc>
        <w:tc>
          <w:tcPr>
            <w:tcW w:w="1591" w:type="pct"/>
            <w:gridSpan w:val="2"/>
          </w:tcPr>
          <w:p>
            <w:pPr>
              <w:spacing w:line="360" w:lineRule="auto"/>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408" w:type="pct"/>
            <w:gridSpan w:val="4"/>
            <w:vAlign w:val="center"/>
          </w:tcPr>
          <w:p>
            <w:pPr>
              <w:spacing w:line="360" w:lineRule="auto"/>
              <w:jc w:val="center"/>
              <w:rPr>
                <w:rFonts w:hint="eastAsia" w:ascii="仿宋" w:hAnsi="仿宋" w:eastAsia="仿宋" w:cs="仿宋"/>
                <w:b/>
                <w:sz w:val="24"/>
              </w:rPr>
            </w:pPr>
            <w:r>
              <w:rPr>
                <w:rFonts w:hint="eastAsia" w:ascii="仿宋" w:hAnsi="仿宋" w:eastAsia="仿宋" w:cs="仿宋"/>
                <w:b/>
                <w:sz w:val="24"/>
              </w:rPr>
              <w:t>投标报价（大写）</w:t>
            </w:r>
          </w:p>
        </w:tc>
        <w:tc>
          <w:tcPr>
            <w:tcW w:w="1591" w:type="pct"/>
            <w:gridSpan w:val="2"/>
          </w:tcPr>
          <w:p>
            <w:pPr>
              <w:spacing w:line="360" w:lineRule="auto"/>
              <w:jc w:val="center"/>
              <w:rPr>
                <w:rFonts w:hint="eastAsia" w:ascii="仿宋" w:hAnsi="仿宋" w:eastAsia="仿宋" w:cs="仿宋"/>
                <w:sz w:val="24"/>
              </w:rPr>
            </w:pPr>
          </w:p>
        </w:tc>
      </w:tr>
    </w:tbl>
    <w:p>
      <w:pPr>
        <w:snapToGrid w:val="0"/>
        <w:spacing w:line="360" w:lineRule="auto"/>
        <w:ind w:left="480"/>
        <w:rPr>
          <w:rFonts w:hint="eastAsia" w:ascii="仿宋" w:hAnsi="仿宋" w:eastAsia="仿宋" w:cs="仿宋"/>
          <w:b/>
          <w:kern w:val="0"/>
          <w:sz w:val="24"/>
          <w:lang w:val="zh-CN"/>
        </w:rPr>
      </w:pPr>
      <w:r>
        <w:rPr>
          <w:rFonts w:hint="eastAsia" w:ascii="仿宋" w:hAnsi="仿宋" w:eastAsia="仿宋" w:cs="仿宋"/>
          <w:b/>
          <w:kern w:val="0"/>
          <w:sz w:val="24"/>
          <w:lang w:val="zh-CN"/>
        </w:rPr>
        <w:t>注：</w:t>
      </w:r>
    </w:p>
    <w:p>
      <w:pPr>
        <w:spacing w:line="360" w:lineRule="auto"/>
        <w:ind w:left="-2" w:leftChars="-1"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1、投标人需按本表格式填写</w:t>
      </w:r>
      <w:r>
        <w:rPr>
          <w:rFonts w:hint="eastAsia" w:ascii="仿宋" w:hAnsi="仿宋" w:eastAsia="仿宋" w:cs="仿宋"/>
          <w:b/>
          <w:kern w:val="0"/>
          <w:sz w:val="24"/>
          <w:lang w:val="zh-CN"/>
        </w:rPr>
        <w:t>，</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w:t>
      </w:r>
      <w:r>
        <w:rPr>
          <w:rFonts w:hint="eastAsia" w:ascii="仿宋" w:hAnsi="仿宋" w:eastAsia="仿宋" w:cs="仿宋"/>
          <w:kern w:val="0"/>
          <w:sz w:val="24"/>
          <w:lang w:val="zh-CN"/>
        </w:rPr>
        <w:t>。</w:t>
      </w:r>
    </w:p>
    <w:p>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lang w:val="zh-CN"/>
        </w:rPr>
        <w:t>2、有关本项目实施所涉及的一切费用均计入报价。</w:t>
      </w:r>
      <w:r>
        <w:rPr>
          <w:rFonts w:hint="eastAsia" w:ascii="仿宋" w:hAnsi="仿宋" w:eastAsia="仿宋" w:cs="仿宋"/>
          <w:b/>
          <w:kern w:val="0"/>
          <w:sz w:val="24"/>
          <w:lang w:val="zh-CN"/>
        </w:rPr>
        <w:t>采购人将以合同形式有偿取得货物或服务，不接受投标人给予的赠品、回扣或者与采购无关的其他商品、服务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投标文件含有采购人不能接受的附加条件，投标无效</w:t>
      </w:r>
      <w:r>
        <w:rPr>
          <w:rFonts w:hint="eastAsia" w:ascii="仿宋" w:hAnsi="仿宋" w:eastAsia="仿宋" w:cs="仿宋"/>
          <w:b/>
          <w:kern w:val="0"/>
          <w:sz w:val="24"/>
          <w:lang w:val="zh-CN"/>
        </w:rPr>
        <w:t>；采购内容未包含在《开标一览表（报价表）》名称栏中，投标人不能作出合理解释的，</w:t>
      </w:r>
      <w:r>
        <w:rPr>
          <w:rFonts w:hint="eastAsia" w:ascii="仿宋" w:hAnsi="仿宋" w:eastAsia="仿宋" w:cs="仿宋"/>
          <w:b/>
          <w:kern w:val="0"/>
          <w:sz w:val="24"/>
        </w:rPr>
        <w:t>视为</w:t>
      </w:r>
      <w:r>
        <w:rPr>
          <w:rFonts w:hint="eastAsia" w:ascii="仿宋" w:hAnsi="仿宋" w:eastAsia="仿宋" w:cs="仿宋"/>
          <w:b/>
          <w:sz w:val="24"/>
        </w:rPr>
        <w:t>投标文件含有采购人不能接受的附加条件的，投标无效。</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3、特别提示：采购机构将对项目名称和项目编号，中标供应商名称、地址和中标金额，主要中标标的名称、服务范围、服务要求、服务时间、服务标准等予以公示。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szCs w:val="22"/>
          <w:lang w:val="zh-CN"/>
        </w:rPr>
        <w:t>4、</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kern w:val="0"/>
          <w:sz w:val="24"/>
        </w:rPr>
      </w:pPr>
    </w:p>
    <w:p>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pPr>
    </w:p>
    <w:p>
      <w:pPr>
        <w:pStyle w:val="690"/>
        <w:keepNext w:val="0"/>
        <w:pageBreakBefore w:val="0"/>
        <w:tabs>
          <w:tab w:val="clear" w:pos="720"/>
        </w:tabs>
        <w:snapToGrid w:val="0"/>
        <w:spacing w:before="120" w:after="120"/>
        <w:ind w:firstLine="643"/>
        <w:outlineLvl w:val="9"/>
        <w:rPr>
          <w:rFonts w:hint="eastAsia" w:ascii="仿宋" w:hAnsi="仿宋" w:eastAsia="仿宋" w:cs="仿宋"/>
          <w:kern w:val="2"/>
          <w:sz w:val="32"/>
          <w:szCs w:val="32"/>
        </w:rPr>
        <w:sectPr>
          <w:pgSz w:w="11906" w:h="16838"/>
          <w:pgMar w:top="1247" w:right="1418" w:bottom="1276"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sz w:val="32"/>
          <w:szCs w:val="32"/>
        </w:rPr>
      </w:pPr>
      <w:r>
        <w:rPr>
          <w:rFonts w:hint="eastAsia" w:ascii="仿宋" w:hAnsi="仿宋" w:eastAsia="仿宋" w:cs="仿宋"/>
          <w:kern w:val="2"/>
          <w:sz w:val="32"/>
          <w:szCs w:val="32"/>
        </w:rPr>
        <w:t>二、</w:t>
      </w:r>
      <w:r>
        <w:rPr>
          <w:rFonts w:hint="eastAsia" w:ascii="仿宋" w:hAnsi="仿宋" w:eastAsia="仿宋" w:cs="仿宋"/>
          <w:sz w:val="32"/>
          <w:szCs w:val="32"/>
        </w:rPr>
        <w:t>中小企业声明函（如果有）</w:t>
      </w:r>
    </w:p>
    <w:p>
      <w:pPr>
        <w:widowControl/>
        <w:spacing w:line="360" w:lineRule="auto"/>
        <w:ind w:firstLine="120" w:firstLineChars="50"/>
        <w:jc w:val="left"/>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pPr>
        <w:pStyle w:val="690"/>
        <w:keepNext w:val="0"/>
        <w:pageBreakBefore w:val="0"/>
        <w:tabs>
          <w:tab w:val="clear" w:pos="720"/>
        </w:tabs>
        <w:snapToGrid w:val="0"/>
        <w:spacing w:before="120" w:after="120"/>
        <w:ind w:firstLine="643"/>
        <w:outlineLvl w:val="9"/>
        <w:rPr>
          <w:rFonts w:hint="eastAsia" w:ascii="仿宋" w:hAnsi="仿宋" w:eastAsia="仿宋" w:cs="仿宋"/>
          <w:b w:val="0"/>
          <w:sz w:val="32"/>
          <w:szCs w:val="32"/>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spacing w:line="360" w:lineRule="auto"/>
        <w:ind w:right="420" w:firstLine="3614" w:firstLineChars="1000"/>
        <w:rPr>
          <w:rFonts w:hint="eastAsia" w:ascii="仿宋" w:hAnsi="仿宋" w:eastAsia="仿宋" w:cs="仿宋"/>
          <w:b/>
          <w:kern w:val="0"/>
          <w:sz w:val="36"/>
          <w:szCs w:val="36"/>
        </w:rPr>
      </w:pPr>
    </w:p>
    <w:p>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一、适用对象</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二、相关信息获取方式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三、　政府采购信用融资操作流程：</w:t>
      </w:r>
    </w:p>
    <w:p>
      <w:pPr>
        <w:spacing w:line="360" w:lineRule="auto"/>
        <w:ind w:firstLine="960" w:firstLineChars="400"/>
        <w:rPr>
          <w:rFonts w:hint="eastAsia" w:ascii="仿宋" w:hAnsi="仿宋" w:eastAsia="仿宋" w:cs="仿宋"/>
          <w:sz w:val="24"/>
        </w:rPr>
      </w:pPr>
      <w:r>
        <w:rPr>
          <w:rFonts w:hint="eastAsia" w:ascii="仿宋" w:hAnsi="仿宋" w:eastAsia="仿宋" w:cs="仿宋"/>
          <w:sz w:val="24"/>
        </w:rPr>
        <w:t>（一）线上融资模式：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2.供应商中标后，可通过杭州市政府采购网或“浙里办”测算授信额度；</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4.审批通过后，在线办理放贷手续。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（二）线下融资模式：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2.采购合同签订后，供应商在杭州市政府采购网或“浙里办”向合作银行发出融资申请；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　　4.审批通过后，合作银行应按照合作备忘录中约定的审批放款期限和优惠利率及时予以放款。</w:t>
      </w:r>
    </w:p>
    <w:p>
      <w:pPr>
        <w:pStyle w:val="4"/>
        <w:numPr>
          <w:ilvl w:val="255"/>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（三）杭州e融平台申请融资</w:t>
      </w:r>
    </w:p>
    <w:p>
      <w:pPr>
        <w:pStyle w:val="4"/>
        <w:numPr>
          <w:ilvl w:val="255"/>
          <w:numId w:val="0"/>
        </w:numPr>
        <w:ind w:firstLine="960" w:firstLineChars="400"/>
        <w:rPr>
          <w:rFonts w:hint="eastAsia" w:ascii="仿宋" w:hAnsi="仿宋" w:eastAsia="仿宋" w:cs="仿宋"/>
          <w:b w:val="0"/>
          <w:bCs w:val="0"/>
          <w:sz w:val="24"/>
          <w:szCs w:val="24"/>
          <w:lang w:val="en-US"/>
        </w:rPr>
      </w:pPr>
      <w:r>
        <w:rPr>
          <w:rFonts w:hint="eastAsia" w:ascii="仿宋" w:hAnsi="仿宋" w:eastAsia="仿宋" w:cs="仿宋"/>
          <w:b w:val="0"/>
          <w:bCs w:val="0"/>
          <w:sz w:val="24"/>
          <w:szCs w:val="24"/>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sz w:val="24"/>
        </w:rPr>
      </w:pPr>
      <w:r>
        <w:rPr>
          <w:rFonts w:hint="eastAsia" w:ascii="仿宋" w:hAnsi="仿宋" w:eastAsia="仿宋" w:cs="仿宋"/>
          <w:b/>
          <w:sz w:val="24"/>
        </w:rPr>
        <w:t>四、注意事项</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kern w:val="0"/>
          <w:sz w:val="24"/>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rPr>
      </w:pPr>
      <w:bookmarkStart w:id="532" w:name="_Toc465665161"/>
      <w:r>
        <w:rPr>
          <w:rFonts w:hint="eastAsia" w:ascii="仿宋" w:hAnsi="仿宋" w:eastAsia="仿宋" w:cs="仿宋"/>
        </w:rPr>
        <w:t>附件</w:t>
      </w:r>
      <w:bookmarkEnd w:id="532"/>
    </w:p>
    <w:p>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pPr>
        <w:spacing w:line="360" w:lineRule="auto"/>
        <w:jc w:val="center"/>
        <w:rPr>
          <w:rFonts w:hint="eastAsia" w:ascii="仿宋" w:hAnsi="仿宋" w:eastAsia="仿宋" w:cs="仿宋"/>
          <w:b/>
          <w:spacing w:val="6"/>
          <w:sz w:val="32"/>
          <w:szCs w:val="32"/>
        </w:rPr>
      </w:pPr>
      <w:bookmarkStart w:id="533" w:name="OLE_LINK13"/>
      <w:bookmarkStart w:id="534" w:name="OLE_LINK14"/>
      <w:r>
        <w:rPr>
          <w:rFonts w:hint="eastAsia" w:ascii="仿宋" w:hAnsi="仿宋" w:eastAsia="仿宋" w:cs="仿宋"/>
          <w:b/>
          <w:spacing w:val="6"/>
          <w:sz w:val="32"/>
          <w:szCs w:val="32"/>
        </w:rPr>
        <w:t>残疾人福利性单位声明函</w:t>
      </w:r>
    </w:p>
    <w:bookmarkEnd w:id="533"/>
    <w:bookmarkEnd w:id="534"/>
    <w:p>
      <w:pPr>
        <w:spacing w:line="360" w:lineRule="auto"/>
        <w:rPr>
          <w:rFonts w:hint="eastAsia" w:ascii="仿宋" w:hAnsi="仿宋" w:eastAsia="仿宋" w:cs="仿宋"/>
          <w:b/>
          <w:spacing w:val="6"/>
          <w:sz w:val="30"/>
          <w:szCs w:val="30"/>
        </w:rPr>
      </w:pP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pPr>
        <w:spacing w:line="360" w:lineRule="auto"/>
        <w:ind w:firstLine="480" w:firstLineChars="200"/>
        <w:rPr>
          <w:rFonts w:hint="eastAsia" w:ascii="仿宋" w:hAnsi="仿宋" w:eastAsia="仿宋" w:cs="仿宋"/>
          <w:sz w:val="24"/>
        </w:rPr>
      </w:pPr>
    </w:p>
    <w:p>
      <w:pPr>
        <w:spacing w:line="360" w:lineRule="auto"/>
        <w:ind w:firstLine="480" w:firstLineChars="200"/>
        <w:rPr>
          <w:rFonts w:hint="eastAsia" w:ascii="仿宋" w:hAnsi="仿宋" w:eastAsia="仿宋" w:cs="仿宋"/>
          <w:sz w:val="24"/>
        </w:rPr>
      </w:pP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pPr>
        <w:spacing w:line="360" w:lineRule="auto"/>
        <w:ind w:firstLine="480" w:firstLineChars="200"/>
        <w:rPr>
          <w:rFonts w:hint="eastAsia" w:ascii="仿宋" w:hAnsi="仿宋" w:eastAsia="仿宋" w:cs="仿宋"/>
          <w:sz w:val="24"/>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ind w:firstLine="420" w:firstLineChars="200"/>
        <w:rPr>
          <w:rFonts w:hint="eastAsia" w:ascii="仿宋" w:hAnsi="仿宋" w:eastAsia="仿宋" w:cs="仿宋"/>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pPr>
        <w:snapToGrid w:val="0"/>
        <w:spacing w:before="240"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pPr>
        <w:snapToGrid w:val="0"/>
        <w:spacing w:line="360" w:lineRule="auto"/>
        <w:rPr>
          <w:rFonts w:hint="eastAsia" w:ascii="仿宋" w:hAnsi="仿宋" w:eastAsia="仿宋" w:cs="仿宋"/>
          <w:sz w:val="24"/>
        </w:rPr>
      </w:pPr>
      <w:r>
        <w:rPr>
          <w:rFonts w:hint="eastAsia" w:ascii="仿宋" w:hAnsi="仿宋" w:eastAsia="仿宋" w:cs="仿宋"/>
          <w:sz w:val="24"/>
        </w:rPr>
        <w:t>……</w:t>
      </w:r>
    </w:p>
    <w:p>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jc w:val="center"/>
        <w:rPr>
          <w:rFonts w:hint="eastAsia" w:ascii="仿宋" w:hAnsi="仿宋" w:eastAsia="仿宋" w:cs="仿宋"/>
          <w:b/>
          <w:bCs/>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质疑函制作说明：</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sz w:val="30"/>
          <w:szCs w:val="30"/>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center"/>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p>
    <w:p>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pPr>
        <w:spacing w:line="360" w:lineRule="auto"/>
        <w:jc w:val="center"/>
        <w:rPr>
          <w:rFonts w:hint="eastAsia" w:ascii="仿宋" w:hAnsi="仿宋" w:eastAsia="仿宋" w:cs="仿宋"/>
          <w:b/>
          <w:sz w:val="24"/>
        </w:rPr>
      </w:pPr>
    </w:p>
    <w:p>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被投诉人2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二、投诉项目基本情况</w:t>
      </w:r>
    </w:p>
    <w:p>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三、质疑基本情况</w:t>
      </w:r>
    </w:p>
    <w:p>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pPr>
        <w:spacing w:line="360" w:lineRule="auto"/>
        <w:rPr>
          <w:rFonts w:hint="eastAsia" w:ascii="仿宋" w:hAnsi="仿宋" w:eastAsia="仿宋" w:cs="仿宋"/>
          <w:sz w:val="24"/>
        </w:rPr>
      </w:pPr>
      <w:r>
        <w:rPr>
          <w:rFonts w:hint="eastAsia" w:ascii="仿宋" w:hAnsi="仿宋" w:eastAsia="仿宋" w:cs="仿宋"/>
          <w:sz w:val="24"/>
        </w:rPr>
        <w:t>四、投诉事项具体内容</w:t>
      </w:r>
    </w:p>
    <w:p>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pPr>
        <w:spacing w:line="360" w:lineRule="auto"/>
        <w:rPr>
          <w:rFonts w:hint="eastAsia" w:ascii="仿宋" w:hAnsi="仿宋" w:eastAsia="仿宋" w:cs="仿宋"/>
          <w:sz w:val="24"/>
        </w:rPr>
      </w:pPr>
      <w:r>
        <w:rPr>
          <w:rFonts w:hint="eastAsia" w:ascii="仿宋" w:hAnsi="仿宋" w:eastAsia="仿宋" w:cs="仿宋"/>
          <w:sz w:val="24"/>
        </w:rPr>
        <w:t>投诉事项2</w:t>
      </w:r>
    </w:p>
    <w:p>
      <w:pPr>
        <w:spacing w:line="360" w:lineRule="auto"/>
        <w:rPr>
          <w:rFonts w:hint="eastAsia" w:ascii="仿宋" w:hAnsi="仿宋" w:eastAsia="仿宋" w:cs="仿宋"/>
          <w:sz w:val="24"/>
          <w:u w:val="dotted"/>
        </w:rPr>
      </w:pPr>
      <w:r>
        <w:rPr>
          <w:rFonts w:hint="eastAsia" w:ascii="仿宋" w:hAnsi="仿宋" w:eastAsia="仿宋" w:cs="仿宋"/>
          <w:sz w:val="24"/>
        </w:rPr>
        <w:t>……</w:t>
      </w:r>
    </w:p>
    <w:p>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pPr>
        <w:spacing w:line="360" w:lineRule="auto"/>
        <w:rPr>
          <w:rFonts w:hint="eastAsia" w:ascii="仿宋" w:hAnsi="仿宋" w:eastAsia="仿宋" w:cs="仿宋"/>
          <w:sz w:val="24"/>
        </w:rPr>
      </w:pPr>
      <w:r>
        <w:rPr>
          <w:rFonts w:hint="eastAsia" w:ascii="仿宋" w:hAnsi="仿宋" w:eastAsia="仿宋" w:cs="仿宋"/>
          <w:sz w:val="24"/>
        </w:rPr>
        <w:t xml:space="preserve">日期：    </w:t>
      </w: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投诉书制作说明：</w:t>
      </w:r>
    </w:p>
    <w:p>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sz w:val="24"/>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附件4：</w:t>
      </w:r>
      <w:r>
        <w:rPr>
          <w:rFonts w:hint="eastAsia" w:ascii="仿宋" w:hAnsi="仿宋" w:eastAsia="仿宋" w:cs="仿宋"/>
          <w:b/>
          <w:bCs/>
          <w:sz w:val="32"/>
          <w:szCs w:val="32"/>
        </w:rPr>
        <w:t>业务专用章使用说明函</w:t>
      </w:r>
    </w:p>
    <w:p>
      <w:pPr>
        <w:spacing w:line="360" w:lineRule="auto"/>
        <w:rPr>
          <w:rFonts w:hint="eastAsia" w:ascii="仿宋" w:hAnsi="仿宋" w:eastAsia="仿宋" w:cs="仿宋"/>
          <w:sz w:val="24"/>
        </w:rPr>
      </w:pPr>
      <w:r>
        <w:rPr>
          <w:rFonts w:hint="eastAsia" w:ascii="仿宋" w:hAnsi="仿宋" w:eastAsia="仿宋" w:cs="仿宋"/>
          <w:sz w:val="24"/>
          <w:u w:val="single"/>
        </w:rPr>
        <w:t>（采购人）、（采购代理机构）</w:t>
      </w:r>
    </w:p>
    <w:p>
      <w:pPr>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我方</w:t>
      </w:r>
      <w:r>
        <w:rPr>
          <w:rFonts w:hint="eastAsia" w:ascii="仿宋" w:hAnsi="仿宋" w:eastAsia="仿宋" w:cs="仿宋"/>
          <w:kern w:val="0"/>
          <w:sz w:val="24"/>
          <w:u w:val="single"/>
          <w:lang w:val="zh-CN"/>
        </w:rPr>
        <w:t xml:space="preserve">                         </w:t>
      </w:r>
      <w:r>
        <w:rPr>
          <w:rFonts w:hint="eastAsia" w:ascii="仿宋" w:hAnsi="仿宋" w:eastAsia="仿宋" w:cs="仿宋"/>
          <w:sz w:val="24"/>
        </w:rPr>
        <w:t>(投标人全称)是中华人民共和国依法登记注册的合法企业，</w:t>
      </w:r>
      <w:r>
        <w:rPr>
          <w:rFonts w:hint="eastAsia" w:ascii="仿宋" w:hAnsi="仿宋" w:eastAsia="仿宋" w:cs="仿宋"/>
          <w:bCs/>
          <w:sz w:val="24"/>
        </w:rPr>
        <w:t>在参加</w:t>
      </w:r>
      <w:r>
        <w:rPr>
          <w:rFonts w:hint="eastAsia" w:ascii="仿宋" w:hAnsi="仿宋" w:eastAsia="仿宋" w:cs="仿宋"/>
          <w:sz w:val="24"/>
        </w:rPr>
        <w:t>你方组织的（项目名称）项目【招标编号：（采购编号）】</w:t>
      </w:r>
      <w:r>
        <w:rPr>
          <w:rFonts w:hint="eastAsia" w:ascii="仿宋" w:hAnsi="仿宋" w:eastAsia="仿宋" w:cs="仿宋"/>
          <w:bCs/>
          <w:sz w:val="24"/>
        </w:rPr>
        <w:t>投标活动中作如下说明：</w:t>
      </w:r>
      <w:r>
        <w:rPr>
          <w:rFonts w:hint="eastAsia" w:ascii="仿宋" w:hAnsi="仿宋" w:eastAsia="仿宋" w:cs="仿宋"/>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特此说明。</w:t>
      </w: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firstLine="494"/>
        <w:rPr>
          <w:rFonts w:hint="eastAsia" w:ascii="仿宋" w:hAnsi="仿宋" w:eastAsia="仿宋" w:cs="仿宋"/>
          <w:sz w:val="24"/>
        </w:rPr>
      </w:pPr>
    </w:p>
    <w:p>
      <w:pPr>
        <w:spacing w:line="360" w:lineRule="auto"/>
        <w:ind w:right="480" w:firstLine="4080" w:firstLineChars="1700"/>
        <w:rPr>
          <w:rFonts w:hint="eastAsia" w:ascii="仿宋" w:hAnsi="仿宋" w:eastAsia="仿宋" w:cs="仿宋"/>
          <w:sz w:val="24"/>
        </w:rPr>
      </w:pPr>
      <w:r>
        <w:rPr>
          <w:rFonts w:hint="eastAsia" w:ascii="仿宋" w:hAnsi="仿宋" w:eastAsia="仿宋" w:cs="仿宋"/>
          <w:sz w:val="24"/>
        </w:rPr>
        <w:t>投标单位（法定名称章）：</w:t>
      </w:r>
    </w:p>
    <w:p>
      <w:pPr>
        <w:ind w:right="1440" w:firstLine="494"/>
        <w:jc w:val="center"/>
        <w:rPr>
          <w:rFonts w:hint="eastAsia" w:ascii="仿宋" w:hAnsi="仿宋" w:eastAsia="仿宋" w:cs="仿宋"/>
          <w:sz w:val="24"/>
        </w:rPr>
      </w:pPr>
      <w:r>
        <w:rPr>
          <w:rFonts w:hint="eastAsia" w:ascii="仿宋" w:hAnsi="仿宋" w:eastAsia="仿宋" w:cs="仿宋"/>
          <w:sz w:val="24"/>
        </w:rPr>
        <w:t xml:space="preserve">                              日期：       年     月     日</w:t>
      </w:r>
    </w:p>
    <w:p>
      <w:pPr>
        <w:rPr>
          <w:rFonts w:hint="eastAsia" w:ascii="仿宋" w:hAnsi="仿宋" w:eastAsia="仿宋" w:cs="仿宋"/>
          <w:sz w:val="24"/>
        </w:rPr>
      </w:pPr>
      <w:r>
        <w:rPr>
          <w:rFonts w:hint="eastAsia" w:ascii="仿宋" w:hAnsi="仿宋" w:eastAsia="仿宋" w:cs="仿宋"/>
          <w:b/>
          <w:bCs/>
          <w:sz w:val="24"/>
        </w:rPr>
        <w:t>附：</w:t>
      </w:r>
    </w:p>
    <w:p>
      <w:pPr>
        <w:spacing w:line="360" w:lineRule="auto"/>
        <w:rPr>
          <w:rFonts w:hint="eastAsia" w:ascii="仿宋" w:hAnsi="仿宋" w:eastAsia="仿宋" w:cs="仿宋"/>
          <w:bCs/>
          <w:sz w:val="24"/>
        </w:rPr>
      </w:pPr>
      <w:r>
        <w:rPr>
          <w:rFonts w:hint="eastAsia" w:ascii="仿宋" w:hAnsi="仿宋" w:eastAsia="仿宋" w:cs="仿宋"/>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sz w:val="24"/>
        </w:rPr>
        <w:t>投标单位法定名称章（印模）                投标单位“XX专用章”（印模）</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kern w:val="0"/>
          <w:sz w:val="32"/>
          <w:szCs w:val="32"/>
          <w:lang w:val="zh-CN"/>
        </w:rPr>
      </w:pPr>
      <w:r>
        <w:rPr>
          <w:rFonts w:hint="eastAsia" w:ascii="仿宋" w:hAnsi="仿宋" w:eastAsia="仿宋" w:cs="仿宋"/>
          <w:b/>
          <w:spacing w:val="6"/>
          <w:sz w:val="32"/>
          <w:szCs w:val="32"/>
        </w:rPr>
        <w:t>附件5：</w:t>
      </w:r>
      <w:r>
        <w:rPr>
          <w:rFonts w:hint="eastAsia" w:ascii="仿宋" w:hAnsi="仿宋" w:eastAsia="仿宋" w:cs="仿宋"/>
          <w:b/>
          <w:kern w:val="0"/>
          <w:sz w:val="32"/>
          <w:szCs w:val="32"/>
          <w:lang w:val="zh-CN"/>
        </w:rPr>
        <w:t>联合协议</w:t>
      </w:r>
    </w:p>
    <w:p>
      <w:pPr>
        <w:widowControl/>
        <w:spacing w:line="360" w:lineRule="auto"/>
        <w:ind w:firstLine="482" w:firstLineChars="200"/>
        <w:jc w:val="left"/>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（联合体成员1）</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（联合体成员2）</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四、联合体成员中小企业合同份额。</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lang w:val="zh-CN"/>
        </w:rPr>
        <w:t>1、</w:t>
      </w:r>
      <w:r>
        <w:rPr>
          <w:rFonts w:hint="eastAsia" w:ascii="仿宋" w:hAnsi="仿宋" w:eastAsia="仿宋" w:cs="仿宋"/>
          <w:kern w:val="0"/>
          <w:sz w:val="24"/>
          <w:u w:val="single"/>
        </w:rPr>
        <w:t>（</w:t>
      </w:r>
      <w:bookmarkStart w:id="535" w:name="_Hlk101131882"/>
      <w:r>
        <w:rPr>
          <w:rFonts w:hint="eastAsia" w:ascii="仿宋" w:hAnsi="仿宋" w:eastAsia="仿宋" w:cs="仿宋"/>
          <w:kern w:val="0"/>
          <w:sz w:val="24"/>
          <w:u w:val="single"/>
        </w:rPr>
        <w:t>联合体成员X,……</w:t>
      </w:r>
      <w:bookmarkEnd w:id="535"/>
      <w:r>
        <w:rPr>
          <w:rFonts w:hint="eastAsia" w:ascii="仿宋" w:hAnsi="仿宋" w:eastAsia="仿宋" w:cs="仿宋"/>
          <w:kern w:val="0"/>
          <w:sz w:val="24"/>
          <w:u w:val="single"/>
        </w:rPr>
        <w:t>）</w:t>
      </w:r>
      <w:r>
        <w:rPr>
          <w:rFonts w:hint="eastAsia" w:ascii="仿宋" w:hAnsi="仿宋" w:eastAsia="仿宋" w:cs="仿宋"/>
          <w:kern w:val="0"/>
          <w:sz w:val="24"/>
        </w:rPr>
        <w:t>提供的服务由小微企业承接，其合同份额占到合同总金额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w:t>
      </w:r>
      <w:bookmarkStart w:id="536" w:name="_Hlk101133598"/>
      <w:r>
        <w:rPr>
          <w:rFonts w:hint="eastAsia" w:ascii="仿宋" w:hAnsi="仿宋" w:eastAsia="仿宋" w:cs="仿宋"/>
          <w:b/>
          <w:kern w:val="0"/>
          <w:sz w:val="24"/>
          <w:lang w:val="zh-CN"/>
        </w:rPr>
        <w:t>未预留份额专门面向中小企业采购的的采购项目，以及预留份额中的非预留部分采购包，接受联合体投标的，联合协议约定小微企业的合同份额占到合同总金额30%以上的，对联合体报价给予6%的扣除。供应商</w:t>
      </w:r>
      <w:r>
        <w:rPr>
          <w:rFonts w:hint="eastAsia" w:ascii="仿宋" w:hAnsi="仿宋" w:eastAsia="仿宋" w:cs="仿宋"/>
          <w:b/>
          <w:sz w:val="24"/>
        </w:rPr>
        <w:t>拟享受以上价格扣除政策的，填写有关内容。</w:t>
      </w:r>
      <w:bookmarkEnd w:id="536"/>
      <w:r>
        <w:rPr>
          <w:rFonts w:hint="eastAsia" w:ascii="仿宋" w:hAnsi="仿宋" w:eastAsia="仿宋" w:cs="仿宋"/>
          <w:b/>
          <w:kern w:val="0"/>
          <w:sz w:val="24"/>
          <w:lang w:val="zh-CN"/>
        </w:rPr>
        <w:t>）</w:t>
      </w:r>
    </w:p>
    <w:p>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w:t>
      </w:r>
      <w:bookmarkStart w:id="537" w:name="_Hlk101133173"/>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lang w:val="zh-CN"/>
        </w:rPr>
        <w:t>）</w:t>
      </w:r>
      <w:bookmarkEnd w:id="537"/>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snapToGrid w:val="0"/>
        <w:spacing w:line="360" w:lineRule="auto"/>
        <w:ind w:firstLine="3666" w:firstLineChars="1100"/>
        <w:rPr>
          <w:rFonts w:hint="eastAsia" w:ascii="仿宋" w:hAnsi="仿宋" w:eastAsia="仿宋" w:cs="仿宋"/>
          <w:b/>
          <w:spacing w:val="6"/>
          <w:sz w:val="32"/>
          <w:szCs w:val="32"/>
        </w:rPr>
      </w:pPr>
    </w:p>
    <w:p>
      <w:pPr>
        <w:snapToGrid w:val="0"/>
        <w:spacing w:line="360" w:lineRule="auto"/>
        <w:ind w:firstLine="3666" w:firstLineChars="1100"/>
        <w:rPr>
          <w:rFonts w:hint="eastAsia" w:ascii="仿宋" w:hAnsi="仿宋" w:eastAsia="仿宋" w:cs="仿宋"/>
          <w:b/>
          <w:kern w:val="0"/>
          <w:sz w:val="32"/>
          <w:szCs w:val="32"/>
        </w:rPr>
      </w:pPr>
      <w:r>
        <w:rPr>
          <w:rFonts w:hint="eastAsia" w:ascii="仿宋" w:hAnsi="仿宋" w:eastAsia="仿宋" w:cs="仿宋"/>
          <w:b/>
          <w:spacing w:val="6"/>
          <w:sz w:val="32"/>
          <w:szCs w:val="32"/>
        </w:rPr>
        <w:t>附件6：</w:t>
      </w:r>
      <w:r>
        <w:rPr>
          <w:rFonts w:hint="eastAsia" w:ascii="仿宋" w:hAnsi="仿宋" w:eastAsia="仿宋" w:cs="仿宋"/>
          <w:b/>
          <w:kern w:val="0"/>
          <w:sz w:val="32"/>
          <w:szCs w:val="32"/>
        </w:rPr>
        <w:t>分包意向协议</w:t>
      </w:r>
    </w:p>
    <w:p>
      <w:pPr>
        <w:widowControl/>
        <w:spacing w:line="360" w:lineRule="auto"/>
        <w:ind w:firstLine="120" w:firstLineChars="5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w:t>
      </w:r>
      <w:r>
        <w:rPr>
          <w:rFonts w:hint="eastAsia" w:ascii="仿宋" w:hAnsi="仿宋" w:eastAsia="仿宋" w:cs="仿宋"/>
          <w:kern w:val="0"/>
          <w:sz w:val="24"/>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（分包供应商1名称）</w:t>
      </w:r>
      <w:r>
        <w:rPr>
          <w:rFonts w:hint="eastAsia" w:ascii="仿宋" w:hAnsi="仿宋" w:eastAsia="仿宋" w:cs="仿宋"/>
          <w:kern w:val="0"/>
          <w:sz w:val="24"/>
          <w:lang w:val="zh-CN"/>
        </w:rPr>
        <w:t>，</w:t>
      </w:r>
      <w:r>
        <w:rPr>
          <w:rFonts w:hint="eastAsia" w:ascii="仿宋" w:hAnsi="仿宋" w:eastAsia="仿宋" w:cs="仿宋"/>
          <w:kern w:val="0"/>
          <w:sz w:val="24"/>
          <w:u w:val="single"/>
        </w:rPr>
        <w:t>（分包供应商2名称），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pPr>
        <w:pStyle w:val="4"/>
        <w:ind w:left="664" w:leftChars="316" w:firstLine="229" w:firstLineChars="95"/>
        <w:rPr>
          <w:rFonts w:hint="eastAsia" w:ascii="仿宋" w:hAnsi="仿宋" w:eastAsia="仿宋" w:cs="仿宋"/>
          <w:kern w:val="0"/>
          <w:sz w:val="24"/>
          <w:szCs w:val="24"/>
        </w:rPr>
      </w:pPr>
      <w:r>
        <w:rPr>
          <w:rFonts w:hint="eastAsia" w:ascii="仿宋" w:hAnsi="仿宋" w:eastAsia="仿宋" w:cs="仿宋"/>
          <w:kern w:val="0"/>
          <w:sz w:val="24"/>
          <w:szCs w:val="24"/>
        </w:rPr>
        <w:t>……</w:t>
      </w:r>
    </w:p>
    <w:p>
      <w:pPr>
        <w:rPr>
          <w:rFonts w:hint="eastAsia" w:ascii="仿宋" w:hAnsi="仿宋" w:eastAsia="仿宋" w:cs="仿宋"/>
        </w:rPr>
      </w:pPr>
      <w:r>
        <w:rPr>
          <w:rFonts w:hint="eastAsia" w:ascii="仿宋" w:hAnsi="仿宋" w:eastAsia="仿宋" w:cs="仿宋"/>
          <w:lang w:val="zh-CN"/>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二、分包供应商中小企业合同份额</w:t>
      </w:r>
    </w:p>
    <w:p>
      <w:pPr>
        <w:snapToGrid w:val="0"/>
        <w:spacing w:line="360" w:lineRule="auto"/>
        <w:ind w:firstLine="576"/>
        <w:rPr>
          <w:rFonts w:hint="eastAsia" w:ascii="仿宋" w:hAnsi="仿宋" w:eastAsia="仿宋" w:cs="仿宋"/>
          <w:b/>
          <w:kern w:val="0"/>
          <w:sz w:val="24"/>
          <w:lang w:val="zh-CN"/>
        </w:rPr>
      </w:pPr>
      <w:r>
        <w:rPr>
          <w:rFonts w:hint="eastAsia" w:ascii="仿宋" w:hAnsi="仿宋" w:eastAsia="仿宋" w:cs="仿宋"/>
          <w:kern w:val="0"/>
          <w:sz w:val="24"/>
        </w:rPr>
        <w:t>1、</w:t>
      </w:r>
      <w:r>
        <w:rPr>
          <w:rFonts w:hint="eastAsia" w:ascii="仿宋" w:hAnsi="仿宋" w:eastAsia="仿宋" w:cs="仿宋"/>
          <w:kern w:val="0"/>
          <w:sz w:val="24"/>
          <w:u w:val="single"/>
        </w:rPr>
        <w:t>（分包供应商X,……）提供的服务全部由小微企业承接，</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w:t>
      </w:r>
      <w:r>
        <w:rPr>
          <w:rFonts w:hint="eastAsia" w:ascii="仿宋" w:hAnsi="仿宋" w:eastAsia="仿宋" w:cs="仿宋"/>
          <w:b/>
          <w:sz w:val="24"/>
        </w:rPr>
        <w:t>拟享受以上价格扣除政策的，填写有关内容。</w:t>
      </w:r>
      <w:r>
        <w:rPr>
          <w:rFonts w:hint="eastAsia" w:ascii="仿宋" w:hAnsi="仿宋" w:eastAsia="仿宋" w:cs="仿宋"/>
          <w:b/>
          <w:kern w:val="0"/>
          <w:sz w:val="24"/>
          <w:lang w:val="zh-CN"/>
        </w:rPr>
        <w:t>）</w:t>
      </w:r>
    </w:p>
    <w:p>
      <w:pPr>
        <w:spacing w:line="360" w:lineRule="auto"/>
        <w:ind w:firstLine="480" w:firstLineChars="200"/>
        <w:rPr>
          <w:rFonts w:hint="eastAsia" w:ascii="仿宋" w:hAnsi="仿宋" w:eastAsia="仿宋" w:cs="仿宋"/>
          <w:b/>
          <w:bCs/>
          <w:kern w:val="0"/>
          <w:sz w:val="24"/>
          <w:lang w:val="zh-CN"/>
        </w:rPr>
      </w:pPr>
      <w:r>
        <w:rPr>
          <w:rFonts w:hint="eastAsia" w:ascii="仿宋" w:hAnsi="仿宋" w:eastAsia="仿宋" w:cs="仿宋"/>
          <w:sz w:val="24"/>
        </w:rPr>
        <w:t>2、中小企业合同金额达到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r>
        <w:rPr>
          <w:rFonts w:hint="eastAsia" w:ascii="仿宋" w:hAnsi="仿宋" w:eastAsia="仿宋" w:cs="仿宋"/>
          <w:b/>
          <w:bCs/>
          <w:kern w:val="0"/>
          <w:sz w:val="24"/>
          <w:lang w:val="zh-CN"/>
        </w:rPr>
        <w:t>（</w:t>
      </w:r>
      <w:r>
        <w:rPr>
          <w:rFonts w:hint="eastAsia" w:ascii="仿宋" w:hAnsi="仿宋" w:eastAsia="仿宋" w:cs="仿宋"/>
          <w:b/>
          <w:bCs/>
          <w:sz w:val="24"/>
        </w:rPr>
        <w:t>要求合同分包形式参加的项目或采购包，供应商按招标文件第一部分招标公告申请人的资格要求中规定的</w:t>
      </w:r>
      <w:r>
        <w:rPr>
          <w:rFonts w:hint="eastAsia" w:ascii="仿宋" w:hAnsi="仿宋" w:eastAsia="仿宋" w:cs="仿宋"/>
          <w:b/>
          <w:kern w:val="0"/>
          <w:sz w:val="24"/>
          <w:lang w:val="zh-CN"/>
        </w:rPr>
        <w:t>分包意向协议</w:t>
      </w:r>
      <w:r>
        <w:rPr>
          <w:rFonts w:hint="eastAsia" w:ascii="仿宋" w:hAnsi="仿宋" w:eastAsia="仿宋" w:cs="仿宋"/>
          <w:b/>
          <w:bCs/>
          <w:sz w:val="24"/>
        </w:rPr>
        <w:t>中中小企业、小微企业合同金额应当达到的比例要求填写。</w:t>
      </w:r>
      <w:r>
        <w:rPr>
          <w:rFonts w:hint="eastAsia" w:ascii="仿宋" w:hAnsi="仿宋" w:eastAsia="仿宋" w:cs="仿宋"/>
          <w:b/>
          <w:bCs/>
          <w:kern w:val="0"/>
          <w:sz w:val="24"/>
          <w:lang w:val="zh-CN"/>
        </w:rPr>
        <w:t>）</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三、分包工作履行期限、地点、方式</w:t>
      </w:r>
    </w:p>
    <w:p>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四、质量</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五、价款或者报酬</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六、违约责任</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七、争议解决的办法</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八、其他</w:t>
      </w:r>
    </w:p>
    <w:p>
      <w:pPr>
        <w:snapToGrid w:val="0"/>
        <w:spacing w:line="360" w:lineRule="auto"/>
        <w:ind w:left="5758" w:leftChars="342" w:hanging="5040" w:hangingChars="2100"/>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投标人名称(电子签名)：</w:t>
      </w:r>
    </w:p>
    <w:p>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spacing w:val="6"/>
          <w:sz w:val="32"/>
          <w:szCs w:val="32"/>
        </w:rPr>
      </w:pPr>
    </w:p>
    <w:p>
      <w:pPr>
        <w:autoSpaceDE w:val="0"/>
        <w:autoSpaceDN w:val="0"/>
        <w:jc w:val="center"/>
        <w:rPr>
          <w:rFonts w:hint="eastAsia" w:ascii="仿宋" w:hAnsi="仿宋" w:eastAsia="仿宋" w:cs="仿宋"/>
          <w:b/>
          <w:bCs/>
          <w:sz w:val="32"/>
          <w:szCs w:val="32"/>
        </w:rPr>
      </w:pPr>
      <w:r>
        <w:rPr>
          <w:rFonts w:hint="eastAsia" w:ascii="仿宋" w:hAnsi="仿宋" w:eastAsia="仿宋" w:cs="仿宋"/>
          <w:b/>
          <w:spacing w:val="6"/>
          <w:sz w:val="32"/>
          <w:szCs w:val="32"/>
        </w:rPr>
        <w:t>附件7：</w:t>
      </w:r>
      <w:r>
        <w:rPr>
          <w:rFonts w:hint="eastAsia" w:ascii="仿宋" w:hAnsi="仿宋" w:eastAsia="仿宋" w:cs="仿宋"/>
          <w:b/>
          <w:sz w:val="32"/>
          <w:szCs w:val="32"/>
        </w:rPr>
        <w:t>中小企业声明函</w:t>
      </w:r>
    </w:p>
    <w:p>
      <w:pPr>
        <w:spacing w:line="360" w:lineRule="auto"/>
        <w:jc w:val="center"/>
        <w:rPr>
          <w:rFonts w:hint="eastAsia" w:ascii="仿宋" w:hAnsi="仿宋" w:eastAsia="仿宋" w:cs="仿宋"/>
          <w:sz w:val="24"/>
          <w:u w:val="single"/>
        </w:rPr>
      </w:pPr>
    </w:p>
    <w:p>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中小企业声明函（服务）</w:t>
      </w:r>
    </w:p>
    <w:p>
      <w:pPr>
        <w:spacing w:line="360" w:lineRule="auto"/>
        <w:ind w:firstLine="360" w:firstLineChars="150"/>
        <w:jc w:val="left"/>
        <w:rPr>
          <w:rFonts w:hint="eastAsia" w:ascii="仿宋" w:hAnsi="仿宋" w:eastAsia="仿宋" w:cs="仿宋"/>
          <w:sz w:val="24"/>
        </w:rPr>
      </w:pPr>
      <w:r>
        <w:rPr>
          <w:rFonts w:hint="eastAsia" w:ascii="仿宋" w:hAnsi="仿宋" w:eastAsia="仿宋" w:cs="仿宋"/>
          <w:sz w:val="24"/>
        </w:rPr>
        <w:t xml:space="preserve">本公司（联合体）郑重声明，根据《政府采购促进中小企业发展管理办法》（财库﹝2020﹞46 号）的规定，本公司（联合体）参加 </w:t>
      </w:r>
      <w:r>
        <w:rPr>
          <w:rFonts w:hint="eastAsia" w:ascii="仿宋" w:hAnsi="仿宋" w:eastAsia="仿宋" w:cs="仿宋"/>
          <w:sz w:val="24"/>
          <w:u w:val="single"/>
        </w:rPr>
        <w:t xml:space="preserve">（采购人） </w:t>
      </w:r>
      <w:r>
        <w:rPr>
          <w:rFonts w:hint="eastAsia" w:ascii="仿宋" w:hAnsi="仿宋" w:eastAsia="仿宋" w:cs="仿宋"/>
          <w:sz w:val="24"/>
        </w:rPr>
        <w:t>的</w:t>
      </w:r>
      <w:r>
        <w:rPr>
          <w:rFonts w:hint="eastAsia" w:ascii="仿宋" w:hAnsi="仿宋" w:eastAsia="仿宋" w:cs="仿宋"/>
          <w:sz w:val="24"/>
          <w:u w:val="single"/>
        </w:rPr>
        <w:t xml:space="preserve"> （项目名称） </w:t>
      </w:r>
      <w:r>
        <w:rPr>
          <w:rFonts w:hint="eastAsia" w:ascii="仿宋" w:hAnsi="仿宋" w:eastAsia="仿宋" w:cs="仿宋"/>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rPr>
        <w:t xml:space="preserve"> </w:t>
      </w:r>
      <w:r>
        <w:rPr>
          <w:rFonts w:hint="eastAsia" w:ascii="仿宋" w:hAnsi="仿宋" w:eastAsia="仿宋" w:cs="仿宋"/>
          <w:sz w:val="24"/>
          <w:u w:val="single"/>
        </w:rPr>
        <w:t>（标的名称）</w:t>
      </w:r>
      <w:r>
        <w:rPr>
          <w:rFonts w:hint="eastAsia" w:ascii="仿宋" w:hAnsi="仿宋" w:eastAsia="仿宋" w:cs="仿宋"/>
          <w:sz w:val="24"/>
        </w:rPr>
        <w:t xml:space="preserve">，属于 </w:t>
      </w:r>
      <w:r>
        <w:rPr>
          <w:rFonts w:hint="eastAsia" w:ascii="仿宋" w:hAnsi="仿宋" w:eastAsia="仿宋" w:cs="仿宋"/>
          <w:sz w:val="24"/>
          <w:u w:val="single"/>
        </w:rPr>
        <w:t>（采购文件中明确的所属行业）</w:t>
      </w:r>
      <w:r>
        <w:rPr>
          <w:rFonts w:hint="eastAsia" w:ascii="仿宋" w:hAnsi="仿宋" w:eastAsia="仿宋" w:cs="仿宋"/>
          <w:sz w:val="24"/>
        </w:rPr>
        <w:t xml:space="preserve"> ；承建（承接）企业为 </w:t>
      </w:r>
      <w:r>
        <w:rPr>
          <w:rFonts w:hint="eastAsia" w:ascii="仿宋" w:hAnsi="仿宋" w:eastAsia="仿宋" w:cs="仿宋"/>
          <w:sz w:val="24"/>
          <w:u w:val="single"/>
        </w:rPr>
        <w:t>（企业名称）</w:t>
      </w:r>
      <w:r>
        <w:rPr>
          <w:rFonts w:hint="eastAsia" w:ascii="仿宋" w:hAnsi="仿宋" w:eastAsia="仿宋" w:cs="仿宋"/>
          <w:sz w:val="24"/>
        </w:rPr>
        <w:t xml:space="preserve"> ，从业人员</w:t>
      </w:r>
      <w:r>
        <w:rPr>
          <w:rFonts w:hint="eastAsia" w:ascii="仿宋" w:hAnsi="仿宋" w:eastAsia="仿宋" w:cs="仿宋"/>
          <w:sz w:val="24"/>
          <w:u w:val="single"/>
        </w:rPr>
        <w:t xml:space="preserve">   </w:t>
      </w:r>
      <w:r>
        <w:rPr>
          <w:rFonts w:hint="eastAsia" w:ascii="仿宋" w:hAnsi="仿宋" w:eastAsia="仿宋" w:cs="仿宋"/>
          <w:sz w:val="24"/>
        </w:rPr>
        <w:t>人，营业收入为</w:t>
      </w:r>
      <w:r>
        <w:rPr>
          <w:rFonts w:hint="eastAsia" w:ascii="仿宋" w:hAnsi="仿宋" w:eastAsia="仿宋" w:cs="仿宋"/>
          <w:sz w:val="24"/>
          <w:u w:val="single"/>
        </w:rPr>
        <w:t xml:space="preserve">  </w:t>
      </w:r>
      <w:r>
        <w:rPr>
          <w:rFonts w:hint="eastAsia" w:ascii="仿宋" w:hAnsi="仿宋" w:eastAsia="仿宋" w:cs="仿宋"/>
          <w:sz w:val="24"/>
        </w:rPr>
        <w:t>万元，资产总额为</w:t>
      </w:r>
      <w:r>
        <w:rPr>
          <w:rFonts w:hint="eastAsia" w:ascii="仿宋" w:hAnsi="仿宋" w:eastAsia="仿宋" w:cs="仿宋"/>
          <w:sz w:val="24"/>
          <w:u w:val="single"/>
        </w:rPr>
        <w:t xml:space="preserve">   </w:t>
      </w:r>
      <w:r>
        <w:rPr>
          <w:rFonts w:hint="eastAsia" w:ascii="仿宋" w:hAnsi="仿宋" w:eastAsia="仿宋" w:cs="仿宋"/>
          <w:sz w:val="24"/>
        </w:rPr>
        <w:t>万元属于</w:t>
      </w:r>
      <w:r>
        <w:rPr>
          <w:rFonts w:hint="eastAsia" w:ascii="仿宋" w:hAnsi="仿宋" w:eastAsia="仿宋" w:cs="仿宋"/>
          <w:sz w:val="24"/>
          <w:u w:val="single"/>
        </w:rPr>
        <w:t xml:space="preserve"> （中型企业、小型企业、微型企业） </w:t>
      </w: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本企业对上述声明内容的真实性负责。如有虚假，将依法承担相应责任。</w:t>
      </w:r>
    </w:p>
    <w:p>
      <w:pPr>
        <w:spacing w:line="360" w:lineRule="auto"/>
        <w:ind w:right="1760"/>
        <w:jc w:val="right"/>
        <w:rPr>
          <w:rFonts w:hint="eastAsia" w:ascii="仿宋" w:hAnsi="仿宋" w:eastAsia="仿宋" w:cs="仿宋"/>
          <w:sz w:val="24"/>
        </w:rPr>
      </w:pPr>
      <w:r>
        <w:rPr>
          <w:rFonts w:hint="eastAsia" w:ascii="仿宋" w:hAnsi="仿宋" w:eastAsia="仿宋" w:cs="仿宋"/>
          <w:sz w:val="24"/>
        </w:rPr>
        <w:t>投标人名称（电子签名）：</w:t>
      </w:r>
    </w:p>
    <w:p>
      <w:pPr>
        <w:spacing w:line="360" w:lineRule="auto"/>
        <w:ind w:right="1120" w:firstLine="4680" w:firstLineChars="1950"/>
        <w:rPr>
          <w:rFonts w:hint="eastAsia" w:ascii="仿宋" w:hAnsi="仿宋" w:eastAsia="仿宋" w:cs="仿宋"/>
          <w:sz w:val="24"/>
        </w:rPr>
      </w:pPr>
      <w:r>
        <w:rPr>
          <w:rFonts w:hint="eastAsia" w:ascii="仿宋" w:hAnsi="仿宋" w:eastAsia="仿宋" w:cs="仿宋"/>
          <w:sz w:val="24"/>
        </w:rPr>
        <w:t>日 期：</w:t>
      </w:r>
    </w:p>
    <w:p>
      <w:pPr>
        <w:spacing w:line="360" w:lineRule="auto"/>
        <w:ind w:firstLine="310" w:firstLineChars="147"/>
        <w:jc w:val="left"/>
        <w:rPr>
          <w:rFonts w:hint="eastAsia"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pPr>
        <w:spacing w:line="360" w:lineRule="auto"/>
        <w:ind w:right="420"/>
        <w:rPr>
          <w:rFonts w:hint="eastAsia" w:ascii="仿宋" w:hAnsi="仿宋" w:eastAsia="仿宋" w:cs="仿宋"/>
          <w:sz w:val="24"/>
        </w:rPr>
      </w:pPr>
    </w:p>
    <w:p>
      <w:pPr>
        <w:spacing w:line="360" w:lineRule="auto"/>
        <w:ind w:right="420"/>
        <w:rPr>
          <w:rFonts w:hint="eastAsia" w:ascii="仿宋" w:hAnsi="仿宋" w:eastAsia="仿宋" w:cs="仿宋"/>
          <w:sz w:val="24"/>
        </w:rPr>
      </w:pPr>
      <w:r>
        <w:rPr>
          <w:rFonts w:hint="eastAsia" w:ascii="仿宋" w:hAnsi="仿宋" w:eastAsia="仿宋" w:cs="仿宋"/>
          <w:sz w:val="24"/>
        </w:rPr>
        <w:t xml:space="preserve">   注：</w:t>
      </w:r>
    </w:p>
    <w:p>
      <w:pPr>
        <w:spacing w:line="360" w:lineRule="auto"/>
        <w:ind w:right="420" w:firstLine="480" w:firstLineChars="200"/>
        <w:rPr>
          <w:rFonts w:hint="eastAsia" w:ascii="仿宋" w:hAnsi="仿宋" w:eastAsia="仿宋" w:cs="仿宋"/>
          <w:sz w:val="24"/>
        </w:rPr>
      </w:pPr>
      <w:r>
        <w:rPr>
          <w:rFonts w:hint="eastAsia" w:ascii="仿宋" w:hAnsi="仿宋" w:eastAsia="仿宋" w:cs="仿宋"/>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sz w:val="24"/>
        </w:rPr>
      </w:pPr>
      <w:r>
        <w:rPr>
          <w:rFonts w:hint="eastAsia" w:ascii="仿宋" w:hAnsi="仿宋" w:eastAsia="仿宋" w:cs="仿宋"/>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4"/>
        <w:rPr>
          <w:rFonts w:hint="eastAsia" w:ascii="仿宋" w:hAnsi="仿宋" w:eastAsia="仿宋" w:cs="仿宋"/>
          <w:lang w:val="en-US"/>
        </w:rPr>
      </w:pPr>
    </w:p>
    <w:p>
      <w:pPr>
        <w:spacing w:line="360" w:lineRule="auto"/>
        <w:ind w:right="420"/>
        <w:rPr>
          <w:rFonts w:hint="eastAsia" w:ascii="仿宋" w:hAnsi="仿宋" w:eastAsia="仿宋" w:cs="仿宋"/>
        </w:rPr>
      </w:pPr>
    </w:p>
    <w:p>
      <w:pPr>
        <w:spacing w:line="360" w:lineRule="auto"/>
        <w:rPr>
          <w:rFonts w:hint="eastAsia" w:ascii="仿宋" w:hAnsi="仿宋" w:eastAsia="仿宋" w:cs="仿宋"/>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38" w:name="_Toc164085800"/>
    <w:bookmarkStart w:id="539" w:name="_Toc36110187"/>
    <w:bookmarkStart w:id="540" w:name="_Toc131845147"/>
    <w:bookmarkStart w:id="541" w:name="_Toc91899912"/>
    <w:r>
      <w:rPr>
        <w:rFonts w:hint="eastAsia" w:ascii="仿宋_GB2312" w:eastAsia="仿宋_GB2312"/>
        <w:kern w:val="0"/>
        <w:szCs w:val="21"/>
      </w:rPr>
      <w:t xml:space="preserve"> 页</w:t>
    </w:r>
    <w:bookmarkEnd w:id="538"/>
    <w:bookmarkEnd w:id="539"/>
    <w:bookmarkEnd w:id="540"/>
    <w:bookmarkEnd w:id="54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w:t>
    </w:r>
    <w:r>
      <w:rPr>
        <w:rFonts w:hint="eastAsia"/>
        <w:lang w:eastAsia="zh-CN"/>
      </w:rPr>
      <w:t>临安区</w:t>
    </w:r>
    <w:r>
      <w:t>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w:t>
    </w:r>
    <w:r>
      <w:rPr>
        <w:rFonts w:hint="eastAsia"/>
        <w:lang w:val="zh-CN" w:eastAsia="zh-CN"/>
      </w:rPr>
      <w:t>临安区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w:t>
    </w:r>
    <w:r>
      <w:rPr>
        <w:rFonts w:hint="eastAsia"/>
        <w:lang w:eastAsia="zh-CN"/>
      </w:rPr>
      <w:t>临安区</w:t>
    </w:r>
    <w:r>
      <w:t>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rPr>
        <w:rFonts w:hint="eastAsia"/>
        <w:lang w:eastAsia="zh-CN"/>
      </w:rPr>
      <w:t>杭州市临安区</w:t>
    </w:r>
    <w:r>
      <w:t>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w:t>
    </w:r>
    <w:r>
      <w:rPr>
        <w:rFonts w:hint="eastAsia"/>
        <w:lang w:eastAsia="zh-CN"/>
      </w:rPr>
      <w:t>临安区</w:t>
    </w: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w:t>
    </w:r>
    <w:r>
      <w:rPr>
        <w:rFonts w:hint="eastAsia"/>
        <w:lang w:eastAsia="zh-CN"/>
      </w:rPr>
      <w:t>临安区</w:t>
    </w: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748E9"/>
    <w:multiLevelType w:val="singleLevel"/>
    <w:tmpl w:val="82C748E9"/>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5YmY4OGYyYWMxMWVhZDVhNmM4YzZhN2FjM2FiMz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F7B"/>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C0DC1"/>
    <w:rsid w:val="011F6449"/>
    <w:rsid w:val="01215265"/>
    <w:rsid w:val="01236AFB"/>
    <w:rsid w:val="0140542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7703D1"/>
    <w:rsid w:val="06846D09"/>
    <w:rsid w:val="06930BB8"/>
    <w:rsid w:val="07245D42"/>
    <w:rsid w:val="07264C62"/>
    <w:rsid w:val="0779354C"/>
    <w:rsid w:val="08061099"/>
    <w:rsid w:val="08061376"/>
    <w:rsid w:val="08452D77"/>
    <w:rsid w:val="086401F8"/>
    <w:rsid w:val="08741DD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C06F3C"/>
    <w:rsid w:val="0EF94D4B"/>
    <w:rsid w:val="0F4958DC"/>
    <w:rsid w:val="0F515DF7"/>
    <w:rsid w:val="0F596BA8"/>
    <w:rsid w:val="0F6248D2"/>
    <w:rsid w:val="0F693536"/>
    <w:rsid w:val="0F7B0511"/>
    <w:rsid w:val="0F7B76D9"/>
    <w:rsid w:val="0F816ACD"/>
    <w:rsid w:val="0F8700B0"/>
    <w:rsid w:val="0F9832DB"/>
    <w:rsid w:val="0FBF3FD2"/>
    <w:rsid w:val="0FBF7FF3"/>
    <w:rsid w:val="0FEF46CB"/>
    <w:rsid w:val="101379BD"/>
    <w:rsid w:val="10172CD9"/>
    <w:rsid w:val="10211912"/>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615292"/>
    <w:rsid w:val="15762120"/>
    <w:rsid w:val="15883CE7"/>
    <w:rsid w:val="15D46730"/>
    <w:rsid w:val="16040038"/>
    <w:rsid w:val="165D3F90"/>
    <w:rsid w:val="16A8729C"/>
    <w:rsid w:val="16B33777"/>
    <w:rsid w:val="16BC70A7"/>
    <w:rsid w:val="16C6339E"/>
    <w:rsid w:val="172F2D79"/>
    <w:rsid w:val="17557BEF"/>
    <w:rsid w:val="176D2553"/>
    <w:rsid w:val="17D349C1"/>
    <w:rsid w:val="1830729E"/>
    <w:rsid w:val="1870062C"/>
    <w:rsid w:val="18817102"/>
    <w:rsid w:val="18830A15"/>
    <w:rsid w:val="18852B28"/>
    <w:rsid w:val="188B5321"/>
    <w:rsid w:val="18A36D30"/>
    <w:rsid w:val="18B44BFB"/>
    <w:rsid w:val="19932372"/>
    <w:rsid w:val="19A20DD5"/>
    <w:rsid w:val="19AE03F1"/>
    <w:rsid w:val="19BC1344"/>
    <w:rsid w:val="19D137B6"/>
    <w:rsid w:val="1A071A03"/>
    <w:rsid w:val="1A1F16AE"/>
    <w:rsid w:val="1A385693"/>
    <w:rsid w:val="1A3B5C77"/>
    <w:rsid w:val="1A4B1634"/>
    <w:rsid w:val="1A700747"/>
    <w:rsid w:val="1A984BAD"/>
    <w:rsid w:val="1AB8220E"/>
    <w:rsid w:val="1AE4166C"/>
    <w:rsid w:val="1AF06CFB"/>
    <w:rsid w:val="1AF11B8D"/>
    <w:rsid w:val="1B11359C"/>
    <w:rsid w:val="1B2A271F"/>
    <w:rsid w:val="1B530544"/>
    <w:rsid w:val="1B713184"/>
    <w:rsid w:val="1BA209CF"/>
    <w:rsid w:val="1BB4777D"/>
    <w:rsid w:val="1BD75AB8"/>
    <w:rsid w:val="1C0459C2"/>
    <w:rsid w:val="1C197642"/>
    <w:rsid w:val="1C1B3B4A"/>
    <w:rsid w:val="1C88086E"/>
    <w:rsid w:val="1CA14B3E"/>
    <w:rsid w:val="1D105A6B"/>
    <w:rsid w:val="1D266CE1"/>
    <w:rsid w:val="1D3963AF"/>
    <w:rsid w:val="1D6A673C"/>
    <w:rsid w:val="1D9247AE"/>
    <w:rsid w:val="1D9460A0"/>
    <w:rsid w:val="1DB24F43"/>
    <w:rsid w:val="1DB567EC"/>
    <w:rsid w:val="1DF51A98"/>
    <w:rsid w:val="1E1728D4"/>
    <w:rsid w:val="1E3D060F"/>
    <w:rsid w:val="1E3F7D2E"/>
    <w:rsid w:val="1E4134E4"/>
    <w:rsid w:val="1E5062B3"/>
    <w:rsid w:val="1E523514"/>
    <w:rsid w:val="1E714A66"/>
    <w:rsid w:val="1E802593"/>
    <w:rsid w:val="1E8B6156"/>
    <w:rsid w:val="1EA703CC"/>
    <w:rsid w:val="1EB7330C"/>
    <w:rsid w:val="1F0A0FF3"/>
    <w:rsid w:val="1F4846B0"/>
    <w:rsid w:val="1F4D2133"/>
    <w:rsid w:val="1F5771FF"/>
    <w:rsid w:val="1F707BF4"/>
    <w:rsid w:val="1FC67EDB"/>
    <w:rsid w:val="1FE868A9"/>
    <w:rsid w:val="20034907"/>
    <w:rsid w:val="20173E4B"/>
    <w:rsid w:val="204E48BC"/>
    <w:rsid w:val="208921B3"/>
    <w:rsid w:val="20973DEB"/>
    <w:rsid w:val="20B26522"/>
    <w:rsid w:val="20B44310"/>
    <w:rsid w:val="211116EB"/>
    <w:rsid w:val="214617B0"/>
    <w:rsid w:val="216133FC"/>
    <w:rsid w:val="21D56769"/>
    <w:rsid w:val="21E52EF3"/>
    <w:rsid w:val="21FB5D7B"/>
    <w:rsid w:val="22015E94"/>
    <w:rsid w:val="220B1C3D"/>
    <w:rsid w:val="221D1D20"/>
    <w:rsid w:val="221F7F06"/>
    <w:rsid w:val="22334A87"/>
    <w:rsid w:val="22681CE7"/>
    <w:rsid w:val="22BE6801"/>
    <w:rsid w:val="233500BF"/>
    <w:rsid w:val="23377FF7"/>
    <w:rsid w:val="236B425F"/>
    <w:rsid w:val="23836192"/>
    <w:rsid w:val="23901F29"/>
    <w:rsid w:val="239C0061"/>
    <w:rsid w:val="23B908A4"/>
    <w:rsid w:val="23CB1B9A"/>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5401D3"/>
    <w:rsid w:val="265E267C"/>
    <w:rsid w:val="26871DC8"/>
    <w:rsid w:val="2687275F"/>
    <w:rsid w:val="26A53EF9"/>
    <w:rsid w:val="26A94201"/>
    <w:rsid w:val="26AC274F"/>
    <w:rsid w:val="27044A29"/>
    <w:rsid w:val="271D34C8"/>
    <w:rsid w:val="276142BF"/>
    <w:rsid w:val="27783712"/>
    <w:rsid w:val="27907362"/>
    <w:rsid w:val="27D7516F"/>
    <w:rsid w:val="28333E1D"/>
    <w:rsid w:val="28452B95"/>
    <w:rsid w:val="28454BD6"/>
    <w:rsid w:val="28455253"/>
    <w:rsid w:val="28551971"/>
    <w:rsid w:val="285B1C53"/>
    <w:rsid w:val="289F7086"/>
    <w:rsid w:val="28C32028"/>
    <w:rsid w:val="28CC490F"/>
    <w:rsid w:val="28DE40AA"/>
    <w:rsid w:val="29345E77"/>
    <w:rsid w:val="294C65AD"/>
    <w:rsid w:val="29806583"/>
    <w:rsid w:val="298B3C4C"/>
    <w:rsid w:val="29B81267"/>
    <w:rsid w:val="29C937E1"/>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7C42AF"/>
    <w:rsid w:val="2E9A3C18"/>
    <w:rsid w:val="2EA11F43"/>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B37BC7"/>
    <w:rsid w:val="31E3679B"/>
    <w:rsid w:val="31E732FD"/>
    <w:rsid w:val="32517576"/>
    <w:rsid w:val="32BE5C2C"/>
    <w:rsid w:val="32E82827"/>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4919"/>
    <w:rsid w:val="358D5588"/>
    <w:rsid w:val="359604D3"/>
    <w:rsid w:val="362447C4"/>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92356"/>
    <w:rsid w:val="38BC0149"/>
    <w:rsid w:val="38D87D1C"/>
    <w:rsid w:val="39636459"/>
    <w:rsid w:val="396B7F6C"/>
    <w:rsid w:val="39B417A9"/>
    <w:rsid w:val="39FC5695"/>
    <w:rsid w:val="3A006D8E"/>
    <w:rsid w:val="3A3651E5"/>
    <w:rsid w:val="3A744481"/>
    <w:rsid w:val="3A8C7BEF"/>
    <w:rsid w:val="3A906246"/>
    <w:rsid w:val="3ADF1B49"/>
    <w:rsid w:val="3B2349B7"/>
    <w:rsid w:val="3B616CFF"/>
    <w:rsid w:val="3B6259F6"/>
    <w:rsid w:val="3B976654"/>
    <w:rsid w:val="3BAE107E"/>
    <w:rsid w:val="3BC01EFC"/>
    <w:rsid w:val="3BCA786A"/>
    <w:rsid w:val="3BD31E2F"/>
    <w:rsid w:val="3BF15831"/>
    <w:rsid w:val="3C105946"/>
    <w:rsid w:val="3C471448"/>
    <w:rsid w:val="3C5F759A"/>
    <w:rsid w:val="3C6C525A"/>
    <w:rsid w:val="3CCE23CB"/>
    <w:rsid w:val="3CD17D17"/>
    <w:rsid w:val="3CFD599A"/>
    <w:rsid w:val="3D324FCC"/>
    <w:rsid w:val="3D3C7F39"/>
    <w:rsid w:val="3D440F09"/>
    <w:rsid w:val="3D4504A0"/>
    <w:rsid w:val="3D8734BB"/>
    <w:rsid w:val="3D9A11D4"/>
    <w:rsid w:val="3DA16D89"/>
    <w:rsid w:val="3DA364BE"/>
    <w:rsid w:val="3DCB0B67"/>
    <w:rsid w:val="3DE041CB"/>
    <w:rsid w:val="3E0D48F6"/>
    <w:rsid w:val="3E1868B4"/>
    <w:rsid w:val="3E377251"/>
    <w:rsid w:val="3E42664B"/>
    <w:rsid w:val="3E5A7334"/>
    <w:rsid w:val="3E7B5D6B"/>
    <w:rsid w:val="3E843E66"/>
    <w:rsid w:val="3E8F51FE"/>
    <w:rsid w:val="3E926F87"/>
    <w:rsid w:val="3E9A59DE"/>
    <w:rsid w:val="3EAB42AF"/>
    <w:rsid w:val="3EAF4836"/>
    <w:rsid w:val="3EC069FC"/>
    <w:rsid w:val="3EC33DFA"/>
    <w:rsid w:val="3F060E16"/>
    <w:rsid w:val="3F1D1096"/>
    <w:rsid w:val="3F2F0234"/>
    <w:rsid w:val="3F6363FE"/>
    <w:rsid w:val="3F756B8F"/>
    <w:rsid w:val="3F95482B"/>
    <w:rsid w:val="40132208"/>
    <w:rsid w:val="4019356B"/>
    <w:rsid w:val="40592157"/>
    <w:rsid w:val="405B7DCC"/>
    <w:rsid w:val="406E1CAE"/>
    <w:rsid w:val="40A0133A"/>
    <w:rsid w:val="40C31A53"/>
    <w:rsid w:val="40FF545D"/>
    <w:rsid w:val="410067C8"/>
    <w:rsid w:val="418F0D2A"/>
    <w:rsid w:val="41A04E85"/>
    <w:rsid w:val="41D01505"/>
    <w:rsid w:val="42474939"/>
    <w:rsid w:val="424C3C57"/>
    <w:rsid w:val="42613FF3"/>
    <w:rsid w:val="42660D96"/>
    <w:rsid w:val="428667D2"/>
    <w:rsid w:val="42B54E19"/>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A45D53"/>
    <w:rsid w:val="45C63B94"/>
    <w:rsid w:val="460E7DA5"/>
    <w:rsid w:val="46422483"/>
    <w:rsid w:val="4659254A"/>
    <w:rsid w:val="465B0637"/>
    <w:rsid w:val="465E3F0D"/>
    <w:rsid w:val="466A16E6"/>
    <w:rsid w:val="46893F2B"/>
    <w:rsid w:val="46C4686E"/>
    <w:rsid w:val="46EB3220"/>
    <w:rsid w:val="477B778F"/>
    <w:rsid w:val="478203EC"/>
    <w:rsid w:val="47B025FA"/>
    <w:rsid w:val="47FC22E0"/>
    <w:rsid w:val="4809698F"/>
    <w:rsid w:val="4811697D"/>
    <w:rsid w:val="487A3E25"/>
    <w:rsid w:val="488B5503"/>
    <w:rsid w:val="48937E21"/>
    <w:rsid w:val="489A0361"/>
    <w:rsid w:val="48B94FF3"/>
    <w:rsid w:val="48C46B3C"/>
    <w:rsid w:val="48E37AAB"/>
    <w:rsid w:val="48FD4B4C"/>
    <w:rsid w:val="490A68E0"/>
    <w:rsid w:val="491055FE"/>
    <w:rsid w:val="495F5B3E"/>
    <w:rsid w:val="496F77D7"/>
    <w:rsid w:val="497654FD"/>
    <w:rsid w:val="49B64211"/>
    <w:rsid w:val="49F6167F"/>
    <w:rsid w:val="4A064FA0"/>
    <w:rsid w:val="4A16615C"/>
    <w:rsid w:val="4A4036F8"/>
    <w:rsid w:val="4A4424D7"/>
    <w:rsid w:val="4A5E03F6"/>
    <w:rsid w:val="4AB82D0F"/>
    <w:rsid w:val="4AEB7664"/>
    <w:rsid w:val="4AFD7C19"/>
    <w:rsid w:val="4B0567D1"/>
    <w:rsid w:val="4B236AAE"/>
    <w:rsid w:val="4B4B5782"/>
    <w:rsid w:val="4B707271"/>
    <w:rsid w:val="4B9739F7"/>
    <w:rsid w:val="4BC73A83"/>
    <w:rsid w:val="4BEE2503"/>
    <w:rsid w:val="4BF113BC"/>
    <w:rsid w:val="4C245A30"/>
    <w:rsid w:val="4CB6685F"/>
    <w:rsid w:val="4CC367FE"/>
    <w:rsid w:val="4D077F3C"/>
    <w:rsid w:val="4D123355"/>
    <w:rsid w:val="4D2A3B31"/>
    <w:rsid w:val="4D312C52"/>
    <w:rsid w:val="4D8821DE"/>
    <w:rsid w:val="4D905305"/>
    <w:rsid w:val="4D964A72"/>
    <w:rsid w:val="4D9C1254"/>
    <w:rsid w:val="4E143196"/>
    <w:rsid w:val="4E73628E"/>
    <w:rsid w:val="4E793892"/>
    <w:rsid w:val="4E800872"/>
    <w:rsid w:val="4EC569ED"/>
    <w:rsid w:val="4ED50EA1"/>
    <w:rsid w:val="4EEC050C"/>
    <w:rsid w:val="4F104EC3"/>
    <w:rsid w:val="4F206C89"/>
    <w:rsid w:val="4F3D70A6"/>
    <w:rsid w:val="4F47354A"/>
    <w:rsid w:val="4F911C54"/>
    <w:rsid w:val="4FE625E0"/>
    <w:rsid w:val="501F7A64"/>
    <w:rsid w:val="5021480F"/>
    <w:rsid w:val="50962ECB"/>
    <w:rsid w:val="50A42E38"/>
    <w:rsid w:val="50A4577F"/>
    <w:rsid w:val="50B73D1F"/>
    <w:rsid w:val="50BD5BC9"/>
    <w:rsid w:val="50C11EEE"/>
    <w:rsid w:val="50E97CFC"/>
    <w:rsid w:val="50FA4028"/>
    <w:rsid w:val="510D65B7"/>
    <w:rsid w:val="511157AB"/>
    <w:rsid w:val="5115444C"/>
    <w:rsid w:val="5142540C"/>
    <w:rsid w:val="518832C8"/>
    <w:rsid w:val="519D3C50"/>
    <w:rsid w:val="51A0432A"/>
    <w:rsid w:val="51A86090"/>
    <w:rsid w:val="51B7396D"/>
    <w:rsid w:val="522E4CC3"/>
    <w:rsid w:val="523E0E8E"/>
    <w:rsid w:val="5244713B"/>
    <w:rsid w:val="52615633"/>
    <w:rsid w:val="526F4DE4"/>
    <w:rsid w:val="52977FD4"/>
    <w:rsid w:val="52A25790"/>
    <w:rsid w:val="52A96B6F"/>
    <w:rsid w:val="52B45975"/>
    <w:rsid w:val="52D94AA4"/>
    <w:rsid w:val="52EA3A62"/>
    <w:rsid w:val="52F50BB8"/>
    <w:rsid w:val="53097272"/>
    <w:rsid w:val="53544462"/>
    <w:rsid w:val="5397158E"/>
    <w:rsid w:val="54013861"/>
    <w:rsid w:val="543534C9"/>
    <w:rsid w:val="54487265"/>
    <w:rsid w:val="544D6070"/>
    <w:rsid w:val="54605E1E"/>
    <w:rsid w:val="54B3506A"/>
    <w:rsid w:val="54CA0D16"/>
    <w:rsid w:val="54DD4057"/>
    <w:rsid w:val="54E7490F"/>
    <w:rsid w:val="550764A4"/>
    <w:rsid w:val="550B2BF6"/>
    <w:rsid w:val="55214EB5"/>
    <w:rsid w:val="55364EFD"/>
    <w:rsid w:val="555D4828"/>
    <w:rsid w:val="55750622"/>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D52363"/>
    <w:rsid w:val="58E363A9"/>
    <w:rsid w:val="59216574"/>
    <w:rsid w:val="595E1678"/>
    <w:rsid w:val="596D0EA8"/>
    <w:rsid w:val="596D5BD4"/>
    <w:rsid w:val="597E3DD8"/>
    <w:rsid w:val="59F80043"/>
    <w:rsid w:val="5A09252F"/>
    <w:rsid w:val="5A0B2778"/>
    <w:rsid w:val="5A2405CC"/>
    <w:rsid w:val="5A2A7C7B"/>
    <w:rsid w:val="5A3E2560"/>
    <w:rsid w:val="5A5D3B6E"/>
    <w:rsid w:val="5A637A76"/>
    <w:rsid w:val="5A6D33BA"/>
    <w:rsid w:val="5A792B1F"/>
    <w:rsid w:val="5A874767"/>
    <w:rsid w:val="5AA85BE2"/>
    <w:rsid w:val="5AAD6F28"/>
    <w:rsid w:val="5AD63A24"/>
    <w:rsid w:val="5AE7592C"/>
    <w:rsid w:val="5B2E1A1D"/>
    <w:rsid w:val="5B843A1C"/>
    <w:rsid w:val="5B873E3F"/>
    <w:rsid w:val="5BB44739"/>
    <w:rsid w:val="5BBB1E98"/>
    <w:rsid w:val="5C02690E"/>
    <w:rsid w:val="5C196DA7"/>
    <w:rsid w:val="5C2A048C"/>
    <w:rsid w:val="5C5E4B2A"/>
    <w:rsid w:val="5C80234E"/>
    <w:rsid w:val="5C8A680C"/>
    <w:rsid w:val="5D0C4701"/>
    <w:rsid w:val="5D0F0395"/>
    <w:rsid w:val="5D221076"/>
    <w:rsid w:val="5D397964"/>
    <w:rsid w:val="5D5A391C"/>
    <w:rsid w:val="5D5F10C0"/>
    <w:rsid w:val="5D891B7B"/>
    <w:rsid w:val="5DAD38EE"/>
    <w:rsid w:val="5E006862"/>
    <w:rsid w:val="5E0207B9"/>
    <w:rsid w:val="5E1834A1"/>
    <w:rsid w:val="5E261785"/>
    <w:rsid w:val="5E293DC8"/>
    <w:rsid w:val="5E4A7017"/>
    <w:rsid w:val="5E552BBA"/>
    <w:rsid w:val="5E611C10"/>
    <w:rsid w:val="5E7A0F3F"/>
    <w:rsid w:val="5EFC7377"/>
    <w:rsid w:val="5F06174D"/>
    <w:rsid w:val="5F3A3602"/>
    <w:rsid w:val="5F45733B"/>
    <w:rsid w:val="5F6277C6"/>
    <w:rsid w:val="5F6872E1"/>
    <w:rsid w:val="5F6D0B1D"/>
    <w:rsid w:val="5F8D0B82"/>
    <w:rsid w:val="5FCC5339"/>
    <w:rsid w:val="5FE34A5B"/>
    <w:rsid w:val="5FFE1E36"/>
    <w:rsid w:val="601E4A71"/>
    <w:rsid w:val="60232584"/>
    <w:rsid w:val="607330CE"/>
    <w:rsid w:val="60825176"/>
    <w:rsid w:val="609F2AC4"/>
    <w:rsid w:val="60FA2EE8"/>
    <w:rsid w:val="61054A27"/>
    <w:rsid w:val="610A52BC"/>
    <w:rsid w:val="611D2366"/>
    <w:rsid w:val="61421856"/>
    <w:rsid w:val="615227C4"/>
    <w:rsid w:val="61654E3F"/>
    <w:rsid w:val="6182292A"/>
    <w:rsid w:val="619333F8"/>
    <w:rsid w:val="619F7F92"/>
    <w:rsid w:val="61F94C26"/>
    <w:rsid w:val="62000E56"/>
    <w:rsid w:val="624B270F"/>
    <w:rsid w:val="624F3E49"/>
    <w:rsid w:val="62632286"/>
    <w:rsid w:val="62885958"/>
    <w:rsid w:val="62F40B65"/>
    <w:rsid w:val="62FC2CFE"/>
    <w:rsid w:val="63024505"/>
    <w:rsid w:val="635600A5"/>
    <w:rsid w:val="635B1DB5"/>
    <w:rsid w:val="63711FED"/>
    <w:rsid w:val="63880DDC"/>
    <w:rsid w:val="638D750D"/>
    <w:rsid w:val="63AC6CC0"/>
    <w:rsid w:val="64055776"/>
    <w:rsid w:val="64134FFB"/>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6FB5D03"/>
    <w:rsid w:val="672F3F24"/>
    <w:rsid w:val="673E055F"/>
    <w:rsid w:val="67551CE3"/>
    <w:rsid w:val="678F1F87"/>
    <w:rsid w:val="679501BF"/>
    <w:rsid w:val="67A22552"/>
    <w:rsid w:val="67B22DCC"/>
    <w:rsid w:val="67BE71AA"/>
    <w:rsid w:val="67D90273"/>
    <w:rsid w:val="67DE5875"/>
    <w:rsid w:val="67E55852"/>
    <w:rsid w:val="67EB1AB4"/>
    <w:rsid w:val="67FA1285"/>
    <w:rsid w:val="68551F4F"/>
    <w:rsid w:val="686530D2"/>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704598"/>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B77D85"/>
    <w:rsid w:val="6FD75BF8"/>
    <w:rsid w:val="70231A64"/>
    <w:rsid w:val="707723D0"/>
    <w:rsid w:val="70F5661B"/>
    <w:rsid w:val="71360107"/>
    <w:rsid w:val="713B688E"/>
    <w:rsid w:val="71B43C8D"/>
    <w:rsid w:val="71D43752"/>
    <w:rsid w:val="71F1796A"/>
    <w:rsid w:val="72154626"/>
    <w:rsid w:val="72262B5D"/>
    <w:rsid w:val="72283FF7"/>
    <w:rsid w:val="722E7212"/>
    <w:rsid w:val="723A0474"/>
    <w:rsid w:val="725923E4"/>
    <w:rsid w:val="72855C17"/>
    <w:rsid w:val="72864BF7"/>
    <w:rsid w:val="729023FC"/>
    <w:rsid w:val="73C0646E"/>
    <w:rsid w:val="73EA5216"/>
    <w:rsid w:val="742222F5"/>
    <w:rsid w:val="74476126"/>
    <w:rsid w:val="74706664"/>
    <w:rsid w:val="747F3682"/>
    <w:rsid w:val="749C4185"/>
    <w:rsid w:val="74B006AC"/>
    <w:rsid w:val="75067759"/>
    <w:rsid w:val="752E6DCD"/>
    <w:rsid w:val="7551380D"/>
    <w:rsid w:val="75600BE5"/>
    <w:rsid w:val="7564475C"/>
    <w:rsid w:val="7583797F"/>
    <w:rsid w:val="75983AB9"/>
    <w:rsid w:val="75D20F1D"/>
    <w:rsid w:val="75DA2C18"/>
    <w:rsid w:val="75F54412"/>
    <w:rsid w:val="761D08E0"/>
    <w:rsid w:val="765D347C"/>
    <w:rsid w:val="76826699"/>
    <w:rsid w:val="768D7B78"/>
    <w:rsid w:val="76C87133"/>
    <w:rsid w:val="76CD08D5"/>
    <w:rsid w:val="76DB4B92"/>
    <w:rsid w:val="77052AA4"/>
    <w:rsid w:val="77136511"/>
    <w:rsid w:val="77340A39"/>
    <w:rsid w:val="77351FD0"/>
    <w:rsid w:val="7741307A"/>
    <w:rsid w:val="77472422"/>
    <w:rsid w:val="777F31F2"/>
    <w:rsid w:val="77D1700D"/>
    <w:rsid w:val="77EC04CC"/>
    <w:rsid w:val="77FE7979"/>
    <w:rsid w:val="78775729"/>
    <w:rsid w:val="789D5E1A"/>
    <w:rsid w:val="78A42DB0"/>
    <w:rsid w:val="78A656AB"/>
    <w:rsid w:val="78B2245C"/>
    <w:rsid w:val="78C21213"/>
    <w:rsid w:val="78E172CC"/>
    <w:rsid w:val="78EA1D1F"/>
    <w:rsid w:val="7904172F"/>
    <w:rsid w:val="790F7E27"/>
    <w:rsid w:val="792A231A"/>
    <w:rsid w:val="79316829"/>
    <w:rsid w:val="797E66A9"/>
    <w:rsid w:val="798518A4"/>
    <w:rsid w:val="79A97383"/>
    <w:rsid w:val="79D97E64"/>
    <w:rsid w:val="79E206F7"/>
    <w:rsid w:val="79E27E8B"/>
    <w:rsid w:val="79F850CE"/>
    <w:rsid w:val="79FD443C"/>
    <w:rsid w:val="7A1D1975"/>
    <w:rsid w:val="7A3E5150"/>
    <w:rsid w:val="7A4670D6"/>
    <w:rsid w:val="7A534B63"/>
    <w:rsid w:val="7A545068"/>
    <w:rsid w:val="7A615382"/>
    <w:rsid w:val="7A67303B"/>
    <w:rsid w:val="7A673A5E"/>
    <w:rsid w:val="7AAB1D04"/>
    <w:rsid w:val="7ABA4368"/>
    <w:rsid w:val="7ACE54A2"/>
    <w:rsid w:val="7AD05746"/>
    <w:rsid w:val="7B257FFD"/>
    <w:rsid w:val="7B343476"/>
    <w:rsid w:val="7B5A2978"/>
    <w:rsid w:val="7B5A7E4C"/>
    <w:rsid w:val="7B667AF9"/>
    <w:rsid w:val="7B7468F8"/>
    <w:rsid w:val="7BEE0103"/>
    <w:rsid w:val="7C0A0FE4"/>
    <w:rsid w:val="7C254906"/>
    <w:rsid w:val="7C590818"/>
    <w:rsid w:val="7C7C10F6"/>
    <w:rsid w:val="7C853BEA"/>
    <w:rsid w:val="7C881368"/>
    <w:rsid w:val="7CC01DAE"/>
    <w:rsid w:val="7CE27788"/>
    <w:rsid w:val="7D0C32F1"/>
    <w:rsid w:val="7D0F408D"/>
    <w:rsid w:val="7D491C6C"/>
    <w:rsid w:val="7D5429C0"/>
    <w:rsid w:val="7D6E6D43"/>
    <w:rsid w:val="7DB57A34"/>
    <w:rsid w:val="7DE60973"/>
    <w:rsid w:val="7DE912F5"/>
    <w:rsid w:val="7DEF0916"/>
    <w:rsid w:val="7E1E5218"/>
    <w:rsid w:val="7E874948"/>
    <w:rsid w:val="7E9A4E1F"/>
    <w:rsid w:val="7EA7723A"/>
    <w:rsid w:val="7EF56FBB"/>
    <w:rsid w:val="7F0768EB"/>
    <w:rsid w:val="7F143BEC"/>
    <w:rsid w:val="7F715AF2"/>
    <w:rsid w:val="7F7C39EA"/>
    <w:rsid w:val="7F886E69"/>
    <w:rsid w:val="7FAB26BC"/>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1"/>
    <w:link w:val="318"/>
    <w:qFormat/>
    <w:uiPriority w:val="0"/>
    <w:pPr>
      <w:ind w:firstLine="420"/>
    </w:pPr>
    <w:rPr>
      <w:rFonts w:hAnsi="Calibri" w:cs="Times New Roman"/>
      <w:snapToGrid/>
      <w:szCs w:val="20"/>
    </w:rPr>
  </w:style>
  <w:style w:type="paragraph" w:styleId="25">
    <w:name w:val="Body Text Indent"/>
    <w:basedOn w:val="1"/>
    <w:next w:val="1"/>
    <w:link w:val="262"/>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2"/>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78"/>
    <w:qFormat/>
    <w:uiPriority w:val="0"/>
    <w:pPr>
      <w:ind w:left="100" w:leftChars="2500"/>
    </w:pPr>
    <w:rPr>
      <w:rFonts w:ascii="宋体"/>
      <w:sz w:val="24"/>
      <w:szCs w:val="21"/>
      <w:lang w:val="zh-CN"/>
    </w:rPr>
  </w:style>
  <w:style w:type="paragraph" w:styleId="37">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8">
    <w:name w:val="endnote text"/>
    <w:basedOn w:val="1"/>
    <w:link w:val="929"/>
    <w:qFormat/>
    <w:uiPriority w:val="0"/>
    <w:rPr>
      <w:lang w:val="zh-CN"/>
    </w:rPr>
  </w:style>
  <w:style w:type="paragraph" w:styleId="39">
    <w:name w:val="Balloon Text"/>
    <w:basedOn w:val="1"/>
    <w:link w:val="185"/>
    <w:qFormat/>
    <w:uiPriority w:val="0"/>
    <w:rPr>
      <w:sz w:val="18"/>
      <w:szCs w:val="18"/>
    </w:rPr>
  </w:style>
  <w:style w:type="paragraph" w:styleId="40">
    <w:name w:val="footer"/>
    <w:basedOn w:val="1"/>
    <w:link w:val="380"/>
    <w:qFormat/>
    <w:uiPriority w:val="99"/>
    <w:pPr>
      <w:tabs>
        <w:tab w:val="center" w:pos="4153"/>
        <w:tab w:val="right" w:pos="8306"/>
      </w:tabs>
      <w:snapToGrid w:val="0"/>
      <w:jc w:val="left"/>
    </w:pPr>
    <w:rPr>
      <w:sz w:val="18"/>
      <w:szCs w:val="18"/>
    </w:rPr>
  </w:style>
  <w:style w:type="paragraph" w:styleId="41">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2"/>
    <w:link w:val="307"/>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2"/>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299"/>
    <w:qFormat/>
    <w:uiPriority w:val="0"/>
    <w:pPr>
      <w:spacing w:after="120" w:line="480" w:lineRule="auto"/>
    </w:pPr>
  </w:style>
  <w:style w:type="paragraph" w:styleId="57">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3"/>
    <w:qFormat/>
    <w:uiPriority w:val="0"/>
    <w:rPr>
      <w:b/>
      <w:bCs/>
    </w:rPr>
  </w:style>
  <w:style w:type="paragraph" w:styleId="61">
    <w:name w:val="Body Text First Indent 2"/>
    <w:basedOn w:val="25"/>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字符"/>
    <w:link w:val="60"/>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文本首行缩进 2 字符"/>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字符"/>
    <w:link w:val="47"/>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字符"/>
    <w:link w:val="8"/>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字符"/>
    <w:link w:val="36"/>
    <w:qFormat/>
    <w:uiPriority w:val="0"/>
    <w:rPr>
      <w:rFonts w:ascii="宋体"/>
      <w:kern w:val="2"/>
      <w:sz w:val="24"/>
      <w:szCs w:val="21"/>
      <w:lang w:val="zh-CN"/>
    </w:rPr>
  </w:style>
  <w:style w:type="character" w:customStyle="1" w:styleId="179">
    <w:name w:val="标题 9 字符"/>
    <w:link w:val="11"/>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字符1"/>
    <w:link w:val="39"/>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字符2"/>
    <w:link w:val="2"/>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字符"/>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字符"/>
    <w:link w:val="30"/>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6"/>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字符"/>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字符1"/>
    <w:link w:val="25"/>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字符1"/>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字符"/>
    <w:link w:val="59"/>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字符"/>
    <w:link w:val="7"/>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字符"/>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字符"/>
    <w:link w:val="57"/>
    <w:qFormat/>
    <w:uiPriority w:val="0"/>
    <w:rPr>
      <w:rFonts w:ascii="黑体" w:hAnsi="Courier New" w:eastAsia="黑体"/>
    </w:rPr>
  </w:style>
  <w:style w:type="character" w:customStyle="1" w:styleId="299">
    <w:name w:val="正文文本 2 字符1"/>
    <w:link w:val="56"/>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6"/>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字符"/>
    <w:link w:val="9"/>
    <w:qFormat/>
    <w:uiPriority w:val="0"/>
    <w:rPr>
      <w:b/>
      <w:bCs/>
      <w:kern w:val="2"/>
      <w:sz w:val="24"/>
      <w:szCs w:val="24"/>
    </w:rPr>
  </w:style>
  <w:style w:type="character" w:customStyle="1" w:styleId="305">
    <w:name w:val="正文文本缩进 2 字符"/>
    <w:link w:val="37"/>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字符"/>
    <w:link w:val="50"/>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文本首行缩进 字符"/>
    <w:link w:val="24"/>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字符1"/>
    <w:link w:val="6"/>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字符"/>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字符1"/>
    <w:link w:val="19"/>
    <w:qFormat/>
    <w:uiPriority w:val="0"/>
    <w:rPr>
      <w:kern w:val="2"/>
      <w:sz w:val="21"/>
      <w:szCs w:val="24"/>
    </w:rPr>
  </w:style>
  <w:style w:type="character" w:customStyle="1" w:styleId="342">
    <w:name w:val="签名 字符"/>
    <w:link w:val="42"/>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字符"/>
    <w:link w:val="10"/>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字符"/>
    <w:link w:val="53"/>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字符2"/>
    <w:link w:val="40"/>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字符2"/>
    <w:link w:val="41"/>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2"/>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6"/>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5"/>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7"/>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5"/>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2"/>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6"/>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2"/>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6"/>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6"/>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7"/>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5"/>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2"/>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7"/>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字符"/>
    <w:link w:val="38"/>
    <w:qFormat/>
    <w:uiPriority w:val="0"/>
    <w:rPr>
      <w:kern w:val="2"/>
      <w:sz w:val="21"/>
      <w:szCs w:val="24"/>
      <w:lang w:val="zh-CN"/>
    </w:rPr>
  </w:style>
  <w:style w:type="character" w:customStyle="1" w:styleId="930">
    <w:name w:val="无间隔 字符"/>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Revision"/>
    <w:hidden/>
    <w:semiHidden/>
    <w:qFormat/>
    <w:uiPriority w:val="99"/>
    <w:rPr>
      <w:rFonts w:ascii="Times New Roman" w:hAnsi="Times New Roman" w:eastAsia="宋体" w:cs="Times New Roman"/>
      <w:kern w:val="2"/>
      <w:sz w:val="21"/>
      <w:szCs w:val="24"/>
      <w:lang w:val="en-US" w:eastAsia="zh-CN" w:bidi="ar-SA"/>
    </w:rPr>
  </w:style>
  <w:style w:type="table" w:customStyle="1" w:styleId="962">
    <w:name w:val="Table Normal"/>
    <w:unhideWhenUsed/>
    <w:qFormat/>
    <w:uiPriority w:val="0"/>
    <w:tblPr>
      <w:tblCellMar>
        <w:top w:w="0" w:type="dxa"/>
        <w:left w:w="0" w:type="dxa"/>
        <w:bottom w:w="0" w:type="dxa"/>
        <w:right w:w="0" w:type="dxa"/>
      </w:tblCellMar>
    </w:tblPr>
  </w:style>
  <w:style w:type="character" w:customStyle="1" w:styleId="963">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85</Pages>
  <Words>41773</Words>
  <Characters>43826</Characters>
  <Lines>283</Lines>
  <Paragraphs>79</Paragraphs>
  <TotalTime>66</TotalTime>
  <ScaleCrop>false</ScaleCrop>
  <LinksUpToDate>false</LinksUpToDate>
  <CharactersWithSpaces>49139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Administrator</cp:lastModifiedBy>
  <cp:lastPrinted>2021-12-27T03:06:00Z</cp:lastPrinted>
  <dcterms:modified xsi:type="dcterms:W3CDTF">2022-09-22T03:15:15Z</dcterms:modified>
  <dc:title>杭州市市民卡扩大发卡工程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