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p>
    <w:p>
      <w:pPr>
        <w:adjustRightInd/>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b/>
          <w:sz w:val="44"/>
          <w:szCs w:val="44"/>
        </w:rPr>
      </w:pPr>
    </w:p>
    <w:p>
      <w:pPr>
        <w:adjustRightInd/>
        <w:spacing w:line="360" w:lineRule="auto"/>
        <w:jc w:val="center"/>
        <w:rPr>
          <w:rFonts w:hint="eastAsia" w:ascii="仿宋" w:hAnsi="仿宋" w:eastAsia="仿宋" w:cs="仿宋"/>
          <w:b/>
          <w:sz w:val="48"/>
          <w:szCs w:val="48"/>
        </w:rPr>
      </w:pPr>
    </w:p>
    <w:p>
      <w:pPr>
        <w:adjustRightInd/>
        <w:spacing w:line="360" w:lineRule="auto"/>
        <w:jc w:val="center"/>
        <w:rPr>
          <w:rFonts w:hint="eastAsia" w:ascii="仿宋" w:hAnsi="仿宋" w:eastAsia="仿宋" w:cs="仿宋"/>
          <w:sz w:val="48"/>
          <w:szCs w:val="48"/>
        </w:rPr>
      </w:pPr>
      <w:r>
        <w:rPr>
          <w:rFonts w:hint="eastAsia" w:ascii="仿宋" w:hAnsi="仿宋" w:eastAsia="仿宋" w:cs="仿宋"/>
          <w:sz w:val="48"/>
          <w:szCs w:val="48"/>
        </w:rPr>
        <w:t>杭州市临安区“一网统管”建设项目</w:t>
      </w:r>
    </w:p>
    <w:p>
      <w:pPr>
        <w:adjustRightInd/>
        <w:spacing w:line="360" w:lineRule="auto"/>
        <w:jc w:val="center"/>
        <w:rPr>
          <w:rFonts w:hint="eastAsia" w:ascii="仿宋" w:hAnsi="仿宋" w:eastAsia="仿宋" w:cs="仿宋"/>
          <w:sz w:val="48"/>
          <w:szCs w:val="48"/>
          <w:highlight w:val="none"/>
        </w:rPr>
      </w:pPr>
      <w:r>
        <w:rPr>
          <w:rFonts w:hint="eastAsia" w:ascii="仿宋" w:hAnsi="仿宋" w:eastAsia="仿宋" w:cs="仿宋"/>
          <w:sz w:val="48"/>
          <w:szCs w:val="48"/>
          <w:highlight w:val="none"/>
        </w:rPr>
        <w:t xml:space="preserve">招标文件 </w:t>
      </w:r>
    </w:p>
    <w:p>
      <w:pPr>
        <w:adjustRightInd/>
        <w:spacing w:line="360" w:lineRule="auto"/>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rPr>
        <w:t xml:space="preserve"> （电子招投标）</w:t>
      </w:r>
    </w:p>
    <w:p>
      <w:pPr>
        <w:snapToGrid w:val="0"/>
        <w:spacing w:line="360" w:lineRule="auto"/>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编号:（采购编号</w:t>
      </w:r>
      <w:r>
        <w:rPr>
          <w:rFonts w:hint="eastAsia" w:ascii="仿宋" w:hAnsi="仿宋" w:eastAsia="仿宋" w:cs="仿宋"/>
          <w:sz w:val="30"/>
          <w:szCs w:val="30"/>
          <w:highlight w:val="none"/>
          <w:lang w:val="en-US" w:eastAsia="zh-CN"/>
        </w:rPr>
        <w:t>LZC-GK-2022-09061</w:t>
      </w:r>
      <w:r>
        <w:rPr>
          <w:rFonts w:hint="eastAsia" w:ascii="仿宋" w:hAnsi="仿宋" w:eastAsia="仿宋" w:cs="仿宋"/>
          <w:sz w:val="30"/>
          <w:szCs w:val="30"/>
          <w:highlight w:val="none"/>
        </w:rPr>
        <w:t>）</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sz w:val="32"/>
          <w:szCs w:val="32"/>
        </w:rPr>
      </w:pPr>
    </w:p>
    <w:p>
      <w:pPr>
        <w:snapToGrid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杭州市临安区数据资源管理局</w:t>
      </w:r>
    </w:p>
    <w:p>
      <w:pPr>
        <w:snapToGrid w:val="0"/>
        <w:spacing w:line="360" w:lineRule="auto"/>
        <w:jc w:val="center"/>
        <w:rPr>
          <w:rFonts w:hint="eastAsia" w:ascii="仿宋" w:hAnsi="仿宋" w:eastAsia="仿宋" w:cs="仿宋"/>
          <w:bCs/>
          <w:sz w:val="32"/>
          <w:szCs w:val="32"/>
          <w:lang w:val="en-US" w:eastAsia="zh-CN"/>
        </w:rPr>
      </w:pPr>
      <w:r>
        <w:rPr>
          <w:rFonts w:hint="eastAsia" w:ascii="仿宋" w:hAnsi="仿宋" w:eastAsia="仿宋" w:cs="仿宋"/>
          <w:bCs/>
          <w:sz w:val="32"/>
          <w:szCs w:val="32"/>
        </w:rPr>
        <w:t>杭州市公共资源交易中心</w:t>
      </w:r>
      <w:r>
        <w:rPr>
          <w:rFonts w:hint="eastAsia" w:ascii="仿宋" w:hAnsi="仿宋" w:eastAsia="仿宋" w:cs="仿宋"/>
          <w:bCs/>
          <w:sz w:val="32"/>
          <w:szCs w:val="32"/>
          <w:lang w:eastAsia="zh-CN"/>
        </w:rPr>
        <w:t>临安分中心</w:t>
      </w:r>
    </w:p>
    <w:p>
      <w:pPr>
        <w:snapToGrid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二〇二</w:t>
      </w:r>
      <w:r>
        <w:rPr>
          <w:rFonts w:hint="eastAsia" w:ascii="仿宋" w:hAnsi="仿宋" w:eastAsia="仿宋" w:cs="仿宋"/>
          <w:bCs/>
          <w:sz w:val="32"/>
          <w:szCs w:val="32"/>
          <w:lang w:val="en-US" w:eastAsia="zh-CN"/>
        </w:rPr>
        <w:t>二</w:t>
      </w:r>
      <w:r>
        <w:rPr>
          <w:rFonts w:hint="eastAsia" w:ascii="仿宋" w:hAnsi="仿宋" w:eastAsia="仿宋" w:cs="仿宋"/>
          <w:bCs/>
          <w:sz w:val="32"/>
          <w:szCs w:val="32"/>
        </w:rPr>
        <w:t>年</w:t>
      </w:r>
      <w:r>
        <w:rPr>
          <w:rFonts w:hint="eastAsia" w:ascii="仿宋" w:hAnsi="仿宋" w:eastAsia="仿宋" w:cs="仿宋"/>
          <w:bCs/>
          <w:sz w:val="32"/>
          <w:szCs w:val="32"/>
          <w:lang w:eastAsia="zh-CN"/>
        </w:rPr>
        <w:t>九</w:t>
      </w:r>
      <w:r>
        <w:rPr>
          <w:rFonts w:hint="eastAsia" w:ascii="仿宋" w:hAnsi="仿宋" w:eastAsia="仿宋" w:cs="仿宋"/>
          <w:bCs/>
          <w:sz w:val="32"/>
          <w:szCs w:val="32"/>
        </w:rPr>
        <w:t>月</w:t>
      </w:r>
      <w:r>
        <w:rPr>
          <w:rFonts w:hint="eastAsia" w:ascii="仿宋" w:hAnsi="仿宋" w:eastAsia="仿宋" w:cs="仿宋"/>
          <w:bCs/>
          <w:sz w:val="32"/>
          <w:szCs w:val="32"/>
          <w:lang w:eastAsia="zh-CN"/>
        </w:rPr>
        <w:t>七</w:t>
      </w:r>
      <w:r>
        <w:rPr>
          <w:rFonts w:hint="eastAsia" w:ascii="仿宋" w:hAnsi="仿宋" w:eastAsia="仿宋" w:cs="仿宋"/>
          <w:bCs/>
          <w:sz w:val="32"/>
          <w:szCs w:val="32"/>
        </w:rPr>
        <w:t>日</w:t>
      </w:r>
    </w:p>
    <w:p>
      <w:pPr>
        <w:spacing w:line="360" w:lineRule="auto"/>
        <w:jc w:val="center"/>
        <w:rPr>
          <w:rFonts w:hint="eastAsia" w:ascii="仿宋" w:hAnsi="仿宋" w:eastAsia="仿宋" w:cs="仿宋"/>
          <w:sz w:val="24"/>
        </w:rPr>
      </w:pPr>
      <w:r>
        <w:rPr>
          <w:rFonts w:hint="eastAsia" w:ascii="仿宋" w:hAnsi="仿宋" w:eastAsia="仿宋" w:cs="仿宋"/>
          <w:sz w:val="24"/>
        </w:rPr>
        <w:br w:type="page"/>
      </w:r>
      <w:bookmarkStart w:id="0" w:name="_Hlt67893495"/>
      <w:bookmarkEnd w:id="0"/>
    </w:p>
    <w:p>
      <w:pPr>
        <w:pStyle w:val="634"/>
        <w:rPr>
          <w:rFonts w:hint="eastAsia" w:ascii="仿宋" w:hAnsi="仿宋" w:eastAsia="仿宋" w:cs="仿宋"/>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rPr>
        <w:t>杭州市临安区“一网统管”建设项目招标项目的潜在投标人应在政采云平台（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"https://www.zcygov.cn/）获取（下载）招标文件，并于2021年" </w:instrText>
      </w:r>
      <w:r>
        <w:rPr>
          <w:rFonts w:hint="eastAsia" w:ascii="仿宋" w:hAnsi="仿宋" w:eastAsia="仿宋" w:cs="仿宋"/>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9</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00秒</w:t>
      </w:r>
      <w:r>
        <w:rPr>
          <w:rFonts w:hint="eastAsia" w:ascii="仿宋" w:hAnsi="仿宋" w:eastAsia="仿宋" w:cs="仿宋"/>
          <w:bCs/>
          <w:sz w:val="24"/>
          <w:highlight w:val="none"/>
          <w:u w:val="singl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递交（上传）投标文件。</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 w:val="0"/>
          <w:bCs/>
          <w:sz w:val="24"/>
          <w:lang w:val="en-US" w:eastAsia="zh-CN"/>
        </w:rPr>
        <w:t>LZC-GK-2022-09061</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b w:val="0"/>
          <w:bCs/>
          <w:sz w:val="24"/>
        </w:rPr>
        <w:t>杭州市临安区“一网统管”建设项目</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b/>
          <w:sz w:val="24"/>
          <w:lang w:val="en-US" w:eastAsia="zh-CN"/>
        </w:rPr>
        <w:t>15000000</w:t>
      </w:r>
      <w:r>
        <w:rPr>
          <w:rFonts w:hint="eastAsia" w:ascii="仿宋" w:hAnsi="仿宋" w:eastAsia="仿宋" w:cs="仿宋"/>
          <w:sz w:val="24"/>
        </w:rPr>
        <w:t xml:space="preserve">  </w:t>
      </w:r>
    </w:p>
    <w:p>
      <w:pPr>
        <w:spacing w:line="360" w:lineRule="auto"/>
        <w:ind w:firstLine="480"/>
        <w:rPr>
          <w:rFonts w:hint="eastAsia" w:ascii="仿宋" w:hAnsi="仿宋" w:eastAsia="仿宋" w:cs="仿宋"/>
          <w:sz w:val="24"/>
        </w:rPr>
      </w:pPr>
      <w:r>
        <w:rPr>
          <w:rFonts w:hint="eastAsia" w:ascii="仿宋" w:hAnsi="仿宋" w:eastAsia="仿宋" w:cs="仿宋"/>
          <w:b/>
          <w:sz w:val="24"/>
        </w:rPr>
        <w:t>最高限价（元）：</w:t>
      </w:r>
      <w:r>
        <w:rPr>
          <w:rFonts w:hint="eastAsia" w:ascii="仿宋" w:hAnsi="仿宋" w:eastAsia="仿宋" w:cs="仿宋"/>
          <w:b/>
          <w:sz w:val="24"/>
          <w:lang w:val="en-US" w:eastAsia="zh-CN"/>
        </w:rPr>
        <w:t>15000000</w:t>
      </w:r>
      <w:r>
        <w:rPr>
          <w:rFonts w:hint="eastAsia" w:ascii="仿宋" w:hAnsi="仿宋" w:eastAsia="仿宋" w:cs="仿宋"/>
          <w:sz w:val="24"/>
        </w:rPr>
        <w:t xml:space="preserve"> </w:t>
      </w:r>
    </w:p>
    <w:p>
      <w:pPr>
        <w:pStyle w:val="7"/>
        <w:spacing w:line="36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Cs/>
          <w:snapToGrid/>
          <w:color w:val="auto"/>
          <w:kern w:val="2"/>
          <w:sz w:val="24"/>
          <w:szCs w:val="24"/>
        </w:rPr>
        <w:t>本项目为临安区一网统管平台建设项目，围绕《浙江省人民政府办公厅关于开展城市治理“一网统管”试点工作的通知》，围绕驾驶舱、指标体系、事件任务、时空地图等多方面进行项目建设。做好城市运行生命体征的指标体系构建、事件任务流转处置体系构建，建设统一时空数据底座。详见招标文件第三部分采购需求。</w:t>
      </w:r>
    </w:p>
    <w:p>
      <w:pPr>
        <w:pStyle w:val="128"/>
        <w:ind w:firstLine="482"/>
        <w:outlineLvl w:val="2"/>
        <w:rPr>
          <w:rFonts w:hint="eastAsia" w:ascii="仿宋" w:hAnsi="仿宋" w:eastAsia="仿宋" w:cs="仿宋"/>
          <w:b w:val="0"/>
          <w:bCs/>
        </w:rPr>
      </w:pPr>
      <w:r>
        <w:rPr>
          <w:rFonts w:hint="eastAsia" w:ascii="仿宋" w:hAnsi="仿宋" w:eastAsia="仿宋" w:cs="仿宋"/>
          <w:b/>
        </w:rPr>
        <w:t>合同履约期限：</w:t>
      </w:r>
      <w:r>
        <w:rPr>
          <w:rFonts w:hint="eastAsia" w:ascii="仿宋" w:hAnsi="仿宋" w:eastAsia="仿宋" w:cs="仿宋"/>
          <w:b w:val="0"/>
          <w:bCs/>
        </w:rPr>
        <w:t>本项目建设周期为6个月以内，自合同签订开始6个月内完成建设（可提前完成）</w:t>
      </w:r>
    </w:p>
    <w:p>
      <w:pPr>
        <w:pStyle w:val="7"/>
        <w:spacing w:line="360" w:lineRule="auto"/>
        <w:ind w:firstLine="480"/>
        <w:rPr>
          <w:rFonts w:hint="eastAsia" w:ascii="仿宋" w:hAnsi="仿宋" w:eastAsia="仿宋" w:cs="仿宋"/>
          <w:b/>
          <w:color w:val="auto"/>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441836950"/>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591624199"/>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w:t>
      </w:r>
      <w:r>
        <w:rPr>
          <w:rFonts w:hint="eastAsia" w:ascii="仿宋" w:hAnsi="仿宋" w:eastAsia="仿宋" w:cs="仿宋"/>
        </w:rPr>
        <w:t xml:space="preserve"> </w:t>
      </w:r>
      <w:r>
        <w:rPr>
          <w:rFonts w:hint="eastAsia" w:ascii="仿宋" w:hAnsi="仿宋" w:eastAsia="仿宋" w:cs="仿宋"/>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928616923"/>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无</w:t>
      </w:r>
      <w:r>
        <w:rPr>
          <w:rFonts w:hint="eastAsia" w:ascii="仿宋" w:hAnsi="仿宋" w:eastAsia="仿宋" w:cs="仿宋"/>
          <w:snapToGrid w:val="0"/>
          <w:kern w:val="28"/>
          <w:sz w:val="24"/>
          <w:szCs w:val="20"/>
        </w:rPr>
        <w:t>（注：不得限制大中型企业与小微企业组成联合体参与投标）；</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02470430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333685401"/>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hint="eastAsia" w:ascii="仿宋" w:hAnsi="仿宋" w:eastAsia="仿宋" w:cs="仿宋"/>
        </w:rPr>
      </w:pPr>
      <w:sdt>
        <w:sdtPr>
          <w:rPr>
            <w:rFonts w:hint="eastAsia" w:ascii="仿宋" w:hAnsi="仿宋" w:eastAsia="仿宋" w:cs="仿宋"/>
            <w:kern w:val="0"/>
            <w:sz w:val="24"/>
          </w:rPr>
          <w:id w:val="-214102535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服务全部由符合政策要求的小微企业承接，提供中小企业声明函；</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98560779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3463064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4.本项目的特定资格要求：无；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highlight w:val="none"/>
        </w:rPr>
      </w:pPr>
      <w:r>
        <w:rPr>
          <w:rFonts w:hint="eastAsia" w:ascii="仿宋" w:hAnsi="仿宋" w:eastAsia="仿宋" w:cs="仿宋"/>
          <w:b/>
          <w:sz w:val="24"/>
        </w:rPr>
        <w:t>三、获取招</w:t>
      </w:r>
      <w:r>
        <w:rPr>
          <w:rFonts w:hint="eastAsia" w:ascii="仿宋" w:hAnsi="仿宋" w:eastAsia="仿宋" w:cs="仿宋"/>
          <w:b/>
          <w:sz w:val="24"/>
          <w:highlight w:val="none"/>
        </w:rPr>
        <w:t xml:space="preserve">标文件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时间：</w:t>
      </w:r>
      <w:r>
        <w:rPr>
          <w:rFonts w:hint="eastAsia" w:ascii="仿宋" w:hAnsi="仿宋" w:eastAsia="仿宋" w:cs="仿宋"/>
          <w:sz w:val="24"/>
          <w:highlight w:val="none"/>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9</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rPr>
        <w:t xml:space="preserve"> 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9</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 xml:space="preserve"> </w:t>
      </w:r>
      <w:r>
        <w:rPr>
          <w:rFonts w:hint="eastAsia" w:ascii="仿宋" w:hAnsi="仿宋" w:eastAsia="仿宋" w:cs="仿宋"/>
          <w:sz w:val="24"/>
          <w:highlight w:val="none"/>
        </w:rPr>
        <w:t>（北京时间）</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9</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30</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hint="eastAsia"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spacing w:line="360" w:lineRule="auto"/>
        <w:rPr>
          <w:rFonts w:hint="eastAsia" w:ascii="仿宋" w:hAnsi="仿宋" w:eastAsia="仿宋" w:cs="仿宋"/>
          <w:sz w:val="24"/>
        </w:rPr>
      </w:pPr>
      <w:r>
        <w:rPr>
          <w:rFonts w:hint="eastAsia" w:ascii="仿宋" w:hAnsi="仿宋" w:eastAsia="仿宋" w:cs="仿宋"/>
          <w:sz w:val="24"/>
        </w:rPr>
        <w:t xml:space="preserve">    名    称：杭州市临安区数据资源管理局 </w:t>
      </w:r>
    </w:p>
    <w:p>
      <w:pPr>
        <w:spacing w:line="360" w:lineRule="auto"/>
        <w:rPr>
          <w:rFonts w:hint="eastAsia" w:ascii="仿宋" w:hAnsi="仿宋" w:eastAsia="仿宋" w:cs="仿宋"/>
          <w:sz w:val="24"/>
        </w:rPr>
      </w:pPr>
      <w:r>
        <w:rPr>
          <w:rFonts w:hint="eastAsia" w:ascii="仿宋" w:hAnsi="仿宋" w:eastAsia="仿宋" w:cs="仿宋"/>
          <w:sz w:val="24"/>
        </w:rPr>
        <w:t xml:space="preserve">    地    址：市民中心2号楼4楼       </w:t>
      </w:r>
    </w:p>
    <w:p>
      <w:pPr>
        <w:spacing w:line="360" w:lineRule="auto"/>
        <w:ind w:firstLine="480"/>
        <w:rPr>
          <w:rFonts w:hint="eastAsia" w:ascii="仿宋" w:hAnsi="仿宋" w:eastAsia="仿宋" w:cs="仿宋"/>
          <w:sz w:val="24"/>
        </w:rPr>
      </w:pPr>
      <w:r>
        <w:rPr>
          <w:rFonts w:hint="eastAsia" w:ascii="仿宋" w:hAnsi="仿宋" w:eastAsia="仿宋" w:cs="仿宋"/>
          <w:sz w:val="24"/>
        </w:rPr>
        <w:t>传    真： /</w:t>
      </w:r>
    </w:p>
    <w:p>
      <w:pPr>
        <w:spacing w:line="360" w:lineRule="auto"/>
        <w:ind w:firstLine="480"/>
        <w:rPr>
          <w:rFonts w:hint="eastAsia" w:ascii="仿宋" w:hAnsi="仿宋" w:eastAsia="仿宋" w:cs="仿宋"/>
          <w:sz w:val="24"/>
        </w:rPr>
      </w:pPr>
      <w:r>
        <w:rPr>
          <w:rFonts w:hint="eastAsia" w:ascii="仿宋" w:hAnsi="仿宋" w:eastAsia="仿宋" w:cs="仿宋"/>
          <w:sz w:val="24"/>
        </w:rPr>
        <w:t xml:space="preserve">项目联系人（询问）：蒋雨婕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项目联系方式（询问）：0571-58606722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质疑联系人：方先生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质疑联系方式：0571-63700016 </w:t>
      </w:r>
    </w:p>
    <w:p>
      <w:pPr>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rPr>
      </w:pPr>
      <w:r>
        <w:rPr>
          <w:rFonts w:hint="eastAsia" w:ascii="仿宋" w:hAnsi="仿宋" w:eastAsia="仿宋" w:cs="仿宋"/>
          <w:sz w:val="24"/>
        </w:rPr>
        <w:t>名    称：杭州市公共资源交易中心</w:t>
      </w:r>
      <w:r>
        <w:rPr>
          <w:rFonts w:hint="eastAsia" w:ascii="仿宋" w:hAnsi="仿宋" w:eastAsia="仿宋" w:cs="仿宋"/>
          <w:sz w:val="24"/>
          <w:lang w:eastAsia="zh-CN"/>
        </w:rPr>
        <w:t>临安分中心</w:t>
      </w:r>
    </w:p>
    <w:p>
      <w:pPr>
        <w:spacing w:line="360" w:lineRule="auto"/>
        <w:ind w:firstLine="48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lang w:eastAsia="zh-CN"/>
        </w:rPr>
        <w:t>浙江省杭州市临安区锦北街道科技大道</w:t>
      </w:r>
      <w:r>
        <w:rPr>
          <w:rFonts w:hint="eastAsia" w:ascii="仿宋" w:hAnsi="仿宋" w:eastAsia="仿宋" w:cs="仿宋"/>
          <w:sz w:val="24"/>
          <w:lang w:val="en-US" w:eastAsia="zh-CN"/>
        </w:rPr>
        <w:t>4398号市民中心4楼</w:t>
      </w:r>
    </w:p>
    <w:p>
      <w:pPr>
        <w:spacing w:line="360" w:lineRule="auto"/>
        <w:rPr>
          <w:rFonts w:hint="eastAsia" w:ascii="仿宋" w:hAnsi="仿宋" w:eastAsia="仿宋" w:cs="仿宋"/>
          <w:sz w:val="24"/>
        </w:rPr>
      </w:pPr>
      <w:r>
        <w:rPr>
          <w:rFonts w:hint="eastAsia" w:ascii="仿宋" w:hAnsi="仿宋" w:eastAsia="仿宋" w:cs="仿宋"/>
          <w:sz w:val="24"/>
        </w:rPr>
        <w:t xml:space="preserve">    传    真：</w:t>
      </w:r>
      <w:r>
        <w:rPr>
          <w:rFonts w:hint="eastAsia" w:ascii="仿宋" w:hAnsi="仿宋" w:eastAsia="仿宋" w:cs="仿宋"/>
          <w:sz w:val="24"/>
          <w:lang w:val="en-US" w:eastAsia="zh-CN"/>
        </w:rPr>
        <w:t>0571-23616016</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项目联系人（询问）：</w:t>
      </w:r>
      <w:r>
        <w:rPr>
          <w:rFonts w:hint="eastAsia" w:ascii="仿宋" w:hAnsi="仿宋" w:eastAsia="仿宋" w:cs="仿宋"/>
          <w:sz w:val="24"/>
          <w:lang w:eastAsia="zh-CN"/>
        </w:rPr>
        <w:t>杨颖</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w:t>
      </w:r>
      <w:r>
        <w:rPr>
          <w:rFonts w:hint="eastAsia" w:ascii="仿宋" w:hAnsi="仿宋" w:eastAsia="仿宋" w:cs="仿宋"/>
          <w:sz w:val="24"/>
          <w:lang w:val="en-US" w:eastAsia="zh-CN"/>
        </w:rPr>
        <w:t>0571-23616011</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w:t>
      </w:r>
      <w:r>
        <w:rPr>
          <w:rFonts w:hint="eastAsia" w:ascii="仿宋" w:hAnsi="仿宋" w:eastAsia="仿宋" w:cs="仿宋"/>
          <w:sz w:val="24"/>
          <w:lang w:eastAsia="zh-CN"/>
        </w:rPr>
        <w:t>王晖</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质疑联系方式：0571-</w:t>
      </w:r>
      <w:r>
        <w:rPr>
          <w:rFonts w:hint="eastAsia" w:ascii="仿宋" w:hAnsi="仿宋" w:eastAsia="仿宋" w:cs="仿宋"/>
          <w:sz w:val="24"/>
          <w:lang w:val="en-US" w:eastAsia="zh-CN"/>
        </w:rPr>
        <w:t>23616016</w:t>
      </w:r>
    </w:p>
    <w:p>
      <w:pPr>
        <w:spacing w:line="360" w:lineRule="auto"/>
        <w:rPr>
          <w:rFonts w:hint="eastAsia"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 xml:space="preserve">    名    称：杭州市临安区财政局政府采购监督管理科 </w:t>
      </w:r>
    </w:p>
    <w:p>
      <w:pPr>
        <w:spacing w:line="360" w:lineRule="auto"/>
        <w:rPr>
          <w:rFonts w:hint="eastAsia" w:ascii="仿宋" w:hAnsi="仿宋" w:eastAsia="仿宋" w:cs="仿宋"/>
          <w:sz w:val="24"/>
        </w:rPr>
      </w:pPr>
      <w:r>
        <w:rPr>
          <w:rFonts w:hint="eastAsia" w:ascii="仿宋" w:hAnsi="仿宋" w:eastAsia="仿宋" w:cs="仿宋"/>
          <w:sz w:val="24"/>
        </w:rPr>
        <w:t xml:space="preserve">    地    址：浙江</w:t>
      </w:r>
      <w:r>
        <w:rPr>
          <w:rFonts w:hint="eastAsia" w:ascii="仿宋" w:hAnsi="仿宋" w:eastAsia="仿宋" w:cs="仿宋"/>
          <w:sz w:val="24"/>
          <w:lang w:eastAsia="zh-CN"/>
        </w:rPr>
        <w:t>省杭州市临安区锦北街道科技大道</w:t>
      </w:r>
      <w:r>
        <w:rPr>
          <w:rFonts w:hint="eastAsia" w:ascii="仿宋" w:hAnsi="仿宋" w:eastAsia="仿宋" w:cs="仿宋"/>
          <w:sz w:val="24"/>
          <w:lang w:val="en-US" w:eastAsia="zh-CN"/>
        </w:rPr>
        <w:t>4398号4号楼11楼</w:t>
      </w:r>
      <w:r>
        <w:rPr>
          <w:rFonts w:hint="eastAsia" w:ascii="仿宋" w:hAnsi="仿宋" w:eastAsia="仿宋" w:cs="仿宋"/>
          <w:sz w:val="24"/>
        </w:rPr>
        <w:t xml:space="preserve"> </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    真： 0571-63722886</w:t>
      </w:r>
    </w:p>
    <w:p>
      <w:pPr>
        <w:spacing w:line="360" w:lineRule="auto"/>
        <w:rPr>
          <w:rFonts w:hint="eastAsia" w:ascii="仿宋" w:hAnsi="仿宋" w:eastAsia="仿宋" w:cs="仿宋"/>
          <w:sz w:val="24"/>
        </w:rPr>
      </w:pPr>
      <w:r>
        <w:rPr>
          <w:rFonts w:hint="eastAsia" w:ascii="仿宋" w:hAnsi="仿宋" w:eastAsia="仿宋" w:cs="仿宋"/>
          <w:sz w:val="24"/>
        </w:rPr>
        <w:t xml:space="preserve">    联系人 ：喻先生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监督投诉电话：0571-61073953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pStyle w:val="33"/>
        <w:spacing w:line="360" w:lineRule="auto"/>
        <w:rPr>
          <w:rFonts w:hint="eastAsia" w:ascii="仿宋" w:hAnsi="仿宋" w:eastAsia="仿宋" w:cs="仿宋"/>
          <w:b/>
          <w:sz w:val="36"/>
          <w:szCs w:val="20"/>
        </w:rPr>
      </w:pPr>
      <w:r>
        <w:rPr>
          <w:rFonts w:hint="eastAsia" w:ascii="仿宋" w:hAnsi="仿宋" w:eastAsia="仿宋" w:cs="仿宋"/>
          <w:sz w:val="24"/>
        </w:rPr>
        <w:t xml:space="preserve">                        </w:t>
      </w: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仿宋" w:hAnsi="仿宋" w:eastAsia="仿宋" w:cs="仿宋"/>
                <w:b/>
                <w:sz w:val="24"/>
              </w:rPr>
            </w:pPr>
            <w:r>
              <w:rPr>
                <w:rFonts w:hint="eastAsia" w:ascii="仿宋" w:hAnsi="仿宋" w:eastAsia="仿宋" w:cs="仿宋"/>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lang w:val="en-US"/>
              </w:rPr>
            </w:pPr>
            <w:r>
              <w:rPr>
                <w:rFonts w:hint="eastAsia" w:ascii="仿宋" w:hAnsi="仿宋" w:eastAsia="仿宋" w:cs="仿宋"/>
                <w:kern w:val="0"/>
                <w:sz w:val="24"/>
              </w:rPr>
              <w:t>（1）标的：</w:t>
            </w:r>
            <w:r>
              <w:rPr>
                <w:rFonts w:hint="eastAsia" w:ascii="仿宋" w:hAnsi="仿宋" w:eastAsia="仿宋" w:cs="仿宋"/>
                <w:b/>
                <w:bCs/>
                <w:kern w:val="0"/>
                <w:sz w:val="24"/>
                <w:u w:val="single"/>
              </w:rPr>
              <w:t>一网统管平台建设</w:t>
            </w:r>
            <w:r>
              <w:rPr>
                <w:rFonts w:hint="eastAsia" w:ascii="仿宋" w:hAnsi="仿宋" w:eastAsia="仿宋" w:cs="仿宋"/>
                <w:kern w:val="0"/>
                <w:sz w:val="24"/>
              </w:rPr>
              <w:t>，属于</w:t>
            </w:r>
            <w:r>
              <w:rPr>
                <w:rFonts w:hint="eastAsia" w:ascii="仿宋" w:hAnsi="仿宋" w:eastAsia="仿宋" w:cs="仿宋"/>
                <w:b/>
                <w:bCs/>
                <w:kern w:val="0"/>
                <w:sz w:val="24"/>
                <w:u w:val="single"/>
                <w:lang w:eastAsia="zh-CN"/>
              </w:rPr>
              <w:t>软件和信息技术服务业</w:t>
            </w:r>
            <w:r>
              <w:rPr>
                <w:rFonts w:hint="eastAsia" w:ascii="仿宋" w:hAnsi="仿宋" w:eastAsia="仿宋" w:cs="仿宋"/>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82842570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本项目不允许采购进口产品。</w:t>
            </w:r>
          </w:p>
          <w:p>
            <w:pPr>
              <w:spacing w:line="360" w:lineRule="auto"/>
              <w:rPr>
                <w:rFonts w:hint="eastAsia" w:ascii="仿宋" w:hAnsi="仿宋" w:eastAsia="仿宋" w:cs="仿宋"/>
              </w:rPr>
            </w:pPr>
            <w:sdt>
              <w:sdtPr>
                <w:rPr>
                  <w:rFonts w:hint="eastAsia" w:ascii="仿宋" w:hAnsi="仿宋" w:eastAsia="仿宋" w:cs="仿宋"/>
                  <w:kern w:val="0"/>
                  <w:sz w:val="24"/>
                </w:rPr>
                <w:id w:val="-5285282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47728692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sdt>
              <w:sdtPr>
                <w:rPr>
                  <w:rFonts w:hint="eastAsia" w:ascii="仿宋" w:hAnsi="仿宋" w:eastAsia="仿宋" w:cs="仿宋"/>
                  <w:kern w:val="0"/>
                  <w:sz w:val="24"/>
                </w:rPr>
                <w:id w:val="-127633135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p>
            <w:pPr>
              <w:spacing w:line="360" w:lineRule="auto"/>
              <w:rPr>
                <w:rFonts w:hint="eastAsia"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2129664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sz w:val="24"/>
                <w:szCs w:val="20"/>
              </w:rPr>
            </w:pPr>
            <w:sdt>
              <w:sdtPr>
                <w:rPr>
                  <w:rFonts w:hint="eastAsia" w:ascii="仿宋" w:hAnsi="仿宋" w:eastAsia="仿宋" w:cs="仿宋"/>
                  <w:kern w:val="0"/>
                  <w:sz w:val="24"/>
                </w:rPr>
                <w:id w:val="-99980297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63994648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w:t>
            </w:r>
          </w:p>
          <w:p>
            <w:pPr>
              <w:spacing w:line="360" w:lineRule="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sz w:val="24"/>
              </w:rPr>
            </w:pPr>
            <w:r>
              <w:rPr>
                <w:rFonts w:hint="eastAsia" w:ascii="仿宋" w:hAnsi="仿宋" w:eastAsia="仿宋" w:cs="仿宋"/>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85934854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方式二：交易中心现场讲解演示。现场讲解地点为</w:t>
            </w:r>
            <w:r>
              <w:rPr>
                <w:rFonts w:hint="eastAsia" w:ascii="仿宋" w:hAnsi="仿宋" w:eastAsia="仿宋" w:cs="仿宋"/>
                <w:sz w:val="24"/>
                <w:u w:val="single"/>
              </w:rPr>
              <w:t xml:space="preserve">    </w:t>
            </w:r>
            <w:r>
              <w:rPr>
                <w:rFonts w:hint="eastAsia" w:ascii="仿宋" w:hAnsi="仿宋" w:eastAsia="仿宋" w:cs="仿宋"/>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b/>
                <w:kern w:val="0"/>
                <w:sz w:val="24"/>
                <w:szCs w:val="24"/>
                <w:lang w:val="zh-CN" w:eastAsia="zh-CN" w:bidi="ar-SA"/>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hint="eastAsia"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hint="eastAsia"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z w:val="24"/>
              </w:rPr>
            </w:pPr>
            <w:r>
              <w:rPr>
                <w:rFonts w:hint="eastAsia" w:ascii="仿宋" w:hAnsi="仿宋" w:eastAsia="仿宋" w:cs="仿宋"/>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 w:hAnsi="仿宋" w:eastAsia="仿宋" w:cs="仿宋"/>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kern w:val="28"/>
                <w:sz w:val="24"/>
                <w:szCs w:val="24"/>
                <w:u w:val="single"/>
              </w:rPr>
              <w:t>杭州市</w:t>
            </w:r>
            <w:r>
              <w:rPr>
                <w:rFonts w:hint="eastAsia" w:ascii="仿宋" w:hAnsi="仿宋" w:eastAsia="仿宋" w:cs="仿宋"/>
                <w:kern w:val="28"/>
                <w:sz w:val="24"/>
                <w:szCs w:val="24"/>
                <w:u w:val="single"/>
                <w:lang w:eastAsia="zh-CN"/>
              </w:rPr>
              <w:t>临安区锦北街道科技大道</w:t>
            </w:r>
            <w:r>
              <w:rPr>
                <w:rFonts w:hint="eastAsia" w:ascii="仿宋" w:hAnsi="仿宋" w:eastAsia="仿宋" w:cs="仿宋"/>
                <w:kern w:val="28"/>
                <w:sz w:val="24"/>
                <w:szCs w:val="24"/>
                <w:u w:val="single"/>
                <w:lang w:val="en-US" w:eastAsia="zh-CN"/>
              </w:rPr>
              <w:t>4398号市民中心B座B448室</w:t>
            </w:r>
            <w:r>
              <w:rPr>
                <w:rFonts w:hint="eastAsia" w:ascii="仿宋" w:hAnsi="仿宋" w:eastAsia="仿宋" w:cs="仿宋"/>
                <w:kern w:val="28"/>
                <w:sz w:val="24"/>
                <w:szCs w:val="24"/>
                <w:u w:val="single"/>
              </w:rPr>
              <w:t>（杭州市公共资源交易中心</w:t>
            </w:r>
            <w:r>
              <w:rPr>
                <w:rFonts w:hint="eastAsia" w:ascii="仿宋" w:hAnsi="仿宋" w:eastAsia="仿宋" w:cs="仿宋"/>
                <w:kern w:val="28"/>
                <w:sz w:val="24"/>
                <w:szCs w:val="24"/>
                <w:u w:val="single"/>
                <w:lang w:eastAsia="zh-CN"/>
              </w:rPr>
              <w:t>临安分中心</w:t>
            </w:r>
            <w:r>
              <w:rPr>
                <w:rFonts w:hint="eastAsia" w:ascii="仿宋" w:hAnsi="仿宋" w:eastAsia="仿宋" w:cs="仿宋"/>
                <w:kern w:val="28"/>
                <w:sz w:val="24"/>
                <w:szCs w:val="24"/>
                <w:u w:val="single"/>
              </w:rPr>
              <w:t>政府采购</w:t>
            </w:r>
            <w:r>
              <w:rPr>
                <w:rFonts w:hint="eastAsia" w:ascii="仿宋" w:hAnsi="仿宋" w:eastAsia="仿宋" w:cs="仿宋"/>
                <w:kern w:val="28"/>
                <w:sz w:val="24"/>
                <w:szCs w:val="24"/>
                <w:u w:val="single"/>
                <w:lang w:eastAsia="zh-CN"/>
              </w:rPr>
              <w:t>科</w:t>
            </w:r>
            <w:r>
              <w:rPr>
                <w:rFonts w:hint="eastAsia" w:ascii="仿宋" w:hAnsi="仿宋" w:eastAsia="仿宋" w:cs="仿宋"/>
                <w:kern w:val="28"/>
                <w:sz w:val="24"/>
                <w:szCs w:val="24"/>
                <w:u w:val="single"/>
              </w:rPr>
              <w:t>） ；备份投标文件签收人员联系电话：0571-</w:t>
            </w:r>
            <w:r>
              <w:rPr>
                <w:rFonts w:hint="eastAsia" w:ascii="仿宋" w:hAnsi="仿宋" w:eastAsia="仿宋" w:cs="仿宋"/>
                <w:kern w:val="28"/>
                <w:sz w:val="24"/>
                <w:szCs w:val="24"/>
                <w:u w:val="single"/>
                <w:lang w:val="en-US" w:eastAsia="zh-CN"/>
              </w:rPr>
              <w:t>23616011</w:t>
            </w:r>
            <w:r>
              <w:rPr>
                <w:rFonts w:hint="eastAsia" w:ascii="仿宋" w:hAnsi="仿宋" w:eastAsia="仿宋" w:cs="仿宋"/>
                <w:kern w:val="28"/>
                <w:sz w:val="24"/>
                <w:szCs w:val="24"/>
                <w:u w:val="single"/>
              </w:rPr>
              <w:t>。</w:t>
            </w: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rPr>
            </w:pPr>
            <w:r>
              <w:rPr>
                <w:rFonts w:hint="eastAsia" w:ascii="仿宋" w:hAnsi="仿宋" w:eastAsia="仿宋" w:cs="仿宋"/>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rPr>
            </w:pPr>
            <w:sdt>
              <w:sdtPr>
                <w:rPr>
                  <w:rFonts w:hint="eastAsia" w:ascii="仿宋" w:hAnsi="仿宋" w:eastAsia="仿宋" w:cs="仿宋"/>
                  <w:kern w:val="0"/>
                  <w:sz w:val="24"/>
                </w:rPr>
                <w:id w:val="-181633666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napToGrid w:val="0"/>
                <w:kern w:val="28"/>
                <w:sz w:val="24"/>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kern w:val="28"/>
                <w:sz w:val="24"/>
              </w:rPr>
            </w:pPr>
            <w:sdt>
              <w:sdtPr>
                <w:rPr>
                  <w:rFonts w:hint="eastAsia" w:ascii="仿宋" w:hAnsi="仿宋" w:eastAsia="仿宋" w:cs="仿宋"/>
                  <w:kern w:val="0"/>
                  <w:sz w:val="24"/>
                </w:rPr>
                <w:id w:val="-23231189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hint="eastAsia" w:ascii="仿宋" w:hAnsi="仿宋" w:eastAsia="仿宋" w:cs="仿宋"/>
          <w:b/>
          <w:sz w:val="32"/>
          <w:szCs w:val="20"/>
        </w:rPr>
      </w:pPr>
    </w:p>
    <w:bookmarkEnd w:id="10"/>
    <w:p>
      <w:pPr>
        <w:adjustRightInd/>
        <w:spacing w:line="360" w:lineRule="auto"/>
        <w:ind w:firstLine="3845" w:firstLineChars="1197"/>
        <w:outlineLvl w:val="0"/>
        <w:rPr>
          <w:rFonts w:hint="eastAsia" w:ascii="仿宋" w:hAnsi="仿宋" w:eastAsia="仿宋" w:cs="仿宋"/>
          <w:b/>
          <w:sz w:val="32"/>
          <w:szCs w:val="20"/>
        </w:rPr>
      </w:pPr>
      <w:bookmarkStart w:id="11" w:name="第三部分"/>
      <w:bookmarkStart w:id="12" w:name="_Toc164416483"/>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3.3.3对于未预留份额专门面向中小企业的政府采购服务项目，以及预留份额政府采购服务项目中的非预留部分标项，对小型和微型企业的投标报价给予</w:t>
      </w:r>
      <w:r>
        <w:rPr>
          <w:rFonts w:hint="eastAsia" w:ascii="仿宋" w:hAnsi="仿宋" w:eastAsia="仿宋" w:cs="仿宋"/>
          <w:b/>
          <w:bCs/>
          <w:sz w:val="24"/>
        </w:rPr>
        <w:t>20%</w:t>
      </w:r>
      <w:r>
        <w:rPr>
          <w:rFonts w:hint="eastAsia" w:ascii="仿宋" w:hAnsi="仿宋" w:eastAsia="仿宋" w:cs="仿宋"/>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240" w:firstLineChars="100"/>
        <w:rPr>
          <w:rFonts w:hint="eastAsia"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3"/>
        <w:spacing w:line="360" w:lineRule="auto"/>
        <w:ind w:left="479" w:leftChars="228"/>
        <w:rPr>
          <w:rFonts w:hint="eastAsia" w:ascii="仿宋" w:hAnsi="仿宋" w:eastAsia="仿宋" w:cs="仿宋"/>
          <w:sz w:val="24"/>
        </w:rPr>
      </w:pPr>
      <w:r>
        <w:rPr>
          <w:rFonts w:hint="eastAsia" w:ascii="仿宋" w:hAnsi="仿宋" w:eastAsia="仿宋" w:cs="仿宋"/>
          <w:sz w:val="24"/>
        </w:rPr>
        <w:t>4.2.2.2对采购过程提出质疑的，质疑期限为各采购程序环节结束之日起计算。4.2.2.3对采购结果提出质疑的，质疑期限自采购结果公告期限届满之日起计算。</w:t>
      </w:r>
    </w:p>
    <w:p>
      <w:pPr>
        <w:pStyle w:val="33"/>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3"/>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3"/>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3"/>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4.2.3.4事实依据；</w:t>
      </w:r>
    </w:p>
    <w:p>
      <w:pPr>
        <w:pStyle w:val="33"/>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3"/>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4.2.4对同一采购程序环节的质疑，供应商须在法定质疑期内一次性提出。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4.3供应商投诉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4.4在线质疑、投诉。</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rPr>
      </w:pPr>
      <w:r>
        <w:rPr>
          <w:rFonts w:hint="eastAsia" w:ascii="仿宋" w:hAnsi="仿宋" w:eastAsia="仿宋" w:cs="仿宋"/>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128"/>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28"/>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7"/>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11.1.2</w:t>
      </w:r>
      <w:r>
        <w:rPr>
          <w:rFonts w:hint="eastAsia" w:ascii="仿宋" w:hAnsi="仿宋" w:eastAsia="仿宋" w:cs="仿宋"/>
          <w:snapToGrid w:val="0"/>
          <w:kern w:val="28"/>
          <w:sz w:val="24"/>
          <w:szCs w:val="20"/>
        </w:rPr>
        <w:t>联合协议（如果有)；</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11.1.3落实政府采购政策需满足的资格要求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11.3.2中小企业声明函。</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128"/>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128"/>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28"/>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28"/>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3"/>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33"/>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5"/>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有招标文件第四部分4.2规定的情形之一的，投标无效：</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28"/>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28"/>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仿宋" w:hAnsi="仿宋" w:eastAsia="仿宋" w:cs="仿宋"/>
          <w:b/>
          <w:sz w:val="32"/>
        </w:rPr>
      </w:pPr>
    </w:p>
    <w:p>
      <w:pPr>
        <w:pStyle w:val="128"/>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554"/>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4"/>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　19、资格审查</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采购人或采购机构依据法律法规和招标文件的规定，对投标人的资格进行审查。</w:t>
      </w:r>
    </w:p>
    <w:p>
      <w:pPr>
        <w:pStyle w:val="128"/>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28"/>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128"/>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28"/>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128"/>
        <w:snapToGrid w:val="0"/>
        <w:spacing w:before="0"/>
        <w:ind w:firstLine="480"/>
        <w:rPr>
          <w:rFonts w:hint="eastAsia"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sz w:val="24"/>
        </w:rPr>
        <w:t>资格审查情况、评审专家抽取规则、符合性审查情况、</w:t>
      </w:r>
      <w:bookmarkEnd w:id="14"/>
      <w:r>
        <w:rPr>
          <w:rFonts w:hint="eastAsia" w:ascii="仿宋" w:hAnsi="仿宋" w:eastAsia="仿宋" w:cs="仿宋"/>
          <w:sz w:val="24"/>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hint="eastAsia" w:ascii="仿宋" w:hAnsi="仿宋" w:eastAsia="仿宋" w:cs="仿宋"/>
          <w:sz w:val="24"/>
          <w:szCs w:val="20"/>
        </w:rPr>
      </w:pPr>
      <w:r>
        <w:rPr>
          <w:rFonts w:hint="eastAsia" w:ascii="仿宋" w:hAnsi="仿宋" w:eastAsia="仿宋" w:cs="仿宋"/>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5"/>
        <w:ind w:left="0" w:firstLine="480" w:firstLineChars="200"/>
        <w:rPr>
          <w:rFonts w:hint="eastAsia" w:ascii="仿宋" w:hAnsi="仿宋" w:eastAsia="仿宋" w:cs="仿宋"/>
          <w:lang w:val="en-US"/>
        </w:rPr>
      </w:pPr>
      <w:r>
        <w:rPr>
          <w:rFonts w:hint="eastAsia" w:ascii="仿宋" w:hAnsi="仿宋" w:eastAsia="仿宋" w:cs="仿宋"/>
          <w:b w:val="0"/>
          <w:bCs w:val="0"/>
          <w:snapToGrid w:val="0"/>
          <w:kern w:val="28"/>
          <w:sz w:val="24"/>
        </w:rPr>
        <w:t>供应商</w:t>
      </w:r>
      <w:r>
        <w:rPr>
          <w:rFonts w:hint="eastAsia" w:ascii="仿宋" w:hAnsi="仿宋" w:eastAsia="仿宋" w:cs="仿宋"/>
          <w:b w:val="0"/>
          <w:bCs w:val="0"/>
          <w:snapToGrid w:val="0"/>
          <w:kern w:val="28"/>
          <w:sz w:val="24"/>
          <w:lang w:val="en-US"/>
        </w:rPr>
        <w:t>可</w:t>
      </w:r>
      <w:r>
        <w:rPr>
          <w:rFonts w:hint="eastAsia" w:ascii="仿宋" w:hAns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sz w:val="32"/>
        </w:rPr>
      </w:pP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128"/>
        <w:snapToGrid w:val="0"/>
        <w:spacing w:before="0"/>
        <w:ind w:firstLine="0" w:firstLineChars="0"/>
        <w:rPr>
          <w:rFonts w:hint="eastAsia" w:ascii="仿宋" w:hAnsi="仿宋" w:eastAsia="仿宋" w:cs="仿宋"/>
        </w:rPr>
      </w:pPr>
      <w:r>
        <w:rPr>
          <w:rFonts w:hint="eastAsia" w:ascii="仿宋" w:hAnsi="仿宋" w:eastAsia="仿宋" w:cs="仿宋"/>
        </w:rPr>
        <w:t>2</w:t>
      </w:r>
      <w:r>
        <w:rPr>
          <w:rFonts w:hint="eastAsia" w:ascii="仿宋" w:hAnsi="仿宋" w:eastAsia="仿宋" w:cs="仿宋"/>
          <w:b/>
          <w:szCs w:val="24"/>
        </w:rPr>
        <w:t>7.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128"/>
        <w:snapToGrid w:val="0"/>
        <w:spacing w:before="0"/>
        <w:ind w:firstLine="480"/>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128"/>
        <w:snapToGrid w:val="0"/>
        <w:spacing w:before="0"/>
        <w:ind w:firstLine="480"/>
        <w:rPr>
          <w:rFonts w:hint="eastAsia" w:ascii="仿宋" w:hAnsi="仿宋" w:eastAsia="仿宋" w:cs="仿宋"/>
        </w:rPr>
      </w:pPr>
      <w:r>
        <w:rPr>
          <w:rFonts w:hint="eastAsia" w:ascii="仿宋" w:hAnsi="仿宋" w:eastAsia="仿宋" w:cs="仿宋"/>
        </w:rPr>
        <w:t>27.3电子交易平台发现严重安全漏洞，有潜在泄密危险的；</w:t>
      </w:r>
    </w:p>
    <w:p>
      <w:pPr>
        <w:pStyle w:val="128"/>
        <w:snapToGrid w:val="0"/>
        <w:spacing w:before="0"/>
        <w:ind w:firstLine="480"/>
        <w:rPr>
          <w:rFonts w:hint="eastAsia" w:ascii="仿宋" w:hAnsi="仿宋" w:eastAsia="仿宋" w:cs="仿宋"/>
        </w:rPr>
      </w:pPr>
      <w:r>
        <w:rPr>
          <w:rFonts w:hint="eastAsia" w:ascii="仿宋" w:hAnsi="仿宋" w:eastAsia="仿宋" w:cs="仿宋"/>
        </w:rPr>
        <w:t xml:space="preserve">27.4病毒发作导致不能进行正常操作的； </w:t>
      </w:r>
    </w:p>
    <w:p>
      <w:pPr>
        <w:pStyle w:val="128"/>
        <w:snapToGrid w:val="0"/>
        <w:spacing w:before="0"/>
        <w:ind w:firstLine="480"/>
        <w:rPr>
          <w:rFonts w:hint="eastAsia" w:ascii="仿宋" w:hAnsi="仿宋" w:eastAsia="仿宋" w:cs="仿宋"/>
        </w:rPr>
      </w:pPr>
      <w:r>
        <w:rPr>
          <w:rFonts w:hint="eastAsia" w:ascii="仿宋" w:hAnsi="仿宋" w:eastAsia="仿宋" w:cs="仿宋"/>
        </w:rPr>
        <w:t>27.5其他无法保证电子交易的公平、公正和安全的情况。</w:t>
      </w:r>
    </w:p>
    <w:p>
      <w:pPr>
        <w:pStyle w:val="128"/>
        <w:snapToGrid w:val="0"/>
        <w:spacing w:before="0"/>
        <w:ind w:firstLine="0" w:firstLineChars="0"/>
        <w:rPr>
          <w:rFonts w:hint="eastAsia"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25"/>
        <w:spacing w:line="360" w:lineRule="auto"/>
        <w:ind w:firstLine="0" w:firstLineChars="0"/>
        <w:rPr>
          <w:rFonts w:hint="eastAsia"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57669"/>
      <w:bookmarkEnd w:id="15"/>
      <w:bookmarkStart w:id="16" w:name="_Hlt68072998"/>
      <w:bookmarkEnd w:id="16"/>
      <w:bookmarkStart w:id="17" w:name="_Hlt74714665"/>
      <w:bookmarkEnd w:id="17"/>
      <w:bookmarkStart w:id="18" w:name="_Hlt75236101"/>
      <w:bookmarkEnd w:id="18"/>
      <w:bookmarkStart w:id="19" w:name="_Hlt68073093"/>
      <w:bookmarkEnd w:id="19"/>
      <w:bookmarkStart w:id="20" w:name="_Hlt74707468"/>
      <w:bookmarkEnd w:id="20"/>
      <w:bookmarkStart w:id="21" w:name="_Hlt68072990"/>
      <w:bookmarkEnd w:id="21"/>
      <w:bookmarkStart w:id="22" w:name="_Hlt75236011"/>
      <w:bookmarkEnd w:id="22"/>
      <w:bookmarkStart w:id="23" w:name="_Hlt74730295"/>
      <w:bookmarkEnd w:id="23"/>
      <w:bookmarkStart w:id="24" w:name="_Hlt75236290"/>
      <w:bookmarkEnd w:id="24"/>
      <w:bookmarkStart w:id="25" w:name="_Hlt74729768"/>
      <w:bookmarkEnd w:id="25"/>
      <w:bookmarkStart w:id="26" w:name="_Hlt68403820"/>
      <w:bookmarkEnd w:id="26"/>
    </w:p>
    <w:bookmarkEnd w:id="11"/>
    <w:bookmarkEnd w:id="12"/>
    <w:p>
      <w:pPr>
        <w:spacing w:line="360" w:lineRule="auto"/>
        <w:jc w:val="center"/>
        <w:outlineLvl w:val="0"/>
        <w:rPr>
          <w:rFonts w:hint="eastAsia" w:ascii="仿宋" w:hAnsi="仿宋" w:eastAsia="仿宋" w:cs="仿宋"/>
          <w:b/>
          <w:sz w:val="36"/>
          <w:szCs w:val="36"/>
        </w:rPr>
      </w:pPr>
      <w:bookmarkStart w:id="27" w:name="第四部分"/>
      <w:r>
        <w:rPr>
          <w:rFonts w:hint="eastAsia" w:ascii="仿宋" w:hAnsi="仿宋" w:eastAsia="仿宋" w:cs="仿宋"/>
          <w:b/>
          <w:sz w:val="36"/>
          <w:szCs w:val="36"/>
        </w:rPr>
        <w:t>第三部分   采购需求</w:t>
      </w:r>
    </w:p>
    <w:p>
      <w:pPr>
        <w:pStyle w:val="962"/>
        <w:keepNext w:val="0"/>
        <w:keepLines w:val="0"/>
        <w:pageBreakBefore w:val="0"/>
        <w:widowControl w:val="0"/>
        <w:kinsoku/>
        <w:wordWrap/>
        <w:overflowPunct/>
        <w:topLinePunct w:val="0"/>
        <w:autoSpaceDE/>
        <w:autoSpaceDN/>
        <w:bidi w:val="0"/>
        <w:adjustRightInd w:val="0"/>
        <w:spacing w:before="190" w:after="190" w:line="400" w:lineRule="exact"/>
        <w:textAlignment w:val="auto"/>
        <w:rPr>
          <w:rFonts w:hint="eastAsia" w:ascii="仿宋" w:hAnsi="仿宋" w:eastAsia="仿宋" w:cs="仿宋"/>
          <w:sz w:val="24"/>
          <w:szCs w:val="24"/>
        </w:rPr>
      </w:pPr>
      <w:r>
        <w:rPr>
          <w:rFonts w:hint="eastAsia" w:ascii="仿宋" w:hAnsi="仿宋" w:eastAsia="仿宋" w:cs="仿宋"/>
          <w:sz w:val="24"/>
          <w:szCs w:val="24"/>
        </w:rPr>
        <w:t>采购需求</w:t>
      </w:r>
    </w:p>
    <w:p>
      <w:pPr>
        <w:pStyle w:val="963"/>
        <w:keepNext w:val="0"/>
        <w:keepLines w:val="0"/>
        <w:pageBreakBefore w:val="0"/>
        <w:widowControl w:val="0"/>
        <w:kinsoku/>
        <w:wordWrap/>
        <w:overflowPunct/>
        <w:topLinePunct w:val="0"/>
        <w:autoSpaceDE/>
        <w:autoSpaceDN/>
        <w:bidi w:val="0"/>
        <w:adjustRightInd w:val="0"/>
        <w:spacing w:before="190" w:after="190" w:line="400" w:lineRule="exact"/>
        <w:textAlignment w:val="auto"/>
        <w:rPr>
          <w:rFonts w:hint="eastAsia" w:ascii="仿宋" w:hAnsi="仿宋" w:eastAsia="仿宋" w:cs="仿宋"/>
          <w:sz w:val="24"/>
          <w:szCs w:val="24"/>
        </w:rPr>
      </w:pPr>
      <w:r>
        <w:rPr>
          <w:rFonts w:hint="eastAsia" w:ascii="仿宋" w:hAnsi="仿宋" w:eastAsia="仿宋" w:cs="仿宋"/>
          <w:sz w:val="24"/>
          <w:szCs w:val="24"/>
        </w:rPr>
        <w:t>项目简介</w:t>
      </w:r>
    </w:p>
    <w:p>
      <w:pPr>
        <w:pStyle w:val="82"/>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lang w:bidi="ar-SA"/>
        </w:rPr>
      </w:pPr>
      <w:r>
        <w:rPr>
          <w:rFonts w:hint="eastAsia" w:ascii="仿宋" w:hAnsi="仿宋" w:eastAsia="仿宋" w:cs="仿宋"/>
          <w:sz w:val="24"/>
          <w:szCs w:val="24"/>
          <w:lang w:bidi="ar-SA"/>
        </w:rPr>
        <w:t>本项目为临安区一网统管平台建设项目，围绕《浙江省人民政府办公厅关于开展城市治理“一网统管”试点工作的通知》，围绕驾驶舱、指标体系、事件任务、时空地图等多方面进行项目建设。做好城市运行生命体征的指标体系构建、事件任务流转处置体系构建，建设统一时空数据底座。</w:t>
      </w:r>
    </w:p>
    <w:p>
      <w:pPr>
        <w:pStyle w:val="963"/>
        <w:keepNext w:val="0"/>
        <w:keepLines w:val="0"/>
        <w:pageBreakBefore w:val="0"/>
        <w:widowControl w:val="0"/>
        <w:kinsoku/>
        <w:wordWrap/>
        <w:overflowPunct/>
        <w:topLinePunct w:val="0"/>
        <w:autoSpaceDE/>
        <w:autoSpaceDN/>
        <w:bidi w:val="0"/>
        <w:adjustRightInd w:val="0"/>
        <w:spacing w:before="190" w:after="190" w:line="400" w:lineRule="exact"/>
        <w:textAlignment w:val="auto"/>
        <w:rPr>
          <w:rFonts w:hint="eastAsia" w:ascii="仿宋" w:hAnsi="仿宋" w:eastAsia="仿宋" w:cs="仿宋"/>
          <w:sz w:val="24"/>
          <w:szCs w:val="24"/>
        </w:rPr>
      </w:pPr>
      <w:r>
        <w:rPr>
          <w:rFonts w:hint="eastAsia" w:ascii="仿宋" w:hAnsi="仿宋" w:eastAsia="仿宋" w:cs="仿宋"/>
          <w:sz w:val="24"/>
          <w:szCs w:val="24"/>
        </w:rPr>
        <w:t>建设原则</w:t>
      </w:r>
    </w:p>
    <w:p>
      <w:pPr>
        <w:pStyle w:val="964"/>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szCs w:val="24"/>
        </w:rPr>
      </w:pPr>
      <w:bookmarkStart w:id="28" w:name="_Toc88210575"/>
      <w:bookmarkStart w:id="29" w:name="_Toc111729956"/>
      <w:r>
        <w:rPr>
          <w:rFonts w:hint="eastAsia" w:ascii="仿宋" w:hAnsi="仿宋" w:eastAsia="仿宋" w:cs="仿宋"/>
          <w:sz w:val="24"/>
          <w:szCs w:val="24"/>
        </w:rPr>
        <w:t>适用性原则</w:t>
      </w:r>
      <w:bookmarkEnd w:id="28"/>
      <w:bookmarkEnd w:id="29"/>
    </w:p>
    <w:p>
      <w:pPr>
        <w:pStyle w:val="82"/>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lang w:bidi="ar-SA"/>
        </w:rPr>
      </w:pPr>
      <w:r>
        <w:rPr>
          <w:rFonts w:hint="eastAsia" w:ascii="仿宋" w:hAnsi="仿宋" w:eastAsia="仿宋" w:cs="仿宋"/>
          <w:sz w:val="24"/>
          <w:szCs w:val="24"/>
          <w:lang w:bidi="ar-SA"/>
        </w:rPr>
        <w:t>一网统管平台的建设要秉持先进适用原则，要研究清楚未来几年的建设方向，可以分步实施，逐步建设，注重应用场景和先进适用技术的有机结合，解决投入成本与效率问题。要打破单纯性通过政府一次性投入的老模式，探索出持续建设的新模式。</w:t>
      </w:r>
    </w:p>
    <w:p>
      <w:pPr>
        <w:pStyle w:val="964"/>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szCs w:val="24"/>
        </w:rPr>
      </w:pPr>
      <w:bookmarkStart w:id="30" w:name="_Toc111729957"/>
      <w:bookmarkStart w:id="31" w:name="_Toc88210576"/>
      <w:r>
        <w:rPr>
          <w:rFonts w:hint="eastAsia" w:ascii="仿宋" w:hAnsi="仿宋" w:eastAsia="仿宋" w:cs="仿宋"/>
          <w:sz w:val="24"/>
          <w:szCs w:val="24"/>
        </w:rPr>
        <w:t>创新性原则</w:t>
      </w:r>
      <w:bookmarkEnd w:id="30"/>
      <w:bookmarkEnd w:id="31"/>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一网统管平台的建设要秉持创新性原则，积极运用云计算、大数据、人工智能、移动互联网、物联网、5G、区块链等先进数据技术，在管理体制、运行机制、建设运维模式等方面探索创新，加强统筹协调，促进数据开放共融共享。重点围绕重点领域，提供渠道多样、简便易用的场景创新自助服务。</w:t>
      </w:r>
    </w:p>
    <w:p>
      <w:pPr>
        <w:pStyle w:val="964"/>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szCs w:val="24"/>
        </w:rPr>
      </w:pPr>
      <w:bookmarkStart w:id="32" w:name="_Toc88210577"/>
      <w:bookmarkStart w:id="33" w:name="_Toc111729958"/>
      <w:r>
        <w:rPr>
          <w:rFonts w:hint="eastAsia" w:ascii="仿宋" w:hAnsi="仿宋" w:eastAsia="仿宋" w:cs="仿宋"/>
          <w:sz w:val="24"/>
          <w:szCs w:val="24"/>
        </w:rPr>
        <w:t>共享性原则</w:t>
      </w:r>
      <w:bookmarkEnd w:id="32"/>
      <w:bookmarkEnd w:id="33"/>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一网统管平台的建设要秉持共享性原则，坚持上下齐抓联动，形成合力。充分调动积极性、主动性，努力争取政策、规划的支持，有效开展区县、镇街多级协同，促进跨部门协调配合和业务联动，强化制度衔接，构建跨层级、跨区域、跨系统、跨部门、跨业务的一体化推进机制。</w:t>
      </w:r>
    </w:p>
    <w:p>
      <w:pPr>
        <w:pStyle w:val="964"/>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szCs w:val="24"/>
        </w:rPr>
      </w:pPr>
      <w:bookmarkStart w:id="34" w:name="_Toc111729959"/>
      <w:bookmarkStart w:id="35" w:name="_Toc88210578"/>
      <w:r>
        <w:rPr>
          <w:rFonts w:hint="eastAsia" w:ascii="仿宋" w:hAnsi="仿宋" w:eastAsia="仿宋" w:cs="仿宋"/>
          <w:sz w:val="24"/>
          <w:szCs w:val="24"/>
        </w:rPr>
        <w:t>实用性原则</w:t>
      </w:r>
      <w:bookmarkEnd w:id="34"/>
      <w:bookmarkEnd w:id="35"/>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一网统管平台的建设要秉持实用性原则，从城市管理的实际需求出发，结合当地特色，量身定制建设解决方案。同时，方案提出的建设架构、建设内容、建设步骤要可操作、可落地、可应用、可实现，避免由于照搬照抄而造成不必要的损失。</w:t>
      </w:r>
    </w:p>
    <w:p>
      <w:pPr>
        <w:pStyle w:val="964"/>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z w:val="24"/>
          <w:szCs w:val="24"/>
        </w:rPr>
      </w:pPr>
      <w:bookmarkStart w:id="36" w:name="_Toc88210579"/>
      <w:bookmarkStart w:id="37" w:name="_Toc111729960"/>
      <w:r>
        <w:rPr>
          <w:rFonts w:hint="eastAsia" w:ascii="仿宋" w:hAnsi="仿宋" w:eastAsia="仿宋" w:cs="仿宋"/>
          <w:sz w:val="24"/>
          <w:szCs w:val="24"/>
        </w:rPr>
        <w:t>安全性原则</w:t>
      </w:r>
      <w:bookmarkEnd w:id="36"/>
      <w:bookmarkEnd w:id="37"/>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一网统管平台的建设要遵循安全性原则，完善相关法规制度，切实保护信息资源使用过程中的隐私；建立责任明晰、能力完备、协同高效的数字安全保障体系；健全数字安全风险预警、情报共享、研判处置和应急协调机制，提升预警分析和溯源能力；进行安全升维，尝试以全新的视角去理解数字安全问题，以协作为基础，推动数据联动，共同提升防护意识等。</w:t>
      </w:r>
    </w:p>
    <w:p>
      <w:pPr>
        <w:pStyle w:val="963"/>
        <w:keepNext w:val="0"/>
        <w:keepLines w:val="0"/>
        <w:pageBreakBefore w:val="0"/>
        <w:widowControl w:val="0"/>
        <w:kinsoku/>
        <w:wordWrap/>
        <w:overflowPunct/>
        <w:topLinePunct w:val="0"/>
        <w:autoSpaceDE/>
        <w:autoSpaceDN/>
        <w:bidi w:val="0"/>
        <w:adjustRightInd w:val="0"/>
        <w:spacing w:before="190" w:after="190" w:line="400" w:lineRule="exact"/>
        <w:textAlignment w:val="auto"/>
        <w:rPr>
          <w:rFonts w:hint="eastAsia" w:ascii="仿宋" w:hAnsi="仿宋" w:eastAsia="仿宋" w:cs="仿宋"/>
          <w:sz w:val="24"/>
          <w:szCs w:val="24"/>
        </w:rPr>
      </w:pPr>
      <w:r>
        <w:rPr>
          <w:rFonts w:hint="eastAsia" w:ascii="仿宋" w:hAnsi="仿宋" w:eastAsia="仿宋" w:cs="仿宋"/>
          <w:sz w:val="24"/>
          <w:szCs w:val="24"/>
        </w:rPr>
        <w:t>建设依据</w:t>
      </w:r>
    </w:p>
    <w:p>
      <w:pPr>
        <w:pStyle w:val="82"/>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《浙江省数字化改革总体方案》</w:t>
      </w:r>
    </w:p>
    <w:p>
      <w:pPr>
        <w:pStyle w:val="82"/>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lang w:bidi="ar-SA"/>
        </w:rPr>
      </w:pPr>
      <w:r>
        <w:rPr>
          <w:rFonts w:hint="eastAsia" w:ascii="仿宋" w:hAnsi="仿宋" w:eastAsia="仿宋" w:cs="仿宋"/>
          <w:sz w:val="24"/>
          <w:szCs w:val="24"/>
          <w:lang w:bidi="ar-SA"/>
        </w:rPr>
        <w:t>《2022年全省数字化改革工作要点》</w:t>
      </w:r>
    </w:p>
    <w:p>
      <w:pPr>
        <w:pStyle w:val="82"/>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《浙江省人民政府办公厅关于开展城市治理“一网统管”试点工作的通知》</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《临安区智慧“天目”数字化改革总体方案》</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《软件工程 GB/T19001-2000应用于计算机软件的指南》（GB/T 19003-2008）；</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《信息安全技术数据库管理系统安全技术要求》（GB/T 20273-2006）；</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《信息技术开放系统互联高层安全模型》（GB/T17965-2000）；</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《信息技术开放系统互联基本参考模型》（GB/T9387-1998）；</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《信息技术开放系统互联应用层结构》（GB/T17176-1997）；</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《信息技术开放系统互联开放系统安全框架》（GB/T18794-2016）；</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《信息技术开放系统互联通用高层安全》（GB/T18237-2000）；</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《软件文档管理指南》（GB/T16680-1996）；</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《信息技术系统及软件完整性级别》（GB/T18492-2001）；</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《信息技术软件维护》（GB/T20157-2006）；</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《信息安全技术数据库管理系统安全技术要求》（GB/T20273-2006）；</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《信息技术软件生存周期过程配置管理》（GB/T20158-2016）；</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《计算机软件需求规格说明规范》（GB/T9385-2008）；</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《计算机软件测试文件编制规范》（GB/T9386-2008）；</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《计算机软件可靠性和可维护性管理》（GB/T14394-2008）；</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《1:5001:10001:2000基础地理信息要素数据字典》（GB/T20258.1）；</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《基础地理信息要素分类与代码》（GB/T13923-2006）；</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《基础地理信息数据库基本规定》（GB/T30319-2013）；</w:t>
      </w:r>
    </w:p>
    <w:p>
      <w:pPr>
        <w:keepNext w:val="0"/>
        <w:keepLines w:val="0"/>
        <w:pageBreakBefore w:val="0"/>
        <w:widowControl w:val="0"/>
        <w:kinsoku/>
        <w:wordWrap/>
        <w:overflowPunct/>
        <w:topLinePunct w:val="0"/>
        <w:autoSpaceDE/>
        <w:autoSpaceDN/>
        <w:bidi w:val="0"/>
        <w:adjustRightInd w:val="0"/>
        <w:spacing w:line="400" w:lineRule="exact"/>
        <w:ind w:firstLine="560"/>
        <w:textAlignment w:val="auto"/>
        <w:rPr>
          <w:rFonts w:hint="eastAsia" w:ascii="仿宋" w:hAnsi="仿宋" w:eastAsia="仿宋" w:cs="仿宋"/>
          <w:sz w:val="24"/>
          <w:szCs w:val="24"/>
        </w:rPr>
      </w:pPr>
      <w:r>
        <w:rPr>
          <w:rFonts w:hint="eastAsia" w:ascii="仿宋" w:hAnsi="仿宋" w:eastAsia="仿宋" w:cs="仿宋"/>
          <w:sz w:val="24"/>
          <w:szCs w:val="24"/>
        </w:rPr>
        <w:t>《基础地理信息标准数据基本规定》（GB21139-2007）；</w:t>
      </w:r>
    </w:p>
    <w:p>
      <w:pPr>
        <w:ind w:firstLine="560"/>
        <w:rPr>
          <w:rFonts w:hint="eastAsia" w:ascii="仿宋" w:hAnsi="仿宋" w:eastAsia="仿宋" w:cs="仿宋"/>
          <w:sz w:val="24"/>
          <w:szCs w:val="24"/>
        </w:rPr>
      </w:pPr>
      <w:r>
        <w:rPr>
          <w:rFonts w:hint="eastAsia" w:ascii="仿宋" w:hAnsi="仿宋" w:eastAsia="仿宋" w:cs="仿宋"/>
          <w:sz w:val="24"/>
          <w:szCs w:val="24"/>
        </w:rPr>
        <w:t>《1:5001:10001:2000数字地形测量规范》（DG/TJ08-86）；</w:t>
      </w:r>
    </w:p>
    <w:p>
      <w:pPr>
        <w:ind w:firstLine="560"/>
        <w:rPr>
          <w:rFonts w:hint="eastAsia" w:ascii="仿宋" w:hAnsi="仿宋" w:eastAsia="仿宋" w:cs="仿宋"/>
          <w:sz w:val="24"/>
          <w:szCs w:val="24"/>
        </w:rPr>
      </w:pPr>
      <w:r>
        <w:rPr>
          <w:rFonts w:hint="eastAsia" w:ascii="仿宋" w:hAnsi="仿宋" w:eastAsia="仿宋" w:cs="仿宋"/>
          <w:sz w:val="24"/>
          <w:szCs w:val="24"/>
        </w:rPr>
        <w:t>《城市测量规范》（CJJ/T8）；</w:t>
      </w:r>
    </w:p>
    <w:p>
      <w:pPr>
        <w:ind w:firstLine="560"/>
        <w:rPr>
          <w:rFonts w:hint="eastAsia" w:ascii="仿宋" w:hAnsi="仿宋" w:eastAsia="仿宋" w:cs="仿宋"/>
          <w:sz w:val="24"/>
          <w:szCs w:val="24"/>
        </w:rPr>
      </w:pPr>
      <w:r>
        <w:rPr>
          <w:rFonts w:hint="eastAsia" w:ascii="仿宋" w:hAnsi="仿宋" w:eastAsia="仿宋" w:cs="仿宋"/>
          <w:sz w:val="24"/>
          <w:szCs w:val="24"/>
        </w:rPr>
        <w:t>《三维地理信息模型数据产品规范》CH/T9015-2012；</w:t>
      </w:r>
    </w:p>
    <w:p>
      <w:pPr>
        <w:ind w:firstLine="560"/>
        <w:rPr>
          <w:rFonts w:hint="eastAsia" w:ascii="仿宋" w:hAnsi="仿宋" w:eastAsia="仿宋" w:cs="仿宋"/>
          <w:sz w:val="24"/>
          <w:szCs w:val="24"/>
        </w:rPr>
      </w:pPr>
      <w:r>
        <w:rPr>
          <w:rFonts w:hint="eastAsia" w:ascii="仿宋" w:hAnsi="仿宋" w:eastAsia="仿宋" w:cs="仿宋"/>
          <w:sz w:val="24"/>
          <w:szCs w:val="24"/>
        </w:rPr>
        <w:t>《三维地理信息模型生产规范》CH/T9016-2012；</w:t>
      </w:r>
    </w:p>
    <w:p>
      <w:pPr>
        <w:ind w:firstLine="560"/>
        <w:rPr>
          <w:rFonts w:hint="eastAsia" w:ascii="仿宋" w:hAnsi="仿宋" w:eastAsia="仿宋" w:cs="仿宋"/>
          <w:sz w:val="24"/>
          <w:szCs w:val="24"/>
        </w:rPr>
      </w:pPr>
      <w:r>
        <w:rPr>
          <w:rFonts w:hint="eastAsia" w:ascii="仿宋" w:hAnsi="仿宋" w:eastAsia="仿宋" w:cs="仿宋"/>
          <w:sz w:val="24"/>
          <w:szCs w:val="24"/>
        </w:rPr>
        <w:t>《三维地理信息模型数据库规范》（CH/T9017-2012）；</w:t>
      </w:r>
    </w:p>
    <w:p>
      <w:pPr>
        <w:ind w:firstLine="560"/>
        <w:rPr>
          <w:rFonts w:hint="eastAsia" w:ascii="仿宋" w:hAnsi="仿宋" w:eastAsia="仿宋" w:cs="仿宋"/>
          <w:sz w:val="24"/>
          <w:szCs w:val="24"/>
        </w:rPr>
      </w:pPr>
      <w:r>
        <w:rPr>
          <w:rFonts w:hint="eastAsia" w:ascii="仿宋" w:hAnsi="仿宋" w:eastAsia="仿宋" w:cs="仿宋"/>
          <w:sz w:val="24"/>
          <w:szCs w:val="24"/>
        </w:rPr>
        <w:t>《地理信息公共服务平台公共地理框架数据地理实体与地名地址数据规范》（CH/Z9010-2011）。</w:t>
      </w:r>
    </w:p>
    <w:p>
      <w:pPr>
        <w:pStyle w:val="963"/>
        <w:spacing w:before="190" w:after="190"/>
        <w:rPr>
          <w:rFonts w:hint="eastAsia" w:ascii="仿宋" w:hAnsi="仿宋" w:eastAsia="仿宋" w:cs="仿宋"/>
          <w:sz w:val="24"/>
          <w:szCs w:val="24"/>
        </w:rPr>
      </w:pPr>
      <w:r>
        <w:rPr>
          <w:rFonts w:hint="eastAsia" w:ascii="仿宋" w:hAnsi="仿宋" w:eastAsia="仿宋" w:cs="仿宋"/>
          <w:sz w:val="24"/>
          <w:szCs w:val="24"/>
        </w:rPr>
        <w:t>建设内容</w:t>
      </w:r>
    </w:p>
    <w:p>
      <w:pPr>
        <w:pStyle w:val="964"/>
        <w:rPr>
          <w:rFonts w:hint="eastAsia" w:ascii="仿宋" w:hAnsi="仿宋" w:eastAsia="仿宋" w:cs="仿宋"/>
          <w:sz w:val="24"/>
          <w:szCs w:val="24"/>
        </w:rPr>
      </w:pPr>
      <w:r>
        <w:rPr>
          <w:rFonts w:hint="eastAsia" w:ascii="仿宋" w:hAnsi="仿宋" w:eastAsia="仿宋" w:cs="仿宋"/>
          <w:sz w:val="24"/>
          <w:szCs w:val="24"/>
        </w:rPr>
        <w:t>一网统管驾驶舱</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一网统管驾驶舱，包含运行总览、指标预警、事件任务、指挥调度、AI赋能、应用集成、考评考核七大中心。</w:t>
      </w:r>
    </w:p>
    <w:tbl>
      <w:tblPr>
        <w:tblStyle w:val="62"/>
        <w:tblW w:w="8800" w:type="dxa"/>
        <w:tblInd w:w="108" w:type="dxa"/>
        <w:tblLayout w:type="autofit"/>
        <w:tblCellMar>
          <w:top w:w="0" w:type="dxa"/>
          <w:left w:w="108" w:type="dxa"/>
          <w:bottom w:w="0" w:type="dxa"/>
          <w:right w:w="108" w:type="dxa"/>
        </w:tblCellMar>
      </w:tblPr>
      <w:tblGrid>
        <w:gridCol w:w="1080"/>
        <w:gridCol w:w="1080"/>
        <w:gridCol w:w="1080"/>
        <w:gridCol w:w="5560"/>
      </w:tblGrid>
      <w:tr>
        <w:tblPrEx>
          <w:tblCellMar>
            <w:top w:w="0" w:type="dxa"/>
            <w:left w:w="108" w:type="dxa"/>
            <w:bottom w:w="0" w:type="dxa"/>
            <w:right w:w="108" w:type="dxa"/>
          </w:tblCellMar>
        </w:tblPrEx>
        <w:trPr>
          <w:trHeight w:val="57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子系统</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模块</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功能大块</w:t>
            </w:r>
          </w:p>
        </w:tc>
        <w:tc>
          <w:tcPr>
            <w:tcW w:w="5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功能</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一网统管驾驶舱</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运行总览中心</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运行总览中心</w:t>
            </w: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城市底图接入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驾驶舱集成</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城市安全指标展示</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城市环境指标展示</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城市运行指标展示</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城市党建指标展示</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城市经济指标展示</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城市服务指标展示</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指标预警中心</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指标预警中心</w:t>
            </w: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防疫预警</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经济预警</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生态预警</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平安预警</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自然灾害预警</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事件预警</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指挥调度中心</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指挥调度中心</w:t>
            </w: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资源接入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指挥复盘接入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值班值守接入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事件任务中心</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事件任务中心</w:t>
            </w: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事件上报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事件研判</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事件交办</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事件处置</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事件审核、办结</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地图指标展示</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城市底图</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掌上指挥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考核评价中心</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考核评价中心</w:t>
            </w: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事件效能分析</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任务效能分析</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数据统计分析</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事件处置效能考评</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重大任务考核</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平安考核</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应用集成中心</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应用集成中心</w:t>
            </w: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各部门驾驶舱建设情况</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各镇/街道驾驶舱建设情况</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各类别驾驶舱建设情况</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平台使用次数top10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近七天平台访问频率趋势</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驾驶舱动态图</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应用集成（镇街）</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应用集成（部门）</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AI赋能中心</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AI赋能中心</w:t>
            </w:r>
          </w:p>
        </w:tc>
        <w:tc>
          <w:tcPr>
            <w:tcW w:w="5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物联感知发现接入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智能算法运行接入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大数据分析研判接入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底图集成接入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后台管理平台</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统一工作台</w:t>
            </w:r>
          </w:p>
        </w:tc>
        <w:tc>
          <w:tcPr>
            <w:tcW w:w="5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首页</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意见反馈</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5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后台配置</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用户管理</w:t>
            </w:r>
          </w:p>
        </w:tc>
        <w:tc>
          <w:tcPr>
            <w:tcW w:w="5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用户管理</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组织管理</w:t>
            </w:r>
          </w:p>
        </w:tc>
        <w:tc>
          <w:tcPr>
            <w:tcW w:w="5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组织管理</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权限管理</w:t>
            </w:r>
          </w:p>
        </w:tc>
        <w:tc>
          <w:tcPr>
            <w:tcW w:w="5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权限管理</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日志管理</w:t>
            </w:r>
          </w:p>
        </w:tc>
        <w:tc>
          <w:tcPr>
            <w:tcW w:w="5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日志管理</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消息管理</w:t>
            </w:r>
          </w:p>
        </w:tc>
        <w:tc>
          <w:tcPr>
            <w:tcW w:w="5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消息管理</w:t>
            </w:r>
          </w:p>
        </w:tc>
      </w:tr>
    </w:tbl>
    <w:p>
      <w:pPr>
        <w:pStyle w:val="82"/>
        <w:ind w:firstLine="0" w:firstLineChars="0"/>
        <w:rPr>
          <w:rFonts w:hint="eastAsia" w:ascii="仿宋" w:hAnsi="仿宋" w:eastAsia="仿宋" w:cs="仿宋"/>
          <w:sz w:val="24"/>
          <w:szCs w:val="24"/>
          <w:lang w:bidi="ar-SA"/>
        </w:rPr>
      </w:pPr>
    </w:p>
    <w:p>
      <w:pPr>
        <w:pStyle w:val="82"/>
        <w:ind w:firstLine="560"/>
        <w:rPr>
          <w:rFonts w:hint="eastAsia" w:ascii="仿宋" w:hAnsi="仿宋" w:eastAsia="仿宋" w:cs="仿宋"/>
          <w:sz w:val="24"/>
          <w:szCs w:val="24"/>
          <w:lang w:bidi="ar-SA"/>
        </w:rPr>
      </w:pPr>
    </w:p>
    <w:p>
      <w:pPr>
        <w:pStyle w:val="964"/>
        <w:rPr>
          <w:rFonts w:hint="eastAsia" w:ascii="仿宋" w:hAnsi="仿宋" w:eastAsia="仿宋" w:cs="仿宋"/>
          <w:sz w:val="24"/>
          <w:szCs w:val="24"/>
        </w:rPr>
      </w:pPr>
      <w:r>
        <w:rPr>
          <w:rFonts w:hint="eastAsia" w:ascii="仿宋" w:hAnsi="仿宋" w:eastAsia="仿宋" w:cs="仿宋"/>
          <w:sz w:val="24"/>
          <w:szCs w:val="24"/>
        </w:rPr>
        <w:t>指标管理平台</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围绕城市运行的生命体征六大领域，进行指标梳理和上架服务，本次建设约1500个指标，同时结合指标自定义、AI等多种方式的预警设置，预警体征风险。</w:t>
      </w:r>
    </w:p>
    <w:p>
      <w:pPr>
        <w:pStyle w:val="82"/>
        <w:ind w:firstLine="560"/>
        <w:rPr>
          <w:rFonts w:hint="eastAsia" w:ascii="仿宋" w:hAnsi="仿宋" w:eastAsia="仿宋" w:cs="仿宋"/>
          <w:sz w:val="24"/>
          <w:szCs w:val="24"/>
        </w:rPr>
      </w:pPr>
      <w:r>
        <w:rPr>
          <w:rFonts w:hint="eastAsia" w:ascii="仿宋" w:hAnsi="仿宋" w:eastAsia="仿宋" w:cs="仿宋"/>
          <w:sz w:val="24"/>
          <w:szCs w:val="24"/>
        </w:rPr>
        <w:t>包括以下功能模块：</w:t>
      </w:r>
    </w:p>
    <w:tbl>
      <w:tblPr>
        <w:tblStyle w:val="62"/>
        <w:tblW w:w="8040" w:type="dxa"/>
        <w:tblInd w:w="-10" w:type="dxa"/>
        <w:tblLayout w:type="autofit"/>
        <w:tblCellMar>
          <w:top w:w="0" w:type="dxa"/>
          <w:left w:w="108" w:type="dxa"/>
          <w:bottom w:w="0" w:type="dxa"/>
          <w:right w:w="108" w:type="dxa"/>
        </w:tblCellMar>
      </w:tblPr>
      <w:tblGrid>
        <w:gridCol w:w="1080"/>
        <w:gridCol w:w="1080"/>
        <w:gridCol w:w="2000"/>
        <w:gridCol w:w="3880"/>
      </w:tblGrid>
      <w:tr>
        <w:tblPrEx>
          <w:tblCellMar>
            <w:top w:w="0" w:type="dxa"/>
            <w:left w:w="108" w:type="dxa"/>
            <w:bottom w:w="0" w:type="dxa"/>
            <w:right w:w="108" w:type="dxa"/>
          </w:tblCellMar>
        </w:tblPrEx>
        <w:trPr>
          <w:trHeight w:val="300" w:hRule="atLeast"/>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指标管理平台</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首页</w:t>
            </w:r>
          </w:p>
        </w:tc>
        <w:tc>
          <w:tcPr>
            <w:tcW w:w="2000" w:type="dxa"/>
            <w:vMerge w:val="restart"/>
            <w:tcBorders>
              <w:top w:val="single" w:color="auto" w:sz="8" w:space="0"/>
              <w:left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流程引导助手</w:t>
            </w:r>
          </w:p>
        </w:tc>
        <w:tc>
          <w:tcPr>
            <w:tcW w:w="388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登录推荐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日常推荐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引导推荐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kern w:val="0"/>
                <w:sz w:val="24"/>
                <w:szCs w:val="21"/>
              </w:rPr>
              <w:t>支持对指标、指标体系的设计、指标数据接入、管理、监测、开放等每一步操作的流程引导</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指标全生命周期状态</w:t>
            </w: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指标全生命周期状态</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流程概述与入口</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流程概述</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流程入口</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待办告警</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待办任务汇总</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告警信息汇总</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数据概览</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概览指标</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数字钻取</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概览动态</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更新概览</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周期切换</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指标体系动态</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指标数据更新</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指标信息更新</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专题更新</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工作动态</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待办清单</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预警清单</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热门动态</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热门指标排行</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热门专题排行</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趋势分析</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指标量分析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指标数据量分析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专题量分析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指标分布</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专题构成分析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周期构成分析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部门构成分析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指标体系</w:t>
            </w: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新建专题</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流程化创建</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按脑图创建</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智能创建</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专题设计</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目录拆解</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专题卡片</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专题引导</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专题可视化监测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专题动态</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专题导入</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专题导出</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思维脑图</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脑图管理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脑图设计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设计工具</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脑图缩略图</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脑图导入</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脑图导出</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专题转脑图</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脑图转专题</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基础指标</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指标定义</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指标数据</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指标导入</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指标卡片</w:t>
            </w:r>
          </w:p>
        </w:tc>
      </w:tr>
      <w:tr>
        <w:tblPrEx>
          <w:tblCellMar>
            <w:top w:w="0" w:type="dxa"/>
            <w:left w:w="108" w:type="dxa"/>
            <w:bottom w:w="0" w:type="dxa"/>
            <w:right w:w="108" w:type="dxa"/>
          </w:tblCellMar>
        </w:tblPrEx>
        <w:trPr>
          <w:trHeight w:val="9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指标历史记录</w:t>
            </w:r>
          </w:p>
        </w:tc>
      </w:tr>
      <w:tr>
        <w:tblPrEx>
          <w:tblCellMar>
            <w:top w:w="0" w:type="dxa"/>
            <w:left w:w="108" w:type="dxa"/>
            <w:bottom w:w="0" w:type="dxa"/>
            <w:right w:w="108" w:type="dxa"/>
          </w:tblCellMar>
        </w:tblPrEx>
        <w:trPr>
          <w:trHeight w:val="9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right w:val="single" w:color="auto" w:sz="8"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复合指标</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复合指标定义</w:t>
            </w:r>
          </w:p>
        </w:tc>
      </w:tr>
      <w:tr>
        <w:tblPrEx>
          <w:tblCellMar>
            <w:top w:w="0" w:type="dxa"/>
            <w:left w:w="108" w:type="dxa"/>
            <w:bottom w:w="0" w:type="dxa"/>
            <w:right w:w="108" w:type="dxa"/>
          </w:tblCellMar>
        </w:tblPrEx>
        <w:trPr>
          <w:trHeight w:val="9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复合指标数据</w:t>
            </w:r>
          </w:p>
        </w:tc>
      </w:tr>
      <w:tr>
        <w:tblPrEx>
          <w:tblCellMar>
            <w:top w:w="0" w:type="dxa"/>
            <w:left w:w="108" w:type="dxa"/>
            <w:bottom w:w="0" w:type="dxa"/>
            <w:right w:w="108" w:type="dxa"/>
          </w:tblCellMar>
        </w:tblPrEx>
        <w:trPr>
          <w:trHeight w:val="9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复合指标卡片</w:t>
            </w:r>
          </w:p>
        </w:tc>
      </w:tr>
      <w:tr>
        <w:tblPrEx>
          <w:tblCellMar>
            <w:top w:w="0" w:type="dxa"/>
            <w:left w:w="108" w:type="dxa"/>
            <w:bottom w:w="0" w:type="dxa"/>
            <w:right w:w="108" w:type="dxa"/>
          </w:tblCellMar>
        </w:tblPrEx>
        <w:trPr>
          <w:trHeight w:val="9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kern w:val="0"/>
                <w:sz w:val="24"/>
                <w:szCs w:val="21"/>
              </w:rPr>
              <w:t>指标同比计算</w:t>
            </w:r>
          </w:p>
        </w:tc>
      </w:tr>
      <w:tr>
        <w:tblPrEx>
          <w:tblCellMar>
            <w:top w:w="0" w:type="dxa"/>
            <w:left w:w="108" w:type="dxa"/>
            <w:bottom w:w="0" w:type="dxa"/>
            <w:right w:w="108" w:type="dxa"/>
          </w:tblCellMar>
        </w:tblPrEx>
        <w:trPr>
          <w:trHeight w:val="9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指标环比计算</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自定义维度</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维度分组</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维度字典</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地区维度</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地区维度</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默认分组、常用地区分组</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计量单位</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计量单位</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指标字段配置</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指标字段配置</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任务处理</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任务状态快捷入口</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任务列表</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任务详情</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nil"/>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任务管理</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任务管理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nil"/>
              <w:right w:val="single" w:color="auto" w:sz="8" w:space="0"/>
            </w:tcBorders>
            <w:shd w:val="clear" w:color="auto" w:fill="auto"/>
            <w:vAlign w:val="center"/>
          </w:tcPr>
          <w:p>
            <w:pPr>
              <w:widowControl/>
              <w:jc w:val="center"/>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kern w:val="0"/>
                <w:sz w:val="24"/>
                <w:szCs w:val="21"/>
              </w:rPr>
              <w:t>新增指标</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nil"/>
              <w:right w:val="single" w:color="auto" w:sz="8" w:space="0"/>
            </w:tcBorders>
            <w:shd w:val="clear" w:color="auto" w:fill="auto"/>
            <w:vAlign w:val="center"/>
          </w:tcPr>
          <w:p>
            <w:pPr>
              <w:widowControl/>
              <w:jc w:val="center"/>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kern w:val="0"/>
                <w:sz w:val="24"/>
                <w:szCs w:val="21"/>
              </w:rPr>
              <w:t>修改指标</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4"/>
                <w:szCs w:val="21"/>
              </w:rPr>
            </w:pPr>
            <w:r>
              <w:rPr>
                <w:rFonts w:hint="eastAsia" w:ascii="仿宋" w:hAnsi="仿宋" w:eastAsia="仿宋" w:cs="宋体"/>
                <w:kern w:val="0"/>
                <w:sz w:val="24"/>
                <w:szCs w:val="21"/>
              </w:rPr>
              <w:t>时跟进处理流程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填报计划</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填报模板</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数据填报</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级联拓扑</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级联拓扑</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向下级联</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向下级联</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向上级联</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向上级联</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主动授权</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主动授权</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权限组管理</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权限组管理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指标仓库</w:t>
            </w: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资源门户</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共享目录检索</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指标目录挂载</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指标信息</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指标收藏</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权限申请</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我的指标</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目录检索</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指标查询服务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指标档案分析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指标数据分析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指标预警分析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我的专题</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专题搜索</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专题档案</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专题预警分析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指标智能</w:t>
            </w:r>
          </w:p>
        </w:tc>
        <w:tc>
          <w:tcPr>
            <w:tcW w:w="200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模型广场</w:t>
            </w: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模型列表</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模型画像</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right w:val="single" w:color="auto" w:sz="8"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指数加工</w:t>
            </w: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指数创建</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center"/>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指数模板</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center"/>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权重配置</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center"/>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指数校验</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bottom w:val="single" w:color="000000" w:sz="8" w:space="0"/>
              <w:right w:val="single" w:color="auto" w:sz="8" w:space="0"/>
            </w:tcBorders>
            <w:vAlign w:val="center"/>
          </w:tcPr>
          <w:p>
            <w:pPr>
              <w:widowControl/>
              <w:jc w:val="center"/>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生成周期配置</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算法模型</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行业集中度评估模型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企业创新力评估模型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企业合规度评估模型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企业能效分析模型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楼宇经济效益评价模型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城市主动治理评价模型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城市治理效能评价模型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评价文本情感分类模型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评价文本多标签分类模型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指标图谱</w:t>
            </w: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关系挖掘</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属性筛选</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图谱管理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布局切换</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图谱分享</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预测分析</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预测查看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结果比较</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预测模型切换</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预测模型包</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随机游动预测模型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均值预测模型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季节性朴素预测模型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漂移预测模型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多元线性回归预测模型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简单指数平滑模型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二次指数平滑模型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三次指数平滑模型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季节性自回归移动平均模型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广义自回归条件异方差模型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自回归整合移动平均模型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Prophet预测模型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循环神经网络预测模型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门控循环网络预测模型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长短期记忆网络预测模型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集成学习回归预测模型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指标体检</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kern w:val="0"/>
                <w:sz w:val="24"/>
                <w:szCs w:val="21"/>
              </w:rPr>
              <w:t>支持对指标的数据质量，缺失字段、波动异常、格式异常、重复定义、超期未生成数据等问题进行体检，并把指标质量好坏程度分值量化，予以打分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体检结果</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部门体检统计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专题体检统计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体检问题项统计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体检综合评分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体检执行</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体检指标量统计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体检排行榜</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记录详情</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体检处理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体检模型</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可用性校验模型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合理性校验模型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一致性校验模型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完整性校验模型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时效性校验模型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标准性校验模型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restart"/>
            <w:tcBorders>
              <w:top w:val="nil"/>
              <w:left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指标服务</w:t>
            </w: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指标接入</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指标API接入</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指标库表接入</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指标填报接入</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指标开放</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指标发布目录</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指标服务详情</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指标部门分享</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kern w:val="0"/>
                <w:sz w:val="24"/>
                <w:szCs w:val="21"/>
              </w:rPr>
              <w:t>分享、申请后的指标可应用于指标报告、指标监测、指标体系设计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专题开放</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专题发布目录</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专题服务详情</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接入管理</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运维大盘</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数据源管理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配置向导</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转换管理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作业管理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运维监控</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工具管理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库级同步</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数据探查</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right w:val="single" w:color="auto" w:sz="8"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开放管理</w:t>
            </w: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目录驱动服务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管理围绕目录</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数链管理体系</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服务全生命周期管理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协议转换</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接口编排服务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服务弹性伸缩</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多维度监控分析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全面安全保障</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多级流控</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跨网传输服务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数据汇聚服务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数据推送服务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数据查询服务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数据审批下载服务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数据比对订阅服务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授权交换服务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数据高铁服务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数据填报服务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目录级联</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服务级联</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标准级联</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质量级联</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纵向级联</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横向级联</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跨网级联</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级联拓扑</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指标监测</w:t>
            </w: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监测规则</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阈值监测规则</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里程碑监测规则</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趋势监测规则</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监测告警</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监测告警</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AI预警记录</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AI阈值监测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AI里程碑监测</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AI告警记录</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AI告警记录</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AI监测推送</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AI监测推送</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AI告警忽略</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AI告警忽略</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AI告警黑名单</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AI告警黑名单</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restart"/>
            <w:tcBorders>
              <w:top w:val="nil"/>
              <w:left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指标应用</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默认可视化配置</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可视化配置</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kern w:val="0"/>
                <w:sz w:val="24"/>
                <w:szCs w:val="21"/>
              </w:rPr>
              <w:t>自主选择</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kern w:val="0"/>
                <w:sz w:val="24"/>
                <w:szCs w:val="21"/>
              </w:rPr>
              <w:t>支持对指标体系中所需建设的指标进行自主选择的能力</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驾驶舱管理</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驾驶舱管理，</w:t>
            </w:r>
            <w:r>
              <w:rPr>
                <w:rFonts w:hint="eastAsia" w:ascii="仿宋" w:hAnsi="仿宋" w:eastAsia="仿宋" w:cs="宋体"/>
                <w:kern w:val="0"/>
                <w:sz w:val="24"/>
                <w:szCs w:val="21"/>
              </w:rPr>
              <w:t>可通过选择不同主题驾驶舱模板来获取所需建设的指标及指标范围</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驾驶舱发布</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驾驶舱发布</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指标大盘</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指标大盘</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权限组配置</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权限组配置</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用户权限</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用户权限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报告管理</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报告列表</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新建报告</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编辑报告</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编辑信息</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报告记录</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推送配置</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模板组件</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格式组件</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指标数值</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柱状统计图</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折线统计图</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排名图</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饼状统计图</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表格组件</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时间组件</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SQL组件</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模板管理</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内置模板</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自定义模板</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报告记录管理</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报告记录查询</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报告记录预览</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报告记录导出</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报告重新生成</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报告重新推送</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报告生成器</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报告记录</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系统管理</w:t>
            </w: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系统配置</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系统配置</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系统日志</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系统日志</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请求记录</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请求记录</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nil"/>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用户中心</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组织管理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nil"/>
              <w:right w:val="single" w:color="auto" w:sz="8" w:space="0"/>
            </w:tcBorders>
            <w:shd w:val="clear" w:color="auto" w:fill="auto"/>
            <w:vAlign w:val="center"/>
          </w:tcPr>
          <w:p>
            <w:pPr>
              <w:widowControl/>
              <w:jc w:val="center"/>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用户管理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nil"/>
              <w:right w:val="single" w:color="auto" w:sz="8" w:space="0"/>
            </w:tcBorders>
            <w:shd w:val="clear" w:color="auto" w:fill="auto"/>
            <w:vAlign w:val="center"/>
          </w:tcPr>
          <w:p>
            <w:pPr>
              <w:widowControl/>
              <w:jc w:val="center"/>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应用管理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nil"/>
              <w:right w:val="single" w:color="auto" w:sz="8" w:space="0"/>
            </w:tcBorders>
            <w:shd w:val="clear" w:color="auto" w:fill="auto"/>
            <w:vAlign w:val="center"/>
          </w:tcPr>
          <w:p>
            <w:pPr>
              <w:widowControl/>
              <w:jc w:val="center"/>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权限管理</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日志审计</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移动助手</w:t>
            </w: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首页</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指标监控</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进度监控</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关注指标</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指标搜索</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指标详情</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告警详情</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一键直达</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专题直达</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专题列表</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指标列表</w:t>
            </w:r>
          </w:p>
        </w:tc>
      </w:tr>
      <w:tr>
        <w:tblPrEx>
          <w:tblCellMar>
            <w:top w:w="0" w:type="dxa"/>
            <w:left w:w="108" w:type="dxa"/>
            <w:bottom w:w="0" w:type="dxa"/>
            <w:right w:w="108" w:type="dxa"/>
          </w:tblCellMar>
        </w:tblPrEx>
        <w:trPr>
          <w:trHeight w:val="300"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20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个人信息</w:t>
            </w:r>
          </w:p>
        </w:tc>
        <w:tc>
          <w:tcPr>
            <w:tcW w:w="388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个人信息</w:t>
            </w:r>
          </w:p>
        </w:tc>
      </w:tr>
    </w:tbl>
    <w:p>
      <w:pPr>
        <w:pStyle w:val="82"/>
        <w:ind w:firstLine="0" w:firstLineChars="0"/>
        <w:rPr>
          <w:rFonts w:hint="eastAsia" w:ascii="仿宋" w:hAnsi="仿宋" w:eastAsia="仿宋" w:cs="仿宋"/>
          <w:sz w:val="24"/>
          <w:szCs w:val="24"/>
          <w:lang w:bidi="ar-SA"/>
        </w:rPr>
      </w:pPr>
    </w:p>
    <w:p>
      <w:pPr>
        <w:pStyle w:val="82"/>
        <w:ind w:firstLine="560"/>
        <w:rPr>
          <w:rFonts w:hint="eastAsia" w:ascii="仿宋" w:hAnsi="仿宋" w:eastAsia="仿宋" w:cs="仿宋"/>
          <w:sz w:val="24"/>
          <w:szCs w:val="24"/>
          <w:highlight w:val="none"/>
          <w:lang w:bidi="ar-SA"/>
        </w:rPr>
      </w:pPr>
      <w:r>
        <w:rPr>
          <w:rFonts w:hint="eastAsia" w:ascii="仿宋" w:hAnsi="仿宋" w:eastAsia="仿宋" w:cs="仿宋"/>
          <w:sz w:val="24"/>
          <w:szCs w:val="24"/>
          <w:highlight w:val="none"/>
          <w:lang w:bidi="ar-SA"/>
        </w:rPr>
        <w:t>指标管理平台</w:t>
      </w:r>
      <w:r>
        <w:rPr>
          <w:rFonts w:hint="default" w:ascii="仿宋" w:hAnsi="仿宋" w:eastAsia="仿宋" w:cs="仿宋_GB2312"/>
          <w:sz w:val="24"/>
          <w:highlight w:val="none"/>
          <w:lang w:val="en-US" w:eastAsia="zh-CN"/>
        </w:rPr>
        <w:t>技术指标</w:t>
      </w:r>
      <w:r>
        <w:rPr>
          <w:rFonts w:hint="eastAsia" w:ascii="仿宋" w:hAnsi="仿宋" w:eastAsia="仿宋" w:cs="仿宋"/>
          <w:sz w:val="24"/>
          <w:szCs w:val="24"/>
          <w:highlight w:val="none"/>
          <w:lang w:bidi="ar-SA"/>
        </w:rPr>
        <w:t>要求：</w:t>
      </w:r>
    </w:p>
    <w:tbl>
      <w:tblPr>
        <w:tblStyle w:val="62"/>
        <w:tblW w:w="5000" w:type="pct"/>
        <w:tblInd w:w="0" w:type="dxa"/>
        <w:tblLayout w:type="autofit"/>
        <w:tblCellMar>
          <w:top w:w="0" w:type="dxa"/>
          <w:left w:w="108" w:type="dxa"/>
          <w:bottom w:w="0" w:type="dxa"/>
          <w:right w:w="108" w:type="dxa"/>
        </w:tblCellMar>
      </w:tblPr>
      <w:tblGrid>
        <w:gridCol w:w="985"/>
        <w:gridCol w:w="7510"/>
      </w:tblGrid>
      <w:tr>
        <w:tblPrEx>
          <w:tblCellMar>
            <w:top w:w="0" w:type="dxa"/>
            <w:left w:w="108" w:type="dxa"/>
            <w:bottom w:w="0" w:type="dxa"/>
            <w:right w:w="108" w:type="dxa"/>
          </w:tblCellMar>
        </w:tblPrEx>
        <w:trPr>
          <w:trHeight w:val="990" w:hRule="atLeast"/>
        </w:trPr>
        <w:tc>
          <w:tcPr>
            <w:tcW w:w="5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24"/>
                <w:szCs w:val="24"/>
                <w:highlight w:val="none"/>
              </w:rPr>
            </w:pPr>
            <w:r>
              <w:rPr>
                <w:rFonts w:hint="default" w:ascii="仿宋" w:hAnsi="仿宋" w:eastAsia="仿宋" w:cs="仿宋_GB2312"/>
                <w:sz w:val="24"/>
                <w:highlight w:val="none"/>
                <w:lang w:val="en-US" w:eastAsia="zh-CN"/>
              </w:rPr>
              <w:t>技术指标</w:t>
            </w:r>
          </w:p>
        </w:tc>
        <w:tc>
          <w:tcPr>
            <w:tcW w:w="4420" w:type="pct"/>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支持不低于十万级指标管理。</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lang w:eastAsia="zh-CN"/>
              </w:rPr>
              <w:t>需</w:t>
            </w:r>
            <w:r>
              <w:rPr>
                <w:rFonts w:hint="eastAsia" w:ascii="仿宋" w:hAnsi="仿宋" w:eastAsia="仿宋" w:cs="仿宋"/>
                <w:kern w:val="0"/>
                <w:sz w:val="24"/>
                <w:szCs w:val="24"/>
                <w:highlight w:val="none"/>
              </w:rPr>
              <w:t>提供具有CMA（中国计量认证）标识或CNAS（中国合格评定国家认可委员会认证）标识的测试报告关键页（含首页、盖章页及对应功能描述页）等证明材料。</w:t>
            </w:r>
          </w:p>
        </w:tc>
      </w:tr>
      <w:tr>
        <w:tblPrEx>
          <w:tblCellMar>
            <w:top w:w="0" w:type="dxa"/>
            <w:left w:w="108" w:type="dxa"/>
            <w:bottom w:w="0" w:type="dxa"/>
            <w:right w:w="108" w:type="dxa"/>
          </w:tblCellMar>
        </w:tblPrEx>
        <w:trPr>
          <w:trHeight w:val="990" w:hRule="atLeast"/>
        </w:trPr>
        <w:tc>
          <w:tcPr>
            <w:tcW w:w="58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hint="eastAsia" w:ascii="仿宋" w:hAnsi="仿宋" w:eastAsia="仿宋" w:cs="仿宋"/>
                <w:kern w:val="0"/>
                <w:sz w:val="24"/>
                <w:szCs w:val="24"/>
                <w:highlight w:val="none"/>
              </w:rPr>
            </w:pPr>
          </w:p>
        </w:tc>
        <w:tc>
          <w:tcPr>
            <w:tcW w:w="4420" w:type="pct"/>
            <w:tcBorders>
              <w:top w:val="nil"/>
              <w:left w:val="nil"/>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单用户指标体检平均响应时间不高于0.1秒。</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lang w:eastAsia="zh-CN"/>
              </w:rPr>
              <w:t>需</w:t>
            </w:r>
            <w:r>
              <w:rPr>
                <w:rFonts w:hint="eastAsia" w:ascii="仿宋" w:hAnsi="仿宋" w:eastAsia="仿宋" w:cs="仿宋"/>
                <w:kern w:val="0"/>
                <w:sz w:val="24"/>
                <w:szCs w:val="24"/>
                <w:highlight w:val="none"/>
              </w:rPr>
              <w:t>提供具有CMA（中国计量认证）标识或CNAS（中国合格评定国家认可委员会认证）标识的测试报告关键页（含首页、盖章页及对应功能描述页）等证明材料。</w:t>
            </w:r>
          </w:p>
        </w:tc>
      </w:tr>
      <w:tr>
        <w:tblPrEx>
          <w:tblCellMar>
            <w:top w:w="0" w:type="dxa"/>
            <w:left w:w="108" w:type="dxa"/>
            <w:bottom w:w="0" w:type="dxa"/>
            <w:right w:w="108" w:type="dxa"/>
          </w:tblCellMar>
        </w:tblPrEx>
        <w:trPr>
          <w:trHeight w:val="990" w:hRule="atLeast"/>
        </w:trPr>
        <w:tc>
          <w:tcPr>
            <w:tcW w:w="58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hint="eastAsia" w:ascii="仿宋" w:hAnsi="仿宋" w:eastAsia="仿宋" w:cs="仿宋"/>
                <w:kern w:val="0"/>
                <w:sz w:val="24"/>
                <w:szCs w:val="24"/>
                <w:highlight w:val="none"/>
              </w:rPr>
            </w:pPr>
          </w:p>
        </w:tc>
        <w:tc>
          <w:tcPr>
            <w:tcW w:w="4420" w:type="pct"/>
            <w:tcBorders>
              <w:top w:val="nil"/>
              <w:left w:val="nil"/>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单节点指标查询支持不少于500并发用户数</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lang w:eastAsia="zh-CN"/>
              </w:rPr>
              <w:t>需</w:t>
            </w:r>
            <w:r>
              <w:rPr>
                <w:rFonts w:hint="eastAsia" w:ascii="仿宋" w:hAnsi="仿宋" w:eastAsia="仿宋" w:cs="仿宋"/>
                <w:kern w:val="0"/>
                <w:sz w:val="24"/>
                <w:szCs w:val="24"/>
                <w:highlight w:val="none"/>
              </w:rPr>
              <w:t>提供具有CMA（中国计量认证）标识或CNAS（中国合格评定国家认可委员会认证）标识的测试报告关键页（含首页、盖章页及对应功能描述页）等证明材料。</w:t>
            </w:r>
          </w:p>
        </w:tc>
      </w:tr>
    </w:tbl>
    <w:p>
      <w:pPr>
        <w:pStyle w:val="82"/>
        <w:ind w:firstLine="0" w:firstLineChars="0"/>
        <w:rPr>
          <w:rFonts w:hint="eastAsia" w:ascii="仿宋" w:hAnsi="仿宋" w:eastAsia="仿宋" w:cs="仿宋"/>
          <w:sz w:val="24"/>
          <w:szCs w:val="24"/>
          <w:lang w:bidi="ar-SA"/>
        </w:rPr>
      </w:pPr>
    </w:p>
    <w:p>
      <w:pPr>
        <w:pStyle w:val="964"/>
        <w:rPr>
          <w:rFonts w:hint="eastAsia" w:ascii="仿宋" w:hAnsi="仿宋" w:eastAsia="仿宋" w:cs="仿宋"/>
          <w:sz w:val="24"/>
          <w:szCs w:val="24"/>
        </w:rPr>
      </w:pPr>
      <w:r>
        <w:rPr>
          <w:rFonts w:hint="eastAsia" w:ascii="仿宋" w:hAnsi="仿宋" w:eastAsia="仿宋" w:cs="仿宋"/>
          <w:sz w:val="24"/>
          <w:szCs w:val="24"/>
        </w:rPr>
        <w:t>一网统管指标体系服务</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一网统管指标体征通过调研梳理、指标接入治理加工上架、预警预测规则设置等多全流程，目前分为城市经济、城市运行、城市党建、城市环境、城市服务、城市安全六大领域。每个领域分为细分领域进行指标的调研和设计。</w:t>
      </w:r>
    </w:p>
    <w:p>
      <w:pPr>
        <w:pStyle w:val="82"/>
        <w:ind w:firstLine="560"/>
        <w:rPr>
          <w:rFonts w:hint="eastAsia" w:ascii="仿宋" w:hAnsi="仿宋" w:eastAsia="仿宋" w:cs="仿宋"/>
          <w:sz w:val="24"/>
          <w:szCs w:val="24"/>
        </w:rPr>
      </w:pPr>
      <w:r>
        <w:rPr>
          <w:rFonts w:hint="eastAsia" w:ascii="仿宋" w:hAnsi="仿宋" w:eastAsia="仿宋" w:cs="仿宋"/>
          <w:sz w:val="24"/>
          <w:szCs w:val="24"/>
        </w:rPr>
        <w:t>包括以下功能模块：</w:t>
      </w:r>
    </w:p>
    <w:tbl>
      <w:tblPr>
        <w:tblStyle w:val="62"/>
        <w:tblW w:w="5000" w:type="pct"/>
        <w:tblInd w:w="0" w:type="dxa"/>
        <w:tblLayout w:type="autofit"/>
        <w:tblCellMar>
          <w:top w:w="0" w:type="dxa"/>
          <w:left w:w="108" w:type="dxa"/>
          <w:bottom w:w="0" w:type="dxa"/>
          <w:right w:w="108" w:type="dxa"/>
        </w:tblCellMar>
      </w:tblPr>
      <w:tblGrid>
        <w:gridCol w:w="1699"/>
        <w:gridCol w:w="1699"/>
        <w:gridCol w:w="1699"/>
        <w:gridCol w:w="1699"/>
        <w:gridCol w:w="1699"/>
      </w:tblGrid>
      <w:tr>
        <w:tblPrEx>
          <w:tblCellMar>
            <w:top w:w="0" w:type="dxa"/>
            <w:left w:w="108" w:type="dxa"/>
            <w:bottom w:w="0" w:type="dxa"/>
            <w:right w:w="108" w:type="dxa"/>
          </w:tblCellMar>
        </w:tblPrEx>
        <w:trPr>
          <w:trHeight w:val="570" w:hRule="atLeast"/>
        </w:trPr>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100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子系统</w:t>
            </w:r>
          </w:p>
        </w:tc>
        <w:tc>
          <w:tcPr>
            <w:tcW w:w="100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模块</w:t>
            </w:r>
          </w:p>
        </w:tc>
        <w:tc>
          <w:tcPr>
            <w:tcW w:w="100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功能大块</w:t>
            </w:r>
          </w:p>
        </w:tc>
        <w:tc>
          <w:tcPr>
            <w:tcW w:w="100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功能</w:t>
            </w:r>
          </w:p>
        </w:tc>
      </w:tr>
      <w:tr>
        <w:tblPrEx>
          <w:tblCellMar>
            <w:top w:w="0" w:type="dxa"/>
            <w:left w:w="108" w:type="dxa"/>
            <w:bottom w:w="0" w:type="dxa"/>
            <w:right w:w="108" w:type="dxa"/>
          </w:tblCellMar>
        </w:tblPrEx>
        <w:trPr>
          <w:trHeight w:val="570"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一网统管指标体系服务</w:t>
            </w:r>
          </w:p>
        </w:tc>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城市经济指标调研服务（约250个）</w:t>
            </w:r>
          </w:p>
        </w:tc>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城市经济指标调研服务（约250个）</w:t>
            </w: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农林牧渔业</w:t>
            </w:r>
          </w:p>
        </w:tc>
      </w:tr>
      <w:tr>
        <w:tblPrEx>
          <w:tblCellMar>
            <w:top w:w="0" w:type="dxa"/>
            <w:left w:w="108" w:type="dxa"/>
            <w:bottom w:w="0" w:type="dxa"/>
            <w:right w:w="108" w:type="dxa"/>
          </w:tblCellMar>
        </w:tblPrEx>
        <w:trPr>
          <w:trHeight w:val="570"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固定资产投资</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对外贸易</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工业</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市场主体</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建筑业</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房地产业</w:t>
            </w:r>
          </w:p>
        </w:tc>
      </w:tr>
      <w:tr>
        <w:tblPrEx>
          <w:tblCellMar>
            <w:top w:w="0" w:type="dxa"/>
            <w:left w:w="108" w:type="dxa"/>
            <w:bottom w:w="0" w:type="dxa"/>
            <w:right w:w="108" w:type="dxa"/>
          </w:tblCellMar>
        </w:tblPrEx>
        <w:trPr>
          <w:trHeight w:val="570"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批发和零售业</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旅游业</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经济运行</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金融业</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城市运行指标调研服务（约250个）</w:t>
            </w:r>
          </w:p>
        </w:tc>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城市运行指标调研服务（约250个）</w:t>
            </w: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交通出行</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人口家庭</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住房保障</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公共安全</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劳动就业</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卫生医疗</w:t>
            </w:r>
          </w:p>
        </w:tc>
      </w:tr>
      <w:tr>
        <w:tblPrEx>
          <w:tblCellMar>
            <w:top w:w="0" w:type="dxa"/>
            <w:left w:w="108" w:type="dxa"/>
            <w:bottom w:w="0" w:type="dxa"/>
            <w:right w:w="108" w:type="dxa"/>
          </w:tblCellMar>
        </w:tblPrEx>
        <w:trPr>
          <w:trHeight w:val="570"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城市基础设施</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政务服务</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教育</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社会保障</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社会管理</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城市环境指标调研服务（约250个）</w:t>
            </w:r>
          </w:p>
        </w:tc>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城市环境指标调研服务（约250个）</w:t>
            </w: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垃圾处置</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大气气象</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应急预测</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26</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水文状况</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环境保护</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绿色发展</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29</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能源消耗</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自然资源</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城市服务指标调研服务（约250个）</w:t>
            </w:r>
          </w:p>
        </w:tc>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城市服务指标调研服务（约250个）</w:t>
            </w: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全域旅游</w:t>
            </w:r>
          </w:p>
        </w:tc>
      </w:tr>
      <w:tr>
        <w:tblPrEx>
          <w:tblCellMar>
            <w:top w:w="0" w:type="dxa"/>
            <w:left w:w="108" w:type="dxa"/>
            <w:bottom w:w="0" w:type="dxa"/>
            <w:right w:w="108" w:type="dxa"/>
          </w:tblCellMar>
        </w:tblPrEx>
        <w:trPr>
          <w:trHeight w:val="570"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文化教育从业人员</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33</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文化服务</w:t>
            </w:r>
          </w:p>
        </w:tc>
      </w:tr>
      <w:tr>
        <w:tblPrEx>
          <w:tblCellMar>
            <w:top w:w="0" w:type="dxa"/>
            <w:left w:w="108" w:type="dxa"/>
            <w:bottom w:w="0" w:type="dxa"/>
            <w:right w:w="108" w:type="dxa"/>
          </w:tblCellMar>
        </w:tblPrEx>
        <w:trPr>
          <w:trHeight w:val="570"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34</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文化生产经营</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35</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文化设施</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文明创建</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37</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非遗文化</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城市党建指标调研服务（约250个）</w:t>
            </w:r>
          </w:p>
        </w:tc>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城市党建指标调研服务（约250个）</w:t>
            </w: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党建发展</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39</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共青团</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宗教团体</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41</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宣传</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42</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工会</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43</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统一战线</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44</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城市安全指标调研服务（约250个）</w:t>
            </w:r>
          </w:p>
        </w:tc>
        <w:tc>
          <w:tcPr>
            <w:tcW w:w="100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城市安全指标调研服务（约250个）</w:t>
            </w: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公共安全</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45</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社会管理</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46</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应急预测</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47</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信访管理</w:t>
            </w:r>
          </w:p>
        </w:tc>
      </w:tr>
      <w:tr>
        <w:tblPrEx>
          <w:tblCellMar>
            <w:top w:w="0" w:type="dxa"/>
            <w:left w:w="108" w:type="dxa"/>
            <w:bottom w:w="0" w:type="dxa"/>
            <w:right w:w="108" w:type="dxa"/>
          </w:tblCellMar>
        </w:tblPrEx>
        <w:trPr>
          <w:trHeight w:val="28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48</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基层治理</w:t>
            </w:r>
          </w:p>
        </w:tc>
      </w:tr>
      <w:tr>
        <w:tblPrEx>
          <w:tblCellMar>
            <w:top w:w="0" w:type="dxa"/>
            <w:left w:w="108" w:type="dxa"/>
            <w:bottom w:w="0" w:type="dxa"/>
            <w:right w:w="108" w:type="dxa"/>
          </w:tblCellMar>
        </w:tblPrEx>
        <w:trPr>
          <w:trHeight w:val="85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49</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指标上架服务</w:t>
            </w: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1500个全量指标上架服务</w:t>
            </w: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1500个六大领域指标治理服务</w:t>
            </w:r>
          </w:p>
        </w:tc>
      </w:tr>
      <w:tr>
        <w:tblPrEx>
          <w:tblCellMar>
            <w:top w:w="0" w:type="dxa"/>
            <w:left w:w="108" w:type="dxa"/>
            <w:bottom w:w="0" w:type="dxa"/>
            <w:right w:w="108" w:type="dxa"/>
          </w:tblCellMar>
        </w:tblPrEx>
        <w:trPr>
          <w:trHeight w:val="855" w:hRule="atLeast"/>
        </w:trPr>
        <w:tc>
          <w:tcPr>
            <w:tcW w:w="100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w:t>
            </w:r>
          </w:p>
        </w:tc>
        <w:tc>
          <w:tcPr>
            <w:tcW w:w="100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指标预警设计服务</w:t>
            </w: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指标预警设计服务</w:t>
            </w:r>
          </w:p>
        </w:tc>
        <w:tc>
          <w:tcPr>
            <w:tcW w:w="100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六大领域指标预警服务</w:t>
            </w:r>
          </w:p>
        </w:tc>
      </w:tr>
    </w:tbl>
    <w:p>
      <w:pPr>
        <w:pStyle w:val="82"/>
        <w:ind w:firstLine="170" w:firstLineChars="71"/>
        <w:rPr>
          <w:rFonts w:hint="eastAsia" w:ascii="仿宋" w:hAnsi="仿宋" w:eastAsia="仿宋" w:cs="仿宋"/>
          <w:sz w:val="24"/>
          <w:szCs w:val="24"/>
          <w:lang w:bidi="ar-SA"/>
        </w:rPr>
      </w:pPr>
    </w:p>
    <w:p>
      <w:pPr>
        <w:pStyle w:val="964"/>
        <w:rPr>
          <w:rFonts w:hint="eastAsia" w:ascii="仿宋" w:hAnsi="仿宋" w:eastAsia="仿宋" w:cs="仿宋"/>
          <w:sz w:val="24"/>
          <w:szCs w:val="24"/>
        </w:rPr>
      </w:pPr>
      <w:r>
        <w:rPr>
          <w:rFonts w:hint="eastAsia" w:ascii="仿宋" w:hAnsi="仿宋" w:eastAsia="仿宋" w:cs="仿宋"/>
          <w:sz w:val="24"/>
          <w:szCs w:val="24"/>
        </w:rPr>
        <w:t>事件中心管理平台</w:t>
      </w:r>
    </w:p>
    <w:p>
      <w:pPr>
        <w:ind w:firstLine="560"/>
        <w:rPr>
          <w:rFonts w:hint="eastAsia" w:ascii="仿宋" w:hAnsi="仿宋" w:eastAsia="仿宋" w:cs="仿宋"/>
          <w:color w:val="000000"/>
          <w:sz w:val="24"/>
          <w:szCs w:val="24"/>
        </w:rPr>
      </w:pPr>
      <w:bookmarkStart w:id="38" w:name="shortdesc-tcy-nem-jj5"/>
      <w:r>
        <w:rPr>
          <w:rFonts w:hint="eastAsia" w:ascii="仿宋" w:hAnsi="仿宋" w:eastAsia="仿宋" w:cs="仿宋"/>
          <w:color w:val="000000"/>
          <w:sz w:val="24"/>
          <w:szCs w:val="24"/>
        </w:rPr>
        <w:t>事件中心提供城市事件的模型管理和实例管理能力，并可基于事件的接入和处置提供事件多维分析能力。事件中心基于事项中心、事件智能引擎的算法能力以及智能数据中心实现对上层应用系统的底层能力支撑。</w:t>
      </w:r>
    </w:p>
    <w:bookmarkEnd w:id="38"/>
    <w:p>
      <w:pPr>
        <w:pStyle w:val="82"/>
        <w:ind w:firstLine="560"/>
        <w:rPr>
          <w:rFonts w:hint="eastAsia" w:ascii="仿宋" w:hAnsi="仿宋" w:eastAsia="仿宋" w:cs="仿宋"/>
          <w:sz w:val="24"/>
          <w:szCs w:val="24"/>
        </w:rPr>
      </w:pPr>
      <w:r>
        <w:rPr>
          <w:rFonts w:hint="eastAsia" w:ascii="仿宋" w:hAnsi="仿宋" w:eastAsia="仿宋" w:cs="仿宋"/>
          <w:sz w:val="24"/>
          <w:szCs w:val="24"/>
        </w:rPr>
        <w:t>包括以下功能模块：</w:t>
      </w:r>
    </w:p>
    <w:tbl>
      <w:tblPr>
        <w:tblStyle w:val="62"/>
        <w:tblW w:w="5000" w:type="pct"/>
        <w:tblInd w:w="0" w:type="dxa"/>
        <w:tblLayout w:type="autofit"/>
        <w:tblCellMar>
          <w:top w:w="0" w:type="dxa"/>
          <w:left w:w="108" w:type="dxa"/>
          <w:bottom w:w="0" w:type="dxa"/>
          <w:right w:w="108" w:type="dxa"/>
        </w:tblCellMar>
      </w:tblPr>
      <w:tblGrid>
        <w:gridCol w:w="593"/>
        <w:gridCol w:w="708"/>
        <w:gridCol w:w="598"/>
        <w:gridCol w:w="817"/>
        <w:gridCol w:w="2628"/>
        <w:gridCol w:w="3151"/>
      </w:tblGrid>
      <w:tr>
        <w:tblPrEx>
          <w:tblCellMar>
            <w:top w:w="0" w:type="dxa"/>
            <w:left w:w="108" w:type="dxa"/>
            <w:bottom w:w="0" w:type="dxa"/>
            <w:right w:w="108" w:type="dxa"/>
          </w:tblCellMar>
        </w:tblPrEx>
        <w:trPr>
          <w:trHeight w:val="285" w:hRule="atLeast"/>
        </w:trPr>
        <w:tc>
          <w:tcPr>
            <w:tcW w:w="34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41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子系统</w:t>
            </w:r>
          </w:p>
        </w:tc>
        <w:tc>
          <w:tcPr>
            <w:tcW w:w="352"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模块</w:t>
            </w:r>
          </w:p>
        </w:tc>
        <w:tc>
          <w:tcPr>
            <w:tcW w:w="481"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功能大块</w:t>
            </w:r>
          </w:p>
        </w:tc>
        <w:tc>
          <w:tcPr>
            <w:tcW w:w="1547"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b/>
                <w:bCs/>
                <w:color w:val="000000"/>
                <w:kern w:val="0"/>
                <w:sz w:val="24"/>
              </w:rPr>
            </w:pPr>
            <w:r>
              <w:rPr>
                <w:rFonts w:hint="eastAsia" w:ascii="仿宋" w:hAnsi="仿宋" w:eastAsia="仿宋" w:cs="宋体"/>
                <w:b/>
                <w:bCs/>
                <w:color w:val="000000"/>
                <w:kern w:val="0"/>
                <w:sz w:val="24"/>
              </w:rPr>
              <w:t>功能</w:t>
            </w:r>
          </w:p>
        </w:tc>
        <w:tc>
          <w:tcPr>
            <w:tcW w:w="185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功能详述</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417"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事件中心管理平台</w:t>
            </w:r>
          </w:p>
        </w:tc>
        <w:tc>
          <w:tcPr>
            <w:tcW w:w="35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事项中心</w:t>
            </w: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事项管理</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事项创建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事项搜索</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事项列表展示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事项详情查看</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事项编辑</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事项配置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事项上线</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事项升级</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事项多版本</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事项升级过程中，兼容事项的运行态配置和升级态配置，满足升级事项配置的同时不影响业务正常运行。</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事项下线</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权责围栏</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新增业务条线</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业务条线列表展示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编辑业务条线</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删除业务条线</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组织机构列表展示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新增组织机构</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禁用/启用组织机构</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删除组织机构</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组织机构处置系统id关联</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通过权责围栏查询权责清单</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更换属地组织机构</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通过权责围栏查询适用事项</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r>
              <w:rPr>
                <w:rFonts w:ascii="仿宋" w:hAnsi="仿宋" w:eastAsia="仿宋" w:cs="宋体"/>
                <w:color w:val="000000"/>
                <w:kern w:val="0"/>
                <w:sz w:val="24"/>
              </w:rPr>
              <w:t>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权责围栏规则映射</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支持通过事项上的部门处置规则（地址条件、处置层级）映射已有的权责围栏规则，映射不到系统会在部门条线上创建一条新的权责围栏规则。</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事项表单</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字段列表</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添加事项字段</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导入算法场景字段</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移除表单字段</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表单字段同步</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表单字段分栏</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表单字段灵活分栏</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表单字段分组</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表单提示组件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表单按钮组件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表单标签组件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换行符组件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表单字段联动</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表单字段数据共享</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字段标题配置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字段组件属性</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字段只读模式</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字段隐藏模式</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必填项配置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多选项数量配置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数值大小配置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文件后缀校验</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文本长度配置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特定文本格式校验</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正则表达式校验</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脚本规则校验</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条件表达式设定默认值</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条件表达式强制赋值</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条件表达式过滤枚举项</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表单PC端适配</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已配置的表单schema表单动态渲染，动态协议支持PC端展示。</w:t>
            </w:r>
          </w:p>
        </w:tc>
      </w:tr>
      <w:tr>
        <w:tblPrEx>
          <w:tblCellMar>
            <w:top w:w="0" w:type="dxa"/>
            <w:left w:w="108" w:type="dxa"/>
            <w:bottom w:w="0" w:type="dxa"/>
            <w:right w:w="108" w:type="dxa"/>
          </w:tblCellMar>
        </w:tblPrEx>
        <w:trPr>
          <w:trHeight w:val="570"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表单H5端适配</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已配置的表单schema表单动态渲染，动态协议支持H5端展示。</w:t>
            </w:r>
          </w:p>
        </w:tc>
      </w:tr>
      <w:tr>
        <w:tblPrEx>
          <w:tblCellMar>
            <w:top w:w="0" w:type="dxa"/>
            <w:left w:w="108" w:type="dxa"/>
            <w:bottom w:w="0" w:type="dxa"/>
            <w:right w:w="108" w:type="dxa"/>
          </w:tblCellMar>
        </w:tblPrEx>
        <w:trPr>
          <w:trHeight w:val="570"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智能回填</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支持在C端用户使用表单时，将算法抽取和数据共享的内容回填至表单字段内。</w:t>
            </w:r>
            <w:r>
              <w:rPr>
                <w:rFonts w:hint="eastAsia" w:ascii="仿宋" w:hAnsi="仿宋" w:eastAsia="仿宋" w:cs="宋体"/>
                <w:kern w:val="0"/>
                <w:sz w:val="24"/>
                <w:szCs w:val="21"/>
              </w:rPr>
              <w:t>通过精细化梳理处置过程中需要各项数据进行分组分栏布局编排设计，同时通过AI数据抽取及API数据共享方式</w:t>
            </w:r>
            <w:r>
              <w:rPr>
                <w:rFonts w:ascii="仿宋" w:hAnsi="仿宋" w:eastAsia="仿宋" w:cs="宋体"/>
                <w:kern w:val="0"/>
                <w:sz w:val="24"/>
                <w:szCs w:val="21"/>
              </w:rPr>
              <w:t>调取数据</w:t>
            </w:r>
            <w:r>
              <w:rPr>
                <w:rFonts w:hint="eastAsia" w:ascii="仿宋" w:hAnsi="仿宋" w:eastAsia="仿宋" w:cs="宋体"/>
                <w:kern w:val="0"/>
                <w:sz w:val="24"/>
                <w:szCs w:val="21"/>
              </w:rPr>
              <w:t>，形成更细颗粒度的处置表单，帮助处置人员更高效的处置。</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事项要素管理</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事项字段创建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事项字段全链路提供API</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事项字段搜索</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事项字段编辑</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事项字段删除</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事项字段组件</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字段组件-单行文本框</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字段组件-多行文本框</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字段组件-整数输入框</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字段组件-小数输入框</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字段组件-附件组件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字段组件-级联单选组件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字段组件-级联多选组件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字段组件-下拉多选</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字段组件-多选</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字段组件-地区选择</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字段组件-时间</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字段组件-时间区间</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字段组件-表格组件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字段组件-卡片组件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字段组件-嵌套卡片</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字段组件-普通表格</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字段组件-整数输入框</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事项模板管理</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事项模板创建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事项模板分组管理</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分组管理引用事项字段</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事项字段别名</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事项字段是否必填</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事项字段能否修改</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分组管理移除事项字段</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分组管理事项字段排序</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事项模板编辑</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事项模板启用</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事项分类管理</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事项多级分类</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接入外部分类数据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事件中心</w:t>
            </w: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事件源接入</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事件源列表展示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事件源搜索</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事件源数据权限</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新增事件源接入</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通过API方式接入事件源数据</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自定义扩展字段</w:t>
            </w:r>
          </w:p>
        </w:tc>
      </w:tr>
      <w:tr>
        <w:tblPrEx>
          <w:tblCellMar>
            <w:top w:w="0" w:type="dxa"/>
            <w:left w:w="108" w:type="dxa"/>
            <w:bottom w:w="0" w:type="dxa"/>
            <w:right w:w="108" w:type="dxa"/>
          </w:tblCellMar>
        </w:tblPrEx>
        <w:trPr>
          <w:trHeight w:val="368"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编辑事件源</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算法服务配置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事件流转策略配置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事件源详情查看</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编辑事件源</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编辑事件源名称、开发商信息、接入的扩展字段</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删除事件源</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161"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事件管理</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事件列表与查询</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事件智能分派</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事件处置工程</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事件扩线能力</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事件智能处置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事件类型</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事件类型列表展示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事件类型树</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事件类型新增</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事件类型导入</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事件类型编辑</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事件类型删除</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调度中心</w:t>
            </w: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调度流程管理</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调度流程编排</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支持通过流程编辑器的组件，编排一个或多个部门的串并行的处置流程，具备三种以上的事项路由规则设置。</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流程编辑器组件-开始流程</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流程编辑器组件-流程节点</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流程编辑器组件-流程线</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流程编辑器组件-网关</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流程编辑器组件-结束流程</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节点操作配置</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节点关联事项部门</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节点执行条件配置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节点功能包-通用功能包</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节点功能包-批量派发功能包</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节点功能包-复核功能包</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节点分派策略</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派发系统至部门自有处置系统</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派发至平台处置系统</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分派策略-仅分派至部门</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分派策略-随机分派至部门岗位人员（指派到人）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可在节点定义分派策略，指定分派给部门的具体岗位，系统会根据分派策略随机派给岗位对应的一个账号。</w:t>
            </w:r>
          </w:p>
        </w:tc>
      </w:tr>
      <w:tr>
        <w:tblPrEx>
          <w:tblCellMar>
            <w:top w:w="0" w:type="dxa"/>
            <w:left w:w="108" w:type="dxa"/>
            <w:bottom w:w="0" w:type="dxa"/>
            <w:right w:w="108" w:type="dxa"/>
          </w:tblCellMar>
        </w:tblPrEx>
        <w:trPr>
          <w:trHeight w:val="570"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分派策略-分派至部门岗位所有人员（指派到人）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可在节点定义分派策略，指定分派给部门的具体岗位，系统会根据分派策略派给岗位所有账号。</w:t>
            </w:r>
          </w:p>
        </w:tc>
      </w:tr>
      <w:tr>
        <w:tblPrEx>
          <w:tblCellMar>
            <w:top w:w="0" w:type="dxa"/>
            <w:left w:w="108" w:type="dxa"/>
            <w:bottom w:w="0" w:type="dxa"/>
            <w:right w:w="108" w:type="dxa"/>
          </w:tblCellMar>
        </w:tblPrEx>
        <w:trPr>
          <w:trHeight w:val="570"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节点通知服务</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任务环节通知配置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调度流程多版本</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流程编排配置上线</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流程编排配置升级</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流程编排正副本并行</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调度引擎智能服务</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事件工单自动创建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基于事项驱动流程</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357"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智能拆分部门任务</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自动分派能力</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手动分派能力</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智能合单计算服务</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全视角处置过程呈现</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事件工单多维度查询</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事件工单与任务状态映射</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外部设备数据集成</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外部排班数据集成</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任务处置原子能力</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任务分派</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任务分派撤回</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任务签收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任务批量签收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申请退件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同意退件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驳回退件</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366"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申请延期</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同意延期</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驳回延期</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结束延期</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任务催办</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任务转交</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任务追加部门</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申请挂起</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同意挂起</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驳回挂起</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结束挂起</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任务办结</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任务批量办结</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督办打标</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复核启动</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复核反馈</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端到端任务处置</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待办任务数据查询服务</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任务详情数据查询服务</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已完成任务数据查询服务</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标准版PC待办任务</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标准版H5待办任务</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标准版PC任务详情</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标准版H5任务详情</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资源中心</w:t>
            </w: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组织管理</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组织搜索</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组织列表展示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用户管理　</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账号搜索</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列表展示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账号详情查看</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网格管理</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导入网格数据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网格列表展示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网格详情查看</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设备管理</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导入设备数据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设备搜索</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设备列表展示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设备详情查看</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排班管理</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导入排班数据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排班人员搜索</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排班数据列表展示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排班数据详情查看</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事件智能助手</w:t>
            </w: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智能引擎-文本标注</w:t>
            </w:r>
          </w:p>
        </w:tc>
        <w:tc>
          <w:tcPr>
            <w:tcW w:w="1547"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数据集管理</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标注任务管理</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智能引擎-模型管理</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部署模型</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模型运行状态监控</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模型运行日志查询</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模型参数配置（规划中）</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流量配置</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流量分发</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防数据倾斜</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模型下线</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智能引擎-场景管理</w:t>
            </w:r>
          </w:p>
        </w:tc>
        <w:tc>
          <w:tcPr>
            <w:tcW w:w="1547"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场景管理</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场景增、删、改、查：管理城市运行管理事件场景的增加、删除、修改、查询。</w:t>
            </w:r>
          </w:p>
        </w:tc>
      </w:tr>
      <w:tr>
        <w:tblPrEx>
          <w:tblCellMar>
            <w:top w:w="0" w:type="dxa"/>
            <w:left w:w="108" w:type="dxa"/>
            <w:bottom w:w="0" w:type="dxa"/>
            <w:right w:w="108" w:type="dxa"/>
          </w:tblCellMar>
        </w:tblPrEx>
        <w:trPr>
          <w:trHeight w:val="570"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字段管理</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场景字段增、删、改、查：支持将事件抽取的要素添加到场景中，并支持修改、删除、查询。</w:t>
            </w:r>
          </w:p>
        </w:tc>
      </w:tr>
      <w:tr>
        <w:tblPrEx>
          <w:tblCellMar>
            <w:top w:w="0" w:type="dxa"/>
            <w:left w:w="108" w:type="dxa"/>
            <w:bottom w:w="0" w:type="dxa"/>
            <w:right w:w="108" w:type="dxa"/>
          </w:tblCellMar>
        </w:tblPrEx>
        <w:trPr>
          <w:trHeight w:val="570"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字段映射</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字段映射：事项表单中的字段与场景字段的映射，支持算法识别的事件文本信息回填至表单字段。</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关联事项</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关联事项：支持场景事项的关联、解除关联、查询事项。</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批量删除事项</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批量删除：场景添加事项后，支持批量删除事项。</w:t>
            </w:r>
          </w:p>
        </w:tc>
      </w:tr>
      <w:tr>
        <w:tblPrEx>
          <w:tblCellMar>
            <w:top w:w="0" w:type="dxa"/>
            <w:left w:w="108" w:type="dxa"/>
            <w:bottom w:w="0" w:type="dxa"/>
            <w:right w:w="108" w:type="dxa"/>
          </w:tblCellMar>
        </w:tblPrEx>
        <w:trPr>
          <w:trHeight w:val="570"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批量映射</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批量映射：为提供字段映射效率，支持批量映射，获取多个事项中的交集字段。</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查看映射详情</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查看映射详情：完成字段映射后，支持查看场景与事项字段映射的详情。</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主要功能</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分类推荐</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通过事件要素，对事件进行模型构建，实现事件的分类推荐。</w:t>
            </w:r>
          </w:p>
        </w:tc>
      </w:tr>
      <w:tr>
        <w:tblPrEx>
          <w:tblCellMar>
            <w:top w:w="0" w:type="dxa"/>
            <w:left w:w="108" w:type="dxa"/>
            <w:bottom w:w="0" w:type="dxa"/>
            <w:right w:w="108" w:type="dxa"/>
          </w:tblCellMar>
        </w:tblPrEx>
        <w:trPr>
          <w:trHeight w:val="85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部门推荐</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基于事件要素，对事件进行模型构建，并实现与权力事项的多维度模型匹配相似度计算，当事件匹配事项成功后，系统将通过智能化手段从事项权责围栏中精确计算出具体的部门组织机构。</w:t>
            </w:r>
          </w:p>
        </w:tc>
      </w:tr>
      <w:tr>
        <w:tblPrEx>
          <w:tblCellMar>
            <w:top w:w="0" w:type="dxa"/>
            <w:left w:w="108" w:type="dxa"/>
            <w:bottom w:w="0" w:type="dxa"/>
            <w:right w:w="108" w:type="dxa"/>
          </w:tblCellMar>
        </w:tblPrEx>
        <w:trPr>
          <w:trHeight w:val="85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事件归一</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支持智能提取事件中的关键要素以及事件发生的地址，对大规模历史事件进行快速去重，从而将事件进行归一</w:t>
            </w:r>
          </w:p>
        </w:tc>
      </w:tr>
      <w:tr>
        <w:tblPrEx>
          <w:tblCellMar>
            <w:top w:w="0" w:type="dxa"/>
            <w:left w:w="108" w:type="dxa"/>
            <w:bottom w:w="0" w:type="dxa"/>
            <w:right w:w="108" w:type="dxa"/>
          </w:tblCellMar>
        </w:tblPrEx>
        <w:trPr>
          <w:trHeight w:val="85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事件脉络</w:t>
            </w:r>
          </w:p>
        </w:tc>
        <w:tc>
          <w:tcPr>
            <w:tcW w:w="1854" w:type="pct"/>
            <w:tcBorders>
              <w:top w:val="nil"/>
              <w:left w:val="nil"/>
              <w:bottom w:val="single" w:color="auto" w:sz="4" w:space="0"/>
              <w:right w:val="single" w:color="auto" w:sz="4" w:space="0"/>
            </w:tcBorders>
            <w:shd w:val="clear" w:color="000000" w:fill="FFFFFF"/>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通过事件要素实时分析出该上报人上报过的历史事件，分派员可参考该人员同类型历史事件的分派部门、处置意见。</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算法模型-场景识别模型</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场景文本向量化</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同义词识别与归一</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场景关键词识别</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场景交互性特征构建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场景文本语义识别</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算法模型-事件要素抽取模型</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城市事件实体集构建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实体关键词特征构建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要素文本向量化</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224</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要素文本语义分析</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225</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文本事件地址识别</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226</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算法模型-事件事项匹配模型</w:t>
            </w: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外部依赖</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227</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技术架构</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228</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left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事项表征</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229</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事件要素表征</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230</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场景事件交互性特征构建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r>
              <w:rPr>
                <w:rFonts w:ascii="仿宋" w:hAnsi="仿宋" w:eastAsia="仿宋" w:cs="宋体"/>
                <w:color w:val="000000"/>
                <w:kern w:val="0"/>
                <w:sz w:val="24"/>
              </w:rPr>
              <w:t>31</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事项事件交互性特征构建</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r>
              <w:rPr>
                <w:rFonts w:ascii="仿宋" w:hAnsi="仿宋" w:eastAsia="仿宋" w:cs="宋体"/>
                <w:color w:val="000000"/>
                <w:kern w:val="0"/>
                <w:sz w:val="24"/>
              </w:rPr>
              <w:t>32</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事项向量化召回</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3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r>
              <w:rPr>
                <w:rFonts w:ascii="仿宋" w:hAnsi="仿宋" w:eastAsia="仿宋" w:cs="宋体"/>
                <w:color w:val="000000"/>
                <w:kern w:val="0"/>
                <w:sz w:val="24"/>
              </w:rPr>
              <w:t>33</w:t>
            </w:r>
          </w:p>
        </w:tc>
        <w:tc>
          <w:tcPr>
            <w:tcW w:w="41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5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47"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多塔交互性匹配模型</w:t>
            </w:r>
          </w:p>
        </w:tc>
        <w:tc>
          <w:tcPr>
            <w:tcW w:w="1854"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bl>
    <w:p>
      <w:pPr>
        <w:pStyle w:val="82"/>
        <w:ind w:firstLine="0" w:firstLineChars="0"/>
        <w:rPr>
          <w:rFonts w:hint="eastAsia" w:ascii="仿宋" w:hAnsi="仿宋" w:eastAsia="仿宋" w:cs="仿宋"/>
          <w:sz w:val="24"/>
          <w:szCs w:val="24"/>
          <w:lang w:bidi="ar-SA"/>
        </w:rPr>
      </w:pPr>
    </w:p>
    <w:p>
      <w:pPr>
        <w:pStyle w:val="82"/>
        <w:ind w:firstLine="0" w:firstLineChars="0"/>
        <w:rPr>
          <w:rFonts w:hint="eastAsia" w:ascii="仿宋" w:hAnsi="仿宋" w:eastAsia="仿宋" w:cs="仿宋"/>
          <w:sz w:val="24"/>
          <w:szCs w:val="24"/>
          <w:lang w:bidi="ar-SA"/>
        </w:rPr>
      </w:pPr>
    </w:p>
    <w:p>
      <w:pPr>
        <w:pStyle w:val="964"/>
        <w:rPr>
          <w:rFonts w:hint="eastAsia" w:ascii="仿宋" w:hAnsi="仿宋" w:eastAsia="仿宋" w:cs="仿宋"/>
          <w:sz w:val="24"/>
          <w:szCs w:val="24"/>
        </w:rPr>
      </w:pPr>
      <w:r>
        <w:rPr>
          <w:rFonts w:hint="eastAsia" w:ascii="仿宋" w:hAnsi="仿宋" w:eastAsia="仿宋" w:cs="仿宋"/>
          <w:sz w:val="24"/>
          <w:szCs w:val="24"/>
        </w:rPr>
        <w:t>事项接入处置服务</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提供10个业务系统的事件对接接入服务。业务系统产生的事件通过区级一网统管事件中心进行汇聚和沉淀，并且通过事件中心完成和基层治理四平台的对接打通。</w:t>
      </w:r>
    </w:p>
    <w:p>
      <w:pPr>
        <w:pStyle w:val="82"/>
        <w:ind w:firstLine="560"/>
        <w:rPr>
          <w:rFonts w:hint="eastAsia" w:ascii="仿宋" w:hAnsi="仿宋" w:eastAsia="仿宋" w:cs="仿宋"/>
          <w:sz w:val="24"/>
          <w:szCs w:val="24"/>
        </w:rPr>
      </w:pPr>
      <w:r>
        <w:rPr>
          <w:rFonts w:hint="eastAsia" w:ascii="仿宋" w:hAnsi="仿宋" w:eastAsia="仿宋" w:cs="仿宋"/>
          <w:sz w:val="24"/>
          <w:szCs w:val="24"/>
        </w:rPr>
        <w:t>包括以下功能模块：</w:t>
      </w:r>
    </w:p>
    <w:tbl>
      <w:tblPr>
        <w:tblStyle w:val="62"/>
        <w:tblW w:w="5000" w:type="pct"/>
        <w:tblInd w:w="0" w:type="dxa"/>
        <w:tblLayout w:type="autofit"/>
        <w:tblCellMar>
          <w:top w:w="0" w:type="dxa"/>
          <w:left w:w="108" w:type="dxa"/>
          <w:bottom w:w="0" w:type="dxa"/>
          <w:right w:w="108" w:type="dxa"/>
        </w:tblCellMar>
      </w:tblPr>
      <w:tblGrid>
        <w:gridCol w:w="1519"/>
        <w:gridCol w:w="1519"/>
        <w:gridCol w:w="1519"/>
        <w:gridCol w:w="3938"/>
      </w:tblGrid>
      <w:tr>
        <w:tblPrEx>
          <w:tblCellMar>
            <w:top w:w="0" w:type="dxa"/>
            <w:left w:w="108" w:type="dxa"/>
            <w:bottom w:w="0" w:type="dxa"/>
            <w:right w:w="108" w:type="dxa"/>
          </w:tblCellMar>
        </w:tblPrEx>
        <w:trPr>
          <w:trHeight w:val="285" w:hRule="atLeast"/>
        </w:trPr>
        <w:tc>
          <w:tcPr>
            <w:tcW w:w="8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89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子系统</w:t>
            </w:r>
          </w:p>
        </w:tc>
        <w:tc>
          <w:tcPr>
            <w:tcW w:w="89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模块</w:t>
            </w:r>
          </w:p>
        </w:tc>
        <w:tc>
          <w:tcPr>
            <w:tcW w:w="231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功能</w:t>
            </w:r>
          </w:p>
        </w:tc>
      </w:tr>
      <w:tr>
        <w:tblPrEx>
          <w:tblCellMar>
            <w:top w:w="0" w:type="dxa"/>
            <w:left w:w="108" w:type="dxa"/>
            <w:bottom w:w="0" w:type="dxa"/>
            <w:right w:w="108" w:type="dxa"/>
          </w:tblCellMar>
        </w:tblPrEx>
        <w:trPr>
          <w:trHeight w:val="570" w:hRule="atLeast"/>
        </w:trPr>
        <w:tc>
          <w:tcPr>
            <w:tcW w:w="89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89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事项接入处置服务</w:t>
            </w:r>
          </w:p>
        </w:tc>
        <w:tc>
          <w:tcPr>
            <w:tcW w:w="89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10个单一事项对接</w:t>
            </w:r>
          </w:p>
        </w:tc>
        <w:tc>
          <w:tcPr>
            <w:tcW w:w="231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业务系统接口对接</w:t>
            </w:r>
          </w:p>
        </w:tc>
      </w:tr>
      <w:tr>
        <w:tblPrEx>
          <w:tblCellMar>
            <w:top w:w="0" w:type="dxa"/>
            <w:left w:w="108" w:type="dxa"/>
            <w:bottom w:w="0" w:type="dxa"/>
            <w:right w:w="108" w:type="dxa"/>
          </w:tblCellMar>
        </w:tblPrEx>
        <w:trPr>
          <w:trHeight w:val="855" w:hRule="atLeast"/>
        </w:trPr>
        <w:tc>
          <w:tcPr>
            <w:tcW w:w="89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89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89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231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基层治理四平台接口对接</w:t>
            </w:r>
          </w:p>
        </w:tc>
      </w:tr>
      <w:tr>
        <w:tblPrEx>
          <w:tblCellMar>
            <w:top w:w="0" w:type="dxa"/>
            <w:left w:w="108" w:type="dxa"/>
            <w:bottom w:w="0" w:type="dxa"/>
            <w:right w:w="108" w:type="dxa"/>
          </w:tblCellMar>
        </w:tblPrEx>
        <w:trPr>
          <w:trHeight w:val="285" w:hRule="atLeast"/>
        </w:trPr>
        <w:tc>
          <w:tcPr>
            <w:tcW w:w="89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89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89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2个多跨一件事模块开发服务</w:t>
            </w:r>
          </w:p>
        </w:tc>
        <w:tc>
          <w:tcPr>
            <w:tcW w:w="2318"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业务调研</w:t>
            </w:r>
          </w:p>
        </w:tc>
      </w:tr>
      <w:tr>
        <w:tblPrEx>
          <w:tblCellMar>
            <w:top w:w="0" w:type="dxa"/>
            <w:left w:w="108" w:type="dxa"/>
            <w:bottom w:w="0" w:type="dxa"/>
            <w:right w:w="108" w:type="dxa"/>
          </w:tblCellMar>
        </w:tblPrEx>
        <w:trPr>
          <w:trHeight w:val="285" w:hRule="atLeast"/>
        </w:trPr>
        <w:tc>
          <w:tcPr>
            <w:tcW w:w="89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89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89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2318"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业务梳理</w:t>
            </w:r>
          </w:p>
        </w:tc>
      </w:tr>
      <w:tr>
        <w:tblPrEx>
          <w:tblCellMar>
            <w:top w:w="0" w:type="dxa"/>
            <w:left w:w="108" w:type="dxa"/>
            <w:bottom w:w="0" w:type="dxa"/>
            <w:right w:w="108" w:type="dxa"/>
          </w:tblCellMar>
        </w:tblPrEx>
        <w:trPr>
          <w:trHeight w:val="285" w:hRule="atLeast"/>
        </w:trPr>
        <w:tc>
          <w:tcPr>
            <w:tcW w:w="89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89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89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2318"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流程制定</w:t>
            </w:r>
          </w:p>
        </w:tc>
      </w:tr>
      <w:tr>
        <w:tblPrEx>
          <w:tblCellMar>
            <w:top w:w="0" w:type="dxa"/>
            <w:left w:w="108" w:type="dxa"/>
            <w:bottom w:w="0" w:type="dxa"/>
            <w:right w:w="108" w:type="dxa"/>
          </w:tblCellMar>
        </w:tblPrEx>
        <w:trPr>
          <w:trHeight w:val="285" w:hRule="atLeast"/>
        </w:trPr>
        <w:tc>
          <w:tcPr>
            <w:tcW w:w="89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89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89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2318"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数据对接</w:t>
            </w:r>
          </w:p>
        </w:tc>
      </w:tr>
      <w:tr>
        <w:tblPrEx>
          <w:tblCellMar>
            <w:top w:w="0" w:type="dxa"/>
            <w:left w:w="108" w:type="dxa"/>
            <w:bottom w:w="0" w:type="dxa"/>
            <w:right w:w="108" w:type="dxa"/>
          </w:tblCellMar>
        </w:tblPrEx>
        <w:trPr>
          <w:trHeight w:val="285" w:hRule="atLeast"/>
        </w:trPr>
        <w:tc>
          <w:tcPr>
            <w:tcW w:w="89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89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89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2318"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开发调优</w:t>
            </w:r>
          </w:p>
        </w:tc>
      </w:tr>
      <w:tr>
        <w:tblPrEx>
          <w:tblCellMar>
            <w:top w:w="0" w:type="dxa"/>
            <w:left w:w="108" w:type="dxa"/>
            <w:bottom w:w="0" w:type="dxa"/>
            <w:right w:w="108" w:type="dxa"/>
          </w:tblCellMar>
        </w:tblPrEx>
        <w:trPr>
          <w:trHeight w:val="285" w:hRule="atLeast"/>
        </w:trPr>
        <w:tc>
          <w:tcPr>
            <w:tcW w:w="894"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89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89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2318" w:type="pct"/>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运行测试</w:t>
            </w:r>
          </w:p>
        </w:tc>
      </w:tr>
    </w:tbl>
    <w:p>
      <w:pPr>
        <w:pStyle w:val="82"/>
        <w:ind w:firstLine="0" w:firstLineChars="0"/>
        <w:rPr>
          <w:rFonts w:hint="eastAsia" w:ascii="仿宋" w:hAnsi="仿宋" w:eastAsia="仿宋" w:cs="仿宋"/>
          <w:sz w:val="24"/>
          <w:szCs w:val="24"/>
          <w:lang w:bidi="ar-SA"/>
        </w:rPr>
      </w:pPr>
    </w:p>
    <w:p>
      <w:pPr>
        <w:pStyle w:val="964"/>
        <w:rPr>
          <w:rFonts w:hint="eastAsia" w:ascii="仿宋" w:hAnsi="仿宋" w:eastAsia="仿宋" w:cs="仿宋"/>
          <w:sz w:val="24"/>
          <w:szCs w:val="24"/>
        </w:rPr>
      </w:pPr>
      <w:r>
        <w:rPr>
          <w:rFonts w:hint="eastAsia" w:ascii="仿宋" w:hAnsi="仿宋" w:eastAsia="仿宋" w:cs="仿宋"/>
          <w:sz w:val="24"/>
          <w:szCs w:val="24"/>
        </w:rPr>
        <w:t>掌上指挥室</w:t>
      </w:r>
    </w:p>
    <w:p>
      <w:pPr>
        <w:ind w:firstLine="560"/>
        <w:rPr>
          <w:rFonts w:hint="eastAsia" w:ascii="仿宋" w:hAnsi="仿宋" w:eastAsia="仿宋" w:cs="仿宋"/>
          <w:sz w:val="24"/>
          <w:szCs w:val="24"/>
        </w:rPr>
      </w:pPr>
      <w:r>
        <w:rPr>
          <w:rFonts w:hint="eastAsia" w:ascii="仿宋" w:hAnsi="仿宋" w:eastAsia="仿宋" w:cs="仿宋"/>
          <w:sz w:val="24"/>
          <w:szCs w:val="24"/>
        </w:rPr>
        <w:t>“掌上指挥”应用有效支撑县乡村一体联动，契合跨层级、跨地域、跨系统、跨部门、跨业务“整体智治、高效协同”的改革要求，具有标准化的接口。</w:t>
      </w:r>
    </w:p>
    <w:p>
      <w:pPr>
        <w:pStyle w:val="82"/>
        <w:ind w:firstLine="560"/>
        <w:rPr>
          <w:rFonts w:hint="eastAsia" w:ascii="仿宋" w:hAnsi="仿宋" w:eastAsia="仿宋" w:cs="仿宋"/>
          <w:sz w:val="24"/>
          <w:szCs w:val="24"/>
        </w:rPr>
      </w:pPr>
      <w:r>
        <w:rPr>
          <w:rFonts w:hint="eastAsia" w:ascii="仿宋" w:hAnsi="仿宋" w:eastAsia="仿宋" w:cs="仿宋"/>
          <w:sz w:val="24"/>
          <w:szCs w:val="24"/>
        </w:rPr>
        <w:t>包括以下功能模块：</w:t>
      </w:r>
    </w:p>
    <w:tbl>
      <w:tblPr>
        <w:tblStyle w:val="62"/>
        <w:tblW w:w="5000" w:type="pct"/>
        <w:tblInd w:w="0" w:type="dxa"/>
        <w:tblLayout w:type="autofit"/>
        <w:tblCellMar>
          <w:top w:w="0" w:type="dxa"/>
          <w:left w:w="108" w:type="dxa"/>
          <w:bottom w:w="0" w:type="dxa"/>
          <w:right w:w="108" w:type="dxa"/>
        </w:tblCellMar>
      </w:tblPr>
      <w:tblGrid>
        <w:gridCol w:w="760"/>
        <w:gridCol w:w="1176"/>
        <w:gridCol w:w="2136"/>
        <w:gridCol w:w="4423"/>
      </w:tblGrid>
      <w:tr>
        <w:tblPrEx>
          <w:tblCellMar>
            <w:top w:w="0" w:type="dxa"/>
            <w:left w:w="108" w:type="dxa"/>
            <w:bottom w:w="0" w:type="dxa"/>
            <w:right w:w="108" w:type="dxa"/>
          </w:tblCellMar>
        </w:tblPrEx>
        <w:trPr>
          <w:trHeight w:val="571" w:hRule="atLeast"/>
        </w:trPr>
        <w:tc>
          <w:tcPr>
            <w:tcW w:w="4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bidi="ar"/>
              </w:rPr>
              <w:t>子系统</w:t>
            </w:r>
          </w:p>
        </w:tc>
        <w:tc>
          <w:tcPr>
            <w:tcW w:w="185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bidi="ar"/>
              </w:rPr>
              <w:t>功能模块</w:t>
            </w:r>
          </w:p>
        </w:tc>
        <w:tc>
          <w:tcPr>
            <w:tcW w:w="26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bidi="ar"/>
              </w:rPr>
              <w:t>功能描述</w:t>
            </w:r>
          </w:p>
        </w:tc>
      </w:tr>
      <w:tr>
        <w:tblPrEx>
          <w:tblCellMar>
            <w:top w:w="0" w:type="dxa"/>
            <w:left w:w="108" w:type="dxa"/>
            <w:bottom w:w="0" w:type="dxa"/>
            <w:right w:w="108" w:type="dxa"/>
          </w:tblCellMar>
        </w:tblPrEx>
        <w:trPr>
          <w:trHeight w:val="571"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b/>
                <w:bCs/>
                <w:color w:val="000000"/>
                <w:sz w:val="24"/>
                <w:szCs w:val="24"/>
              </w:rPr>
            </w:pPr>
          </w:p>
        </w:tc>
        <w:tc>
          <w:tcPr>
            <w:tcW w:w="185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b/>
                <w:bCs/>
                <w:color w:val="000000"/>
                <w:sz w:val="24"/>
                <w:szCs w:val="24"/>
              </w:rPr>
            </w:pPr>
          </w:p>
        </w:tc>
        <w:tc>
          <w:tcPr>
            <w:tcW w:w="26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b/>
                <w:bCs/>
                <w:color w:val="000000"/>
                <w:sz w:val="24"/>
                <w:szCs w:val="24"/>
              </w:rPr>
            </w:pPr>
          </w:p>
        </w:tc>
      </w:tr>
      <w:tr>
        <w:tblPrEx>
          <w:tblCellMar>
            <w:top w:w="0" w:type="dxa"/>
            <w:left w:w="108" w:type="dxa"/>
            <w:bottom w:w="0" w:type="dxa"/>
            <w:right w:w="108" w:type="dxa"/>
          </w:tblCellMar>
        </w:tblPrEx>
        <w:trPr>
          <w:trHeight w:val="360" w:hRule="atLeast"/>
        </w:trPr>
        <w:tc>
          <w:tcPr>
            <w:tcW w:w="4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处置端</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边聊边办</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边聊边办</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r>
              <w:rPr>
                <w:rFonts w:hint="eastAsia" w:ascii="仿宋" w:hAnsi="仿宋" w:eastAsia="仿宋" w:cs="仿宋"/>
                <w:sz w:val="24"/>
                <w:szCs w:val="24"/>
              </w:rPr>
              <w:t>支持查看详情进入边聊边办页面，可以通过文字、图片、视频等多种方式进行线上沟通</w:t>
            </w:r>
          </w:p>
        </w:tc>
      </w:tr>
      <w:tr>
        <w:tblPrEx>
          <w:tblCellMar>
            <w:top w:w="0" w:type="dxa"/>
            <w:left w:w="108" w:type="dxa"/>
            <w:bottom w:w="0" w:type="dxa"/>
            <w:right w:w="108" w:type="dxa"/>
          </w:tblCellMar>
        </w:tblPrEx>
        <w:trPr>
          <w:trHeight w:val="72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协同人员管理</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协同人员管理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r>
              <w:rPr>
                <w:rFonts w:hint="eastAsia" w:ascii="仿宋" w:hAnsi="仿宋" w:eastAsia="仿宋" w:cs="仿宋"/>
                <w:sz w:val="24"/>
                <w:szCs w:val="24"/>
              </w:rPr>
              <w:t>支持通过钉钉选人选择需要添加的协同人员，选择完成后会自动加载协同人员所在部门，选择角色后确认完成添加</w:t>
            </w: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指挥长管理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trike/>
                <w:color w:val="000000"/>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人员权限管理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trike/>
                <w:color w:val="000000"/>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催办督办</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催办督办</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trike/>
                <w:color w:val="000000"/>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关键节点管理</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r>
              <w:rPr>
                <w:rFonts w:hint="eastAsia" w:ascii="仿宋" w:hAnsi="仿宋" w:eastAsia="仿宋" w:cs="仿宋"/>
                <w:sz w:val="24"/>
                <w:szCs w:val="24"/>
              </w:rPr>
              <w:t>查看关键节点</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r>
              <w:rPr>
                <w:rFonts w:hint="eastAsia" w:ascii="仿宋" w:hAnsi="仿宋" w:eastAsia="仿宋" w:cs="仿宋"/>
                <w:sz w:val="24"/>
                <w:szCs w:val="24"/>
              </w:rPr>
              <w:t>支持在边聊边办的关键节点查看目前所有的关键节点</w:t>
            </w: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添加关键节点</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trike/>
                <w:color w:val="000000"/>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协同工具</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图片管理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r>
              <w:rPr>
                <w:rFonts w:hint="eastAsia" w:ascii="仿宋" w:hAnsi="仿宋" w:eastAsia="仿宋" w:cs="仿宋"/>
                <w:sz w:val="24"/>
                <w:szCs w:val="24"/>
              </w:rPr>
              <w:t>支持通过专有钉钉相机拍摄图片，同时将图片数据加入证据库</w:t>
            </w: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文件管理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签到管理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位置共享</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r>
              <w:rPr>
                <w:rFonts w:hint="eastAsia" w:ascii="仿宋" w:hAnsi="仿宋" w:eastAsia="仿宋" w:cs="仿宋"/>
                <w:sz w:val="24"/>
                <w:szCs w:val="24"/>
              </w:rPr>
              <w:t>支持定位、筛选位置，将位置发送到边聊边办</w:t>
            </w: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录音证据管理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一事一码</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r>
              <w:rPr>
                <w:rFonts w:hint="eastAsia" w:ascii="仿宋" w:hAnsi="仿宋" w:eastAsia="仿宋" w:cs="仿宋"/>
                <w:sz w:val="24"/>
                <w:szCs w:val="24"/>
              </w:rPr>
              <w:t>支持自动生成事件二维码，支持浙政钉分享，浙政钉权限控制，加入申请等功能</w:t>
            </w: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部门任务管理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评价管理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r>
              <w:rPr>
                <w:rFonts w:hint="eastAsia" w:ascii="仿宋" w:hAnsi="仿宋" w:eastAsia="仿宋" w:cs="仿宋"/>
                <w:sz w:val="24"/>
                <w:szCs w:val="24"/>
              </w:rPr>
              <w:t>支持线上专班中的人员在事件办结完成后对该事件进行评价</w:t>
            </w: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点赞管理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72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视频联动</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r>
              <w:rPr>
                <w:rFonts w:hint="eastAsia" w:ascii="仿宋" w:hAnsi="仿宋" w:eastAsia="仿宋" w:cs="仿宋"/>
                <w:sz w:val="24"/>
                <w:szCs w:val="24"/>
              </w:rPr>
              <w:t>支持在指挥室页面云上联动，可选择不参与的人员，确认完所有参会人员之后可发起线上视频会商。</w:t>
            </w: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证据库</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trike/>
                <w:color w:val="000000"/>
                <w:sz w:val="24"/>
                <w:szCs w:val="24"/>
              </w:rPr>
            </w:pPr>
          </w:p>
        </w:tc>
      </w:tr>
      <w:tr>
        <w:tblPrEx>
          <w:tblCellMar>
            <w:top w:w="0" w:type="dxa"/>
            <w:left w:w="108" w:type="dxa"/>
            <w:bottom w:w="0" w:type="dxa"/>
            <w:right w:w="108" w:type="dxa"/>
          </w:tblCellMar>
        </w:tblPrEx>
        <w:trPr>
          <w:trHeight w:val="72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协同任务管理</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任务执行模块</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trike/>
                <w:color w:val="000000"/>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跟踪管理模块</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trike/>
                <w:color w:val="000000"/>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工作台</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我的待办</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r>
              <w:rPr>
                <w:rFonts w:hint="eastAsia" w:ascii="仿宋" w:hAnsi="仿宋" w:eastAsia="仿宋" w:cs="仿宋"/>
                <w:sz w:val="24"/>
                <w:szCs w:val="24"/>
              </w:rPr>
              <w:t>支持通过工作台我的事件、我的待办任务进入事件</w:t>
            </w:r>
          </w:p>
        </w:tc>
      </w:tr>
      <w:tr>
        <w:tblPrEx>
          <w:tblCellMar>
            <w:top w:w="0" w:type="dxa"/>
            <w:left w:w="108" w:type="dxa"/>
            <w:bottom w:w="0" w:type="dxa"/>
            <w:right w:w="108" w:type="dxa"/>
          </w:tblCellMar>
        </w:tblPrEx>
        <w:trPr>
          <w:trHeight w:val="72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发起线上专班</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r>
              <w:rPr>
                <w:rFonts w:hint="eastAsia" w:ascii="仿宋" w:hAnsi="仿宋" w:eastAsia="仿宋" w:cs="仿宋"/>
                <w:sz w:val="24"/>
                <w:szCs w:val="24"/>
              </w:rPr>
              <w:t>支持区县、乡镇管理员设定权限，分配权限的人员可以通过浙政钉端发起线上专班，发起线上专班需要输入事件描述、选择分类、设定标签。</w:t>
            </w:r>
          </w:p>
        </w:tc>
      </w:tr>
      <w:tr>
        <w:tblPrEx>
          <w:tblCellMar>
            <w:top w:w="0" w:type="dxa"/>
            <w:left w:w="108" w:type="dxa"/>
            <w:bottom w:w="0" w:type="dxa"/>
            <w:right w:w="108" w:type="dxa"/>
          </w:tblCellMar>
        </w:tblPrEx>
        <w:trPr>
          <w:trHeight w:val="201" w:hRule="atLeast"/>
        </w:trPr>
        <w:tc>
          <w:tcPr>
            <w:tcW w:w="4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管理端</w:t>
            </w:r>
          </w:p>
        </w:tc>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专班管理</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事件台帐</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分级管理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流程管理</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办结反馈管理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147"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自动督办规则管理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督办台账</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15"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组织管理</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部门管理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网格管理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乡镇（街道）管理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360"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人员管理</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部门联络人管理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09"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管理员设定</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57"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白名单管理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91"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发起专班权限管理</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183" w:hRule="atLeast"/>
        </w:trPr>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ascii="仿宋" w:hAnsi="仿宋" w:eastAsia="仿宋" w:cs="仿宋"/>
                <w:color w:val="000000"/>
                <w:sz w:val="24"/>
                <w:szCs w:val="24"/>
              </w:rPr>
            </w:pP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一键发起配置</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一键发起配置</w:t>
            </w:r>
          </w:p>
        </w:tc>
        <w:tc>
          <w:tcPr>
            <w:tcW w:w="265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textAlignment w:val="center"/>
              <w:rPr>
                <w:rFonts w:hint="eastAsia" w:ascii="仿宋" w:hAnsi="仿宋" w:eastAsia="仿宋" w:cs="仿宋"/>
                <w:sz w:val="24"/>
                <w:szCs w:val="24"/>
              </w:rPr>
            </w:pPr>
          </w:p>
        </w:tc>
      </w:tr>
    </w:tbl>
    <w:p>
      <w:pPr>
        <w:pStyle w:val="82"/>
        <w:ind w:firstLine="0" w:firstLineChars="0"/>
        <w:rPr>
          <w:rFonts w:hint="eastAsia" w:ascii="仿宋" w:hAnsi="仿宋" w:eastAsia="仿宋" w:cs="仿宋"/>
          <w:sz w:val="24"/>
          <w:szCs w:val="24"/>
          <w:lang w:bidi="ar-SA"/>
        </w:rPr>
      </w:pPr>
    </w:p>
    <w:p>
      <w:pPr>
        <w:pStyle w:val="82"/>
        <w:ind w:firstLine="0" w:firstLineChars="0"/>
        <w:rPr>
          <w:rFonts w:hint="eastAsia" w:ascii="仿宋" w:hAnsi="仿宋" w:eastAsia="仿宋" w:cs="仿宋"/>
          <w:sz w:val="24"/>
          <w:szCs w:val="24"/>
          <w:lang w:bidi="ar-SA"/>
        </w:rPr>
      </w:pPr>
    </w:p>
    <w:p>
      <w:pPr>
        <w:pStyle w:val="964"/>
        <w:rPr>
          <w:rFonts w:hint="eastAsia" w:ascii="仿宋" w:hAnsi="仿宋" w:eastAsia="仿宋" w:cs="仿宋"/>
          <w:sz w:val="24"/>
          <w:szCs w:val="24"/>
        </w:rPr>
      </w:pPr>
      <w:r>
        <w:rPr>
          <w:rFonts w:hint="eastAsia" w:ascii="仿宋" w:hAnsi="仿宋" w:eastAsia="仿宋" w:cs="仿宋"/>
          <w:sz w:val="24"/>
          <w:szCs w:val="24"/>
        </w:rPr>
        <w:t>任务中心管理平台</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配合三级工作台提供移动版工作台、包括区、镇街、村社三级可视化视图，可综合展示各层级治理概览和个人工作情况。</w:t>
      </w:r>
    </w:p>
    <w:p>
      <w:pPr>
        <w:pStyle w:val="82"/>
        <w:ind w:firstLine="560"/>
        <w:rPr>
          <w:rFonts w:hint="eastAsia" w:ascii="仿宋" w:hAnsi="仿宋" w:eastAsia="仿宋" w:cs="仿宋"/>
          <w:sz w:val="24"/>
          <w:szCs w:val="24"/>
        </w:rPr>
      </w:pPr>
      <w:r>
        <w:rPr>
          <w:rFonts w:hint="eastAsia" w:ascii="仿宋" w:hAnsi="仿宋" w:eastAsia="仿宋" w:cs="仿宋"/>
          <w:sz w:val="24"/>
          <w:szCs w:val="24"/>
        </w:rPr>
        <w:t>包括以下功能模块：</w:t>
      </w:r>
    </w:p>
    <w:tbl>
      <w:tblPr>
        <w:tblStyle w:val="62"/>
        <w:tblW w:w="5000" w:type="pct"/>
        <w:tblInd w:w="0" w:type="dxa"/>
        <w:tblLayout w:type="autofit"/>
        <w:tblCellMar>
          <w:top w:w="0" w:type="dxa"/>
          <w:left w:w="108" w:type="dxa"/>
          <w:bottom w:w="0" w:type="dxa"/>
          <w:right w:w="108" w:type="dxa"/>
        </w:tblCellMar>
      </w:tblPr>
      <w:tblGrid>
        <w:gridCol w:w="974"/>
        <w:gridCol w:w="2211"/>
        <w:gridCol w:w="2029"/>
        <w:gridCol w:w="3281"/>
      </w:tblGrid>
      <w:tr>
        <w:tblPrEx>
          <w:tblCellMar>
            <w:top w:w="0" w:type="dxa"/>
            <w:left w:w="108" w:type="dxa"/>
            <w:bottom w:w="0" w:type="dxa"/>
            <w:right w:w="108" w:type="dxa"/>
          </w:tblCellMar>
        </w:tblPrEx>
        <w:trPr>
          <w:trHeight w:val="540" w:hRule="atLeast"/>
        </w:trPr>
        <w:tc>
          <w:tcPr>
            <w:tcW w:w="57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任务中心管理平台</w:t>
            </w:r>
          </w:p>
        </w:tc>
        <w:tc>
          <w:tcPr>
            <w:tcW w:w="1301"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任务中心工作台（移动端）</w:t>
            </w:r>
          </w:p>
        </w:tc>
        <w:tc>
          <w:tcPr>
            <w:tcW w:w="119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移动工作台</w:t>
            </w:r>
          </w:p>
        </w:tc>
        <w:tc>
          <w:tcPr>
            <w:tcW w:w="1930"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三级移动工作台</w:t>
            </w:r>
          </w:p>
        </w:tc>
      </w:tr>
      <w:tr>
        <w:tblPrEx>
          <w:tblCellMar>
            <w:top w:w="0" w:type="dxa"/>
            <w:left w:w="108" w:type="dxa"/>
            <w:bottom w:w="0" w:type="dxa"/>
            <w:right w:w="108" w:type="dxa"/>
          </w:tblCellMar>
        </w:tblPrEx>
        <w:trPr>
          <w:trHeight w:val="285"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我的日程</w:t>
            </w: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我的日程列表</w:t>
            </w:r>
          </w:p>
        </w:tc>
      </w:tr>
      <w:tr>
        <w:tblPrEx>
          <w:tblCellMar>
            <w:top w:w="0" w:type="dxa"/>
            <w:left w:w="108" w:type="dxa"/>
            <w:bottom w:w="0" w:type="dxa"/>
            <w:right w:w="108" w:type="dxa"/>
          </w:tblCellMar>
        </w:tblPrEx>
        <w:trPr>
          <w:trHeight w:val="285"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日程查询</w:t>
            </w:r>
          </w:p>
        </w:tc>
      </w:tr>
      <w:tr>
        <w:tblPrEx>
          <w:tblCellMar>
            <w:top w:w="0" w:type="dxa"/>
            <w:left w:w="108" w:type="dxa"/>
            <w:bottom w:w="0" w:type="dxa"/>
            <w:right w:w="108" w:type="dxa"/>
          </w:tblCellMar>
        </w:tblPrEx>
        <w:trPr>
          <w:trHeight w:val="285"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创建日程</w:t>
            </w:r>
          </w:p>
        </w:tc>
      </w:tr>
      <w:tr>
        <w:tblPrEx>
          <w:tblCellMar>
            <w:top w:w="0" w:type="dxa"/>
            <w:left w:w="108" w:type="dxa"/>
            <w:bottom w:w="0" w:type="dxa"/>
            <w:right w:w="108" w:type="dxa"/>
          </w:tblCellMar>
        </w:tblPrEx>
        <w:trPr>
          <w:trHeight w:val="90"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日程管理</w:t>
            </w:r>
          </w:p>
        </w:tc>
      </w:tr>
      <w:tr>
        <w:tblPrEx>
          <w:tblCellMar>
            <w:top w:w="0" w:type="dxa"/>
            <w:left w:w="108" w:type="dxa"/>
            <w:bottom w:w="0" w:type="dxa"/>
            <w:right w:w="108" w:type="dxa"/>
          </w:tblCellMar>
        </w:tblPrEx>
        <w:trPr>
          <w:trHeight w:val="285"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我的事项</w:t>
            </w: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待办事项列表</w:t>
            </w:r>
          </w:p>
        </w:tc>
      </w:tr>
      <w:tr>
        <w:tblPrEx>
          <w:tblCellMar>
            <w:top w:w="0" w:type="dxa"/>
            <w:left w:w="108" w:type="dxa"/>
            <w:bottom w:w="0" w:type="dxa"/>
            <w:right w:w="108" w:type="dxa"/>
          </w:tblCellMar>
        </w:tblPrEx>
        <w:trPr>
          <w:trHeight w:val="285"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待办事项查询</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我的任务</w:t>
            </w: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走访巡查任务</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数据核查任务</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指令下达任务</w:t>
            </w:r>
          </w:p>
        </w:tc>
      </w:tr>
      <w:tr>
        <w:tblPrEx>
          <w:tblCellMar>
            <w:top w:w="0" w:type="dxa"/>
            <w:left w:w="108" w:type="dxa"/>
            <w:bottom w:w="0" w:type="dxa"/>
            <w:right w:w="108" w:type="dxa"/>
          </w:tblCellMar>
        </w:tblPrEx>
        <w:trPr>
          <w:trHeight w:val="90"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树形任务管理</w:t>
            </w:r>
          </w:p>
        </w:tc>
      </w:tr>
      <w:tr>
        <w:tblPrEx>
          <w:tblCellMar>
            <w:top w:w="0" w:type="dxa"/>
            <w:left w:w="108" w:type="dxa"/>
            <w:bottom w:w="0" w:type="dxa"/>
            <w:right w:w="108" w:type="dxa"/>
          </w:tblCellMar>
        </w:tblPrEx>
        <w:trPr>
          <w:trHeight w:val="255"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任务管理业务中台</w:t>
            </w:r>
          </w:p>
        </w:tc>
        <w:tc>
          <w:tcPr>
            <w:tcW w:w="119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我的工作台</w:t>
            </w: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工作档案</w:t>
            </w:r>
          </w:p>
        </w:tc>
      </w:tr>
      <w:tr>
        <w:tblPrEx>
          <w:tblCellMar>
            <w:top w:w="0" w:type="dxa"/>
            <w:left w:w="108" w:type="dxa"/>
            <w:bottom w:w="0" w:type="dxa"/>
            <w:right w:w="108" w:type="dxa"/>
          </w:tblCellMar>
        </w:tblPrEx>
        <w:trPr>
          <w:trHeight w:val="285"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系统消息</w:t>
            </w:r>
          </w:p>
        </w:tc>
      </w:tr>
      <w:tr>
        <w:tblPrEx>
          <w:tblCellMar>
            <w:top w:w="0" w:type="dxa"/>
            <w:left w:w="108" w:type="dxa"/>
            <w:bottom w:w="0" w:type="dxa"/>
            <w:right w:w="108" w:type="dxa"/>
          </w:tblCellMar>
        </w:tblPrEx>
        <w:trPr>
          <w:trHeight w:val="285"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消息接收设置</w:t>
            </w:r>
          </w:p>
        </w:tc>
      </w:tr>
      <w:tr>
        <w:tblPrEx>
          <w:tblCellMar>
            <w:top w:w="0" w:type="dxa"/>
            <w:left w:w="108" w:type="dxa"/>
            <w:bottom w:w="0" w:type="dxa"/>
            <w:right w:w="108" w:type="dxa"/>
          </w:tblCellMar>
        </w:tblPrEx>
        <w:trPr>
          <w:trHeight w:val="540"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通知公告</w:t>
            </w:r>
          </w:p>
        </w:tc>
      </w:tr>
      <w:tr>
        <w:tblPrEx>
          <w:tblCellMar>
            <w:top w:w="0" w:type="dxa"/>
            <w:left w:w="108" w:type="dxa"/>
            <w:bottom w:w="0" w:type="dxa"/>
            <w:right w:w="108" w:type="dxa"/>
          </w:tblCellMar>
        </w:tblPrEx>
        <w:trPr>
          <w:trHeight w:val="285"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帮助中心</w:t>
            </w:r>
          </w:p>
        </w:tc>
      </w:tr>
      <w:tr>
        <w:tblPrEx>
          <w:tblCellMar>
            <w:top w:w="0" w:type="dxa"/>
            <w:left w:w="108" w:type="dxa"/>
            <w:bottom w:w="0" w:type="dxa"/>
            <w:right w:w="108" w:type="dxa"/>
          </w:tblCellMar>
        </w:tblPrEx>
        <w:trPr>
          <w:trHeight w:val="90"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个人信息</w:t>
            </w:r>
          </w:p>
        </w:tc>
      </w:tr>
      <w:tr>
        <w:tblPrEx>
          <w:tblCellMar>
            <w:top w:w="0" w:type="dxa"/>
            <w:left w:w="108" w:type="dxa"/>
            <w:bottom w:w="0" w:type="dxa"/>
            <w:right w:w="108" w:type="dxa"/>
          </w:tblCellMar>
        </w:tblPrEx>
        <w:trPr>
          <w:trHeight w:val="430"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p>
        </w:tc>
        <w:tc>
          <w:tcPr>
            <w:tcW w:w="119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任务管理服务</w:t>
            </w: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任务中心概览</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任务接入</w:t>
            </w:r>
          </w:p>
        </w:tc>
      </w:tr>
      <w:tr>
        <w:tblPrEx>
          <w:tblCellMar>
            <w:top w:w="0" w:type="dxa"/>
            <w:left w:w="108" w:type="dxa"/>
            <w:bottom w:w="0" w:type="dxa"/>
            <w:right w:w="108" w:type="dxa"/>
          </w:tblCellMar>
        </w:tblPrEx>
        <w:trPr>
          <w:trHeight w:val="445"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任务创建（三类任务）</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任务配置（三类任务）</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任务事项管理（三类任务）</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任务管理（三类任务）</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任务订阅</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任务预警</w:t>
            </w:r>
          </w:p>
        </w:tc>
      </w:tr>
      <w:tr>
        <w:tblPrEx>
          <w:tblCellMar>
            <w:top w:w="0" w:type="dxa"/>
            <w:left w:w="108" w:type="dxa"/>
            <w:bottom w:w="0" w:type="dxa"/>
            <w:right w:w="108" w:type="dxa"/>
          </w:tblCellMar>
        </w:tblPrEx>
        <w:trPr>
          <w:trHeight w:val="220"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任务分析</w:t>
            </w:r>
          </w:p>
        </w:tc>
      </w:tr>
      <w:tr>
        <w:tblPrEx>
          <w:tblCellMar>
            <w:top w:w="0" w:type="dxa"/>
            <w:left w:w="108" w:type="dxa"/>
            <w:bottom w:w="0" w:type="dxa"/>
            <w:right w:w="108" w:type="dxa"/>
          </w:tblCellMar>
        </w:tblPrEx>
        <w:trPr>
          <w:trHeight w:val="145"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调度日志</w:t>
            </w:r>
          </w:p>
        </w:tc>
      </w:tr>
      <w:tr>
        <w:tblPrEx>
          <w:tblCellMar>
            <w:top w:w="0" w:type="dxa"/>
            <w:left w:w="108" w:type="dxa"/>
            <w:bottom w:w="0" w:type="dxa"/>
            <w:right w:w="108" w:type="dxa"/>
          </w:tblCellMar>
        </w:tblPrEx>
        <w:trPr>
          <w:trHeight w:val="285"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权限管理</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树形任务创建</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树形任务配置</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树形任务跟踪</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辖区树形任务管理</w:t>
            </w:r>
          </w:p>
        </w:tc>
      </w:tr>
      <w:tr>
        <w:tblPrEx>
          <w:tblCellMar>
            <w:top w:w="0" w:type="dxa"/>
            <w:left w:w="108" w:type="dxa"/>
            <w:bottom w:w="0" w:type="dxa"/>
            <w:right w:w="108" w:type="dxa"/>
          </w:tblCellMar>
        </w:tblPrEx>
        <w:trPr>
          <w:trHeight w:val="381"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待处置树形任务</w:t>
            </w:r>
          </w:p>
        </w:tc>
      </w:tr>
      <w:tr>
        <w:tblPrEx>
          <w:tblCellMar>
            <w:top w:w="0" w:type="dxa"/>
            <w:left w:w="108" w:type="dxa"/>
            <w:bottom w:w="0" w:type="dxa"/>
            <w:right w:w="108" w:type="dxa"/>
          </w:tblCellMar>
        </w:tblPrEx>
        <w:trPr>
          <w:trHeight w:val="200" w:hRule="atLeast"/>
        </w:trPr>
        <w:tc>
          <w:tcPr>
            <w:tcW w:w="57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01" w:type="pct"/>
            <w:vMerge w:val="continue"/>
            <w:tcBorders>
              <w:left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194"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930"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待评价树形任务</w:t>
            </w:r>
          </w:p>
        </w:tc>
      </w:tr>
    </w:tbl>
    <w:p>
      <w:pPr>
        <w:pStyle w:val="82"/>
        <w:ind w:firstLine="0" w:firstLineChars="0"/>
        <w:rPr>
          <w:rFonts w:hint="eastAsia" w:ascii="仿宋" w:hAnsi="仿宋" w:eastAsia="仿宋" w:cs="仿宋"/>
          <w:sz w:val="24"/>
          <w:szCs w:val="24"/>
          <w:lang w:bidi="ar-SA"/>
        </w:rPr>
      </w:pPr>
    </w:p>
    <w:p>
      <w:pPr>
        <w:pStyle w:val="964"/>
        <w:rPr>
          <w:rFonts w:hint="eastAsia" w:ascii="仿宋" w:hAnsi="仿宋" w:eastAsia="仿宋" w:cs="仿宋"/>
          <w:sz w:val="24"/>
          <w:szCs w:val="24"/>
        </w:rPr>
      </w:pPr>
      <w:r>
        <w:rPr>
          <w:rFonts w:hint="eastAsia" w:ascii="仿宋" w:hAnsi="仿宋" w:eastAsia="仿宋" w:cs="仿宋"/>
          <w:sz w:val="24"/>
          <w:szCs w:val="24"/>
        </w:rPr>
        <w:t>时空地图数据服务</w:t>
      </w:r>
    </w:p>
    <w:p>
      <w:pPr>
        <w:pStyle w:val="82"/>
        <w:ind w:firstLine="560"/>
        <w:rPr>
          <w:rFonts w:hint="eastAsia" w:ascii="仿宋" w:hAnsi="仿宋" w:eastAsia="仿宋" w:cs="仿宋"/>
          <w:sz w:val="24"/>
          <w:szCs w:val="24"/>
        </w:rPr>
      </w:pPr>
      <w:r>
        <w:rPr>
          <w:rFonts w:hint="eastAsia" w:ascii="仿宋" w:hAnsi="仿宋" w:eastAsia="仿宋" w:cs="仿宋"/>
          <w:sz w:val="24"/>
          <w:szCs w:val="24"/>
        </w:rPr>
        <w:t>打造基于时空数据治理、时空数据挖掘 、时空数据标签计算、时空数据资产管理、时空数据质量管理、时空元数据管理于一体的时空数据中台，其具备多源异构数据整合、数据提纯加工、数据资产服务化能力、数据价值显性化等核心能力。本次围绕区一体化智能化公共数据平台提供不少于230张表的治理服务。</w:t>
      </w:r>
    </w:p>
    <w:p>
      <w:pPr>
        <w:pStyle w:val="82"/>
        <w:ind w:firstLine="560"/>
        <w:rPr>
          <w:rFonts w:hint="eastAsia" w:ascii="仿宋" w:hAnsi="仿宋" w:eastAsia="仿宋" w:cs="仿宋"/>
          <w:sz w:val="24"/>
          <w:szCs w:val="24"/>
        </w:rPr>
      </w:pPr>
      <w:r>
        <w:rPr>
          <w:rFonts w:hint="eastAsia" w:ascii="仿宋" w:hAnsi="仿宋" w:eastAsia="仿宋" w:cs="仿宋"/>
          <w:sz w:val="24"/>
          <w:szCs w:val="24"/>
        </w:rPr>
        <w:t>包括以下功能模块：</w:t>
      </w:r>
    </w:p>
    <w:tbl>
      <w:tblPr>
        <w:tblStyle w:val="62"/>
        <w:tblW w:w="5000" w:type="pct"/>
        <w:tblInd w:w="0" w:type="dxa"/>
        <w:tblLayout w:type="autofit"/>
        <w:tblCellMar>
          <w:top w:w="0" w:type="dxa"/>
          <w:left w:w="108" w:type="dxa"/>
          <w:bottom w:w="0" w:type="dxa"/>
          <w:right w:w="108" w:type="dxa"/>
        </w:tblCellMar>
      </w:tblPr>
      <w:tblGrid>
        <w:gridCol w:w="1074"/>
        <w:gridCol w:w="1074"/>
        <w:gridCol w:w="1074"/>
        <w:gridCol w:w="1074"/>
        <w:gridCol w:w="4199"/>
      </w:tblGrid>
      <w:tr>
        <w:tblPrEx>
          <w:tblCellMar>
            <w:top w:w="0" w:type="dxa"/>
            <w:left w:w="108" w:type="dxa"/>
            <w:bottom w:w="0" w:type="dxa"/>
            <w:right w:w="108" w:type="dxa"/>
          </w:tblCellMar>
        </w:tblPrEx>
        <w:trPr>
          <w:trHeight w:val="495" w:hRule="atLeast"/>
        </w:trPr>
        <w:tc>
          <w:tcPr>
            <w:tcW w:w="632" w:type="pct"/>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632" w:type="pct"/>
            <w:tcBorders>
              <w:top w:val="single" w:color="auto" w:sz="8" w:space="0"/>
              <w:left w:val="nil"/>
              <w:bottom w:val="single" w:color="auto" w:sz="8" w:space="0"/>
              <w:right w:val="single" w:color="auto" w:sz="8" w:space="0"/>
            </w:tcBorders>
            <w:shd w:val="clear" w:color="auto" w:fill="FFFFFF" w:themeFill="background1"/>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子系统</w:t>
            </w:r>
          </w:p>
        </w:tc>
        <w:tc>
          <w:tcPr>
            <w:tcW w:w="632" w:type="pct"/>
            <w:tcBorders>
              <w:top w:val="single" w:color="auto" w:sz="8" w:space="0"/>
              <w:left w:val="nil"/>
              <w:bottom w:val="single" w:color="auto" w:sz="8" w:space="0"/>
              <w:right w:val="single" w:color="auto" w:sz="8" w:space="0"/>
            </w:tcBorders>
            <w:shd w:val="clear" w:color="auto" w:fill="FFFFFF" w:themeFill="background1"/>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模块</w:t>
            </w:r>
          </w:p>
        </w:tc>
        <w:tc>
          <w:tcPr>
            <w:tcW w:w="632" w:type="pct"/>
            <w:tcBorders>
              <w:top w:val="single" w:color="auto" w:sz="8" w:space="0"/>
              <w:left w:val="nil"/>
              <w:bottom w:val="single" w:color="auto" w:sz="8" w:space="0"/>
              <w:right w:val="single" w:color="auto" w:sz="8" w:space="0"/>
            </w:tcBorders>
            <w:shd w:val="clear" w:color="auto" w:fill="FFFFFF" w:themeFill="background1"/>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功能</w:t>
            </w:r>
          </w:p>
        </w:tc>
        <w:tc>
          <w:tcPr>
            <w:tcW w:w="2471" w:type="pct"/>
            <w:tcBorders>
              <w:top w:val="single" w:color="auto" w:sz="8" w:space="0"/>
              <w:left w:val="nil"/>
              <w:bottom w:val="single" w:color="auto" w:sz="8" w:space="0"/>
              <w:right w:val="single" w:color="auto" w:sz="8" w:space="0"/>
            </w:tcBorders>
            <w:shd w:val="clear" w:color="auto" w:fill="FFFFFF" w:themeFill="background1"/>
            <w:vAlign w:val="center"/>
          </w:tcPr>
          <w:p>
            <w:pPr>
              <w:widowControl/>
              <w:spacing w:line="240" w:lineRule="auto"/>
              <w:ind w:firstLine="0" w:firstLineChars="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描述</w:t>
            </w:r>
          </w:p>
        </w:tc>
      </w:tr>
      <w:tr>
        <w:tblPrEx>
          <w:tblCellMar>
            <w:top w:w="0" w:type="dxa"/>
            <w:left w:w="108" w:type="dxa"/>
            <w:bottom w:w="0" w:type="dxa"/>
            <w:right w:w="108" w:type="dxa"/>
          </w:tblCellMar>
        </w:tblPrEx>
        <w:trPr>
          <w:trHeight w:val="73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632" w:type="pct"/>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信息资源规划和数据库设计</w:t>
            </w:r>
          </w:p>
        </w:tc>
        <w:tc>
          <w:tcPr>
            <w:tcW w:w="632" w:type="pct"/>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基础地理数据接入治理</w:t>
            </w:r>
          </w:p>
        </w:tc>
        <w:tc>
          <w:tcPr>
            <w:tcW w:w="63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全要素基础数据</w:t>
            </w:r>
          </w:p>
        </w:tc>
        <w:tc>
          <w:tcPr>
            <w:tcW w:w="2471" w:type="pct"/>
            <w:tcBorders>
              <w:top w:val="nil"/>
              <w:left w:val="nil"/>
              <w:bottom w:val="single" w:color="000000" w:sz="8" w:space="0"/>
              <w:right w:val="single" w:color="000000"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对临安区各委办收集上来的一体化平台数据进行治理、入库。该数据全部具备每年更新一次的保障能力。</w:t>
            </w:r>
          </w:p>
        </w:tc>
      </w:tr>
      <w:tr>
        <w:tblPrEx>
          <w:tblCellMar>
            <w:top w:w="0" w:type="dxa"/>
            <w:left w:w="108" w:type="dxa"/>
            <w:bottom w:w="0" w:type="dxa"/>
            <w:right w:w="108" w:type="dxa"/>
          </w:tblCellMar>
        </w:tblPrEx>
        <w:trPr>
          <w:trHeight w:val="49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遥感影像数据</w:t>
            </w:r>
          </w:p>
        </w:tc>
        <w:tc>
          <w:tcPr>
            <w:tcW w:w="2471" w:type="pct"/>
            <w:tcBorders>
              <w:top w:val="nil"/>
              <w:left w:val="nil"/>
              <w:bottom w:val="single" w:color="000000" w:sz="8" w:space="0"/>
              <w:right w:val="single" w:color="000000"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接入临安区地理信息数据服务。并具备每年更新一次的保障能力。</w:t>
            </w:r>
          </w:p>
        </w:tc>
      </w:tr>
      <w:tr>
        <w:tblPrEx>
          <w:tblCellMar>
            <w:top w:w="0" w:type="dxa"/>
            <w:left w:w="108" w:type="dxa"/>
            <w:bottom w:w="0" w:type="dxa"/>
            <w:right w:w="108" w:type="dxa"/>
          </w:tblCellMar>
        </w:tblPrEx>
        <w:trPr>
          <w:trHeight w:val="49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行政区划数据</w:t>
            </w:r>
          </w:p>
        </w:tc>
        <w:tc>
          <w:tcPr>
            <w:tcW w:w="2471" w:type="pct"/>
            <w:tcBorders>
              <w:top w:val="nil"/>
              <w:left w:val="nil"/>
              <w:bottom w:val="single" w:color="000000" w:sz="8" w:space="0"/>
              <w:right w:val="single" w:color="000000"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接入临安区地理信息数据服务。并具备每年更新一次的保障能力。</w:t>
            </w:r>
          </w:p>
        </w:tc>
      </w:tr>
      <w:tr>
        <w:tblPrEx>
          <w:tblCellMar>
            <w:top w:w="0" w:type="dxa"/>
            <w:left w:w="108" w:type="dxa"/>
            <w:bottom w:w="0" w:type="dxa"/>
            <w:right w:w="108" w:type="dxa"/>
          </w:tblCellMar>
        </w:tblPrEx>
        <w:trPr>
          <w:trHeight w:val="121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公共专题数据接入治理</w:t>
            </w:r>
          </w:p>
        </w:tc>
        <w:tc>
          <w:tcPr>
            <w:tcW w:w="632" w:type="pct"/>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地名地址数据</w:t>
            </w:r>
          </w:p>
        </w:tc>
        <w:tc>
          <w:tcPr>
            <w:tcW w:w="2471" w:type="pct"/>
            <w:tcBorders>
              <w:top w:val="nil"/>
              <w:left w:val="nil"/>
              <w:bottom w:val="single" w:color="000000" w:sz="8" w:space="0"/>
              <w:right w:val="single" w:color="000000"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现有地名地址库的统一标准化：基于政法委提供的临安区地名地址数据，对一体化平台归集到的各类业务信息,按统一地址标准及精细化管理要求，分级分类进行标准化治理，并形成服务，同时具备动态更新的保障能力。</w:t>
            </w:r>
          </w:p>
        </w:tc>
      </w:tr>
      <w:tr>
        <w:tblPrEx>
          <w:tblCellMar>
            <w:top w:w="0" w:type="dxa"/>
            <w:left w:w="108" w:type="dxa"/>
            <w:bottom w:w="0" w:type="dxa"/>
            <w:right w:w="108" w:type="dxa"/>
          </w:tblCellMar>
        </w:tblPrEx>
        <w:trPr>
          <w:trHeight w:val="145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2471" w:type="pct"/>
            <w:tcBorders>
              <w:top w:val="nil"/>
              <w:left w:val="nil"/>
              <w:bottom w:val="single" w:color="000000" w:sz="8" w:space="0"/>
              <w:right w:val="single" w:color="000000"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名地址AI模型训练：基于本地的地名地址数据样本进行地名地址实别、地址匹配等AI模型训练：第一部分使用标准地址库，对地址元素进行缺省、别名替换、重复、替换其它地址元素；另一部分直接使用非结构化文本，使用三方工具进行横向对比，人工校对得到样本集。</w:t>
            </w:r>
          </w:p>
        </w:tc>
      </w:tr>
      <w:tr>
        <w:tblPrEx>
          <w:tblCellMar>
            <w:top w:w="0" w:type="dxa"/>
            <w:left w:w="108" w:type="dxa"/>
            <w:bottom w:w="0" w:type="dxa"/>
            <w:right w:w="108" w:type="dxa"/>
          </w:tblCellMar>
        </w:tblPrEx>
        <w:trPr>
          <w:trHeight w:val="97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2471" w:type="pct"/>
            <w:tcBorders>
              <w:top w:val="nil"/>
              <w:left w:val="nil"/>
              <w:bottom w:val="nil"/>
              <w:right w:val="single" w:color="000000"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地名地址关系库建立：时空数据治理系统对各类数据融合后，根据各个地址提取出来的其时空关联关系，形成关系库。地址标准化的过程是采用基于规则的算法，依赖标注地址元素关系库。</w:t>
            </w:r>
          </w:p>
        </w:tc>
      </w:tr>
      <w:tr>
        <w:tblPrEx>
          <w:tblCellMar>
            <w:top w:w="0" w:type="dxa"/>
            <w:left w:w="108" w:type="dxa"/>
            <w:bottom w:w="0" w:type="dxa"/>
            <w:right w:w="108" w:type="dxa"/>
          </w:tblCellMar>
        </w:tblPrEx>
        <w:trPr>
          <w:trHeight w:val="121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政务专题数据接入治理</w:t>
            </w:r>
          </w:p>
        </w:tc>
        <w:tc>
          <w:tcPr>
            <w:tcW w:w="63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教育类专题数据</w:t>
            </w:r>
          </w:p>
        </w:tc>
        <w:tc>
          <w:tcPr>
            <w:tcW w:w="2471"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于时空数据治理系统支撑地名地址要素的快速实别，未识别要素的核实确认，并完成各级地址的标准化处理工作，以及时空化的坐标转换、实体要素关联挂接等处理工作，实现该类专题数据空间落图和实体要素关联挂接。</w:t>
            </w:r>
          </w:p>
        </w:tc>
      </w:tr>
      <w:tr>
        <w:tblPrEx>
          <w:tblCellMar>
            <w:top w:w="0" w:type="dxa"/>
            <w:left w:w="108" w:type="dxa"/>
            <w:bottom w:w="0" w:type="dxa"/>
            <w:right w:w="108" w:type="dxa"/>
          </w:tblCellMar>
        </w:tblPrEx>
        <w:trPr>
          <w:trHeight w:val="121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民政类专题数据</w:t>
            </w:r>
          </w:p>
        </w:tc>
        <w:tc>
          <w:tcPr>
            <w:tcW w:w="247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于时空数据治理系统支撑地名地址要素的快速实别，未识别要素的核实确认，并完成各级地址的标准化处理工作，以及时空化的坐标转换、实体要素关联挂接等处理工作，实现该类专题数据空间落图和实体要素关联挂接。</w:t>
            </w:r>
          </w:p>
        </w:tc>
      </w:tr>
      <w:tr>
        <w:tblPrEx>
          <w:tblCellMar>
            <w:top w:w="0" w:type="dxa"/>
            <w:left w:w="108" w:type="dxa"/>
            <w:bottom w:w="0" w:type="dxa"/>
            <w:right w:w="108" w:type="dxa"/>
          </w:tblCellMar>
        </w:tblPrEx>
        <w:trPr>
          <w:trHeight w:val="121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生态环境类专题数据</w:t>
            </w:r>
          </w:p>
        </w:tc>
        <w:tc>
          <w:tcPr>
            <w:tcW w:w="247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于时空数据治理系统支撑地名地址要素的快速实别，未识别要素的核实确认，并完成各级地址的标准化处理工作，以及时空化的坐标转换、实体要素关联挂接等处理工作，实现该类专题数据空间落图和实体要素关联挂接。</w:t>
            </w:r>
          </w:p>
        </w:tc>
      </w:tr>
      <w:tr>
        <w:tblPrEx>
          <w:tblCellMar>
            <w:top w:w="0" w:type="dxa"/>
            <w:left w:w="108" w:type="dxa"/>
            <w:bottom w:w="0" w:type="dxa"/>
            <w:right w:w="108" w:type="dxa"/>
          </w:tblCellMar>
        </w:tblPrEx>
        <w:trPr>
          <w:trHeight w:val="121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卫生健康类专题数据</w:t>
            </w:r>
          </w:p>
        </w:tc>
        <w:tc>
          <w:tcPr>
            <w:tcW w:w="247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于时空数据治理系统支撑地名地址要素的快速实别，未识别要素的核实确认，并完成各级地址的标准化处理工作，以及时空化的坐标转换、实体要素关联挂接等处理工作，实现该类专题数据空间落图和实体要素关联挂接。</w:t>
            </w:r>
          </w:p>
        </w:tc>
      </w:tr>
      <w:tr>
        <w:tblPrEx>
          <w:tblCellMar>
            <w:top w:w="0" w:type="dxa"/>
            <w:left w:w="108" w:type="dxa"/>
            <w:bottom w:w="0" w:type="dxa"/>
            <w:right w:w="108" w:type="dxa"/>
          </w:tblCellMar>
        </w:tblPrEx>
        <w:trPr>
          <w:trHeight w:val="121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住建类专题数据</w:t>
            </w:r>
          </w:p>
        </w:tc>
        <w:tc>
          <w:tcPr>
            <w:tcW w:w="247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于时空数据治理系统支撑地名地址要素的快速实别，未识别要素的核实确认，并完成各级地址的标准化处理工作，以及时空化的坐标转换、实体要素关联挂接等处理工作，实现该类专题数据空间落图和实体要素关联挂接。</w:t>
            </w:r>
          </w:p>
        </w:tc>
      </w:tr>
      <w:tr>
        <w:tblPrEx>
          <w:tblCellMar>
            <w:top w:w="0" w:type="dxa"/>
            <w:left w:w="108" w:type="dxa"/>
            <w:bottom w:w="0" w:type="dxa"/>
            <w:right w:w="108" w:type="dxa"/>
          </w:tblCellMar>
        </w:tblPrEx>
        <w:trPr>
          <w:trHeight w:val="121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自然资源类专题数据</w:t>
            </w:r>
          </w:p>
        </w:tc>
        <w:tc>
          <w:tcPr>
            <w:tcW w:w="247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于时空数据治理系统支撑地名地址要素的快速实别，未识别要素的核实确认，并完成各级地址的标准化处理工作，以及时空化的坐标转换、实体要素关联挂接等处理工作，实现该类专题数据空间落图和实体要素关联挂接。</w:t>
            </w:r>
          </w:p>
        </w:tc>
      </w:tr>
      <w:tr>
        <w:tblPrEx>
          <w:tblCellMar>
            <w:top w:w="0" w:type="dxa"/>
            <w:left w:w="108" w:type="dxa"/>
            <w:bottom w:w="0" w:type="dxa"/>
            <w:right w:w="108" w:type="dxa"/>
          </w:tblCellMar>
        </w:tblPrEx>
        <w:trPr>
          <w:trHeight w:val="121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城管类专题数据</w:t>
            </w:r>
          </w:p>
        </w:tc>
        <w:tc>
          <w:tcPr>
            <w:tcW w:w="247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于时空数据治理系统支撑地名地址要素的快速实别，未识别要素的核实确认，并完成各级地址的标准化处理工作，以及时空化的坐标转换、实体要素关联挂接等处理工作，实现该类专题数据空间落图和实体要素关联挂接。</w:t>
            </w:r>
          </w:p>
        </w:tc>
      </w:tr>
      <w:tr>
        <w:tblPrEx>
          <w:tblCellMar>
            <w:top w:w="0" w:type="dxa"/>
            <w:left w:w="108" w:type="dxa"/>
            <w:bottom w:w="0" w:type="dxa"/>
            <w:right w:w="108" w:type="dxa"/>
          </w:tblCellMar>
        </w:tblPrEx>
        <w:trPr>
          <w:trHeight w:val="1455" w:hRule="atLeast"/>
        </w:trPr>
        <w:tc>
          <w:tcPr>
            <w:tcW w:w="632"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vMerge w:val="continue"/>
            <w:tcBorders>
              <w:top w:val="nil"/>
              <w:left w:val="single" w:color="auto" w:sz="8" w:space="0"/>
              <w:bottom w:val="single" w:color="000000" w:sz="8" w:space="0"/>
              <w:right w:val="single" w:color="auto" w:sz="8" w:space="0"/>
            </w:tcBorders>
            <w:vAlign w:val="center"/>
          </w:tcPr>
          <w:p>
            <w:pPr>
              <w:widowControl/>
              <w:spacing w:line="240" w:lineRule="auto"/>
              <w:ind w:firstLine="0" w:firstLineChars="0"/>
              <w:jc w:val="left"/>
              <w:rPr>
                <w:rFonts w:hint="eastAsia" w:ascii="仿宋" w:hAnsi="仿宋" w:eastAsia="仿宋" w:cs="仿宋"/>
                <w:color w:val="000000"/>
                <w:kern w:val="0"/>
                <w:sz w:val="24"/>
                <w:szCs w:val="24"/>
              </w:rPr>
            </w:pPr>
          </w:p>
        </w:tc>
        <w:tc>
          <w:tcPr>
            <w:tcW w:w="63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统计类专题数据</w:t>
            </w:r>
          </w:p>
        </w:tc>
        <w:tc>
          <w:tcPr>
            <w:tcW w:w="247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针对统计类专题数据为固定资产投资情况数据，基于时空数据治理系统支撑地名地址要素的快速实别，未识别要素的核实确认，并完成各级地址的标准化处理工作，以及时空化的坐标转换、实体要素关联挂接等处理工作，实现该类专题数据空间落图和实体要素关联挂接。</w:t>
            </w:r>
          </w:p>
        </w:tc>
      </w:tr>
    </w:tbl>
    <w:p>
      <w:pPr>
        <w:pStyle w:val="82"/>
        <w:ind w:firstLine="0" w:firstLineChars="0"/>
        <w:rPr>
          <w:rFonts w:hint="eastAsia" w:ascii="仿宋" w:hAnsi="仿宋" w:eastAsia="仿宋" w:cs="仿宋"/>
          <w:sz w:val="24"/>
          <w:szCs w:val="24"/>
          <w:lang w:bidi="ar-SA"/>
        </w:rPr>
      </w:pPr>
    </w:p>
    <w:p>
      <w:pPr>
        <w:pStyle w:val="82"/>
        <w:ind w:firstLine="0" w:firstLineChars="0"/>
        <w:rPr>
          <w:rFonts w:hint="eastAsia" w:ascii="仿宋" w:hAnsi="仿宋" w:eastAsia="仿宋" w:cs="仿宋"/>
          <w:sz w:val="24"/>
          <w:szCs w:val="24"/>
          <w:lang w:bidi="ar-SA"/>
        </w:rPr>
      </w:pPr>
    </w:p>
    <w:p>
      <w:pPr>
        <w:pStyle w:val="964"/>
        <w:rPr>
          <w:rFonts w:hint="eastAsia" w:ascii="仿宋" w:hAnsi="仿宋" w:eastAsia="仿宋" w:cs="仿宋"/>
          <w:sz w:val="24"/>
          <w:szCs w:val="24"/>
        </w:rPr>
      </w:pPr>
      <w:r>
        <w:rPr>
          <w:rFonts w:hint="eastAsia" w:ascii="仿宋" w:hAnsi="仿宋" w:eastAsia="仿宋" w:cs="仿宋"/>
          <w:sz w:val="24"/>
          <w:szCs w:val="24"/>
        </w:rPr>
        <w:t>时空地图平台</w:t>
      </w:r>
    </w:p>
    <w:p>
      <w:pPr>
        <w:pStyle w:val="82"/>
        <w:ind w:firstLine="560"/>
        <w:rPr>
          <w:rFonts w:hint="eastAsia" w:ascii="仿宋" w:hAnsi="仿宋" w:eastAsia="仿宋" w:cs="仿宋"/>
          <w:sz w:val="24"/>
          <w:szCs w:val="24"/>
        </w:rPr>
      </w:pPr>
      <w:r>
        <w:rPr>
          <w:rFonts w:hint="eastAsia" w:ascii="仿宋" w:hAnsi="仿宋" w:eastAsia="仿宋" w:cs="仿宋"/>
          <w:sz w:val="24"/>
          <w:szCs w:val="24"/>
        </w:rPr>
        <w:t>建设内容基于大数据、物联网、云计算、微服务等技术，实现对时空数据治理并搭建时空数据中台、时空服务中台及时空应用中台，构建临安区本项目，为临安区一网统管建设提供数据支撑及服务支撑。</w:t>
      </w:r>
    </w:p>
    <w:p>
      <w:pPr>
        <w:pStyle w:val="82"/>
        <w:ind w:firstLine="560"/>
        <w:rPr>
          <w:rFonts w:hint="eastAsia" w:ascii="仿宋" w:hAnsi="仿宋" w:eastAsia="仿宋" w:cs="仿宋"/>
          <w:sz w:val="24"/>
          <w:szCs w:val="24"/>
        </w:rPr>
      </w:pPr>
      <w:r>
        <w:rPr>
          <w:rFonts w:hint="eastAsia" w:ascii="仿宋" w:hAnsi="仿宋" w:eastAsia="仿宋" w:cs="仿宋"/>
          <w:sz w:val="24"/>
          <w:szCs w:val="24"/>
        </w:rPr>
        <w:t>包括以下功能模块：</w:t>
      </w:r>
    </w:p>
    <w:tbl>
      <w:tblPr>
        <w:tblStyle w:val="62"/>
        <w:tblW w:w="5000" w:type="pct"/>
        <w:tblInd w:w="0" w:type="dxa"/>
        <w:tblLayout w:type="autofit"/>
        <w:tblCellMar>
          <w:top w:w="0" w:type="dxa"/>
          <w:left w:w="108" w:type="dxa"/>
          <w:bottom w:w="0" w:type="dxa"/>
          <w:right w:w="108" w:type="dxa"/>
        </w:tblCellMar>
      </w:tblPr>
      <w:tblGrid>
        <w:gridCol w:w="576"/>
        <w:gridCol w:w="457"/>
        <w:gridCol w:w="486"/>
        <w:gridCol w:w="500"/>
        <w:gridCol w:w="1700"/>
        <w:gridCol w:w="4776"/>
      </w:tblGrid>
      <w:tr>
        <w:tblPrEx>
          <w:tblCellMar>
            <w:top w:w="0" w:type="dxa"/>
            <w:left w:w="108" w:type="dxa"/>
            <w:bottom w:w="0" w:type="dxa"/>
            <w:right w:w="108" w:type="dxa"/>
          </w:tblCellMar>
        </w:tblPrEx>
        <w:trPr>
          <w:trHeight w:val="570" w:hRule="atLeast"/>
        </w:trPr>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26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子系统</w:t>
            </w:r>
          </w:p>
        </w:tc>
        <w:tc>
          <w:tcPr>
            <w:tcW w:w="29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模块</w:t>
            </w:r>
          </w:p>
        </w:tc>
        <w:tc>
          <w:tcPr>
            <w:tcW w:w="29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功能大块</w:t>
            </w:r>
          </w:p>
        </w:tc>
        <w:tc>
          <w:tcPr>
            <w:tcW w:w="100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rPr>
            </w:pPr>
            <w:r>
              <w:rPr>
                <w:rFonts w:hint="eastAsia" w:ascii="仿宋" w:hAnsi="仿宋" w:eastAsia="仿宋" w:cs="宋体"/>
                <w:b/>
                <w:bCs/>
                <w:color w:val="000000"/>
                <w:kern w:val="0"/>
                <w:sz w:val="24"/>
              </w:rPr>
              <w:t>功能</w:t>
            </w:r>
          </w:p>
        </w:tc>
        <w:tc>
          <w:tcPr>
            <w:tcW w:w="280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详细描述</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26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时空地图平台</w:t>
            </w:r>
          </w:p>
        </w:tc>
        <w:tc>
          <w:tcPr>
            <w:tcW w:w="29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时空数据中台</w:t>
            </w: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时空数据汇聚系统</w:t>
            </w: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采集概览</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基础统计指标值</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采集的数据大小趋势统计</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采集的数据量趋势统计</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数据量来源统计</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数据源类型统计</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数据接入</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适配器管理</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下载模板</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上传数据</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文件解析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上传文件</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数据库连接配置</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数据源同步配置</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接口数据源配置</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数据映射</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数据源管理</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文件数据源列表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文件名称修改</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数据追加</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数据替换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数据删除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数据库连接列表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删除数据库连接</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数据源信息修改</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数据源同步列表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删除数据源同步任务</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数据源同步信息修改</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数据源同步列表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删除接口数据源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修改接口数据源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文件夹管理</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数据源搜索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数据源下载</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采集日志</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日志记录</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日志查询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日志导出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时空数据治理系统</w:t>
            </w: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数据分级分类</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数据分类</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数据分级</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数据异常管理</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异常问题列列表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系统处理异常管理</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人工处理异常管理</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异常处理统计分析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数据标准化</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统一数据格式</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地址转坐标</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坐标互转</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坐标转地址</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字符标准化</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中文数字处理</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信息补全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地址分节</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时空数据一致化处理</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时空数据标签计算系统</w:t>
            </w: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数据选择</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仓库/主题选择</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UDF</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执行</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保存</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查看历史版本</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定制规则</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规则查看</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新增规则</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更新规则</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规则删除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标签元数据</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标签字典插入</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标签筛选</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标签规则查看</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标签删除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字典导出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标签下/上线</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标签融合</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标签导入</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标签融合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数据筛选</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字段选择</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算法选择</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部署任务</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标签校验</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标签结果表行数对比</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代表标签唯一性的主键对比</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字段空值率对比</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时空数据资产管理系统</w:t>
            </w: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数据资产目录</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按数据治理流程管理</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按元数据标签管理</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模型元数据检索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时空数据标准管理</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数据标准字典</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对照表模块</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对照统计模块</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数据资产查询分析</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数据资产查询分析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数据资产集成与导入</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数据调度</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数据资产索引</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数据资产发布</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资产发布申请</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资产下架申请</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资产撤回</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删除资产</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数据资产质量管理系统</w:t>
            </w: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数据规则模型库管理</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单表规则创建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自定义规则创建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跨表规则创建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规则的查询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规则的删除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规则的修改</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规则模型库</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数据质量任务调度</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调度任务的创建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调度任务的修改</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调度任务的详情</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调度任务的恢复</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调度任务的立即执行</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调度任务的删除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调度任务的日志管理</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数据质量报告</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唯一性检查报告</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值特征评估报告</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字段数据评估</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数据清洗问题趋势报告</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时空元数据管理系统</w:t>
            </w: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元数据目录</w:t>
            </w: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数据库列表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数据表列表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函数列表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函数参数列表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存储过程列表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存储过程参数列表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数据字段（包括外键、主键、索引等）列表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元数据浏览</w:t>
            </w: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目录元数据浏览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数据库元数据浏览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函数元数据浏览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函数参数元数据浏览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存储过程元数据浏览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存储过程参数元数据浏览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表元数据浏览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字段元数据浏览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外键元数据浏览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主键元数据浏览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索引元数据浏览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元数据维护</w:t>
            </w: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目录元数据维护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数据库元数据维护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函数元数据维护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函数参数元数据维护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存储过程元数据维护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存储过程参数元数据维护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表元数据维护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字段元数据维护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外键元数据维护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主键元数据维护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索引元数据维护</w:t>
            </w:r>
          </w:p>
        </w:tc>
      </w:tr>
      <w:tr>
        <w:tblPrEx>
          <w:tblCellMar>
            <w:top w:w="0" w:type="dxa"/>
            <w:left w:w="108" w:type="dxa"/>
            <w:bottom w:w="0" w:type="dxa"/>
            <w:right w:w="108" w:type="dxa"/>
          </w:tblCellMar>
        </w:tblPrEx>
        <w:trPr>
          <w:trHeight w:val="570"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元数据查询</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元数据查询</w:t>
            </w:r>
          </w:p>
        </w:tc>
      </w:tr>
      <w:tr>
        <w:tblPrEx>
          <w:tblCellMar>
            <w:top w:w="0" w:type="dxa"/>
            <w:left w:w="108" w:type="dxa"/>
            <w:bottom w:w="0" w:type="dxa"/>
            <w:right w:w="108" w:type="dxa"/>
          </w:tblCellMar>
        </w:tblPrEx>
        <w:trPr>
          <w:trHeight w:val="570"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元数据更新</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元数据更新</w:t>
            </w:r>
          </w:p>
        </w:tc>
      </w:tr>
      <w:tr>
        <w:tblPrEx>
          <w:tblCellMar>
            <w:top w:w="0" w:type="dxa"/>
            <w:left w:w="108" w:type="dxa"/>
            <w:bottom w:w="0" w:type="dxa"/>
            <w:right w:w="108" w:type="dxa"/>
          </w:tblCellMar>
        </w:tblPrEx>
        <w:trPr>
          <w:trHeight w:val="570"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元数据输出</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元数据输出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变更记录</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变更记录</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时空服务中台　</w:t>
            </w: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专题底图服务</w:t>
            </w: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通用地图绘制功能服务接口</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地图漫游</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地图控件</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地图标注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点线面可视化</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数据可视化功能服务接口</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基础可视化服务</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楼栋建筑白模多级可视化功能服务</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轨迹图功能接口</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聚合图功能接口</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网格热力图功能接口</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光圈图功能接口</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风场图功能接口</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三维墙功能接口</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地图动态可视化</w:t>
            </w:r>
          </w:p>
        </w:tc>
      </w:tr>
      <w:tr>
        <w:tblPrEx>
          <w:tblCellMar>
            <w:top w:w="0" w:type="dxa"/>
            <w:left w:w="108" w:type="dxa"/>
            <w:bottom w:w="0" w:type="dxa"/>
            <w:right w:w="108" w:type="dxa"/>
          </w:tblCellMar>
        </w:tblPrEx>
        <w:trPr>
          <w:trHeight w:val="570"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基础数据服务</w:t>
            </w: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基础数据服务方式</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基础数据服务方式</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综合查询</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建筑物信息查询API</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建筑物历史信息查询API</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建筑物空间查询API</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建筑物户信息查询API</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重点建筑物三维模型查询API</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重点建筑物人口关联查询API</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属性查询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地图点选查询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框选查询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圈选查询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多边形查询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分类统计</w:t>
            </w: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热力图</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聚合图</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地图统计</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表格</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柱形图</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饼图</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曲线图</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分析服务</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趋势分析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异常分析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相关性分析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数据下载</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数据下载</w:t>
            </w:r>
          </w:p>
        </w:tc>
      </w:tr>
      <w:tr>
        <w:tblPrEx>
          <w:tblCellMar>
            <w:top w:w="0" w:type="dxa"/>
            <w:left w:w="108" w:type="dxa"/>
            <w:bottom w:w="0" w:type="dxa"/>
            <w:right w:w="108" w:type="dxa"/>
          </w:tblCellMar>
        </w:tblPrEx>
        <w:trPr>
          <w:trHeight w:val="85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地理编码服务</w:t>
            </w: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空间位置坐标的匹配服务</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空间位置坐标的匹配服务</w:t>
            </w:r>
          </w:p>
        </w:tc>
      </w:tr>
      <w:tr>
        <w:tblPrEx>
          <w:tblCellMar>
            <w:top w:w="0" w:type="dxa"/>
            <w:left w:w="108" w:type="dxa"/>
            <w:bottom w:w="0" w:type="dxa"/>
            <w:right w:w="108" w:type="dxa"/>
          </w:tblCellMar>
        </w:tblPrEx>
        <w:trPr>
          <w:trHeight w:val="85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地址和地址的匹配服务</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地址和地址的匹配服务</w:t>
            </w:r>
          </w:p>
        </w:tc>
      </w:tr>
      <w:tr>
        <w:tblPrEx>
          <w:tblCellMar>
            <w:top w:w="0" w:type="dxa"/>
            <w:left w:w="108" w:type="dxa"/>
            <w:bottom w:w="0" w:type="dxa"/>
            <w:right w:w="108" w:type="dxa"/>
          </w:tblCellMar>
        </w:tblPrEx>
        <w:trPr>
          <w:trHeight w:val="85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地名和地名的模糊匹配服务</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地名和地名的模糊匹配服务</w:t>
            </w:r>
          </w:p>
        </w:tc>
      </w:tr>
      <w:tr>
        <w:tblPrEx>
          <w:tblCellMar>
            <w:top w:w="0" w:type="dxa"/>
            <w:left w:w="108" w:type="dxa"/>
            <w:bottom w:w="0" w:type="dxa"/>
            <w:right w:w="108" w:type="dxa"/>
          </w:tblCellMar>
        </w:tblPrEx>
        <w:trPr>
          <w:trHeight w:val="85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地址和地名的匹配服务</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地址和地名的匹配服务</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查询服务</w:t>
            </w: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POI查询</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POI查询、城市配套</w:t>
            </w:r>
          </w:p>
        </w:tc>
      </w:tr>
      <w:tr>
        <w:tblPrEx>
          <w:tblCellMar>
            <w:top w:w="0" w:type="dxa"/>
            <w:left w:w="108" w:type="dxa"/>
            <w:bottom w:w="0" w:type="dxa"/>
            <w:right w:w="108" w:type="dxa"/>
          </w:tblCellMar>
        </w:tblPrEx>
        <w:trPr>
          <w:trHeight w:val="85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区域数据查询与分析</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区域数据查询</w:t>
            </w:r>
          </w:p>
        </w:tc>
      </w:tr>
      <w:tr>
        <w:tblPrEx>
          <w:tblCellMar>
            <w:top w:w="0" w:type="dxa"/>
            <w:left w:w="108" w:type="dxa"/>
            <w:bottom w:w="0" w:type="dxa"/>
            <w:right w:w="108" w:type="dxa"/>
          </w:tblCellMar>
        </w:tblPrEx>
        <w:trPr>
          <w:trHeight w:val="85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标签数据查询与分析</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标签数据查询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时空应用中台</w:t>
            </w: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地图中心</w:t>
            </w: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资源目录</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资源目录</w:t>
            </w:r>
          </w:p>
        </w:tc>
      </w:tr>
      <w:tr>
        <w:tblPrEx>
          <w:tblCellMar>
            <w:top w:w="0" w:type="dxa"/>
            <w:left w:w="108" w:type="dxa"/>
            <w:bottom w:w="0" w:type="dxa"/>
            <w:right w:w="108" w:type="dxa"/>
          </w:tblCellMar>
        </w:tblPrEx>
        <w:trPr>
          <w:trHeight w:val="570"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资源目录搜索</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资源目录搜索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数据叠加</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叠加图层</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撒点</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OD流向图</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详情展示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关闭详情展示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数据可视化</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热力图</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网格聚合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点聚合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分段统计</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物联网感知数据点位展示</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物联网节点点位展示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物联感知数据设备点位展示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视频监控数据设备点位展示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GPS设备数据点位展示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关键字查询</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智能提示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关键字查询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查询结果定位</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详情展示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关闭详情展示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空间查询</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点选查询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周边快查</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画线缓冲查询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拉框查询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圆选查询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多边形查询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详情展示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关闭详情展示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行政区查询</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街道目录</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小区目录</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街道定位</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小区定位</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空间量算</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距离量算</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面积量算</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路径分析</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路径分析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智能分析</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驾车到达圈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步行到达圈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骑行到达圈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重点网格全区概览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重点网格居住人群分析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重点网格到访人群分析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重点网格人群画像</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园区全区概览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园区工作人群分析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园区到访人群分析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园区人群画像</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常规网格全区概览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常规网格工作人群分析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常规网格到访人群分析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常规网格人群画像</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区域分析全区概览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区域分析人口指数</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区域分析配套设施</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资源分类</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主题分类</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部门分类</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点击查看</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应用信息中心</w:t>
            </w: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应用目录</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应用目录</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应用列表</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应用列表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按应用名称排序</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按发布时间排序</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按请求量排序</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应用总数、分页</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应用检索</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应用检索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查看详情</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应用信息展示</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访问地址、返回</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服务中心</w:t>
            </w: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服务目录</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底图服务资源目录</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图层服务资源目录</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数据服务资源目录</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功能服务资源目录</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资源服务列表</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资源列表展示面板</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资源列表按名称排序</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资源列表按发布时间排序</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资源列表按浏览次数排序</w:t>
            </w:r>
          </w:p>
        </w:tc>
      </w:tr>
      <w:tr>
        <w:tblPrEx>
          <w:tblCellMar>
            <w:top w:w="0" w:type="dxa"/>
            <w:left w:w="108" w:type="dxa"/>
            <w:bottom w:w="0" w:type="dxa"/>
            <w:right w:w="108" w:type="dxa"/>
          </w:tblCellMar>
        </w:tblPrEx>
        <w:trPr>
          <w:trHeight w:val="570"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资源服务检索</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资源服务检索</w:t>
            </w:r>
          </w:p>
        </w:tc>
      </w:tr>
      <w:tr>
        <w:tblPrEx>
          <w:tblCellMar>
            <w:top w:w="0" w:type="dxa"/>
            <w:left w:w="108" w:type="dxa"/>
            <w:bottom w:w="0" w:type="dxa"/>
            <w:right w:w="108" w:type="dxa"/>
          </w:tblCellMar>
        </w:tblPrEx>
        <w:trPr>
          <w:trHeight w:val="570"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资源服务详情查看</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资源服务详情查看</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收藏服务</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服务收藏</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收藏删除</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收藏列表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服务申请</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服务申请提交</w:t>
            </w:r>
          </w:p>
        </w:tc>
      </w:tr>
      <w:tr>
        <w:tblPrEx>
          <w:tblCellMar>
            <w:top w:w="0" w:type="dxa"/>
            <w:left w:w="108" w:type="dxa"/>
            <w:bottom w:w="0" w:type="dxa"/>
            <w:right w:w="108" w:type="dxa"/>
          </w:tblCellMar>
        </w:tblPrEx>
        <w:trPr>
          <w:trHeight w:val="570"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待申请资源</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待申请资源</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工作台</w:t>
            </w: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服务管理</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服务注册</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服务筛选</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组合筛选</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服务运行状态</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服务启动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服务停止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服务在线状态</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服务上/下线</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批量上下线</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服务搜索</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服务列表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服务编辑</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数据服务浏览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功能服务浏览</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服务共享设置</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服务审核</w:t>
            </w: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目录管理</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功能服务目录</w:t>
            </w: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新增一级目录</w:t>
            </w: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新增N级目录</w:t>
            </w: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目录名称编辑</w:t>
            </w: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目录移动</w:t>
            </w: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284</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目录列表</w:t>
            </w: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285</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目录资源统计</w:t>
            </w: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286</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目录删除</w:t>
            </w: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287</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目录资源列表</w:t>
            </w: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288</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主题分类编辑</w:t>
            </w: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289</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数据服务目录</w:t>
            </w: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290</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应用管理</w:t>
            </w: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增加应用</w:t>
            </w: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291</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删除应用</w:t>
            </w:r>
          </w:p>
        </w:tc>
      </w:tr>
      <w:tr>
        <w:tblPrEx>
          <w:tblCellMar>
            <w:top w:w="0" w:type="dxa"/>
            <w:left w:w="108" w:type="dxa"/>
            <w:bottom w:w="0" w:type="dxa"/>
            <w:right w:w="108" w:type="dxa"/>
          </w:tblCellMar>
        </w:tblPrEx>
        <w:trPr>
          <w:trHeight w:val="367"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292</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编辑应用</w:t>
            </w:r>
          </w:p>
        </w:tc>
      </w:tr>
      <w:tr>
        <w:tblPrEx>
          <w:tblCellMar>
            <w:top w:w="0" w:type="dxa"/>
            <w:left w:w="108" w:type="dxa"/>
            <w:bottom w:w="0" w:type="dxa"/>
            <w:right w:w="108" w:type="dxa"/>
          </w:tblCellMar>
        </w:tblPrEx>
        <w:trPr>
          <w:trHeight w:val="285" w:hRule="atLeast"/>
        </w:trPr>
        <w:tc>
          <w:tcPr>
            <w:tcW w:w="33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293</w:t>
            </w:r>
          </w:p>
        </w:tc>
        <w:tc>
          <w:tcPr>
            <w:tcW w:w="26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0"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03"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8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查询应用</w:t>
            </w:r>
          </w:p>
        </w:tc>
      </w:tr>
    </w:tbl>
    <w:p>
      <w:pPr>
        <w:pStyle w:val="82"/>
        <w:ind w:firstLine="560"/>
        <w:rPr>
          <w:rFonts w:hint="eastAsia" w:ascii="仿宋" w:hAnsi="仿宋" w:eastAsia="仿宋" w:cs="仿宋"/>
          <w:sz w:val="24"/>
          <w:szCs w:val="24"/>
        </w:rPr>
      </w:pPr>
    </w:p>
    <w:p>
      <w:pPr>
        <w:pStyle w:val="82"/>
        <w:ind w:firstLine="560"/>
        <w:rPr>
          <w:rFonts w:ascii="仿宋" w:hAnsi="仿宋" w:eastAsia="仿宋"/>
        </w:rPr>
      </w:pPr>
      <w:r>
        <w:rPr>
          <w:rFonts w:hint="eastAsia" w:ascii="仿宋" w:hAnsi="仿宋" w:eastAsia="仿宋"/>
        </w:rPr>
        <w:t>服务器GIS平台是基于高性能跨平台C++内核的云GIS软件开发平台，含空间数据库引擎SDX+。提供全功能的GIS服务发布、管理与聚合能力，并支持多层次的扩展开发。提供强大的空间大数据、三维等相关的Web服务，支持海量的矢量、栅格数据免切片发布，提供多种SDK，助力构建微服务架构的云原生GIS应用系统。</w:t>
      </w:r>
    </w:p>
    <w:p>
      <w:pPr>
        <w:pStyle w:val="82"/>
        <w:ind w:firstLine="560"/>
        <w:rPr>
          <w:rFonts w:ascii="仿宋" w:hAnsi="仿宋" w:eastAsia="仿宋"/>
        </w:rPr>
      </w:pPr>
      <w:r>
        <w:rPr>
          <w:rFonts w:hint="eastAsia" w:ascii="仿宋" w:hAnsi="仿宋" w:eastAsia="仿宋"/>
        </w:rPr>
        <w:t>桌面GIS平台是二三维一体化桌面 GIS 软件，提供涵盖数据加载、数据转换、类型转换、数据浏览和编辑、地图制图、场景操作、布局排版和打印等在内的常规GIS功能。</w:t>
      </w:r>
    </w:p>
    <w:p>
      <w:pPr>
        <w:pStyle w:val="82"/>
        <w:ind w:firstLine="560"/>
        <w:rPr>
          <w:rFonts w:ascii="仿宋" w:hAnsi="仿宋" w:eastAsia="仿宋"/>
        </w:rPr>
      </w:pPr>
      <w:r>
        <w:rPr>
          <w:rFonts w:hint="eastAsia" w:ascii="仿宋" w:hAnsi="仿宋" w:eastAsia="仿宋"/>
        </w:rPr>
        <w:t>时空平台中服务器GIS平台、桌面GIS平台</w:t>
      </w:r>
      <w:r>
        <w:rPr>
          <w:rFonts w:hint="eastAsia" w:ascii="仿宋" w:hAnsi="仿宋" w:eastAsia="仿宋"/>
          <w:lang w:eastAsia="zh-CN"/>
        </w:rPr>
        <w:t>功能</w:t>
      </w:r>
      <w:r>
        <w:rPr>
          <w:rFonts w:hint="eastAsia" w:ascii="仿宋" w:hAnsi="仿宋" w:eastAsia="仿宋"/>
        </w:rPr>
        <w:t>要求：</w:t>
      </w:r>
    </w:p>
    <w:tbl>
      <w:tblPr>
        <w:tblStyle w:val="62"/>
        <w:tblW w:w="5000" w:type="pct"/>
        <w:tblInd w:w="0" w:type="dxa"/>
        <w:tblLayout w:type="autofit"/>
        <w:tblCellMar>
          <w:top w:w="0" w:type="dxa"/>
          <w:left w:w="108" w:type="dxa"/>
          <w:bottom w:w="0" w:type="dxa"/>
          <w:right w:w="108" w:type="dxa"/>
        </w:tblCellMar>
      </w:tblPr>
      <w:tblGrid>
        <w:gridCol w:w="1133"/>
        <w:gridCol w:w="1133"/>
        <w:gridCol w:w="2805"/>
        <w:gridCol w:w="3424"/>
      </w:tblGrid>
      <w:tr>
        <w:tblPrEx>
          <w:tblCellMar>
            <w:top w:w="0" w:type="dxa"/>
            <w:left w:w="108" w:type="dxa"/>
            <w:bottom w:w="0" w:type="dxa"/>
            <w:right w:w="108" w:type="dxa"/>
          </w:tblCellMar>
        </w:tblPrEx>
        <w:trPr>
          <w:trHeight w:val="570" w:hRule="atLeast"/>
        </w:trPr>
        <w:tc>
          <w:tcPr>
            <w:tcW w:w="6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66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模块</w:t>
            </w:r>
          </w:p>
        </w:tc>
        <w:tc>
          <w:tcPr>
            <w:tcW w:w="165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功能大块</w:t>
            </w:r>
          </w:p>
        </w:tc>
        <w:tc>
          <w:tcPr>
            <w:tcW w:w="201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4"/>
              </w:rPr>
            </w:pPr>
            <w:r>
              <w:rPr>
                <w:rFonts w:hint="eastAsia" w:ascii="仿宋" w:hAnsi="仿宋" w:eastAsia="仿宋" w:cs="宋体"/>
                <w:b/>
                <w:bCs/>
                <w:color w:val="000000"/>
                <w:kern w:val="0"/>
                <w:sz w:val="24"/>
              </w:rPr>
              <w:t>功能</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66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服务器GIS软件平台</w:t>
            </w:r>
          </w:p>
        </w:tc>
        <w:tc>
          <w:tcPr>
            <w:tcW w:w="165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系统功能</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日志服务</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服务管理</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服务器安全</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监控与统计</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备份与恢复</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计划任务</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服务发布</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工作空间数据</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远程Web服务</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瓦片数据</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地图服务</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地图操作</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距离/面积量算</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动态投影</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动态专题图</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空间查询</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属性查询</w:t>
            </w:r>
          </w:p>
        </w:tc>
      </w:tr>
      <w:tr>
        <w:tblPrEx>
          <w:tblCellMar>
            <w:top w:w="0" w:type="dxa"/>
            <w:left w:w="108" w:type="dxa"/>
            <w:bottom w:w="0" w:type="dxa"/>
            <w:right w:w="108" w:type="dxa"/>
          </w:tblCellMar>
        </w:tblPrEx>
        <w:trPr>
          <w:trHeight w:val="570"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矢量瓦片服务</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矢量瓦片服务</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Web服务</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REST服务</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OGC服务</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服务聚合</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GIS服务端地图聚合</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GIS服务端数据聚合</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客户端WMS聚合、客户端WFS聚合</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客户端第三方在线服务聚合</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几何服务</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面积量算</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距离量算</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坐标转换</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开发支持</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开发支持</w:t>
            </w:r>
          </w:p>
        </w:tc>
      </w:tr>
      <w:tr>
        <w:tblPrEx>
          <w:tblCellMar>
            <w:top w:w="0" w:type="dxa"/>
            <w:left w:w="108" w:type="dxa"/>
            <w:bottom w:w="0" w:type="dxa"/>
            <w:right w:w="108" w:type="dxa"/>
          </w:tblCellMar>
        </w:tblPrEx>
        <w:trPr>
          <w:trHeight w:val="570"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三维服务扩展模块</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三维服务扩展模块</w:t>
            </w:r>
          </w:p>
        </w:tc>
      </w:tr>
      <w:tr>
        <w:tblPrEx>
          <w:tblCellMar>
            <w:top w:w="0" w:type="dxa"/>
            <w:left w:w="108" w:type="dxa"/>
            <w:bottom w:w="0" w:type="dxa"/>
            <w:right w:w="108" w:type="dxa"/>
          </w:tblCellMar>
        </w:tblPrEx>
        <w:trPr>
          <w:trHeight w:val="570"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w:t>
            </w:r>
          </w:p>
        </w:tc>
        <w:tc>
          <w:tcPr>
            <w:tcW w:w="66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门户GIS软件平台</w:t>
            </w: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地图资源整合</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地图资源整合</w:t>
            </w:r>
          </w:p>
        </w:tc>
      </w:tr>
      <w:tr>
        <w:tblPrEx>
          <w:tblCellMar>
            <w:top w:w="0" w:type="dxa"/>
            <w:left w:w="108" w:type="dxa"/>
            <w:bottom w:w="0" w:type="dxa"/>
            <w:right w:w="108" w:type="dxa"/>
          </w:tblCellMar>
        </w:tblPrEx>
        <w:trPr>
          <w:trHeight w:val="570"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地图资源查找</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地图资源查找</w:t>
            </w:r>
          </w:p>
        </w:tc>
      </w:tr>
      <w:tr>
        <w:tblPrEx>
          <w:tblCellMar>
            <w:top w:w="0" w:type="dxa"/>
            <w:left w:w="108" w:type="dxa"/>
            <w:bottom w:w="0" w:type="dxa"/>
            <w:right w:w="108" w:type="dxa"/>
          </w:tblCellMar>
        </w:tblPrEx>
        <w:trPr>
          <w:trHeight w:val="570"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地图共享授权</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地图共享授权</w:t>
            </w:r>
          </w:p>
        </w:tc>
      </w:tr>
      <w:tr>
        <w:tblPrEx>
          <w:tblCellMar>
            <w:top w:w="0" w:type="dxa"/>
            <w:left w:w="108" w:type="dxa"/>
            <w:bottom w:w="0" w:type="dxa"/>
            <w:right w:w="108" w:type="dxa"/>
          </w:tblCellMar>
        </w:tblPrEx>
        <w:trPr>
          <w:trHeight w:val="570"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31</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服务共享接口</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服务共享接口</w:t>
            </w:r>
          </w:p>
        </w:tc>
      </w:tr>
      <w:tr>
        <w:tblPrEx>
          <w:tblCellMar>
            <w:top w:w="0" w:type="dxa"/>
            <w:left w:w="108" w:type="dxa"/>
            <w:bottom w:w="0" w:type="dxa"/>
            <w:right w:w="108" w:type="dxa"/>
          </w:tblCellMar>
        </w:tblPrEx>
        <w:trPr>
          <w:trHeight w:val="570"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地图资源管理</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地图资源管理</w:t>
            </w:r>
          </w:p>
        </w:tc>
      </w:tr>
      <w:tr>
        <w:tblPrEx>
          <w:tblCellMar>
            <w:top w:w="0" w:type="dxa"/>
            <w:left w:w="108" w:type="dxa"/>
            <w:bottom w:w="0" w:type="dxa"/>
            <w:right w:w="108" w:type="dxa"/>
          </w:tblCellMar>
        </w:tblPrEx>
        <w:trPr>
          <w:trHeight w:val="285"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33</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门户统计</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门户统计</w:t>
            </w:r>
          </w:p>
        </w:tc>
      </w:tr>
      <w:tr>
        <w:tblPrEx>
          <w:tblCellMar>
            <w:top w:w="0" w:type="dxa"/>
            <w:left w:w="108" w:type="dxa"/>
            <w:bottom w:w="0" w:type="dxa"/>
            <w:right w:w="108" w:type="dxa"/>
          </w:tblCellMar>
        </w:tblPrEx>
        <w:trPr>
          <w:trHeight w:val="285"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34</w:t>
            </w:r>
          </w:p>
        </w:tc>
        <w:tc>
          <w:tcPr>
            <w:tcW w:w="66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桌面GIS软件平台</w:t>
            </w: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数据导入</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数据导入</w:t>
            </w:r>
          </w:p>
        </w:tc>
      </w:tr>
      <w:tr>
        <w:tblPrEx>
          <w:tblCellMar>
            <w:top w:w="0" w:type="dxa"/>
            <w:left w:w="108" w:type="dxa"/>
            <w:bottom w:w="0" w:type="dxa"/>
            <w:right w:w="108" w:type="dxa"/>
          </w:tblCellMar>
        </w:tblPrEx>
        <w:trPr>
          <w:trHeight w:val="285"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35</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数据导出</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数据导出</w:t>
            </w:r>
          </w:p>
        </w:tc>
      </w:tr>
      <w:tr>
        <w:tblPrEx>
          <w:tblCellMar>
            <w:top w:w="0" w:type="dxa"/>
            <w:left w:w="108" w:type="dxa"/>
            <w:bottom w:w="0" w:type="dxa"/>
            <w:right w:w="108" w:type="dxa"/>
          </w:tblCellMar>
        </w:tblPrEx>
        <w:trPr>
          <w:trHeight w:val="285"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数据编辑</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数据编辑</w:t>
            </w:r>
          </w:p>
        </w:tc>
      </w:tr>
      <w:tr>
        <w:tblPrEx>
          <w:tblCellMar>
            <w:top w:w="0" w:type="dxa"/>
            <w:left w:w="108" w:type="dxa"/>
            <w:bottom w:w="0" w:type="dxa"/>
            <w:right w:w="108" w:type="dxa"/>
          </w:tblCellMar>
        </w:tblPrEx>
        <w:trPr>
          <w:trHeight w:val="285"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37</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数据配准</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数据配准</w:t>
            </w:r>
          </w:p>
        </w:tc>
      </w:tr>
      <w:tr>
        <w:tblPrEx>
          <w:tblCellMar>
            <w:top w:w="0" w:type="dxa"/>
            <w:left w:w="108" w:type="dxa"/>
            <w:bottom w:w="0" w:type="dxa"/>
            <w:right w:w="108" w:type="dxa"/>
          </w:tblCellMar>
        </w:tblPrEx>
        <w:trPr>
          <w:trHeight w:val="285"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38</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投影转换</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投影转换</w:t>
            </w:r>
          </w:p>
        </w:tc>
      </w:tr>
      <w:tr>
        <w:tblPrEx>
          <w:tblCellMar>
            <w:top w:w="0" w:type="dxa"/>
            <w:left w:w="108" w:type="dxa"/>
            <w:bottom w:w="0" w:type="dxa"/>
            <w:right w:w="108" w:type="dxa"/>
          </w:tblCellMar>
        </w:tblPrEx>
        <w:trPr>
          <w:trHeight w:val="285"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39</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符号制作</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符号制作</w:t>
            </w:r>
          </w:p>
        </w:tc>
      </w:tr>
      <w:tr>
        <w:tblPrEx>
          <w:tblCellMar>
            <w:top w:w="0" w:type="dxa"/>
            <w:left w:w="108" w:type="dxa"/>
            <w:bottom w:w="0" w:type="dxa"/>
            <w:right w:w="108" w:type="dxa"/>
          </w:tblCellMar>
        </w:tblPrEx>
        <w:trPr>
          <w:trHeight w:val="285"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地图制图</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地图制图</w:t>
            </w:r>
          </w:p>
        </w:tc>
      </w:tr>
      <w:tr>
        <w:tblPrEx>
          <w:tblCellMar>
            <w:top w:w="0" w:type="dxa"/>
            <w:left w:w="108" w:type="dxa"/>
            <w:bottom w:w="0" w:type="dxa"/>
            <w:right w:w="108" w:type="dxa"/>
          </w:tblCellMar>
        </w:tblPrEx>
        <w:trPr>
          <w:trHeight w:val="285"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41</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三维场景</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三维场景</w:t>
            </w:r>
          </w:p>
        </w:tc>
      </w:tr>
      <w:tr>
        <w:tblPrEx>
          <w:tblCellMar>
            <w:top w:w="0" w:type="dxa"/>
            <w:left w:w="108" w:type="dxa"/>
            <w:bottom w:w="0" w:type="dxa"/>
            <w:right w:w="108" w:type="dxa"/>
          </w:tblCellMar>
        </w:tblPrEx>
        <w:trPr>
          <w:trHeight w:val="570"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专题库制作</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专题库制作</w:t>
            </w:r>
          </w:p>
        </w:tc>
      </w:tr>
      <w:tr>
        <w:tblPrEx>
          <w:tblCellMar>
            <w:top w:w="0" w:type="dxa"/>
            <w:left w:w="108" w:type="dxa"/>
            <w:bottom w:w="0" w:type="dxa"/>
            <w:right w:w="108" w:type="dxa"/>
          </w:tblCellMar>
        </w:tblPrEx>
        <w:trPr>
          <w:trHeight w:val="285" w:hRule="atLeast"/>
        </w:trPr>
        <w:tc>
          <w:tcPr>
            <w:tcW w:w="66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43</w:t>
            </w:r>
          </w:p>
        </w:tc>
        <w:tc>
          <w:tcPr>
            <w:tcW w:w="66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65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地图瓦片</w:t>
            </w:r>
          </w:p>
        </w:tc>
        <w:tc>
          <w:tcPr>
            <w:tcW w:w="2015"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地图瓦片</w:t>
            </w:r>
          </w:p>
        </w:tc>
      </w:tr>
    </w:tbl>
    <w:p>
      <w:pPr>
        <w:pStyle w:val="82"/>
        <w:ind w:firstLine="560"/>
        <w:rPr>
          <w:rFonts w:hint="eastAsia" w:ascii="仿宋" w:hAnsi="仿宋" w:eastAsia="仿宋" w:cs="仿宋"/>
          <w:sz w:val="24"/>
          <w:szCs w:val="24"/>
        </w:rPr>
      </w:pPr>
    </w:p>
    <w:p>
      <w:pPr>
        <w:pStyle w:val="82"/>
        <w:ind w:firstLine="560"/>
        <w:rPr>
          <w:rFonts w:hint="eastAsia" w:ascii="仿宋" w:hAnsi="仿宋" w:eastAsia="仿宋" w:cs="仿宋"/>
          <w:sz w:val="24"/>
          <w:szCs w:val="24"/>
        </w:rPr>
      </w:pPr>
      <w:r>
        <w:rPr>
          <w:rFonts w:hint="eastAsia" w:ascii="仿宋" w:hAnsi="仿宋" w:eastAsia="仿宋"/>
        </w:rPr>
        <w:t>时空平台中服务器GIS平台、桌面GIS平台</w:t>
      </w:r>
      <w:r>
        <w:rPr>
          <w:rFonts w:hint="default" w:ascii="仿宋" w:hAnsi="仿宋" w:eastAsia="仿宋" w:cs="仿宋_GB2312"/>
          <w:sz w:val="24"/>
          <w:highlight w:val="none"/>
          <w:lang w:val="en-US" w:eastAsia="zh-CN"/>
        </w:rPr>
        <w:t>技术指标</w:t>
      </w:r>
      <w:r>
        <w:rPr>
          <w:rFonts w:hint="eastAsia" w:ascii="仿宋" w:hAnsi="仿宋" w:eastAsia="仿宋"/>
        </w:rPr>
        <w:t>要求：</w:t>
      </w:r>
    </w:p>
    <w:tbl>
      <w:tblPr>
        <w:tblStyle w:val="62"/>
        <w:tblW w:w="5000" w:type="pct"/>
        <w:jc w:val="center"/>
        <w:tblLayout w:type="autofit"/>
        <w:tblCellMar>
          <w:top w:w="0" w:type="dxa"/>
          <w:left w:w="108" w:type="dxa"/>
          <w:bottom w:w="0" w:type="dxa"/>
          <w:right w:w="108" w:type="dxa"/>
        </w:tblCellMar>
      </w:tblPr>
      <w:tblGrid>
        <w:gridCol w:w="720"/>
        <w:gridCol w:w="1451"/>
        <w:gridCol w:w="6324"/>
      </w:tblGrid>
      <w:tr>
        <w:tblPrEx>
          <w:tblCellMar>
            <w:top w:w="0" w:type="dxa"/>
            <w:left w:w="108" w:type="dxa"/>
            <w:bottom w:w="0" w:type="dxa"/>
            <w:right w:w="108" w:type="dxa"/>
          </w:tblCellMar>
        </w:tblPrEx>
        <w:trPr>
          <w:trHeight w:val="990" w:hRule="atLeast"/>
          <w:jc w:val="center"/>
        </w:trPr>
        <w:tc>
          <w:tcPr>
            <w:tcW w:w="424"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24"/>
                <w:szCs w:val="24"/>
              </w:rPr>
            </w:pPr>
            <w:r>
              <w:rPr>
                <w:rFonts w:hint="default" w:ascii="仿宋" w:hAnsi="仿宋" w:eastAsia="仿宋" w:cs="仿宋_GB2312"/>
                <w:sz w:val="24"/>
                <w:highlight w:val="none"/>
                <w:lang w:val="en-US" w:eastAsia="zh-CN"/>
              </w:rPr>
              <w:t>技术指标</w:t>
            </w:r>
          </w:p>
        </w:tc>
        <w:tc>
          <w:tcPr>
            <w:tcW w:w="854" w:type="pct"/>
            <w:vMerge w:val="restart"/>
            <w:tcBorders>
              <w:top w:val="single" w:color="000000" w:sz="4" w:space="0"/>
              <w:left w:val="nil"/>
              <w:right w:val="single" w:color="auto" w:sz="4" w:space="0"/>
            </w:tcBorders>
          </w:tcPr>
          <w:p>
            <w:pPr>
              <w:widowControl/>
              <w:spacing w:line="240" w:lineRule="auto"/>
              <w:ind w:firstLine="0" w:firstLineChars="0"/>
              <w:jc w:val="left"/>
              <w:rPr>
                <w:rFonts w:hint="eastAsia" w:ascii="仿宋" w:hAnsi="仿宋" w:eastAsia="仿宋" w:cs="仿宋"/>
                <w:kern w:val="0"/>
                <w:sz w:val="24"/>
                <w:szCs w:val="24"/>
              </w:rPr>
            </w:pPr>
          </w:p>
          <w:p>
            <w:pPr>
              <w:widowControl/>
              <w:spacing w:line="240" w:lineRule="auto"/>
              <w:ind w:firstLine="0" w:firstLineChars="0"/>
              <w:jc w:val="left"/>
              <w:rPr>
                <w:rFonts w:hint="eastAsia" w:ascii="仿宋" w:hAnsi="仿宋" w:eastAsia="仿宋" w:cs="仿宋"/>
                <w:kern w:val="0"/>
                <w:sz w:val="24"/>
                <w:szCs w:val="24"/>
              </w:rPr>
            </w:pPr>
          </w:p>
          <w:p>
            <w:pPr>
              <w:widowControl/>
              <w:spacing w:line="240" w:lineRule="auto"/>
              <w:ind w:firstLine="0" w:firstLineChars="0"/>
              <w:jc w:val="left"/>
              <w:rPr>
                <w:rFonts w:hint="eastAsia" w:ascii="仿宋" w:hAnsi="仿宋" w:eastAsia="仿宋" w:cs="仿宋"/>
                <w:kern w:val="0"/>
                <w:sz w:val="24"/>
                <w:szCs w:val="24"/>
              </w:rPr>
            </w:pPr>
          </w:p>
          <w:p>
            <w:pPr>
              <w:widowControl/>
              <w:spacing w:line="240" w:lineRule="auto"/>
              <w:ind w:firstLine="0" w:firstLineChars="0"/>
              <w:jc w:val="left"/>
              <w:rPr>
                <w:rFonts w:hint="eastAsia" w:ascii="仿宋" w:hAnsi="仿宋" w:eastAsia="仿宋" w:cs="仿宋"/>
                <w:kern w:val="0"/>
                <w:sz w:val="24"/>
                <w:szCs w:val="24"/>
              </w:rPr>
            </w:pPr>
          </w:p>
          <w:p>
            <w:pPr>
              <w:widowControl/>
              <w:spacing w:line="240" w:lineRule="auto"/>
              <w:ind w:firstLine="0" w:firstLineChars="0"/>
              <w:jc w:val="left"/>
              <w:rPr>
                <w:rFonts w:hint="eastAsia" w:ascii="仿宋" w:hAnsi="仿宋" w:eastAsia="仿宋" w:cs="仿宋"/>
                <w:kern w:val="0"/>
                <w:sz w:val="24"/>
                <w:szCs w:val="24"/>
              </w:rPr>
            </w:pPr>
            <w:r>
              <w:rPr>
                <w:rFonts w:hint="eastAsia" w:ascii="仿宋" w:hAnsi="仿宋" w:eastAsia="仿宋" w:cs="仿宋"/>
                <w:kern w:val="0"/>
                <w:sz w:val="24"/>
                <w:szCs w:val="24"/>
              </w:rPr>
              <w:t>服务器GIS</w:t>
            </w:r>
          </w:p>
        </w:tc>
        <w:tc>
          <w:tcPr>
            <w:tcW w:w="3722" w:type="pct"/>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240" w:lineRule="auto"/>
              <w:ind w:firstLine="0" w:firstLineChars="0"/>
              <w:jc w:val="left"/>
              <w:rPr>
                <w:rFonts w:hint="eastAsia" w:ascii="仿宋" w:hAnsi="仿宋" w:eastAsia="仿宋" w:cs="仿宋"/>
                <w:kern w:val="0"/>
                <w:sz w:val="24"/>
                <w:szCs w:val="24"/>
              </w:rPr>
            </w:pPr>
            <w:r>
              <w:rPr>
                <w:rFonts w:hint="eastAsia" w:ascii="仿宋" w:hAnsi="仿宋" w:eastAsia="仿宋" w:cs="仿宋"/>
                <w:kern w:val="0"/>
                <w:sz w:val="24"/>
                <w:szCs w:val="24"/>
              </w:rPr>
              <w:t>采用国产自主可控GIS平台（需提供产品著作权证书）</w:t>
            </w:r>
          </w:p>
        </w:tc>
      </w:tr>
      <w:tr>
        <w:tblPrEx>
          <w:tblCellMar>
            <w:top w:w="0" w:type="dxa"/>
            <w:left w:w="108" w:type="dxa"/>
            <w:bottom w:w="0" w:type="dxa"/>
            <w:right w:w="108" w:type="dxa"/>
          </w:tblCellMar>
        </w:tblPrEx>
        <w:trPr>
          <w:trHeight w:val="990" w:hRule="atLeast"/>
          <w:jc w:val="center"/>
        </w:trPr>
        <w:tc>
          <w:tcPr>
            <w:tcW w:w="424" w:type="pct"/>
            <w:vMerge w:val="continue"/>
            <w:tcBorders>
              <w:left w:val="single" w:color="000000" w:sz="4" w:space="0"/>
              <w:right w:val="single" w:color="000000" w:sz="4" w:space="0"/>
            </w:tcBorders>
            <w:vAlign w:val="center"/>
          </w:tcPr>
          <w:p>
            <w:pPr>
              <w:widowControl/>
              <w:spacing w:line="240" w:lineRule="auto"/>
              <w:ind w:firstLine="0" w:firstLineChars="0"/>
              <w:jc w:val="left"/>
              <w:rPr>
                <w:rFonts w:hint="eastAsia" w:ascii="仿宋" w:hAnsi="仿宋" w:eastAsia="仿宋" w:cs="仿宋"/>
                <w:kern w:val="0"/>
                <w:sz w:val="24"/>
                <w:szCs w:val="24"/>
              </w:rPr>
            </w:pPr>
          </w:p>
        </w:tc>
        <w:tc>
          <w:tcPr>
            <w:tcW w:w="854" w:type="pct"/>
            <w:vMerge w:val="continue"/>
            <w:tcBorders>
              <w:left w:val="nil"/>
              <w:right w:val="single" w:color="auto" w:sz="4" w:space="0"/>
            </w:tcBorders>
          </w:tcPr>
          <w:p>
            <w:pPr>
              <w:ind w:firstLine="0" w:firstLineChars="0"/>
              <w:jc w:val="left"/>
              <w:textAlignment w:val="center"/>
              <w:rPr>
                <w:rFonts w:hint="eastAsia" w:ascii="仿宋" w:hAnsi="仿宋" w:eastAsia="仿宋" w:cs="仿宋"/>
                <w:kern w:val="0"/>
                <w:sz w:val="24"/>
                <w:szCs w:val="24"/>
              </w:rPr>
            </w:pPr>
          </w:p>
        </w:tc>
        <w:tc>
          <w:tcPr>
            <w:tcW w:w="3722" w:type="pct"/>
            <w:tcBorders>
              <w:top w:val="single" w:color="auto" w:sz="4" w:space="0"/>
              <w:left w:val="single" w:color="auto" w:sz="4" w:space="0"/>
              <w:bottom w:val="single" w:color="000000" w:sz="4" w:space="0"/>
              <w:right w:val="single" w:color="000000" w:sz="4" w:space="0"/>
            </w:tcBorders>
            <w:shd w:val="clear" w:color="auto" w:fill="auto"/>
            <w:vAlign w:val="center"/>
          </w:tcPr>
          <w:p>
            <w:pPr>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支持麒麟、统信等国产操作系统，支持瀚高、金仓等国产数据库，支持鲲鹏、龙芯等国产CPU（需提供产品兼容互认证明）；</w:t>
            </w:r>
          </w:p>
        </w:tc>
      </w:tr>
      <w:tr>
        <w:tblPrEx>
          <w:tblCellMar>
            <w:top w:w="0" w:type="dxa"/>
            <w:left w:w="108" w:type="dxa"/>
            <w:bottom w:w="0" w:type="dxa"/>
            <w:right w:w="108" w:type="dxa"/>
          </w:tblCellMar>
        </w:tblPrEx>
        <w:trPr>
          <w:trHeight w:val="50" w:hRule="atLeast"/>
          <w:jc w:val="center"/>
        </w:trPr>
        <w:tc>
          <w:tcPr>
            <w:tcW w:w="424" w:type="pct"/>
            <w:vMerge w:val="continue"/>
            <w:tcBorders>
              <w:left w:val="single" w:color="000000" w:sz="4" w:space="0"/>
              <w:right w:val="single" w:color="000000" w:sz="4" w:space="0"/>
            </w:tcBorders>
            <w:vAlign w:val="center"/>
          </w:tcPr>
          <w:p>
            <w:pPr>
              <w:widowControl/>
              <w:spacing w:line="240" w:lineRule="auto"/>
              <w:ind w:firstLine="0" w:firstLineChars="0"/>
              <w:jc w:val="left"/>
              <w:rPr>
                <w:rFonts w:hint="eastAsia" w:ascii="仿宋" w:hAnsi="仿宋" w:eastAsia="仿宋" w:cs="仿宋"/>
                <w:kern w:val="0"/>
                <w:sz w:val="24"/>
                <w:szCs w:val="24"/>
              </w:rPr>
            </w:pPr>
          </w:p>
        </w:tc>
        <w:tc>
          <w:tcPr>
            <w:tcW w:w="854" w:type="pct"/>
            <w:vMerge w:val="continue"/>
            <w:tcBorders>
              <w:left w:val="nil"/>
              <w:bottom w:val="single" w:color="auto" w:sz="4" w:space="0"/>
              <w:right w:val="single" w:color="auto" w:sz="4" w:space="0"/>
            </w:tcBorders>
          </w:tcPr>
          <w:p>
            <w:pPr>
              <w:ind w:firstLine="0" w:firstLineChars="0"/>
              <w:jc w:val="left"/>
              <w:textAlignment w:val="center"/>
              <w:rPr>
                <w:rFonts w:hint="eastAsia" w:ascii="仿宋" w:hAnsi="仿宋" w:eastAsia="仿宋" w:cs="仿宋"/>
                <w:kern w:val="0"/>
                <w:sz w:val="24"/>
                <w:szCs w:val="24"/>
              </w:rPr>
            </w:pPr>
          </w:p>
        </w:tc>
        <w:tc>
          <w:tcPr>
            <w:tcW w:w="3722" w:type="pct"/>
            <w:tcBorders>
              <w:top w:val="nil"/>
              <w:left w:val="single" w:color="auto" w:sz="4" w:space="0"/>
              <w:bottom w:val="single" w:color="auto" w:sz="4" w:space="0"/>
              <w:right w:val="single" w:color="000000" w:sz="4" w:space="0"/>
            </w:tcBorders>
            <w:shd w:val="clear" w:color="auto" w:fill="auto"/>
            <w:vAlign w:val="center"/>
          </w:tcPr>
          <w:p>
            <w:pPr>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支持生成S3M/S3MB标准的三维缓存格式，支持分布式生产WebP格式的地图瓦片（提供软件截图）；</w:t>
            </w:r>
          </w:p>
        </w:tc>
      </w:tr>
      <w:tr>
        <w:tblPrEx>
          <w:tblCellMar>
            <w:top w:w="0" w:type="dxa"/>
            <w:left w:w="108" w:type="dxa"/>
            <w:bottom w:w="0" w:type="dxa"/>
            <w:right w:w="108" w:type="dxa"/>
          </w:tblCellMar>
        </w:tblPrEx>
        <w:trPr>
          <w:trHeight w:val="50" w:hRule="atLeast"/>
          <w:jc w:val="center"/>
        </w:trPr>
        <w:tc>
          <w:tcPr>
            <w:tcW w:w="424" w:type="pct"/>
            <w:vMerge w:val="continue"/>
            <w:tcBorders>
              <w:left w:val="single" w:color="000000" w:sz="4" w:space="0"/>
              <w:right w:val="single" w:color="000000" w:sz="4" w:space="0"/>
            </w:tcBorders>
            <w:vAlign w:val="center"/>
          </w:tcPr>
          <w:p>
            <w:pPr>
              <w:widowControl/>
              <w:spacing w:line="240" w:lineRule="auto"/>
              <w:ind w:firstLine="0" w:firstLineChars="0"/>
              <w:jc w:val="left"/>
              <w:rPr>
                <w:rFonts w:hint="eastAsia" w:ascii="仿宋" w:hAnsi="仿宋" w:eastAsia="仿宋" w:cs="仿宋"/>
                <w:kern w:val="0"/>
                <w:sz w:val="24"/>
                <w:szCs w:val="24"/>
              </w:rPr>
            </w:pPr>
          </w:p>
        </w:tc>
        <w:tc>
          <w:tcPr>
            <w:tcW w:w="854" w:type="pct"/>
            <w:vMerge w:val="restart"/>
            <w:tcBorders>
              <w:top w:val="single" w:color="auto" w:sz="4" w:space="0"/>
              <w:left w:val="nil"/>
              <w:right w:val="single" w:color="auto" w:sz="4" w:space="0"/>
            </w:tcBorders>
          </w:tcPr>
          <w:p>
            <w:pPr>
              <w:ind w:firstLine="0" w:firstLineChars="0"/>
              <w:jc w:val="center"/>
              <w:textAlignment w:val="center"/>
              <w:rPr>
                <w:rFonts w:hint="eastAsia" w:ascii="仿宋" w:hAnsi="仿宋" w:eastAsia="仿宋" w:cs="仿宋"/>
                <w:sz w:val="24"/>
                <w:szCs w:val="24"/>
              </w:rPr>
            </w:pPr>
          </w:p>
          <w:p>
            <w:pPr>
              <w:ind w:firstLine="0" w:firstLineChars="0"/>
              <w:jc w:val="center"/>
              <w:textAlignment w:val="center"/>
              <w:rPr>
                <w:rFonts w:hint="eastAsia" w:ascii="仿宋" w:hAnsi="仿宋" w:eastAsia="仿宋" w:cs="仿宋"/>
                <w:sz w:val="24"/>
                <w:szCs w:val="24"/>
              </w:rPr>
            </w:pPr>
          </w:p>
          <w:p>
            <w:pPr>
              <w:ind w:firstLine="0" w:firstLineChars="0"/>
              <w:jc w:val="center"/>
              <w:textAlignment w:val="center"/>
              <w:rPr>
                <w:rFonts w:hint="eastAsia" w:ascii="仿宋" w:hAnsi="仿宋" w:eastAsia="仿宋" w:cs="仿宋"/>
                <w:sz w:val="24"/>
                <w:szCs w:val="24"/>
              </w:rPr>
            </w:pPr>
          </w:p>
          <w:p>
            <w:pPr>
              <w:widowControl/>
              <w:spacing w:line="240" w:lineRule="auto"/>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桌面GIS</w:t>
            </w:r>
          </w:p>
        </w:tc>
        <w:tc>
          <w:tcPr>
            <w:tcW w:w="3722" w:type="pct"/>
            <w:tcBorders>
              <w:top w:val="single" w:color="auto" w:sz="4" w:space="0"/>
              <w:left w:val="single" w:color="auto" w:sz="4" w:space="0"/>
              <w:bottom w:val="single" w:color="auto" w:sz="4" w:space="0"/>
              <w:right w:val="single" w:color="000000" w:sz="4" w:space="0"/>
            </w:tcBorders>
            <w:shd w:val="clear" w:color="auto" w:fill="auto"/>
            <w:vAlign w:val="center"/>
          </w:tcPr>
          <w:p>
            <w:pPr>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采用国产自主可控GIS平台（需提供产品著作权证书）；</w:t>
            </w:r>
          </w:p>
        </w:tc>
      </w:tr>
      <w:tr>
        <w:tblPrEx>
          <w:tblCellMar>
            <w:top w:w="0" w:type="dxa"/>
            <w:left w:w="108" w:type="dxa"/>
            <w:bottom w:w="0" w:type="dxa"/>
            <w:right w:w="108" w:type="dxa"/>
          </w:tblCellMar>
        </w:tblPrEx>
        <w:trPr>
          <w:trHeight w:val="50" w:hRule="atLeast"/>
          <w:jc w:val="center"/>
        </w:trPr>
        <w:tc>
          <w:tcPr>
            <w:tcW w:w="424" w:type="pct"/>
            <w:vMerge w:val="continue"/>
            <w:tcBorders>
              <w:left w:val="single" w:color="000000" w:sz="4" w:space="0"/>
              <w:right w:val="single" w:color="000000" w:sz="4" w:space="0"/>
            </w:tcBorders>
            <w:vAlign w:val="center"/>
          </w:tcPr>
          <w:p>
            <w:pPr>
              <w:widowControl/>
              <w:spacing w:line="240" w:lineRule="auto"/>
              <w:ind w:firstLine="0" w:firstLineChars="0"/>
              <w:jc w:val="left"/>
              <w:rPr>
                <w:rFonts w:hint="eastAsia" w:ascii="仿宋" w:hAnsi="仿宋" w:eastAsia="仿宋" w:cs="仿宋"/>
                <w:kern w:val="0"/>
                <w:sz w:val="24"/>
                <w:szCs w:val="24"/>
              </w:rPr>
            </w:pPr>
          </w:p>
        </w:tc>
        <w:tc>
          <w:tcPr>
            <w:tcW w:w="854" w:type="pct"/>
            <w:vMerge w:val="continue"/>
            <w:tcBorders>
              <w:left w:val="nil"/>
              <w:right w:val="single" w:color="auto" w:sz="4" w:space="0"/>
            </w:tcBorders>
          </w:tcPr>
          <w:p>
            <w:pPr>
              <w:ind w:firstLine="0" w:firstLineChars="0"/>
              <w:jc w:val="left"/>
              <w:textAlignment w:val="center"/>
              <w:rPr>
                <w:rFonts w:hint="eastAsia" w:ascii="仿宋" w:hAnsi="仿宋" w:eastAsia="仿宋" w:cs="仿宋"/>
                <w:kern w:val="0"/>
                <w:sz w:val="24"/>
                <w:szCs w:val="24"/>
              </w:rPr>
            </w:pPr>
          </w:p>
        </w:tc>
        <w:tc>
          <w:tcPr>
            <w:tcW w:w="3722" w:type="pct"/>
            <w:tcBorders>
              <w:top w:val="single" w:color="auto" w:sz="4" w:space="0"/>
              <w:left w:val="single" w:color="auto" w:sz="4" w:space="0"/>
              <w:bottom w:val="single" w:color="auto" w:sz="4" w:space="0"/>
              <w:right w:val="single" w:color="000000" w:sz="4" w:space="0"/>
            </w:tcBorders>
            <w:shd w:val="clear" w:color="auto" w:fill="auto"/>
            <w:vAlign w:val="center"/>
          </w:tcPr>
          <w:p>
            <w:pPr>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具备空间数据引擎SDX+管理文件数据和空间数据库，支持国产数据库，如BeyonDB、KingBase、HighGoDB、K-DB、POLARDB、GaussDB等（提供软件截图）；</w:t>
            </w:r>
          </w:p>
        </w:tc>
      </w:tr>
      <w:tr>
        <w:tblPrEx>
          <w:tblCellMar>
            <w:top w:w="0" w:type="dxa"/>
            <w:left w:w="108" w:type="dxa"/>
            <w:bottom w:w="0" w:type="dxa"/>
            <w:right w:w="108" w:type="dxa"/>
          </w:tblCellMar>
        </w:tblPrEx>
        <w:trPr>
          <w:trHeight w:val="50" w:hRule="atLeast"/>
          <w:jc w:val="center"/>
        </w:trPr>
        <w:tc>
          <w:tcPr>
            <w:tcW w:w="424" w:type="pct"/>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hint="eastAsia" w:ascii="仿宋" w:hAnsi="仿宋" w:eastAsia="仿宋" w:cs="仿宋"/>
                <w:kern w:val="0"/>
                <w:sz w:val="24"/>
                <w:szCs w:val="24"/>
              </w:rPr>
            </w:pPr>
          </w:p>
        </w:tc>
        <w:tc>
          <w:tcPr>
            <w:tcW w:w="854" w:type="pct"/>
            <w:vMerge w:val="continue"/>
            <w:tcBorders>
              <w:left w:val="nil"/>
              <w:bottom w:val="single" w:color="000000" w:sz="4" w:space="0"/>
              <w:right w:val="single" w:color="auto" w:sz="4" w:space="0"/>
            </w:tcBorders>
          </w:tcPr>
          <w:p>
            <w:pPr>
              <w:ind w:firstLine="0" w:firstLineChars="0"/>
              <w:jc w:val="left"/>
              <w:textAlignment w:val="center"/>
              <w:rPr>
                <w:rFonts w:hint="eastAsia" w:ascii="仿宋" w:hAnsi="仿宋" w:eastAsia="仿宋" w:cs="仿宋"/>
                <w:kern w:val="0"/>
                <w:sz w:val="24"/>
                <w:szCs w:val="24"/>
              </w:rPr>
            </w:pPr>
          </w:p>
        </w:tc>
        <w:tc>
          <w:tcPr>
            <w:tcW w:w="3722" w:type="pct"/>
            <w:tcBorders>
              <w:top w:val="single" w:color="auto" w:sz="4" w:space="0"/>
              <w:left w:val="single" w:color="auto" w:sz="4" w:space="0"/>
              <w:bottom w:val="single" w:color="000000" w:sz="4" w:space="0"/>
              <w:right w:val="single" w:color="000000" w:sz="4" w:space="0"/>
            </w:tcBorders>
            <w:shd w:val="clear" w:color="auto" w:fill="auto"/>
            <w:vAlign w:val="center"/>
          </w:tcPr>
          <w:p>
            <w:pPr>
              <w:ind w:firstLine="0" w:firstLineChars="0"/>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倾斜摄影模型支持合并根节点、纹理压缩、纹理重映射、单体化、修改中心点、EUN转投影坐标系等轻量化处理操作（提供软件截图）；</w:t>
            </w:r>
          </w:p>
        </w:tc>
      </w:tr>
    </w:tbl>
    <w:p>
      <w:pPr>
        <w:pStyle w:val="963"/>
        <w:spacing w:before="190" w:after="190"/>
        <w:rPr>
          <w:rFonts w:hint="eastAsia" w:ascii="仿宋" w:hAnsi="仿宋" w:eastAsia="仿宋" w:cs="仿宋"/>
          <w:sz w:val="24"/>
          <w:szCs w:val="24"/>
        </w:rPr>
      </w:pPr>
      <w:r>
        <w:rPr>
          <w:rFonts w:hint="eastAsia" w:ascii="仿宋" w:hAnsi="仿宋" w:eastAsia="仿宋" w:cs="仿宋"/>
          <w:sz w:val="24"/>
          <w:szCs w:val="24"/>
        </w:rPr>
        <w:t>技术要求</w:t>
      </w:r>
    </w:p>
    <w:p>
      <w:pPr>
        <w:pStyle w:val="964"/>
        <w:rPr>
          <w:rFonts w:hint="eastAsia" w:ascii="仿宋" w:hAnsi="仿宋" w:eastAsia="仿宋" w:cs="仿宋"/>
          <w:sz w:val="24"/>
          <w:szCs w:val="24"/>
        </w:rPr>
      </w:pPr>
      <w:r>
        <w:rPr>
          <w:rFonts w:hint="eastAsia" w:ascii="仿宋" w:hAnsi="仿宋" w:eastAsia="仿宋" w:cs="仿宋"/>
          <w:sz w:val="24"/>
          <w:szCs w:val="24"/>
        </w:rPr>
        <w:t>安全要求</w:t>
      </w:r>
    </w:p>
    <w:p>
      <w:pPr>
        <w:pStyle w:val="82"/>
        <w:ind w:firstLine="560"/>
        <w:rPr>
          <w:rFonts w:ascii="仿宋" w:hAnsi="仿宋" w:eastAsia="仿宋"/>
        </w:rPr>
      </w:pPr>
      <w:r>
        <w:rPr>
          <w:rFonts w:hint="eastAsia" w:ascii="仿宋" w:hAnsi="仿宋" w:eastAsia="仿宋"/>
        </w:rPr>
        <w:t>本项目须提供三年三次等级保护三级和三次密码测评。</w:t>
      </w:r>
    </w:p>
    <w:p>
      <w:pPr>
        <w:pStyle w:val="964"/>
        <w:rPr>
          <w:rFonts w:hint="eastAsia" w:ascii="仿宋" w:hAnsi="仿宋" w:eastAsia="仿宋" w:cs="仿宋"/>
          <w:sz w:val="24"/>
          <w:szCs w:val="24"/>
        </w:rPr>
      </w:pPr>
      <w:r>
        <w:rPr>
          <w:rFonts w:hint="eastAsia" w:ascii="仿宋" w:hAnsi="仿宋" w:eastAsia="仿宋" w:cs="仿宋"/>
          <w:sz w:val="24"/>
          <w:szCs w:val="24"/>
        </w:rPr>
        <w:t>服务要求</w:t>
      </w:r>
    </w:p>
    <w:p>
      <w:pPr>
        <w:pStyle w:val="82"/>
        <w:ind w:firstLine="560"/>
        <w:rPr>
          <w:rFonts w:hint="eastAsia" w:ascii="仿宋" w:hAnsi="仿宋" w:eastAsia="仿宋" w:cs="仿宋"/>
          <w:sz w:val="24"/>
          <w:szCs w:val="24"/>
        </w:rPr>
      </w:pPr>
      <w:r>
        <w:rPr>
          <w:rFonts w:hint="eastAsia" w:ascii="仿宋" w:hAnsi="仿宋" w:eastAsia="仿宋" w:cs="仿宋"/>
          <w:sz w:val="24"/>
          <w:szCs w:val="24"/>
        </w:rPr>
        <w:t>1.建设工期：本项目建设周期为6个月以内，自合同签订开始6个月内完成建设（可提前完成），供应商建设完成后提交采购人验收申请，采购人在收到验收申请的五个工作日内组织验收。</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2.实施地点：杭州市临安区数据资源管理局。</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3.服务期：自</w:t>
      </w:r>
      <w:r>
        <w:rPr>
          <w:rFonts w:hint="eastAsia" w:ascii="仿宋" w:hAnsi="仿宋" w:eastAsia="仿宋" w:cs="仿宋"/>
          <w:sz w:val="24"/>
          <w:szCs w:val="24"/>
          <w:lang w:eastAsia="zh-CN" w:bidi="ar-SA"/>
        </w:rPr>
        <w:t>项目验收合格后</w:t>
      </w:r>
      <w:r>
        <w:rPr>
          <w:rFonts w:hint="eastAsia" w:ascii="仿宋" w:hAnsi="仿宋" w:eastAsia="仿宋" w:cs="仿宋"/>
          <w:sz w:val="24"/>
          <w:szCs w:val="24"/>
          <w:lang w:bidi="ar-SA"/>
        </w:rPr>
        <w:t>36个月。</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4.售后服务：本项目须提供三年两人的驻场运维服务，工作地点由采购人指定。</w:t>
      </w:r>
    </w:p>
    <w:p>
      <w:pPr>
        <w:pStyle w:val="82"/>
        <w:ind w:firstLine="560"/>
        <w:rPr>
          <w:rFonts w:hint="eastAsia" w:ascii="仿宋" w:hAnsi="仿宋" w:eastAsia="仿宋" w:cs="仿宋"/>
          <w:sz w:val="24"/>
          <w:szCs w:val="24"/>
        </w:rPr>
      </w:pPr>
      <w:r>
        <w:rPr>
          <w:rFonts w:hint="eastAsia" w:ascii="仿宋" w:hAnsi="仿宋" w:eastAsia="仿宋" w:cs="仿宋"/>
          <w:sz w:val="24"/>
          <w:szCs w:val="24"/>
          <w:lang w:bidi="ar-SA"/>
        </w:rPr>
        <w:t>5.培训工作：在验收完成后，</w:t>
      </w:r>
      <w:r>
        <w:rPr>
          <w:rFonts w:hint="eastAsia" w:ascii="仿宋" w:hAnsi="仿宋" w:eastAsia="仿宋" w:cs="仿宋"/>
          <w:sz w:val="24"/>
          <w:szCs w:val="24"/>
        </w:rPr>
        <w:t>供应商须面向采购人提供技术培训服务，以确保采购人能了解并掌握相关系统的操作使用，培训时间、地点、具体人员由采购人指定。</w:t>
      </w:r>
    </w:p>
    <w:p>
      <w:pPr>
        <w:pStyle w:val="964"/>
        <w:rPr>
          <w:rFonts w:hint="eastAsia" w:ascii="仿宋" w:hAnsi="仿宋" w:eastAsia="仿宋" w:cs="仿宋"/>
          <w:sz w:val="24"/>
          <w:szCs w:val="24"/>
        </w:rPr>
      </w:pPr>
      <w:r>
        <w:rPr>
          <w:rFonts w:hint="eastAsia" w:ascii="仿宋" w:hAnsi="仿宋" w:eastAsia="仿宋" w:cs="仿宋"/>
          <w:sz w:val="24"/>
          <w:szCs w:val="24"/>
        </w:rPr>
        <w:t>商务条款要求</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本项目建设期为6个月内，运维期为三年。</w:t>
      </w:r>
    </w:p>
    <w:p>
      <w:pPr>
        <w:pStyle w:val="82"/>
        <w:ind w:firstLine="560"/>
        <w:rPr>
          <w:rFonts w:hint="eastAsia" w:ascii="仿宋" w:hAnsi="仿宋" w:eastAsia="仿宋" w:cs="仿宋"/>
          <w:sz w:val="24"/>
          <w:szCs w:val="24"/>
          <w:lang w:eastAsia="zh-CN" w:bidi="ar-SA"/>
        </w:rPr>
      </w:pPr>
      <w:r>
        <w:rPr>
          <w:rFonts w:hint="eastAsia" w:ascii="仿宋" w:hAnsi="仿宋" w:eastAsia="仿宋" w:cs="仿宋"/>
          <w:sz w:val="24"/>
          <w:szCs w:val="24"/>
          <w:lang w:eastAsia="zh-CN" w:bidi="ar-SA"/>
        </w:rPr>
        <w:t>项目建设期：</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1.合同签订后</w:t>
      </w:r>
      <w:r>
        <w:rPr>
          <w:rFonts w:hint="eastAsia" w:ascii="仿宋" w:hAnsi="仿宋" w:eastAsia="仿宋" w:cs="仿宋"/>
          <w:sz w:val="24"/>
          <w:szCs w:val="24"/>
          <w:lang w:eastAsia="zh-CN" w:bidi="ar-SA"/>
        </w:rPr>
        <w:t>预付</w:t>
      </w:r>
      <w:r>
        <w:rPr>
          <w:rFonts w:hint="eastAsia" w:ascii="仿宋" w:hAnsi="仿宋" w:eastAsia="仿宋" w:cs="仿宋"/>
          <w:sz w:val="24"/>
          <w:szCs w:val="24"/>
          <w:lang w:bidi="ar-SA"/>
        </w:rPr>
        <w:t>合同总金额的40%资金；</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2.项目初验完成后支付合同总金额的30%资金；</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3.项目终验完成后支付合同总金额的2</w:t>
      </w:r>
      <w:r>
        <w:rPr>
          <w:rFonts w:hint="eastAsia" w:ascii="仿宋" w:hAnsi="仿宋" w:eastAsia="仿宋" w:cs="仿宋"/>
          <w:sz w:val="24"/>
          <w:szCs w:val="24"/>
          <w:lang w:val="en-US" w:eastAsia="zh-CN" w:bidi="ar-SA"/>
        </w:rPr>
        <w:t>0</w:t>
      </w:r>
      <w:r>
        <w:rPr>
          <w:rFonts w:hint="eastAsia" w:ascii="仿宋" w:hAnsi="仿宋" w:eastAsia="仿宋" w:cs="仿宋"/>
          <w:sz w:val="24"/>
          <w:szCs w:val="24"/>
          <w:lang w:bidi="ar-SA"/>
        </w:rPr>
        <w:t>%资金；</w:t>
      </w:r>
    </w:p>
    <w:p>
      <w:pPr>
        <w:pStyle w:val="82"/>
        <w:rPr>
          <w:rFonts w:hint="eastAsia" w:ascii="仿宋" w:hAnsi="仿宋" w:eastAsia="仿宋" w:cs="仿宋"/>
          <w:sz w:val="24"/>
          <w:szCs w:val="24"/>
          <w:lang w:eastAsia="zh-CN" w:bidi="ar-SA"/>
        </w:rPr>
      </w:pPr>
      <w:r>
        <w:rPr>
          <w:rFonts w:hint="eastAsia" w:ascii="仿宋" w:hAnsi="仿宋" w:eastAsia="仿宋" w:cs="仿宋"/>
          <w:sz w:val="24"/>
          <w:szCs w:val="24"/>
          <w:lang w:eastAsia="zh-CN" w:bidi="ar-SA"/>
        </w:rPr>
        <w:t>项目维护期：</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val="en-US" w:eastAsia="zh-CN" w:bidi="ar-SA"/>
        </w:rPr>
        <w:t>1</w:t>
      </w:r>
      <w:r>
        <w:rPr>
          <w:rFonts w:hint="eastAsia" w:ascii="仿宋" w:hAnsi="仿宋" w:eastAsia="仿宋" w:cs="仿宋"/>
          <w:sz w:val="24"/>
          <w:szCs w:val="24"/>
          <w:lang w:bidi="ar-SA"/>
        </w:rPr>
        <w:t>.项目</w:t>
      </w:r>
      <w:r>
        <w:rPr>
          <w:rFonts w:hint="eastAsia" w:ascii="仿宋" w:hAnsi="仿宋" w:eastAsia="仿宋" w:cs="仿宋"/>
          <w:sz w:val="24"/>
          <w:szCs w:val="24"/>
          <w:lang w:eastAsia="zh-CN" w:bidi="ar-SA"/>
        </w:rPr>
        <w:t>运维第</w:t>
      </w:r>
      <w:r>
        <w:rPr>
          <w:rFonts w:hint="eastAsia" w:ascii="仿宋" w:hAnsi="仿宋" w:eastAsia="仿宋" w:cs="仿宋"/>
          <w:sz w:val="24"/>
          <w:szCs w:val="24"/>
          <w:lang w:bidi="ar-SA"/>
        </w:rPr>
        <w:t>2年支付合同总金额的</w:t>
      </w:r>
      <w:r>
        <w:rPr>
          <w:rFonts w:hint="eastAsia" w:ascii="仿宋" w:hAnsi="仿宋" w:eastAsia="仿宋" w:cs="仿宋"/>
          <w:sz w:val="24"/>
          <w:szCs w:val="24"/>
          <w:lang w:val="en-US" w:eastAsia="zh-CN" w:bidi="ar-SA"/>
        </w:rPr>
        <w:t>5</w:t>
      </w:r>
      <w:r>
        <w:rPr>
          <w:rFonts w:hint="eastAsia" w:ascii="仿宋" w:hAnsi="仿宋" w:eastAsia="仿宋" w:cs="仿宋"/>
          <w:sz w:val="24"/>
          <w:szCs w:val="24"/>
          <w:lang w:bidi="ar-SA"/>
        </w:rPr>
        <w:t>%资金；</w:t>
      </w:r>
    </w:p>
    <w:p>
      <w:pPr>
        <w:pStyle w:val="82"/>
        <w:ind w:firstLine="560"/>
      </w:pPr>
      <w:r>
        <w:rPr>
          <w:rFonts w:hint="eastAsia" w:ascii="仿宋" w:hAnsi="仿宋" w:eastAsia="仿宋" w:cs="仿宋"/>
          <w:sz w:val="24"/>
          <w:szCs w:val="24"/>
          <w:lang w:val="en-US" w:eastAsia="zh-CN" w:bidi="ar-SA"/>
        </w:rPr>
        <w:t>2</w:t>
      </w:r>
      <w:r>
        <w:rPr>
          <w:rFonts w:hint="eastAsia" w:ascii="仿宋" w:hAnsi="仿宋" w:eastAsia="仿宋" w:cs="仿宋"/>
          <w:sz w:val="24"/>
          <w:szCs w:val="24"/>
          <w:lang w:bidi="ar-SA"/>
        </w:rPr>
        <w:t>.项目</w:t>
      </w:r>
      <w:r>
        <w:rPr>
          <w:rFonts w:hint="eastAsia" w:ascii="仿宋" w:hAnsi="仿宋" w:eastAsia="仿宋" w:cs="仿宋"/>
          <w:sz w:val="24"/>
          <w:szCs w:val="24"/>
          <w:lang w:eastAsia="zh-CN" w:bidi="ar-SA"/>
        </w:rPr>
        <w:t>运维第</w:t>
      </w:r>
      <w:r>
        <w:rPr>
          <w:rFonts w:hint="eastAsia" w:ascii="仿宋" w:hAnsi="仿宋" w:eastAsia="仿宋" w:cs="仿宋"/>
          <w:sz w:val="24"/>
          <w:szCs w:val="24"/>
          <w:lang w:bidi="ar-SA"/>
        </w:rPr>
        <w:t>3年支付合同总金额的</w:t>
      </w:r>
      <w:r>
        <w:rPr>
          <w:rFonts w:hint="eastAsia" w:ascii="仿宋" w:hAnsi="仿宋" w:eastAsia="仿宋" w:cs="仿宋"/>
          <w:sz w:val="24"/>
          <w:szCs w:val="24"/>
          <w:lang w:val="en-US" w:eastAsia="zh-CN" w:bidi="ar-SA"/>
        </w:rPr>
        <w:t>5</w:t>
      </w:r>
      <w:r>
        <w:rPr>
          <w:rFonts w:hint="eastAsia" w:ascii="仿宋" w:hAnsi="仿宋" w:eastAsia="仿宋" w:cs="仿宋"/>
          <w:sz w:val="24"/>
          <w:szCs w:val="24"/>
          <w:lang w:bidi="ar-SA"/>
        </w:rPr>
        <w:t>%资金。</w:t>
      </w:r>
    </w:p>
    <w:p>
      <w:pPr>
        <w:pStyle w:val="82"/>
        <w:ind w:firstLine="560"/>
        <w:rPr>
          <w:rFonts w:hint="eastAsia" w:ascii="仿宋" w:hAnsi="仿宋" w:eastAsia="仿宋" w:cs="仿宋"/>
          <w:b/>
          <w:sz w:val="36"/>
          <w:szCs w:val="36"/>
        </w:rPr>
      </w:pPr>
      <w:r>
        <w:rPr>
          <w:lang w:bidi="ar-SA"/>
        </w:rPr>
        <w:br w:type="page"/>
      </w:r>
    </w:p>
    <w:p>
      <w:pPr>
        <w:snapToGrid w:val="0"/>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39" w:name="_Toc184312113"/>
      <w:bookmarkEnd w:id="39"/>
      <w:bookmarkStart w:id="40" w:name="_Toc184312116"/>
      <w:bookmarkEnd w:id="40"/>
      <w:bookmarkStart w:id="41" w:name="_Toc184314450"/>
      <w:bookmarkEnd w:id="41"/>
      <w:bookmarkStart w:id="42" w:name="_Toc184314421"/>
      <w:bookmarkEnd w:id="42"/>
      <w:bookmarkStart w:id="43" w:name="_Toc184314414"/>
      <w:bookmarkEnd w:id="43"/>
      <w:bookmarkStart w:id="44" w:name="_Toc184310296"/>
      <w:bookmarkEnd w:id="44"/>
      <w:bookmarkStart w:id="45" w:name="_Toc184310283"/>
      <w:bookmarkEnd w:id="45"/>
      <w:bookmarkStart w:id="46" w:name="_Toc184310299"/>
      <w:bookmarkEnd w:id="46"/>
      <w:bookmarkStart w:id="47" w:name="_Toc184314472"/>
      <w:bookmarkEnd w:id="47"/>
      <w:bookmarkStart w:id="48" w:name="_Toc184314428"/>
      <w:bookmarkEnd w:id="48"/>
      <w:bookmarkStart w:id="49" w:name="_Toc184313277"/>
      <w:bookmarkEnd w:id="49"/>
      <w:bookmarkStart w:id="50" w:name="_Toc184312139"/>
      <w:bookmarkEnd w:id="50"/>
      <w:bookmarkStart w:id="51" w:name="_Toc184312067"/>
      <w:bookmarkEnd w:id="51"/>
      <w:bookmarkStart w:id="52" w:name="_Toc184313295"/>
      <w:bookmarkEnd w:id="52"/>
      <w:bookmarkStart w:id="53" w:name="_Toc184314449"/>
      <w:bookmarkEnd w:id="53"/>
      <w:bookmarkStart w:id="54" w:name="_Toc184310289"/>
      <w:bookmarkEnd w:id="54"/>
      <w:bookmarkStart w:id="55" w:name="_Toc184314444"/>
      <w:bookmarkEnd w:id="55"/>
      <w:bookmarkStart w:id="56" w:name="_Toc184312085"/>
      <w:bookmarkEnd w:id="56"/>
      <w:bookmarkStart w:id="57" w:name="_Toc184312138"/>
      <w:bookmarkEnd w:id="57"/>
      <w:bookmarkStart w:id="58" w:name="_Toc184313238"/>
      <w:bookmarkEnd w:id="58"/>
      <w:bookmarkStart w:id="59" w:name="_Toc184313244"/>
      <w:bookmarkEnd w:id="59"/>
      <w:bookmarkStart w:id="60" w:name="_Toc184313262"/>
      <w:bookmarkEnd w:id="60"/>
      <w:bookmarkStart w:id="61" w:name="_Toc184313282"/>
      <w:bookmarkEnd w:id="61"/>
      <w:bookmarkStart w:id="62" w:name="_Toc184314482"/>
      <w:bookmarkEnd w:id="62"/>
      <w:bookmarkStart w:id="63" w:name="_Toc184313274"/>
      <w:bookmarkEnd w:id="63"/>
      <w:bookmarkStart w:id="64" w:name="_Toc184313306"/>
      <w:bookmarkEnd w:id="64"/>
      <w:bookmarkStart w:id="65" w:name="_Toc184312079"/>
      <w:bookmarkEnd w:id="65"/>
      <w:bookmarkStart w:id="66" w:name="_Toc184312075"/>
      <w:bookmarkEnd w:id="66"/>
      <w:bookmarkStart w:id="67" w:name="_Toc184308079"/>
      <w:bookmarkEnd w:id="67"/>
      <w:bookmarkStart w:id="68" w:name="_Toc184310323"/>
      <w:bookmarkEnd w:id="68"/>
      <w:bookmarkStart w:id="69" w:name="_Toc184314415"/>
      <w:bookmarkEnd w:id="69"/>
      <w:bookmarkStart w:id="70" w:name="_Toc184312104"/>
      <w:bookmarkEnd w:id="70"/>
      <w:bookmarkStart w:id="71" w:name="_Toc184312099"/>
      <w:bookmarkEnd w:id="71"/>
      <w:bookmarkStart w:id="72" w:name="_Toc184314445"/>
      <w:bookmarkEnd w:id="72"/>
      <w:bookmarkStart w:id="73" w:name="_Toc184314460"/>
      <w:bookmarkEnd w:id="73"/>
      <w:bookmarkStart w:id="74" w:name="_Toc184314420"/>
      <w:bookmarkEnd w:id="74"/>
      <w:bookmarkStart w:id="75" w:name="_Toc184310319"/>
      <w:bookmarkEnd w:id="75"/>
      <w:bookmarkStart w:id="76" w:name="_Toc184310272"/>
      <w:bookmarkEnd w:id="76"/>
      <w:bookmarkStart w:id="77" w:name="_Toc184308108"/>
      <w:bookmarkEnd w:id="77"/>
      <w:bookmarkStart w:id="78" w:name="_Toc184310284"/>
      <w:bookmarkEnd w:id="78"/>
      <w:bookmarkStart w:id="79" w:name="_Toc184308100"/>
      <w:bookmarkEnd w:id="79"/>
      <w:bookmarkStart w:id="80" w:name="_Toc184308041"/>
      <w:bookmarkEnd w:id="80"/>
      <w:bookmarkStart w:id="81" w:name="_Toc184312074"/>
      <w:bookmarkEnd w:id="81"/>
      <w:bookmarkStart w:id="82" w:name="_Toc184310312"/>
      <w:bookmarkEnd w:id="82"/>
      <w:bookmarkStart w:id="83" w:name="_Toc184312102"/>
      <w:bookmarkEnd w:id="83"/>
      <w:bookmarkStart w:id="84" w:name="_Toc184308039"/>
      <w:bookmarkEnd w:id="84"/>
      <w:bookmarkStart w:id="85" w:name="_Toc184310297"/>
      <w:bookmarkEnd w:id="85"/>
      <w:bookmarkStart w:id="86" w:name="_Toc184314478"/>
      <w:bookmarkEnd w:id="86"/>
      <w:bookmarkStart w:id="87" w:name="_Toc184310318"/>
      <w:bookmarkEnd w:id="87"/>
      <w:bookmarkStart w:id="88" w:name="_Toc184308044"/>
      <w:bookmarkEnd w:id="88"/>
      <w:bookmarkStart w:id="89" w:name="_Toc184308086"/>
      <w:bookmarkEnd w:id="89"/>
      <w:bookmarkStart w:id="90" w:name="_Toc184310328"/>
      <w:bookmarkEnd w:id="90"/>
      <w:bookmarkStart w:id="91" w:name="_Toc184308066"/>
      <w:bookmarkEnd w:id="91"/>
      <w:bookmarkStart w:id="92" w:name="_Toc184310316"/>
      <w:bookmarkEnd w:id="92"/>
      <w:bookmarkStart w:id="93" w:name="_Toc184313265"/>
      <w:bookmarkEnd w:id="93"/>
      <w:bookmarkStart w:id="94" w:name="_Toc184313256"/>
      <w:bookmarkEnd w:id="94"/>
      <w:bookmarkStart w:id="95" w:name="_Toc184314462"/>
      <w:bookmarkEnd w:id="95"/>
      <w:bookmarkStart w:id="96" w:name="_Toc184310287"/>
      <w:bookmarkEnd w:id="96"/>
      <w:bookmarkStart w:id="97" w:name="_Toc184310324"/>
      <w:bookmarkEnd w:id="97"/>
      <w:bookmarkStart w:id="98" w:name="_Toc184314411"/>
      <w:bookmarkEnd w:id="98"/>
      <w:bookmarkStart w:id="99" w:name="_Toc184312078"/>
      <w:bookmarkEnd w:id="99"/>
      <w:bookmarkStart w:id="100" w:name="_Toc184308096"/>
      <w:bookmarkEnd w:id="100"/>
      <w:bookmarkStart w:id="101" w:name="_Toc184314432"/>
      <w:bookmarkEnd w:id="101"/>
      <w:bookmarkStart w:id="102" w:name="_Toc184312073"/>
      <w:bookmarkEnd w:id="102"/>
      <w:bookmarkStart w:id="103" w:name="_Toc184310285"/>
      <w:bookmarkEnd w:id="103"/>
      <w:bookmarkStart w:id="104" w:name="_Toc184314473"/>
      <w:bookmarkEnd w:id="104"/>
      <w:bookmarkStart w:id="105" w:name="_Toc184313264"/>
      <w:bookmarkEnd w:id="105"/>
      <w:bookmarkStart w:id="106" w:name="_Toc184312081"/>
      <w:bookmarkEnd w:id="106"/>
      <w:bookmarkStart w:id="107" w:name="_Toc184312093"/>
      <w:bookmarkEnd w:id="107"/>
      <w:bookmarkStart w:id="108" w:name="_Toc184314418"/>
      <w:bookmarkEnd w:id="108"/>
      <w:bookmarkStart w:id="109" w:name="_Toc184312089"/>
      <w:bookmarkEnd w:id="109"/>
      <w:bookmarkStart w:id="110" w:name="_Toc184313246"/>
      <w:bookmarkEnd w:id="110"/>
      <w:bookmarkStart w:id="111" w:name="_Toc184310311"/>
      <w:bookmarkEnd w:id="111"/>
      <w:bookmarkStart w:id="112" w:name="_Toc184313301"/>
      <w:bookmarkEnd w:id="112"/>
      <w:bookmarkStart w:id="113" w:name="_Toc184312129"/>
      <w:bookmarkEnd w:id="113"/>
      <w:bookmarkStart w:id="114" w:name="_Toc184312086"/>
      <w:bookmarkEnd w:id="114"/>
      <w:bookmarkStart w:id="115" w:name="_Toc184314480"/>
      <w:bookmarkEnd w:id="115"/>
      <w:bookmarkStart w:id="116" w:name="_Toc184312111"/>
      <w:bookmarkEnd w:id="116"/>
      <w:bookmarkStart w:id="117" w:name="_Toc184314431"/>
      <w:bookmarkEnd w:id="117"/>
      <w:bookmarkStart w:id="118" w:name="_Toc184310339"/>
      <w:bookmarkEnd w:id="118"/>
      <w:bookmarkStart w:id="119" w:name="_Toc184313243"/>
      <w:bookmarkEnd w:id="119"/>
      <w:bookmarkStart w:id="120" w:name="_Toc184310314"/>
      <w:bookmarkEnd w:id="120"/>
      <w:bookmarkStart w:id="121" w:name="_Toc184314479"/>
      <w:bookmarkEnd w:id="121"/>
      <w:bookmarkStart w:id="122" w:name="_Toc184308059"/>
      <w:bookmarkEnd w:id="122"/>
      <w:bookmarkStart w:id="123" w:name="_Toc184314442"/>
      <w:bookmarkEnd w:id="123"/>
      <w:bookmarkStart w:id="124" w:name="_Toc184313259"/>
      <w:bookmarkEnd w:id="124"/>
      <w:bookmarkStart w:id="125" w:name="_Toc184314461"/>
      <w:bookmarkEnd w:id="125"/>
      <w:bookmarkStart w:id="126" w:name="_Toc184313260"/>
      <w:bookmarkEnd w:id="126"/>
      <w:bookmarkStart w:id="127" w:name="_Toc184310277"/>
      <w:bookmarkEnd w:id="127"/>
      <w:bookmarkStart w:id="128" w:name="_Toc184314457"/>
      <w:bookmarkEnd w:id="128"/>
      <w:bookmarkStart w:id="129" w:name="_Toc184310344"/>
      <w:bookmarkEnd w:id="129"/>
      <w:bookmarkStart w:id="130" w:name="_Toc184312071"/>
      <w:bookmarkEnd w:id="130"/>
      <w:bookmarkStart w:id="131" w:name="_Toc184312092"/>
      <w:bookmarkEnd w:id="131"/>
      <w:bookmarkStart w:id="132" w:name="_Toc184310333"/>
      <w:bookmarkEnd w:id="132"/>
      <w:bookmarkStart w:id="133" w:name="_Toc184313272"/>
      <w:bookmarkEnd w:id="133"/>
      <w:bookmarkStart w:id="134" w:name="_Toc184313266"/>
      <w:bookmarkEnd w:id="134"/>
      <w:bookmarkStart w:id="135" w:name="_Toc184310279"/>
      <w:bookmarkEnd w:id="135"/>
      <w:bookmarkStart w:id="136" w:name="_Toc184308067"/>
      <w:bookmarkEnd w:id="136"/>
      <w:bookmarkStart w:id="137" w:name="_Toc184313261"/>
      <w:bookmarkEnd w:id="137"/>
      <w:bookmarkStart w:id="138" w:name="_Toc184313254"/>
      <w:bookmarkEnd w:id="138"/>
      <w:bookmarkStart w:id="139" w:name="_Toc184313245"/>
      <w:bookmarkEnd w:id="139"/>
      <w:bookmarkStart w:id="140" w:name="_Toc184314467"/>
      <w:bookmarkEnd w:id="140"/>
      <w:bookmarkStart w:id="141" w:name="_Toc184308071"/>
      <w:bookmarkEnd w:id="141"/>
      <w:bookmarkStart w:id="142" w:name="_Toc184314447"/>
      <w:bookmarkEnd w:id="142"/>
      <w:bookmarkStart w:id="143" w:name="_Toc184312127"/>
      <w:bookmarkEnd w:id="143"/>
      <w:bookmarkStart w:id="144" w:name="_Toc184310342"/>
      <w:bookmarkEnd w:id="144"/>
      <w:bookmarkStart w:id="145" w:name="_Toc184313239"/>
      <w:bookmarkEnd w:id="145"/>
      <w:bookmarkStart w:id="146" w:name="_Toc184308062"/>
      <w:bookmarkEnd w:id="146"/>
      <w:bookmarkStart w:id="147" w:name="_Toc184312106"/>
      <w:bookmarkEnd w:id="147"/>
      <w:bookmarkStart w:id="148" w:name="_Toc184314417"/>
      <w:bookmarkEnd w:id="148"/>
      <w:bookmarkStart w:id="149" w:name="_Toc184308106"/>
      <w:bookmarkEnd w:id="149"/>
      <w:bookmarkStart w:id="150" w:name="_Toc184308091"/>
      <w:bookmarkEnd w:id="150"/>
      <w:bookmarkStart w:id="151" w:name="_Toc184308083"/>
      <w:bookmarkEnd w:id="151"/>
      <w:bookmarkStart w:id="152" w:name="_Toc184313267"/>
      <w:bookmarkEnd w:id="152"/>
      <w:bookmarkStart w:id="153" w:name="_Toc184310274"/>
      <w:bookmarkEnd w:id="153"/>
      <w:bookmarkStart w:id="154" w:name="_Toc184312097"/>
      <w:bookmarkEnd w:id="154"/>
      <w:bookmarkStart w:id="155" w:name="_Toc184310276"/>
      <w:bookmarkEnd w:id="155"/>
      <w:bookmarkStart w:id="156" w:name="_Toc184314433"/>
      <w:bookmarkEnd w:id="156"/>
      <w:bookmarkStart w:id="157" w:name="_Toc184312095"/>
      <w:bookmarkEnd w:id="157"/>
      <w:bookmarkStart w:id="158" w:name="_Toc184314416"/>
      <w:bookmarkEnd w:id="158"/>
      <w:bookmarkStart w:id="159" w:name="_Toc184308094"/>
      <w:bookmarkEnd w:id="159"/>
      <w:bookmarkStart w:id="160" w:name="_Toc184310303"/>
      <w:bookmarkEnd w:id="160"/>
      <w:bookmarkStart w:id="161" w:name="_Toc184312100"/>
      <w:bookmarkEnd w:id="161"/>
      <w:bookmarkStart w:id="162" w:name="_Toc184314463"/>
      <w:bookmarkEnd w:id="162"/>
      <w:bookmarkStart w:id="163" w:name="_Toc184308105"/>
      <w:bookmarkEnd w:id="163"/>
      <w:bookmarkStart w:id="164" w:name="_Toc184313270"/>
      <w:bookmarkEnd w:id="164"/>
      <w:bookmarkStart w:id="165" w:name="_Toc184308042"/>
      <w:bookmarkEnd w:id="165"/>
      <w:bookmarkStart w:id="166" w:name="_Toc184310341"/>
      <w:bookmarkEnd w:id="166"/>
      <w:bookmarkStart w:id="167" w:name="_Toc184314474"/>
      <w:bookmarkEnd w:id="167"/>
      <w:bookmarkStart w:id="168" w:name="_Toc184308089"/>
      <w:bookmarkEnd w:id="168"/>
      <w:bookmarkStart w:id="169" w:name="_Toc184314477"/>
      <w:bookmarkEnd w:id="169"/>
      <w:bookmarkStart w:id="170" w:name="_Toc184310326"/>
      <w:bookmarkEnd w:id="170"/>
      <w:bookmarkStart w:id="171" w:name="_Toc184314434"/>
      <w:bookmarkEnd w:id="171"/>
      <w:bookmarkStart w:id="172" w:name="_Toc184313308"/>
      <w:bookmarkEnd w:id="172"/>
      <w:bookmarkStart w:id="173" w:name="_Toc184310290"/>
      <w:bookmarkEnd w:id="173"/>
      <w:bookmarkStart w:id="174" w:name="_Toc184308061"/>
      <w:bookmarkEnd w:id="174"/>
      <w:bookmarkStart w:id="175" w:name="_Toc184312082"/>
      <w:bookmarkEnd w:id="175"/>
      <w:bookmarkStart w:id="176" w:name="_Toc184310301"/>
      <w:bookmarkEnd w:id="176"/>
      <w:bookmarkStart w:id="177" w:name="_Toc184308038"/>
      <w:bookmarkEnd w:id="177"/>
      <w:bookmarkStart w:id="178" w:name="_Toc184312120"/>
      <w:bookmarkEnd w:id="178"/>
      <w:bookmarkStart w:id="179" w:name="_Toc184312084"/>
      <w:bookmarkEnd w:id="179"/>
      <w:bookmarkStart w:id="180" w:name="_Toc184308057"/>
      <w:bookmarkEnd w:id="180"/>
      <w:bookmarkStart w:id="181" w:name="_Toc184313257"/>
      <w:bookmarkEnd w:id="181"/>
      <w:bookmarkStart w:id="182" w:name="_Toc184313299"/>
      <w:bookmarkEnd w:id="182"/>
      <w:bookmarkStart w:id="183" w:name="_Toc184314438"/>
      <w:bookmarkEnd w:id="183"/>
      <w:bookmarkStart w:id="184" w:name="_Toc184308043"/>
      <w:bookmarkEnd w:id="184"/>
      <w:bookmarkStart w:id="185" w:name="_Toc184314440"/>
      <w:bookmarkEnd w:id="185"/>
      <w:bookmarkStart w:id="186" w:name="_Toc184310335"/>
      <w:bookmarkEnd w:id="186"/>
      <w:bookmarkStart w:id="187" w:name="_Toc184314425"/>
      <w:bookmarkEnd w:id="187"/>
      <w:bookmarkStart w:id="188" w:name="_Toc184310291"/>
      <w:bookmarkEnd w:id="188"/>
      <w:bookmarkStart w:id="189" w:name="_Toc184313294"/>
      <w:bookmarkEnd w:id="189"/>
      <w:bookmarkStart w:id="190" w:name="_Toc184308075"/>
      <w:bookmarkEnd w:id="190"/>
      <w:bookmarkStart w:id="191" w:name="_Toc184310337"/>
      <w:bookmarkEnd w:id="191"/>
      <w:bookmarkStart w:id="192" w:name="_Toc184314453"/>
      <w:bookmarkEnd w:id="192"/>
      <w:bookmarkStart w:id="193" w:name="_Toc184312123"/>
      <w:bookmarkEnd w:id="193"/>
      <w:bookmarkStart w:id="194" w:name="_Toc184314470"/>
      <w:bookmarkEnd w:id="194"/>
      <w:bookmarkStart w:id="195" w:name="_Toc184310278"/>
      <w:bookmarkEnd w:id="195"/>
      <w:bookmarkStart w:id="196" w:name="_Toc184308065"/>
      <w:bookmarkEnd w:id="196"/>
      <w:bookmarkStart w:id="197" w:name="_Toc184313300"/>
      <w:bookmarkEnd w:id="197"/>
      <w:bookmarkStart w:id="198" w:name="_Toc184310275"/>
      <w:bookmarkEnd w:id="198"/>
      <w:bookmarkStart w:id="199" w:name="_Toc184308087"/>
      <w:bookmarkEnd w:id="199"/>
      <w:bookmarkStart w:id="200" w:name="_Toc184314419"/>
      <w:bookmarkEnd w:id="200"/>
      <w:bookmarkStart w:id="201" w:name="_Toc184312068"/>
      <w:bookmarkEnd w:id="201"/>
      <w:bookmarkStart w:id="202" w:name="_Toc184310331"/>
      <w:bookmarkEnd w:id="202"/>
      <w:bookmarkStart w:id="203" w:name="_Toc184308048"/>
      <w:bookmarkEnd w:id="203"/>
      <w:bookmarkStart w:id="204" w:name="_Toc184312076"/>
      <w:bookmarkEnd w:id="204"/>
      <w:bookmarkStart w:id="205" w:name="_Toc184312077"/>
      <w:bookmarkEnd w:id="205"/>
      <w:bookmarkStart w:id="206" w:name="_Toc184314458"/>
      <w:bookmarkEnd w:id="206"/>
      <w:bookmarkStart w:id="207" w:name="_Toc184308090"/>
      <w:bookmarkEnd w:id="207"/>
      <w:bookmarkStart w:id="208" w:name="_Toc184308081"/>
      <w:bookmarkEnd w:id="208"/>
      <w:bookmarkStart w:id="209" w:name="_Toc184314443"/>
      <w:bookmarkEnd w:id="209"/>
      <w:bookmarkStart w:id="210" w:name="_Toc184308055"/>
      <w:bookmarkEnd w:id="210"/>
      <w:bookmarkStart w:id="211" w:name="_Toc184310317"/>
      <w:bookmarkEnd w:id="211"/>
      <w:bookmarkStart w:id="212" w:name="_Toc184308064"/>
      <w:bookmarkEnd w:id="212"/>
      <w:bookmarkStart w:id="213" w:name="_Toc184312108"/>
      <w:bookmarkEnd w:id="213"/>
      <w:bookmarkStart w:id="214" w:name="_Toc184308103"/>
      <w:bookmarkEnd w:id="214"/>
      <w:bookmarkStart w:id="215" w:name="_Toc184308040"/>
      <w:bookmarkEnd w:id="215"/>
      <w:bookmarkStart w:id="216" w:name="_Toc184314468"/>
      <w:bookmarkEnd w:id="216"/>
      <w:bookmarkStart w:id="217" w:name="_Toc184314459"/>
      <w:bookmarkEnd w:id="217"/>
      <w:bookmarkStart w:id="218" w:name="_Toc184312121"/>
      <w:bookmarkEnd w:id="218"/>
      <w:bookmarkStart w:id="219" w:name="_Toc184312112"/>
      <w:bookmarkEnd w:id="219"/>
      <w:bookmarkStart w:id="220" w:name="_Toc184314439"/>
      <w:bookmarkEnd w:id="220"/>
      <w:bookmarkStart w:id="221" w:name="_Toc184312137"/>
      <w:bookmarkEnd w:id="221"/>
      <w:bookmarkStart w:id="222" w:name="_Toc184313304"/>
      <w:bookmarkEnd w:id="222"/>
      <w:bookmarkStart w:id="223" w:name="_Toc184310273"/>
      <w:bookmarkEnd w:id="223"/>
      <w:bookmarkStart w:id="224" w:name="_Toc184314412"/>
      <w:bookmarkEnd w:id="224"/>
      <w:bookmarkStart w:id="225" w:name="_Toc184308037"/>
      <w:bookmarkEnd w:id="225"/>
      <w:bookmarkStart w:id="226" w:name="_Toc184313310"/>
      <w:bookmarkEnd w:id="226"/>
      <w:bookmarkStart w:id="227" w:name="_Toc184313241"/>
      <w:bookmarkEnd w:id="227"/>
      <w:bookmarkStart w:id="228" w:name="_Toc184312109"/>
      <w:bookmarkEnd w:id="228"/>
      <w:bookmarkStart w:id="229" w:name="_Toc184313273"/>
      <w:bookmarkEnd w:id="229"/>
      <w:bookmarkStart w:id="230" w:name="_Toc184308084"/>
      <w:bookmarkEnd w:id="230"/>
      <w:bookmarkStart w:id="231" w:name="_Toc184312114"/>
      <w:bookmarkEnd w:id="231"/>
      <w:bookmarkStart w:id="232" w:name="_Toc184308046"/>
      <w:bookmarkEnd w:id="232"/>
      <w:bookmarkStart w:id="233" w:name="_Toc184310286"/>
      <w:bookmarkEnd w:id="233"/>
      <w:bookmarkStart w:id="234" w:name="_Toc184310304"/>
      <w:bookmarkEnd w:id="234"/>
      <w:bookmarkStart w:id="235" w:name="_Toc184308049"/>
      <w:bookmarkEnd w:id="235"/>
      <w:bookmarkStart w:id="236" w:name="_Toc184312134"/>
      <w:bookmarkEnd w:id="236"/>
      <w:bookmarkStart w:id="237" w:name="_Toc184312132"/>
      <w:bookmarkEnd w:id="237"/>
      <w:bookmarkStart w:id="238" w:name="_Toc184314475"/>
      <w:bookmarkEnd w:id="238"/>
      <w:bookmarkStart w:id="239" w:name="_Toc184308085"/>
      <w:bookmarkEnd w:id="239"/>
      <w:bookmarkStart w:id="240" w:name="_Toc184314465"/>
      <w:bookmarkEnd w:id="240"/>
      <w:bookmarkStart w:id="241" w:name="_Toc184312117"/>
      <w:bookmarkEnd w:id="241"/>
      <w:bookmarkStart w:id="242" w:name="_Toc184310325"/>
      <w:bookmarkEnd w:id="242"/>
      <w:bookmarkStart w:id="243" w:name="_Toc184312087"/>
      <w:bookmarkEnd w:id="243"/>
      <w:bookmarkStart w:id="244" w:name="_Toc184312130"/>
      <w:bookmarkEnd w:id="244"/>
      <w:bookmarkStart w:id="245" w:name="_Toc184308088"/>
      <w:bookmarkEnd w:id="245"/>
      <w:bookmarkStart w:id="246" w:name="_Toc184314423"/>
      <w:bookmarkEnd w:id="246"/>
      <w:bookmarkStart w:id="247" w:name="_Toc184312094"/>
      <w:bookmarkEnd w:id="247"/>
      <w:bookmarkStart w:id="248" w:name="_Toc184312088"/>
      <w:bookmarkEnd w:id="248"/>
      <w:bookmarkStart w:id="249" w:name="_Toc184310308"/>
      <w:bookmarkEnd w:id="249"/>
      <w:bookmarkStart w:id="250" w:name="_Toc184313298"/>
      <w:bookmarkEnd w:id="250"/>
      <w:bookmarkStart w:id="251" w:name="_Toc184312096"/>
      <w:bookmarkEnd w:id="251"/>
      <w:bookmarkStart w:id="252" w:name="_Toc184308102"/>
      <w:bookmarkEnd w:id="252"/>
      <w:bookmarkStart w:id="253" w:name="_Toc184308068"/>
      <w:bookmarkEnd w:id="253"/>
      <w:bookmarkStart w:id="254" w:name="_Toc184313287"/>
      <w:bookmarkEnd w:id="254"/>
      <w:bookmarkStart w:id="255" w:name="_Toc184313248"/>
      <w:bookmarkEnd w:id="255"/>
      <w:bookmarkStart w:id="256" w:name="_Toc184312119"/>
      <w:bookmarkEnd w:id="256"/>
      <w:bookmarkStart w:id="257" w:name="_Toc184312135"/>
      <w:bookmarkEnd w:id="257"/>
      <w:bookmarkStart w:id="258" w:name="_Toc184314466"/>
      <w:bookmarkEnd w:id="258"/>
      <w:bookmarkStart w:id="259" w:name="_Toc184313281"/>
      <w:bookmarkEnd w:id="259"/>
      <w:bookmarkStart w:id="260" w:name="_Toc184308104"/>
      <w:bookmarkEnd w:id="260"/>
      <w:bookmarkStart w:id="261" w:name="_Toc184310305"/>
      <w:bookmarkEnd w:id="261"/>
      <w:bookmarkStart w:id="262" w:name="_Toc184312091"/>
      <w:bookmarkEnd w:id="262"/>
      <w:bookmarkStart w:id="263" w:name="_Toc184313242"/>
      <w:bookmarkEnd w:id="263"/>
      <w:bookmarkStart w:id="264" w:name="_Toc184312083"/>
      <w:bookmarkEnd w:id="264"/>
      <w:bookmarkStart w:id="265" w:name="_Toc184314476"/>
      <w:bookmarkEnd w:id="265"/>
      <w:bookmarkStart w:id="266" w:name="_Toc184313288"/>
      <w:bookmarkEnd w:id="266"/>
      <w:bookmarkStart w:id="267" w:name="_Toc184314413"/>
      <w:bookmarkEnd w:id="267"/>
      <w:bookmarkStart w:id="268" w:name="_Toc184313303"/>
      <w:bookmarkEnd w:id="268"/>
      <w:bookmarkStart w:id="269" w:name="_Toc184310334"/>
      <w:bookmarkEnd w:id="269"/>
      <w:bookmarkStart w:id="270" w:name="_Toc184312072"/>
      <w:bookmarkEnd w:id="270"/>
      <w:bookmarkStart w:id="271" w:name="_Toc184314436"/>
      <w:bookmarkEnd w:id="271"/>
      <w:bookmarkStart w:id="272" w:name="_Toc184313263"/>
      <w:bookmarkEnd w:id="272"/>
      <w:bookmarkStart w:id="273" w:name="_Toc184314424"/>
      <w:bookmarkEnd w:id="273"/>
      <w:bookmarkStart w:id="274" w:name="_Toc184310288"/>
      <w:bookmarkEnd w:id="274"/>
      <w:bookmarkStart w:id="275" w:name="_Toc184308099"/>
      <w:bookmarkEnd w:id="275"/>
      <w:bookmarkStart w:id="276" w:name="_Toc184313285"/>
      <w:bookmarkEnd w:id="276"/>
      <w:bookmarkStart w:id="277" w:name="_Toc184313251"/>
      <w:bookmarkEnd w:id="277"/>
      <w:bookmarkStart w:id="278" w:name="_Toc184310340"/>
      <w:bookmarkEnd w:id="278"/>
      <w:bookmarkStart w:id="279" w:name="_Toc184310322"/>
      <w:bookmarkEnd w:id="279"/>
      <w:bookmarkStart w:id="280" w:name="_Toc184312125"/>
      <w:bookmarkEnd w:id="280"/>
      <w:bookmarkStart w:id="281" w:name="_Toc184312136"/>
      <w:bookmarkEnd w:id="281"/>
      <w:bookmarkStart w:id="282" w:name="_Toc184312069"/>
      <w:bookmarkEnd w:id="282"/>
      <w:bookmarkStart w:id="283" w:name="_Toc184314452"/>
      <w:bookmarkEnd w:id="283"/>
      <w:bookmarkStart w:id="284" w:name="_Toc184308051"/>
      <w:bookmarkEnd w:id="284"/>
      <w:bookmarkStart w:id="285" w:name="_Toc184312098"/>
      <w:bookmarkEnd w:id="285"/>
      <w:bookmarkStart w:id="286" w:name="_Toc184308054"/>
      <w:bookmarkEnd w:id="286"/>
      <w:bookmarkStart w:id="287" w:name="_Toc184313258"/>
      <w:bookmarkEnd w:id="287"/>
      <w:bookmarkStart w:id="288" w:name="_Toc184308056"/>
      <w:bookmarkEnd w:id="288"/>
      <w:bookmarkStart w:id="289" w:name="_Toc184314454"/>
      <w:bookmarkEnd w:id="289"/>
      <w:bookmarkStart w:id="290" w:name="_Toc184310329"/>
      <w:bookmarkEnd w:id="290"/>
      <w:bookmarkStart w:id="291" w:name="_Toc184308098"/>
      <w:bookmarkEnd w:id="291"/>
      <w:bookmarkStart w:id="292" w:name="_Toc184312126"/>
      <w:bookmarkEnd w:id="292"/>
      <w:bookmarkStart w:id="293" w:name="_Toc184308073"/>
      <w:bookmarkEnd w:id="293"/>
      <w:bookmarkStart w:id="294" w:name="_Toc184314446"/>
      <w:bookmarkEnd w:id="294"/>
      <w:bookmarkStart w:id="295" w:name="_Toc184308077"/>
      <w:bookmarkEnd w:id="295"/>
      <w:bookmarkStart w:id="296" w:name="_Toc184308072"/>
      <w:bookmarkEnd w:id="296"/>
      <w:bookmarkStart w:id="297" w:name="_Toc184314441"/>
      <w:bookmarkEnd w:id="297"/>
      <w:bookmarkStart w:id="298" w:name="_Toc184312122"/>
      <w:bookmarkEnd w:id="298"/>
      <w:bookmarkStart w:id="299" w:name="_Toc184310321"/>
      <w:bookmarkEnd w:id="299"/>
      <w:bookmarkStart w:id="300" w:name="_Toc184310315"/>
      <w:bookmarkEnd w:id="300"/>
      <w:bookmarkStart w:id="301" w:name="_Toc184314435"/>
      <w:bookmarkEnd w:id="301"/>
      <w:bookmarkStart w:id="302" w:name="_Toc184308107"/>
      <w:bookmarkEnd w:id="302"/>
      <w:bookmarkStart w:id="303" w:name="_Toc184313280"/>
      <w:bookmarkEnd w:id="303"/>
      <w:bookmarkStart w:id="304" w:name="_Toc184314481"/>
      <w:bookmarkEnd w:id="304"/>
      <w:bookmarkStart w:id="305" w:name="_Toc184310309"/>
      <w:bookmarkEnd w:id="305"/>
      <w:bookmarkStart w:id="306" w:name="_Toc184313253"/>
      <w:bookmarkEnd w:id="306"/>
      <w:bookmarkStart w:id="307" w:name="_Toc184313247"/>
      <w:bookmarkEnd w:id="307"/>
      <w:bookmarkStart w:id="308" w:name="_Toc184310280"/>
      <w:bookmarkEnd w:id="308"/>
      <w:bookmarkStart w:id="309" w:name="_Toc184310294"/>
      <w:bookmarkEnd w:id="309"/>
      <w:bookmarkStart w:id="310" w:name="_Toc184310338"/>
      <w:bookmarkEnd w:id="310"/>
      <w:bookmarkStart w:id="311" w:name="_Toc184312090"/>
      <w:bookmarkEnd w:id="311"/>
      <w:bookmarkStart w:id="312" w:name="_Toc184308078"/>
      <w:bookmarkEnd w:id="312"/>
      <w:bookmarkStart w:id="313" w:name="_Toc184313290"/>
      <w:bookmarkEnd w:id="313"/>
      <w:bookmarkStart w:id="314" w:name="_Toc184310307"/>
      <w:bookmarkEnd w:id="314"/>
      <w:bookmarkStart w:id="315" w:name="_Toc184310330"/>
      <w:bookmarkEnd w:id="315"/>
      <w:bookmarkStart w:id="316" w:name="_Toc184312133"/>
      <w:bookmarkEnd w:id="316"/>
      <w:bookmarkStart w:id="317" w:name="_Toc184312131"/>
      <w:bookmarkEnd w:id="317"/>
      <w:bookmarkStart w:id="318" w:name="_Toc184312128"/>
      <w:bookmarkEnd w:id="318"/>
      <w:bookmarkStart w:id="319" w:name="_Toc184313279"/>
      <w:bookmarkEnd w:id="319"/>
      <w:bookmarkStart w:id="320" w:name="_Toc184314437"/>
      <w:bookmarkEnd w:id="320"/>
      <w:bookmarkStart w:id="321" w:name="_Toc184308095"/>
      <w:bookmarkEnd w:id="321"/>
      <w:bookmarkStart w:id="322" w:name="_Toc184308058"/>
      <w:bookmarkEnd w:id="322"/>
      <w:bookmarkStart w:id="323" w:name="_Toc184308076"/>
      <w:bookmarkEnd w:id="323"/>
      <w:bookmarkStart w:id="324" w:name="_Toc184312118"/>
      <w:bookmarkEnd w:id="324"/>
      <w:bookmarkStart w:id="325" w:name="_Toc184308047"/>
      <w:bookmarkEnd w:id="325"/>
      <w:bookmarkStart w:id="326" w:name="_Toc184308074"/>
      <w:bookmarkEnd w:id="326"/>
      <w:bookmarkStart w:id="327" w:name="_Toc184310336"/>
      <w:bookmarkEnd w:id="327"/>
      <w:bookmarkStart w:id="328" w:name="_Toc184314427"/>
      <w:bookmarkEnd w:id="328"/>
      <w:bookmarkStart w:id="329" w:name="_Toc184313293"/>
      <w:bookmarkEnd w:id="329"/>
      <w:bookmarkStart w:id="330" w:name="_Toc184313278"/>
      <w:bookmarkEnd w:id="330"/>
      <w:bookmarkStart w:id="331" w:name="_Toc184313297"/>
      <w:bookmarkEnd w:id="331"/>
      <w:bookmarkStart w:id="332" w:name="_Toc184314456"/>
      <w:bookmarkEnd w:id="332"/>
      <w:bookmarkStart w:id="333" w:name="_Toc184313307"/>
      <w:bookmarkEnd w:id="333"/>
      <w:bookmarkStart w:id="334" w:name="_Toc184313286"/>
      <w:bookmarkEnd w:id="334"/>
      <w:bookmarkStart w:id="335" w:name="_Toc184308080"/>
      <w:bookmarkEnd w:id="335"/>
      <w:bookmarkStart w:id="336" w:name="_Toc184310298"/>
      <w:bookmarkEnd w:id="336"/>
      <w:bookmarkStart w:id="337" w:name="_Toc184308036"/>
      <w:bookmarkEnd w:id="337"/>
      <w:bookmarkStart w:id="338" w:name="_Toc184310310"/>
      <w:bookmarkEnd w:id="338"/>
      <w:bookmarkStart w:id="339" w:name="_Toc184313296"/>
      <w:bookmarkEnd w:id="339"/>
      <w:bookmarkStart w:id="340" w:name="_Toc184313289"/>
      <w:bookmarkEnd w:id="340"/>
      <w:bookmarkStart w:id="341" w:name="_Toc184308092"/>
      <w:bookmarkEnd w:id="341"/>
      <w:bookmarkStart w:id="342" w:name="_Toc184310327"/>
      <w:bookmarkEnd w:id="342"/>
      <w:bookmarkStart w:id="343" w:name="_Toc184308101"/>
      <w:bookmarkEnd w:id="343"/>
      <w:bookmarkStart w:id="344" w:name="_Toc184310306"/>
      <w:bookmarkEnd w:id="344"/>
      <w:bookmarkStart w:id="345" w:name="_Toc184308097"/>
      <w:bookmarkEnd w:id="345"/>
      <w:bookmarkStart w:id="346" w:name="_Toc184313250"/>
      <w:bookmarkEnd w:id="346"/>
      <w:bookmarkStart w:id="347" w:name="_Toc184314469"/>
      <w:bookmarkEnd w:id="347"/>
      <w:bookmarkStart w:id="348" w:name="_Toc184313291"/>
      <w:bookmarkEnd w:id="348"/>
      <w:bookmarkStart w:id="349" w:name="_Toc184312124"/>
      <w:bookmarkEnd w:id="349"/>
      <w:bookmarkStart w:id="350" w:name="_Toc184308069"/>
      <w:bookmarkEnd w:id="350"/>
      <w:bookmarkStart w:id="351" w:name="_Toc184308070"/>
      <w:bookmarkEnd w:id="351"/>
      <w:bookmarkStart w:id="352" w:name="_Toc184310302"/>
      <w:bookmarkEnd w:id="352"/>
      <w:bookmarkStart w:id="353" w:name="_Toc184308060"/>
      <w:bookmarkEnd w:id="353"/>
      <w:bookmarkStart w:id="354" w:name="_Toc184314464"/>
      <w:bookmarkEnd w:id="354"/>
      <w:bookmarkStart w:id="355" w:name="_Toc184313249"/>
      <w:bookmarkEnd w:id="355"/>
      <w:bookmarkStart w:id="356" w:name="_Toc184314422"/>
      <w:bookmarkEnd w:id="356"/>
      <w:bookmarkStart w:id="357" w:name="_Toc184313240"/>
      <w:bookmarkEnd w:id="357"/>
      <w:bookmarkStart w:id="358" w:name="_Toc184314455"/>
      <w:bookmarkEnd w:id="358"/>
      <w:bookmarkStart w:id="359" w:name="_Toc184314410"/>
      <w:bookmarkEnd w:id="359"/>
      <w:bookmarkStart w:id="360" w:name="_Toc184313276"/>
      <w:bookmarkEnd w:id="360"/>
      <w:bookmarkStart w:id="361" w:name="_Toc184310313"/>
      <w:bookmarkEnd w:id="361"/>
      <w:bookmarkStart w:id="362" w:name="_Toc184313305"/>
      <w:bookmarkEnd w:id="362"/>
      <w:bookmarkStart w:id="363" w:name="_Toc184314448"/>
      <w:bookmarkEnd w:id="363"/>
      <w:bookmarkStart w:id="364" w:name="_Toc184313302"/>
      <w:bookmarkEnd w:id="364"/>
      <w:bookmarkStart w:id="365" w:name="_Toc184310300"/>
      <w:bookmarkEnd w:id="365"/>
      <w:bookmarkStart w:id="366" w:name="_Toc184308093"/>
      <w:bookmarkEnd w:id="366"/>
      <w:bookmarkStart w:id="367" w:name="_Toc184314430"/>
      <w:bookmarkEnd w:id="367"/>
      <w:bookmarkStart w:id="368" w:name="_Toc184310320"/>
      <w:bookmarkEnd w:id="368"/>
      <w:bookmarkStart w:id="369" w:name="_Toc184308053"/>
      <w:bookmarkEnd w:id="369"/>
      <w:bookmarkStart w:id="370" w:name="_Toc184313309"/>
      <w:bookmarkEnd w:id="370"/>
      <w:bookmarkStart w:id="371" w:name="_Toc184312105"/>
      <w:bookmarkEnd w:id="371"/>
      <w:bookmarkStart w:id="372" w:name="_Toc184312103"/>
      <w:bookmarkEnd w:id="372"/>
      <w:bookmarkStart w:id="373" w:name="_Toc184310293"/>
      <w:bookmarkEnd w:id="373"/>
      <w:bookmarkStart w:id="374" w:name="_Toc184310281"/>
      <w:bookmarkEnd w:id="374"/>
      <w:bookmarkStart w:id="375" w:name="_Toc184313255"/>
      <w:bookmarkEnd w:id="375"/>
      <w:bookmarkStart w:id="376" w:name="_Toc184314471"/>
      <w:bookmarkEnd w:id="376"/>
      <w:bookmarkStart w:id="377" w:name="_Toc184314426"/>
      <w:bookmarkEnd w:id="377"/>
      <w:bookmarkStart w:id="378" w:name="_Toc184310295"/>
      <w:bookmarkEnd w:id="378"/>
      <w:bookmarkStart w:id="379" w:name="_Toc184310332"/>
      <w:bookmarkEnd w:id="379"/>
      <w:bookmarkStart w:id="380" w:name="_Toc184313268"/>
      <w:bookmarkEnd w:id="380"/>
      <w:bookmarkStart w:id="381" w:name="_Toc184314429"/>
      <w:bookmarkEnd w:id="381"/>
      <w:bookmarkStart w:id="382" w:name="_Toc184312070"/>
      <w:bookmarkEnd w:id="382"/>
      <w:bookmarkStart w:id="383" w:name="_Toc184313269"/>
      <w:bookmarkEnd w:id="383"/>
      <w:bookmarkStart w:id="384" w:name="_Toc184308052"/>
      <w:bookmarkEnd w:id="384"/>
      <w:bookmarkStart w:id="385" w:name="_Toc184308050"/>
      <w:bookmarkEnd w:id="385"/>
      <w:bookmarkStart w:id="386" w:name="_Toc184312107"/>
      <w:bookmarkEnd w:id="386"/>
      <w:bookmarkStart w:id="387" w:name="_Toc184313271"/>
      <w:bookmarkEnd w:id="387"/>
      <w:bookmarkStart w:id="388" w:name="_Toc184313252"/>
      <w:bookmarkEnd w:id="388"/>
      <w:bookmarkStart w:id="389" w:name="_Toc184313283"/>
      <w:bookmarkEnd w:id="389"/>
      <w:bookmarkStart w:id="390" w:name="_Toc184312101"/>
      <w:bookmarkEnd w:id="390"/>
      <w:bookmarkStart w:id="391" w:name="_Toc184308082"/>
      <w:bookmarkEnd w:id="391"/>
      <w:bookmarkStart w:id="392" w:name="_Toc184312110"/>
      <w:bookmarkEnd w:id="392"/>
      <w:bookmarkStart w:id="393" w:name="_Toc184312080"/>
      <w:bookmarkEnd w:id="393"/>
      <w:bookmarkStart w:id="394" w:name="_Toc184313284"/>
      <w:bookmarkEnd w:id="394"/>
      <w:bookmarkStart w:id="395" w:name="_Toc184313292"/>
      <w:bookmarkEnd w:id="395"/>
      <w:bookmarkStart w:id="396" w:name="_Toc184308063"/>
      <w:bookmarkEnd w:id="396"/>
      <w:bookmarkStart w:id="397" w:name="_Toc184310343"/>
      <w:bookmarkEnd w:id="397"/>
      <w:bookmarkStart w:id="398" w:name="_Toc184312115"/>
      <w:bookmarkEnd w:id="398"/>
      <w:bookmarkStart w:id="399" w:name="_Toc184313275"/>
      <w:bookmarkEnd w:id="399"/>
      <w:bookmarkStart w:id="400" w:name="_Toc184308045"/>
      <w:bookmarkEnd w:id="400"/>
      <w:bookmarkStart w:id="401" w:name="_Toc184314451"/>
      <w:bookmarkEnd w:id="401"/>
      <w:bookmarkStart w:id="402" w:name="_Toc184310292"/>
      <w:bookmarkEnd w:id="402"/>
      <w:bookmarkStart w:id="403" w:name="_Toc184310282"/>
      <w:bookmarkEnd w:id="403"/>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评标办法前附表</w:t>
      </w:r>
    </w:p>
    <w:tbl>
      <w:tblPr>
        <w:tblStyle w:val="62"/>
        <w:tblpPr w:leftFromText="180" w:rightFromText="180" w:vertAnchor="text" w:horzAnchor="page" w:tblpXSpec="center" w:tblpY="12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5144"/>
        <w:gridCol w:w="691"/>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468"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序号</w:t>
            </w:r>
          </w:p>
        </w:tc>
        <w:tc>
          <w:tcPr>
            <w:tcW w:w="3028" w:type="pct"/>
            <w:vAlign w:val="center"/>
          </w:tcPr>
          <w:p>
            <w:pPr>
              <w:spacing w:line="360" w:lineRule="auto"/>
              <w:ind w:firstLine="1560" w:firstLineChars="650"/>
              <w:outlineLvl w:val="0"/>
              <w:rPr>
                <w:rFonts w:ascii="仿宋" w:hAnsi="仿宋" w:eastAsia="仿宋" w:cs="仿宋_GB2312"/>
                <w:bCs/>
                <w:sz w:val="24"/>
                <w:highlight w:val="none"/>
              </w:rPr>
            </w:pPr>
            <w:r>
              <w:rPr>
                <w:rFonts w:hint="eastAsia" w:ascii="仿宋" w:hAnsi="仿宋" w:eastAsia="仿宋" w:cs="仿宋_GB2312"/>
                <w:bCs/>
                <w:sz w:val="24"/>
                <w:highlight w:val="none"/>
              </w:rPr>
              <w:t>评标标准</w:t>
            </w:r>
          </w:p>
        </w:tc>
        <w:tc>
          <w:tcPr>
            <w:tcW w:w="407" w:type="pct"/>
            <w:vAlign w:val="center"/>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权重</w:t>
            </w:r>
          </w:p>
        </w:tc>
        <w:tc>
          <w:tcPr>
            <w:tcW w:w="1096" w:type="pct"/>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投标文件中评标标准相应的商务技术资料目录</w:t>
            </w:r>
            <w:r>
              <w:rPr>
                <w:rFonts w:ascii="宋体" w:hAnsi="宋体" w:cs="宋体"/>
                <w:sz w:val="24"/>
                <w:highlight w:val="none"/>
                <w:shd w:val="clear" w:color="auto" w:fill="FFFFFF"/>
              </w:rPr>
              <w:t> </w:t>
            </w:r>
            <w:r>
              <w:rPr>
                <w:rFonts w:ascii="仿宋" w:hAnsi="仿宋" w:eastAsia="仿宋" w:cs="Arial"/>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468" w:type="pct"/>
            <w:vAlign w:val="center"/>
          </w:tcPr>
          <w:p>
            <w:pPr>
              <w:spacing w:line="360" w:lineRule="auto"/>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028" w:type="pct"/>
            <w:vAlign w:val="center"/>
          </w:tcPr>
          <w:p>
            <w:pPr>
              <w:spacing w:line="360" w:lineRule="auto"/>
              <w:outlineLvl w:val="0"/>
              <w:rPr>
                <w:rFonts w:ascii="仿宋" w:hAnsi="仿宋" w:eastAsia="仿宋" w:cs="仿宋_GB2312"/>
                <w:sz w:val="24"/>
                <w:highlight w:val="none"/>
              </w:rPr>
            </w:pPr>
            <w:r>
              <w:rPr>
                <w:rFonts w:hint="eastAsia" w:ascii="仿宋" w:hAnsi="仿宋" w:eastAsia="仿宋" w:cs="仿宋_GB2312"/>
                <w:sz w:val="24"/>
                <w:highlight w:val="none"/>
                <w:lang w:eastAsia="zh-Hans"/>
              </w:rPr>
              <w:t>项目情况分析</w:t>
            </w:r>
            <w:r>
              <w:rPr>
                <w:rFonts w:hint="eastAsia" w:ascii="仿宋" w:hAnsi="仿宋" w:eastAsia="仿宋" w:cs="仿宋_GB2312"/>
                <w:sz w:val="24"/>
                <w:highlight w:val="none"/>
              </w:rPr>
              <w:t>:提供投标人对该项目整总体架构、现状、需求分析的整体理解，分析完整、准确到位，统筹考虑了总体目标实现的得3分，有缺项或不完善的得1分，与实际情况不符的不得分。</w:t>
            </w:r>
          </w:p>
        </w:tc>
        <w:tc>
          <w:tcPr>
            <w:tcW w:w="407" w:type="pct"/>
            <w:vAlign w:val="center"/>
          </w:tcPr>
          <w:p>
            <w:pPr>
              <w:jc w:val="center"/>
              <w:rPr>
                <w:rFonts w:hint="eastAsia" w:ascii="仿宋" w:hAnsi="仿宋" w:eastAsia="仿宋" w:cs="仿宋"/>
                <w:sz w:val="24"/>
                <w:szCs w:val="24"/>
                <w:highlight w:val="none"/>
              </w:rPr>
            </w:pPr>
          </w:p>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1096"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（一）</w:t>
            </w:r>
            <w:r>
              <w:rPr>
                <w:rFonts w:hint="eastAsia" w:ascii="仿宋" w:hAnsi="仿宋" w:eastAsia="仿宋" w:cs="仿宋"/>
                <w:sz w:val="24"/>
                <w:szCs w:val="24"/>
                <w:highlight w:val="none"/>
                <w:lang w:val="en-US" w:eastAsia="zh-CN"/>
              </w:rPr>
              <w:t>项目情况分析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468" w:type="pct"/>
            <w:vAlign w:val="center"/>
          </w:tcPr>
          <w:p>
            <w:pPr>
              <w:spacing w:line="360" w:lineRule="auto"/>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028" w:type="pct"/>
            <w:vAlign w:val="center"/>
          </w:tcPr>
          <w:p>
            <w:pPr>
              <w:spacing w:line="360" w:lineRule="auto"/>
              <w:outlineLvl w:val="0"/>
              <w:rPr>
                <w:rFonts w:ascii="仿宋" w:hAnsi="仿宋" w:eastAsia="仿宋" w:cs="仿宋_GB2312"/>
                <w:sz w:val="24"/>
                <w:highlight w:val="none"/>
              </w:rPr>
            </w:pPr>
            <w:r>
              <w:rPr>
                <w:rFonts w:hint="eastAsia" w:ascii="仿宋" w:hAnsi="仿宋" w:eastAsia="仿宋" w:cs="仿宋_GB2312"/>
                <w:sz w:val="24"/>
                <w:highlight w:val="none"/>
                <w:lang w:val="en-US" w:eastAsia="zh-CN"/>
              </w:rPr>
              <w:t>投标人</w:t>
            </w:r>
            <w:r>
              <w:rPr>
                <w:rFonts w:hint="default" w:ascii="仿宋" w:hAnsi="仿宋" w:eastAsia="仿宋" w:cs="仿宋_GB2312"/>
                <w:sz w:val="24"/>
                <w:highlight w:val="none"/>
                <w:lang w:val="en-US" w:eastAsia="zh-CN"/>
              </w:rPr>
              <w:t>阐述本项目</w:t>
            </w:r>
            <w:r>
              <w:rPr>
                <w:rFonts w:hint="eastAsia" w:ascii="仿宋" w:hAnsi="仿宋" w:eastAsia="仿宋" w:cs="仿宋_GB2312"/>
                <w:sz w:val="24"/>
                <w:highlight w:val="none"/>
                <w:lang w:val="en-US" w:eastAsia="zh-CN"/>
              </w:rPr>
              <w:t>软件开发</w:t>
            </w:r>
            <w:r>
              <w:rPr>
                <w:rFonts w:hint="default" w:ascii="仿宋" w:hAnsi="仿宋" w:eastAsia="仿宋" w:cs="仿宋_GB2312"/>
                <w:sz w:val="24"/>
                <w:highlight w:val="none"/>
                <w:lang w:val="en-US" w:eastAsia="zh-CN"/>
              </w:rPr>
              <w:t>的建设内容，包含：①一网统管驾驶舱；②指标管理平台；③一网统管指标体系服务</w:t>
            </w:r>
            <w:r>
              <w:rPr>
                <w:rFonts w:hint="eastAsia" w:ascii="仿宋" w:hAnsi="仿宋" w:eastAsia="仿宋" w:cs="仿宋_GB2312"/>
                <w:sz w:val="24"/>
                <w:highlight w:val="none"/>
                <w:lang w:val="en-US" w:eastAsia="zh-CN"/>
              </w:rPr>
              <w:t>；④事件中心管理平台、事项接入处置服务；⑤掌上指挥室；⑥任务中心管理平台；⑦时空地图数据服务、时空地图平台。</w:t>
            </w:r>
            <w:r>
              <w:rPr>
                <w:rFonts w:hint="default" w:ascii="仿宋" w:hAnsi="仿宋" w:eastAsia="仿宋" w:cs="仿宋_GB2312"/>
                <w:sz w:val="24"/>
                <w:highlight w:val="none"/>
                <w:lang w:val="en-US" w:eastAsia="zh-CN"/>
              </w:rPr>
              <w:t>内容详尽且</w:t>
            </w:r>
            <w:r>
              <w:rPr>
                <w:rFonts w:hint="eastAsia" w:ascii="仿宋" w:hAnsi="仿宋" w:eastAsia="仿宋" w:cs="仿宋_GB2312"/>
                <w:sz w:val="24"/>
                <w:highlight w:val="none"/>
                <w:lang w:val="en-US" w:eastAsia="zh-CN"/>
              </w:rPr>
              <w:t>完全</w:t>
            </w:r>
            <w:r>
              <w:rPr>
                <w:rFonts w:hint="default" w:ascii="仿宋" w:hAnsi="仿宋" w:eastAsia="仿宋" w:cs="仿宋_GB2312"/>
                <w:sz w:val="24"/>
                <w:highlight w:val="none"/>
                <w:lang w:val="en-US" w:eastAsia="zh-CN"/>
              </w:rPr>
              <w:t>满足采购需求的，每一项得</w:t>
            </w:r>
            <w:r>
              <w:rPr>
                <w:rFonts w:hint="eastAsia" w:ascii="仿宋" w:hAnsi="仿宋" w:eastAsia="仿宋" w:cs="仿宋_GB2312"/>
                <w:sz w:val="24"/>
                <w:highlight w:val="none"/>
                <w:lang w:val="en-US" w:eastAsia="zh-CN"/>
              </w:rPr>
              <w:t>3</w:t>
            </w:r>
            <w:r>
              <w:rPr>
                <w:rFonts w:hint="default" w:ascii="仿宋" w:hAnsi="仿宋" w:eastAsia="仿宋" w:cs="仿宋_GB2312"/>
                <w:sz w:val="24"/>
                <w:highlight w:val="none"/>
                <w:lang w:val="en-US" w:eastAsia="zh-CN"/>
              </w:rPr>
              <w:t>分</w:t>
            </w:r>
            <w:r>
              <w:rPr>
                <w:rFonts w:hint="eastAsia" w:ascii="仿宋" w:hAnsi="仿宋" w:eastAsia="仿宋" w:cs="仿宋_GB2312"/>
                <w:sz w:val="24"/>
                <w:highlight w:val="none"/>
                <w:lang w:val="en-US" w:eastAsia="zh-CN"/>
              </w:rPr>
              <w:t>；内容完整且基本满足采购需求的得2分；</w:t>
            </w:r>
            <w:r>
              <w:rPr>
                <w:rFonts w:hint="default" w:ascii="仿宋" w:hAnsi="仿宋" w:eastAsia="仿宋" w:cs="仿宋_GB2312"/>
                <w:sz w:val="24"/>
                <w:highlight w:val="none"/>
                <w:lang w:val="en-US" w:eastAsia="zh-CN"/>
              </w:rPr>
              <w:t>内容缺少或部分满足采购人需求的，每一项得</w:t>
            </w:r>
            <w:r>
              <w:rPr>
                <w:rFonts w:hint="eastAsia" w:ascii="仿宋" w:hAnsi="仿宋" w:eastAsia="仿宋" w:cs="仿宋_GB2312"/>
                <w:sz w:val="24"/>
                <w:highlight w:val="none"/>
                <w:lang w:val="en-US" w:eastAsia="zh-CN"/>
              </w:rPr>
              <w:t>1</w:t>
            </w:r>
            <w:r>
              <w:rPr>
                <w:rFonts w:hint="default" w:ascii="仿宋" w:hAnsi="仿宋" w:eastAsia="仿宋" w:cs="仿宋_GB2312"/>
                <w:sz w:val="24"/>
                <w:highlight w:val="none"/>
                <w:lang w:val="en-US" w:eastAsia="zh-CN"/>
              </w:rPr>
              <w:t>分</w:t>
            </w:r>
            <w:r>
              <w:rPr>
                <w:rFonts w:hint="eastAsia" w:ascii="仿宋" w:hAnsi="仿宋" w:eastAsia="仿宋" w:cs="仿宋_GB2312"/>
                <w:sz w:val="24"/>
                <w:highlight w:val="none"/>
                <w:lang w:val="en-US" w:eastAsia="zh-CN"/>
              </w:rPr>
              <w:t>；</w:t>
            </w:r>
            <w:r>
              <w:rPr>
                <w:rFonts w:hint="default" w:ascii="仿宋" w:hAnsi="仿宋" w:eastAsia="仿宋" w:cs="仿宋_GB2312"/>
                <w:sz w:val="24"/>
                <w:highlight w:val="none"/>
                <w:lang w:val="en-US" w:eastAsia="zh-CN"/>
              </w:rPr>
              <w:t>无内容或不满足采购人需求的不得分，</w:t>
            </w:r>
            <w:r>
              <w:rPr>
                <w:rFonts w:hint="eastAsia" w:ascii="仿宋" w:hAnsi="仿宋" w:eastAsia="仿宋" w:cs="仿宋_GB2312"/>
                <w:sz w:val="24"/>
                <w:highlight w:val="none"/>
                <w:lang w:val="en-US" w:eastAsia="zh-CN"/>
              </w:rPr>
              <w:t>共21</w:t>
            </w:r>
            <w:r>
              <w:rPr>
                <w:rFonts w:hint="default" w:ascii="仿宋" w:hAnsi="仿宋" w:eastAsia="仿宋" w:cs="仿宋_GB2312"/>
                <w:sz w:val="24"/>
                <w:highlight w:val="none"/>
                <w:lang w:val="en-US" w:eastAsia="zh-CN"/>
              </w:rPr>
              <w:t>分</w:t>
            </w:r>
            <w:r>
              <w:rPr>
                <w:rFonts w:hint="eastAsia" w:ascii="仿宋" w:hAnsi="仿宋" w:eastAsia="仿宋" w:cs="仿宋_GB2312"/>
                <w:sz w:val="24"/>
                <w:highlight w:val="none"/>
                <w:lang w:val="en-US" w:eastAsia="zh-CN"/>
              </w:rPr>
              <w:t>。</w:t>
            </w:r>
          </w:p>
        </w:tc>
        <w:tc>
          <w:tcPr>
            <w:tcW w:w="407" w:type="pct"/>
            <w:vAlign w:val="center"/>
          </w:tcPr>
          <w:p>
            <w:pPr>
              <w:jc w:val="center"/>
              <w:rPr>
                <w:rFonts w:hint="eastAsia" w:ascii="仿宋" w:hAnsi="仿宋" w:eastAsia="仿宋" w:cs="仿宋"/>
                <w:sz w:val="24"/>
                <w:szCs w:val="24"/>
                <w:highlight w:val="none"/>
              </w:rPr>
            </w:pPr>
          </w:p>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21</w:t>
            </w:r>
          </w:p>
        </w:tc>
        <w:tc>
          <w:tcPr>
            <w:tcW w:w="1096"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（二）软件开发建设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vAlign w:val="center"/>
          </w:tcPr>
          <w:p>
            <w:pPr>
              <w:spacing w:line="360" w:lineRule="auto"/>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3028" w:type="pct"/>
            <w:vAlign w:val="center"/>
          </w:tcPr>
          <w:p>
            <w:pPr>
              <w:spacing w:line="360" w:lineRule="auto"/>
              <w:outlineLvl w:val="0"/>
              <w:rPr>
                <w:rFonts w:hint="default" w:ascii="仿宋" w:hAnsi="仿宋" w:eastAsia="仿宋" w:cs="仿宋_GB2312"/>
                <w:sz w:val="24"/>
                <w:highlight w:val="none"/>
                <w:lang w:val="en-US" w:eastAsia="zh-CN"/>
              </w:rPr>
            </w:pPr>
            <w:r>
              <w:rPr>
                <w:rFonts w:hint="default" w:ascii="仿宋" w:hAnsi="仿宋" w:eastAsia="仿宋" w:cs="仿宋_GB2312"/>
                <w:sz w:val="24"/>
                <w:highlight w:val="none"/>
                <w:lang w:val="en-US" w:eastAsia="zh-CN"/>
              </w:rPr>
              <w:t>指标管理平台</w:t>
            </w:r>
            <w:r>
              <w:rPr>
                <w:rFonts w:hint="eastAsia" w:ascii="仿宋" w:hAnsi="仿宋" w:eastAsia="仿宋" w:cs="仿宋_GB2312"/>
                <w:sz w:val="24"/>
                <w:highlight w:val="none"/>
                <w:lang w:val="en-US" w:eastAsia="zh-CN"/>
              </w:rPr>
              <w:t>、</w:t>
            </w:r>
            <w:r>
              <w:rPr>
                <w:rFonts w:hint="default" w:ascii="仿宋" w:hAnsi="仿宋" w:eastAsia="仿宋" w:cs="仿宋_GB2312"/>
                <w:sz w:val="24"/>
                <w:highlight w:val="none"/>
                <w:lang w:val="en-US" w:eastAsia="zh-CN"/>
              </w:rPr>
              <w:t>服务器GIS</w:t>
            </w:r>
            <w:r>
              <w:rPr>
                <w:rFonts w:hint="eastAsia" w:ascii="仿宋" w:hAnsi="仿宋" w:eastAsia="仿宋" w:cs="仿宋_GB2312"/>
                <w:sz w:val="24"/>
                <w:highlight w:val="none"/>
                <w:lang w:val="en-US" w:eastAsia="zh-CN"/>
              </w:rPr>
              <w:t>平台</w:t>
            </w:r>
            <w:r>
              <w:rPr>
                <w:rFonts w:hint="default" w:ascii="仿宋" w:hAnsi="仿宋" w:eastAsia="仿宋" w:cs="仿宋_GB2312"/>
                <w:sz w:val="24"/>
                <w:highlight w:val="none"/>
                <w:lang w:val="en-US" w:eastAsia="zh-CN"/>
              </w:rPr>
              <w:t>、桌面GIS</w:t>
            </w:r>
            <w:r>
              <w:rPr>
                <w:rFonts w:hint="eastAsia" w:ascii="仿宋" w:hAnsi="仿宋" w:eastAsia="仿宋" w:cs="仿宋_GB2312"/>
                <w:sz w:val="24"/>
                <w:highlight w:val="none"/>
                <w:lang w:val="en-US" w:eastAsia="zh-CN"/>
              </w:rPr>
              <w:t>平台</w:t>
            </w:r>
            <w:r>
              <w:rPr>
                <w:rFonts w:hint="default" w:ascii="仿宋" w:hAnsi="仿宋" w:eastAsia="仿宋" w:cs="仿宋_GB2312"/>
                <w:sz w:val="24"/>
                <w:highlight w:val="none"/>
                <w:lang w:val="en-US" w:eastAsia="zh-CN"/>
              </w:rPr>
              <w:t>的技术指标的吻合程度和偏差情况</w:t>
            </w:r>
            <w:r>
              <w:rPr>
                <w:rFonts w:hint="eastAsia" w:ascii="仿宋" w:hAnsi="仿宋" w:eastAsia="仿宋" w:cs="仿宋_GB2312"/>
                <w:sz w:val="24"/>
                <w:highlight w:val="none"/>
                <w:lang w:val="en-US" w:eastAsia="zh-CN"/>
              </w:rPr>
              <w:t>，</w:t>
            </w:r>
            <w:r>
              <w:rPr>
                <w:rFonts w:hint="default" w:ascii="仿宋" w:hAnsi="仿宋" w:eastAsia="仿宋" w:cs="仿宋_GB2312"/>
                <w:sz w:val="24"/>
                <w:highlight w:val="none"/>
                <w:lang w:val="en-US" w:eastAsia="zh-CN"/>
              </w:rPr>
              <w:t>满足</w:t>
            </w:r>
            <w:r>
              <w:rPr>
                <w:rFonts w:hint="eastAsia" w:ascii="仿宋" w:hAnsi="仿宋" w:eastAsia="仿宋" w:cs="仿宋_GB2312"/>
                <w:sz w:val="24"/>
                <w:highlight w:val="none"/>
                <w:lang w:val="en-US" w:eastAsia="zh-CN"/>
              </w:rPr>
              <w:t>采购</w:t>
            </w:r>
            <w:r>
              <w:rPr>
                <w:rFonts w:hint="default" w:ascii="仿宋" w:hAnsi="仿宋" w:eastAsia="仿宋" w:cs="仿宋_GB2312"/>
                <w:sz w:val="24"/>
                <w:highlight w:val="none"/>
                <w:lang w:val="en-US" w:eastAsia="zh-CN"/>
              </w:rPr>
              <w:t>件技术指标的得基准分</w:t>
            </w:r>
            <w:r>
              <w:rPr>
                <w:rFonts w:hint="eastAsia" w:ascii="仿宋" w:hAnsi="仿宋" w:eastAsia="仿宋" w:cs="仿宋_GB2312"/>
                <w:sz w:val="24"/>
                <w:highlight w:val="none"/>
                <w:lang w:val="en-US" w:eastAsia="zh-CN"/>
              </w:rPr>
              <w:t>8</w:t>
            </w:r>
            <w:r>
              <w:rPr>
                <w:rFonts w:hint="default" w:ascii="仿宋" w:hAnsi="仿宋" w:eastAsia="仿宋" w:cs="仿宋_GB2312"/>
                <w:sz w:val="24"/>
                <w:highlight w:val="none"/>
                <w:lang w:val="en-US" w:eastAsia="zh-CN"/>
              </w:rPr>
              <w:t>分，</w:t>
            </w:r>
            <w:r>
              <w:rPr>
                <w:rFonts w:hint="eastAsia" w:ascii="仿宋" w:hAnsi="仿宋" w:eastAsia="仿宋" w:cs="仿宋_GB2312"/>
                <w:sz w:val="24"/>
                <w:highlight w:val="none"/>
                <w:lang w:val="en-US" w:eastAsia="zh-CN"/>
              </w:rPr>
              <w:t>技术指标</w:t>
            </w:r>
            <w:r>
              <w:rPr>
                <w:rFonts w:hint="default" w:ascii="仿宋" w:hAnsi="仿宋" w:eastAsia="仿宋" w:cs="仿宋_GB2312"/>
                <w:sz w:val="24"/>
                <w:highlight w:val="none"/>
                <w:lang w:val="en-US" w:eastAsia="zh-CN"/>
              </w:rPr>
              <w:t>要求负偏离或未响应的每项扣</w:t>
            </w:r>
            <w:r>
              <w:rPr>
                <w:rFonts w:hint="eastAsia" w:ascii="仿宋" w:hAnsi="仿宋" w:eastAsia="仿宋" w:cs="仿宋_GB2312"/>
                <w:sz w:val="24"/>
                <w:highlight w:val="none"/>
                <w:lang w:val="en-US" w:eastAsia="zh-CN"/>
              </w:rPr>
              <w:t>1</w:t>
            </w:r>
            <w:r>
              <w:rPr>
                <w:rFonts w:hint="default" w:ascii="仿宋" w:hAnsi="仿宋" w:eastAsia="仿宋" w:cs="仿宋_GB2312"/>
                <w:sz w:val="24"/>
                <w:highlight w:val="none"/>
                <w:lang w:val="en-US" w:eastAsia="zh-CN"/>
              </w:rPr>
              <w:t>分（无实质性意义的负偏离不扣分）</w:t>
            </w:r>
            <w:r>
              <w:rPr>
                <w:rFonts w:hint="eastAsia" w:ascii="仿宋" w:hAnsi="仿宋" w:eastAsia="仿宋" w:cs="仿宋_GB2312"/>
                <w:sz w:val="24"/>
                <w:highlight w:val="none"/>
                <w:lang w:val="en-US" w:eastAsia="zh-CN"/>
              </w:rPr>
              <w:t>，共8分。</w:t>
            </w:r>
          </w:p>
          <w:p>
            <w:pPr>
              <w:spacing w:line="360" w:lineRule="auto"/>
              <w:outlineLvl w:val="0"/>
              <w:rPr>
                <w:rFonts w:ascii="仿宋" w:hAnsi="仿宋" w:eastAsia="仿宋" w:cs="仿宋_GB2312"/>
                <w:sz w:val="24"/>
                <w:highlight w:val="none"/>
              </w:rPr>
            </w:pPr>
            <w:r>
              <w:rPr>
                <w:rFonts w:hint="default" w:ascii="仿宋" w:hAnsi="仿宋" w:eastAsia="仿宋" w:cs="仿宋_GB2312"/>
                <w:sz w:val="24"/>
                <w:highlight w:val="none"/>
                <w:lang w:val="en-US" w:eastAsia="zh-CN"/>
              </w:rPr>
              <w:t>注：要求提供测试报告复印件、证书复印件等证明材料而未提供视作一项负偏离。</w:t>
            </w:r>
          </w:p>
        </w:tc>
        <w:tc>
          <w:tcPr>
            <w:tcW w:w="407" w:type="pct"/>
            <w:vAlign w:val="center"/>
          </w:tcPr>
          <w:p>
            <w:pPr>
              <w:jc w:val="center"/>
              <w:rPr>
                <w:rFonts w:hint="eastAsia" w:ascii="仿宋" w:hAnsi="仿宋" w:eastAsia="仿宋" w:cs="仿宋"/>
                <w:sz w:val="24"/>
                <w:szCs w:val="24"/>
                <w:highlight w:val="none"/>
              </w:rPr>
            </w:pPr>
          </w:p>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c>
          <w:tcPr>
            <w:tcW w:w="1096"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（三）平台偏差情况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c>
          <w:tcPr>
            <w:tcW w:w="3028" w:type="pct"/>
            <w:vAlign w:val="center"/>
          </w:tcPr>
          <w:p>
            <w:pPr>
              <w:spacing w:line="360" w:lineRule="auto"/>
              <w:outlineLvl w:val="0"/>
              <w:rPr>
                <w:rFonts w:hint="default" w:ascii="仿宋" w:hAnsi="仿宋" w:eastAsia="仿宋" w:cs="仿宋_GB2312"/>
                <w:sz w:val="24"/>
                <w:highlight w:val="none"/>
                <w:lang w:val="en-US" w:eastAsia="zh-CN"/>
              </w:rPr>
            </w:pPr>
            <w:r>
              <w:rPr>
                <w:rFonts w:hint="eastAsia" w:ascii="仿宋" w:hAnsi="仿宋" w:eastAsia="仿宋" w:cs="仿宋_GB2312"/>
                <w:sz w:val="24"/>
                <w:szCs w:val="24"/>
                <w:highlight w:val="none"/>
                <w:lang w:eastAsia="zh-CN"/>
              </w:rPr>
              <w:t>项目实施方案</w:t>
            </w:r>
            <w:r>
              <w:rPr>
                <w:rFonts w:hint="eastAsia" w:ascii="仿宋" w:hAnsi="仿宋" w:eastAsia="仿宋" w:cs="仿宋_GB2312"/>
                <w:sz w:val="24"/>
                <w:szCs w:val="24"/>
                <w:highlight w:val="none"/>
                <w:lang w:val="en-US" w:eastAsia="zh-CN"/>
              </w:rPr>
              <w:t>:</w:t>
            </w:r>
            <w:r>
              <w:rPr>
                <w:rFonts w:hint="eastAsia" w:ascii="仿宋" w:hAnsi="仿宋" w:eastAsia="仿宋" w:cs="仿宋_GB2312"/>
                <w:sz w:val="24"/>
                <w:szCs w:val="24"/>
                <w:highlight w:val="none"/>
              </w:rPr>
              <w:t>投标人应根据</w:t>
            </w:r>
            <w:r>
              <w:rPr>
                <w:rFonts w:hint="eastAsia" w:ascii="仿宋" w:hAnsi="仿宋" w:eastAsia="仿宋" w:cs="仿宋_GB2312"/>
                <w:sz w:val="24"/>
                <w:szCs w:val="24"/>
                <w:highlight w:val="none"/>
                <w:lang w:val="en-US" w:eastAsia="zh-CN"/>
              </w:rPr>
              <w:t>采购需求</w:t>
            </w:r>
            <w:r>
              <w:rPr>
                <w:rFonts w:hint="eastAsia" w:ascii="仿宋" w:hAnsi="仿宋" w:eastAsia="仿宋" w:cs="仿宋_GB2312"/>
                <w:sz w:val="24"/>
                <w:szCs w:val="24"/>
                <w:highlight w:val="none"/>
              </w:rPr>
              <w:t>中工作内容提供一份完整的项目进度计划，以确定各阶段的主要工作内容、成果及其进度。进度安排完善、可行性强的得</w:t>
            </w:r>
            <w:r>
              <w:rPr>
                <w:rFonts w:hint="eastAsia" w:ascii="仿宋" w:hAnsi="仿宋" w:eastAsia="仿宋" w:cs="仿宋_GB2312"/>
                <w:sz w:val="24"/>
                <w:szCs w:val="24"/>
                <w:highlight w:val="none"/>
                <w:lang w:val="en-US" w:eastAsia="zh-CN"/>
              </w:rPr>
              <w:t>3</w:t>
            </w:r>
            <w:r>
              <w:rPr>
                <w:rFonts w:hint="eastAsia" w:ascii="仿宋" w:hAnsi="仿宋" w:eastAsia="仿宋" w:cs="仿宋_GB2312"/>
                <w:sz w:val="24"/>
                <w:szCs w:val="24"/>
                <w:highlight w:val="none"/>
              </w:rPr>
              <w:t>分，计划较完善、可行性较强的得</w:t>
            </w:r>
            <w:r>
              <w:rPr>
                <w:rFonts w:hint="eastAsia" w:ascii="仿宋" w:hAnsi="仿宋" w:eastAsia="仿宋" w:cs="仿宋_GB2312"/>
                <w:sz w:val="24"/>
                <w:szCs w:val="24"/>
                <w:highlight w:val="none"/>
                <w:lang w:val="en-US" w:eastAsia="zh-CN"/>
              </w:rPr>
              <w:t>2</w:t>
            </w:r>
            <w:r>
              <w:rPr>
                <w:rFonts w:hint="eastAsia" w:ascii="仿宋" w:hAnsi="仿宋" w:eastAsia="仿宋" w:cs="仿宋_GB2312"/>
                <w:sz w:val="24"/>
                <w:szCs w:val="24"/>
                <w:highlight w:val="none"/>
              </w:rPr>
              <w:t>分，进度安排一般的得1分</w:t>
            </w:r>
            <w:r>
              <w:rPr>
                <w:rFonts w:hint="eastAsia" w:ascii="仿宋" w:hAnsi="仿宋" w:eastAsia="仿宋" w:cs="仿宋_GB2312"/>
                <w:sz w:val="24"/>
                <w:szCs w:val="24"/>
                <w:highlight w:val="none"/>
                <w:lang w:eastAsia="zh-CN"/>
              </w:rPr>
              <w:t>，无计划或计划不合理的不得分</w:t>
            </w:r>
            <w:r>
              <w:rPr>
                <w:rFonts w:hint="eastAsia" w:ascii="仿宋" w:hAnsi="仿宋" w:eastAsia="仿宋" w:cs="仿宋_GB2312"/>
                <w:sz w:val="24"/>
                <w:szCs w:val="24"/>
                <w:highlight w:val="none"/>
              </w:rPr>
              <w:t>。</w:t>
            </w:r>
            <w:r>
              <w:rPr>
                <w:rFonts w:hint="eastAsia" w:ascii="仿宋" w:hAnsi="仿宋" w:eastAsia="仿宋" w:cs="仿宋_GB2312"/>
                <w:sz w:val="24"/>
                <w:szCs w:val="24"/>
                <w:highlight w:val="none"/>
                <w:lang w:eastAsia="zh-CN"/>
              </w:rPr>
              <w:t>共</w:t>
            </w:r>
            <w:r>
              <w:rPr>
                <w:rFonts w:hint="eastAsia" w:ascii="仿宋" w:hAnsi="仿宋" w:eastAsia="仿宋" w:cs="仿宋_GB2312"/>
                <w:sz w:val="24"/>
                <w:szCs w:val="24"/>
                <w:highlight w:val="none"/>
                <w:lang w:val="en-US" w:eastAsia="zh-CN"/>
              </w:rPr>
              <w:t>3分。</w:t>
            </w:r>
          </w:p>
        </w:tc>
        <w:tc>
          <w:tcPr>
            <w:tcW w:w="407" w:type="pct"/>
            <w:vAlign w:val="center"/>
          </w:tcPr>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1096"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（四）实施进度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68"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3028" w:type="pct"/>
            <w:vAlign w:val="center"/>
          </w:tcPr>
          <w:p>
            <w:pPr>
              <w:spacing w:line="360" w:lineRule="auto"/>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eastAsia="zh-CN"/>
              </w:rPr>
              <w:t>①</w:t>
            </w:r>
            <w:r>
              <w:rPr>
                <w:rFonts w:hint="eastAsia" w:ascii="仿宋" w:hAnsi="仿宋" w:eastAsia="仿宋" w:cs="仿宋_GB2312"/>
                <w:sz w:val="24"/>
                <w:highlight w:val="none"/>
                <w:lang w:eastAsia="zh-Hans"/>
              </w:rPr>
              <w:t>本项目拟派项目</w:t>
            </w:r>
            <w:r>
              <w:rPr>
                <w:rFonts w:hint="eastAsia" w:ascii="仿宋" w:hAnsi="仿宋" w:eastAsia="仿宋" w:cs="仿宋_GB2312"/>
                <w:sz w:val="24"/>
                <w:highlight w:val="none"/>
                <w:lang w:eastAsia="zh-CN"/>
              </w:rPr>
              <w:t>负责人</w:t>
            </w:r>
            <w:r>
              <w:rPr>
                <w:rFonts w:hint="eastAsia" w:ascii="仿宋" w:hAnsi="仿宋" w:eastAsia="仿宋" w:cs="仿宋_GB2312"/>
                <w:sz w:val="24"/>
                <w:highlight w:val="none"/>
                <w:lang w:eastAsia="zh-Hans"/>
              </w:rPr>
              <w:t>具备高级工程师（信息化相关）</w:t>
            </w:r>
            <w:r>
              <w:rPr>
                <w:rFonts w:hint="eastAsia" w:ascii="仿宋" w:hAnsi="仿宋" w:eastAsia="仿宋" w:cs="仿宋_GB2312"/>
                <w:sz w:val="24"/>
                <w:highlight w:val="none"/>
                <w:lang w:eastAsia="zh-CN"/>
              </w:rPr>
              <w:t>、</w:t>
            </w:r>
            <w:bookmarkStart w:id="529" w:name="_GoBack"/>
            <w:bookmarkEnd w:id="529"/>
            <w:r>
              <w:rPr>
                <w:rFonts w:hint="eastAsia" w:ascii="仿宋" w:hAnsi="仿宋" w:eastAsia="仿宋" w:cs="仿宋_GB2312"/>
                <w:sz w:val="24"/>
                <w:highlight w:val="none"/>
                <w:lang w:eastAsia="zh-Hans"/>
              </w:rPr>
              <w:t>信息系统项目管理师的</w:t>
            </w:r>
            <w:r>
              <w:rPr>
                <w:rFonts w:hint="eastAsia" w:ascii="仿宋" w:hAnsi="仿宋" w:eastAsia="仿宋" w:cs="仿宋_GB2312"/>
                <w:sz w:val="24"/>
                <w:highlight w:val="none"/>
                <w:lang w:eastAsia="zh-CN"/>
              </w:rPr>
              <w:t>，每个证书</w:t>
            </w:r>
            <w:r>
              <w:rPr>
                <w:rFonts w:hint="eastAsia" w:ascii="仿宋" w:hAnsi="仿宋" w:eastAsia="仿宋" w:cs="仿宋_GB2312"/>
                <w:sz w:val="24"/>
                <w:highlight w:val="none"/>
                <w:lang w:eastAsia="zh-Hans"/>
              </w:rPr>
              <w:t>得</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Hans"/>
              </w:rPr>
              <w:t>分；</w:t>
            </w:r>
            <w:r>
              <w:rPr>
                <w:rFonts w:hint="eastAsia" w:ascii="仿宋" w:hAnsi="仿宋" w:eastAsia="仿宋" w:cs="仿宋_GB2312"/>
                <w:sz w:val="24"/>
                <w:highlight w:val="none"/>
                <w:lang w:eastAsia="zh-CN"/>
              </w:rPr>
              <w:t>②</w:t>
            </w:r>
            <w:r>
              <w:rPr>
                <w:rFonts w:hint="eastAsia" w:ascii="仿宋" w:hAnsi="仿宋" w:eastAsia="仿宋" w:cs="仿宋_GB2312"/>
                <w:sz w:val="24"/>
                <w:highlight w:val="none"/>
                <w:lang w:eastAsia="zh-Hans"/>
              </w:rPr>
              <w:t>项目组实施人员</w:t>
            </w:r>
            <w:r>
              <w:rPr>
                <w:rFonts w:hint="eastAsia" w:ascii="仿宋" w:hAnsi="仿宋" w:eastAsia="仿宋" w:cs="仿宋_GB2312"/>
                <w:sz w:val="24"/>
                <w:highlight w:val="none"/>
                <w:lang w:eastAsia="zh-CN"/>
              </w:rPr>
              <w:t>（不含项目负责人）</w:t>
            </w:r>
            <w:r>
              <w:rPr>
                <w:rFonts w:hint="eastAsia" w:ascii="仿宋" w:hAnsi="仿宋" w:eastAsia="仿宋" w:cs="仿宋_GB2312"/>
                <w:sz w:val="24"/>
                <w:highlight w:val="none"/>
                <w:lang w:eastAsia="zh-Hans"/>
              </w:rPr>
              <w:t>具备高级工程师（信息化相关）的</w:t>
            </w:r>
            <w:r>
              <w:rPr>
                <w:rFonts w:hint="eastAsia" w:ascii="仿宋" w:hAnsi="仿宋" w:eastAsia="仿宋" w:cs="仿宋_GB2312"/>
                <w:sz w:val="24"/>
                <w:highlight w:val="none"/>
                <w:lang w:eastAsia="zh-CN"/>
              </w:rPr>
              <w:t>，每人</w:t>
            </w:r>
            <w:r>
              <w:rPr>
                <w:rFonts w:hint="eastAsia" w:ascii="仿宋" w:hAnsi="仿宋" w:eastAsia="仿宋" w:cs="仿宋_GB2312"/>
                <w:sz w:val="24"/>
                <w:highlight w:val="none"/>
                <w:lang w:eastAsia="zh-Hans"/>
              </w:rPr>
              <w:t>得1分</w:t>
            </w:r>
            <w:r>
              <w:rPr>
                <w:rFonts w:hint="eastAsia" w:ascii="仿宋" w:hAnsi="仿宋" w:eastAsia="仿宋" w:cs="仿宋_GB2312"/>
                <w:sz w:val="24"/>
                <w:highlight w:val="none"/>
                <w:lang w:eastAsia="zh-CN"/>
              </w:rPr>
              <w:t>。最高得</w:t>
            </w:r>
            <w:r>
              <w:rPr>
                <w:rFonts w:hint="eastAsia" w:ascii="仿宋" w:hAnsi="仿宋" w:eastAsia="仿宋" w:cs="仿宋_GB2312"/>
                <w:sz w:val="24"/>
                <w:highlight w:val="none"/>
                <w:lang w:val="en-US" w:eastAsia="zh-CN"/>
              </w:rPr>
              <w:t>3分。共7分。</w:t>
            </w:r>
          </w:p>
          <w:p>
            <w:pPr>
              <w:spacing w:line="360" w:lineRule="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以上提供实施人员清单、相关证书、社保证明，否则不得分。</w:t>
            </w:r>
          </w:p>
        </w:tc>
        <w:tc>
          <w:tcPr>
            <w:tcW w:w="407"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p>
        </w:tc>
        <w:tc>
          <w:tcPr>
            <w:tcW w:w="1096"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（五）项目组成员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p>
        </w:tc>
        <w:tc>
          <w:tcPr>
            <w:tcW w:w="3028" w:type="pct"/>
            <w:vAlign w:val="center"/>
          </w:tcPr>
          <w:p>
            <w:pPr>
              <w:spacing w:line="360" w:lineRule="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zh-CN" w:eastAsia="zh-CN"/>
              </w:rPr>
              <w:t>测试及验收方案：投标人是否提出合理可行的功能测试及验收方案。满足得</w:t>
            </w:r>
            <w:r>
              <w:rPr>
                <w:rFonts w:hint="eastAsia" w:ascii="仿宋" w:hAnsi="仿宋" w:eastAsia="仿宋" w:cs="仿宋_GB2312"/>
                <w:sz w:val="24"/>
                <w:highlight w:val="none"/>
                <w:lang w:val="en-US" w:eastAsia="zh-CN"/>
              </w:rPr>
              <w:t>3</w:t>
            </w:r>
            <w:r>
              <w:rPr>
                <w:rFonts w:hint="eastAsia" w:ascii="仿宋" w:hAnsi="仿宋" w:eastAsia="仿宋" w:cs="仿宋_GB2312"/>
                <w:sz w:val="24"/>
                <w:highlight w:val="none"/>
                <w:lang w:val="zh-CN" w:eastAsia="zh-CN"/>
              </w:rPr>
              <w:t>分，部分满足得1分，不满足不得分，共</w:t>
            </w:r>
            <w:r>
              <w:rPr>
                <w:rFonts w:hint="eastAsia" w:ascii="仿宋" w:hAnsi="仿宋" w:eastAsia="仿宋" w:cs="仿宋_GB2312"/>
                <w:sz w:val="24"/>
                <w:highlight w:val="none"/>
                <w:lang w:val="en-US" w:eastAsia="zh-CN"/>
              </w:rPr>
              <w:t>3分。</w:t>
            </w:r>
          </w:p>
        </w:tc>
        <w:tc>
          <w:tcPr>
            <w:tcW w:w="407"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1096"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lang w:val="zh-CN" w:eastAsia="zh-CN"/>
              </w:rPr>
              <w:t>测试及验收方案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p>
        </w:tc>
        <w:tc>
          <w:tcPr>
            <w:tcW w:w="3028" w:type="pct"/>
            <w:vAlign w:val="center"/>
          </w:tcPr>
          <w:p>
            <w:pPr>
              <w:spacing w:line="360" w:lineRule="auto"/>
              <w:outlineLvl w:val="0"/>
              <w:rPr>
                <w:rFonts w:hint="eastAsia" w:ascii="仿宋" w:hAnsi="仿宋" w:eastAsia="仿宋" w:cs="仿宋_GB2312"/>
                <w:sz w:val="24"/>
                <w:highlight w:val="none"/>
                <w:lang w:eastAsia="zh-Hans"/>
              </w:rPr>
            </w:pPr>
            <w:r>
              <w:rPr>
                <w:rFonts w:hint="eastAsia" w:ascii="仿宋" w:hAnsi="仿宋" w:eastAsia="仿宋" w:cs="仿宋_GB2312"/>
                <w:sz w:val="24"/>
                <w:highlight w:val="none"/>
                <w:lang w:eastAsia="zh-Hans"/>
              </w:rPr>
              <w:t>培训方案：培训计划包括培训内容、培训时间地点、培训对象，培训师资力量等；根据培训方案内容进行评分，每一项科学合理，利于实际操作的得0.5分。共2分。</w:t>
            </w:r>
          </w:p>
        </w:tc>
        <w:tc>
          <w:tcPr>
            <w:tcW w:w="407"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96"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（七）</w:t>
            </w:r>
            <w:r>
              <w:rPr>
                <w:rFonts w:hint="eastAsia" w:ascii="仿宋" w:hAnsi="仿宋" w:eastAsia="仿宋" w:cs="仿宋"/>
                <w:sz w:val="24"/>
                <w:szCs w:val="24"/>
                <w:highlight w:val="none"/>
                <w:lang w:eastAsia="zh-Hans"/>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c>
          <w:tcPr>
            <w:tcW w:w="3028" w:type="pct"/>
            <w:vAlign w:val="center"/>
          </w:tcPr>
          <w:p>
            <w:pPr>
              <w:spacing w:line="360" w:lineRule="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eastAsia="zh-CN"/>
              </w:rPr>
              <w:t>投标人承诺</w:t>
            </w:r>
            <w:r>
              <w:rPr>
                <w:rFonts w:hint="eastAsia" w:ascii="仿宋" w:hAnsi="仿宋" w:eastAsia="仿宋" w:cs="仿宋_GB2312"/>
                <w:sz w:val="24"/>
                <w:highlight w:val="none"/>
                <w:lang w:eastAsia="zh-Hans"/>
              </w:rPr>
              <w:t>提供三年</w:t>
            </w:r>
            <w:r>
              <w:rPr>
                <w:rFonts w:hint="eastAsia" w:ascii="仿宋" w:hAnsi="仿宋" w:eastAsia="仿宋" w:cs="仿宋_GB2312"/>
                <w:sz w:val="24"/>
                <w:highlight w:val="none"/>
                <w:lang w:eastAsia="zh-CN"/>
              </w:rPr>
              <w:t>不少于</w:t>
            </w:r>
            <w:r>
              <w:rPr>
                <w:rFonts w:hint="eastAsia" w:ascii="仿宋" w:hAnsi="仿宋" w:eastAsia="仿宋" w:cs="仿宋_GB2312"/>
                <w:sz w:val="24"/>
                <w:highlight w:val="none"/>
                <w:lang w:eastAsia="zh-Hans"/>
              </w:rPr>
              <w:t>两人的驻场运维服务，</w:t>
            </w:r>
            <w:r>
              <w:rPr>
                <w:rFonts w:hint="eastAsia" w:ascii="仿宋" w:hAnsi="仿宋" w:eastAsia="仿宋" w:cs="仿宋_GB2312"/>
                <w:sz w:val="24"/>
                <w:highlight w:val="none"/>
                <w:lang w:eastAsia="zh-CN"/>
              </w:rPr>
              <w:t>提供相关承诺的得</w:t>
            </w:r>
            <w:r>
              <w:rPr>
                <w:rFonts w:hint="eastAsia" w:ascii="仿宋" w:hAnsi="仿宋" w:eastAsia="仿宋" w:cs="仿宋_GB2312"/>
                <w:sz w:val="24"/>
                <w:highlight w:val="none"/>
                <w:lang w:val="en-US" w:eastAsia="zh-CN"/>
              </w:rPr>
              <w:t>3分，否则不得分。</w:t>
            </w:r>
          </w:p>
        </w:tc>
        <w:tc>
          <w:tcPr>
            <w:tcW w:w="407"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1096"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（八）</w:t>
            </w:r>
            <w:r>
              <w:rPr>
                <w:rFonts w:hint="eastAsia" w:ascii="仿宋" w:hAnsi="仿宋" w:eastAsia="仿宋" w:cs="仿宋"/>
                <w:sz w:val="24"/>
                <w:szCs w:val="24"/>
                <w:highlight w:val="none"/>
                <w:lang w:eastAsia="zh-Hans"/>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w:t>
            </w:r>
          </w:p>
        </w:tc>
        <w:tc>
          <w:tcPr>
            <w:tcW w:w="3028" w:type="pct"/>
            <w:vAlign w:val="center"/>
          </w:tcPr>
          <w:p>
            <w:pPr>
              <w:spacing w:line="360" w:lineRule="auto"/>
              <w:outlineLvl w:val="0"/>
              <w:rPr>
                <w:rFonts w:hint="eastAsia"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eastAsia="zh-Hans"/>
              </w:rPr>
              <w:t>投标人应提供明确的质量保证目标，质量保证措施和质量体系，要求合理先进并具有详细的实施内容等，满足得</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Hans"/>
              </w:rPr>
              <w:t>分，部分满足得1分，不满足不得分，共</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Hans"/>
              </w:rPr>
              <w:t>分。</w:t>
            </w:r>
          </w:p>
        </w:tc>
        <w:tc>
          <w:tcPr>
            <w:tcW w:w="407" w:type="pct"/>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2</w:t>
            </w:r>
          </w:p>
        </w:tc>
        <w:tc>
          <w:tcPr>
            <w:tcW w:w="1096" w:type="pct"/>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九</w:t>
            </w:r>
            <w:r>
              <w:rPr>
                <w:rFonts w:hint="eastAsia" w:ascii="仿宋" w:hAnsi="仿宋" w:eastAsia="仿宋" w:cs="仿宋"/>
                <w:sz w:val="24"/>
                <w:szCs w:val="24"/>
                <w:highlight w:val="none"/>
              </w:rPr>
              <w:t>）质量保证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w:t>
            </w:r>
          </w:p>
        </w:tc>
        <w:tc>
          <w:tcPr>
            <w:tcW w:w="3028" w:type="pct"/>
            <w:vAlign w:val="center"/>
          </w:tcPr>
          <w:p>
            <w:pPr>
              <w:spacing w:line="360" w:lineRule="auto"/>
              <w:outlineLvl w:val="0"/>
              <w:rPr>
                <w:rFonts w:hint="eastAsia" w:ascii="仿宋" w:hAnsi="仿宋" w:eastAsia="仿宋" w:cs="仿宋"/>
                <w:sz w:val="24"/>
                <w:highlight w:val="none"/>
                <w:lang w:val="en-US" w:eastAsia="zh-Hans"/>
              </w:rPr>
            </w:pPr>
            <w:r>
              <w:rPr>
                <w:rFonts w:hint="eastAsia" w:ascii="仿宋" w:hAnsi="仿宋" w:eastAsia="仿宋" w:cs="仿宋"/>
                <w:sz w:val="24"/>
                <w:highlight w:val="none"/>
                <w:lang w:eastAsia="zh-Hans"/>
              </w:rPr>
              <w:t>系统演示</w:t>
            </w:r>
            <w:r>
              <w:rPr>
                <w:rFonts w:hint="eastAsia" w:ascii="仿宋" w:hAnsi="仿宋" w:eastAsia="仿宋" w:cs="仿宋"/>
                <w:sz w:val="24"/>
                <w:highlight w:val="none"/>
                <w:lang w:val="en-US" w:eastAsia="zh-Hans"/>
              </w:rPr>
              <w:t>：由投标人自行准备相关演示环境，软件模型成功展现本次项目要求的功能，演示视频须制作成光盘或U盘，在投标截止前提交至杭州市临安区行政服务中心B座四楼B448办公室，逾期拒收。演示内容如下（PPT、Word演示或未提供演示不得分）：</w:t>
            </w:r>
          </w:p>
          <w:p>
            <w:pPr>
              <w:spacing w:line="360" w:lineRule="auto"/>
              <w:outlineLvl w:val="0"/>
              <w:rPr>
                <w:rFonts w:hint="eastAsia" w:ascii="仿宋" w:hAnsi="仿宋" w:eastAsia="仿宋" w:cs="仿宋"/>
                <w:sz w:val="24"/>
                <w:highlight w:val="none"/>
                <w:lang w:val="en-US" w:eastAsia="zh-Hans"/>
              </w:rPr>
            </w:pPr>
            <w:r>
              <w:rPr>
                <w:rFonts w:hint="eastAsia" w:ascii="仿宋" w:hAnsi="仿宋" w:eastAsia="仿宋" w:cs="仿宋"/>
                <w:sz w:val="24"/>
                <w:highlight w:val="none"/>
                <w:lang w:val="en-US" w:eastAsia="zh-Hans"/>
              </w:rPr>
              <w:t>注：演示视频需密封送达，评标阶段拆封演示，因响应方自身原因导致无法演示或者演示效果不理想的，责任自负。</w:t>
            </w:r>
          </w:p>
          <w:p>
            <w:pPr>
              <w:pStyle w:val="796"/>
              <w:widowControl/>
              <w:numPr>
                <w:ilvl w:val="0"/>
                <w:numId w:val="0"/>
              </w:numPr>
              <w:ind w:leftChars="0"/>
              <w:jc w:val="left"/>
              <w:rPr>
                <w:rFonts w:ascii="仿宋" w:hAnsi="仿宋" w:eastAsia="仿宋" w:cs="宋体"/>
                <w:szCs w:val="21"/>
                <w:highlight w:val="none"/>
                <w:lang w:bidi="ar"/>
              </w:rPr>
            </w:pPr>
            <w:r>
              <w:rPr>
                <w:rFonts w:hint="eastAsia" w:ascii="仿宋" w:hAnsi="仿宋" w:eastAsia="仿宋" w:cs="宋体"/>
                <w:b/>
                <w:bCs/>
                <w:kern w:val="0"/>
                <w:szCs w:val="21"/>
                <w:highlight w:val="none"/>
                <w:lang w:val="en-US" w:eastAsia="zh-CN"/>
              </w:rPr>
              <w:t>1.</w:t>
            </w:r>
            <w:r>
              <w:rPr>
                <w:rFonts w:hint="eastAsia" w:ascii="仿宋" w:hAnsi="仿宋" w:eastAsia="仿宋" w:cs="宋体"/>
                <w:b/>
                <w:bCs/>
                <w:kern w:val="0"/>
                <w:szCs w:val="21"/>
              </w:rPr>
              <w:t>掌上</w:t>
            </w:r>
            <w:r>
              <w:rPr>
                <w:rFonts w:hint="eastAsia" w:ascii="仿宋" w:hAnsi="仿宋" w:eastAsia="仿宋" w:cs="宋体"/>
                <w:b/>
                <w:bCs/>
                <w:kern w:val="0"/>
                <w:szCs w:val="21"/>
                <w:highlight w:val="none"/>
              </w:rPr>
              <w:t>指挥室</w:t>
            </w:r>
            <w:r>
              <w:rPr>
                <w:rFonts w:hint="eastAsia" w:ascii="仿宋" w:hAnsi="仿宋" w:eastAsia="仿宋" w:cs="宋体"/>
                <w:kern w:val="0"/>
                <w:szCs w:val="21"/>
                <w:highlight w:val="none"/>
              </w:rPr>
              <w:t>：</w:t>
            </w:r>
            <w:r>
              <w:rPr>
                <w:rFonts w:hint="eastAsia" w:ascii="仿宋" w:hAnsi="仿宋" w:eastAsia="仿宋" w:cs="宋体"/>
                <w:kern w:val="0"/>
                <w:szCs w:val="21"/>
                <w:highlight w:val="none"/>
                <w:lang w:eastAsia="zh-CN"/>
              </w:rPr>
              <w:t>①</w:t>
            </w:r>
            <w:r>
              <w:rPr>
                <w:rFonts w:hint="eastAsia" w:ascii="仿宋" w:hAnsi="仿宋" w:eastAsia="仿宋" w:cs="宋体"/>
                <w:kern w:val="0"/>
                <w:szCs w:val="21"/>
                <w:highlight w:val="none"/>
              </w:rPr>
              <w:t>演示基于浙政钉云上指挥功能，包含边聊边办、</w:t>
            </w:r>
            <w:r>
              <w:rPr>
                <w:rFonts w:hint="eastAsia" w:ascii="仿宋" w:hAnsi="仿宋" w:eastAsia="仿宋" w:cs="宋体"/>
                <w:color w:val="000000"/>
                <w:kern w:val="0"/>
                <w:szCs w:val="21"/>
                <w:highlight w:val="none"/>
                <w:lang w:bidi="ar"/>
              </w:rPr>
              <w:t>协同人员管理</w:t>
            </w:r>
            <w:r>
              <w:rPr>
                <w:rFonts w:hint="eastAsia" w:ascii="仿宋" w:hAnsi="仿宋" w:eastAsia="仿宋" w:cs="宋体"/>
                <w:kern w:val="0"/>
                <w:szCs w:val="21"/>
                <w:highlight w:val="none"/>
              </w:rPr>
              <w:t>、</w:t>
            </w:r>
            <w:r>
              <w:rPr>
                <w:rFonts w:hint="eastAsia" w:ascii="仿宋" w:hAnsi="仿宋" w:eastAsia="仿宋" w:cs="宋体"/>
                <w:kern w:val="0"/>
                <w:szCs w:val="21"/>
                <w:highlight w:val="none"/>
                <w:lang w:eastAsia="zh-Hans"/>
              </w:rPr>
              <w:t>一事一码</w:t>
            </w:r>
            <w:r>
              <w:rPr>
                <w:rFonts w:hint="eastAsia" w:ascii="仿宋" w:hAnsi="仿宋" w:eastAsia="仿宋" w:cs="宋体"/>
                <w:kern w:val="0"/>
                <w:szCs w:val="21"/>
                <w:highlight w:val="none"/>
                <w:lang w:eastAsia="zh-CN"/>
              </w:rPr>
              <w:t>；②</w:t>
            </w:r>
            <w:r>
              <w:rPr>
                <w:rFonts w:hint="eastAsia" w:ascii="仿宋" w:hAnsi="仿宋" w:eastAsia="仿宋" w:cs="宋体"/>
                <w:color w:val="000000"/>
                <w:kern w:val="0"/>
                <w:szCs w:val="21"/>
                <w:highlight w:val="none"/>
                <w:lang w:bidi="ar"/>
              </w:rPr>
              <w:t>查看关键节点</w:t>
            </w:r>
            <w:r>
              <w:rPr>
                <w:rFonts w:hint="eastAsia" w:ascii="仿宋" w:hAnsi="仿宋" w:eastAsia="仿宋" w:cs="宋体"/>
                <w:kern w:val="0"/>
                <w:szCs w:val="21"/>
                <w:highlight w:val="none"/>
              </w:rPr>
              <w:t>、事件</w:t>
            </w:r>
            <w:r>
              <w:rPr>
                <w:rFonts w:hint="eastAsia" w:ascii="仿宋" w:hAnsi="仿宋" w:eastAsia="仿宋" w:cs="宋体"/>
                <w:kern w:val="0"/>
                <w:szCs w:val="21"/>
                <w:highlight w:val="none"/>
                <w:lang w:eastAsia="zh-Hans"/>
              </w:rPr>
              <w:t>评价</w:t>
            </w:r>
            <w:r>
              <w:rPr>
                <w:rFonts w:hint="eastAsia" w:ascii="仿宋" w:hAnsi="仿宋" w:eastAsia="仿宋" w:cs="宋体"/>
                <w:kern w:val="0"/>
                <w:szCs w:val="21"/>
                <w:highlight w:val="none"/>
              </w:rPr>
              <w:t>、</w:t>
            </w:r>
            <w:r>
              <w:rPr>
                <w:rFonts w:hint="eastAsia" w:ascii="仿宋" w:hAnsi="仿宋" w:eastAsia="仿宋" w:cs="宋体"/>
                <w:color w:val="000000"/>
                <w:kern w:val="0"/>
                <w:szCs w:val="21"/>
                <w:highlight w:val="none"/>
                <w:lang w:bidi="ar"/>
              </w:rPr>
              <w:t>视频联动</w:t>
            </w:r>
            <w:r>
              <w:rPr>
                <w:rFonts w:hint="eastAsia" w:ascii="仿宋" w:hAnsi="仿宋" w:eastAsia="仿宋" w:cs="宋体"/>
                <w:kern w:val="0"/>
                <w:szCs w:val="21"/>
                <w:highlight w:val="none"/>
              </w:rPr>
              <w:t>、</w:t>
            </w:r>
            <w:r>
              <w:rPr>
                <w:rFonts w:hint="eastAsia" w:ascii="仿宋" w:hAnsi="仿宋" w:eastAsia="仿宋" w:cs="宋体"/>
                <w:color w:val="000000"/>
                <w:kern w:val="0"/>
                <w:szCs w:val="21"/>
                <w:highlight w:val="none"/>
                <w:lang w:bidi="ar"/>
              </w:rPr>
              <w:t>发起线上专班</w:t>
            </w:r>
            <w:r>
              <w:rPr>
                <w:rFonts w:hint="eastAsia" w:ascii="仿宋" w:hAnsi="仿宋" w:eastAsia="仿宋" w:cs="宋体"/>
                <w:kern w:val="0"/>
                <w:szCs w:val="21"/>
                <w:highlight w:val="none"/>
              </w:rPr>
              <w:t>、</w:t>
            </w:r>
            <w:r>
              <w:rPr>
                <w:rFonts w:hint="eastAsia" w:ascii="仿宋" w:hAnsi="仿宋" w:eastAsia="仿宋" w:cs="宋体"/>
                <w:color w:val="000000"/>
                <w:kern w:val="0"/>
                <w:szCs w:val="21"/>
                <w:highlight w:val="none"/>
                <w:lang w:bidi="ar"/>
              </w:rPr>
              <w:t>我的待办</w:t>
            </w:r>
            <w:r>
              <w:rPr>
                <w:rFonts w:hint="eastAsia" w:ascii="仿宋" w:hAnsi="仿宋" w:eastAsia="仿宋" w:cs="宋体"/>
                <w:kern w:val="0"/>
                <w:szCs w:val="21"/>
                <w:highlight w:val="none"/>
              </w:rPr>
              <w:t>、</w:t>
            </w:r>
            <w:r>
              <w:rPr>
                <w:rFonts w:hint="eastAsia" w:ascii="仿宋" w:hAnsi="仿宋" w:eastAsia="仿宋" w:cs="宋体"/>
                <w:color w:val="000000"/>
                <w:kern w:val="0"/>
                <w:szCs w:val="21"/>
                <w:highlight w:val="none"/>
                <w:lang w:bidi="ar"/>
              </w:rPr>
              <w:t>位置共享</w:t>
            </w:r>
            <w:r>
              <w:rPr>
                <w:rFonts w:hint="eastAsia" w:ascii="仿宋" w:hAnsi="仿宋" w:eastAsia="仿宋" w:cs="宋体"/>
                <w:kern w:val="0"/>
                <w:szCs w:val="21"/>
                <w:highlight w:val="none"/>
              </w:rPr>
              <w:t>。</w:t>
            </w:r>
            <w:r>
              <w:rPr>
                <w:rFonts w:hint="eastAsia" w:ascii="仿宋" w:hAnsi="仿宋" w:eastAsia="仿宋" w:cs="宋体"/>
                <w:kern w:val="0"/>
                <w:szCs w:val="21"/>
                <w:highlight w:val="none"/>
                <w:lang w:eastAsia="zh-CN"/>
              </w:rPr>
              <w:t>每项演示成功得</w:t>
            </w:r>
            <w:r>
              <w:rPr>
                <w:rFonts w:hint="eastAsia" w:ascii="仿宋" w:hAnsi="仿宋" w:eastAsia="仿宋" w:cs="宋体"/>
                <w:kern w:val="0"/>
                <w:szCs w:val="21"/>
                <w:highlight w:val="none"/>
                <w:lang w:val="en-US" w:eastAsia="zh-CN"/>
              </w:rPr>
              <w:t>1分，否则不得分，共2分。</w:t>
            </w:r>
          </w:p>
          <w:p>
            <w:pPr>
              <w:pStyle w:val="796"/>
              <w:widowControl/>
              <w:numPr>
                <w:ilvl w:val="0"/>
                <w:numId w:val="0"/>
              </w:numPr>
              <w:ind w:leftChars="0"/>
              <w:jc w:val="left"/>
              <w:rPr>
                <w:rFonts w:ascii="仿宋" w:hAnsi="仿宋" w:eastAsia="仿宋" w:cs="宋体"/>
                <w:kern w:val="0"/>
                <w:szCs w:val="21"/>
                <w:highlight w:val="none"/>
              </w:rPr>
            </w:pPr>
            <w:r>
              <w:rPr>
                <w:rFonts w:hint="eastAsia" w:ascii="仿宋" w:hAnsi="仿宋" w:eastAsia="仿宋" w:cs="宋体"/>
                <w:b/>
                <w:bCs/>
                <w:kern w:val="0"/>
                <w:szCs w:val="21"/>
                <w:highlight w:val="none"/>
                <w:lang w:val="en-US" w:eastAsia="zh-CN"/>
              </w:rPr>
              <w:t>2.</w:t>
            </w:r>
            <w:r>
              <w:rPr>
                <w:rFonts w:hint="eastAsia" w:ascii="仿宋" w:hAnsi="仿宋" w:eastAsia="仿宋" w:cs="宋体"/>
                <w:b/>
                <w:bCs/>
                <w:kern w:val="0"/>
                <w:szCs w:val="21"/>
              </w:rPr>
              <w:t>事件中心管理平台——</w:t>
            </w:r>
            <w:r>
              <w:rPr>
                <w:rFonts w:ascii="仿宋" w:hAnsi="仿宋" w:eastAsia="仿宋" w:cs="宋体"/>
                <w:b/>
                <w:bCs/>
                <w:kern w:val="0"/>
                <w:szCs w:val="21"/>
              </w:rPr>
              <w:t>事件源</w:t>
            </w:r>
            <w:r>
              <w:rPr>
                <w:rFonts w:hint="eastAsia" w:ascii="仿宋" w:hAnsi="仿宋" w:eastAsia="仿宋" w:cs="宋体"/>
                <w:b/>
                <w:bCs/>
                <w:kern w:val="0"/>
                <w:szCs w:val="21"/>
              </w:rPr>
              <w:t>接入</w:t>
            </w:r>
            <w:r>
              <w:rPr>
                <w:rFonts w:hint="eastAsia" w:ascii="仿宋" w:hAnsi="仿宋" w:eastAsia="仿宋" w:cs="宋体"/>
                <w:b/>
                <w:bCs/>
                <w:kern w:val="0"/>
                <w:szCs w:val="21"/>
                <w:highlight w:val="none"/>
              </w:rPr>
              <w:t>：</w:t>
            </w:r>
            <w:r>
              <w:rPr>
                <w:rFonts w:hint="eastAsia" w:ascii="仿宋" w:hAnsi="仿宋" w:eastAsia="仿宋" w:cs="宋体"/>
                <w:b w:val="0"/>
                <w:bCs w:val="0"/>
                <w:kern w:val="0"/>
                <w:szCs w:val="21"/>
                <w:highlight w:val="none"/>
                <w:lang w:eastAsia="zh-CN"/>
              </w:rPr>
              <w:t>①</w:t>
            </w:r>
            <w:r>
              <w:rPr>
                <w:rFonts w:hint="eastAsia" w:ascii="仿宋" w:hAnsi="仿宋" w:eastAsia="仿宋" w:cs="宋体"/>
                <w:kern w:val="0"/>
                <w:szCs w:val="21"/>
                <w:highlight w:val="none"/>
              </w:rPr>
              <w:t>支持通过API方式接入事件源数据，事件源开发商可自定义扩展字段</w:t>
            </w:r>
            <w:r>
              <w:rPr>
                <w:rFonts w:hint="eastAsia" w:ascii="仿宋" w:hAnsi="仿宋" w:eastAsia="仿宋" w:cs="宋体"/>
                <w:kern w:val="0"/>
                <w:szCs w:val="21"/>
                <w:highlight w:val="none"/>
                <w:lang w:eastAsia="zh-CN"/>
              </w:rPr>
              <w:t>；②</w:t>
            </w:r>
            <w:r>
              <w:rPr>
                <w:rFonts w:hint="eastAsia" w:ascii="仿宋" w:hAnsi="仿宋" w:eastAsia="仿宋" w:cs="宋体"/>
                <w:kern w:val="0"/>
                <w:szCs w:val="21"/>
                <w:highlight w:val="none"/>
              </w:rPr>
              <w:t>支持对事件源信息进行编辑修改。可编辑的内容包括：事件源名称、开发商信息、接入的扩展字段。</w:t>
            </w:r>
            <w:r>
              <w:rPr>
                <w:rFonts w:hint="eastAsia" w:ascii="仿宋" w:hAnsi="仿宋" w:eastAsia="仿宋" w:cs="宋体"/>
                <w:kern w:val="0"/>
                <w:szCs w:val="21"/>
                <w:highlight w:val="none"/>
                <w:lang w:eastAsia="zh-CN"/>
              </w:rPr>
              <w:t>每项演示成功得</w:t>
            </w:r>
            <w:r>
              <w:rPr>
                <w:rFonts w:hint="eastAsia" w:ascii="仿宋" w:hAnsi="仿宋" w:eastAsia="仿宋" w:cs="宋体"/>
                <w:kern w:val="0"/>
                <w:szCs w:val="21"/>
                <w:highlight w:val="none"/>
                <w:lang w:val="en-US" w:eastAsia="zh-CN"/>
              </w:rPr>
              <w:t>1分，否则不得分，共2分。</w:t>
            </w:r>
          </w:p>
          <w:p>
            <w:pPr>
              <w:pStyle w:val="796"/>
              <w:widowControl/>
              <w:numPr>
                <w:ilvl w:val="0"/>
                <w:numId w:val="0"/>
              </w:numPr>
              <w:ind w:leftChars="0"/>
              <w:jc w:val="left"/>
              <w:rPr>
                <w:rFonts w:ascii="仿宋" w:hAnsi="仿宋" w:eastAsia="仿宋" w:cs="宋体"/>
                <w:kern w:val="0"/>
                <w:szCs w:val="21"/>
                <w:highlight w:val="none"/>
              </w:rPr>
            </w:pPr>
            <w:r>
              <w:rPr>
                <w:rFonts w:hint="eastAsia" w:ascii="仿宋" w:hAnsi="仿宋" w:eastAsia="仿宋" w:cs="宋体"/>
                <w:b/>
                <w:bCs/>
                <w:kern w:val="0"/>
                <w:szCs w:val="21"/>
                <w:highlight w:val="none"/>
                <w:lang w:val="en-US" w:eastAsia="zh-CN"/>
              </w:rPr>
              <w:t>3.</w:t>
            </w:r>
            <w:r>
              <w:rPr>
                <w:rFonts w:hint="eastAsia" w:ascii="仿宋" w:hAnsi="仿宋" w:eastAsia="仿宋" w:cs="宋体"/>
                <w:b/>
                <w:bCs/>
                <w:kern w:val="0"/>
                <w:szCs w:val="21"/>
              </w:rPr>
              <w:t>事件中心管理平台——事项表单：</w:t>
            </w:r>
            <w:r>
              <w:rPr>
                <w:rFonts w:hint="eastAsia" w:ascii="仿宋" w:hAnsi="仿宋" w:eastAsia="仿宋" w:cs="宋体"/>
                <w:b w:val="0"/>
                <w:bCs w:val="0"/>
                <w:kern w:val="0"/>
                <w:szCs w:val="21"/>
                <w:highlight w:val="none"/>
                <w:lang w:eastAsia="zh-CN"/>
              </w:rPr>
              <w:t>①</w:t>
            </w:r>
            <w:r>
              <w:rPr>
                <w:rFonts w:hint="eastAsia" w:ascii="仿宋" w:hAnsi="仿宋" w:eastAsia="仿宋" w:cs="宋体"/>
                <w:kern w:val="0"/>
                <w:szCs w:val="21"/>
                <w:highlight w:val="none"/>
              </w:rPr>
              <w:t>可查看已创建的事项详情，事项详情由schema动态渲染</w:t>
            </w:r>
            <w:r>
              <w:rPr>
                <w:rFonts w:hint="eastAsia" w:ascii="仿宋" w:hAnsi="仿宋" w:eastAsia="仿宋" w:cs="宋体"/>
                <w:kern w:val="0"/>
                <w:szCs w:val="21"/>
                <w:highlight w:val="none"/>
                <w:lang w:eastAsia="zh-CN"/>
              </w:rPr>
              <w:t>；②</w:t>
            </w:r>
            <w:r>
              <w:rPr>
                <w:rFonts w:hint="eastAsia" w:ascii="仿宋" w:hAnsi="仿宋" w:eastAsia="仿宋" w:cs="宋体"/>
                <w:kern w:val="0"/>
                <w:szCs w:val="21"/>
                <w:highlight w:val="none"/>
              </w:rPr>
              <w:t>已配置的事项表单schema动态渲染，动态协议支持PC端展示</w:t>
            </w:r>
            <w:r>
              <w:rPr>
                <w:rFonts w:ascii="仿宋" w:hAnsi="仿宋" w:eastAsia="仿宋" w:cs="宋体"/>
                <w:kern w:val="0"/>
                <w:szCs w:val="21"/>
                <w:highlight w:val="none"/>
              </w:rPr>
              <w:t>，</w:t>
            </w:r>
            <w:r>
              <w:rPr>
                <w:rFonts w:hint="eastAsia" w:ascii="仿宋" w:hAnsi="仿宋" w:eastAsia="仿宋" w:cs="宋体"/>
                <w:kern w:val="0"/>
                <w:szCs w:val="21"/>
                <w:highlight w:val="none"/>
              </w:rPr>
              <w:t>动态协议支持H5端展示。</w:t>
            </w:r>
            <w:r>
              <w:rPr>
                <w:rFonts w:hint="eastAsia" w:ascii="仿宋" w:hAnsi="仿宋" w:eastAsia="仿宋" w:cs="宋体"/>
                <w:kern w:val="0"/>
                <w:szCs w:val="21"/>
                <w:highlight w:val="none"/>
                <w:lang w:eastAsia="zh-CN"/>
              </w:rPr>
              <w:t>每项演示成功得</w:t>
            </w:r>
            <w:r>
              <w:rPr>
                <w:rFonts w:hint="eastAsia" w:ascii="仿宋" w:hAnsi="仿宋" w:eastAsia="仿宋" w:cs="宋体"/>
                <w:kern w:val="0"/>
                <w:szCs w:val="21"/>
                <w:highlight w:val="none"/>
                <w:lang w:val="en-US" w:eastAsia="zh-CN"/>
              </w:rPr>
              <w:t>1分，否则不得分，共2分。</w:t>
            </w:r>
          </w:p>
          <w:p>
            <w:pPr>
              <w:pStyle w:val="796"/>
              <w:widowControl/>
              <w:numPr>
                <w:ilvl w:val="0"/>
                <w:numId w:val="0"/>
              </w:numPr>
              <w:ind w:leftChars="0"/>
              <w:jc w:val="left"/>
              <w:rPr>
                <w:rFonts w:ascii="仿宋" w:hAnsi="仿宋" w:eastAsia="仿宋" w:cs="宋体"/>
                <w:kern w:val="0"/>
                <w:szCs w:val="21"/>
                <w:highlight w:val="none"/>
              </w:rPr>
            </w:pPr>
            <w:r>
              <w:rPr>
                <w:rFonts w:hint="eastAsia" w:ascii="仿宋" w:hAnsi="仿宋" w:eastAsia="仿宋" w:cs="宋体"/>
                <w:b/>
                <w:bCs/>
                <w:kern w:val="0"/>
                <w:szCs w:val="21"/>
                <w:highlight w:val="none"/>
                <w:lang w:val="en-US" w:eastAsia="zh-CN"/>
              </w:rPr>
              <w:t>4.</w:t>
            </w:r>
            <w:r>
              <w:rPr>
                <w:rFonts w:hint="eastAsia" w:ascii="仿宋" w:hAnsi="仿宋" w:eastAsia="仿宋" w:cs="宋体"/>
                <w:b/>
                <w:bCs/>
                <w:kern w:val="0"/>
                <w:szCs w:val="21"/>
              </w:rPr>
              <w:t>事件中心管理平台——权责围栏：</w:t>
            </w:r>
            <w:r>
              <w:rPr>
                <w:rFonts w:hint="eastAsia" w:ascii="仿宋" w:hAnsi="仿宋" w:eastAsia="仿宋" w:cs="宋体"/>
                <w:kern w:val="0"/>
                <w:szCs w:val="21"/>
                <w:highlight w:val="none"/>
              </w:rPr>
              <w:t>支持通过事项上的部门处置规则（地址条件、处置层级）映射已有的权责围栏规则，映射不到系统会在部门条线上创建一条新的权责围栏规则。演示</w:t>
            </w:r>
            <w:r>
              <w:rPr>
                <w:rFonts w:hint="eastAsia" w:ascii="仿宋" w:hAnsi="仿宋" w:eastAsia="仿宋" w:cs="宋体"/>
                <w:kern w:val="0"/>
                <w:szCs w:val="21"/>
                <w:highlight w:val="none"/>
                <w:lang w:eastAsia="zh-CN"/>
              </w:rPr>
              <w:t>成功</w:t>
            </w:r>
            <w:r>
              <w:rPr>
                <w:rFonts w:hint="eastAsia" w:ascii="仿宋" w:hAnsi="仿宋" w:eastAsia="仿宋" w:cs="宋体"/>
                <w:kern w:val="0"/>
                <w:szCs w:val="21"/>
                <w:highlight w:val="none"/>
              </w:rPr>
              <w:t>得</w:t>
            </w:r>
            <w:r>
              <w:rPr>
                <w:rFonts w:hint="eastAsia" w:ascii="仿宋" w:hAnsi="仿宋" w:eastAsia="仿宋" w:cs="宋体"/>
                <w:kern w:val="0"/>
                <w:szCs w:val="21"/>
                <w:highlight w:val="none"/>
                <w:lang w:val="en-US" w:eastAsia="zh-CN"/>
              </w:rPr>
              <w:t>2</w:t>
            </w:r>
            <w:r>
              <w:rPr>
                <w:rFonts w:hint="eastAsia" w:ascii="仿宋" w:hAnsi="仿宋" w:eastAsia="仿宋" w:cs="宋体"/>
                <w:kern w:val="0"/>
                <w:szCs w:val="21"/>
                <w:highlight w:val="none"/>
              </w:rPr>
              <w:t>分</w:t>
            </w:r>
            <w:r>
              <w:rPr>
                <w:rFonts w:hint="eastAsia" w:ascii="仿宋" w:hAnsi="仿宋" w:eastAsia="仿宋" w:cs="宋体"/>
                <w:kern w:val="0"/>
                <w:szCs w:val="21"/>
                <w:highlight w:val="none"/>
                <w:lang w:val="en-US" w:eastAsia="zh-CN"/>
              </w:rPr>
              <w:t>，否则不得分</w:t>
            </w:r>
            <w:r>
              <w:rPr>
                <w:rFonts w:hint="eastAsia" w:ascii="仿宋" w:hAnsi="仿宋" w:eastAsia="仿宋" w:cs="宋体"/>
                <w:kern w:val="0"/>
                <w:szCs w:val="21"/>
                <w:highlight w:val="none"/>
              </w:rPr>
              <w:t>。</w:t>
            </w:r>
          </w:p>
          <w:p>
            <w:pPr>
              <w:pStyle w:val="796"/>
              <w:widowControl/>
              <w:numPr>
                <w:ilvl w:val="0"/>
                <w:numId w:val="0"/>
              </w:numPr>
              <w:ind w:leftChars="0"/>
              <w:jc w:val="left"/>
              <w:rPr>
                <w:rFonts w:ascii="仿宋" w:hAnsi="仿宋" w:eastAsia="仿宋" w:cs="宋体"/>
                <w:kern w:val="0"/>
                <w:szCs w:val="21"/>
                <w:highlight w:val="none"/>
              </w:rPr>
            </w:pPr>
            <w:r>
              <w:rPr>
                <w:rFonts w:hint="eastAsia" w:ascii="仿宋" w:hAnsi="仿宋" w:eastAsia="仿宋" w:cs="宋体"/>
                <w:b/>
                <w:bCs/>
                <w:kern w:val="0"/>
                <w:szCs w:val="21"/>
                <w:highlight w:val="none"/>
                <w:lang w:val="en-US" w:eastAsia="zh-CN"/>
              </w:rPr>
              <w:t>5.</w:t>
            </w:r>
            <w:r>
              <w:rPr>
                <w:rFonts w:hint="eastAsia" w:ascii="仿宋" w:hAnsi="仿宋" w:eastAsia="仿宋" w:cs="宋体"/>
                <w:b/>
                <w:bCs/>
                <w:kern w:val="0"/>
                <w:szCs w:val="21"/>
              </w:rPr>
              <w:t>事件中心管理平台——调度中心:</w:t>
            </w:r>
            <w:r>
              <w:rPr>
                <w:rFonts w:hint="eastAsia" w:ascii="仿宋" w:hAnsi="仿宋" w:eastAsia="仿宋" w:cs="宋体"/>
                <w:kern w:val="0"/>
                <w:szCs w:val="21"/>
                <w:highlight w:val="none"/>
              </w:rPr>
              <w:t>支持通过流程编辑器的组件，编排一个或多个部门的串并行的处置流程。演示</w:t>
            </w:r>
            <w:r>
              <w:rPr>
                <w:rFonts w:hint="eastAsia" w:ascii="仿宋" w:hAnsi="仿宋" w:eastAsia="仿宋" w:cs="宋体"/>
                <w:kern w:val="0"/>
                <w:szCs w:val="21"/>
                <w:highlight w:val="none"/>
                <w:lang w:eastAsia="zh-CN"/>
              </w:rPr>
              <w:t>成功</w:t>
            </w:r>
            <w:r>
              <w:rPr>
                <w:rFonts w:hint="eastAsia" w:ascii="仿宋" w:hAnsi="仿宋" w:eastAsia="仿宋" w:cs="宋体"/>
                <w:kern w:val="0"/>
                <w:szCs w:val="21"/>
                <w:highlight w:val="none"/>
              </w:rPr>
              <w:t>得</w:t>
            </w:r>
            <w:r>
              <w:rPr>
                <w:rFonts w:hint="eastAsia" w:ascii="仿宋" w:hAnsi="仿宋" w:eastAsia="仿宋" w:cs="宋体"/>
                <w:kern w:val="0"/>
                <w:szCs w:val="21"/>
                <w:highlight w:val="none"/>
                <w:lang w:val="en-US" w:eastAsia="zh-CN"/>
              </w:rPr>
              <w:t>2</w:t>
            </w:r>
            <w:r>
              <w:rPr>
                <w:rFonts w:hint="eastAsia" w:ascii="仿宋" w:hAnsi="仿宋" w:eastAsia="仿宋" w:cs="宋体"/>
                <w:kern w:val="0"/>
                <w:szCs w:val="21"/>
                <w:highlight w:val="none"/>
              </w:rPr>
              <w:t>分</w:t>
            </w:r>
            <w:r>
              <w:rPr>
                <w:rFonts w:hint="eastAsia" w:ascii="仿宋" w:hAnsi="仿宋" w:eastAsia="仿宋" w:cs="宋体"/>
                <w:kern w:val="0"/>
                <w:szCs w:val="21"/>
                <w:highlight w:val="none"/>
                <w:lang w:val="en-US" w:eastAsia="zh-CN"/>
              </w:rPr>
              <w:t>，否则不得分</w:t>
            </w:r>
            <w:r>
              <w:rPr>
                <w:rFonts w:hint="eastAsia" w:ascii="仿宋" w:hAnsi="仿宋" w:eastAsia="仿宋" w:cs="宋体"/>
                <w:kern w:val="0"/>
                <w:szCs w:val="21"/>
                <w:highlight w:val="none"/>
              </w:rPr>
              <w:t>。</w:t>
            </w:r>
          </w:p>
          <w:p>
            <w:pPr>
              <w:pStyle w:val="796"/>
              <w:widowControl/>
              <w:numPr>
                <w:ilvl w:val="0"/>
                <w:numId w:val="0"/>
              </w:numPr>
              <w:ind w:leftChars="0"/>
              <w:jc w:val="left"/>
              <w:rPr>
                <w:rFonts w:ascii="仿宋" w:hAnsi="仿宋" w:eastAsia="仿宋" w:cs="宋体"/>
                <w:kern w:val="0"/>
                <w:szCs w:val="21"/>
                <w:highlight w:val="none"/>
              </w:rPr>
            </w:pPr>
            <w:r>
              <w:rPr>
                <w:rFonts w:hint="eastAsia" w:ascii="仿宋" w:hAnsi="仿宋" w:eastAsia="仿宋" w:cs="宋体"/>
                <w:b/>
                <w:bCs/>
                <w:kern w:val="0"/>
                <w:szCs w:val="21"/>
                <w:highlight w:val="none"/>
                <w:lang w:val="en-US" w:eastAsia="zh-CN"/>
              </w:rPr>
              <w:t>6.</w:t>
            </w:r>
            <w:r>
              <w:rPr>
                <w:rFonts w:hint="eastAsia" w:ascii="仿宋" w:hAnsi="仿宋" w:eastAsia="仿宋" w:cs="宋体"/>
                <w:b/>
                <w:bCs/>
                <w:kern w:val="0"/>
                <w:szCs w:val="21"/>
              </w:rPr>
              <w:t>事件中心管理平台——事件归一演示：</w:t>
            </w:r>
            <w:r>
              <w:rPr>
                <w:rFonts w:ascii="仿宋" w:hAnsi="仿宋" w:eastAsia="仿宋" w:cs="宋体"/>
                <w:kern w:val="0"/>
                <w:szCs w:val="21"/>
                <w:highlight w:val="none"/>
              </w:rPr>
              <w:t>演示</w:t>
            </w:r>
            <w:r>
              <w:rPr>
                <w:rFonts w:hint="eastAsia" w:ascii="仿宋" w:hAnsi="仿宋" w:eastAsia="仿宋" w:cs="宋体"/>
                <w:kern w:val="0"/>
                <w:szCs w:val="21"/>
                <w:highlight w:val="none"/>
              </w:rPr>
              <w:t>通过智能提取事件中的关键要素以及事件发生的地址，对大规模历史事件进行快速去重，从而将事件进行归一。演示</w:t>
            </w:r>
            <w:r>
              <w:rPr>
                <w:rFonts w:hint="eastAsia" w:ascii="仿宋" w:hAnsi="仿宋" w:eastAsia="仿宋" w:cs="宋体"/>
                <w:kern w:val="0"/>
                <w:szCs w:val="21"/>
                <w:highlight w:val="none"/>
                <w:lang w:eastAsia="zh-CN"/>
              </w:rPr>
              <w:t>成功</w:t>
            </w:r>
            <w:r>
              <w:rPr>
                <w:rFonts w:hint="eastAsia" w:ascii="仿宋" w:hAnsi="仿宋" w:eastAsia="仿宋" w:cs="宋体"/>
                <w:kern w:val="0"/>
                <w:szCs w:val="21"/>
                <w:highlight w:val="none"/>
              </w:rPr>
              <w:t>得</w:t>
            </w:r>
            <w:r>
              <w:rPr>
                <w:rFonts w:hint="eastAsia" w:ascii="仿宋" w:hAnsi="仿宋" w:eastAsia="仿宋" w:cs="宋体"/>
                <w:kern w:val="0"/>
                <w:szCs w:val="21"/>
                <w:highlight w:val="none"/>
                <w:lang w:val="en-US" w:eastAsia="zh-CN"/>
              </w:rPr>
              <w:t>2</w:t>
            </w:r>
            <w:r>
              <w:rPr>
                <w:rFonts w:hint="eastAsia" w:ascii="仿宋" w:hAnsi="仿宋" w:eastAsia="仿宋" w:cs="宋体"/>
                <w:kern w:val="0"/>
                <w:szCs w:val="21"/>
                <w:highlight w:val="none"/>
              </w:rPr>
              <w:t>分</w:t>
            </w:r>
            <w:r>
              <w:rPr>
                <w:rFonts w:hint="eastAsia" w:ascii="仿宋" w:hAnsi="仿宋" w:eastAsia="仿宋" w:cs="宋体"/>
                <w:kern w:val="0"/>
                <w:szCs w:val="21"/>
                <w:highlight w:val="none"/>
                <w:lang w:val="en-US" w:eastAsia="zh-CN"/>
              </w:rPr>
              <w:t>，否则不得分</w:t>
            </w:r>
            <w:r>
              <w:rPr>
                <w:rFonts w:hint="eastAsia" w:ascii="仿宋" w:hAnsi="仿宋" w:eastAsia="仿宋" w:cs="宋体"/>
                <w:kern w:val="0"/>
                <w:szCs w:val="21"/>
                <w:highlight w:val="none"/>
              </w:rPr>
              <w:t>。</w:t>
            </w:r>
          </w:p>
          <w:p>
            <w:pPr>
              <w:pStyle w:val="796"/>
              <w:widowControl/>
              <w:numPr>
                <w:ilvl w:val="0"/>
                <w:numId w:val="0"/>
              </w:numPr>
              <w:ind w:leftChars="0"/>
              <w:jc w:val="left"/>
              <w:rPr>
                <w:rFonts w:ascii="仿宋" w:hAnsi="仿宋" w:eastAsia="仿宋" w:cs="宋体"/>
                <w:kern w:val="0"/>
                <w:szCs w:val="21"/>
                <w:highlight w:val="none"/>
              </w:rPr>
            </w:pPr>
            <w:r>
              <w:rPr>
                <w:rFonts w:hint="eastAsia" w:ascii="仿宋" w:hAnsi="仿宋" w:eastAsia="仿宋" w:cs="宋体"/>
                <w:b/>
                <w:bCs/>
                <w:kern w:val="0"/>
                <w:szCs w:val="21"/>
                <w:highlight w:val="none"/>
                <w:lang w:val="en-US" w:eastAsia="zh-CN"/>
              </w:rPr>
              <w:t>7.</w:t>
            </w:r>
            <w:r>
              <w:rPr>
                <w:rFonts w:hint="eastAsia" w:ascii="仿宋" w:hAnsi="仿宋" w:eastAsia="仿宋" w:cs="宋体"/>
                <w:b/>
                <w:bCs/>
                <w:kern w:val="0"/>
                <w:szCs w:val="21"/>
              </w:rPr>
              <w:t>事件中心管理平台——事件脉络</w:t>
            </w:r>
            <w:r>
              <w:rPr>
                <w:rFonts w:ascii="仿宋" w:hAnsi="仿宋" w:eastAsia="仿宋" w:cs="宋体"/>
                <w:b/>
                <w:bCs/>
                <w:kern w:val="0"/>
                <w:szCs w:val="21"/>
              </w:rPr>
              <w:t>演示</w:t>
            </w:r>
            <w:r>
              <w:rPr>
                <w:rFonts w:hint="eastAsia" w:ascii="仿宋" w:hAnsi="仿宋" w:eastAsia="仿宋" w:cs="宋体"/>
                <w:b/>
                <w:bCs/>
                <w:kern w:val="0"/>
                <w:szCs w:val="21"/>
              </w:rPr>
              <w:t>：</w:t>
            </w:r>
            <w:r>
              <w:rPr>
                <w:rFonts w:hint="eastAsia" w:ascii="仿宋" w:hAnsi="仿宋" w:eastAsia="仿宋" w:cs="宋体"/>
                <w:kern w:val="0"/>
                <w:szCs w:val="21"/>
                <w:highlight w:val="none"/>
              </w:rPr>
              <w:t>通过事件要素实时分析出该上报人上报过的历史事件，分派员可参考该人员同类型历史事件的分派部门、处置意见。演示</w:t>
            </w:r>
            <w:r>
              <w:rPr>
                <w:rFonts w:hint="eastAsia" w:ascii="仿宋" w:hAnsi="仿宋" w:eastAsia="仿宋" w:cs="宋体"/>
                <w:kern w:val="0"/>
                <w:szCs w:val="21"/>
                <w:highlight w:val="none"/>
                <w:lang w:eastAsia="zh-CN"/>
              </w:rPr>
              <w:t>成功</w:t>
            </w:r>
            <w:r>
              <w:rPr>
                <w:rFonts w:hint="eastAsia" w:ascii="仿宋" w:hAnsi="仿宋" w:eastAsia="仿宋" w:cs="宋体"/>
                <w:kern w:val="0"/>
                <w:szCs w:val="21"/>
                <w:highlight w:val="none"/>
              </w:rPr>
              <w:t>得</w:t>
            </w:r>
            <w:r>
              <w:rPr>
                <w:rFonts w:hint="eastAsia" w:ascii="仿宋" w:hAnsi="仿宋" w:eastAsia="仿宋" w:cs="宋体"/>
                <w:kern w:val="0"/>
                <w:szCs w:val="21"/>
                <w:highlight w:val="none"/>
                <w:lang w:val="en-US" w:eastAsia="zh-CN"/>
              </w:rPr>
              <w:t>2</w:t>
            </w:r>
            <w:r>
              <w:rPr>
                <w:rFonts w:hint="eastAsia" w:ascii="仿宋" w:hAnsi="仿宋" w:eastAsia="仿宋" w:cs="宋体"/>
                <w:kern w:val="0"/>
                <w:szCs w:val="21"/>
                <w:highlight w:val="none"/>
              </w:rPr>
              <w:t>分</w:t>
            </w:r>
            <w:r>
              <w:rPr>
                <w:rFonts w:hint="eastAsia" w:ascii="仿宋" w:hAnsi="仿宋" w:eastAsia="仿宋" w:cs="宋体"/>
                <w:kern w:val="0"/>
                <w:szCs w:val="21"/>
                <w:highlight w:val="none"/>
                <w:lang w:val="en-US" w:eastAsia="zh-CN"/>
              </w:rPr>
              <w:t>，否则不得分</w:t>
            </w:r>
            <w:r>
              <w:rPr>
                <w:rFonts w:hint="eastAsia" w:ascii="仿宋" w:hAnsi="仿宋" w:eastAsia="仿宋" w:cs="宋体"/>
                <w:kern w:val="0"/>
                <w:szCs w:val="21"/>
                <w:highlight w:val="none"/>
              </w:rPr>
              <w:t>。</w:t>
            </w:r>
          </w:p>
          <w:p>
            <w:pPr>
              <w:pStyle w:val="796"/>
              <w:widowControl/>
              <w:numPr>
                <w:ilvl w:val="0"/>
                <w:numId w:val="0"/>
              </w:numPr>
              <w:ind w:leftChars="0"/>
              <w:jc w:val="left"/>
              <w:rPr>
                <w:rFonts w:ascii="仿宋" w:hAnsi="仿宋" w:eastAsia="仿宋" w:cs="宋体"/>
                <w:kern w:val="0"/>
                <w:sz w:val="24"/>
                <w:szCs w:val="21"/>
                <w:highlight w:val="none"/>
              </w:rPr>
            </w:pPr>
            <w:r>
              <w:rPr>
                <w:rFonts w:hint="eastAsia" w:ascii="仿宋" w:hAnsi="仿宋" w:eastAsia="仿宋" w:cs="宋体"/>
                <w:b/>
                <w:bCs/>
                <w:kern w:val="0"/>
                <w:sz w:val="24"/>
                <w:szCs w:val="21"/>
                <w:highlight w:val="none"/>
                <w:lang w:val="en-US" w:eastAsia="zh-CN"/>
              </w:rPr>
              <w:t>8.</w:t>
            </w:r>
            <w:r>
              <w:rPr>
                <w:rFonts w:hint="eastAsia" w:ascii="仿宋" w:hAnsi="仿宋" w:eastAsia="仿宋" w:cs="宋体"/>
                <w:b/>
                <w:bCs/>
                <w:kern w:val="0"/>
                <w:szCs w:val="21"/>
              </w:rPr>
              <w:t>事件中心管理平台——事项</w:t>
            </w:r>
            <w:r>
              <w:rPr>
                <w:rFonts w:hint="eastAsia" w:ascii="仿宋" w:hAnsi="仿宋" w:eastAsia="仿宋" w:cs="宋体"/>
                <w:b/>
                <w:bCs/>
                <w:kern w:val="0"/>
                <w:sz w:val="24"/>
                <w:szCs w:val="21"/>
              </w:rPr>
              <w:t>表单智能回填：</w:t>
            </w:r>
            <w:r>
              <w:rPr>
                <w:rFonts w:hint="eastAsia" w:ascii="仿宋" w:hAnsi="仿宋" w:eastAsia="仿宋" w:cs="宋体"/>
                <w:b w:val="0"/>
                <w:bCs w:val="0"/>
                <w:kern w:val="0"/>
                <w:sz w:val="24"/>
                <w:szCs w:val="21"/>
                <w:highlight w:val="none"/>
                <w:lang w:eastAsia="zh-CN"/>
              </w:rPr>
              <w:t>①</w:t>
            </w:r>
            <w:r>
              <w:rPr>
                <w:rFonts w:hint="eastAsia" w:ascii="仿宋" w:hAnsi="仿宋" w:eastAsia="仿宋" w:cs="宋体"/>
                <w:kern w:val="0"/>
                <w:sz w:val="24"/>
                <w:szCs w:val="21"/>
                <w:highlight w:val="none"/>
              </w:rPr>
              <w:t>通过精细化梳理处置过程中需要各项数据进行分组分栏布局编排设计</w:t>
            </w:r>
            <w:r>
              <w:rPr>
                <w:rFonts w:hint="eastAsia" w:ascii="仿宋" w:hAnsi="仿宋" w:eastAsia="仿宋" w:cs="宋体"/>
                <w:kern w:val="0"/>
                <w:sz w:val="24"/>
                <w:szCs w:val="21"/>
                <w:highlight w:val="none"/>
                <w:lang w:eastAsia="zh-CN"/>
              </w:rPr>
              <w:t>；②</w:t>
            </w:r>
            <w:r>
              <w:rPr>
                <w:rFonts w:hint="eastAsia" w:ascii="仿宋" w:hAnsi="仿宋" w:eastAsia="仿宋" w:cs="宋体"/>
                <w:kern w:val="0"/>
                <w:sz w:val="24"/>
                <w:szCs w:val="21"/>
                <w:highlight w:val="none"/>
              </w:rPr>
              <w:t>同时通过AI数据抽取及API数据共享方式</w:t>
            </w:r>
            <w:r>
              <w:rPr>
                <w:rFonts w:ascii="仿宋" w:hAnsi="仿宋" w:eastAsia="仿宋" w:cs="宋体"/>
                <w:kern w:val="0"/>
                <w:sz w:val="24"/>
                <w:szCs w:val="21"/>
                <w:highlight w:val="none"/>
              </w:rPr>
              <w:t>调取数据</w:t>
            </w:r>
            <w:r>
              <w:rPr>
                <w:rFonts w:hint="eastAsia" w:ascii="仿宋" w:hAnsi="仿宋" w:eastAsia="仿宋" w:cs="宋体"/>
                <w:kern w:val="0"/>
                <w:sz w:val="24"/>
                <w:szCs w:val="21"/>
                <w:highlight w:val="none"/>
              </w:rPr>
              <w:t>，形成更细颗粒度的处置表单，帮助处置人员更高效的处置。</w:t>
            </w:r>
            <w:r>
              <w:rPr>
                <w:rFonts w:hint="eastAsia" w:ascii="仿宋" w:hAnsi="仿宋" w:eastAsia="仿宋" w:cs="宋体"/>
                <w:kern w:val="0"/>
                <w:szCs w:val="21"/>
                <w:highlight w:val="none"/>
                <w:lang w:eastAsia="zh-CN"/>
              </w:rPr>
              <w:t>每项演示成功得</w:t>
            </w:r>
            <w:r>
              <w:rPr>
                <w:rFonts w:hint="eastAsia" w:ascii="仿宋" w:hAnsi="仿宋" w:eastAsia="仿宋" w:cs="宋体"/>
                <w:kern w:val="0"/>
                <w:szCs w:val="21"/>
                <w:highlight w:val="none"/>
                <w:lang w:val="en-US" w:eastAsia="zh-CN"/>
              </w:rPr>
              <w:t>1分，否则不得分，共2分。</w:t>
            </w:r>
          </w:p>
          <w:p>
            <w:pPr>
              <w:pStyle w:val="796"/>
              <w:widowControl/>
              <w:numPr>
                <w:ilvl w:val="0"/>
                <w:numId w:val="0"/>
              </w:numPr>
              <w:ind w:leftChars="0"/>
              <w:jc w:val="left"/>
              <w:rPr>
                <w:rFonts w:hint="eastAsia" w:ascii="仿宋" w:hAnsi="仿宋" w:eastAsia="仿宋" w:cs="仿宋_GB2312"/>
                <w:sz w:val="24"/>
                <w:highlight w:val="none"/>
                <w:lang w:eastAsia="zh-Hans"/>
              </w:rPr>
            </w:pPr>
            <w:r>
              <w:rPr>
                <w:rFonts w:hint="eastAsia" w:ascii="仿宋" w:hAnsi="仿宋" w:eastAsia="仿宋" w:cs="宋体"/>
                <w:b/>
                <w:bCs/>
                <w:kern w:val="0"/>
                <w:sz w:val="24"/>
                <w:szCs w:val="21"/>
                <w:highlight w:val="none"/>
                <w:lang w:val="en-US" w:eastAsia="zh-CN"/>
              </w:rPr>
              <w:t>9.</w:t>
            </w:r>
            <w:r>
              <w:rPr>
                <w:rFonts w:hint="eastAsia" w:ascii="仿宋" w:hAnsi="仿宋" w:eastAsia="仿宋" w:cs="宋体"/>
                <w:b/>
                <w:bCs/>
                <w:kern w:val="0"/>
                <w:szCs w:val="21"/>
              </w:rPr>
              <w:t>指标管理平台——首页：</w:t>
            </w:r>
            <w:r>
              <w:rPr>
                <w:rFonts w:hint="eastAsia" w:ascii="仿宋" w:hAnsi="仿宋" w:eastAsia="仿宋" w:cs="宋体"/>
                <w:kern w:val="0"/>
                <w:sz w:val="24"/>
                <w:szCs w:val="21"/>
                <w:highlight w:val="none"/>
              </w:rPr>
              <w:t>支持对指标、指标体系的设计、指标数据接入、管理、监测、开放等每一步操作的流程引导</w:t>
            </w:r>
            <w:r>
              <w:rPr>
                <w:rFonts w:hint="eastAsia" w:ascii="仿宋" w:hAnsi="仿宋" w:eastAsia="仿宋" w:cs="宋体"/>
                <w:kern w:val="0"/>
                <w:sz w:val="24"/>
                <w:szCs w:val="21"/>
                <w:highlight w:val="none"/>
                <w:lang w:eastAsia="zh-CN"/>
              </w:rPr>
              <w:t>。</w:t>
            </w:r>
            <w:r>
              <w:rPr>
                <w:rFonts w:hint="eastAsia" w:ascii="仿宋" w:hAnsi="仿宋" w:eastAsia="仿宋" w:cs="宋体"/>
                <w:kern w:val="0"/>
                <w:szCs w:val="21"/>
                <w:highlight w:val="none"/>
              </w:rPr>
              <w:t>演示</w:t>
            </w:r>
            <w:r>
              <w:rPr>
                <w:rFonts w:hint="eastAsia" w:ascii="仿宋" w:hAnsi="仿宋" w:eastAsia="仿宋" w:cs="宋体"/>
                <w:kern w:val="0"/>
                <w:szCs w:val="21"/>
                <w:highlight w:val="none"/>
                <w:lang w:eastAsia="zh-CN"/>
              </w:rPr>
              <w:t>成功</w:t>
            </w:r>
            <w:r>
              <w:rPr>
                <w:rFonts w:hint="eastAsia" w:ascii="仿宋" w:hAnsi="仿宋" w:eastAsia="仿宋" w:cs="宋体"/>
                <w:kern w:val="0"/>
                <w:szCs w:val="21"/>
                <w:highlight w:val="none"/>
              </w:rPr>
              <w:t>得</w:t>
            </w:r>
            <w:r>
              <w:rPr>
                <w:rFonts w:hint="eastAsia" w:ascii="仿宋" w:hAnsi="仿宋" w:eastAsia="仿宋" w:cs="宋体"/>
                <w:kern w:val="0"/>
                <w:szCs w:val="21"/>
                <w:highlight w:val="none"/>
                <w:lang w:val="en-US" w:eastAsia="zh-CN"/>
              </w:rPr>
              <w:t>2</w:t>
            </w:r>
            <w:r>
              <w:rPr>
                <w:rFonts w:hint="eastAsia" w:ascii="仿宋" w:hAnsi="仿宋" w:eastAsia="仿宋" w:cs="宋体"/>
                <w:kern w:val="0"/>
                <w:szCs w:val="21"/>
                <w:highlight w:val="none"/>
              </w:rPr>
              <w:t>分</w:t>
            </w:r>
            <w:r>
              <w:rPr>
                <w:rFonts w:hint="eastAsia" w:ascii="仿宋" w:hAnsi="仿宋" w:eastAsia="仿宋" w:cs="宋体"/>
                <w:kern w:val="0"/>
                <w:szCs w:val="21"/>
                <w:highlight w:val="none"/>
                <w:lang w:val="en-US" w:eastAsia="zh-CN"/>
              </w:rPr>
              <w:t>，否则不得分</w:t>
            </w:r>
            <w:r>
              <w:rPr>
                <w:rFonts w:hint="eastAsia" w:ascii="仿宋" w:hAnsi="仿宋" w:eastAsia="仿宋" w:cs="宋体"/>
                <w:kern w:val="0"/>
                <w:szCs w:val="21"/>
                <w:highlight w:val="none"/>
              </w:rPr>
              <w:t>。</w:t>
            </w:r>
          </w:p>
          <w:p>
            <w:pPr>
              <w:pStyle w:val="796"/>
              <w:widowControl/>
              <w:numPr>
                <w:ilvl w:val="0"/>
                <w:numId w:val="0"/>
              </w:numPr>
              <w:ind w:leftChars="0"/>
              <w:jc w:val="left"/>
              <w:rPr>
                <w:rFonts w:hint="eastAsia" w:ascii="仿宋" w:hAnsi="仿宋" w:eastAsia="仿宋" w:cs="仿宋_GB2312"/>
                <w:sz w:val="24"/>
                <w:highlight w:val="none"/>
                <w:lang w:eastAsia="zh-Hans"/>
              </w:rPr>
            </w:pPr>
            <w:r>
              <w:rPr>
                <w:rFonts w:hint="eastAsia" w:ascii="仿宋" w:hAnsi="仿宋" w:eastAsia="仿宋" w:cs="宋体"/>
                <w:b/>
                <w:bCs/>
                <w:kern w:val="0"/>
                <w:sz w:val="24"/>
                <w:szCs w:val="21"/>
                <w:highlight w:val="none"/>
                <w:lang w:val="en-US" w:eastAsia="zh-CN"/>
              </w:rPr>
              <w:t>10.</w:t>
            </w:r>
            <w:r>
              <w:rPr>
                <w:rFonts w:hint="eastAsia" w:ascii="仿宋" w:hAnsi="仿宋" w:eastAsia="仿宋" w:cs="宋体"/>
                <w:b/>
                <w:bCs/>
                <w:kern w:val="0"/>
                <w:sz w:val="24"/>
                <w:szCs w:val="21"/>
              </w:rPr>
              <w:t>指标管理平台——指标体系：</w:t>
            </w:r>
            <w:r>
              <w:rPr>
                <w:rFonts w:hint="eastAsia" w:ascii="仿宋" w:hAnsi="仿宋" w:eastAsia="仿宋" w:cs="宋体"/>
                <w:b w:val="0"/>
                <w:bCs w:val="0"/>
                <w:kern w:val="0"/>
                <w:sz w:val="24"/>
                <w:szCs w:val="21"/>
                <w:highlight w:val="none"/>
                <w:lang w:eastAsia="zh-CN"/>
              </w:rPr>
              <w:t>①</w:t>
            </w:r>
            <w:r>
              <w:rPr>
                <w:rFonts w:hint="eastAsia" w:ascii="仿宋" w:hAnsi="仿宋" w:eastAsia="仿宋" w:cs="宋体"/>
                <w:kern w:val="0"/>
                <w:sz w:val="24"/>
                <w:szCs w:val="21"/>
                <w:highlight w:val="none"/>
              </w:rPr>
              <w:t>支持对指标的维度进行分组管理、指标计量单位的管理</w:t>
            </w:r>
            <w:r>
              <w:rPr>
                <w:rFonts w:hint="eastAsia" w:ascii="仿宋" w:hAnsi="仿宋" w:eastAsia="仿宋" w:cs="宋体"/>
                <w:kern w:val="0"/>
                <w:sz w:val="24"/>
                <w:szCs w:val="21"/>
                <w:highlight w:val="none"/>
                <w:lang w:eastAsia="zh-CN"/>
              </w:rPr>
              <w:t>；②</w:t>
            </w:r>
            <w:r>
              <w:rPr>
                <w:rFonts w:hint="eastAsia" w:ascii="仿宋" w:hAnsi="仿宋" w:eastAsia="仿宋" w:cs="宋体"/>
                <w:kern w:val="0"/>
                <w:sz w:val="24"/>
                <w:szCs w:val="21"/>
                <w:highlight w:val="none"/>
              </w:rPr>
              <w:t>同时可实现指标同比、环比的自动计算，实现对指标的变化快速掌握。</w:t>
            </w:r>
            <w:r>
              <w:rPr>
                <w:rFonts w:hint="eastAsia" w:ascii="仿宋" w:hAnsi="仿宋" w:eastAsia="仿宋" w:cs="宋体"/>
                <w:kern w:val="0"/>
                <w:szCs w:val="21"/>
                <w:highlight w:val="none"/>
                <w:lang w:eastAsia="zh-CN"/>
              </w:rPr>
              <w:t>每项演示成功得</w:t>
            </w:r>
            <w:r>
              <w:rPr>
                <w:rFonts w:hint="eastAsia" w:ascii="仿宋" w:hAnsi="仿宋" w:eastAsia="仿宋" w:cs="宋体"/>
                <w:kern w:val="0"/>
                <w:szCs w:val="21"/>
                <w:highlight w:val="none"/>
                <w:lang w:val="en-US" w:eastAsia="zh-CN"/>
              </w:rPr>
              <w:t>1分，否则不得分，共2分。</w:t>
            </w:r>
          </w:p>
        </w:tc>
        <w:tc>
          <w:tcPr>
            <w:tcW w:w="407"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w:t>
            </w:r>
          </w:p>
        </w:tc>
        <w:tc>
          <w:tcPr>
            <w:tcW w:w="1096"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68"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w:t>
            </w:r>
          </w:p>
        </w:tc>
        <w:tc>
          <w:tcPr>
            <w:tcW w:w="3028" w:type="pct"/>
            <w:vAlign w:val="center"/>
          </w:tcPr>
          <w:p>
            <w:pPr>
              <w:spacing w:line="360" w:lineRule="auto"/>
              <w:outlineLvl w:val="0"/>
              <w:rPr>
                <w:rFonts w:hint="eastAsia" w:ascii="仿宋" w:hAnsi="仿宋" w:eastAsia="仿宋" w:cs="仿宋_GB2312"/>
                <w:sz w:val="24"/>
                <w:highlight w:val="none"/>
                <w:lang w:eastAsia="zh-CN"/>
              </w:rPr>
            </w:pPr>
            <w:r>
              <w:rPr>
                <w:rFonts w:hint="eastAsia" w:ascii="仿宋" w:hAnsi="仿宋" w:eastAsia="仿宋" w:cs="仿宋_GB2312"/>
                <w:sz w:val="24"/>
                <w:highlight w:val="none"/>
                <w:lang w:eastAsia="zh-Hans"/>
              </w:rPr>
              <w:t>所投指标管理平台具备相关软件著作权</w:t>
            </w:r>
            <w:r>
              <w:rPr>
                <w:rFonts w:hint="eastAsia" w:ascii="仿宋" w:hAnsi="仿宋" w:eastAsia="仿宋" w:cs="仿宋_GB2312"/>
                <w:sz w:val="24"/>
                <w:highlight w:val="none"/>
                <w:lang w:eastAsia="zh-CN"/>
              </w:rPr>
              <w:t>，提供软件著作权证的</w:t>
            </w:r>
            <w:r>
              <w:rPr>
                <w:rFonts w:hint="eastAsia" w:ascii="仿宋" w:hAnsi="仿宋" w:eastAsia="仿宋" w:cs="仿宋_GB2312"/>
                <w:sz w:val="24"/>
                <w:highlight w:val="none"/>
                <w:lang w:eastAsia="zh-Hans"/>
              </w:rPr>
              <w:t>得</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Hans"/>
              </w:rPr>
              <w:t>分</w:t>
            </w:r>
            <w:r>
              <w:rPr>
                <w:rFonts w:hint="eastAsia" w:ascii="仿宋" w:hAnsi="仿宋" w:eastAsia="仿宋" w:cs="仿宋_GB2312"/>
                <w:sz w:val="24"/>
                <w:highlight w:val="none"/>
                <w:lang w:eastAsia="zh-CN"/>
              </w:rPr>
              <w:t>。</w:t>
            </w:r>
          </w:p>
        </w:tc>
        <w:tc>
          <w:tcPr>
            <w:tcW w:w="407"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096" w:type="pct"/>
            <w:vMerge w:val="restart"/>
            <w:vAlign w:val="center"/>
          </w:tcPr>
          <w:p>
            <w:pPr>
              <w:jc w:val="center"/>
              <w:rPr>
                <w:rFonts w:hint="eastAsia" w:ascii="仿宋" w:hAnsi="仿宋" w:eastAsia="仿宋" w:cs="仿宋"/>
                <w:highlight w:val="none"/>
                <w:lang w:val="en-US" w:eastAsia="zh-CN"/>
              </w:rPr>
            </w:pPr>
            <w:r>
              <w:rPr>
                <w:rFonts w:hint="eastAsia" w:ascii="仿宋" w:hAnsi="仿宋" w:eastAsia="仿宋" w:cs="仿宋"/>
                <w:sz w:val="24"/>
                <w:szCs w:val="28"/>
                <w:highlight w:val="none"/>
                <w:lang w:val="en-US" w:eastAsia="zh-CN"/>
              </w:rPr>
              <w:t>（十）综合实力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w:t>
            </w:r>
          </w:p>
        </w:tc>
        <w:tc>
          <w:tcPr>
            <w:tcW w:w="3028" w:type="pct"/>
            <w:vAlign w:val="center"/>
          </w:tcPr>
          <w:p>
            <w:pPr>
              <w:spacing w:line="360" w:lineRule="auto"/>
              <w:outlineLvl w:val="0"/>
              <w:rPr>
                <w:rFonts w:hint="eastAsia" w:ascii="仿宋" w:hAnsi="仿宋" w:eastAsia="仿宋" w:cs="仿宋_GB2312"/>
                <w:sz w:val="24"/>
                <w:highlight w:val="none"/>
                <w:lang w:eastAsia="zh-Hans"/>
              </w:rPr>
            </w:pPr>
            <w:r>
              <w:rPr>
                <w:rFonts w:hint="eastAsia" w:ascii="仿宋" w:hAnsi="仿宋" w:eastAsia="仿宋" w:cs="仿宋_GB2312"/>
                <w:sz w:val="24"/>
                <w:highlight w:val="none"/>
                <w:lang w:eastAsia="zh-Hans"/>
              </w:rPr>
              <w:t>投标人具备信息技术服务运行维护资质</w:t>
            </w:r>
            <w:r>
              <w:rPr>
                <w:rFonts w:hint="eastAsia" w:ascii="仿宋" w:hAnsi="仿宋" w:eastAsia="仿宋" w:cs="仿宋_GB2312"/>
                <w:sz w:val="24"/>
                <w:highlight w:val="none"/>
                <w:lang w:eastAsia="zh-CN"/>
              </w:rPr>
              <w:t>，提供相关证书的得</w:t>
            </w:r>
            <w:r>
              <w:rPr>
                <w:rFonts w:hint="eastAsia" w:ascii="仿宋" w:hAnsi="仿宋" w:eastAsia="仿宋" w:cs="仿宋_GB2312"/>
                <w:sz w:val="24"/>
                <w:highlight w:val="none"/>
                <w:lang w:val="en-US" w:eastAsia="zh-CN"/>
              </w:rPr>
              <w:t>2分</w:t>
            </w:r>
            <w:r>
              <w:rPr>
                <w:rFonts w:hint="eastAsia" w:ascii="仿宋" w:hAnsi="仿宋" w:eastAsia="仿宋" w:cs="仿宋_GB2312"/>
                <w:sz w:val="24"/>
                <w:highlight w:val="none"/>
                <w:lang w:eastAsia="zh-CN"/>
              </w:rPr>
              <w:t>。</w:t>
            </w:r>
          </w:p>
        </w:tc>
        <w:tc>
          <w:tcPr>
            <w:tcW w:w="407"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96" w:type="pct"/>
            <w:vMerge w:val="continue"/>
            <w:vAlign w:val="center"/>
          </w:tcPr>
          <w:p>
            <w:pPr>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jc w:val="center"/>
              <w:rPr>
                <w:rFonts w:hint="eastAsia" w:ascii="仿宋" w:hAnsi="仿宋" w:eastAsia="仿宋" w:cs="仿宋"/>
                <w:sz w:val="24"/>
                <w:szCs w:val="24"/>
                <w:highlight w:val="none"/>
                <w:lang w:val="en-US" w:eastAsia="zh-CN"/>
              </w:rPr>
            </w:pPr>
          </w:p>
        </w:tc>
        <w:tc>
          <w:tcPr>
            <w:tcW w:w="3028" w:type="pct"/>
            <w:vAlign w:val="center"/>
          </w:tcPr>
          <w:p>
            <w:pPr>
              <w:spacing w:line="360" w:lineRule="auto"/>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eastAsia="zh-Hans"/>
              </w:rPr>
              <w:t>投标人具有ISO9001质量管理体系证书</w:t>
            </w:r>
            <w:r>
              <w:rPr>
                <w:rFonts w:hint="eastAsia" w:ascii="仿宋" w:hAnsi="仿宋" w:eastAsia="仿宋" w:cs="仿宋_GB2312"/>
                <w:sz w:val="24"/>
                <w:highlight w:val="none"/>
                <w:lang w:eastAsia="zh-CN"/>
              </w:rPr>
              <w:t>、ISO20000信息技术服务管理体系认证证书、ISO27001信息安全管理体系认证证书，提供相关证书，每个证书</w:t>
            </w:r>
            <w:r>
              <w:rPr>
                <w:rFonts w:hint="eastAsia" w:ascii="仿宋" w:hAnsi="仿宋" w:eastAsia="仿宋" w:cs="仿宋_GB2312"/>
                <w:sz w:val="24"/>
                <w:highlight w:val="none"/>
                <w:lang w:eastAsia="zh-Hans"/>
              </w:rPr>
              <w:t>得</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Hans"/>
              </w:rPr>
              <w:t>分，</w:t>
            </w:r>
            <w:r>
              <w:rPr>
                <w:rFonts w:hint="eastAsia" w:ascii="仿宋" w:hAnsi="仿宋" w:eastAsia="仿宋" w:cs="仿宋_GB2312"/>
                <w:sz w:val="24"/>
                <w:highlight w:val="none"/>
                <w:lang w:eastAsia="zh-CN"/>
              </w:rPr>
              <w:t>共</w:t>
            </w:r>
            <w:r>
              <w:rPr>
                <w:rFonts w:hint="eastAsia" w:ascii="仿宋" w:hAnsi="仿宋" w:eastAsia="仿宋" w:cs="仿宋_GB2312"/>
                <w:sz w:val="24"/>
                <w:highlight w:val="none"/>
                <w:lang w:val="en-US" w:eastAsia="zh-CN"/>
              </w:rPr>
              <w:t>3分。</w:t>
            </w:r>
          </w:p>
        </w:tc>
        <w:tc>
          <w:tcPr>
            <w:tcW w:w="407"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1096" w:type="pct"/>
            <w:vMerge w:val="continue"/>
            <w:vAlign w:val="center"/>
          </w:tcPr>
          <w:p>
            <w:pPr>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w:t>
            </w:r>
          </w:p>
        </w:tc>
        <w:tc>
          <w:tcPr>
            <w:tcW w:w="3028" w:type="pct"/>
            <w:vAlign w:val="center"/>
          </w:tcPr>
          <w:p>
            <w:pPr>
              <w:spacing w:line="360" w:lineRule="auto"/>
              <w:outlineLvl w:val="0"/>
              <w:rPr>
                <w:rFonts w:hint="eastAsia" w:ascii="仿宋" w:hAnsi="仿宋" w:eastAsia="仿宋" w:cs="仿宋_GB2312"/>
                <w:sz w:val="24"/>
                <w:highlight w:val="none"/>
              </w:rPr>
            </w:pPr>
            <w:r>
              <w:rPr>
                <w:rFonts w:hint="eastAsia" w:ascii="仿宋" w:hAnsi="仿宋" w:eastAsia="仿宋" w:cs="仿宋_GB2312"/>
                <w:sz w:val="24"/>
                <w:highlight w:val="none"/>
                <w:lang w:eastAsia="zh-Hans"/>
              </w:rPr>
              <w:t>类似项目建设的成功经验</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eastAsia="zh-Hans"/>
              </w:rPr>
              <w:t>投标人提供</w:t>
            </w:r>
            <w:r>
              <w:rPr>
                <w:rFonts w:hint="eastAsia" w:ascii="仿宋" w:hAnsi="仿宋" w:eastAsia="仿宋" w:cs="仿宋_GB2312"/>
                <w:sz w:val="24"/>
                <w:highlight w:val="none"/>
                <w:lang w:eastAsia="zh-CN"/>
              </w:rPr>
              <w:t>自</w:t>
            </w:r>
            <w:r>
              <w:rPr>
                <w:rFonts w:hint="eastAsia" w:ascii="仿宋" w:hAnsi="仿宋" w:eastAsia="仿宋" w:cs="仿宋_GB2312"/>
                <w:sz w:val="24"/>
                <w:highlight w:val="none"/>
                <w:lang w:val="en-US" w:eastAsia="zh-CN"/>
              </w:rPr>
              <w:t>2019</w:t>
            </w:r>
            <w:r>
              <w:rPr>
                <w:rFonts w:hint="eastAsia" w:ascii="仿宋" w:hAnsi="仿宋" w:eastAsia="仿宋" w:cs="仿宋_GB2312"/>
                <w:sz w:val="24"/>
                <w:highlight w:val="none"/>
                <w:lang w:eastAsia="zh-Hans"/>
              </w:rPr>
              <w:t>年1月1日至</w:t>
            </w:r>
            <w:r>
              <w:rPr>
                <w:rFonts w:hint="eastAsia" w:ascii="仿宋" w:hAnsi="仿宋" w:eastAsia="仿宋" w:cs="仿宋_GB2312"/>
                <w:sz w:val="24"/>
                <w:highlight w:val="none"/>
              </w:rPr>
              <w:t>开标时间止</w:t>
            </w:r>
            <w:r>
              <w:rPr>
                <w:rFonts w:hint="eastAsia" w:ascii="仿宋" w:hAnsi="仿宋" w:eastAsia="仿宋" w:cs="仿宋_GB2312"/>
                <w:sz w:val="24"/>
                <w:highlight w:val="none"/>
                <w:lang w:eastAsia="zh-Hans"/>
              </w:rPr>
              <w:t>（以合同签订时间为准</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完成过智慧城市类或大数据平台建设</w:t>
            </w:r>
            <w:r>
              <w:rPr>
                <w:rFonts w:hint="eastAsia" w:ascii="仿宋" w:hAnsi="仿宋" w:eastAsia="仿宋" w:cs="仿宋_GB2312"/>
                <w:sz w:val="24"/>
                <w:highlight w:val="none"/>
                <w:lang w:eastAsia="zh-CN"/>
              </w:rPr>
              <w:t>类</w:t>
            </w:r>
            <w:r>
              <w:rPr>
                <w:rFonts w:hint="eastAsia" w:ascii="仿宋" w:hAnsi="仿宋" w:eastAsia="仿宋" w:cs="仿宋_GB2312"/>
                <w:sz w:val="24"/>
                <w:highlight w:val="none"/>
                <w:lang w:eastAsia="zh-Hans"/>
              </w:rPr>
              <w:t>案例情况，</w:t>
            </w:r>
            <w:r>
              <w:rPr>
                <w:rFonts w:hint="eastAsia" w:ascii="仿宋" w:hAnsi="仿宋" w:eastAsia="仿宋" w:cs="仿宋_GB2312"/>
                <w:sz w:val="24"/>
                <w:highlight w:val="none"/>
                <w:lang w:eastAsia="zh-CN"/>
              </w:rPr>
              <w:t>提供合同扫描件，</w:t>
            </w:r>
            <w:r>
              <w:rPr>
                <w:rFonts w:hint="eastAsia" w:ascii="仿宋" w:hAnsi="仿宋" w:eastAsia="仿宋" w:cs="仿宋_GB2312"/>
                <w:sz w:val="24"/>
                <w:highlight w:val="none"/>
                <w:lang w:eastAsia="zh-Hans"/>
              </w:rPr>
              <w:t>每个案例得</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Hans"/>
              </w:rPr>
              <w:t>分，</w:t>
            </w:r>
            <w:r>
              <w:rPr>
                <w:rFonts w:hint="eastAsia" w:ascii="仿宋" w:hAnsi="仿宋" w:eastAsia="仿宋" w:cs="仿宋_GB2312"/>
                <w:sz w:val="24"/>
                <w:highlight w:val="none"/>
                <w:lang w:eastAsia="zh-CN"/>
              </w:rPr>
              <w:t>共</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Hans"/>
              </w:rPr>
              <w:t>分</w:t>
            </w:r>
            <w:r>
              <w:rPr>
                <w:rFonts w:hint="eastAsia" w:ascii="仿宋" w:hAnsi="仿宋" w:eastAsia="仿宋" w:cs="仿宋_GB2312"/>
                <w:sz w:val="24"/>
                <w:highlight w:val="none"/>
              </w:rPr>
              <w:t>。</w:t>
            </w:r>
          </w:p>
        </w:tc>
        <w:tc>
          <w:tcPr>
            <w:tcW w:w="407" w:type="pct"/>
            <w:vAlign w:val="center"/>
          </w:tcPr>
          <w:p>
            <w:pPr>
              <w:jc w:val="center"/>
              <w:rPr>
                <w:rFonts w:hint="eastAsia" w:ascii="仿宋" w:hAnsi="仿宋" w:eastAsia="仿宋" w:cs="仿宋"/>
                <w:sz w:val="24"/>
                <w:szCs w:val="24"/>
                <w:highlight w:val="none"/>
              </w:rPr>
            </w:pPr>
          </w:p>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96" w:type="pct"/>
            <w:vMerge w:val="continue"/>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468" w:type="pct"/>
            <w:vAlign w:val="center"/>
          </w:tcPr>
          <w:p>
            <w:pPr>
              <w:spacing w:line="360" w:lineRule="auto"/>
              <w:jc w:val="center"/>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14</w:t>
            </w:r>
          </w:p>
        </w:tc>
        <w:tc>
          <w:tcPr>
            <w:tcW w:w="3028" w:type="pct"/>
          </w:tcPr>
          <w:p>
            <w:pPr>
              <w:spacing w:line="360" w:lineRule="auto"/>
              <w:outlineLvl w:val="0"/>
              <w:rPr>
                <w:rFonts w:hint="eastAsia" w:ascii="仿宋" w:hAnsi="仿宋" w:eastAsia="仿宋" w:cs="仿宋_GB2312"/>
                <w:sz w:val="24"/>
                <w:highlight w:val="none"/>
              </w:rPr>
            </w:pPr>
            <w:r>
              <w:rPr>
                <w:rFonts w:hint="eastAsia" w:ascii="仿宋" w:hAnsi="仿宋" w:eastAsia="仿宋" w:cs="仿宋_GB2312"/>
                <w:sz w:val="24"/>
                <w:highlight w:val="none"/>
              </w:rPr>
              <w:t>有效投标报价的最低价作为评标基准价，其最低报价为满分；按［投标报价得分=（评标基准价/投标报价）*</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rPr>
              <w:t>0］的计算公式计算。</w:t>
            </w:r>
          </w:p>
          <w:p>
            <w:pPr>
              <w:spacing w:line="360" w:lineRule="auto"/>
              <w:outlineLvl w:val="0"/>
              <w:rPr>
                <w:rFonts w:hint="eastAsia" w:ascii="仿宋" w:hAnsi="仿宋" w:eastAsia="仿宋" w:cs="仿宋_GB2312"/>
                <w:sz w:val="24"/>
                <w:highlight w:val="none"/>
              </w:rPr>
            </w:pPr>
            <w:r>
              <w:rPr>
                <w:rFonts w:hint="eastAsia" w:ascii="仿宋" w:hAnsi="仿宋" w:eastAsia="仿宋" w:cs="仿宋_GB2312"/>
                <w:sz w:val="24"/>
                <w:highlight w:val="none"/>
              </w:rPr>
              <w:t>评标过程中，不得去掉报价中的最高报价和最低报价。</w:t>
            </w:r>
          </w:p>
          <w:p>
            <w:pPr>
              <w:spacing w:line="360" w:lineRule="auto"/>
              <w:outlineLvl w:val="0"/>
              <w:rPr>
                <w:rFonts w:hint="eastAsia" w:ascii="仿宋" w:hAnsi="仿宋" w:eastAsia="仿宋" w:cs="仿宋_GB2312"/>
                <w:sz w:val="24"/>
                <w:highlight w:val="none"/>
              </w:rPr>
            </w:pPr>
            <w:r>
              <w:rPr>
                <w:rFonts w:hint="eastAsia" w:ascii="仿宋" w:hAnsi="仿宋" w:eastAsia="仿宋" w:cs="仿宋_GB2312"/>
                <w:sz w:val="24"/>
                <w:highlight w:val="none"/>
              </w:rPr>
              <w:t>因落实政府采购政策需要进行价格调整的，以调整后的价格计算评标基准价和投标报价。</w:t>
            </w:r>
          </w:p>
        </w:tc>
        <w:tc>
          <w:tcPr>
            <w:tcW w:w="407" w:type="pct"/>
            <w:vAlign w:val="center"/>
          </w:tcPr>
          <w:p>
            <w:pPr>
              <w:spacing w:line="360" w:lineRule="auto"/>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0</w:t>
            </w:r>
          </w:p>
        </w:tc>
        <w:tc>
          <w:tcPr>
            <w:tcW w:w="1096" w:type="pct"/>
            <w:vAlign w:val="center"/>
          </w:tcPr>
          <w:p>
            <w:pPr>
              <w:spacing w:line="360" w:lineRule="auto"/>
              <w:jc w:val="center"/>
              <w:outlineLvl w:val="0"/>
              <w:rPr>
                <w:rFonts w:hint="eastAsia" w:ascii="仿宋" w:hAnsi="仿宋" w:eastAsia="仿宋" w:cs="仿宋"/>
                <w:sz w:val="24"/>
                <w:highlight w:val="none"/>
              </w:rPr>
            </w:pPr>
            <w:r>
              <w:rPr>
                <w:rFonts w:hint="eastAsia" w:ascii="仿宋" w:hAnsi="仿宋" w:eastAsia="仿宋" w:cs="仿宋"/>
                <w:sz w:val="24"/>
                <w:highlight w:val="none"/>
              </w:rPr>
              <w:t>/</w:t>
            </w:r>
          </w:p>
        </w:tc>
      </w:tr>
    </w:tbl>
    <w:p>
      <w:pPr>
        <w:snapToGrid w:val="0"/>
        <w:spacing w:line="360" w:lineRule="auto"/>
        <w:rPr>
          <w:rFonts w:hint="eastAsia"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128"/>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128"/>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pStyle w:val="5"/>
        <w:ind w:left="862" w:leftChars="205"/>
        <w:rPr>
          <w:rFonts w:hint="eastAsia" w:ascii="仿宋" w:hAnsi="仿宋" w:eastAsia="仿宋" w:cs="仿宋"/>
          <w:b w:val="0"/>
          <w:bCs w:val="0"/>
          <w:kern w:val="0"/>
          <w:sz w:val="24"/>
          <w:szCs w:val="24"/>
          <w:lang w:val="en-US"/>
        </w:rPr>
      </w:pPr>
      <w:r>
        <w:rPr>
          <w:rFonts w:hint="eastAsia" w:ascii="仿宋" w:hAnsi="仿宋" w:eastAsia="仿宋" w:cs="仿宋"/>
          <w:b w:val="0"/>
          <w:bCs w:val="0"/>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5"/>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5"/>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5"/>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5"/>
        <w:snapToGrid w:val="0"/>
        <w:spacing w:line="360" w:lineRule="auto"/>
        <w:rPr>
          <w:rFonts w:hint="eastAsia" w:ascii="仿宋" w:hAnsi="仿宋" w:eastAsia="仿宋" w:cs="仿宋"/>
        </w:rPr>
      </w:pPr>
      <w:r>
        <w:rPr>
          <w:rFonts w:hint="eastAsia" w:ascii="仿宋" w:hAnsi="仿宋" w:eastAsia="仿宋" w:cs="仿宋"/>
        </w:rPr>
        <w:t>废标后，采购机构应当将废标理由通知所有投标人。</w:t>
      </w:r>
    </w:p>
    <w:p>
      <w:pPr>
        <w:pStyle w:val="25"/>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5"/>
        <w:snapToGrid w:val="0"/>
        <w:spacing w:line="360" w:lineRule="auto"/>
        <w:rPr>
          <w:rFonts w:hint="eastAsia" w:ascii="仿宋" w:hAnsi="仿宋" w:eastAsia="仿宋" w:cs="仿宋"/>
        </w:rPr>
      </w:pPr>
      <w:r>
        <w:rPr>
          <w:rFonts w:hint="eastAsia" w:ascii="仿宋" w:hAnsi="仿宋" w:eastAsia="仿宋" w:cs="仿宋"/>
        </w:rPr>
        <w:t>7.1未确定中标供应商的，终止本次政府采购活动，重新开展政府采购活动。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5"/>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hint="eastAsia" w:ascii="仿宋" w:hAnsi="仿宋" w:eastAsia="仿宋" w:cs="仿宋"/>
        </w:rPr>
      </w:pPr>
    </w:p>
    <w:bookmarkEnd w:id="27"/>
    <w:p>
      <w:pPr>
        <w:spacing w:line="360" w:lineRule="auto"/>
        <w:ind w:left="720" w:leftChars="343" w:firstLine="1084" w:firstLineChars="300"/>
        <w:outlineLvl w:val="0"/>
        <w:rPr>
          <w:rFonts w:hint="eastAsia" w:ascii="仿宋" w:hAnsi="仿宋" w:eastAsia="仿宋" w:cs="仿宋"/>
          <w:b/>
          <w:sz w:val="36"/>
          <w:szCs w:val="36"/>
        </w:rPr>
      </w:pPr>
      <w:bookmarkStart w:id="404" w:name="第五部分"/>
      <w:bookmarkStart w:id="405" w:name="_Toc86217003"/>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 xml:space="preserve">    </w:t>
      </w: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hint="eastAsia" w:ascii="仿宋" w:hAnsi="仿宋" w:eastAsia="仿宋" w:cs="仿宋"/>
          <w:b/>
          <w:sz w:val="28"/>
          <w:szCs w:val="28"/>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（服务类）</w:t>
      </w:r>
    </w:p>
    <w:p>
      <w:pPr>
        <w:pStyle w:val="699"/>
        <w:ind w:firstLine="2843" w:firstLineChars="1180"/>
        <w:rPr>
          <w:rFonts w:hint="eastAsia" w:ascii="仿宋" w:hAnsi="仿宋" w:eastAsia="仿宋" w:cs="仿宋"/>
          <w:b/>
          <w:szCs w:val="24"/>
        </w:rPr>
      </w:pPr>
      <w:r>
        <w:rPr>
          <w:rFonts w:hint="eastAsia" w:ascii="仿宋" w:hAnsi="仿宋" w:eastAsia="仿宋" w:cs="仿宋"/>
          <w:b/>
          <w:szCs w:val="24"/>
        </w:rPr>
        <w:t>第一部分 合同书</w:t>
      </w:r>
    </w:p>
    <w:p>
      <w:pPr>
        <w:spacing w:before="120" w:line="22" w:lineRule="atLeast"/>
        <w:rPr>
          <w:rFonts w:hint="eastAsia" w:ascii="仿宋" w:hAnsi="仿宋" w:eastAsia="仿宋" w:cs="仿宋"/>
          <w:sz w:val="24"/>
        </w:rPr>
      </w:pPr>
    </w:p>
    <w:p>
      <w:pPr>
        <w:pStyle w:val="5"/>
        <w:rPr>
          <w:rFonts w:hint="eastAsia" w:ascii="仿宋" w:hAnsi="仿宋" w:eastAsia="仿宋" w:cs="仿宋"/>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96"/>
        <w:spacing w:before="120" w:line="22" w:lineRule="atLeast"/>
        <w:rPr>
          <w:rFonts w:hint="eastAsia" w:ascii="仿宋" w:hAnsi="仿宋" w:eastAsia="仿宋" w:cs="仿宋"/>
          <w:szCs w:val="24"/>
        </w:rPr>
      </w:pPr>
    </w:p>
    <w:p>
      <w:pPr>
        <w:pStyle w:val="596"/>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（采购人名称）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（同前页项目名称）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 </w:t>
      </w:r>
      <w:r>
        <w:rPr>
          <w:rFonts w:hint="eastAsia" w:ascii="仿宋" w:hAnsi="仿宋" w:eastAsia="仿宋" w:cs="仿宋"/>
          <w:sz w:val="24"/>
        </w:rPr>
        <w:t>为该项目中标供应商。现于中标通知书发出之日起10个工作日内，按照采购文件确定的事项签订本合同。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根据《中华人民共和国民法典》《中华人民共和国政府采购法》等相关法律法规之规定，按照平等、自愿、公平和诚实信用的原则，经</w:t>
      </w:r>
      <w:r>
        <w:rPr>
          <w:rFonts w:hint="eastAsia" w:ascii="仿宋" w:hAnsi="仿宋" w:eastAsia="仿宋" w:cs="仿宋"/>
          <w:sz w:val="24"/>
          <w:u w:val="single"/>
        </w:rPr>
        <w:t xml:space="preserve">   （采购人名称）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hint="eastAsia" w:ascii="仿宋" w:hAnsi="仿宋" w:eastAsia="仿宋" w:cs="仿宋"/>
          <w:sz w:val="24"/>
        </w:rPr>
      </w:pPr>
      <w:bookmarkStart w:id="406" w:name="_Toc15367"/>
      <w:bookmarkStart w:id="407" w:name="_Toc28855"/>
      <w:bookmarkStart w:id="408" w:name="_Toc20421"/>
      <w:bookmarkStart w:id="409" w:name="_Toc22967"/>
      <w:bookmarkStart w:id="410" w:name="_Toc19273"/>
      <w:r>
        <w:rPr>
          <w:rFonts w:hint="eastAsia" w:ascii="仿宋" w:hAnsi="仿宋" w:eastAsia="仿宋" w:cs="仿宋"/>
          <w:b/>
          <w:sz w:val="24"/>
        </w:rPr>
        <w:t>1.1 合同组成部分</w:t>
      </w:r>
      <w:bookmarkEnd w:id="406"/>
      <w:bookmarkEnd w:id="407"/>
      <w:bookmarkEnd w:id="408"/>
      <w:bookmarkEnd w:id="409"/>
      <w:bookmarkEnd w:id="41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1.1.2 中标通知书；</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1.1.3 投标文件（含澄清或者说明文件）；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1.1.4 招标文件（含澄清或者修改文件）；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hint="eastAsia" w:ascii="仿宋" w:hAnsi="仿宋" w:eastAsia="仿宋" w:cs="仿宋"/>
          <w:b/>
          <w:sz w:val="24"/>
        </w:rPr>
      </w:pPr>
      <w:bookmarkStart w:id="411" w:name="_Toc6311"/>
      <w:bookmarkStart w:id="412" w:name="_Toc22185"/>
      <w:bookmarkStart w:id="413" w:name="_Toc18585"/>
      <w:bookmarkStart w:id="414" w:name="_Toc2918"/>
      <w:bookmarkStart w:id="415" w:name="_Toc6773"/>
      <w:r>
        <w:rPr>
          <w:rFonts w:hint="eastAsia" w:ascii="仿宋" w:hAnsi="仿宋" w:eastAsia="仿宋" w:cs="仿宋"/>
          <w:b/>
          <w:sz w:val="24"/>
        </w:rPr>
        <w:t>1.2 标的</w:t>
      </w:r>
      <w:bookmarkEnd w:id="411"/>
      <w:bookmarkEnd w:id="412"/>
      <w:bookmarkEnd w:id="413"/>
      <w:bookmarkEnd w:id="414"/>
      <w:bookmarkEnd w:id="415"/>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1.2.1 标的名称：</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1.2.2 标的数量：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1.2.3 标的质量：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16" w:name="_Toc5635"/>
      <w:bookmarkStart w:id="417" w:name="_Toc4929"/>
      <w:bookmarkStart w:id="418" w:name="_Toc1386"/>
      <w:bookmarkStart w:id="419" w:name="_Toc21124"/>
      <w:bookmarkStart w:id="420" w:name="_Toc13918"/>
      <w:r>
        <w:rPr>
          <w:rFonts w:hint="eastAsia" w:ascii="仿宋" w:hAnsi="仿宋" w:eastAsia="仿宋" w:cs="仿宋"/>
          <w:b/>
          <w:sz w:val="24"/>
        </w:rPr>
        <w:t>1.3 价款</w:t>
      </w:r>
      <w:bookmarkEnd w:id="416"/>
      <w:bookmarkEnd w:id="417"/>
      <w:bookmarkEnd w:id="418"/>
      <w:bookmarkEnd w:id="419"/>
      <w:bookmarkEnd w:id="42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vAlign w:val="center"/>
          </w:tcPr>
          <w:p>
            <w:pPr>
              <w:pStyle w:val="317"/>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vAlign w:val="center"/>
          </w:tcPr>
          <w:p>
            <w:pPr>
              <w:pStyle w:val="317"/>
              <w:spacing w:line="560" w:lineRule="exact"/>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仿宋" w:hAnsi="仿宋" w:eastAsia="仿宋" w:cs="仿宋"/>
                <w:sz w:val="24"/>
                <w:szCs w:val="24"/>
              </w:rPr>
            </w:pPr>
          </w:p>
        </w:tc>
        <w:tc>
          <w:tcPr>
            <w:tcW w:w="3402" w:type="dxa"/>
            <w:vAlign w:val="center"/>
          </w:tcPr>
          <w:p>
            <w:pPr>
              <w:pStyle w:val="317"/>
              <w:spacing w:line="560" w:lineRule="exact"/>
              <w:ind w:firstLine="200"/>
              <w:jc w:val="center"/>
              <w:rPr>
                <w:rFonts w:hint="eastAsia" w:ascii="仿宋" w:hAnsi="仿宋" w:eastAsia="仿宋" w:cs="仿宋"/>
                <w:sz w:val="24"/>
                <w:szCs w:val="24"/>
              </w:rPr>
            </w:pPr>
          </w:p>
        </w:tc>
        <w:tc>
          <w:tcPr>
            <w:tcW w:w="2552" w:type="dxa"/>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仿宋" w:hAnsi="仿宋" w:eastAsia="仿宋" w:cs="仿宋"/>
                <w:sz w:val="24"/>
                <w:szCs w:val="24"/>
              </w:rPr>
            </w:pPr>
          </w:p>
        </w:tc>
        <w:tc>
          <w:tcPr>
            <w:tcW w:w="3402" w:type="dxa"/>
            <w:vAlign w:val="center"/>
          </w:tcPr>
          <w:p>
            <w:pPr>
              <w:pStyle w:val="317"/>
              <w:spacing w:line="560" w:lineRule="exact"/>
              <w:ind w:firstLine="200"/>
              <w:jc w:val="center"/>
              <w:rPr>
                <w:rFonts w:hint="eastAsia" w:ascii="仿宋" w:hAnsi="仿宋" w:eastAsia="仿宋" w:cs="仿宋"/>
                <w:sz w:val="24"/>
                <w:szCs w:val="24"/>
              </w:rPr>
            </w:pPr>
          </w:p>
        </w:tc>
        <w:tc>
          <w:tcPr>
            <w:tcW w:w="2552" w:type="dxa"/>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仿宋" w:hAnsi="仿宋" w:eastAsia="仿宋" w:cs="仿宋"/>
                <w:sz w:val="24"/>
                <w:szCs w:val="24"/>
              </w:rPr>
            </w:pPr>
          </w:p>
        </w:tc>
        <w:tc>
          <w:tcPr>
            <w:tcW w:w="3402" w:type="dxa"/>
            <w:vAlign w:val="center"/>
          </w:tcPr>
          <w:p>
            <w:pPr>
              <w:pStyle w:val="317"/>
              <w:spacing w:line="560" w:lineRule="exact"/>
              <w:ind w:firstLine="200"/>
              <w:jc w:val="center"/>
              <w:rPr>
                <w:rFonts w:hint="eastAsia" w:ascii="仿宋" w:hAnsi="仿宋" w:eastAsia="仿宋" w:cs="仿宋"/>
                <w:sz w:val="24"/>
                <w:szCs w:val="24"/>
              </w:rPr>
            </w:pPr>
          </w:p>
        </w:tc>
        <w:tc>
          <w:tcPr>
            <w:tcW w:w="2552" w:type="dxa"/>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仿宋" w:hAnsi="仿宋" w:eastAsia="仿宋" w:cs="仿宋"/>
                <w:sz w:val="24"/>
                <w:szCs w:val="24"/>
              </w:rPr>
            </w:pPr>
          </w:p>
        </w:tc>
        <w:tc>
          <w:tcPr>
            <w:tcW w:w="3402" w:type="dxa"/>
            <w:vAlign w:val="center"/>
          </w:tcPr>
          <w:p>
            <w:pPr>
              <w:pStyle w:val="317"/>
              <w:spacing w:line="560" w:lineRule="exact"/>
              <w:ind w:firstLine="200"/>
              <w:jc w:val="center"/>
              <w:rPr>
                <w:rFonts w:hint="eastAsia" w:ascii="仿宋" w:hAnsi="仿宋" w:eastAsia="仿宋" w:cs="仿宋"/>
                <w:sz w:val="24"/>
                <w:szCs w:val="24"/>
              </w:rPr>
            </w:pPr>
          </w:p>
        </w:tc>
        <w:tc>
          <w:tcPr>
            <w:tcW w:w="2552" w:type="dxa"/>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vAlign w:val="center"/>
          </w:tcPr>
          <w:p>
            <w:pPr>
              <w:pStyle w:val="317"/>
              <w:spacing w:line="560" w:lineRule="exact"/>
              <w:ind w:firstLine="200"/>
              <w:jc w:val="center"/>
              <w:rPr>
                <w:rFonts w:hint="eastAsia" w:ascii="仿宋" w:hAnsi="仿宋" w:eastAsia="仿宋" w:cs="仿宋"/>
                <w:sz w:val="24"/>
                <w:szCs w:val="24"/>
              </w:rPr>
            </w:pPr>
          </w:p>
        </w:tc>
      </w:tr>
    </w:tbl>
    <w:p>
      <w:pPr>
        <w:spacing w:line="560" w:lineRule="exact"/>
        <w:ind w:firstLine="482" w:firstLineChars="200"/>
        <w:outlineLvl w:val="0"/>
        <w:rPr>
          <w:rFonts w:hint="eastAsia" w:ascii="仿宋" w:hAnsi="仿宋" w:eastAsia="仿宋" w:cs="仿宋"/>
          <w:b/>
          <w:sz w:val="24"/>
        </w:rPr>
      </w:pPr>
      <w:bookmarkStart w:id="421" w:name="_Toc3654"/>
      <w:bookmarkStart w:id="422" w:name="_Toc30158"/>
      <w:bookmarkStart w:id="423" w:name="_Toc26916"/>
      <w:bookmarkStart w:id="424" w:name="_Toc14993"/>
      <w:bookmarkStart w:id="425" w:name="_Toc30506"/>
      <w:r>
        <w:rPr>
          <w:rFonts w:hint="eastAsia" w:ascii="仿宋" w:hAnsi="仿宋" w:eastAsia="仿宋" w:cs="仿宋"/>
          <w:b/>
          <w:sz w:val="24"/>
        </w:rPr>
        <w:t>1.4 付款方式和发票开具方式</w:t>
      </w:r>
      <w:bookmarkEnd w:id="421"/>
      <w:bookmarkEnd w:id="422"/>
      <w:bookmarkEnd w:id="423"/>
      <w:bookmarkEnd w:id="424"/>
      <w:bookmarkEnd w:id="425"/>
    </w:p>
    <w:p>
      <w:pPr>
        <w:pStyle w:val="957"/>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1.4.2 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1.4.4资金支付的方式、时间和条件详见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hint="eastAsia" w:ascii="仿宋" w:hAnsi="仿宋" w:eastAsia="仿宋" w:cs="仿宋"/>
          <w:b/>
          <w:sz w:val="24"/>
        </w:rPr>
      </w:pPr>
      <w:bookmarkStart w:id="426" w:name="_Toc8772"/>
      <w:bookmarkStart w:id="427" w:name="_Toc3625"/>
      <w:bookmarkStart w:id="428" w:name="_Toc11108"/>
      <w:bookmarkStart w:id="429" w:name="_Toc4760"/>
      <w:bookmarkStart w:id="430" w:name="_Toc31421"/>
      <w:r>
        <w:rPr>
          <w:rFonts w:hint="eastAsia" w:ascii="仿宋" w:hAnsi="仿宋" w:eastAsia="仿宋" w:cs="仿宋"/>
          <w:b/>
          <w:sz w:val="24"/>
        </w:rPr>
        <w:t>1.5 履行期限、地点和方式</w:t>
      </w:r>
      <w:bookmarkEnd w:id="426"/>
      <w:bookmarkEnd w:id="427"/>
      <w:bookmarkEnd w:id="428"/>
      <w:bookmarkEnd w:id="429"/>
      <w:bookmarkEnd w:id="430"/>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1.5.1 履行期限：</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1.5.2 履行地点：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1.5.3 履行方式：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sz w:val="24"/>
          <w:u w:val="single"/>
        </w:rPr>
      </w:pPr>
      <w:bookmarkStart w:id="431" w:name="_Toc3079"/>
      <w:bookmarkStart w:id="432" w:name="_Toc5698"/>
      <w:bookmarkStart w:id="433" w:name="_Toc24662"/>
      <w:bookmarkStart w:id="434" w:name="_Toc2375"/>
      <w:bookmarkStart w:id="435" w:name="_Toc8586"/>
      <w:r>
        <w:rPr>
          <w:rFonts w:hint="eastAsia" w:ascii="仿宋" w:hAnsi="仿宋" w:eastAsia="仿宋" w:cs="仿宋"/>
          <w:b/>
          <w:sz w:val="24"/>
        </w:rPr>
        <w:t>1.6 违约责任</w:t>
      </w:r>
      <w:bookmarkEnd w:id="431"/>
      <w:bookmarkEnd w:id="432"/>
      <w:bookmarkEnd w:id="433"/>
      <w:bookmarkEnd w:id="434"/>
      <w:bookmarkEnd w:id="43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1.6.1 除不可抗力外，如果乙方没有按照本合同约定的期限、地点和方式履行，那么甲方可要求乙方支付违约金，违约金按每迟延履行一日的应提供而未提供服务价格的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%；迟延履行的违约金计算数额达到前述最高限额之日起，甲方有权在要求乙方支付违约金的同时，书面通知乙方解除本合同；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hint="eastAsia" w:ascii="仿宋" w:hAnsi="仿宋" w:eastAsia="仿宋" w:cs="仿宋"/>
        </w:rPr>
      </w:pPr>
      <w:r>
        <w:rPr>
          <w:rFonts w:hint="eastAsia" w:ascii="仿宋" w:hAnsi="仿宋" w:eastAsia="仿宋" w:cs="仿宋"/>
          <w:sz w:val="24"/>
        </w:rPr>
        <w:t>1.6.7违约责任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spacing w:line="560" w:lineRule="exact"/>
        <w:ind w:firstLine="482" w:firstLineChars="200"/>
        <w:outlineLvl w:val="0"/>
        <w:rPr>
          <w:rFonts w:hint="eastAsia" w:ascii="仿宋" w:hAnsi="仿宋" w:eastAsia="仿宋" w:cs="仿宋"/>
          <w:b/>
          <w:sz w:val="24"/>
        </w:rPr>
      </w:pPr>
      <w:bookmarkStart w:id="436" w:name="_Toc18683"/>
      <w:bookmarkStart w:id="437" w:name="_Toc26807"/>
      <w:bookmarkStart w:id="438" w:name="_Toc9497"/>
      <w:bookmarkStart w:id="439" w:name="_Toc30329"/>
      <w:bookmarkStart w:id="440" w:name="_Toc32454"/>
      <w:r>
        <w:rPr>
          <w:rFonts w:hint="eastAsia" w:ascii="仿宋" w:hAnsi="仿宋" w:eastAsia="仿宋" w:cs="仿宋"/>
          <w:b/>
          <w:sz w:val="24"/>
        </w:rPr>
        <w:t>1.7 合同争议的解决</w:t>
      </w:r>
      <w:bookmarkEnd w:id="436"/>
      <w:bookmarkEnd w:id="437"/>
      <w:bookmarkEnd w:id="438"/>
      <w:bookmarkEnd w:id="439"/>
      <w:bookmarkEnd w:id="440"/>
    </w:p>
    <w:p>
      <w:pPr>
        <w:spacing w:line="560" w:lineRule="exact"/>
        <w:ind w:left="-61" w:leftChars="-29" w:right="-420" w:rightChars="-200" w:firstLine="240" w:firstLineChars="100"/>
        <w:rPr>
          <w:rFonts w:hint="eastAsia"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合同专用条款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1.7.1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1.7.2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241" w:firstLineChars="100"/>
        <w:outlineLvl w:val="0"/>
        <w:rPr>
          <w:rFonts w:hint="eastAsia" w:ascii="仿宋" w:hAnsi="仿宋" w:eastAsia="仿宋" w:cs="仿宋"/>
          <w:b/>
          <w:sz w:val="24"/>
        </w:rPr>
      </w:pPr>
      <w:bookmarkStart w:id="441" w:name="_Toc23784"/>
      <w:bookmarkStart w:id="442" w:name="_Toc16417"/>
      <w:bookmarkStart w:id="443" w:name="_Toc12273"/>
      <w:bookmarkStart w:id="444" w:name="_Toc26227"/>
      <w:bookmarkStart w:id="445" w:name="_Toc15827"/>
      <w:r>
        <w:rPr>
          <w:rFonts w:hint="eastAsia" w:ascii="仿宋" w:hAnsi="仿宋" w:eastAsia="仿宋" w:cs="仿宋"/>
          <w:b/>
          <w:sz w:val="24"/>
        </w:rPr>
        <w:t>1.8 合同生效</w:t>
      </w:r>
      <w:bookmarkEnd w:id="441"/>
      <w:bookmarkEnd w:id="442"/>
      <w:bookmarkEnd w:id="443"/>
      <w:bookmarkEnd w:id="444"/>
      <w:bookmarkEnd w:id="445"/>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本合同自双方当事人盖章或者签字时生效。</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法定代表人或</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hint="eastAsia" w:ascii="仿宋" w:hAnsi="仿宋" w:eastAsia="仿宋" w:cs="仿宋"/>
          <w:b/>
          <w:sz w:val="24"/>
        </w:rPr>
      </w:pPr>
    </w:p>
    <w:p>
      <w:pPr>
        <w:pStyle w:val="699"/>
        <w:spacing w:line="560" w:lineRule="exact"/>
        <w:ind w:firstLine="482"/>
        <w:jc w:val="center"/>
        <w:rPr>
          <w:rFonts w:hint="eastAsia" w:ascii="仿宋" w:hAnsi="仿宋" w:eastAsia="仿宋" w:cs="仿宋"/>
          <w:b/>
          <w:szCs w:val="24"/>
        </w:rPr>
      </w:pPr>
      <w:r>
        <w:rPr>
          <w:rFonts w:hint="eastAsia" w:ascii="仿宋" w:hAnsi="仿宋" w:eastAsia="仿宋" w:cs="仿宋"/>
          <w:b/>
          <w:szCs w:val="24"/>
        </w:rPr>
        <w:t>第二部分 合同一般条款</w:t>
      </w:r>
    </w:p>
    <w:p>
      <w:pPr>
        <w:spacing w:line="560" w:lineRule="exact"/>
        <w:ind w:firstLine="482" w:firstLineChars="200"/>
        <w:outlineLvl w:val="0"/>
        <w:rPr>
          <w:rFonts w:hint="eastAsia" w:ascii="仿宋" w:hAnsi="仿宋" w:eastAsia="仿宋" w:cs="仿宋"/>
          <w:b/>
          <w:sz w:val="24"/>
        </w:rPr>
      </w:pPr>
      <w:bookmarkStart w:id="446" w:name="_Toc25079"/>
      <w:bookmarkStart w:id="447" w:name="_Toc14021"/>
      <w:bookmarkStart w:id="448" w:name="_Toc31297"/>
      <w:bookmarkStart w:id="449" w:name="_Toc5228"/>
      <w:bookmarkStart w:id="450" w:name="_Toc19680"/>
      <w:r>
        <w:rPr>
          <w:rFonts w:hint="eastAsia" w:ascii="仿宋" w:hAnsi="仿宋" w:eastAsia="仿宋" w:cs="仿宋"/>
          <w:b/>
          <w:sz w:val="24"/>
        </w:rPr>
        <w:t>2.1 定义</w:t>
      </w:r>
      <w:bookmarkEnd w:id="446"/>
      <w:bookmarkEnd w:id="447"/>
      <w:bookmarkEnd w:id="448"/>
      <w:bookmarkEnd w:id="449"/>
      <w:bookmarkEnd w:id="45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 “甲方”系指与中标供应商签署合同的采购人；采购人委托采购代理机构代表其与乙方签订合同的，采购人的授权委托书作为合同附件。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hint="eastAsia" w:ascii="仿宋" w:hAnsi="仿宋" w:eastAsia="仿宋" w:cs="仿宋"/>
          <w:b/>
          <w:sz w:val="24"/>
        </w:rPr>
      </w:pPr>
      <w:bookmarkStart w:id="451" w:name="_Toc23289"/>
      <w:bookmarkStart w:id="452" w:name="_Toc31402"/>
      <w:bookmarkStart w:id="453" w:name="_Toc19539"/>
      <w:bookmarkStart w:id="454" w:name="_Toc16752"/>
      <w:bookmarkStart w:id="455" w:name="_Toc3769"/>
      <w:r>
        <w:rPr>
          <w:rFonts w:hint="eastAsia" w:ascii="仿宋" w:hAnsi="仿宋" w:eastAsia="仿宋" w:cs="仿宋"/>
          <w:b/>
          <w:sz w:val="24"/>
        </w:rPr>
        <w:t>2.2 技术规范</w:t>
      </w:r>
      <w:bookmarkEnd w:id="451"/>
      <w:bookmarkEnd w:id="452"/>
      <w:bookmarkEnd w:id="453"/>
      <w:bookmarkEnd w:id="454"/>
      <w:bookmarkEnd w:id="45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sz w:val="24"/>
        </w:rPr>
      </w:pPr>
      <w:bookmarkStart w:id="456" w:name="_Toc9161"/>
      <w:bookmarkStart w:id="457" w:name="_Toc27945"/>
      <w:bookmarkStart w:id="458" w:name="_Toc12412"/>
      <w:bookmarkStart w:id="459" w:name="_Toc4133"/>
      <w:bookmarkStart w:id="460" w:name="_Toc13673"/>
      <w:r>
        <w:rPr>
          <w:rFonts w:hint="eastAsia" w:ascii="仿宋" w:hAnsi="仿宋" w:eastAsia="仿宋" w:cs="仿宋"/>
          <w:b/>
          <w:sz w:val="24"/>
        </w:rPr>
        <w:t>2.3 知识产权</w:t>
      </w:r>
      <w:bookmarkEnd w:id="456"/>
      <w:bookmarkEnd w:id="457"/>
      <w:bookmarkEnd w:id="458"/>
      <w:bookmarkEnd w:id="459"/>
      <w:bookmarkEnd w:id="46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2.4 履约检查和问题反馈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sz w:val="24"/>
        </w:rPr>
      </w:pPr>
      <w:bookmarkStart w:id="461" w:name="_Toc15447"/>
      <w:bookmarkStart w:id="462" w:name="_Toc32670"/>
      <w:bookmarkStart w:id="463" w:name="_Toc31233"/>
      <w:bookmarkStart w:id="464" w:name="_Toc26555"/>
      <w:bookmarkStart w:id="465" w:name="_Toc22011"/>
      <w:r>
        <w:rPr>
          <w:rFonts w:hint="eastAsia" w:ascii="仿宋" w:hAnsi="仿宋" w:eastAsia="仿宋" w:cs="仿宋"/>
          <w:b/>
          <w:sz w:val="24"/>
        </w:rPr>
        <w:t>2.5 结算方式和付款条件</w:t>
      </w:r>
      <w:bookmarkEnd w:id="461"/>
      <w:bookmarkEnd w:id="462"/>
      <w:bookmarkEnd w:id="463"/>
      <w:bookmarkEnd w:id="464"/>
      <w:bookmarkEnd w:id="46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66" w:name="_Toc13154"/>
      <w:bookmarkStart w:id="467" w:name="_Toc13467"/>
      <w:bookmarkStart w:id="468" w:name="_Toc30507"/>
      <w:bookmarkStart w:id="469" w:name="_Toc16163"/>
      <w:bookmarkStart w:id="470" w:name="_Toc18990"/>
      <w:r>
        <w:rPr>
          <w:rFonts w:hint="eastAsia" w:ascii="仿宋" w:hAnsi="仿宋" w:eastAsia="仿宋" w:cs="仿宋"/>
          <w:b/>
          <w:sz w:val="24"/>
        </w:rPr>
        <w:t>2.6 技术资料和保密义务</w:t>
      </w:r>
      <w:bookmarkEnd w:id="466"/>
      <w:bookmarkEnd w:id="467"/>
      <w:bookmarkEnd w:id="468"/>
      <w:bookmarkEnd w:id="469"/>
      <w:bookmarkEnd w:id="47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sz w:val="24"/>
        </w:rPr>
      </w:pPr>
      <w:bookmarkStart w:id="471" w:name="_Toc19069"/>
      <w:r>
        <w:rPr>
          <w:rFonts w:hint="eastAsia" w:ascii="仿宋" w:hAnsi="仿宋" w:eastAsia="仿宋" w:cs="仿宋"/>
          <w:b/>
          <w:sz w:val="24"/>
        </w:rPr>
        <w:t>2.7 质量保证</w:t>
      </w:r>
      <w:bookmarkEnd w:id="47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sz w:val="24"/>
        </w:rPr>
      </w:pPr>
      <w:bookmarkStart w:id="472" w:name="_Toc22267"/>
      <w:r>
        <w:rPr>
          <w:rFonts w:hint="eastAsia" w:ascii="仿宋" w:hAnsi="仿宋" w:eastAsia="仿宋" w:cs="仿宋"/>
          <w:b/>
          <w:sz w:val="24"/>
        </w:rPr>
        <w:t>2.8 延迟履行</w:t>
      </w:r>
      <w:bookmarkEnd w:id="47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sz w:val="24"/>
        </w:rPr>
      </w:pPr>
      <w:bookmarkStart w:id="473" w:name="_Toc10611"/>
      <w:r>
        <w:rPr>
          <w:rFonts w:hint="eastAsia" w:ascii="仿宋" w:hAnsi="仿宋" w:eastAsia="仿宋" w:cs="仿宋"/>
          <w:b/>
          <w:sz w:val="24"/>
        </w:rPr>
        <w:t>2.9 合同变更</w:t>
      </w:r>
      <w:bookmarkEnd w:id="47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474" w:name="_Toc26689"/>
      <w:bookmarkStart w:id="475" w:name="_Toc21830"/>
      <w:bookmarkStart w:id="476" w:name="_Toc23368"/>
      <w:bookmarkStart w:id="477" w:name="_Toc42"/>
      <w:bookmarkStart w:id="478" w:name="_Toc10663"/>
      <w:r>
        <w:rPr>
          <w:rFonts w:hint="eastAsia" w:ascii="仿宋" w:hAnsi="仿宋" w:eastAsia="仿宋" w:cs="仿宋"/>
          <w:b/>
          <w:sz w:val="24"/>
        </w:rPr>
        <w:t>2.10 合同转让和分包</w:t>
      </w:r>
      <w:bookmarkEnd w:id="474"/>
      <w:bookmarkEnd w:id="475"/>
      <w:bookmarkEnd w:id="476"/>
      <w:bookmarkEnd w:id="477"/>
      <w:bookmarkEnd w:id="47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sz w:val="24"/>
        </w:rPr>
      </w:pPr>
      <w:bookmarkStart w:id="479" w:name="_Toc32494"/>
      <w:bookmarkStart w:id="480" w:name="_Toc26633"/>
      <w:bookmarkStart w:id="481" w:name="_Toc4720"/>
      <w:bookmarkStart w:id="482" w:name="_Toc14371"/>
      <w:bookmarkStart w:id="483" w:name="_Toc25571"/>
      <w:r>
        <w:rPr>
          <w:rFonts w:hint="eastAsia" w:ascii="仿宋" w:hAnsi="仿宋" w:eastAsia="仿宋" w:cs="仿宋"/>
          <w:b/>
          <w:sz w:val="24"/>
        </w:rPr>
        <w:t>2.11 不可抗力</w:t>
      </w:r>
      <w:bookmarkEnd w:id="479"/>
      <w:bookmarkEnd w:id="480"/>
      <w:bookmarkEnd w:id="481"/>
      <w:bookmarkEnd w:id="482"/>
      <w:bookmarkEnd w:id="48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2.11.2 因不可抗力致使不能实现合同目的的，当事人可以解除合同；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sz w:val="24"/>
        </w:rPr>
      </w:pPr>
      <w:bookmarkStart w:id="484" w:name="_Toc24465"/>
      <w:bookmarkStart w:id="485" w:name="_Toc3638"/>
      <w:bookmarkStart w:id="486" w:name="_Toc23854"/>
      <w:bookmarkStart w:id="487" w:name="_Toc25783"/>
      <w:bookmarkStart w:id="488" w:name="_Toc14115"/>
      <w:r>
        <w:rPr>
          <w:rFonts w:hint="eastAsia" w:ascii="仿宋" w:hAnsi="仿宋" w:eastAsia="仿宋" w:cs="仿宋"/>
          <w:b/>
          <w:sz w:val="24"/>
        </w:rPr>
        <w:t>2.12 税费</w:t>
      </w:r>
      <w:bookmarkEnd w:id="484"/>
      <w:bookmarkEnd w:id="485"/>
      <w:bookmarkEnd w:id="486"/>
      <w:bookmarkEnd w:id="487"/>
      <w:bookmarkEnd w:id="48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sz w:val="24"/>
        </w:rPr>
      </w:pPr>
      <w:bookmarkStart w:id="489" w:name="_Toc14814"/>
      <w:bookmarkStart w:id="490" w:name="_Toc26883"/>
      <w:bookmarkStart w:id="491" w:name="_Toc30105"/>
      <w:bookmarkStart w:id="492" w:name="_Toc7315"/>
      <w:bookmarkStart w:id="493" w:name="_Toc25525"/>
      <w:r>
        <w:rPr>
          <w:rFonts w:hint="eastAsia" w:ascii="仿宋" w:hAnsi="仿宋" w:eastAsia="仿宋" w:cs="仿宋"/>
          <w:b/>
          <w:sz w:val="24"/>
        </w:rPr>
        <w:t>2.13 乙方破产</w:t>
      </w:r>
      <w:bookmarkEnd w:id="489"/>
      <w:bookmarkEnd w:id="490"/>
      <w:bookmarkEnd w:id="491"/>
      <w:bookmarkEnd w:id="492"/>
      <w:bookmarkEnd w:id="49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sz w:val="24"/>
        </w:rPr>
      </w:pPr>
      <w:bookmarkStart w:id="494" w:name="_Toc2016"/>
      <w:bookmarkStart w:id="495" w:name="_Toc23323"/>
      <w:bookmarkStart w:id="496" w:name="_Toc1123"/>
      <w:r>
        <w:rPr>
          <w:rFonts w:hint="eastAsia" w:ascii="仿宋" w:hAnsi="仿宋" w:eastAsia="仿宋" w:cs="仿宋"/>
          <w:b/>
          <w:sz w:val="24"/>
        </w:rPr>
        <w:t>2.14 合同中止、终止</w:t>
      </w:r>
      <w:bookmarkEnd w:id="494"/>
      <w:bookmarkEnd w:id="495"/>
      <w:bookmarkEnd w:id="49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2.14.1 双方当事人不得擅自中止或者终止合同；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497" w:name="_Toc17363"/>
      <w:bookmarkStart w:id="498" w:name="_Toc1969"/>
      <w:bookmarkStart w:id="499" w:name="_Toc14525"/>
      <w:r>
        <w:rPr>
          <w:rFonts w:hint="eastAsia" w:ascii="仿宋" w:hAnsi="仿宋" w:eastAsia="仿宋" w:cs="仿宋"/>
          <w:b/>
          <w:sz w:val="24"/>
        </w:rPr>
        <w:t>2.15 检验和验收</w:t>
      </w:r>
      <w:bookmarkEnd w:id="497"/>
      <w:bookmarkEnd w:id="498"/>
      <w:bookmarkEnd w:id="499"/>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spacing w:line="560" w:lineRule="exact"/>
        <w:ind w:firstLine="482" w:firstLineChars="200"/>
        <w:outlineLvl w:val="0"/>
        <w:rPr>
          <w:rFonts w:hint="eastAsia" w:ascii="仿宋" w:hAnsi="仿宋" w:eastAsia="仿宋" w:cs="仿宋"/>
          <w:b/>
          <w:sz w:val="24"/>
        </w:rPr>
      </w:pPr>
      <w:bookmarkStart w:id="500" w:name="_Toc12666"/>
      <w:bookmarkStart w:id="501" w:name="_Toc25198"/>
      <w:bookmarkStart w:id="502" w:name="_Toc31892"/>
      <w:bookmarkStart w:id="503" w:name="_Toc9808"/>
      <w:bookmarkStart w:id="504" w:name="_Toc2308"/>
      <w:r>
        <w:rPr>
          <w:rFonts w:hint="eastAsia" w:ascii="仿宋" w:hAnsi="仿宋" w:eastAsia="仿宋" w:cs="仿宋"/>
          <w:b/>
          <w:sz w:val="24"/>
        </w:rPr>
        <w:t>2.16 通知和送达</w:t>
      </w:r>
      <w:bookmarkEnd w:id="500"/>
      <w:bookmarkEnd w:id="501"/>
      <w:bookmarkEnd w:id="502"/>
      <w:bookmarkEnd w:id="503"/>
      <w:bookmarkEnd w:id="504"/>
    </w:p>
    <w:p>
      <w:pPr>
        <w:spacing w:line="560" w:lineRule="exact"/>
        <w:ind w:firstLine="480" w:firstLineChars="200"/>
        <w:rPr>
          <w:rFonts w:hint="eastAsia" w:ascii="仿宋" w:hAnsi="仿宋" w:eastAsia="仿宋" w:cs="仿宋"/>
          <w:sz w:val="24"/>
        </w:rPr>
      </w:pPr>
      <w:bookmarkStart w:id="505" w:name="_Toc27674"/>
      <w:bookmarkStart w:id="506" w:name="_Toc18401"/>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5"/>
      <w:bookmarkEnd w:id="506"/>
    </w:p>
    <w:p>
      <w:pPr>
        <w:spacing w:line="560" w:lineRule="exact"/>
        <w:ind w:firstLine="482" w:firstLineChars="200"/>
        <w:outlineLvl w:val="0"/>
        <w:rPr>
          <w:rFonts w:hint="eastAsia" w:ascii="仿宋" w:hAnsi="仿宋" w:eastAsia="仿宋" w:cs="仿宋"/>
          <w:b/>
          <w:sz w:val="24"/>
        </w:rPr>
      </w:pPr>
      <w:bookmarkStart w:id="507" w:name="_Toc27644"/>
      <w:bookmarkStart w:id="508" w:name="_Toc28906"/>
      <w:bookmarkStart w:id="509" w:name="_Toc12254"/>
      <w:bookmarkStart w:id="510" w:name="_Toc5063"/>
      <w:bookmarkStart w:id="511" w:name="_Toc20808"/>
      <w:r>
        <w:rPr>
          <w:rFonts w:hint="eastAsia" w:ascii="仿宋" w:hAnsi="仿宋" w:eastAsia="仿宋" w:cs="仿宋"/>
          <w:b/>
          <w:sz w:val="24"/>
        </w:rPr>
        <w:t>2.17 合同使用的文字和适用的法律</w:t>
      </w:r>
      <w:bookmarkEnd w:id="507"/>
      <w:bookmarkEnd w:id="508"/>
      <w:bookmarkEnd w:id="509"/>
      <w:bookmarkEnd w:id="510"/>
      <w:bookmarkEnd w:id="51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2.17.1 合同使用汉语书就、变更和解释；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2.17.2 合同适用中华人民共和国法律。</w:t>
      </w:r>
    </w:p>
    <w:p>
      <w:pPr>
        <w:spacing w:line="560" w:lineRule="exact"/>
        <w:ind w:firstLine="482" w:firstLineChars="200"/>
        <w:outlineLvl w:val="0"/>
        <w:rPr>
          <w:rFonts w:hint="eastAsia" w:ascii="仿宋" w:hAnsi="仿宋" w:eastAsia="仿宋" w:cs="仿宋"/>
          <w:b/>
          <w:sz w:val="24"/>
        </w:rPr>
      </w:pPr>
      <w:bookmarkStart w:id="512" w:name="_Toc30096"/>
      <w:bookmarkStart w:id="513" w:name="_Toc1492"/>
      <w:bookmarkStart w:id="514" w:name="_Toc27403"/>
      <w:bookmarkStart w:id="515" w:name="_Toc22266"/>
      <w:bookmarkStart w:id="516" w:name="_Toc27127"/>
      <w:r>
        <w:rPr>
          <w:rFonts w:hint="eastAsia" w:ascii="仿宋" w:hAnsi="仿宋" w:eastAsia="仿宋" w:cs="仿宋"/>
          <w:b/>
          <w:sz w:val="24"/>
        </w:rPr>
        <w:t>2.18 履约保证金</w:t>
      </w:r>
      <w:bookmarkEnd w:id="512"/>
      <w:bookmarkEnd w:id="513"/>
      <w:bookmarkEnd w:id="514"/>
      <w:bookmarkEnd w:id="515"/>
      <w:bookmarkEnd w:id="516"/>
    </w:p>
    <w:p>
      <w:pPr>
        <w:pStyle w:val="957"/>
        <w:spacing w:before="0" w:beforeAutospacing="0" w:after="0" w:afterAutospacing="0" w:line="360" w:lineRule="auto"/>
        <w:ind w:firstLine="420"/>
        <w:rPr>
          <w:rFonts w:hint="eastAsia" w:ascii="仿宋" w:hAnsi="仿宋" w:eastAsia="仿宋" w:cs="仿宋"/>
        </w:rPr>
      </w:pPr>
      <w:r>
        <w:rPr>
          <w:rFonts w:hint="eastAsia" w:ascii="仿宋" w:hAnsi="仿宋" w:eastAsia="仿宋" w:cs="仿宋"/>
        </w:rPr>
        <w:t>2.18.1 采购文件要求乙方提交履约保证金的，乙方应按</w:t>
      </w:r>
      <w:r>
        <w:rPr>
          <w:rFonts w:hint="eastAsia" w:ascii="仿宋" w:hAnsi="仿宋" w:eastAsia="仿宋" w:cs="仿宋"/>
          <w:b/>
          <w:i/>
          <w:u w:val="single"/>
        </w:rPr>
        <w:t>合同专用条款</w:t>
      </w:r>
      <w:r>
        <w:rPr>
          <w:rFonts w:hint="eastAsia" w:ascii="仿宋" w:hAnsi="仿宋" w:eastAsia="仿宋" w:cs="仿宋"/>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2.18.2  甲方在项目验收结束后及时退还履约保证金。甲方在项目通过验收之日起</w:t>
      </w:r>
      <w:r>
        <w:rPr>
          <w:rFonts w:hint="eastAsia" w:ascii="仿宋" w:hAnsi="仿宋" w:eastAsia="仿宋" w:cs="仿宋"/>
          <w:sz w:val="24"/>
          <w:u w:val="single"/>
        </w:rPr>
        <w:t xml:space="preserve"> 5 </w:t>
      </w:r>
      <w:r>
        <w:rPr>
          <w:rFonts w:hint="eastAsia" w:ascii="仿宋" w:hAnsi="仿宋" w:eastAsia="仿宋" w:cs="仿宋"/>
          <w:sz w:val="24"/>
        </w:rPr>
        <w:t>个工作日内，按</w:t>
      </w:r>
      <w:r>
        <w:rPr>
          <w:rFonts w:hint="eastAsia" w:ascii="仿宋" w:hAnsi="仿宋" w:eastAsia="仿宋" w:cs="仿宋"/>
          <w:b/>
          <w:i/>
          <w:sz w:val="24"/>
          <w:u w:val="single"/>
        </w:rPr>
        <w:t>合同专用条款</w:t>
      </w:r>
      <w:r>
        <w:rPr>
          <w:rFonts w:hint="eastAsia" w:ascii="仿宋" w:hAnsi="仿宋" w:eastAsia="仿宋" w:cs="仿宋"/>
          <w:sz w:val="24"/>
        </w:rPr>
        <w:t>约定的方式将履约保证金退还乙方，逾期退还的，乙方可要求甲方支付违约金，违约金按每迟延退还一日的应退还而未退还金额的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%计算，最高限额为本合同履约保证金的</w:t>
      </w:r>
      <w:r>
        <w:rPr>
          <w:rFonts w:hint="eastAsia" w:ascii="仿宋" w:hAnsi="仿宋" w:eastAsia="仿宋" w:cs="仿宋"/>
          <w:sz w:val="24"/>
          <w:u w:val="single"/>
        </w:rPr>
        <w:t xml:space="preserve">  20   </w:t>
      </w:r>
      <w:r>
        <w:rPr>
          <w:rFonts w:hint="eastAsia" w:ascii="仿宋" w:hAnsi="仿宋" w:eastAsia="仿宋" w:cs="仿宋"/>
          <w:sz w:val="24"/>
        </w:rPr>
        <w:t xml:space="preserve">%；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2.18.4 甲方根据杭州市政府采购网公布的供应商履约评价情况减免履约保证金。乙方履约验收评价总分为100分的，甲方免收履约保证金。</w:t>
      </w:r>
    </w:p>
    <w:p>
      <w:pPr>
        <w:spacing w:line="560" w:lineRule="exact"/>
        <w:ind w:firstLine="480" w:firstLineChars="200"/>
        <w:rPr>
          <w:rFonts w:hint="eastAsia" w:ascii="仿宋" w:hAnsi="仿宋" w:eastAsia="仿宋" w:cs="仿宋"/>
        </w:rPr>
      </w:pPr>
      <w:r>
        <w:rPr>
          <w:rFonts w:hint="eastAsia" w:ascii="仿宋" w:hAnsi="仿宋" w:eastAsia="仿宋" w:cs="仿宋"/>
          <w:sz w:val="24"/>
        </w:rPr>
        <w:t>2.18.5甲方在乙方履行完合同约定义务事项后及时退还，延迟退还的，应当按照合同约定和法律规定承担相应的赔偿责任。</w:t>
      </w:r>
    </w:p>
    <w:p>
      <w:pPr>
        <w:spacing w:line="560" w:lineRule="exact"/>
        <w:ind w:firstLine="482" w:firstLineChars="200"/>
        <w:rPr>
          <w:rFonts w:hint="eastAsia" w:ascii="仿宋" w:hAnsi="仿宋" w:eastAsia="仿宋" w:cs="仿宋"/>
          <w:sz w:val="24"/>
        </w:rPr>
      </w:pPr>
      <w:r>
        <w:rPr>
          <w:rFonts w:hint="eastAsia" w:ascii="仿宋" w:hAnsi="仿宋" w:eastAsia="仿宋" w:cs="仿宋"/>
          <w:b/>
          <w:bCs/>
          <w:sz w:val="24"/>
        </w:rPr>
        <w:t>2.19</w:t>
      </w:r>
      <w:r>
        <w:rPr>
          <w:rFonts w:hint="eastAsia" w:ascii="仿宋" w:hAnsi="仿宋" w:eastAsia="仿宋" w:cs="仿宋"/>
          <w:sz w:val="24"/>
        </w:rPr>
        <w:t>对于因甲方原因导致变更、中止或者终止政府采购合同的，甲方应当依照合同约定对供应商受到的损失予以赔偿或者补偿。</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2.20合同份数</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pStyle w:val="699"/>
        <w:spacing w:line="560" w:lineRule="exact"/>
        <w:jc w:val="center"/>
        <w:rPr>
          <w:rFonts w:hint="eastAsia" w:ascii="仿宋" w:hAnsi="仿宋" w:eastAsia="仿宋" w:cs="仿宋"/>
          <w:b/>
          <w:szCs w:val="24"/>
        </w:rPr>
      </w:pPr>
      <w:r>
        <w:rPr>
          <w:rFonts w:hint="eastAsia" w:ascii="仿宋" w:hAnsi="仿宋" w:eastAsia="仿宋" w:cs="仿宋"/>
          <w:kern w:val="0"/>
          <w:szCs w:val="24"/>
        </w:rPr>
        <w:br w:type="page"/>
      </w:r>
      <w:bookmarkStart w:id="517" w:name="_Toc331685784"/>
      <w:r>
        <w:rPr>
          <w:rFonts w:hint="eastAsia" w:ascii="仿宋" w:hAnsi="仿宋" w:eastAsia="仿宋" w:cs="仿宋"/>
          <w:b/>
          <w:szCs w:val="24"/>
        </w:rPr>
        <w:t xml:space="preserve"> </w:t>
      </w:r>
      <w:bookmarkEnd w:id="517"/>
      <w:r>
        <w:rPr>
          <w:rFonts w:hint="eastAsia" w:ascii="仿宋" w:hAnsi="仿宋" w:eastAsia="仿宋" w:cs="仿宋"/>
          <w:b/>
          <w:szCs w:val="24"/>
        </w:rPr>
        <w:t>第三部分  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条款号</w:t>
            </w:r>
          </w:p>
        </w:tc>
        <w:tc>
          <w:tcPr>
            <w:tcW w:w="4533"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1.4.4</w:t>
            </w:r>
          </w:p>
        </w:tc>
        <w:tc>
          <w:tcPr>
            <w:tcW w:w="4533" w:type="pct"/>
            <w:vAlign w:val="center"/>
          </w:tcPr>
          <w:p>
            <w:pPr>
              <w:pStyle w:val="82"/>
              <w:ind w:firstLine="560"/>
              <w:rPr>
                <w:rFonts w:hint="eastAsia" w:ascii="仿宋" w:hAnsi="仿宋" w:eastAsia="仿宋" w:cs="仿宋"/>
                <w:sz w:val="24"/>
                <w:szCs w:val="24"/>
                <w:highlight w:val="none"/>
                <w:lang w:bidi="ar-SA"/>
              </w:rPr>
            </w:pPr>
            <w:r>
              <w:rPr>
                <w:rFonts w:hint="eastAsia" w:ascii="仿宋" w:hAnsi="仿宋" w:eastAsia="仿宋" w:cs="仿宋"/>
                <w:sz w:val="24"/>
                <w:highlight w:val="none"/>
              </w:rPr>
              <w:t>资金支付</w:t>
            </w:r>
            <w:r>
              <w:rPr>
                <w:rFonts w:hint="eastAsia" w:ascii="仿宋" w:hAnsi="仿宋" w:eastAsia="仿宋" w:cs="仿宋"/>
                <w:sz w:val="24"/>
                <w:highlight w:val="none"/>
                <w:lang w:eastAsia="zh-CN"/>
              </w:rPr>
              <w:t>：</w:t>
            </w:r>
            <w:r>
              <w:rPr>
                <w:rFonts w:hint="eastAsia" w:ascii="仿宋" w:hAnsi="仿宋" w:eastAsia="仿宋" w:cs="仿宋"/>
                <w:sz w:val="24"/>
                <w:highlight w:val="none"/>
              </w:rPr>
              <w:t>本次项目合同总价为大写人民币元整（￥元），采用分期付款方式，具体如下：</w:t>
            </w:r>
          </w:p>
          <w:p>
            <w:pPr>
              <w:pStyle w:val="82"/>
              <w:ind w:firstLine="560"/>
              <w:rPr>
                <w:rFonts w:hint="eastAsia" w:ascii="仿宋" w:hAnsi="仿宋" w:eastAsia="仿宋" w:cs="仿宋"/>
                <w:sz w:val="24"/>
                <w:szCs w:val="24"/>
                <w:lang w:eastAsia="zh-CN" w:bidi="ar-SA"/>
              </w:rPr>
            </w:pPr>
            <w:r>
              <w:rPr>
                <w:rFonts w:hint="eastAsia" w:ascii="仿宋" w:hAnsi="仿宋" w:eastAsia="仿宋" w:cs="仿宋"/>
                <w:sz w:val="24"/>
                <w:szCs w:val="24"/>
                <w:lang w:eastAsia="zh-CN" w:bidi="ar-SA"/>
              </w:rPr>
              <w:t>项目建设期：</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1.合同签订后</w:t>
            </w:r>
            <w:r>
              <w:rPr>
                <w:rFonts w:hint="eastAsia" w:ascii="仿宋" w:hAnsi="仿宋" w:eastAsia="仿宋" w:cs="仿宋"/>
                <w:sz w:val="24"/>
                <w:szCs w:val="24"/>
                <w:lang w:eastAsia="zh-CN" w:bidi="ar-SA"/>
              </w:rPr>
              <w:t>预付</w:t>
            </w:r>
            <w:r>
              <w:rPr>
                <w:rFonts w:hint="eastAsia" w:ascii="仿宋" w:hAnsi="仿宋" w:eastAsia="仿宋" w:cs="仿宋"/>
                <w:sz w:val="24"/>
                <w:szCs w:val="24"/>
                <w:lang w:bidi="ar-SA"/>
              </w:rPr>
              <w:t>合同总金额的40%资金；</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2.项目初验完成后支付合同总金额的30%资金；</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bidi="ar-SA"/>
              </w:rPr>
              <w:t>3.项目终验完成后支付合同总金额的2</w:t>
            </w:r>
            <w:r>
              <w:rPr>
                <w:rFonts w:hint="eastAsia" w:ascii="仿宋" w:hAnsi="仿宋" w:eastAsia="仿宋" w:cs="仿宋"/>
                <w:sz w:val="24"/>
                <w:szCs w:val="24"/>
                <w:lang w:val="en-US" w:eastAsia="zh-CN" w:bidi="ar-SA"/>
              </w:rPr>
              <w:t>0</w:t>
            </w:r>
            <w:r>
              <w:rPr>
                <w:rFonts w:hint="eastAsia" w:ascii="仿宋" w:hAnsi="仿宋" w:eastAsia="仿宋" w:cs="仿宋"/>
                <w:sz w:val="24"/>
                <w:szCs w:val="24"/>
                <w:lang w:bidi="ar-SA"/>
              </w:rPr>
              <w:t>%资金；</w:t>
            </w:r>
          </w:p>
          <w:p>
            <w:pPr>
              <w:pStyle w:val="82"/>
              <w:rPr>
                <w:rFonts w:hint="eastAsia" w:ascii="仿宋" w:hAnsi="仿宋" w:eastAsia="仿宋" w:cs="仿宋"/>
                <w:sz w:val="24"/>
                <w:szCs w:val="24"/>
                <w:lang w:eastAsia="zh-CN" w:bidi="ar-SA"/>
              </w:rPr>
            </w:pPr>
            <w:r>
              <w:rPr>
                <w:rFonts w:hint="eastAsia" w:ascii="仿宋" w:hAnsi="仿宋" w:eastAsia="仿宋" w:cs="仿宋"/>
                <w:sz w:val="24"/>
                <w:szCs w:val="24"/>
                <w:lang w:eastAsia="zh-CN" w:bidi="ar-SA"/>
              </w:rPr>
              <w:t>项目维护期：</w:t>
            </w:r>
          </w:p>
          <w:p>
            <w:pPr>
              <w:pStyle w:val="82"/>
              <w:ind w:firstLine="560"/>
              <w:rPr>
                <w:rFonts w:hint="eastAsia" w:ascii="仿宋" w:hAnsi="仿宋" w:eastAsia="仿宋" w:cs="仿宋"/>
                <w:sz w:val="24"/>
                <w:szCs w:val="24"/>
                <w:lang w:bidi="ar-SA"/>
              </w:rPr>
            </w:pPr>
            <w:r>
              <w:rPr>
                <w:rFonts w:hint="eastAsia" w:ascii="仿宋" w:hAnsi="仿宋" w:eastAsia="仿宋" w:cs="仿宋"/>
                <w:sz w:val="24"/>
                <w:szCs w:val="24"/>
                <w:lang w:val="en-US" w:eastAsia="zh-CN" w:bidi="ar-SA"/>
              </w:rPr>
              <w:t>1</w:t>
            </w:r>
            <w:r>
              <w:rPr>
                <w:rFonts w:hint="eastAsia" w:ascii="仿宋" w:hAnsi="仿宋" w:eastAsia="仿宋" w:cs="仿宋"/>
                <w:sz w:val="24"/>
                <w:szCs w:val="24"/>
                <w:lang w:bidi="ar-SA"/>
              </w:rPr>
              <w:t>.项目</w:t>
            </w:r>
            <w:r>
              <w:rPr>
                <w:rFonts w:hint="eastAsia" w:ascii="仿宋" w:hAnsi="仿宋" w:eastAsia="仿宋" w:cs="仿宋"/>
                <w:sz w:val="24"/>
                <w:szCs w:val="24"/>
                <w:lang w:eastAsia="zh-CN" w:bidi="ar-SA"/>
              </w:rPr>
              <w:t>运维第</w:t>
            </w:r>
            <w:r>
              <w:rPr>
                <w:rFonts w:hint="eastAsia" w:ascii="仿宋" w:hAnsi="仿宋" w:eastAsia="仿宋" w:cs="仿宋"/>
                <w:sz w:val="24"/>
                <w:szCs w:val="24"/>
                <w:lang w:bidi="ar-SA"/>
              </w:rPr>
              <w:t>2年支付合同总金额的</w:t>
            </w:r>
            <w:r>
              <w:rPr>
                <w:rFonts w:hint="eastAsia" w:ascii="仿宋" w:hAnsi="仿宋" w:eastAsia="仿宋" w:cs="仿宋"/>
                <w:sz w:val="24"/>
                <w:szCs w:val="24"/>
                <w:lang w:val="en-US" w:eastAsia="zh-CN" w:bidi="ar-SA"/>
              </w:rPr>
              <w:t>5</w:t>
            </w:r>
            <w:r>
              <w:rPr>
                <w:rFonts w:hint="eastAsia" w:ascii="仿宋" w:hAnsi="仿宋" w:eastAsia="仿宋" w:cs="仿宋"/>
                <w:sz w:val="24"/>
                <w:szCs w:val="24"/>
                <w:lang w:bidi="ar-SA"/>
              </w:rPr>
              <w:t>%资金；</w:t>
            </w:r>
          </w:p>
          <w:p>
            <w:pPr>
              <w:pStyle w:val="82"/>
              <w:ind w:firstLine="560"/>
              <w:rPr>
                <w:rFonts w:hint="eastAsia" w:ascii="仿宋" w:hAnsi="仿宋" w:eastAsia="仿宋" w:cs="仿宋"/>
                <w:sz w:val="24"/>
                <w:highlight w:val="none"/>
              </w:rPr>
            </w:pPr>
            <w:r>
              <w:rPr>
                <w:rFonts w:hint="eastAsia" w:ascii="仿宋" w:hAnsi="仿宋" w:eastAsia="仿宋" w:cs="仿宋"/>
                <w:sz w:val="24"/>
                <w:szCs w:val="24"/>
                <w:lang w:val="en-US" w:eastAsia="zh-CN" w:bidi="ar-SA"/>
              </w:rPr>
              <w:t>2</w:t>
            </w:r>
            <w:r>
              <w:rPr>
                <w:rFonts w:hint="eastAsia" w:ascii="仿宋" w:hAnsi="仿宋" w:eastAsia="仿宋" w:cs="仿宋"/>
                <w:sz w:val="24"/>
                <w:szCs w:val="24"/>
                <w:lang w:bidi="ar-SA"/>
              </w:rPr>
              <w:t>.项目</w:t>
            </w:r>
            <w:r>
              <w:rPr>
                <w:rFonts w:hint="eastAsia" w:ascii="仿宋" w:hAnsi="仿宋" w:eastAsia="仿宋" w:cs="仿宋"/>
                <w:sz w:val="24"/>
                <w:szCs w:val="24"/>
                <w:lang w:eastAsia="zh-CN" w:bidi="ar-SA"/>
              </w:rPr>
              <w:t>运维第</w:t>
            </w:r>
            <w:r>
              <w:rPr>
                <w:rFonts w:hint="eastAsia" w:ascii="仿宋" w:hAnsi="仿宋" w:eastAsia="仿宋" w:cs="仿宋"/>
                <w:sz w:val="24"/>
                <w:szCs w:val="24"/>
                <w:lang w:bidi="ar-SA"/>
              </w:rPr>
              <w:t>3年支付合同总金额的</w:t>
            </w:r>
            <w:r>
              <w:rPr>
                <w:rFonts w:hint="eastAsia" w:ascii="仿宋" w:hAnsi="仿宋" w:eastAsia="仿宋" w:cs="仿宋"/>
                <w:sz w:val="24"/>
                <w:szCs w:val="24"/>
                <w:lang w:val="en-US" w:eastAsia="zh-CN" w:bidi="ar-SA"/>
              </w:rPr>
              <w:t>5</w:t>
            </w:r>
            <w:r>
              <w:rPr>
                <w:rFonts w:hint="eastAsia" w:ascii="仿宋" w:hAnsi="仿宋" w:eastAsia="仿宋" w:cs="仿宋"/>
                <w:sz w:val="24"/>
                <w:szCs w:val="24"/>
                <w:lang w:bidi="ar-SA"/>
              </w:rPr>
              <w:t>%资金。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1.5.1 </w:t>
            </w:r>
          </w:p>
        </w:tc>
        <w:tc>
          <w:tcPr>
            <w:tcW w:w="4533" w:type="pct"/>
            <w:vAlign w:val="center"/>
          </w:tcPr>
          <w:p>
            <w:pPr>
              <w:spacing w:line="360" w:lineRule="auto"/>
              <w:rPr>
                <w:rFonts w:hint="eastAsia" w:ascii="仿宋" w:hAnsi="仿宋" w:eastAsia="仿宋" w:cs="仿宋"/>
                <w:sz w:val="24"/>
                <w:highlight w:val="none"/>
                <w:lang w:eastAsia="zh-CN"/>
              </w:rPr>
            </w:pPr>
            <w:r>
              <w:rPr>
                <w:rFonts w:hint="eastAsia" w:ascii="仿宋" w:hAnsi="仿宋" w:eastAsia="仿宋" w:cs="仿宋"/>
                <w:sz w:val="24"/>
                <w:highlight w:val="none"/>
              </w:rPr>
              <w:t>交付期限</w:t>
            </w:r>
            <w:r>
              <w:rPr>
                <w:rFonts w:hint="eastAsia" w:ascii="仿宋" w:hAnsi="仿宋" w:eastAsia="仿宋" w:cs="仿宋"/>
                <w:sz w:val="24"/>
                <w:highlight w:val="none"/>
                <w:lang w:eastAsia="zh-CN"/>
              </w:rPr>
              <w:t>：</w:t>
            </w:r>
            <w:r>
              <w:rPr>
                <w:rFonts w:hint="eastAsia" w:ascii="仿宋" w:hAnsi="仿宋" w:eastAsia="仿宋" w:cs="仿宋"/>
                <w:sz w:val="24"/>
                <w:szCs w:val="24"/>
                <w:highlight w:val="none"/>
                <w:lang w:bidi="ar-SA"/>
              </w:rPr>
              <w:t>本项目建设期为6个月内，运维期为三年。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1.5.2</w:t>
            </w:r>
          </w:p>
        </w:tc>
        <w:tc>
          <w:tcPr>
            <w:tcW w:w="4533" w:type="pct"/>
            <w:vAlign w:val="center"/>
          </w:tcPr>
          <w:p>
            <w:pPr>
              <w:spacing w:line="360" w:lineRule="auto"/>
              <w:rPr>
                <w:rFonts w:hint="eastAsia" w:ascii="仿宋" w:hAnsi="仿宋" w:eastAsia="仿宋" w:cs="仿宋"/>
                <w:sz w:val="24"/>
                <w:lang w:eastAsia="zh-CN"/>
              </w:rPr>
            </w:pPr>
            <w:r>
              <w:rPr>
                <w:rFonts w:hint="eastAsia" w:ascii="仿宋" w:hAnsi="仿宋" w:eastAsia="仿宋" w:cs="仿宋"/>
                <w:sz w:val="24"/>
              </w:rPr>
              <w:t>交付地点</w:t>
            </w:r>
            <w:r>
              <w:rPr>
                <w:rFonts w:hint="eastAsia" w:ascii="仿宋" w:hAnsi="仿宋" w:eastAsia="仿宋" w:cs="仿宋"/>
                <w:sz w:val="24"/>
                <w:lang w:eastAsia="zh-CN"/>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1.5.3 </w:t>
            </w:r>
          </w:p>
        </w:tc>
        <w:tc>
          <w:tcPr>
            <w:tcW w:w="4533"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rPr>
              <w:t>交付方式</w:t>
            </w:r>
            <w:r>
              <w:rPr>
                <w:rFonts w:hint="eastAsia" w:ascii="仿宋" w:hAnsi="仿宋" w:eastAsia="仿宋" w:cs="仿宋"/>
                <w:sz w:val="24"/>
                <w:lang w:eastAsia="zh-CN"/>
              </w:rPr>
              <w:t>：</w:t>
            </w: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1.6.7</w:t>
            </w:r>
          </w:p>
        </w:tc>
        <w:tc>
          <w:tcPr>
            <w:tcW w:w="4533"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w:t>
            </w:r>
          </w:p>
        </w:tc>
        <w:tc>
          <w:tcPr>
            <w:tcW w:w="4533"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1.7.1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1.7.1</w:t>
            </w:r>
          </w:p>
        </w:tc>
        <w:tc>
          <w:tcPr>
            <w:tcW w:w="4533"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color w:val="auto"/>
                <w:sz w:val="24"/>
                <w:highlight w:val="none"/>
                <w:lang w:val="en-US" w:eastAsia="zh-CN"/>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1.7.2</w:t>
            </w:r>
          </w:p>
        </w:tc>
        <w:tc>
          <w:tcPr>
            <w:tcW w:w="4533"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2.3.2</w:t>
            </w:r>
          </w:p>
        </w:tc>
        <w:tc>
          <w:tcPr>
            <w:tcW w:w="4533" w:type="pct"/>
            <w:vAlign w:val="center"/>
          </w:tcPr>
          <w:p>
            <w:pPr>
              <w:spacing w:line="360" w:lineRule="auto"/>
              <w:ind w:left="-420" w:leftChars="-200" w:right="-420" w:rightChars="-200"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color w:val="auto"/>
                <w:sz w:val="24"/>
              </w:rPr>
              <w:t>知识产权归甲方所有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2.5</w:t>
            </w:r>
          </w:p>
        </w:tc>
        <w:tc>
          <w:tcPr>
            <w:tcW w:w="4533" w:type="pct"/>
            <w:vAlign w:val="center"/>
          </w:tcPr>
          <w:p>
            <w:pPr>
              <w:spacing w:line="360" w:lineRule="auto"/>
              <w:ind w:left="-420" w:leftChars="-200" w:right="-420" w:rightChars="-200"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结算方式和付款条件：见付款方式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2.11.3</w:t>
            </w:r>
          </w:p>
        </w:tc>
        <w:tc>
          <w:tcPr>
            <w:tcW w:w="8275" w:type="dxa"/>
            <w:vAlign w:val="center"/>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color w:val="auto"/>
                <w:sz w:val="24"/>
                <w:szCs w:val="24"/>
              </w:rPr>
              <w:t>因不可抗力致使合同有变更必要的，双方当事人应在15日内以书面形式变更合同；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 xml:space="preserve">2.11.4 </w:t>
            </w:r>
          </w:p>
        </w:tc>
        <w:tc>
          <w:tcPr>
            <w:tcW w:w="827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受不可抗力影响的一方在不可抗力发生后，应在15日内以书面形式通知对方当事人，并在15日内，将有关部门出具的证明文件送达对方当事人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2.15.1</w:t>
            </w:r>
          </w:p>
        </w:tc>
        <w:tc>
          <w:tcPr>
            <w:tcW w:w="4533"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2.15.3</w:t>
            </w:r>
          </w:p>
        </w:tc>
        <w:tc>
          <w:tcPr>
            <w:tcW w:w="4533" w:type="pct"/>
            <w:vAlign w:val="center"/>
          </w:tcPr>
          <w:p>
            <w:pPr>
              <w:spacing w:line="360" w:lineRule="auto"/>
              <w:rPr>
                <w:rFonts w:hint="eastAsia" w:ascii="仿宋" w:hAnsi="仿宋" w:eastAsia="仿宋" w:cs="仿宋"/>
                <w:sz w:val="24"/>
              </w:rPr>
            </w:pPr>
            <w:r>
              <w:rPr>
                <w:rFonts w:hint="eastAsia" w:ascii="仿宋" w:hAnsi="仿宋" w:eastAsia="仿宋" w:cs="仿宋"/>
                <w:sz w:val="24"/>
              </w:rPr>
              <w:t>检验和验收标准、程序等具体内容以及前述验收书的效力，采用本行业通用标准。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2.18.1</w:t>
            </w:r>
          </w:p>
        </w:tc>
        <w:tc>
          <w:tcPr>
            <w:tcW w:w="8275" w:type="dxa"/>
            <w:vAlign w:val="center"/>
          </w:tcPr>
          <w:p>
            <w:pPr>
              <w:spacing w:line="360" w:lineRule="auto"/>
              <w:jc w:val="left"/>
              <w:rPr>
                <w:rFonts w:hint="eastAsia" w:ascii="仿宋" w:hAnsi="仿宋" w:eastAsia="仿宋" w:cs="仿宋"/>
                <w:sz w:val="24"/>
                <w:highlight w:val="none"/>
                <w:lang w:eastAsia="zh-CN"/>
              </w:rPr>
            </w:pPr>
            <w:r>
              <w:rPr>
                <w:rFonts w:hint="eastAsia" w:ascii="仿宋" w:hAnsi="仿宋" w:eastAsia="仿宋" w:cs="仿宋"/>
                <w:color w:val="auto"/>
                <w:sz w:val="24"/>
                <w:szCs w:val="24"/>
                <w:highlight w:val="none"/>
                <w:lang w:eastAsia="zh-CN"/>
              </w:rPr>
              <w:t>履约保证金：</w:t>
            </w:r>
            <w:r>
              <w:rPr>
                <w:rFonts w:hint="eastAsia" w:ascii="仿宋" w:hAnsi="仿宋" w:eastAsia="仿宋" w:cs="仿宋"/>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trPr>
        <w:tc>
          <w:tcPr>
            <w:tcW w:w="466" w:type="pct"/>
            <w:tcBorders>
              <w:left w:val="single" w:color="auto" w:sz="4"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2.18.2</w:t>
            </w:r>
          </w:p>
        </w:tc>
        <w:tc>
          <w:tcPr>
            <w:tcW w:w="8275" w:type="dxa"/>
            <w:vAlign w:val="center"/>
          </w:tcPr>
          <w:p>
            <w:pPr>
              <w:spacing w:line="360" w:lineRule="auto"/>
              <w:jc w:val="left"/>
              <w:rPr>
                <w:rFonts w:hint="eastAsia" w:ascii="仿宋" w:hAnsi="仿宋" w:eastAsia="仿宋" w:cs="仿宋"/>
                <w:sz w:val="24"/>
                <w:highlight w:val="none"/>
              </w:rPr>
            </w:pPr>
            <w:r>
              <w:rPr>
                <w:rFonts w:hint="eastAsia" w:ascii="仿宋" w:hAnsi="仿宋" w:eastAsia="仿宋" w:cs="仿宋"/>
                <w:color w:val="auto"/>
                <w:sz w:val="24"/>
                <w:szCs w:val="24"/>
                <w:highlight w:val="none"/>
              </w:rPr>
              <w:t>履约保证金在项目通过验收前不予退还，甲方在项目通过验收之日起5个工作日内，将履约保证金退还乙方。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2.20</w:t>
            </w:r>
          </w:p>
        </w:tc>
        <w:tc>
          <w:tcPr>
            <w:tcW w:w="4533" w:type="pct"/>
          </w:tcPr>
          <w:p>
            <w:pPr>
              <w:spacing w:line="360" w:lineRule="auto"/>
              <w:rPr>
                <w:rFonts w:hint="eastAsia" w:ascii="仿宋" w:hAnsi="仿宋" w:eastAsia="仿宋" w:cs="仿宋"/>
                <w:sz w:val="24"/>
              </w:rPr>
            </w:pPr>
            <w:r>
              <w:rPr>
                <w:rFonts w:hint="eastAsia" w:ascii="仿宋" w:hAnsi="仿宋" w:eastAsia="仿宋" w:cs="仿宋"/>
                <w:color w:val="auto"/>
                <w:sz w:val="24"/>
                <w:szCs w:val="24"/>
              </w:rPr>
              <w:t>本合同壹式   份，甲方执   份，乙方执   份。每份均具有同等法律效力。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p>
        </w:tc>
        <w:tc>
          <w:tcPr>
            <w:tcW w:w="4533"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sz w:val="24"/>
              </w:rPr>
            </w:pPr>
          </w:p>
        </w:tc>
        <w:tc>
          <w:tcPr>
            <w:tcW w:w="4533" w:type="pct"/>
            <w:vAlign w:val="center"/>
          </w:tcPr>
          <w:p>
            <w:pPr>
              <w:spacing w:line="360" w:lineRule="auto"/>
              <w:rPr>
                <w:rFonts w:hint="eastAsia" w:ascii="仿宋" w:hAnsi="仿宋" w:eastAsia="仿宋" w:cs="仿宋"/>
                <w:sz w:val="24"/>
              </w:rPr>
            </w:pPr>
          </w:p>
        </w:tc>
      </w:tr>
    </w:tbl>
    <w:p>
      <w:pPr>
        <w:spacing w:line="360" w:lineRule="auto"/>
        <w:ind w:left="-420" w:leftChars="-200" w:right="-420" w:rightChars="-200" w:firstLine="480" w:firstLineChars="200"/>
        <w:rPr>
          <w:rFonts w:hint="eastAsia" w:ascii="仿宋" w:hAnsi="仿宋" w:eastAsia="仿宋" w:cs="仿宋"/>
          <w:sz w:val="24"/>
        </w:rPr>
      </w:pPr>
    </w:p>
    <w:p>
      <w:pPr>
        <w:spacing w:line="360" w:lineRule="auto"/>
        <w:ind w:left="-420" w:leftChars="-200" w:right="-420" w:rightChars="-20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404"/>
      <w:r>
        <w:rPr>
          <w:rFonts w:hint="eastAsia" w:ascii="仿宋" w:hAnsi="仿宋" w:eastAsia="仿宋" w:cs="仿宋"/>
          <w:b/>
          <w:sz w:val="36"/>
          <w:szCs w:val="20"/>
        </w:rPr>
        <w:t xml:space="preserve"> </w:t>
      </w:r>
      <w:bookmarkEnd w:id="405"/>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hint="eastAsia" w:ascii="仿宋" w:hAnsi="仿宋" w:eastAsia="仿宋" w:cs="仿宋"/>
          <w:sz w:val="24"/>
        </w:rPr>
      </w:pPr>
      <w:r>
        <w:rPr>
          <w:rFonts w:hint="eastAsia" w:ascii="仿宋" w:hAnsi="仿宋" w:eastAsia="仿宋" w:cs="仿宋"/>
          <w:snapToGrid w:val="0"/>
          <w:kern w:val="28"/>
          <w:sz w:val="24"/>
          <w:szCs w:val="20"/>
        </w:rPr>
        <w:t>（2）联合协议</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hint="eastAsia" w:ascii="仿宋" w:hAnsi="仿宋" w:eastAsia="仿宋" w:cs="仿宋"/>
          <w:sz w:val="24"/>
        </w:rPr>
      </w:pPr>
      <w:r>
        <w:rPr>
          <w:rFonts w:hint="eastAsia" w:ascii="仿宋" w:hAnsi="仿宋" w:eastAsia="仿宋" w:cs="仿宋"/>
          <w:sz w:val="24"/>
        </w:rPr>
        <w:t>（4）本项目的特定资格要求………………………………………………（页码）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5"/>
        <w:rPr>
          <w:rFonts w:hint="eastAsia" w:ascii="仿宋" w:hAnsi="仿宋" w:eastAsia="仿宋" w:cs="仿宋"/>
          <w:b w:val="0"/>
        </w:rPr>
      </w:pPr>
    </w:p>
    <w:p>
      <w:pPr>
        <w:snapToGrid w:val="0"/>
        <w:spacing w:line="360" w:lineRule="auto"/>
        <w:ind w:right="480"/>
        <w:jc w:val="center"/>
        <w:rPr>
          <w:rFonts w:hint="eastAsia" w:ascii="仿宋" w:hAnsi="仿宋" w:eastAsia="仿宋" w:cs="仿宋"/>
          <w:b/>
          <w:kern w:val="0"/>
          <w:sz w:val="32"/>
          <w:szCs w:val="32"/>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（6）投标标的清单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pStyle w:val="5"/>
        <w:rPr>
          <w:rFonts w:hint="eastAsia" w:ascii="仿宋" w:hAnsi="仿宋" w:eastAsia="仿宋" w:cs="仿宋"/>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w:t>
      </w:r>
      <w:bookmarkStart w:id="518" w:name="_Hlk101257010"/>
      <w:r>
        <w:rPr>
          <w:rFonts w:hint="eastAsia" w:ascii="仿宋" w:hAnsi="仿宋" w:eastAsia="仿宋" w:cs="仿宋"/>
          <w:snapToGrid w:val="0"/>
          <w:kern w:val="28"/>
          <w:sz w:val="24"/>
          <w:szCs w:val="20"/>
        </w:rPr>
        <w:t>（如果有)</w:t>
      </w:r>
      <w:bookmarkEnd w:id="518"/>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2.1.3落实政府采购政策需满足的资格要求（如果有）；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2.1.4本项目的特定资格要求（如果有）。</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2.2.3分包意向协议（如果有）；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napToGrid w:val="0"/>
        <w:spacing w:line="360" w:lineRule="auto"/>
        <w:jc w:val="center"/>
        <w:rPr>
          <w:rFonts w:hint="eastAsia" w:ascii="仿宋" w:hAnsi="仿宋" w:eastAsia="仿宋" w:cs="仿宋"/>
          <w:b/>
          <w:kern w:val="0"/>
          <w:sz w:val="32"/>
          <w:szCs w:val="32"/>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5"/>
        <w:rPr>
          <w:rFonts w:hint="eastAsia" w:ascii="仿宋" w:hAnsi="仿宋" w:eastAsia="仿宋" w:cs="仿宋"/>
          <w:lang w:val="en-US"/>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6"/>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46"/>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right="480"/>
        <w:rPr>
          <w:rFonts w:hint="eastAsia" w:ascii="仿宋" w:hAnsi="仿宋" w:eastAsia="仿宋" w:cs="仿宋"/>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三、分包意向协议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snapToGrid w:val="0"/>
        <w:spacing w:line="360" w:lineRule="auto"/>
        <w:rPr>
          <w:rFonts w:hint="eastAsia" w:ascii="仿宋" w:hAnsi="仿宋" w:eastAsia="仿宋" w:cs="仿宋"/>
          <w:kern w:val="0"/>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hint="eastAsia"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1</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sz w:val="24"/>
              </w:rPr>
            </w:pPr>
            <w:r>
              <w:rPr>
                <w:rFonts w:hint="eastAsia" w:ascii="仿宋" w:hAnsi="仿宋" w:eastAsia="仿宋" w:cs="仿宋"/>
                <w:sz w:val="24"/>
              </w:rPr>
              <w:t>2</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pStyle w:val="5"/>
              <w:rPr>
                <w:rFonts w:hint="eastAsia" w:ascii="仿宋" w:hAnsi="仿宋" w:eastAsia="仿宋" w:cs="仿宋"/>
                <w:lang w:val="en-US"/>
              </w:rPr>
            </w:pPr>
            <w:r>
              <w:rPr>
                <w:rFonts w:hint="eastAsia" w:ascii="仿宋" w:hAnsi="仿宋" w:eastAsia="仿宋" w:cs="仿宋"/>
                <w:b w:val="0"/>
                <w:bCs w:val="0"/>
                <w:sz w:val="24"/>
                <w:szCs w:val="24"/>
                <w:lang w:val="en-US"/>
              </w:rPr>
              <w:t>第</w:t>
            </w:r>
            <w:r>
              <w:rPr>
                <w:rFonts w:hint="eastAsia" w:ascii="仿宋" w:hAnsi="仿宋" w:eastAsia="仿宋" w:cs="仿宋"/>
                <w:b w:val="0"/>
                <w:bCs w:val="0"/>
                <w:sz w:val="24"/>
                <w:szCs w:val="24"/>
                <w:u w:val="single"/>
                <w:lang w:val="en-US"/>
              </w:rPr>
              <w:t xml:space="preserve">  </w:t>
            </w:r>
            <w:r>
              <w:rPr>
                <w:rFonts w:hint="eastAsia" w:ascii="仿宋" w:hAns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3</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hint="eastAsia" w:ascii="仿宋" w:hAnsi="仿宋" w:eastAsia="仿宋" w:cs="仿宋"/>
                <w:sz w:val="24"/>
              </w:rPr>
            </w:pPr>
            <w:r>
              <w:rPr>
                <w:rFonts w:hint="eastAsia" w:ascii="仿宋" w:hAnsi="仿宋" w:eastAsia="仿宋" w:cs="仿宋"/>
                <w:sz w:val="24"/>
              </w:rPr>
              <w:t>投标函</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4</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hint="eastAsia"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kern w:val="0"/>
          <w:sz w:val="32"/>
          <w:szCs w:val="32"/>
        </w:rPr>
      </w:pPr>
      <w:r>
        <w:rPr>
          <w:rFonts w:hint="eastAsia" w:ascii="仿宋" w:hAnsi="仿宋" w:eastAsia="仿宋" w:cs="仿宋"/>
          <w:b/>
          <w:bCs/>
          <w:sz w:val="32"/>
          <w:szCs w:val="32"/>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hint="eastAsia" w:ascii="仿宋" w:hAnsi="仿宋" w:eastAsia="仿宋" w:cs="仿宋"/>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hint="eastAsia"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99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2268"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服务范围</w:t>
            </w:r>
          </w:p>
        </w:tc>
        <w:tc>
          <w:tcPr>
            <w:tcW w:w="241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服务要求</w:t>
            </w:r>
          </w:p>
        </w:tc>
        <w:tc>
          <w:tcPr>
            <w:tcW w:w="2268"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服务时间</w:t>
            </w:r>
          </w:p>
        </w:tc>
        <w:tc>
          <w:tcPr>
            <w:tcW w:w="2126"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服务标准</w:t>
            </w:r>
          </w:p>
        </w:tc>
        <w:tc>
          <w:tcPr>
            <w:tcW w:w="2127"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服务人数</w:t>
            </w:r>
          </w:p>
        </w:tc>
        <w:tc>
          <w:tcPr>
            <w:tcW w:w="2126" w:type="dxa"/>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992"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XX</w:t>
            </w: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992"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XX</w:t>
            </w: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992"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sz w:val="24"/>
              </w:rPr>
            </w:pPr>
          </w:p>
        </w:tc>
        <w:tc>
          <w:tcPr>
            <w:tcW w:w="992"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sz w:val="24"/>
              </w:rPr>
            </w:pPr>
          </w:p>
        </w:tc>
        <w:tc>
          <w:tcPr>
            <w:tcW w:w="992"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8647" w:type="dxa"/>
            <w:gridSpan w:val="4"/>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8647" w:type="dxa"/>
            <w:gridSpan w:val="4"/>
          </w:tcPr>
          <w:p>
            <w:pPr>
              <w:spacing w:line="360" w:lineRule="auto"/>
              <w:jc w:val="center"/>
              <w:rPr>
                <w:rFonts w:hint="eastAsia" w:ascii="仿宋" w:hAnsi="仿宋" w:eastAsia="仿宋" w:cs="仿宋"/>
                <w:sz w:val="24"/>
              </w:rPr>
            </w:pPr>
          </w:p>
        </w:tc>
      </w:tr>
    </w:tbl>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kern w:val="0"/>
          <w:sz w:val="24"/>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中小企业声明函（如果有）</w:t>
      </w:r>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sz w:val="32"/>
          <w:szCs w:val="32"/>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5"/>
        <w:numPr>
          <w:ilvl w:val="255"/>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（三）杭州e融平台申请融资</w:t>
      </w:r>
    </w:p>
    <w:p>
      <w:pPr>
        <w:pStyle w:val="5"/>
        <w:numPr>
          <w:ilvl w:val="255"/>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rPr>
      </w:pPr>
      <w:bookmarkStart w:id="519" w:name="_Toc465665161"/>
      <w:r>
        <w:rPr>
          <w:rFonts w:hint="eastAsia" w:ascii="仿宋" w:hAnsi="仿宋" w:eastAsia="仿宋" w:cs="仿宋"/>
        </w:rPr>
        <w:t>附件</w:t>
      </w:r>
      <w:bookmarkEnd w:id="519"/>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520" w:name="OLE_LINK14"/>
      <w:bookmarkStart w:id="521" w:name="OLE_LINK13"/>
      <w:r>
        <w:rPr>
          <w:rFonts w:hint="eastAsia" w:ascii="仿宋" w:hAnsi="仿宋" w:eastAsia="仿宋" w:cs="仿宋"/>
          <w:b/>
          <w:spacing w:val="6"/>
          <w:sz w:val="32"/>
          <w:szCs w:val="32"/>
        </w:rPr>
        <w:t>残疾人福利性单位声明函</w:t>
      </w:r>
    </w:p>
    <w:bookmarkEnd w:id="520"/>
    <w:bookmarkEnd w:id="521"/>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hint="eastAsia"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w:t>
      </w:r>
      <w:bookmarkStart w:id="522" w:name="_Hlk101131882"/>
      <w:r>
        <w:rPr>
          <w:rFonts w:hint="eastAsia" w:ascii="仿宋" w:hAnsi="仿宋" w:eastAsia="仿宋" w:cs="仿宋"/>
          <w:kern w:val="0"/>
          <w:sz w:val="24"/>
          <w:u w:val="single"/>
        </w:rPr>
        <w:t>联合体成员X,……</w:t>
      </w:r>
      <w:bookmarkEnd w:id="522"/>
      <w:r>
        <w:rPr>
          <w:rFonts w:hint="eastAsia" w:ascii="仿宋" w:hAnsi="仿宋" w:eastAsia="仿宋" w:cs="仿宋"/>
          <w:kern w:val="0"/>
          <w:sz w:val="24"/>
          <w:u w:val="single"/>
        </w:rPr>
        <w:t>）</w:t>
      </w:r>
      <w:r>
        <w:rPr>
          <w:rFonts w:hint="eastAsia" w:ascii="仿宋" w:hAnsi="仿宋" w:eastAsia="仿宋" w:cs="仿宋"/>
          <w:kern w:val="0"/>
          <w:sz w:val="24"/>
        </w:rPr>
        <w:t>提供的服务由小微企业承接，其合同份额占到合同总金额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w:t>
      </w:r>
      <w:bookmarkStart w:id="523" w:name="_Hlk101133598"/>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未预留份额专门面向中小企业采购的的采购项目，以及预留份额中的非预留部分采购包，接受联合体投标的，联合协议约定小微企业的合同份额占到合同总金额30%以上的，对联合体报价给予6%的扣除。供应商</w:t>
      </w:r>
      <w:r>
        <w:rPr>
          <w:rFonts w:hint="eastAsia" w:ascii="仿宋" w:hAnsi="仿宋" w:eastAsia="仿宋" w:cs="仿宋"/>
          <w:b/>
          <w:sz w:val="24"/>
        </w:rPr>
        <w:t>拟享受以上价格扣除政策的，填写有关内容。</w:t>
      </w:r>
      <w:bookmarkEnd w:id="523"/>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w:t>
      </w:r>
      <w:bookmarkStart w:id="524"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bookmarkEnd w:id="524"/>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snapToGrid w:val="0"/>
        <w:spacing w:line="360" w:lineRule="auto"/>
        <w:ind w:firstLine="3666" w:firstLineChars="1100"/>
        <w:rPr>
          <w:rFonts w:hint="eastAsia" w:ascii="仿宋" w:hAnsi="仿宋" w:eastAsia="仿宋" w:cs="仿宋"/>
          <w:b/>
          <w:spacing w:val="6"/>
          <w:sz w:val="32"/>
          <w:szCs w:val="32"/>
        </w:rPr>
      </w:pPr>
    </w:p>
    <w:p>
      <w:pPr>
        <w:snapToGrid w:val="0"/>
        <w:spacing w:line="360" w:lineRule="auto"/>
        <w:ind w:firstLine="3666" w:firstLineChars="1100"/>
        <w:rPr>
          <w:rFonts w:hint="eastAsia"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（分包供应商2名称），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5"/>
        <w:ind w:left="664" w:leftChars="316" w:firstLine="229" w:firstLineChars="95"/>
        <w:rPr>
          <w:rFonts w:hint="eastAsia" w:ascii="仿宋" w:hAnsi="仿宋" w:eastAsia="仿宋" w:cs="仿宋"/>
          <w:kern w:val="0"/>
          <w:sz w:val="24"/>
          <w:szCs w:val="24"/>
        </w:rPr>
      </w:pPr>
      <w:r>
        <w:rPr>
          <w:rFonts w:hint="eastAsia" w:ascii="仿宋" w:hAnsi="仿宋" w:eastAsia="仿宋" w:cs="仿宋"/>
          <w:kern w:val="0"/>
          <w:sz w:val="24"/>
          <w:szCs w:val="24"/>
        </w:rPr>
        <w:t>……</w:t>
      </w:r>
    </w:p>
    <w:p>
      <w:pPr>
        <w:rPr>
          <w:rFonts w:hint="eastAsia" w:ascii="仿宋" w:hAnsi="仿宋" w:eastAsia="仿宋" w:cs="仿宋"/>
        </w:rPr>
      </w:pPr>
      <w:r>
        <w:rPr>
          <w:rFonts w:hint="eastAsia" w:ascii="仿宋" w:hAnsi="仿宋" w:eastAsia="仿宋" w:cs="仿宋"/>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（分包供应商X,……）提供的服务全部由小微企业承接，</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6%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八、其他</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附件7：</w:t>
      </w:r>
      <w:r>
        <w:rPr>
          <w:rFonts w:hint="eastAsia" w:ascii="仿宋" w:hAnsi="仿宋" w:eastAsia="仿宋" w:cs="仿宋"/>
          <w:b/>
          <w:sz w:val="32"/>
          <w:szCs w:val="32"/>
        </w:rPr>
        <w:t>中小企业声明函</w:t>
      </w:r>
    </w:p>
    <w:p>
      <w:pPr>
        <w:spacing w:line="360" w:lineRule="auto"/>
        <w:jc w:val="center"/>
        <w:rPr>
          <w:rFonts w:hint="eastAsia" w:ascii="仿宋" w:hAnsi="仿宋" w:eastAsia="仿宋" w:cs="仿宋"/>
          <w:sz w:val="24"/>
          <w:u w:val="single"/>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360" w:firstLineChars="150"/>
        <w:jc w:val="left"/>
        <w:rPr>
          <w:rFonts w:hint="eastAsia"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hint="eastAsia"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hint="eastAsia"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hint="eastAsia" w:ascii="仿宋" w:hAnsi="仿宋" w:eastAsia="仿宋" w:cs="仿宋"/>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 xml:space="preserve">   注：</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hint="eastAsia" w:ascii="仿宋" w:hAnsi="仿宋" w:eastAsia="仿宋" w:cs="仿宋"/>
          <w:lang w:val="en-US"/>
        </w:rPr>
      </w:pPr>
    </w:p>
    <w:p>
      <w:pPr>
        <w:spacing w:line="360" w:lineRule="auto"/>
        <w:ind w:right="420"/>
        <w:rPr>
          <w:rFonts w:hint="eastAsia" w:ascii="仿宋" w:hAnsi="仿宋" w:eastAsia="仿宋" w:cs="仿宋"/>
        </w:rPr>
      </w:pPr>
    </w:p>
    <w:p>
      <w:pPr>
        <w:spacing w:line="360" w:lineRule="auto"/>
        <w:rPr>
          <w:rFonts w:hint="eastAsia" w:ascii="仿宋" w:hAnsi="仿宋" w:eastAsia="仿宋" w:cs="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25" w:name="_Toc164085800"/>
    <w:bookmarkStart w:id="526" w:name="_Toc36110187"/>
    <w:bookmarkStart w:id="527" w:name="_Toc131845147"/>
    <w:bookmarkStart w:id="528" w:name="_Toc91899912"/>
    <w:r>
      <w:rPr>
        <w:rFonts w:hint="eastAsia" w:ascii="仿宋_GB2312" w:eastAsia="仿宋_GB2312"/>
        <w:kern w:val="0"/>
        <w:szCs w:val="21"/>
      </w:rPr>
      <w:t xml:space="preserve"> 页</w:t>
    </w:r>
    <w:bookmarkEnd w:id="525"/>
    <w:bookmarkEnd w:id="526"/>
    <w:bookmarkEnd w:id="527"/>
    <w:bookmarkEnd w:id="52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w:t>
    </w:r>
    <w:r>
      <w:rPr>
        <w:rFonts w:hint="eastAsia"/>
        <w:lang w:eastAsia="zh-CN"/>
      </w:rPr>
      <w:t>临安区</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eastAsia="zh-CN"/>
      </w:rPr>
      <w:t>临安区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w:t>
    </w:r>
    <w:r>
      <w:rPr>
        <w:rFonts w:hint="eastAsia"/>
        <w:lang w:eastAsia="zh-CN"/>
      </w:rPr>
      <w:t>临安区</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w:t>
    </w:r>
    <w:r>
      <w:rPr>
        <w:rFonts w:hint="eastAsia"/>
        <w:lang w:eastAsia="zh-CN"/>
      </w:rPr>
      <w:t>临安区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w:t>
    </w:r>
    <w:r>
      <w:rPr>
        <w:rFonts w:hint="eastAsia"/>
        <w:lang w:eastAsia="zh-CN"/>
      </w:rPr>
      <w:t>临安区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E2005A"/>
    <w:multiLevelType w:val="multilevel"/>
    <w:tmpl w:val="52E2005A"/>
    <w:lvl w:ilvl="0" w:tentative="0">
      <w:start w:val="1"/>
      <w:numFmt w:val="decimal"/>
      <w:pStyle w:val="962"/>
      <w:suff w:val="space"/>
      <w:lvlText w:val="%1."/>
      <w:lvlJc w:val="left"/>
      <w:pPr>
        <w:ind w:left="0" w:firstLine="0"/>
      </w:pPr>
      <w:rPr>
        <w:rFonts w:hint="eastAsia"/>
      </w:rPr>
    </w:lvl>
    <w:lvl w:ilvl="1" w:tentative="0">
      <w:start w:val="1"/>
      <w:numFmt w:val="decimal"/>
      <w:pStyle w:val="963"/>
      <w:suff w:val="space"/>
      <w:lvlText w:val="%1.%2"/>
      <w:lvlJc w:val="left"/>
      <w:pPr>
        <w:ind w:left="1843" w:firstLine="0"/>
      </w:pPr>
      <w:rPr>
        <w:rFonts w:hint="eastAsia"/>
      </w:rPr>
    </w:lvl>
    <w:lvl w:ilvl="2" w:tentative="0">
      <w:start w:val="1"/>
      <w:numFmt w:val="decimal"/>
      <w:pStyle w:val="964"/>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decimal"/>
      <w:suff w:val="space"/>
      <w:lvlText w:val="%1.%2.%3.%4.%5.%6"/>
      <w:lvlJc w:val="left"/>
      <w:pPr>
        <w:ind w:left="0" w:firstLine="0"/>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A64452"/>
    <w:rsid w:val="02B73960"/>
    <w:rsid w:val="02DC4B10"/>
    <w:rsid w:val="02DD76CE"/>
    <w:rsid w:val="02F36323"/>
    <w:rsid w:val="02F5619C"/>
    <w:rsid w:val="0326446A"/>
    <w:rsid w:val="032D5555"/>
    <w:rsid w:val="036634D2"/>
    <w:rsid w:val="03A87965"/>
    <w:rsid w:val="03DD35E4"/>
    <w:rsid w:val="04076900"/>
    <w:rsid w:val="041A5A3B"/>
    <w:rsid w:val="042311BA"/>
    <w:rsid w:val="04266047"/>
    <w:rsid w:val="042B157A"/>
    <w:rsid w:val="046116FF"/>
    <w:rsid w:val="048F763B"/>
    <w:rsid w:val="0490667D"/>
    <w:rsid w:val="04965203"/>
    <w:rsid w:val="049F330E"/>
    <w:rsid w:val="04AA775C"/>
    <w:rsid w:val="04AF1889"/>
    <w:rsid w:val="04F66F48"/>
    <w:rsid w:val="05251E14"/>
    <w:rsid w:val="05A16594"/>
    <w:rsid w:val="05A7762D"/>
    <w:rsid w:val="060E5941"/>
    <w:rsid w:val="06110FAF"/>
    <w:rsid w:val="06493CA7"/>
    <w:rsid w:val="065A6178"/>
    <w:rsid w:val="066F1CF3"/>
    <w:rsid w:val="06930BB8"/>
    <w:rsid w:val="06BC36B6"/>
    <w:rsid w:val="07245D42"/>
    <w:rsid w:val="07264C62"/>
    <w:rsid w:val="0779354C"/>
    <w:rsid w:val="07F673FD"/>
    <w:rsid w:val="08061376"/>
    <w:rsid w:val="08452D77"/>
    <w:rsid w:val="086401F8"/>
    <w:rsid w:val="0874190C"/>
    <w:rsid w:val="08751CAA"/>
    <w:rsid w:val="087E4C40"/>
    <w:rsid w:val="088A1B3B"/>
    <w:rsid w:val="08A871D0"/>
    <w:rsid w:val="08D07B17"/>
    <w:rsid w:val="08D66AD6"/>
    <w:rsid w:val="08DA33A3"/>
    <w:rsid w:val="08E80F13"/>
    <w:rsid w:val="091A695D"/>
    <w:rsid w:val="0925673F"/>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F3297"/>
    <w:rsid w:val="0AA374A5"/>
    <w:rsid w:val="0AAB7649"/>
    <w:rsid w:val="0ABC5606"/>
    <w:rsid w:val="0B30404E"/>
    <w:rsid w:val="0B3B4BF1"/>
    <w:rsid w:val="0B455060"/>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8624E"/>
    <w:rsid w:val="0CF86C95"/>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72714"/>
    <w:rsid w:val="0EB803EE"/>
    <w:rsid w:val="0EF94D4B"/>
    <w:rsid w:val="0F281CF8"/>
    <w:rsid w:val="0F4958DC"/>
    <w:rsid w:val="0F515DF7"/>
    <w:rsid w:val="0F596BA8"/>
    <w:rsid w:val="0F6248D2"/>
    <w:rsid w:val="0F693536"/>
    <w:rsid w:val="0F7B0511"/>
    <w:rsid w:val="0F7B76D9"/>
    <w:rsid w:val="0F816ACD"/>
    <w:rsid w:val="0F9832DB"/>
    <w:rsid w:val="0FBF3FD2"/>
    <w:rsid w:val="0FBF7FF3"/>
    <w:rsid w:val="101379BD"/>
    <w:rsid w:val="10646583"/>
    <w:rsid w:val="107D4B15"/>
    <w:rsid w:val="108A3C80"/>
    <w:rsid w:val="10C26171"/>
    <w:rsid w:val="10E114E6"/>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E83DE6"/>
    <w:rsid w:val="141008D8"/>
    <w:rsid w:val="14125FE6"/>
    <w:rsid w:val="146D271E"/>
    <w:rsid w:val="14982588"/>
    <w:rsid w:val="149A5AD9"/>
    <w:rsid w:val="14A7619D"/>
    <w:rsid w:val="150536C3"/>
    <w:rsid w:val="150C1963"/>
    <w:rsid w:val="151447A0"/>
    <w:rsid w:val="154A6454"/>
    <w:rsid w:val="15762120"/>
    <w:rsid w:val="16611266"/>
    <w:rsid w:val="167D4228"/>
    <w:rsid w:val="16A8729C"/>
    <w:rsid w:val="16B33777"/>
    <w:rsid w:val="16BC70A7"/>
    <w:rsid w:val="16C6339E"/>
    <w:rsid w:val="172F2D79"/>
    <w:rsid w:val="17557BEF"/>
    <w:rsid w:val="17D349C1"/>
    <w:rsid w:val="1830729E"/>
    <w:rsid w:val="1870062C"/>
    <w:rsid w:val="18817102"/>
    <w:rsid w:val="18830A15"/>
    <w:rsid w:val="18852B28"/>
    <w:rsid w:val="188B5321"/>
    <w:rsid w:val="19052051"/>
    <w:rsid w:val="19932372"/>
    <w:rsid w:val="19A20DD5"/>
    <w:rsid w:val="19AE03F1"/>
    <w:rsid w:val="1A071A03"/>
    <w:rsid w:val="1A1F16AE"/>
    <w:rsid w:val="1A3B5C77"/>
    <w:rsid w:val="1A984BAD"/>
    <w:rsid w:val="1AB8220E"/>
    <w:rsid w:val="1AE17724"/>
    <w:rsid w:val="1AE4166C"/>
    <w:rsid w:val="1AF06CFB"/>
    <w:rsid w:val="1AF11B8D"/>
    <w:rsid w:val="1B11359C"/>
    <w:rsid w:val="1B261B12"/>
    <w:rsid w:val="1B2A271F"/>
    <w:rsid w:val="1B530544"/>
    <w:rsid w:val="1B713184"/>
    <w:rsid w:val="1BA209CF"/>
    <w:rsid w:val="1BB4777D"/>
    <w:rsid w:val="1BD75AB8"/>
    <w:rsid w:val="1C0459C2"/>
    <w:rsid w:val="1C1B3B4A"/>
    <w:rsid w:val="1C7A3585"/>
    <w:rsid w:val="1C835EF3"/>
    <w:rsid w:val="1C88086E"/>
    <w:rsid w:val="1D266CE1"/>
    <w:rsid w:val="1D3963AF"/>
    <w:rsid w:val="1D6A673C"/>
    <w:rsid w:val="1D9247AE"/>
    <w:rsid w:val="1DB567EC"/>
    <w:rsid w:val="1DDE0AE0"/>
    <w:rsid w:val="1DF51A98"/>
    <w:rsid w:val="1DFF68A5"/>
    <w:rsid w:val="1E3D060F"/>
    <w:rsid w:val="1E3F7D2E"/>
    <w:rsid w:val="1E4134E4"/>
    <w:rsid w:val="1E5062B3"/>
    <w:rsid w:val="1E523514"/>
    <w:rsid w:val="1E714A66"/>
    <w:rsid w:val="1E802593"/>
    <w:rsid w:val="1E8B6156"/>
    <w:rsid w:val="1EA703CC"/>
    <w:rsid w:val="1EB7330C"/>
    <w:rsid w:val="1F0A0FF3"/>
    <w:rsid w:val="1F4846B0"/>
    <w:rsid w:val="1F5771FF"/>
    <w:rsid w:val="1FE868A9"/>
    <w:rsid w:val="20034907"/>
    <w:rsid w:val="20173E4B"/>
    <w:rsid w:val="204E48BC"/>
    <w:rsid w:val="208921B3"/>
    <w:rsid w:val="20973DEB"/>
    <w:rsid w:val="20B26522"/>
    <w:rsid w:val="20B44310"/>
    <w:rsid w:val="211116EB"/>
    <w:rsid w:val="216133FC"/>
    <w:rsid w:val="21D56769"/>
    <w:rsid w:val="21E52EF3"/>
    <w:rsid w:val="21E55D39"/>
    <w:rsid w:val="21F81E96"/>
    <w:rsid w:val="21FB5D7B"/>
    <w:rsid w:val="22015E94"/>
    <w:rsid w:val="220B1C3D"/>
    <w:rsid w:val="221D1D20"/>
    <w:rsid w:val="22334A87"/>
    <w:rsid w:val="22BE6801"/>
    <w:rsid w:val="233500BF"/>
    <w:rsid w:val="23377FF7"/>
    <w:rsid w:val="235813AF"/>
    <w:rsid w:val="236B425F"/>
    <w:rsid w:val="23836192"/>
    <w:rsid w:val="23901F29"/>
    <w:rsid w:val="239C0061"/>
    <w:rsid w:val="23B908A4"/>
    <w:rsid w:val="23CB1B9A"/>
    <w:rsid w:val="23CE633A"/>
    <w:rsid w:val="23E95BEF"/>
    <w:rsid w:val="23FD0064"/>
    <w:rsid w:val="245375B0"/>
    <w:rsid w:val="24642C0A"/>
    <w:rsid w:val="24B22173"/>
    <w:rsid w:val="24B95AD9"/>
    <w:rsid w:val="24BE24DA"/>
    <w:rsid w:val="24C946E3"/>
    <w:rsid w:val="24CF5825"/>
    <w:rsid w:val="24D663E6"/>
    <w:rsid w:val="24D77F2B"/>
    <w:rsid w:val="2535131C"/>
    <w:rsid w:val="257C66DB"/>
    <w:rsid w:val="258B00E2"/>
    <w:rsid w:val="25A917A6"/>
    <w:rsid w:val="25BE27CC"/>
    <w:rsid w:val="25F74A5C"/>
    <w:rsid w:val="2628662C"/>
    <w:rsid w:val="262D45DE"/>
    <w:rsid w:val="26871DC8"/>
    <w:rsid w:val="26A53EF9"/>
    <w:rsid w:val="26A94201"/>
    <w:rsid w:val="26AC274F"/>
    <w:rsid w:val="27044A29"/>
    <w:rsid w:val="27105F1C"/>
    <w:rsid w:val="271D34C8"/>
    <w:rsid w:val="276142BF"/>
    <w:rsid w:val="27783712"/>
    <w:rsid w:val="27907362"/>
    <w:rsid w:val="27CC46DD"/>
    <w:rsid w:val="28333E1D"/>
    <w:rsid w:val="28454BD6"/>
    <w:rsid w:val="28455253"/>
    <w:rsid w:val="28551971"/>
    <w:rsid w:val="285B1C53"/>
    <w:rsid w:val="287D425D"/>
    <w:rsid w:val="289F7086"/>
    <w:rsid w:val="28C32028"/>
    <w:rsid w:val="28CC490F"/>
    <w:rsid w:val="28DE40AA"/>
    <w:rsid w:val="29345E77"/>
    <w:rsid w:val="294C65AD"/>
    <w:rsid w:val="29806583"/>
    <w:rsid w:val="298B3C4C"/>
    <w:rsid w:val="29EF026D"/>
    <w:rsid w:val="29F26D24"/>
    <w:rsid w:val="2A15033F"/>
    <w:rsid w:val="2A1662C1"/>
    <w:rsid w:val="2A1C7367"/>
    <w:rsid w:val="2A2815FA"/>
    <w:rsid w:val="2A6D6092"/>
    <w:rsid w:val="2A7D76B4"/>
    <w:rsid w:val="2A9B0728"/>
    <w:rsid w:val="2AD253E8"/>
    <w:rsid w:val="2B437463"/>
    <w:rsid w:val="2B5D28A8"/>
    <w:rsid w:val="2B7807EE"/>
    <w:rsid w:val="2B8A6447"/>
    <w:rsid w:val="2BA50BF7"/>
    <w:rsid w:val="2BBF00EC"/>
    <w:rsid w:val="2BC37CFD"/>
    <w:rsid w:val="2BD5237F"/>
    <w:rsid w:val="2BE536CE"/>
    <w:rsid w:val="2BE758D9"/>
    <w:rsid w:val="2C09049E"/>
    <w:rsid w:val="2C0A653C"/>
    <w:rsid w:val="2C191F85"/>
    <w:rsid w:val="2C297286"/>
    <w:rsid w:val="2CBC46D3"/>
    <w:rsid w:val="2CE82D6F"/>
    <w:rsid w:val="2D343236"/>
    <w:rsid w:val="2D3C7168"/>
    <w:rsid w:val="2DC964D8"/>
    <w:rsid w:val="2DD15014"/>
    <w:rsid w:val="2DF72DE4"/>
    <w:rsid w:val="2E0220AF"/>
    <w:rsid w:val="2E4B082A"/>
    <w:rsid w:val="2E5D4E86"/>
    <w:rsid w:val="2E5D790B"/>
    <w:rsid w:val="2E886943"/>
    <w:rsid w:val="2E9A3C18"/>
    <w:rsid w:val="2EBB0FEE"/>
    <w:rsid w:val="2EC63002"/>
    <w:rsid w:val="2F0A6B38"/>
    <w:rsid w:val="2F8C3767"/>
    <w:rsid w:val="2F946CCB"/>
    <w:rsid w:val="2FD25781"/>
    <w:rsid w:val="2FDC745C"/>
    <w:rsid w:val="2FFD7934"/>
    <w:rsid w:val="30733ACD"/>
    <w:rsid w:val="308C3862"/>
    <w:rsid w:val="309379D8"/>
    <w:rsid w:val="30A270F7"/>
    <w:rsid w:val="30DF1478"/>
    <w:rsid w:val="30EC586F"/>
    <w:rsid w:val="311A7A91"/>
    <w:rsid w:val="319C6071"/>
    <w:rsid w:val="31AC537E"/>
    <w:rsid w:val="31E3679B"/>
    <w:rsid w:val="31E732FD"/>
    <w:rsid w:val="32517576"/>
    <w:rsid w:val="32BE5C2C"/>
    <w:rsid w:val="32FB6478"/>
    <w:rsid w:val="33263B3F"/>
    <w:rsid w:val="336963EB"/>
    <w:rsid w:val="33816EEB"/>
    <w:rsid w:val="338623CE"/>
    <w:rsid w:val="33EB55CD"/>
    <w:rsid w:val="33EC4C02"/>
    <w:rsid w:val="33F527CA"/>
    <w:rsid w:val="340D2360"/>
    <w:rsid w:val="3410665D"/>
    <w:rsid w:val="34211214"/>
    <w:rsid w:val="342E63AB"/>
    <w:rsid w:val="34950E68"/>
    <w:rsid w:val="34986E94"/>
    <w:rsid w:val="34AF62C9"/>
    <w:rsid w:val="34CB4388"/>
    <w:rsid w:val="34F00AED"/>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380E43"/>
    <w:rsid w:val="3B420871"/>
    <w:rsid w:val="3B616CFF"/>
    <w:rsid w:val="3B6259F6"/>
    <w:rsid w:val="3B976654"/>
    <w:rsid w:val="3BC01EFC"/>
    <w:rsid w:val="3BCA786A"/>
    <w:rsid w:val="3BCD0A41"/>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2364F4"/>
    <w:rsid w:val="3E377251"/>
    <w:rsid w:val="3E42664B"/>
    <w:rsid w:val="3E5A7334"/>
    <w:rsid w:val="3E7B5D6B"/>
    <w:rsid w:val="3E843E66"/>
    <w:rsid w:val="3E8F51FE"/>
    <w:rsid w:val="3E926F87"/>
    <w:rsid w:val="3E9A59DE"/>
    <w:rsid w:val="3EAF4836"/>
    <w:rsid w:val="3EC33DFA"/>
    <w:rsid w:val="3F060E16"/>
    <w:rsid w:val="3F1D1096"/>
    <w:rsid w:val="3F2E7A11"/>
    <w:rsid w:val="3F2F0234"/>
    <w:rsid w:val="3F3F6AF4"/>
    <w:rsid w:val="3F6363FE"/>
    <w:rsid w:val="3F756B8F"/>
    <w:rsid w:val="3F95482B"/>
    <w:rsid w:val="4019356B"/>
    <w:rsid w:val="40592157"/>
    <w:rsid w:val="406E1CAE"/>
    <w:rsid w:val="40A0133A"/>
    <w:rsid w:val="40C31A53"/>
    <w:rsid w:val="40FF545D"/>
    <w:rsid w:val="40FF7A60"/>
    <w:rsid w:val="410067C8"/>
    <w:rsid w:val="418F0D2A"/>
    <w:rsid w:val="41D01505"/>
    <w:rsid w:val="423A78B1"/>
    <w:rsid w:val="42474939"/>
    <w:rsid w:val="424C3C57"/>
    <w:rsid w:val="42613FF3"/>
    <w:rsid w:val="42660D96"/>
    <w:rsid w:val="428667D2"/>
    <w:rsid w:val="42CD1CE0"/>
    <w:rsid w:val="42E1381E"/>
    <w:rsid w:val="42ED6459"/>
    <w:rsid w:val="42FE58DD"/>
    <w:rsid w:val="43036DCF"/>
    <w:rsid w:val="43174B3D"/>
    <w:rsid w:val="432B13E5"/>
    <w:rsid w:val="434B790E"/>
    <w:rsid w:val="4360274F"/>
    <w:rsid w:val="43977AB6"/>
    <w:rsid w:val="43A3342B"/>
    <w:rsid w:val="43C77C27"/>
    <w:rsid w:val="43DE09EE"/>
    <w:rsid w:val="44002FAD"/>
    <w:rsid w:val="447102ED"/>
    <w:rsid w:val="449101DD"/>
    <w:rsid w:val="44DE1391"/>
    <w:rsid w:val="451B225C"/>
    <w:rsid w:val="452410C9"/>
    <w:rsid w:val="452C1A44"/>
    <w:rsid w:val="45317DFB"/>
    <w:rsid w:val="456D3CE4"/>
    <w:rsid w:val="4579042C"/>
    <w:rsid w:val="457F0571"/>
    <w:rsid w:val="45851176"/>
    <w:rsid w:val="45C63B94"/>
    <w:rsid w:val="460E7DA5"/>
    <w:rsid w:val="46422483"/>
    <w:rsid w:val="4659254A"/>
    <w:rsid w:val="465B0637"/>
    <w:rsid w:val="465E3F0D"/>
    <w:rsid w:val="466A16E6"/>
    <w:rsid w:val="46893F2B"/>
    <w:rsid w:val="46C4686E"/>
    <w:rsid w:val="46E42ECD"/>
    <w:rsid w:val="477B778F"/>
    <w:rsid w:val="478203EC"/>
    <w:rsid w:val="47B025FA"/>
    <w:rsid w:val="4809698F"/>
    <w:rsid w:val="4811697D"/>
    <w:rsid w:val="487A3E25"/>
    <w:rsid w:val="488B5503"/>
    <w:rsid w:val="48937E21"/>
    <w:rsid w:val="489A0361"/>
    <w:rsid w:val="48B94FF3"/>
    <w:rsid w:val="48E37AAB"/>
    <w:rsid w:val="48FD4B4C"/>
    <w:rsid w:val="490A68E0"/>
    <w:rsid w:val="491055FE"/>
    <w:rsid w:val="491A6D52"/>
    <w:rsid w:val="494724E8"/>
    <w:rsid w:val="495F5B3E"/>
    <w:rsid w:val="496F77D7"/>
    <w:rsid w:val="497654FD"/>
    <w:rsid w:val="49B64211"/>
    <w:rsid w:val="49F6167F"/>
    <w:rsid w:val="4A064FA0"/>
    <w:rsid w:val="4A16615C"/>
    <w:rsid w:val="4A4424D7"/>
    <w:rsid w:val="4AB82D0F"/>
    <w:rsid w:val="4AEB7664"/>
    <w:rsid w:val="4AFD7C19"/>
    <w:rsid w:val="4B0567D1"/>
    <w:rsid w:val="4B236AAE"/>
    <w:rsid w:val="4B6E4BBD"/>
    <w:rsid w:val="4B707271"/>
    <w:rsid w:val="4B9739F7"/>
    <w:rsid w:val="4BEE2503"/>
    <w:rsid w:val="4C245A30"/>
    <w:rsid w:val="4CB6685F"/>
    <w:rsid w:val="4CC367FE"/>
    <w:rsid w:val="4D077F3C"/>
    <w:rsid w:val="4D123355"/>
    <w:rsid w:val="4D2A3B31"/>
    <w:rsid w:val="4D312C52"/>
    <w:rsid w:val="4D905305"/>
    <w:rsid w:val="4D964A72"/>
    <w:rsid w:val="4D9C1254"/>
    <w:rsid w:val="4DAC4DBD"/>
    <w:rsid w:val="4E793892"/>
    <w:rsid w:val="4E800872"/>
    <w:rsid w:val="4E847C88"/>
    <w:rsid w:val="4EC569ED"/>
    <w:rsid w:val="4ED50EA1"/>
    <w:rsid w:val="4EEC050C"/>
    <w:rsid w:val="4F104EC3"/>
    <w:rsid w:val="4F47354A"/>
    <w:rsid w:val="4F911C54"/>
    <w:rsid w:val="4FC93C5E"/>
    <w:rsid w:val="4FE625E0"/>
    <w:rsid w:val="5021480F"/>
    <w:rsid w:val="508D102A"/>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750E62"/>
    <w:rsid w:val="5397158E"/>
    <w:rsid w:val="54013861"/>
    <w:rsid w:val="54487265"/>
    <w:rsid w:val="544D6070"/>
    <w:rsid w:val="545047D0"/>
    <w:rsid w:val="54605E1E"/>
    <w:rsid w:val="54B3506A"/>
    <w:rsid w:val="54CA0D16"/>
    <w:rsid w:val="54DD4057"/>
    <w:rsid w:val="54DF6F48"/>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E56B9C"/>
    <w:rsid w:val="56EC0BED"/>
    <w:rsid w:val="57032A2C"/>
    <w:rsid w:val="570F5219"/>
    <w:rsid w:val="57255E98"/>
    <w:rsid w:val="57525D02"/>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8F00BC6"/>
    <w:rsid w:val="595E1678"/>
    <w:rsid w:val="596D5BD4"/>
    <w:rsid w:val="597E3DD8"/>
    <w:rsid w:val="59F80043"/>
    <w:rsid w:val="5A0049B7"/>
    <w:rsid w:val="5A09252F"/>
    <w:rsid w:val="5A0B2778"/>
    <w:rsid w:val="5A2A7C7B"/>
    <w:rsid w:val="5A3E2560"/>
    <w:rsid w:val="5A5B5814"/>
    <w:rsid w:val="5A5D3B6E"/>
    <w:rsid w:val="5A637A76"/>
    <w:rsid w:val="5A6D33BA"/>
    <w:rsid w:val="5A792B1F"/>
    <w:rsid w:val="5A874767"/>
    <w:rsid w:val="5AA85BE2"/>
    <w:rsid w:val="5AAD6F28"/>
    <w:rsid w:val="5AD63A24"/>
    <w:rsid w:val="5B2E1A1D"/>
    <w:rsid w:val="5B843A1C"/>
    <w:rsid w:val="5B873E3F"/>
    <w:rsid w:val="5BD8426B"/>
    <w:rsid w:val="5C02690E"/>
    <w:rsid w:val="5C196DA7"/>
    <w:rsid w:val="5C2A048C"/>
    <w:rsid w:val="5C80234E"/>
    <w:rsid w:val="5C8A680C"/>
    <w:rsid w:val="5D0C4701"/>
    <w:rsid w:val="5D0F0395"/>
    <w:rsid w:val="5D221076"/>
    <w:rsid w:val="5D26205D"/>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1295"/>
    <w:rsid w:val="61054A27"/>
    <w:rsid w:val="610A52BC"/>
    <w:rsid w:val="61104B9A"/>
    <w:rsid w:val="611D2366"/>
    <w:rsid w:val="61421856"/>
    <w:rsid w:val="615227C4"/>
    <w:rsid w:val="61654E3F"/>
    <w:rsid w:val="617E1683"/>
    <w:rsid w:val="6182292A"/>
    <w:rsid w:val="619F7F92"/>
    <w:rsid w:val="61F94C26"/>
    <w:rsid w:val="62000E56"/>
    <w:rsid w:val="624F3E49"/>
    <w:rsid w:val="62632286"/>
    <w:rsid w:val="626F4DB6"/>
    <w:rsid w:val="62885958"/>
    <w:rsid w:val="62B156C3"/>
    <w:rsid w:val="62D66462"/>
    <w:rsid w:val="62F40B65"/>
    <w:rsid w:val="62FC2CFE"/>
    <w:rsid w:val="63024505"/>
    <w:rsid w:val="635600A5"/>
    <w:rsid w:val="635B1DB5"/>
    <w:rsid w:val="63711FED"/>
    <w:rsid w:val="63786D48"/>
    <w:rsid w:val="63880DDC"/>
    <w:rsid w:val="638D750D"/>
    <w:rsid w:val="63AC6CC0"/>
    <w:rsid w:val="64022956"/>
    <w:rsid w:val="64055776"/>
    <w:rsid w:val="64240056"/>
    <w:rsid w:val="643E143A"/>
    <w:rsid w:val="64491666"/>
    <w:rsid w:val="648B6EEF"/>
    <w:rsid w:val="648C2B1B"/>
    <w:rsid w:val="64C158BF"/>
    <w:rsid w:val="64CE2EAA"/>
    <w:rsid w:val="653C3090"/>
    <w:rsid w:val="65621857"/>
    <w:rsid w:val="65854376"/>
    <w:rsid w:val="658767BE"/>
    <w:rsid w:val="65892531"/>
    <w:rsid w:val="66195831"/>
    <w:rsid w:val="662E75B1"/>
    <w:rsid w:val="66342C2E"/>
    <w:rsid w:val="663E784C"/>
    <w:rsid w:val="666C4522"/>
    <w:rsid w:val="667062B8"/>
    <w:rsid w:val="668B6A45"/>
    <w:rsid w:val="668F45A0"/>
    <w:rsid w:val="66986520"/>
    <w:rsid w:val="66BB4887"/>
    <w:rsid w:val="672F3F24"/>
    <w:rsid w:val="673E055F"/>
    <w:rsid w:val="67551CE3"/>
    <w:rsid w:val="67A22552"/>
    <w:rsid w:val="67B22DCC"/>
    <w:rsid w:val="67BE71AA"/>
    <w:rsid w:val="67CC2B0F"/>
    <w:rsid w:val="67D90273"/>
    <w:rsid w:val="67DE5875"/>
    <w:rsid w:val="67E55852"/>
    <w:rsid w:val="67EB1AB4"/>
    <w:rsid w:val="67FA1285"/>
    <w:rsid w:val="68551F4F"/>
    <w:rsid w:val="687C10C9"/>
    <w:rsid w:val="68840C16"/>
    <w:rsid w:val="68876EFB"/>
    <w:rsid w:val="68884654"/>
    <w:rsid w:val="689F444F"/>
    <w:rsid w:val="68B559F8"/>
    <w:rsid w:val="68B96DBB"/>
    <w:rsid w:val="68CA2805"/>
    <w:rsid w:val="68E937A3"/>
    <w:rsid w:val="6928103B"/>
    <w:rsid w:val="693E15D3"/>
    <w:rsid w:val="69627681"/>
    <w:rsid w:val="6977531D"/>
    <w:rsid w:val="69CC2BFF"/>
    <w:rsid w:val="69D26F7D"/>
    <w:rsid w:val="69FD55B8"/>
    <w:rsid w:val="6A0B1C62"/>
    <w:rsid w:val="6A2406C8"/>
    <w:rsid w:val="6A3C7C47"/>
    <w:rsid w:val="6ADE0BD1"/>
    <w:rsid w:val="6AE96859"/>
    <w:rsid w:val="6B035692"/>
    <w:rsid w:val="6B147746"/>
    <w:rsid w:val="6B24787C"/>
    <w:rsid w:val="6B573233"/>
    <w:rsid w:val="6B5B6274"/>
    <w:rsid w:val="6B935D53"/>
    <w:rsid w:val="6C12584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3F7773"/>
    <w:rsid w:val="6E8335BD"/>
    <w:rsid w:val="6E8E12EF"/>
    <w:rsid w:val="6E972936"/>
    <w:rsid w:val="6ED446C5"/>
    <w:rsid w:val="6EE24AA6"/>
    <w:rsid w:val="6F0060CC"/>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1E3915"/>
    <w:rsid w:val="742222F5"/>
    <w:rsid w:val="74476126"/>
    <w:rsid w:val="746A77A2"/>
    <w:rsid w:val="74706664"/>
    <w:rsid w:val="747F3682"/>
    <w:rsid w:val="749C4185"/>
    <w:rsid w:val="75035F6E"/>
    <w:rsid w:val="75067759"/>
    <w:rsid w:val="752E6DCD"/>
    <w:rsid w:val="7551380D"/>
    <w:rsid w:val="75600BE5"/>
    <w:rsid w:val="7564475C"/>
    <w:rsid w:val="7583797F"/>
    <w:rsid w:val="759467A1"/>
    <w:rsid w:val="75C755A4"/>
    <w:rsid w:val="75CD06FF"/>
    <w:rsid w:val="75D20F1D"/>
    <w:rsid w:val="75DA2C18"/>
    <w:rsid w:val="75F54412"/>
    <w:rsid w:val="75FF4DC7"/>
    <w:rsid w:val="76142B10"/>
    <w:rsid w:val="761D08E0"/>
    <w:rsid w:val="765D347C"/>
    <w:rsid w:val="767607CD"/>
    <w:rsid w:val="76826699"/>
    <w:rsid w:val="76C87133"/>
    <w:rsid w:val="76CD08D5"/>
    <w:rsid w:val="76DB4B92"/>
    <w:rsid w:val="77052AA4"/>
    <w:rsid w:val="77136511"/>
    <w:rsid w:val="77340A39"/>
    <w:rsid w:val="77351FD0"/>
    <w:rsid w:val="77472422"/>
    <w:rsid w:val="77510A95"/>
    <w:rsid w:val="777F31F2"/>
    <w:rsid w:val="77B949CB"/>
    <w:rsid w:val="77D1700D"/>
    <w:rsid w:val="77EC04CC"/>
    <w:rsid w:val="780E1922"/>
    <w:rsid w:val="78774D55"/>
    <w:rsid w:val="78775729"/>
    <w:rsid w:val="789738C8"/>
    <w:rsid w:val="78A42DB0"/>
    <w:rsid w:val="78A656AB"/>
    <w:rsid w:val="78B2245C"/>
    <w:rsid w:val="78D80D8D"/>
    <w:rsid w:val="78E172CC"/>
    <w:rsid w:val="78EA1D1F"/>
    <w:rsid w:val="7904172F"/>
    <w:rsid w:val="790F7E27"/>
    <w:rsid w:val="792A231A"/>
    <w:rsid w:val="79316829"/>
    <w:rsid w:val="797E66A9"/>
    <w:rsid w:val="798518A4"/>
    <w:rsid w:val="79A11268"/>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4B64B4"/>
    <w:rsid w:val="7B5A2978"/>
    <w:rsid w:val="7B5A7E4C"/>
    <w:rsid w:val="7B667AF9"/>
    <w:rsid w:val="7B7468F8"/>
    <w:rsid w:val="7BC45927"/>
    <w:rsid w:val="7BEE0103"/>
    <w:rsid w:val="7C0A0FE4"/>
    <w:rsid w:val="7C254906"/>
    <w:rsid w:val="7C590818"/>
    <w:rsid w:val="7C6D2098"/>
    <w:rsid w:val="7C7C10F6"/>
    <w:rsid w:val="7C853BEA"/>
    <w:rsid w:val="7C881368"/>
    <w:rsid w:val="7CDF6279"/>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BB7635"/>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318"/>
    <w:qFormat/>
    <w:uiPriority w:val="0"/>
    <w:pPr>
      <w:ind w:firstLine="420"/>
    </w:pPr>
    <w:rPr>
      <w:rFonts w:hAnsi="Calibri" w:cs="Times New Roman"/>
      <w:snapToGrid/>
      <w:szCs w:val="20"/>
    </w:rPr>
  </w:style>
  <w:style w:type="paragraph" w:styleId="3">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6"/>
    <w:qFormat/>
    <w:uiPriority w:val="0"/>
    <w:rPr>
      <w:rFonts w:ascii="宋体"/>
      <w:kern w:val="2"/>
      <w:sz w:val="24"/>
      <w:szCs w:val="21"/>
      <w:lang w:val="zh-CN"/>
    </w:rPr>
  </w:style>
  <w:style w:type="character" w:customStyle="1" w:styleId="179">
    <w:name w:val="标题 9 字符"/>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7"/>
    <w:qFormat/>
    <w:uiPriority w:val="0"/>
    <w:rPr>
      <w:rFonts w:ascii="黑体" w:hAnsi="Courier New" w:eastAsia="黑体"/>
    </w:rPr>
  </w:style>
  <w:style w:type="character" w:customStyle="1" w:styleId="299">
    <w:name w:val="正文文本 2 字符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11"/>
    <w:qFormat/>
    <w:uiPriority w:val="0"/>
    <w:rPr>
      <w:b/>
      <w:bCs/>
      <w:kern w:val="2"/>
      <w:sz w:val="24"/>
      <w:szCs w:val="24"/>
    </w:rPr>
  </w:style>
  <w:style w:type="character" w:customStyle="1" w:styleId="305">
    <w:name w:val="正文文本缩进 2 字符"/>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1"/>
    <w:qFormat/>
    <w:uiPriority w:val="0"/>
    <w:rPr>
      <w:kern w:val="2"/>
      <w:sz w:val="21"/>
      <w:szCs w:val="24"/>
    </w:rPr>
  </w:style>
  <w:style w:type="character" w:customStyle="1" w:styleId="342">
    <w:name w:val="签名 字符"/>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8"/>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一级标题"/>
    <w:basedOn w:val="1"/>
    <w:next w:val="82"/>
    <w:qFormat/>
    <w:uiPriority w:val="0"/>
    <w:pPr>
      <w:numPr>
        <w:ilvl w:val="0"/>
        <w:numId w:val="1"/>
      </w:numPr>
      <w:spacing w:before="50" w:beforeLines="50" w:after="50" w:afterLines="50"/>
      <w:ind w:firstLineChars="0"/>
      <w:outlineLvl w:val="0"/>
    </w:pPr>
    <w:rPr>
      <w:sz w:val="36"/>
      <w:szCs w:val="30"/>
    </w:rPr>
  </w:style>
  <w:style w:type="paragraph" w:customStyle="1" w:styleId="963">
    <w:name w:val="二级标题"/>
    <w:basedOn w:val="1"/>
    <w:next w:val="82"/>
    <w:qFormat/>
    <w:uiPriority w:val="0"/>
    <w:pPr>
      <w:numPr>
        <w:ilvl w:val="1"/>
        <w:numId w:val="1"/>
      </w:numPr>
      <w:spacing w:before="50" w:beforeLines="50" w:after="50" w:afterLines="50"/>
      <w:ind w:left="0" w:firstLineChars="0"/>
      <w:outlineLvl w:val="1"/>
    </w:pPr>
    <w:rPr>
      <w:sz w:val="32"/>
      <w:szCs w:val="32"/>
    </w:rPr>
  </w:style>
  <w:style w:type="paragraph" w:customStyle="1" w:styleId="964">
    <w:name w:val="三级标题"/>
    <w:basedOn w:val="1"/>
    <w:next w:val="82"/>
    <w:qFormat/>
    <w:uiPriority w:val="0"/>
    <w:pPr>
      <w:numPr>
        <w:ilvl w:val="2"/>
        <w:numId w:val="1"/>
      </w:numPr>
      <w:spacing w:before="190" w:beforeLines="50" w:after="190" w:afterLines="50"/>
      <w:ind w:firstLineChars="0"/>
      <w:outlineLvl w:val="2"/>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72</Pages>
  <Words>5975</Words>
  <Characters>34060</Characters>
  <Lines>283</Lines>
  <Paragraphs>79</Paragraphs>
  <TotalTime>16</TotalTime>
  <ScaleCrop>false</ScaleCrop>
  <LinksUpToDate>false</LinksUpToDate>
  <CharactersWithSpaces>39956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杨颖</cp:lastModifiedBy>
  <cp:lastPrinted>2021-12-27T03:06:00Z</cp:lastPrinted>
  <dcterms:modified xsi:type="dcterms:W3CDTF">2022-09-09T07:49:19Z</dcterms:modified>
  <dc:title>杭州市市民卡扩大发卡工程</dc:title>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