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keepNext w:val="0"/>
        <w:keepLines w:val="0"/>
        <w:pageBreakBefore w:val="0"/>
        <w:widowControl w:val="0"/>
        <w:kinsoku/>
        <w:wordWrap/>
        <w:overflowPunct/>
        <w:topLinePunct w:val="0"/>
        <w:autoSpaceDE/>
        <w:autoSpaceDN/>
        <w:bidi w:val="0"/>
        <w:adjustRightInd w:val="0"/>
        <w:spacing w:line="720" w:lineRule="auto"/>
        <w:jc w:val="center"/>
        <w:textAlignment w:val="auto"/>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keepNext w:val="0"/>
        <w:keepLines w:val="0"/>
        <w:pageBreakBefore w:val="0"/>
        <w:widowControl w:val="0"/>
        <w:kinsoku/>
        <w:wordWrap/>
        <w:overflowPunct/>
        <w:topLinePunct w:val="0"/>
        <w:autoSpaceDE/>
        <w:autoSpaceDN/>
        <w:bidi w:val="0"/>
        <w:adjustRightInd/>
        <w:spacing w:line="720" w:lineRule="auto"/>
        <w:jc w:val="center"/>
        <w:textAlignment w:val="auto"/>
        <w:rPr>
          <w:rFonts w:ascii="仿宋_GB2312" w:hAnsi="仿宋" w:eastAsia="仿宋_GB2312" w:cs="仿宋_GB2312"/>
          <w:b/>
          <w:sz w:val="48"/>
          <w:szCs w:val="48"/>
        </w:rPr>
      </w:pPr>
    </w:p>
    <w:p>
      <w:pPr>
        <w:keepNext w:val="0"/>
        <w:keepLines w:val="0"/>
        <w:pageBreakBefore w:val="0"/>
        <w:widowControl w:val="0"/>
        <w:kinsoku/>
        <w:wordWrap/>
        <w:overflowPunct/>
        <w:topLinePunct w:val="0"/>
        <w:autoSpaceDE/>
        <w:autoSpaceDN/>
        <w:bidi w:val="0"/>
        <w:adjustRightInd/>
        <w:spacing w:line="720" w:lineRule="auto"/>
        <w:jc w:val="center"/>
        <w:textAlignment w:val="auto"/>
        <w:rPr>
          <w:rFonts w:hint="eastAsia" w:ascii="仿宋" w:hAnsi="仿宋" w:eastAsia="仿宋" w:cs="仿宋_GB2312"/>
          <w:sz w:val="44"/>
          <w:szCs w:val="44"/>
        </w:rPr>
      </w:pPr>
      <w:r>
        <w:rPr>
          <w:rFonts w:hint="eastAsia" w:ascii="仿宋" w:hAnsi="仿宋" w:eastAsia="仿宋" w:cs="仿宋_GB2312"/>
          <w:sz w:val="44"/>
          <w:szCs w:val="44"/>
        </w:rPr>
        <w:t>杭州市临安区审计局2022-2023年政府投资项目审计服务框架协议单位采购项目</w:t>
      </w:r>
    </w:p>
    <w:p>
      <w:pPr>
        <w:keepNext w:val="0"/>
        <w:keepLines w:val="0"/>
        <w:pageBreakBefore w:val="0"/>
        <w:widowControl w:val="0"/>
        <w:kinsoku/>
        <w:wordWrap/>
        <w:overflowPunct/>
        <w:topLinePunct w:val="0"/>
        <w:autoSpaceDE/>
        <w:autoSpaceDN/>
        <w:bidi w:val="0"/>
        <w:adjustRightInd/>
        <w:spacing w:line="720" w:lineRule="auto"/>
        <w:jc w:val="center"/>
        <w:textAlignment w:val="auto"/>
        <w:rPr>
          <w:rFonts w:ascii="仿宋" w:hAnsi="仿宋" w:eastAsia="仿宋" w:cs="仿宋_GB2312"/>
          <w:sz w:val="48"/>
          <w:szCs w:val="48"/>
        </w:rPr>
      </w:pPr>
      <w:r>
        <w:rPr>
          <w:rFonts w:hint="eastAsia" w:ascii="仿宋" w:hAnsi="仿宋" w:eastAsia="仿宋" w:cs="仿宋_GB2312"/>
          <w:sz w:val="48"/>
          <w:szCs w:val="48"/>
          <w:lang w:val="en-US" w:eastAsia="zh-CN"/>
        </w:rPr>
        <w:t>征集</w:t>
      </w:r>
      <w:r>
        <w:rPr>
          <w:rFonts w:hint="eastAsia" w:ascii="仿宋" w:hAnsi="仿宋" w:eastAsia="仿宋" w:cs="仿宋_GB2312"/>
          <w:sz w:val="48"/>
          <w:szCs w:val="48"/>
        </w:rPr>
        <w:t>文件</w:t>
      </w:r>
    </w:p>
    <w:p>
      <w:pPr>
        <w:keepNext w:val="0"/>
        <w:keepLines w:val="0"/>
        <w:pageBreakBefore w:val="0"/>
        <w:widowControl w:val="0"/>
        <w:kinsoku/>
        <w:wordWrap/>
        <w:overflowPunct/>
        <w:topLinePunct w:val="0"/>
        <w:autoSpaceDE/>
        <w:autoSpaceDN/>
        <w:bidi w:val="0"/>
        <w:adjustRightInd/>
        <w:spacing w:line="720" w:lineRule="auto"/>
        <w:jc w:val="center"/>
        <w:textAlignment w:val="auto"/>
        <w:rPr>
          <w:rFonts w:ascii="仿宋" w:hAnsi="仿宋" w:eastAsia="仿宋" w:cs="仿宋_GB2312"/>
          <w:b/>
          <w:sz w:val="44"/>
          <w:szCs w:val="44"/>
        </w:rPr>
      </w:pPr>
      <w:r>
        <w:rPr>
          <w:rFonts w:ascii="仿宋" w:hAnsi="仿宋" w:eastAsia="仿宋" w:cs="仿宋_GB2312"/>
          <w:b/>
          <w:sz w:val="44"/>
          <w:szCs w:val="44"/>
        </w:rPr>
        <w:t xml:space="preserve"> （电子招投标）</w:t>
      </w:r>
    </w:p>
    <w:p>
      <w:pPr>
        <w:keepNext w:val="0"/>
        <w:keepLines w:val="0"/>
        <w:pageBreakBefore w:val="0"/>
        <w:widowControl w:val="0"/>
        <w:kinsoku/>
        <w:wordWrap/>
        <w:overflowPunct/>
        <w:topLinePunct w:val="0"/>
        <w:autoSpaceDE/>
        <w:autoSpaceDN/>
        <w:bidi w:val="0"/>
        <w:snapToGrid w:val="0"/>
        <w:spacing w:line="720" w:lineRule="auto"/>
        <w:jc w:val="center"/>
        <w:textAlignment w:val="auto"/>
        <w:rPr>
          <w:rFonts w:hint="default" w:ascii="仿宋" w:hAnsi="仿宋" w:eastAsia="仿宋" w:cs="仿宋_GB2312"/>
          <w:sz w:val="30"/>
          <w:szCs w:val="30"/>
          <w:highlight w:val="none"/>
          <w:lang w:val="en-US"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LZC-KJ-2022-04024</w:t>
      </w:r>
    </w:p>
    <w:p>
      <w:pPr>
        <w:adjustRightInd/>
        <w:spacing w:line="360" w:lineRule="auto"/>
        <w:rPr>
          <w:rFonts w:ascii="仿宋" w:hAnsi="仿宋" w:eastAsia="仿宋" w:cs="仿宋_GB2312"/>
          <w:sz w:val="28"/>
          <w:szCs w:val="20"/>
        </w:rPr>
      </w:pP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杭州市临安区审计局</w:t>
      </w:r>
    </w:p>
    <w:p>
      <w:pPr>
        <w:adjustRightInd w:val="0"/>
        <w:spacing w:line="360" w:lineRule="auto"/>
        <w:jc w:val="center"/>
        <w:rPr>
          <w:rFonts w:hint="eastAsia" w:ascii="仿宋_GB2312" w:hAnsi="仿宋" w:eastAsia="仿宋_GB2312" w:cs="仿宋_GB2312"/>
          <w:bCs/>
          <w:sz w:val="32"/>
          <w:szCs w:val="32"/>
          <w:highlight w:val="none"/>
          <w:lang w:val="en-US" w:eastAsia="zh-CN"/>
        </w:rPr>
      </w:pPr>
      <w:r>
        <w:rPr>
          <w:rFonts w:hint="eastAsia" w:ascii="仿宋_GB2312" w:hAnsi="仿宋" w:eastAsia="仿宋_GB2312" w:cs="仿宋_GB2312"/>
          <w:bCs/>
          <w:sz w:val="32"/>
          <w:szCs w:val="32"/>
          <w:highlight w:val="none"/>
        </w:rPr>
        <w:t>杭州市公共资源交易中心</w:t>
      </w:r>
      <w:r>
        <w:rPr>
          <w:rFonts w:hint="eastAsia" w:ascii="仿宋_GB2312" w:hAnsi="仿宋" w:eastAsia="仿宋_GB2312" w:cs="仿宋_GB2312"/>
          <w:bCs/>
          <w:sz w:val="32"/>
          <w:szCs w:val="32"/>
          <w:highlight w:val="none"/>
          <w:lang w:eastAsia="zh-CN"/>
        </w:rPr>
        <w:t>临安分中心</w:t>
      </w:r>
    </w:p>
    <w:p>
      <w:pPr>
        <w:adjustRightInd w:val="0"/>
        <w:snapToGrid w:val="0"/>
        <w:spacing w:line="360" w:lineRule="auto"/>
        <w:jc w:val="center"/>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二</w:t>
      </w:r>
      <w:r>
        <w:rPr>
          <w:rFonts w:hint="eastAsia" w:ascii="宋体" w:hAnsi="宋体" w:eastAsia="宋体" w:cs="宋体"/>
          <w:bCs/>
          <w:sz w:val="32"/>
          <w:szCs w:val="32"/>
          <w:highlight w:val="none"/>
        </w:rPr>
        <w:t>〇</w:t>
      </w:r>
      <w:r>
        <w:rPr>
          <w:rFonts w:hint="eastAsia" w:ascii="仿宋_GB2312" w:hAnsi="仿宋" w:eastAsia="仿宋_GB2312" w:cs="仿宋_GB2312"/>
          <w:bCs/>
          <w:sz w:val="32"/>
          <w:szCs w:val="32"/>
          <w:highlight w:val="none"/>
        </w:rPr>
        <w:t>二</w:t>
      </w:r>
      <w:r>
        <w:rPr>
          <w:rFonts w:hint="eastAsia" w:ascii="仿宋_GB2312" w:hAnsi="仿宋" w:eastAsia="仿宋_GB2312" w:cs="仿宋_GB2312"/>
          <w:bCs/>
          <w:sz w:val="32"/>
          <w:szCs w:val="32"/>
          <w:highlight w:val="none"/>
          <w:lang w:eastAsia="zh-CN"/>
        </w:rPr>
        <w:t>二</w:t>
      </w:r>
      <w:r>
        <w:rPr>
          <w:rFonts w:hint="eastAsia" w:ascii="仿宋_GB2312" w:hAnsi="仿宋" w:eastAsia="仿宋_GB2312" w:cs="仿宋_GB2312"/>
          <w:bCs/>
          <w:sz w:val="32"/>
          <w:szCs w:val="32"/>
          <w:highlight w:val="none"/>
        </w:rPr>
        <w:t>年</w:t>
      </w:r>
      <w:r>
        <w:rPr>
          <w:rFonts w:hint="eastAsia" w:ascii="仿宋_GB2312" w:hAnsi="仿宋" w:eastAsia="仿宋_GB2312" w:cs="仿宋_GB2312"/>
          <w:bCs/>
          <w:sz w:val="32"/>
          <w:szCs w:val="32"/>
          <w:highlight w:val="none"/>
          <w:lang w:eastAsia="zh-CN"/>
        </w:rPr>
        <w:t>四</w:t>
      </w:r>
      <w:r>
        <w:rPr>
          <w:rFonts w:hint="eastAsia" w:ascii="仿宋_GB2312" w:hAnsi="仿宋" w:eastAsia="仿宋_GB2312" w:cs="仿宋_GB2312"/>
          <w:bCs/>
          <w:sz w:val="32"/>
          <w:szCs w:val="32"/>
          <w:highlight w:val="none"/>
        </w:rPr>
        <w:t>月</w:t>
      </w:r>
      <w:r>
        <w:rPr>
          <w:rFonts w:hint="eastAsia" w:ascii="仿宋_GB2312" w:hAnsi="仿宋" w:eastAsia="仿宋_GB2312" w:cs="仿宋_GB2312"/>
          <w:bCs/>
          <w:sz w:val="32"/>
          <w:szCs w:val="32"/>
          <w:highlight w:val="none"/>
          <w:lang w:eastAsia="zh-CN"/>
        </w:rPr>
        <w:t>二十四</w:t>
      </w:r>
      <w:r>
        <w:rPr>
          <w:rFonts w:hint="eastAsia" w:ascii="仿宋_GB2312" w:hAnsi="仿宋" w:eastAsia="仿宋_GB2312" w:cs="仿宋_GB2312"/>
          <w:bCs/>
          <w:sz w:val="32"/>
          <w:szCs w:val="32"/>
          <w:highlight w:val="none"/>
        </w:rPr>
        <w:t>日</w:t>
      </w:r>
    </w:p>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 xml:space="preserve">第一部分      </w:t>
      </w:r>
      <w:r>
        <w:rPr>
          <w:rFonts w:hint="eastAsia" w:ascii="仿宋_GB2312" w:hAnsi="仿宋" w:eastAsia="仿宋_GB2312" w:cs="仿宋_GB2312"/>
          <w:sz w:val="32"/>
          <w:szCs w:val="32"/>
          <w:lang w:eastAsia="zh-CN"/>
        </w:rPr>
        <w:t>征集</w:t>
      </w:r>
      <w:r>
        <w:rPr>
          <w:rFonts w:hint="eastAsia" w:ascii="仿宋_GB2312" w:hAnsi="仿宋" w:eastAsia="仿宋_GB2312" w:cs="仿宋_GB2312"/>
          <w:sz w:val="32"/>
          <w:szCs w:val="32"/>
        </w:rPr>
        <w:t>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 xml:space="preserve">第二部分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eastAsia="zh-CN"/>
        </w:rPr>
        <w:t>供应商</w:t>
      </w:r>
      <w:r>
        <w:rPr>
          <w:rFonts w:hint="eastAsia" w:ascii="仿宋_GB2312" w:hAnsi="仿宋" w:eastAsia="仿宋_GB2312" w:cs="仿宋_GB2312"/>
          <w:sz w:val="32"/>
          <w:szCs w:val="32"/>
        </w:rPr>
        <w:t>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评标办法</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pStyle w:val="2"/>
        <w:numPr>
          <w:ilvl w:val="0"/>
          <w:numId w:val="0"/>
        </w:numPr>
        <w:ind w:leftChars="0"/>
      </w:pPr>
    </w:p>
    <w:p/>
    <w:p>
      <w:pPr>
        <w:pStyle w:val="2"/>
        <w:numPr>
          <w:ilvl w:val="0"/>
          <w:numId w:val="0"/>
        </w:numPr>
        <w:ind w:leftChars="0"/>
      </w:pPr>
    </w:p>
    <w:p/>
    <w:p>
      <w:pPr>
        <w:pStyle w:val="2"/>
        <w:numPr>
          <w:ilvl w:val="0"/>
          <w:numId w:val="0"/>
        </w:numPr>
        <w:ind w:leftChars="0"/>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 xml:space="preserve">第一部分 </w:t>
      </w:r>
      <w:r>
        <w:rPr>
          <w:rFonts w:hint="eastAsia" w:ascii="仿宋_GB2312" w:hAnsi="仿宋" w:eastAsia="仿宋_GB2312" w:cs="仿宋_GB2312"/>
          <w:b/>
          <w:sz w:val="36"/>
          <w:szCs w:val="20"/>
          <w:lang w:eastAsia="zh-CN"/>
        </w:rPr>
        <w:t>征集</w:t>
      </w:r>
      <w:r>
        <w:rPr>
          <w:rFonts w:hint="eastAsia" w:ascii="仿宋_GB2312" w:hAnsi="仿宋" w:eastAsia="仿宋_GB2312" w:cs="仿宋_GB2312"/>
          <w:b/>
          <w:sz w:val="36"/>
          <w:szCs w:val="20"/>
        </w:rPr>
        <w:t>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u w:val="single"/>
          <w:lang w:eastAsia="zh-CN"/>
        </w:rPr>
        <w:t>杭州市临安区审计局2022-2023年政府投资项目审计服务框架协议单位采购项目</w:t>
      </w:r>
      <w:r>
        <w:rPr>
          <w:rFonts w:hint="eastAsia" w:ascii="仿宋_GB2312" w:hAnsi="仿宋" w:eastAsia="仿宋_GB2312" w:cs="Times New Roman"/>
          <w:sz w:val="24"/>
          <w:szCs w:val="24"/>
          <w:lang w:eastAsia="zh-CN"/>
        </w:rPr>
        <w:t>征集</w:t>
      </w:r>
      <w:r>
        <w:rPr>
          <w:rFonts w:hint="eastAsia" w:ascii="仿宋_GB2312" w:hAnsi="仿宋" w:eastAsia="仿宋_GB2312" w:cs="Times New Roman"/>
          <w:sz w:val="24"/>
          <w:szCs w:val="24"/>
        </w:rPr>
        <w:t>项目的潜在投标</w:t>
      </w:r>
      <w:r>
        <w:rPr>
          <w:rFonts w:hint="eastAsia" w:ascii="仿宋_GB2312" w:hAnsi="仿宋" w:eastAsia="仿宋_GB2312" w:cs="Times New Roman"/>
          <w:sz w:val="24"/>
          <w:szCs w:val="24"/>
          <w:highlight w:val="none"/>
        </w:rPr>
        <w:t>人应在政采云平台（</w:t>
      </w:r>
      <w:r>
        <w:rPr>
          <w:highlight w:val="none"/>
          <w:u w:val="single"/>
        </w:rPr>
        <w:fldChar w:fldCharType="begin"/>
      </w:r>
      <w:r>
        <w:rPr>
          <w:highlight w:val="none"/>
          <w:u w:val="single"/>
        </w:rPr>
        <w:instrText xml:space="preserve"> HYPERLINK "https://www.zcygov.cn/）获取（下载）招标文件，并于2021年" </w:instrText>
      </w:r>
      <w:r>
        <w:rPr>
          <w:highlight w:val="none"/>
          <w:u w:val="single"/>
        </w:rPr>
        <w:fldChar w:fldCharType="separate"/>
      </w:r>
      <w:r>
        <w:rPr>
          <w:rFonts w:hint="eastAsia" w:ascii="仿宋_GB2312" w:hAnsi="仿宋" w:eastAsia="仿宋_GB2312" w:cs="Times New Roman"/>
          <w:sz w:val="24"/>
          <w:szCs w:val="24"/>
          <w:highlight w:val="none"/>
          <w:u w:val="none"/>
        </w:rPr>
        <w:t>https://www.zcygov.cn/）获取（下载）</w:t>
      </w:r>
      <w:r>
        <w:rPr>
          <w:rFonts w:hint="eastAsia" w:ascii="仿宋_GB2312" w:hAnsi="仿宋" w:eastAsia="仿宋_GB2312" w:cs="Times New Roman"/>
          <w:sz w:val="24"/>
          <w:szCs w:val="24"/>
          <w:highlight w:val="none"/>
          <w:u w:val="none"/>
          <w:lang w:eastAsia="zh-CN"/>
        </w:rPr>
        <w:t>征集</w:t>
      </w:r>
      <w:r>
        <w:rPr>
          <w:rFonts w:hint="eastAsia" w:ascii="仿宋_GB2312" w:hAnsi="仿宋" w:eastAsia="仿宋_GB2312" w:cs="Times New Roman"/>
          <w:sz w:val="24"/>
          <w:szCs w:val="24"/>
          <w:highlight w:val="none"/>
          <w:u w:val="none"/>
        </w:rPr>
        <w:t>文件，并于</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rPr>
        <w:fldChar w:fldCharType="end"/>
      </w:r>
      <w:r>
        <w:rPr>
          <w:rFonts w:hint="eastAsia" w:ascii="仿宋_GB2312" w:hAnsi="仿宋" w:eastAsia="仿宋_GB2312" w:cs="Times New Roman"/>
          <w:sz w:val="24"/>
          <w:szCs w:val="24"/>
          <w:highlight w:val="none"/>
          <w:u w:val="single"/>
          <w:lang w:val="en-US" w:eastAsia="zh-CN"/>
        </w:rPr>
        <w:t>5</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18</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9</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（北京时间）前递交（上传）</w:t>
      </w:r>
      <w:r>
        <w:rPr>
          <w:rFonts w:hint="eastAsia" w:ascii="仿宋_GB2312" w:hAnsi="仿宋" w:eastAsia="仿宋_GB2312" w:cs="Times New Roman"/>
          <w:sz w:val="24"/>
          <w:szCs w:val="24"/>
          <w:highlight w:val="none"/>
          <w:lang w:eastAsia="zh-CN"/>
        </w:rPr>
        <w:t>响应</w:t>
      </w:r>
      <w:r>
        <w:rPr>
          <w:rFonts w:hint="eastAsia" w:ascii="仿宋_GB2312" w:hAnsi="仿宋" w:eastAsia="仿宋_GB2312" w:cs="Times New Roman"/>
          <w:sz w:val="24"/>
          <w:szCs w:val="24"/>
          <w:highlight w:val="none"/>
        </w:rPr>
        <w:t xml:space="preserve">文件。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highlight w:val="none"/>
        </w:rPr>
        <w:t xml:space="preserve">一、项目基本情况       </w:t>
      </w:r>
      <w:r>
        <w:rPr>
          <w:rFonts w:hint="eastAsia" w:ascii="仿宋_GB2312" w:hAnsi="仿宋" w:eastAsia="仿宋_GB2312" w:cs="Times New Roman"/>
          <w:b/>
          <w:sz w:val="24"/>
          <w:szCs w:val="24"/>
        </w:rPr>
        <w:t xml:space="preserve">                                     </w:t>
      </w:r>
    </w:p>
    <w:p>
      <w:pPr>
        <w:adjustRightInd w:val="0"/>
        <w:spacing w:line="360" w:lineRule="auto"/>
        <w:rPr>
          <w:rFonts w:hint="default" w:ascii="仿宋_GB2312" w:hAnsi="仿宋" w:eastAsia="仿宋_GB2312" w:cs="Times New Roman"/>
          <w:sz w:val="24"/>
          <w:szCs w:val="24"/>
          <w:highlight w:val="none"/>
          <w:lang w:val="en-US" w:eastAsia="zh-CN"/>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项目编号：</w:t>
      </w:r>
      <w:r>
        <w:rPr>
          <w:rFonts w:hint="eastAsia" w:ascii="仿宋_GB2312" w:hAnsi="仿宋" w:eastAsia="仿宋_GB2312" w:cs="Times New Roman"/>
          <w:sz w:val="24"/>
          <w:szCs w:val="24"/>
          <w:highlight w:val="none"/>
          <w:lang w:val="en-US" w:eastAsia="zh-CN"/>
        </w:rPr>
        <w:t>LZC</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KJ-</w:t>
      </w:r>
      <w:r>
        <w:rPr>
          <w:rFonts w:hint="eastAsia" w:ascii="仿宋_GB2312" w:hAnsi="仿宋" w:eastAsia="仿宋_GB2312" w:cs="Times New Roman"/>
          <w:sz w:val="24"/>
          <w:szCs w:val="24"/>
          <w:highlight w:val="none"/>
        </w:rPr>
        <w:t>202</w:t>
      </w:r>
      <w:r>
        <w:rPr>
          <w:rFonts w:hint="eastAsia" w:ascii="仿宋_GB2312" w:hAnsi="仿宋" w:eastAsia="仿宋_GB2312" w:cs="Times New Roman"/>
          <w:sz w:val="24"/>
          <w:szCs w:val="24"/>
          <w:highlight w:val="none"/>
          <w:lang w:val="en-US" w:eastAsia="zh-CN"/>
        </w:rPr>
        <w:t>2</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04024</w:t>
      </w:r>
      <w:bookmarkStart w:id="368" w:name="_GoBack"/>
      <w:bookmarkEnd w:id="368"/>
    </w:p>
    <w:p>
      <w:pPr>
        <w:adjustRightInd w:val="0"/>
        <w:spacing w:line="360" w:lineRule="auto"/>
        <w:rPr>
          <w:rFonts w:ascii="仿宋_GB2312" w:hAnsi="仿宋" w:eastAsia="仿宋_GB2312" w:cs="Times New Roman"/>
          <w:b w:val="0"/>
          <w:bCs/>
          <w:sz w:val="24"/>
          <w:szCs w:val="24"/>
          <w:highlight w:val="none"/>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 xml:space="preserve"> 项目名称：</w:t>
      </w:r>
      <w:r>
        <w:rPr>
          <w:rFonts w:hint="eastAsia" w:ascii="仿宋_GB2312" w:hAnsi="仿宋" w:eastAsia="仿宋_GB2312" w:cs="Times New Roman"/>
          <w:b w:val="0"/>
          <w:bCs/>
          <w:sz w:val="24"/>
          <w:szCs w:val="24"/>
          <w:highlight w:val="none"/>
        </w:rPr>
        <w:t>杭州市临安区审计局2022-2023年政府投资项目审计服务框架协议单位采购项目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w:t>
      </w:r>
      <w:r>
        <w:rPr>
          <w:rFonts w:hint="eastAsia" w:ascii="仿宋_GB2312" w:hAnsi="仿宋" w:eastAsia="仿宋_GB2312" w:cs="仿宋_GB2312"/>
          <w:sz w:val="24"/>
          <w:szCs w:val="24"/>
          <w:lang w:val="en-US" w:eastAsia="zh-CN"/>
        </w:rPr>
        <w:t>500000</w:t>
      </w:r>
      <w:r>
        <w:rPr>
          <w:rFonts w:hint="eastAsia" w:ascii="仿宋_GB2312" w:hAnsi="仿宋" w:eastAsia="仿宋_GB2312" w:cs="仿宋_GB2312"/>
          <w:sz w:val="24"/>
          <w:szCs w:val="24"/>
        </w:rPr>
        <w:t xml:space="preserve"> </w:t>
      </w:r>
    </w:p>
    <w:p>
      <w:pPr>
        <w:adjustRightInd w:val="0"/>
        <w:spacing w:line="360" w:lineRule="auto"/>
        <w:ind w:firstLine="482" w:firstLineChars="200"/>
        <w:rPr>
          <w:rFonts w:hint="eastAsia" w:ascii="仿宋_GB2312" w:hAnsi="仿宋" w:eastAsia="仿宋_GB2312" w:cs="Times New Roman"/>
          <w:sz w:val="24"/>
          <w:szCs w:val="24"/>
        </w:rPr>
      </w:pPr>
      <w:r>
        <w:rPr>
          <w:rFonts w:hint="eastAsia" w:ascii="仿宋_GB2312" w:hAnsi="仿宋" w:eastAsia="仿宋_GB2312" w:cs="Times New Roman"/>
          <w:b/>
          <w:sz w:val="24"/>
          <w:szCs w:val="24"/>
        </w:rPr>
        <w:t>最高限价（元）：</w:t>
      </w:r>
      <w:r>
        <w:rPr>
          <w:rFonts w:hint="eastAsia" w:ascii="仿宋_GB2312" w:hAnsi="仿宋" w:eastAsia="仿宋_GB2312" w:cs="Times New Roman"/>
          <w:b/>
          <w:sz w:val="24"/>
          <w:szCs w:val="24"/>
          <w:lang w:val="en-US" w:eastAsia="zh-CN"/>
        </w:rPr>
        <w:t>500000</w:t>
      </w:r>
      <w:r>
        <w:rPr>
          <w:rFonts w:hint="eastAsia" w:ascii="仿宋_GB2312" w:hAnsi="仿宋" w:eastAsia="仿宋_GB2312" w:cs="Times New Roman"/>
          <w:sz w:val="24"/>
          <w:szCs w:val="24"/>
        </w:rPr>
        <w:t xml:space="preserve"> </w:t>
      </w:r>
    </w:p>
    <w:p>
      <w:pPr>
        <w:pStyle w:val="2"/>
        <w:numPr>
          <w:ilvl w:val="0"/>
          <w:numId w:val="0"/>
        </w:numPr>
        <w:ind w:leftChars="0" w:firstLine="482" w:firstLineChars="200"/>
      </w:pPr>
      <w:r>
        <w:rPr>
          <w:rFonts w:hint="eastAsia" w:ascii="仿宋_GB2312" w:hAnsi="仿宋" w:eastAsia="仿宋_GB2312" w:cs="Times New Roman"/>
          <w:b/>
          <w:bCs w:val="0"/>
          <w:kern w:val="2"/>
          <w:sz w:val="24"/>
          <w:szCs w:val="24"/>
          <w:highlight w:val="none"/>
          <w:lang w:val="en-US" w:eastAsia="zh-CN" w:bidi="ar-SA"/>
        </w:rPr>
        <w:t>最高限制单价</w:t>
      </w:r>
      <w:r>
        <w:rPr>
          <w:rFonts w:hint="eastAsia" w:cs="Times New Roman"/>
          <w:b/>
          <w:bCs w:val="0"/>
          <w:kern w:val="2"/>
          <w:sz w:val="24"/>
          <w:szCs w:val="24"/>
          <w:highlight w:val="none"/>
          <w:lang w:val="en-US" w:eastAsia="zh-CN" w:bidi="ar-SA"/>
        </w:rPr>
        <w:t>：</w:t>
      </w:r>
      <w:r>
        <w:rPr>
          <w:rFonts w:hint="eastAsia" w:ascii="仿宋_GB2312" w:hAnsi="仿宋" w:eastAsia="仿宋_GB2312" w:cs="Times New Roman"/>
          <w:b w:val="0"/>
          <w:bCs/>
          <w:kern w:val="2"/>
          <w:sz w:val="24"/>
          <w:szCs w:val="24"/>
          <w:highlight w:val="none"/>
          <w:lang w:val="en-US" w:eastAsia="zh-CN" w:bidi="ar-SA"/>
        </w:rPr>
        <w:t>外聘造价人员加入审计组协助开展业务，按照《浙江省审计厅关于印发聘请外部专业技术人员参与审计工作管理办法的通知》（浙审办〔2020〕33号）第二十七条</w:t>
      </w:r>
      <w:r>
        <w:rPr>
          <w:rFonts w:hint="eastAsia" w:cs="Times New Roman"/>
          <w:b w:val="0"/>
          <w:bCs/>
          <w:kern w:val="2"/>
          <w:sz w:val="24"/>
          <w:szCs w:val="24"/>
          <w:highlight w:val="none"/>
          <w:lang w:val="en-US" w:eastAsia="zh-CN" w:bidi="ar-SA"/>
        </w:rPr>
        <w:t>标准</w:t>
      </w:r>
      <w:r>
        <w:rPr>
          <w:rFonts w:hint="eastAsia" w:ascii="仿宋_GB2312" w:hAnsi="仿宋" w:eastAsia="仿宋_GB2312" w:cs="Times New Roman"/>
          <w:b w:val="0"/>
          <w:bCs/>
          <w:kern w:val="2"/>
          <w:sz w:val="24"/>
          <w:szCs w:val="24"/>
          <w:highlight w:val="none"/>
          <w:lang w:val="en-US" w:eastAsia="zh-CN" w:bidi="ar-SA"/>
        </w:rPr>
        <w:t>计费；以单位名义出具成果报告的，按照《浙江省物价局关于进一步完善工程造价咨询服务收费的通知》（浙价服〔2009〕84号）</w:t>
      </w:r>
      <w:r>
        <w:rPr>
          <w:rFonts w:hint="eastAsia" w:cs="Times New Roman"/>
          <w:b w:val="0"/>
          <w:bCs/>
          <w:kern w:val="2"/>
          <w:sz w:val="24"/>
          <w:szCs w:val="24"/>
          <w:highlight w:val="none"/>
          <w:lang w:val="en-US" w:eastAsia="zh-CN" w:bidi="ar-SA"/>
        </w:rPr>
        <w:t>标准的</w:t>
      </w:r>
      <w:r>
        <w:rPr>
          <w:rFonts w:hint="eastAsia" w:ascii="仿宋_GB2312" w:hAnsi="仿宋" w:eastAsia="仿宋_GB2312" w:cs="Times New Roman"/>
          <w:b w:val="0"/>
          <w:bCs/>
          <w:kern w:val="2"/>
          <w:sz w:val="24"/>
          <w:szCs w:val="24"/>
          <w:highlight w:val="none"/>
          <w:lang w:val="en-US" w:eastAsia="zh-CN" w:bidi="ar-SA"/>
        </w:rPr>
        <w:t>6</w:t>
      </w:r>
      <w:r>
        <w:rPr>
          <w:rFonts w:hint="eastAsia" w:cs="Times New Roman"/>
          <w:b w:val="0"/>
          <w:bCs/>
          <w:kern w:val="2"/>
          <w:sz w:val="24"/>
          <w:szCs w:val="24"/>
          <w:highlight w:val="none"/>
          <w:lang w:val="en-US" w:eastAsia="zh-CN" w:bidi="ar-SA"/>
        </w:rPr>
        <w:t>0%计费。</w:t>
      </w:r>
    </w:p>
    <w:p>
      <w:pPr>
        <w:spacing w:line="360" w:lineRule="auto"/>
        <w:ind w:firstLine="482" w:firstLineChars="200"/>
        <w:rPr>
          <w:rFonts w:ascii="仿宋_GB2312" w:hAnsi="仿宋" w:eastAsia="仿宋_GB2312" w:cs="仿宋_GB2312"/>
          <w:b/>
          <w:kern w:val="0"/>
          <w:sz w:val="24"/>
          <w:lang w:val="zh-CN"/>
        </w:rPr>
      </w:pPr>
      <w:r>
        <w:rPr>
          <w:rFonts w:hint="eastAsia" w:ascii="仿宋_GB2312" w:hAnsi="仿宋" w:eastAsia="仿宋_GB2312" w:cs="Times New Roman"/>
          <w:b/>
          <w:sz w:val="24"/>
          <w:szCs w:val="24"/>
        </w:rPr>
        <w:t>采购需求：</w:t>
      </w:r>
      <w:r>
        <w:rPr>
          <w:rFonts w:hint="eastAsia" w:ascii="仿宋_GB2312" w:hAnsi="仿宋" w:eastAsia="仿宋_GB2312" w:cs="Times New Roman"/>
          <w:b w:val="0"/>
          <w:bCs/>
          <w:sz w:val="24"/>
          <w:szCs w:val="24"/>
          <w:lang w:eastAsia="zh-CN"/>
        </w:rPr>
        <w:t>政府投资项目审计服务，</w:t>
      </w:r>
      <w:r>
        <w:rPr>
          <w:rFonts w:hint="eastAsia" w:ascii="仿宋_GB2312" w:hAnsi="仿宋" w:eastAsia="仿宋_GB2312" w:cs="Times New Roman"/>
          <w:b w:val="0"/>
          <w:bCs/>
          <w:sz w:val="24"/>
          <w:szCs w:val="24"/>
          <w:lang w:val="en-US" w:eastAsia="zh-CN"/>
        </w:rPr>
        <w:t>征集中介机构8家</w:t>
      </w:r>
      <w:r>
        <w:rPr>
          <w:rFonts w:hint="eastAsia" w:ascii="仿宋_GB2312" w:hAnsi="仿宋" w:eastAsia="仿宋_GB2312" w:cs="Times New Roman"/>
          <w:b w:val="0"/>
          <w:bCs/>
          <w:sz w:val="24"/>
          <w:szCs w:val="24"/>
          <w:lang w:eastAsia="zh-CN"/>
        </w:rPr>
        <w:t>，详见采购需求。</w:t>
      </w:r>
      <w:r>
        <w:rPr>
          <w:rFonts w:hint="eastAsia" w:ascii="仿宋_GB2312" w:hAnsi="Times New Roman" w:eastAsia="仿宋_GB2312" w:cs="Times New Roman"/>
          <w:b w:val="0"/>
          <w:bCs/>
          <w:sz w:val="24"/>
          <w:szCs w:val="24"/>
        </w:rPr>
        <w:t xml:space="preserve"> </w:t>
      </w:r>
    </w:p>
    <w:p>
      <w:pPr>
        <w:adjustRightInd w:val="0"/>
        <w:spacing w:line="360" w:lineRule="auto"/>
        <w:rPr>
          <w:rFonts w:ascii="仿宋_GB2312" w:hAnsi="Times New Roman" w:eastAsia="仿宋_GB2312" w:cs="Times New Roman"/>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合同履约期限：</w:t>
      </w:r>
      <w:r>
        <w:rPr>
          <w:rFonts w:hint="eastAsia" w:ascii="仿宋_GB2312" w:hAnsi="仿宋" w:eastAsia="仿宋_GB2312" w:cs="Times New Roman"/>
          <w:b/>
          <w:sz w:val="24"/>
          <w:szCs w:val="24"/>
          <w:lang w:val="en-US" w:eastAsia="zh-CN"/>
        </w:rPr>
        <w:t>2年。</w:t>
      </w:r>
      <w:r>
        <w:rPr>
          <w:rFonts w:hint="eastAsia" w:ascii="仿宋_GB2312" w:hAnsi="Times New Roman" w:eastAsia="仿宋_GB2312" w:cs="Times New Roman"/>
          <w:sz w:val="24"/>
          <w:szCs w:val="24"/>
        </w:rPr>
        <w:t xml:space="preserve"> </w:t>
      </w:r>
    </w:p>
    <w:p>
      <w:pPr>
        <w:pStyle w:val="5"/>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spacing w:line="360" w:lineRule="auto"/>
        <w:ind w:firstLine="48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三、获取</w:t>
      </w:r>
      <w:r>
        <w:rPr>
          <w:rFonts w:hint="eastAsia" w:ascii="仿宋_GB2312" w:hAnsi="仿宋" w:eastAsia="仿宋_GB2312" w:cs="Times New Roman"/>
          <w:b/>
          <w:sz w:val="24"/>
          <w:szCs w:val="24"/>
          <w:lang w:eastAsia="zh-CN"/>
        </w:rPr>
        <w:t>征集</w:t>
      </w:r>
      <w:r>
        <w:rPr>
          <w:rFonts w:hint="eastAsia" w:ascii="仿宋_GB2312" w:hAnsi="仿宋" w:eastAsia="仿宋_GB2312" w:cs="Times New Roman"/>
          <w:b/>
          <w:sz w:val="24"/>
          <w:szCs w:val="24"/>
        </w:rPr>
        <w:t xml:space="preserve">文件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highlight w:val="none"/>
        </w:rPr>
        <w:t>时间：</w:t>
      </w:r>
      <w:r>
        <w:rPr>
          <w:rFonts w:hint="eastAsia" w:ascii="仿宋_GB2312" w:hAnsi="仿宋" w:eastAsia="仿宋_GB2312" w:cs="Times New Roman"/>
          <w:sz w:val="24"/>
          <w:szCs w:val="24"/>
          <w:highlight w:val="none"/>
        </w:rPr>
        <w:t>/至</w:t>
      </w:r>
      <w:r>
        <w:rPr>
          <w:rFonts w:hint="eastAsia" w:ascii="仿宋_GB2312" w:hAnsi="仿宋" w:eastAsia="仿宋_GB2312" w:cs="Times New Roman"/>
          <w:sz w:val="24"/>
          <w:szCs w:val="24"/>
          <w:highlight w:val="none"/>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5</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18</w:t>
      </w:r>
      <w:r>
        <w:rPr>
          <w:rFonts w:hint="eastAsia" w:ascii="仿宋_GB2312" w:hAnsi="仿宋" w:eastAsia="仿宋_GB2312" w:cs="Times New Roman"/>
          <w:sz w:val="24"/>
          <w:szCs w:val="24"/>
          <w:highlight w:val="none"/>
          <w:u w:val="single"/>
        </w:rPr>
        <w:t xml:space="preserve">日 </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https://www.zcygov.cn/在线申请获取</w:t>
      </w:r>
      <w:r>
        <w:rPr>
          <w:rFonts w:hint="eastAsia" w:ascii="仿宋_GB2312" w:hAnsi="仿宋" w:eastAsia="仿宋_GB2312"/>
          <w:color w:val="000000" w:themeColor="text1"/>
          <w:sz w:val="24"/>
          <w:highlight w:val="none"/>
          <w:lang w:eastAsia="zh-CN"/>
          <w14:textFill>
            <w14:solidFill>
              <w14:schemeClr w14:val="tx1"/>
            </w14:solidFill>
          </w14:textFill>
        </w:rPr>
        <w:t>征集</w:t>
      </w:r>
      <w:r>
        <w:rPr>
          <w:rFonts w:ascii="仿宋_GB2312" w:hAnsi="仿宋" w:eastAsia="仿宋_GB2312"/>
          <w:color w:val="000000" w:themeColor="text1"/>
          <w:sz w:val="24"/>
          <w:highlight w:val="none"/>
          <w14:textFill>
            <w14:solidFill>
              <w14:schemeClr w14:val="tx1"/>
            </w14:solidFill>
          </w14:textFill>
        </w:rPr>
        <w:t>文件（进入“项目采购”应用，在获取</w:t>
      </w:r>
      <w:r>
        <w:rPr>
          <w:rFonts w:hint="eastAsia" w:ascii="仿宋_GB2312" w:hAnsi="仿宋" w:eastAsia="仿宋_GB2312"/>
          <w:color w:val="000000" w:themeColor="text1"/>
          <w:sz w:val="24"/>
          <w:highlight w:val="none"/>
          <w:lang w:eastAsia="zh-CN"/>
          <w14:textFill>
            <w14:solidFill>
              <w14:schemeClr w14:val="tx1"/>
            </w14:solidFill>
          </w14:textFill>
        </w:rPr>
        <w:t>征集</w:t>
      </w:r>
      <w:r>
        <w:rPr>
          <w:rFonts w:ascii="仿宋_GB2312" w:hAnsi="仿宋" w:eastAsia="仿宋_GB2312"/>
          <w:color w:val="000000" w:themeColor="text1"/>
          <w:sz w:val="24"/>
          <w:highlight w:val="none"/>
          <w14:textFill>
            <w14:solidFill>
              <w14:schemeClr w14:val="tx1"/>
            </w14:solidFill>
          </w14:textFill>
        </w:rPr>
        <w:t>文件菜单中选择项目，申请获取</w:t>
      </w:r>
      <w:r>
        <w:rPr>
          <w:rFonts w:hint="eastAsia" w:ascii="仿宋_GB2312" w:hAnsi="仿宋" w:eastAsia="仿宋_GB2312"/>
          <w:color w:val="000000" w:themeColor="text1"/>
          <w:sz w:val="24"/>
          <w:highlight w:val="none"/>
          <w:lang w:eastAsia="zh-CN"/>
          <w14:textFill>
            <w14:solidFill>
              <w14:schemeClr w14:val="tx1"/>
            </w14:solidFill>
          </w14:textFill>
        </w:rPr>
        <w:t>征集</w:t>
      </w:r>
      <w:r>
        <w:rPr>
          <w:rFonts w:ascii="仿宋_GB2312" w:hAnsi="仿宋" w:eastAsia="仿宋_GB2312"/>
          <w:color w:val="000000" w:themeColor="text1"/>
          <w:sz w:val="24"/>
          <w:highlight w:val="none"/>
          <w14:textFill>
            <w14:solidFill>
              <w14:schemeClr w14:val="tx1"/>
            </w14:solidFill>
          </w14:textFill>
        </w:rPr>
        <w:t xml:space="preserve">文件）。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售价（元）：</w:t>
      </w:r>
      <w:r>
        <w:rPr>
          <w:rFonts w:hint="eastAsia" w:ascii="仿宋_GB2312" w:hAnsi="仿宋" w:eastAsia="仿宋_GB2312" w:cs="Times New Roman"/>
          <w:sz w:val="24"/>
          <w:szCs w:val="24"/>
        </w:rPr>
        <w:t xml:space="preserve">0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四、提交</w:t>
      </w:r>
      <w:r>
        <w:rPr>
          <w:rFonts w:hint="eastAsia" w:ascii="仿宋_GB2312" w:hAnsi="仿宋" w:eastAsia="仿宋_GB2312" w:cs="Times New Roman"/>
          <w:b/>
          <w:sz w:val="24"/>
          <w:szCs w:val="24"/>
          <w:lang w:eastAsia="zh-CN"/>
        </w:rPr>
        <w:t>响应</w:t>
      </w:r>
      <w:r>
        <w:rPr>
          <w:rFonts w:hint="eastAsia" w:ascii="仿宋_GB2312" w:hAnsi="仿宋" w:eastAsia="仿宋_GB2312" w:cs="Times New Roman"/>
          <w:b/>
          <w:sz w:val="24"/>
          <w:szCs w:val="24"/>
        </w:rPr>
        <w:t>文件截止时间、开标时间和地点</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提交</w:t>
      </w:r>
      <w:r>
        <w:rPr>
          <w:rFonts w:hint="eastAsia" w:ascii="仿宋_GB2312" w:hAnsi="仿宋" w:eastAsia="仿宋_GB2312" w:cs="Times New Roman"/>
          <w:b/>
          <w:sz w:val="24"/>
          <w:szCs w:val="24"/>
          <w:lang w:eastAsia="zh-CN"/>
        </w:rPr>
        <w:t>响应</w:t>
      </w:r>
      <w:r>
        <w:rPr>
          <w:rFonts w:hint="eastAsia" w:ascii="仿宋_GB2312" w:hAnsi="仿宋" w:eastAsia="仿宋_GB2312" w:cs="Times New Roman"/>
          <w:b/>
          <w:sz w:val="24"/>
          <w:szCs w:val="24"/>
        </w:rPr>
        <w:t>文件截止时间：</w:t>
      </w:r>
      <w:r>
        <w:rPr>
          <w:rFonts w:hint="eastAsia" w:ascii="仿宋_GB2312" w:hAnsi="仿宋" w:eastAsia="仿宋_GB2312" w:cs="Times New Roman"/>
          <w:b w:val="0"/>
          <w:bCs/>
          <w:sz w:val="24"/>
          <w:szCs w:val="24"/>
          <w:u w:val="single"/>
          <w:lang w:val="en-US" w:eastAsia="zh-CN"/>
        </w:rPr>
        <w:t>2022年</w:t>
      </w:r>
      <w:r>
        <w:rPr>
          <w:rFonts w:hint="eastAsia" w:ascii="仿宋_GB2312" w:hAnsi="仿宋" w:eastAsia="仿宋_GB2312" w:cs="Times New Roman"/>
          <w:b w:val="0"/>
          <w:bCs/>
          <w:sz w:val="24"/>
          <w:szCs w:val="24"/>
          <w:highlight w:val="none"/>
          <w:u w:val="single"/>
          <w:lang w:val="en-US" w:eastAsia="zh-CN"/>
        </w:rPr>
        <w:t>5</w:t>
      </w:r>
      <w:r>
        <w:rPr>
          <w:rFonts w:hint="eastAsia" w:ascii="仿宋_GB2312" w:hAnsi="仿宋" w:eastAsia="仿宋_GB2312" w:cs="Times New Roman"/>
          <w:b w:val="0"/>
          <w:bCs/>
          <w:sz w:val="24"/>
          <w:szCs w:val="24"/>
          <w:highlight w:val="none"/>
          <w:u w:val="single"/>
        </w:rPr>
        <w:t>月</w:t>
      </w:r>
      <w:r>
        <w:rPr>
          <w:rFonts w:hint="eastAsia" w:ascii="仿宋_GB2312" w:hAnsi="仿宋" w:eastAsia="仿宋_GB2312" w:cs="Times New Roman"/>
          <w:sz w:val="24"/>
          <w:szCs w:val="24"/>
          <w:highlight w:val="none"/>
          <w:u w:val="single"/>
          <w:lang w:val="en-US" w:eastAsia="zh-CN"/>
        </w:rPr>
        <w:t>18</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9</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u w:val="single"/>
        </w:rPr>
        <w:t>分00秒</w:t>
      </w:r>
      <w:r>
        <w:rPr>
          <w:rFonts w:hint="eastAsia" w:ascii="仿宋_GB2312" w:hAnsi="仿宋" w:eastAsia="仿宋_GB2312" w:cs="Times New Roman"/>
          <w:sz w:val="24"/>
          <w:szCs w:val="24"/>
        </w:rPr>
        <w:t>（北京时间）</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投标地点（网址）：</w:t>
      </w:r>
      <w:r>
        <w:rPr>
          <w:rFonts w:hint="eastAsia" w:ascii="仿宋_GB2312" w:hAnsi="仿宋" w:eastAsia="仿宋_GB2312" w:cs="Times New Roman"/>
          <w:sz w:val="24"/>
          <w:szCs w:val="24"/>
        </w:rPr>
        <w:t xml:space="preserve">政采云平台（https://www.zcygov.cn/）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开标时间：</w:t>
      </w:r>
      <w:r>
        <w:rPr>
          <w:rFonts w:hint="eastAsia" w:ascii="仿宋_GB2312" w:hAnsi="仿宋" w:eastAsia="仿宋_GB2312" w:cs="Times New Roman"/>
          <w:sz w:val="24"/>
          <w:szCs w:val="24"/>
          <w:u w:val="single"/>
        </w:rPr>
        <w:t>202</w:t>
      </w:r>
      <w:r>
        <w:rPr>
          <w:rFonts w:hint="eastAsia" w:ascii="仿宋_GB2312" w:hAnsi="仿宋" w:eastAsia="仿宋_GB2312" w:cs="Times New Roman"/>
          <w:sz w:val="24"/>
          <w:szCs w:val="24"/>
          <w:u w:val="single"/>
          <w:lang w:val="en-US" w:eastAsia="zh-CN"/>
        </w:rPr>
        <w:t>2</w:t>
      </w:r>
      <w:r>
        <w:rPr>
          <w:rFonts w:hint="eastAsia" w:ascii="仿宋_GB2312" w:hAnsi="仿宋" w:eastAsia="仿宋_GB2312" w:cs="Times New Roman"/>
          <w:sz w:val="24"/>
          <w:szCs w:val="24"/>
          <w:u w:val="single"/>
        </w:rPr>
        <w:t>年</w:t>
      </w:r>
      <w:r>
        <w:rPr>
          <w:rFonts w:hint="eastAsia" w:ascii="仿宋_GB2312" w:hAnsi="仿宋" w:eastAsia="仿宋_GB2312" w:cs="Times New Roman"/>
          <w:sz w:val="24"/>
          <w:szCs w:val="24"/>
          <w:highlight w:val="none"/>
          <w:u w:val="single"/>
          <w:lang w:val="en-US" w:eastAsia="zh-CN"/>
        </w:rPr>
        <w:t>5</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18</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9</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u w:val="single"/>
        </w:rPr>
        <w:t>分00秒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开标地点（网址）：</w:t>
      </w:r>
      <w:r>
        <w:rPr>
          <w:rFonts w:hint="eastAsia" w:ascii="仿宋_GB2312" w:hAnsi="仿宋" w:eastAsia="仿宋_GB2312" w:cs="Times New Roman"/>
          <w:sz w:val="24"/>
          <w:szCs w:val="24"/>
        </w:rPr>
        <w:t>杭州市公共资源交易中心</w:t>
      </w:r>
      <w:r>
        <w:rPr>
          <w:rFonts w:hint="eastAsia" w:ascii="仿宋_GB2312" w:hAnsi="仿宋" w:eastAsia="仿宋_GB2312" w:cs="Times New Roman"/>
          <w:color w:val="auto"/>
          <w:sz w:val="24"/>
          <w:szCs w:val="24"/>
          <w:lang w:eastAsia="zh-CN"/>
        </w:rPr>
        <w:t>临安分中心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1.供应商认为</w:t>
      </w:r>
      <w:r>
        <w:rPr>
          <w:rFonts w:hint="eastAsia" w:ascii="仿宋_GB2312" w:hAnsi="仿宋" w:eastAsia="仿宋_GB2312"/>
          <w:color w:val="000000" w:themeColor="text1"/>
          <w:sz w:val="24"/>
          <w:highlight w:val="none"/>
          <w:lang w:eastAsia="zh-CN"/>
          <w14:textFill>
            <w14:solidFill>
              <w14:schemeClr w14:val="tx1"/>
            </w14:solidFill>
          </w14:textFill>
        </w:rPr>
        <w:t>征集</w:t>
      </w:r>
      <w:r>
        <w:rPr>
          <w:rFonts w:ascii="仿宋_GB2312" w:hAnsi="仿宋" w:eastAsia="仿宋_GB2312"/>
          <w:color w:val="000000" w:themeColor="text1"/>
          <w:sz w:val="24"/>
          <w:highlight w:val="none"/>
          <w14:textFill>
            <w14:solidFill>
              <w14:schemeClr w14:val="tx1"/>
            </w14:solidFill>
          </w14:textFill>
        </w:rPr>
        <w:t>文件使自己的权益受到损害的，可以自获取</w:t>
      </w:r>
      <w:r>
        <w:rPr>
          <w:rFonts w:hint="eastAsia" w:ascii="仿宋_GB2312" w:hAnsi="仿宋" w:eastAsia="仿宋_GB2312"/>
          <w:color w:val="000000" w:themeColor="text1"/>
          <w:sz w:val="24"/>
          <w:highlight w:val="none"/>
          <w:lang w:eastAsia="zh-CN"/>
          <w14:textFill>
            <w14:solidFill>
              <w14:schemeClr w14:val="tx1"/>
            </w14:solidFill>
          </w14:textFill>
        </w:rPr>
        <w:t>征集</w:t>
      </w:r>
      <w:r>
        <w:rPr>
          <w:rFonts w:ascii="仿宋_GB2312" w:hAnsi="仿宋" w:eastAsia="仿宋_GB2312"/>
          <w:color w:val="000000" w:themeColor="text1"/>
          <w:sz w:val="24"/>
          <w:highlight w:val="none"/>
          <w14:textFill>
            <w14:solidFill>
              <w14:schemeClr w14:val="tx1"/>
            </w14:solidFill>
          </w14:textFill>
        </w:rPr>
        <w:t>文件之日或者</w:t>
      </w:r>
      <w:r>
        <w:rPr>
          <w:rFonts w:hint="eastAsia" w:ascii="仿宋_GB2312" w:hAnsi="仿宋" w:eastAsia="仿宋_GB2312"/>
          <w:color w:val="000000" w:themeColor="text1"/>
          <w:sz w:val="24"/>
          <w:highlight w:val="none"/>
          <w:lang w:eastAsia="zh-CN"/>
          <w14:textFill>
            <w14:solidFill>
              <w14:schemeClr w14:val="tx1"/>
            </w14:solidFill>
          </w14:textFill>
        </w:rPr>
        <w:t>征集</w:t>
      </w:r>
      <w:r>
        <w:rPr>
          <w:rFonts w:ascii="仿宋_GB2312" w:hAnsi="仿宋" w:eastAsia="仿宋_GB2312"/>
          <w:color w:val="000000" w:themeColor="text1"/>
          <w:sz w:val="24"/>
          <w:highlight w:val="none"/>
          <w14:textFill>
            <w14:solidFill>
              <w14:schemeClr w14:val="tx1"/>
            </w14:solidFill>
          </w14:textFill>
        </w:rPr>
        <w:t>文件公告期限届满之日（公告期限届满后获取</w:t>
      </w:r>
      <w:r>
        <w:rPr>
          <w:rFonts w:hint="eastAsia" w:ascii="仿宋_GB2312" w:hAnsi="仿宋" w:eastAsia="仿宋_GB2312"/>
          <w:color w:val="000000" w:themeColor="text1"/>
          <w:sz w:val="24"/>
          <w:highlight w:val="none"/>
          <w:lang w:eastAsia="zh-CN"/>
          <w14:textFill>
            <w14:solidFill>
              <w14:schemeClr w14:val="tx1"/>
            </w14:solidFill>
          </w14:textFill>
        </w:rPr>
        <w:t>征集</w:t>
      </w:r>
      <w:r>
        <w:rPr>
          <w:rFonts w:ascii="仿宋_GB2312" w:hAnsi="仿宋" w:eastAsia="仿宋_GB2312"/>
          <w:color w:val="000000" w:themeColor="text1"/>
          <w:sz w:val="24"/>
          <w:highlight w:val="none"/>
          <w14:textFill>
            <w14:solidFill>
              <w14:schemeClr w14:val="tx1"/>
            </w14:solidFill>
          </w14:textFill>
        </w:rPr>
        <w:t>文件的，以公告期限届满之日为准）起7个工作日内，以书面形式向</w:t>
      </w:r>
      <w:r>
        <w:rPr>
          <w:rFonts w:hint="eastAsia" w:ascii="仿宋_GB2312" w:hAnsi="仿宋" w:eastAsia="仿宋_GB2312"/>
          <w:color w:val="000000" w:themeColor="text1"/>
          <w:sz w:val="24"/>
          <w:highlight w:val="none"/>
          <w:lang w:eastAsia="zh-CN"/>
          <w14:textFill>
            <w14:solidFill>
              <w14:schemeClr w14:val="tx1"/>
            </w14:solidFill>
          </w14:textFill>
        </w:rPr>
        <w:t>征集人</w:t>
      </w:r>
      <w:r>
        <w:rPr>
          <w:rFonts w:ascii="仿宋_GB2312" w:hAnsi="仿宋" w:eastAsia="仿宋_GB2312"/>
          <w:color w:val="000000" w:themeColor="text1"/>
          <w:sz w:val="24"/>
          <w:highlight w:val="none"/>
          <w14:textFill>
            <w14:solidFill>
              <w14:schemeClr w14:val="tx1"/>
            </w14:solidFill>
          </w14:textFill>
        </w:rPr>
        <w:t>和采购代理机构提出质疑。质疑供应商对</w:t>
      </w:r>
      <w:r>
        <w:rPr>
          <w:rFonts w:hint="eastAsia" w:ascii="仿宋_GB2312" w:hAnsi="仿宋" w:eastAsia="仿宋_GB2312"/>
          <w:color w:val="000000" w:themeColor="text1"/>
          <w:sz w:val="24"/>
          <w:highlight w:val="none"/>
          <w:lang w:eastAsia="zh-CN"/>
          <w14:textFill>
            <w14:solidFill>
              <w14:schemeClr w14:val="tx1"/>
            </w14:solidFill>
          </w14:textFill>
        </w:rPr>
        <w:t>征集</w:t>
      </w:r>
      <w:r>
        <w:rPr>
          <w:rFonts w:ascii="仿宋_GB2312" w:hAnsi="仿宋" w:eastAsia="仿宋_GB2312"/>
          <w:color w:val="000000" w:themeColor="text1"/>
          <w:sz w:val="24"/>
          <w:highlight w:val="none"/>
          <w14:textFill>
            <w14:solidFill>
              <w14:schemeClr w14:val="tx1"/>
            </w14:solidFill>
          </w14:textFill>
        </w:rPr>
        <w:t>人、采购代理机构的答复不满意或者</w:t>
      </w:r>
      <w:r>
        <w:rPr>
          <w:rFonts w:hint="eastAsia" w:ascii="仿宋_GB2312" w:hAnsi="仿宋" w:eastAsia="仿宋_GB2312"/>
          <w:color w:val="000000" w:themeColor="text1"/>
          <w:sz w:val="24"/>
          <w:highlight w:val="none"/>
          <w:lang w:eastAsia="zh-CN"/>
          <w14:textFill>
            <w14:solidFill>
              <w14:schemeClr w14:val="tx1"/>
            </w14:solidFill>
          </w14:textFill>
        </w:rPr>
        <w:t>征集</w:t>
      </w:r>
      <w:r>
        <w:rPr>
          <w:rFonts w:ascii="仿宋_GB2312" w:hAnsi="仿宋" w:eastAsia="仿宋_GB2312"/>
          <w:color w:val="000000" w:themeColor="text1"/>
          <w:sz w:val="24"/>
          <w:highlight w:val="none"/>
          <w14:textFill>
            <w14:solidFill>
              <w14:schemeClr w14:val="tx1"/>
            </w14:solidFill>
          </w14:textFill>
        </w:rPr>
        <w:t>人、采购代理机构未在规定的时间内</w:t>
      </w:r>
      <w:r>
        <w:rPr>
          <w:rFonts w:hint="eastAsia" w:ascii="仿宋_GB2312" w:hAnsi="仿宋" w:eastAsia="仿宋_GB2312"/>
          <w:color w:val="000000" w:themeColor="text1"/>
          <w:sz w:val="24"/>
          <w:highlight w:val="none"/>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2.其他事项：（1）需要落实的政府采购政策：包括节约资源、保护环境、支持创新、促进中小企业发展等。详见</w:t>
      </w:r>
      <w:r>
        <w:rPr>
          <w:rFonts w:hint="eastAsia" w:ascii="仿宋_GB2312" w:hAnsi="仿宋" w:eastAsia="仿宋_GB2312"/>
          <w:color w:val="000000" w:themeColor="text1"/>
          <w:sz w:val="24"/>
          <w:highlight w:val="none"/>
          <w:lang w:eastAsia="zh-CN"/>
          <w14:textFill>
            <w14:solidFill>
              <w14:schemeClr w14:val="tx1"/>
            </w14:solidFill>
          </w14:textFill>
        </w:rPr>
        <w:t>征集</w:t>
      </w:r>
      <w:r>
        <w:rPr>
          <w:rFonts w:hint="eastAsia" w:ascii="仿宋_GB2312" w:hAnsi="仿宋" w:eastAsia="仿宋_GB2312"/>
          <w:color w:val="000000" w:themeColor="text1"/>
          <w:sz w:val="24"/>
          <w:highlight w:val="none"/>
          <w14:textFill>
            <w14:solidFill>
              <w14:schemeClr w14:val="tx1"/>
            </w14:solidFill>
          </w14:textFill>
        </w:rPr>
        <w:t>文件的第二部分总则。（2）</w:t>
      </w:r>
      <w:r>
        <w:rPr>
          <w:rFonts w:ascii="仿宋_GB2312" w:hAnsi="仿宋" w:eastAsia="仿宋_GB2312"/>
          <w:color w:val="000000" w:themeColor="text1"/>
          <w:sz w:val="24"/>
          <w:highlight w:val="none"/>
          <w14:textFill>
            <w14:solidFill>
              <w14:schemeClr w14:val="tx1"/>
            </w14:solidFill>
          </w14:textFill>
        </w:rPr>
        <w:t>电子招投标的说明：</w:t>
      </w:r>
      <w:r>
        <w:rPr>
          <w:rFonts w:ascii="仿宋_GB2312" w:hAnsi="仿宋" w:eastAsia="仿宋_GB2312" w:cs="仿宋_GB2312"/>
          <w:color w:val="000000" w:themeColor="text1"/>
          <w:sz w:val="24"/>
          <w:highlight w:val="none"/>
          <w14:textFill>
            <w14:solidFill>
              <w14:schemeClr w14:val="tx1"/>
            </w14:solidFill>
          </w14:textFill>
        </w:rPr>
        <w:t xml:space="preserve"> 1）电子招投标：本项目以数据电文形式，依托“政府采购云平台（www.zcygov.cn）”进行招投标活动，不接受纸质</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highlight w:val="none"/>
          <w14:textFill>
            <w14:solidFill>
              <w14:schemeClr w14:val="tx1"/>
            </w14:solidFill>
          </w14:textFill>
        </w:rPr>
        <w:t>。2）投标准备：注册账号--点击“商家入驻”，进行政府采购供应商资料填写；申领CA数字证书---申领流程详见“浙江政府采购网-下载专区-电子交易客户端-CA驱动和申领流程”；安装“政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w:t>
      </w:r>
      <w:r>
        <w:rPr>
          <w:rFonts w:ascii="仿宋_GB2312" w:hAnsi="仿宋" w:eastAsia="仿宋_GB2312" w:cs="仿宋_GB2312"/>
          <w:color w:val="000000" w:themeColor="text1"/>
          <w:sz w:val="24"/>
          <w:highlight w:val="none"/>
          <w14:textFill>
            <w14:solidFill>
              <w14:schemeClr w14:val="tx1"/>
            </w14:solidFill>
          </w14:textFill>
        </w:rPr>
        <w:t>----前往“浙江政府采购网-下载专区-电子交易客户端”进行下载并安装。3）</w:t>
      </w:r>
      <w:r>
        <w:rPr>
          <w:rFonts w:hint="eastAsia" w:ascii="仿宋_GB2312" w:hAnsi="仿宋" w:eastAsia="仿宋_GB2312" w:cs="仿宋_GB2312"/>
          <w:color w:val="000000" w:themeColor="text1"/>
          <w:sz w:val="24"/>
          <w:highlight w:val="none"/>
          <w:lang w:eastAsia="zh-CN"/>
          <w14:textFill>
            <w14:solidFill>
              <w14:schemeClr w14:val="tx1"/>
            </w14:solidFill>
          </w14:textFill>
        </w:rPr>
        <w:t>征集文件</w:t>
      </w:r>
      <w:r>
        <w:rPr>
          <w:rFonts w:ascii="仿宋_GB2312" w:hAnsi="仿宋" w:eastAsia="仿宋_GB2312" w:cs="仿宋_GB2312"/>
          <w:color w:val="000000" w:themeColor="text1"/>
          <w:sz w:val="24"/>
          <w:highlight w:val="none"/>
          <w14:textFill>
            <w14:solidFill>
              <w14:schemeClr w14:val="tx1"/>
            </w14:solidFill>
          </w14:textFill>
        </w:rPr>
        <w:t>的获取：使用账号登录或者使用CA登录政</w:t>
      </w:r>
      <w:r>
        <w:rPr>
          <w:rFonts w:hint="eastAsia" w:ascii="仿宋_GB2312" w:hAnsi="仿宋" w:eastAsia="仿宋_GB2312" w:cs="仿宋_GB2312"/>
          <w:color w:val="000000" w:themeColor="text1"/>
          <w:sz w:val="24"/>
          <w:highlight w:val="none"/>
          <w14:textFill>
            <w14:solidFill>
              <w14:schemeClr w14:val="tx1"/>
            </w14:solidFill>
          </w14:textFill>
        </w:rPr>
        <w:t>采云平台；进入“项目采购”应用，在获取采购文件菜单中选择项目，获取</w:t>
      </w:r>
      <w:r>
        <w:rPr>
          <w:rFonts w:hint="eastAsia" w:ascii="仿宋_GB2312" w:hAnsi="仿宋" w:eastAsia="仿宋_GB2312" w:cs="仿宋_GB2312"/>
          <w:color w:val="000000" w:themeColor="text1"/>
          <w:sz w:val="24"/>
          <w:highlight w:val="none"/>
          <w:lang w:eastAsia="zh-CN"/>
          <w14:textFill>
            <w14:solidFill>
              <w14:schemeClr w14:val="tx1"/>
            </w14:solidFill>
          </w14:textFill>
        </w:rPr>
        <w:t>征集文件</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highlight w:val="none"/>
          <w14:textFill>
            <w14:solidFill>
              <w14:schemeClr w14:val="tx1"/>
            </w14:solidFill>
          </w14:textFill>
        </w:rPr>
        <w:t>的制作：在“政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采云电子交易客户端”中完成“填写基本信息”、“导入</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highlight w:val="none"/>
          <w14:textFill>
            <w14:solidFill>
              <w14:schemeClr w14:val="tx1"/>
            </w14:solidFill>
          </w14:textFill>
        </w:rPr>
        <w:t>”、“标书关联”、“标书检查”、“电子签名”、“生成电子标书”等操作。</w:t>
      </w:r>
      <w:r>
        <w:rPr>
          <w:rFonts w:ascii="仿宋_GB2312" w:hAnsi="仿宋" w:eastAsia="仿宋_GB2312"/>
          <w:color w:val="000000" w:themeColor="text1"/>
          <w:sz w:val="24"/>
          <w:highlight w:val="none"/>
          <w14:textFill>
            <w14:solidFill>
              <w14:schemeClr w14:val="tx1"/>
            </w14:solidFill>
          </w14:textFill>
        </w:rPr>
        <w:t>5）采购人、采购机构将依托政</w:t>
      </w:r>
      <w:r>
        <w:rPr>
          <w:rFonts w:hint="eastAsia" w:ascii="仿宋_GB2312" w:hAnsi="仿宋" w:eastAsia="仿宋_GB2312"/>
          <w:color w:val="000000" w:themeColor="text1"/>
          <w:sz w:val="24"/>
          <w:highlight w:val="none"/>
          <w14:textFill>
            <w14:solidFill>
              <w14:schemeClr w14:val="tx1"/>
            </w14:solidFill>
          </w14:textFill>
        </w:rPr>
        <w:t>采云平台完成本项目的电子交易活动，平台不接受未按上述方式获取</w:t>
      </w:r>
      <w:r>
        <w:rPr>
          <w:rFonts w:hint="eastAsia" w:ascii="仿宋_GB2312" w:hAnsi="仿宋" w:eastAsia="仿宋_GB2312"/>
          <w:color w:val="000000" w:themeColor="text1"/>
          <w:sz w:val="24"/>
          <w:highlight w:val="none"/>
          <w:lang w:eastAsia="zh-CN"/>
          <w14:textFill>
            <w14:solidFill>
              <w14:schemeClr w14:val="tx1"/>
            </w14:solidFill>
          </w14:textFill>
        </w:rPr>
        <w:t>征集文件</w:t>
      </w:r>
      <w:r>
        <w:rPr>
          <w:rFonts w:hint="eastAsia" w:ascii="仿宋_GB2312" w:hAnsi="仿宋" w:eastAsia="仿宋_GB2312"/>
          <w:color w:val="000000" w:themeColor="text1"/>
          <w:sz w:val="24"/>
          <w:highlight w:val="none"/>
          <w14:textFill>
            <w14:solidFill>
              <w14:schemeClr w14:val="tx1"/>
            </w14:solidFill>
          </w14:textFill>
        </w:rPr>
        <w:t>的供应商进行投标活动；</w:t>
      </w:r>
      <w:r>
        <w:rPr>
          <w:rFonts w:ascii="仿宋_GB2312" w:hAnsi="仿宋" w:eastAsia="仿宋_GB2312"/>
          <w:color w:val="000000" w:themeColor="text1"/>
          <w:sz w:val="24"/>
          <w:highlight w:val="none"/>
          <w14:textFill>
            <w14:solidFill>
              <w14:schemeClr w14:val="tx1"/>
            </w14:solidFill>
          </w14:textFill>
        </w:rPr>
        <w:t xml:space="preserve"> 6）对未按上述方式获取</w:t>
      </w:r>
      <w:r>
        <w:rPr>
          <w:rFonts w:hint="eastAsia" w:ascii="仿宋_GB2312" w:hAnsi="仿宋" w:eastAsia="仿宋_GB2312"/>
          <w:color w:val="000000" w:themeColor="text1"/>
          <w:sz w:val="24"/>
          <w:highlight w:val="none"/>
          <w:lang w:eastAsia="zh-CN"/>
          <w14:textFill>
            <w14:solidFill>
              <w14:schemeClr w14:val="tx1"/>
            </w14:solidFill>
          </w14:textFill>
        </w:rPr>
        <w:t>征集文件</w:t>
      </w:r>
      <w:r>
        <w:rPr>
          <w:rFonts w:ascii="仿宋_GB2312" w:hAnsi="仿宋" w:eastAsia="仿宋_GB2312"/>
          <w:color w:val="000000" w:themeColor="text1"/>
          <w:sz w:val="24"/>
          <w:highlight w:val="none"/>
          <w14:textFill>
            <w14:solidFill>
              <w14:schemeClr w14:val="tx1"/>
            </w14:solidFill>
          </w14:textFill>
        </w:rPr>
        <w:t>的供应商对该文件提出的质疑，采购人或采购代理机构将</w:t>
      </w:r>
      <w:r>
        <w:rPr>
          <w:rFonts w:hint="eastAsia" w:ascii="仿宋_GB2312" w:hAnsi="仿宋" w:eastAsia="仿宋_GB2312"/>
          <w:color w:val="000000" w:themeColor="text1"/>
          <w:sz w:val="24"/>
          <w:highlight w:val="none"/>
          <w14:textFill>
            <w14:solidFill>
              <w14:schemeClr w14:val="tx1"/>
            </w14:solidFill>
          </w14:textFill>
        </w:rPr>
        <w:t>不予处理；</w:t>
      </w:r>
      <w:r>
        <w:rPr>
          <w:rFonts w:ascii="仿宋_GB2312" w:hAnsi="仿宋" w:eastAsia="仿宋_GB2312"/>
          <w:color w:val="000000" w:themeColor="text1"/>
          <w:sz w:val="24"/>
          <w:highlight w:val="none"/>
          <w14:textFill>
            <w14:solidFill>
              <w14:schemeClr w14:val="tx1"/>
            </w14:solidFill>
          </w14:textFill>
        </w:rPr>
        <w:t>7）不提供</w:t>
      </w:r>
      <w:r>
        <w:rPr>
          <w:rFonts w:hint="eastAsia" w:ascii="仿宋_GB2312" w:hAnsi="仿宋" w:eastAsia="仿宋_GB2312"/>
          <w:color w:val="000000" w:themeColor="text1"/>
          <w:sz w:val="24"/>
          <w:highlight w:val="none"/>
          <w:lang w:eastAsia="zh-CN"/>
          <w14:textFill>
            <w14:solidFill>
              <w14:schemeClr w14:val="tx1"/>
            </w14:solidFill>
          </w14:textFill>
        </w:rPr>
        <w:t>征集文件</w:t>
      </w:r>
      <w:r>
        <w:rPr>
          <w:rFonts w:ascii="仿宋_GB2312" w:hAnsi="仿宋" w:eastAsia="仿宋_GB2312"/>
          <w:color w:val="000000" w:themeColor="text1"/>
          <w:sz w:val="24"/>
          <w:highlight w:val="none"/>
          <w14:textFill>
            <w14:solidFill>
              <w14:schemeClr w14:val="tx1"/>
            </w14:solidFill>
          </w14:textFill>
        </w:rPr>
        <w:t>纸质版。</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highlight w:val="none"/>
          <w14:textFill>
            <w14:solidFill>
              <w14:schemeClr w14:val="tx1"/>
            </w14:solidFill>
          </w14:textFill>
        </w:rPr>
        <w:t>的传输递交：投标人在</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响应截止</w:t>
      </w:r>
      <w:r>
        <w:rPr>
          <w:rFonts w:ascii="仿宋_GB2312" w:hAnsi="仿宋" w:eastAsia="仿宋_GB2312" w:cs="仿宋_GB2312"/>
          <w:color w:val="000000" w:themeColor="text1"/>
          <w:sz w:val="24"/>
          <w:highlight w:val="none"/>
          <w14:textFill>
            <w14:solidFill>
              <w14:schemeClr w14:val="tx1"/>
            </w14:solidFill>
          </w14:textFill>
        </w:rPr>
        <w:t>时间前将加密的</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highlight w:val="none"/>
          <w14:textFill>
            <w14:solidFill>
              <w14:schemeClr w14:val="tx1"/>
            </w14:solidFill>
          </w14:textFill>
        </w:rPr>
        <w:t>上传至政府采购云平台，还可以在</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响应截止</w:t>
      </w:r>
      <w:r>
        <w:rPr>
          <w:rFonts w:ascii="仿宋_GB2312" w:hAnsi="仿宋" w:eastAsia="仿宋_GB2312" w:cs="仿宋_GB2312"/>
          <w:color w:val="000000" w:themeColor="text1"/>
          <w:sz w:val="24"/>
          <w:highlight w:val="none"/>
          <w14:textFill>
            <w14:solidFill>
              <w14:schemeClr w14:val="tx1"/>
            </w14:solidFill>
          </w14:textFill>
        </w:rPr>
        <w:t>时间前直接提交或者以邮政快递方式递交备份</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highlight w:val="none"/>
          <w14:textFill>
            <w14:solidFill>
              <w14:schemeClr w14:val="tx1"/>
            </w14:solidFill>
          </w14:textFill>
        </w:rPr>
        <w:t>1份。备份</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highlight w:val="none"/>
          <w14:textFill>
            <w14:solidFill>
              <w14:schemeClr w14:val="tx1"/>
            </w14:solidFill>
          </w14:textFill>
        </w:rPr>
        <w:t>的制作、存储、密封详见</w:t>
      </w:r>
      <w:r>
        <w:rPr>
          <w:rFonts w:hint="eastAsia" w:ascii="仿宋_GB2312" w:hAnsi="仿宋" w:eastAsia="仿宋_GB2312" w:cs="仿宋_GB2312"/>
          <w:color w:val="000000" w:themeColor="text1"/>
          <w:sz w:val="24"/>
          <w:highlight w:val="none"/>
          <w:lang w:eastAsia="zh-CN"/>
          <w14:textFill>
            <w14:solidFill>
              <w14:schemeClr w14:val="tx1"/>
            </w14:solidFill>
          </w14:textFill>
        </w:rPr>
        <w:t>征集文件</w:t>
      </w:r>
      <w:r>
        <w:rPr>
          <w:rFonts w:ascii="仿宋_GB2312" w:hAnsi="仿宋" w:eastAsia="仿宋_GB2312" w:cs="仿宋_GB2312"/>
          <w:color w:val="000000" w:themeColor="text1"/>
          <w:sz w:val="24"/>
          <w:highlight w:val="none"/>
          <w14:textFill>
            <w14:solidFill>
              <w14:schemeClr w14:val="tx1"/>
            </w14:solidFill>
          </w14:textFill>
        </w:rPr>
        <w:t>第二部分第15点—“备份</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9）</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highlight w:val="none"/>
          <w14:textFill>
            <w14:solidFill>
              <w14:schemeClr w14:val="tx1"/>
            </w14:solidFill>
          </w14:textFill>
        </w:rPr>
        <w:t>的解密：投标人按照平台提示和</w:t>
      </w:r>
      <w:r>
        <w:rPr>
          <w:rFonts w:hint="eastAsia" w:ascii="仿宋_GB2312" w:hAnsi="仿宋" w:eastAsia="仿宋_GB2312" w:cs="仿宋_GB2312"/>
          <w:color w:val="000000" w:themeColor="text1"/>
          <w:sz w:val="24"/>
          <w:highlight w:val="none"/>
          <w:lang w:eastAsia="zh-CN"/>
          <w14:textFill>
            <w14:solidFill>
              <w14:schemeClr w14:val="tx1"/>
            </w14:solidFill>
          </w14:textFill>
        </w:rPr>
        <w:t>征集文件</w:t>
      </w:r>
      <w:r>
        <w:rPr>
          <w:rFonts w:hint="eastAsia" w:ascii="仿宋_GB2312" w:hAnsi="仿宋" w:eastAsia="仿宋_GB2312" w:cs="仿宋_GB2312"/>
          <w:color w:val="000000" w:themeColor="text1"/>
          <w:sz w:val="24"/>
          <w:highlight w:val="none"/>
          <w14:textFill>
            <w14:solidFill>
              <w14:schemeClr w14:val="tx1"/>
            </w14:solidFill>
          </w14:textFill>
        </w:rPr>
        <w:t>的规定在半小时内完成在线解密。通过“政府采购云平台”上传递交的</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highlight w:val="none"/>
          <w14:textFill>
            <w14:solidFill>
              <w14:schemeClr w14:val="tx1"/>
            </w14:solidFill>
          </w14:textFill>
        </w:rPr>
        <w:t>无法按时解密，投标供应商递交了备份</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highlight w:val="none"/>
          <w14:textFill>
            <w14:solidFill>
              <w14:schemeClr w14:val="tx1"/>
            </w14:solidFill>
          </w14:textFill>
        </w:rPr>
        <w:t>的，以备份</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highlight w:val="none"/>
          <w14:textFill>
            <w14:solidFill>
              <w14:schemeClr w14:val="tx1"/>
            </w14:solidFill>
          </w14:textFill>
        </w:rPr>
        <w:t>为依据，否则视为</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highlight w:val="none"/>
          <w14:textFill>
            <w14:solidFill>
              <w14:schemeClr w14:val="tx1"/>
            </w14:solidFill>
          </w14:textFill>
        </w:rPr>
        <w:t>撤回。通过“政府采购云平台”上传递交的</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highlight w:val="none"/>
          <w14:textFill>
            <w14:solidFill>
              <w14:schemeClr w14:val="tx1"/>
            </w14:solidFill>
          </w14:textFill>
        </w:rPr>
        <w:t>已按时解密的，备份</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highlight w:val="none"/>
          <w14:textFill>
            <w14:solidFill>
              <w14:schemeClr w14:val="tx1"/>
            </w14:solidFill>
          </w14:textFill>
        </w:rPr>
        <w:t>自动失效。投标人仅提交备份</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highlight w:val="none"/>
          <w14:textFill>
            <w14:solidFill>
              <w14:schemeClr w14:val="tx1"/>
            </w14:solidFill>
          </w14:textFill>
        </w:rPr>
        <w:t>，没有在电子交易平台传输递交</w:t>
      </w:r>
      <w:r>
        <w:rPr>
          <w:rFonts w:hint="eastAsia" w:ascii="仿宋_GB2312" w:hAnsi="仿宋" w:eastAsia="仿宋_GB2312" w:cs="仿宋_GB2312"/>
          <w:color w:val="000000" w:themeColor="text1"/>
          <w:sz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highlight w:val="none"/>
          <w14:textFill>
            <w14:solidFill>
              <w14:schemeClr w14:val="tx1"/>
            </w14:solidFill>
          </w14:textFill>
        </w:rPr>
        <w:t>的，投标无效。</w:t>
      </w:r>
      <w:r>
        <w:rPr>
          <w:rFonts w:ascii="仿宋_GB2312" w:hAnsi="仿宋" w:eastAsia="仿宋_GB2312" w:cs="仿宋_GB2312"/>
          <w:color w:val="000000" w:themeColor="text1"/>
          <w:sz w:val="24"/>
          <w:highlight w:val="none"/>
          <w14:textFill>
            <w14:solidFill>
              <w14:schemeClr w14:val="tx1"/>
            </w14:solidFill>
          </w14:textFill>
        </w:rPr>
        <w:t>10）具体操作指南：详见政</w:t>
      </w:r>
      <w:r>
        <w:rPr>
          <w:rFonts w:hint="eastAsia" w:ascii="仿宋_GB2312" w:hAnsi="仿宋" w:eastAsia="仿宋_GB2312" w:cs="仿宋_GB2312"/>
          <w:color w:val="000000" w:themeColor="text1"/>
          <w:sz w:val="24"/>
          <w:highlight w:val="none"/>
          <w14:textFill>
            <w14:solidFill>
              <w14:schemeClr w14:val="tx1"/>
            </w14:solidFill>
          </w14:textFill>
        </w:rPr>
        <w:t>采云平台“服务中心</w:t>
      </w:r>
      <w:r>
        <w:rPr>
          <w:rFonts w:ascii="仿宋_GB2312" w:hAnsi="仿宋" w:eastAsia="仿宋_GB2312" w:cs="仿宋_GB2312"/>
          <w:color w:val="000000" w:themeColor="text1"/>
          <w:sz w:val="24"/>
          <w:highlight w:val="none"/>
          <w14:textFill>
            <w14:solidFill>
              <w14:schemeClr w14:val="tx1"/>
            </w14:solidFill>
          </w14:textFill>
        </w:rPr>
        <w:t>-帮助文档-项目采购-操作流程-电子招投标-政府采购项目电子交易管理操作指南-供应商”。</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w:t>
      </w:r>
      <w:r>
        <w:rPr>
          <w:rFonts w:hint="eastAsia" w:ascii="仿宋_GB2312" w:hAnsi="仿宋" w:eastAsia="仿宋_GB2312" w:cs="Times New Roman"/>
          <w:b/>
          <w:sz w:val="24"/>
          <w:szCs w:val="24"/>
          <w:lang w:eastAsia="zh-CN"/>
        </w:rPr>
        <w:t>征集</w:t>
      </w:r>
      <w:r>
        <w:rPr>
          <w:rFonts w:hint="eastAsia" w:ascii="仿宋_GB2312" w:hAnsi="仿宋" w:eastAsia="仿宋_GB2312" w:cs="Times New Roman"/>
          <w:b/>
          <w:sz w:val="24"/>
          <w:szCs w:val="24"/>
        </w:rPr>
        <w:t>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w:t>
      </w:r>
      <w:r>
        <w:rPr>
          <w:rFonts w:hint="eastAsia" w:ascii="仿宋_GB2312" w:hAnsi="仿宋" w:eastAsia="仿宋_GB2312" w:cs="Times New Roman"/>
          <w:sz w:val="24"/>
          <w:szCs w:val="24"/>
          <w:lang w:eastAsia="zh-CN"/>
        </w:rPr>
        <w:t>征集</w:t>
      </w:r>
      <w:r>
        <w:rPr>
          <w:rFonts w:hint="eastAsia" w:ascii="仿宋_GB2312" w:hAnsi="仿宋" w:eastAsia="仿宋_GB2312" w:cs="Times New Roman"/>
          <w:sz w:val="24"/>
          <w:szCs w:val="24"/>
        </w:rPr>
        <w:t>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w:t>
      </w:r>
      <w:r>
        <w:rPr>
          <w:rFonts w:hint="eastAsia" w:ascii="仿宋_GB2312" w:hAnsi="仿宋" w:eastAsia="仿宋_GB2312" w:cs="Times New Roman"/>
          <w:sz w:val="24"/>
          <w:szCs w:val="24"/>
          <w:lang w:eastAsia="zh-CN"/>
        </w:rPr>
        <w:t>杭州市</w:t>
      </w:r>
      <w:r>
        <w:rPr>
          <w:rFonts w:hint="eastAsia" w:ascii="仿宋_GB2312" w:hAnsi="仿宋" w:eastAsia="仿宋_GB2312" w:cs="Times New Roman"/>
          <w:sz w:val="24"/>
          <w:szCs w:val="24"/>
        </w:rPr>
        <w:t>临安区审计局</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址：杭州市临安区市民中心4号楼B座16楼</w:t>
      </w:r>
      <w:r>
        <w:rPr>
          <w:rFonts w:hint="eastAsia" w:ascii="仿宋" w:hAnsi="仿宋" w:eastAsia="仿宋" w:cs="仿宋"/>
          <w:sz w:val="24"/>
        </w:rPr>
        <w:t xml:space="preserve"> </w:t>
      </w:r>
    </w:p>
    <w:p>
      <w:pPr>
        <w:adjustRightInd w:val="0"/>
        <w:spacing w:line="360" w:lineRule="auto"/>
        <w:ind w:firstLine="480"/>
        <w:rPr>
          <w:rFonts w:ascii="仿宋" w:hAnsi="仿宋" w:eastAsia="仿宋" w:cs="仿宋"/>
          <w:sz w:val="24"/>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项目联系人（询问）：陈奇</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项目联系方式（询问）：0571-63805530</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质疑联系人：楼蓉</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质疑联系方式：0571-63756799</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pStyle w:val="2"/>
        <w:numPr>
          <w:ilvl w:val="0"/>
          <w:numId w:val="0"/>
        </w:numPr>
        <w:ind w:leftChars="0"/>
        <w:rPr>
          <w:rFonts w:hint="eastAsia"/>
          <w:lang w:val="en-US" w:eastAsia="zh-CN"/>
        </w:rPr>
        <w:sectPr>
          <w:pgSz w:w="11906" w:h="16838"/>
          <w:pgMar w:top="680" w:right="1417" w:bottom="680" w:left="1417" w:header="851" w:footer="992" w:gutter="0"/>
          <w:pgNumType w:fmt="decimal"/>
          <w:cols w:space="425" w:num="1"/>
          <w:docGrid w:type="lines" w:linePitch="312" w:charSpace="0"/>
        </w:sect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第二部分 投标人须知</w:t>
      </w:r>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14"/>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0"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。征集文件未列明，而供应商认为必需的费用也需列入报价。</w:t>
            </w:r>
            <w:r>
              <w:rPr>
                <w:rFonts w:hint="eastAsia" w:ascii="仿宋_GB2312" w:hAnsi="仿宋" w:eastAsia="仿宋_GB2312" w:cs="仿宋_GB2312"/>
                <w:b/>
                <w:kern w:val="0"/>
                <w:sz w:val="24"/>
                <w:lang w:val="zh-CN"/>
              </w:rPr>
              <w:t>提醒：验收时检测费用由采购人承担，不包含在响应总价中。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响应报价出现下列情形的，响应无效：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响应文件出现不是唯一的、有选择性响应报价的；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响应报价超过征集文件中规定的预算金额或者最高限制单价的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w:t>
            </w:r>
            <w:r>
              <w:rPr>
                <w:rFonts w:hint="eastAsia" w:ascii="仿宋_GB2312" w:hAnsi="仿宋" w:eastAsia="仿宋_GB2312" w:cs="Arial"/>
                <w:b/>
                <w:kern w:val="0"/>
                <w:sz w:val="24"/>
                <w:lang w:eastAsia="zh-CN"/>
              </w:rPr>
              <w:t>供应商</w:t>
            </w:r>
            <w:r>
              <w:rPr>
                <w:rFonts w:hint="eastAsia" w:ascii="仿宋_GB2312" w:hAnsi="仿宋" w:eastAsia="仿宋_GB2312" w:cs="Arial"/>
                <w:b/>
                <w:kern w:val="0"/>
                <w:sz w:val="24"/>
              </w:rPr>
              <w:t>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lang w:eastAsia="zh-CN"/>
              </w:rPr>
              <w:t>供应商</w:t>
            </w:r>
            <w:r>
              <w:rPr>
                <w:rFonts w:hint="eastAsia" w:ascii="仿宋_GB2312" w:hAnsi="仿宋" w:eastAsia="仿宋_GB2312" w:cs="Arial"/>
                <w:b/>
                <w:kern w:val="0"/>
                <w:sz w:val="24"/>
              </w:rPr>
              <w:t>对根据修正原则修正后的报价不确认的</w:t>
            </w:r>
            <w:r>
              <w:rPr>
                <w:rFonts w:hint="eastAsia" w:ascii="仿宋_GB2312" w:hAnsi="仿宋" w:eastAsia="仿宋_GB2312"/>
                <w:b/>
                <w:sz w:val="24"/>
              </w:rPr>
              <w:t>。</w:t>
            </w:r>
            <w:r>
              <w:rPr>
                <w:rFonts w:hint="eastAsia" w:ascii="仿宋_GB2312" w:hAnsi="仿宋" w:eastAsia="仿宋_GB2312" w:cs="Times New Roman"/>
                <w:sz w:val="24"/>
                <w:szCs w:val="24"/>
                <w:lang w:val="en-US" w:eastAsia="zh-CN"/>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lang w:val="en-US" w:eastAsia="zh-CN"/>
              </w:rPr>
              <w:t>协议单位接受委托，根据每个项目分别计算服务费。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kern w:val="2"/>
                <w:sz w:val="24"/>
                <w:szCs w:val="24"/>
                <w:lang w:val="en-US" w:eastAsia="zh-CN" w:bidi="ar-SA"/>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_GB2312" w:hAnsi="仿宋" w:eastAsia="仿宋_GB2312" w:cs="仿宋_GB2312"/>
                <w:b/>
                <w:color w:val="000000" w:themeColor="text1"/>
                <w:sz w:val="24"/>
                <w:highlight w:val="none"/>
                <w:lang w:eastAsia="zh-CN"/>
                <w14:textFill>
                  <w14:solidFill>
                    <w14:schemeClr w14:val="tx1"/>
                  </w14:solidFill>
                </w14:textFill>
              </w:rPr>
            </w:pPr>
            <w:r>
              <w:rPr>
                <w:rFonts w:hint="eastAsia" w:ascii="仿宋_GB2312" w:hAnsi="仿宋" w:eastAsia="仿宋_GB2312" w:cs="仿宋_GB2312"/>
                <w:b/>
                <w:color w:val="000000" w:themeColor="text1"/>
                <w:sz w:val="24"/>
                <w:highlight w:val="none"/>
                <w:lang w:eastAsia="zh-CN"/>
                <w14:textFill>
                  <w14:solidFill>
                    <w14:schemeClr w14:val="tx1"/>
                  </w14:solidFill>
                </w14:textFill>
              </w:rPr>
              <w:t>入围方式</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lang w:val="en-US" w:eastAsia="zh-CN"/>
                <w14:textFill>
                  <w14:solidFill>
                    <w14:schemeClr w14:val="tx1"/>
                  </w14:solidFill>
                </w14:textFill>
              </w:rPr>
              <w:t>1、根据中华人民共和国财政部令第 110 号《政府采购框架协议采购方式管理办法》，确定第一阶段入围供应商的评审方法为</w:t>
            </w:r>
            <w:r>
              <w:rPr>
                <w:rFonts w:hint="eastAsia" w:ascii="仿宋_GB2312" w:hAnsi="仿宋" w:eastAsia="仿宋_GB2312" w:cs="Arial"/>
                <w:b/>
                <w:bCs/>
                <w:color w:val="000000" w:themeColor="text1"/>
                <w:kern w:val="0"/>
                <w:sz w:val="24"/>
                <w:highlight w:val="none"/>
                <w:u w:val="single"/>
                <w:lang w:val="en-US" w:eastAsia="zh-CN"/>
                <w14:textFill>
                  <w14:solidFill>
                    <w14:schemeClr w14:val="tx1"/>
                  </w14:solidFill>
                </w14:textFill>
              </w:rPr>
              <w:t>质量优先法</w:t>
            </w:r>
            <w:r>
              <w:rPr>
                <w:rFonts w:hint="eastAsia" w:ascii="仿宋_GB2312" w:hAnsi="仿宋" w:eastAsia="仿宋_GB2312" w:cs="Arial"/>
                <w:color w:val="000000" w:themeColor="text1"/>
                <w:kern w:val="0"/>
                <w:sz w:val="24"/>
                <w:highlight w:val="none"/>
                <w:lang w:val="en-US" w:eastAsia="zh-CN"/>
                <w14:textFill>
                  <w14:solidFill>
                    <w14:schemeClr w14:val="tx1"/>
                  </w14:solidFill>
                </w14:textFill>
              </w:rPr>
              <w:t>，确定第二阶段成交供应商的方式为</w:t>
            </w:r>
            <w:r>
              <w:rPr>
                <w:rFonts w:hint="eastAsia" w:ascii="仿宋_GB2312" w:hAnsi="仿宋" w:eastAsia="仿宋_GB2312" w:cs="Arial"/>
                <w:b/>
                <w:bCs/>
                <w:color w:val="000000" w:themeColor="text1"/>
                <w:kern w:val="0"/>
                <w:sz w:val="24"/>
                <w:highlight w:val="none"/>
                <w:u w:val="single"/>
                <w:lang w:val="en-US" w:eastAsia="zh-CN"/>
                <w14:textFill>
                  <w14:solidFill>
                    <w14:schemeClr w14:val="tx1"/>
                  </w14:solidFill>
                </w14:textFill>
              </w:rPr>
              <w:t>直接选定</w:t>
            </w:r>
            <w:r>
              <w:rPr>
                <w:rFonts w:hint="eastAsia" w:ascii="仿宋_GB2312" w:hAnsi="仿宋" w:eastAsia="仿宋_GB2312" w:cs="Arial"/>
                <w:color w:val="000000" w:themeColor="text1"/>
                <w:kern w:val="0"/>
                <w:sz w:val="24"/>
                <w:highlight w:val="none"/>
                <w:lang w:val="en-US" w:eastAsia="zh-CN"/>
                <w14:textFill>
                  <w14:solidFill>
                    <w14:schemeClr w14:val="tx1"/>
                  </w14:solidFill>
                </w14:textFill>
              </w:rPr>
              <w:t xml:space="preserve">。 </w:t>
            </w:r>
          </w:p>
          <w:p>
            <w:pPr>
              <w:spacing w:line="360" w:lineRule="auto"/>
              <w:rPr>
                <w:rFonts w:hint="eastAsia"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lang w:val="en-US" w:eastAsia="zh-CN"/>
                <w14:textFill>
                  <w14:solidFill>
                    <w14:schemeClr w14:val="tx1"/>
                  </w14:solidFill>
                </w14:textFill>
              </w:rPr>
              <w:t xml:space="preserve">质量优先法是指对满足采购需求且响应报价不超过最高限制单价的货物、服务进行质量综合评分，按照质量评分从高到低排 序，根据征集文件规定的淘汰率或者入围供应商数量上限，确定入围供应商的评审方法。 </w:t>
            </w:r>
          </w:p>
          <w:p>
            <w:pPr>
              <w:spacing w:line="360" w:lineRule="auto"/>
              <w:rPr>
                <w:rFonts w:hint="eastAsia"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lang w:val="en-US" w:eastAsia="zh-CN"/>
                <w14:textFill>
                  <w14:solidFill>
                    <w14:schemeClr w14:val="tx1"/>
                  </w14:solidFill>
                </w14:textFill>
              </w:rPr>
              <w:t xml:space="preserve">直接选定是指确定第二阶段成交供应商应当由采购人或者服务对象依据入围产品价格、质量以及服务便利性、用户评价等因素，从第一阶段入围供应商中直接选定。 </w:t>
            </w:r>
          </w:p>
          <w:p>
            <w:pPr>
              <w:spacing w:line="360" w:lineRule="auto"/>
              <w:rPr>
                <w:rFonts w:hint="eastAsia"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lang w:val="en-US" w:eastAsia="zh-CN"/>
                <w14:textFill>
                  <w14:solidFill>
                    <w14:schemeClr w14:val="tx1"/>
                  </w14:solidFill>
                </w14:textFill>
              </w:rPr>
              <w:t>2、评标委员会按评审后汇总得分由高到低顺序排列。汇总得分相同的，按技术分由高到低顺序排列；前款不能确定的，按《政府采购货物和服务招标投标管理办法》（财政部令第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pPr>
              <w:spacing w:line="360" w:lineRule="auto"/>
              <w:rPr>
                <w:rFonts w:hint="eastAsia"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lang w:val="en-US" w:eastAsia="zh-CN"/>
                <w14:textFill>
                  <w14:solidFill>
                    <w14:schemeClr w14:val="tx1"/>
                  </w14:solidFill>
                </w14:textFill>
              </w:rPr>
              <w:t xml:space="preserve">3、本项目给定了入围供应商的数量，评标委员会按照征集文件中规定的各项因素进行综合评审后，以评标总得分高低的顺序依次确定入围服务供应商。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kern w:val="2"/>
                <w:sz w:val="24"/>
                <w:szCs w:val="24"/>
                <w:lang w:val="en-US" w:eastAsia="zh-CN" w:bidi="ar-SA"/>
              </w:rPr>
            </w:pPr>
            <w:r>
              <w:rPr>
                <w:rFonts w:hint="eastAsia" w:ascii="仿宋_GB2312" w:hAnsi="仿宋" w:eastAsia="仿宋_GB2312" w:cs="仿宋_GB2312"/>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w:t>
            </w:r>
            <w:r>
              <w:rPr>
                <w:rFonts w:hint="eastAsia" w:ascii="仿宋_GB2312" w:hAnsi="仿宋" w:eastAsia="仿宋_GB2312" w:cs="Times New Roman"/>
                <w:sz w:val="24"/>
                <w:szCs w:val="24"/>
                <w:lang w:eastAsia="zh-CN"/>
              </w:rPr>
              <w:t>征集</w:t>
            </w:r>
            <w:r>
              <w:rPr>
                <w:rFonts w:hint="eastAsia" w:ascii="仿宋_GB2312" w:hAnsi="仿宋" w:eastAsia="仿宋_GB2312" w:cs="Times New Roman"/>
                <w:sz w:val="24"/>
                <w:szCs w:val="24"/>
              </w:rPr>
              <w:t>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投标人未提供有效的资格证明文件的，视为投标人不具备征集文件中规定的资格要求，投标无效。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kern w:val="2"/>
                <w:sz w:val="24"/>
                <w:szCs w:val="24"/>
                <w:lang w:val="en-US" w:eastAsia="zh-CN" w:bidi="ar-SA"/>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w:t>
            </w:r>
            <w:r>
              <w:rPr>
                <w:rFonts w:hint="eastAsia" w:ascii="仿宋_GB2312" w:hAnsi="仿宋" w:eastAsia="仿宋_GB2312"/>
                <w:color w:val="000000" w:themeColor="text1"/>
                <w:sz w:val="24"/>
                <w:highlight w:val="none"/>
                <w:lang w:eastAsia="zh-CN"/>
                <w14:textFill>
                  <w14:solidFill>
                    <w14:schemeClr w14:val="tx1"/>
                  </w14:solidFill>
                </w14:textFill>
              </w:rPr>
              <w:t>征集</w:t>
            </w:r>
            <w:r>
              <w:rPr>
                <w:rFonts w:ascii="仿宋_GB2312" w:hAnsi="仿宋" w:eastAsia="仿宋_GB2312"/>
                <w:color w:val="000000" w:themeColor="text1"/>
                <w:sz w:val="24"/>
                <w:highlight w:val="none"/>
                <w14:textFill>
                  <w14:solidFill>
                    <w14:schemeClr w14:val="tx1"/>
                  </w14:solidFill>
                </w14:textFill>
              </w:rPr>
              <w:t>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kern w:val="2"/>
                <w:sz w:val="24"/>
                <w:szCs w:val="24"/>
                <w:lang w:val="en-US" w:eastAsia="zh-CN" w:bidi="ar-SA"/>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s="Arial"/>
                <w:snapToGrid w:val="0"/>
                <w:sz w:val="24"/>
                <w:szCs w:val="20"/>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kern w:val="2"/>
                <w:sz w:val="24"/>
                <w:szCs w:val="24"/>
                <w:lang w:val="en-US" w:eastAsia="zh-CN" w:bidi="ar-SA"/>
              </w:rPr>
            </w:pPr>
            <w:r>
              <w:rPr>
                <w:rFonts w:hint="eastAsia" w:ascii="仿宋_GB2312" w:hAnsi="仿宋" w:eastAsia="仿宋_GB2312" w:cs="仿宋_GB2312"/>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w:t>
            </w:r>
            <w:r>
              <w:rPr>
                <w:rFonts w:hint="eastAsia" w:ascii="仿宋_GB2312" w:hAnsi="仿宋" w:eastAsia="仿宋_GB2312"/>
                <w:b/>
                <w:bCs/>
                <w:color w:val="000000" w:themeColor="text1"/>
                <w:kern w:val="0"/>
                <w:sz w:val="24"/>
                <w:highlight w:val="none"/>
                <w:lang w:eastAsia="zh-CN"/>
                <w14:textFill>
                  <w14:solidFill>
                    <w14:schemeClr w14:val="tx1"/>
                  </w14:solidFill>
                </w14:textFill>
              </w:rPr>
              <w:t>响应文件</w:t>
            </w:r>
            <w:r>
              <w:rPr>
                <w:rFonts w:hint="eastAsia" w:ascii="仿宋_GB2312" w:hAnsi="仿宋" w:eastAsia="仿宋_GB2312"/>
                <w:b/>
                <w:bCs/>
                <w:color w:val="000000" w:themeColor="text1"/>
                <w:kern w:val="0"/>
                <w:sz w:val="24"/>
                <w:highlight w:val="none"/>
                <w14:textFill>
                  <w14:solidFill>
                    <w14:schemeClr w14:val="tx1"/>
                  </w14:solidFill>
                </w14:textFill>
              </w:rPr>
              <w:t>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hint="eastAsia" w:ascii="仿宋_GB2312" w:hAnsi="仿宋" w:eastAsia="仿宋_GB2312" w:cs="Times New Roman"/>
                <w:b/>
                <w:sz w:val="24"/>
                <w:szCs w:val="24"/>
                <w:lang w:eastAsia="zh-CN"/>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B组织。</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ascii="仿宋_GB2312" w:hAnsi="仿宋" w:eastAsia="仿宋_GB2312"/>
                <w:color w:val="000000" w:themeColor="text1"/>
                <w:kern w:val="0"/>
                <w:sz w:val="24"/>
                <w14:textFill>
                  <w14:solidFill>
                    <w14:schemeClr w14:val="tx1"/>
                  </w14:solidFill>
                </w14:textFill>
              </w:rPr>
              <w:t>在评标时安排每个投标人进行方案讲解演示。每个投标人时间不超过20分钟，讲解次序以</w:t>
            </w:r>
            <w:r>
              <w:rPr>
                <w:rFonts w:hint="eastAsia" w:ascii="仿宋_GB2312" w:hAnsi="仿宋" w:eastAsia="仿宋_GB2312"/>
                <w:color w:val="000000" w:themeColor="text1"/>
                <w:kern w:val="0"/>
                <w:sz w:val="24"/>
                <w:lang w:eastAsia="zh-CN"/>
                <w14:textFill>
                  <w14:solidFill>
                    <w14:schemeClr w14:val="tx1"/>
                  </w14:solidFill>
                </w14:textFill>
              </w:rPr>
              <w:t>响应文件</w:t>
            </w:r>
            <w:r>
              <w:rPr>
                <w:rFonts w:ascii="仿宋_GB2312" w:hAnsi="仿宋" w:eastAsia="仿宋_GB2312"/>
                <w:color w:val="000000" w:themeColor="text1"/>
                <w:kern w:val="0"/>
                <w:sz w:val="24"/>
                <w14:textFill>
                  <w14:solidFill>
                    <w14:schemeClr w14:val="tx1"/>
                  </w14:solidFill>
                </w14:textFill>
              </w:rPr>
              <w:t>解密时间先后次序为准，讲解演示人员不超过3人。讲解演示结束后按要求解答评标委员会提问。</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现场讲解地点为</w:t>
            </w:r>
            <w:r>
              <w:rPr>
                <w:rFonts w:hint="eastAsia" w:ascii="仿宋_GB2312" w:hAnsi="仿宋" w:eastAsia="仿宋_GB2312" w:cs="Times New Roman"/>
                <w:sz w:val="24"/>
                <w:szCs w:val="24"/>
                <w:u w:val="single"/>
              </w:rPr>
              <w:t>杭州市公共资源交易中心</w:t>
            </w:r>
            <w:r>
              <w:rPr>
                <w:rFonts w:hint="eastAsia" w:ascii="仿宋_GB2312" w:hAnsi="仿宋" w:eastAsia="仿宋_GB2312" w:cs="Times New Roman"/>
                <w:color w:val="auto"/>
                <w:sz w:val="24"/>
                <w:szCs w:val="24"/>
                <w:u w:val="single"/>
                <w:lang w:eastAsia="zh-CN"/>
              </w:rPr>
              <w:t>临安分中心</w:t>
            </w:r>
            <w:r>
              <w:rPr>
                <w:rFonts w:hint="eastAsia" w:ascii="仿宋_GB2312" w:hAnsi="仿宋" w:eastAsia="仿宋_GB2312" w:cs="Times New Roman"/>
                <w:color w:val="auto"/>
                <w:sz w:val="24"/>
                <w:szCs w:val="24"/>
                <w:u w:val="single"/>
                <w:lang w:val="en-US" w:eastAsia="zh-CN"/>
              </w:rPr>
              <w:t>询标</w:t>
            </w:r>
            <w:r>
              <w:rPr>
                <w:rFonts w:hint="eastAsia" w:ascii="仿宋_GB2312" w:hAnsi="仿宋" w:eastAsia="仿宋_GB2312" w:cs="Times New Roman"/>
                <w:color w:val="auto"/>
                <w:sz w:val="24"/>
                <w:szCs w:val="24"/>
                <w:u w:val="single"/>
              </w:rPr>
              <w:t>室[杭州市</w:t>
            </w:r>
            <w:r>
              <w:rPr>
                <w:rFonts w:hint="eastAsia" w:ascii="仿宋_GB2312" w:hAnsi="仿宋" w:eastAsia="仿宋_GB2312" w:cs="Times New Roman"/>
                <w:color w:val="auto"/>
                <w:sz w:val="24"/>
                <w:szCs w:val="24"/>
                <w:u w:val="single"/>
                <w:lang w:eastAsia="zh-CN"/>
              </w:rPr>
              <w:t>临安区锦北街道科技大道</w:t>
            </w:r>
            <w:r>
              <w:rPr>
                <w:rFonts w:hint="eastAsia" w:ascii="仿宋_GB2312" w:hAnsi="仿宋" w:eastAsia="仿宋_GB2312" w:cs="Times New Roman"/>
                <w:color w:val="auto"/>
                <w:sz w:val="24"/>
                <w:szCs w:val="24"/>
                <w:u w:val="single"/>
                <w:lang w:val="en-US" w:eastAsia="zh-CN"/>
              </w:rPr>
              <w:t>4398号市民中心B座4楼询标室</w:t>
            </w:r>
            <w:r>
              <w:rPr>
                <w:rFonts w:hint="eastAsia" w:ascii="仿宋_GB2312" w:hAnsi="仿宋" w:eastAsia="仿宋_GB2312" w:cs="Times New Roman"/>
                <w:color w:val="auto"/>
                <w:sz w:val="24"/>
                <w:szCs w:val="24"/>
                <w:u w:val="single"/>
              </w:rPr>
              <w:t>]</w:t>
            </w:r>
            <w:r>
              <w:rPr>
                <w:rFonts w:hint="eastAsia" w:ascii="仿宋_GB2312" w:hAnsi="仿宋" w:eastAsia="仿宋_GB2312"/>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kern w:val="2"/>
                <w:sz w:val="24"/>
                <w:szCs w:val="24"/>
                <w:lang w:val="en-US" w:eastAsia="zh-CN" w:bidi="ar-SA"/>
              </w:rPr>
            </w:pPr>
            <w:r>
              <w:rPr>
                <w:rFonts w:ascii="仿宋_GB2312" w:hAnsi="仿宋"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kern w:val="2"/>
                <w:sz w:val="24"/>
                <w:szCs w:val="24"/>
                <w:lang w:val="en-US" w:eastAsia="zh-CN" w:bidi="ar-SA"/>
              </w:rPr>
            </w:pPr>
            <w:r>
              <w:rPr>
                <w:rFonts w:ascii="仿宋_GB2312" w:hAnsi="仿宋" w:eastAsia="仿宋_GB2312" w:cs="仿宋_GB2312"/>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hint="eastAsia" w:ascii="仿宋_GB2312" w:hAnsi="仿宋" w:eastAsia="仿宋_GB2312" w:cs="Times New Roman"/>
                <w:sz w:val="24"/>
                <w:szCs w:val="24"/>
                <w:lang w:eastAsia="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kern w:val="2"/>
                <w:sz w:val="24"/>
                <w:szCs w:val="24"/>
                <w:lang w:val="en-US" w:eastAsia="zh-CN" w:bidi="ar-SA"/>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kern w:val="0"/>
                <w:sz w:val="24"/>
              </w:rPr>
              <w:t>标的：</w:t>
            </w:r>
            <w:r>
              <w:rPr>
                <w:rFonts w:hint="eastAsia" w:ascii="仿宋_GB2312" w:hAnsi="仿宋" w:eastAsia="仿宋_GB2312" w:cs="Arial"/>
                <w:kern w:val="0"/>
                <w:sz w:val="24"/>
                <w:highlight w:val="none"/>
                <w:u w:val="single"/>
                <w:lang w:eastAsia="zh-CN"/>
              </w:rPr>
              <w:t>审计服务</w:t>
            </w:r>
            <w:r>
              <w:rPr>
                <w:rFonts w:hint="eastAsia" w:ascii="仿宋_GB2312" w:hAnsi="仿宋" w:eastAsia="仿宋_GB2312" w:cs="Arial"/>
                <w:kern w:val="0"/>
                <w:sz w:val="24"/>
                <w:highlight w:val="none"/>
              </w:rPr>
              <w:t>，</w:t>
            </w:r>
            <w:r>
              <w:rPr>
                <w:rFonts w:hint="eastAsia" w:ascii="仿宋_GB2312" w:hAnsi="仿宋" w:eastAsia="仿宋_GB2312" w:cs="Arial"/>
                <w:kern w:val="0"/>
                <w:sz w:val="24"/>
              </w:rPr>
              <w:t>属于</w:t>
            </w:r>
            <w:r>
              <w:rPr>
                <w:rFonts w:hint="eastAsia" w:ascii="仿宋_GB2312" w:hAnsi="仿宋" w:eastAsia="仿宋_GB2312" w:cs="Arial"/>
                <w:kern w:val="0"/>
                <w:sz w:val="24"/>
                <w:u w:val="single"/>
                <w:lang w:val="en-US" w:eastAsia="zh-CN"/>
              </w:rPr>
              <w:t>租赁和商务服务业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lang w:eastAsia="zh-CN"/>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w:t>
            </w:r>
            <w:r>
              <w:rPr>
                <w:rFonts w:hint="eastAsia" w:ascii="仿宋_GB2312" w:hAnsi="仿宋" w:eastAsia="仿宋_GB2312" w:cs="仿宋_GB2312"/>
                <w:b/>
                <w:color w:val="000000" w:themeColor="text1"/>
                <w:sz w:val="24"/>
                <w:highlight w:val="none"/>
                <w:lang w:eastAsia="zh-CN"/>
                <w14:textFill>
                  <w14:solidFill>
                    <w14:schemeClr w14:val="tx1"/>
                  </w14:solidFill>
                </w14:textFill>
              </w:rPr>
              <w:t>响应文件</w:t>
            </w:r>
            <w:r>
              <w:rPr>
                <w:rFonts w:hint="eastAsia" w:ascii="仿宋_GB2312" w:hAnsi="仿宋" w:eastAsia="仿宋_GB2312" w:cs="仿宋_GB2312"/>
                <w:b/>
                <w:color w:val="000000" w:themeColor="text1"/>
                <w:sz w:val="24"/>
                <w:highlight w:val="none"/>
                <w14:textFill>
                  <w14:solidFill>
                    <w14:schemeClr w14:val="tx1"/>
                  </w14:solidFill>
                </w14:textFill>
              </w:rPr>
              <w:t>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9"/>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w:t>
            </w:r>
            <w:r>
              <w:rPr>
                <w:rFonts w:hint="eastAsia" w:ascii="仿宋_GB2312" w:hAnsi="仿宋" w:eastAsia="仿宋_GB2312" w:cs="Times New Roman"/>
                <w:color w:val="000000" w:themeColor="text1"/>
                <w:kern w:val="28"/>
                <w:sz w:val="24"/>
                <w:szCs w:val="24"/>
                <w:highlight w:val="none"/>
                <w:lang w:eastAsia="zh-CN"/>
                <w14:textFill>
                  <w14:solidFill>
                    <w14:schemeClr w14:val="tx1"/>
                  </w14:solidFill>
                </w14:textFill>
              </w:rPr>
              <w:t>响应文件</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u w:val="single"/>
              </w:rPr>
              <w:t>杭州市</w:t>
            </w:r>
            <w:r>
              <w:rPr>
                <w:rFonts w:hint="eastAsia" w:ascii="仿宋_GB2312" w:hAnsi="仿宋" w:eastAsia="仿宋_GB2312" w:cs="仿宋_GB2312"/>
                <w:snapToGrid w:val="0"/>
                <w:sz w:val="24"/>
                <w:szCs w:val="24"/>
                <w:u w:val="single"/>
                <w:lang w:eastAsia="zh-CN"/>
              </w:rPr>
              <w:t>临安区锦北街道科技大道</w:t>
            </w:r>
            <w:r>
              <w:rPr>
                <w:rFonts w:hint="eastAsia" w:ascii="仿宋_GB2312" w:hAnsi="仿宋" w:eastAsia="仿宋_GB2312" w:cs="仿宋_GB2312"/>
                <w:snapToGrid w:val="0"/>
                <w:sz w:val="24"/>
                <w:szCs w:val="24"/>
                <w:u w:val="single"/>
                <w:lang w:val="en-US" w:eastAsia="zh-CN"/>
              </w:rPr>
              <w:t>4398号市民中心B座B448室</w:t>
            </w:r>
            <w:r>
              <w:rPr>
                <w:rFonts w:hint="eastAsia" w:ascii="仿宋_GB2312" w:hAnsi="仿宋" w:eastAsia="仿宋_GB2312" w:cs="仿宋_GB2312"/>
                <w:snapToGrid w:val="0"/>
                <w:sz w:val="24"/>
                <w:szCs w:val="24"/>
                <w:u w:val="single"/>
              </w:rPr>
              <w:t>（杭州市公共资源交易中心</w:t>
            </w:r>
            <w:r>
              <w:rPr>
                <w:rFonts w:hint="eastAsia" w:ascii="仿宋_GB2312" w:hAnsi="仿宋" w:eastAsia="仿宋_GB2312" w:cs="仿宋_GB2312"/>
                <w:snapToGrid w:val="0"/>
                <w:sz w:val="24"/>
                <w:szCs w:val="24"/>
                <w:u w:val="single"/>
                <w:lang w:eastAsia="zh-CN"/>
              </w:rPr>
              <w:t>临安分中心</w:t>
            </w:r>
            <w:r>
              <w:rPr>
                <w:rFonts w:hint="eastAsia" w:ascii="仿宋_GB2312" w:hAnsi="仿宋" w:eastAsia="仿宋_GB2312" w:cs="仿宋_GB2312"/>
                <w:snapToGrid w:val="0"/>
                <w:sz w:val="24"/>
                <w:szCs w:val="24"/>
                <w:u w:val="single"/>
              </w:rPr>
              <w:t>政府采购</w:t>
            </w:r>
            <w:r>
              <w:rPr>
                <w:rFonts w:hint="eastAsia" w:ascii="仿宋_GB2312" w:hAnsi="仿宋" w:eastAsia="仿宋_GB2312" w:cs="仿宋_GB2312"/>
                <w:snapToGrid w:val="0"/>
                <w:sz w:val="24"/>
                <w:szCs w:val="24"/>
                <w:u w:val="single"/>
                <w:lang w:eastAsia="zh-CN"/>
              </w:rPr>
              <w:t>科</w:t>
            </w:r>
            <w:r>
              <w:rPr>
                <w:rFonts w:hint="eastAsia" w:ascii="仿宋_GB2312" w:hAnsi="仿宋" w:eastAsia="仿宋_GB2312" w:cs="仿宋_GB2312"/>
                <w:snapToGrid w:val="0"/>
                <w:sz w:val="24"/>
                <w:szCs w:val="24"/>
                <w:u w:val="single"/>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w:t>
            </w:r>
            <w:r>
              <w:rPr>
                <w:rFonts w:hint="eastAsia" w:ascii="仿宋_GB2312" w:hAnsi="仿宋" w:eastAsia="仿宋_GB2312" w:cs="Times New Roman"/>
                <w:color w:val="000000" w:themeColor="text1"/>
                <w:kern w:val="28"/>
                <w:sz w:val="24"/>
                <w:szCs w:val="24"/>
                <w:highlight w:val="none"/>
                <w:lang w:eastAsia="zh-CN"/>
                <w14:textFill>
                  <w14:solidFill>
                    <w14:schemeClr w14:val="tx1"/>
                  </w14:solidFill>
                </w14:textFill>
              </w:rPr>
              <w:t>响应文件</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签收人员联系电话：</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23616011</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9"/>
              <w:spacing w:line="360" w:lineRule="auto"/>
              <w:rPr>
                <w:rFonts w:hint="eastAsia" w:ascii="仿宋_GB2312" w:hAnsi="仿宋" w:eastAsia="仿宋_GB2312" w:cs="Arial"/>
                <w:snapToGrid w:val="0"/>
                <w:color w:val="000000" w:themeColor="text1"/>
                <w:kern w:val="28"/>
                <w:sz w:val="24"/>
                <w:szCs w:val="21"/>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w:t>
            </w:r>
            <w:r>
              <w:rPr>
                <w:rFonts w:hint="eastAsia" w:ascii="仿宋_GB2312" w:hAnsi="仿宋" w:eastAsia="仿宋_GB2312" w:cs="仿宋_GB2312"/>
                <w:b/>
                <w:color w:val="000000" w:themeColor="text1"/>
                <w:sz w:val="24"/>
                <w:szCs w:val="24"/>
                <w:highlight w:val="none"/>
                <w:lang w:eastAsia="zh-CN"/>
                <w14:textFill>
                  <w14:solidFill>
                    <w14:schemeClr w14:val="tx1"/>
                  </w14:solidFill>
                </w14:textFill>
              </w:rPr>
              <w:t>响应文件</w:t>
            </w:r>
            <w:r>
              <w:rPr>
                <w:rFonts w:hint="eastAsia" w:ascii="仿宋_GB2312" w:hAnsi="仿宋" w:eastAsia="仿宋_GB2312" w:cs="仿宋_GB2312"/>
                <w:b/>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heme="minorBidi"/>
                <w:snapToGrid w:val="0"/>
                <w:color w:val="000000" w:themeColor="text1"/>
                <w:kern w:val="28"/>
                <w:sz w:val="24"/>
                <w:szCs w:val="22"/>
                <w:highlight w:val="none"/>
                <w:lang w:val="en-US" w:eastAsia="zh-CN" w:bidi="ar-SA"/>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spacing w:line="360" w:lineRule="auto"/>
        <w:ind w:firstLine="3845" w:firstLineChars="1197"/>
        <w:outlineLvl w:val="0"/>
        <w:rPr>
          <w:rFonts w:hint="eastAsia" w:ascii="仿宋_GB2312" w:hAnsi="仿宋" w:eastAsia="仿宋_GB2312" w:cs="仿宋_GB2312"/>
          <w:b/>
          <w:sz w:val="32"/>
          <w:szCs w:val="20"/>
        </w:rPr>
      </w:pPr>
    </w:p>
    <w:p>
      <w:pPr>
        <w:spacing w:line="360" w:lineRule="auto"/>
        <w:ind w:firstLine="3845" w:firstLineChars="1197"/>
        <w:outlineLvl w:val="0"/>
        <w:rPr>
          <w:rFonts w:hint="eastAsia" w:ascii="仿宋_GB2312" w:hAnsi="仿宋" w:eastAsia="仿宋_GB2312" w:cs="仿宋_GB2312"/>
          <w:b/>
          <w:sz w:val="32"/>
          <w:szCs w:val="20"/>
        </w:rPr>
      </w:pPr>
    </w:p>
    <w:p>
      <w:pPr>
        <w:spacing w:line="360" w:lineRule="auto"/>
        <w:ind w:firstLine="3845" w:firstLineChars="1197"/>
        <w:outlineLvl w:val="0"/>
        <w:rPr>
          <w:rFonts w:hint="eastAsia" w:ascii="仿宋_GB2312" w:hAnsi="仿宋" w:eastAsia="仿宋_GB2312" w:cs="仿宋_GB2312"/>
          <w:b/>
          <w:sz w:val="32"/>
          <w:szCs w:val="20"/>
        </w:rPr>
      </w:pPr>
    </w:p>
    <w:p>
      <w:pPr>
        <w:spacing w:line="360" w:lineRule="auto"/>
        <w:ind w:firstLine="3845" w:firstLineChars="1197"/>
        <w:outlineLvl w:val="0"/>
        <w:rPr>
          <w:rFonts w:hint="eastAsia" w:ascii="仿宋_GB2312" w:hAnsi="仿宋" w:eastAsia="仿宋_GB2312" w:cs="仿宋_GB2312"/>
          <w:b/>
          <w:sz w:val="32"/>
          <w:szCs w:val="20"/>
        </w:rPr>
      </w:pPr>
    </w:p>
    <w:p>
      <w:pPr>
        <w:spacing w:line="360" w:lineRule="auto"/>
        <w:ind w:firstLine="3845" w:firstLineChars="1197"/>
        <w:outlineLvl w:val="0"/>
        <w:rPr>
          <w:rFonts w:hint="eastAsia" w:ascii="仿宋_GB2312" w:hAnsi="仿宋" w:eastAsia="仿宋_GB2312" w:cs="仿宋_GB2312"/>
          <w:b/>
          <w:sz w:val="32"/>
          <w:szCs w:val="20"/>
        </w:rPr>
      </w:pPr>
    </w:p>
    <w:p>
      <w:pPr>
        <w:spacing w:line="360" w:lineRule="auto"/>
        <w:outlineLvl w:val="0"/>
        <w:rPr>
          <w:rFonts w:hint="eastAsia" w:ascii="仿宋_GB2312" w:hAnsi="仿宋" w:eastAsia="仿宋_GB2312" w:cs="仿宋_GB2312"/>
          <w:b/>
          <w:sz w:val="32"/>
          <w:szCs w:val="20"/>
        </w:rPr>
      </w:pPr>
    </w:p>
    <w:p>
      <w:pPr>
        <w:spacing w:line="360" w:lineRule="auto"/>
        <w:ind w:firstLine="3845" w:firstLineChars="1197"/>
        <w:outlineLvl w:val="0"/>
        <w:rPr>
          <w:rFonts w:hint="eastAsia"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w:t>
      </w:r>
      <w:r>
        <w:rPr>
          <w:rFonts w:hint="eastAsia" w:ascii="仿宋_GB2312" w:hAnsi="仿宋" w:eastAsia="仿宋_GB2312" w:cs="Times New Roman"/>
          <w:sz w:val="24"/>
          <w:szCs w:val="24"/>
          <w:lang w:eastAsia="zh-CN"/>
        </w:rPr>
        <w:t>征集</w:t>
      </w:r>
      <w:r>
        <w:rPr>
          <w:rFonts w:hint="eastAsia" w:ascii="仿宋_GB2312" w:hAnsi="仿宋" w:eastAsia="仿宋_GB2312" w:cs="Times New Roman"/>
          <w:sz w:val="24"/>
          <w:szCs w:val="24"/>
        </w:rPr>
        <w:t>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2.1 </w:t>
      </w:r>
      <w:r>
        <w:rPr>
          <w:rFonts w:hint="eastAsia" w:ascii="仿宋_GB2312" w:hAnsi="仿宋" w:eastAsia="仿宋_GB2312" w:cs="Times New Roman"/>
          <w:sz w:val="24"/>
          <w:szCs w:val="24"/>
          <w:lang w:val="en-US" w:eastAsia="zh-CN"/>
        </w:rPr>
        <w:t xml:space="preserve">“征集人”、“采购人”和“甲方”是指依法进行政府采购的国家机关、事业单位、团体组织。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2.2 </w:t>
      </w:r>
      <w:r>
        <w:rPr>
          <w:rFonts w:hint="eastAsia" w:ascii="仿宋_GB2312" w:hAnsi="仿宋" w:eastAsia="仿宋_GB2312" w:cs="Times New Roman"/>
          <w:sz w:val="24"/>
          <w:szCs w:val="24"/>
          <w:lang w:val="en-US" w:eastAsia="zh-CN"/>
        </w:rPr>
        <w:t>“征集人”是指（采购人）和（招标代理机构）。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2.5</w:t>
      </w:r>
      <w:r>
        <w:rPr>
          <w:rFonts w:ascii="仿宋_GB2312" w:hAnsi="仿宋" w:eastAsia="仿宋_GB2312"/>
          <w:sz w:val="24"/>
        </w:rPr>
        <w:t>“电子签名”系指数据电</w:t>
      </w:r>
      <w:r>
        <w:rPr>
          <w:rFonts w:hint="eastAsia" w:ascii="仿宋_GB2312" w:hAnsi="仿宋" w:eastAsia="仿宋_GB2312" w:cs="Times New Roman"/>
          <w:sz w:val="24"/>
          <w:szCs w:val="24"/>
        </w:rPr>
        <w:t>文中以电子形式所含、所附用于识别签名人身份并表明签名人认可其中内容的数据；“公章”系指单位法定名称章。因特殊原因需要使用冠以法定名称的业务专用章的，投标时须提供《业务专用章使用说明函》（附件4）。</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仿宋_GB2312" w:hAnsi="仿宋" w:eastAsia="仿宋_GB2312"/>
          <w:color w:val="000000" w:themeColor="text1"/>
          <w:sz w:val="24"/>
          <w:highlight w:val="none"/>
          <w:lang w:eastAsia="zh-CN"/>
          <w14:textFill>
            <w14:solidFill>
              <w14:schemeClr w14:val="tx1"/>
            </w14:solidFill>
          </w14:textFill>
        </w:rPr>
        <w:t>征集文件</w:t>
      </w:r>
      <w:r>
        <w:rPr>
          <w:rFonts w:ascii="仿宋_GB2312" w:hAnsi="仿宋" w:eastAsia="仿宋_GB2312"/>
          <w:color w:val="000000" w:themeColor="text1"/>
          <w:sz w:val="24"/>
          <w:highlight w:val="none"/>
          <w14:textFill>
            <w14:solidFill>
              <w14:schemeClr w14:val="tx1"/>
            </w14:solidFill>
          </w14:textFill>
        </w:rPr>
        <w:t>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w:t>
      </w:r>
      <w:r>
        <w:rPr>
          <w:rFonts w:hint="eastAsia" w:ascii="仿宋_GB2312" w:hAnsi="仿宋" w:eastAsia="仿宋_GB2312"/>
          <w:b/>
          <w:color w:val="000000" w:themeColor="text1"/>
          <w:sz w:val="24"/>
          <w:highlight w:val="none"/>
          <w:lang w:eastAsia="zh-CN"/>
          <w14:textFill>
            <w14:solidFill>
              <w14:schemeClr w14:val="tx1"/>
            </w14:solidFill>
          </w14:textFill>
        </w:rPr>
        <w:t>征集文件</w:t>
      </w:r>
      <w:r>
        <w:rPr>
          <w:rFonts w:hint="eastAsia" w:ascii="仿宋_GB2312" w:hAnsi="仿宋" w:eastAsia="仿宋_GB2312"/>
          <w:b/>
          <w:color w:val="000000" w:themeColor="text1"/>
          <w:sz w:val="24"/>
          <w:highlight w:val="none"/>
          <w14:textFill>
            <w14:solidFill>
              <w14:schemeClr w14:val="tx1"/>
            </w14:solidFill>
          </w14:textFill>
        </w:rPr>
        <w:t>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w:t>
      </w:r>
      <w:r>
        <w:rPr>
          <w:rFonts w:hint="eastAsia" w:ascii="仿宋_GB2312" w:hAnsi="仿宋" w:eastAsia="仿宋_GB2312"/>
          <w:color w:val="000000" w:themeColor="text1"/>
          <w:sz w:val="24"/>
          <w:highlight w:val="none"/>
          <w:lang w:eastAsia="zh-CN"/>
          <w14:textFill>
            <w14:solidFill>
              <w14:schemeClr w14:val="tx1"/>
            </w14:solidFill>
          </w14:textFill>
        </w:rPr>
        <w:t>征集文件</w:t>
      </w:r>
      <w:r>
        <w:rPr>
          <w:rFonts w:hint="eastAsia" w:ascii="仿宋_GB2312" w:hAnsi="仿宋" w:eastAsia="仿宋_GB2312"/>
          <w:color w:val="000000" w:themeColor="text1"/>
          <w:sz w:val="24"/>
          <w:highlight w:val="none"/>
          <w14:textFill>
            <w14:solidFill>
              <w14:schemeClr w14:val="tx1"/>
            </w14:solidFill>
          </w14:textFill>
        </w:rPr>
        <w:t>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r>
        <w:rPr>
          <w:rFonts w:hint="eastAsia" w:ascii="仿宋_GB2312" w:hAnsi="仿宋" w:eastAsia="仿宋_GB2312"/>
          <w:color w:val="000000" w:themeColor="text1"/>
          <w:sz w:val="24"/>
          <w:highlight w:val="none"/>
          <w:lang w:eastAsia="zh-CN"/>
          <w14:textFill>
            <w14:solidFill>
              <w14:schemeClr w14:val="tx1"/>
            </w14:solidFill>
          </w14:textFill>
        </w:rPr>
        <w:t>（本项目不实行价格扣除）</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w:t>
      </w:r>
      <w:r>
        <w:rPr>
          <w:rFonts w:hint="eastAsia" w:ascii="仿宋_GB2312" w:hAnsi="仿宋" w:eastAsia="仿宋_GB2312"/>
          <w:color w:val="000000" w:themeColor="text1"/>
          <w:sz w:val="24"/>
          <w:highlight w:val="none"/>
          <w:lang w:eastAsia="zh-CN"/>
          <w14:textFill>
            <w14:solidFill>
              <w14:schemeClr w14:val="tx1"/>
            </w14:solidFill>
          </w14:textFill>
        </w:rPr>
        <w:t>征集文件</w:t>
      </w:r>
      <w:r>
        <w:rPr>
          <w:rFonts w:hint="eastAsia" w:ascii="仿宋_GB2312" w:hAnsi="仿宋" w:eastAsia="仿宋_GB2312"/>
          <w:color w:val="000000" w:themeColor="text1"/>
          <w:sz w:val="24"/>
          <w:highlight w:val="none"/>
          <w14:textFill>
            <w14:solidFill>
              <w14:schemeClr w14:val="tx1"/>
            </w14:solidFill>
          </w14:textFill>
        </w:rPr>
        <w:t>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pStyle w:val="2"/>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支持创新发展</w:t>
      </w:r>
    </w:p>
    <w:p>
      <w:pPr>
        <w:pStyle w:val="2"/>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3.4.1 采购人优先采购被认定</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为首台套产品和“制造精品”的自主创新产品。</w:t>
      </w:r>
    </w:p>
    <w:p>
      <w:pPr>
        <w:pStyle w:val="2"/>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3.4.2首台套产品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被纳入《首台套产品推广应用指导目录》之日起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自认定之日起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2年内视同已具备相应销售业绩，参加政府采购活动</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时业绩分值为满分。</w:t>
      </w:r>
    </w:p>
    <w:p>
      <w:pPr>
        <w:pStyle w:val="2"/>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highlight w:val="none"/>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4.2供应商质疑</w:t>
      </w:r>
    </w:p>
    <w:p>
      <w:pPr>
        <w:pStyle w:val="9"/>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_GB2312" w:hAnsi="仿宋" w:eastAsia="仿宋_GB2312"/>
          <w:color w:val="000000" w:themeColor="text1"/>
          <w:sz w:val="24"/>
          <w:highlight w:val="none"/>
          <w:lang w:eastAsia="zh-CN"/>
          <w14:textFill>
            <w14:solidFill>
              <w14:schemeClr w14:val="tx1"/>
            </w14:solidFill>
          </w14:textFill>
        </w:rPr>
        <w:t>征集文件</w:t>
      </w:r>
      <w:r>
        <w:rPr>
          <w:rFonts w:ascii="仿宋_GB2312" w:hAnsi="仿宋" w:eastAsia="仿宋_GB2312"/>
          <w:color w:val="000000" w:themeColor="text1"/>
          <w:sz w:val="24"/>
          <w:highlight w:val="none"/>
          <w14:textFill>
            <w14:solidFill>
              <w14:schemeClr w14:val="tx1"/>
            </w14:solidFill>
          </w14:textFill>
        </w:rPr>
        <w:t>的，可以对该文件提出质疑。</w:t>
      </w:r>
    </w:p>
    <w:p>
      <w:pPr>
        <w:pStyle w:val="9"/>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.2供应商认为</w:t>
      </w:r>
      <w:r>
        <w:rPr>
          <w:rFonts w:hint="eastAsia" w:ascii="仿宋_GB2312" w:hAnsi="仿宋" w:eastAsia="仿宋_GB2312"/>
          <w:color w:val="000000" w:themeColor="text1"/>
          <w:sz w:val="24"/>
          <w:highlight w:val="none"/>
          <w:lang w:eastAsia="zh-CN"/>
          <w14:textFill>
            <w14:solidFill>
              <w14:schemeClr w14:val="tx1"/>
            </w14:solidFill>
          </w14:textFill>
        </w:rPr>
        <w:t>征集文件</w:t>
      </w:r>
      <w:r>
        <w:rPr>
          <w:rFonts w:ascii="仿宋_GB2312" w:hAnsi="仿宋" w:eastAsia="仿宋_GB2312"/>
          <w:color w:val="000000" w:themeColor="text1"/>
          <w:sz w:val="24"/>
          <w:highlight w:val="none"/>
          <w14:textFill>
            <w14:solidFill>
              <w14:schemeClr w14:val="tx1"/>
            </w14:solidFill>
          </w14:textFill>
        </w:rPr>
        <w:t>、采购过程和中标结果使自己的权益受到损害的，可以在知道或者应知其权益受到损害之日起七个工作日内，以书面形式向采购人或者采购机构提出质疑，否则，采购人或者采购机构不予受理：</w:t>
      </w:r>
    </w:p>
    <w:p>
      <w:pPr>
        <w:pStyle w:val="5"/>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snapToGrid/>
          <w:color w:val="000000" w:themeColor="text1"/>
          <w:kern w:val="2"/>
          <w:sz w:val="24"/>
          <w:highlight w:val="none"/>
          <w14:textFill>
            <w14:solidFill>
              <w14:schemeClr w14:val="tx1"/>
            </w14:solidFill>
          </w14:textFill>
        </w:rPr>
      </w:pPr>
      <w:r>
        <w:rPr>
          <w:rFonts w:ascii="仿宋_GB2312" w:hAnsi="仿宋" w:eastAsia="仿宋_GB2312"/>
          <w:snapToGrid/>
          <w:color w:val="000000" w:themeColor="text1"/>
          <w:kern w:val="2"/>
          <w:sz w:val="24"/>
          <w:highlight w:val="none"/>
          <w14:textFill>
            <w14:solidFill>
              <w14:schemeClr w14:val="tx1"/>
            </w14:solidFill>
          </w14:textFill>
        </w:rPr>
        <w:t>4.2.2.1对</w:t>
      </w:r>
      <w:r>
        <w:rPr>
          <w:rFonts w:hint="eastAsia" w:ascii="仿宋_GB2312" w:hAnsi="仿宋" w:eastAsia="仿宋_GB2312"/>
          <w:snapToGrid/>
          <w:color w:val="000000" w:themeColor="text1"/>
          <w:kern w:val="2"/>
          <w:sz w:val="24"/>
          <w:highlight w:val="none"/>
          <w:lang w:eastAsia="zh-CN"/>
          <w14:textFill>
            <w14:solidFill>
              <w14:schemeClr w14:val="tx1"/>
            </w14:solidFill>
          </w14:textFill>
        </w:rPr>
        <w:t>征集文件</w:t>
      </w:r>
      <w:r>
        <w:rPr>
          <w:rFonts w:ascii="仿宋_GB2312" w:hAnsi="仿宋" w:eastAsia="仿宋_GB2312"/>
          <w:snapToGrid/>
          <w:color w:val="000000" w:themeColor="text1"/>
          <w:kern w:val="2"/>
          <w:sz w:val="24"/>
          <w:highlight w:val="none"/>
          <w14:textFill>
            <w14:solidFill>
              <w14:schemeClr w14:val="tx1"/>
            </w14:solidFill>
          </w14:textFill>
        </w:rPr>
        <w:t>提出质疑的，质疑期限为供应商获得</w:t>
      </w:r>
      <w:r>
        <w:rPr>
          <w:rFonts w:hint="eastAsia" w:ascii="仿宋_GB2312" w:hAnsi="仿宋" w:eastAsia="仿宋_GB2312"/>
          <w:snapToGrid/>
          <w:color w:val="000000" w:themeColor="text1"/>
          <w:kern w:val="2"/>
          <w:sz w:val="24"/>
          <w:highlight w:val="none"/>
          <w:lang w:eastAsia="zh-CN"/>
          <w14:textFill>
            <w14:solidFill>
              <w14:schemeClr w14:val="tx1"/>
            </w14:solidFill>
          </w14:textFill>
        </w:rPr>
        <w:t>征集文件</w:t>
      </w:r>
      <w:r>
        <w:rPr>
          <w:rFonts w:ascii="仿宋_GB2312" w:hAnsi="仿宋" w:eastAsia="仿宋_GB2312"/>
          <w:snapToGrid/>
          <w:color w:val="000000" w:themeColor="text1"/>
          <w:kern w:val="2"/>
          <w:sz w:val="24"/>
          <w:highlight w:val="none"/>
          <w14:textFill>
            <w14:solidFill>
              <w14:schemeClr w14:val="tx1"/>
            </w14:solidFill>
          </w14:textFill>
        </w:rPr>
        <w:t>之日或者</w:t>
      </w:r>
      <w:r>
        <w:rPr>
          <w:rFonts w:hint="eastAsia" w:ascii="仿宋_GB2312" w:hAnsi="仿宋" w:eastAsia="仿宋_GB2312"/>
          <w:snapToGrid/>
          <w:color w:val="000000" w:themeColor="text1"/>
          <w:kern w:val="2"/>
          <w:sz w:val="24"/>
          <w:highlight w:val="none"/>
          <w:lang w:eastAsia="zh-CN"/>
          <w14:textFill>
            <w14:solidFill>
              <w14:schemeClr w14:val="tx1"/>
            </w14:solidFill>
          </w14:textFill>
        </w:rPr>
        <w:t>征集文件</w:t>
      </w:r>
      <w:r>
        <w:rPr>
          <w:rFonts w:ascii="仿宋_GB2312" w:hAnsi="仿宋" w:eastAsia="仿宋_GB2312"/>
          <w:snapToGrid/>
          <w:color w:val="000000" w:themeColor="text1"/>
          <w:kern w:val="2"/>
          <w:sz w:val="24"/>
          <w:highlight w:val="none"/>
          <w14:textFill>
            <w14:solidFill>
              <w14:schemeClr w14:val="tx1"/>
            </w14:solidFill>
          </w14:textFill>
        </w:rPr>
        <w:t>公告期限届满之日起计算。</w:t>
      </w:r>
    </w:p>
    <w:p>
      <w:pPr>
        <w:pStyle w:val="9"/>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9"/>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4.2.2.3对采购结果提出质疑的，质疑期限自采购结果公告期限届满之日起计算。</w:t>
      </w:r>
    </w:p>
    <w:p>
      <w:pPr>
        <w:pStyle w:val="9"/>
        <w:keepNext w:val="0"/>
        <w:keepLines w:val="0"/>
        <w:pageBreakBefore w:val="0"/>
        <w:kinsoku/>
        <w:wordWrap/>
        <w:overflowPunct/>
        <w:topLinePunct w:val="0"/>
        <w:autoSpaceDE/>
        <w:autoSpaceDN/>
        <w:bidi w:val="0"/>
        <w:snapToGrid w:val="0"/>
        <w:spacing w:line="360" w:lineRule="auto"/>
        <w:ind w:firstLine="480" w:firstLineChars="200"/>
        <w:contextualSpacing/>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w:t>
      </w:r>
      <w:r>
        <w:rPr>
          <w:rFonts w:hint="eastAsia" w:ascii="仿宋_GB2312" w:hAnsi="仿宋" w:eastAsia="仿宋_GB2312"/>
          <w:color w:val="000000" w:themeColor="text1"/>
          <w:sz w:val="24"/>
          <w:highlight w:val="none"/>
          <w14:textFill>
            <w14:solidFill>
              <w14:schemeClr w14:val="tx1"/>
            </w14:solidFill>
          </w14:textFill>
        </w:rPr>
        <w:t>供应商提出质疑应当提交质疑函和必要的证明材料。质疑函应当包括下列内容：</w:t>
      </w:r>
    </w:p>
    <w:p>
      <w:pPr>
        <w:pStyle w:val="17"/>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4.2.3.1</w:t>
      </w:r>
      <w:r>
        <w:rPr>
          <w:rFonts w:hint="eastAsia" w:ascii="仿宋_GB2312" w:hAnsi="仿宋" w:eastAsia="仿宋_GB2312" w:cs="Arial"/>
          <w:snapToGrid w:val="0"/>
          <w:color w:val="000000" w:themeColor="text1"/>
          <w:kern w:val="2"/>
          <w:highlight w:val="none"/>
          <w14:textFill>
            <w14:solidFill>
              <w14:schemeClr w14:val="tx1"/>
            </w14:solidFill>
          </w14:textFill>
        </w:rPr>
        <w:t>供应商的姓名或者名称、地址、邮编、联系人及联系电话；</w:t>
      </w:r>
    </w:p>
    <w:p>
      <w:pPr>
        <w:pStyle w:val="17"/>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4.2.3.2</w:t>
      </w:r>
      <w:r>
        <w:rPr>
          <w:rFonts w:hint="eastAsia" w:ascii="仿宋_GB2312" w:hAnsi="仿宋" w:eastAsia="仿宋_GB2312" w:cs="Arial"/>
          <w:snapToGrid w:val="0"/>
          <w:color w:val="000000" w:themeColor="text1"/>
          <w:kern w:val="2"/>
          <w:highlight w:val="none"/>
          <w14:textFill>
            <w14:solidFill>
              <w14:schemeClr w14:val="tx1"/>
            </w14:solidFill>
          </w14:textFill>
        </w:rPr>
        <w:t>质疑项目的名称、编号；</w:t>
      </w:r>
    </w:p>
    <w:p>
      <w:pPr>
        <w:pStyle w:val="17"/>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4.2.3.3</w:t>
      </w:r>
      <w:r>
        <w:rPr>
          <w:rFonts w:hint="eastAsia" w:ascii="仿宋_GB2312" w:hAnsi="仿宋" w:eastAsia="仿宋_GB2312" w:cs="Arial"/>
          <w:snapToGrid w:val="0"/>
          <w:color w:val="000000" w:themeColor="text1"/>
          <w:kern w:val="2"/>
          <w:highlight w:val="none"/>
          <w14:textFill>
            <w14:solidFill>
              <w14:schemeClr w14:val="tx1"/>
            </w14:solidFill>
          </w14:textFill>
        </w:rPr>
        <w:t>具体、明确的质疑事项和与质疑事项相关的请求；</w:t>
      </w:r>
    </w:p>
    <w:p>
      <w:pPr>
        <w:pStyle w:val="17"/>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4.2.3.4</w:t>
      </w:r>
      <w:r>
        <w:rPr>
          <w:rFonts w:hint="eastAsia" w:ascii="仿宋_GB2312" w:hAnsi="仿宋" w:eastAsia="仿宋_GB2312" w:cs="Arial"/>
          <w:snapToGrid w:val="0"/>
          <w:color w:val="000000" w:themeColor="text1"/>
          <w:kern w:val="2"/>
          <w:highlight w:val="none"/>
          <w14:textFill>
            <w14:solidFill>
              <w14:schemeClr w14:val="tx1"/>
            </w14:solidFill>
          </w14:textFill>
        </w:rPr>
        <w:t>事实依据；</w:t>
      </w:r>
    </w:p>
    <w:p>
      <w:pPr>
        <w:pStyle w:val="17"/>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4.2.3.5</w:t>
      </w:r>
      <w:r>
        <w:rPr>
          <w:rFonts w:hint="eastAsia" w:ascii="仿宋_GB2312" w:hAnsi="仿宋" w:eastAsia="仿宋_GB2312" w:cs="Arial"/>
          <w:snapToGrid w:val="0"/>
          <w:color w:val="000000" w:themeColor="text1"/>
          <w:kern w:val="2"/>
          <w:highlight w:val="none"/>
          <w14:textFill>
            <w14:solidFill>
              <w14:schemeClr w14:val="tx1"/>
            </w14:solidFill>
          </w14:textFill>
        </w:rPr>
        <w:t>必要的法律依据；</w:t>
      </w:r>
    </w:p>
    <w:p>
      <w:pPr>
        <w:pStyle w:val="17"/>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876" w:firstLineChars="365"/>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4.2.3.6</w:t>
      </w:r>
      <w:r>
        <w:rPr>
          <w:rFonts w:hint="eastAsia" w:ascii="仿宋_GB2312" w:hAnsi="仿宋" w:eastAsia="仿宋_GB2312" w:cs="Arial"/>
          <w:snapToGrid w:val="0"/>
          <w:color w:val="000000" w:themeColor="text1"/>
          <w:kern w:val="2"/>
          <w:highlight w:val="none"/>
          <w14:textFill>
            <w14:solidFill>
              <w14:schemeClr w14:val="tx1"/>
            </w14:solidFill>
          </w14:textFill>
        </w:rPr>
        <w:t>提出质疑的日期。</w:t>
      </w:r>
    </w:p>
    <w:p>
      <w:pPr>
        <w:pStyle w:val="17"/>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w:t>
      </w:r>
      <w:r>
        <w:rPr>
          <w:rFonts w:hint="eastAsia" w:ascii="仿宋_GB2312" w:hAnsi="仿宋" w:eastAsia="仿宋_GB2312" w:cs="Arial"/>
          <w:snapToGrid w:val="0"/>
          <w:color w:val="000000" w:themeColor="text1"/>
          <w:kern w:val="2"/>
          <w:highlight w:val="none"/>
          <w14:textFill>
            <w14:solidFill>
              <w14:schemeClr w14:val="tx1"/>
            </w14:solidFill>
          </w14:textFill>
        </w:rPr>
        <w:t>章。</w:t>
      </w:r>
    </w:p>
    <w:p>
      <w:pPr>
        <w:pStyle w:val="17"/>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质疑函范本及制作说明详见附件2。</w:t>
      </w:r>
    </w:p>
    <w:p>
      <w:pPr>
        <w:pStyle w:val="17"/>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.4</w:t>
      </w:r>
      <w:r>
        <w:rPr>
          <w:rFonts w:hint="eastAsia" w:ascii="仿宋_GB2312" w:hAnsi="仿宋" w:eastAsia="仿宋_GB2312"/>
          <w:color w:val="000000" w:themeColor="text1"/>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themeColor="text1"/>
          <w:highlight w:val="none"/>
          <w14:textFill>
            <w14:solidFill>
              <w14:schemeClr w14:val="tx1"/>
            </w14:solidFill>
          </w14:textFill>
        </w:rPr>
        <w:t>2021〕17号）,</w:t>
      </w:r>
      <w:r>
        <w:rPr>
          <w:rFonts w:hint="eastAsia" w:ascii="仿宋_GB2312" w:hAnsi="仿宋" w:eastAsia="仿宋_GB2312"/>
          <w:color w:val="000000" w:themeColor="text1"/>
          <w:highlight w:val="none"/>
          <w14:textFill>
            <w14:solidFill>
              <w14:schemeClr w14:val="tx1"/>
            </w14:solidFill>
          </w14:textFill>
        </w:rPr>
        <w:t>采购人或者采购机构在质疑回复后</w:t>
      </w:r>
      <w:r>
        <w:rPr>
          <w:rFonts w:ascii="仿宋_GB2312" w:hAnsi="仿宋" w:eastAsia="仿宋_GB2312"/>
          <w:color w:val="000000" w:themeColor="text1"/>
          <w:highlight w:val="none"/>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olor w:val="000000" w:themeColor="text1"/>
          <w:highlight w:val="none"/>
          <w14:textFill>
            <w14:solidFill>
              <w14:schemeClr w14:val="tx1"/>
            </w14:solidFill>
          </w14:textFill>
        </w:rPr>
        <w:t>函作为附件上传。</w:t>
      </w:r>
    </w:p>
    <w:p>
      <w:pPr>
        <w:pStyle w:val="17"/>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17"/>
        <w:shd w:val="clear" w:color="auto" w:fill="FFFFFF"/>
        <w:snapToGrid w:val="0"/>
        <w:spacing w:after="240" w:afterAutospacing="0" w:line="360" w:lineRule="auto"/>
        <w:ind w:firstLine="480" w:firstLineChars="200"/>
        <w:contextualSpacing/>
        <w:rPr>
          <w:rFonts w:ascii="仿宋_GB2312" w:hAnsi="仿宋" w:eastAsia="仿宋_GB2312" w:cs="微软雅黑"/>
          <w:color w:val="000000" w:themeColor="text1"/>
          <w:highlight w:val="none"/>
          <w:lang w:val="zh-CN"/>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4.3供应商投诉</w:t>
      </w:r>
    </w:p>
    <w:p>
      <w:pPr>
        <w:pStyle w:val="1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1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1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1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17"/>
        <w:shd w:val="clear" w:color="auto" w:fill="FFFFFF"/>
        <w:snapToGrid w:val="0"/>
        <w:spacing w:after="240" w:afterAutospacing="0" w:line="360" w:lineRule="auto"/>
        <w:ind w:firstLine="400"/>
        <w:contextualSpacing/>
      </w:pPr>
      <w:r>
        <w:rPr>
          <w:rFonts w:hint="eastAsia" w:ascii="仿宋_GB2312" w:hAnsi="仿宋" w:eastAsia="仿宋_GB2312"/>
        </w:rPr>
        <w:t>投诉书范本及制作说明详见附件</w:t>
      </w:r>
      <w:r>
        <w:rPr>
          <w:rFonts w:ascii="仿宋_GB2312" w:hAnsi="仿宋" w:eastAsia="仿宋_GB2312"/>
        </w:rPr>
        <w:t>3。</w:t>
      </w: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w:t>
      </w:r>
      <w:r>
        <w:rPr>
          <w:rFonts w:hint="eastAsia" w:ascii="仿宋_GB2312" w:hAnsi="仿宋" w:eastAsia="仿宋_GB2312" w:cs="仿宋_GB2312"/>
          <w:b/>
          <w:sz w:val="32"/>
          <w:szCs w:val="20"/>
          <w:lang w:eastAsia="zh-CN"/>
        </w:rPr>
        <w:t>征集</w:t>
      </w:r>
      <w:r>
        <w:rPr>
          <w:rFonts w:hint="eastAsia" w:ascii="仿宋_GB2312" w:hAnsi="仿宋" w:eastAsia="仿宋_GB2312" w:cs="仿宋_GB2312"/>
          <w:b/>
          <w:sz w:val="32"/>
          <w:szCs w:val="20"/>
        </w:rPr>
        <w:t>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w:t>
      </w:r>
      <w:r>
        <w:rPr>
          <w:rFonts w:hint="eastAsia" w:ascii="仿宋_GB2312" w:hAnsi="仿宋" w:eastAsia="仿宋_GB2312" w:cs="仿宋_GB2312"/>
          <w:b/>
          <w:snapToGrid w:val="0"/>
          <w:sz w:val="24"/>
          <w:szCs w:val="24"/>
          <w:lang w:eastAsia="zh-CN"/>
        </w:rPr>
        <w:t>征集</w:t>
      </w:r>
      <w:r>
        <w:rPr>
          <w:rFonts w:hint="eastAsia" w:ascii="仿宋_GB2312" w:hAnsi="仿宋" w:eastAsia="仿宋_GB2312" w:cs="仿宋_GB2312"/>
          <w:b/>
          <w:snapToGrid w:val="0"/>
          <w:sz w:val="24"/>
          <w:szCs w:val="24"/>
        </w:rPr>
        <w:t>文件的构成</w:t>
      </w:r>
    </w:p>
    <w:p>
      <w:pPr>
        <w:pStyle w:val="9"/>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征集</w:t>
      </w:r>
      <w:r>
        <w:rPr>
          <w:rFonts w:hint="eastAsia" w:ascii="仿宋_GB2312" w:hAnsi="仿宋" w:eastAsia="仿宋_GB2312" w:cs="仿宋_GB2312"/>
          <w:color w:val="000000" w:themeColor="text1"/>
          <w:sz w:val="24"/>
          <w:szCs w:val="24"/>
          <w:highlight w:val="none"/>
          <w14:textFill>
            <w14:solidFill>
              <w14:schemeClr w14:val="tx1"/>
            </w14:solidFill>
          </w14:textFill>
        </w:rPr>
        <w:t>文件包括下列文件及附件：</w:t>
      </w:r>
    </w:p>
    <w:p>
      <w:pPr>
        <w:pStyle w:val="9"/>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征集</w:t>
      </w:r>
      <w:r>
        <w:rPr>
          <w:rFonts w:ascii="仿宋_GB2312" w:hAnsi="仿宋" w:eastAsia="仿宋_GB2312" w:cs="仿宋_GB2312"/>
          <w:color w:val="000000" w:themeColor="text1"/>
          <w:sz w:val="24"/>
          <w:szCs w:val="24"/>
          <w:highlight w:val="none"/>
          <w14:textFill>
            <w14:solidFill>
              <w14:schemeClr w14:val="tx1"/>
            </w14:solidFill>
          </w14:textFill>
        </w:rPr>
        <w:t>公告；</w:t>
      </w:r>
    </w:p>
    <w:p>
      <w:pPr>
        <w:pStyle w:val="9"/>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9"/>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9"/>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9"/>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9"/>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w:t>
      </w:r>
      <w:r>
        <w:rPr>
          <w:rFonts w:hint="eastAsia" w:ascii="仿宋_GB2312" w:hAnsi="仿宋" w:eastAsia="仿宋_GB2312"/>
          <w:bCs/>
          <w:color w:val="000000" w:themeColor="text1"/>
          <w:sz w:val="24"/>
          <w:highlight w:val="none"/>
          <w:lang w:eastAsia="zh-CN"/>
          <w14:textFill>
            <w14:solidFill>
              <w14:schemeClr w14:val="tx1"/>
            </w14:solidFill>
          </w14:textFill>
        </w:rPr>
        <w:t>征集</w:t>
      </w:r>
      <w:r>
        <w:rPr>
          <w:rFonts w:hint="eastAsia" w:ascii="仿宋_GB2312" w:hAnsi="仿宋" w:eastAsia="仿宋_GB2312"/>
          <w:bCs/>
          <w:color w:val="000000" w:themeColor="text1"/>
          <w:sz w:val="24"/>
          <w:highlight w:val="none"/>
          <w14:textFill>
            <w14:solidFill>
              <w14:schemeClr w14:val="tx1"/>
            </w14:solidFill>
          </w14:textFill>
        </w:rPr>
        <w:t>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 xml:space="preserve">6. </w:t>
      </w:r>
      <w:r>
        <w:rPr>
          <w:rFonts w:hint="eastAsia" w:ascii="仿宋_GB2312" w:hAnsi="仿宋" w:eastAsia="仿宋_GB2312" w:cs="仿宋_GB2312"/>
          <w:b/>
          <w:snapToGrid w:val="0"/>
          <w:sz w:val="24"/>
          <w:szCs w:val="24"/>
          <w:lang w:eastAsia="zh-CN"/>
        </w:rPr>
        <w:t>征集</w:t>
      </w:r>
      <w:r>
        <w:rPr>
          <w:rFonts w:hint="eastAsia" w:ascii="仿宋_GB2312" w:hAnsi="仿宋" w:eastAsia="仿宋_GB2312" w:cs="仿宋_GB2312"/>
          <w:b/>
          <w:snapToGrid w:val="0"/>
          <w:sz w:val="24"/>
          <w:szCs w:val="24"/>
        </w:rPr>
        <w:t>文件的澄清、修改</w:t>
      </w:r>
    </w:p>
    <w:p>
      <w:pPr>
        <w:pStyle w:val="9"/>
        <w:tabs>
          <w:tab w:val="left" w:pos="840"/>
        </w:tabs>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6.1已获取</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征集</w:t>
      </w:r>
      <w:r>
        <w:rPr>
          <w:rFonts w:ascii="仿宋_GB2312" w:hAnsi="仿宋" w:eastAsia="仿宋_GB2312" w:cs="仿宋_GB2312"/>
          <w:color w:val="000000" w:themeColor="text1"/>
          <w:sz w:val="24"/>
          <w:szCs w:val="24"/>
          <w:highlight w:val="none"/>
          <w14:textFill>
            <w14:solidFill>
              <w14:schemeClr w14:val="tx1"/>
            </w14:solidFill>
          </w14:textFill>
        </w:rPr>
        <w:t>文件的潜在投标人，若有问题需要澄清，应于</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响应截止</w:t>
      </w:r>
      <w:r>
        <w:rPr>
          <w:rFonts w:ascii="仿宋_GB2312" w:hAnsi="仿宋" w:eastAsia="仿宋_GB2312" w:cs="仿宋_GB2312"/>
          <w:color w:val="000000" w:themeColor="text1"/>
          <w:sz w:val="24"/>
          <w:szCs w:val="24"/>
          <w:highlight w:val="none"/>
          <w14:textFill>
            <w14:solidFill>
              <w14:schemeClr w14:val="tx1"/>
            </w14:solidFill>
          </w14:textFill>
        </w:rPr>
        <w:t>时间前，以书面形式向采购机构提出。</w:t>
      </w:r>
    </w:p>
    <w:p>
      <w:pPr>
        <w:pStyle w:val="9"/>
        <w:tabs>
          <w:tab w:val="left" w:pos="840"/>
        </w:tabs>
        <w:spacing w:line="360" w:lineRule="auto"/>
        <w:ind w:firstLine="480" w:firstLineChars="200"/>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6.2 </w:t>
      </w:r>
      <w:r>
        <w:rPr>
          <w:rFonts w:hint="eastAsia" w:ascii="仿宋_GB2312" w:hAnsi="仿宋" w:eastAsia="仿宋_GB2312" w:cs="仿宋_GB2312"/>
          <w:color w:val="000000" w:themeColor="text1"/>
          <w:sz w:val="24"/>
          <w:szCs w:val="24"/>
          <w:highlight w:val="none"/>
          <w14:textFill>
            <w14:solidFill>
              <w14:schemeClr w14:val="tx1"/>
            </w14:solidFill>
          </w14:textFill>
        </w:rPr>
        <w:t>采购机构对</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征集</w:t>
      </w:r>
      <w:r>
        <w:rPr>
          <w:rFonts w:hint="eastAsia" w:ascii="仿宋_GB2312" w:hAnsi="仿宋" w:eastAsia="仿宋_GB2312" w:cs="仿宋_GB2312"/>
          <w:color w:val="000000" w:themeColor="text1"/>
          <w:sz w:val="24"/>
          <w:szCs w:val="24"/>
          <w:highlight w:val="none"/>
          <w14:textFill>
            <w14:solidFill>
              <w14:schemeClr w14:val="tx1"/>
            </w14:solidFill>
          </w14:textFill>
        </w:rPr>
        <w:t>文件进行澄清或修改的，将同时通过电子交易平台通知已获取</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征集</w:t>
      </w:r>
      <w:r>
        <w:rPr>
          <w:rFonts w:hint="eastAsia" w:ascii="仿宋_GB2312" w:hAnsi="仿宋" w:eastAsia="仿宋_GB2312" w:cs="仿宋_GB2312"/>
          <w:color w:val="000000" w:themeColor="text1"/>
          <w:sz w:val="24"/>
          <w:szCs w:val="24"/>
          <w:highlight w:val="none"/>
          <w14:textFill>
            <w14:solidFill>
              <w14:schemeClr w14:val="tx1"/>
            </w14:solidFill>
          </w14:textFill>
        </w:rPr>
        <w:t>文件的潜在投标人。依法应当公告的，将按规定公告，同时视情况延长</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响应截止</w:t>
      </w:r>
      <w:r>
        <w:rPr>
          <w:rFonts w:hint="eastAsia" w:ascii="仿宋_GB2312" w:hAnsi="仿宋" w:eastAsia="仿宋_GB2312" w:cs="仿宋_GB2312"/>
          <w:color w:val="000000" w:themeColor="text1"/>
          <w:sz w:val="24"/>
          <w:szCs w:val="24"/>
          <w:highlight w:val="none"/>
          <w14:textFill>
            <w14:solidFill>
              <w14:schemeClr w14:val="tx1"/>
            </w14:solidFill>
          </w14:textFill>
        </w:rPr>
        <w:t>时间和开标时间。该澄清或者修改的内容为</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征集</w:t>
      </w:r>
      <w:r>
        <w:rPr>
          <w:rFonts w:hint="eastAsia" w:ascii="仿宋_GB2312" w:hAnsi="仿宋" w:eastAsia="仿宋_GB2312" w:cs="仿宋_GB2312"/>
          <w:color w:val="000000" w:themeColor="text1"/>
          <w:sz w:val="24"/>
          <w:szCs w:val="24"/>
          <w:highlight w:val="none"/>
          <w14:textFill>
            <w14:solidFill>
              <w14:schemeClr w14:val="tx1"/>
            </w14:solidFill>
          </w14:textFill>
        </w:rPr>
        <w:t>文件的组成部分。</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 xml:space="preserve">7. </w:t>
      </w:r>
      <w:r>
        <w:rPr>
          <w:rFonts w:hint="eastAsia" w:ascii="仿宋_GB2312" w:hAnsi="仿宋" w:eastAsia="仿宋_GB2312" w:cs="仿宋_GB2312"/>
          <w:b/>
          <w:snapToGrid w:val="0"/>
          <w:sz w:val="24"/>
          <w:szCs w:val="24"/>
          <w:lang w:eastAsia="zh-CN"/>
        </w:rPr>
        <w:t>征集</w:t>
      </w:r>
      <w:r>
        <w:rPr>
          <w:rFonts w:hint="eastAsia" w:ascii="仿宋_GB2312" w:hAnsi="仿宋" w:eastAsia="仿宋_GB2312" w:cs="仿宋_GB2312"/>
          <w:b/>
          <w:snapToGrid w:val="0"/>
          <w:sz w:val="24"/>
          <w:szCs w:val="24"/>
        </w:rPr>
        <w:t>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w:t>
      </w:r>
      <w:r>
        <w:rPr>
          <w:rFonts w:hint="eastAsia" w:ascii="仿宋_GB2312" w:hAnsi="仿宋" w:eastAsia="仿宋_GB2312" w:cs="仿宋_GB2312"/>
          <w:snapToGrid w:val="0"/>
          <w:kern w:val="28"/>
          <w:sz w:val="24"/>
          <w:szCs w:val="24"/>
          <w:lang w:eastAsia="zh-CN"/>
        </w:rPr>
        <w:t>征集</w:t>
      </w:r>
      <w:r>
        <w:rPr>
          <w:rFonts w:hint="eastAsia" w:ascii="仿宋_GB2312" w:hAnsi="仿宋" w:eastAsia="仿宋_GB2312" w:cs="仿宋_GB2312"/>
          <w:snapToGrid w:val="0"/>
          <w:kern w:val="28"/>
          <w:sz w:val="24"/>
          <w:szCs w:val="24"/>
        </w:rPr>
        <w:t>公告中获取</w:t>
      </w:r>
      <w:r>
        <w:rPr>
          <w:rFonts w:hint="eastAsia" w:ascii="仿宋_GB2312" w:hAnsi="仿宋" w:eastAsia="仿宋_GB2312" w:cs="仿宋_GB2312"/>
          <w:snapToGrid w:val="0"/>
          <w:kern w:val="28"/>
          <w:sz w:val="24"/>
          <w:szCs w:val="24"/>
          <w:lang w:eastAsia="zh-CN"/>
        </w:rPr>
        <w:t>征集</w:t>
      </w:r>
      <w:r>
        <w:rPr>
          <w:rFonts w:hint="eastAsia" w:ascii="仿宋_GB2312" w:hAnsi="仿宋" w:eastAsia="仿宋_GB2312" w:cs="仿宋_GB2312"/>
          <w:snapToGrid w:val="0"/>
          <w:kern w:val="28"/>
          <w:sz w:val="24"/>
          <w:szCs w:val="24"/>
        </w:rPr>
        <w:t>文件的时间期限、地点、方式及</w:t>
      </w:r>
      <w:r>
        <w:rPr>
          <w:rFonts w:hint="eastAsia" w:ascii="仿宋_GB2312" w:hAnsi="仿宋" w:eastAsia="仿宋_GB2312" w:cs="仿宋_GB2312"/>
          <w:snapToGrid w:val="0"/>
          <w:kern w:val="28"/>
          <w:sz w:val="24"/>
          <w:szCs w:val="24"/>
          <w:lang w:eastAsia="zh-CN"/>
        </w:rPr>
        <w:t>征集</w:t>
      </w:r>
      <w:r>
        <w:rPr>
          <w:rFonts w:hint="eastAsia" w:ascii="仿宋_GB2312" w:hAnsi="仿宋" w:eastAsia="仿宋_GB2312" w:cs="仿宋_GB2312"/>
          <w:snapToGrid w:val="0"/>
          <w:kern w:val="28"/>
          <w:sz w:val="24"/>
          <w:szCs w:val="24"/>
        </w:rPr>
        <w:t>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pStyle w:val="9"/>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olor w:val="000000" w:themeColor="text1"/>
          <w:sz w:val="24"/>
          <w:szCs w:val="24"/>
          <w:highlight w:val="none"/>
          <w:lang w:eastAsia="zh-CN"/>
          <w14:textFill>
            <w14:solidFill>
              <w14:schemeClr w14:val="tx1"/>
            </w14:solidFill>
          </w14:textFill>
        </w:rPr>
        <w:t>征集</w:t>
      </w:r>
      <w:r>
        <w:rPr>
          <w:rFonts w:hint="eastAsia" w:ascii="仿宋_GB2312" w:hAnsi="仿宋" w:eastAsia="仿宋_GB2312"/>
          <w:color w:val="000000" w:themeColor="text1"/>
          <w:sz w:val="24"/>
          <w:szCs w:val="24"/>
          <w:highlight w:val="none"/>
          <w14:textFill>
            <w14:solidFill>
              <w14:schemeClr w14:val="tx1"/>
            </w14:solidFill>
          </w14:textFill>
        </w:rPr>
        <w:t>人组织潜在投标人现场考察或者召开开标前答疑会的，潜在投标人按第二部分投标人须知前附表的规定参加现场考察或者开标前答疑会。</w:t>
      </w:r>
    </w:p>
    <w:p>
      <w:pPr>
        <w:adjustRightInd w:val="0"/>
        <w:spacing w:line="360" w:lineRule="auto"/>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adjustRightIn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 xml:space="preserve">10. </w:t>
      </w:r>
      <w:r>
        <w:rPr>
          <w:rFonts w:hint="eastAsia" w:ascii="仿宋_GB2312" w:hAnsi="仿宋" w:eastAsia="仿宋_GB2312" w:cs="仿宋_GB2312"/>
          <w:b/>
          <w:snapToGrid w:val="0"/>
          <w:sz w:val="24"/>
          <w:szCs w:val="24"/>
          <w:lang w:eastAsia="zh-CN"/>
        </w:rPr>
        <w:t>响应</w:t>
      </w:r>
      <w:r>
        <w:rPr>
          <w:rFonts w:hint="eastAsia" w:ascii="仿宋_GB2312" w:hAnsi="仿宋" w:eastAsia="仿宋_GB2312" w:cs="仿宋_GB2312"/>
          <w:b/>
          <w:snapToGrid w:val="0"/>
          <w:sz w:val="24"/>
          <w:szCs w:val="24"/>
        </w:rPr>
        <w:t>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 w:eastAsia="仿宋_GB2312" w:cs="仿宋_GB2312"/>
          <w:sz w:val="24"/>
          <w:szCs w:val="24"/>
          <w:lang w:eastAsia="zh-CN"/>
        </w:rPr>
        <w:t>响应文件</w:t>
      </w:r>
      <w:r>
        <w:rPr>
          <w:rFonts w:hint="eastAsia" w:ascii="仿宋_GB2312" w:hAnsi="仿宋_GB2312" w:eastAsia="仿宋_GB2312" w:cs="仿宋_GB2312"/>
          <w:sz w:val="24"/>
          <w:szCs w:val="24"/>
        </w:rPr>
        <w:t>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 xml:space="preserve">11. </w:t>
      </w:r>
      <w:r>
        <w:rPr>
          <w:rFonts w:hint="eastAsia" w:ascii="仿宋_GB2312" w:hAnsi="仿宋_GB2312" w:eastAsia="仿宋_GB2312" w:cs="仿宋_GB2312"/>
          <w:b/>
          <w:snapToGrid w:val="0"/>
          <w:sz w:val="24"/>
          <w:szCs w:val="24"/>
          <w:lang w:eastAsia="zh-CN"/>
        </w:rPr>
        <w:t>响应</w:t>
      </w:r>
      <w:r>
        <w:rPr>
          <w:rFonts w:hint="eastAsia" w:ascii="仿宋_GB2312" w:hAnsi="仿宋_GB2312" w:eastAsia="仿宋_GB2312" w:cs="仿宋_GB2312"/>
          <w:b/>
          <w:snapToGrid w:val="0"/>
          <w:sz w:val="24"/>
          <w:szCs w:val="24"/>
        </w:rPr>
        <w:t>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仿宋_GB2312" w:hAnsi="仿宋" w:eastAsia="仿宋_GB2312" w:cs="仿宋_GB2312"/>
          <w:color w:val="000000" w:themeColor="text1"/>
          <w:sz w:val="24"/>
          <w:highlight w:val="none"/>
          <w:lang w:eastAsia="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r>
        <w:rPr>
          <w:rFonts w:hint="eastAsia" w:ascii="仿宋_GB2312" w:hAnsi="仿宋" w:eastAsia="仿宋_GB2312" w:cs="仿宋_GB2312"/>
          <w:color w:val="000000" w:themeColor="text1"/>
          <w:sz w:val="24"/>
          <w:highlight w:val="none"/>
          <w:lang w:eastAsia="zh-CN"/>
          <w14:textFill>
            <w14:solidFill>
              <w14:schemeClr w14:val="tx1"/>
            </w14:solidFill>
          </w14:textFill>
        </w:rPr>
        <w:t>。</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lang w:eastAsia="zh-CN"/>
          <w14:textFill>
            <w14:solidFill>
              <w14:schemeClr w14:val="tx1"/>
            </w14:solidFill>
          </w14:textFill>
        </w:rPr>
        <w:t>响应</w:t>
      </w:r>
      <w:r>
        <w:rPr>
          <w:rFonts w:hint="eastAsia" w:ascii="仿宋_GB2312" w:hAnsi="仿宋" w:eastAsia="仿宋_GB2312"/>
          <w:b/>
          <w:color w:val="000000" w:themeColor="text1"/>
          <w:sz w:val="24"/>
          <w:highlight w:val="none"/>
          <w14:textFill>
            <w14:solidFill>
              <w14:schemeClr w14:val="tx1"/>
            </w14:solidFill>
          </w14:textFill>
        </w:rPr>
        <w:t>文件含有</w:t>
      </w:r>
      <w:r>
        <w:rPr>
          <w:rFonts w:hint="eastAsia" w:ascii="仿宋_GB2312" w:hAnsi="仿宋" w:eastAsia="仿宋_GB2312"/>
          <w:b/>
          <w:color w:val="000000" w:themeColor="text1"/>
          <w:sz w:val="24"/>
          <w:highlight w:val="none"/>
          <w:lang w:eastAsia="zh-CN"/>
          <w14:textFill>
            <w14:solidFill>
              <w14:schemeClr w14:val="tx1"/>
            </w14:solidFill>
          </w14:textFill>
        </w:rPr>
        <w:t>征集</w:t>
      </w:r>
      <w:r>
        <w:rPr>
          <w:rFonts w:hint="eastAsia" w:ascii="仿宋_GB2312" w:hAnsi="仿宋" w:eastAsia="仿宋_GB2312"/>
          <w:b/>
          <w:color w:val="000000" w:themeColor="text1"/>
          <w:sz w:val="24"/>
          <w:highlight w:val="none"/>
          <w14:textFill>
            <w14:solidFill>
              <w14:schemeClr w14:val="tx1"/>
            </w14:solidFill>
          </w14:textFill>
        </w:rPr>
        <w:t>人不能接受的附加条件的，</w:t>
      </w:r>
      <w:r>
        <w:rPr>
          <w:rFonts w:hint="eastAsia" w:ascii="仿宋_GB2312" w:hAnsi="仿宋" w:eastAsia="仿宋_GB2312"/>
          <w:b/>
          <w:color w:val="000000" w:themeColor="text1"/>
          <w:sz w:val="24"/>
          <w:highlight w:val="none"/>
          <w:lang w:eastAsia="zh-CN"/>
          <w14:textFill>
            <w14:solidFill>
              <w14:schemeClr w14:val="tx1"/>
            </w14:solidFill>
          </w14:textFill>
        </w:rPr>
        <w:t>响应</w:t>
      </w:r>
      <w:r>
        <w:rPr>
          <w:rFonts w:hint="eastAsia" w:ascii="仿宋_GB2312" w:hAnsi="仿宋" w:eastAsia="仿宋_GB2312"/>
          <w:b/>
          <w:color w:val="000000" w:themeColor="text1"/>
          <w:sz w:val="24"/>
          <w:highlight w:val="none"/>
          <w14:textFill>
            <w14:solidFill>
              <w14:schemeClr w14:val="tx1"/>
            </w14:solidFill>
          </w14:textFill>
        </w:rPr>
        <w:t>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w:t>
      </w:r>
      <w:r>
        <w:rPr>
          <w:rFonts w:hint="eastAsia" w:ascii="仿宋_GB2312" w:hAnsi="仿宋" w:eastAsia="仿宋_GB2312"/>
          <w:b/>
          <w:color w:val="000000" w:themeColor="text1"/>
          <w:sz w:val="24"/>
          <w:highlight w:val="none"/>
          <w:lang w:eastAsia="zh-CN"/>
          <w14:textFill>
            <w14:solidFill>
              <w14:schemeClr w14:val="tx1"/>
            </w14:solidFill>
          </w14:textFill>
        </w:rPr>
        <w:t>响应</w:t>
      </w:r>
      <w:r>
        <w:rPr>
          <w:rFonts w:hint="eastAsia" w:ascii="仿宋_GB2312" w:hAnsi="仿宋" w:eastAsia="仿宋_GB2312"/>
          <w:b/>
          <w:color w:val="000000" w:themeColor="text1"/>
          <w:sz w:val="24"/>
          <w:highlight w:val="none"/>
          <w14:textFill>
            <w14:solidFill>
              <w14:schemeClr w14:val="tx1"/>
            </w14:solidFill>
          </w14:textFill>
        </w:rPr>
        <w:t>的，</w:t>
      </w:r>
      <w:r>
        <w:rPr>
          <w:rFonts w:hint="eastAsia" w:ascii="仿宋_GB2312" w:hAnsi="仿宋" w:eastAsia="仿宋_GB2312"/>
          <w:b/>
          <w:color w:val="000000" w:themeColor="text1"/>
          <w:sz w:val="24"/>
          <w:highlight w:val="none"/>
          <w:lang w:eastAsia="zh-CN"/>
          <w14:textFill>
            <w14:solidFill>
              <w14:schemeClr w14:val="tx1"/>
            </w14:solidFill>
          </w14:textFill>
        </w:rPr>
        <w:t>响应</w:t>
      </w:r>
      <w:r>
        <w:rPr>
          <w:rFonts w:hint="eastAsia" w:ascii="仿宋_GB2312" w:hAnsi="仿宋" w:eastAsia="仿宋_GB2312"/>
          <w:b/>
          <w:color w:val="000000" w:themeColor="text1"/>
          <w:sz w:val="24"/>
          <w:highlight w:val="none"/>
          <w14:textFill>
            <w14:solidFill>
              <w14:schemeClr w14:val="tx1"/>
            </w14:solidFill>
          </w14:textFill>
        </w:rPr>
        <w:t>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lang w:eastAsia="zh-CN"/>
        </w:rPr>
        <w:t>响应</w:t>
      </w:r>
      <w:r>
        <w:rPr>
          <w:rFonts w:hint="eastAsia" w:ascii="仿宋_GB2312" w:hAnsi="仿宋_GB2312" w:eastAsia="仿宋_GB2312" w:cs="仿宋_GB2312"/>
          <w:b/>
          <w:sz w:val="24"/>
          <w:szCs w:val="24"/>
        </w:rPr>
        <w:t>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响应</w:t>
      </w:r>
      <w:r>
        <w:rPr>
          <w:rFonts w:ascii="仿宋_GB2312" w:hAnsi="仿宋" w:eastAsia="仿宋_GB2312" w:cs="仿宋_GB2312"/>
          <w:color w:val="000000" w:themeColor="text1"/>
          <w:kern w:val="0"/>
          <w:sz w:val="24"/>
          <w:highlight w:val="none"/>
          <w:lang w:val="zh-CN"/>
          <w14:textFill>
            <w14:solidFill>
              <w14:schemeClr w14:val="tx1"/>
            </w14:solidFill>
          </w14:textFill>
        </w:rPr>
        <w:t>文件分为资格文件、商务技术文件、报价文件三部分。各投标人在编制</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响应</w:t>
      </w:r>
      <w:r>
        <w:rPr>
          <w:rFonts w:ascii="仿宋_GB2312" w:hAnsi="仿宋" w:eastAsia="仿宋_GB2312" w:cs="仿宋_GB2312"/>
          <w:color w:val="000000" w:themeColor="text1"/>
          <w:kern w:val="0"/>
          <w:sz w:val="24"/>
          <w:highlight w:val="none"/>
          <w:lang w:val="zh-CN"/>
          <w14:textFill>
            <w14:solidFill>
              <w14:schemeClr w14:val="tx1"/>
            </w14:solidFill>
          </w14:textFill>
        </w:rPr>
        <w:t>文件时请按照</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征集</w:t>
      </w:r>
      <w:r>
        <w:rPr>
          <w:rFonts w:ascii="仿宋_GB2312" w:hAnsi="仿宋" w:eastAsia="仿宋_GB2312" w:cs="仿宋_GB2312"/>
          <w:color w:val="000000" w:themeColor="text1"/>
          <w:kern w:val="0"/>
          <w:sz w:val="24"/>
          <w:highlight w:val="none"/>
          <w:lang w:val="zh-CN"/>
          <w14:textFill>
            <w14:solidFill>
              <w14:schemeClr w14:val="tx1"/>
            </w14:solidFill>
          </w14:textFill>
        </w:rPr>
        <w:t>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分规定的格式进行，混乱的编排导致响应文件被误读或评标委员会查找不到有效文件是投标人的风险。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采云电子交易客户端”，并按照征集文件和电子交易平台的要求编制并加密响应文件。投标人未按规定加密的响应文件，电子交易平台将拒收并提示。</w:t>
      </w:r>
    </w:p>
    <w:p>
      <w:pPr>
        <w:adjustRightInd w:val="0"/>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w:t>
      </w:r>
      <w:r>
        <w:rPr>
          <w:rFonts w:hint="eastAsia" w:ascii="仿宋_GB2312" w:hAnsi="仿宋_GB2312" w:eastAsia="仿宋_GB2312" w:cs="仿宋_GB2312"/>
          <w:b/>
          <w:sz w:val="24"/>
          <w:szCs w:val="24"/>
          <w:lang w:eastAsia="zh-CN"/>
        </w:rPr>
        <w:t>响应</w:t>
      </w:r>
      <w:r>
        <w:rPr>
          <w:rFonts w:hint="eastAsia" w:ascii="仿宋_GB2312" w:hAnsi="仿宋_GB2312" w:eastAsia="仿宋_GB2312" w:cs="仿宋_GB2312"/>
          <w:b/>
          <w:sz w:val="24"/>
          <w:szCs w:val="24"/>
        </w:rPr>
        <w:t>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szCs w:val="24"/>
        </w:rPr>
        <w:t>13.1</w:t>
      </w: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文件按照</w:t>
      </w:r>
      <w:r>
        <w:rPr>
          <w:rFonts w:hint="eastAsia" w:ascii="仿宋_GB2312" w:hAnsi="仿宋_GB2312" w:eastAsia="仿宋_GB2312" w:cs="仿宋_GB2312"/>
          <w:sz w:val="24"/>
          <w:szCs w:val="24"/>
          <w:lang w:eastAsia="zh-CN"/>
        </w:rPr>
        <w:t>征集</w:t>
      </w:r>
      <w:r>
        <w:rPr>
          <w:rFonts w:hint="eastAsia" w:ascii="仿宋_GB2312" w:hAnsi="仿宋_GB2312" w:eastAsia="仿宋_GB2312" w:cs="仿宋_GB2312"/>
          <w:sz w:val="24"/>
          <w:szCs w:val="24"/>
        </w:rPr>
        <w:t>文件第六部分格式要</w:t>
      </w:r>
      <w:r>
        <w:rPr>
          <w:rFonts w:hint="eastAsia" w:ascii="仿宋_GB2312" w:hAnsi="仿宋_GB2312" w:eastAsia="仿宋_GB2312" w:cs="仿宋_GB2312"/>
          <w:sz w:val="24"/>
        </w:rPr>
        <w:t>求进行签署、盖章。</w:t>
      </w:r>
      <w:r>
        <w:rPr>
          <w:rFonts w:hint="eastAsia" w:ascii="仿宋_GB2312" w:hAnsi="仿宋_GB2312" w:eastAsia="仿宋_GB2312" w:cs="仿宋_GB2312"/>
          <w:b/>
          <w:sz w:val="24"/>
        </w:rPr>
        <w:t>▲投标人的</w:t>
      </w:r>
      <w:r>
        <w:rPr>
          <w:rFonts w:hint="eastAsia" w:ascii="仿宋_GB2312" w:hAnsi="仿宋_GB2312" w:eastAsia="仿宋_GB2312" w:cs="仿宋_GB2312"/>
          <w:b/>
          <w:sz w:val="24"/>
          <w:lang w:eastAsia="zh-CN"/>
        </w:rPr>
        <w:t>响应</w:t>
      </w:r>
      <w:r>
        <w:rPr>
          <w:rFonts w:hint="eastAsia" w:ascii="仿宋_GB2312" w:hAnsi="仿宋_GB2312" w:eastAsia="仿宋_GB2312" w:cs="仿宋_GB2312"/>
          <w:b/>
          <w:sz w:val="24"/>
        </w:rPr>
        <w:t>文件未按照</w:t>
      </w:r>
      <w:r>
        <w:rPr>
          <w:rFonts w:hint="eastAsia" w:ascii="仿宋_GB2312" w:hAnsi="仿宋_GB2312" w:eastAsia="仿宋_GB2312" w:cs="仿宋_GB2312"/>
          <w:b/>
          <w:sz w:val="24"/>
          <w:lang w:eastAsia="zh-CN"/>
        </w:rPr>
        <w:t>征集</w:t>
      </w:r>
      <w:r>
        <w:rPr>
          <w:rFonts w:hint="eastAsia" w:ascii="仿宋_GB2312" w:hAnsi="仿宋_GB2312" w:eastAsia="仿宋_GB2312" w:cs="仿宋_GB2312"/>
          <w:b/>
          <w:sz w:val="24"/>
        </w:rPr>
        <w:t>文件要求签署、盖章的，其</w:t>
      </w:r>
      <w:r>
        <w:rPr>
          <w:rFonts w:hint="eastAsia" w:ascii="仿宋_GB2312" w:hAnsi="仿宋_GB2312" w:eastAsia="仿宋_GB2312" w:cs="仿宋_GB2312"/>
          <w:b/>
          <w:sz w:val="24"/>
          <w:lang w:eastAsia="zh-CN"/>
        </w:rPr>
        <w:t>响应</w:t>
      </w:r>
      <w:r>
        <w:rPr>
          <w:rFonts w:hint="eastAsia" w:ascii="仿宋_GB2312" w:hAnsi="仿宋_GB2312" w:eastAsia="仿宋_GB2312" w:cs="仿宋_GB2312"/>
          <w:b/>
          <w:sz w:val="24"/>
        </w:rPr>
        <w:t>无效</w:t>
      </w:r>
      <w:r>
        <w:rPr>
          <w:rFonts w:hint="eastAsia" w:ascii="仿宋_GB2312" w:hAnsi="仿宋_GB2312" w:eastAsia="仿宋_GB2312" w:cs="仿宋_GB2312"/>
          <w:sz w:val="24"/>
          <w:szCs w:val="24"/>
        </w:rPr>
        <w:t>。</w:t>
      </w:r>
    </w:p>
    <w:p>
      <w:pPr>
        <w:adjustRightInd w:val="0"/>
        <w:snapToGrid w:val="0"/>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13.2为确保网上操作合法、有效和安全，投标人应当在</w:t>
      </w:r>
      <w:r>
        <w:rPr>
          <w:rFonts w:hint="eastAsia" w:ascii="仿宋_GB2312" w:hAnsi="仿宋_GB2312" w:eastAsia="仿宋_GB2312" w:cs="仿宋_GB2312"/>
          <w:sz w:val="24"/>
          <w:lang w:eastAsia="zh-CN"/>
        </w:rPr>
        <w:t>响应截止</w:t>
      </w:r>
      <w:r>
        <w:rPr>
          <w:rFonts w:hint="eastAsia" w:ascii="仿宋_GB2312" w:hAnsi="仿宋_GB2312" w:eastAsia="仿宋_GB2312" w:cs="仿宋_GB2312"/>
          <w:sz w:val="24"/>
        </w:rPr>
        <w:t>时间前完成在“政府采购云平台”的身份认证，确保在电子投标过程中能够对相关数据电文进行加密和使用电子签名。</w:t>
      </w:r>
    </w:p>
    <w:p>
      <w:pPr>
        <w:pStyle w:val="2"/>
        <w:numPr>
          <w:ilvl w:val="0"/>
          <w:numId w:val="0"/>
        </w:numPr>
        <w:ind w:leftChars="0" w:firstLine="480" w:firstLineChars="200"/>
        <w:rPr>
          <w:rFonts w:hint="eastAsia" w:ascii="仿宋_GB2312" w:hAnsi="仿宋_GB2312" w:eastAsia="仿宋_GB2312" w:cs="仿宋_GB2312"/>
          <w:b w:val="0"/>
          <w:bCs w:val="0"/>
          <w:kern w:val="2"/>
          <w:sz w:val="24"/>
          <w:szCs w:val="22"/>
          <w:lang w:val="en-US" w:eastAsia="zh-CN" w:bidi="ar-SA"/>
        </w:rPr>
      </w:pPr>
      <w:r>
        <w:rPr>
          <w:rFonts w:hint="eastAsia" w:ascii="仿宋_GB2312" w:hAnsi="仿宋_GB2312" w:eastAsia="仿宋_GB2312" w:cs="仿宋_GB2312"/>
          <w:b w:val="0"/>
          <w:bCs w:val="0"/>
          <w:kern w:val="2"/>
          <w:sz w:val="24"/>
          <w:szCs w:val="22"/>
          <w:lang w:val="en-US" w:eastAsia="zh-CN" w:bidi="ar-SA"/>
        </w:rPr>
        <w:t>13.3</w:t>
      </w:r>
      <w:r>
        <w:rPr>
          <w:rFonts w:hint="eastAsia" w:hAnsi="仿宋_GB2312" w:cs="仿宋_GB2312"/>
          <w:b w:val="0"/>
          <w:bCs w:val="0"/>
          <w:kern w:val="2"/>
          <w:sz w:val="24"/>
          <w:szCs w:val="22"/>
          <w:lang w:val="en-US" w:eastAsia="zh-CN" w:bidi="ar-SA"/>
        </w:rPr>
        <w:t>征集</w:t>
      </w:r>
      <w:r>
        <w:rPr>
          <w:rFonts w:hint="eastAsia" w:ascii="仿宋_GB2312" w:hAnsi="仿宋_GB2312" w:eastAsia="仿宋_GB2312" w:cs="仿宋_GB2312"/>
          <w:b w:val="0"/>
          <w:bCs w:val="0"/>
          <w:kern w:val="2"/>
          <w:sz w:val="24"/>
          <w:szCs w:val="22"/>
          <w:lang w:val="en-US" w:eastAsia="zh-CN" w:bidi="ar-SA"/>
        </w:rPr>
        <w:t>文件对</w:t>
      </w:r>
      <w:r>
        <w:rPr>
          <w:rFonts w:hint="eastAsia" w:hAnsi="仿宋_GB2312" w:cs="仿宋_GB2312"/>
          <w:b w:val="0"/>
          <w:bCs w:val="0"/>
          <w:kern w:val="2"/>
          <w:sz w:val="24"/>
          <w:szCs w:val="22"/>
          <w:lang w:val="en-US" w:eastAsia="zh-CN" w:bidi="ar-SA"/>
        </w:rPr>
        <w:t>响应</w:t>
      </w:r>
      <w:r>
        <w:rPr>
          <w:rFonts w:hint="eastAsia" w:ascii="仿宋_GB2312" w:hAnsi="仿宋_GB2312" w:eastAsia="仿宋_GB2312" w:cs="仿宋_GB2312"/>
          <w:b w:val="0"/>
          <w:bCs w:val="0"/>
          <w:kern w:val="2"/>
          <w:sz w:val="24"/>
          <w:szCs w:val="22"/>
          <w:lang w:val="en-US" w:eastAsia="zh-CN" w:bidi="ar-SA"/>
        </w:rPr>
        <w:t>文件签署、盖章的要求适用于电子签名。</w:t>
      </w:r>
    </w:p>
    <w:p>
      <w:pPr>
        <w:adjustRightInd w:val="0"/>
        <w:spacing w:after="120"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14. </w:t>
      </w:r>
      <w:r>
        <w:rPr>
          <w:rFonts w:hint="eastAsia" w:ascii="仿宋_GB2312" w:hAnsi="仿宋_GB2312" w:eastAsia="仿宋_GB2312" w:cs="仿宋_GB2312"/>
          <w:b/>
          <w:sz w:val="24"/>
          <w:szCs w:val="24"/>
          <w:lang w:eastAsia="zh-CN"/>
        </w:rPr>
        <w:t>响应</w:t>
      </w:r>
      <w:r>
        <w:rPr>
          <w:rFonts w:hint="eastAsia" w:ascii="仿宋_GB2312" w:hAnsi="仿宋_GB2312" w:eastAsia="仿宋_GB2312" w:cs="仿宋_GB2312"/>
          <w:b/>
          <w:sz w:val="24"/>
          <w:szCs w:val="24"/>
        </w:rPr>
        <w:t>文件的提交、补充、修改、撤回</w:t>
      </w:r>
    </w:p>
    <w:p>
      <w:pPr>
        <w:pStyle w:val="18"/>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响应截止</w:t>
      </w:r>
      <w:r>
        <w:rPr>
          <w:rFonts w:hint="eastAsia" w:ascii="仿宋_GB2312" w:hAnsi="仿宋" w:eastAsia="仿宋_GB2312" w:cs="仿宋_GB2312"/>
          <w:color w:val="000000" w:themeColor="text1"/>
          <w:szCs w:val="24"/>
          <w:highlight w:val="none"/>
          <w14:textFill>
            <w14:solidFill>
              <w14:schemeClr w14:val="tx1"/>
            </w14:solidFill>
          </w14:textFill>
        </w:rPr>
        <w:t>时间前完成</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hint="eastAsia" w:ascii="仿宋_GB2312" w:hAnsi="仿宋" w:eastAsia="仿宋_GB2312" w:cs="仿宋_GB2312"/>
          <w:color w:val="000000" w:themeColor="text1"/>
          <w:szCs w:val="24"/>
          <w:highlight w:val="none"/>
          <w14:textFill>
            <w14:solidFill>
              <w14:schemeClr w14:val="tx1"/>
            </w14:solidFill>
          </w14:textFill>
        </w:rPr>
        <w:t>文件的传输递交，并可以补充、修改或者撤回</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hint="eastAsia" w:ascii="仿宋_GB2312" w:hAnsi="仿宋" w:eastAsia="仿宋_GB2312" w:cs="仿宋_GB2312"/>
          <w:color w:val="000000" w:themeColor="text1"/>
          <w:szCs w:val="24"/>
          <w:highlight w:val="none"/>
          <w14:textFill>
            <w14:solidFill>
              <w14:schemeClr w14:val="tx1"/>
            </w14:solidFill>
          </w14:textFill>
        </w:rPr>
        <w:t>文件。补充或者修改</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hint="eastAsia" w:ascii="仿宋_GB2312" w:hAnsi="仿宋" w:eastAsia="仿宋_GB2312" w:cs="仿宋_GB2312"/>
          <w:color w:val="000000" w:themeColor="text1"/>
          <w:szCs w:val="24"/>
          <w:highlight w:val="none"/>
          <w14:textFill>
            <w14:solidFill>
              <w14:schemeClr w14:val="tx1"/>
            </w14:solidFill>
          </w14:textFill>
        </w:rPr>
        <w:t>文件的，应当先行撤回原文件，补充、修改后重新传输递交。</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hint="eastAsia" w:ascii="仿宋_GB2312" w:hAnsi="仿宋" w:eastAsia="仿宋_GB2312" w:cs="仿宋_GB2312"/>
          <w:color w:val="000000" w:themeColor="text1"/>
          <w:szCs w:val="24"/>
          <w:highlight w:val="none"/>
          <w14:textFill>
            <w14:solidFill>
              <w14:schemeClr w14:val="tx1"/>
            </w14:solidFill>
          </w14:textFill>
        </w:rPr>
        <w:t>截止时间前未完成传输的，视为撤回</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hint="eastAsia" w:ascii="仿宋_GB2312" w:hAnsi="仿宋" w:eastAsia="仿宋_GB2312" w:cs="仿宋_GB2312"/>
          <w:color w:val="000000" w:themeColor="text1"/>
          <w:szCs w:val="24"/>
          <w:highlight w:val="none"/>
          <w14:textFill>
            <w14:solidFill>
              <w14:schemeClr w14:val="tx1"/>
            </w14:solidFill>
          </w14:textFill>
        </w:rPr>
        <w:t>文件。</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hint="eastAsia" w:ascii="仿宋_GB2312" w:hAnsi="仿宋" w:eastAsia="仿宋_GB2312" w:cs="仿宋_GB2312"/>
          <w:color w:val="000000" w:themeColor="text1"/>
          <w:szCs w:val="24"/>
          <w:highlight w:val="none"/>
          <w14:textFill>
            <w14:solidFill>
              <w14:schemeClr w14:val="tx1"/>
            </w14:solidFill>
          </w14:textFill>
        </w:rPr>
        <w:t>截止时间后递交的</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hint="eastAsia" w:ascii="仿宋_GB2312" w:hAnsi="仿宋" w:eastAsia="仿宋_GB2312" w:cs="仿宋_GB2312"/>
          <w:color w:val="000000" w:themeColor="text1"/>
          <w:szCs w:val="24"/>
          <w:highlight w:val="none"/>
          <w14:textFill>
            <w14:solidFill>
              <w14:schemeClr w14:val="tx1"/>
            </w14:solidFill>
          </w14:textFill>
        </w:rPr>
        <w:t>文件，电子交易平台将拒收。</w:t>
      </w:r>
    </w:p>
    <w:p>
      <w:pPr>
        <w:pStyle w:val="18"/>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ascii="仿宋_GB2312" w:hAnsi="仿宋" w:eastAsia="仿宋_GB2312" w:cs="仿宋_GB2312"/>
          <w:color w:val="000000" w:themeColor="text1"/>
          <w:szCs w:val="24"/>
          <w:highlight w:val="none"/>
          <w14:textFill>
            <w14:solidFill>
              <w14:schemeClr w14:val="tx1"/>
            </w14:solidFill>
          </w14:textFill>
        </w:rPr>
        <w:t>文件，将妥善保存并即时向供应商发出确认回执通知。在</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ascii="仿宋_GB2312" w:hAnsi="仿宋" w:eastAsia="仿宋_GB2312" w:cs="仿宋_GB2312"/>
          <w:color w:val="000000" w:themeColor="text1"/>
          <w:szCs w:val="24"/>
          <w:highlight w:val="none"/>
          <w14:textFill>
            <w14:solidFill>
              <w14:schemeClr w14:val="tx1"/>
            </w14:solidFill>
          </w14:textFill>
        </w:rPr>
        <w:t>截止时间前，除供应商补充、修改或者撤回</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ascii="仿宋_GB2312" w:hAnsi="仿宋" w:eastAsia="仿宋_GB2312" w:cs="仿宋_GB2312"/>
          <w:color w:val="000000" w:themeColor="text1"/>
          <w:szCs w:val="24"/>
          <w:highlight w:val="none"/>
          <w14:textFill>
            <w14:solidFill>
              <w14:schemeClr w14:val="tx1"/>
            </w14:solidFill>
          </w14:textFill>
        </w:rPr>
        <w:t>文件外，任何单位和个人不得解密或提取</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ascii="仿宋_GB2312" w:hAnsi="仿宋" w:eastAsia="仿宋_GB2312" w:cs="仿宋_GB2312"/>
          <w:color w:val="000000" w:themeColor="text1"/>
          <w:szCs w:val="24"/>
          <w:highlight w:val="none"/>
          <w14:textFill>
            <w14:solidFill>
              <w14:schemeClr w14:val="tx1"/>
            </w14:solidFill>
          </w14:textFill>
        </w:rPr>
        <w:t>文件。</w:t>
      </w:r>
    </w:p>
    <w:p>
      <w:pPr>
        <w:pStyle w:val="1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ascii="仿宋_GB2312" w:hAnsi="仿宋" w:eastAsia="仿宋_GB2312" w:cs="仿宋_GB2312"/>
          <w:color w:val="000000" w:themeColor="text1"/>
          <w:szCs w:val="24"/>
          <w:highlight w:val="none"/>
          <w14:textFill>
            <w14:solidFill>
              <w14:schemeClr w14:val="tx1"/>
            </w14:solidFill>
          </w14:textFill>
        </w:rPr>
        <w:t>文件提交的截止时间。在上述情况下，采购机构与</w:t>
      </w:r>
      <w:r>
        <w:rPr>
          <w:rFonts w:hint="eastAsia" w:ascii="仿宋_GB2312" w:hAnsi="仿宋" w:eastAsia="仿宋_GB2312" w:cs="仿宋_GB2312"/>
          <w:color w:val="000000" w:themeColor="text1"/>
          <w:szCs w:val="24"/>
          <w:highlight w:val="none"/>
          <w:lang w:eastAsia="zh-CN"/>
          <w14:textFill>
            <w14:solidFill>
              <w14:schemeClr w14:val="tx1"/>
            </w14:solidFill>
          </w14:textFill>
        </w:rPr>
        <w:t>投标人</w:t>
      </w:r>
      <w:r>
        <w:rPr>
          <w:rFonts w:ascii="仿宋_GB2312" w:hAnsi="仿宋" w:eastAsia="仿宋_GB2312" w:cs="仿宋_GB2312"/>
          <w:color w:val="000000" w:themeColor="text1"/>
          <w:szCs w:val="24"/>
          <w:highlight w:val="none"/>
          <w14:textFill>
            <w14:solidFill>
              <w14:schemeClr w14:val="tx1"/>
            </w14:solidFill>
          </w14:textFill>
        </w:rPr>
        <w:t>以前在</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ascii="仿宋_GB2312" w:hAnsi="仿宋" w:eastAsia="仿宋_GB2312" w:cs="仿宋_GB2312"/>
          <w:color w:val="000000" w:themeColor="text1"/>
          <w:szCs w:val="24"/>
          <w:highlight w:val="none"/>
          <w14:textFill>
            <w14:solidFill>
              <w14:schemeClr w14:val="tx1"/>
            </w14:solidFill>
          </w14:textFill>
        </w:rPr>
        <w:t>截止期方面的全部权利、责任和义务，将适用于延长至新的</w:t>
      </w:r>
      <w:r>
        <w:rPr>
          <w:rFonts w:hint="eastAsia" w:ascii="仿宋_GB2312" w:hAnsi="仿宋" w:eastAsia="仿宋_GB2312" w:cs="仿宋_GB2312"/>
          <w:color w:val="000000" w:themeColor="text1"/>
          <w:szCs w:val="24"/>
          <w:highlight w:val="none"/>
          <w:lang w:eastAsia="zh-CN"/>
          <w14:textFill>
            <w14:solidFill>
              <w14:schemeClr w14:val="tx1"/>
            </w14:solidFill>
          </w14:textFill>
        </w:rPr>
        <w:t>响应</w:t>
      </w:r>
      <w:r>
        <w:rPr>
          <w:rFonts w:ascii="仿宋_GB2312" w:hAnsi="仿宋" w:eastAsia="仿宋_GB2312" w:cs="仿宋_GB2312"/>
          <w:color w:val="000000" w:themeColor="text1"/>
          <w:szCs w:val="24"/>
          <w:highlight w:val="none"/>
          <w14:textFill>
            <w14:solidFill>
              <w14:schemeClr w14:val="tx1"/>
            </w14:solidFill>
          </w14:textFill>
        </w:rPr>
        <w:t>截止期。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w:t>
      </w:r>
      <w:r>
        <w:rPr>
          <w:rFonts w:hint="eastAsia" w:ascii="仿宋_GB2312" w:hAnsi="仿宋" w:eastAsia="仿宋_GB2312" w:cs="仿宋_GB2312"/>
          <w:b/>
          <w:snapToGrid w:val="0"/>
          <w:sz w:val="24"/>
          <w:szCs w:val="24"/>
          <w:lang w:eastAsia="zh-CN"/>
        </w:rPr>
        <w:t>响应</w:t>
      </w:r>
      <w:r>
        <w:rPr>
          <w:rFonts w:hint="eastAsia" w:ascii="仿宋_GB2312" w:hAnsi="仿宋" w:eastAsia="仿宋_GB2312" w:cs="仿宋_GB2312"/>
          <w:b/>
          <w:snapToGrid w:val="0"/>
          <w:sz w:val="24"/>
          <w:szCs w:val="24"/>
        </w:rPr>
        <w:t>文件</w:t>
      </w:r>
    </w:p>
    <w:p>
      <w:pPr>
        <w:pStyle w:val="9"/>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w:t>
      </w:r>
      <w:r>
        <w:rPr>
          <w:rFonts w:ascii="仿宋_GB2312" w:hAnsi="仿宋" w:eastAsia="仿宋_GB2312" w:cs="仿宋_GB2312"/>
          <w:color w:val="000000" w:themeColor="text1"/>
          <w:sz w:val="24"/>
          <w:szCs w:val="24"/>
          <w:highlight w:val="none"/>
          <w14:textFill>
            <w14:solidFill>
              <w14:schemeClr w14:val="tx1"/>
            </w14:solidFill>
          </w14:textFill>
        </w:rPr>
        <w:t>文件后，还可以在</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w:t>
      </w:r>
      <w:r>
        <w:rPr>
          <w:rFonts w:ascii="仿宋_GB2312" w:hAnsi="仿宋" w:eastAsia="仿宋_GB2312" w:cs="仿宋_GB2312"/>
          <w:color w:val="000000" w:themeColor="text1"/>
          <w:sz w:val="24"/>
          <w:szCs w:val="24"/>
          <w:highlight w:val="none"/>
          <w14:textFill>
            <w14:solidFill>
              <w14:schemeClr w14:val="tx1"/>
            </w14:solidFill>
          </w14:textFill>
        </w:rPr>
        <w:t>截止时间前直接提交或者以邮政快递方式递交备份</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w:t>
      </w:r>
      <w:r>
        <w:rPr>
          <w:rFonts w:ascii="仿宋_GB2312" w:hAnsi="仿宋" w:eastAsia="仿宋_GB2312" w:cs="仿宋_GB2312"/>
          <w:color w:val="000000" w:themeColor="text1"/>
          <w:sz w:val="24"/>
          <w:szCs w:val="24"/>
          <w:highlight w:val="none"/>
          <w14:textFill>
            <w14:solidFill>
              <w14:schemeClr w14:val="tx1"/>
            </w14:solidFill>
          </w14:textFill>
        </w:rPr>
        <w:t>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w:t>
      </w:r>
      <w:r>
        <w:rPr>
          <w:rFonts w:hint="eastAsia" w:ascii="仿宋_GB2312" w:hAnsi="仿宋" w:eastAsia="仿宋_GB2312" w:cs="仿宋_GB2312"/>
          <w:b/>
          <w:color w:val="000000" w:themeColor="text1"/>
          <w:sz w:val="24"/>
          <w:szCs w:val="24"/>
          <w:highlight w:val="none"/>
          <w:lang w:eastAsia="zh-CN"/>
          <w14:textFill>
            <w14:solidFill>
              <w14:schemeClr w14:val="tx1"/>
            </w14:solidFill>
          </w14:textFill>
        </w:rPr>
        <w:t>响应</w:t>
      </w:r>
      <w:r>
        <w:rPr>
          <w:rFonts w:hint="eastAsia" w:ascii="仿宋_GB2312" w:hAnsi="仿宋" w:eastAsia="仿宋_GB2312" w:cs="仿宋_GB2312"/>
          <w:b/>
          <w:color w:val="000000" w:themeColor="text1"/>
          <w:sz w:val="24"/>
          <w:szCs w:val="24"/>
          <w:highlight w:val="none"/>
          <w14:textFill>
            <w14:solidFill>
              <w14:schemeClr w14:val="tx1"/>
            </w14:solidFill>
          </w14:textFill>
        </w:rPr>
        <w:t>文件。</w:t>
      </w:r>
    </w:p>
    <w:p>
      <w:pPr>
        <w:pStyle w:val="9"/>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w:t>
      </w:r>
      <w:r>
        <w:rPr>
          <w:rFonts w:ascii="仿宋_GB2312" w:hAnsi="仿宋" w:eastAsia="仿宋_GB2312" w:cs="仿宋_GB2312"/>
          <w:color w:val="000000" w:themeColor="text1"/>
          <w:sz w:val="24"/>
          <w:szCs w:val="24"/>
          <w:highlight w:val="none"/>
          <w14:textFill>
            <w14:solidFill>
              <w14:schemeClr w14:val="tx1"/>
            </w14:solidFill>
          </w14:textFill>
        </w:rPr>
        <w:t>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w:t>
      </w:r>
      <w:r>
        <w:rPr>
          <w:rFonts w:hint="eastAsia" w:ascii="仿宋_GB2312" w:hAnsi="仿宋" w:eastAsia="仿宋_GB2312" w:cs="仿宋_GB2312"/>
          <w:color w:val="000000" w:themeColor="text1"/>
          <w:sz w:val="24"/>
          <w:szCs w:val="24"/>
          <w:highlight w:val="none"/>
          <w14:textFill>
            <w14:solidFill>
              <w14:schemeClr w14:val="tx1"/>
            </w14:solidFill>
          </w14:textFill>
        </w:rPr>
        <w:t>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w:t>
      </w:r>
      <w:r>
        <w:rPr>
          <w:rFonts w:ascii="仿宋_GB2312" w:hAnsi="仿宋" w:eastAsia="仿宋_GB2312" w:cs="仿宋_GB2312"/>
          <w:color w:val="000000" w:themeColor="text1"/>
          <w:sz w:val="24"/>
          <w:szCs w:val="24"/>
          <w:highlight w:val="none"/>
          <w14:textFill>
            <w14:solidFill>
              <w14:schemeClr w14:val="tx1"/>
            </w14:solidFill>
          </w14:textFill>
        </w:rPr>
        <w:t>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w:t>
      </w:r>
      <w:r>
        <w:rPr>
          <w:rFonts w:hint="eastAsia" w:ascii="仿宋_GB2312" w:hAnsi="仿宋" w:eastAsia="仿宋_GB2312" w:cs="仿宋_GB2312"/>
          <w:b/>
          <w:color w:val="000000" w:themeColor="text1"/>
          <w:sz w:val="24"/>
          <w:szCs w:val="24"/>
          <w:highlight w:val="none"/>
          <w:lang w:eastAsia="zh-CN"/>
          <w14:textFill>
            <w14:solidFill>
              <w14:schemeClr w14:val="tx1"/>
            </w14:solidFill>
          </w14:textFill>
        </w:rPr>
        <w:t>响应</w:t>
      </w:r>
      <w:r>
        <w:rPr>
          <w:rFonts w:hint="eastAsia" w:ascii="仿宋_GB2312" w:hAnsi="仿宋" w:eastAsia="仿宋_GB2312" w:cs="仿宋_GB2312"/>
          <w:b/>
          <w:color w:val="000000" w:themeColor="text1"/>
          <w:sz w:val="24"/>
          <w:szCs w:val="24"/>
          <w:highlight w:val="none"/>
          <w14:textFill>
            <w14:solidFill>
              <w14:schemeClr w14:val="tx1"/>
            </w14:solidFill>
          </w14:textFill>
        </w:rPr>
        <w:t>文件将被视为无效或者被拒绝接收。</w:t>
      </w:r>
    </w:p>
    <w:p>
      <w:pPr>
        <w:pStyle w:val="9"/>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szCs w:val="24"/>
          <w:highlight w:val="none"/>
          <w14:textFill>
            <w14:solidFill>
              <w14:schemeClr w14:val="tx1"/>
            </w14:solidFill>
          </w14:textFill>
        </w:rPr>
        <w:t>的，投标人应于</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响应截止</w:t>
      </w:r>
      <w:r>
        <w:rPr>
          <w:rFonts w:ascii="仿宋_GB2312" w:hAnsi="仿宋" w:eastAsia="仿宋_GB2312" w:cs="仿宋_GB2312"/>
          <w:color w:val="000000" w:themeColor="text1"/>
          <w:sz w:val="24"/>
          <w:szCs w:val="24"/>
          <w:highlight w:val="none"/>
          <w14:textFill>
            <w14:solidFill>
              <w14:schemeClr w14:val="tx1"/>
            </w14:solidFill>
          </w14:textFill>
        </w:rPr>
        <w:t>时间前在招标公告中载明的开标地点将备份</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szCs w:val="24"/>
          <w:highlight w:val="none"/>
          <w14:textFill>
            <w14:solidFill>
              <w14:schemeClr w14:val="tx1"/>
            </w14:solidFill>
          </w14:textFill>
        </w:rPr>
        <w:t>提交给采购机构，采购机构将拒绝接受逾期送达的备份</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szCs w:val="24"/>
          <w:highlight w:val="none"/>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snapToGrid w:val="0"/>
          <w:sz w:val="24"/>
          <w:szCs w:val="24"/>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szCs w:val="24"/>
          <w:highlight w:val="none"/>
          <w14:textFill>
            <w14:solidFill>
              <w14:schemeClr w14:val="tx1"/>
            </w14:solidFill>
          </w14:textFill>
        </w:rPr>
        <w:t>的，投标人应先将备份</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szCs w:val="24"/>
          <w:highlight w:val="none"/>
          <w14:textFill>
            <w14:solidFill>
              <w14:schemeClr w14:val="tx1"/>
            </w14:solidFill>
          </w14:textFill>
        </w:rPr>
        <w:t>按要求密封和标记，再进行邮政快递包装后邮寄。备份</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响应文件</w:t>
      </w:r>
      <w:r>
        <w:rPr>
          <w:rFonts w:ascii="仿宋_GB2312" w:hAnsi="仿宋" w:eastAsia="仿宋_GB2312" w:cs="仿宋_GB2312"/>
          <w:color w:val="000000" w:themeColor="text1"/>
          <w:sz w:val="24"/>
          <w:szCs w:val="24"/>
          <w:highlight w:val="none"/>
          <w14:textFill>
            <w14:solidFill>
              <w14:schemeClr w14:val="tx1"/>
            </w14:solidFill>
          </w14:textFill>
        </w:rPr>
        <w:t>须在</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响应截止</w:t>
      </w:r>
      <w:r>
        <w:rPr>
          <w:rFonts w:ascii="仿宋_GB2312" w:hAnsi="仿宋" w:eastAsia="仿宋_GB2312" w:cs="仿宋_GB2312"/>
          <w:color w:val="000000" w:themeColor="text1"/>
          <w:sz w:val="24"/>
          <w:szCs w:val="24"/>
          <w:highlight w:val="none"/>
          <w14:textFill>
            <w14:solidFill>
              <w14:schemeClr w14:val="tx1"/>
            </w14:solidFill>
          </w14:textFill>
        </w:rPr>
        <w:t>时间之前送达</w:t>
      </w:r>
      <w:r>
        <w:rPr>
          <w:rFonts w:hint="eastAsia" w:ascii="仿宋_GB2312" w:hAnsi="仿宋" w:eastAsia="仿宋_GB2312" w:cs="仿宋_GB2312"/>
          <w:snapToGrid/>
          <w:color w:val="000000" w:themeColor="text1"/>
          <w:sz w:val="24"/>
          <w:szCs w:val="24"/>
          <w:highlight w:val="none"/>
          <w:lang w:eastAsia="zh-CN"/>
          <w14:textFill>
            <w14:solidFill>
              <w14:schemeClr w14:val="tx1"/>
            </w14:solidFill>
          </w14:textFill>
        </w:rPr>
        <w:t>征集文件</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第二部分投标人须知前附表规定的备份</w:t>
      </w:r>
      <w:r>
        <w:rPr>
          <w:rFonts w:hint="eastAsia" w:ascii="仿宋_GB2312" w:hAnsi="仿宋" w:eastAsia="仿宋_GB2312" w:cs="仿宋_GB2312"/>
          <w:snapToGrid/>
          <w:color w:val="000000" w:themeColor="text1"/>
          <w:sz w:val="24"/>
          <w:szCs w:val="24"/>
          <w:highlight w:val="none"/>
          <w:lang w:eastAsia="zh-CN"/>
          <w14:textFill>
            <w14:solidFill>
              <w14:schemeClr w14:val="tx1"/>
            </w14:solidFill>
          </w14:textFill>
        </w:rPr>
        <w:t>响应文件</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szCs w:val="24"/>
          <w:highlight w:val="none"/>
          <w14:textFill>
            <w14:solidFill>
              <w14:schemeClr w14:val="tx1"/>
            </w14:solidFill>
          </w14:textFill>
        </w:rPr>
        <w:t>。邮寄过程中，电子备份</w:t>
      </w:r>
      <w:r>
        <w:rPr>
          <w:rFonts w:hint="eastAsia" w:ascii="仿宋_GB2312" w:hAnsi="仿宋" w:eastAsia="仿宋_GB2312" w:cs="仿宋_GB2312"/>
          <w:color w:val="000000" w:themeColor="text1"/>
          <w:sz w:val="24"/>
          <w:szCs w:val="24"/>
          <w:highlight w:val="none"/>
          <w:lang w:eastAsia="zh-CN"/>
          <w14:textFill>
            <w14:solidFill>
              <w14:schemeClr w14:val="tx1"/>
            </w14:solidFill>
          </w14:textFill>
        </w:rPr>
        <w:t>响应文件</w:t>
      </w:r>
      <w:r>
        <w:rPr>
          <w:rFonts w:hint="eastAsia" w:ascii="仿宋_GB2312" w:hAnsi="仿宋" w:eastAsia="仿宋_GB2312" w:cs="仿宋_GB2312"/>
          <w:color w:val="000000" w:themeColor="text1"/>
          <w:sz w:val="24"/>
          <w:szCs w:val="24"/>
          <w:highlight w:val="none"/>
          <w14:textFill>
            <w14:solidFill>
              <w14:schemeClr w14:val="tx1"/>
            </w14:solidFill>
          </w14:textFill>
        </w:rPr>
        <w:t>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15.5投标人仅提交备份</w:t>
      </w:r>
      <w:r>
        <w:rPr>
          <w:rFonts w:hint="eastAsia" w:ascii="仿宋_GB2312" w:hAnsi="仿宋" w:eastAsia="仿宋_GB2312" w:cs="仿宋_GB2312"/>
          <w:b/>
          <w:snapToGrid w:val="0"/>
          <w:sz w:val="24"/>
          <w:szCs w:val="24"/>
          <w:lang w:eastAsia="zh-CN"/>
        </w:rPr>
        <w:t>响应文件</w:t>
      </w:r>
      <w:r>
        <w:rPr>
          <w:rFonts w:hint="eastAsia" w:ascii="仿宋_GB2312" w:hAnsi="仿宋" w:eastAsia="仿宋_GB2312" w:cs="仿宋_GB2312"/>
          <w:b/>
          <w:snapToGrid w:val="0"/>
          <w:sz w:val="24"/>
          <w:szCs w:val="24"/>
        </w:rPr>
        <w:t>，没有在电子交易平台传输递交</w:t>
      </w:r>
      <w:r>
        <w:rPr>
          <w:rFonts w:hint="eastAsia" w:ascii="仿宋_GB2312" w:hAnsi="仿宋" w:eastAsia="仿宋_GB2312" w:cs="仿宋_GB2312"/>
          <w:b/>
          <w:snapToGrid w:val="0"/>
          <w:sz w:val="24"/>
          <w:szCs w:val="24"/>
          <w:lang w:eastAsia="zh-CN"/>
        </w:rPr>
        <w:t>响应文件</w:t>
      </w:r>
      <w:r>
        <w:rPr>
          <w:rFonts w:hint="eastAsia" w:ascii="仿宋_GB2312" w:hAnsi="仿宋" w:eastAsia="仿宋_GB2312" w:cs="仿宋_GB2312"/>
          <w:b/>
          <w:snapToGrid w:val="0"/>
          <w:sz w:val="24"/>
          <w:szCs w:val="24"/>
        </w:rPr>
        <w:t>的，投标无效。</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16.</w:t>
      </w:r>
      <w:r>
        <w:rPr>
          <w:rFonts w:hint="eastAsia" w:ascii="仿宋_GB2312" w:hAnsi="仿宋" w:eastAsia="仿宋_GB2312" w:cs="仿宋_GB2312"/>
          <w:b/>
          <w:sz w:val="24"/>
          <w:szCs w:val="24"/>
          <w:lang w:eastAsia="zh-CN"/>
        </w:rPr>
        <w:t>响应文件</w:t>
      </w:r>
      <w:r>
        <w:rPr>
          <w:rFonts w:hint="eastAsia" w:ascii="仿宋_GB2312" w:hAnsi="仿宋" w:eastAsia="仿宋_GB2312" w:cs="仿宋_GB2312"/>
          <w:b/>
          <w:sz w:val="24"/>
          <w:szCs w:val="24"/>
        </w:rPr>
        <w:t>的无效处理</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w:t>
      </w:r>
      <w:r>
        <w:rPr>
          <w:rFonts w:hint="eastAsia" w:ascii="仿宋_GB2312" w:hAnsi="仿宋" w:eastAsia="仿宋_GB2312" w:cs="仿宋_GB2312"/>
          <w:snapToGrid w:val="0"/>
          <w:sz w:val="24"/>
          <w:szCs w:val="24"/>
          <w:lang w:eastAsia="zh-CN"/>
        </w:rPr>
        <w:t>征集文件</w:t>
      </w:r>
      <w:r>
        <w:rPr>
          <w:rFonts w:hint="eastAsia" w:ascii="仿宋_GB2312" w:hAnsi="仿宋" w:eastAsia="仿宋_GB2312" w:cs="仿宋_GB2312"/>
          <w:snapToGrid w:val="0"/>
          <w:sz w:val="24"/>
          <w:szCs w:val="24"/>
        </w:rPr>
        <w:t>第四部分第</w:t>
      </w:r>
      <w:r>
        <w:rPr>
          <w:rFonts w:ascii="仿宋_GB2312" w:hAnsi="仿宋" w:eastAsia="仿宋_GB2312" w:cs="仿宋_GB2312"/>
          <w:snapToGrid w:val="0"/>
          <w:sz w:val="24"/>
          <w:szCs w:val="24"/>
        </w:rPr>
        <w:t>13项规定的情形之一的，</w:t>
      </w:r>
      <w:r>
        <w:rPr>
          <w:rFonts w:hint="eastAsia" w:ascii="仿宋_GB2312" w:hAnsi="仿宋" w:eastAsia="仿宋_GB2312" w:cs="仿宋_GB2312"/>
          <w:snapToGrid w:val="0"/>
          <w:sz w:val="24"/>
          <w:szCs w:val="24"/>
          <w:lang w:eastAsia="zh-CN"/>
        </w:rPr>
        <w:t>响应</w:t>
      </w:r>
      <w:r>
        <w:rPr>
          <w:rFonts w:ascii="仿宋_GB2312" w:hAnsi="仿宋" w:eastAsia="仿宋_GB2312" w:cs="仿宋_GB2312"/>
          <w:snapToGrid w:val="0"/>
          <w:sz w:val="24"/>
          <w:szCs w:val="24"/>
        </w:rPr>
        <w:t>无效</w:t>
      </w:r>
      <w:r>
        <w:rPr>
          <w:rFonts w:hint="eastAsia" w:ascii="仿宋_GB2312" w:hAnsi="仿宋" w:eastAsia="仿宋_GB2312" w:cs="仿宋_GB2312"/>
          <w:snapToGrid w:val="0"/>
          <w:sz w:val="24"/>
          <w:szCs w:val="24"/>
        </w:rPr>
        <w:t>。</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w:t>
      </w:r>
      <w:r>
        <w:rPr>
          <w:rFonts w:hint="eastAsia" w:ascii="仿宋_GB2312" w:hAnsi="仿宋" w:eastAsia="仿宋_GB2312" w:cs="仿宋_GB2312"/>
          <w:sz w:val="24"/>
          <w:szCs w:val="20"/>
          <w:lang w:eastAsia="zh-CN"/>
        </w:rPr>
        <w:t>响应文件</w:t>
      </w:r>
      <w:r>
        <w:rPr>
          <w:rFonts w:hint="eastAsia" w:ascii="仿宋_GB2312" w:hAnsi="仿宋" w:eastAsia="仿宋_GB2312" w:cs="仿宋_GB2312"/>
          <w:sz w:val="24"/>
          <w:szCs w:val="20"/>
        </w:rPr>
        <w:t>的截止之日起90天。</w:t>
      </w:r>
      <w:r>
        <w:rPr>
          <w:rFonts w:ascii="仿宋_GB2312" w:hAnsi="仿宋" w:eastAsia="仿宋_GB2312" w:cs="仿宋_GB2312"/>
          <w:sz w:val="24"/>
          <w:szCs w:val="20"/>
        </w:rPr>
        <w:t>▲</w:t>
      </w:r>
      <w:r>
        <w:rPr>
          <w:rFonts w:hint="eastAsia" w:ascii="仿宋_GB2312" w:hAnsi="仿宋" w:eastAsia="仿宋_GB2312" w:cs="仿宋_GB2312"/>
          <w:b/>
          <w:sz w:val="24"/>
          <w:szCs w:val="20"/>
        </w:rPr>
        <w:t>投标人的</w:t>
      </w:r>
      <w:r>
        <w:rPr>
          <w:rFonts w:hint="eastAsia" w:ascii="仿宋_GB2312" w:hAnsi="仿宋" w:eastAsia="仿宋_GB2312" w:cs="仿宋_GB2312"/>
          <w:b/>
          <w:sz w:val="24"/>
          <w:szCs w:val="20"/>
          <w:lang w:eastAsia="zh-CN"/>
        </w:rPr>
        <w:t>响应文件</w:t>
      </w:r>
      <w:r>
        <w:rPr>
          <w:rFonts w:hint="eastAsia" w:ascii="仿宋_GB2312" w:hAnsi="仿宋" w:eastAsia="仿宋_GB2312" w:cs="仿宋_GB2312"/>
          <w:b/>
          <w:sz w:val="24"/>
          <w:szCs w:val="20"/>
        </w:rPr>
        <w:t>中承</w:t>
      </w:r>
      <w:r>
        <w:rPr>
          <w:rFonts w:hint="eastAsia" w:ascii="仿宋_GB2312" w:hAnsi="仿宋" w:eastAsia="仿宋_GB2312" w:cs="仿宋_GB2312"/>
          <w:b/>
          <w:sz w:val="24"/>
          <w:szCs w:val="21"/>
        </w:rPr>
        <w:t>诺的投标有效期少于</w:t>
      </w:r>
      <w:r>
        <w:rPr>
          <w:rFonts w:hint="eastAsia" w:ascii="仿宋_GB2312" w:hAnsi="仿宋" w:eastAsia="仿宋_GB2312" w:cs="仿宋_GB2312"/>
          <w:b/>
          <w:sz w:val="24"/>
          <w:szCs w:val="21"/>
          <w:lang w:eastAsia="zh-CN"/>
        </w:rPr>
        <w:t>征集文件</w:t>
      </w:r>
      <w:r>
        <w:rPr>
          <w:rFonts w:hint="eastAsia" w:ascii="仿宋_GB2312" w:hAnsi="仿宋" w:eastAsia="仿宋_GB2312" w:cs="仿宋_GB2312"/>
          <w:b/>
          <w:sz w:val="24"/>
          <w:szCs w:val="21"/>
        </w:rPr>
        <w:t>中载明的投标有效期的，投标无效。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17.2</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合格投递后，自</w:t>
      </w:r>
      <w:r>
        <w:rPr>
          <w:rFonts w:hint="eastAsia" w:ascii="仿宋_GB2312" w:hAnsi="仿宋" w:eastAsia="仿宋_GB2312" w:cs="仿宋_GB2312"/>
          <w:sz w:val="24"/>
          <w:lang w:eastAsia="zh-CN"/>
        </w:rPr>
        <w:t>响应截止</w:t>
      </w:r>
      <w:r>
        <w:rPr>
          <w:rFonts w:hint="eastAsia" w:ascii="仿宋_GB2312" w:hAnsi="仿宋" w:eastAsia="仿宋_GB2312" w:cs="仿宋_GB2312"/>
          <w:sz w:val="24"/>
        </w:rPr>
        <w:t>日期起，在投标有效期内有效。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，投标人拒绝延长的，其</w:t>
      </w:r>
      <w:r>
        <w:rPr>
          <w:rFonts w:hint="eastAsia" w:ascii="仿宋_GB2312" w:hAnsi="仿宋" w:eastAsia="仿宋_GB2312" w:cs="仿宋_GB2312"/>
          <w:sz w:val="24"/>
          <w:lang w:eastAsia="zh-CN"/>
        </w:rPr>
        <w:t>响应</w:t>
      </w:r>
      <w:r>
        <w:rPr>
          <w:rFonts w:hint="eastAsia" w:ascii="仿宋_GB2312" w:hAnsi="仿宋" w:eastAsia="仿宋_GB2312" w:cs="仿宋_GB2312"/>
          <w:sz w:val="24"/>
        </w:rPr>
        <w:t>无效。</w:t>
      </w: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w:t>
      </w:r>
      <w:r>
        <w:rPr>
          <w:rFonts w:hint="eastAsia" w:ascii="仿宋_GB2312" w:hAnsi="仿宋" w:eastAsia="仿宋_GB2312" w:cs="仿宋_GB2312"/>
          <w:kern w:val="0"/>
          <w:sz w:val="24"/>
          <w:szCs w:val="20"/>
          <w:lang w:eastAsia="zh-CN"/>
        </w:rPr>
        <w:t>征集文件</w:t>
      </w:r>
      <w:r>
        <w:rPr>
          <w:rFonts w:hint="eastAsia" w:ascii="仿宋_GB2312" w:hAnsi="仿宋" w:eastAsia="仿宋_GB2312" w:cs="仿宋_GB2312"/>
          <w:kern w:val="0"/>
          <w:sz w:val="24"/>
          <w:szCs w:val="20"/>
        </w:rPr>
        <w:t>规定的时间通过电子交易平台组织开标，所有投标人均应当准时在线参加。投标人不足3家的，不得开标。</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w:t>
      </w:r>
      <w:r>
        <w:rPr>
          <w:rFonts w:hint="eastAsia" w:ascii="仿宋_GB2312" w:hAnsi="仿宋" w:eastAsia="仿宋_GB2312" w:cs="仿宋_GB2312"/>
          <w:kern w:val="0"/>
          <w:sz w:val="24"/>
          <w:szCs w:val="20"/>
          <w:lang w:eastAsia="zh-CN"/>
        </w:rPr>
        <w:t>响应文件</w:t>
      </w:r>
      <w:r>
        <w:rPr>
          <w:rFonts w:hint="eastAsia" w:ascii="仿宋_GB2312" w:hAnsi="仿宋" w:eastAsia="仿宋_GB2312" w:cs="仿宋_GB2312"/>
          <w:kern w:val="0"/>
          <w:sz w:val="24"/>
          <w:szCs w:val="20"/>
        </w:rPr>
        <w:t>。采购机构依托电子交</w:t>
      </w:r>
      <w:r>
        <w:rPr>
          <w:rFonts w:hint="eastAsia" w:ascii="仿宋_GB2312" w:hAnsi="仿宋_GB2312" w:eastAsia="仿宋_GB2312" w:cs="仿宋_GB2312"/>
          <w:kern w:val="0"/>
          <w:sz w:val="24"/>
          <w:szCs w:val="20"/>
        </w:rPr>
        <w:t>易平台发起开始解密指令，投标人按照平台提示和</w:t>
      </w:r>
      <w:r>
        <w:rPr>
          <w:rFonts w:hint="eastAsia" w:ascii="仿宋_GB2312" w:hAnsi="仿宋_GB2312" w:eastAsia="仿宋_GB2312" w:cs="仿宋_GB2312"/>
          <w:kern w:val="0"/>
          <w:sz w:val="24"/>
          <w:szCs w:val="20"/>
          <w:lang w:eastAsia="zh-CN"/>
        </w:rPr>
        <w:t>征集文件</w:t>
      </w:r>
      <w:r>
        <w:rPr>
          <w:rFonts w:hint="eastAsia" w:ascii="仿宋_GB2312" w:hAnsi="仿宋_GB2312" w:eastAsia="仿宋_GB2312" w:cs="仿宋_GB2312"/>
          <w:kern w:val="0"/>
          <w:sz w:val="24"/>
          <w:szCs w:val="20"/>
        </w:rPr>
        <w:t>的规定在半小时内完成在线解密。</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lang w:eastAsia="zh-CN"/>
        </w:rPr>
        <w:t>响应文件</w:t>
      </w:r>
      <w:r>
        <w:rPr>
          <w:rFonts w:hint="eastAsia" w:ascii="仿宋_GB2312" w:hAnsi="仿宋_GB2312" w:eastAsia="仿宋_GB2312" w:cs="仿宋_GB2312"/>
          <w:b/>
          <w:kern w:val="0"/>
          <w:sz w:val="24"/>
          <w:szCs w:val="20"/>
        </w:rPr>
        <w:t>未按时解密，投标人提供了备份</w:t>
      </w:r>
      <w:r>
        <w:rPr>
          <w:rFonts w:hint="eastAsia" w:ascii="仿宋_GB2312" w:hAnsi="仿宋_GB2312" w:eastAsia="仿宋_GB2312" w:cs="仿宋_GB2312"/>
          <w:b/>
          <w:kern w:val="0"/>
          <w:sz w:val="24"/>
          <w:szCs w:val="20"/>
          <w:lang w:eastAsia="zh-CN"/>
        </w:rPr>
        <w:t>响应文件</w:t>
      </w:r>
      <w:r>
        <w:rPr>
          <w:rFonts w:hint="eastAsia" w:ascii="仿宋_GB2312" w:hAnsi="仿宋_GB2312" w:eastAsia="仿宋_GB2312" w:cs="仿宋_GB2312"/>
          <w:b/>
          <w:kern w:val="0"/>
          <w:sz w:val="24"/>
          <w:szCs w:val="20"/>
        </w:rPr>
        <w:t>的，以备份</w:t>
      </w:r>
      <w:r>
        <w:rPr>
          <w:rFonts w:hint="eastAsia" w:ascii="仿宋_GB2312" w:hAnsi="仿宋_GB2312" w:eastAsia="仿宋_GB2312" w:cs="仿宋_GB2312"/>
          <w:b/>
          <w:kern w:val="0"/>
          <w:sz w:val="24"/>
          <w:szCs w:val="20"/>
          <w:lang w:eastAsia="zh-CN"/>
        </w:rPr>
        <w:t>响应文件</w:t>
      </w:r>
      <w:r>
        <w:rPr>
          <w:rFonts w:hint="eastAsia" w:ascii="仿宋_GB2312" w:hAnsi="仿宋_GB2312" w:eastAsia="仿宋_GB2312" w:cs="仿宋_GB2312"/>
          <w:b/>
          <w:kern w:val="0"/>
          <w:sz w:val="24"/>
          <w:szCs w:val="20"/>
        </w:rPr>
        <w:t>作为依据，否则视为</w:t>
      </w:r>
      <w:r>
        <w:rPr>
          <w:rFonts w:hint="eastAsia" w:ascii="仿宋_GB2312" w:hAnsi="仿宋_GB2312" w:eastAsia="仿宋_GB2312" w:cs="仿宋_GB2312"/>
          <w:b/>
          <w:kern w:val="0"/>
          <w:sz w:val="24"/>
          <w:szCs w:val="20"/>
          <w:lang w:eastAsia="zh-CN"/>
        </w:rPr>
        <w:t>响应文件</w:t>
      </w:r>
      <w:r>
        <w:rPr>
          <w:rFonts w:hint="eastAsia" w:ascii="仿宋_GB2312" w:hAnsi="仿宋_GB2312" w:eastAsia="仿宋_GB2312" w:cs="仿宋_GB2312"/>
          <w:b/>
          <w:kern w:val="0"/>
          <w:sz w:val="24"/>
          <w:szCs w:val="20"/>
        </w:rPr>
        <w:t>撤回。</w:t>
      </w:r>
      <w:r>
        <w:rPr>
          <w:rFonts w:hint="eastAsia" w:ascii="仿宋_GB2312" w:hAnsi="仿宋_GB2312" w:eastAsia="仿宋_GB2312" w:cs="仿宋_GB2312"/>
          <w:b/>
          <w:kern w:val="0"/>
          <w:sz w:val="24"/>
          <w:szCs w:val="20"/>
          <w:lang w:eastAsia="zh-CN"/>
        </w:rPr>
        <w:t>响应文件</w:t>
      </w:r>
      <w:r>
        <w:rPr>
          <w:rFonts w:hint="eastAsia" w:ascii="仿宋_GB2312" w:hAnsi="仿宋_GB2312" w:eastAsia="仿宋_GB2312" w:cs="仿宋_GB2312"/>
          <w:b/>
          <w:kern w:val="0"/>
          <w:sz w:val="24"/>
          <w:szCs w:val="20"/>
        </w:rPr>
        <w:t>已按时解密的，备份</w:t>
      </w:r>
      <w:r>
        <w:rPr>
          <w:rFonts w:hint="eastAsia" w:ascii="仿宋_GB2312" w:hAnsi="仿宋_GB2312" w:eastAsia="仿宋_GB2312" w:cs="仿宋_GB2312"/>
          <w:b/>
          <w:kern w:val="0"/>
          <w:sz w:val="24"/>
          <w:szCs w:val="20"/>
          <w:lang w:eastAsia="zh-CN"/>
        </w:rPr>
        <w:t>响应文件</w:t>
      </w:r>
      <w:r>
        <w:rPr>
          <w:rFonts w:hint="eastAsia" w:ascii="仿宋_GB2312" w:hAnsi="仿宋_GB2312" w:eastAsia="仿宋_GB2312" w:cs="仿宋_GB2312"/>
          <w:b/>
          <w:kern w:val="0"/>
          <w:sz w:val="24"/>
          <w:szCs w:val="20"/>
        </w:rPr>
        <w:t>自动失效。</w:t>
      </w:r>
    </w:p>
    <w:p>
      <w:pPr>
        <w:keepNext w:val="0"/>
        <w:keepLines w:val="0"/>
        <w:pageBreakBefore w:val="0"/>
        <w:widowControl/>
        <w:kinsoku/>
        <w:wordWrap/>
        <w:overflowPunct/>
        <w:topLinePunct w:val="0"/>
        <w:bidi w:val="0"/>
        <w:adjustRightInd w:val="0"/>
        <w:snapToGrid/>
        <w:spacing w:before="100" w:beforeAutospacing="1" w:after="240" w:line="360" w:lineRule="auto"/>
        <w:jc w:val="left"/>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19.1开标后，采购人或采购机构将依法对投标人的资格进行审查。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19.2采购人或采购机构依据法律法规和</w:t>
      </w:r>
      <w:r>
        <w:rPr>
          <w:rFonts w:hint="eastAsia" w:ascii="仿宋_GB2312" w:hAnsi="仿宋" w:eastAsia="仿宋_GB2312" w:cs="仿宋_GB2312"/>
          <w:kern w:val="0"/>
          <w:sz w:val="24"/>
          <w:szCs w:val="20"/>
          <w:lang w:eastAsia="zh-CN"/>
        </w:rPr>
        <w:t>征集文件</w:t>
      </w:r>
      <w:r>
        <w:rPr>
          <w:rFonts w:hint="eastAsia" w:ascii="仿宋_GB2312" w:hAnsi="仿宋" w:eastAsia="仿宋_GB2312" w:cs="仿宋_GB2312"/>
          <w:kern w:val="0"/>
          <w:sz w:val="24"/>
          <w:szCs w:val="20"/>
        </w:rPr>
        <w:t>的规定，对投标人的基本资格条件、特定资格条件进行审查。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19.3投标人未按照</w:t>
      </w:r>
      <w:r>
        <w:rPr>
          <w:rFonts w:hint="eastAsia" w:ascii="仿宋_GB2312" w:hAnsi="仿宋" w:eastAsia="仿宋_GB2312" w:cs="仿宋_GB2312"/>
          <w:kern w:val="0"/>
          <w:sz w:val="24"/>
          <w:szCs w:val="20"/>
          <w:lang w:eastAsia="zh-CN"/>
        </w:rPr>
        <w:t>征集文件</w:t>
      </w:r>
      <w:r>
        <w:rPr>
          <w:rFonts w:hint="eastAsia" w:ascii="仿宋_GB2312" w:hAnsi="仿宋" w:eastAsia="仿宋_GB2312" w:cs="仿宋_GB2312"/>
          <w:kern w:val="0"/>
          <w:sz w:val="24"/>
          <w:szCs w:val="20"/>
        </w:rPr>
        <w:t>要求提供与基本资格条件、特定资格条件相应的有效资格证明材料的，视为投标人不具备</w:t>
      </w:r>
      <w:r>
        <w:rPr>
          <w:rFonts w:hint="eastAsia" w:ascii="仿宋_GB2312" w:hAnsi="仿宋" w:eastAsia="仿宋_GB2312" w:cs="仿宋_GB2312"/>
          <w:kern w:val="0"/>
          <w:sz w:val="24"/>
          <w:szCs w:val="20"/>
          <w:lang w:eastAsia="zh-CN"/>
        </w:rPr>
        <w:t>征集文件</w:t>
      </w:r>
      <w:r>
        <w:rPr>
          <w:rFonts w:hint="eastAsia" w:ascii="仿宋_GB2312" w:hAnsi="仿宋" w:eastAsia="仿宋_GB2312" w:cs="仿宋_GB2312"/>
          <w:kern w:val="0"/>
          <w:sz w:val="24"/>
          <w:szCs w:val="20"/>
        </w:rPr>
        <w:t>中规定的资格要求，其</w:t>
      </w:r>
      <w:r>
        <w:rPr>
          <w:rFonts w:hint="eastAsia" w:ascii="仿宋_GB2312" w:hAnsi="仿宋" w:eastAsia="仿宋_GB2312" w:cs="仿宋_GB2312"/>
          <w:kern w:val="0"/>
          <w:sz w:val="24"/>
          <w:szCs w:val="20"/>
          <w:lang w:eastAsia="zh-CN"/>
        </w:rPr>
        <w:t>响应</w:t>
      </w:r>
      <w:r>
        <w:rPr>
          <w:rFonts w:hint="eastAsia" w:ascii="仿宋_GB2312" w:hAnsi="仿宋" w:eastAsia="仿宋_GB2312" w:cs="仿宋_GB2312"/>
          <w:kern w:val="0"/>
          <w:sz w:val="24"/>
          <w:szCs w:val="20"/>
        </w:rPr>
        <w:t>无效。</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19.4对未通过资格审查的投标人，采购人或采购机构告知其未通过的原因。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w:t>
      </w:r>
      <w:r>
        <w:rPr>
          <w:rFonts w:hint="eastAsia" w:ascii="仿宋_GB2312" w:hAnsi="仿宋" w:eastAsia="仿宋_GB2312" w:cs="仿宋_GB2312"/>
          <w:sz w:val="24"/>
          <w:szCs w:val="24"/>
          <w:lang w:eastAsia="zh-CN"/>
        </w:rPr>
        <w:t>征集文件</w:t>
      </w:r>
      <w:r>
        <w:rPr>
          <w:rFonts w:hint="eastAsia" w:ascii="仿宋_GB2312" w:hAnsi="仿宋" w:eastAsia="仿宋_GB2312" w:cs="仿宋_GB2312"/>
          <w:sz w:val="24"/>
          <w:szCs w:val="24"/>
        </w:rPr>
        <w:t>和有关规定，履行评标工作职责，并按照评标方法及评分标准，全面衡量各投标人对</w:t>
      </w:r>
      <w:r>
        <w:rPr>
          <w:rFonts w:hint="eastAsia" w:ascii="仿宋_GB2312" w:hAnsi="仿宋" w:eastAsia="仿宋_GB2312" w:cs="仿宋_GB2312"/>
          <w:sz w:val="24"/>
          <w:szCs w:val="24"/>
          <w:lang w:eastAsia="zh-CN"/>
        </w:rPr>
        <w:t>征集文件</w:t>
      </w:r>
      <w:r>
        <w:rPr>
          <w:rFonts w:hint="eastAsia" w:ascii="仿宋_GB2312" w:hAnsi="仿宋" w:eastAsia="仿宋_GB2312" w:cs="仿宋_GB2312"/>
          <w:sz w:val="24"/>
          <w:szCs w:val="24"/>
        </w:rPr>
        <w:t>的响应情况。对实质上响应</w:t>
      </w:r>
      <w:r>
        <w:rPr>
          <w:rFonts w:hint="eastAsia" w:ascii="仿宋_GB2312" w:hAnsi="仿宋" w:eastAsia="仿宋_GB2312" w:cs="仿宋_GB2312"/>
          <w:sz w:val="24"/>
          <w:szCs w:val="24"/>
          <w:lang w:eastAsia="zh-CN"/>
        </w:rPr>
        <w:t>征集文件</w:t>
      </w:r>
      <w:r>
        <w:rPr>
          <w:rFonts w:hint="eastAsia" w:ascii="仿宋_GB2312" w:hAnsi="仿宋" w:eastAsia="仿宋_GB2312" w:cs="仿宋_GB2312"/>
          <w:sz w:val="24"/>
          <w:szCs w:val="24"/>
        </w:rPr>
        <w:t>的投标人，按照评审因素的量化指标排出推荐</w:t>
      </w:r>
      <w:r>
        <w:rPr>
          <w:rFonts w:hint="eastAsia" w:ascii="仿宋_GB2312" w:hAnsi="仿宋" w:eastAsia="仿宋_GB2312" w:cs="仿宋_GB2312"/>
          <w:sz w:val="24"/>
          <w:szCs w:val="24"/>
          <w:lang w:eastAsia="zh-CN"/>
        </w:rPr>
        <w:t>入围供应商</w:t>
      </w:r>
      <w:r>
        <w:rPr>
          <w:rFonts w:hint="eastAsia" w:ascii="仿宋_GB2312" w:hAnsi="仿宋" w:eastAsia="仿宋_GB2312" w:cs="仿宋_GB2312"/>
          <w:sz w:val="24"/>
          <w:szCs w:val="24"/>
        </w:rPr>
        <w:t>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w:t>
      </w:r>
      <w:r>
        <w:rPr>
          <w:rFonts w:hint="eastAsia" w:ascii="仿宋_GB2312" w:hAnsi="仿宋" w:eastAsia="仿宋_GB2312" w:cs="仿宋_GB2312"/>
          <w:b/>
          <w:color w:val="000000" w:themeColor="text1"/>
          <w:sz w:val="24"/>
          <w:highlight w:val="none"/>
          <w:lang w:eastAsia="zh-CN"/>
          <w14:textFill>
            <w14:solidFill>
              <w14:schemeClr w14:val="tx1"/>
            </w14:solidFill>
          </w14:textFill>
        </w:rPr>
        <w:t>征集文件</w:t>
      </w:r>
      <w:r>
        <w:rPr>
          <w:rFonts w:hint="eastAsia" w:ascii="仿宋_GB2312" w:hAnsi="仿宋" w:eastAsia="仿宋_GB2312" w:cs="仿宋_GB2312"/>
          <w:b/>
          <w:color w:val="000000" w:themeColor="text1"/>
          <w:sz w:val="24"/>
          <w:highlight w:val="none"/>
          <w14:textFill>
            <w14:solidFill>
              <w14:schemeClr w14:val="tx1"/>
            </w14:solidFill>
          </w14:textFill>
        </w:rPr>
        <w:t>第四部分评标办法。</w:t>
      </w: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w:t>
      </w:r>
      <w:r>
        <w:rPr>
          <w:rFonts w:hint="eastAsia" w:ascii="仿宋_GB2312" w:hAnsi="仿宋" w:eastAsia="仿宋_GB2312" w:cs="仿宋_GB2312"/>
          <w:b/>
          <w:sz w:val="24"/>
          <w:szCs w:val="24"/>
          <w:lang w:eastAsia="zh-CN"/>
        </w:rPr>
        <w:t>入围</w:t>
      </w:r>
      <w:r>
        <w:rPr>
          <w:rFonts w:hint="eastAsia" w:ascii="仿宋_GB2312" w:hAnsi="仿宋" w:eastAsia="仿宋_GB2312" w:cs="仿宋_GB2312"/>
          <w:b/>
          <w:sz w:val="24"/>
          <w:szCs w:val="24"/>
        </w:rPr>
        <w:t>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采购人将自收到评审报告之日起</w:t>
      </w:r>
      <w:r>
        <w:rPr>
          <w:rFonts w:hint="eastAsia" w:ascii="仿宋_GB2312" w:hAnsi="仿宋" w:eastAsia="仿宋_GB2312" w:cs="仿宋_GB2312"/>
          <w:sz w:val="24"/>
          <w:szCs w:val="24"/>
          <w:lang w:val="en-US" w:eastAsia="zh-CN"/>
        </w:rPr>
        <w:t>2</w:t>
      </w:r>
      <w:r>
        <w:rPr>
          <w:rFonts w:hint="eastAsia" w:ascii="仿宋_GB2312" w:hAnsi="仿宋" w:eastAsia="仿宋_GB2312" w:cs="仿宋_GB2312"/>
          <w:sz w:val="24"/>
          <w:szCs w:val="24"/>
        </w:rPr>
        <w:t>个工作日内通过电子交易平台在评审报告推荐的</w:t>
      </w:r>
      <w:r>
        <w:rPr>
          <w:rFonts w:hint="eastAsia" w:ascii="仿宋_GB2312" w:hAnsi="仿宋" w:eastAsia="仿宋_GB2312" w:cs="仿宋_GB2312"/>
          <w:sz w:val="24"/>
          <w:szCs w:val="24"/>
          <w:lang w:eastAsia="zh-CN"/>
        </w:rPr>
        <w:t>入围</w:t>
      </w:r>
      <w:r>
        <w:rPr>
          <w:rFonts w:hint="eastAsia" w:ascii="仿宋_GB2312" w:hAnsi="仿宋" w:eastAsia="仿宋_GB2312" w:cs="仿宋_GB2312"/>
          <w:sz w:val="24"/>
          <w:szCs w:val="24"/>
        </w:rPr>
        <w:t>供应商。</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23. </w:t>
      </w:r>
      <w:r>
        <w:rPr>
          <w:rFonts w:hint="eastAsia" w:ascii="仿宋_GB2312" w:hAnsi="仿宋" w:eastAsia="仿宋_GB2312" w:cs="仿宋_GB2312"/>
          <w:b/>
          <w:sz w:val="24"/>
          <w:szCs w:val="24"/>
          <w:lang w:eastAsia="zh-CN"/>
        </w:rPr>
        <w:t>入围</w:t>
      </w:r>
      <w:r>
        <w:rPr>
          <w:rFonts w:hint="eastAsia" w:ascii="仿宋_GB2312" w:hAnsi="仿宋" w:eastAsia="仿宋_GB2312" w:cs="仿宋_GB2312"/>
          <w:b/>
          <w:sz w:val="24"/>
          <w:szCs w:val="24"/>
        </w:rPr>
        <w:t>通知与</w:t>
      </w:r>
      <w:r>
        <w:rPr>
          <w:rFonts w:hint="eastAsia" w:ascii="仿宋_GB2312" w:hAnsi="仿宋" w:eastAsia="仿宋_GB2312" w:cs="仿宋_GB2312"/>
          <w:b/>
          <w:sz w:val="24"/>
          <w:szCs w:val="24"/>
          <w:lang w:eastAsia="zh-CN"/>
        </w:rPr>
        <w:t>入围</w:t>
      </w:r>
      <w:r>
        <w:rPr>
          <w:rFonts w:hint="eastAsia" w:ascii="仿宋_GB2312" w:hAnsi="仿宋" w:eastAsia="仿宋_GB2312" w:cs="仿宋_GB2312"/>
          <w:b/>
          <w:sz w:val="24"/>
          <w:szCs w:val="24"/>
        </w:rPr>
        <w:t>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w:t>
      </w:r>
      <w:r>
        <w:rPr>
          <w:rFonts w:hint="eastAsia" w:ascii="仿宋_GB2312" w:hAnsi="仿宋" w:eastAsia="仿宋_GB2312" w:cs="仿宋_GB2312"/>
          <w:color w:val="000000" w:themeColor="text1"/>
          <w:sz w:val="24"/>
          <w:highlight w:val="none"/>
          <w:lang w:eastAsia="zh-CN"/>
          <w14:textFill>
            <w14:solidFill>
              <w14:schemeClr w14:val="tx1"/>
            </w14:solidFill>
          </w14:textFill>
        </w:rPr>
        <w:t>入围供应商</w:t>
      </w:r>
      <w:r>
        <w:rPr>
          <w:rFonts w:ascii="仿宋_GB2312" w:hAnsi="仿宋" w:eastAsia="仿宋_GB2312" w:cs="仿宋_GB2312"/>
          <w:color w:val="000000" w:themeColor="text1"/>
          <w:sz w:val="24"/>
          <w:highlight w:val="none"/>
          <w14:textFill>
            <w14:solidFill>
              <w14:schemeClr w14:val="tx1"/>
            </w14:solidFill>
          </w14:textFill>
        </w:rPr>
        <w:t>确定之日起2个工作日内，采购机构通过电子交易平台向</w:t>
      </w:r>
      <w:r>
        <w:rPr>
          <w:rFonts w:hint="eastAsia" w:ascii="仿宋_GB2312" w:hAnsi="仿宋" w:eastAsia="仿宋_GB2312" w:cs="仿宋_GB2312"/>
          <w:color w:val="000000" w:themeColor="text1"/>
          <w:sz w:val="24"/>
          <w:highlight w:val="none"/>
          <w:lang w:eastAsia="zh-CN"/>
          <w14:textFill>
            <w14:solidFill>
              <w14:schemeClr w14:val="tx1"/>
            </w14:solidFill>
          </w14:textFill>
        </w:rPr>
        <w:t>入围供应商</w:t>
      </w:r>
      <w:r>
        <w:rPr>
          <w:rFonts w:ascii="仿宋_GB2312" w:hAnsi="仿宋" w:eastAsia="仿宋_GB2312" w:cs="仿宋_GB2312"/>
          <w:color w:val="000000" w:themeColor="text1"/>
          <w:sz w:val="24"/>
          <w:highlight w:val="none"/>
          <w14:textFill>
            <w14:solidFill>
              <w14:schemeClr w14:val="tx1"/>
            </w14:solidFill>
          </w14:textFill>
        </w:rPr>
        <w:t>发出</w:t>
      </w:r>
      <w:r>
        <w:rPr>
          <w:rFonts w:hint="eastAsia" w:ascii="仿宋_GB2312" w:hAnsi="仿宋" w:eastAsia="仿宋_GB2312" w:cs="仿宋_GB2312"/>
          <w:color w:val="000000" w:themeColor="text1"/>
          <w:sz w:val="24"/>
          <w:highlight w:val="none"/>
          <w:lang w:eastAsia="zh-CN"/>
          <w14:textFill>
            <w14:solidFill>
              <w14:schemeClr w14:val="tx1"/>
            </w14:solidFill>
          </w14:textFill>
        </w:rPr>
        <w:t>入围</w:t>
      </w:r>
      <w:r>
        <w:rPr>
          <w:rFonts w:ascii="仿宋_GB2312" w:hAnsi="仿宋" w:eastAsia="仿宋_GB2312" w:cs="仿宋_GB2312"/>
          <w:color w:val="000000" w:themeColor="text1"/>
          <w:sz w:val="24"/>
          <w:highlight w:val="none"/>
          <w14:textFill>
            <w14:solidFill>
              <w14:schemeClr w14:val="tx1"/>
            </w14:solidFill>
          </w14:textFill>
        </w:rPr>
        <w:t>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w:t>
      </w:r>
      <w:r>
        <w:rPr>
          <w:rFonts w:hint="eastAsia" w:ascii="仿宋_GB2312" w:hAnsi="仿宋" w:eastAsia="仿宋_GB2312" w:cs="仿宋_GB2312"/>
          <w:color w:val="000000" w:themeColor="text1"/>
          <w:sz w:val="24"/>
          <w:highlight w:val="none"/>
          <w:lang w:eastAsia="zh-CN"/>
          <w14:textFill>
            <w14:solidFill>
              <w14:schemeClr w14:val="tx1"/>
            </w14:solidFill>
          </w14:textFill>
        </w:rPr>
        <w:t>入围</w:t>
      </w:r>
      <w:r>
        <w:rPr>
          <w:rFonts w:hint="eastAsia" w:ascii="仿宋_GB2312" w:hAnsi="仿宋" w:eastAsia="仿宋_GB2312" w:cs="仿宋_GB2312"/>
          <w:color w:val="000000" w:themeColor="text1"/>
          <w:sz w:val="24"/>
          <w:highlight w:val="none"/>
          <w14:textFill>
            <w14:solidFill>
              <w14:schemeClr w14:val="tx1"/>
            </w14:solidFill>
          </w14:textFill>
        </w:rPr>
        <w:t>结果公告。采购机构也可以以纸质形式进行</w:t>
      </w:r>
      <w:r>
        <w:rPr>
          <w:rFonts w:hint="eastAsia" w:ascii="仿宋_GB2312" w:hAnsi="仿宋" w:eastAsia="仿宋_GB2312" w:cs="仿宋_GB2312"/>
          <w:color w:val="000000" w:themeColor="text1"/>
          <w:sz w:val="24"/>
          <w:highlight w:val="none"/>
          <w:lang w:eastAsia="zh-CN"/>
          <w14:textFill>
            <w14:solidFill>
              <w14:schemeClr w14:val="tx1"/>
            </w14:solidFill>
          </w14:textFill>
        </w:rPr>
        <w:t>入围</w:t>
      </w:r>
      <w:r>
        <w:rPr>
          <w:rFonts w:hint="eastAsia" w:ascii="仿宋_GB2312" w:hAnsi="仿宋" w:eastAsia="仿宋_GB2312" w:cs="仿宋_GB2312"/>
          <w:color w:val="000000" w:themeColor="text1"/>
          <w:sz w:val="24"/>
          <w:highlight w:val="none"/>
          <w14:textFill>
            <w14:solidFill>
              <w14:schemeClr w14:val="tx1"/>
            </w14:solidFill>
          </w14:textFill>
        </w:rPr>
        <w:t>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入围结果公告应当包括以下主要内容： </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（一）采购项目名称、编号； </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（二）征集人的名称、地址、联系人和联系方式； </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（三）入围供应商名称、地址及排序； </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（四）最高入围价格或者最低入围分值； </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（五）入围产品名称、规格型号或者主要服务内容及服务标准，入围单价； </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（六）评审小组成员名单； </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（七）采购代理服务收费标准及金额； </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（八）公告期限； </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（九）省级以上财政部门规定的其他事项。</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pStyle w:val="2"/>
        <w:numPr>
          <w:ilvl w:val="0"/>
          <w:numId w:val="0"/>
        </w:numPr>
        <w:ind w:leftChars="0" w:firstLine="480" w:firstLineChars="200"/>
        <w:rPr>
          <w:rFonts w:hint="eastAsia" w:cs="仿宋_GB2312"/>
          <w:b w:val="0"/>
          <w:bCs w:val="0"/>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val="0"/>
          <w:bCs w:val="0"/>
          <w:color w:val="000000" w:themeColor="text1"/>
          <w:kern w:val="2"/>
          <w:sz w:val="24"/>
          <w:szCs w:val="22"/>
          <w:highlight w:val="none"/>
          <w:lang w:val="en-US" w:eastAsia="zh-CN" w:bidi="ar-SA"/>
          <w14:textFill>
            <w14:solidFill>
              <w14:schemeClr w14:val="tx1"/>
            </w14:solidFill>
          </w14:textFill>
        </w:rPr>
        <w:t>23.4</w:t>
      </w:r>
      <w:r>
        <w:rPr>
          <w:rFonts w:hint="eastAsia" w:cs="仿宋_GB2312"/>
          <w:b w:val="0"/>
          <w:bCs w:val="0"/>
          <w:color w:val="000000" w:themeColor="text1"/>
          <w:kern w:val="2"/>
          <w:sz w:val="24"/>
          <w:szCs w:val="22"/>
          <w:highlight w:val="none"/>
          <w:lang w:val="en-US" w:eastAsia="zh-CN" w:bidi="ar-SA"/>
          <w14:textFill>
            <w14:solidFill>
              <w14:schemeClr w14:val="tx1"/>
            </w14:solidFill>
          </w14:textFill>
        </w:rPr>
        <w:t>入围供应商的清退和补充规则</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在下列情形下甲方有权清退入围供应商，而不需要承担任何责任：</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1）入围供应商实质性违反本协议约定的；</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2）入围供应商有违反合同约定或其职责、义务的行为，在采购人指定期限内未予以纠正或补救的；</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3）入围供应商资质吊销或注销的；</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4）入围供应商泄漏委托方的秘密或与第三方串通损害采购人利益的；由此造成的经济损失，入围方应予赔偿；存在违法违规行为的，由相关部门进行处理；</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5）采购人针对项目服务时限、质量有权提出要求，由于入围供应商原因，项目服务时限超出委托时限或质量不合格的；</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6）入围供应商与项目相关单位或个人私下交易，接受财物、吃请等违纪行为经查实的；存在违法违规行为的，由相关部门进行处理；</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7）入围供应商在审计过程中将审计资料丢失的；由此造成的经济损失，入围供应商应予赔偿；存在违法违规行为的，由相关部门进行处理；</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8）在入围供应商违约情形下，采购人有权对本项目合同进行必要的变更。 因入围供应商违约导致合同解除的，入围供应商应按本项目正常计算酬金的 20%支付违约金。</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9）入围供应商提供服务时，需按委托人要求时限完成，无正当理由，未按时完成的将解除合同。</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10）执行纠错机制，即因审计项目结果存在较大争议，相关单位提出投诉，并确认入围供应商为责任方的，采购人有权终止合同。</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11）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12）如遇到政策变化或者其他不可抗力因素，本协议自动解除。</w:t>
      </w:r>
    </w:p>
    <w:p>
      <w:pPr>
        <w:widowControl/>
        <w:shd w:val="clear" w:color="auto" w:fill="FFFFFF"/>
        <w:spacing w:line="360" w:lineRule="auto"/>
        <w:ind w:firstLine="480"/>
        <w:jc w:val="left"/>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除剩余入围供应商不足入围供应商总数70%且影响框架协议执行的情形外，框架协议有效期内，征集人不得补充征集供应商。</w:t>
      </w:r>
    </w:p>
    <w:p>
      <w:pPr>
        <w:rPr>
          <w:rFonts w:hint="default"/>
          <w:lang w:val="en-US" w:eastAsia="zh-CN"/>
        </w:rPr>
      </w:pPr>
    </w:p>
    <w:p>
      <w:pPr>
        <w:keepNext w:val="0"/>
        <w:keepLines w:val="0"/>
        <w:pageBreakBefore w:val="0"/>
        <w:numPr>
          <w:ilvl w:val="0"/>
          <w:numId w:val="3"/>
        </w:numPr>
        <w:kinsoku/>
        <w:wordWrap/>
        <w:overflowPunct/>
        <w:topLinePunct w:val="0"/>
        <w:autoSpaceDE/>
        <w:autoSpaceDN/>
        <w:bidi w:val="0"/>
        <w:adjustRightInd w:val="0"/>
        <w:spacing w:after="120" w:line="360" w:lineRule="auto"/>
        <w:jc w:val="center"/>
        <w:textAlignment w:val="auto"/>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合同授予</w:t>
      </w:r>
    </w:p>
    <w:p>
      <w:pPr>
        <w:keepNext w:val="0"/>
        <w:keepLines w:val="0"/>
        <w:pageBreakBefore w:val="0"/>
        <w:numPr>
          <w:ilvl w:val="0"/>
          <w:numId w:val="0"/>
        </w:numPr>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ascii="仿宋_GB2312" w:hAnsi="仿宋" w:eastAsia="仿宋_GB2312" w:cs="Arial"/>
          <w:kern w:val="0"/>
          <w:sz w:val="24"/>
          <w:szCs w:val="24"/>
        </w:rPr>
      </w:pPr>
      <w:r>
        <w:rPr>
          <w:rFonts w:hint="eastAsia" w:ascii="仿宋_GB2312" w:hAnsi="仿宋" w:eastAsia="仿宋_GB2312" w:cs="仿宋_GB2312"/>
          <w:sz w:val="24"/>
          <w:szCs w:val="24"/>
        </w:rPr>
        <w:t>25.1</w:t>
      </w:r>
      <w:r>
        <w:rPr>
          <w:rFonts w:hint="eastAsia" w:ascii="仿宋_GB2312" w:hAnsi="仿宋" w:eastAsia="仿宋_GB2312" w:cs="Arial"/>
          <w:kern w:val="0"/>
          <w:sz w:val="24"/>
          <w:szCs w:val="24"/>
        </w:rPr>
        <w:t xml:space="preserve"> </w:t>
      </w:r>
      <w:r>
        <w:rPr>
          <w:rFonts w:hint="eastAsia" w:ascii="仿宋_GB2312" w:hAnsi="仿宋" w:eastAsia="仿宋_GB2312" w:cs="Arial"/>
          <w:kern w:val="0"/>
          <w:sz w:val="24"/>
          <w:lang w:eastAsia="zh-CN"/>
        </w:rPr>
        <w:t>征集</w:t>
      </w:r>
      <w:r>
        <w:rPr>
          <w:rFonts w:ascii="仿宋_GB2312" w:hAnsi="仿宋" w:eastAsia="仿宋_GB2312" w:cs="Arial"/>
          <w:kern w:val="0"/>
          <w:sz w:val="24"/>
        </w:rPr>
        <w:t>人与</w:t>
      </w:r>
      <w:r>
        <w:rPr>
          <w:rFonts w:hint="eastAsia" w:ascii="仿宋_GB2312" w:hAnsi="仿宋" w:eastAsia="仿宋_GB2312" w:cs="Arial"/>
          <w:kern w:val="0"/>
          <w:sz w:val="24"/>
          <w:lang w:eastAsia="zh-CN"/>
        </w:rPr>
        <w:t>入围供应商</w:t>
      </w:r>
      <w:r>
        <w:rPr>
          <w:rFonts w:ascii="仿宋_GB2312" w:hAnsi="仿宋" w:eastAsia="仿宋_GB2312" w:cs="Arial"/>
          <w:kern w:val="0"/>
          <w:sz w:val="24"/>
        </w:rPr>
        <w:t>应当通过电子交易平台在</w:t>
      </w:r>
      <w:r>
        <w:rPr>
          <w:rFonts w:hint="eastAsia" w:ascii="仿宋_GB2312" w:hAnsi="仿宋" w:eastAsia="仿宋_GB2312" w:cs="Arial"/>
          <w:kern w:val="0"/>
          <w:sz w:val="24"/>
          <w:lang w:eastAsia="zh-CN"/>
        </w:rPr>
        <w:t>入围</w:t>
      </w:r>
      <w:r>
        <w:rPr>
          <w:rFonts w:ascii="仿宋_GB2312" w:hAnsi="仿宋" w:eastAsia="仿宋_GB2312" w:cs="Arial"/>
          <w:kern w:val="0"/>
          <w:sz w:val="24"/>
        </w:rPr>
        <w:t>通知书发出之日起三十日内，按照</w:t>
      </w:r>
      <w:r>
        <w:rPr>
          <w:rFonts w:hint="eastAsia" w:ascii="仿宋_GB2312" w:hAnsi="仿宋" w:eastAsia="仿宋_GB2312" w:cs="Arial"/>
          <w:kern w:val="0"/>
          <w:sz w:val="24"/>
          <w:lang w:eastAsia="zh-CN"/>
        </w:rPr>
        <w:t>征集</w:t>
      </w:r>
      <w:r>
        <w:rPr>
          <w:rFonts w:ascii="仿宋_GB2312" w:hAnsi="仿宋" w:eastAsia="仿宋_GB2312" w:cs="Arial"/>
          <w:kern w:val="0"/>
          <w:sz w:val="24"/>
        </w:rPr>
        <w:t>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lang w:val="zh-CN"/>
        </w:rPr>
        <w:t>25.2</w:t>
      </w:r>
      <w:r>
        <w:rPr>
          <w:rFonts w:hint="eastAsia" w:ascii="仿宋_GB2312" w:hAnsi="仿宋" w:eastAsia="仿宋_GB2312" w:cs="Arial"/>
          <w:kern w:val="0"/>
          <w:sz w:val="24"/>
          <w:lang w:eastAsia="zh-CN"/>
        </w:rPr>
        <w:t>入围供应商</w:t>
      </w:r>
      <w:r>
        <w:rPr>
          <w:rFonts w:hint="eastAsia" w:ascii="仿宋_GB2312" w:hAnsi="仿宋" w:eastAsia="仿宋_GB2312" w:cs="Arial"/>
          <w:kern w:val="0"/>
          <w:sz w:val="24"/>
          <w:szCs w:val="24"/>
          <w:lang w:val="zh-CN"/>
        </w:rPr>
        <w:t>按规定的日期、时间、地点，由法定代表人或其授权代表与采购人代表签订合同。如</w:t>
      </w:r>
      <w:r>
        <w:rPr>
          <w:rFonts w:hint="eastAsia" w:ascii="仿宋_GB2312" w:hAnsi="仿宋" w:eastAsia="仿宋_GB2312" w:cs="Arial"/>
          <w:kern w:val="0"/>
          <w:sz w:val="24"/>
          <w:lang w:eastAsia="zh-CN"/>
        </w:rPr>
        <w:t>入围供应商</w:t>
      </w:r>
      <w:r>
        <w:rPr>
          <w:rFonts w:hint="eastAsia" w:ascii="仿宋_GB2312" w:hAnsi="仿宋" w:eastAsia="仿宋_GB2312" w:cs="Arial"/>
          <w:kern w:val="0"/>
          <w:sz w:val="24"/>
          <w:szCs w:val="24"/>
          <w:lang w:val="zh-CN"/>
        </w:rPr>
        <w:t>为联合体的，由联合体成员各方法定代表人或其授权代表与采购人代表签订合同。</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25.3如签订合同并生效后，供应商无故拒绝或延期，除按照合同条款处理外，列入不良行为记录一次，并给予通报。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25.4</w:t>
      </w:r>
      <w:r>
        <w:rPr>
          <w:rFonts w:hint="eastAsia" w:ascii="仿宋_GB2312" w:hAnsi="仿宋" w:eastAsia="仿宋_GB2312" w:cs="Arial"/>
          <w:kern w:val="0"/>
          <w:sz w:val="24"/>
          <w:lang w:eastAsia="zh-CN"/>
        </w:rPr>
        <w:t>入围供应商</w:t>
      </w:r>
      <w:r>
        <w:rPr>
          <w:rFonts w:hint="eastAsia" w:ascii="仿宋_GB2312" w:hAnsi="仿宋" w:eastAsia="仿宋_GB2312" w:cs="Arial"/>
          <w:kern w:val="0"/>
          <w:sz w:val="24"/>
          <w:szCs w:val="24"/>
        </w:rPr>
        <w:t>拒绝与采购人签订合同的，采购人</w:t>
      </w:r>
      <w:r>
        <w:rPr>
          <w:rFonts w:hint="eastAsia" w:ascii="仿宋_GB2312" w:hAnsi="仿宋" w:eastAsia="仿宋_GB2312" w:cs="Arial"/>
          <w:kern w:val="0"/>
          <w:sz w:val="24"/>
          <w:szCs w:val="24"/>
          <w:lang w:eastAsia="zh-CN"/>
        </w:rPr>
        <w:t>则</w:t>
      </w:r>
      <w:r>
        <w:rPr>
          <w:rFonts w:hint="eastAsia" w:ascii="仿宋_GB2312" w:hAnsi="仿宋" w:eastAsia="仿宋_GB2312" w:cs="Arial"/>
          <w:kern w:val="0"/>
          <w:sz w:val="24"/>
          <w:szCs w:val="24"/>
          <w:lang w:val="en-US" w:eastAsia="zh-CN"/>
        </w:rPr>
        <w:t>将授予排序在该投标人之后的下一个投标人</w:t>
      </w:r>
      <w:r>
        <w:rPr>
          <w:rFonts w:hint="eastAsia" w:ascii="仿宋_GB2312" w:hAnsi="仿宋" w:eastAsia="仿宋_GB2312" w:cs="Arial"/>
          <w:kern w:val="0"/>
          <w:sz w:val="24"/>
          <w:szCs w:val="24"/>
        </w:rPr>
        <w:t>。</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25.5采购合同由采购人与中标供应商根据</w:t>
      </w:r>
      <w:r>
        <w:rPr>
          <w:rFonts w:hint="eastAsia" w:ascii="仿宋_GB2312" w:hAnsi="仿宋" w:eastAsia="仿宋_GB2312" w:cs="Arial"/>
          <w:kern w:val="0"/>
          <w:sz w:val="24"/>
          <w:szCs w:val="24"/>
          <w:lang w:eastAsia="zh-CN"/>
        </w:rPr>
        <w:t>征集</w:t>
      </w:r>
      <w:r>
        <w:rPr>
          <w:rFonts w:hint="eastAsia" w:ascii="仿宋_GB2312" w:hAnsi="仿宋" w:eastAsia="仿宋_GB2312" w:cs="Arial"/>
          <w:kern w:val="0"/>
          <w:sz w:val="24"/>
          <w:szCs w:val="24"/>
        </w:rPr>
        <w:t>文件、</w:t>
      </w:r>
      <w:r>
        <w:rPr>
          <w:rFonts w:hint="eastAsia" w:ascii="仿宋_GB2312" w:hAnsi="仿宋" w:eastAsia="仿宋_GB2312" w:cs="Arial"/>
          <w:kern w:val="0"/>
          <w:sz w:val="24"/>
          <w:szCs w:val="24"/>
          <w:lang w:eastAsia="zh-CN"/>
        </w:rPr>
        <w:t>响应</w:t>
      </w:r>
      <w:r>
        <w:rPr>
          <w:rFonts w:hint="eastAsia" w:ascii="仿宋_GB2312" w:hAnsi="仿宋" w:eastAsia="仿宋_GB2312" w:cs="Arial"/>
          <w:kern w:val="0"/>
          <w:sz w:val="24"/>
          <w:szCs w:val="24"/>
        </w:rPr>
        <w:t>文件等内容通过政府采购电子交易平台在线签订，自动备案。</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拟签订的合同文本要求</w:t>
      </w:r>
      <w:r>
        <w:rPr>
          <w:rFonts w:hint="eastAsia" w:ascii="仿宋_GB2312" w:hAnsi="仿宋" w:eastAsia="仿宋_GB2312" w:cs="Helvetica"/>
          <w:color w:val="000000" w:themeColor="text1"/>
          <w:kern w:val="0"/>
          <w:sz w:val="24"/>
          <w:highlight w:val="none"/>
          <w:lang w:eastAsia="zh-CN"/>
          <w14:textFill>
            <w14:solidFill>
              <w14:schemeClr w14:val="tx1"/>
            </w14:solidFill>
          </w14:textFill>
        </w:rPr>
        <w:t>入围</w:t>
      </w:r>
      <w:r>
        <w:rPr>
          <w:rFonts w:hint="eastAsia" w:ascii="仿宋_GB2312" w:hAnsi="仿宋" w:eastAsia="仿宋_GB2312" w:cs="Helvetica"/>
          <w:color w:val="000000" w:themeColor="text1"/>
          <w:kern w:val="0"/>
          <w:sz w:val="24"/>
          <w:highlight w:val="none"/>
          <w14:textFill>
            <w14:solidFill>
              <w14:schemeClr w14:val="tx1"/>
            </w14:solidFill>
          </w14:textFill>
        </w:rPr>
        <w:t>供应商提交履约保证金的，供应商应当以支票、汇票、本票或者金融机构、担保机构出具的保函等非现金形式提交</w:t>
      </w:r>
      <w:r>
        <w:rPr>
          <w:rFonts w:hint="eastAsia" w:ascii="仿宋_GB2312" w:hAnsi="仿宋" w:eastAsia="仿宋_GB2312"/>
          <w:color w:val="000000" w:themeColor="text1"/>
          <w:sz w:val="24"/>
          <w:highlight w:val="none"/>
          <w14:textFill>
            <w14:solidFill>
              <w14:schemeClr w14:val="tx1"/>
            </w14:solidFill>
          </w14:textFill>
        </w:rPr>
        <w:t>。履约保证金的数额不得超过政府采购合同金额的</w:t>
      </w:r>
      <w:r>
        <w:rPr>
          <w:rFonts w:hint="eastAsia" w:ascii="仿宋_GB2312" w:hAnsi="仿宋" w:eastAsia="仿宋_GB2312"/>
          <w:color w:val="000000" w:themeColor="text1"/>
          <w:sz w:val="24"/>
          <w:highlight w:val="none"/>
          <w:lang w:val="en-US" w:eastAsia="zh-CN"/>
          <w14:textFill>
            <w14:solidFill>
              <w14:schemeClr w14:val="tx1"/>
            </w14:solidFill>
          </w14:textFill>
        </w:rPr>
        <w:t>2.5</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highlight w:val="none"/>
          <w14:textFill>
            <w14:solidFill>
              <w14:schemeClr w14:val="tx1"/>
            </w14:solidFill>
          </w14:textFill>
        </w:rPr>
        <w:t>采购人不得拒收履约保函。</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Times New Roman"/>
          <w:sz w:val="24"/>
          <w:szCs w:val="24"/>
          <w:lang w:val="en-US" w:eastAsia="zh-CN"/>
        </w:rPr>
        <w:t>2.</w:t>
      </w:r>
      <w:r>
        <w:rPr>
          <w:rFonts w:hint="eastAsia" w:ascii="仿宋_GB2312" w:hAnsi="仿宋" w:eastAsia="仿宋_GB2312" w:cs="Times New Roman"/>
          <w:sz w:val="24"/>
          <w:szCs w:val="24"/>
        </w:rPr>
        <w:t>5%。</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hint="eastAsia" w:ascii="仿宋_GB2312" w:hAnsi="仿宋" w:eastAsia="仿宋_GB2312" w:cs="仿宋_GB2312"/>
          <w:b/>
          <w:sz w:val="32"/>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lang w:eastAsia="zh-CN"/>
        </w:rPr>
        <w:t>征集</w:t>
      </w:r>
      <w:r>
        <w:rPr>
          <w:rFonts w:hint="eastAsia" w:ascii="仿宋_GB2312" w:hAnsi="仿宋" w:eastAsia="仿宋_GB2312" w:cs="仿宋_GB2312"/>
          <w:sz w:val="24"/>
        </w:rPr>
        <w:t>过程中出现以下情形，导致电子交易平台无法正常运行，或者无法保证电子交易的公平、公正和安</w:t>
      </w:r>
      <w:r>
        <w:rPr>
          <w:rFonts w:hint="eastAsia" w:ascii="仿宋_GB2312" w:hAnsi="仿宋" w:eastAsia="仿宋_GB2312" w:cs="Helvetica"/>
          <w:color w:val="000000" w:themeColor="text1"/>
          <w:kern w:val="0"/>
          <w:sz w:val="24"/>
          <w:highlight w:val="none"/>
          <w14:textFill>
            <w14:solidFill>
              <w14:schemeClr w14:val="tx1"/>
            </w14:solidFill>
          </w14:textFill>
        </w:rPr>
        <w:t>全时，采购机构可中止电子交易活动：</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27.1电子交易平台发生故障而无法登录访问的；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27.2电子交易平台应用或数据库出现错误，不能进行正常操作的；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27.3电子交易平台发现严重安全漏洞，有潜在泄密危险的；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27.4病毒发作导致不能进行正常操作的；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ascii="仿宋_GB2312" w:hAnsi="仿宋" w:eastAsia="仿宋_GB2312" w:cs="仿宋_GB2312"/>
          <w:sz w:val="24"/>
        </w:rPr>
      </w:pP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w:t>
      </w:r>
      <w:r>
        <w:rPr>
          <w:rFonts w:hint="eastAsia" w:ascii="仿宋_GB2312" w:hAnsi="仿宋" w:eastAsia="仿宋_GB2312" w:cs="仿宋_GB2312"/>
          <w:sz w:val="24"/>
          <w:lang w:eastAsia="zh-CN"/>
        </w:rPr>
        <w:t>征集</w:t>
      </w:r>
      <w:r>
        <w:rPr>
          <w:rFonts w:hint="eastAsia" w:ascii="仿宋_GB2312" w:hAnsi="仿宋" w:eastAsia="仿宋_GB2312" w:cs="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9"/>
        <w:tabs>
          <w:tab w:val="left" w:pos="840"/>
        </w:tabs>
        <w:spacing w:line="360" w:lineRule="auto"/>
        <w:ind w:firstLine="480" w:firstLineChars="20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pacing w:line="360" w:lineRule="auto"/>
        <w:jc w:val="center"/>
        <w:outlineLvl w:val="0"/>
        <w:rPr>
          <w:rFonts w:hint="eastAsia" w:ascii="仿宋_GB2312" w:hAnsi="仿宋" w:eastAsia="仿宋_GB2312" w:cs="仿宋_GB2312"/>
          <w:b/>
          <w:sz w:val="36"/>
          <w:szCs w:val="36"/>
        </w:rPr>
      </w:pPr>
    </w:p>
    <w:p>
      <w:pPr>
        <w:adjustRightInd w:val="0"/>
        <w:spacing w:line="360" w:lineRule="auto"/>
        <w:jc w:val="center"/>
        <w:outlineLvl w:val="0"/>
        <w:rPr>
          <w:rFonts w:hint="eastAsia" w:ascii="仿宋_GB2312" w:hAnsi="仿宋" w:eastAsia="仿宋_GB2312" w:cs="仿宋_GB2312"/>
          <w:b/>
          <w:sz w:val="36"/>
          <w:szCs w:val="36"/>
        </w:rPr>
      </w:pPr>
    </w:p>
    <w:p>
      <w:pPr>
        <w:adjustRightInd w:val="0"/>
        <w:spacing w:line="360" w:lineRule="auto"/>
        <w:jc w:val="center"/>
        <w:outlineLvl w:val="0"/>
        <w:rPr>
          <w:rFonts w:hint="eastAsia" w:ascii="仿宋_GB2312" w:hAnsi="仿宋" w:eastAsia="仿宋_GB2312" w:cs="仿宋_GB2312"/>
          <w:b/>
          <w:sz w:val="36"/>
          <w:szCs w:val="36"/>
        </w:rPr>
      </w:pPr>
    </w:p>
    <w:p>
      <w:pPr>
        <w:adjustRightInd w:val="0"/>
        <w:spacing w:line="360" w:lineRule="auto"/>
        <w:jc w:val="center"/>
        <w:outlineLvl w:val="0"/>
        <w:rPr>
          <w:rFonts w:hint="eastAsia" w:ascii="仿宋_GB2312" w:hAnsi="仿宋" w:eastAsia="仿宋_GB2312" w:cs="仿宋_GB2312"/>
          <w:b/>
          <w:sz w:val="36"/>
          <w:szCs w:val="36"/>
        </w:rPr>
      </w:pPr>
    </w:p>
    <w:p>
      <w:pPr>
        <w:adjustRightInd w:val="0"/>
        <w:spacing w:line="360" w:lineRule="auto"/>
        <w:jc w:val="center"/>
        <w:outlineLvl w:val="0"/>
        <w:rPr>
          <w:rFonts w:hint="eastAsia" w:ascii="仿宋_GB2312" w:hAnsi="仿宋" w:eastAsia="仿宋_GB2312" w:cs="仿宋_GB2312"/>
          <w:b/>
          <w:sz w:val="36"/>
          <w:szCs w:val="36"/>
        </w:rPr>
      </w:pPr>
    </w:p>
    <w:p>
      <w:pPr>
        <w:adjustRightInd w:val="0"/>
        <w:spacing w:line="360" w:lineRule="auto"/>
        <w:jc w:val="center"/>
        <w:outlineLvl w:val="0"/>
        <w:rPr>
          <w:rFonts w:hint="eastAsia" w:ascii="仿宋_GB2312" w:hAnsi="仿宋" w:eastAsia="仿宋_GB2312" w:cs="仿宋_GB2312"/>
          <w:b/>
          <w:sz w:val="36"/>
          <w:szCs w:val="36"/>
        </w:rPr>
      </w:pPr>
    </w:p>
    <w:p>
      <w:pPr>
        <w:adjustRightInd w:val="0"/>
        <w:spacing w:line="360" w:lineRule="auto"/>
        <w:jc w:val="both"/>
        <w:outlineLvl w:val="0"/>
        <w:rPr>
          <w:rFonts w:hint="eastAsia" w:ascii="仿宋_GB2312" w:hAnsi="仿宋" w:eastAsia="仿宋_GB2312" w:cs="仿宋_GB2312"/>
          <w:b/>
          <w:sz w:val="36"/>
          <w:szCs w:val="36"/>
        </w:rPr>
      </w:pPr>
    </w:p>
    <w:p>
      <w:pPr>
        <w:adjustRightInd w:val="0"/>
        <w:spacing w:line="360" w:lineRule="auto"/>
        <w:jc w:val="center"/>
        <w:outlineLvl w:val="0"/>
        <w:rPr>
          <w:rFonts w:hint="eastAsia" w:ascii="仿宋_GB2312" w:hAnsi="仿宋" w:eastAsia="仿宋_GB2312" w:cs="仿宋_GB2312"/>
          <w:b/>
          <w:sz w:val="36"/>
          <w:szCs w:val="36"/>
        </w:rPr>
      </w:pPr>
    </w:p>
    <w:p>
      <w:pPr>
        <w:adjustRightInd w:val="0"/>
        <w:spacing w:line="360" w:lineRule="auto"/>
        <w:jc w:val="center"/>
        <w:outlineLvl w:val="0"/>
        <w:rPr>
          <w:rFonts w:hint="eastAsia" w:ascii="仿宋_GB2312" w:hAnsi="仿宋" w:eastAsia="仿宋_GB2312" w:cs="仿宋_GB2312"/>
          <w:b/>
          <w:sz w:val="36"/>
          <w:szCs w:val="36"/>
        </w:rPr>
      </w:pPr>
    </w:p>
    <w:p>
      <w:pPr>
        <w:adjustRightIn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第三部分   采购需求</w:t>
      </w:r>
    </w:p>
    <w:p>
      <w:pPr>
        <w:spacing w:before="120" w:beforeLines="50" w:after="120" w:afterLines="50" w:line="360" w:lineRule="auto"/>
        <w:jc w:val="left"/>
        <w:outlineLvl w:val="1"/>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rPr>
        <w:t>属于实质性要求条款的，已用符号“▲”标明，否则属于非实质性要求。“★”系产品采购项目中</w:t>
      </w:r>
      <w:r>
        <w:rPr>
          <w:rFonts w:hint="eastAsia" w:ascii="仿宋_GB2312" w:hAnsi="仿宋_GB2312" w:eastAsia="仿宋_GB2312" w:cs="仿宋_GB2312"/>
          <w:b/>
          <w:bCs/>
          <w:sz w:val="24"/>
          <w:lang w:eastAsia="zh-CN"/>
        </w:rPr>
        <w:t>的</w:t>
      </w:r>
      <w:r>
        <w:rPr>
          <w:rFonts w:hint="eastAsia" w:ascii="仿宋_GB2312" w:hAnsi="仿宋_GB2312" w:eastAsia="仿宋_GB2312" w:cs="仿宋_GB2312"/>
          <w:b/>
          <w:bCs/>
          <w:sz w:val="24"/>
        </w:rPr>
        <w:t>核心产品</w:t>
      </w:r>
      <w:r>
        <w:rPr>
          <w:rFonts w:hint="eastAsia" w:ascii="仿宋_GB2312" w:hAnsi="仿宋_GB2312" w:eastAsia="仿宋_GB2312" w:cs="仿宋_GB2312"/>
          <w:b/>
          <w:bCs/>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一、服务期限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服务期限为2年。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二、征集数量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征集的中介机构数量为8家。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三、选取方式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第二阶段采用“直接选定”的形式从协议单位中选取实施单位。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四、最高限制单价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方式一：外聘造价人员加入审计组协助开展业务，按照《浙江省审计厅关于印发聘请外部专业技术人员参与审计工作管理办法的通知》（浙审办〔2020〕33号）第二十七条的标准计费；方式二：以单位名义出具成果报告的，按照《浙江省物价局关于进一步完善工程造价咨询服务收费的通知》（浙价服〔2009〕84号）标准的60%作为最高限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五、支付形式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按项目进行计费，在服务项目完成并出具成果的情况下进行费用支付。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六、项目组成员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1）人员数量：按照审计工作要求及项目规模，派出1-5名审计人员（配合节点抽查或驻场），人员必须为报价文件中项目组成员，其中符合专业要求的一级注册造价工程师至少有一人。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2）专业需求：土木建筑工程、交通运输工程、水利工程和安装工程各有至少一名从事本专业工作10年以上的一级注册造价工程师，负责现场审计实施。</w:t>
      </w:r>
    </w:p>
    <w:p>
      <w:pPr>
        <w:pStyle w:val="2"/>
        <w:numPr>
          <w:ilvl w:val="0"/>
          <w:numId w:val="0"/>
        </w:numPr>
        <w:ind w:leftChars="0" w:firstLine="482" w:firstLineChars="200"/>
        <w:rPr>
          <w:rFonts w:hint="eastAsia" w:hAnsi="仿宋_GB2312" w:cs="仿宋_GB2312"/>
          <w:sz w:val="24"/>
          <w:szCs w:val="24"/>
          <w:lang w:val="en-US" w:eastAsia="zh-CN"/>
        </w:rPr>
      </w:pPr>
      <w:r>
        <w:rPr>
          <w:rFonts w:hint="eastAsia" w:hAnsi="仿宋_GB2312" w:cs="仿宋_GB2312"/>
          <w:sz w:val="24"/>
          <w:szCs w:val="24"/>
          <w:lang w:val="en-US" w:eastAsia="zh-CN"/>
        </w:rPr>
        <w:t>七、服务内容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b/>
          <w:bCs/>
          <w:sz w:val="24"/>
          <w:szCs w:val="24"/>
          <w:lang w:val="en-US" w:eastAsia="zh-CN"/>
        </w:rPr>
        <w:t>专项审计调查（或预算执行审计）</w:t>
      </w:r>
      <w:r>
        <w:rPr>
          <w:rFonts w:hint="eastAsia" w:ascii="仿宋_GB2312" w:hAnsi="仿宋_GB2312" w:eastAsia="仿宋_GB2312" w:cs="仿宋_GB2312"/>
          <w:sz w:val="24"/>
          <w:szCs w:val="24"/>
          <w:lang w:val="en-US" w:eastAsia="zh-CN"/>
        </w:rPr>
        <w:t>：需要投标人针对政府投资项目全过程各个环节的审核方式方法提出详细的方案，并且针对发现的问题提出合理的建议，能够撰写成果报告。</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    2.</w:t>
      </w:r>
      <w:r>
        <w:rPr>
          <w:rFonts w:hint="eastAsia" w:ascii="仿宋_GB2312" w:hAnsi="仿宋_GB2312" w:eastAsia="仿宋_GB2312" w:cs="仿宋_GB2312"/>
          <w:b/>
          <w:bCs/>
          <w:sz w:val="24"/>
          <w:szCs w:val="24"/>
          <w:lang w:val="en-US" w:eastAsia="zh-CN"/>
        </w:rPr>
        <w:t>跟踪审计</w:t>
      </w:r>
      <w:r>
        <w:rPr>
          <w:rFonts w:hint="eastAsia" w:ascii="仿宋_GB2312" w:hAnsi="仿宋_GB2312" w:eastAsia="仿宋_GB2312" w:cs="仿宋_GB2312"/>
          <w:sz w:val="24"/>
          <w:szCs w:val="24"/>
          <w:lang w:val="en-US" w:eastAsia="zh-CN"/>
        </w:rPr>
        <w:t>：分为驻场跟踪和节点跟踪，驻场跟踪需要投标人提出全过程跟踪审计的方案，节点跟踪的工作内容与专项审计调查类似。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b/>
          <w:bCs/>
          <w:sz w:val="24"/>
          <w:szCs w:val="24"/>
          <w:lang w:val="en-US" w:eastAsia="zh-CN"/>
        </w:rPr>
        <w:t>审计协助</w:t>
      </w:r>
      <w:r>
        <w:rPr>
          <w:rFonts w:hint="eastAsia" w:ascii="仿宋_GB2312" w:hAnsi="仿宋_GB2312" w:eastAsia="仿宋_GB2312" w:cs="仿宋_GB2312"/>
          <w:sz w:val="24"/>
          <w:szCs w:val="24"/>
          <w:lang w:val="en-US" w:eastAsia="zh-CN"/>
        </w:rPr>
        <w:t>：要求①结合审计方案，配合审计机关工作人员开展审计工作。作为审计组成员，需要理解国家审计工作，需要掌握审计相关法律法规和技术要求，需要从审计过程中发现问题并及时上报，需要进行审计事项及经验成果的总结与提炼。②从专业角度，为审计抽查项目的资料审查、结算复查、现在复勘等提供专业帮助，为审计工作提供合理的意见及建议，及时发现存在的问题及风险点并上报，为审计整改提出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b/>
          <w:bCs/>
          <w:sz w:val="24"/>
          <w:szCs w:val="24"/>
          <w:lang w:val="en-US" w:eastAsia="zh-CN"/>
        </w:rPr>
        <w:t>成果报告出具</w:t>
      </w:r>
      <w:r>
        <w:rPr>
          <w:rFonts w:hint="eastAsia" w:ascii="仿宋_GB2312" w:hAnsi="仿宋_GB2312" w:eastAsia="仿宋_GB2312" w:cs="仿宋_GB2312"/>
          <w:sz w:val="24"/>
          <w:szCs w:val="24"/>
          <w:lang w:val="en-US" w:eastAsia="zh-CN"/>
        </w:rPr>
        <w:t>：工作要求①根据审计局工作安排，独立自主完成审计任务并出具成果报告；②配合审计局的工作要求，及时提交审计成果报告并上报发现的问题；③利用自身的工作经验，结合实际项目中的成果，撰写专题报告或者工作信息；④规范保存项目工作台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b/>
          <w:bCs/>
          <w:sz w:val="24"/>
          <w:szCs w:val="24"/>
          <w:lang w:val="en-US" w:eastAsia="zh-CN"/>
        </w:rPr>
        <w:t>重大事项反馈</w:t>
      </w:r>
      <w:r>
        <w:rPr>
          <w:rFonts w:hint="eastAsia" w:ascii="仿宋_GB2312" w:hAnsi="仿宋_GB2312" w:eastAsia="仿宋_GB2312" w:cs="仿宋_GB2312"/>
          <w:sz w:val="24"/>
          <w:szCs w:val="24"/>
          <w:lang w:val="en-US" w:eastAsia="zh-CN"/>
        </w:rPr>
        <w:t>：及时报告发现的违法违规行为、重大风险、突发情况等重大事项，并第一时间上报掌握的情况，并配合审计机关取得证据，对报告情况持续跟踪、分析，适时报告阶段性进展。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八、服务要求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严格遵守《国家审计准则》、《浙江省建设工程造价咨询执业操作规程》、《浙江省投资审计管理办法》、《浙江省重大公共投资项目跟踪审计实施细则》等有关管理规定。应遵守国家审计保密制度，不得泄露与该项目有关的各种信息。严格执行审计“四严禁”工作要求和“八不准”工作纪律，遵守国家法律法规，不得与被审计单位及项目相关单位发生可能影响公正执行公务的交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入围单位必须严格遵守区审计局的考核、项目分配等制度。根据审计局要求及项目计划，实施现场审计服务的人员应当按照投标文件中的人员配备，不得临时更换人员。确有需要更换人员的，更换人员资质条件必须等于或高于被更换人员的资质条件，并在项目通知书下达前一个月报审计局同意后方可更换。</w:t>
      </w:r>
    </w:p>
    <w:p>
      <w:pPr>
        <w:pStyle w:val="2"/>
        <w:numPr>
          <w:ilvl w:val="0"/>
          <w:numId w:val="0"/>
        </w:numPr>
        <w:ind w:leftChars="0" w:firstLine="480" w:firstLineChars="200"/>
        <w:rPr>
          <w:rFonts w:hint="eastAsia" w:ascii="仿宋_GB2312" w:hAnsi="仿宋_GB2312" w:eastAsia="仿宋_GB2312" w:cs="仿宋_GB2312"/>
          <w:b w:val="0"/>
          <w:bCs w:val="0"/>
          <w:kern w:val="2"/>
          <w:sz w:val="24"/>
          <w:szCs w:val="24"/>
          <w:lang w:val="en-US" w:eastAsia="zh-CN" w:bidi="ar-SA"/>
        </w:rPr>
      </w:pPr>
      <w:r>
        <w:rPr>
          <w:rFonts w:hint="eastAsia" w:hAnsi="仿宋_GB2312" w:cs="仿宋_GB2312"/>
          <w:b w:val="0"/>
          <w:bCs w:val="0"/>
          <w:sz w:val="24"/>
          <w:szCs w:val="24"/>
          <w:lang w:val="en-US" w:eastAsia="zh-CN"/>
        </w:rPr>
        <w:t>3</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kern w:val="2"/>
          <w:sz w:val="24"/>
          <w:szCs w:val="24"/>
          <w:lang w:val="en-US" w:eastAsia="zh-CN" w:bidi="ar-SA"/>
        </w:rPr>
        <w:t>在审计项目实施过程中，按照审计方案规定的时间完成现场审计并及时撰写成果报告和信息，针对每个审查的项目视项目大小控制在10个工作日内完成资料审查并提出问题完成审计取证。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kern w:val="2"/>
          <w:sz w:val="24"/>
          <w:szCs w:val="24"/>
          <w:lang w:val="en-US" w:eastAsia="zh-CN" w:bidi="ar-SA"/>
        </w:rPr>
        <w:t>4）每家入围单位，每年需要上报专题报告或者工作信息至少8篇次。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九、考核标准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1、服务质量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及时发现问题（20分）。在审计过程中应当及时发现问题，发现一处得2分，若整个项目中均无问题上报，此项不得分。如果发现重大问题或线索并进行移送，可以额外进行加分，发现一处加5分。发现问题20分封顶，重大问题或线索加分不封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2）提出合理建议（10分）。针对审计过程中发现的问题，应提出合理的整改建议，或者对审计过程提出合理意见建议的，每提出一条得2分。此项20分封顶。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3）撰写成果报告或经验总结（20分）。入围单位应当每年提供不少于8篇次的专题报告或工作信息（满足审计局的信息要求），每多一篇加5分，每少一篇扣5分，加分扣分均不封顶。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4）资料档案整理（5分）。入围单位在审计项目过程中应当按照要求做好工作台账留存，发现一处不规范的扣1分。此项扣完为止。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2、人员到岗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1）派出人员匹配度（10分）。各入围单位派出的成员均应是投标文件中承诺人员或经审计局同意更换的人员，若人员不一致，扣完本项分数，并且本轮项目视作自动放弃，且在下一轮项目安排中自动轮空。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2）驻场人员到岗率（10分）。每个参与审计的外聘人员均应该按照要求到岗到位，如出现未及时到岗的，发现一次扣2分。此项扣完为止。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3）人员工作积极性（5分）。每名外聘人员应该积极主动参与审计工作当中，保持工作热情，存在消极怠工的，一次扣1分。此项扣完为止。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3、职业道德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1）审计纪律和行业道德规范执行情况（10分）。外聘成员应当遵守审计纪律和行业规则，存在违规行为的，一次扣5分。此项扣完为止。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2）廉政情况（10分）。外聘成员存在违反廉政纪律行为的，直接扣完并清除出库。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1）考核基准分均为100分，其他加减分视实际考核确定，考核完的得分为即为该审计项目中介机构考核得分。考核有一次低于70分的，不参加下一轮项目安排。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 w:eastAsia="仿宋_GB2312" w:cs="仿宋_GB2312"/>
          <w:b/>
          <w:sz w:val="36"/>
          <w:szCs w:val="36"/>
        </w:rPr>
      </w:pPr>
      <w:r>
        <w:rPr>
          <w:rFonts w:hint="eastAsia" w:ascii="仿宋_GB2312" w:hAnsi="仿宋_GB2312" w:eastAsia="仿宋_GB2312" w:cs="仿宋_GB2312"/>
          <w:sz w:val="24"/>
          <w:szCs w:val="24"/>
          <w:lang w:val="en-US" w:eastAsia="zh-CN"/>
        </w:rPr>
        <w:t>2）考核采用一票否决制，凡出现下列情况，考核不合格，终止本次服务期的协审资格：①入围单位及成员存在违反审计职业道德、廉政纪律等规定及违法违纪行为；②审计过程中发现的重大问题不予反映或不如实反映。</w:t>
      </w: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sz w:val="36"/>
          <w:szCs w:val="36"/>
        </w:rPr>
        <w:t xml:space="preserve">第四部分   </w:t>
      </w:r>
      <w:bookmarkStart w:id="0" w:name="_Toc184312115"/>
      <w:bookmarkEnd w:id="0"/>
      <w:bookmarkStart w:id="1" w:name="_Toc184308088"/>
      <w:bookmarkEnd w:id="1"/>
      <w:bookmarkStart w:id="2" w:name="_Toc184314460"/>
      <w:bookmarkEnd w:id="2"/>
      <w:bookmarkStart w:id="3" w:name="_Toc184314447"/>
      <w:bookmarkEnd w:id="3"/>
      <w:bookmarkStart w:id="4" w:name="_Toc184308107"/>
      <w:bookmarkEnd w:id="4"/>
      <w:bookmarkStart w:id="5" w:name="_Toc184313301"/>
      <w:bookmarkEnd w:id="5"/>
      <w:bookmarkStart w:id="6" w:name="_Toc184314420"/>
      <w:bookmarkEnd w:id="6"/>
      <w:bookmarkStart w:id="7" w:name="_Toc184310295"/>
      <w:bookmarkEnd w:id="7"/>
      <w:bookmarkStart w:id="8" w:name="_Toc184312129"/>
      <w:bookmarkEnd w:id="8"/>
      <w:bookmarkStart w:id="9" w:name="_Toc184314425"/>
      <w:bookmarkEnd w:id="9"/>
      <w:bookmarkStart w:id="10" w:name="_Toc184313249"/>
      <w:bookmarkEnd w:id="10"/>
      <w:bookmarkStart w:id="11" w:name="_Toc184313262"/>
      <w:bookmarkEnd w:id="11"/>
      <w:bookmarkStart w:id="12" w:name="_Toc184310328"/>
      <w:bookmarkEnd w:id="12"/>
      <w:bookmarkStart w:id="13" w:name="_Toc184312093"/>
      <w:bookmarkEnd w:id="13"/>
      <w:bookmarkStart w:id="14" w:name="_Toc184308108"/>
      <w:bookmarkEnd w:id="14"/>
      <w:bookmarkStart w:id="15" w:name="_Toc184314444"/>
      <w:bookmarkEnd w:id="15"/>
      <w:bookmarkStart w:id="16" w:name="_Toc184313242"/>
      <w:bookmarkEnd w:id="16"/>
      <w:bookmarkStart w:id="17" w:name="_Toc184312077"/>
      <w:bookmarkEnd w:id="17"/>
      <w:bookmarkStart w:id="18" w:name="_Toc184314454"/>
      <w:bookmarkEnd w:id="18"/>
      <w:bookmarkStart w:id="19" w:name="_Toc184313239"/>
      <w:bookmarkEnd w:id="19"/>
      <w:bookmarkStart w:id="20" w:name="_Toc184313285"/>
      <w:bookmarkEnd w:id="20"/>
      <w:bookmarkStart w:id="21" w:name="_Toc184308098"/>
      <w:bookmarkEnd w:id="21"/>
      <w:bookmarkStart w:id="22" w:name="_Toc184308105"/>
      <w:bookmarkEnd w:id="22"/>
      <w:bookmarkStart w:id="23" w:name="_Toc184308060"/>
      <w:bookmarkEnd w:id="23"/>
      <w:bookmarkStart w:id="24" w:name="_Toc184310343"/>
      <w:bookmarkEnd w:id="24"/>
      <w:bookmarkStart w:id="25" w:name="_Toc184310283"/>
      <w:bookmarkEnd w:id="25"/>
      <w:bookmarkStart w:id="26" w:name="_Toc184312137"/>
      <w:bookmarkEnd w:id="26"/>
      <w:bookmarkStart w:id="27" w:name="_Toc184310291"/>
      <w:bookmarkEnd w:id="27"/>
      <w:bookmarkStart w:id="28" w:name="_Toc184313290"/>
      <w:bookmarkEnd w:id="28"/>
      <w:bookmarkStart w:id="29" w:name="_Toc184313257"/>
      <w:bookmarkEnd w:id="29"/>
      <w:bookmarkStart w:id="30" w:name="_Toc184312071"/>
      <w:bookmarkEnd w:id="30"/>
      <w:bookmarkStart w:id="31" w:name="_Toc184312087"/>
      <w:bookmarkEnd w:id="31"/>
      <w:bookmarkStart w:id="32" w:name="_Toc184313307"/>
      <w:bookmarkEnd w:id="32"/>
      <w:bookmarkStart w:id="33" w:name="_Toc184310321"/>
      <w:bookmarkEnd w:id="33"/>
      <w:bookmarkStart w:id="34" w:name="_Toc184313255"/>
      <w:bookmarkEnd w:id="34"/>
      <w:bookmarkStart w:id="35" w:name="_Toc184314481"/>
      <w:bookmarkEnd w:id="35"/>
      <w:bookmarkStart w:id="36" w:name="_Toc184308054"/>
      <w:bookmarkEnd w:id="36"/>
      <w:bookmarkStart w:id="37" w:name="_Toc184313248"/>
      <w:bookmarkEnd w:id="37"/>
      <w:bookmarkStart w:id="38" w:name="_Toc184310329"/>
      <w:bookmarkEnd w:id="38"/>
      <w:bookmarkStart w:id="39" w:name="_Toc184310336"/>
      <w:bookmarkEnd w:id="39"/>
      <w:bookmarkStart w:id="40" w:name="_Toc184308043"/>
      <w:bookmarkEnd w:id="40"/>
      <w:bookmarkStart w:id="41" w:name="_Toc184314466"/>
      <w:bookmarkEnd w:id="41"/>
      <w:bookmarkStart w:id="42" w:name="_Toc184313306"/>
      <w:bookmarkEnd w:id="42"/>
      <w:bookmarkStart w:id="43" w:name="_Toc184312076"/>
      <w:bookmarkEnd w:id="43"/>
      <w:bookmarkStart w:id="44" w:name="_Toc184310310"/>
      <w:bookmarkEnd w:id="44"/>
      <w:bookmarkStart w:id="45" w:name="_Toc184312111"/>
      <w:bookmarkEnd w:id="45"/>
      <w:bookmarkStart w:id="46" w:name="_Toc184308079"/>
      <w:bookmarkEnd w:id="46"/>
      <w:bookmarkStart w:id="47" w:name="_Toc184312078"/>
      <w:bookmarkEnd w:id="47"/>
      <w:bookmarkStart w:id="48" w:name="_Toc184308066"/>
      <w:bookmarkEnd w:id="48"/>
      <w:bookmarkStart w:id="49" w:name="_Toc184308081"/>
      <w:bookmarkEnd w:id="49"/>
      <w:bookmarkStart w:id="50" w:name="_Toc184308049"/>
      <w:bookmarkEnd w:id="50"/>
      <w:bookmarkStart w:id="51" w:name="_Toc184312109"/>
      <w:bookmarkEnd w:id="51"/>
      <w:bookmarkStart w:id="52" w:name="_Toc184310301"/>
      <w:bookmarkEnd w:id="52"/>
      <w:bookmarkStart w:id="53" w:name="_Toc184312131"/>
      <w:bookmarkEnd w:id="53"/>
      <w:bookmarkStart w:id="54" w:name="_Toc184314445"/>
      <w:bookmarkEnd w:id="54"/>
      <w:bookmarkStart w:id="55" w:name="_Toc184312088"/>
      <w:bookmarkEnd w:id="55"/>
      <w:bookmarkStart w:id="56" w:name="_Toc184308084"/>
      <w:bookmarkEnd w:id="56"/>
      <w:bookmarkStart w:id="57" w:name="_Toc184313310"/>
      <w:bookmarkEnd w:id="57"/>
      <w:bookmarkStart w:id="58" w:name="_Toc184314442"/>
      <w:bookmarkEnd w:id="58"/>
      <w:bookmarkStart w:id="59" w:name="_Toc184308048"/>
      <w:bookmarkEnd w:id="59"/>
      <w:bookmarkStart w:id="60" w:name="_Toc184314412"/>
      <w:bookmarkEnd w:id="60"/>
      <w:bookmarkStart w:id="61" w:name="_Toc184313299"/>
      <w:bookmarkEnd w:id="61"/>
      <w:bookmarkStart w:id="62" w:name="_Toc184314477"/>
      <w:bookmarkEnd w:id="62"/>
      <w:bookmarkStart w:id="63" w:name="_Toc184310275"/>
      <w:bookmarkEnd w:id="63"/>
      <w:bookmarkStart w:id="64" w:name="_Toc184312094"/>
      <w:bookmarkEnd w:id="64"/>
      <w:bookmarkStart w:id="65" w:name="_Toc184310324"/>
      <w:bookmarkEnd w:id="65"/>
      <w:bookmarkStart w:id="66" w:name="_Toc184313298"/>
      <w:bookmarkEnd w:id="66"/>
      <w:bookmarkStart w:id="67" w:name="_Toc184312135"/>
      <w:bookmarkEnd w:id="67"/>
      <w:bookmarkStart w:id="68" w:name="_Toc184313305"/>
      <w:bookmarkEnd w:id="68"/>
      <w:bookmarkStart w:id="69" w:name="_Toc184313270"/>
      <w:bookmarkEnd w:id="69"/>
      <w:bookmarkStart w:id="70" w:name="_Toc184308080"/>
      <w:bookmarkEnd w:id="70"/>
      <w:bookmarkStart w:id="71" w:name="_Toc184314440"/>
      <w:bookmarkEnd w:id="71"/>
      <w:bookmarkStart w:id="72" w:name="_Toc184308047"/>
      <w:bookmarkEnd w:id="72"/>
      <w:bookmarkStart w:id="73" w:name="_Toc184308104"/>
      <w:bookmarkEnd w:id="73"/>
      <w:bookmarkStart w:id="74" w:name="_Toc184312101"/>
      <w:bookmarkEnd w:id="74"/>
      <w:bookmarkStart w:id="75" w:name="_Toc184314476"/>
      <w:bookmarkEnd w:id="75"/>
      <w:bookmarkStart w:id="76" w:name="_Toc184312119"/>
      <w:bookmarkEnd w:id="76"/>
      <w:bookmarkStart w:id="77" w:name="_Toc184310306"/>
      <w:bookmarkEnd w:id="77"/>
      <w:bookmarkStart w:id="78" w:name="_Toc184310288"/>
      <w:bookmarkEnd w:id="78"/>
      <w:bookmarkStart w:id="79" w:name="_Toc184313243"/>
      <w:bookmarkEnd w:id="79"/>
      <w:bookmarkStart w:id="80" w:name="_Toc184308061"/>
      <w:bookmarkEnd w:id="80"/>
      <w:bookmarkStart w:id="81" w:name="_Toc184314462"/>
      <w:bookmarkEnd w:id="81"/>
      <w:bookmarkStart w:id="82" w:name="_Toc184312108"/>
      <w:bookmarkEnd w:id="82"/>
      <w:bookmarkStart w:id="83" w:name="_Toc184310276"/>
      <w:bookmarkEnd w:id="83"/>
      <w:bookmarkStart w:id="84" w:name="_Toc184308094"/>
      <w:bookmarkEnd w:id="84"/>
      <w:bookmarkStart w:id="85" w:name="_Toc184312102"/>
      <w:bookmarkEnd w:id="85"/>
      <w:bookmarkStart w:id="86" w:name="_Toc184314430"/>
      <w:bookmarkEnd w:id="86"/>
      <w:bookmarkStart w:id="87" w:name="_Toc184312125"/>
      <w:bookmarkEnd w:id="87"/>
      <w:bookmarkStart w:id="88" w:name="_Toc184313294"/>
      <w:bookmarkEnd w:id="88"/>
      <w:bookmarkStart w:id="89" w:name="_Toc184313308"/>
      <w:bookmarkEnd w:id="89"/>
      <w:bookmarkStart w:id="90" w:name="_Toc184310311"/>
      <w:bookmarkEnd w:id="90"/>
      <w:bookmarkStart w:id="91" w:name="_Toc184314471"/>
      <w:bookmarkEnd w:id="91"/>
      <w:bookmarkStart w:id="92" w:name="_Toc184312079"/>
      <w:bookmarkEnd w:id="92"/>
      <w:bookmarkStart w:id="93" w:name="_Toc184312103"/>
      <w:bookmarkEnd w:id="93"/>
      <w:bookmarkStart w:id="94" w:name="_Toc184308065"/>
      <w:bookmarkEnd w:id="94"/>
      <w:bookmarkStart w:id="95" w:name="_Toc184313280"/>
      <w:bookmarkEnd w:id="95"/>
      <w:bookmarkStart w:id="96" w:name="_Toc184313261"/>
      <w:bookmarkEnd w:id="96"/>
      <w:bookmarkStart w:id="97" w:name="_Toc184314415"/>
      <w:bookmarkEnd w:id="97"/>
      <w:bookmarkStart w:id="98" w:name="_Toc184314434"/>
      <w:bookmarkEnd w:id="98"/>
      <w:bookmarkStart w:id="99" w:name="_Toc184313252"/>
      <w:bookmarkEnd w:id="99"/>
      <w:bookmarkStart w:id="100" w:name="_Toc184313253"/>
      <w:bookmarkEnd w:id="100"/>
      <w:bookmarkStart w:id="101" w:name="_Toc184310307"/>
      <w:bookmarkEnd w:id="101"/>
      <w:bookmarkStart w:id="102" w:name="_Toc184312114"/>
      <w:bookmarkEnd w:id="102"/>
      <w:bookmarkStart w:id="103" w:name="_Toc184314461"/>
      <w:bookmarkEnd w:id="103"/>
      <w:bookmarkStart w:id="104" w:name="_Toc184310332"/>
      <w:bookmarkEnd w:id="104"/>
      <w:bookmarkStart w:id="105" w:name="_Toc184310319"/>
      <w:bookmarkEnd w:id="105"/>
      <w:bookmarkStart w:id="106" w:name="_Toc184312121"/>
      <w:bookmarkEnd w:id="106"/>
      <w:bookmarkStart w:id="107" w:name="_Toc184308077"/>
      <w:bookmarkEnd w:id="107"/>
      <w:bookmarkStart w:id="108" w:name="_Toc184310330"/>
      <w:bookmarkEnd w:id="108"/>
      <w:bookmarkStart w:id="109" w:name="_Toc184308057"/>
      <w:bookmarkEnd w:id="109"/>
      <w:bookmarkStart w:id="110" w:name="_Toc184310341"/>
      <w:bookmarkEnd w:id="110"/>
      <w:bookmarkStart w:id="111" w:name="_Toc184308042"/>
      <w:bookmarkEnd w:id="111"/>
      <w:bookmarkStart w:id="112" w:name="_Toc184312069"/>
      <w:bookmarkEnd w:id="112"/>
      <w:bookmarkStart w:id="113" w:name="_Toc184310318"/>
      <w:bookmarkEnd w:id="113"/>
      <w:bookmarkStart w:id="114" w:name="_Toc184314452"/>
      <w:bookmarkEnd w:id="114"/>
      <w:bookmarkStart w:id="115" w:name="_Toc184308078"/>
      <w:bookmarkEnd w:id="115"/>
      <w:bookmarkStart w:id="116" w:name="_Toc184313300"/>
      <w:bookmarkEnd w:id="116"/>
      <w:bookmarkStart w:id="117" w:name="_Toc184313272"/>
      <w:bookmarkEnd w:id="117"/>
      <w:bookmarkStart w:id="118" w:name="_Toc184312107"/>
      <w:bookmarkEnd w:id="118"/>
      <w:bookmarkStart w:id="119" w:name="_Toc184313268"/>
      <w:bookmarkEnd w:id="119"/>
      <w:bookmarkStart w:id="120" w:name="_Toc184313258"/>
      <w:bookmarkEnd w:id="120"/>
      <w:bookmarkStart w:id="121" w:name="_Toc184312126"/>
      <w:bookmarkEnd w:id="121"/>
      <w:bookmarkStart w:id="122" w:name="_Toc184314482"/>
      <w:bookmarkEnd w:id="122"/>
      <w:bookmarkStart w:id="123" w:name="_Toc184313269"/>
      <w:bookmarkEnd w:id="123"/>
      <w:bookmarkStart w:id="124" w:name="_Toc184313246"/>
      <w:bookmarkEnd w:id="124"/>
      <w:bookmarkStart w:id="125" w:name="_Toc184308100"/>
      <w:bookmarkEnd w:id="125"/>
      <w:bookmarkStart w:id="126" w:name="_Toc184313254"/>
      <w:bookmarkEnd w:id="126"/>
      <w:bookmarkStart w:id="127" w:name="_Toc184310342"/>
      <w:bookmarkEnd w:id="127"/>
      <w:bookmarkStart w:id="128" w:name="_Toc184308090"/>
      <w:bookmarkEnd w:id="128"/>
      <w:bookmarkStart w:id="129" w:name="_Toc184312112"/>
      <w:bookmarkEnd w:id="129"/>
      <w:bookmarkStart w:id="130" w:name="_Toc184308082"/>
      <w:bookmarkEnd w:id="130"/>
      <w:bookmarkStart w:id="131" w:name="_Toc184314418"/>
      <w:bookmarkEnd w:id="131"/>
      <w:bookmarkStart w:id="132" w:name="_Toc184312086"/>
      <w:bookmarkEnd w:id="132"/>
      <w:bookmarkStart w:id="133" w:name="_Toc184312096"/>
      <w:bookmarkEnd w:id="133"/>
      <w:bookmarkStart w:id="134" w:name="_Toc184314459"/>
      <w:bookmarkEnd w:id="134"/>
      <w:bookmarkStart w:id="135" w:name="_Toc184308052"/>
      <w:bookmarkEnd w:id="135"/>
      <w:bookmarkStart w:id="136" w:name="_Toc184310312"/>
      <w:bookmarkEnd w:id="136"/>
      <w:bookmarkStart w:id="137" w:name="_Toc184313240"/>
      <w:bookmarkEnd w:id="137"/>
      <w:bookmarkStart w:id="138" w:name="_Toc184313271"/>
      <w:bookmarkEnd w:id="138"/>
      <w:bookmarkStart w:id="139" w:name="_Toc184310281"/>
      <w:bookmarkEnd w:id="139"/>
      <w:bookmarkStart w:id="140" w:name="_Toc184313259"/>
      <w:bookmarkEnd w:id="140"/>
      <w:bookmarkStart w:id="141" w:name="_Toc184313279"/>
      <w:bookmarkEnd w:id="141"/>
      <w:bookmarkStart w:id="142" w:name="_Toc184312097"/>
      <w:bookmarkEnd w:id="142"/>
      <w:bookmarkStart w:id="143" w:name="_Toc184308099"/>
      <w:bookmarkEnd w:id="143"/>
      <w:bookmarkStart w:id="144" w:name="_Toc184312083"/>
      <w:bookmarkEnd w:id="144"/>
      <w:bookmarkStart w:id="145" w:name="_Toc184314431"/>
      <w:bookmarkEnd w:id="145"/>
      <w:bookmarkStart w:id="146" w:name="_Toc184308044"/>
      <w:bookmarkEnd w:id="146"/>
      <w:bookmarkStart w:id="147" w:name="_Toc184312134"/>
      <w:bookmarkEnd w:id="147"/>
      <w:bookmarkStart w:id="148" w:name="_Toc184308091"/>
      <w:bookmarkEnd w:id="148"/>
      <w:bookmarkStart w:id="149" w:name="_Toc184314432"/>
      <w:bookmarkEnd w:id="149"/>
      <w:bookmarkStart w:id="150" w:name="_Toc184310339"/>
      <w:bookmarkEnd w:id="150"/>
      <w:bookmarkStart w:id="151" w:name="_Toc184308038"/>
      <w:bookmarkEnd w:id="151"/>
      <w:bookmarkStart w:id="152" w:name="_Toc184313265"/>
      <w:bookmarkEnd w:id="152"/>
      <w:bookmarkStart w:id="153" w:name="_Toc184314441"/>
      <w:bookmarkEnd w:id="153"/>
      <w:bookmarkStart w:id="154" w:name="_Toc184312116"/>
      <w:bookmarkEnd w:id="154"/>
      <w:bookmarkStart w:id="155" w:name="_Toc184312092"/>
      <w:bookmarkEnd w:id="155"/>
      <w:bookmarkStart w:id="156" w:name="_Toc184314426"/>
      <w:bookmarkEnd w:id="156"/>
      <w:bookmarkStart w:id="157" w:name="_Toc184312117"/>
      <w:bookmarkEnd w:id="157"/>
      <w:bookmarkStart w:id="158" w:name="_Toc184310323"/>
      <w:bookmarkEnd w:id="158"/>
      <w:bookmarkStart w:id="159" w:name="_Toc184308056"/>
      <w:bookmarkEnd w:id="159"/>
      <w:bookmarkStart w:id="160" w:name="_Toc184308086"/>
      <w:bookmarkEnd w:id="160"/>
      <w:bookmarkStart w:id="161" w:name="_Toc184310305"/>
      <w:bookmarkEnd w:id="161"/>
      <w:bookmarkStart w:id="162" w:name="_Toc184310322"/>
      <w:bookmarkEnd w:id="162"/>
      <w:bookmarkStart w:id="163" w:name="_Toc184312128"/>
      <w:bookmarkEnd w:id="163"/>
      <w:bookmarkStart w:id="164" w:name="_Toc184308101"/>
      <w:bookmarkEnd w:id="164"/>
      <w:bookmarkStart w:id="165" w:name="_Toc184310327"/>
      <w:bookmarkEnd w:id="165"/>
      <w:bookmarkStart w:id="166" w:name="_Toc184313309"/>
      <w:bookmarkEnd w:id="166"/>
      <w:bookmarkStart w:id="167" w:name="_Toc184314417"/>
      <w:bookmarkEnd w:id="167"/>
      <w:bookmarkStart w:id="168" w:name="_Toc184310316"/>
      <w:bookmarkEnd w:id="168"/>
      <w:bookmarkStart w:id="169" w:name="_Toc184308093"/>
      <w:bookmarkEnd w:id="169"/>
      <w:bookmarkStart w:id="170" w:name="_Toc184314464"/>
      <w:bookmarkEnd w:id="170"/>
      <w:bookmarkStart w:id="171" w:name="_Toc184308055"/>
      <w:bookmarkEnd w:id="171"/>
      <w:bookmarkStart w:id="172" w:name="_Toc184310333"/>
      <w:bookmarkEnd w:id="172"/>
      <w:bookmarkStart w:id="173" w:name="_Toc184314448"/>
      <w:bookmarkEnd w:id="173"/>
      <w:bookmarkStart w:id="174" w:name="_Toc184312080"/>
      <w:bookmarkEnd w:id="174"/>
      <w:bookmarkStart w:id="175" w:name="_Toc184308070"/>
      <w:bookmarkEnd w:id="175"/>
      <w:bookmarkStart w:id="176" w:name="_Toc184310315"/>
      <w:bookmarkEnd w:id="176"/>
      <w:bookmarkStart w:id="177" w:name="_Toc184314443"/>
      <w:bookmarkEnd w:id="177"/>
      <w:bookmarkStart w:id="178" w:name="_Toc184308059"/>
      <w:bookmarkEnd w:id="178"/>
      <w:bookmarkStart w:id="179" w:name="_Toc184310326"/>
      <w:bookmarkEnd w:id="179"/>
      <w:bookmarkStart w:id="180" w:name="_Toc184314469"/>
      <w:bookmarkEnd w:id="180"/>
      <w:bookmarkStart w:id="181" w:name="_Toc184313291"/>
      <w:bookmarkEnd w:id="181"/>
      <w:bookmarkStart w:id="182" w:name="_Toc184314423"/>
      <w:bookmarkEnd w:id="182"/>
      <w:bookmarkStart w:id="183" w:name="_Toc184314467"/>
      <w:bookmarkEnd w:id="183"/>
      <w:bookmarkStart w:id="184" w:name="_Toc184314438"/>
      <w:bookmarkEnd w:id="184"/>
      <w:bookmarkStart w:id="185" w:name="_Toc184314435"/>
      <w:bookmarkEnd w:id="185"/>
      <w:bookmarkStart w:id="186" w:name="_Toc184310278"/>
      <w:bookmarkEnd w:id="186"/>
      <w:bookmarkStart w:id="187" w:name="_Toc184308103"/>
      <w:bookmarkEnd w:id="187"/>
      <w:bookmarkStart w:id="188" w:name="_Toc184308067"/>
      <w:bookmarkEnd w:id="188"/>
      <w:bookmarkStart w:id="189" w:name="_Toc184310300"/>
      <w:bookmarkEnd w:id="189"/>
      <w:bookmarkStart w:id="190" w:name="_Toc184313286"/>
      <w:bookmarkEnd w:id="190"/>
      <w:bookmarkStart w:id="191" w:name="_Toc184314421"/>
      <w:bookmarkEnd w:id="191"/>
      <w:bookmarkStart w:id="192" w:name="_Toc184312099"/>
      <w:bookmarkEnd w:id="192"/>
      <w:bookmarkStart w:id="193" w:name="_Toc184312120"/>
      <w:bookmarkEnd w:id="193"/>
      <w:bookmarkStart w:id="194" w:name="_Toc184308106"/>
      <w:bookmarkEnd w:id="194"/>
      <w:bookmarkStart w:id="195" w:name="_Toc184314449"/>
      <w:bookmarkEnd w:id="195"/>
      <w:bookmarkStart w:id="196" w:name="_Toc184313293"/>
      <w:bookmarkEnd w:id="196"/>
      <w:bookmarkStart w:id="197" w:name="_Toc184314446"/>
      <w:bookmarkEnd w:id="197"/>
      <w:bookmarkStart w:id="198" w:name="_Toc184313264"/>
      <w:bookmarkEnd w:id="198"/>
      <w:bookmarkStart w:id="199" w:name="_Toc184310299"/>
      <w:bookmarkEnd w:id="199"/>
      <w:bookmarkStart w:id="200" w:name="_Toc184313297"/>
      <w:bookmarkEnd w:id="200"/>
      <w:bookmarkStart w:id="201" w:name="_Toc184314439"/>
      <w:bookmarkEnd w:id="201"/>
      <w:bookmarkStart w:id="202" w:name="_Toc184310274"/>
      <w:bookmarkEnd w:id="202"/>
      <w:bookmarkStart w:id="203" w:name="_Toc184308102"/>
      <w:bookmarkEnd w:id="203"/>
      <w:bookmarkStart w:id="204" w:name="_Toc184314428"/>
      <w:bookmarkEnd w:id="204"/>
      <w:bookmarkStart w:id="205" w:name="_Toc184312124"/>
      <w:bookmarkEnd w:id="205"/>
      <w:bookmarkStart w:id="206" w:name="_Toc184313292"/>
      <w:bookmarkEnd w:id="206"/>
      <w:bookmarkStart w:id="207" w:name="_Toc184308069"/>
      <w:bookmarkEnd w:id="207"/>
      <w:bookmarkStart w:id="208" w:name="_Toc184314458"/>
      <w:bookmarkEnd w:id="208"/>
      <w:bookmarkStart w:id="209" w:name="_Toc184314472"/>
      <w:bookmarkEnd w:id="209"/>
      <w:bookmarkStart w:id="210" w:name="_Toc184312138"/>
      <w:bookmarkEnd w:id="210"/>
      <w:bookmarkStart w:id="211" w:name="_Toc184314413"/>
      <w:bookmarkEnd w:id="211"/>
      <w:bookmarkStart w:id="212" w:name="_Toc184308045"/>
      <w:bookmarkEnd w:id="212"/>
      <w:bookmarkStart w:id="213" w:name="_Toc184312090"/>
      <w:bookmarkEnd w:id="213"/>
      <w:bookmarkStart w:id="214" w:name="_Toc184310282"/>
      <w:bookmarkEnd w:id="214"/>
      <w:bookmarkStart w:id="215" w:name="_Toc184308096"/>
      <w:bookmarkEnd w:id="215"/>
      <w:bookmarkStart w:id="216" w:name="_Toc184310289"/>
      <w:bookmarkEnd w:id="216"/>
      <w:bookmarkStart w:id="217" w:name="_Toc184308073"/>
      <w:bookmarkEnd w:id="217"/>
      <w:bookmarkStart w:id="218" w:name="_Toc184312068"/>
      <w:bookmarkEnd w:id="218"/>
      <w:bookmarkStart w:id="219" w:name="_Toc184310337"/>
      <w:bookmarkEnd w:id="219"/>
      <w:bookmarkStart w:id="220" w:name="_Toc184308071"/>
      <w:bookmarkEnd w:id="220"/>
      <w:bookmarkStart w:id="221" w:name="_Toc184314433"/>
      <w:bookmarkEnd w:id="221"/>
      <w:bookmarkStart w:id="222" w:name="_Toc184308097"/>
      <w:bookmarkEnd w:id="222"/>
      <w:bookmarkStart w:id="223" w:name="_Toc184310280"/>
      <w:bookmarkEnd w:id="223"/>
      <w:bookmarkStart w:id="224" w:name="_Toc184313289"/>
      <w:bookmarkEnd w:id="224"/>
      <w:bookmarkStart w:id="225" w:name="_Toc184313304"/>
      <w:bookmarkEnd w:id="225"/>
      <w:bookmarkStart w:id="226" w:name="_Toc184310279"/>
      <w:bookmarkEnd w:id="226"/>
      <w:bookmarkStart w:id="227" w:name="_Toc184312118"/>
      <w:bookmarkEnd w:id="227"/>
      <w:bookmarkStart w:id="228" w:name="_Toc184313284"/>
      <w:bookmarkEnd w:id="228"/>
      <w:bookmarkStart w:id="229" w:name="_Toc184314480"/>
      <w:bookmarkEnd w:id="229"/>
      <w:bookmarkStart w:id="230" w:name="_Toc184308041"/>
      <w:bookmarkEnd w:id="230"/>
      <w:bookmarkStart w:id="231" w:name="_Toc184313251"/>
      <w:bookmarkEnd w:id="231"/>
      <w:bookmarkStart w:id="232" w:name="_Toc184314422"/>
      <w:bookmarkEnd w:id="232"/>
      <w:bookmarkStart w:id="233" w:name="_Toc184310308"/>
      <w:bookmarkEnd w:id="233"/>
      <w:bookmarkStart w:id="234" w:name="_Toc184308040"/>
      <w:bookmarkEnd w:id="234"/>
      <w:bookmarkStart w:id="235" w:name="_Toc184308075"/>
      <w:bookmarkEnd w:id="235"/>
      <w:bookmarkStart w:id="236" w:name="_Toc184313263"/>
      <w:bookmarkEnd w:id="236"/>
      <w:bookmarkStart w:id="237" w:name="_Toc184312127"/>
      <w:bookmarkEnd w:id="237"/>
      <w:bookmarkStart w:id="238" w:name="_Toc184308089"/>
      <w:bookmarkEnd w:id="238"/>
      <w:bookmarkStart w:id="239" w:name="_Toc184313282"/>
      <w:bookmarkEnd w:id="239"/>
      <w:bookmarkStart w:id="240" w:name="_Toc184310297"/>
      <w:bookmarkEnd w:id="240"/>
      <w:bookmarkStart w:id="241" w:name="_Toc184313241"/>
      <w:bookmarkEnd w:id="241"/>
      <w:bookmarkStart w:id="242" w:name="_Toc184314427"/>
      <w:bookmarkEnd w:id="242"/>
      <w:bookmarkStart w:id="243" w:name="_Toc184310272"/>
      <w:bookmarkEnd w:id="243"/>
      <w:bookmarkStart w:id="244" w:name="_Toc184308074"/>
      <w:bookmarkEnd w:id="244"/>
      <w:bookmarkStart w:id="245" w:name="_Toc184313247"/>
      <w:bookmarkEnd w:id="245"/>
      <w:bookmarkStart w:id="246" w:name="_Toc184314463"/>
      <w:bookmarkEnd w:id="246"/>
      <w:bookmarkStart w:id="247" w:name="_Toc184310338"/>
      <w:bookmarkEnd w:id="247"/>
      <w:bookmarkStart w:id="248" w:name="_Toc184312122"/>
      <w:bookmarkEnd w:id="248"/>
      <w:bookmarkStart w:id="249" w:name="_Toc184313303"/>
      <w:bookmarkEnd w:id="249"/>
      <w:bookmarkStart w:id="250" w:name="_Toc184310331"/>
      <w:bookmarkEnd w:id="250"/>
      <w:bookmarkStart w:id="251" w:name="_Toc184310277"/>
      <w:bookmarkEnd w:id="251"/>
      <w:bookmarkStart w:id="252" w:name="_Toc184314470"/>
      <w:bookmarkEnd w:id="252"/>
      <w:bookmarkStart w:id="253" w:name="_Toc184312089"/>
      <w:bookmarkEnd w:id="253"/>
      <w:bookmarkStart w:id="254" w:name="_Toc184312070"/>
      <w:bookmarkEnd w:id="254"/>
      <w:bookmarkStart w:id="255" w:name="_Toc184314419"/>
      <w:bookmarkEnd w:id="255"/>
      <w:bookmarkStart w:id="256" w:name="_Toc184308095"/>
      <w:bookmarkEnd w:id="256"/>
      <w:bookmarkStart w:id="257" w:name="_Toc184314414"/>
      <w:bookmarkEnd w:id="257"/>
      <w:bookmarkStart w:id="258" w:name="_Toc184314451"/>
      <w:bookmarkEnd w:id="258"/>
      <w:bookmarkStart w:id="259" w:name="_Toc184308076"/>
      <w:bookmarkEnd w:id="259"/>
      <w:bookmarkStart w:id="260" w:name="_Toc184314456"/>
      <w:bookmarkEnd w:id="260"/>
      <w:bookmarkStart w:id="261" w:name="_Toc184313250"/>
      <w:bookmarkEnd w:id="261"/>
      <w:bookmarkStart w:id="262" w:name="_Toc184310340"/>
      <w:bookmarkEnd w:id="262"/>
      <w:bookmarkStart w:id="263" w:name="_Toc184314437"/>
      <w:bookmarkEnd w:id="263"/>
      <w:bookmarkStart w:id="264" w:name="_Toc184308037"/>
      <w:bookmarkEnd w:id="264"/>
      <w:bookmarkStart w:id="265" w:name="_Toc184312072"/>
      <w:bookmarkEnd w:id="265"/>
      <w:bookmarkStart w:id="266" w:name="_Toc184313273"/>
      <w:bookmarkEnd w:id="266"/>
      <w:bookmarkStart w:id="267" w:name="_Toc184314410"/>
      <w:bookmarkEnd w:id="267"/>
      <w:bookmarkStart w:id="268" w:name="_Toc184314479"/>
      <w:bookmarkEnd w:id="268"/>
      <w:bookmarkStart w:id="269" w:name="_Toc184313296"/>
      <w:bookmarkEnd w:id="269"/>
      <w:bookmarkStart w:id="270" w:name="_Toc184310303"/>
      <w:bookmarkEnd w:id="270"/>
      <w:bookmarkStart w:id="271" w:name="_Toc184308083"/>
      <w:bookmarkEnd w:id="271"/>
      <w:bookmarkStart w:id="272" w:name="_Toc184314465"/>
      <w:bookmarkEnd w:id="272"/>
      <w:bookmarkStart w:id="273" w:name="_Toc184314424"/>
      <w:bookmarkEnd w:id="273"/>
      <w:bookmarkStart w:id="274" w:name="_Toc184308053"/>
      <w:bookmarkEnd w:id="274"/>
      <w:bookmarkStart w:id="275" w:name="_Toc184312098"/>
      <w:bookmarkEnd w:id="275"/>
      <w:bookmarkStart w:id="276" w:name="_Toc184310294"/>
      <w:bookmarkEnd w:id="276"/>
      <w:bookmarkStart w:id="277" w:name="_Toc184312073"/>
      <w:bookmarkEnd w:id="277"/>
      <w:bookmarkStart w:id="278" w:name="_Toc184308051"/>
      <w:bookmarkEnd w:id="278"/>
      <w:bookmarkStart w:id="279" w:name="_Toc184312085"/>
      <w:bookmarkEnd w:id="279"/>
      <w:bookmarkStart w:id="280" w:name="_Toc184312113"/>
      <w:bookmarkEnd w:id="280"/>
      <w:bookmarkStart w:id="281" w:name="_Toc184310290"/>
      <w:bookmarkEnd w:id="281"/>
      <w:bookmarkStart w:id="282" w:name="_Toc184313283"/>
      <w:bookmarkEnd w:id="282"/>
      <w:bookmarkStart w:id="283" w:name="_Toc184314416"/>
      <w:bookmarkEnd w:id="283"/>
      <w:bookmarkStart w:id="284" w:name="_Toc184312075"/>
      <w:bookmarkEnd w:id="284"/>
      <w:bookmarkStart w:id="285" w:name="_Toc184308087"/>
      <w:bookmarkEnd w:id="285"/>
      <w:bookmarkStart w:id="286" w:name="_Toc184310286"/>
      <w:bookmarkEnd w:id="286"/>
      <w:bookmarkStart w:id="287" w:name="_Toc184308072"/>
      <w:bookmarkEnd w:id="287"/>
      <w:bookmarkStart w:id="288" w:name="_Toc184312105"/>
      <w:bookmarkEnd w:id="288"/>
      <w:bookmarkStart w:id="289" w:name="_Toc184313287"/>
      <w:bookmarkEnd w:id="289"/>
      <w:bookmarkStart w:id="290" w:name="_Toc184310325"/>
      <w:bookmarkEnd w:id="290"/>
      <w:bookmarkStart w:id="291" w:name="_Toc184312104"/>
      <w:bookmarkEnd w:id="291"/>
      <w:bookmarkStart w:id="292" w:name="_Toc184314455"/>
      <w:bookmarkEnd w:id="292"/>
      <w:bookmarkStart w:id="293" w:name="_Toc184308092"/>
      <w:bookmarkEnd w:id="293"/>
      <w:bookmarkStart w:id="294" w:name="_Toc184314475"/>
      <w:bookmarkEnd w:id="294"/>
      <w:bookmarkStart w:id="295" w:name="_Toc184308050"/>
      <w:bookmarkEnd w:id="295"/>
      <w:bookmarkStart w:id="296" w:name="_Toc184308068"/>
      <w:bookmarkEnd w:id="296"/>
      <w:bookmarkStart w:id="297" w:name="_Toc184313276"/>
      <w:bookmarkEnd w:id="297"/>
      <w:bookmarkStart w:id="298" w:name="_Toc184310296"/>
      <w:bookmarkEnd w:id="298"/>
      <w:bookmarkStart w:id="299" w:name="_Toc184314429"/>
      <w:bookmarkEnd w:id="299"/>
      <w:bookmarkStart w:id="300" w:name="_Toc184312132"/>
      <w:bookmarkEnd w:id="300"/>
      <w:bookmarkStart w:id="301" w:name="_Toc184310313"/>
      <w:bookmarkEnd w:id="301"/>
      <w:bookmarkStart w:id="302" w:name="_Toc184310273"/>
      <w:bookmarkEnd w:id="302"/>
      <w:bookmarkStart w:id="303" w:name="_Toc184312074"/>
      <w:bookmarkEnd w:id="303"/>
      <w:bookmarkStart w:id="304" w:name="_Toc184313256"/>
      <w:bookmarkEnd w:id="304"/>
      <w:bookmarkStart w:id="305" w:name="_Toc184310314"/>
      <w:bookmarkEnd w:id="305"/>
      <w:bookmarkStart w:id="306" w:name="_Toc184312139"/>
      <w:bookmarkEnd w:id="306"/>
      <w:bookmarkStart w:id="307" w:name="_Toc184308064"/>
      <w:bookmarkEnd w:id="307"/>
      <w:bookmarkStart w:id="308" w:name="_Toc184313281"/>
      <w:bookmarkEnd w:id="308"/>
      <w:bookmarkStart w:id="309" w:name="_Toc184313245"/>
      <w:bookmarkEnd w:id="309"/>
      <w:bookmarkStart w:id="310" w:name="_Toc184310334"/>
      <w:bookmarkEnd w:id="310"/>
      <w:bookmarkStart w:id="311" w:name="_Toc184313288"/>
      <w:bookmarkEnd w:id="311"/>
      <w:bookmarkStart w:id="312" w:name="_Toc184313274"/>
      <w:bookmarkEnd w:id="312"/>
      <w:bookmarkStart w:id="313" w:name="_Toc184313266"/>
      <w:bookmarkEnd w:id="313"/>
      <w:bookmarkStart w:id="314" w:name="_Toc184312106"/>
      <w:bookmarkEnd w:id="314"/>
      <w:bookmarkStart w:id="315" w:name="_Toc184312133"/>
      <w:bookmarkEnd w:id="315"/>
      <w:bookmarkStart w:id="316" w:name="_Toc184313302"/>
      <w:bookmarkEnd w:id="316"/>
      <w:bookmarkStart w:id="317" w:name="_Toc184314468"/>
      <w:bookmarkEnd w:id="317"/>
      <w:bookmarkStart w:id="318" w:name="_Toc184310344"/>
      <w:bookmarkEnd w:id="318"/>
      <w:bookmarkStart w:id="319" w:name="_Toc184314436"/>
      <w:bookmarkEnd w:id="319"/>
      <w:bookmarkStart w:id="320" w:name="_Toc184310292"/>
      <w:bookmarkEnd w:id="320"/>
      <w:bookmarkStart w:id="321" w:name="_Toc184312067"/>
      <w:bookmarkEnd w:id="321"/>
      <w:bookmarkStart w:id="322" w:name="_Toc184312082"/>
      <w:bookmarkEnd w:id="322"/>
      <w:bookmarkStart w:id="323" w:name="_Toc184313278"/>
      <w:bookmarkEnd w:id="323"/>
      <w:bookmarkStart w:id="324" w:name="_Toc184308063"/>
      <w:bookmarkEnd w:id="324"/>
      <w:bookmarkStart w:id="325" w:name="_Toc184308036"/>
      <w:bookmarkEnd w:id="325"/>
      <w:bookmarkStart w:id="326" w:name="_Toc184308039"/>
      <w:bookmarkEnd w:id="326"/>
      <w:bookmarkStart w:id="327" w:name="_Toc184313260"/>
      <w:bookmarkEnd w:id="327"/>
      <w:bookmarkStart w:id="328" w:name="_Toc184310285"/>
      <w:bookmarkEnd w:id="328"/>
      <w:bookmarkStart w:id="329" w:name="_Toc184313244"/>
      <w:bookmarkEnd w:id="329"/>
      <w:bookmarkStart w:id="330" w:name="_Toc184314453"/>
      <w:bookmarkEnd w:id="330"/>
      <w:bookmarkStart w:id="331" w:name="_Toc184312084"/>
      <w:bookmarkEnd w:id="331"/>
      <w:bookmarkStart w:id="332" w:name="_Toc184308046"/>
      <w:bookmarkEnd w:id="332"/>
      <w:bookmarkStart w:id="333" w:name="_Toc184312110"/>
      <w:bookmarkEnd w:id="333"/>
      <w:bookmarkStart w:id="334" w:name="_Toc184312100"/>
      <w:bookmarkEnd w:id="334"/>
      <w:bookmarkStart w:id="335" w:name="_Toc184314457"/>
      <w:bookmarkEnd w:id="335"/>
      <w:bookmarkStart w:id="336" w:name="_Toc184313295"/>
      <w:bookmarkEnd w:id="336"/>
      <w:bookmarkStart w:id="337" w:name="_Toc184310298"/>
      <w:bookmarkEnd w:id="337"/>
      <w:bookmarkStart w:id="338" w:name="_Toc184310335"/>
      <w:bookmarkEnd w:id="338"/>
      <w:bookmarkStart w:id="339" w:name="_Toc184310309"/>
      <w:bookmarkEnd w:id="339"/>
      <w:bookmarkStart w:id="340" w:name="_Toc184310287"/>
      <w:bookmarkEnd w:id="340"/>
      <w:bookmarkStart w:id="341" w:name="_Toc184308062"/>
      <w:bookmarkEnd w:id="341"/>
      <w:bookmarkStart w:id="342" w:name="_Toc184314473"/>
      <w:bookmarkEnd w:id="342"/>
      <w:bookmarkStart w:id="343" w:name="_Toc184314411"/>
      <w:bookmarkEnd w:id="343"/>
      <w:bookmarkStart w:id="344" w:name="_Toc184312130"/>
      <w:bookmarkEnd w:id="344"/>
      <w:bookmarkStart w:id="345" w:name="_Toc184310317"/>
      <w:bookmarkEnd w:id="345"/>
      <w:bookmarkStart w:id="346" w:name="_Toc184313277"/>
      <w:bookmarkEnd w:id="346"/>
      <w:bookmarkStart w:id="347" w:name="_Toc184310293"/>
      <w:bookmarkEnd w:id="347"/>
      <w:bookmarkStart w:id="348" w:name="_Toc184313267"/>
      <w:bookmarkEnd w:id="348"/>
      <w:bookmarkStart w:id="349" w:name="_Toc184314474"/>
      <w:bookmarkEnd w:id="349"/>
      <w:bookmarkStart w:id="350" w:name="_Toc184312095"/>
      <w:bookmarkEnd w:id="350"/>
      <w:bookmarkStart w:id="351" w:name="_Toc184310304"/>
      <w:bookmarkEnd w:id="351"/>
      <w:bookmarkStart w:id="352" w:name="_Toc184308058"/>
      <w:bookmarkEnd w:id="352"/>
      <w:bookmarkStart w:id="353" w:name="_Toc184312123"/>
      <w:bookmarkEnd w:id="353"/>
      <w:bookmarkStart w:id="354" w:name="_Toc184312091"/>
      <w:bookmarkEnd w:id="354"/>
      <w:bookmarkStart w:id="355" w:name="_Toc184312136"/>
      <w:bookmarkEnd w:id="355"/>
      <w:bookmarkStart w:id="356" w:name="_Toc184313275"/>
      <w:bookmarkEnd w:id="356"/>
      <w:bookmarkStart w:id="357" w:name="_Toc184310320"/>
      <w:bookmarkEnd w:id="357"/>
      <w:bookmarkStart w:id="358" w:name="_Toc184314478"/>
      <w:bookmarkEnd w:id="358"/>
      <w:bookmarkStart w:id="359" w:name="_Toc184310284"/>
      <w:bookmarkEnd w:id="359"/>
      <w:bookmarkStart w:id="360" w:name="_Toc184308085"/>
      <w:bookmarkEnd w:id="360"/>
      <w:bookmarkStart w:id="361" w:name="_Toc184310302"/>
      <w:bookmarkEnd w:id="361"/>
      <w:bookmarkStart w:id="362" w:name="_Toc184314450"/>
      <w:bookmarkEnd w:id="362"/>
      <w:bookmarkStart w:id="363" w:name="_Toc184313238"/>
      <w:bookmarkEnd w:id="363"/>
      <w:bookmarkStart w:id="364" w:name="_Toc184312081"/>
      <w:bookmarkEnd w:id="364"/>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14"/>
        <w:tblpPr w:leftFromText="180" w:rightFromText="180" w:vertAnchor="text" w:horzAnchor="page" w:tblpX="1031" w:tblpY="126"/>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473"/>
        <w:gridCol w:w="6549"/>
        <w:gridCol w:w="72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92" w:type="pct"/>
            <w:vAlign w:val="center"/>
          </w:tcPr>
          <w:p>
            <w:pPr>
              <w:spacing w:line="360" w:lineRule="auto"/>
              <w:jc w:val="both"/>
              <w:outlineLvl w:val="0"/>
              <w:rPr>
                <w:rFonts w:ascii="仿宋" w:hAnsi="仿宋" w:eastAsia="仿宋" w:cs="仿宋_GB2312"/>
                <w:bCs/>
                <w:sz w:val="24"/>
              </w:rPr>
            </w:pPr>
            <w:r>
              <w:rPr>
                <w:rFonts w:hint="eastAsia" w:ascii="仿宋" w:hAnsi="仿宋" w:eastAsia="仿宋" w:cs="仿宋_GB2312"/>
                <w:bCs/>
                <w:sz w:val="24"/>
              </w:rPr>
              <w:t>序号</w:t>
            </w:r>
          </w:p>
        </w:tc>
        <w:tc>
          <w:tcPr>
            <w:tcW w:w="241" w:type="pct"/>
            <w:vAlign w:val="center"/>
          </w:tcPr>
          <w:p>
            <w:pPr>
              <w:spacing w:line="360" w:lineRule="auto"/>
              <w:ind w:firstLine="1560" w:firstLineChars="650"/>
              <w:outlineLvl w:val="0"/>
              <w:rPr>
                <w:rFonts w:hint="eastAsia" w:ascii="仿宋" w:hAnsi="仿宋" w:eastAsia="仿宋" w:cs="仿宋_GB2312"/>
                <w:bCs/>
                <w:sz w:val="24"/>
              </w:rPr>
            </w:pPr>
          </w:p>
        </w:tc>
        <w:tc>
          <w:tcPr>
            <w:tcW w:w="3341"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367"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75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92"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1</w:t>
            </w:r>
          </w:p>
        </w:tc>
        <w:tc>
          <w:tcPr>
            <w:tcW w:w="241" w:type="pct"/>
            <w:vMerge w:val="restar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技术分</w:t>
            </w:r>
          </w:p>
        </w:tc>
        <w:tc>
          <w:tcPr>
            <w:tcW w:w="3341" w:type="pct"/>
            <w:vAlign w:val="center"/>
          </w:tcPr>
          <w:p>
            <w:pPr>
              <w:spacing w:line="360" w:lineRule="auto"/>
              <w:outlineLvl w:val="0"/>
              <w:rPr>
                <w:rFonts w:hint="default" w:ascii="仿宋" w:hAnsi="仿宋" w:eastAsia="仿宋" w:cs="仿宋"/>
                <w:sz w:val="24"/>
                <w:szCs w:val="24"/>
                <w:lang w:val="en-US"/>
              </w:rPr>
            </w:pPr>
            <w:r>
              <w:rPr>
                <w:rFonts w:hint="eastAsia" w:ascii="仿宋" w:hAnsi="仿宋" w:eastAsia="仿宋" w:cs="仿宋"/>
                <w:kern w:val="0"/>
                <w:sz w:val="24"/>
                <w:szCs w:val="24"/>
                <w:highlight w:val="none"/>
                <w:lang w:val="en-US" w:eastAsia="zh-CN"/>
              </w:rPr>
              <w:t>供应商根据采购需求提供服务方案，内容包含：①专项审计调查（或预算执行审计）；②跟踪审计；③审计协助；④成果报告出具；⑤重大事项反馈；⑥服务要求。内容完整，安排合理，深入表达，对项目审计重点、难点有准确的判断及解决方案的每项得3分；方案完整，安排较合理、可行，对项目审计重点、难点有一定的判断及解决方案，得2分；方案基本完整、可行，重点、难点基本解决，得1分；方案没有重点，基本不可行的不得分。共18分。</w:t>
            </w:r>
          </w:p>
        </w:tc>
        <w:tc>
          <w:tcPr>
            <w:tcW w:w="36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756"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供应商提供的方案结合具体审计事项进行剖析，案例内容丰富、条例明确、成果充分的得6分；案例内容完整、成果明显的得4分；案例内容完整的得2分；案例内容缺失、成果不明显的得1分；其余不得分。共6分。</w:t>
            </w:r>
          </w:p>
        </w:tc>
        <w:tc>
          <w:tcPr>
            <w:tcW w:w="3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6"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（二）实例剖析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供应商根据本协审项目特点提出合理化建议或改进措施，建议或者措施合理可行的每条得1分。共5分。</w:t>
            </w:r>
          </w:p>
        </w:tc>
        <w:tc>
          <w:tcPr>
            <w:tcW w:w="367"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56"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（三）相关建议或措施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供应商对协审质量有详细的保证措施，且措施合理、可行的得5分；对协审质量保证措施一般的得3分；对协审质量保证措施基本不可行的得1分；没有保证措施的不得分。共5分。</w:t>
            </w:r>
          </w:p>
        </w:tc>
        <w:tc>
          <w:tcPr>
            <w:tcW w:w="3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56"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提供①审核进度控制机制，机制科学合理且具可操作性强的得3分；机制合理、可操作的得1分；其余不得分。②针对影响项目审核进度问题的主要因素提供解决措施与方案，方案科学完整、可操作性强、对采购单位有针对性的得3分；方案基本合理可操作性的得1分；其余不得分。共6分。</w:t>
            </w:r>
          </w:p>
        </w:tc>
        <w:tc>
          <w:tcPr>
            <w:tcW w:w="3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6" w:type="pct"/>
            <w:vMerge w:val="restar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（五）服务进度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default"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6</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根据供应商提供服务响应时速打分，承诺1小时内响应的得3分；2小时内响应的得1分；其余不得分，提供响应承诺，共3分。</w:t>
            </w:r>
          </w:p>
        </w:tc>
        <w:tc>
          <w:tcPr>
            <w:tcW w:w="36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56" w:type="pct"/>
            <w:vMerge w:val="continue"/>
            <w:vAlign w:val="center"/>
          </w:tcPr>
          <w:p>
            <w:pPr>
              <w:spacing w:line="360" w:lineRule="auto"/>
              <w:jc w:val="center"/>
              <w:outlineLvl w:val="0"/>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7</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供应商提供保密制度及方案，保密方案科学完善，保密制度有力，具有严密性、可行性的，得5分；保密方案合理，具有保密制度，具有一定可行性的得3分；提供保密承诺的得1分，其余不得分。共5分。</w:t>
            </w:r>
          </w:p>
        </w:tc>
        <w:tc>
          <w:tcPr>
            <w:tcW w:w="3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56"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8</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提供廉政风险规避方案，廉政风险规避措施有力，可行、有效，且供应商作书面廉政承诺的得5分；廉政风险规避措施基本可行且有一定效果的，且企业作书面廉政承诺的得3分；廉政风险规避措施基本不可行的得1分；企业未作书面廉政承诺的不得分。共5分。</w:t>
            </w:r>
          </w:p>
        </w:tc>
        <w:tc>
          <w:tcPr>
            <w:tcW w:w="3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56"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（七）廉政措施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9</w:t>
            </w:r>
          </w:p>
        </w:tc>
        <w:tc>
          <w:tcPr>
            <w:tcW w:w="241" w:type="pct"/>
            <w:vMerge w:val="restar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商务分</w:t>
            </w: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供应商拟派项目负责人：</w:t>
            </w:r>
          </w:p>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①具有国家注册一级造价工程师职业资格的得2分；具有高级工程师及以上职称的得2分，具有中级工程师职称的得1分。②自2019年01月01日至开标时间止完成专项审计工作，作为项目负责人的，每项得1分；作为团队人员的，每项得0.5分，最高得2分；③从事本专业工作10年及以上的得2分，5-10年的得1分。</w:t>
            </w:r>
          </w:p>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以上需提供相关证书、社保证明、业绩证明、本专业工作年限证明材料。共8分。</w:t>
            </w:r>
          </w:p>
        </w:tc>
        <w:tc>
          <w:tcPr>
            <w:tcW w:w="3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756" w:type="pct"/>
            <w:vMerge w:val="restar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92" w:type="pct"/>
            <w:vAlign w:val="center"/>
          </w:tcPr>
          <w:p>
            <w:pPr>
              <w:spacing w:line="360" w:lineRule="auto"/>
              <w:jc w:val="center"/>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10</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供应商拟派项目组其他成员（项目负责人除外）：</w:t>
            </w:r>
          </w:p>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①人数不少于5人的基础上，具备建筑、安装、水利、交通专业注册造价工程师，每一专业得1分，</w:t>
            </w:r>
            <w:r>
              <w:rPr>
                <w:rFonts w:hint="eastAsia" w:ascii="仿宋" w:hAnsi="仿宋" w:eastAsia="仿宋" w:cs="仿宋"/>
                <w:color w:val="auto"/>
                <w:kern w:val="0"/>
                <w:sz w:val="24"/>
                <w:szCs w:val="24"/>
                <w:highlight w:val="none"/>
                <w:lang w:val="en-US" w:eastAsia="zh-CN"/>
              </w:rPr>
              <w:t>人数不足5人不得分，共4分；</w:t>
            </w:r>
          </w:p>
          <w:p>
            <w:pPr>
              <w:spacing w:line="360" w:lineRule="auto"/>
              <w:outlineLvl w:val="0"/>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②具备建筑、安装、水利、交通专业国家注册一级造价工程师，每1人得2分；具备建筑、安装、水利、交通专业注册二级造价师，每1人得1分，共10分。</w:t>
            </w:r>
          </w:p>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以上需提供相关证书及社保证明（或退休证明）。共14分。</w:t>
            </w:r>
          </w:p>
        </w:tc>
        <w:tc>
          <w:tcPr>
            <w:tcW w:w="36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756" w:type="pct"/>
            <w:vMerge w:val="continue"/>
            <w:vAlign w:val="center"/>
          </w:tcPr>
          <w:p>
            <w:pPr>
              <w:spacing w:line="360" w:lineRule="auto"/>
              <w:jc w:val="center"/>
              <w:outlineLvl w:val="0"/>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default"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11</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拟派项目组其他成员（项目负责人除外）具有工程造价专业高级工程师职称及以上的，每1人得 2分；具有中级职称的，每1人得1分，需提供职称证书。共5分。</w:t>
            </w:r>
          </w:p>
        </w:tc>
        <w:tc>
          <w:tcPr>
            <w:tcW w:w="3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56" w:type="pct"/>
            <w:vMerge w:val="continue"/>
            <w:vAlign w:val="center"/>
          </w:tcPr>
          <w:p>
            <w:pPr>
              <w:spacing w:line="360" w:lineRule="auto"/>
              <w:jc w:val="center"/>
              <w:outlineLvl w:val="0"/>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default"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12</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lang w:val="en-US" w:eastAsia="zh-CN"/>
              </w:rPr>
              <w:t>供应商具有有效期内的质量管理体系、环境管理体系、职业健康安全管理体系认证证书，每个得1分，需提供相关证书扫描件。共3分。</w:t>
            </w:r>
          </w:p>
        </w:tc>
        <w:tc>
          <w:tcPr>
            <w:tcW w:w="3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56" w:type="pct"/>
            <w:vMerge w:val="restar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default"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13</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w:t>
            </w:r>
            <w:r>
              <w:rPr>
                <w:rFonts w:hint="eastAsia" w:ascii="仿宋" w:hAnsi="仿宋" w:eastAsia="仿宋" w:cs="仿宋"/>
                <w:sz w:val="24"/>
                <w:szCs w:val="24"/>
                <w:lang w:val="en-US" w:eastAsia="zh-CN"/>
              </w:rPr>
              <w:t>或拟派人员</w:t>
            </w:r>
            <w:r>
              <w:rPr>
                <w:rFonts w:hint="eastAsia" w:ascii="仿宋" w:hAnsi="仿宋" w:eastAsia="仿宋" w:cs="仿宋"/>
                <w:kern w:val="0"/>
                <w:sz w:val="24"/>
                <w:szCs w:val="24"/>
                <w:highlight w:val="none"/>
                <w:lang w:val="en-US" w:eastAsia="zh-CN"/>
              </w:rPr>
              <w:t>自2019年01月01日至开标时间止为纪委提供重大问题或线索的，每提供一项得1分，需提供相关纪委机关有效证明材料。共2分。</w:t>
            </w:r>
          </w:p>
        </w:tc>
        <w:tc>
          <w:tcPr>
            <w:tcW w:w="3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56" w:type="pct"/>
            <w:vMerge w:val="continue"/>
            <w:vAlign w:val="center"/>
          </w:tcPr>
          <w:p>
            <w:pPr>
              <w:spacing w:line="360" w:lineRule="auto"/>
              <w:jc w:val="center"/>
              <w:outlineLvl w:val="0"/>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default"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14</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供应商或拟派人员自2019年01月01日至开标时间止撰写的工作信息或专题报告被审计机关或国家、省、市相关媒体录用的，每1篇得1分，需提供信息录用证明材料。共2分。</w:t>
            </w:r>
          </w:p>
        </w:tc>
        <w:tc>
          <w:tcPr>
            <w:tcW w:w="3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56" w:type="pct"/>
            <w:vMerge w:val="continue"/>
            <w:vAlign w:val="center"/>
          </w:tcPr>
          <w:p>
            <w:pPr>
              <w:spacing w:line="360" w:lineRule="auto"/>
              <w:jc w:val="center"/>
              <w:outlineLvl w:val="0"/>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2" w:type="pct"/>
            <w:vAlign w:val="center"/>
          </w:tcPr>
          <w:p>
            <w:pPr>
              <w:spacing w:line="360" w:lineRule="auto"/>
              <w:jc w:val="center"/>
              <w:outlineLvl w:val="0"/>
              <w:rPr>
                <w:rFonts w:hint="default"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15</w:t>
            </w:r>
          </w:p>
        </w:tc>
        <w:tc>
          <w:tcPr>
            <w:tcW w:w="241" w:type="pct"/>
            <w:vMerge w:val="continue"/>
            <w:vAlign w:val="center"/>
          </w:tcPr>
          <w:p>
            <w:pPr>
              <w:spacing w:line="360" w:lineRule="auto"/>
              <w:outlineLvl w:val="0"/>
              <w:rPr>
                <w:rFonts w:hint="eastAsia" w:ascii="仿宋" w:hAnsi="仿宋" w:eastAsia="仿宋" w:cs="仿宋"/>
                <w:kern w:val="0"/>
                <w:sz w:val="24"/>
                <w:szCs w:val="24"/>
                <w:highlight w:val="yellow"/>
                <w:lang w:val="en-US" w:eastAsia="zh-CN"/>
              </w:rPr>
            </w:pPr>
          </w:p>
        </w:tc>
        <w:tc>
          <w:tcPr>
            <w:tcW w:w="3341" w:type="pct"/>
            <w:vAlign w:val="center"/>
          </w:tcPr>
          <w:p>
            <w:pPr>
              <w:spacing w:line="360" w:lineRule="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供应商自2019年01月01日至开标时间止获得省级建设工程造价管理总站颁布的优秀造价咨询企业或品牌企业的得1分，需提供荣誉证书或获奖文件。共1分。</w:t>
            </w:r>
          </w:p>
        </w:tc>
        <w:tc>
          <w:tcPr>
            <w:tcW w:w="3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6" w:type="pct"/>
            <w:vMerge w:val="continue"/>
            <w:vAlign w:val="center"/>
          </w:tcPr>
          <w:p>
            <w:pPr>
              <w:spacing w:line="360" w:lineRule="auto"/>
              <w:jc w:val="center"/>
              <w:outlineLvl w:val="0"/>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2" w:type="pct"/>
            <w:vAlign w:val="center"/>
          </w:tcPr>
          <w:p>
            <w:pPr>
              <w:spacing w:line="360" w:lineRule="auto"/>
              <w:jc w:val="center"/>
              <w:outlineLvl w:val="0"/>
              <w:rPr>
                <w:rFonts w:hint="default"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16</w:t>
            </w:r>
          </w:p>
        </w:tc>
        <w:tc>
          <w:tcPr>
            <w:tcW w:w="241" w:type="pct"/>
            <w:vMerge w:val="continue"/>
            <w:vAlign w:val="center"/>
          </w:tcPr>
          <w:p>
            <w:pPr>
              <w:spacing w:line="360" w:lineRule="auto"/>
              <w:jc w:val="left"/>
              <w:rPr>
                <w:rFonts w:hint="eastAsia" w:ascii="仿宋" w:hAnsi="仿宋" w:eastAsia="仿宋" w:cs="仿宋"/>
                <w:sz w:val="24"/>
                <w:szCs w:val="24"/>
                <w:highlight w:val="yellow"/>
                <w:lang w:val="en-US" w:eastAsia="zh-CN"/>
              </w:rPr>
            </w:pPr>
          </w:p>
        </w:tc>
        <w:tc>
          <w:tcPr>
            <w:tcW w:w="3341" w:type="pct"/>
            <w:vAlign w:val="center"/>
          </w:tcPr>
          <w:p>
            <w:pPr>
              <w:spacing w:line="360" w:lineRule="auto"/>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供应商或拟派人员自2019年01月01日以来从事过行政事业单位或国有平台委托的专项审计工作，每1个项目案例得1分，需提供审计通知书或合同。共2分。</w:t>
            </w:r>
          </w:p>
        </w:tc>
        <w:tc>
          <w:tcPr>
            <w:tcW w:w="367" w:type="pct"/>
            <w:vAlign w:val="center"/>
          </w:tcPr>
          <w:p>
            <w:pPr>
              <w:spacing w:line="360" w:lineRule="auto"/>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756" w:type="pct"/>
            <w:vMerge w:val="restar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92"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17</w:t>
            </w:r>
          </w:p>
        </w:tc>
        <w:tc>
          <w:tcPr>
            <w:tcW w:w="241" w:type="pct"/>
            <w:vMerge w:val="continue"/>
            <w:vAlign w:val="center"/>
          </w:tcPr>
          <w:p>
            <w:pPr>
              <w:spacing w:line="360" w:lineRule="auto"/>
              <w:outlineLvl w:val="0"/>
              <w:rPr>
                <w:rFonts w:hint="eastAsia" w:ascii="仿宋" w:hAnsi="仿宋" w:eastAsia="仿宋" w:cs="仿宋"/>
                <w:kern w:val="0"/>
                <w:sz w:val="24"/>
                <w:szCs w:val="24"/>
                <w:highlight w:val="none"/>
                <w:lang w:val="en-US" w:eastAsia="zh-CN"/>
              </w:rPr>
            </w:pPr>
          </w:p>
        </w:tc>
        <w:tc>
          <w:tcPr>
            <w:tcW w:w="3341" w:type="pct"/>
            <w:vAlign w:val="center"/>
          </w:tcPr>
          <w:p>
            <w:pPr>
              <w:spacing w:line="360" w:lineRule="auto"/>
              <w:outlineLvl w:val="0"/>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lang w:val="en-US" w:eastAsia="zh-CN"/>
              </w:rPr>
              <w:t>供应商自2019年1月1日（时间以委托合同签订日期为准）至开标时间止承接编制或审核政府投资送审项目的工程费用（包括概算、预算、结算）总金额累计在20亿元（含）以上的得10分；在20亿-15亿元（含）的得8分；在15亿元-10亿（含）的得6分；10亿元-2.5亿（含）的得4分；2.5亿以下-1亿（含）的得2分，1亿以下得1分。（同一项目中概算、预算、结算取一次进行累计，同一项目不重复累计，上述项目仅计取最高金额的20个项目，超过个数不予计取，金额以委托合同为准，合同的金额指工程费用，提供业绩汇总表及合同，无单独合同或合同无金额的，提供其他相关依据，如中标通知书或甲方证明，以上证明材料提供原件扫描件，否则不得分；如若在框架协议签订前，发现该项有作弊行为，则直接取消协议资格）</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共10分。</w:t>
            </w:r>
          </w:p>
        </w:tc>
        <w:tc>
          <w:tcPr>
            <w:tcW w:w="367" w:type="pct"/>
            <w:vAlign w:val="center"/>
          </w:tcPr>
          <w:p>
            <w:pPr>
              <w:jc w:val="center"/>
              <w:rPr>
                <w:rFonts w:hint="eastAsia" w:ascii="仿宋" w:hAnsi="仿宋" w:eastAsia="仿宋" w:cs="仿宋"/>
                <w:sz w:val="24"/>
                <w:szCs w:val="24"/>
              </w:rPr>
            </w:pPr>
          </w:p>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56" w:type="pct"/>
            <w:vMerge w:val="continue"/>
            <w:vAlign w:val="center"/>
          </w:tcPr>
          <w:p>
            <w:pPr>
              <w:spacing w:line="360" w:lineRule="auto"/>
              <w:jc w:val="center"/>
              <w:outlineLvl w:val="0"/>
              <w:rPr>
                <w:rFonts w:hint="eastAsia" w:ascii="仿宋" w:hAnsi="仿宋" w:eastAsia="仿宋" w:cs="仿宋"/>
                <w:sz w:val="24"/>
                <w:szCs w:val="24"/>
                <w:lang w:val="en-US" w:eastAsia="zh-CN"/>
              </w:rPr>
            </w:pPr>
          </w:p>
        </w:tc>
      </w:tr>
    </w:tbl>
    <w:p>
      <w:pPr>
        <w:snapToGrid w:val="0"/>
        <w:spacing w:line="360" w:lineRule="auto"/>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w:t>
      </w:r>
      <w:r>
        <w:rPr>
          <w:rFonts w:hint="eastAsia" w:ascii="仿宋" w:hAnsi="仿宋" w:eastAsia="仿宋" w:cs="仿宋_GB2312"/>
          <w:color w:val="000000" w:themeColor="text1"/>
          <w:sz w:val="24"/>
          <w:highlight w:val="none"/>
          <w:lang w:eastAsia="zh-CN"/>
          <w14:textFill>
            <w14:solidFill>
              <w14:schemeClr w14:val="tx1"/>
            </w14:solidFill>
          </w14:textFill>
        </w:rPr>
        <w:t>响应</w:t>
      </w:r>
      <w:r>
        <w:rPr>
          <w:rFonts w:hint="eastAsia" w:ascii="仿宋" w:hAnsi="仿宋" w:eastAsia="仿宋" w:cs="仿宋_GB2312"/>
          <w:color w:val="000000" w:themeColor="text1"/>
          <w:sz w:val="24"/>
          <w:highlight w:val="none"/>
          <w14:textFill>
            <w14:solidFill>
              <w14:schemeClr w14:val="tx1"/>
            </w14:solidFill>
          </w14:textFill>
        </w:rPr>
        <w:t>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adjustRightInd w:val="0"/>
        <w:snapToGrid w:val="0"/>
        <w:spacing w:line="360" w:lineRule="auto"/>
        <w:jc w:val="both"/>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adjustRightInd/>
        <w:spacing w:line="360" w:lineRule="auto"/>
        <w:ind w:firstLine="472" w:firstLineChars="196"/>
        <w:rPr>
          <w:rFonts w:hint="eastAsia" w:ascii="仿宋" w:hAnsi="仿宋" w:eastAsia="仿宋" w:cs="仿宋_GB2312"/>
          <w:color w:val="000000" w:themeColor="text1"/>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本项目采用质量优先法。</w:t>
      </w:r>
      <w:r>
        <w:rPr>
          <w:rFonts w:hint="eastAsia" w:ascii="仿宋_GB2312" w:hAnsi="仿宋" w:eastAsia="仿宋_GB2312" w:cs="Arial"/>
          <w:kern w:val="0"/>
          <w:sz w:val="24"/>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adjustRightInd w:val="0"/>
        <w:snapToGrid w:val="0"/>
        <w:spacing w:line="360" w:lineRule="auto"/>
        <w:jc w:val="both"/>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sz w:val="32"/>
          <w:szCs w:val="24"/>
        </w:rPr>
        <w:t>二、</w:t>
      </w:r>
      <w:r>
        <w:rPr>
          <w:rFonts w:hint="eastAsia" w:ascii="仿宋_GB2312" w:hAnsi="仿宋" w:eastAsia="仿宋_GB2312" w:cs="仿宋_GB2312"/>
          <w:b/>
          <w:color w:val="000000" w:themeColor="text1"/>
          <w:sz w:val="32"/>
          <w:highlight w:val="none"/>
          <w14:textFill>
            <w14:solidFill>
              <w14:schemeClr w14:val="tx1"/>
            </w14:solidFill>
          </w14:textFill>
        </w:rPr>
        <w:t>评标标准</w:t>
      </w:r>
    </w:p>
    <w:p>
      <w:pPr>
        <w:spacing w:line="360" w:lineRule="auto"/>
        <w:ind w:firstLine="472"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kern w:val="0"/>
          <w:sz w:val="24"/>
        </w:rPr>
        <w:t>评标委员会应当对符合资格的</w:t>
      </w:r>
      <w:r>
        <w:rPr>
          <w:rFonts w:hint="eastAsia" w:ascii="仿宋_GB2312" w:hAnsi="仿宋" w:eastAsia="仿宋_GB2312" w:cs="Arial"/>
          <w:kern w:val="0"/>
          <w:sz w:val="24"/>
          <w:lang w:eastAsia="zh-CN"/>
        </w:rPr>
        <w:t>响应供应商</w:t>
      </w:r>
      <w:r>
        <w:rPr>
          <w:rFonts w:ascii="仿宋_GB2312" w:hAnsi="仿宋" w:eastAsia="仿宋_GB2312" w:cs="Arial"/>
          <w:kern w:val="0"/>
          <w:sz w:val="24"/>
        </w:rPr>
        <w:t>的</w:t>
      </w:r>
      <w:r>
        <w:rPr>
          <w:rFonts w:hint="eastAsia" w:ascii="仿宋_GB2312" w:hAnsi="仿宋" w:eastAsia="仿宋_GB2312" w:cs="Arial"/>
          <w:kern w:val="0"/>
          <w:sz w:val="24"/>
          <w:lang w:eastAsia="zh-CN"/>
        </w:rPr>
        <w:t>响应</w:t>
      </w:r>
      <w:r>
        <w:rPr>
          <w:rFonts w:ascii="仿宋_GB2312" w:hAnsi="仿宋" w:eastAsia="仿宋_GB2312" w:cs="Arial"/>
          <w:kern w:val="0"/>
          <w:sz w:val="24"/>
        </w:rPr>
        <w:t>文件进行符合性审查，以确定其是否满足</w:t>
      </w:r>
      <w:r>
        <w:rPr>
          <w:rFonts w:hint="eastAsia" w:ascii="仿宋_GB2312" w:hAnsi="仿宋" w:eastAsia="仿宋_GB2312" w:cs="Arial"/>
          <w:kern w:val="0"/>
          <w:sz w:val="24"/>
          <w:lang w:eastAsia="zh-CN"/>
        </w:rPr>
        <w:t>征集</w:t>
      </w:r>
      <w:r>
        <w:rPr>
          <w:rFonts w:ascii="仿宋_GB2312" w:hAnsi="仿宋" w:eastAsia="仿宋_GB2312" w:cs="Arial"/>
          <w:kern w:val="0"/>
          <w:sz w:val="24"/>
        </w:rPr>
        <w:t>件的实质性要求。</w:t>
      </w:r>
      <w:r>
        <w:rPr>
          <w:rFonts w:hint="eastAsia" w:ascii="仿宋_GB2312" w:hAnsi="仿宋" w:eastAsia="仿宋_GB2312" w:cs="Arial"/>
          <w:kern w:val="0"/>
          <w:sz w:val="24"/>
        </w:rPr>
        <w:t>不</w:t>
      </w:r>
      <w:r>
        <w:rPr>
          <w:rFonts w:ascii="仿宋_GB2312" w:hAnsi="仿宋" w:eastAsia="仿宋_GB2312" w:cs="Arial"/>
          <w:kern w:val="0"/>
          <w:sz w:val="24"/>
        </w:rPr>
        <w:t>满足</w:t>
      </w:r>
      <w:r>
        <w:rPr>
          <w:rFonts w:hint="eastAsia" w:ascii="仿宋_GB2312" w:hAnsi="仿宋" w:eastAsia="仿宋_GB2312" w:cs="Arial"/>
          <w:kern w:val="0"/>
          <w:sz w:val="24"/>
          <w:lang w:eastAsia="zh-CN"/>
        </w:rPr>
        <w:t>征集</w:t>
      </w:r>
      <w:r>
        <w:rPr>
          <w:rFonts w:ascii="仿宋_GB2312" w:hAnsi="仿宋" w:eastAsia="仿宋_GB2312" w:cs="Arial"/>
          <w:kern w:val="0"/>
          <w:sz w:val="24"/>
        </w:rPr>
        <w:t>文件的实质性要求</w:t>
      </w:r>
      <w:r>
        <w:rPr>
          <w:rFonts w:hint="eastAsia" w:ascii="仿宋_GB2312" w:hAnsi="仿宋" w:eastAsia="仿宋_GB2312" w:cs="Arial"/>
          <w:kern w:val="0"/>
          <w:sz w:val="24"/>
        </w:rPr>
        <w:t>的，</w:t>
      </w:r>
      <w:r>
        <w:rPr>
          <w:rFonts w:hint="eastAsia" w:ascii="仿宋_GB2312" w:hAnsi="仿宋" w:eastAsia="仿宋_GB2312" w:cs="Arial"/>
          <w:kern w:val="0"/>
          <w:sz w:val="24"/>
          <w:lang w:eastAsia="zh-CN"/>
        </w:rPr>
        <w:t>响应</w:t>
      </w:r>
      <w:r>
        <w:rPr>
          <w:rFonts w:hint="eastAsia" w:ascii="仿宋_GB2312" w:hAnsi="仿宋" w:eastAsia="仿宋_GB2312" w:cs="Arial"/>
          <w:kern w:val="0"/>
          <w:sz w:val="24"/>
        </w:rPr>
        <w:t>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w:t>
      </w:r>
      <w:r>
        <w:rPr>
          <w:rFonts w:hint="eastAsia" w:ascii="仿宋_GB2312" w:hAnsi="仿宋" w:eastAsia="仿宋_GB2312" w:cs="Arial"/>
          <w:color w:val="000000" w:themeColor="text1"/>
          <w:kern w:val="0"/>
          <w:sz w:val="24"/>
          <w:highlight w:val="none"/>
          <w:lang w:eastAsia="zh-CN"/>
          <w14:textFill>
            <w14:solidFill>
              <w14:schemeClr w14:val="tx1"/>
            </w14:solidFill>
          </w14:textFill>
        </w:rPr>
        <w:t>征集</w:t>
      </w:r>
      <w:r>
        <w:rPr>
          <w:rFonts w:ascii="仿宋_GB2312" w:hAnsi="仿宋" w:eastAsia="仿宋_GB2312" w:cs="Arial"/>
          <w:color w:val="000000" w:themeColor="text1"/>
          <w:kern w:val="0"/>
          <w:sz w:val="24"/>
          <w:highlight w:val="none"/>
          <w14:textFill>
            <w14:solidFill>
              <w14:schemeClr w14:val="tx1"/>
            </w14:solidFill>
          </w14:textFill>
        </w:rPr>
        <w:t>文件中规定的评标方法和标准，对符合性审查合格的</w:t>
      </w:r>
      <w:r>
        <w:rPr>
          <w:rFonts w:hint="eastAsia" w:ascii="仿宋_GB2312" w:hAnsi="仿宋" w:eastAsia="仿宋_GB2312" w:cs="Arial"/>
          <w:color w:val="000000" w:themeColor="text1"/>
          <w:kern w:val="0"/>
          <w:sz w:val="24"/>
          <w:highlight w:val="none"/>
          <w:lang w:eastAsia="zh-CN"/>
          <w14:textFill>
            <w14:solidFill>
              <w14:schemeClr w14:val="tx1"/>
            </w14:solidFill>
          </w14:textFill>
        </w:rPr>
        <w:t>响应</w:t>
      </w:r>
      <w:r>
        <w:rPr>
          <w:rFonts w:ascii="仿宋_GB2312" w:hAnsi="仿宋" w:eastAsia="仿宋_GB2312" w:cs="Arial"/>
          <w:color w:val="000000" w:themeColor="text1"/>
          <w:kern w:val="0"/>
          <w:sz w:val="24"/>
          <w:highlight w:val="none"/>
          <w14:textFill>
            <w14:solidFill>
              <w14:schemeClr w14:val="tx1"/>
            </w14:solidFill>
          </w14:textFill>
        </w:rPr>
        <w:t>文件进行商务和技术评估，综合比较与评价。</w:t>
      </w:r>
    </w:p>
    <w:p>
      <w:pPr>
        <w:pStyle w:val="2"/>
        <w:numPr>
          <w:ilvl w:val="0"/>
          <w:numId w:val="0"/>
        </w:numPr>
        <w:ind w:leftChars="0" w:firstLine="482" w:firstLineChars="200"/>
        <w:rPr>
          <w:rFonts w:hint="eastAsia"/>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w:t>
      </w:r>
      <w:r>
        <w:rPr>
          <w:rFonts w:hint="eastAsia" w:cs="Arial"/>
          <w:color w:val="000000" w:themeColor="text1"/>
          <w:kern w:val="0"/>
          <w:sz w:val="24"/>
          <w:highlight w:val="none"/>
          <w:lang w:eastAsia="zh-CN"/>
          <w14:textFill>
            <w14:solidFill>
              <w14:schemeClr w14:val="tx1"/>
            </w14:solidFill>
          </w14:textFill>
        </w:rPr>
        <w:t>响应供应商</w:t>
      </w:r>
      <w:r>
        <w:rPr>
          <w:rFonts w:hint="eastAsia" w:ascii="仿宋_GB2312" w:hAnsi="仿宋" w:eastAsia="仿宋_GB2312" w:cs="Arial"/>
          <w:color w:val="000000" w:themeColor="text1"/>
          <w:kern w:val="0"/>
          <w:sz w:val="24"/>
          <w:highlight w:val="none"/>
          <w14:textFill>
            <w14:solidFill>
              <w14:schemeClr w14:val="tx1"/>
            </w14:solidFill>
          </w14:textFill>
        </w:rPr>
        <w:t>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18"/>
        <w:spacing w:before="0"/>
        <w:ind w:firstLine="508" w:firstLineChars="212"/>
        <w:rPr>
          <w:rFonts w:hint="eastAsia" w:ascii="仿宋_GB2312" w:hAnsi="仿宋_GB2312" w:eastAsia="仿宋_GB2312" w:cs="仿宋_GB2312"/>
          <w:color w:val="000000" w:themeColor="text1"/>
          <w:kern w:val="0"/>
          <w:highlight w:val="none"/>
          <w14:textFill>
            <w14:solidFill>
              <w14:schemeClr w14:val="tx1"/>
            </w14:solidFill>
          </w14:textFill>
        </w:rPr>
      </w:pPr>
      <w:r>
        <w:rPr>
          <w:rFonts w:hint="eastAsia" w:ascii="仿宋_GB2312" w:hAnsi="仿宋_GB2312" w:eastAsia="仿宋_GB2312" w:cs="仿宋_GB2312"/>
          <w:color w:val="000000" w:themeColor="text1"/>
          <w:kern w:val="0"/>
          <w:highlight w:val="none"/>
          <w14:textFill>
            <w14:solidFill>
              <w14:schemeClr w14:val="tx1"/>
            </w14:solidFill>
          </w14:textFill>
        </w:rPr>
        <w:t>3.4.1投标文件报价出现前后不一致的，按照下列规定修正：</w:t>
      </w:r>
    </w:p>
    <w:p>
      <w:pPr>
        <w:pStyle w:val="18"/>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8"/>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3.4.1.2大写金额和小写金额不一致的，以大写金额为准;</w:t>
      </w:r>
    </w:p>
    <w:p>
      <w:pPr>
        <w:pStyle w:val="18"/>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8"/>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3.4.1.4总价金额与按单价汇总金额不一致的，以单价金额计算结果为准。</w:t>
      </w:r>
    </w:p>
    <w:p>
      <w:pPr>
        <w:pStyle w:val="18"/>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3.4.3投标报价超过招标文件中规定的预算金额或者最高限价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、最高限制单价</w:t>
      </w:r>
      <w:r>
        <w:rPr>
          <w:rFonts w:hint="eastAsia" w:ascii="仿宋_GB2312" w:hAnsi="仿宋_GB2312" w:eastAsia="仿宋_GB2312" w:cs="仿宋_GB2312"/>
          <w:color w:val="000000" w:themeColor="text1"/>
          <w:kern w:val="0"/>
          <w:sz w:val="24"/>
          <w:highlight w:val="none"/>
          <w14:textFill>
            <w14:solidFill>
              <w14:schemeClr w14:val="tx1"/>
            </w14:solidFill>
          </w14:textFill>
        </w:rPr>
        <w:t>的，投标无效。</w:t>
      </w:r>
    </w:p>
    <w:p>
      <w:pPr>
        <w:pStyle w:val="18"/>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3.4.4</w:t>
      </w:r>
      <w:r>
        <w:rPr>
          <w:rFonts w:hint="eastAsia" w:ascii="仿宋_GB2312" w:hAnsi="仿宋_GB2312" w:eastAsia="仿宋_GB2312" w:cs="仿宋_GB2312"/>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8"/>
        <w:spacing w:before="0"/>
        <w:ind w:firstLine="480"/>
        <w:rPr>
          <w:rFonts w:hint="eastAsia" w:ascii="仿宋_GB2312" w:hAnsi="仿宋_GB2312" w:eastAsia="仿宋_GB2312" w:cs="仿宋_GB2312"/>
          <w:color w:val="000000" w:themeColor="text1"/>
          <w:kern w:val="0"/>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r>
        <w:rPr>
          <w:rFonts w:hint="eastAsia" w:ascii="仿宋_GB2312" w:hAnsi="仿宋_GB2312" w:eastAsia="仿宋_GB2312" w:cs="仿宋_GB2312"/>
          <w:color w:val="000000" w:themeColor="text1"/>
          <w:kern w:val="0"/>
          <w:szCs w:val="24"/>
          <w:highlight w:val="none"/>
          <w:lang w:eastAsia="zh-CN"/>
          <w14:textFill>
            <w14:solidFill>
              <w14:schemeClr w14:val="tx1"/>
            </w14:solidFill>
          </w14:textFill>
        </w:rPr>
        <w:t>（本项目不实行价格扣除）</w:t>
      </w:r>
    </w:p>
    <w:p>
      <w:pPr>
        <w:spacing w:line="360" w:lineRule="auto"/>
        <w:ind w:left="0" w:leftChars="0" w:firstLine="482" w:firstLineChars="200"/>
        <w:rPr>
          <w:rFonts w:hint="eastAsia"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w:t>
      </w:r>
      <w:r>
        <w:rPr>
          <w:rFonts w:hint="eastAsia" w:ascii="仿宋_GB2312" w:hAnsi="仿宋" w:eastAsia="仿宋_GB2312" w:cs="Arial"/>
          <w:b/>
          <w:color w:val="000000" w:themeColor="text1"/>
          <w:kern w:val="0"/>
          <w:sz w:val="24"/>
          <w:highlight w:val="none"/>
          <w:lang w:eastAsia="zh-CN"/>
          <w14:textFill>
            <w14:solidFill>
              <w14:schemeClr w14:val="tx1"/>
            </w14:solidFill>
          </w14:textFill>
        </w:rPr>
        <w:t>入围</w:t>
      </w:r>
      <w:r>
        <w:rPr>
          <w:rFonts w:hint="eastAsia" w:ascii="仿宋_GB2312" w:hAnsi="仿宋" w:eastAsia="仿宋_GB2312" w:cs="Arial"/>
          <w:b/>
          <w:color w:val="000000" w:themeColor="text1"/>
          <w:kern w:val="0"/>
          <w:sz w:val="24"/>
          <w:highlight w:val="none"/>
          <w14:textFill>
            <w14:solidFill>
              <w14:schemeClr w14:val="tx1"/>
            </w14:solidFill>
          </w14:textFill>
        </w:rPr>
        <w:t>。</w:t>
      </w:r>
      <w:r>
        <w:rPr>
          <w:rFonts w:hint="eastAsia" w:ascii="仿宋_GB2312" w:hAnsi="仿宋" w:eastAsia="仿宋_GB2312" w:cs="Arial"/>
          <w:b/>
          <w:color w:val="000000" w:themeColor="text1"/>
          <w:kern w:val="0"/>
          <w:sz w:val="24"/>
          <w:highlight w:val="none"/>
          <w:lang w:val="en-US" w:eastAsia="zh-CN"/>
          <w14:textFill>
            <w14:solidFill>
              <w14:schemeClr w14:val="tx1"/>
            </w14:solidFill>
          </w14:textFill>
        </w:rPr>
        <w:t>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pPr>
        <w:spacing w:line="360" w:lineRule="auto"/>
        <w:ind w:left="0" w:leftChars="0" w:firstLine="482" w:firstLineChars="200"/>
        <w:rPr>
          <w:rFonts w:hint="default" w:ascii="仿宋_GB2312" w:hAnsi="仿宋" w:eastAsia="仿宋_GB2312" w:cs="Arial"/>
          <w:b/>
          <w:bCs w:val="0"/>
          <w:color w:val="000000" w:themeColor="text1"/>
          <w:kern w:val="0"/>
          <w:sz w:val="24"/>
          <w:highlight w:val="none"/>
          <w:lang w:val="en-US" w:eastAsia="zh-CN"/>
          <w14:textFill>
            <w14:solidFill>
              <w14:schemeClr w14:val="tx1"/>
            </w14:solidFill>
          </w14:textFill>
        </w:rPr>
      </w:pPr>
      <w:r>
        <w:rPr>
          <w:rFonts w:hint="eastAsia" w:ascii="仿宋_GB2312" w:hAnsi="仿宋" w:eastAsia="仿宋_GB2312" w:cs="Arial"/>
          <w:b/>
          <w:bCs w:val="0"/>
          <w:color w:val="000000" w:themeColor="text1"/>
          <w:kern w:val="0"/>
          <w:sz w:val="24"/>
          <w:highlight w:val="none"/>
          <w:lang w:val="en-US" w:eastAsia="zh-CN"/>
          <w14:textFill>
            <w14:solidFill>
              <w14:schemeClr w14:val="tx1"/>
            </w14:solidFill>
          </w14:textFill>
        </w:rPr>
        <w:t>评标委员会根据排序从后往前按比例淘汰单位（淘汰比例为进入排序单位数量的20%，且至少淘汰一家供应商，向上取整数），淘汰后剩余单位多于8家，按照排序先后选择8家单位。征集供应商数量：最多8家。</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18"/>
        <w:pageBreakBefore w:val="0"/>
        <w:widowControl w:val="0"/>
        <w:kinsoku/>
        <w:wordWrap/>
        <w:overflowPunct/>
        <w:topLinePunct w:val="0"/>
        <w:autoSpaceDE/>
        <w:autoSpaceDN/>
        <w:bidi w:val="0"/>
        <w:spacing w:before="0" w:line="360" w:lineRule="auto"/>
        <w:ind w:firstLine="472" w:firstLineChars="196"/>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4.1</w:t>
      </w:r>
      <w:r>
        <w:rPr>
          <w:rFonts w:hint="eastAsia" w:ascii="仿宋_GB2312" w:hAnsi="仿宋" w:eastAsia="仿宋_GB2312" w:cs="Arial"/>
          <w:b/>
          <w:color w:val="000000" w:themeColor="text1"/>
          <w:kern w:val="0"/>
          <w:sz w:val="24"/>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pageBreakBefore w:val="0"/>
        <w:widowControl w:val="0"/>
        <w:kinsoku/>
        <w:wordWrap/>
        <w:overflowPunct/>
        <w:topLinePunct w:val="0"/>
        <w:autoSpaceDE/>
        <w:autoSpaceDN/>
        <w:bidi w:val="0"/>
        <w:spacing w:line="360" w:lineRule="auto"/>
        <w:ind w:left="954" w:leftChars="226" w:hanging="479" w:firstLineChars="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4.2投标无效。</w:t>
      </w:r>
      <w:r>
        <w:rPr>
          <w:rFonts w:hint="eastAsia" w:ascii="仿宋_GB2312" w:hAnsi="仿宋" w:eastAsia="仿宋_GB2312" w:cs="仿宋_GB2312"/>
          <w:color w:val="000000" w:themeColor="text1"/>
          <w:sz w:val="24"/>
          <w:szCs w:val="24"/>
          <w:highlight w:val="none"/>
          <w14:textFill>
            <w14:solidFill>
              <w14:schemeClr w14:val="tx1"/>
            </w14:solidFill>
          </w14:textFill>
        </w:rPr>
        <w:t>有下列情况之一的，投标无效：</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4.2.2投标文件未按照招标文件要求签署、盖章的；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szCs w:val="24"/>
          <w:highlight w:val="none"/>
          <w14:textFill>
            <w14:solidFill>
              <w14:schemeClr w14:val="tx1"/>
            </w14:solidFill>
          </w14:textFill>
        </w:rPr>
        <w:t>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4.2.4投标文件含有采购人不能接受的附加条件的；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60" w:lineRule="auto"/>
        <w:ind w:firstLine="120" w:firstLineChars="50"/>
        <w:jc w:val="left"/>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szCs w:val="24"/>
          <w:highlight w:val="none"/>
          <w14:textFill>
            <w14:solidFill>
              <w14:schemeClr w14:val="tx1"/>
            </w14:solidFill>
          </w14:textFill>
        </w:rPr>
        <w:t xml:space="preserve"> </w:t>
      </w:r>
      <w:r>
        <w:rPr>
          <w:rFonts w:ascii="仿宋_GB2312" w:hAnsi="仿宋" w:eastAsia="仿宋_GB2312" w:cs="Arial"/>
          <w:color w:val="000000" w:themeColor="text1"/>
          <w:kern w:val="0"/>
          <w:sz w:val="24"/>
          <w:szCs w:val="24"/>
          <w:highlight w:val="none"/>
          <w14:textFill>
            <w14:solidFill>
              <w14:schemeClr w14:val="tx1"/>
            </w14:solidFill>
          </w14:textFill>
        </w:rPr>
        <w:t>4.2.6投标文件出现不是唯一的、有选择性投标报价的;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4.2.9投标人对根据修正原则修正后的报价不确认的；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4.2.10投标人提供虚假材料投标的；</w:t>
      </w:r>
    </w:p>
    <w:p>
      <w:pPr>
        <w:pageBreakBefore w:val="0"/>
        <w:widowControl w:val="0"/>
        <w:kinsoku/>
        <w:wordWrap/>
        <w:overflowPunct/>
        <w:topLinePunct w:val="0"/>
        <w:autoSpaceDE/>
        <w:autoSpaceDN/>
        <w:bidi w:val="0"/>
        <w:spacing w:line="360" w:lineRule="auto"/>
        <w:ind w:firstLine="240" w:firstLineChars="1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Style w:val="2"/>
        <w:pageBreakBefore w:val="0"/>
        <w:widowControl w:val="0"/>
        <w:numPr>
          <w:ilvl w:val="0"/>
          <w:numId w:val="0"/>
        </w:numPr>
        <w:kinsoku/>
        <w:wordWrap/>
        <w:overflowPunct/>
        <w:topLinePunct w:val="0"/>
        <w:autoSpaceDE/>
        <w:autoSpaceDN/>
        <w:bidi w:val="0"/>
        <w:spacing w:line="360" w:lineRule="auto"/>
        <w:ind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Style w:val="8"/>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Style w:val="8"/>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Style w:val="8"/>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Style w:val="8"/>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Style w:val="8"/>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Style w:val="8"/>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Style w:val="8"/>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Style w:val="8"/>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Style w:val="8"/>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8"/>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Style w:val="8"/>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p>
    <w:p>
      <w:pPr>
        <w:pStyle w:val="9"/>
        <w:numPr>
          <w:ilvl w:val="0"/>
          <w:numId w:val="0"/>
        </w:numPr>
        <w:tabs>
          <w:tab w:val="left" w:pos="840"/>
        </w:tabs>
        <w:spacing w:line="360" w:lineRule="auto"/>
        <w:jc w:val="both"/>
        <w:rPr>
          <w:rFonts w:hint="eastAsia" w:ascii="仿宋_GB2312" w:hAnsi="仿宋" w:eastAsia="仿宋_GB2312" w:cs="仿宋_GB2312"/>
          <w:b/>
          <w:bCs/>
          <w:sz w:val="32"/>
          <w:szCs w:val="32"/>
          <w:lang w:eastAsia="zh-CN"/>
        </w:rPr>
      </w:pPr>
    </w:p>
    <w:p>
      <w:pPr>
        <w:pStyle w:val="9"/>
        <w:numPr>
          <w:ilvl w:val="0"/>
          <w:numId w:val="0"/>
        </w:numPr>
        <w:tabs>
          <w:tab w:val="left" w:pos="840"/>
        </w:tabs>
        <w:spacing w:line="360" w:lineRule="auto"/>
        <w:jc w:val="center"/>
        <w:rPr>
          <w:rFonts w:hint="eastAsia" w:ascii="仿宋_GB2312" w:hAnsi="仿宋" w:eastAsia="仿宋_GB2312" w:cs="仿宋_GB2312"/>
          <w:b/>
          <w:bCs/>
          <w:sz w:val="32"/>
          <w:szCs w:val="32"/>
          <w:lang w:eastAsia="zh-CN"/>
        </w:rPr>
      </w:pPr>
    </w:p>
    <w:p>
      <w:pPr>
        <w:pStyle w:val="9"/>
        <w:numPr>
          <w:ilvl w:val="0"/>
          <w:numId w:val="0"/>
        </w:numPr>
        <w:tabs>
          <w:tab w:val="left" w:pos="840"/>
        </w:tabs>
        <w:spacing w:line="360" w:lineRule="auto"/>
        <w:jc w:val="center"/>
        <w:rPr>
          <w:rFonts w:hint="eastAsia" w:ascii="仿宋_GB2312" w:hAnsi="仿宋" w:eastAsia="仿宋_GB2312" w:cs="仿宋_GB2312"/>
          <w:b/>
          <w:bCs/>
          <w:sz w:val="32"/>
          <w:szCs w:val="32"/>
          <w:lang w:eastAsia="zh-CN"/>
        </w:rPr>
      </w:pPr>
    </w:p>
    <w:p>
      <w:pPr>
        <w:pStyle w:val="9"/>
        <w:numPr>
          <w:ilvl w:val="0"/>
          <w:numId w:val="0"/>
        </w:numPr>
        <w:tabs>
          <w:tab w:val="left" w:pos="840"/>
        </w:tabs>
        <w:spacing w:line="360" w:lineRule="auto"/>
        <w:jc w:val="center"/>
        <w:rPr>
          <w:rFonts w:hint="eastAsia" w:ascii="仿宋_GB2312" w:hAnsi="仿宋" w:eastAsia="仿宋_GB2312" w:cs="仿宋_GB2312"/>
          <w:b/>
          <w:bCs/>
          <w:sz w:val="32"/>
          <w:szCs w:val="32"/>
          <w:lang w:eastAsia="zh-CN"/>
        </w:rPr>
      </w:pPr>
    </w:p>
    <w:p>
      <w:pPr>
        <w:pStyle w:val="9"/>
        <w:numPr>
          <w:ilvl w:val="0"/>
          <w:numId w:val="0"/>
        </w:numPr>
        <w:tabs>
          <w:tab w:val="left" w:pos="840"/>
        </w:tabs>
        <w:spacing w:line="360" w:lineRule="auto"/>
        <w:jc w:val="center"/>
        <w:rPr>
          <w:rFonts w:hint="eastAsia" w:ascii="仿宋_GB2312" w:hAnsi="仿宋" w:eastAsia="仿宋_GB2312" w:cs="仿宋_GB2312"/>
          <w:b/>
          <w:bCs/>
          <w:sz w:val="32"/>
          <w:szCs w:val="32"/>
          <w:lang w:eastAsia="zh-CN"/>
        </w:rPr>
      </w:pPr>
    </w:p>
    <w:p>
      <w:pPr>
        <w:pStyle w:val="9"/>
        <w:numPr>
          <w:ilvl w:val="0"/>
          <w:numId w:val="0"/>
        </w:numPr>
        <w:tabs>
          <w:tab w:val="left" w:pos="840"/>
        </w:tabs>
        <w:spacing w:line="360" w:lineRule="auto"/>
        <w:jc w:val="both"/>
        <w:rPr>
          <w:rFonts w:hint="eastAsia" w:ascii="仿宋_GB2312" w:hAnsi="仿宋" w:eastAsia="仿宋_GB2312" w:cs="仿宋_GB2312"/>
          <w:b/>
          <w:bCs/>
          <w:sz w:val="36"/>
          <w:szCs w:val="36"/>
          <w:lang w:eastAsia="zh-CN"/>
        </w:rPr>
      </w:pPr>
    </w:p>
    <w:p>
      <w:pPr>
        <w:pStyle w:val="9"/>
        <w:numPr>
          <w:ilvl w:val="0"/>
          <w:numId w:val="0"/>
        </w:numPr>
        <w:tabs>
          <w:tab w:val="left" w:pos="840"/>
        </w:tabs>
        <w:spacing w:line="360" w:lineRule="auto"/>
        <w:jc w:val="center"/>
        <w:rPr>
          <w:rFonts w:hint="eastAsia" w:ascii="仿宋_GB2312" w:hAnsi="仿宋" w:eastAsia="仿宋_GB2312" w:cs="仿宋_GB2312"/>
          <w:b/>
          <w:bCs/>
          <w:sz w:val="36"/>
          <w:szCs w:val="36"/>
        </w:rPr>
      </w:pPr>
      <w:r>
        <w:rPr>
          <w:rFonts w:hint="eastAsia" w:ascii="仿宋_GB2312" w:hAnsi="仿宋" w:eastAsia="仿宋_GB2312" w:cs="仿宋_GB2312"/>
          <w:b/>
          <w:bCs/>
          <w:sz w:val="36"/>
          <w:szCs w:val="36"/>
          <w:lang w:eastAsia="zh-CN"/>
        </w:rPr>
        <w:t>第五部分</w:t>
      </w:r>
      <w:r>
        <w:rPr>
          <w:rFonts w:hint="eastAsia" w:ascii="仿宋_GB2312" w:hAnsi="仿宋" w:eastAsia="仿宋_GB2312" w:cs="仿宋_GB2312"/>
          <w:b/>
          <w:bCs/>
          <w:sz w:val="36"/>
          <w:szCs w:val="36"/>
        </w:rPr>
        <w:t xml:space="preserve"> 拟签订的合同文本</w:t>
      </w:r>
    </w:p>
    <w:p>
      <w:pPr>
        <w:pStyle w:val="9"/>
        <w:numPr>
          <w:ilvl w:val="0"/>
          <w:numId w:val="0"/>
        </w:numPr>
        <w:tabs>
          <w:tab w:val="left" w:pos="840"/>
        </w:tabs>
        <w:spacing w:line="360" w:lineRule="auto"/>
        <w:jc w:val="center"/>
        <w:rPr>
          <w:rFonts w:hint="eastAsia" w:ascii="仿宋_GB2312" w:hAnsi="仿宋" w:eastAsia="仿宋_GB2312" w:cs="Helvetica"/>
          <w:kern w:val="0"/>
          <w:sz w:val="40"/>
          <w:szCs w:val="40"/>
          <w:lang w:val="en-US" w:eastAsia="zh-CN"/>
        </w:rPr>
      </w:pPr>
      <w:r>
        <w:rPr>
          <w:rFonts w:hint="eastAsia" w:ascii="仿宋_GB2312" w:hAnsi="仿宋" w:eastAsia="仿宋_GB2312" w:cs="Helvetica"/>
          <w:kern w:val="0"/>
          <w:sz w:val="40"/>
          <w:szCs w:val="40"/>
          <w:lang w:val="en-US" w:eastAsia="zh-CN"/>
        </w:rPr>
        <w:t>拟签订的框架协议文本</w:t>
      </w:r>
    </w:p>
    <w:p>
      <w:pPr>
        <w:pStyle w:val="9"/>
        <w:tabs>
          <w:tab w:val="left" w:pos="840"/>
        </w:tabs>
        <w:spacing w:line="360" w:lineRule="auto"/>
        <w:jc w:val="center"/>
        <w:rPr>
          <w:rFonts w:hint="eastAsia" w:ascii="仿宋_GB2312" w:hAnsi="仿宋" w:eastAsia="仿宋_GB2312" w:cs="Helvetica"/>
          <w:kern w:val="0"/>
          <w:sz w:val="32"/>
          <w:szCs w:val="32"/>
          <w:lang w:val="en-US" w:eastAsia="zh-CN"/>
        </w:rPr>
      </w:pPr>
      <w:r>
        <w:rPr>
          <w:rFonts w:hint="eastAsia" w:ascii="仿宋_GB2312" w:hAnsi="仿宋" w:eastAsia="仿宋_GB2312" w:cs="Helvetica"/>
          <w:kern w:val="0"/>
          <w:sz w:val="32"/>
          <w:szCs w:val="32"/>
          <w:lang w:val="en-US" w:eastAsia="zh-CN"/>
        </w:rPr>
        <w:t>协审咨询服务框架协议</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 xml:space="preserve">甲方（采购人）：                   </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 xml:space="preserve">乙方（入围单位）：                                           </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经过公开征集，确定乙方为 杭州市临安区审计局 （单位） 的                       项目入围单位，为明确双方权利义务，经协商一致，签订本协议书。</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一、收费标准：</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方式一：外聘造价人员加入审计组协助开展业务，按照《浙江省审计厅关于印发聘请外部专业技术人员参与审计工作管理办法的通知》（浙审办〔2020〕33号）第二十七条计费，以标准的</w:t>
      </w:r>
      <w:r>
        <w:rPr>
          <w:rFonts w:hint="eastAsia" w:ascii="仿宋_GB2312" w:hAnsi="仿宋" w:eastAsia="仿宋_GB2312" w:cs="Helvetica"/>
          <w:kern w:val="0"/>
          <w:sz w:val="24"/>
          <w:szCs w:val="24"/>
          <w:u w:val="single"/>
          <w:lang w:val="en-US" w:eastAsia="zh-CN"/>
        </w:rPr>
        <w:t xml:space="preserve">    </w:t>
      </w:r>
      <w:r>
        <w:rPr>
          <w:rFonts w:hint="eastAsia" w:ascii="仿宋_GB2312" w:hAnsi="仿宋" w:eastAsia="仿宋_GB2312" w:cs="Helvetica"/>
          <w:kern w:val="0"/>
          <w:sz w:val="24"/>
          <w:szCs w:val="24"/>
          <w:lang w:val="en-US" w:eastAsia="zh-CN"/>
        </w:rPr>
        <w:t>进行计费；</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方式二：以单位名义出具成果报告的，按照《浙江省物价局关于进一步完善工程造价咨询服务收费的通知》（浙价服〔2009〕84号）计费，以标准的</w:t>
      </w:r>
      <w:r>
        <w:rPr>
          <w:rFonts w:hint="eastAsia" w:ascii="仿宋_GB2312" w:hAnsi="仿宋" w:eastAsia="仿宋_GB2312" w:cs="Helvetica"/>
          <w:kern w:val="0"/>
          <w:sz w:val="24"/>
          <w:szCs w:val="24"/>
          <w:u w:val="single"/>
          <w:lang w:val="en-US" w:eastAsia="zh-CN"/>
        </w:rPr>
        <w:t xml:space="preserve">    </w:t>
      </w:r>
      <w:r>
        <w:rPr>
          <w:rFonts w:hint="eastAsia" w:ascii="仿宋_GB2312" w:hAnsi="仿宋" w:eastAsia="仿宋_GB2312" w:cs="Helvetica"/>
          <w:kern w:val="0"/>
          <w:sz w:val="24"/>
          <w:szCs w:val="24"/>
          <w:lang w:val="en-US" w:eastAsia="zh-CN"/>
        </w:rPr>
        <w:t>进行计费。</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标准附后。</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二、服务内容</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协助甲方开展政府投资项目领域相关审计业务，如专项审计调查、跟踪审计等。</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 xml:space="preserve">三、服务标准                                                                       </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按照审计行业规范要求及甲方制定的考核标准履行协审职责，在现场审计实施阶段完成交办任务并提交相应成果。</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四、框架协议期限</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本协议期限2年。从2022年5月  日至2024年5月  日止。</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 xml:space="preserve">五、甲方的权利和义务 </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 xml:space="preserve">1、负责选定第二阶段成交供应商。 </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 xml:space="preserve">2、负责对入围单位进行考核。根据项目审核情况对入围单位进行考核，按考核排名、项目特征、专业需求择优选择项目安排，并对连续考核较差单位进行清退。 </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 xml:space="preserve">3、 负责对乙方及其派出人员完成的审计事项及工作结果进行审核验收评价。 </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4、有权要求乙方派出投标书所列人员，并要求乙方及其派出人员协助配合审计终结阶段相关工作。</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5、若乙方未按要求派出投标书中项目负责人及项目组成员或未经甲方同意更换人员，甲方有权在协审业务分配中进行合理调整，取消乙方当轮业务资格及下一轮业务安排资格。</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6、根据乙方的有关要求，协调处理项目实施中的相关事宜。</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7、其他应该由甲方履行的义务和承担的责任。</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六、乙方的权利和义务</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1.乙方可以要求甲方提供与委托内容有关的资料。</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2.乙方可以要求甲方对有关问题作出解释和补充有关资料。</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3.乙方在审计服务过程中应遵守审核纪律、规范审计行为，严格按照审计行业规范要求开展工作。</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4.乙方应严格按照甲方的有关规定和要求实施审计服务，接受甲方的监督，并按期完成服务任务，并确保结果真实、合法和准确</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5.在合同履行期间，乙方应按甲方要求开展工作，在工作中遵循公平、公正、公开、合法、独立的原则，认真、细致、周到的进行服务。</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6.审计相关资料移交给乙方后，乙方有义务对所有资料进行妥善保管，确保审计结束后完整移交送审资料。乙方及其派出人员不得使用甲方委托事项的资料和结果，用于与委托事项无关的目的。</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7.入围供应商无正当理由，不得主动放弃入围资格或者退出框架协议。</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8.乙方有义务在本单位中选派投标书中所列的项目组成员（必须要有项目负责人带队）参与服务工作，在本协议履行期间不得自行更换服务人员。</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9.乙方对其出具的成果报告真实性、合法性负责。</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 xml:space="preserve">七、入围供应商的清退和补充规则 </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1、清退规则：在下列情形下甲方有权清退入围供应商，而不需要承担任何责任：</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1）入围供应商实质性违反本协议约定的；</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2）入围供应商有违反合同约定或其职责、义务的行为，在采购人指定期限内未予以纠正或补救的；</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3）入围供应商资质吊销或注销的；</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4）入围供应商未严格执行保密制度，泄漏委托方的秘密或与第三方串通损害采购人利益的；由此造成的经济损失，入围方应予赔偿；存在违法违规行为的，由相关部门进行处理；</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5）采购人针对项目服务时限、质量有权提出要求并进行考核，由于入围供应商原因，项目服务时限超出委托时限或质量不合格导致考核结果不合格的；</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6）入围供应商与项目相关单位或个人私下交易，接受财物、吃请等违纪行为经查实的；存在违法违规行为的，由相关部门进行处理；</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7）入围供应商在审计过程中将审计资料丢失的；由此造成的经济损失，入围供应商应予赔偿；存在违法违规行为的，由相关部门进行处理；</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8）在入围供应商违约情形下，采购人有权对本项目合同进行必要的变更。 因入围供应商违约导致合同解除的，入围供应商应按本项目正常计算酬金的 20%支付违约金。</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9）入围供应商提供服务时，需按委托人要求时限完成，无正当理由，未按时完成的将解除合同。</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10）执行纠错机制，即因审计结果存在较大争议，相关单位提出投诉，并确认入围供应商为责任方的，采购人有权终止合同。</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11）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12）如遇到政策变化或者其他不可抗力因素，本协议自动解除。</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13）本协议有效期 2年，到期后自动终止。</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2、补充规则：如出现剩余入围供应商不足入围供应商总数 70%且影响框架协议执行的情形，可以按照原方式继续征集。其余情况框架协议有效期内，不再补充征集供应商。</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八、争议解决方式</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本协议履行过程中发生的任何争议，双方当事人均可通过和解或者调解解决；不愿和解、调解或者和解、调解不成的，可以选择下列第       种方式解决：</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1.将争议提交  杭州市  仲裁委员会依申请仲裁时其现行有效的仲裁规则裁决；</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2.向   （合同履行地）  人民法院起诉。</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九、其他事项</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1、本协议未尽的事宜，均遵照国家有关法律、法规，双方另行协商议定补充条款。</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2、本协议一式三份，甲方二份、乙方一份，具有同等法律效力。</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3、本协议经甲方、乙方法定代表人或其授权代表签字并加盖双方公章后生效。</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甲方（盖章）：                          乙方（盖章）：</w:t>
      </w:r>
    </w:p>
    <w:p>
      <w:pPr>
        <w:pStyle w:val="9"/>
        <w:tabs>
          <w:tab w:val="left" w:pos="840"/>
        </w:tabs>
        <w:spacing w:line="360" w:lineRule="auto"/>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法人代表或授权代表（签字）：          法人代表或授权代表（签字）：</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联系电话：                             联系电话：</w:t>
      </w:r>
    </w:p>
    <w:p>
      <w:pPr>
        <w:pStyle w:val="9"/>
        <w:tabs>
          <w:tab w:val="left" w:pos="840"/>
        </w:tabs>
        <w:spacing w:line="360" w:lineRule="auto"/>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签订日期：     年   月   日           签订日期：     年   月   日</w:t>
      </w: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p>
    <w:p>
      <w:pPr>
        <w:pStyle w:val="9"/>
        <w:tabs>
          <w:tab w:val="left" w:pos="840"/>
        </w:tabs>
        <w:spacing w:line="360" w:lineRule="auto"/>
        <w:ind w:firstLine="480" w:firstLineChars="200"/>
        <w:rPr>
          <w:rFonts w:hint="eastAsia" w:ascii="仿宋_GB2312" w:hAnsi="仿宋" w:eastAsia="仿宋_GB2312" w:cs="Helvetica"/>
          <w:kern w:val="0"/>
          <w:sz w:val="24"/>
          <w:szCs w:val="24"/>
          <w:lang w:val="en-US" w:eastAsia="zh-CN"/>
        </w:rPr>
      </w:pPr>
    </w:p>
    <w:p>
      <w:pPr>
        <w:pStyle w:val="9"/>
        <w:tabs>
          <w:tab w:val="left" w:pos="840"/>
        </w:tabs>
        <w:spacing w:line="360" w:lineRule="auto"/>
        <w:rPr>
          <w:rFonts w:hint="eastAsia" w:ascii="仿宋_GB2312" w:hAnsi="仿宋" w:eastAsia="仿宋_GB2312" w:cs="Helvetica"/>
          <w:kern w:val="0"/>
          <w:sz w:val="24"/>
          <w:szCs w:val="24"/>
          <w:lang w:val="en-US" w:eastAsia="zh-CN"/>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2349" w:firstLineChars="650"/>
        <w:rPr>
          <w:rFonts w:hint="eastAsia" w:ascii="仿宋" w:hAnsi="仿宋" w:eastAsia="仿宋" w:cs="仿宋_GB2312"/>
          <w:b/>
          <w:color w:val="000000" w:themeColor="text1"/>
          <w:sz w:val="36"/>
          <w:szCs w:val="20"/>
          <w14:textFill>
            <w14:solidFill>
              <w14:schemeClr w14:val="tx1"/>
            </w14:solidFill>
          </w14:textFill>
        </w:rPr>
      </w:pPr>
    </w:p>
    <w:p>
      <w:pPr>
        <w:spacing w:line="560" w:lineRule="exact"/>
        <w:ind w:firstLine="2349" w:firstLineChars="650"/>
        <w:rPr>
          <w:rFonts w:hint="eastAsia" w:ascii="仿宋" w:hAnsi="仿宋" w:eastAsia="仿宋" w:cs="仿宋_GB2312"/>
          <w:b/>
          <w:color w:val="000000" w:themeColor="text1"/>
          <w:sz w:val="36"/>
          <w:szCs w:val="20"/>
          <w14:textFill>
            <w14:solidFill>
              <w14:schemeClr w14:val="tx1"/>
            </w14:solidFill>
          </w14:textFill>
        </w:rPr>
      </w:pPr>
    </w:p>
    <w:p>
      <w:pPr>
        <w:spacing w:line="560" w:lineRule="exact"/>
        <w:ind w:firstLine="2349" w:firstLineChars="650"/>
        <w:rPr>
          <w:rFonts w:hint="eastAsia" w:ascii="仿宋" w:hAnsi="仿宋" w:eastAsia="仿宋" w:cs="仿宋_GB2312"/>
          <w:b/>
          <w:color w:val="000000" w:themeColor="text1"/>
          <w:sz w:val="36"/>
          <w:szCs w:val="20"/>
          <w14:textFill>
            <w14:solidFill>
              <w14:schemeClr w14:val="tx1"/>
            </w14:solidFill>
          </w14:textFill>
        </w:rPr>
      </w:pPr>
    </w:p>
    <w:p>
      <w:pPr>
        <w:spacing w:line="560" w:lineRule="exact"/>
        <w:ind w:firstLine="2349" w:firstLineChars="650"/>
        <w:rPr>
          <w:rFonts w:hint="eastAsia" w:ascii="仿宋" w:hAnsi="仿宋" w:eastAsia="仿宋" w:cs="仿宋_GB2312"/>
          <w:b/>
          <w:color w:val="000000" w:themeColor="text1"/>
          <w:sz w:val="36"/>
          <w:szCs w:val="20"/>
          <w14:textFill>
            <w14:solidFill>
              <w14:schemeClr w14:val="tx1"/>
            </w14:solidFill>
          </w14:textFill>
        </w:rPr>
      </w:pPr>
    </w:p>
    <w:p>
      <w:pPr>
        <w:spacing w:line="560" w:lineRule="exact"/>
        <w:ind w:firstLine="2349" w:firstLineChars="650"/>
        <w:rPr>
          <w:rFonts w:hint="eastAsia" w:ascii="仿宋" w:hAnsi="仿宋" w:eastAsia="仿宋" w:cs="仿宋_GB2312"/>
          <w:b/>
          <w:color w:val="000000" w:themeColor="text1"/>
          <w:sz w:val="36"/>
          <w:szCs w:val="20"/>
          <w14:textFill>
            <w14:solidFill>
              <w14:schemeClr w14:val="tx1"/>
            </w14:solidFill>
          </w14:textFill>
        </w:rPr>
      </w:pPr>
    </w:p>
    <w:p>
      <w:pPr>
        <w:spacing w:line="560" w:lineRule="exact"/>
        <w:ind w:firstLine="2349" w:firstLineChars="650"/>
        <w:rPr>
          <w:rFonts w:hint="eastAsia" w:ascii="仿宋" w:hAnsi="仿宋" w:eastAsia="仿宋" w:cs="仿宋_GB2312"/>
          <w:b/>
          <w:color w:val="000000" w:themeColor="text1"/>
          <w:sz w:val="36"/>
          <w:szCs w:val="20"/>
          <w14:textFill>
            <w14:solidFill>
              <w14:schemeClr w14:val="tx1"/>
            </w14:solidFill>
          </w14:textFill>
        </w:rPr>
      </w:pPr>
    </w:p>
    <w:p>
      <w:pPr>
        <w:spacing w:line="560" w:lineRule="exact"/>
        <w:ind w:firstLine="2349" w:firstLineChars="650"/>
        <w:rPr>
          <w:rFonts w:hint="eastAsia" w:ascii="仿宋" w:hAnsi="仿宋" w:eastAsia="仿宋" w:cs="仿宋_GB2312"/>
          <w:b/>
          <w:color w:val="000000" w:themeColor="text1"/>
          <w:sz w:val="36"/>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华文中宋" w:hAnsi="华文中宋" w:eastAsia="华文中宋"/>
        </w:rPr>
      </w:pPr>
      <w:r>
        <w:rPr>
          <w:rFonts w:hint="eastAsia" w:ascii="华文中宋" w:hAnsi="华文中宋" w:eastAsia="华文中宋"/>
          <w:b/>
          <w:spacing w:val="40"/>
          <w:sz w:val="36"/>
          <w:szCs w:val="36"/>
          <w:lang w:val="en-US" w:eastAsia="zh-CN"/>
        </w:rPr>
        <w:t>协审服务委托</w:t>
      </w:r>
      <w:r>
        <w:rPr>
          <w:rFonts w:hint="eastAsia" w:ascii="华文中宋" w:hAnsi="华文中宋" w:eastAsia="华文中宋"/>
          <w:b/>
          <w:spacing w:val="40"/>
          <w:sz w:val="36"/>
          <w:szCs w:val="36"/>
        </w:rPr>
        <w:t>合同</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ascii="华文中宋" w:hAnsi="华文中宋" w:eastAsia="华文中宋"/>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中宋" w:hAnsi="华文中宋" w:eastAsia="华文中宋"/>
          <w:sz w:val="24"/>
          <w:lang w:val="en-US" w:eastAsia="zh-CN"/>
        </w:rPr>
      </w:pPr>
      <w:r>
        <w:rPr>
          <w:rFonts w:hint="eastAsia" w:ascii="华文中宋" w:hAnsi="华文中宋" w:eastAsia="华文中宋"/>
          <w:b/>
          <w:bCs/>
          <w:sz w:val="28"/>
          <w:szCs w:val="28"/>
          <w:lang w:eastAsia="zh-CN"/>
        </w:rPr>
        <w:t>第一部分</w:t>
      </w:r>
      <w:r>
        <w:rPr>
          <w:rFonts w:hint="eastAsia" w:ascii="华文中宋" w:hAnsi="华文中宋" w:eastAsia="华文中宋"/>
          <w:b/>
          <w:bCs/>
          <w:sz w:val="28"/>
          <w:szCs w:val="28"/>
        </w:rPr>
        <w:t xml:space="preserve">  合同</w:t>
      </w:r>
      <w:r>
        <w:rPr>
          <w:rFonts w:hint="eastAsia" w:ascii="华文中宋" w:hAnsi="华文中宋" w:eastAsia="华文中宋"/>
          <w:b/>
          <w:bCs/>
          <w:sz w:val="28"/>
          <w:szCs w:val="28"/>
          <w:lang w:val="en-US" w:eastAsia="zh-CN"/>
        </w:rPr>
        <w:t>书</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u w:val="single"/>
          <w:lang w:val="en-US" w:eastAsia="zh-CN" w:bidi="ar-SA"/>
        </w:rPr>
        <w:t>杭州市临安区审计局</w:t>
      </w:r>
      <w:r>
        <w:rPr>
          <w:rFonts w:hint="eastAsia" w:ascii="仿宋_GB2312" w:hAnsi="仿宋" w:eastAsia="仿宋_GB2312" w:cs="Helvetica"/>
          <w:snapToGrid w:val="0"/>
          <w:kern w:val="0"/>
          <w:sz w:val="24"/>
          <w:szCs w:val="24"/>
          <w:lang w:val="en-US" w:eastAsia="zh-CN" w:bidi="ar-SA"/>
        </w:rPr>
        <w:t>（以下简称甲方）与</w:t>
      </w:r>
      <w:r>
        <w:rPr>
          <w:rFonts w:hint="eastAsia" w:ascii="仿宋_GB2312" w:hAnsi="仿宋" w:eastAsia="仿宋_GB2312" w:cs="Helvetica"/>
          <w:snapToGrid w:val="0"/>
          <w:kern w:val="0"/>
          <w:sz w:val="24"/>
          <w:szCs w:val="24"/>
          <w:u w:val="single"/>
          <w:lang w:val="en-US" w:eastAsia="zh-CN" w:bidi="ar-SA"/>
        </w:rPr>
        <w:t xml:space="preserve">                       </w:t>
      </w:r>
      <w:r>
        <w:rPr>
          <w:rFonts w:hint="eastAsia" w:ascii="仿宋_GB2312" w:hAnsi="仿宋" w:eastAsia="仿宋_GB2312" w:cs="Helvetica"/>
          <w:snapToGrid w:val="0"/>
          <w:kern w:val="0"/>
          <w:sz w:val="24"/>
          <w:szCs w:val="24"/>
          <w:lang w:val="en-US" w:eastAsia="zh-CN" w:bidi="ar-SA"/>
        </w:rPr>
        <w:t>（以下简称乙方）经过双方协调一致，签订本合同。</w:t>
      </w:r>
    </w:p>
    <w:p>
      <w:pPr>
        <w:numPr>
          <w:ilvl w:val="0"/>
          <w:numId w:val="0"/>
        </w:numPr>
        <w:spacing w:line="400" w:lineRule="exact"/>
        <w:ind w:left="570" w:leftChars="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一、甲方委托乙方为以下项目提供协审服务：</w:t>
      </w:r>
    </w:p>
    <w:p>
      <w:pPr>
        <w:numPr>
          <w:ilvl w:val="0"/>
          <w:numId w:val="0"/>
        </w:numPr>
        <w:spacing w:line="400" w:lineRule="exact"/>
        <w:ind w:firstLine="480" w:firstLineChars="200"/>
        <w:rPr>
          <w:rFonts w:hint="default" w:ascii="仿宋_GB2312" w:hAnsi="仿宋" w:eastAsia="仿宋_GB2312" w:cs="Helvetica"/>
          <w:snapToGrid w:val="0"/>
          <w:kern w:val="0"/>
          <w:sz w:val="24"/>
          <w:szCs w:val="24"/>
          <w:u w:val="single"/>
          <w:lang w:val="en-US" w:eastAsia="zh-CN" w:bidi="ar-SA"/>
        </w:rPr>
      </w:pPr>
      <w:r>
        <w:rPr>
          <w:rFonts w:hint="eastAsia" w:ascii="仿宋_GB2312" w:hAnsi="仿宋" w:eastAsia="仿宋_GB2312" w:cs="Helvetica"/>
          <w:snapToGrid w:val="0"/>
          <w:kern w:val="0"/>
          <w:sz w:val="24"/>
          <w:szCs w:val="24"/>
          <w:lang w:val="en-US" w:eastAsia="zh-CN" w:bidi="ar-SA"/>
        </w:rPr>
        <w:t>1. 项目名称：</w:t>
      </w:r>
      <w:r>
        <w:rPr>
          <w:rFonts w:hint="eastAsia" w:ascii="仿宋_GB2312" w:hAnsi="仿宋" w:eastAsia="仿宋_GB2312" w:cs="Helvetica"/>
          <w:snapToGrid w:val="0"/>
          <w:kern w:val="0"/>
          <w:sz w:val="24"/>
          <w:szCs w:val="24"/>
          <w:u w:val="single"/>
          <w:lang w:val="en-US" w:eastAsia="zh-CN" w:bidi="ar-SA"/>
        </w:rPr>
        <w:t xml:space="preserve">                                        </w:t>
      </w:r>
    </w:p>
    <w:p>
      <w:pPr>
        <w:numPr>
          <w:ilvl w:val="0"/>
          <w:numId w:val="0"/>
        </w:num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2. 服务类别：</w:t>
      </w:r>
      <w:r>
        <w:rPr>
          <w:rFonts w:hint="eastAsia" w:ascii="仿宋_GB2312" w:hAnsi="仿宋" w:eastAsia="仿宋_GB2312" w:cs="Helvetica"/>
          <w:snapToGrid w:val="0"/>
          <w:kern w:val="0"/>
          <w:sz w:val="24"/>
          <w:szCs w:val="24"/>
          <w:u w:val="single"/>
          <w:lang w:val="en-US" w:eastAsia="zh-CN" w:bidi="ar-SA"/>
        </w:rPr>
        <w:t>提供《合同专用条件》第四条所述的服务内容</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二、本合同的措词和用语与所属建设工程造价咨询合同条件及有关附件同义。</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三、合同组成部分：</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1. 本合同及其补充合同、变更协议；</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2. 中标通知书；</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3. 响应文件（含澄清或者说明文件）；</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4. 征集文件（含澄清或者修改文件）；</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5. 其他相关采购文件。</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四、乙方同意按照本合同的规定，承担本合同专用条件中议定范围内的协审业务。</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五、甲方同意按照本合同规定的期限、方式、币种、额度向乙方支付酬金。</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六、本协审服务委托合同自签订之日起生效，至协审服务工作完毕终结。因非乙方责任导致的项目延期，乙方不承担相应责任。</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七、本合同一式四份，具有同等法律效力。</w:t>
      </w:r>
    </w:p>
    <w:p>
      <w:pPr>
        <w:spacing w:line="400" w:lineRule="exact"/>
        <w:rPr>
          <w:rFonts w:hint="eastAsia" w:ascii="仿宋_GB2312" w:hAnsi="仿宋" w:eastAsia="仿宋_GB2312" w:cs="Helvetica"/>
          <w:snapToGrid w:val="0"/>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 xml:space="preserve">甲方：                                   乙方：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委托代理人：（签字）                     委托代理人：（签字）</w:t>
      </w:r>
    </w:p>
    <w:p>
      <w:pPr>
        <w:keepNext w:val="0"/>
        <w:keepLines w:val="0"/>
        <w:pageBreakBefore w:val="0"/>
        <w:widowControl w:val="0"/>
        <w:tabs>
          <w:tab w:val="left" w:pos="4410"/>
        </w:tabs>
        <w:kinsoku/>
        <w:wordWrap/>
        <w:overflowPunct/>
        <w:topLinePunct w:val="0"/>
        <w:autoSpaceDE/>
        <w:autoSpaceDN/>
        <w:bidi w:val="0"/>
        <w:adjustRightInd/>
        <w:snapToGrid/>
        <w:spacing w:line="560" w:lineRule="exact"/>
        <w:textAlignment w:val="auto"/>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 xml:space="preserve">住    所：                               住 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 xml:space="preserve">邮政编码：                               邮政编码：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 xml:space="preserve">电    话：                               电    话：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传    真：                               传    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年   月   日                           年   月   日</w:t>
      </w:r>
    </w:p>
    <w:p>
      <w:pPr>
        <w:spacing w:after="156" w:afterLines="50" w:line="400" w:lineRule="exact"/>
        <w:jc w:val="both"/>
        <w:rPr>
          <w:rFonts w:hint="eastAsia" w:ascii="华文中宋" w:hAnsi="华文中宋" w:eastAsia="华文中宋"/>
          <w:b/>
          <w:sz w:val="28"/>
          <w:szCs w:val="28"/>
        </w:rPr>
      </w:pPr>
    </w:p>
    <w:p>
      <w:pPr>
        <w:spacing w:after="156" w:afterLines="50" w:line="400" w:lineRule="exact"/>
        <w:jc w:val="center"/>
        <w:rPr>
          <w:rFonts w:hint="default" w:ascii="华文中宋" w:hAnsi="华文中宋" w:eastAsia="华文中宋"/>
          <w:b/>
          <w:sz w:val="28"/>
          <w:szCs w:val="28"/>
          <w:lang w:val="en-US" w:eastAsia="zh-CN"/>
        </w:rPr>
      </w:pPr>
      <w:r>
        <w:rPr>
          <w:rFonts w:hint="eastAsia" w:ascii="华文中宋" w:hAnsi="华文中宋" w:eastAsia="华文中宋"/>
          <w:b/>
          <w:sz w:val="28"/>
          <w:szCs w:val="28"/>
        </w:rPr>
        <w:t xml:space="preserve">第二部分  </w:t>
      </w:r>
      <w:r>
        <w:rPr>
          <w:rFonts w:hint="eastAsia" w:ascii="华文中宋" w:hAnsi="华文中宋" w:eastAsia="华文中宋"/>
          <w:b/>
          <w:sz w:val="28"/>
          <w:szCs w:val="28"/>
          <w:lang w:val="en-US" w:eastAsia="zh-CN"/>
        </w:rPr>
        <w:t>合同一般条款</w:t>
      </w:r>
    </w:p>
    <w:p>
      <w:pPr>
        <w:spacing w:line="400" w:lineRule="exact"/>
        <w:ind w:firstLine="482" w:firstLineChars="200"/>
        <w:jc w:val="center"/>
        <w:rPr>
          <w:rFonts w:hint="eastAsia" w:ascii="仿宋_GB2312" w:hAnsi="仿宋" w:eastAsia="仿宋_GB2312" w:cs="Helvetica"/>
          <w:b/>
          <w:bCs/>
          <w:snapToGrid w:val="0"/>
          <w:kern w:val="0"/>
          <w:sz w:val="24"/>
          <w:szCs w:val="24"/>
          <w:lang w:val="en-US" w:eastAsia="zh-CN" w:bidi="ar-SA"/>
        </w:rPr>
      </w:pPr>
      <w:r>
        <w:rPr>
          <w:rFonts w:hint="eastAsia" w:ascii="仿宋_GB2312" w:hAnsi="仿宋" w:eastAsia="仿宋_GB2312" w:cs="Helvetica"/>
          <w:b/>
          <w:bCs/>
          <w:snapToGrid w:val="0"/>
          <w:kern w:val="0"/>
          <w:sz w:val="24"/>
          <w:szCs w:val="24"/>
          <w:lang w:val="en-US" w:eastAsia="zh-CN" w:bidi="ar-SA"/>
        </w:rPr>
        <w:t>词语定义、适用语言和法律、法规</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下列名词和用语，除上下文另有规定外具有如下含义。</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1、“甲方”是指委托协审服务业务一方，以及其合法继承人。</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2、“乙方”是指承担协审服务业务一方，以及其合法继承人。</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3、“第三人”是指除甲方、乙方以外与本协审业务有关的当事人。</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4、“日”是指任何一天零时至第二天零时的时间段。</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第二条  协审服务委托合同适用的是中国的法律、法规，以及专用条件中议定的部门规章、规定或项目所在地的地方法规、地方规章。</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 xml:space="preserve">第三条  协审服务委托合同的书写、解释和说明，以汉语为主导语言。当不同语言文本发生不同解释时，以汉语合同文本为准。 </w:t>
      </w:r>
    </w:p>
    <w:p>
      <w:pPr>
        <w:spacing w:line="400" w:lineRule="exact"/>
        <w:ind w:firstLine="482" w:firstLineChars="200"/>
        <w:jc w:val="center"/>
        <w:rPr>
          <w:rFonts w:hint="eastAsia" w:ascii="仿宋_GB2312" w:hAnsi="仿宋" w:eastAsia="仿宋_GB2312" w:cs="Helvetica"/>
          <w:b/>
          <w:bCs/>
          <w:snapToGrid w:val="0"/>
          <w:kern w:val="0"/>
          <w:sz w:val="24"/>
          <w:szCs w:val="24"/>
          <w:lang w:val="en-US" w:eastAsia="zh-CN" w:bidi="ar-SA"/>
        </w:rPr>
      </w:pPr>
      <w:r>
        <w:rPr>
          <w:rFonts w:hint="eastAsia" w:ascii="仿宋_GB2312" w:hAnsi="仿宋" w:eastAsia="仿宋_GB2312" w:cs="Helvetica"/>
          <w:b/>
          <w:bCs/>
          <w:snapToGrid w:val="0"/>
          <w:kern w:val="0"/>
          <w:sz w:val="24"/>
          <w:szCs w:val="24"/>
          <w:lang w:val="en-US" w:eastAsia="zh-CN" w:bidi="ar-SA"/>
        </w:rPr>
        <w:t>甲方的权利和义务</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 xml:space="preserve">第四条 负责选定第二阶段成交供应商，负责确定协审服务工作范围。 </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 xml:space="preserve">第五条 负责对入围单位进行考核。根据项目审核情况对入围单位进行考核，按考核排名、项目特征、专业需求择优选择项目安排，并对连续考核较差单位进行清退。 </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 xml:space="preserve">第六条 负责对乙方及其派出人员完成的审计事项及工作结果进行审核验收评价。 </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第七条 有权要求乙方派出投标书所列人员，并要求乙方及其派出人员协助配合审计终结阶段相关工作。</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第八条 若乙方未按要求派出投标书中项目负责人及项目组成员或未经甲方同意更换人员，甲方有权在协审业务分配中进行合理调整，取消乙方当轮业务资格及下一轮业务安排资格。</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第九条 根据乙方的有关要求，协调处理项目实施中的相关事宜。</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第十条 其他应该由甲方履行的义务和承担的责任。</w:t>
      </w:r>
    </w:p>
    <w:p>
      <w:pPr>
        <w:spacing w:line="400" w:lineRule="exact"/>
        <w:ind w:firstLine="482" w:firstLineChars="200"/>
        <w:jc w:val="center"/>
        <w:rPr>
          <w:rFonts w:hint="eastAsia" w:ascii="仿宋_GB2312" w:hAnsi="仿宋" w:eastAsia="仿宋_GB2312" w:cs="Helvetica"/>
          <w:b/>
          <w:bCs/>
          <w:snapToGrid w:val="0"/>
          <w:kern w:val="0"/>
          <w:sz w:val="24"/>
          <w:szCs w:val="24"/>
          <w:lang w:val="en-US" w:eastAsia="zh-CN" w:bidi="ar-SA"/>
        </w:rPr>
      </w:pPr>
      <w:r>
        <w:rPr>
          <w:rFonts w:hint="eastAsia" w:ascii="仿宋_GB2312" w:hAnsi="仿宋" w:eastAsia="仿宋_GB2312" w:cs="Helvetica"/>
          <w:b/>
          <w:bCs/>
          <w:snapToGrid w:val="0"/>
          <w:kern w:val="0"/>
          <w:sz w:val="24"/>
          <w:szCs w:val="24"/>
          <w:lang w:val="en-US" w:eastAsia="zh-CN" w:bidi="ar-SA"/>
        </w:rPr>
        <w:t>乙方的权利和义务</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第十一条 乙方可以要求甲方提供与委托内容有关的资料。</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第十二条 乙方可以要求甲方对有关问题作出解释和补充有关资料。</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第十三条 乙方在审计服务过程中应遵守审核纪律、规范审计行为，严格按照审计行业规范要求开展工作。</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第十四条 乙方应严格按照甲方的有关规定和要求实施审计服务，接受甲方的监督，并按期完成服务任务，并确保结果真实、合法和准确</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第十五条 在合同履行期间，乙方应按甲方要求开展工作，在工作中遵循公平、公正、公开、合法、独立的原则，认真、细致、周到的进行服务。</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第十六条 审计相关资料移交给乙方后，乙方有义务对所有资料进行妥善保管，确保审计结束后完整移交送审资料。乙方及其派出人员不得使用甲方委托事项的资料和结果，用于与委托事项无关的目的。</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第十七条 入围供应商无正当理由，不得主动放弃入围资格或者退出框架协议。</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第十八条 乙方有义务在本单位中选派投标书中所列的项目组成员（必须要有项目负责人带队）参与服务工作，在本协议履行期间不得自行更换服务人员。</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第十九条 乙方对其出具的成果报告真实性、合法性负责。</w:t>
      </w:r>
    </w:p>
    <w:p>
      <w:pPr>
        <w:spacing w:line="400" w:lineRule="exact"/>
        <w:ind w:firstLine="482" w:firstLineChars="200"/>
        <w:jc w:val="center"/>
        <w:rPr>
          <w:rFonts w:hint="eastAsia" w:ascii="仿宋_GB2312" w:hAnsi="仿宋" w:eastAsia="仿宋_GB2312" w:cs="Helvetica"/>
          <w:b/>
          <w:bCs/>
          <w:snapToGrid w:val="0"/>
          <w:kern w:val="0"/>
          <w:sz w:val="24"/>
          <w:szCs w:val="24"/>
          <w:lang w:val="en-US" w:eastAsia="zh-CN" w:bidi="ar-SA"/>
        </w:rPr>
      </w:pPr>
      <w:r>
        <w:rPr>
          <w:rFonts w:hint="eastAsia" w:ascii="仿宋_GB2312" w:hAnsi="仿宋" w:eastAsia="仿宋_GB2312" w:cs="Helvetica"/>
          <w:b/>
          <w:bCs/>
          <w:snapToGrid w:val="0"/>
          <w:kern w:val="0"/>
          <w:sz w:val="24"/>
          <w:szCs w:val="24"/>
          <w:lang w:val="en-US" w:eastAsia="zh-CN" w:bidi="ar-SA"/>
        </w:rPr>
        <w:t>乙方的责任</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第二十条  乙方的责任期即协审服务委托合同有效期。如因非乙方的责任造成进度的推迟或延误而超过约定的日期，双方应进一步约定相应延长合同有效期。</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第二十一条  乙方责任期内，应当履行协审服务委托合同中约定的义务，因乙方的单方过失造成甲方审计工作的损失，应由乙方承担相应责任。</w:t>
      </w:r>
    </w:p>
    <w:p>
      <w:pPr>
        <w:spacing w:line="400" w:lineRule="exact"/>
        <w:ind w:firstLine="482" w:firstLineChars="200"/>
        <w:jc w:val="center"/>
        <w:rPr>
          <w:rFonts w:hint="eastAsia" w:ascii="仿宋_GB2312" w:hAnsi="仿宋" w:eastAsia="仿宋_GB2312" w:cs="Helvetica"/>
          <w:b/>
          <w:bCs/>
          <w:snapToGrid w:val="0"/>
          <w:kern w:val="0"/>
          <w:sz w:val="24"/>
          <w:szCs w:val="24"/>
          <w:lang w:val="en-US" w:eastAsia="zh-CN" w:bidi="ar-SA"/>
        </w:rPr>
      </w:pPr>
      <w:r>
        <w:rPr>
          <w:rFonts w:hint="eastAsia" w:ascii="仿宋_GB2312" w:hAnsi="仿宋" w:eastAsia="仿宋_GB2312" w:cs="Helvetica"/>
          <w:b/>
          <w:bCs/>
          <w:snapToGrid w:val="0"/>
          <w:kern w:val="0"/>
          <w:sz w:val="24"/>
          <w:szCs w:val="24"/>
          <w:lang w:val="en-US" w:eastAsia="zh-CN" w:bidi="ar-SA"/>
        </w:rPr>
        <w:t>甲方的责任</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第二十二条  甲方应当履行协审服务委托合同约定的义务，如有违反则应当承担违约责任，赔偿给乙方造成的损失。</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第二十三条  甲方如果向乙方提出赔偿或其他要求不能成立时，则应补偿由于该赔偿或其他要求所导致乙方的各种费用的支出。</w:t>
      </w:r>
    </w:p>
    <w:p>
      <w:pPr>
        <w:spacing w:line="400" w:lineRule="exact"/>
        <w:ind w:firstLine="482" w:firstLineChars="200"/>
        <w:jc w:val="center"/>
        <w:rPr>
          <w:rFonts w:hint="eastAsia" w:ascii="仿宋_GB2312" w:hAnsi="仿宋" w:eastAsia="仿宋_GB2312" w:cs="Helvetica"/>
          <w:b/>
          <w:bCs/>
          <w:snapToGrid w:val="0"/>
          <w:kern w:val="0"/>
          <w:sz w:val="24"/>
          <w:szCs w:val="24"/>
          <w:lang w:val="en-US" w:eastAsia="zh-CN" w:bidi="ar-SA"/>
        </w:rPr>
      </w:pPr>
      <w:r>
        <w:rPr>
          <w:rFonts w:hint="eastAsia" w:ascii="仿宋_GB2312" w:hAnsi="仿宋" w:eastAsia="仿宋_GB2312" w:cs="Helvetica"/>
          <w:b/>
          <w:bCs/>
          <w:snapToGrid w:val="0"/>
          <w:kern w:val="0"/>
          <w:sz w:val="24"/>
          <w:szCs w:val="24"/>
          <w:lang w:val="en-US" w:eastAsia="zh-CN" w:bidi="ar-SA"/>
        </w:rPr>
        <w:t>合同生效，变更与终止</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第二十四条  本合同自双方签字盖章之日起生效。</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第二十五条  由于甲方或第三人的原因使乙方工作受到阻碍或延误以致增加了工作量或持续时间，则乙方应当将此情况与可能产生的影响及时书面通知甲方。</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第二十六条  当事人一方要求变更或解除合同时，则应当在14日前通知对方；因变更或解除合同使一方遭受损失的，应由责任方负责赔偿。</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第二十七条  变更或解除合同的通知或协议应当采取书面形式，新的协议未达成之前，原合同仍然有效。</w:t>
      </w:r>
    </w:p>
    <w:p>
      <w:pPr>
        <w:spacing w:line="400" w:lineRule="exact"/>
        <w:ind w:firstLine="482" w:firstLineChars="200"/>
        <w:jc w:val="center"/>
        <w:rPr>
          <w:rFonts w:hint="eastAsia" w:ascii="仿宋_GB2312" w:hAnsi="仿宋" w:eastAsia="仿宋_GB2312" w:cs="Helvetica"/>
          <w:b/>
          <w:bCs/>
          <w:snapToGrid w:val="0"/>
          <w:kern w:val="0"/>
          <w:sz w:val="24"/>
          <w:szCs w:val="24"/>
          <w:lang w:val="en-US" w:eastAsia="zh-CN" w:bidi="ar-SA"/>
        </w:rPr>
      </w:pPr>
      <w:r>
        <w:rPr>
          <w:rFonts w:hint="eastAsia" w:ascii="仿宋_GB2312" w:hAnsi="仿宋" w:eastAsia="仿宋_GB2312" w:cs="Helvetica"/>
          <w:b/>
          <w:bCs/>
          <w:snapToGrid w:val="0"/>
          <w:kern w:val="0"/>
          <w:sz w:val="24"/>
          <w:szCs w:val="24"/>
          <w:lang w:val="en-US" w:eastAsia="zh-CN" w:bidi="ar-SA"/>
        </w:rPr>
        <w:t>协审服务的酬金</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第二十八条  协审服务工作的酬金按专用合同约定计取。</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第二十九条  如果甲方在规定的支付期限内未支付建设工程造价咨询酬金，自规定支付之日起，应当向咨询人支付违约金。违约金按未付款项乘以每日万分之五乘以拖欠酬金天数计算。</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第三十条  如果甲方对乙方提交的协审服务费发票或支付通知书中酬金或部分酬金项目提出异议，应当在收到协审服务费发票或支付通知书两日内向乙方发出异议的通知，但甲方不得拖延其无异议酬金项目的支付。</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第三十一条  支付协审服务酬金所采取的货币币种、汇率由合同专用条件约定。</w:t>
      </w:r>
    </w:p>
    <w:p>
      <w:pPr>
        <w:spacing w:line="400" w:lineRule="exact"/>
        <w:ind w:firstLine="482" w:firstLineChars="200"/>
        <w:jc w:val="center"/>
        <w:rPr>
          <w:rFonts w:hint="eastAsia" w:ascii="仿宋_GB2312" w:hAnsi="仿宋" w:eastAsia="仿宋_GB2312" w:cs="Helvetica"/>
          <w:b/>
          <w:bCs/>
          <w:snapToGrid w:val="0"/>
          <w:kern w:val="0"/>
          <w:sz w:val="24"/>
          <w:szCs w:val="24"/>
          <w:lang w:val="en-US" w:eastAsia="zh-CN" w:bidi="ar-SA"/>
        </w:rPr>
      </w:pPr>
      <w:r>
        <w:rPr>
          <w:rFonts w:hint="eastAsia" w:ascii="仿宋_GB2312" w:hAnsi="仿宋" w:eastAsia="仿宋_GB2312" w:cs="Helvetica"/>
          <w:b/>
          <w:bCs/>
          <w:snapToGrid w:val="0"/>
          <w:kern w:val="0"/>
          <w:sz w:val="24"/>
          <w:szCs w:val="24"/>
          <w:lang w:val="en-US" w:eastAsia="zh-CN" w:bidi="ar-SA"/>
        </w:rPr>
        <w:t>其     他</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第三十二条  未经对方的书面同意各方均不得转让合同约定的权利和义务。</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p>
    <w:p>
      <w:pPr>
        <w:spacing w:line="400" w:lineRule="exact"/>
        <w:ind w:firstLine="482" w:firstLineChars="200"/>
        <w:jc w:val="center"/>
        <w:rPr>
          <w:rFonts w:hint="eastAsia" w:ascii="仿宋_GB2312" w:hAnsi="仿宋" w:eastAsia="仿宋_GB2312" w:cs="Helvetica"/>
          <w:b/>
          <w:bCs/>
          <w:snapToGrid w:val="0"/>
          <w:kern w:val="0"/>
          <w:sz w:val="24"/>
          <w:szCs w:val="24"/>
          <w:lang w:val="en-US" w:eastAsia="zh-CN" w:bidi="ar-SA"/>
        </w:rPr>
      </w:pPr>
      <w:r>
        <w:rPr>
          <w:rFonts w:hint="eastAsia" w:ascii="仿宋_GB2312" w:hAnsi="仿宋" w:eastAsia="仿宋_GB2312" w:cs="Helvetica"/>
          <w:b/>
          <w:bCs/>
          <w:snapToGrid w:val="0"/>
          <w:kern w:val="0"/>
          <w:sz w:val="24"/>
          <w:szCs w:val="24"/>
          <w:lang w:val="en-US" w:eastAsia="zh-CN" w:bidi="ar-SA"/>
        </w:rPr>
        <w:t>合同争议的解决</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第三十三条  因失职、违约或终止合同而引起的赔偿，甲方与乙方之间应按本合同约定解决；合同未约定的甲乙双方均不得提出违约金和赔偿，如拒不履行合同的，向咨询人所在地人民法院提起诉讼。</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p>
    <w:p>
      <w:pPr>
        <w:spacing w:line="400" w:lineRule="exact"/>
        <w:ind w:firstLine="480" w:firstLineChars="200"/>
        <w:rPr>
          <w:rFonts w:hint="eastAsia" w:ascii="华文中宋" w:hAnsi="华文中宋" w:eastAsia="华文中宋"/>
          <w:sz w:val="24"/>
        </w:rPr>
      </w:pPr>
    </w:p>
    <w:p>
      <w:pPr>
        <w:spacing w:before="156" w:beforeLines="50" w:after="156" w:afterLines="50" w:line="400" w:lineRule="exact"/>
        <w:jc w:val="center"/>
        <w:rPr>
          <w:rFonts w:hint="eastAsia" w:ascii="华文中宋" w:hAnsi="华文中宋" w:eastAsia="华文中宋"/>
          <w:b/>
          <w:sz w:val="28"/>
          <w:szCs w:val="28"/>
          <w:lang w:eastAsia="zh-CN"/>
        </w:rPr>
      </w:pPr>
      <w:r>
        <w:rPr>
          <w:rFonts w:hint="eastAsia" w:ascii="华文中宋" w:hAnsi="华文中宋" w:eastAsia="华文中宋"/>
          <w:b/>
          <w:sz w:val="28"/>
          <w:szCs w:val="28"/>
        </w:rPr>
        <w:t>第三部分  合同专用</w:t>
      </w:r>
      <w:r>
        <w:rPr>
          <w:rFonts w:hint="eastAsia" w:ascii="华文中宋" w:hAnsi="华文中宋" w:eastAsia="华文中宋"/>
          <w:b/>
          <w:sz w:val="28"/>
          <w:szCs w:val="28"/>
          <w:lang w:val="en-US" w:eastAsia="zh-CN"/>
        </w:rPr>
        <w:t>条款</w:t>
      </w:r>
    </w:p>
    <w:p>
      <w:pPr>
        <w:spacing w:line="400" w:lineRule="exact"/>
        <w:ind w:firstLine="480" w:firstLineChars="200"/>
        <w:jc w:val="center"/>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（注：专用条款序号与一般条款对应）</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第二条  本合同适用的法律、法规及计价办法和规定：中华人民共和国法律、《中华人民共和国民法典》；施工合同约定的预算定额和当地的造价信息和文件；委托人提供的相关补充协议及会议纪要等。</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第四条  协审服务工作范围：协助甲方开展政府投资项目领域相关审计业务，如专项审计调查、跟踪审计等。</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第二十一条  乙方在其责任期内如果违反合同一般条款第二十一条规定的，同意按以下办法赔偿因单方责任而造成的经济损失。</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u w:val="single"/>
          <w:lang w:val="en-US" w:eastAsia="zh-CN" w:bidi="ar-SA"/>
        </w:rPr>
        <w:t>赔偿金=直接经济损失×酬金比率（扣除税金）（酬金比率=酬金总额÷总造价）</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审核质量标准：甲方制定的考核标准。</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第二十八条  甲方同意按以下的计算方法、支付时间与金额：</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（一）协审服务酬金计算方法：</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方式一：外聘造价人员加入审计组协助开展业务，按照《浙江省审计厅关于印发聘请外部专业技术人员参与审计工作管理办法的通知》（浙审办〔2020〕33号）第二十七条计费，以标准的</w:t>
      </w:r>
      <w:r>
        <w:rPr>
          <w:rFonts w:hint="eastAsia" w:ascii="仿宋_GB2312" w:hAnsi="仿宋" w:eastAsia="仿宋_GB2312" w:cs="Helvetica"/>
          <w:snapToGrid w:val="0"/>
          <w:kern w:val="0"/>
          <w:sz w:val="24"/>
          <w:szCs w:val="24"/>
          <w:u w:val="single"/>
          <w:lang w:val="en-US" w:eastAsia="zh-CN" w:bidi="ar-SA"/>
        </w:rPr>
        <w:t xml:space="preserve">    </w:t>
      </w:r>
      <w:r>
        <w:rPr>
          <w:rFonts w:hint="eastAsia" w:ascii="仿宋_GB2312" w:hAnsi="仿宋" w:eastAsia="仿宋_GB2312" w:cs="Helvetica"/>
          <w:snapToGrid w:val="0"/>
          <w:kern w:val="0"/>
          <w:sz w:val="24"/>
          <w:szCs w:val="24"/>
          <w:lang w:val="en-US" w:eastAsia="zh-CN" w:bidi="ar-SA"/>
        </w:rPr>
        <w:t>%进行计费；</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方式二：以单位名义出具成果报告的，按照《浙江省物价局关于进一步完善工程造价咨询服务收费的通知》（浙价服〔2009〕84号）计费，以标准的</w:t>
      </w:r>
      <w:r>
        <w:rPr>
          <w:rFonts w:hint="eastAsia" w:ascii="仿宋_GB2312" w:hAnsi="仿宋" w:eastAsia="仿宋_GB2312" w:cs="Helvetica"/>
          <w:snapToGrid w:val="0"/>
          <w:kern w:val="0"/>
          <w:sz w:val="24"/>
          <w:szCs w:val="24"/>
          <w:u w:val="single"/>
          <w:lang w:val="en-US" w:eastAsia="zh-CN" w:bidi="ar-SA"/>
        </w:rPr>
        <w:t xml:space="preserve">    </w:t>
      </w:r>
      <w:r>
        <w:rPr>
          <w:rFonts w:hint="eastAsia" w:ascii="仿宋_GB2312" w:hAnsi="仿宋" w:eastAsia="仿宋_GB2312" w:cs="Helvetica"/>
          <w:snapToGrid w:val="0"/>
          <w:kern w:val="0"/>
          <w:sz w:val="24"/>
          <w:szCs w:val="24"/>
          <w:lang w:val="en-US" w:eastAsia="zh-CN" w:bidi="ar-SA"/>
        </w:rPr>
        <w:t>%进行计费。</w:t>
      </w:r>
    </w:p>
    <w:p>
      <w:pPr>
        <w:spacing w:line="400" w:lineRule="exact"/>
        <w:ind w:firstLine="480" w:firstLineChars="200"/>
        <w:rPr>
          <w:rFonts w:hint="default" w:ascii="仿宋_GB2312" w:hAnsi="仿宋" w:eastAsia="仿宋_GB2312" w:cs="Helvetica"/>
          <w:snapToGrid w:val="0"/>
          <w:kern w:val="0"/>
          <w:sz w:val="24"/>
          <w:szCs w:val="24"/>
          <w:u w:val="single"/>
          <w:lang w:val="en-US" w:eastAsia="zh-CN" w:bidi="ar-SA"/>
        </w:rPr>
      </w:pPr>
      <w:r>
        <w:rPr>
          <w:rFonts w:hint="eastAsia" w:ascii="仿宋_GB2312" w:hAnsi="仿宋" w:eastAsia="仿宋_GB2312" w:cs="Helvetica"/>
          <w:snapToGrid w:val="0"/>
          <w:kern w:val="0"/>
          <w:sz w:val="24"/>
          <w:szCs w:val="24"/>
          <w:lang w:val="en-US" w:eastAsia="zh-CN" w:bidi="ar-SA"/>
        </w:rPr>
        <w:t>本次协审服务的费用为：</w:t>
      </w:r>
      <w:r>
        <w:rPr>
          <w:rFonts w:hint="eastAsia" w:ascii="仿宋_GB2312" w:hAnsi="仿宋" w:eastAsia="仿宋_GB2312" w:cs="Helvetica"/>
          <w:snapToGrid w:val="0"/>
          <w:kern w:val="0"/>
          <w:sz w:val="24"/>
          <w:szCs w:val="24"/>
          <w:u w:val="single"/>
          <w:lang w:val="en-US" w:eastAsia="zh-CN" w:bidi="ar-SA"/>
        </w:rPr>
        <w:t xml:space="preserve">                                               </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（二）正常服务酬金支付时间：</w:t>
      </w:r>
    </w:p>
    <w:p>
      <w:pPr>
        <w:spacing w:line="400" w:lineRule="exact"/>
        <w:ind w:firstLine="480" w:firstLineChars="200"/>
        <w:rPr>
          <w:rFonts w:hint="eastAsia" w:ascii="仿宋_GB2312" w:hAnsi="仿宋" w:eastAsia="仿宋_GB2312" w:cs="Helvetica"/>
          <w:i w:val="0"/>
          <w:iCs w:val="0"/>
          <w:snapToGrid w:val="0"/>
          <w:kern w:val="0"/>
          <w:sz w:val="24"/>
          <w:szCs w:val="24"/>
          <w:u w:val="single"/>
          <w:lang w:val="en-US" w:eastAsia="zh-CN" w:bidi="ar-SA"/>
        </w:rPr>
      </w:pPr>
      <w:r>
        <w:rPr>
          <w:rFonts w:hint="eastAsia" w:ascii="仿宋_GB2312" w:hAnsi="仿宋" w:eastAsia="仿宋_GB2312" w:cs="Helvetica"/>
          <w:i w:val="0"/>
          <w:iCs w:val="0"/>
          <w:snapToGrid w:val="0"/>
          <w:kern w:val="0"/>
          <w:sz w:val="24"/>
          <w:szCs w:val="24"/>
          <w:u w:val="single"/>
          <w:lang w:val="en-US" w:eastAsia="zh-CN" w:bidi="ar-SA"/>
        </w:rPr>
        <w:t>合同签订后不预付服务费用；完成协审服务后7天内支付全部服务酬金。</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（三）上述费用均由甲方支付。</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p>
    <w:p>
      <w:pPr>
        <w:spacing w:line="400" w:lineRule="exact"/>
        <w:ind w:firstLine="480" w:firstLineChars="200"/>
        <w:rPr>
          <w:rFonts w:hint="default"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甲方：</w:t>
      </w:r>
      <w:r>
        <w:rPr>
          <w:rFonts w:hint="eastAsia" w:ascii="仿宋_GB2312" w:hAnsi="仿宋" w:eastAsia="仿宋_GB2312" w:cs="Helvetica"/>
          <w:snapToGrid w:val="0"/>
          <w:kern w:val="0"/>
          <w:sz w:val="24"/>
          <w:szCs w:val="24"/>
          <w:u w:val="single"/>
          <w:lang w:val="en-US" w:eastAsia="zh-CN" w:bidi="ar-SA"/>
        </w:rPr>
        <w:t xml:space="preserve">  杭州市临安区审计局 </w:t>
      </w:r>
      <w:r>
        <w:rPr>
          <w:rFonts w:hint="eastAsia" w:ascii="仿宋_GB2312" w:hAnsi="仿宋" w:eastAsia="仿宋_GB2312" w:cs="Helvetica"/>
          <w:snapToGrid w:val="0"/>
          <w:kern w:val="0"/>
          <w:sz w:val="24"/>
          <w:szCs w:val="24"/>
          <w:lang w:val="en-US" w:eastAsia="zh-CN" w:bidi="ar-SA"/>
        </w:rPr>
        <w:t xml:space="preserve">                      乙方：                                  </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委托代理人：（签字）                         委托代理人：（签字）</w:t>
      </w:r>
    </w:p>
    <w:p>
      <w:pPr>
        <w:spacing w:line="400" w:lineRule="exact"/>
        <w:ind w:firstLine="480" w:firstLineChars="200"/>
        <w:rPr>
          <w:rFonts w:hint="eastAsia" w:ascii="仿宋_GB2312" w:hAnsi="仿宋" w:eastAsia="仿宋_GB2312" w:cs="Helvetica"/>
          <w:snapToGrid w:val="0"/>
          <w:kern w:val="0"/>
          <w:sz w:val="24"/>
          <w:szCs w:val="24"/>
          <w:lang w:val="en-US" w:eastAsia="zh-CN" w:bidi="ar-SA"/>
        </w:rPr>
      </w:pPr>
      <w:r>
        <w:rPr>
          <w:rFonts w:hint="eastAsia" w:ascii="仿宋_GB2312" w:hAnsi="仿宋" w:eastAsia="仿宋_GB2312" w:cs="Helvetica"/>
          <w:snapToGrid w:val="0"/>
          <w:kern w:val="0"/>
          <w:sz w:val="24"/>
          <w:szCs w:val="24"/>
          <w:lang w:val="en-US" w:eastAsia="zh-CN" w:bidi="ar-SA"/>
        </w:rPr>
        <w:t>年   月  日                               年   月   日</w:t>
      </w:r>
    </w:p>
    <w:p>
      <w:pPr>
        <w:spacing w:line="560" w:lineRule="exact"/>
        <w:rPr>
          <w:rFonts w:hint="eastAsia" w:ascii="仿宋" w:hAnsi="仿宋" w:eastAsia="仿宋" w:cs="仿宋_GB2312"/>
          <w:b/>
          <w:color w:val="000000" w:themeColor="text1"/>
          <w:sz w:val="36"/>
          <w:szCs w:val="20"/>
          <w14:textFill>
            <w14:solidFill>
              <w14:schemeClr w14:val="tx1"/>
            </w14:solidFill>
          </w14:textFill>
        </w:rPr>
      </w:pPr>
    </w:p>
    <w:p>
      <w:pPr>
        <w:spacing w:line="560" w:lineRule="exact"/>
        <w:ind w:firstLine="2349" w:firstLineChars="65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第六部分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napToGrid w:val="0"/>
        <w:spacing w:line="360" w:lineRule="auto"/>
        <w:rPr>
          <w:rFonts w:ascii="仿宋_GB2312" w:hAnsi="仿宋" w:eastAsia="仿宋_GB2312" w:cs="仿宋_GB2312"/>
          <w:b/>
          <w:kern w:val="0"/>
          <w:sz w:val="32"/>
          <w:szCs w:val="32"/>
          <w:lang w:val="zh-CN"/>
        </w:rPr>
      </w:pPr>
    </w:p>
    <w:p>
      <w:pPr>
        <w:pStyle w:val="2"/>
        <w:numPr>
          <w:ilvl w:val="0"/>
          <w:numId w:val="0"/>
        </w:numPr>
        <w:ind w:leftChars="0"/>
        <w:rPr>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pStyle w:val="9"/>
        <w:tabs>
          <w:tab w:val="left" w:pos="840"/>
        </w:tabs>
        <w:spacing w:line="360" w:lineRule="auto"/>
        <w:ind w:firstLine="643" w:firstLineChars="200"/>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pStyle w:val="9"/>
        <w:numPr>
          <w:ilvl w:val="0"/>
          <w:numId w:val="4"/>
        </w:numPr>
        <w:tabs>
          <w:tab w:val="left" w:pos="840"/>
        </w:tabs>
        <w:spacing w:line="360" w:lineRule="auto"/>
        <w:ind w:firstLine="643" w:firstLineChars="200"/>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符合参加政府采购活动应当具备的一般条件的</w:t>
      </w:r>
    </w:p>
    <w:p>
      <w:pPr>
        <w:pStyle w:val="9"/>
        <w:numPr>
          <w:ilvl w:val="0"/>
          <w:numId w:val="0"/>
        </w:numPr>
        <w:tabs>
          <w:tab w:val="left" w:pos="840"/>
        </w:tabs>
        <w:spacing w:line="360" w:lineRule="auto"/>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响应供应商名称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both"/>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2"/>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w:t>
      </w:r>
      <w:r>
        <w:rPr>
          <w:rFonts w:hint="eastAsia" w:ascii="仿宋_GB2312" w:hAnsi="仿宋" w:eastAsia="仿宋_GB2312" w:cs="仿宋_GB2312"/>
          <w:color w:val="000000" w:themeColor="text1"/>
          <w:kern w:val="0"/>
          <w:sz w:val="24"/>
          <w:lang w:val="zh-CN"/>
          <w14:textFill>
            <w14:solidFill>
              <w14:schemeClr w14:val="tx1"/>
            </w14:solidFill>
          </w14:textFill>
        </w:rPr>
        <w:t>响应供应商</w:t>
      </w:r>
      <w:r>
        <w:rPr>
          <w:rFonts w:ascii="仿宋_GB2312" w:hAnsi="仿宋" w:eastAsia="仿宋_GB2312" w:cs="仿宋_GB2312"/>
          <w:color w:val="000000" w:themeColor="text1"/>
          <w:kern w:val="0"/>
          <w:sz w:val="24"/>
          <w:lang w:val="zh-CN"/>
          <w14:textFill>
            <w14:solidFill>
              <w14:schemeClr w14:val="tx1"/>
            </w14:solidFill>
          </w14:textFill>
        </w:rPr>
        <w:t>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2"/>
        <w:numPr>
          <w:ilvl w:val="0"/>
          <w:numId w:val="0"/>
        </w:numPr>
        <w:ind w:leftChars="0"/>
        <w:rPr>
          <w:rFonts w:hint="eastAsia"/>
        </w:rPr>
      </w:pPr>
    </w:p>
    <w:p>
      <w:pPr>
        <w:widowControl/>
        <w:spacing w:line="360" w:lineRule="auto"/>
        <w:ind w:left="150"/>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7）商务技术偏离表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lang w:eastAsia="zh-CN"/>
        </w:rPr>
        <w:t>响应供应商</w:t>
      </w:r>
      <w:r>
        <w:rPr>
          <w:rFonts w:hint="eastAsia" w:ascii="仿宋_GB2312" w:hAnsi="仿宋" w:eastAsia="仿宋_GB2312" w:cs="仿宋_GB2312"/>
          <w:sz w:val="24"/>
        </w:rPr>
        <w:t>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响应供应商</w:t>
      </w:r>
      <w:r>
        <w:rPr>
          <w:rFonts w:ascii="仿宋_GB2312" w:hAnsi="仿宋" w:eastAsia="仿宋_GB2312" w:cs="仿宋_GB2312"/>
          <w:color w:val="000000" w:themeColor="text1"/>
          <w:kern w:val="0"/>
          <w:sz w:val="24"/>
          <w:lang w:val="zh-CN"/>
          <w14:textFill>
            <w14:solidFill>
              <w14:schemeClr w14:val="tx1"/>
            </w14:solidFill>
          </w14:textFill>
        </w:rPr>
        <w:t>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hint="eastAsia" w:ascii="仿宋_GB2312" w:hAnsi="仿宋" w:eastAsia="仿宋_GB2312" w:cs="仿宋_GB2312"/>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19"/>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19"/>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响应供应商</w:t>
      </w:r>
      <w:r>
        <w:rPr>
          <w:rFonts w:ascii="仿宋_GB2312" w:hAnsi="仿宋" w:eastAsia="仿宋_GB2312" w:cs="仿宋_GB2312"/>
          <w:color w:val="000000" w:themeColor="text1"/>
          <w:kern w:val="0"/>
          <w:sz w:val="24"/>
          <w:lang w:val="zh-CN"/>
          <w14:textFill>
            <w14:solidFill>
              <w14:schemeClr w14:val="tx1"/>
            </w14:solidFill>
          </w14:textFill>
        </w:rPr>
        <w:t xml:space="preserve">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5" w:type="first"/>
          <w:footerReference r:id="rId7" w:type="first"/>
          <w:footerReference r:id="rId6"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lang w:val="zh-CN"/>
        </w:rPr>
        <w:t>响应供应商</w:t>
      </w:r>
      <w:r>
        <w:rPr>
          <w:rFonts w:ascii="仿宋_GB2312" w:hAnsi="仿宋" w:eastAsia="仿宋_GB2312" w:cs="仿宋_GB2312"/>
          <w:kern w:val="0"/>
          <w:sz w:val="24"/>
          <w:lang w:val="zh-CN"/>
        </w:rPr>
        <w:t>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2"/>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不存在如下情形：投标文件不满足招标文件的其它实质性要求。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both"/>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hint="eastAsia"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响应供应商名称（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rFonts w:hint="eastAsia" w:ascii="仿宋_GB2312" w:hAnsi="仿宋" w:eastAsia="仿宋_GB2312" w:cs="仿宋_GB2312"/>
          <w:b/>
          <w:kern w:val="0"/>
          <w:sz w:val="36"/>
          <w:szCs w:val="36"/>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before="120" w:after="120" w:line="360" w:lineRule="auto"/>
        <w:ind w:firstLine="643"/>
        <w:jc w:val="center"/>
        <w:rPr>
          <w:rFonts w:hint="eastAsia" w:ascii="仿宋_GB2312" w:hAnsi="仿宋" w:eastAsia="仿宋_GB2312" w:cs="仿宋_GB2312"/>
          <w:b/>
          <w:sz w:val="32"/>
          <w:szCs w:val="32"/>
        </w:rPr>
      </w:pPr>
    </w:p>
    <w:p>
      <w:pPr>
        <w:pStyle w:val="21"/>
        <w:keepNext w:val="0"/>
        <w:pageBreakBefore w:val="0"/>
        <w:tabs>
          <w:tab w:val="clear" w:pos="720"/>
        </w:tabs>
        <w:snapToGrid w:val="0"/>
        <w:spacing w:before="120" w:after="120"/>
        <w:ind w:firstLine="643"/>
        <w:outlineLvl w:val="9"/>
        <w:rPr>
          <w:rFonts w:ascii="仿宋_GB2312" w:hAnsi="仿宋" w:eastAsia="仿宋_GB2312" w:cs="仿宋_GB2312"/>
          <w:b/>
          <w:sz w:val="32"/>
          <w:szCs w:val="32"/>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rPr>
      </w:pPr>
      <w:bookmarkStart w:id="365"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lang w:eastAsia="zh-CN"/>
        </w:rPr>
        <w:t>项目名称）</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869"/>
        <w:gridCol w:w="1500"/>
        <w:gridCol w:w="2461"/>
        <w:gridCol w:w="2243"/>
        <w:gridCol w:w="96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273"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468"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lang w:eastAsia="zh-CN"/>
                <w14:textFill>
                  <w14:solidFill>
                    <w14:schemeClr w14:val="tx1"/>
                  </w14:solidFill>
                </w14:textFill>
              </w:rPr>
              <w:t>项目</w:t>
            </w:r>
            <w:r>
              <w:rPr>
                <w:rFonts w:hint="eastAsia" w:ascii="仿宋_GB2312" w:hAnsi="仿宋" w:eastAsia="仿宋_GB2312"/>
                <w:b/>
                <w:color w:val="000000" w:themeColor="text1"/>
                <w:sz w:val="24"/>
                <w14:textFill>
                  <w14:solidFill>
                    <w14:schemeClr w14:val="tx1"/>
                  </w14:solidFill>
                </w14:textFill>
              </w:rPr>
              <w:t>名称</w:t>
            </w:r>
          </w:p>
        </w:tc>
        <w:tc>
          <w:tcPr>
            <w:tcW w:w="808" w:type="pct"/>
            <w:vAlign w:val="center"/>
          </w:tcPr>
          <w:p>
            <w:pPr>
              <w:spacing w:line="360" w:lineRule="auto"/>
              <w:jc w:val="center"/>
              <w:rPr>
                <w:rFonts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1325" w:type="pct"/>
            <w:vAlign w:val="center"/>
          </w:tcPr>
          <w:p>
            <w:pPr>
              <w:spacing w:line="360" w:lineRule="auto"/>
              <w:jc w:val="center"/>
              <w:rPr>
                <w:rFonts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b/>
                <w:color w:val="000000" w:themeColor="text1"/>
                <w:sz w:val="24"/>
                <w:lang w:eastAsia="zh-CN"/>
                <w14:textFill>
                  <w14:solidFill>
                    <w14:schemeClr w14:val="tx1"/>
                  </w14:solidFill>
                </w14:textFill>
              </w:rPr>
              <w:t>最高限制</w:t>
            </w:r>
            <w:r>
              <w:rPr>
                <w:rFonts w:hint="eastAsia" w:ascii="仿宋_GB2312" w:hAnsi="仿宋" w:eastAsia="仿宋_GB2312"/>
                <w:b/>
                <w:color w:val="000000" w:themeColor="text1"/>
                <w:sz w:val="24"/>
                <w14:textFill>
                  <w14:solidFill>
                    <w14:schemeClr w14:val="tx1"/>
                  </w14:solidFill>
                </w14:textFill>
              </w:rPr>
              <w:t>单价</w:t>
            </w:r>
          </w:p>
        </w:tc>
        <w:tc>
          <w:tcPr>
            <w:tcW w:w="1208" w:type="pct"/>
            <w:vAlign w:val="center"/>
          </w:tcPr>
          <w:p>
            <w:pPr>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b/>
                <w:color w:val="000000" w:themeColor="text1"/>
                <w:sz w:val="24"/>
                <w:lang w:eastAsia="zh-CN"/>
                <w14:textFill>
                  <w14:solidFill>
                    <w14:schemeClr w14:val="tx1"/>
                  </w14:solidFill>
                </w14:textFill>
              </w:rPr>
              <w:t>报价（折扣率</w:t>
            </w:r>
            <w:r>
              <w:rPr>
                <w:rFonts w:hint="eastAsia" w:ascii="仿宋_GB2312" w:hAnsi="仿宋" w:eastAsia="仿宋_GB2312"/>
                <w:b/>
                <w:color w:val="000000" w:themeColor="text1"/>
                <w:sz w:val="24"/>
                <w:lang w:val="en-US" w:eastAsia="zh-CN"/>
                <w14:textFill>
                  <w14:solidFill>
                    <w14:schemeClr w14:val="tx1"/>
                  </w14:solidFill>
                </w14:textFill>
              </w:rPr>
              <w:t>%</w:t>
            </w:r>
            <w:r>
              <w:rPr>
                <w:rFonts w:hint="eastAsia" w:ascii="仿宋_GB2312" w:hAnsi="仿宋" w:eastAsia="仿宋_GB2312"/>
                <w:b/>
                <w:color w:val="000000" w:themeColor="text1"/>
                <w:sz w:val="24"/>
                <w:lang w:eastAsia="zh-CN"/>
                <w14:textFill>
                  <w14:solidFill>
                    <w14:schemeClr w14:val="tx1"/>
                  </w14:solidFill>
                </w14:textFill>
              </w:rPr>
              <w:t>）</w:t>
            </w:r>
          </w:p>
        </w:tc>
        <w:tc>
          <w:tcPr>
            <w:tcW w:w="517" w:type="pct"/>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hint="eastAsia" w:ascii="仿宋_GB2312" w:hAnsi="仿宋" w:eastAsia="仿宋_GB2312" w:cstheme="minorBidi"/>
                <w:b/>
                <w:color w:val="000000" w:themeColor="text1"/>
                <w:kern w:val="2"/>
                <w:sz w:val="24"/>
                <w:szCs w:val="22"/>
                <w:lang w:val="en-US" w:eastAsia="zh-CN" w:bidi="ar-SA"/>
                <w14:textFill>
                  <w14:solidFill>
                    <w14:schemeClr w14:val="tx1"/>
                  </w14:solidFill>
                </w14:textFill>
              </w:rPr>
            </w:pPr>
          </w:p>
        </w:tc>
        <w:tc>
          <w:tcPr>
            <w:tcW w:w="398" w:type="pct"/>
            <w:vAlign w:val="center"/>
          </w:tcPr>
          <w:p>
            <w:pPr>
              <w:snapToGrid w:val="0"/>
              <w:spacing w:line="240" w:lineRule="auto"/>
              <w:jc w:val="both"/>
              <w:rPr>
                <w:rFonts w:hint="default"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27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468" w:type="pct"/>
            <w:vMerge w:val="restar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808" w:type="pct"/>
            <w:vAlign w:val="center"/>
          </w:tcPr>
          <w:p>
            <w:pPr>
              <w:snapToGrid w:val="0"/>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外聘造价人员加入审计组协助开展业务</w:t>
            </w:r>
          </w:p>
        </w:tc>
        <w:tc>
          <w:tcPr>
            <w:tcW w:w="1325" w:type="pct"/>
            <w:vAlign w:val="center"/>
          </w:tcPr>
          <w:p>
            <w:pPr>
              <w:spacing w:line="360" w:lineRule="auto"/>
              <w:jc w:val="center"/>
              <w:rPr>
                <w:rFonts w:hint="default" w:ascii="仿宋_GB2312" w:hAnsi="仿宋" w:eastAsia="仿宋_GB2312" w:cs="仿宋_GB2312"/>
                <w:b/>
                <w:bCs/>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bCs/>
                <w:color w:val="000000" w:themeColor="text1"/>
                <w:kern w:val="2"/>
                <w:sz w:val="24"/>
                <w:szCs w:val="22"/>
                <w:lang w:val="en-US" w:eastAsia="zh-CN" w:bidi="ar-SA"/>
                <w14:textFill>
                  <w14:solidFill>
                    <w14:schemeClr w14:val="tx1"/>
                  </w14:solidFill>
                </w14:textFill>
              </w:rPr>
              <w:t>按照《浙江省审计厅关于印发聘请外部专业技术人员参与审计工作管理办法的通知》（浙审办〔2020〕33号）第二十七条规定收费</w:t>
            </w:r>
          </w:p>
        </w:tc>
        <w:tc>
          <w:tcPr>
            <w:tcW w:w="1208" w:type="pct"/>
            <w:vAlign w:val="center"/>
          </w:tcPr>
          <w:p>
            <w:pPr>
              <w:spacing w:line="360" w:lineRule="auto"/>
              <w:jc w:val="center"/>
              <w:rPr>
                <w:rFonts w:hint="default"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color w:val="000000" w:themeColor="text1"/>
                <w:kern w:val="2"/>
                <w:sz w:val="24"/>
                <w:szCs w:val="22"/>
                <w:lang w:val="en-US" w:eastAsia="zh-CN" w:bidi="ar-SA"/>
                <w14:textFill>
                  <w14:solidFill>
                    <w14:schemeClr w14:val="tx1"/>
                  </w14:solidFill>
                </w14:textFill>
              </w:rPr>
              <w:t>前述</w:t>
            </w:r>
            <w:r>
              <w:rPr>
                <w:rFonts w:hint="default" w:ascii="仿宋_GB2312" w:hAnsi="仿宋" w:eastAsia="仿宋_GB2312" w:cs="仿宋_GB2312"/>
                <w:color w:val="000000" w:themeColor="text1"/>
                <w:kern w:val="2"/>
                <w:sz w:val="24"/>
                <w:szCs w:val="22"/>
                <w:lang w:val="en-US" w:eastAsia="zh-CN" w:bidi="ar-SA"/>
                <w14:textFill>
                  <w14:solidFill>
                    <w14:schemeClr w14:val="tx1"/>
                  </w14:solidFill>
                </w14:textFill>
              </w:rPr>
              <w:t>所列收费文件规定收费标准的</w:t>
            </w:r>
            <w:r>
              <w:rPr>
                <w:rFonts w:hint="default" w:ascii="仿宋_GB2312" w:hAnsi="仿宋" w:eastAsia="仿宋_GB2312" w:cs="仿宋_GB2312"/>
                <w:color w:val="000000" w:themeColor="text1"/>
                <w:kern w:val="2"/>
                <w:sz w:val="24"/>
                <w:szCs w:val="22"/>
                <w:u w:val="single"/>
                <w:lang w:val="en-US" w:eastAsia="zh-CN" w:bidi="ar-SA"/>
                <w14:textFill>
                  <w14:solidFill>
                    <w14:schemeClr w14:val="tx1"/>
                  </w14:solidFill>
                </w14:textFill>
              </w:rPr>
              <w:t xml:space="preserve">     </w:t>
            </w:r>
            <w:r>
              <w:rPr>
                <w:rFonts w:hint="default" w:ascii="仿宋_GB2312" w:hAnsi="仿宋" w:eastAsia="仿宋_GB2312" w:cs="仿宋_GB2312"/>
                <w:color w:val="000000" w:themeColor="text1"/>
                <w:kern w:val="2"/>
                <w:sz w:val="24"/>
                <w:szCs w:val="22"/>
                <w:lang w:val="en-US" w:eastAsia="zh-CN" w:bidi="ar-SA"/>
                <w14:textFill>
                  <w14:solidFill>
                    <w14:schemeClr w14:val="tx1"/>
                  </w14:solidFill>
                </w14:textFill>
              </w:rPr>
              <w:t>%</w:t>
            </w:r>
          </w:p>
        </w:tc>
        <w:tc>
          <w:tcPr>
            <w:tcW w:w="517" w:type="pct"/>
            <w:vMerge w:val="restart"/>
            <w:vAlign w:val="center"/>
          </w:tcPr>
          <w:p>
            <w:pPr>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color w:val="000000" w:themeColor="text1"/>
                <w:kern w:val="2"/>
                <w:sz w:val="24"/>
                <w:szCs w:val="22"/>
                <w:lang w:val="en-US" w:eastAsia="zh-CN" w:bidi="ar-SA"/>
                <w14:textFill>
                  <w14:solidFill>
                    <w14:schemeClr w14:val="tx1"/>
                  </w14:solidFill>
                </w14:textFill>
              </w:rPr>
              <w:t>2年</w:t>
            </w:r>
          </w:p>
        </w:tc>
        <w:tc>
          <w:tcPr>
            <w:tcW w:w="398" w:type="pct"/>
            <w:vMerge w:val="restart"/>
            <w:vAlign w:val="center"/>
          </w:tcPr>
          <w:p>
            <w:pPr>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7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468" w:type="pct"/>
            <w:vMerge w:val="continue"/>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808" w:type="pct"/>
            <w:vAlign w:val="center"/>
          </w:tcPr>
          <w:p>
            <w:pPr>
              <w:snapToGrid w:val="0"/>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以单位名义出具成果报告</w:t>
            </w:r>
          </w:p>
        </w:tc>
        <w:tc>
          <w:tcPr>
            <w:tcW w:w="1325" w:type="pct"/>
            <w:vAlign w:val="center"/>
          </w:tcPr>
          <w:p>
            <w:pPr>
              <w:spacing w:line="360" w:lineRule="auto"/>
              <w:jc w:val="center"/>
              <w:rPr>
                <w:rFonts w:ascii="仿宋_GB2312" w:hAnsi="仿宋" w:eastAsia="仿宋_GB2312" w:cs="仿宋_GB2312"/>
                <w:b/>
                <w:bCs/>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bCs/>
                <w:color w:val="000000" w:themeColor="text1"/>
                <w:kern w:val="2"/>
                <w:sz w:val="24"/>
                <w:szCs w:val="22"/>
                <w:lang w:val="en-US" w:eastAsia="zh-CN" w:bidi="ar-SA"/>
                <w14:textFill>
                  <w14:solidFill>
                    <w14:schemeClr w14:val="tx1"/>
                  </w14:solidFill>
                </w14:textFill>
              </w:rPr>
              <w:t>按照《浙江省物价局关于进一步完善工程造价咨询服务收费的通知》（浙价服〔2009〕84号）规定收费标准的60%</w:t>
            </w:r>
          </w:p>
        </w:tc>
        <w:tc>
          <w:tcPr>
            <w:tcW w:w="1208" w:type="pct"/>
            <w:vAlign w:val="center"/>
          </w:tcPr>
          <w:p>
            <w:pPr>
              <w:spacing w:line="360" w:lineRule="auto"/>
              <w:jc w:val="center"/>
              <w:rPr>
                <w:rFonts w:ascii="仿宋_GB2312" w:hAnsi="仿宋" w:eastAsia="仿宋_GB2312" w:cs="仿宋_GB2312"/>
                <w:b/>
                <w:bCs/>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color w:val="000000" w:themeColor="text1"/>
                <w:kern w:val="2"/>
                <w:sz w:val="24"/>
                <w:szCs w:val="22"/>
                <w:lang w:val="en-US" w:eastAsia="zh-CN" w:bidi="ar-SA"/>
                <w14:textFill>
                  <w14:solidFill>
                    <w14:schemeClr w14:val="tx1"/>
                  </w14:solidFill>
                </w14:textFill>
              </w:rPr>
              <w:t>前述</w:t>
            </w:r>
            <w:r>
              <w:rPr>
                <w:rFonts w:hint="default" w:ascii="仿宋_GB2312" w:hAnsi="仿宋" w:eastAsia="仿宋_GB2312" w:cs="仿宋_GB2312"/>
                <w:color w:val="000000" w:themeColor="text1"/>
                <w:kern w:val="2"/>
                <w:sz w:val="24"/>
                <w:szCs w:val="22"/>
                <w:lang w:val="en-US" w:eastAsia="zh-CN" w:bidi="ar-SA"/>
                <w14:textFill>
                  <w14:solidFill>
                    <w14:schemeClr w14:val="tx1"/>
                  </w14:solidFill>
                </w14:textFill>
              </w:rPr>
              <w:t>所列收费文件规定收费标准的</w:t>
            </w:r>
            <w:r>
              <w:rPr>
                <w:rFonts w:hint="default" w:ascii="仿宋_GB2312" w:hAnsi="仿宋" w:eastAsia="仿宋_GB2312" w:cs="仿宋_GB2312"/>
                <w:color w:val="000000" w:themeColor="text1"/>
                <w:kern w:val="2"/>
                <w:sz w:val="24"/>
                <w:szCs w:val="22"/>
                <w:u w:val="single"/>
                <w:lang w:val="en-US" w:eastAsia="zh-CN" w:bidi="ar-SA"/>
                <w14:textFill>
                  <w14:solidFill>
                    <w14:schemeClr w14:val="tx1"/>
                  </w14:solidFill>
                </w14:textFill>
              </w:rPr>
              <w:t xml:space="preserve">     </w:t>
            </w:r>
            <w:r>
              <w:rPr>
                <w:rFonts w:hint="default" w:ascii="仿宋_GB2312" w:hAnsi="仿宋" w:eastAsia="仿宋_GB2312" w:cs="仿宋_GB2312"/>
                <w:color w:val="000000" w:themeColor="text1"/>
                <w:kern w:val="2"/>
                <w:sz w:val="24"/>
                <w:szCs w:val="22"/>
                <w:lang w:val="en-US" w:eastAsia="zh-CN" w:bidi="ar-SA"/>
                <w14:textFill>
                  <w14:solidFill>
                    <w14:schemeClr w14:val="tx1"/>
                  </w14:solidFill>
                </w14:textFill>
              </w:rPr>
              <w:t>%</w:t>
            </w:r>
          </w:p>
        </w:tc>
        <w:tc>
          <w:tcPr>
            <w:tcW w:w="517" w:type="pct"/>
            <w:vMerge w:val="continue"/>
            <w:vAlign w:val="center"/>
          </w:tcPr>
          <w:p>
            <w:pPr>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p>
        </w:tc>
        <w:tc>
          <w:tcPr>
            <w:tcW w:w="398" w:type="pct"/>
            <w:vMerge w:val="continue"/>
            <w:vAlign w:val="center"/>
          </w:tcPr>
          <w:p>
            <w:pPr>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bookmarkEnd w:id="365"/>
    <w:p>
      <w:pPr>
        <w:adjustRightInd w:val="0"/>
        <w:spacing w:line="360" w:lineRule="auto"/>
        <w:jc w:val="both"/>
        <w:outlineLvl w:val="0"/>
        <w:rPr>
          <w:rFonts w:ascii="仿宋_GB2312" w:hAnsi="仿宋" w:eastAsia="仿宋_GB2312" w:cs="仿宋_GB2312"/>
          <w:sz w:val="36"/>
          <w:szCs w:val="36"/>
          <w:lang w:val="zh-CN"/>
        </w:rPr>
      </w:pPr>
    </w:p>
    <w:p>
      <w:pPr>
        <w:pStyle w:val="2"/>
        <w:numPr>
          <w:ilvl w:val="0"/>
          <w:numId w:val="0"/>
        </w:numPr>
        <w:ind w:leftChars="0"/>
        <w:rPr>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pStyle w:val="21"/>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2"/>
        <w:numPr>
          <w:ilvl w:val="0"/>
          <w:numId w:val="0"/>
        </w:numPr>
        <w:ind w:leftChars="0"/>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366" w:name="OLE_LINK14"/>
      <w:bookmarkStart w:id="367" w:name="OLE_LINK13"/>
      <w:r>
        <w:rPr>
          <w:rFonts w:hint="eastAsia" w:ascii="仿宋" w:hAnsi="仿宋" w:eastAsia="仿宋" w:cs="仿宋"/>
          <w:b/>
          <w:spacing w:val="6"/>
          <w:sz w:val="32"/>
          <w:szCs w:val="32"/>
        </w:rPr>
        <w:t>残疾人福利性单位声明函</w:t>
      </w:r>
    </w:p>
    <w:bookmarkEnd w:id="366"/>
    <w:bookmarkEnd w:id="367"/>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6"/>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7"/>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r>
        <w:rPr>
          <w:rFonts w:hint="eastAsia" w:ascii="仿宋" w:hAnsi="仿宋" w:eastAsia="仿宋" w:cs="仿宋_GB2312"/>
          <w:color w:val="000000" w:themeColor="text1"/>
          <w:sz w:val="24"/>
          <w:u w:val="single"/>
          <w14:textFill>
            <w14:solidFill>
              <w14:schemeClr w14:val="tx1"/>
            </w14:solidFill>
          </w14:textFill>
        </w:rPr>
        <w:t xml:space="preserve"> 、杭州市公共资源交易中心</w:t>
      </w:r>
      <w:r>
        <w:rPr>
          <w:rFonts w:hint="eastAsia" w:ascii="仿宋" w:hAnsi="仿宋" w:eastAsia="仿宋" w:cs="仿宋_GB2312"/>
          <w:color w:val="000000" w:themeColor="text1"/>
          <w:sz w:val="24"/>
          <w:u w:val="single"/>
          <w:lang w:eastAsia="zh-CN"/>
          <w14:textFill>
            <w14:solidFill>
              <w14:schemeClr w14:val="tx1"/>
            </w14:solidFill>
          </w14:textFill>
        </w:rPr>
        <w:t>临安分中心</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both"/>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7"/>
        <w:rPr>
          <w:rFonts w:hint="eastAsia" w:ascii="仿宋" w:hAnsi="仿宋" w:eastAsia="仿宋" w:cs="仿宋"/>
          <w:b/>
          <w:bCs/>
          <w:sz w:val="32"/>
          <w:szCs w:val="32"/>
          <w:lang w:val="en-US" w:eastAsia="zh-CN"/>
        </w:rPr>
      </w:pPr>
    </w:p>
    <w:p>
      <w:pPr>
        <w:pStyle w:val="7"/>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14"/>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2"/>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22"/>
        <w:numPr>
          <w:ilvl w:val="0"/>
          <w:numId w:val="0"/>
        </w:numPr>
        <w:jc w:val="both"/>
        <w:rPr>
          <w:rFonts w:hint="eastAsia" w:ascii="仿宋" w:hAnsi="仿宋" w:eastAsia="仿宋" w:cs="仿宋"/>
          <w:b/>
          <w:sz w:val="36"/>
          <w:szCs w:val="36"/>
        </w:rPr>
      </w:pPr>
    </w:p>
    <w:p>
      <w:pPr>
        <w:pStyle w:val="22"/>
        <w:numPr>
          <w:ilvl w:val="0"/>
          <w:numId w:val="0"/>
        </w:numPr>
        <w:jc w:val="both"/>
        <w:rPr>
          <w:rFonts w:hint="eastAsia" w:ascii="仿宋" w:hAnsi="仿宋" w:eastAsia="仿宋" w:cs="仿宋"/>
          <w:b/>
          <w:sz w:val="36"/>
          <w:szCs w:val="36"/>
        </w:rPr>
      </w:pPr>
    </w:p>
    <w:p>
      <w:pPr>
        <w:pStyle w:val="22"/>
        <w:numPr>
          <w:ilvl w:val="0"/>
          <w:numId w:val="0"/>
        </w:numPr>
        <w:jc w:val="both"/>
        <w:rPr>
          <w:rFonts w:hint="eastAsia" w:ascii="仿宋" w:hAnsi="仿宋" w:eastAsia="仿宋" w:cs="仿宋"/>
          <w:b/>
          <w:sz w:val="36"/>
          <w:szCs w:val="36"/>
        </w:rPr>
      </w:pPr>
    </w:p>
    <w:p>
      <w:pPr>
        <w:pStyle w:val="6"/>
        <w:rPr>
          <w:rFonts w:hint="eastAsia" w:ascii="仿宋" w:hAnsi="仿宋" w:eastAsia="仿宋" w:cs="仿宋"/>
          <w:b/>
          <w:bCs/>
          <w:sz w:val="24"/>
        </w:rPr>
      </w:pPr>
    </w:p>
    <w:p>
      <w:pPr>
        <w:pStyle w:val="9"/>
        <w:numPr>
          <w:ilvl w:val="0"/>
          <w:numId w:val="0"/>
        </w:numPr>
        <w:tabs>
          <w:tab w:val="left" w:pos="840"/>
        </w:tabs>
        <w:spacing w:line="360" w:lineRule="auto"/>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pPr>
    </w:p>
    <w:sectPr>
      <w:pgSz w:w="11906" w:h="16838"/>
      <w:pgMar w:top="680" w:right="1417" w:bottom="68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swiss"/>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lang w:val="en-US" w:eastAsia="zh-CN"/>
      </w:rPr>
      <w:t xml:space="preserve">                                                               </w:t>
    </w:r>
    <w:r>
      <w:rPr>
        <w:rFonts w:hint="eastAsia"/>
      </w:rPr>
      <w:t>杭州市</w:t>
    </w:r>
    <w:r>
      <w:rPr>
        <w:rFonts w:hint="eastAsia"/>
        <w:lang w:eastAsia="zh-CN"/>
      </w:rPr>
      <w:t>临安区</w:t>
    </w:r>
    <w:r>
      <w:rPr>
        <w:rFonts w:hint="eastAsia"/>
      </w:rPr>
      <w:t>政府采购</w:t>
    </w:r>
    <w:r>
      <w:rPr>
        <w:rFonts w:hint="eastAsia"/>
        <w:lang w:eastAsia="zh-CN"/>
      </w:rPr>
      <w:t>征集</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w:t>
    </w:r>
    <w:r>
      <w:rPr>
        <w:rFonts w:hint="eastAsia"/>
      </w:rPr>
      <w:t xml:space="preserve">    </w:t>
    </w:r>
  </w:p>
  <w:p>
    <w:pPr>
      <w:pStyle w:val="11"/>
    </w:pPr>
    <w:r>
      <w:rPr>
        <w:rFonts w:hint="eastAsia"/>
      </w:rPr>
      <w:t xml:space="preserve">                                                                杭州市</w:t>
    </w:r>
    <w:r>
      <w:rPr>
        <w:rFonts w:hint="eastAsia"/>
        <w:lang w:eastAsia="zh-CN"/>
      </w:rPr>
      <w:t>临安区</w:t>
    </w:r>
    <w:r>
      <w:rPr>
        <w:rFonts w:hint="eastAsia"/>
      </w:rPr>
      <w:t>政府采购</w:t>
    </w:r>
    <w:r>
      <w:rPr>
        <w:rFonts w:hint="eastAsia"/>
        <w:lang w:eastAsia="zh-CN"/>
      </w:rPr>
      <w:t>征集</w:t>
    </w:r>
    <w:r>
      <w:rPr>
        <w:rFonts w:hint="eastAsia"/>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w:t>
    </w:r>
    <w:r>
      <w:rPr>
        <w:rFonts w:hint="eastAsia"/>
        <w:lang w:eastAsia="zh-CN"/>
      </w:rPr>
      <w:t>征集</w:t>
    </w:r>
    <w:r>
      <w:t>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6D8FF"/>
    <w:multiLevelType w:val="singleLevel"/>
    <w:tmpl w:val="A006D8FF"/>
    <w:lvl w:ilvl="0" w:tentative="0">
      <w:start w:val="1"/>
      <w:numFmt w:val="chineseCounting"/>
      <w:suff w:val="space"/>
      <w:lvlText w:val="%1、"/>
      <w:lvlJc w:val="left"/>
      <w:rPr>
        <w:rFonts w:hint="eastAsia"/>
      </w:rPr>
    </w:lvl>
  </w:abstractNum>
  <w:abstractNum w:abstractNumId="1">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378C8E1"/>
    <w:multiLevelType w:val="singleLevel"/>
    <w:tmpl w:val="4378C8E1"/>
    <w:lvl w:ilvl="0" w:tentative="0">
      <w:start w:val="7"/>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512E8"/>
    <w:rsid w:val="01853566"/>
    <w:rsid w:val="01E116B8"/>
    <w:rsid w:val="02261AC7"/>
    <w:rsid w:val="02D34B04"/>
    <w:rsid w:val="02E57A12"/>
    <w:rsid w:val="0341268A"/>
    <w:rsid w:val="036F6334"/>
    <w:rsid w:val="03834546"/>
    <w:rsid w:val="03AD2885"/>
    <w:rsid w:val="04C16FB3"/>
    <w:rsid w:val="05F31CBE"/>
    <w:rsid w:val="060B569C"/>
    <w:rsid w:val="06510168"/>
    <w:rsid w:val="065A62DD"/>
    <w:rsid w:val="06EC4B80"/>
    <w:rsid w:val="07E76430"/>
    <w:rsid w:val="08DE7E02"/>
    <w:rsid w:val="090F03DC"/>
    <w:rsid w:val="09F600D5"/>
    <w:rsid w:val="0AAB3624"/>
    <w:rsid w:val="0B3518FE"/>
    <w:rsid w:val="0BF743A2"/>
    <w:rsid w:val="0C0B75F0"/>
    <w:rsid w:val="0C2360F9"/>
    <w:rsid w:val="0C442547"/>
    <w:rsid w:val="0C704A46"/>
    <w:rsid w:val="0CBD581F"/>
    <w:rsid w:val="0D10651F"/>
    <w:rsid w:val="0D217C84"/>
    <w:rsid w:val="0D75443C"/>
    <w:rsid w:val="0DA1770B"/>
    <w:rsid w:val="0E0F323D"/>
    <w:rsid w:val="0F1B746E"/>
    <w:rsid w:val="0F555D2A"/>
    <w:rsid w:val="0F574322"/>
    <w:rsid w:val="1042341B"/>
    <w:rsid w:val="104629AC"/>
    <w:rsid w:val="10C30646"/>
    <w:rsid w:val="1170483A"/>
    <w:rsid w:val="12792047"/>
    <w:rsid w:val="12E12E73"/>
    <w:rsid w:val="131503A2"/>
    <w:rsid w:val="13D507CB"/>
    <w:rsid w:val="143615E2"/>
    <w:rsid w:val="150507E4"/>
    <w:rsid w:val="150A3E19"/>
    <w:rsid w:val="157352BC"/>
    <w:rsid w:val="159C68AA"/>
    <w:rsid w:val="15BC13DB"/>
    <w:rsid w:val="16956924"/>
    <w:rsid w:val="169A066C"/>
    <w:rsid w:val="16B31E68"/>
    <w:rsid w:val="16D55A39"/>
    <w:rsid w:val="180B56C8"/>
    <w:rsid w:val="19290887"/>
    <w:rsid w:val="1AC27DB1"/>
    <w:rsid w:val="1B4D7803"/>
    <w:rsid w:val="1B9D6ED8"/>
    <w:rsid w:val="1CEB5DB0"/>
    <w:rsid w:val="1D62051F"/>
    <w:rsid w:val="1D66062C"/>
    <w:rsid w:val="1E5E67A4"/>
    <w:rsid w:val="1F1A61FD"/>
    <w:rsid w:val="1F216788"/>
    <w:rsid w:val="1FB97EE1"/>
    <w:rsid w:val="21222BEB"/>
    <w:rsid w:val="216E2D30"/>
    <w:rsid w:val="22523741"/>
    <w:rsid w:val="226B3CCA"/>
    <w:rsid w:val="22C9443C"/>
    <w:rsid w:val="25A70245"/>
    <w:rsid w:val="263938EB"/>
    <w:rsid w:val="279851F0"/>
    <w:rsid w:val="29B1506D"/>
    <w:rsid w:val="2A99073A"/>
    <w:rsid w:val="2B19305C"/>
    <w:rsid w:val="2C9816C9"/>
    <w:rsid w:val="2C9B724F"/>
    <w:rsid w:val="2DA05D44"/>
    <w:rsid w:val="2DE17EAB"/>
    <w:rsid w:val="2E505146"/>
    <w:rsid w:val="2E825089"/>
    <w:rsid w:val="2F154F7A"/>
    <w:rsid w:val="307F2F77"/>
    <w:rsid w:val="30FA7F26"/>
    <w:rsid w:val="32824C0A"/>
    <w:rsid w:val="3297706D"/>
    <w:rsid w:val="33ED0611"/>
    <w:rsid w:val="34D42255"/>
    <w:rsid w:val="35086DC3"/>
    <w:rsid w:val="3566227F"/>
    <w:rsid w:val="364D1590"/>
    <w:rsid w:val="365652A6"/>
    <w:rsid w:val="36BE4CF2"/>
    <w:rsid w:val="38653F1B"/>
    <w:rsid w:val="386F1D64"/>
    <w:rsid w:val="39B21655"/>
    <w:rsid w:val="3B787162"/>
    <w:rsid w:val="3BEC3C35"/>
    <w:rsid w:val="40934C11"/>
    <w:rsid w:val="40FB4904"/>
    <w:rsid w:val="40FC17EF"/>
    <w:rsid w:val="432F6DEC"/>
    <w:rsid w:val="4339374E"/>
    <w:rsid w:val="449E7E49"/>
    <w:rsid w:val="44EE7B89"/>
    <w:rsid w:val="44F54749"/>
    <w:rsid w:val="451A4ECC"/>
    <w:rsid w:val="451D3816"/>
    <w:rsid w:val="4569130A"/>
    <w:rsid w:val="460E7FDD"/>
    <w:rsid w:val="475528C1"/>
    <w:rsid w:val="48F52D05"/>
    <w:rsid w:val="49525546"/>
    <w:rsid w:val="49551F98"/>
    <w:rsid w:val="49614377"/>
    <w:rsid w:val="49B62D6A"/>
    <w:rsid w:val="4A181386"/>
    <w:rsid w:val="4A691CCC"/>
    <w:rsid w:val="4A6A12D2"/>
    <w:rsid w:val="4A6C1D87"/>
    <w:rsid w:val="4A957BFF"/>
    <w:rsid w:val="4AA14D27"/>
    <w:rsid w:val="4CA417F4"/>
    <w:rsid w:val="4CEA0384"/>
    <w:rsid w:val="4D2040AF"/>
    <w:rsid w:val="4D581C6E"/>
    <w:rsid w:val="4E014EE4"/>
    <w:rsid w:val="4E6E16D4"/>
    <w:rsid w:val="4E715215"/>
    <w:rsid w:val="4EE70B73"/>
    <w:rsid w:val="4F44674B"/>
    <w:rsid w:val="506F15DF"/>
    <w:rsid w:val="51982C79"/>
    <w:rsid w:val="51F54EFF"/>
    <w:rsid w:val="51FB05C5"/>
    <w:rsid w:val="52E2611B"/>
    <w:rsid w:val="539E6EE9"/>
    <w:rsid w:val="542B425C"/>
    <w:rsid w:val="55A63D53"/>
    <w:rsid w:val="56157516"/>
    <w:rsid w:val="573F28C8"/>
    <w:rsid w:val="579B7BC5"/>
    <w:rsid w:val="58A209A8"/>
    <w:rsid w:val="5A3362D0"/>
    <w:rsid w:val="5A8E253F"/>
    <w:rsid w:val="5B8772DA"/>
    <w:rsid w:val="5BD63A45"/>
    <w:rsid w:val="5C7C4E64"/>
    <w:rsid w:val="5CDC08DD"/>
    <w:rsid w:val="5D07138F"/>
    <w:rsid w:val="5D580FAF"/>
    <w:rsid w:val="5DB9307F"/>
    <w:rsid w:val="5DBE214D"/>
    <w:rsid w:val="5DE70CC9"/>
    <w:rsid w:val="5EB24D97"/>
    <w:rsid w:val="60740473"/>
    <w:rsid w:val="61A802E1"/>
    <w:rsid w:val="62053FC2"/>
    <w:rsid w:val="638F5E5F"/>
    <w:rsid w:val="64211084"/>
    <w:rsid w:val="65693E49"/>
    <w:rsid w:val="65BE445F"/>
    <w:rsid w:val="663B3641"/>
    <w:rsid w:val="666A088F"/>
    <w:rsid w:val="66736148"/>
    <w:rsid w:val="689405D0"/>
    <w:rsid w:val="694E2980"/>
    <w:rsid w:val="69B903B3"/>
    <w:rsid w:val="6A51239B"/>
    <w:rsid w:val="6A6D77C3"/>
    <w:rsid w:val="6BD12C58"/>
    <w:rsid w:val="6C033F0E"/>
    <w:rsid w:val="6C3461AB"/>
    <w:rsid w:val="6C954645"/>
    <w:rsid w:val="6D3D6914"/>
    <w:rsid w:val="6DA334FE"/>
    <w:rsid w:val="6DF115D5"/>
    <w:rsid w:val="6E293B12"/>
    <w:rsid w:val="70E20E18"/>
    <w:rsid w:val="71E76F16"/>
    <w:rsid w:val="724D2B51"/>
    <w:rsid w:val="72723A68"/>
    <w:rsid w:val="72EF5511"/>
    <w:rsid w:val="72FA787B"/>
    <w:rsid w:val="73873251"/>
    <w:rsid w:val="73AF7BFF"/>
    <w:rsid w:val="743D68E8"/>
    <w:rsid w:val="75866AAA"/>
    <w:rsid w:val="75B457CD"/>
    <w:rsid w:val="75BE03E4"/>
    <w:rsid w:val="769F6FA8"/>
    <w:rsid w:val="76F00857"/>
    <w:rsid w:val="76F24729"/>
    <w:rsid w:val="76FF59DC"/>
    <w:rsid w:val="787823A0"/>
    <w:rsid w:val="796F165C"/>
    <w:rsid w:val="7BCD5BC6"/>
    <w:rsid w:val="7BE8353A"/>
    <w:rsid w:val="7C230068"/>
    <w:rsid w:val="7C954CB9"/>
    <w:rsid w:val="7EC45854"/>
    <w:rsid w:val="7F2D7FA3"/>
    <w:rsid w:val="7FAB2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2">
    <w:name w:val="heading 2"/>
    <w:basedOn w:val="1"/>
    <w:next w:val="1"/>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4">
    <w:name w:val="heading 3"/>
    <w:basedOn w:val="1"/>
    <w:next w:val="1"/>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6">
    <w:name w:val="Body Text"/>
    <w:basedOn w:val="1"/>
    <w:next w:val="7"/>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7">
    <w:name w:val="Body Text First Indent"/>
    <w:basedOn w:val="6"/>
    <w:qFormat/>
    <w:uiPriority w:val="0"/>
    <w:pPr>
      <w:ind w:firstLine="420"/>
    </w:pPr>
    <w:rPr>
      <w:rFonts w:hAnsiTheme="minorHAnsi" w:eastAsiaTheme="minorEastAsia" w:cstheme="minorBidi"/>
      <w:snapToGrid/>
      <w:szCs w:val="22"/>
    </w:rPr>
  </w:style>
  <w:style w:type="paragraph" w:styleId="8">
    <w:name w:val="Body Text Indent"/>
    <w:basedOn w:val="1"/>
    <w:next w:val="1"/>
    <w:qFormat/>
    <w:uiPriority w:val="99"/>
    <w:pPr>
      <w:spacing w:line="480" w:lineRule="exact"/>
      <w:ind w:firstLine="480" w:firstLineChars="200"/>
    </w:pPr>
    <w:rPr>
      <w:rFonts w:ascii="宋体" w:hAnsi="宋体" w:cs="宋体"/>
      <w:sz w:val="24"/>
      <w:szCs w:val="24"/>
    </w:rPr>
  </w:style>
  <w:style w:type="paragraph" w:styleId="9">
    <w:name w:val="Plain Text"/>
    <w:basedOn w:val="1"/>
    <w:qFormat/>
    <w:uiPriority w:val="0"/>
    <w:pPr>
      <w:adjustRightInd w:val="0"/>
    </w:pPr>
    <w:rPr>
      <w:rFonts w:ascii="宋体" w:hAnsi="Courier New" w:eastAsia="宋体" w:cs="Arial"/>
      <w:snapToGrid w:val="0"/>
      <w:szCs w:val="21"/>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13">
    <w:name w:val="Title"/>
    <w:basedOn w:val="1"/>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character" w:styleId="16">
    <w:name w:val="page number"/>
    <w:basedOn w:val="15"/>
    <w:qFormat/>
    <w:uiPriority w:val="0"/>
    <w:rPr>
      <w:rFonts w:ascii="Arial" w:hAnsi="Arial" w:eastAsia="黑体" w:cs="Arial"/>
      <w:snapToGrid w:val="0"/>
      <w:kern w:val="0"/>
      <w:szCs w:val="21"/>
    </w:rPr>
  </w:style>
  <w:style w:type="paragraph" w:customStyle="1" w:styleId="17">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正文2"/>
    <w:basedOn w:val="1"/>
    <w:qFormat/>
    <w:uiPriority w:val="0"/>
    <w:pPr>
      <w:adjustRightInd w:val="0"/>
      <w:spacing w:before="156" w:line="360" w:lineRule="auto"/>
      <w:ind w:firstLine="510" w:firstLineChars="200"/>
    </w:pPr>
    <w:rPr>
      <w:rFonts w:eastAsia="宋体"/>
      <w:sz w:val="24"/>
    </w:rPr>
  </w:style>
  <w:style w:type="paragraph" w:customStyle="1" w:styleId="19">
    <w:name w:val="纯文本_0_0"/>
    <w:basedOn w:val="20"/>
    <w:qFormat/>
    <w:uiPriority w:val="0"/>
    <w:rPr>
      <w:rFonts w:ascii="宋体" w:hAnsi="Courier New"/>
      <w:szCs w:val="21"/>
    </w:rPr>
  </w:style>
  <w:style w:type="paragraph" w:customStyle="1" w:styleId="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2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2022-04-02T02:08:00Z</dcterms:created>
  <dc:creator>Administrator</dc:creator>
  <cp:lastModifiedBy>Administrator</cp:lastModifiedBy>
  <cp:lastPrinted>2022-04-26T02:11:00Z</cp:lastPrinted>
  <dcterms:modified xsi:type="dcterms:W3CDTF">2022-04-27T03:30:42Z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419B45E37CF04A96A93FCD3ABDC23B64</vt:lpwstr>
  </property>
</Properties>
</file>