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杭州市临安区城市物联感知平台采购项目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编号:（采购编号</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"https://pay.zcygov.cn/purchaseplan_front/" \l "/plan/list/view?id=1000000000009122268" \t "https://www.zcygov.cn/delegation-order/order/orderInfo/check/_blank" </w:instrText>
      </w:r>
      <w:r>
        <w:rPr>
          <w:rFonts w:hint="eastAsia" w:ascii="仿宋" w:hAnsi="仿宋" w:eastAsia="仿宋" w:cs="仿宋"/>
          <w:sz w:val="30"/>
          <w:szCs w:val="30"/>
        </w:rPr>
        <w:fldChar w:fldCharType="separate"/>
      </w:r>
      <w:r>
        <w:rPr>
          <w:rFonts w:hint="eastAsia" w:ascii="仿宋" w:hAnsi="仿宋" w:eastAsia="仿宋" w:cs="仿宋"/>
          <w:sz w:val="30"/>
          <w:szCs w:val="30"/>
        </w:rPr>
        <w:t>临[2022]2822号</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-1</w:t>
      </w:r>
      <w:r>
        <w:rPr>
          <w:rFonts w:hint="eastAsia" w:ascii="仿宋" w:hAnsi="仿宋" w:eastAsia="仿宋" w:cs="仿宋"/>
          <w:sz w:val="30"/>
          <w:szCs w:val="30"/>
        </w:rPr>
        <w:t>）</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杭州市临安区数据资源管理局</w:t>
      </w:r>
    </w:p>
    <w:p>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杭州市公共资源交易中心</w:t>
      </w:r>
      <w:r>
        <w:rPr>
          <w:rFonts w:hint="eastAsia" w:ascii="仿宋" w:hAnsi="仿宋" w:eastAsia="仿宋" w:cs="仿宋"/>
          <w:bCs/>
          <w:sz w:val="32"/>
          <w:szCs w:val="32"/>
          <w:lang w:eastAsia="zh-CN"/>
        </w:rPr>
        <w:t>临安分中心</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二</w:t>
      </w:r>
      <w:r>
        <w:rPr>
          <w:rFonts w:hint="eastAsia" w:ascii="仿宋" w:hAnsi="仿宋" w:eastAsia="仿宋" w:cs="仿宋"/>
          <w:bCs/>
          <w:sz w:val="32"/>
          <w:szCs w:val="32"/>
        </w:rPr>
        <w:t>年</w:t>
      </w:r>
      <w:r>
        <w:rPr>
          <w:rFonts w:hint="eastAsia" w:ascii="仿宋" w:hAnsi="仿宋" w:eastAsia="仿宋" w:cs="仿宋"/>
          <w:bCs/>
          <w:sz w:val="32"/>
          <w:szCs w:val="32"/>
          <w:lang w:eastAsia="zh-CN"/>
        </w:rPr>
        <w:t>十二</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二十</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pStyle w:val="634"/>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杭州市临安区城市物联感知平台采购项目招标项目的潜在投标人应在政采云平台（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r>
        <w:rPr>
          <w:rFonts w:hint="eastAsia" w:ascii="仿宋" w:hAnsi="仿宋" w:eastAsia="仿宋" w:cs="仿宋"/>
          <w:sz w:val="24"/>
        </w:rPr>
        <w:t>。</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rPr>
        <w:fldChar w:fldCharType="begin"/>
      </w:r>
      <w:r>
        <w:rPr>
          <w:rFonts w:hint="eastAsia" w:ascii="仿宋" w:hAnsi="仿宋" w:eastAsia="仿宋" w:cs="仿宋"/>
          <w:b w:val="0"/>
          <w:bCs/>
          <w:sz w:val="24"/>
        </w:rPr>
        <w:instrText xml:space="preserve"> HYPERLINK "https://pay.zcygov.cn/purchaseplan_front/" \l "/plan/list/view?id=1000000000009122268" \t "https://www.zcygov.cn/delegation-order/order/orderInfo/check/_blank" </w:instrText>
      </w:r>
      <w:r>
        <w:rPr>
          <w:rFonts w:hint="eastAsia" w:ascii="仿宋" w:hAnsi="仿宋" w:eastAsia="仿宋" w:cs="仿宋"/>
          <w:b w:val="0"/>
          <w:bCs/>
          <w:sz w:val="24"/>
        </w:rPr>
        <w:fldChar w:fldCharType="separate"/>
      </w:r>
      <w:r>
        <w:rPr>
          <w:rFonts w:hint="eastAsia" w:ascii="仿宋" w:hAnsi="仿宋" w:eastAsia="仿宋" w:cs="仿宋"/>
          <w:b w:val="0"/>
          <w:bCs/>
          <w:sz w:val="24"/>
        </w:rPr>
        <w:t>临[2022]2822号</w:t>
      </w:r>
      <w:r>
        <w:rPr>
          <w:rFonts w:hint="eastAsia" w:ascii="仿宋" w:hAnsi="仿宋" w:eastAsia="仿宋" w:cs="仿宋"/>
          <w:b w:val="0"/>
          <w:bCs/>
          <w:sz w:val="24"/>
        </w:rPr>
        <w:fldChar w:fldCharType="end"/>
      </w:r>
      <w:r>
        <w:rPr>
          <w:rFonts w:hint="eastAsia" w:ascii="仿宋" w:hAnsi="仿宋" w:eastAsia="仿宋" w:cs="仿宋"/>
          <w:b w:val="0"/>
          <w:bCs/>
          <w:sz w:val="24"/>
          <w:lang w:val="en-US" w:eastAsia="zh-CN"/>
        </w:rPr>
        <w:t>-1</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杭州市临安区城市物联感知平台采购项目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1800000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1800000</w:t>
      </w:r>
      <w:r>
        <w:rPr>
          <w:rFonts w:hint="eastAsia" w:ascii="仿宋" w:hAnsi="仿宋" w:eastAsia="仿宋" w:cs="仿宋"/>
          <w:sz w:val="24"/>
        </w:rPr>
        <w:t xml:space="preserve">  </w:t>
      </w:r>
    </w:p>
    <w:p>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rPr>
        <w:t>本项目建设的城市物联感知平台是城市物联感知体系的核心，主要功能是通过协议适配，将临安辖区范围内的物联感知设备通过直连或级联的方式接入平台；平台对接入设备的基本信息、运行状态、报警事件等数据进行汇聚、展示、统计和计算，并呈现在场景界面，实现对城市重要环节的数据监控，加强流程的可视、可管、可控；平台通过数据归集和共享，向数据资源体系输出规范化的数据，赋能区政府职能部门开展城市治理一网统管工作。同时，平台按照市数据资源管理部门编制的接口规范上报数据给市级物联感知平台，实现市域物联感知终端“一本账”管理，为城市多跨场景赋能</w:t>
      </w:r>
      <w:r>
        <w:rPr>
          <w:rFonts w:hint="eastAsia" w:ascii="仿宋" w:hAnsi="仿宋" w:eastAsia="仿宋" w:cs="仿宋"/>
          <w:b w:val="0"/>
          <w:bCs/>
          <w:snapToGrid/>
          <w:color w:val="auto"/>
          <w:kern w:val="2"/>
          <w:sz w:val="24"/>
          <w:szCs w:val="24"/>
        </w:rPr>
        <w:t>。</w:t>
      </w:r>
      <w:r>
        <w:rPr>
          <w:rFonts w:hint="eastAsia" w:ascii="仿宋" w:hAnsi="仿宋" w:eastAsia="仿宋" w:cs="仿宋"/>
          <w:bCs/>
          <w:snapToGrid/>
          <w:color w:val="auto"/>
          <w:kern w:val="2"/>
          <w:sz w:val="24"/>
          <w:szCs w:val="24"/>
        </w:rPr>
        <w:t>详见招标文件第三部分采购需求。</w:t>
      </w:r>
    </w:p>
    <w:p>
      <w:pPr>
        <w:pStyle w:val="128"/>
        <w:ind w:firstLine="482"/>
        <w:outlineLvl w:val="2"/>
        <w:rPr>
          <w:rFonts w:hint="eastAsia" w:ascii="仿宋" w:hAnsi="仿宋" w:eastAsia="仿宋" w:cs="仿宋"/>
          <w:lang w:eastAsia="zh-CN"/>
        </w:rPr>
      </w:pPr>
      <w:r>
        <w:rPr>
          <w:rFonts w:hint="eastAsia" w:ascii="仿宋" w:hAnsi="仿宋" w:eastAsia="仿宋" w:cs="仿宋"/>
          <w:b/>
        </w:rPr>
        <w:t>合同履约期限：</w:t>
      </w:r>
      <w:r>
        <w:rPr>
          <w:rFonts w:hint="eastAsia" w:ascii="仿宋" w:hAnsi="仿宋" w:eastAsia="仿宋" w:cs="仿宋"/>
          <w:sz w:val="24"/>
          <w:lang w:bidi="ar"/>
        </w:rPr>
        <w:t>项目建设期为</w:t>
      </w:r>
      <w:r>
        <w:rPr>
          <w:rFonts w:ascii="仿宋" w:hAnsi="仿宋" w:eastAsia="仿宋" w:cs="仿宋"/>
          <w:sz w:val="24"/>
          <w:lang w:bidi="ar"/>
        </w:rPr>
        <w:t>5</w:t>
      </w:r>
      <w:r>
        <w:rPr>
          <w:rFonts w:hint="eastAsia" w:ascii="仿宋" w:hAnsi="仿宋" w:eastAsia="仿宋" w:cs="仿宋"/>
          <w:sz w:val="24"/>
          <w:lang w:bidi="ar"/>
        </w:rPr>
        <w:t>个月内，自合同签订之日起</w:t>
      </w:r>
      <w:r>
        <w:rPr>
          <w:rFonts w:ascii="仿宋" w:hAnsi="仿宋" w:eastAsia="仿宋" w:cs="仿宋"/>
          <w:sz w:val="24"/>
          <w:lang w:bidi="ar"/>
        </w:rPr>
        <w:t>5</w:t>
      </w:r>
      <w:r>
        <w:rPr>
          <w:rFonts w:hint="eastAsia" w:ascii="仿宋" w:hAnsi="仿宋" w:eastAsia="仿宋" w:cs="仿宋"/>
          <w:sz w:val="24"/>
          <w:lang w:bidi="ar"/>
        </w:rPr>
        <w:t>个月内完成整体项目建设（可提前完成），其中实施期2个月，试运行3个月。</w:t>
      </w:r>
      <w:r>
        <w:rPr>
          <w:rFonts w:hint="eastAsia" w:ascii="仿宋" w:hAnsi="仿宋" w:eastAsia="仿宋" w:cs="仿宋"/>
          <w:sz w:val="24"/>
        </w:rPr>
        <w:t>供应商建设完成后提交采购人验收申请，采购人在收到验收申请的五个工作日内组织验收。驻点服务</w:t>
      </w:r>
      <w:r>
        <w:rPr>
          <w:rFonts w:hint="eastAsia" w:ascii="仿宋" w:hAnsi="仿宋" w:eastAsia="仿宋" w:cs="仿宋"/>
          <w:sz w:val="24"/>
          <w:lang w:eastAsia="zh-CN"/>
        </w:rPr>
        <w:t>：</w:t>
      </w:r>
      <w:r>
        <w:rPr>
          <w:rFonts w:hint="eastAsia" w:ascii="仿宋" w:hAnsi="仿宋" w:eastAsia="仿宋" w:cs="仿宋"/>
          <w:szCs w:val="24"/>
        </w:rPr>
        <w:t>服务期为自项目验收合格后36个月</w:t>
      </w:r>
      <w:r>
        <w:rPr>
          <w:rFonts w:hint="eastAsia" w:ascii="仿宋" w:hAnsi="仿宋" w:eastAsia="仿宋" w:cs="仿宋"/>
          <w:szCs w:val="24"/>
          <w:lang w:eastAsia="zh-CN"/>
        </w:rPr>
        <w:t>。</w:t>
      </w:r>
    </w:p>
    <w:p>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rPr>
        <w:t>三、获取招标文</w:t>
      </w:r>
      <w:r>
        <w:rPr>
          <w:rFonts w:hint="eastAsia" w:ascii="仿宋" w:hAnsi="仿宋" w:eastAsia="仿宋" w:cs="仿宋"/>
          <w:b/>
          <w:sz w:val="24"/>
          <w:highlight w:val="none"/>
        </w:rPr>
        <w:t xml:space="preserve">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w:t>
      </w:r>
      <w:r>
        <w:rPr>
          <w:rFonts w:hint="eastAsia" w:ascii="仿宋" w:hAnsi="仿宋" w:eastAsia="仿宋" w:cs="仿宋"/>
          <w:sz w:val="24"/>
          <w:highlight w:val="none"/>
          <w:u w:val="single"/>
          <w:lang w:val="en-US" w:eastAsia="zh-CN"/>
        </w:rPr>
        <w:t>23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rPr>
        <w:t>，每天</w:t>
      </w:r>
      <w:r>
        <w:rPr>
          <w:rFonts w:hint="eastAsia" w:ascii="仿宋" w:hAnsi="仿宋" w:eastAsia="仿宋" w:cs="仿宋"/>
          <w:sz w:val="24"/>
        </w:rPr>
        <w:t>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highlight w:val="none"/>
        </w:rPr>
      </w:pPr>
      <w:r>
        <w:rPr>
          <w:rFonts w:hint="eastAsia" w:ascii="仿宋" w:hAnsi="仿宋" w:eastAsia="仿宋" w:cs="仿宋"/>
          <w:b/>
          <w:sz w:val="24"/>
        </w:rPr>
        <w:t>四、提交投标文件截止时</w:t>
      </w:r>
      <w:r>
        <w:rPr>
          <w:rFonts w:hint="eastAsia" w:ascii="仿宋" w:hAnsi="仿宋" w:eastAsia="仿宋" w:cs="仿宋"/>
          <w:b/>
          <w:sz w:val="24"/>
          <w:highlight w:val="none"/>
        </w:rPr>
        <w:t>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称：杭州市临安区数据资源管理局 </w:t>
      </w:r>
    </w:p>
    <w:p>
      <w:pPr>
        <w:spacing w:line="360" w:lineRule="auto"/>
        <w:rPr>
          <w:rFonts w:hint="eastAsia" w:ascii="仿宋" w:hAnsi="仿宋" w:eastAsia="仿宋" w:cs="仿宋"/>
          <w:sz w:val="24"/>
        </w:rPr>
      </w:pPr>
      <w:r>
        <w:rPr>
          <w:rFonts w:hint="eastAsia" w:ascii="仿宋" w:hAnsi="仿宋" w:eastAsia="仿宋" w:cs="仿宋"/>
          <w:sz w:val="24"/>
        </w:rPr>
        <w:t xml:space="preserve">    地    址：临安区市民中心2号楼4楼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项目联系人（询问）：蒋雨婕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项目联系方式（询问）：0571-89540750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质疑联系人：童先生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质疑联系方式：0571-89540737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4398号市民中心4楼</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2"/>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标的：</w:t>
            </w:r>
            <w:r>
              <w:rPr>
                <w:rFonts w:hint="eastAsia" w:ascii="仿宋" w:hAnsi="仿宋" w:eastAsia="仿宋" w:cs="仿宋"/>
                <w:b/>
                <w:bCs/>
                <w:kern w:val="0"/>
                <w:sz w:val="24"/>
                <w:u w:val="single"/>
              </w:rPr>
              <w:t>城市物联感知平台</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二级等保测评服务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w:t>
            </w:r>
            <w:r>
              <w:rPr>
                <w:rFonts w:hint="eastAsia" w:ascii="仿宋" w:hAnsi="仿宋" w:eastAsia="仿宋" w:cs="仿宋"/>
                <w:kern w:val="28"/>
                <w:sz w:val="24"/>
                <w:szCs w:val="24"/>
                <w:u w:val="single"/>
                <w:lang w:eastAsia="zh-CN"/>
              </w:rPr>
              <w:t>临安区锦北街道科技大道</w:t>
            </w:r>
            <w:r>
              <w:rPr>
                <w:rFonts w:hint="eastAsia" w:ascii="仿宋" w:hAnsi="仿宋" w:eastAsia="仿宋" w:cs="仿宋"/>
                <w:kern w:val="28"/>
                <w:sz w:val="24"/>
                <w:szCs w:val="24"/>
                <w:u w:val="single"/>
                <w:lang w:val="en-US" w:eastAsia="zh-CN"/>
              </w:rPr>
              <w:t>4398号市民中心B座B448室</w:t>
            </w:r>
            <w:r>
              <w:rPr>
                <w:rFonts w:hint="eastAsia" w:ascii="仿宋" w:hAnsi="仿宋" w:eastAsia="仿宋" w:cs="仿宋"/>
                <w:kern w:val="28"/>
                <w:sz w:val="24"/>
                <w:szCs w:val="24"/>
                <w:u w:val="single"/>
              </w:rPr>
              <w:t>（杭州市公共资源交易中心</w:t>
            </w:r>
            <w:r>
              <w:rPr>
                <w:rFonts w:hint="eastAsia" w:ascii="仿宋" w:hAnsi="仿宋" w:eastAsia="仿宋" w:cs="仿宋"/>
                <w:kern w:val="28"/>
                <w:sz w:val="24"/>
                <w:szCs w:val="24"/>
                <w:u w:val="single"/>
                <w:lang w:eastAsia="zh-CN"/>
              </w:rPr>
              <w:t>临安分中心</w:t>
            </w:r>
            <w:r>
              <w:rPr>
                <w:rFonts w:hint="eastAsia" w:ascii="仿宋" w:hAnsi="仿宋" w:eastAsia="仿宋" w:cs="仿宋"/>
                <w:kern w:val="28"/>
                <w:sz w:val="24"/>
                <w:szCs w:val="24"/>
                <w:u w:val="single"/>
              </w:rPr>
              <w:t>政府采购</w:t>
            </w:r>
            <w:r>
              <w:rPr>
                <w:rFonts w:hint="eastAsia" w:ascii="仿宋" w:hAnsi="仿宋" w:eastAsia="仿宋" w:cs="仿宋"/>
                <w:kern w:val="28"/>
                <w:sz w:val="24"/>
                <w:szCs w:val="24"/>
                <w:u w:val="single"/>
                <w:lang w:eastAsia="zh-CN"/>
              </w:rPr>
              <w:t>科</w:t>
            </w:r>
            <w:r>
              <w:rPr>
                <w:rFonts w:hint="eastAsia" w:ascii="仿宋" w:hAnsi="仿宋" w:eastAsia="仿宋" w:cs="仿宋"/>
                <w:kern w:val="28"/>
                <w:sz w:val="24"/>
                <w:szCs w:val="24"/>
                <w:u w:val="single"/>
              </w:rPr>
              <w:t>） ；备份投标文件签收人员联系电话：0571-</w:t>
            </w:r>
            <w:r>
              <w:rPr>
                <w:rFonts w:hint="eastAsia" w:ascii="仿宋" w:hAnsi="仿宋" w:eastAsia="仿宋" w:cs="仿宋"/>
                <w:kern w:val="28"/>
                <w:sz w:val="24"/>
                <w:szCs w:val="24"/>
                <w:u w:val="single"/>
                <w:lang w:val="en-US" w:eastAsia="zh-CN"/>
              </w:rPr>
              <w:t>23616011</w:t>
            </w:r>
            <w:r>
              <w:rPr>
                <w:rFonts w:hint="eastAsia" w:ascii="仿宋" w:hAnsi="仿宋" w:eastAsia="仿宋" w:cs="仿宋"/>
                <w:kern w:val="28"/>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sz w:val="32"/>
        </w:rPr>
      </w:pPr>
    </w:p>
    <w:p>
      <w:pPr>
        <w:pStyle w:val="12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2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68057669"/>
      <w:bookmarkEnd w:id="17"/>
      <w:bookmarkStart w:id="18" w:name="_Hlt68072998"/>
      <w:bookmarkEnd w:id="18"/>
      <w:bookmarkStart w:id="19" w:name="_Hlt74729768"/>
      <w:bookmarkEnd w:id="19"/>
      <w:bookmarkStart w:id="20" w:name="_Hlt75236101"/>
      <w:bookmarkEnd w:id="20"/>
      <w:bookmarkStart w:id="21" w:name="_Hlt75236290"/>
      <w:bookmarkEnd w:id="21"/>
      <w:bookmarkStart w:id="22" w:name="_Hlt74707468"/>
      <w:bookmarkEnd w:id="22"/>
      <w:bookmarkStart w:id="23" w:name="_Hlt68403820"/>
      <w:bookmarkEnd w:id="23"/>
      <w:bookmarkStart w:id="24" w:name="_Hlt68073093"/>
      <w:bookmarkEnd w:id="24"/>
      <w:bookmarkStart w:id="25" w:name="_Hlt74730295"/>
      <w:bookmarkEnd w:id="25"/>
      <w:bookmarkStart w:id="26" w:name="_Hlt68072990"/>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3"/>
        <w:pageBreakBefore w:val="0"/>
        <w:numPr>
          <w:ilvl w:val="0"/>
          <w:numId w:val="1"/>
        </w:numPr>
        <w:kinsoku/>
        <w:wordWrap/>
        <w:overflowPunct/>
        <w:topLinePunct w:val="0"/>
        <w:bidi w:val="0"/>
        <w:adjustRightInd w:val="0"/>
        <w:spacing w:line="360" w:lineRule="auto"/>
        <w:ind w:left="0" w:firstLine="0"/>
        <w:jc w:val="left"/>
        <w:textAlignment w:val="auto"/>
        <w:rPr>
          <w:rFonts w:ascii="仿宋" w:hAnsi="仿宋" w:eastAsia="仿宋" w:cs="仿宋"/>
          <w:sz w:val="30"/>
          <w:szCs w:val="30"/>
        </w:rPr>
      </w:pPr>
      <w:r>
        <w:rPr>
          <w:rFonts w:hint="eastAsia" w:ascii="仿宋" w:hAnsi="仿宋" w:eastAsia="仿宋" w:cs="仿宋"/>
          <w:sz w:val="30"/>
          <w:szCs w:val="30"/>
        </w:rPr>
        <w:t>项目背景</w:t>
      </w:r>
    </w:p>
    <w:p>
      <w:pPr>
        <w:pageBreakBefore w:val="0"/>
        <w:kinsoku/>
        <w:wordWrap/>
        <w:overflowPunct/>
        <w:topLinePunct w:val="0"/>
        <w:bidi w:val="0"/>
        <w:adjustRightInd w:val="0"/>
        <w:spacing w:line="360" w:lineRule="auto"/>
        <w:jc w:val="left"/>
        <w:textAlignment w:val="auto"/>
        <w:outlineLvl w:val="1"/>
        <w:rPr>
          <w:rFonts w:ascii="仿宋" w:hAnsi="仿宋" w:eastAsia="仿宋" w:cs="仿宋"/>
          <w:b/>
          <w:bCs/>
          <w:sz w:val="28"/>
          <w:szCs w:val="28"/>
          <w:lang w:eastAsia="zh-Hans"/>
        </w:rPr>
      </w:pPr>
      <w:r>
        <w:rPr>
          <w:rFonts w:hint="eastAsia" w:ascii="仿宋" w:hAnsi="仿宋" w:eastAsia="仿宋" w:cs="仿宋"/>
          <w:b/>
          <w:bCs/>
          <w:sz w:val="28"/>
          <w:szCs w:val="28"/>
        </w:rPr>
        <w:t>1</w:t>
      </w:r>
      <w:r>
        <w:rPr>
          <w:rFonts w:ascii="仿宋" w:hAnsi="仿宋" w:eastAsia="仿宋" w:cs="仿宋"/>
          <w:b/>
          <w:bCs/>
          <w:sz w:val="28"/>
          <w:szCs w:val="28"/>
        </w:rPr>
        <w:t>.1</w:t>
      </w:r>
      <w:r>
        <w:rPr>
          <w:rFonts w:hint="eastAsia" w:ascii="仿宋" w:hAnsi="仿宋" w:eastAsia="仿宋" w:cs="仿宋"/>
          <w:b/>
          <w:bCs/>
          <w:sz w:val="28"/>
          <w:szCs w:val="28"/>
        </w:rPr>
        <w:t>物联感知建设</w:t>
      </w:r>
      <w:r>
        <w:rPr>
          <w:rFonts w:hint="eastAsia" w:ascii="仿宋" w:hAnsi="仿宋" w:eastAsia="仿宋" w:cs="仿宋"/>
          <w:b/>
          <w:bCs/>
          <w:sz w:val="28"/>
          <w:szCs w:val="28"/>
          <w:lang w:eastAsia="zh-Hans"/>
        </w:rPr>
        <w:t>现状</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在物联感知设备建设方面，目前全区已建有的部分设备情况如下：</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消防安全，1054家单位消防设备，烟雾探测器、火灾探测器、消防设施等设备；</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水利水务，临安区水文水情、临安区自来水、农村供水：水压、流量、二次供水、水质等监测设备306个；</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城市治理，智慧停车（车位）、智慧街区（窨井盖、燃气、油烟）、智慧餐饮（温湿度）、智慧环卫等设备1916个；</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文物保护，钱王陵液位监测设备10个；</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农业农村，临安山核桃产业基地的气象、虫情、土壤等监测设备327个；</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生态环境，道路扬尘、空气质量、废水废气等监测设备48个；</w:t>
      </w:r>
    </w:p>
    <w:p>
      <w:pPr>
        <w:pStyle w:val="60"/>
        <w:pageBreakBefore w:val="0"/>
        <w:kinsoku/>
        <w:wordWrap/>
        <w:overflowPunct/>
        <w:topLinePunct w:val="0"/>
        <w:bidi w:val="0"/>
        <w:adjustRightInd w:val="0"/>
        <w:spacing w:line="360" w:lineRule="auto"/>
        <w:textAlignment w:val="auto"/>
        <w:rPr>
          <w:lang w:eastAsia="zh-Hans"/>
        </w:rPr>
      </w:pPr>
      <w:r>
        <w:rPr>
          <w:rFonts w:hint="eastAsia" w:ascii="仿宋" w:hAnsi="仿宋" w:eastAsia="仿宋" w:cs="仿宋"/>
          <w:szCs w:val="24"/>
          <w:lang w:val="en-US" w:bidi="en-US"/>
        </w:rPr>
        <w:t>住房建筑，住房建筑位移、倾角等监测设备138个。</w:t>
      </w:r>
    </w:p>
    <w:p>
      <w:pPr>
        <w:pStyle w:val="3"/>
        <w:pageBreakBefore w:val="0"/>
        <w:numPr>
          <w:ilvl w:val="0"/>
          <w:numId w:val="1"/>
        </w:numPr>
        <w:kinsoku/>
        <w:wordWrap/>
        <w:overflowPunct/>
        <w:topLinePunct w:val="0"/>
        <w:bidi w:val="0"/>
        <w:adjustRightInd w:val="0"/>
        <w:spacing w:line="360" w:lineRule="auto"/>
        <w:ind w:left="0" w:firstLine="0"/>
        <w:jc w:val="left"/>
        <w:textAlignment w:val="auto"/>
        <w:rPr>
          <w:rFonts w:ascii="仿宋" w:hAnsi="仿宋" w:eastAsia="仿宋" w:cs="仿宋"/>
          <w:sz w:val="30"/>
          <w:szCs w:val="30"/>
        </w:rPr>
      </w:pPr>
      <w:r>
        <w:rPr>
          <w:rFonts w:hint="eastAsia" w:ascii="仿宋" w:hAnsi="仿宋" w:eastAsia="仿宋" w:cs="仿宋"/>
          <w:sz w:val="30"/>
          <w:szCs w:val="30"/>
        </w:rPr>
        <w:t>项目需求</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本次项目响应杭州城市物联感知体系建设三年行动计划，紧密围绕“强化顶层设计、标准规范先行”思路，以建立健全城市物联感知标准规范体系为首要目标，围绕开发部署城市物联感知平台，打造“可感知、可预警、可处置、可闭环、可复盘、安全可靠”的城市物联感知体系，实现临安全域感知资源全面整合。</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结合实际治理需求，搭建物联感知资源的汇聚治理、共享调阅、智能解析、告警推送等业务体系，建立数据资源、接口服务、业务应用等共享应用机制，充分释放数据价值，赋能各个行业快速构建可视化、智能化的应用能力，不断提高临安各部门实战业务工作效率及智慧化建设成效。</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p>
    <w:p>
      <w:pPr>
        <w:pageBreakBefore w:val="0"/>
        <w:kinsoku/>
        <w:wordWrap/>
        <w:overflowPunct/>
        <w:topLinePunct w:val="0"/>
        <w:bidi w:val="0"/>
        <w:adjustRightInd w:val="0"/>
        <w:spacing w:line="360" w:lineRule="auto"/>
        <w:jc w:val="left"/>
        <w:textAlignment w:val="auto"/>
        <w:outlineLvl w:val="1"/>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.1</w:t>
      </w:r>
      <w:r>
        <w:rPr>
          <w:rFonts w:hint="eastAsia" w:ascii="仿宋" w:hAnsi="仿宋" w:eastAsia="仿宋" w:cs="仿宋"/>
          <w:b/>
          <w:bCs/>
          <w:sz w:val="28"/>
          <w:szCs w:val="28"/>
        </w:rPr>
        <w:t>业务功能需求</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根据临安区数据资源管理局的主要职能，结合临安本地实际情况，本期杭州市临安区城市物联网感知平台项目的物联部分主要业务功能分析如下：</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（1）健全物联感知数据采集体系的需求</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物联网感知终端所采集的城市全域物联设备数据是城市管理的核心基础，临安目前设备的数据种类、数据范围、数据量尚不能摸清底数，未能实现智慧城市各部件的数据采集。因此需要健全临安感知数据采集体系，对临安城市各个系统以及环境、位置等信息进行收集整理，对人活动的相关内容数据进行采集，并通过网络层进行数据集成与信息计算；在服务层提供数据的存储、分析、计算等相关服务，来为临安城市管理实际应用提供决策支持与行动解决方案，从而促进临安各个城市系统的健康良性智能运转。</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（2）感知数据汇聚充分挖掘的需求</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新型智慧城市的管理，需将物联网数据与政务数据、医疗数据、教育数据、经济数据等多源异构数据相融合，建设统一的数据资源库，构建智慧城市数据中心。临安已具备部分感知数据，但没有将数据汇总，充分挖掘数据的价值。通过建设城市物联感知平台，形成有体系的数据管理标准，开放自由的数据流动环境，充分发挥感知数据在临安智慧城市化中的价值。</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（3）物联网络共建共享的需求</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目前的应用一般采用独立建设的方式，导致数据无法共享，设备无法复用，不能很好的整合、赋能，对资源利用来说造成极大浪费。急需将城市物联数据统一至城市物联感知平台，使用先进技术支撑设备、数据、应用的融合贯通，融合下游各类智能终端、连接系统、共享应用，提供统一的、强有力的支撑。让城市感知中心在临安智慧城市场景中发挥核心支撑作用。</w:t>
      </w:r>
    </w:p>
    <w:p>
      <w:pPr>
        <w:pageBreakBefore w:val="0"/>
        <w:kinsoku/>
        <w:wordWrap/>
        <w:overflowPunct/>
        <w:topLinePunct w:val="0"/>
        <w:bidi w:val="0"/>
        <w:adjustRightInd w:val="0"/>
        <w:spacing w:line="360" w:lineRule="auto"/>
        <w:jc w:val="left"/>
        <w:textAlignment w:val="auto"/>
        <w:outlineLvl w:val="1"/>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.2</w:t>
      </w:r>
      <w:r>
        <w:rPr>
          <w:rFonts w:hint="eastAsia" w:ascii="仿宋" w:hAnsi="仿宋" w:eastAsia="仿宋" w:cs="仿宋"/>
          <w:b/>
          <w:bCs/>
          <w:sz w:val="28"/>
          <w:szCs w:val="28"/>
        </w:rPr>
        <w:t>业务流程需求</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r>
        <w:rPr>
          <w:rFonts w:hint="eastAsia" w:ascii="仿宋" w:hAnsi="仿宋" w:eastAsia="仿宋" w:cs="仿宋"/>
          <w:snapToGrid/>
          <w:color w:val="auto"/>
          <w:kern w:val="2"/>
          <w:sz w:val="24"/>
          <w:szCs w:val="24"/>
          <w:lang w:bidi="en-US"/>
        </w:rPr>
        <w:t>基于临安城市物联感知平台，汇聚全区已有物联感知数据，对数据进行从集成、治理、存储、服务，需要明确临安本级建设物联感知数据共享体系，包括后续一体化智能化公共数据平台进行数据的共享交换，以及与横向部门和下级镇街之间的数据权限的查阅流程、审批流程、开放流程等。</w:t>
      </w:r>
    </w:p>
    <w:p>
      <w:pPr>
        <w:pStyle w:val="5"/>
        <w:pageBreakBefore w:val="0"/>
        <w:kinsoku/>
        <w:wordWrap/>
        <w:overflowPunct/>
        <w:topLinePunct w:val="0"/>
        <w:bidi w:val="0"/>
        <w:adjustRightInd w:val="0"/>
        <w:spacing w:line="360" w:lineRule="auto"/>
        <w:ind w:firstLine="480" w:firstLineChars="200"/>
        <w:textAlignment w:val="auto"/>
        <w:rPr>
          <w:rFonts w:ascii="仿宋" w:hAnsi="仿宋" w:eastAsia="仿宋" w:cs="仿宋"/>
          <w:snapToGrid/>
          <w:color w:val="auto"/>
          <w:kern w:val="2"/>
          <w:sz w:val="24"/>
          <w:szCs w:val="24"/>
          <w:lang w:bidi="en-US"/>
        </w:rPr>
      </w:pPr>
    </w:p>
    <w:p>
      <w:pPr>
        <w:pStyle w:val="3"/>
        <w:pageBreakBefore w:val="0"/>
        <w:numPr>
          <w:ilvl w:val="0"/>
          <w:numId w:val="1"/>
        </w:numPr>
        <w:kinsoku/>
        <w:wordWrap/>
        <w:overflowPunct/>
        <w:topLinePunct w:val="0"/>
        <w:bidi w:val="0"/>
        <w:adjustRightInd w:val="0"/>
        <w:spacing w:line="360" w:lineRule="auto"/>
        <w:ind w:left="0" w:firstLine="0"/>
        <w:jc w:val="left"/>
        <w:textAlignment w:val="auto"/>
        <w:rPr>
          <w:rFonts w:ascii="仿宋" w:hAnsi="仿宋" w:cs="仿宋"/>
          <w:sz w:val="30"/>
          <w:szCs w:val="30"/>
        </w:rPr>
      </w:pPr>
      <w:r>
        <w:rPr>
          <w:rFonts w:hint="eastAsia" w:ascii="仿宋" w:hAnsi="仿宋" w:eastAsia="仿宋" w:cs="仿宋"/>
          <w:sz w:val="30"/>
          <w:szCs w:val="30"/>
        </w:rPr>
        <w:t>项目建设目标</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本项目致力于打造一个基础的、强大的、开放的城市物联感知平台，充分释放感知资源的价值，赋能各个行业快速构建可视化、智能化的物联感知应用能力。利用已建设的物联感知资源，横向拓展感知资源的应用范围，纵向提升感知资源对各部门业务的支撑能力，提供物联感知数据汇集、感知资源解析、感知事件检测等感知价值挖掘的技术手段，促进物联感知应用与各部门镇街职能相融合，并初步建立起自动化、智能化的预警防范机制，为政府决策指挥提供智慧支持，促进社会治理智慧化水平提升。项目建设后主要实现以下目标：</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ascii="仿宋" w:hAnsi="仿宋" w:eastAsia="仿宋" w:cs="仿宋"/>
          <w:szCs w:val="24"/>
          <w:lang w:val="en-US" w:bidi="en-US"/>
        </w:rPr>
        <w:t>1</w:t>
      </w:r>
      <w:r>
        <w:rPr>
          <w:rFonts w:hint="eastAsia" w:ascii="仿宋" w:hAnsi="仿宋" w:eastAsia="仿宋" w:cs="仿宋"/>
          <w:szCs w:val="24"/>
          <w:lang w:val="en-US" w:bidi="en-US"/>
        </w:rPr>
        <w:t>、构建临安标准物联感知规范体系</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城市物联感知平台作为临安区物联设备“一本账”，对辖区内所有物联设备不仅起到全面管理，而且依托物联平台的建设，在“数清家底”的同时，还应起到建立“物联感知规范”。区级城市物联感知平台负责接入辖区内的各类传感器，并按照市数据资源管理部门编制的接口规范上报感知数据给市级物联感知平台。行业物联感知平台负责接入行业管辖范围的各类传感器，并按照市数据资源管理部门编制的接口规范上报感知数据给市级物联感知平台。现有传感器终端，由原接入的物联感知平台负责进行传感器和设备标识的一一对应，并在上报数据中使用唯一设备标识。新建传感器终端需由建设单位先向市数据资源管理部门申请标识，方可将传感器接入物联感知平台。以此达到区级物联设备统一标准，统一规范，一次建设可赋能全区物联设备全生命周期的长效管理及后续建设规范。</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ascii="仿宋" w:hAnsi="仿宋" w:eastAsia="仿宋" w:cs="仿宋"/>
          <w:szCs w:val="24"/>
          <w:lang w:val="en-US" w:bidi="en-US"/>
        </w:rPr>
        <w:t>2</w:t>
      </w:r>
      <w:r>
        <w:rPr>
          <w:rFonts w:hint="eastAsia" w:ascii="仿宋" w:hAnsi="仿宋" w:eastAsia="仿宋" w:cs="仿宋"/>
          <w:szCs w:val="24"/>
          <w:lang w:val="en-US" w:bidi="en-US"/>
        </w:rPr>
        <w:t>、实现全区物联感知建设统筹共享</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城市物联感知平台负责汇聚、共享和分析，进行传感器终端资产的统一管理。各类物联设备的数据信息同步到城市物联感知平台，支撑城市物联感知平台的统一管理、统一建设、统一接入、统一收集，以一个“物联数据底座”支持各业务部门及镇街，做到物联数据统筹共享，避免重复建设。</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ascii="仿宋" w:hAnsi="仿宋" w:eastAsia="仿宋" w:cs="仿宋"/>
          <w:szCs w:val="24"/>
          <w:lang w:val="en-US" w:bidi="en-US"/>
        </w:rPr>
        <w:t>3</w:t>
      </w:r>
      <w:r>
        <w:rPr>
          <w:rFonts w:hint="eastAsia" w:ascii="仿宋" w:hAnsi="仿宋" w:eastAsia="仿宋" w:cs="仿宋"/>
          <w:szCs w:val="24"/>
          <w:lang w:val="en-US" w:bidi="en-US"/>
        </w:rPr>
        <w:t>、为物联感知基础设施配套完善提供依据</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hint="eastAsia" w:ascii="仿宋" w:hAnsi="仿宋" w:eastAsia="仿宋" w:cs="仿宋"/>
          <w:szCs w:val="24"/>
          <w:lang w:val="en-US" w:bidi="en-US"/>
        </w:rPr>
        <w:t>由于城市物联感知建设存在信息化程度落差较大等问题，部分感知基础设施配套不完善，针对此种情况，城市物联感知平台在数清家底的同时，依据建立的物联感知目录体系，对物联感知基础设施的配套设施进行科学合理的治理，为未来物联感知设施建设提供依据，保证全区物联设备及配套设施都能稳定服务临安区的城市管理及数字化改革场景应用。</w:t>
      </w:r>
    </w:p>
    <w:p>
      <w:pPr>
        <w:pStyle w:val="60"/>
        <w:pageBreakBefore w:val="0"/>
        <w:kinsoku/>
        <w:wordWrap/>
        <w:overflowPunct/>
        <w:topLinePunct w:val="0"/>
        <w:bidi w:val="0"/>
        <w:adjustRightInd w:val="0"/>
        <w:spacing w:line="360" w:lineRule="auto"/>
        <w:textAlignment w:val="auto"/>
        <w:rPr>
          <w:rFonts w:ascii="仿宋" w:hAnsi="仿宋" w:eastAsia="仿宋" w:cs="仿宋"/>
          <w:szCs w:val="24"/>
          <w:lang w:val="en-US" w:bidi="en-US"/>
        </w:rPr>
      </w:pPr>
      <w:r>
        <w:rPr>
          <w:rFonts w:ascii="仿宋" w:hAnsi="仿宋" w:eastAsia="仿宋" w:cs="仿宋"/>
          <w:szCs w:val="24"/>
          <w:lang w:val="en-US" w:bidi="en-US"/>
        </w:rPr>
        <w:t>4</w:t>
      </w:r>
      <w:r>
        <w:rPr>
          <w:rFonts w:hint="eastAsia" w:ascii="仿宋" w:hAnsi="仿宋" w:eastAsia="仿宋" w:cs="仿宋"/>
          <w:szCs w:val="24"/>
          <w:lang w:val="en-US" w:bidi="en-US"/>
        </w:rPr>
        <w:t>、赋能数字化多跨场景应用</w:t>
      </w:r>
    </w:p>
    <w:p>
      <w:pPr>
        <w:pStyle w:val="60"/>
        <w:pageBreakBefore w:val="0"/>
        <w:kinsoku/>
        <w:wordWrap/>
        <w:overflowPunct/>
        <w:topLinePunct w:val="0"/>
        <w:bidi w:val="0"/>
        <w:adjustRightInd w:val="0"/>
        <w:spacing w:line="360" w:lineRule="auto"/>
        <w:textAlignment w:val="auto"/>
        <w:rPr>
          <w:lang w:bidi="en-US"/>
        </w:rPr>
      </w:pPr>
      <w:r>
        <w:rPr>
          <w:rFonts w:hint="eastAsia" w:ascii="仿宋" w:hAnsi="仿宋" w:eastAsia="仿宋" w:cs="仿宋"/>
          <w:szCs w:val="24"/>
          <w:lang w:val="en-US" w:bidi="en-US"/>
        </w:rPr>
        <w:t>城市物联感知平台将全区涉及物联相关的各类资源、各类数据统筹管理起来。坚持管理重构，探索打通物联数据、政务数据两端数据通道，坚持将物联资源和政务资源“融”起来，利用数字化手段推动场景应用从各部门到物联数据与政务数据的全方位多跨协同。</w:t>
      </w:r>
    </w:p>
    <w:p>
      <w:pPr>
        <w:pStyle w:val="3"/>
        <w:pageBreakBefore w:val="0"/>
        <w:numPr>
          <w:ilvl w:val="0"/>
          <w:numId w:val="1"/>
        </w:numPr>
        <w:kinsoku/>
        <w:wordWrap/>
        <w:overflowPunct/>
        <w:topLinePunct w:val="0"/>
        <w:bidi w:val="0"/>
        <w:adjustRightInd w:val="0"/>
        <w:spacing w:line="360" w:lineRule="auto"/>
        <w:ind w:left="0" w:firstLine="0"/>
        <w:jc w:val="left"/>
        <w:textAlignment w:val="auto"/>
        <w:rPr>
          <w:rFonts w:ascii="仿宋" w:hAnsi="仿宋" w:cs="仿宋"/>
          <w:sz w:val="30"/>
          <w:szCs w:val="30"/>
        </w:rPr>
      </w:pPr>
      <w:r>
        <w:rPr>
          <w:rFonts w:hint="eastAsia" w:ascii="仿宋" w:hAnsi="仿宋" w:eastAsia="仿宋" w:cs="仿宋"/>
          <w:sz w:val="30"/>
          <w:szCs w:val="30"/>
        </w:rPr>
        <w:t>建设原则</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城市物联感知平台的建设是一项系统性工程，所以方案从设计需要从整体性、扩展性、安全性、开放性等方面进行综合考虑。</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1、整体性原则</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充分考虑对已建软硬件设备的利旧，包括计算资源、存储资源等，进行整体资源的统一调度和管理。</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2、扩展性原则</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充分考虑升级、扩容的可行性和便利性，保证能够按需进行横向扩展和纵向扩展；并在扩展时，确保原有应用和数据的延续性，历史数据能够兼容使用。</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3、安全性原则</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系统采取全面的安全保护措施，具有高度的安全性和保密性，对接入系统的用户，进行严格的接入认证，以保证接入的安全性。</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4、开放性原则</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通过网络的融合，打破感知网络分隔不通局面，实现各类感知数据资源归集，并支持对外实现感知资源、感知数据的开放。</w:t>
      </w:r>
    </w:p>
    <w:p>
      <w:pPr>
        <w:pageBreakBefore w:val="0"/>
        <w:kinsoku/>
        <w:wordWrap/>
        <w:overflowPunct/>
        <w:topLinePunct w:val="0"/>
        <w:bidi w:val="0"/>
        <w:adjustRightInd w:val="0"/>
        <w:spacing w:line="360" w:lineRule="auto"/>
        <w:ind w:firstLine="480" w:firstLineChars="200"/>
        <w:textAlignment w:val="auto"/>
        <w:rPr>
          <w:rFonts w:ascii="仿宋" w:hAnsi="仿宋" w:eastAsia="仿宋" w:cs="仿宋"/>
          <w:sz w:val="24"/>
          <w:lang w:bidi="en-US"/>
        </w:rPr>
      </w:pPr>
      <w:r>
        <w:rPr>
          <w:rFonts w:hint="eastAsia" w:ascii="仿宋" w:hAnsi="仿宋" w:eastAsia="仿宋" w:cs="仿宋"/>
          <w:sz w:val="24"/>
          <w:lang w:bidi="en-US"/>
        </w:rPr>
        <w:t>5、创新性原则</w:t>
      </w:r>
    </w:p>
    <w:p>
      <w:pPr>
        <w:pageBreakBefore w:val="0"/>
        <w:kinsoku/>
        <w:wordWrap/>
        <w:overflowPunct/>
        <w:topLinePunct w:val="0"/>
        <w:bidi w:val="0"/>
        <w:adjustRightInd w:val="0"/>
        <w:spacing w:line="360" w:lineRule="auto"/>
        <w:ind w:firstLine="480" w:firstLineChars="200"/>
        <w:textAlignment w:val="auto"/>
        <w:rPr>
          <w:lang w:val="en-US" w:bidi="en-US"/>
        </w:rPr>
      </w:pPr>
      <w:r>
        <w:rPr>
          <w:rFonts w:hint="eastAsia" w:ascii="仿宋" w:hAnsi="仿宋" w:eastAsia="仿宋" w:cs="仿宋"/>
          <w:sz w:val="24"/>
          <w:lang w:bidi="en-US"/>
        </w:rPr>
        <w:t>充分运用互联网、物联网、大数据、云计算、人工智能等新技术，在城市物联感知平台的统一应用框架下进行业务应用创新，打造本地特色应用。</w:t>
      </w:r>
    </w:p>
    <w:p>
      <w:pPr>
        <w:pStyle w:val="3"/>
        <w:pageBreakBefore w:val="0"/>
        <w:numPr>
          <w:ilvl w:val="0"/>
          <w:numId w:val="1"/>
        </w:numPr>
        <w:kinsoku/>
        <w:wordWrap/>
        <w:overflowPunct/>
        <w:topLinePunct w:val="0"/>
        <w:bidi w:val="0"/>
        <w:adjustRightInd w:val="0"/>
        <w:spacing w:line="360" w:lineRule="auto"/>
        <w:ind w:left="0" w:firstLine="0"/>
        <w:jc w:val="left"/>
        <w:textAlignment w:val="auto"/>
        <w:rPr>
          <w:rFonts w:ascii="仿宋" w:hAnsi="仿宋" w:eastAsia="仿宋" w:cs="仿宋"/>
          <w:sz w:val="30"/>
          <w:szCs w:val="30"/>
        </w:rPr>
      </w:pPr>
      <w:r>
        <w:rPr>
          <w:rFonts w:hint="eastAsia" w:ascii="仿宋" w:hAnsi="仿宋" w:eastAsia="仿宋" w:cs="仿宋"/>
          <w:sz w:val="30"/>
          <w:szCs w:val="30"/>
        </w:rPr>
        <w:t>建设内容</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本项目建设的城市物联感知平台是城市物联感知体系的核心，主要功能是通过协议适配，将临安辖区范围内的物联感知设备通过直连或级联的方式接入平台；平台对接入设备的基本信息、运行状态、报警事件等数据进行汇聚、展示、统计和计算，并呈现在场景界面，实现对城市重要环节的数据监控，加强流程的可视、可管、可控；平台通过数据归集和共享，向数据资源体系输出规范化的数据，赋能区政府职能部门开展城市治理一网统管工作。同时，平台按照市数据资源管理部门编制的接口规范上报数据给市级物联感知平台，实现市域物联感知终端“一本账”管理，为城市多跨场景赋能。</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平台具有以下特点：</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（1）城市全领域设备接入</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按照“全量全要素”的接入原则，城市物联感知平台支持大规模、多制式、多协议感知终端的接入，支撑实现全区物联感知设备统一管理和规范化治理。</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（2）感知数据实时处理和展示</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城市物联感知平台可视、可控、可管、可用，融入工业生产级的监控能力，实现物联感知设备实时接入，对城市重要环节进行流程控制、埋点、监控，并进行可视化展示；为城市应急协同、处置预案等提供数据支撑。</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（3）推进感知数据标准化</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平台将物联感知设备进行标准化建模，形成统一编码、统一接入、统一模型、统一数据的标准化感知体系，促进全区物联感知基础设施资源的统一整合和规范化管理。</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（4）推进感知数据共享开放</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平台对外提供统一的数据接口，并依托一体化智能化公共数据平台开展数据编目和共享，形成物联感知设备数据的应用共享模式，进一步释放数据社会价值和市场价值，向政府数字化改革赋能。</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（5）保障城市感知数据安全</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平台满足系统整体安全要求，并从接入认证、数据加密传输、加密存储、授权访问、安全审计等方面形成完善的安全方案，保障城市基础感知数据安全。</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（6）推进集约化建设模式</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平台支持将系统、设备和终端“一揽子”接入，并支持设备认证、设备接入、功能定义、数据解析、远程维护、设备控制等设备功能和多租户管理功能，实现设备终端与平台及应用“一体化”的互连互通，推进城市综合体等应用的集约化建设模式。</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城市物联感知平台汇聚物联感知设备产生的海量数据，实现全区物联感知设备统筹管理；根据业务需求，对设备数据进行处理、调度、展示；平台对外提供统一的数据接口，并依托一体化智能化公共数据平台开展数据编目和共享，达到平台可视、可控、可管、可用。</w:t>
      </w:r>
    </w:p>
    <w:p>
      <w:pPr>
        <w:pStyle w:val="82"/>
        <w:pageBreakBefore w:val="0"/>
        <w:kinsoku/>
        <w:wordWrap/>
        <w:overflowPunct/>
        <w:topLinePunct w:val="0"/>
        <w:bidi w:val="0"/>
        <w:adjustRightInd w:val="0"/>
        <w:spacing w:line="360" w:lineRule="auto"/>
        <w:textAlignment w:val="auto"/>
        <w:rPr>
          <w:rFonts w:ascii="仿宋" w:hAnsi="仿宋" w:eastAsia="仿宋"/>
          <w:lang w:bidi="en-US"/>
        </w:rPr>
      </w:pPr>
      <w:r>
        <w:rPr>
          <w:rFonts w:hint="eastAsia" w:ascii="仿宋" w:hAnsi="仿宋" w:eastAsia="仿宋"/>
          <w:lang w:bidi="en-US"/>
        </w:rPr>
        <w:t>本项目建设内容一览表如下：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2"/>
              <w:ind w:firstLine="0"/>
              <w:jc w:val="center"/>
              <w:rPr>
                <w:rFonts w:ascii="仿宋" w:hAnsi="仿宋" w:eastAsia="仿宋"/>
                <w:kern w:val="0"/>
                <w:lang w:bidi="en-US"/>
              </w:rPr>
            </w:pPr>
            <w:r>
              <w:rPr>
                <w:rFonts w:hint="eastAsia" w:ascii="仿宋" w:hAnsi="仿宋" w:eastAsia="仿宋"/>
                <w:kern w:val="0"/>
                <w:lang w:bidi="en-US"/>
              </w:rPr>
              <w:t>序号</w:t>
            </w:r>
          </w:p>
        </w:tc>
        <w:tc>
          <w:tcPr>
            <w:tcW w:w="7308" w:type="dxa"/>
            <w:vAlign w:val="center"/>
          </w:tcPr>
          <w:p>
            <w:pPr>
              <w:pStyle w:val="82"/>
              <w:ind w:firstLine="0"/>
              <w:rPr>
                <w:rFonts w:ascii="仿宋" w:hAnsi="仿宋" w:eastAsia="仿宋"/>
                <w:kern w:val="0"/>
                <w:lang w:bidi="en-US"/>
              </w:rPr>
            </w:pPr>
            <w:r>
              <w:rPr>
                <w:rFonts w:hint="eastAsia" w:ascii="仿宋" w:hAnsi="仿宋" w:eastAsia="仿宋"/>
                <w:kern w:val="0"/>
                <w:lang w:bidi="en-US"/>
              </w:rPr>
              <w:t>分项建设内容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2"/>
              <w:ind w:firstLine="0"/>
              <w:jc w:val="center"/>
              <w:rPr>
                <w:rFonts w:ascii="仿宋" w:hAnsi="仿宋" w:eastAsia="仿宋"/>
                <w:kern w:val="0"/>
                <w:lang w:bidi="en-US"/>
              </w:rPr>
            </w:pPr>
            <w:r>
              <w:rPr>
                <w:rFonts w:hint="eastAsia" w:ascii="仿宋" w:hAnsi="仿宋" w:eastAsia="仿宋"/>
                <w:kern w:val="0"/>
                <w:lang w:bidi="en-US"/>
              </w:rPr>
              <w:t>1</w:t>
            </w:r>
          </w:p>
        </w:tc>
        <w:tc>
          <w:tcPr>
            <w:tcW w:w="7308" w:type="dxa"/>
          </w:tcPr>
          <w:p>
            <w:pPr>
              <w:pStyle w:val="82"/>
              <w:ind w:firstLine="0"/>
              <w:rPr>
                <w:rFonts w:ascii="仿宋" w:hAnsi="仿宋" w:eastAsia="仿宋"/>
                <w:kern w:val="0"/>
                <w:lang w:bidi="en-US"/>
              </w:rPr>
            </w:pPr>
            <w:r>
              <w:rPr>
                <w:rFonts w:hint="eastAsia" w:ascii="仿宋" w:hAnsi="仿宋" w:eastAsia="仿宋"/>
                <w:kern w:val="0"/>
              </w:rPr>
              <w:t>物联感知平台建设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2"/>
              <w:ind w:firstLine="0"/>
              <w:jc w:val="center"/>
              <w:rPr>
                <w:rFonts w:ascii="仿宋" w:hAnsi="仿宋" w:eastAsia="仿宋"/>
                <w:kern w:val="0"/>
                <w:lang w:bidi="en-US"/>
              </w:rPr>
            </w:pPr>
            <w:r>
              <w:rPr>
                <w:rFonts w:hint="eastAsia" w:ascii="仿宋" w:hAnsi="仿宋" w:eastAsia="仿宋"/>
                <w:kern w:val="0"/>
                <w:lang w:bidi="en-US"/>
              </w:rPr>
              <w:t>2</w:t>
            </w:r>
          </w:p>
        </w:tc>
        <w:tc>
          <w:tcPr>
            <w:tcW w:w="7308" w:type="dxa"/>
          </w:tcPr>
          <w:p>
            <w:pPr>
              <w:pStyle w:val="82"/>
              <w:ind w:firstLine="0"/>
              <w:rPr>
                <w:rFonts w:ascii="仿宋" w:hAnsi="仿宋" w:eastAsia="仿宋"/>
                <w:kern w:val="0"/>
                <w:lang w:bidi="en-US"/>
              </w:rPr>
            </w:pPr>
            <w:r>
              <w:rPr>
                <w:rFonts w:hint="eastAsia" w:ascii="仿宋" w:hAnsi="仿宋" w:eastAsia="仿宋"/>
                <w:kern w:val="0"/>
              </w:rPr>
              <w:t>数据资源体系建设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2"/>
              <w:ind w:firstLine="0"/>
              <w:jc w:val="center"/>
              <w:rPr>
                <w:rFonts w:ascii="仿宋" w:hAnsi="仿宋" w:eastAsia="仿宋"/>
                <w:kern w:val="0"/>
                <w:lang w:bidi="en-US"/>
              </w:rPr>
            </w:pPr>
            <w:r>
              <w:rPr>
                <w:rFonts w:hint="eastAsia" w:ascii="仿宋" w:hAnsi="仿宋" w:eastAsia="仿宋"/>
                <w:kern w:val="0"/>
                <w:lang w:bidi="en-US"/>
              </w:rPr>
              <w:t>3</w:t>
            </w:r>
          </w:p>
        </w:tc>
        <w:tc>
          <w:tcPr>
            <w:tcW w:w="7308" w:type="dxa"/>
          </w:tcPr>
          <w:p>
            <w:pPr>
              <w:pStyle w:val="82"/>
              <w:ind w:firstLine="0"/>
              <w:rPr>
                <w:rFonts w:ascii="仿宋" w:hAnsi="仿宋" w:eastAsia="仿宋"/>
                <w:kern w:val="0"/>
                <w:lang w:bidi="en-US"/>
              </w:rPr>
            </w:pPr>
            <w:r>
              <w:rPr>
                <w:rFonts w:hint="eastAsia" w:ascii="仿宋" w:hAnsi="仿宋" w:eastAsia="仿宋"/>
                <w:kern w:val="0"/>
              </w:rPr>
              <w:t>物联感知门户与驾驶舱定制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2"/>
              <w:ind w:firstLine="0"/>
              <w:jc w:val="center"/>
              <w:rPr>
                <w:rFonts w:ascii="仿宋" w:hAnsi="仿宋" w:eastAsia="仿宋"/>
                <w:kern w:val="0"/>
                <w:lang w:bidi="en-US"/>
              </w:rPr>
            </w:pPr>
            <w:r>
              <w:rPr>
                <w:rFonts w:hint="eastAsia" w:ascii="仿宋" w:hAnsi="仿宋" w:eastAsia="仿宋"/>
                <w:kern w:val="0"/>
                <w:lang w:bidi="en-US"/>
              </w:rPr>
              <w:t>4</w:t>
            </w:r>
          </w:p>
        </w:tc>
        <w:tc>
          <w:tcPr>
            <w:tcW w:w="7308" w:type="dxa"/>
          </w:tcPr>
          <w:p>
            <w:pPr>
              <w:pStyle w:val="82"/>
              <w:ind w:firstLine="0"/>
              <w:rPr>
                <w:rFonts w:ascii="仿宋" w:hAnsi="仿宋" w:eastAsia="仿宋"/>
                <w:kern w:val="0"/>
                <w:lang w:bidi="en-US"/>
              </w:rPr>
            </w:pPr>
            <w:r>
              <w:rPr>
                <w:rFonts w:hint="eastAsia" w:ascii="仿宋" w:hAnsi="仿宋" w:eastAsia="仿宋"/>
                <w:kern w:val="0"/>
              </w:rPr>
              <w:t>驻点服务一人三年，进行数据接入、终端点位治理和平台</w:t>
            </w:r>
            <w:r>
              <w:rPr>
                <w:rFonts w:ascii="仿宋" w:hAnsi="仿宋" w:eastAsia="仿宋"/>
                <w:kern w:val="0"/>
              </w:rPr>
              <w:t>日常运维管理保障服务及其他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2"/>
              <w:ind w:firstLine="0"/>
              <w:jc w:val="center"/>
              <w:rPr>
                <w:rFonts w:ascii="仿宋" w:hAnsi="仿宋" w:eastAsia="仿宋"/>
                <w:kern w:val="0"/>
                <w:lang w:bidi="en-US"/>
              </w:rPr>
            </w:pPr>
            <w:r>
              <w:rPr>
                <w:rFonts w:hint="eastAsia" w:ascii="仿宋" w:hAnsi="仿宋" w:eastAsia="仿宋"/>
                <w:kern w:val="0"/>
                <w:lang w:bidi="en-US"/>
              </w:rPr>
              <w:t>5</w:t>
            </w:r>
          </w:p>
        </w:tc>
        <w:tc>
          <w:tcPr>
            <w:tcW w:w="7308" w:type="dxa"/>
          </w:tcPr>
          <w:p>
            <w:pPr>
              <w:pStyle w:val="82"/>
              <w:ind w:firstLine="0"/>
              <w:rPr>
                <w:rFonts w:ascii="仿宋" w:hAnsi="仿宋" w:eastAsia="仿宋"/>
                <w:kern w:val="0"/>
                <w:lang w:bidi="en-US"/>
              </w:rPr>
            </w:pPr>
            <w:r>
              <w:rPr>
                <w:rFonts w:hint="eastAsia" w:ascii="仿宋" w:hAnsi="仿宋" w:eastAsia="仿宋"/>
                <w:kern w:val="0"/>
              </w:rPr>
              <w:t>二级等保服务一次</w:t>
            </w:r>
          </w:p>
        </w:tc>
      </w:tr>
    </w:tbl>
    <w:p>
      <w:pPr>
        <w:pStyle w:val="82"/>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ascii="仿宋" w:hAnsi="仿宋" w:eastAsia="仿宋"/>
          <w:lang w:bidi="en-US"/>
        </w:rPr>
      </w:pPr>
    </w:p>
    <w:p>
      <w:pPr>
        <w:keepNext w:val="0"/>
        <w:keepLines w:val="0"/>
        <w:pageBreakBefore w:val="0"/>
        <w:kinsoku/>
        <w:wordWrap/>
        <w:overflowPunct/>
        <w:topLinePunct w:val="0"/>
        <w:autoSpaceDE/>
        <w:autoSpaceDN/>
        <w:bidi w:val="0"/>
        <w:adjustRightInd w:val="0"/>
        <w:spacing w:line="360" w:lineRule="auto"/>
        <w:jc w:val="left"/>
        <w:textAlignment w:val="auto"/>
        <w:outlineLvl w:val="1"/>
        <w:rPr>
          <w:rFonts w:ascii="仿宋" w:hAnsi="仿宋" w:eastAsia="仿宋" w:cs="仿宋"/>
          <w:b/>
          <w:bCs/>
          <w:sz w:val="28"/>
          <w:szCs w:val="28"/>
          <w:lang w:eastAsia="zh-Hans"/>
        </w:rPr>
      </w:pPr>
      <w:r>
        <w:rPr>
          <w:rFonts w:hint="eastAsia" w:ascii="仿宋" w:hAnsi="仿宋" w:eastAsia="仿宋" w:cs="仿宋"/>
          <w:b/>
          <w:bCs/>
          <w:sz w:val="28"/>
          <w:szCs w:val="28"/>
        </w:rPr>
        <w:t>5</w:t>
      </w:r>
      <w:r>
        <w:rPr>
          <w:rFonts w:hint="eastAsia" w:ascii="仿宋" w:hAnsi="仿宋" w:eastAsia="仿宋" w:cs="仿宋"/>
          <w:b/>
          <w:bCs/>
          <w:sz w:val="28"/>
          <w:szCs w:val="28"/>
          <w:lang w:eastAsia="zh-Hans"/>
        </w:rPr>
        <w:t>.1物联感知平台建设</w:t>
      </w:r>
    </w:p>
    <w:p>
      <w:pPr>
        <w:pStyle w:val="82"/>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szCs w:val="24"/>
          <w:lang w:bidi="en-US"/>
        </w:rPr>
      </w:pPr>
      <w:r>
        <w:rPr>
          <w:rFonts w:hint="eastAsia" w:ascii="仿宋" w:hAnsi="仿宋" w:eastAsia="仿宋" w:cs="仿宋"/>
          <w:szCs w:val="24"/>
          <w:lang w:bidi="en-US"/>
        </w:rPr>
        <w:t>物联感知平台应具备支持接入50万路终端设备，并存储不少于5年历史数据。</w:t>
      </w:r>
    </w:p>
    <w:p>
      <w:pPr>
        <w:pStyle w:val="82"/>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szCs w:val="24"/>
          <w:lang w:bidi="en-US"/>
        </w:rPr>
      </w:pPr>
      <w:r>
        <w:rPr>
          <w:rFonts w:hint="eastAsia" w:ascii="仿宋" w:hAnsi="仿宋" w:eastAsia="仿宋" w:cs="仿宋"/>
          <w:szCs w:val="24"/>
          <w:lang w:bidi="en-US"/>
        </w:rPr>
        <w:t>平台包含物联设备接入模块、物联设备管理模块、物联数据实时处理、物联设备报警服务、物联历史数据管理、系统日志管理、物联设备控制调度、物联设备可视化8大功能模块。</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110"/>
        <w:gridCol w:w="1290"/>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分项建设内容</w:t>
            </w:r>
          </w:p>
        </w:tc>
        <w:tc>
          <w:tcPr>
            <w:tcW w:w="653"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一级模块</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二级模块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模块内容及技术要求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restart"/>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物联感知平台建设</w:t>
            </w:r>
          </w:p>
        </w:tc>
        <w:tc>
          <w:tcPr>
            <w:tcW w:w="653"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物联设备接入模块</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终端接入框架</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城市全领域类型物联终端接入，接入方式多样化、可扩展；支持不同层次的数据处理，支持制定数据处理规则；具备终端设备直连、网关连接和系统对接等接入能力；基于可插拔架构，通过插件机制扩展终端接入；支持终端身份认证，授权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连接管理模块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平台支持对接入平台的连接进行管理，上报连接状态。具备连接质量判断、连接负载均衡、收发数据统计功能。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协议适配模块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通过驱动框架和自带行业驱动协议，支持物联协议、标准行业协议数据接入、私有协议定制开发、现有系统平台数据对接；对系统平台、传感器、智能设备进行接入和数据交互；并提供开发SDK，支持第三方系统/设备主动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物联设备管理模块</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设备模型管理模块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设备模型是对现实设备的数字化抽象描述。平台支持设备模型管理；平台支持对设备模型的增、删、改、查；支持管理设备可视化模型。</w:t>
            </w:r>
            <w:r>
              <w:rPr>
                <w:rFonts w:ascii="仿宋" w:hAnsi="仿宋" w:eastAsia="仿宋"/>
                <w:kern w:val="0"/>
                <w:sz w:val="20"/>
                <w:szCs w:val="20"/>
              </w:rPr>
              <w:br w:type="textWrapping"/>
            </w:r>
          </w:p>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平台具有将设备属性配置和显示图形一体化建模配置的功能，并可对设备的基础属性、报警条件配置、历史存储配置、2</w:t>
            </w:r>
            <w:r>
              <w:rPr>
                <w:rFonts w:ascii="仿宋" w:hAnsi="仿宋" w:eastAsia="仿宋"/>
                <w:kern w:val="0"/>
                <w:sz w:val="20"/>
                <w:szCs w:val="20"/>
              </w:rPr>
              <w:t>D/3D</w:t>
            </w:r>
            <w:r>
              <w:rPr>
                <w:rFonts w:hint="eastAsia" w:ascii="仿宋" w:hAnsi="仿宋" w:eastAsia="仿宋"/>
                <w:kern w:val="0"/>
                <w:sz w:val="20"/>
                <w:szCs w:val="20"/>
              </w:rPr>
              <w:t>的图形显示等进行管理配置。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设备产品管理模块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平台支持同类型设备的产品进行管理；支持设备产品的增、删、改、查。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边缘管理模块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平台支持对接入平台的边缘设备进行统一管理，含边缘计算及边缘计算节点管理；支持边缘设备的增、删、改、查。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通讯管理模块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平台支持对智能终端设备运行状态和网络连接进行管理；支持通讯断线自动重连。支持对连接通讯的增、删、改、查等操作管理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设备认证管理模块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平台支持对智能终端设备接入时进行设备准入认证。平台分配ID和证书，提供设备接入认证和数据加密功能。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平台支持对终端设备进行统一管理；支持对终端设备的增、删、改、查；并支持批量导入终端设备。模块包含编码管理、接入管理等，支持多种接入方式、全领域设备接入、终端身份认证等，具有系统对设备实时监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设备标签管理模块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平台支持对设备进行标签管理，支持根据标签进行快速筛选。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设备分组管理模块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highlight w:val="yellow"/>
              </w:rPr>
            </w:pPr>
            <w:r>
              <w:rPr>
                <w:rFonts w:hint="eastAsia" w:ascii="仿宋" w:hAnsi="仿宋" w:eastAsia="仿宋"/>
                <w:kern w:val="0"/>
                <w:sz w:val="20"/>
                <w:szCs w:val="20"/>
              </w:rPr>
              <w:t>平台支持对设备进行分组管理，支持按分组进行设备管理、设备筛选和设备统计分析。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ascii="仿宋" w:hAnsi="仿宋" w:eastAsia="仿宋"/>
                <w:kern w:val="0"/>
                <w:sz w:val="20"/>
                <w:szCs w:val="20"/>
              </w:rPr>
              <w:t>物联数据实时处理</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设备影子模块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平台支持设备影子功能，设备影子包含设备在线状态、运行属性状态、设备控制指令、属性计算、设备报警、设备展示等功能；支持设备影子断面存储；支持分布式集群部署，支持动态扩容。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实时计算引擎</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平台支持对大量原始数据进行秒级处理转换，包括数据的实时计算和数据的实时入库。；支持50万个设备数据计算能力。</w:t>
            </w:r>
          </w:p>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平台接收到设备点位数据报文，至平台页面数据更新的响应时间不超过2秒。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规则引擎</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平台规则引擎实现数据逻辑和上层业务的解耦，帮助快速实现应用场景的业务需求，包含设备联动规则、设备报警规则、设备计算规则、控制校验规则。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ascii="仿宋" w:hAnsi="仿宋" w:eastAsia="仿宋"/>
                <w:kern w:val="0"/>
                <w:sz w:val="20"/>
                <w:szCs w:val="20"/>
              </w:rPr>
              <w:t>物联设备报警服务</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报警周期管理模块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从设备报警配置、设备报警产生、设备报警确认、设备报警消失整个生命周期的管理，对已经产生的报警事件进行存储和记录，以支撑其他业务应用对设备报警的监控、处理和运维；平台支持根据设备状态和预设报警规则计算报警；并兼容支持物联感知设备主动上报的报警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报警查询模块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平台针对查询条件建立索引，提供按照设备、行政区划、终端类型、归属部门等多个维度的报警查询功能，使用户快速查找定位报警相关信息。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报警阈值动态修改模块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平台支持动态修改报警阈值功能，可在运行过程中动态修改报警阈值，无需重启系统既能生效。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报警抑制模块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平台支持报警抑制功能，报警抑制后不在重复产生该项报警，直至该条报警被取消抑制。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ascii="仿宋" w:hAnsi="仿宋" w:eastAsia="仿宋"/>
                <w:kern w:val="0"/>
                <w:sz w:val="20"/>
                <w:szCs w:val="20"/>
              </w:rPr>
              <w:t>物联历史数据管理</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历史存储模块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对终端设备运行的历史数据进行存储，历史数据的存储规则支持变化记录、周期记录、规则记录；支持无损或低损的存储方式；支持分布式部署和动态扩容能力，可以通过扩充硬件物联服务器或虚拟服务器的形式，扩大存储能力，有效降低单一服务器的资源负载；支持不少于5年的历史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历史查询模块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平台支持对终端设备历史数据进行各种维度组合查询</w:t>
            </w:r>
            <w:r>
              <w:rPr>
                <w:rFonts w:hint="eastAsia"/>
                <w:sz w:val="20"/>
                <w:szCs w:val="20"/>
              </w:rPr>
              <w:t>，</w:t>
            </w:r>
            <w:r>
              <w:rPr>
                <w:rFonts w:hint="eastAsia" w:ascii="仿宋" w:hAnsi="仿宋" w:eastAsia="仿宋" w:cs="仿宋"/>
                <w:sz w:val="20"/>
                <w:szCs w:val="20"/>
              </w:rPr>
              <w:t>包括设备、属性、时间，业务平台</w:t>
            </w:r>
            <w:r>
              <w:rPr>
                <w:rFonts w:hint="eastAsia" w:ascii="仿宋" w:hAnsi="仿宋" w:eastAsia="仿宋"/>
                <w:kern w:val="0"/>
                <w:sz w:val="20"/>
                <w:szCs w:val="20"/>
              </w:rPr>
              <w:t>；支持对历史数据的最大值、最小值、平均值的查询。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系统日志管理</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日志存储模块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对用户操作、设备报警、设备事件、服务接口调用记录数据进行存储记录；针对时间产生时间、归属部门、设备编码等建立存储索引，并对日志进行分类存储，并提供自动备份和过期日志压缩、备份和清理功能，确保平台日志短期可查询、长期可追溯、故障可复原；支持不少于5年的日志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日志查询模块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平台支持对日志数据进行各种维度组合查询。支持日志导出功能，针对查询条件，对日志查询结果进行表单文件导出。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ascii="仿宋" w:hAnsi="仿宋" w:eastAsia="仿宋"/>
                <w:kern w:val="0"/>
                <w:sz w:val="20"/>
                <w:szCs w:val="20"/>
              </w:rPr>
              <w:t>物联设备控制调度</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设备控制模块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平台支持对真实终端设备下发指令控制，支持对控制指令的合法性判断和控制结果校验。支持对底层真实终端设备进行的指令控制，包含单个控制和组控；支持对城市各领域设备的控制。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场景联动模块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平台支持场景联动功能，根据设备数据、第三方平台数据的条件触发和时间周期触发，执行跨系统联动控制；支持场景联动的增加、删除、更新、查询、发布、撤销等管理；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计划调度模块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平台支持制定有时间规划的设备调度控制，支持计划调度的新增、删除、更新、查询、启用、停用等管理。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ascii="仿宋" w:hAnsi="仿宋" w:eastAsia="仿宋"/>
                <w:kern w:val="0"/>
                <w:sz w:val="20"/>
                <w:szCs w:val="20"/>
              </w:rPr>
              <w:t>物联设备可视化</w:t>
            </w: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图形组件库</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平台提供丰富的行业图形组件，用户可以使用图形组件库快速搭建应用场景的可视化页面。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图元编辑工具</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平台提供用户在线绘制设备图元的编辑工具；支持通用的画图功能,实现设备图元绘制。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场景编辑工具</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平台提供用户在线绘制设备场景画面的编辑工具；支持2D场景画面的编辑、修改、删除、预览、调试等功能。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6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p>
        </w:tc>
        <w:tc>
          <w:tcPr>
            <w:tcW w:w="759" w:type="pct"/>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设备场景可视化模块</w:t>
            </w:r>
          </w:p>
        </w:tc>
        <w:tc>
          <w:tcPr>
            <w:tcW w:w="287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kern w:val="0"/>
                <w:sz w:val="20"/>
                <w:szCs w:val="20"/>
              </w:rPr>
              <w:t>平台提供设备场景可视化画面的新增、修改、删除、预览、调试等管理功能；支持应用对场景进行快速访问，并将页面接口集成到应用中。</w:t>
            </w:r>
          </w:p>
          <w:p>
            <w:pPr>
              <w:keepNext w:val="0"/>
              <w:keepLines w:val="0"/>
              <w:pageBreakBefore w:val="0"/>
              <w:widowControl/>
              <w:kinsoku/>
              <w:wordWrap/>
              <w:overflowPunct/>
              <w:topLinePunct w:val="0"/>
              <w:autoSpaceDE/>
              <w:autoSpaceDN/>
              <w:bidi w:val="0"/>
              <w:adjustRightInd w:val="0"/>
              <w:snapToGrid/>
              <w:spacing w:line="240" w:lineRule="auto"/>
              <w:textAlignment w:val="auto"/>
              <w:rPr>
                <w:rFonts w:ascii="仿宋" w:hAnsi="仿宋" w:eastAsia="仿宋"/>
                <w:kern w:val="0"/>
                <w:sz w:val="20"/>
                <w:szCs w:val="20"/>
              </w:rPr>
            </w:pPr>
            <w:r>
              <w:rPr>
                <w:rFonts w:hint="eastAsia" w:ascii="仿宋" w:hAnsi="仿宋" w:eastAsia="仿宋"/>
                <w:sz w:val="20"/>
                <w:szCs w:val="20"/>
              </w:rPr>
              <w:t>平台支持对场景图形进行移动、缩放、变色、旋转、模型可视等编辑操作。场景画面支持C</w:t>
            </w:r>
            <w:r>
              <w:rPr>
                <w:rFonts w:ascii="仿宋" w:hAnsi="仿宋" w:eastAsia="仿宋"/>
                <w:sz w:val="20"/>
                <w:szCs w:val="20"/>
              </w:rPr>
              <w:t>/S</w:t>
            </w:r>
            <w:r>
              <w:rPr>
                <w:rFonts w:hint="eastAsia" w:ascii="仿宋" w:hAnsi="仿宋" w:eastAsia="仿宋"/>
                <w:sz w:val="20"/>
                <w:szCs w:val="20"/>
              </w:rPr>
              <w:t>、Web、App等方式展示。</w:t>
            </w:r>
          </w:p>
        </w:tc>
      </w:tr>
    </w:tbl>
    <w:p>
      <w:pPr>
        <w:pStyle w:val="82"/>
        <w:rPr>
          <w:rFonts w:ascii="微软雅黑" w:hAnsi="微软雅黑" w:eastAsia="微软雅黑" w:cs="宋体"/>
          <w:kern w:val="0"/>
          <w:sz w:val="20"/>
          <w:szCs w:val="20"/>
        </w:rPr>
      </w:pPr>
    </w:p>
    <w:p>
      <w:pPr>
        <w:pStyle w:val="82"/>
        <w:rPr>
          <w:rFonts w:ascii="仿宋" w:hAnsi="仿宋" w:eastAsia="仿宋" w:cs="Times New Roman"/>
          <w:kern w:val="0"/>
          <w:szCs w:val="24"/>
        </w:rPr>
      </w:pPr>
      <w:r>
        <w:rPr>
          <w:rFonts w:hint="eastAsia" w:ascii="仿宋" w:hAnsi="仿宋" w:eastAsia="仿宋" w:cs="Times New Roman"/>
          <w:kern w:val="0"/>
          <w:szCs w:val="24"/>
        </w:rPr>
        <w:t>物联感知平台技术指标要求：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74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2" w:type="pct"/>
            <w:shd w:val="clear" w:color="auto" w:fill="auto"/>
            <w:noWrap/>
            <w:vAlign w:val="center"/>
          </w:tcPr>
          <w:p>
            <w:pPr>
              <w:rPr>
                <w:rFonts w:ascii="仿宋" w:hAnsi="仿宋" w:eastAsia="仿宋"/>
                <w:kern w:val="0"/>
                <w:sz w:val="20"/>
                <w:szCs w:val="20"/>
                <w:highlight w:val="none"/>
              </w:rPr>
            </w:pPr>
            <w:r>
              <w:rPr>
                <w:rFonts w:hint="eastAsia" w:ascii="仿宋" w:hAnsi="仿宋" w:eastAsia="仿宋"/>
                <w:kern w:val="0"/>
                <w:sz w:val="20"/>
                <w:szCs w:val="20"/>
                <w:highlight w:val="none"/>
              </w:rPr>
              <w:t>技术指标</w:t>
            </w:r>
          </w:p>
        </w:tc>
        <w:tc>
          <w:tcPr>
            <w:tcW w:w="1025" w:type="pct"/>
            <w:shd w:val="clear" w:color="auto" w:fill="auto"/>
            <w:noWrap/>
            <w:vAlign w:val="center"/>
          </w:tcPr>
          <w:p>
            <w:pPr>
              <w:widowControl/>
              <w:rPr>
                <w:rFonts w:ascii="仿宋" w:hAnsi="仿宋" w:eastAsia="仿宋"/>
                <w:kern w:val="0"/>
                <w:sz w:val="20"/>
                <w:szCs w:val="20"/>
                <w:highlight w:val="none"/>
              </w:rPr>
            </w:pPr>
            <w:r>
              <w:rPr>
                <w:rFonts w:hint="eastAsia" w:ascii="仿宋" w:hAnsi="仿宋" w:eastAsia="仿宋"/>
                <w:kern w:val="0"/>
                <w:sz w:val="20"/>
                <w:szCs w:val="20"/>
                <w:highlight w:val="none"/>
              </w:rPr>
              <w:t>信创要求</w:t>
            </w:r>
          </w:p>
        </w:tc>
        <w:tc>
          <w:tcPr>
            <w:tcW w:w="2953" w:type="pct"/>
            <w:shd w:val="clear" w:color="auto" w:fill="auto"/>
            <w:noWrap/>
            <w:vAlign w:val="center"/>
          </w:tcPr>
          <w:p>
            <w:pPr>
              <w:widowControl/>
              <w:rPr>
                <w:rFonts w:ascii="仿宋" w:hAnsi="仿宋" w:eastAsia="仿宋"/>
                <w:kern w:val="0"/>
                <w:sz w:val="20"/>
                <w:szCs w:val="20"/>
                <w:highlight w:val="none"/>
              </w:rPr>
            </w:pPr>
            <w:r>
              <w:rPr>
                <w:rFonts w:hint="eastAsia" w:ascii="仿宋" w:hAnsi="仿宋" w:eastAsia="仿宋"/>
                <w:kern w:val="0"/>
                <w:sz w:val="20"/>
                <w:szCs w:val="20"/>
                <w:highlight w:val="none"/>
              </w:rPr>
              <w:t>平台支持在信创服务器和操作系统运行</w:t>
            </w:r>
          </w:p>
        </w:tc>
      </w:tr>
    </w:tbl>
    <w:p>
      <w:pPr>
        <w:pStyle w:val="82"/>
        <w:keepNext w:val="0"/>
        <w:keepLines w:val="0"/>
        <w:pageBreakBefore w:val="0"/>
        <w:widowControl w:val="0"/>
        <w:kinsoku/>
        <w:wordWrap/>
        <w:overflowPunct/>
        <w:topLinePunct w:val="0"/>
        <w:autoSpaceDE/>
        <w:autoSpaceDN/>
        <w:bidi w:val="0"/>
        <w:adjustRightInd w:val="0"/>
        <w:spacing w:line="360" w:lineRule="auto"/>
        <w:textAlignment w:val="auto"/>
        <w:rPr>
          <w:rFonts w:ascii="微软雅黑" w:hAnsi="微软雅黑" w:eastAsia="微软雅黑" w:cs="宋体"/>
          <w:kern w:val="0"/>
          <w:sz w:val="20"/>
          <w:szCs w:val="20"/>
        </w:rPr>
      </w:pPr>
    </w:p>
    <w:p>
      <w:pPr>
        <w:keepNext w:val="0"/>
        <w:keepLines w:val="0"/>
        <w:pageBreakBefore w:val="0"/>
        <w:widowControl w:val="0"/>
        <w:kinsoku/>
        <w:wordWrap/>
        <w:overflowPunct/>
        <w:topLinePunct w:val="0"/>
        <w:autoSpaceDE/>
        <w:autoSpaceDN/>
        <w:bidi w:val="0"/>
        <w:adjustRightInd w:val="0"/>
        <w:spacing w:line="360" w:lineRule="auto"/>
        <w:jc w:val="left"/>
        <w:textAlignment w:val="auto"/>
        <w:outlineLvl w:val="1"/>
        <w:rPr>
          <w:rFonts w:ascii="仿宋" w:hAnsi="仿宋" w:eastAsia="仿宋" w:cs="仿宋"/>
          <w:b/>
          <w:bCs/>
          <w:sz w:val="28"/>
          <w:szCs w:val="28"/>
          <w:lang w:eastAsia="zh-Hans"/>
        </w:rPr>
      </w:pPr>
      <w:r>
        <w:rPr>
          <w:rFonts w:hint="eastAsia" w:ascii="仿宋" w:hAnsi="仿宋" w:eastAsia="仿宋" w:cs="仿宋"/>
          <w:b/>
          <w:bCs/>
          <w:sz w:val="28"/>
          <w:szCs w:val="28"/>
        </w:rPr>
        <w:t>5</w:t>
      </w:r>
      <w:r>
        <w:rPr>
          <w:rFonts w:hint="eastAsia" w:ascii="仿宋" w:hAnsi="仿宋" w:eastAsia="仿宋" w:cs="仿宋"/>
          <w:b/>
          <w:bCs/>
          <w:sz w:val="28"/>
          <w:szCs w:val="28"/>
          <w:lang w:eastAsia="zh-Hans"/>
        </w:rPr>
        <w:t>.</w:t>
      </w:r>
      <w:r>
        <w:rPr>
          <w:rFonts w:ascii="仿宋" w:hAnsi="仿宋" w:eastAsia="仿宋" w:cs="仿宋"/>
          <w:b/>
          <w:bCs/>
          <w:sz w:val="28"/>
          <w:szCs w:val="28"/>
          <w:lang w:eastAsia="zh-Hans"/>
        </w:rPr>
        <w:t>2</w:t>
      </w:r>
      <w:r>
        <w:rPr>
          <w:rFonts w:hint="eastAsia" w:ascii="仿宋" w:hAnsi="仿宋" w:eastAsia="仿宋" w:cs="仿宋"/>
          <w:b/>
          <w:bCs/>
          <w:sz w:val="28"/>
          <w:szCs w:val="28"/>
          <w:lang w:eastAsia="zh-Hans"/>
        </w:rPr>
        <w:t>数据资源体系建设</w:t>
      </w:r>
    </w:p>
    <w:p>
      <w:pPr>
        <w:pStyle w:val="82"/>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Times New Roman"/>
          <w:kern w:val="0"/>
          <w:szCs w:val="24"/>
        </w:rPr>
      </w:pPr>
      <w:r>
        <w:rPr>
          <w:rFonts w:hint="eastAsia" w:ascii="仿宋" w:hAnsi="仿宋" w:eastAsia="仿宋" w:cs="Times New Roman"/>
          <w:kern w:val="0"/>
          <w:szCs w:val="24"/>
        </w:rPr>
        <w:t>项目基于《杭州城市物联感知体系建设导则》要求，构建临安区城市物联感知组织体系；遵循“应接尽接”、“一机一档”、“一数一源”原则，完成临安区已建的各类终端设备接入，完成终端设备建档，终端数据溯源和终端地图定位标注工作；并依托区一体化智能化公共数据平台开展数据共享和交换。</w:t>
      </w:r>
      <w:r>
        <w:rPr>
          <w:rFonts w:ascii="仿宋" w:hAnsi="仿宋" w:eastAsia="仿宋" w:cs="Times New Roman"/>
          <w:kern w:val="0"/>
          <w:szCs w:val="24"/>
        </w:rPr>
        <w:t>纵向层面实现物联感知数据的区、街道、村社三级应用的上下联通，横向层面实现政法部门、相关领域管理部门、数据局、企业机构的数据资源整合及共享。</w:t>
      </w:r>
    </w:p>
    <w:p>
      <w:pPr>
        <w:pStyle w:val="82"/>
        <w:rPr>
          <w:rFonts w:ascii="仿宋" w:hAnsi="仿宋" w:eastAsia="仿宋" w:cs="Times New Roman"/>
          <w:kern w:val="0"/>
          <w:szCs w:val="24"/>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45"/>
        <w:gridCol w:w="1680"/>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分项建设内容</w:t>
            </w:r>
          </w:p>
        </w:tc>
        <w:tc>
          <w:tcPr>
            <w:tcW w:w="732"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一级模块</w:t>
            </w: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二级模块</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模块内容及技术要求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restart"/>
            <w:shd w:val="clear" w:color="auto" w:fill="auto"/>
            <w:noWrap/>
            <w:vAlign w:val="center"/>
          </w:tcPr>
          <w:p>
            <w:pPr>
              <w:rPr>
                <w:rFonts w:ascii="仿宋" w:hAnsi="仿宋" w:eastAsia="仿宋"/>
                <w:kern w:val="0"/>
                <w:sz w:val="20"/>
                <w:szCs w:val="20"/>
              </w:rPr>
            </w:pPr>
            <w:r>
              <w:rPr>
                <w:rFonts w:hint="eastAsia" w:ascii="仿宋" w:hAnsi="仿宋" w:eastAsia="仿宋"/>
                <w:kern w:val="0"/>
                <w:sz w:val="20"/>
                <w:szCs w:val="20"/>
              </w:rPr>
              <w:t>数据资源体系建设</w:t>
            </w:r>
          </w:p>
        </w:tc>
        <w:tc>
          <w:tcPr>
            <w:tcW w:w="732" w:type="pct"/>
            <w:vMerge w:val="restart"/>
            <w:shd w:val="clear" w:color="auto" w:fill="auto"/>
            <w:noWrap/>
            <w:vAlign w:val="center"/>
          </w:tcPr>
          <w:p>
            <w:pPr>
              <w:widowControl/>
              <w:rPr>
                <w:rFonts w:ascii="仿宋" w:hAnsi="仿宋" w:eastAsia="仿宋"/>
                <w:kern w:val="0"/>
                <w:sz w:val="20"/>
                <w:szCs w:val="20"/>
              </w:rPr>
            </w:pPr>
            <w:r>
              <w:rPr>
                <w:rFonts w:ascii="仿宋" w:hAnsi="仿宋" w:eastAsia="仿宋"/>
                <w:kern w:val="0"/>
                <w:sz w:val="20"/>
                <w:szCs w:val="20"/>
              </w:rPr>
              <w:t>数据归集管理</w:t>
            </w: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物联感知体系建设</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建设临安区城市物联感知组织体系。包含终端类目梳理和维护、终端类型、行业类型梳理和编码、行政区域梳理、终端设备场景梳理、设备分组管理、终端标识等。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终端标识服务开发</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根据终端标识规则，开发终端标识服务，提供标识生成、解析、索引等功能。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业务平台对接开发</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遵循“应接尽接”的接入原则，整理临安区已建业务平台清单，推进并接入临安区既有平台和后续其他新建的业务平台。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终端设备建档</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遵循“一机一档”的建设原则，补齐所有终端设备要素，建立临安区城市物联感知终端设备档案，包含：基础信息、分类分组、终端产品、责任单位等信息。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终端数据溯源</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确定数源业务平台，梳理并维护所有终端设备数据来源。明确终端数据传输方式、数据传输间隔、数据解析方式等参数。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终端定位标注</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整理补齐和维护所有设备的定位，进行地图定位标注，完善经纬度、区县街道、详细地址、按照位置类型等时空信息。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restart"/>
            <w:shd w:val="clear" w:color="auto" w:fill="auto"/>
            <w:noWrap/>
            <w:vAlign w:val="center"/>
          </w:tcPr>
          <w:p>
            <w:pPr>
              <w:widowControl/>
              <w:rPr>
                <w:rFonts w:ascii="仿宋" w:hAnsi="仿宋" w:eastAsia="仿宋"/>
                <w:kern w:val="0"/>
                <w:sz w:val="20"/>
                <w:szCs w:val="20"/>
              </w:rPr>
            </w:pPr>
            <w:r>
              <w:rPr>
                <w:rFonts w:ascii="仿宋" w:hAnsi="仿宋" w:eastAsia="仿宋"/>
                <w:kern w:val="0"/>
                <w:sz w:val="20"/>
                <w:szCs w:val="20"/>
              </w:rPr>
              <w:t>数据治理管理</w:t>
            </w: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设备数据建模</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基于设备普查数据，建立统一的设备数据模型库；整理临安区所有终端设备的基础信息、运行状态、运行数据、显示模型、三维模型。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数据清洗</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开发和维护物联数据清洗规则。包含数据过滤、数据去重、数据转换、数据校验、数据质量等。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数据转换</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开发和维护物联数据转换规则，将接入数据、设备数据、设备空间经纬度信息等转换为标准统一的数据格式。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设备预警整理</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整理并维护所有设备报警阈值，并录入到物联感知平台；包括开关状态报警、枚举状态报警、模拟量高限、低限、高高限、低低限等报警、设备内规则计算报警、设备间规则计算报警。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事件事项梳理</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梳理并维护物联感知事件事项，形成城市物联感知事件库，包含城市公共安全事件、城市环境感知事件、城市运行感知事件等。根据需要，对各类事件事项进行推送设置，促进事件的闭环处理。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指标体系建设</w:t>
            </w:r>
          </w:p>
        </w:tc>
        <w:tc>
          <w:tcPr>
            <w:tcW w:w="2614" w:type="pct"/>
            <w:shd w:val="clear" w:color="auto" w:fill="auto"/>
            <w:noWrap/>
            <w:vAlign w:val="center"/>
          </w:tcPr>
          <w:p>
            <w:pPr>
              <w:widowControl/>
              <w:rPr>
                <w:rFonts w:ascii="仿宋" w:hAnsi="仿宋" w:eastAsia="仿宋"/>
                <w:kern w:val="0"/>
                <w:sz w:val="20"/>
                <w:szCs w:val="20"/>
              </w:rPr>
            </w:pPr>
            <w:r>
              <w:rPr>
                <w:rFonts w:ascii="仿宋" w:hAnsi="仿宋" w:eastAsia="仿宋"/>
                <w:kern w:val="0"/>
                <w:sz w:val="20"/>
                <w:szCs w:val="20"/>
              </w:rPr>
              <w:t>1、评价指标体系包含：终端总数、接入平台、接入单位数、接入终端类型、终端在线率、信息完整率、更新及时率、数据归集总数、数据共享总数、共享率、业务平台评分等指标项目；</w:t>
            </w:r>
          </w:p>
          <w:p>
            <w:pPr>
              <w:widowControl/>
              <w:rPr>
                <w:rFonts w:ascii="仿宋" w:hAnsi="仿宋" w:eastAsia="仿宋"/>
                <w:kern w:val="0"/>
                <w:sz w:val="20"/>
                <w:szCs w:val="20"/>
              </w:rPr>
            </w:pPr>
            <w:r>
              <w:rPr>
                <w:rFonts w:ascii="仿宋" w:hAnsi="仿宋" w:eastAsia="仿宋"/>
                <w:kern w:val="0"/>
                <w:sz w:val="20"/>
                <w:szCs w:val="20"/>
              </w:rPr>
              <w:t>2、开发评价指标计算服务，实时计算平台指标项目；</w:t>
            </w:r>
          </w:p>
          <w:p>
            <w:pPr>
              <w:widowControl/>
              <w:rPr>
                <w:rFonts w:ascii="仿宋" w:hAnsi="仿宋" w:eastAsia="仿宋"/>
                <w:kern w:val="0"/>
                <w:sz w:val="20"/>
                <w:szCs w:val="20"/>
              </w:rPr>
            </w:pPr>
            <w:r>
              <w:rPr>
                <w:rFonts w:ascii="仿宋" w:hAnsi="仿宋" w:eastAsia="仿宋"/>
                <w:kern w:val="0"/>
                <w:sz w:val="20"/>
                <w:szCs w:val="20"/>
              </w:rPr>
              <w:t>3、进行指标数据监督，包括终端在线率、信息完整率、更新及时率等；发现异常项后，与相关责任单位进行确认和处理，不断提升平台指标数据。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restart"/>
            <w:shd w:val="clear" w:color="auto" w:fill="auto"/>
            <w:noWrap/>
            <w:vAlign w:val="center"/>
          </w:tcPr>
          <w:p>
            <w:pPr>
              <w:rPr>
                <w:rFonts w:ascii="仿宋" w:hAnsi="仿宋" w:eastAsia="仿宋"/>
                <w:kern w:val="0"/>
                <w:sz w:val="20"/>
                <w:szCs w:val="20"/>
              </w:rPr>
            </w:pPr>
            <w:r>
              <w:rPr>
                <w:rFonts w:ascii="仿宋" w:hAnsi="仿宋" w:eastAsia="仿宋"/>
                <w:kern w:val="0"/>
                <w:sz w:val="20"/>
                <w:szCs w:val="20"/>
              </w:rPr>
              <w:t>数据共享交换</w:t>
            </w: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杭州市城市物联感知平台</w:t>
            </w:r>
          </w:p>
        </w:tc>
        <w:tc>
          <w:tcPr>
            <w:tcW w:w="2614"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根据《杭州市城市物联感知基础平台接入规范》要求，开发数据同步服务，对接杭州市城市物联感知平台，完成临安区物联感知终端设备基础信息同步、设备运行数据上报、事件处置同步、政法委统一地址对接。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 w:type="pct"/>
            <w:vMerge w:val="continue"/>
            <w:shd w:val="clear" w:color="auto" w:fill="auto"/>
            <w:noWrap/>
            <w:vAlign w:val="center"/>
          </w:tcPr>
          <w:p>
            <w:pPr>
              <w:rPr>
                <w:rFonts w:ascii="仿宋" w:hAnsi="仿宋" w:eastAsia="仿宋"/>
                <w:kern w:val="0"/>
                <w:sz w:val="20"/>
                <w:szCs w:val="20"/>
              </w:rPr>
            </w:pPr>
          </w:p>
        </w:tc>
        <w:tc>
          <w:tcPr>
            <w:tcW w:w="732" w:type="pct"/>
            <w:vMerge w:val="continue"/>
            <w:shd w:val="clear" w:color="auto" w:fill="auto"/>
            <w:noWrap/>
            <w:vAlign w:val="center"/>
          </w:tcPr>
          <w:p>
            <w:pPr>
              <w:widowControl/>
              <w:rPr>
                <w:rFonts w:ascii="仿宋" w:hAnsi="仿宋" w:eastAsia="仿宋"/>
                <w:kern w:val="0"/>
                <w:sz w:val="20"/>
                <w:szCs w:val="20"/>
              </w:rPr>
            </w:pPr>
          </w:p>
        </w:tc>
        <w:tc>
          <w:tcPr>
            <w:tcW w:w="988" w:type="pct"/>
            <w:vAlign w:val="center"/>
          </w:tcPr>
          <w:p>
            <w:pPr>
              <w:widowControl/>
              <w:rPr>
                <w:rFonts w:ascii="仿宋" w:hAnsi="仿宋" w:eastAsia="仿宋"/>
                <w:kern w:val="0"/>
                <w:sz w:val="20"/>
                <w:szCs w:val="20"/>
              </w:rPr>
            </w:pPr>
            <w:r>
              <w:rPr>
                <w:rFonts w:hint="eastAsia" w:ascii="仿宋" w:hAnsi="仿宋" w:eastAsia="仿宋"/>
                <w:kern w:val="0"/>
                <w:sz w:val="20"/>
                <w:szCs w:val="20"/>
              </w:rPr>
              <w:t>一体化智能化公共数据平台</w:t>
            </w:r>
          </w:p>
        </w:tc>
        <w:tc>
          <w:tcPr>
            <w:tcW w:w="2614" w:type="pct"/>
            <w:shd w:val="clear" w:color="auto" w:fill="auto"/>
            <w:noWrap/>
            <w:vAlign w:val="center"/>
          </w:tcPr>
          <w:p>
            <w:pPr>
              <w:widowControl/>
              <w:rPr>
                <w:sz w:val="20"/>
                <w:szCs w:val="20"/>
              </w:rPr>
            </w:pPr>
            <w:r>
              <w:rPr>
                <w:rFonts w:hint="eastAsia" w:ascii="仿宋" w:hAnsi="仿宋" w:eastAsia="仿宋"/>
                <w:kern w:val="0"/>
                <w:sz w:val="20"/>
                <w:szCs w:val="20"/>
              </w:rPr>
              <w:t>依托临安区一体化智能化公共数据平台开展数据编目和共享，形成物联感知设备数据的应用共享模式，实现跨层级、跨地域、跨系统、跨部门、跨业务的数据共享。根据数据编目要求和数据特性，开发数据同步服务完成数据归集，保证数据归集的及时性、完整性、正确性。</w:t>
            </w:r>
          </w:p>
        </w:tc>
      </w:tr>
    </w:tbl>
    <w:p>
      <w:pPr>
        <w:pStyle w:val="82"/>
      </w:pPr>
    </w:p>
    <w:p>
      <w:pPr>
        <w:keepNext w:val="0"/>
        <w:keepLines w:val="0"/>
        <w:pageBreakBefore w:val="0"/>
        <w:widowControl w:val="0"/>
        <w:kinsoku/>
        <w:wordWrap/>
        <w:overflowPunct/>
        <w:topLinePunct w:val="0"/>
        <w:bidi w:val="0"/>
        <w:adjustRightInd w:val="0"/>
        <w:snapToGrid/>
        <w:spacing w:line="360" w:lineRule="auto"/>
        <w:jc w:val="left"/>
        <w:textAlignment w:val="auto"/>
        <w:outlineLvl w:val="1"/>
        <w:rPr>
          <w:rFonts w:ascii="仿宋" w:hAnsi="仿宋" w:eastAsia="仿宋" w:cs="仿宋"/>
          <w:b/>
          <w:bCs/>
          <w:sz w:val="28"/>
          <w:szCs w:val="28"/>
          <w:lang w:eastAsia="zh-Hans"/>
        </w:rPr>
      </w:pPr>
      <w:r>
        <w:rPr>
          <w:rFonts w:hint="eastAsia" w:ascii="仿宋" w:hAnsi="仿宋" w:eastAsia="仿宋" w:cs="仿宋"/>
          <w:b/>
          <w:bCs/>
          <w:sz w:val="28"/>
          <w:szCs w:val="28"/>
        </w:rPr>
        <w:t>5</w:t>
      </w:r>
      <w:r>
        <w:rPr>
          <w:rFonts w:hint="eastAsia" w:ascii="仿宋" w:hAnsi="仿宋" w:eastAsia="仿宋" w:cs="仿宋"/>
          <w:b/>
          <w:bCs/>
          <w:sz w:val="28"/>
          <w:szCs w:val="28"/>
          <w:lang w:eastAsia="zh-Hans"/>
        </w:rPr>
        <w:t>.</w:t>
      </w:r>
      <w:r>
        <w:rPr>
          <w:rFonts w:ascii="仿宋" w:hAnsi="仿宋" w:eastAsia="仿宋" w:cs="仿宋"/>
          <w:b/>
          <w:bCs/>
          <w:sz w:val="28"/>
          <w:szCs w:val="28"/>
          <w:lang w:eastAsia="zh-Hans"/>
        </w:rPr>
        <w:t>3</w:t>
      </w:r>
      <w:r>
        <w:rPr>
          <w:rFonts w:hint="eastAsia" w:ascii="仿宋" w:hAnsi="仿宋" w:eastAsia="仿宋" w:cs="仿宋"/>
          <w:b/>
          <w:bCs/>
          <w:sz w:val="28"/>
          <w:szCs w:val="28"/>
          <w:lang w:eastAsia="zh-Hans"/>
        </w:rPr>
        <w:t>物联感知门户与驾驶舱定制</w:t>
      </w:r>
    </w:p>
    <w:p>
      <w:pPr>
        <w:pStyle w:val="60"/>
        <w:keepNext w:val="0"/>
        <w:keepLines w:val="0"/>
        <w:pageBreakBefore w:val="0"/>
        <w:widowControl w:val="0"/>
        <w:kinsoku/>
        <w:wordWrap/>
        <w:overflowPunct/>
        <w:topLinePunct w:val="0"/>
        <w:bidi w:val="0"/>
        <w:adjustRightInd w:val="0"/>
        <w:snapToGrid/>
        <w:spacing w:line="360" w:lineRule="auto"/>
        <w:textAlignment w:val="auto"/>
        <w:rPr>
          <w:rFonts w:ascii="仿宋" w:hAnsi="仿宋" w:eastAsia="仿宋"/>
          <w:kern w:val="0"/>
          <w:szCs w:val="24"/>
          <w:lang w:val="en-US"/>
        </w:rPr>
      </w:pPr>
      <w:r>
        <w:rPr>
          <w:rFonts w:hint="eastAsia" w:ascii="仿宋" w:hAnsi="仿宋" w:eastAsia="仿宋"/>
          <w:kern w:val="0"/>
          <w:szCs w:val="24"/>
          <w:lang w:val="en-US"/>
        </w:rPr>
        <w:t>物联感知门户对接入的物联感知数据进行综合展示与管理，包含控制台、终端类型、终端产品、终端设备、业务平台、终端事件、终端预警、二三维场景汇总展示功能；支持终端统计分析、数据统计分析；支持用户以目录形式对终端数据、二三维场景等数据进行申请和访问；支持访问日志审计、操作日志审计；支持对资源申请和审批管理；门户支持对接浙政钉用户组件，支持对用户和应用访问控制管理。</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lang w:val="en-US"/>
        </w:rPr>
      </w:pPr>
      <w:r>
        <w:rPr>
          <w:rFonts w:hint="eastAsia" w:ascii="仿宋" w:hAnsi="仿宋" w:eastAsia="仿宋"/>
          <w:kern w:val="0"/>
          <w:sz w:val="24"/>
        </w:rPr>
        <w:t>驾驶舱支持设备地图展示，包含物联感知终端大屏、事件大屏、数据大屏页面。</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215"/>
        <w:gridCol w:w="1695"/>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分项建设内容</w:t>
            </w:r>
          </w:p>
        </w:tc>
        <w:tc>
          <w:tcPr>
            <w:tcW w:w="71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一级模块</w:t>
            </w: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二级模块</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模块内容及技术要求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restart"/>
            <w:shd w:val="clear" w:color="auto" w:fill="auto"/>
            <w:noWrap/>
            <w:vAlign w:val="center"/>
          </w:tcPr>
          <w:p>
            <w:pPr>
              <w:rPr>
                <w:rFonts w:ascii="仿宋" w:hAnsi="仿宋" w:eastAsia="仿宋"/>
                <w:kern w:val="0"/>
                <w:sz w:val="20"/>
                <w:szCs w:val="20"/>
              </w:rPr>
            </w:pPr>
            <w:r>
              <w:rPr>
                <w:rFonts w:hint="eastAsia" w:ascii="仿宋" w:hAnsi="仿宋" w:eastAsia="仿宋"/>
                <w:kern w:val="0"/>
                <w:sz w:val="20"/>
                <w:szCs w:val="20"/>
              </w:rPr>
              <w:t>物联感知门户与驾驶舱定制</w:t>
            </w:r>
          </w:p>
        </w:tc>
        <w:tc>
          <w:tcPr>
            <w:tcW w:w="715" w:type="pct"/>
            <w:vMerge w:val="restar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临安物联感知门户定制</w:t>
            </w: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访问控制</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针对用户和业务应用访问数据的过程，进行统一身份认证、授权、鉴权。包括应用访问控制、服务访问控制、业务功能访问控制、数据服务访问控制。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控制台</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控制台完成临安区城市物联感知建设情况以及用户重要事项展示。包括我的申请、我的审批、终端接入情况、终端数据归集与共享情况、终端分布情况、业务平台情况、终端事件预警等。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终端类型展示</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展示当前临安区城市物联感知平台建设的终端类型，并进行详情展示；对终端类型进行分类查找。二维图形、三维图形可直观展示终端类型的外观。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终端产品展示</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展示当前临安区城市物联感知平台建设的终端产品，并进行详情展示；对终端产品进行分类查找。二维图形、三维图形可直观展示终端类型的外观。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终端设备监视</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展示当前临安区城市物联感知平台建设的终端设备，并进行详情展示；对终端设备进行分类查找；数据权限判断；二维图形、三维图形可直观展示终端类型的外观。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业务平台监视</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展示当前临安区城市物联感知平台建设的业务平台，并进行详情展示；对业务平台进行分类查找。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终端事件监视</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对终端事件进行实时监视、分类查找、详情查看等管理，终端事件详情应包括事件开始时间、事件名称、事件级别、事件描述，以及事件处置进度；对用户进行数据权限判断。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终端预警监视</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展示当前城市物联感知平台接入的终端预警，终端预警列表支持预警开始时间、结束时间、终端类型、预警名称、预警级别、预警状态、预警类型、行政单位、行政区域、业务平台、终端场景等条件模糊查询；展示终端预警详情，包括预警开始时间、预警名称、预警级别、预警描述，以及预警处置进度；支持数据权限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二维场景监视</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对二维场景进行分类查找、详情查看等管理，对用户进行数据权限判断。展示当前临安区城市物联感知平台绘制的二维设备场景；支持二维场景画面的监视。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三维场景监视</w:t>
            </w:r>
          </w:p>
        </w:tc>
        <w:tc>
          <w:tcPr>
            <w:tcW w:w="2605" w:type="pct"/>
            <w:shd w:val="clear" w:color="auto" w:fill="auto"/>
            <w:noWrap/>
            <w:vAlign w:val="center"/>
          </w:tcPr>
          <w:p>
            <w:pPr>
              <w:widowControl/>
              <w:rPr>
                <w:rFonts w:ascii="仿宋" w:hAnsi="仿宋"/>
                <w:kern w:val="0"/>
                <w:sz w:val="20"/>
                <w:szCs w:val="20"/>
              </w:rPr>
            </w:pPr>
            <w:r>
              <w:rPr>
                <w:rFonts w:hint="eastAsia" w:ascii="仿宋" w:hAnsi="仿宋" w:eastAsia="仿宋"/>
                <w:kern w:val="0"/>
                <w:sz w:val="20"/>
                <w:szCs w:val="20"/>
              </w:rPr>
              <w:t>对三维场景进行分类查找、详情查看等管理，对用户进行数据权限判断。展示当前临安区城市物联感知平台绘制的三维设备场景；支持三维场景画面的监视。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终端目录申请</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用户可查看当前临安区物联感知平台接入的所有终端设备，针对不具备数据权限的终端设备进行单个资源申请和批量资源申请。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二维场景申请</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用户可查看当前临安区物联感知平台绘制的二维场景，针对不具备数据权限的二维场景进行单个资源申请和批量资源申请。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三维场景申请</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用户可查看当前临安区物联感知平台绘制的三维场景，针对不具备数据权限的三维进行单个资源申请和批量资源申请。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访问日志审计</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针对用户对平台的应用访问行为进行审计，包括用户登录、用户退出、每个页面访问时间以及访问时长等行为。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操作日志审计</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针对其他业务应用对物联感知平台的数据服务访问进行审计，包括访问时间、请求内容、请求结果等数据。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终端统计分析</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从多个维度统计临安区城市物联感知平台终端接入情况。包括行政区域、业务平台、设备场景等维度统计终端数量、终端类型、终端在线率、信息完整率、数据及时率。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数据统计分析</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从多维度统计分析城市物联感知平台数据归集共享情况。包括行政单位等维度统计各个单位数据归集、业务平台、用户、访问、调用等情况。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用户角色管理</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根据临安区行政单位及人员情况，完成临安区行政单位人员用户管理，并根据各个行政单位人员进行用户角色管理。支持在平台完成IRS注册后使用浙政钉组件，完成行政单位人员用户与浙政钉的绑定，以支持两种登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资源申请管理</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资源申请管理可查看当前资源申请列表，申请列表支持申请时间、申请结果、申请内容等条件模糊查询。支持对申请工单进行查看、撤销、修改、重新提交等管理。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资源审批管理</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资源审批管理，可查看当前资源审批列表，审批列表支持审批时间、审批结果、申请内容、申请用户、行政单位等条件模糊查询。支持对资源审批工单进行查看、审批通过和拒绝、审批内容填写等管理；资源审批支持二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restar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物联感知驾驶舱定制</w:t>
            </w: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设备地图开发</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根据临安区18个街镇的地理信息地图上展示设备标记和设备实时状态，支持行政区域、终端类型、设备场景等各种维度对设备进行快速检索。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物联感知终端大屏开发</w:t>
            </w:r>
          </w:p>
        </w:tc>
        <w:tc>
          <w:tcPr>
            <w:tcW w:w="2605" w:type="pct"/>
            <w:shd w:val="clear" w:color="auto" w:fill="auto"/>
            <w:noWrap/>
            <w:vAlign w:val="center"/>
          </w:tcPr>
          <w:p>
            <w:pPr>
              <w:widowControl/>
              <w:rPr>
                <w:rFonts w:ascii="仿宋" w:hAnsi="仿宋" w:eastAsia="仿宋"/>
                <w:kern w:val="0"/>
                <w:sz w:val="20"/>
                <w:szCs w:val="20"/>
              </w:rPr>
            </w:pPr>
            <w:r>
              <w:rPr>
                <w:rFonts w:ascii="仿宋" w:hAnsi="仿宋" w:eastAsia="仿宋"/>
                <w:kern w:val="0"/>
                <w:sz w:val="20"/>
                <w:szCs w:val="20"/>
              </w:rPr>
              <w:t>支持终端设备地图展示，</w:t>
            </w:r>
            <w:r>
              <w:rPr>
                <w:rFonts w:hint="eastAsia" w:ascii="仿宋" w:hAnsi="仿宋" w:eastAsia="仿宋"/>
                <w:kern w:val="0"/>
                <w:sz w:val="20"/>
                <w:szCs w:val="20"/>
              </w:rPr>
              <w:t>支持</w:t>
            </w:r>
            <w:r>
              <w:rPr>
                <w:rFonts w:ascii="仿宋" w:hAnsi="仿宋" w:eastAsia="仿宋"/>
                <w:kern w:val="0"/>
                <w:sz w:val="20"/>
                <w:szCs w:val="20"/>
              </w:rPr>
              <w:t>根据筛选条件快速查找定位终端设备，</w:t>
            </w:r>
            <w:r>
              <w:rPr>
                <w:rFonts w:hint="eastAsia" w:ascii="仿宋" w:hAnsi="仿宋" w:eastAsia="仿宋"/>
                <w:kern w:val="0"/>
                <w:sz w:val="20"/>
                <w:szCs w:val="20"/>
              </w:rPr>
              <w:t>支持</w:t>
            </w:r>
            <w:r>
              <w:rPr>
                <w:rFonts w:ascii="仿宋" w:hAnsi="仿宋" w:eastAsia="仿宋"/>
                <w:kern w:val="0"/>
                <w:sz w:val="20"/>
                <w:szCs w:val="20"/>
              </w:rPr>
              <w:t>查看终端设备基础信息和运行状态，并提供可视化的页面展示终端形态；支持终端信息的统计分析结果展示。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物联感知事件大屏开发</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开发物联感知事件大屏页面。支持终端事件地图展示，支持终端事件的统计分析结果展示。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pct"/>
            <w:vMerge w:val="continue"/>
            <w:shd w:val="clear" w:color="auto" w:fill="auto"/>
            <w:noWrap/>
            <w:vAlign w:val="center"/>
          </w:tcPr>
          <w:p>
            <w:pPr>
              <w:rPr>
                <w:rFonts w:ascii="仿宋" w:hAnsi="仿宋" w:eastAsia="仿宋"/>
                <w:kern w:val="0"/>
                <w:sz w:val="20"/>
                <w:szCs w:val="20"/>
              </w:rPr>
            </w:pPr>
          </w:p>
        </w:tc>
        <w:tc>
          <w:tcPr>
            <w:tcW w:w="715" w:type="pct"/>
            <w:vMerge w:val="continue"/>
            <w:shd w:val="clear" w:color="auto" w:fill="auto"/>
            <w:noWrap/>
            <w:vAlign w:val="center"/>
          </w:tcPr>
          <w:p>
            <w:pPr>
              <w:widowControl/>
              <w:rPr>
                <w:rFonts w:ascii="仿宋" w:hAnsi="仿宋" w:eastAsia="仿宋"/>
                <w:kern w:val="0"/>
                <w:sz w:val="20"/>
                <w:szCs w:val="20"/>
              </w:rPr>
            </w:pPr>
          </w:p>
        </w:tc>
        <w:tc>
          <w:tcPr>
            <w:tcW w:w="997" w:type="pct"/>
            <w:vAlign w:val="center"/>
          </w:tcPr>
          <w:p>
            <w:pPr>
              <w:widowControl/>
              <w:rPr>
                <w:rFonts w:ascii="仿宋" w:hAnsi="仿宋" w:eastAsia="仿宋"/>
                <w:kern w:val="0"/>
                <w:sz w:val="20"/>
                <w:szCs w:val="20"/>
              </w:rPr>
            </w:pPr>
            <w:r>
              <w:rPr>
                <w:rFonts w:hint="eastAsia" w:ascii="仿宋" w:hAnsi="仿宋" w:eastAsia="仿宋"/>
                <w:kern w:val="0"/>
                <w:sz w:val="20"/>
                <w:szCs w:val="20"/>
              </w:rPr>
              <w:t>物联感知数据大屏开发</w:t>
            </w:r>
          </w:p>
        </w:tc>
        <w:tc>
          <w:tcPr>
            <w:tcW w:w="2605" w:type="pct"/>
            <w:shd w:val="clear" w:color="auto" w:fill="auto"/>
            <w:noWrap/>
            <w:vAlign w:val="center"/>
          </w:tcPr>
          <w:p>
            <w:pPr>
              <w:widowControl/>
              <w:rPr>
                <w:rFonts w:ascii="仿宋" w:hAnsi="仿宋" w:eastAsia="仿宋"/>
                <w:kern w:val="0"/>
                <w:sz w:val="20"/>
                <w:szCs w:val="20"/>
              </w:rPr>
            </w:pPr>
            <w:r>
              <w:rPr>
                <w:rFonts w:hint="eastAsia" w:ascii="仿宋" w:hAnsi="仿宋" w:eastAsia="仿宋"/>
                <w:kern w:val="0"/>
                <w:sz w:val="20"/>
                <w:szCs w:val="20"/>
              </w:rPr>
              <w:t>开发物联感知数据大屏页面。支持终端数据地图展示，支持终端数据的统计分析结构展示。</w:t>
            </w:r>
          </w:p>
        </w:tc>
      </w:tr>
    </w:tbl>
    <w:p>
      <w:pPr>
        <w:pStyle w:val="82"/>
        <w:ind w:left="0" w:leftChars="0" w:firstLine="0" w:firstLineChars="0"/>
        <w:rPr>
          <w:rFonts w:ascii="仿宋" w:hAnsi="仿宋" w:eastAsia="仿宋"/>
        </w:rPr>
      </w:pPr>
    </w:p>
    <w:p>
      <w:pPr>
        <w:pageBreakBefore w:val="0"/>
        <w:widowControl w:val="0"/>
        <w:kinsoku/>
        <w:wordWrap/>
        <w:overflowPunct/>
        <w:topLinePunct w:val="0"/>
        <w:bidi w:val="0"/>
        <w:spacing w:line="360" w:lineRule="auto"/>
        <w:jc w:val="left"/>
        <w:textAlignment w:val="auto"/>
        <w:outlineLvl w:val="1"/>
        <w:rPr>
          <w:rFonts w:ascii="仿宋" w:hAnsi="仿宋" w:eastAsia="仿宋" w:cs="仿宋"/>
          <w:b/>
          <w:bCs/>
          <w:sz w:val="28"/>
          <w:szCs w:val="28"/>
        </w:rPr>
      </w:pPr>
      <w:r>
        <w:rPr>
          <w:rFonts w:hint="eastAsia" w:ascii="仿宋" w:hAnsi="仿宋" w:eastAsia="仿宋" w:cs="仿宋"/>
          <w:b/>
          <w:bCs/>
          <w:sz w:val="28"/>
          <w:szCs w:val="28"/>
        </w:rPr>
        <w:t>5</w:t>
      </w:r>
      <w:r>
        <w:rPr>
          <w:rFonts w:ascii="仿宋" w:hAnsi="仿宋" w:eastAsia="仿宋" w:cs="仿宋"/>
          <w:b/>
          <w:bCs/>
          <w:sz w:val="28"/>
          <w:szCs w:val="28"/>
          <w:lang w:eastAsia="zh-Hans"/>
        </w:rPr>
        <w:t>.4</w:t>
      </w:r>
      <w:r>
        <w:rPr>
          <w:rFonts w:hint="eastAsia" w:ascii="仿宋" w:hAnsi="仿宋" w:eastAsia="仿宋" w:cs="仿宋"/>
          <w:b/>
          <w:bCs/>
          <w:sz w:val="28"/>
          <w:szCs w:val="28"/>
        </w:rPr>
        <w:t>驻点服务</w:t>
      </w:r>
    </w:p>
    <w:p>
      <w:pPr>
        <w:pStyle w:val="60"/>
        <w:pageBreakBefore w:val="0"/>
        <w:widowControl w:val="0"/>
        <w:kinsoku/>
        <w:wordWrap/>
        <w:overflowPunct/>
        <w:topLinePunct w:val="0"/>
        <w:bidi w:val="0"/>
        <w:spacing w:line="360" w:lineRule="auto"/>
        <w:textAlignment w:val="auto"/>
        <w:rPr>
          <w:rFonts w:ascii="仿宋" w:hAnsi="仿宋" w:eastAsia="仿宋"/>
          <w:highlight w:val="yellow"/>
          <w:lang w:val="en-US"/>
        </w:rPr>
      </w:pPr>
      <w:r>
        <w:rPr>
          <w:rFonts w:hint="eastAsia" w:ascii="仿宋" w:hAnsi="仿宋" w:eastAsia="仿宋" w:cs="仿宋"/>
          <w:szCs w:val="24"/>
          <w:lang w:val="en-US"/>
        </w:rPr>
        <w:t>本项目</w:t>
      </w:r>
      <w:r>
        <w:rPr>
          <w:rFonts w:hint="eastAsia" w:ascii="仿宋" w:hAnsi="仿宋" w:eastAsia="仿宋" w:cs="仿宋"/>
          <w:szCs w:val="24"/>
        </w:rPr>
        <w:t>需提供1名专业技术人员驻点，进行数据接入、终端点位治理和运维技术服务，服务期为自项目验收合格后36个月，工作地点由采购人指定。</w:t>
      </w:r>
    </w:p>
    <w:p>
      <w:pPr>
        <w:pageBreakBefore w:val="0"/>
        <w:widowControl w:val="0"/>
        <w:kinsoku/>
        <w:wordWrap/>
        <w:overflowPunct/>
        <w:topLinePunct w:val="0"/>
        <w:bidi w:val="0"/>
        <w:spacing w:line="360" w:lineRule="auto"/>
        <w:jc w:val="left"/>
        <w:textAlignment w:val="auto"/>
        <w:outlineLvl w:val="1"/>
        <w:rPr>
          <w:rFonts w:ascii="仿宋" w:hAnsi="仿宋" w:eastAsia="仿宋" w:cs="仿宋"/>
          <w:b/>
          <w:bCs/>
          <w:sz w:val="28"/>
          <w:szCs w:val="28"/>
          <w:lang w:eastAsia="zh-Hans"/>
        </w:rPr>
      </w:pPr>
      <w:r>
        <w:rPr>
          <w:rFonts w:hint="eastAsia" w:ascii="仿宋" w:hAnsi="仿宋" w:eastAsia="仿宋" w:cs="仿宋"/>
          <w:b/>
          <w:bCs/>
          <w:sz w:val="28"/>
          <w:szCs w:val="28"/>
        </w:rPr>
        <w:t>5</w:t>
      </w:r>
      <w:r>
        <w:rPr>
          <w:rFonts w:ascii="仿宋" w:hAnsi="仿宋" w:eastAsia="仿宋" w:cs="仿宋"/>
          <w:b/>
          <w:bCs/>
          <w:sz w:val="28"/>
          <w:szCs w:val="28"/>
          <w:lang w:eastAsia="zh-Hans"/>
        </w:rPr>
        <w:t>.</w:t>
      </w:r>
      <w:r>
        <w:rPr>
          <w:rFonts w:hint="eastAsia" w:ascii="仿宋" w:hAnsi="仿宋" w:eastAsia="仿宋" w:cs="仿宋"/>
          <w:b/>
          <w:bCs/>
          <w:sz w:val="28"/>
          <w:szCs w:val="28"/>
        </w:rPr>
        <w:t>5等保服务</w:t>
      </w:r>
    </w:p>
    <w:p>
      <w:pPr>
        <w:pStyle w:val="82"/>
        <w:pageBreakBefore w:val="0"/>
        <w:widowControl w:val="0"/>
        <w:kinsoku/>
        <w:wordWrap/>
        <w:overflowPunct/>
        <w:topLinePunct w:val="0"/>
        <w:bidi w:val="0"/>
        <w:spacing w:line="360" w:lineRule="auto"/>
        <w:ind w:firstLine="560"/>
        <w:textAlignment w:val="auto"/>
        <w:rPr>
          <w:lang w:val="en-US"/>
        </w:rPr>
      </w:pPr>
      <w:r>
        <w:rPr>
          <w:rFonts w:hint="eastAsia" w:ascii="仿宋" w:hAnsi="仿宋" w:eastAsia="仿宋"/>
        </w:rPr>
        <w:t>本项目须提供一次二级等保测评服务。</w:t>
      </w:r>
    </w:p>
    <w:p>
      <w:pPr>
        <w:pStyle w:val="3"/>
        <w:pageBreakBefore w:val="0"/>
        <w:widowControl w:val="0"/>
        <w:numPr>
          <w:ilvl w:val="0"/>
          <w:numId w:val="1"/>
        </w:numPr>
        <w:kinsoku/>
        <w:wordWrap/>
        <w:overflowPunct/>
        <w:topLinePunct w:val="0"/>
        <w:bidi w:val="0"/>
        <w:spacing w:line="360" w:lineRule="auto"/>
        <w:ind w:left="0" w:firstLine="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技术服务要求</w:t>
      </w:r>
    </w:p>
    <w:p>
      <w:pPr>
        <w:pageBreakBefore w:val="0"/>
        <w:widowControl w:val="0"/>
        <w:numPr>
          <w:ilvl w:val="0"/>
          <w:numId w:val="2"/>
        </w:numPr>
        <w:kinsoku/>
        <w:wordWrap/>
        <w:overflowPunct/>
        <w:topLinePunct w:val="0"/>
        <w:autoSpaceDE w:val="0"/>
        <w:bidi w:val="0"/>
        <w:spacing w:before="156" w:beforeLines="50" w:after="156" w:afterLines="50" w:line="360" w:lineRule="auto"/>
        <w:ind w:firstLine="480" w:firstLineChars="200"/>
        <w:textAlignment w:val="auto"/>
        <w:rPr>
          <w:rFonts w:ascii="仿宋" w:hAnsi="仿宋" w:eastAsia="仿宋" w:cs="仿宋"/>
          <w:sz w:val="24"/>
          <w:lang w:bidi="ar"/>
        </w:rPr>
      </w:pPr>
      <w:bookmarkStart w:id="28" w:name="_Toc12487"/>
      <w:bookmarkStart w:id="29" w:name="_Toc6391"/>
      <w:bookmarkStart w:id="30" w:name="_Toc4577"/>
      <w:bookmarkStart w:id="31" w:name="_Toc25171"/>
      <w:bookmarkStart w:id="32" w:name="_Toc20989"/>
      <w:bookmarkStart w:id="33" w:name="_Toc12495"/>
      <w:bookmarkStart w:id="34" w:name="_Toc9994"/>
      <w:bookmarkStart w:id="35" w:name="_Toc1292"/>
      <w:r>
        <w:rPr>
          <w:rFonts w:hint="eastAsia" w:ascii="仿宋" w:hAnsi="仿宋" w:eastAsia="仿宋" w:cs="仿宋"/>
          <w:sz w:val="24"/>
          <w:lang w:bidi="ar"/>
        </w:rPr>
        <w:t>项目建设周期：</w:t>
      </w:r>
    </w:p>
    <w:p>
      <w:pPr>
        <w:pageBreakBefore w:val="0"/>
        <w:widowControl w:val="0"/>
        <w:kinsoku/>
        <w:wordWrap/>
        <w:overflowPunct/>
        <w:topLinePunct w:val="0"/>
        <w:autoSpaceDE w:val="0"/>
        <w:bidi w:val="0"/>
        <w:spacing w:before="156" w:beforeLines="50" w:after="156" w:afterLines="50" w:line="360" w:lineRule="auto"/>
        <w:ind w:firstLine="480" w:firstLineChars="200"/>
        <w:textAlignment w:val="auto"/>
        <w:rPr>
          <w:rFonts w:ascii="仿宋" w:hAnsi="仿宋" w:eastAsia="仿宋" w:cs="仿宋"/>
          <w:sz w:val="24"/>
          <w:lang w:bidi="ar"/>
        </w:rPr>
      </w:pPr>
      <w:r>
        <w:rPr>
          <w:rFonts w:hint="eastAsia" w:ascii="仿宋" w:hAnsi="仿宋" w:eastAsia="仿宋" w:cs="仿宋"/>
          <w:sz w:val="24"/>
          <w:lang w:bidi="ar"/>
        </w:rPr>
        <w:t>项目建设期为</w:t>
      </w:r>
      <w:r>
        <w:rPr>
          <w:rFonts w:ascii="仿宋" w:hAnsi="仿宋" w:eastAsia="仿宋" w:cs="仿宋"/>
          <w:sz w:val="24"/>
          <w:lang w:bidi="ar"/>
        </w:rPr>
        <w:t>5</w:t>
      </w:r>
      <w:r>
        <w:rPr>
          <w:rFonts w:hint="eastAsia" w:ascii="仿宋" w:hAnsi="仿宋" w:eastAsia="仿宋" w:cs="仿宋"/>
          <w:sz w:val="24"/>
          <w:lang w:bidi="ar"/>
        </w:rPr>
        <w:t>个月内，自合同签订之日起</w:t>
      </w:r>
      <w:r>
        <w:rPr>
          <w:rFonts w:ascii="仿宋" w:hAnsi="仿宋" w:eastAsia="仿宋" w:cs="仿宋"/>
          <w:sz w:val="24"/>
          <w:lang w:bidi="ar"/>
        </w:rPr>
        <w:t>5</w:t>
      </w:r>
      <w:r>
        <w:rPr>
          <w:rFonts w:hint="eastAsia" w:ascii="仿宋" w:hAnsi="仿宋" w:eastAsia="仿宋" w:cs="仿宋"/>
          <w:sz w:val="24"/>
          <w:lang w:bidi="ar"/>
        </w:rPr>
        <w:t>个月内完成整体项目建设（可提前完成），其中实施期2个月，试运行3个月。</w:t>
      </w:r>
      <w:r>
        <w:rPr>
          <w:rFonts w:hint="eastAsia" w:ascii="仿宋" w:hAnsi="仿宋" w:eastAsia="仿宋" w:cs="仿宋"/>
          <w:sz w:val="24"/>
        </w:rPr>
        <w:t>供应商建设完成后提交采购人验收申请，采购人在收到验收申请的五个工作日内组织验收。</w:t>
      </w:r>
    </w:p>
    <w:p>
      <w:pPr>
        <w:pStyle w:val="875"/>
        <w:pageBreakBefore w:val="0"/>
        <w:widowControl w:val="0"/>
        <w:kinsoku/>
        <w:wordWrap/>
        <w:overflowPunct/>
        <w:topLinePunct w:val="0"/>
        <w:autoSpaceDE w:val="0"/>
        <w:bidi w:val="0"/>
        <w:spacing w:before="156" w:beforeLines="50" w:after="156" w:afterLines="50" w:line="360" w:lineRule="auto"/>
        <w:ind w:firstLine="482"/>
        <w:textAlignment w:val="auto"/>
        <w:rPr>
          <w:rFonts w:ascii="仿宋" w:hAnsi="仿宋" w:eastAsia="仿宋" w:cs="仿宋"/>
          <w:sz w:val="24"/>
          <w:szCs w:val="24"/>
        </w:rPr>
      </w:pPr>
      <w:r>
        <w:rPr>
          <w:rFonts w:hint="eastAsia" w:ascii="仿宋" w:hAnsi="仿宋" w:eastAsia="仿宋" w:cs="仿宋"/>
          <w:sz w:val="24"/>
          <w:szCs w:val="24"/>
        </w:rPr>
        <w:t>2）项目培训要求：</w:t>
      </w:r>
    </w:p>
    <w:p>
      <w:pPr>
        <w:pStyle w:val="875"/>
        <w:pageBreakBefore w:val="0"/>
        <w:widowControl w:val="0"/>
        <w:kinsoku/>
        <w:wordWrap/>
        <w:overflowPunct/>
        <w:topLinePunct w:val="0"/>
        <w:autoSpaceDE w:val="0"/>
        <w:bidi w:val="0"/>
        <w:spacing w:before="156" w:beforeLines="50" w:after="156" w:afterLines="50"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在验收完成后，供应商须面向采购人提供技术培训服务，以确保采购人能了解并掌握相关系统的操作使用，培训时间、地点、具体人员由采购人指定。</w:t>
      </w:r>
    </w:p>
    <w:bookmarkEnd w:id="28"/>
    <w:bookmarkEnd w:id="29"/>
    <w:bookmarkEnd w:id="30"/>
    <w:bookmarkEnd w:id="31"/>
    <w:bookmarkEnd w:id="32"/>
    <w:bookmarkEnd w:id="33"/>
    <w:bookmarkEnd w:id="34"/>
    <w:bookmarkEnd w:id="35"/>
    <w:p>
      <w:pPr>
        <w:pStyle w:val="3"/>
        <w:pageBreakBefore w:val="0"/>
        <w:widowControl w:val="0"/>
        <w:numPr>
          <w:ilvl w:val="0"/>
          <w:numId w:val="1"/>
        </w:numPr>
        <w:kinsoku/>
        <w:wordWrap/>
        <w:overflowPunct/>
        <w:topLinePunct w:val="0"/>
        <w:bidi w:val="0"/>
        <w:spacing w:line="360" w:lineRule="auto"/>
        <w:ind w:left="0" w:firstLine="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项目付款方式</w:t>
      </w:r>
    </w:p>
    <w:p>
      <w:pPr>
        <w:pStyle w:val="82"/>
        <w:pageBreakBefore w:val="0"/>
        <w:widowControl w:val="0"/>
        <w:kinsoku/>
        <w:wordWrap/>
        <w:overflowPunct/>
        <w:topLinePunct w:val="0"/>
        <w:bidi w:val="0"/>
        <w:spacing w:line="360" w:lineRule="auto"/>
        <w:ind w:firstLine="0"/>
        <w:textAlignment w:val="auto"/>
      </w:pPr>
      <w:r>
        <w:rPr>
          <w:rFonts w:hint="eastAsia" w:ascii="仿宋" w:hAnsi="仿宋" w:eastAsia="仿宋" w:cs="仿宋"/>
          <w:szCs w:val="24"/>
        </w:rPr>
        <w:t>项目建设期：</w:t>
      </w:r>
    </w:p>
    <w:p>
      <w:pPr>
        <w:pStyle w:val="875"/>
        <w:pageBreakBefore w:val="0"/>
        <w:widowControl w:val="0"/>
        <w:kinsoku/>
        <w:wordWrap/>
        <w:overflowPunct/>
        <w:topLinePunct w:val="0"/>
        <w:autoSpaceDE w:val="0"/>
        <w:bidi w:val="0"/>
        <w:spacing w:before="156" w:beforeLines="50" w:after="156" w:afterLines="50" w:line="360" w:lineRule="auto"/>
        <w:textAlignment w:val="auto"/>
        <w:rPr>
          <w:rFonts w:ascii="仿宋" w:hAnsi="仿宋" w:eastAsia="仿宋" w:cs="仿宋"/>
          <w:sz w:val="24"/>
          <w:szCs w:val="24"/>
        </w:rPr>
      </w:pPr>
      <w:r>
        <w:rPr>
          <w:rFonts w:hint="eastAsia" w:ascii="仿宋" w:hAnsi="仿宋" w:eastAsia="仿宋" w:cs="仿宋"/>
          <w:sz w:val="24"/>
          <w:szCs w:val="24"/>
        </w:rPr>
        <w:t>1、采购合同签订生效后的5个工作日内，采购单位向成交供应商支付合同总金额40%的预付款项；</w:t>
      </w:r>
    </w:p>
    <w:p>
      <w:pPr>
        <w:pStyle w:val="875"/>
        <w:pageBreakBefore w:val="0"/>
        <w:widowControl w:val="0"/>
        <w:kinsoku/>
        <w:wordWrap/>
        <w:overflowPunct/>
        <w:topLinePunct w:val="0"/>
        <w:autoSpaceDE w:val="0"/>
        <w:bidi w:val="0"/>
        <w:spacing w:before="156" w:beforeLines="50" w:after="156" w:afterLines="50" w:line="360" w:lineRule="auto"/>
        <w:textAlignment w:val="auto"/>
        <w:rPr>
          <w:rFonts w:ascii="仿宋" w:hAnsi="仿宋" w:eastAsia="仿宋" w:cs="仿宋"/>
          <w:sz w:val="24"/>
          <w:szCs w:val="24"/>
        </w:rPr>
      </w:pPr>
      <w:r>
        <w:rPr>
          <w:rFonts w:hint="eastAsia" w:ascii="仿宋" w:hAnsi="仿宋" w:eastAsia="仿宋" w:cs="仿宋"/>
          <w:sz w:val="24"/>
          <w:szCs w:val="24"/>
        </w:rPr>
        <w:t>2、项目初验完成后5个工作日内，采购单位向成交供应商支付合同总金额的30%；</w:t>
      </w:r>
    </w:p>
    <w:p>
      <w:pPr>
        <w:pStyle w:val="875"/>
        <w:pageBreakBefore w:val="0"/>
        <w:widowControl w:val="0"/>
        <w:kinsoku/>
        <w:wordWrap/>
        <w:overflowPunct/>
        <w:topLinePunct w:val="0"/>
        <w:autoSpaceDE w:val="0"/>
        <w:bidi w:val="0"/>
        <w:spacing w:before="156" w:beforeLines="50" w:after="156" w:afterLines="50" w:line="360" w:lineRule="auto"/>
        <w:textAlignment w:val="auto"/>
        <w:rPr>
          <w:rFonts w:ascii="仿宋" w:hAnsi="仿宋" w:eastAsia="仿宋" w:cs="仿宋"/>
          <w:sz w:val="24"/>
          <w:szCs w:val="24"/>
        </w:rPr>
      </w:pPr>
      <w:r>
        <w:rPr>
          <w:rFonts w:hint="eastAsia" w:ascii="仿宋" w:hAnsi="仿宋" w:eastAsia="仿宋" w:cs="仿宋"/>
          <w:sz w:val="24"/>
          <w:szCs w:val="24"/>
        </w:rPr>
        <w:t>3、项目终验完成后5个工作日内，采购单位向成交供应商支付合同总金额的18%；</w:t>
      </w:r>
    </w:p>
    <w:p>
      <w:pPr>
        <w:pStyle w:val="82"/>
        <w:pageBreakBefore w:val="0"/>
        <w:widowControl w:val="0"/>
        <w:kinsoku/>
        <w:wordWrap/>
        <w:overflowPunct/>
        <w:topLinePunct w:val="0"/>
        <w:bidi w:val="0"/>
        <w:spacing w:line="360" w:lineRule="auto"/>
        <w:ind w:firstLine="0"/>
        <w:textAlignment w:val="auto"/>
      </w:pPr>
      <w:r>
        <w:rPr>
          <w:rFonts w:hint="eastAsia" w:ascii="仿宋" w:hAnsi="仿宋" w:eastAsia="仿宋" w:cs="仿宋"/>
          <w:szCs w:val="24"/>
        </w:rPr>
        <w:t>项目运维期：</w:t>
      </w:r>
    </w:p>
    <w:p>
      <w:pPr>
        <w:pStyle w:val="875"/>
        <w:pageBreakBefore w:val="0"/>
        <w:widowControl w:val="0"/>
        <w:kinsoku/>
        <w:wordWrap/>
        <w:overflowPunct/>
        <w:topLinePunct w:val="0"/>
        <w:autoSpaceDE w:val="0"/>
        <w:bidi w:val="0"/>
        <w:spacing w:before="156" w:beforeLines="50" w:after="156" w:afterLines="50" w:line="360" w:lineRule="auto"/>
        <w:textAlignment w:val="auto"/>
        <w:rPr>
          <w:rFonts w:ascii="仿宋" w:hAnsi="仿宋" w:eastAsia="仿宋" w:cs="仿宋"/>
          <w:sz w:val="24"/>
          <w:szCs w:val="24"/>
        </w:rPr>
      </w:pPr>
      <w:r>
        <w:rPr>
          <w:rFonts w:hint="eastAsia" w:ascii="仿宋" w:hAnsi="仿宋" w:eastAsia="仿宋" w:cs="仿宋"/>
          <w:sz w:val="24"/>
          <w:szCs w:val="24"/>
        </w:rPr>
        <w:t>1、项目运维第2年，采购单位向成交供应商支付合同总金额的6%；</w:t>
      </w:r>
    </w:p>
    <w:p>
      <w:pPr>
        <w:pStyle w:val="875"/>
        <w:pageBreakBefore w:val="0"/>
        <w:widowControl w:val="0"/>
        <w:kinsoku/>
        <w:wordWrap/>
        <w:overflowPunct/>
        <w:topLinePunct w:val="0"/>
        <w:autoSpaceDE w:val="0"/>
        <w:bidi w:val="0"/>
        <w:spacing w:before="156" w:beforeLines="50" w:after="156" w:afterLines="50" w:line="360" w:lineRule="auto"/>
        <w:textAlignment w:val="auto"/>
        <w:rPr>
          <w:rFonts w:ascii="仿宋" w:hAnsi="仿宋" w:eastAsia="仿宋" w:cs="仿宋"/>
          <w:sz w:val="24"/>
          <w:szCs w:val="24"/>
        </w:rPr>
      </w:pPr>
      <w:r>
        <w:rPr>
          <w:rFonts w:hint="eastAsia" w:ascii="仿宋" w:hAnsi="仿宋" w:eastAsia="仿宋" w:cs="仿宋"/>
          <w:sz w:val="24"/>
          <w:szCs w:val="24"/>
        </w:rPr>
        <w:t>2、项目运维第3年，采购单位向成交供应商支付合同总金额的6%。</w:t>
      </w:r>
    </w:p>
    <w:p>
      <w:pPr>
        <w:spacing w:line="360" w:lineRule="auto"/>
        <w:ind w:firstLine="181" w:firstLineChars="50"/>
        <w:rPr>
          <w:rFonts w:hint="eastAsia" w:ascii="仿宋" w:hAnsi="仿宋" w:eastAsia="仿宋" w:cs="仿宋"/>
          <w:b/>
          <w:sz w:val="36"/>
          <w:szCs w:val="36"/>
        </w:rPr>
      </w:pPr>
    </w:p>
    <w:p>
      <w:pPr>
        <w:spacing w:line="360" w:lineRule="auto"/>
        <w:rPr>
          <w:rFonts w:hint="eastAsia" w:ascii="仿宋" w:hAnsi="仿宋" w:eastAsia="仿宋" w:cs="仿宋"/>
          <w:sz w:val="24"/>
        </w:rPr>
      </w:pPr>
    </w:p>
    <w:p>
      <w:pPr>
        <w:widowControl/>
        <w:ind w:firstLine="720" w:firstLineChars="300"/>
        <w:jc w:val="left"/>
        <w:rPr>
          <w:rFonts w:hint="eastAsia" w:ascii="仿宋" w:hAnsi="仿宋" w:eastAsia="仿宋" w:cs="仿宋"/>
          <w:bCs/>
          <w:sz w:val="24"/>
        </w:rPr>
      </w:pPr>
    </w:p>
    <w:p>
      <w:pPr>
        <w:rPr>
          <w:rFonts w:hint="eastAsia" w:ascii="仿宋" w:hAnsi="仿宋" w:eastAsia="仿宋" w:cs="仿宋"/>
          <w:snapToGrid w:val="0"/>
          <w:kern w:val="0"/>
          <w:sz w:val="24"/>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36" w:name="_Toc184312135"/>
      <w:bookmarkEnd w:id="36"/>
      <w:bookmarkStart w:id="37" w:name="_Toc184312088"/>
      <w:bookmarkEnd w:id="37"/>
      <w:bookmarkStart w:id="38" w:name="_Toc184308104"/>
      <w:bookmarkEnd w:id="38"/>
      <w:bookmarkStart w:id="39" w:name="_Toc184312083"/>
      <w:bookmarkEnd w:id="39"/>
      <w:bookmarkStart w:id="40" w:name="_Toc184310327"/>
      <w:bookmarkEnd w:id="40"/>
      <w:bookmarkStart w:id="41" w:name="_Toc184313297"/>
      <w:bookmarkEnd w:id="41"/>
      <w:bookmarkStart w:id="42" w:name="_Toc184314427"/>
      <w:bookmarkEnd w:id="42"/>
      <w:bookmarkStart w:id="43" w:name="_Toc184314456"/>
      <w:bookmarkEnd w:id="43"/>
      <w:bookmarkStart w:id="44" w:name="_Toc184313293"/>
      <w:bookmarkEnd w:id="44"/>
      <w:bookmarkStart w:id="45" w:name="_Toc184310336"/>
      <w:bookmarkEnd w:id="45"/>
      <w:bookmarkStart w:id="46" w:name="_Toc184313307"/>
      <w:bookmarkEnd w:id="46"/>
      <w:bookmarkStart w:id="47" w:name="_Toc184313278"/>
      <w:bookmarkEnd w:id="47"/>
      <w:bookmarkStart w:id="48" w:name="_Toc184308074"/>
      <w:bookmarkEnd w:id="48"/>
      <w:bookmarkStart w:id="49" w:name="_Toc184310294"/>
      <w:bookmarkEnd w:id="49"/>
      <w:bookmarkStart w:id="50" w:name="_Toc184308095"/>
      <w:bookmarkEnd w:id="50"/>
      <w:bookmarkStart w:id="51" w:name="_Toc184312118"/>
      <w:bookmarkEnd w:id="51"/>
      <w:bookmarkStart w:id="52" w:name="_Toc184313279"/>
      <w:bookmarkEnd w:id="52"/>
      <w:bookmarkStart w:id="53" w:name="_Toc184308076"/>
      <w:bookmarkEnd w:id="53"/>
      <w:bookmarkStart w:id="54" w:name="_Toc184308058"/>
      <w:bookmarkEnd w:id="54"/>
      <w:bookmarkStart w:id="55" w:name="_Toc184314437"/>
      <w:bookmarkEnd w:id="55"/>
      <w:bookmarkStart w:id="56" w:name="_Toc184312119"/>
      <w:bookmarkEnd w:id="56"/>
      <w:bookmarkStart w:id="57" w:name="_Toc184313296"/>
      <w:bookmarkEnd w:id="57"/>
      <w:bookmarkStart w:id="58" w:name="_Toc184310310"/>
      <w:bookmarkEnd w:id="58"/>
      <w:bookmarkStart w:id="59" w:name="_Toc184308036"/>
      <w:bookmarkEnd w:id="59"/>
      <w:bookmarkStart w:id="60" w:name="_Toc184313303"/>
      <w:bookmarkEnd w:id="60"/>
      <w:bookmarkStart w:id="61" w:name="_Toc184310298"/>
      <w:bookmarkEnd w:id="61"/>
      <w:bookmarkStart w:id="62" w:name="_Toc184313287"/>
      <w:bookmarkEnd w:id="62"/>
      <w:bookmarkStart w:id="63" w:name="_Toc184312131"/>
      <w:bookmarkEnd w:id="63"/>
      <w:bookmarkStart w:id="64" w:name="_Toc184313290"/>
      <w:bookmarkEnd w:id="64"/>
      <w:bookmarkStart w:id="65" w:name="_Toc184308078"/>
      <w:bookmarkEnd w:id="65"/>
      <w:bookmarkStart w:id="66" w:name="_Toc184310330"/>
      <w:bookmarkEnd w:id="66"/>
      <w:bookmarkStart w:id="67" w:name="_Toc184312090"/>
      <w:bookmarkEnd w:id="67"/>
      <w:bookmarkStart w:id="68" w:name="_Toc184314441"/>
      <w:bookmarkEnd w:id="68"/>
      <w:bookmarkStart w:id="69" w:name="_Toc184310307"/>
      <w:bookmarkEnd w:id="69"/>
      <w:bookmarkStart w:id="70" w:name="_Toc184312133"/>
      <w:bookmarkEnd w:id="70"/>
      <w:bookmarkStart w:id="71" w:name="_Toc184312128"/>
      <w:bookmarkEnd w:id="71"/>
      <w:bookmarkStart w:id="72" w:name="_Toc184314466"/>
      <w:bookmarkEnd w:id="72"/>
      <w:bookmarkStart w:id="73" w:name="_Toc184310280"/>
      <w:bookmarkEnd w:id="73"/>
      <w:bookmarkStart w:id="74" w:name="_Toc184313247"/>
      <w:bookmarkEnd w:id="74"/>
      <w:bookmarkStart w:id="75" w:name="_Toc184313280"/>
      <w:bookmarkEnd w:id="75"/>
      <w:bookmarkStart w:id="76" w:name="_Toc184313281"/>
      <w:bookmarkEnd w:id="76"/>
      <w:bookmarkStart w:id="77" w:name="_Toc184310305"/>
      <w:bookmarkEnd w:id="77"/>
      <w:bookmarkStart w:id="78" w:name="_Toc184310309"/>
      <w:bookmarkEnd w:id="78"/>
      <w:bookmarkStart w:id="79" w:name="_Toc184314481"/>
      <w:bookmarkEnd w:id="79"/>
      <w:bookmarkStart w:id="80" w:name="_Toc184314435"/>
      <w:bookmarkEnd w:id="80"/>
      <w:bookmarkStart w:id="81" w:name="_Toc184310338"/>
      <w:bookmarkEnd w:id="81"/>
      <w:bookmarkStart w:id="82" w:name="_Toc184313253"/>
      <w:bookmarkEnd w:id="82"/>
      <w:bookmarkStart w:id="83" w:name="_Toc184308107"/>
      <w:bookmarkEnd w:id="83"/>
      <w:bookmarkStart w:id="84" w:name="_Toc184310315"/>
      <w:bookmarkEnd w:id="84"/>
      <w:bookmarkStart w:id="85" w:name="_Toc184308072"/>
      <w:bookmarkEnd w:id="85"/>
      <w:bookmarkStart w:id="86" w:name="_Toc184313286"/>
      <w:bookmarkEnd w:id="86"/>
      <w:bookmarkStart w:id="87" w:name="_Toc184308080"/>
      <w:bookmarkEnd w:id="87"/>
      <w:bookmarkStart w:id="88" w:name="_Toc184308070"/>
      <w:bookmarkEnd w:id="88"/>
      <w:bookmarkStart w:id="89" w:name="_Toc184313291"/>
      <w:bookmarkEnd w:id="89"/>
      <w:bookmarkStart w:id="90" w:name="_Toc184308092"/>
      <w:bookmarkEnd w:id="90"/>
      <w:bookmarkStart w:id="91" w:name="_Toc184314455"/>
      <w:bookmarkEnd w:id="91"/>
      <w:bookmarkStart w:id="92" w:name="_Toc184313249"/>
      <w:bookmarkEnd w:id="92"/>
      <w:bookmarkStart w:id="93" w:name="_Toc184308060"/>
      <w:bookmarkEnd w:id="93"/>
      <w:bookmarkStart w:id="94" w:name="_Toc184308101"/>
      <w:bookmarkEnd w:id="94"/>
      <w:bookmarkStart w:id="95" w:name="_Toc184312124"/>
      <w:bookmarkEnd w:id="95"/>
      <w:bookmarkStart w:id="96" w:name="_Toc184308069"/>
      <w:bookmarkEnd w:id="96"/>
      <w:bookmarkStart w:id="97" w:name="_Toc184313250"/>
      <w:bookmarkEnd w:id="97"/>
      <w:bookmarkStart w:id="98" w:name="_Toc184308097"/>
      <w:bookmarkEnd w:id="98"/>
      <w:bookmarkStart w:id="99" w:name="_Toc184314469"/>
      <w:bookmarkEnd w:id="99"/>
      <w:bookmarkStart w:id="100" w:name="_Toc184314464"/>
      <w:bookmarkEnd w:id="100"/>
      <w:bookmarkStart w:id="101" w:name="_Toc184310302"/>
      <w:bookmarkEnd w:id="101"/>
      <w:bookmarkStart w:id="102" w:name="_Toc184314422"/>
      <w:bookmarkEnd w:id="102"/>
      <w:bookmarkStart w:id="103" w:name="_Toc184313240"/>
      <w:bookmarkEnd w:id="103"/>
      <w:bookmarkStart w:id="104" w:name="_Toc184310306"/>
      <w:bookmarkEnd w:id="104"/>
      <w:bookmarkStart w:id="105" w:name="_Toc184308047"/>
      <w:bookmarkEnd w:id="105"/>
      <w:bookmarkStart w:id="106" w:name="_Toc184310293"/>
      <w:bookmarkEnd w:id="106"/>
      <w:bookmarkStart w:id="107" w:name="_Toc184313309"/>
      <w:bookmarkEnd w:id="107"/>
      <w:bookmarkStart w:id="108" w:name="_Toc184310281"/>
      <w:bookmarkEnd w:id="108"/>
      <w:bookmarkStart w:id="109" w:name="_Toc184310332"/>
      <w:bookmarkEnd w:id="109"/>
      <w:bookmarkStart w:id="110" w:name="_Toc184312105"/>
      <w:bookmarkEnd w:id="110"/>
      <w:bookmarkStart w:id="111" w:name="_Toc184310320"/>
      <w:bookmarkEnd w:id="111"/>
      <w:bookmarkStart w:id="112" w:name="_Toc184314430"/>
      <w:bookmarkEnd w:id="112"/>
      <w:bookmarkStart w:id="113" w:name="_Toc184310295"/>
      <w:bookmarkEnd w:id="113"/>
      <w:bookmarkStart w:id="114" w:name="_Toc184313255"/>
      <w:bookmarkEnd w:id="114"/>
      <w:bookmarkStart w:id="115" w:name="_Toc184310313"/>
      <w:bookmarkEnd w:id="115"/>
      <w:bookmarkStart w:id="116" w:name="_Toc184314429"/>
      <w:bookmarkEnd w:id="116"/>
      <w:bookmarkStart w:id="117" w:name="_Toc184308053"/>
      <w:bookmarkEnd w:id="117"/>
      <w:bookmarkStart w:id="118" w:name="_Toc184314426"/>
      <w:bookmarkEnd w:id="118"/>
      <w:bookmarkStart w:id="119" w:name="_Toc184314471"/>
      <w:bookmarkEnd w:id="119"/>
      <w:bookmarkStart w:id="120" w:name="_Toc184308093"/>
      <w:bookmarkEnd w:id="120"/>
      <w:bookmarkStart w:id="121" w:name="_Toc184312103"/>
      <w:bookmarkEnd w:id="121"/>
      <w:bookmarkStart w:id="122" w:name="_Toc184310308"/>
      <w:bookmarkEnd w:id="122"/>
      <w:bookmarkStart w:id="123" w:name="_Toc184313289"/>
      <w:bookmarkEnd w:id="123"/>
      <w:bookmarkStart w:id="124" w:name="_Toc184313298"/>
      <w:bookmarkEnd w:id="124"/>
      <w:bookmarkStart w:id="125" w:name="_Toc184312096"/>
      <w:bookmarkEnd w:id="125"/>
      <w:bookmarkStart w:id="126" w:name="_Toc184308068"/>
      <w:bookmarkEnd w:id="126"/>
      <w:bookmarkStart w:id="127" w:name="_Toc184313248"/>
      <w:bookmarkEnd w:id="127"/>
      <w:bookmarkStart w:id="128" w:name="_Toc184312094"/>
      <w:bookmarkEnd w:id="128"/>
      <w:bookmarkStart w:id="129" w:name="_Toc184314476"/>
      <w:bookmarkEnd w:id="129"/>
      <w:bookmarkStart w:id="130" w:name="_Toc184308102"/>
      <w:bookmarkEnd w:id="130"/>
      <w:bookmarkStart w:id="131" w:name="_Toc184310300"/>
      <w:bookmarkEnd w:id="131"/>
      <w:bookmarkStart w:id="132" w:name="_Toc184308054"/>
      <w:bookmarkEnd w:id="132"/>
      <w:bookmarkStart w:id="133" w:name="_Toc184314452"/>
      <w:bookmarkEnd w:id="133"/>
      <w:bookmarkStart w:id="134" w:name="_Toc184314448"/>
      <w:bookmarkEnd w:id="134"/>
      <w:bookmarkStart w:id="135" w:name="_Toc184313276"/>
      <w:bookmarkEnd w:id="135"/>
      <w:bookmarkStart w:id="136" w:name="_Toc184313268"/>
      <w:bookmarkEnd w:id="136"/>
      <w:bookmarkStart w:id="137" w:name="_Toc184314446"/>
      <w:bookmarkEnd w:id="137"/>
      <w:bookmarkStart w:id="138" w:name="_Toc184310321"/>
      <w:bookmarkEnd w:id="138"/>
      <w:bookmarkStart w:id="139" w:name="_Toc184313242"/>
      <w:bookmarkEnd w:id="139"/>
      <w:bookmarkStart w:id="140" w:name="_Toc184310340"/>
      <w:bookmarkEnd w:id="140"/>
      <w:bookmarkStart w:id="141" w:name="_Toc184308077"/>
      <w:bookmarkEnd w:id="141"/>
      <w:bookmarkStart w:id="142" w:name="_Toc184313305"/>
      <w:bookmarkEnd w:id="142"/>
      <w:bookmarkStart w:id="143" w:name="_Toc184308051"/>
      <w:bookmarkEnd w:id="143"/>
      <w:bookmarkStart w:id="144" w:name="_Toc184312122"/>
      <w:bookmarkEnd w:id="144"/>
      <w:bookmarkStart w:id="145" w:name="_Toc184313258"/>
      <w:bookmarkEnd w:id="145"/>
      <w:bookmarkStart w:id="146" w:name="_Toc184313302"/>
      <w:bookmarkEnd w:id="146"/>
      <w:bookmarkStart w:id="147" w:name="_Toc184308098"/>
      <w:bookmarkEnd w:id="147"/>
      <w:bookmarkStart w:id="148" w:name="_Toc184312126"/>
      <w:bookmarkEnd w:id="148"/>
      <w:bookmarkStart w:id="149" w:name="_Toc184314454"/>
      <w:bookmarkEnd w:id="149"/>
      <w:bookmarkStart w:id="150" w:name="_Toc184308073"/>
      <w:bookmarkEnd w:id="150"/>
      <w:bookmarkStart w:id="151" w:name="_Toc184312098"/>
      <w:bookmarkEnd w:id="151"/>
      <w:bookmarkStart w:id="152" w:name="_Toc184308056"/>
      <w:bookmarkEnd w:id="152"/>
      <w:bookmarkStart w:id="153" w:name="_Toc184310329"/>
      <w:bookmarkEnd w:id="153"/>
      <w:bookmarkStart w:id="154" w:name="_Toc184312069"/>
      <w:bookmarkEnd w:id="154"/>
      <w:bookmarkStart w:id="155" w:name="_Toc184312125"/>
      <w:bookmarkEnd w:id="155"/>
      <w:bookmarkStart w:id="156" w:name="_Toc184312091"/>
      <w:bookmarkEnd w:id="156"/>
      <w:bookmarkStart w:id="157" w:name="_Toc184314410"/>
      <w:bookmarkEnd w:id="157"/>
      <w:bookmarkStart w:id="158" w:name="_Toc184312136"/>
      <w:bookmarkEnd w:id="158"/>
      <w:bookmarkStart w:id="159" w:name="_Toc184313263"/>
      <w:bookmarkEnd w:id="159"/>
      <w:bookmarkStart w:id="160" w:name="_Toc184313285"/>
      <w:bookmarkEnd w:id="160"/>
      <w:bookmarkStart w:id="161" w:name="_Toc184313251"/>
      <w:bookmarkEnd w:id="161"/>
      <w:bookmarkStart w:id="162" w:name="_Toc184308099"/>
      <w:bookmarkEnd w:id="162"/>
      <w:bookmarkStart w:id="163" w:name="_Toc184314424"/>
      <w:bookmarkEnd w:id="163"/>
      <w:bookmarkStart w:id="164" w:name="_Toc184310288"/>
      <w:bookmarkEnd w:id="164"/>
      <w:bookmarkStart w:id="165" w:name="_Toc184314413"/>
      <w:bookmarkEnd w:id="165"/>
      <w:bookmarkStart w:id="166" w:name="_Toc184312072"/>
      <w:bookmarkEnd w:id="166"/>
      <w:bookmarkStart w:id="167" w:name="_Toc184310322"/>
      <w:bookmarkEnd w:id="167"/>
      <w:bookmarkStart w:id="168" w:name="_Toc184310334"/>
      <w:bookmarkEnd w:id="168"/>
      <w:bookmarkStart w:id="169" w:name="_Toc184313288"/>
      <w:bookmarkEnd w:id="169"/>
      <w:bookmarkStart w:id="170" w:name="_Toc184314436"/>
      <w:bookmarkEnd w:id="170"/>
      <w:bookmarkStart w:id="171" w:name="_Toc184313269"/>
      <w:bookmarkEnd w:id="171"/>
      <w:bookmarkStart w:id="172" w:name="_Toc184313252"/>
      <w:bookmarkEnd w:id="172"/>
      <w:bookmarkStart w:id="173" w:name="_Toc184308082"/>
      <w:bookmarkEnd w:id="173"/>
      <w:bookmarkStart w:id="174" w:name="_Toc184313283"/>
      <w:bookmarkEnd w:id="174"/>
      <w:bookmarkStart w:id="175" w:name="_Toc184314451"/>
      <w:bookmarkEnd w:id="175"/>
      <w:bookmarkStart w:id="176" w:name="_Toc184312110"/>
      <w:bookmarkEnd w:id="176"/>
      <w:bookmarkStart w:id="177" w:name="_Toc184310292"/>
      <w:bookmarkEnd w:id="177"/>
      <w:bookmarkStart w:id="178" w:name="_Toc184310282"/>
      <w:bookmarkEnd w:id="178"/>
      <w:bookmarkStart w:id="179" w:name="_Toc184312101"/>
      <w:bookmarkEnd w:id="179"/>
      <w:bookmarkStart w:id="180" w:name="_Toc184313271"/>
      <w:bookmarkEnd w:id="180"/>
      <w:bookmarkStart w:id="181" w:name="_Toc184308063"/>
      <w:bookmarkEnd w:id="181"/>
      <w:bookmarkStart w:id="182" w:name="_Toc184312070"/>
      <w:bookmarkEnd w:id="182"/>
      <w:bookmarkStart w:id="183" w:name="_Toc184312080"/>
      <w:bookmarkEnd w:id="183"/>
      <w:bookmarkStart w:id="184" w:name="_Toc184312107"/>
      <w:bookmarkEnd w:id="184"/>
      <w:bookmarkStart w:id="185" w:name="_Toc184308050"/>
      <w:bookmarkEnd w:id="185"/>
      <w:bookmarkStart w:id="186" w:name="_Toc184308052"/>
      <w:bookmarkEnd w:id="186"/>
      <w:bookmarkStart w:id="187" w:name="_Toc184313284"/>
      <w:bookmarkEnd w:id="187"/>
      <w:bookmarkStart w:id="188" w:name="_Toc184313275"/>
      <w:bookmarkEnd w:id="188"/>
      <w:bookmarkStart w:id="189" w:name="_Toc184312115"/>
      <w:bookmarkEnd w:id="189"/>
      <w:bookmarkStart w:id="190" w:name="_Toc184308045"/>
      <w:bookmarkEnd w:id="190"/>
      <w:bookmarkStart w:id="191" w:name="_Toc184310343"/>
      <w:bookmarkEnd w:id="191"/>
      <w:bookmarkStart w:id="192" w:name="_Toc184313292"/>
      <w:bookmarkEnd w:id="192"/>
      <w:bookmarkStart w:id="193" w:name="_Toc184310285"/>
      <w:bookmarkEnd w:id="193"/>
      <w:bookmarkStart w:id="194" w:name="_Toc184314420"/>
      <w:bookmarkEnd w:id="194"/>
      <w:bookmarkStart w:id="195" w:name="_Toc184308108"/>
      <w:bookmarkEnd w:id="195"/>
      <w:bookmarkStart w:id="196" w:name="_Toc184313282"/>
      <w:bookmarkEnd w:id="196"/>
      <w:bookmarkStart w:id="197" w:name="_Toc184312139"/>
      <w:bookmarkEnd w:id="197"/>
      <w:bookmarkStart w:id="198" w:name="_Toc184314415"/>
      <w:bookmarkEnd w:id="198"/>
      <w:bookmarkStart w:id="199" w:name="_Toc184308100"/>
      <w:bookmarkEnd w:id="199"/>
      <w:bookmarkStart w:id="200" w:name="_Toc184314445"/>
      <w:bookmarkEnd w:id="200"/>
      <w:bookmarkStart w:id="201" w:name="_Toc184310316"/>
      <w:bookmarkEnd w:id="201"/>
      <w:bookmarkStart w:id="202" w:name="_Toc184314478"/>
      <w:bookmarkEnd w:id="202"/>
      <w:bookmarkStart w:id="203" w:name="_Toc184313277"/>
      <w:bookmarkEnd w:id="203"/>
      <w:bookmarkStart w:id="204" w:name="_Toc184314473"/>
      <w:bookmarkEnd w:id="204"/>
      <w:bookmarkStart w:id="205" w:name="_Toc184314460"/>
      <w:bookmarkEnd w:id="205"/>
      <w:bookmarkStart w:id="206" w:name="_Toc184312081"/>
      <w:bookmarkEnd w:id="206"/>
      <w:bookmarkStart w:id="207" w:name="_Toc184313264"/>
      <w:bookmarkEnd w:id="207"/>
      <w:bookmarkStart w:id="208" w:name="_Toc184312073"/>
      <w:bookmarkEnd w:id="208"/>
      <w:bookmarkStart w:id="209" w:name="_Toc184310324"/>
      <w:bookmarkEnd w:id="209"/>
      <w:bookmarkStart w:id="210" w:name="_Toc184314414"/>
      <w:bookmarkEnd w:id="210"/>
      <w:bookmarkStart w:id="211" w:name="_Toc184310323"/>
      <w:bookmarkEnd w:id="211"/>
      <w:bookmarkStart w:id="212" w:name="_Toc184308044"/>
      <w:bookmarkEnd w:id="212"/>
      <w:bookmarkStart w:id="213" w:name="_Toc184310297"/>
      <w:bookmarkEnd w:id="213"/>
      <w:bookmarkStart w:id="214" w:name="_Toc184314482"/>
      <w:bookmarkEnd w:id="214"/>
      <w:bookmarkStart w:id="215" w:name="_Toc184310287"/>
      <w:bookmarkEnd w:id="215"/>
      <w:bookmarkStart w:id="216" w:name="_Toc184313244"/>
      <w:bookmarkEnd w:id="216"/>
      <w:bookmarkStart w:id="217" w:name="_Toc184313262"/>
      <w:bookmarkEnd w:id="217"/>
      <w:bookmarkStart w:id="218" w:name="_Toc184313265"/>
      <w:bookmarkEnd w:id="218"/>
      <w:bookmarkStart w:id="219" w:name="_Toc184313256"/>
      <w:bookmarkEnd w:id="219"/>
      <w:bookmarkStart w:id="220" w:name="_Toc184314428"/>
      <w:bookmarkEnd w:id="220"/>
      <w:bookmarkStart w:id="221" w:name="_Toc184314472"/>
      <w:bookmarkEnd w:id="221"/>
      <w:bookmarkStart w:id="222" w:name="_Toc184314432"/>
      <w:bookmarkEnd w:id="222"/>
      <w:bookmarkStart w:id="223" w:name="_Toc184308079"/>
      <w:bookmarkEnd w:id="223"/>
      <w:bookmarkStart w:id="224" w:name="_Toc184310312"/>
      <w:bookmarkEnd w:id="224"/>
      <w:bookmarkStart w:id="225" w:name="_Toc184312078"/>
      <w:bookmarkEnd w:id="225"/>
      <w:bookmarkStart w:id="226" w:name="_Toc184314411"/>
      <w:bookmarkEnd w:id="226"/>
      <w:bookmarkStart w:id="227" w:name="_Toc184313238"/>
      <w:bookmarkEnd w:id="227"/>
      <w:bookmarkStart w:id="228" w:name="_Toc184312102"/>
      <w:bookmarkEnd w:id="228"/>
      <w:bookmarkStart w:id="229" w:name="_Toc184310296"/>
      <w:bookmarkEnd w:id="229"/>
      <w:bookmarkStart w:id="230" w:name="_Toc184310284"/>
      <w:bookmarkEnd w:id="230"/>
      <w:bookmarkStart w:id="231" w:name="_Toc184308066"/>
      <w:bookmarkEnd w:id="231"/>
      <w:bookmarkStart w:id="232" w:name="_Toc184314449"/>
      <w:bookmarkEnd w:id="232"/>
      <w:bookmarkStart w:id="233" w:name="_Toc184310318"/>
      <w:bookmarkEnd w:id="233"/>
      <w:bookmarkStart w:id="234" w:name="_Toc184312138"/>
      <w:bookmarkEnd w:id="234"/>
      <w:bookmarkStart w:id="235" w:name="_Toc184310328"/>
      <w:bookmarkEnd w:id="235"/>
      <w:bookmarkStart w:id="236" w:name="_Toc184312067"/>
      <w:bookmarkEnd w:id="236"/>
      <w:bookmarkStart w:id="237" w:name="_Toc184310289"/>
      <w:bookmarkEnd w:id="237"/>
      <w:bookmarkStart w:id="238" w:name="_Toc184308086"/>
      <w:bookmarkEnd w:id="238"/>
      <w:bookmarkStart w:id="239" w:name="_Toc184312074"/>
      <w:bookmarkEnd w:id="239"/>
      <w:bookmarkStart w:id="240" w:name="_Toc184308096"/>
      <w:bookmarkEnd w:id="240"/>
      <w:bookmarkStart w:id="241" w:name="_Toc184312075"/>
      <w:bookmarkEnd w:id="241"/>
      <w:bookmarkStart w:id="242" w:name="_Toc184312093"/>
      <w:bookmarkEnd w:id="242"/>
      <w:bookmarkStart w:id="243" w:name="_Toc184310283"/>
      <w:bookmarkEnd w:id="243"/>
      <w:bookmarkStart w:id="244" w:name="_Toc184314462"/>
      <w:bookmarkEnd w:id="244"/>
      <w:bookmarkStart w:id="245" w:name="_Toc184310272"/>
      <w:bookmarkEnd w:id="245"/>
      <w:bookmarkStart w:id="246" w:name="_Toc184310299"/>
      <w:bookmarkEnd w:id="246"/>
      <w:bookmarkStart w:id="247" w:name="_Toc184312079"/>
      <w:bookmarkEnd w:id="247"/>
      <w:bookmarkStart w:id="248" w:name="_Toc184314444"/>
      <w:bookmarkEnd w:id="248"/>
      <w:bookmarkStart w:id="249" w:name="_Toc184312085"/>
      <w:bookmarkEnd w:id="249"/>
      <w:bookmarkStart w:id="250" w:name="_Toc184310319"/>
      <w:bookmarkEnd w:id="250"/>
      <w:bookmarkStart w:id="251" w:name="_Toc184313295"/>
      <w:bookmarkEnd w:id="251"/>
      <w:bookmarkStart w:id="252" w:name="_Toc184314421"/>
      <w:bookmarkEnd w:id="252"/>
      <w:bookmarkStart w:id="253" w:name="_Toc184313306"/>
      <w:bookmarkEnd w:id="253"/>
      <w:bookmarkStart w:id="254" w:name="_Toc184314450"/>
      <w:bookmarkEnd w:id="254"/>
      <w:bookmarkStart w:id="255" w:name="_Toc184308041"/>
      <w:bookmarkEnd w:id="255"/>
      <w:bookmarkStart w:id="256" w:name="_Toc184313274"/>
      <w:bookmarkEnd w:id="256"/>
      <w:bookmarkStart w:id="257" w:name="_Toc184312104"/>
      <w:bookmarkEnd w:id="257"/>
      <w:bookmarkStart w:id="258" w:name="_Toc184312099"/>
      <w:bookmarkEnd w:id="258"/>
      <w:bookmarkStart w:id="259" w:name="_Toc184308039"/>
      <w:bookmarkEnd w:id="259"/>
      <w:bookmarkStart w:id="260" w:name="_Toc184314477"/>
      <w:bookmarkEnd w:id="260"/>
      <w:bookmarkStart w:id="261" w:name="_Toc184314474"/>
      <w:bookmarkEnd w:id="261"/>
      <w:bookmarkStart w:id="262" w:name="_Toc184312108"/>
      <w:bookmarkEnd w:id="262"/>
      <w:bookmarkStart w:id="263" w:name="_Toc184312137"/>
      <w:bookmarkEnd w:id="263"/>
      <w:bookmarkStart w:id="264" w:name="_Toc184308057"/>
      <w:bookmarkEnd w:id="264"/>
      <w:bookmarkStart w:id="265" w:name="_Toc184313243"/>
      <w:bookmarkEnd w:id="265"/>
      <w:bookmarkStart w:id="266" w:name="_Toc184313259"/>
      <w:bookmarkEnd w:id="266"/>
      <w:bookmarkStart w:id="267" w:name="_Toc184308105"/>
      <w:bookmarkEnd w:id="267"/>
      <w:bookmarkStart w:id="268" w:name="_Toc184314412"/>
      <w:bookmarkEnd w:id="268"/>
      <w:bookmarkStart w:id="269" w:name="_Toc184310303"/>
      <w:bookmarkEnd w:id="269"/>
      <w:bookmarkStart w:id="270" w:name="_Toc184310277"/>
      <w:bookmarkEnd w:id="270"/>
      <w:bookmarkStart w:id="271" w:name="_Toc184308046"/>
      <w:bookmarkEnd w:id="271"/>
      <w:bookmarkStart w:id="272" w:name="_Toc184314418"/>
      <w:bookmarkEnd w:id="272"/>
      <w:bookmarkStart w:id="273" w:name="_Toc184310301"/>
      <w:bookmarkEnd w:id="273"/>
      <w:bookmarkStart w:id="274" w:name="_Toc184314479"/>
      <w:bookmarkEnd w:id="274"/>
      <w:bookmarkStart w:id="275" w:name="_Toc184314447"/>
      <w:bookmarkEnd w:id="275"/>
      <w:bookmarkStart w:id="276" w:name="_Toc184314434"/>
      <w:bookmarkEnd w:id="276"/>
      <w:bookmarkStart w:id="277" w:name="_Toc184313273"/>
      <w:bookmarkEnd w:id="277"/>
      <w:bookmarkStart w:id="278" w:name="_Toc184310273"/>
      <w:bookmarkEnd w:id="278"/>
      <w:bookmarkStart w:id="279" w:name="_Toc184310276"/>
      <w:bookmarkEnd w:id="279"/>
      <w:bookmarkStart w:id="280" w:name="_Toc184310326"/>
      <w:bookmarkEnd w:id="280"/>
      <w:bookmarkStart w:id="281" w:name="_Toc184314440"/>
      <w:bookmarkEnd w:id="281"/>
      <w:bookmarkStart w:id="282" w:name="_Toc184313270"/>
      <w:bookmarkEnd w:id="282"/>
      <w:bookmarkStart w:id="283" w:name="_Toc184313299"/>
      <w:bookmarkEnd w:id="283"/>
      <w:bookmarkStart w:id="284" w:name="_Toc184313272"/>
      <w:bookmarkEnd w:id="284"/>
      <w:bookmarkStart w:id="285" w:name="_Toc184308088"/>
      <w:bookmarkEnd w:id="285"/>
      <w:bookmarkStart w:id="286" w:name="_Toc184312092"/>
      <w:bookmarkEnd w:id="286"/>
      <w:bookmarkStart w:id="287" w:name="_Toc184308062"/>
      <w:bookmarkEnd w:id="287"/>
      <w:bookmarkStart w:id="288" w:name="_Toc184308048"/>
      <w:bookmarkEnd w:id="288"/>
      <w:bookmarkStart w:id="289" w:name="_Toc184308103"/>
      <w:bookmarkEnd w:id="289"/>
      <w:bookmarkStart w:id="290" w:name="_Toc184312086"/>
      <w:bookmarkEnd w:id="290"/>
      <w:bookmarkStart w:id="291" w:name="_Toc184312082"/>
      <w:bookmarkEnd w:id="291"/>
      <w:bookmarkStart w:id="292" w:name="_Toc184310337"/>
      <w:bookmarkEnd w:id="292"/>
      <w:bookmarkStart w:id="293" w:name="_Toc184314470"/>
      <w:bookmarkEnd w:id="293"/>
      <w:bookmarkStart w:id="294" w:name="_Toc184310311"/>
      <w:bookmarkEnd w:id="294"/>
      <w:bookmarkStart w:id="295" w:name="_Toc184312116"/>
      <w:bookmarkEnd w:id="295"/>
      <w:bookmarkStart w:id="296" w:name="_Toc184308083"/>
      <w:bookmarkEnd w:id="296"/>
      <w:bookmarkStart w:id="297" w:name="_Toc184314475"/>
      <w:bookmarkEnd w:id="297"/>
      <w:bookmarkStart w:id="298" w:name="_Toc184308038"/>
      <w:bookmarkEnd w:id="298"/>
      <w:bookmarkStart w:id="299" w:name="_Toc184308042"/>
      <w:bookmarkEnd w:id="299"/>
      <w:bookmarkStart w:id="300" w:name="_Toc184310291"/>
      <w:bookmarkEnd w:id="300"/>
      <w:bookmarkStart w:id="301" w:name="_Toc184308049"/>
      <w:bookmarkEnd w:id="301"/>
      <w:bookmarkStart w:id="302" w:name="_Toc184310344"/>
      <w:bookmarkEnd w:id="302"/>
      <w:bookmarkStart w:id="303" w:name="_Toc184312111"/>
      <w:bookmarkEnd w:id="303"/>
      <w:bookmarkStart w:id="304" w:name="_Toc184310339"/>
      <w:bookmarkEnd w:id="304"/>
      <w:bookmarkStart w:id="305" w:name="_Toc184314457"/>
      <w:bookmarkEnd w:id="305"/>
      <w:bookmarkStart w:id="306" w:name="_Toc184313261"/>
      <w:bookmarkEnd w:id="306"/>
      <w:bookmarkStart w:id="307" w:name="_Toc184312071"/>
      <w:bookmarkEnd w:id="307"/>
      <w:bookmarkStart w:id="308" w:name="_Toc184313245"/>
      <w:bookmarkEnd w:id="308"/>
      <w:bookmarkStart w:id="309" w:name="_Toc184312077"/>
      <w:bookmarkEnd w:id="309"/>
      <w:bookmarkStart w:id="310" w:name="_Toc184313310"/>
      <w:bookmarkEnd w:id="310"/>
      <w:bookmarkStart w:id="311" w:name="_Toc184308094"/>
      <w:bookmarkEnd w:id="311"/>
      <w:bookmarkStart w:id="312" w:name="_Toc184308085"/>
      <w:bookmarkEnd w:id="312"/>
      <w:bookmarkStart w:id="313" w:name="_Toc184308043"/>
      <w:bookmarkEnd w:id="313"/>
      <w:bookmarkStart w:id="314" w:name="_Toc184310279"/>
      <w:bookmarkEnd w:id="314"/>
      <w:bookmarkStart w:id="315" w:name="_Toc184310304"/>
      <w:bookmarkEnd w:id="315"/>
      <w:bookmarkStart w:id="316" w:name="_Toc184308061"/>
      <w:bookmarkEnd w:id="316"/>
      <w:bookmarkStart w:id="317" w:name="_Toc184312113"/>
      <w:bookmarkEnd w:id="317"/>
      <w:bookmarkStart w:id="318" w:name="_Toc184313294"/>
      <w:bookmarkEnd w:id="318"/>
      <w:bookmarkStart w:id="319" w:name="_Toc184310317"/>
      <w:bookmarkEnd w:id="319"/>
      <w:bookmarkStart w:id="320" w:name="_Toc184312129"/>
      <w:bookmarkEnd w:id="320"/>
      <w:bookmarkStart w:id="321" w:name="_Toc184308081"/>
      <w:bookmarkEnd w:id="321"/>
      <w:bookmarkStart w:id="322" w:name="_Toc184314431"/>
      <w:bookmarkEnd w:id="322"/>
      <w:bookmarkStart w:id="323" w:name="_Toc184312106"/>
      <w:bookmarkEnd w:id="323"/>
      <w:bookmarkStart w:id="324" w:name="_Toc184308040"/>
      <w:bookmarkEnd w:id="324"/>
      <w:bookmarkStart w:id="325" w:name="_Toc184314433"/>
      <w:bookmarkEnd w:id="325"/>
      <w:bookmarkStart w:id="326" w:name="_Toc184308084"/>
      <w:bookmarkEnd w:id="326"/>
      <w:bookmarkStart w:id="327" w:name="_Toc184312117"/>
      <w:bookmarkEnd w:id="327"/>
      <w:bookmarkStart w:id="328" w:name="_Toc184308106"/>
      <w:bookmarkEnd w:id="328"/>
      <w:bookmarkStart w:id="329" w:name="_Toc184312127"/>
      <w:bookmarkEnd w:id="329"/>
      <w:bookmarkStart w:id="330" w:name="_Toc184312095"/>
      <w:bookmarkEnd w:id="330"/>
      <w:bookmarkStart w:id="331" w:name="_Toc184314423"/>
      <w:bookmarkEnd w:id="331"/>
      <w:bookmarkStart w:id="332" w:name="_Toc184314480"/>
      <w:bookmarkEnd w:id="332"/>
      <w:bookmarkStart w:id="333" w:name="_Toc184312132"/>
      <w:bookmarkEnd w:id="333"/>
      <w:bookmarkStart w:id="334" w:name="_Toc184314442"/>
      <w:bookmarkEnd w:id="334"/>
      <w:bookmarkStart w:id="335" w:name="_Toc184308071"/>
      <w:bookmarkEnd w:id="335"/>
      <w:bookmarkStart w:id="336" w:name="_Toc184310274"/>
      <w:bookmarkEnd w:id="336"/>
      <w:bookmarkStart w:id="337" w:name="_Toc184312087"/>
      <w:bookmarkEnd w:id="337"/>
      <w:bookmarkStart w:id="338" w:name="_Toc184314453"/>
      <w:bookmarkEnd w:id="338"/>
      <w:bookmarkStart w:id="339" w:name="_Toc184313304"/>
      <w:bookmarkEnd w:id="339"/>
      <w:bookmarkStart w:id="340" w:name="_Toc184313257"/>
      <w:bookmarkEnd w:id="340"/>
      <w:bookmarkStart w:id="341" w:name="_Toc184313260"/>
      <w:bookmarkEnd w:id="341"/>
      <w:bookmarkStart w:id="342" w:name="_Toc184308055"/>
      <w:bookmarkEnd w:id="342"/>
      <w:bookmarkStart w:id="343" w:name="_Toc184313308"/>
      <w:bookmarkEnd w:id="343"/>
      <w:bookmarkStart w:id="344" w:name="_Toc184312130"/>
      <w:bookmarkEnd w:id="344"/>
      <w:bookmarkStart w:id="345" w:name="_Toc184313267"/>
      <w:bookmarkEnd w:id="345"/>
      <w:bookmarkStart w:id="346" w:name="_Toc184313239"/>
      <w:bookmarkEnd w:id="346"/>
      <w:bookmarkStart w:id="347" w:name="_Toc184312134"/>
      <w:bookmarkEnd w:id="347"/>
      <w:bookmarkStart w:id="348" w:name="_Toc184308065"/>
      <w:bookmarkEnd w:id="348"/>
      <w:bookmarkStart w:id="349" w:name="_Toc184313241"/>
      <w:bookmarkEnd w:id="349"/>
      <w:bookmarkStart w:id="350" w:name="_Toc184312109"/>
      <w:bookmarkEnd w:id="350"/>
      <w:bookmarkStart w:id="351" w:name="_Toc184308064"/>
      <w:bookmarkEnd w:id="351"/>
      <w:bookmarkStart w:id="352" w:name="_Toc184310290"/>
      <w:bookmarkEnd w:id="352"/>
      <w:bookmarkStart w:id="353" w:name="_Toc184312089"/>
      <w:bookmarkEnd w:id="353"/>
      <w:bookmarkStart w:id="354" w:name="_Toc184308091"/>
      <w:bookmarkEnd w:id="354"/>
      <w:bookmarkStart w:id="355" w:name="_Toc184308067"/>
      <w:bookmarkEnd w:id="355"/>
      <w:bookmarkStart w:id="356" w:name="_Toc184310342"/>
      <w:bookmarkEnd w:id="356"/>
      <w:bookmarkStart w:id="357" w:name="_Toc184314461"/>
      <w:bookmarkEnd w:id="357"/>
      <w:bookmarkStart w:id="358" w:name="_Toc184312120"/>
      <w:bookmarkEnd w:id="358"/>
      <w:bookmarkStart w:id="359" w:name="_Toc184314463"/>
      <w:bookmarkEnd w:id="359"/>
      <w:bookmarkStart w:id="360" w:name="_Toc184312121"/>
      <w:bookmarkEnd w:id="360"/>
      <w:bookmarkStart w:id="361" w:name="_Toc184314416"/>
      <w:bookmarkEnd w:id="361"/>
      <w:bookmarkStart w:id="362" w:name="_Toc184314419"/>
      <w:bookmarkEnd w:id="362"/>
      <w:bookmarkStart w:id="363" w:name="_Toc184313301"/>
      <w:bookmarkEnd w:id="363"/>
      <w:bookmarkStart w:id="364" w:name="_Toc184314465"/>
      <w:bookmarkEnd w:id="364"/>
      <w:bookmarkStart w:id="365" w:name="_Toc184310331"/>
      <w:bookmarkEnd w:id="365"/>
      <w:bookmarkStart w:id="366" w:name="_Toc184314417"/>
      <w:bookmarkEnd w:id="366"/>
      <w:bookmarkStart w:id="367" w:name="_Toc184314425"/>
      <w:bookmarkEnd w:id="367"/>
      <w:bookmarkStart w:id="368" w:name="_Toc184312100"/>
      <w:bookmarkEnd w:id="368"/>
      <w:bookmarkStart w:id="369" w:name="_Toc184312068"/>
      <w:bookmarkEnd w:id="369"/>
      <w:bookmarkStart w:id="370" w:name="_Toc184308059"/>
      <w:bookmarkEnd w:id="370"/>
      <w:bookmarkStart w:id="371" w:name="_Toc184314438"/>
      <w:bookmarkEnd w:id="371"/>
      <w:bookmarkStart w:id="372" w:name="_Toc184310314"/>
      <w:bookmarkEnd w:id="372"/>
      <w:bookmarkStart w:id="373" w:name="_Toc184314439"/>
      <w:bookmarkEnd w:id="373"/>
      <w:bookmarkStart w:id="374" w:name="_Toc184313300"/>
      <w:bookmarkEnd w:id="374"/>
      <w:bookmarkStart w:id="375" w:name="_Toc184312076"/>
      <w:bookmarkEnd w:id="375"/>
      <w:bookmarkStart w:id="376" w:name="_Toc184312084"/>
      <w:bookmarkEnd w:id="376"/>
      <w:bookmarkStart w:id="377" w:name="_Toc184310325"/>
      <w:bookmarkEnd w:id="377"/>
      <w:bookmarkStart w:id="378" w:name="_Toc184312123"/>
      <w:bookmarkEnd w:id="378"/>
      <w:bookmarkStart w:id="379" w:name="_Toc184314443"/>
      <w:bookmarkEnd w:id="379"/>
      <w:bookmarkStart w:id="380" w:name="_Toc184308089"/>
      <w:bookmarkEnd w:id="380"/>
      <w:bookmarkStart w:id="381" w:name="_Toc184313254"/>
      <w:bookmarkEnd w:id="381"/>
      <w:bookmarkStart w:id="382" w:name="_Toc184310278"/>
      <w:bookmarkEnd w:id="382"/>
      <w:bookmarkStart w:id="383" w:name="_Toc184308087"/>
      <w:bookmarkEnd w:id="383"/>
      <w:bookmarkStart w:id="384" w:name="_Toc184310286"/>
      <w:bookmarkEnd w:id="384"/>
      <w:bookmarkStart w:id="385" w:name="_Toc184308037"/>
      <w:bookmarkEnd w:id="385"/>
      <w:bookmarkStart w:id="386" w:name="_Toc184308075"/>
      <w:bookmarkEnd w:id="386"/>
      <w:bookmarkStart w:id="387" w:name="_Toc184312114"/>
      <w:bookmarkEnd w:id="387"/>
      <w:bookmarkStart w:id="388" w:name="_Toc184313246"/>
      <w:bookmarkEnd w:id="388"/>
      <w:bookmarkStart w:id="389" w:name="_Toc184314467"/>
      <w:bookmarkEnd w:id="389"/>
      <w:bookmarkStart w:id="390" w:name="_Toc184308090"/>
      <w:bookmarkEnd w:id="390"/>
      <w:bookmarkStart w:id="391" w:name="_Toc184312112"/>
      <w:bookmarkEnd w:id="391"/>
      <w:bookmarkStart w:id="392" w:name="_Toc184310333"/>
      <w:bookmarkEnd w:id="392"/>
      <w:bookmarkStart w:id="393" w:name="_Toc184310335"/>
      <w:bookmarkEnd w:id="393"/>
      <w:bookmarkStart w:id="394" w:name="_Toc184310275"/>
      <w:bookmarkEnd w:id="394"/>
      <w:bookmarkStart w:id="395" w:name="_Toc184312097"/>
      <w:bookmarkEnd w:id="395"/>
      <w:bookmarkStart w:id="396" w:name="_Toc184314468"/>
      <w:bookmarkEnd w:id="396"/>
      <w:bookmarkStart w:id="397" w:name="_Toc184314459"/>
      <w:bookmarkEnd w:id="397"/>
      <w:bookmarkStart w:id="398" w:name="_Toc184314458"/>
      <w:bookmarkEnd w:id="398"/>
      <w:bookmarkStart w:id="399" w:name="_Toc184313266"/>
      <w:bookmarkEnd w:id="399"/>
      <w:bookmarkStart w:id="400" w:name="_Toc184310341"/>
      <w:bookmarkEnd w:id="400"/>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5308"/>
        <w:gridCol w:w="537"/>
        <w:gridCol w:w="48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76"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124" w:type="pct"/>
            <w:vAlign w:val="center"/>
          </w:tcPr>
          <w:p>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316" w:type="pct"/>
            <w:vAlign w:val="center"/>
          </w:tcPr>
          <w:p>
            <w:pPr>
              <w:spacing w:line="360" w:lineRule="auto"/>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权重</w:t>
            </w:r>
          </w:p>
        </w:tc>
        <w:tc>
          <w:tcPr>
            <w:tcW w:w="283" w:type="pc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eastAsia="zh-CN"/>
              </w:rPr>
              <w:t>评分类型</w:t>
            </w:r>
          </w:p>
        </w:tc>
        <w:tc>
          <w:tcPr>
            <w:tcW w:w="899" w:type="pct"/>
          </w:tcPr>
          <w:p>
            <w:pPr>
              <w:spacing w:line="360" w:lineRule="auto"/>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76" w:type="pct"/>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1</w:t>
            </w:r>
          </w:p>
        </w:tc>
        <w:tc>
          <w:tcPr>
            <w:tcW w:w="3124"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投标方案与需求的吻合程度，</w:t>
            </w:r>
            <w:r>
              <w:rPr>
                <w:rFonts w:hint="eastAsia" w:ascii="仿宋" w:hAnsi="仿宋" w:eastAsia="仿宋" w:cs="仿宋_GB2312"/>
                <w:sz w:val="24"/>
                <w:highlight w:val="none"/>
                <w:lang w:eastAsia="zh-Hans"/>
              </w:rPr>
              <w:t>条理清晰，反映实际需求，各个平台准确定位问题，建设思路能够体现建设目标和建设内容</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包括方案的科学性、可靠性、成熟性、扩展性等。投标方案准确完整，与需求完全吻合的得5分；基本吻合的得3分；部分吻合的得1分；没提供或不符合的不得分。共5分。</w:t>
            </w:r>
          </w:p>
        </w:tc>
        <w:tc>
          <w:tcPr>
            <w:tcW w:w="316"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283"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主观分</w:t>
            </w:r>
          </w:p>
        </w:tc>
        <w:tc>
          <w:tcPr>
            <w:tcW w:w="899"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lang w:val="en-US" w:eastAsia="zh-CN"/>
              </w:rPr>
              <w:t>总体投标方案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76" w:type="pct"/>
            <w:vAlign w:val="center"/>
          </w:tcPr>
          <w:p>
            <w:pPr>
              <w:spacing w:line="360" w:lineRule="auto"/>
              <w:jc w:val="center"/>
              <w:outlineLvl w:val="0"/>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lang w:val="en-US" w:eastAsia="zh-CN"/>
              </w:rPr>
              <w:t>2</w:t>
            </w:r>
          </w:p>
        </w:tc>
        <w:tc>
          <w:tcPr>
            <w:tcW w:w="3124" w:type="pct"/>
            <w:vAlign w:val="center"/>
          </w:tcPr>
          <w:p>
            <w:pPr>
              <w:spacing w:line="360" w:lineRule="auto"/>
              <w:outlineLvl w:val="0"/>
              <w:rPr>
                <w:rFonts w:ascii="仿宋" w:hAnsi="仿宋" w:eastAsia="仿宋" w:cs="仿宋_GB2312"/>
                <w:kern w:val="2"/>
                <w:sz w:val="24"/>
                <w:szCs w:val="22"/>
                <w:highlight w:val="none"/>
                <w:lang w:val="en-US" w:eastAsia="zh-CN" w:bidi="ar-SA"/>
              </w:rPr>
            </w:pPr>
            <w:r>
              <w:rPr>
                <w:rFonts w:hint="eastAsia" w:ascii="仿宋" w:hAnsi="仿宋" w:eastAsia="仿宋" w:cs="仿宋_GB2312"/>
                <w:sz w:val="24"/>
                <w:highlight w:val="none"/>
              </w:rPr>
              <w:t>投标人</w:t>
            </w:r>
            <w:r>
              <w:rPr>
                <w:rFonts w:ascii="仿宋" w:hAnsi="仿宋" w:eastAsia="仿宋" w:cs="仿宋_GB2312"/>
                <w:sz w:val="24"/>
                <w:highlight w:val="none"/>
              </w:rPr>
              <w:t>阐述本项目</w:t>
            </w:r>
            <w:r>
              <w:rPr>
                <w:rFonts w:hint="eastAsia" w:ascii="仿宋" w:hAnsi="仿宋" w:eastAsia="仿宋" w:cs="仿宋_GB2312"/>
                <w:sz w:val="24"/>
                <w:highlight w:val="none"/>
              </w:rPr>
              <w:t>软件开发</w:t>
            </w:r>
            <w:r>
              <w:rPr>
                <w:rFonts w:ascii="仿宋" w:hAnsi="仿宋" w:eastAsia="仿宋" w:cs="仿宋_GB2312"/>
                <w:sz w:val="24"/>
                <w:highlight w:val="none"/>
              </w:rPr>
              <w:t>的建设内容，包含：①</w:t>
            </w:r>
            <w:r>
              <w:rPr>
                <w:rFonts w:hint="eastAsia" w:ascii="仿宋" w:hAnsi="仿宋" w:eastAsia="仿宋" w:cs="仿宋_GB2312"/>
                <w:sz w:val="24"/>
                <w:highlight w:val="none"/>
              </w:rPr>
              <w:t>物联感知</w:t>
            </w:r>
            <w:r>
              <w:rPr>
                <w:rFonts w:ascii="仿宋" w:hAnsi="仿宋" w:eastAsia="仿宋" w:cs="仿宋_GB2312"/>
                <w:sz w:val="24"/>
                <w:highlight w:val="none"/>
              </w:rPr>
              <w:t>平台</w:t>
            </w:r>
            <w:r>
              <w:rPr>
                <w:rFonts w:hint="eastAsia" w:ascii="仿宋" w:hAnsi="仿宋" w:eastAsia="仿宋" w:cs="仿宋_GB2312"/>
                <w:sz w:val="24"/>
                <w:highlight w:val="none"/>
              </w:rPr>
              <w:t>建设</w:t>
            </w:r>
            <w:r>
              <w:rPr>
                <w:rFonts w:ascii="仿宋" w:hAnsi="仿宋" w:eastAsia="仿宋" w:cs="仿宋_GB2312"/>
                <w:sz w:val="24"/>
                <w:highlight w:val="none"/>
              </w:rPr>
              <w:t>；②</w:t>
            </w:r>
            <w:r>
              <w:rPr>
                <w:rFonts w:hint="eastAsia" w:ascii="仿宋" w:hAnsi="仿宋" w:eastAsia="仿宋" w:cs="仿宋_GB2312"/>
                <w:sz w:val="24"/>
                <w:highlight w:val="none"/>
              </w:rPr>
              <w:t>数据资源体系建设</w:t>
            </w:r>
            <w:r>
              <w:rPr>
                <w:rFonts w:ascii="仿宋" w:hAnsi="仿宋" w:eastAsia="仿宋" w:cs="仿宋_GB2312"/>
                <w:sz w:val="24"/>
                <w:highlight w:val="none"/>
              </w:rPr>
              <w:t>；③</w:t>
            </w:r>
            <w:r>
              <w:rPr>
                <w:rFonts w:hint="eastAsia" w:ascii="仿宋" w:hAnsi="仿宋" w:eastAsia="仿宋" w:cs="仿宋_GB2312"/>
                <w:sz w:val="24"/>
                <w:highlight w:val="none"/>
              </w:rPr>
              <w:t>物联感知门户与驾驶舱定制。技术合理、操作性强、内容详尽且较好满足采购需求的，每一项得</w:t>
            </w:r>
            <w:r>
              <w:rPr>
                <w:rFonts w:hint="eastAsia" w:ascii="仿宋" w:hAnsi="仿宋" w:eastAsia="仿宋" w:cs="仿宋_GB2312"/>
                <w:sz w:val="24"/>
                <w:highlight w:val="none"/>
                <w:lang w:val="en-US" w:eastAsia="zh-CN"/>
              </w:rPr>
              <w:t>5</w:t>
            </w:r>
            <w:r>
              <w:rPr>
                <w:rFonts w:hint="eastAsia" w:ascii="仿宋" w:hAnsi="仿宋" w:eastAsia="仿宋" w:cs="仿宋_GB2312"/>
                <w:sz w:val="24"/>
                <w:highlight w:val="none"/>
              </w:rPr>
              <w:t>分；技术较合理、操作性一般、内容完整且基本满足采购需求的</w:t>
            </w:r>
            <w:r>
              <w:rPr>
                <w:rFonts w:hint="eastAsia" w:ascii="仿宋" w:hAnsi="仿宋" w:eastAsia="仿宋" w:cs="仿宋_GB2312"/>
                <w:sz w:val="24"/>
                <w:highlight w:val="none"/>
                <w:lang w:eastAsia="zh-CN"/>
              </w:rPr>
              <w:t>，每一项</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分；方案简单或存在缺漏或部分满足采购人需求的，每一项得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分；无内容或不满足采购人需求的不得分，共</w:t>
            </w:r>
            <w:r>
              <w:rPr>
                <w:rFonts w:hint="eastAsia" w:ascii="仿宋" w:hAnsi="仿宋" w:eastAsia="仿宋" w:cs="仿宋_GB2312"/>
                <w:sz w:val="24"/>
                <w:highlight w:val="none"/>
                <w:lang w:val="en-US" w:eastAsia="zh-CN"/>
              </w:rPr>
              <w:t>15</w:t>
            </w:r>
            <w:r>
              <w:rPr>
                <w:rFonts w:hint="eastAsia" w:ascii="仿宋" w:hAnsi="仿宋" w:eastAsia="仿宋" w:cs="仿宋_GB2312"/>
                <w:sz w:val="24"/>
                <w:highlight w:val="none"/>
              </w:rPr>
              <w:t>分。</w:t>
            </w:r>
          </w:p>
        </w:tc>
        <w:tc>
          <w:tcPr>
            <w:tcW w:w="316" w:type="pct"/>
            <w:vAlign w:val="center"/>
          </w:tcPr>
          <w:p>
            <w:pPr>
              <w:spacing w:line="360" w:lineRule="auto"/>
              <w:jc w:val="center"/>
              <w:outlineLvl w:val="0"/>
              <w:rPr>
                <w:rFonts w:hint="default" w:ascii="仿宋" w:hAnsi="仿宋" w:eastAsia="仿宋" w:cs="仿宋"/>
                <w:kern w:val="2"/>
                <w:sz w:val="24"/>
                <w:szCs w:val="22"/>
                <w:highlight w:val="none"/>
                <w:lang w:val="en-US" w:eastAsia="zh-CN" w:bidi="ar-SA"/>
              </w:rPr>
            </w:pPr>
            <w:r>
              <w:rPr>
                <w:rFonts w:hint="eastAsia" w:ascii="仿宋" w:hAnsi="仿宋" w:eastAsia="仿宋" w:cs="仿宋"/>
                <w:sz w:val="24"/>
                <w:highlight w:val="none"/>
                <w:lang w:val="en-US" w:eastAsia="zh-CN"/>
              </w:rPr>
              <w:t>15</w:t>
            </w:r>
          </w:p>
        </w:tc>
        <w:tc>
          <w:tcPr>
            <w:tcW w:w="283"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主观分</w:t>
            </w:r>
          </w:p>
        </w:tc>
        <w:tc>
          <w:tcPr>
            <w:tcW w:w="899" w:type="pct"/>
            <w:vMerge w:val="restar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（二）</w:t>
            </w:r>
            <w:r>
              <w:rPr>
                <w:rFonts w:hint="eastAsia" w:ascii="仿宋" w:hAnsi="仿宋" w:eastAsia="仿宋" w:cs="仿宋_GB2312"/>
                <w:sz w:val="24"/>
                <w:highlight w:val="none"/>
                <w:lang w:eastAsia="zh-Hans"/>
              </w:rPr>
              <w:t>软件开发建设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6"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3</w:t>
            </w:r>
          </w:p>
        </w:tc>
        <w:tc>
          <w:tcPr>
            <w:tcW w:w="3124" w:type="pct"/>
            <w:vAlign w:val="center"/>
          </w:tcPr>
          <w:p>
            <w:pPr>
              <w:spacing w:line="360" w:lineRule="auto"/>
              <w:outlineLvl w:val="0"/>
              <w:rPr>
                <w:rFonts w:hint="eastAsia" w:ascii="仿宋" w:hAnsi="仿宋" w:eastAsia="仿宋" w:cs="仿宋_GB2312"/>
                <w:sz w:val="24"/>
                <w:szCs w:val="24"/>
                <w:highlight w:val="none"/>
                <w:lang w:eastAsia="zh-CN"/>
              </w:rPr>
            </w:pPr>
            <w:r>
              <w:rPr>
                <w:rFonts w:hint="eastAsia" w:ascii="仿宋" w:hAnsi="仿宋" w:eastAsia="仿宋" w:cs="仿宋_GB2312"/>
                <w:sz w:val="24"/>
                <w:szCs w:val="24"/>
                <w:highlight w:val="none"/>
                <w:lang w:eastAsia="zh-CN"/>
              </w:rPr>
              <w:t>投标人拟投入的物联感知平台支持在信创服务器和操作系统运行，提供相应承诺或提供信创适配验证报告的得</w:t>
            </w:r>
            <w:r>
              <w:rPr>
                <w:rFonts w:hint="eastAsia" w:ascii="仿宋" w:hAnsi="仿宋" w:eastAsia="仿宋" w:cs="仿宋_GB2312"/>
                <w:sz w:val="24"/>
                <w:szCs w:val="24"/>
                <w:highlight w:val="none"/>
                <w:lang w:val="en-US" w:eastAsia="zh-CN"/>
              </w:rPr>
              <w:t>3分，否则不得分，共3分</w:t>
            </w:r>
            <w:r>
              <w:rPr>
                <w:rFonts w:hint="eastAsia" w:ascii="仿宋" w:hAnsi="仿宋" w:eastAsia="仿宋" w:cs="仿宋_GB2312"/>
                <w:sz w:val="24"/>
                <w:szCs w:val="24"/>
                <w:highlight w:val="none"/>
                <w:lang w:eastAsia="zh-CN"/>
              </w:rPr>
              <w:t>。</w:t>
            </w:r>
          </w:p>
        </w:tc>
        <w:tc>
          <w:tcPr>
            <w:tcW w:w="316" w:type="pct"/>
            <w:vAlign w:val="center"/>
          </w:tcPr>
          <w:p>
            <w:pPr>
              <w:spacing w:line="360" w:lineRule="auto"/>
              <w:jc w:val="center"/>
              <w:outlineLvl w:val="0"/>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3</w:t>
            </w:r>
          </w:p>
        </w:tc>
        <w:tc>
          <w:tcPr>
            <w:tcW w:w="28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客观分</w:t>
            </w:r>
          </w:p>
        </w:tc>
        <w:tc>
          <w:tcPr>
            <w:tcW w:w="899"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6"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4</w:t>
            </w:r>
          </w:p>
        </w:tc>
        <w:tc>
          <w:tcPr>
            <w:tcW w:w="3124" w:type="pct"/>
            <w:vAlign w:val="center"/>
          </w:tcPr>
          <w:p>
            <w:pPr>
              <w:spacing w:line="360" w:lineRule="auto"/>
              <w:outlineLvl w:val="0"/>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eastAsia="zh-CN"/>
              </w:rPr>
              <w:t>项目实施方案</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rPr>
              <w:t>投标人应根据</w:t>
            </w:r>
            <w:r>
              <w:rPr>
                <w:rFonts w:hint="eastAsia" w:ascii="仿宋" w:hAnsi="仿宋" w:eastAsia="仿宋" w:cs="仿宋_GB2312"/>
                <w:sz w:val="24"/>
                <w:szCs w:val="24"/>
                <w:highlight w:val="none"/>
                <w:lang w:val="en-US" w:eastAsia="zh-CN"/>
              </w:rPr>
              <w:t>采购需求</w:t>
            </w:r>
            <w:r>
              <w:rPr>
                <w:rFonts w:hint="eastAsia" w:ascii="仿宋" w:hAnsi="仿宋" w:eastAsia="仿宋" w:cs="仿宋_GB2312"/>
                <w:sz w:val="24"/>
                <w:szCs w:val="24"/>
                <w:highlight w:val="none"/>
              </w:rPr>
              <w:t>中工作内容提供一份完整的项目进度计划，以确定各阶段的主要工作内容、成果及其进度。进度安排完善、可行性强的得</w:t>
            </w:r>
            <w:r>
              <w:rPr>
                <w:rFonts w:hint="eastAsia" w:ascii="仿宋" w:hAnsi="仿宋" w:eastAsia="仿宋" w:cs="仿宋_GB2312"/>
                <w:sz w:val="24"/>
                <w:szCs w:val="24"/>
                <w:highlight w:val="none"/>
                <w:lang w:val="en-US" w:eastAsia="zh-CN"/>
              </w:rPr>
              <w:t>5</w:t>
            </w:r>
            <w:r>
              <w:rPr>
                <w:rFonts w:hint="eastAsia" w:ascii="仿宋" w:hAnsi="仿宋" w:eastAsia="仿宋" w:cs="仿宋_GB2312"/>
                <w:sz w:val="24"/>
                <w:szCs w:val="24"/>
                <w:highlight w:val="none"/>
              </w:rPr>
              <w:t>分，计划较完善、可行性较强的得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分，进度安排一般的得1分</w:t>
            </w:r>
            <w:r>
              <w:rPr>
                <w:rFonts w:hint="eastAsia" w:ascii="仿宋" w:hAnsi="仿宋" w:eastAsia="仿宋" w:cs="仿宋_GB2312"/>
                <w:sz w:val="24"/>
                <w:szCs w:val="24"/>
                <w:highlight w:val="none"/>
                <w:lang w:eastAsia="zh-CN"/>
              </w:rPr>
              <w:t>，无计划或计划不合理的不得分</w:t>
            </w:r>
            <w:r>
              <w:rPr>
                <w:rFonts w:hint="eastAsia" w:ascii="仿宋" w:hAnsi="仿宋" w:eastAsia="仿宋" w:cs="仿宋_GB2312"/>
                <w:sz w:val="24"/>
                <w:szCs w:val="24"/>
                <w:highlight w:val="none"/>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5分。</w:t>
            </w:r>
          </w:p>
        </w:tc>
        <w:tc>
          <w:tcPr>
            <w:tcW w:w="316"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_GB2312"/>
                <w:sz w:val="24"/>
                <w:szCs w:val="24"/>
                <w:highlight w:val="none"/>
                <w:lang w:val="en-US" w:eastAsia="zh-CN"/>
              </w:rPr>
              <w:t>5</w:t>
            </w:r>
          </w:p>
        </w:tc>
        <w:tc>
          <w:tcPr>
            <w:tcW w:w="28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主观分</w:t>
            </w:r>
          </w:p>
        </w:tc>
        <w:tc>
          <w:tcPr>
            <w:tcW w:w="899"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6"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5</w:t>
            </w:r>
          </w:p>
        </w:tc>
        <w:tc>
          <w:tcPr>
            <w:tcW w:w="3124" w:type="pct"/>
            <w:vAlign w:val="center"/>
          </w:tcPr>
          <w:p>
            <w:pPr>
              <w:spacing w:line="360" w:lineRule="auto"/>
              <w:rPr>
                <w:rFonts w:hint="default" w:ascii="仿宋" w:hAnsi="仿宋" w:eastAsia="仿宋" w:cs="仿宋_GB2312"/>
                <w:kern w:val="2"/>
                <w:sz w:val="24"/>
                <w:szCs w:val="24"/>
                <w:highlight w:val="none"/>
                <w:lang w:val="en-US" w:eastAsia="zh-CN" w:bidi="ar-SA"/>
              </w:rPr>
            </w:pPr>
            <w:r>
              <w:rPr>
                <w:rFonts w:hint="default" w:ascii="仿宋" w:hAnsi="仿宋" w:eastAsia="仿宋" w:cs="仿宋_GB2312"/>
                <w:sz w:val="24"/>
                <w:szCs w:val="24"/>
                <w:highlight w:val="none"/>
                <w:lang w:val="en-US" w:eastAsia="zh-CN"/>
              </w:rPr>
              <w:t>投标人是否提出合理可行的调试</w:t>
            </w:r>
            <w:r>
              <w:rPr>
                <w:rFonts w:hint="eastAsia" w:ascii="仿宋" w:hAnsi="仿宋" w:eastAsia="仿宋" w:cs="仿宋_GB2312"/>
                <w:sz w:val="24"/>
                <w:szCs w:val="24"/>
                <w:highlight w:val="none"/>
                <w:lang w:val="en-US" w:eastAsia="zh-CN"/>
              </w:rPr>
              <w:t>、试运行、验收</w:t>
            </w:r>
            <w:r>
              <w:rPr>
                <w:rFonts w:hint="default" w:ascii="仿宋" w:hAnsi="仿宋" w:eastAsia="仿宋" w:cs="仿宋_GB2312"/>
                <w:sz w:val="24"/>
                <w:szCs w:val="24"/>
                <w:highlight w:val="none"/>
                <w:lang w:val="en-US" w:eastAsia="zh-CN"/>
              </w:rPr>
              <w:t>方案</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方案内容详细完整，符合项目进度要求。满足得</w:t>
            </w:r>
            <w:r>
              <w:rPr>
                <w:rFonts w:hint="eastAsia" w:ascii="仿宋" w:hAnsi="仿宋" w:eastAsia="仿宋" w:cs="仿宋_GB2312"/>
                <w:sz w:val="24"/>
                <w:szCs w:val="24"/>
                <w:highlight w:val="none"/>
                <w:lang w:val="en-US" w:eastAsia="zh-CN"/>
              </w:rPr>
              <w:t>3</w:t>
            </w:r>
            <w:r>
              <w:rPr>
                <w:rFonts w:hint="default" w:ascii="仿宋" w:hAnsi="仿宋" w:eastAsia="仿宋" w:cs="仿宋_GB2312"/>
                <w:sz w:val="24"/>
                <w:szCs w:val="24"/>
                <w:highlight w:val="none"/>
                <w:lang w:val="en-US" w:eastAsia="zh-CN"/>
              </w:rPr>
              <w:t>分，部分满足得1分，不满足不得分。</w:t>
            </w:r>
            <w:r>
              <w:rPr>
                <w:rFonts w:hint="default" w:ascii="仿宋" w:hAnsi="仿宋" w:eastAsia="仿宋" w:cs="仿宋_GB2312"/>
                <w:kern w:val="2"/>
                <w:sz w:val="24"/>
                <w:szCs w:val="24"/>
                <w:highlight w:val="none"/>
                <w:lang w:val="en-US" w:eastAsia="zh-CN" w:bidi="ar-SA"/>
              </w:rPr>
              <w:t>共</w:t>
            </w:r>
            <w:r>
              <w:rPr>
                <w:rFonts w:hint="eastAsia" w:ascii="仿宋" w:hAnsi="仿宋" w:eastAsia="仿宋" w:cs="仿宋_GB2312"/>
                <w:kern w:val="2"/>
                <w:sz w:val="24"/>
                <w:szCs w:val="24"/>
                <w:highlight w:val="none"/>
                <w:lang w:val="en-US" w:eastAsia="zh-CN" w:bidi="ar-SA"/>
              </w:rPr>
              <w:t>3</w:t>
            </w:r>
            <w:r>
              <w:rPr>
                <w:rFonts w:hint="default" w:ascii="仿宋" w:hAnsi="仿宋" w:eastAsia="仿宋" w:cs="仿宋_GB2312"/>
                <w:kern w:val="2"/>
                <w:sz w:val="24"/>
                <w:szCs w:val="24"/>
                <w:highlight w:val="none"/>
                <w:lang w:val="en-US" w:eastAsia="zh-CN" w:bidi="ar-SA"/>
              </w:rPr>
              <w:t>分</w:t>
            </w:r>
            <w:r>
              <w:rPr>
                <w:rFonts w:hint="eastAsia" w:ascii="仿宋" w:hAnsi="仿宋" w:eastAsia="仿宋" w:cs="仿宋_GB2312"/>
                <w:kern w:val="2"/>
                <w:sz w:val="24"/>
                <w:szCs w:val="24"/>
                <w:highlight w:val="none"/>
                <w:lang w:val="en-US" w:eastAsia="zh-CN" w:bidi="ar-SA"/>
              </w:rPr>
              <w:t>。</w:t>
            </w:r>
          </w:p>
        </w:tc>
        <w:tc>
          <w:tcPr>
            <w:tcW w:w="316"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3</w:t>
            </w:r>
          </w:p>
        </w:tc>
        <w:tc>
          <w:tcPr>
            <w:tcW w:w="28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主观分</w:t>
            </w:r>
          </w:p>
        </w:tc>
        <w:tc>
          <w:tcPr>
            <w:tcW w:w="899"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（四）</w:t>
            </w:r>
            <w:r>
              <w:rPr>
                <w:rFonts w:hint="default" w:ascii="仿宋" w:hAnsi="仿宋" w:eastAsia="仿宋" w:cs="仿宋_GB2312"/>
                <w:sz w:val="24"/>
                <w:szCs w:val="24"/>
                <w:highlight w:val="none"/>
                <w:lang w:val="en-US" w:eastAsia="zh-CN"/>
              </w:rPr>
              <w:t>调试</w:t>
            </w:r>
            <w:r>
              <w:rPr>
                <w:rFonts w:hint="eastAsia" w:ascii="仿宋" w:hAnsi="仿宋" w:eastAsia="仿宋" w:cs="仿宋_GB2312"/>
                <w:sz w:val="24"/>
                <w:szCs w:val="24"/>
                <w:highlight w:val="none"/>
                <w:lang w:val="en-US" w:eastAsia="zh-CN"/>
              </w:rPr>
              <w:t>、试运行、验收</w:t>
            </w:r>
            <w:r>
              <w:rPr>
                <w:rFonts w:hint="default" w:ascii="仿宋" w:hAnsi="仿宋" w:eastAsia="仿宋" w:cs="仿宋_GB2312"/>
                <w:sz w:val="24"/>
                <w:szCs w:val="24"/>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6" w:type="pct"/>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6</w:t>
            </w:r>
          </w:p>
        </w:tc>
        <w:tc>
          <w:tcPr>
            <w:tcW w:w="3124" w:type="pct"/>
            <w:vAlign w:val="center"/>
          </w:tcPr>
          <w:p>
            <w:pPr>
              <w:spacing w:line="360" w:lineRule="auto"/>
              <w:rPr>
                <w:rFonts w:hint="default" w:ascii="仿宋" w:hAnsi="仿宋" w:eastAsia="仿宋" w:cs="仿宋_GB2312"/>
                <w:kern w:val="2"/>
                <w:sz w:val="24"/>
                <w:szCs w:val="24"/>
                <w:highlight w:val="none"/>
                <w:lang w:val="en-US" w:eastAsia="zh-CN" w:bidi="ar-SA"/>
              </w:rPr>
            </w:pPr>
            <w:r>
              <w:rPr>
                <w:rFonts w:hint="default" w:ascii="仿宋" w:hAnsi="仿宋" w:eastAsia="仿宋" w:cs="仿宋_GB2312"/>
                <w:sz w:val="24"/>
                <w:szCs w:val="24"/>
                <w:highlight w:val="none"/>
                <w:lang w:val="en-US" w:eastAsia="zh-CN"/>
              </w:rPr>
              <w:t>投标人按照投标文件要求有明确的建设质量目标</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质量保证措施，并具有详细可行的实施内容等</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符合采购要求视为满足。满足得</w:t>
            </w:r>
            <w:r>
              <w:rPr>
                <w:rFonts w:hint="eastAsia" w:ascii="仿宋" w:hAnsi="仿宋" w:eastAsia="仿宋" w:cs="仿宋_GB2312"/>
                <w:sz w:val="24"/>
                <w:szCs w:val="24"/>
                <w:highlight w:val="none"/>
                <w:lang w:val="en-US" w:eastAsia="zh-CN"/>
              </w:rPr>
              <w:t>3</w:t>
            </w:r>
            <w:r>
              <w:rPr>
                <w:rFonts w:hint="default" w:ascii="仿宋" w:hAnsi="仿宋" w:eastAsia="仿宋" w:cs="仿宋_GB2312"/>
                <w:sz w:val="24"/>
                <w:szCs w:val="24"/>
                <w:highlight w:val="none"/>
                <w:lang w:val="en-US" w:eastAsia="zh-CN"/>
              </w:rPr>
              <w:t>分，部分满足得1分，不满足不得分。</w:t>
            </w:r>
          </w:p>
        </w:tc>
        <w:tc>
          <w:tcPr>
            <w:tcW w:w="316" w:type="pct"/>
            <w:vAlign w:val="center"/>
          </w:tcPr>
          <w:p>
            <w:pPr>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3</w:t>
            </w:r>
          </w:p>
        </w:tc>
        <w:tc>
          <w:tcPr>
            <w:tcW w:w="28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主观分</w:t>
            </w:r>
          </w:p>
        </w:tc>
        <w:tc>
          <w:tcPr>
            <w:tcW w:w="899"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（五）</w:t>
            </w:r>
            <w:r>
              <w:rPr>
                <w:rFonts w:hint="default" w:ascii="仿宋" w:hAnsi="仿宋" w:eastAsia="仿宋" w:cs="仿宋_GB2312"/>
                <w:sz w:val="24"/>
                <w:szCs w:val="24"/>
                <w:highlight w:val="none"/>
                <w:lang w:val="en-US" w:eastAsia="zh-CN"/>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6"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7</w:t>
            </w:r>
          </w:p>
        </w:tc>
        <w:tc>
          <w:tcPr>
            <w:tcW w:w="3124" w:type="pct"/>
            <w:vAlign w:val="center"/>
          </w:tcPr>
          <w:p>
            <w:pPr>
              <w:numPr>
                <w:ilvl w:val="0"/>
                <w:numId w:val="0"/>
              </w:numPr>
              <w:spacing w:line="360" w:lineRule="auto"/>
              <w:ind w:left="0" w:leftChars="0" w:firstLine="0" w:firstLineChars="0"/>
              <w:outlineLvl w:val="0"/>
              <w:rPr>
                <w:rFonts w:hint="default" w:ascii="仿宋" w:hAnsi="仿宋" w:eastAsia="仿宋" w:cs="仿宋_GB2312"/>
                <w:sz w:val="24"/>
                <w:szCs w:val="24"/>
                <w:highlight w:val="none"/>
                <w:lang w:val="en-US" w:eastAsia="zh-CN"/>
              </w:rPr>
            </w:pPr>
            <w:r>
              <w:rPr>
                <w:rFonts w:hint="default" w:ascii="仿宋" w:hAnsi="仿宋" w:eastAsia="仿宋" w:cs="仿宋_GB2312"/>
                <w:sz w:val="24"/>
                <w:szCs w:val="24"/>
                <w:highlight w:val="none"/>
                <w:lang w:val="en-US" w:eastAsia="zh-CN"/>
              </w:rPr>
              <w:t>项目团队情况：</w:t>
            </w:r>
            <w:r>
              <w:rPr>
                <w:rFonts w:hint="eastAsia" w:ascii="仿宋" w:hAnsi="仿宋" w:eastAsia="仿宋" w:cs="仿宋_GB2312"/>
                <w:sz w:val="24"/>
                <w:szCs w:val="24"/>
                <w:highlight w:val="none"/>
                <w:lang w:val="en-US" w:eastAsia="zh-CN"/>
              </w:rPr>
              <w:t>①</w:t>
            </w:r>
            <w:r>
              <w:rPr>
                <w:rFonts w:hint="default" w:ascii="仿宋" w:hAnsi="仿宋" w:eastAsia="仿宋" w:cs="仿宋_GB2312"/>
                <w:sz w:val="24"/>
                <w:szCs w:val="24"/>
                <w:highlight w:val="none"/>
                <w:lang w:val="en-US" w:eastAsia="zh-CN"/>
              </w:rPr>
              <w:t>项目经理</w:t>
            </w:r>
            <w:r>
              <w:rPr>
                <w:rFonts w:hint="eastAsia" w:ascii="仿宋" w:hAnsi="仿宋" w:eastAsia="仿宋" w:cs="仿宋_GB2312"/>
                <w:sz w:val="24"/>
                <w:szCs w:val="24"/>
                <w:highlight w:val="none"/>
                <w:lang w:val="en-US" w:eastAsia="zh-CN"/>
              </w:rPr>
              <w:t>或项目负责人</w:t>
            </w:r>
            <w:r>
              <w:rPr>
                <w:rFonts w:hint="eastAsia" w:ascii="仿宋" w:hAnsi="仿宋" w:eastAsia="仿宋" w:cs="仿宋_GB2312"/>
                <w:sz w:val="24"/>
                <w:highlight w:val="none"/>
                <w:lang w:eastAsia="zh-Hans"/>
              </w:rPr>
              <w:t>具备有效期内的高级工程师职称</w:t>
            </w:r>
            <w:r>
              <w:rPr>
                <w:rFonts w:hint="default" w:ascii="仿宋" w:hAnsi="仿宋" w:eastAsia="仿宋" w:cs="仿宋_GB2312"/>
                <w:sz w:val="24"/>
                <w:szCs w:val="24"/>
                <w:highlight w:val="none"/>
                <w:lang w:val="en-US" w:eastAsia="zh-CN"/>
              </w:rPr>
              <w:t>的得</w:t>
            </w:r>
            <w:r>
              <w:rPr>
                <w:rFonts w:hint="eastAsia" w:ascii="仿宋" w:hAnsi="仿宋" w:eastAsia="仿宋" w:cs="仿宋_GB2312"/>
                <w:sz w:val="24"/>
                <w:szCs w:val="24"/>
                <w:highlight w:val="none"/>
                <w:lang w:val="en-US" w:eastAsia="zh-CN"/>
              </w:rPr>
              <w:t>2</w:t>
            </w:r>
            <w:r>
              <w:rPr>
                <w:rFonts w:hint="default" w:ascii="仿宋" w:hAnsi="仿宋" w:eastAsia="仿宋" w:cs="仿宋_GB2312"/>
                <w:sz w:val="24"/>
                <w:szCs w:val="24"/>
                <w:highlight w:val="none"/>
                <w:lang w:val="en-US" w:eastAsia="zh-CN"/>
              </w:rPr>
              <w:t>分</w:t>
            </w:r>
            <w:r>
              <w:rPr>
                <w:rFonts w:hint="eastAsia" w:ascii="仿宋" w:hAnsi="仿宋" w:eastAsia="仿宋" w:cs="仿宋_GB2312"/>
                <w:sz w:val="24"/>
                <w:szCs w:val="24"/>
                <w:highlight w:val="none"/>
                <w:lang w:val="en-US" w:eastAsia="zh-CN"/>
              </w:rPr>
              <w:t>；②项目组成员（不含</w:t>
            </w:r>
            <w:r>
              <w:rPr>
                <w:rFonts w:hint="default" w:ascii="仿宋" w:hAnsi="仿宋" w:eastAsia="仿宋" w:cs="仿宋_GB2312"/>
                <w:sz w:val="24"/>
                <w:szCs w:val="24"/>
                <w:highlight w:val="none"/>
                <w:lang w:val="en-US" w:eastAsia="zh-CN"/>
              </w:rPr>
              <w:t>项目经理</w:t>
            </w:r>
            <w:r>
              <w:rPr>
                <w:rFonts w:hint="eastAsia" w:ascii="仿宋" w:hAnsi="仿宋" w:eastAsia="仿宋" w:cs="仿宋_GB2312"/>
                <w:sz w:val="24"/>
                <w:szCs w:val="24"/>
                <w:highlight w:val="none"/>
                <w:lang w:val="en-US" w:eastAsia="zh-CN"/>
              </w:rPr>
              <w:t>或项目负责人）</w:t>
            </w:r>
            <w:r>
              <w:rPr>
                <w:rFonts w:hint="eastAsia" w:ascii="仿宋" w:hAnsi="仿宋" w:eastAsia="仿宋" w:cs="仿宋_GB2312"/>
                <w:sz w:val="24"/>
                <w:highlight w:val="none"/>
                <w:lang w:eastAsia="zh-Hans"/>
              </w:rPr>
              <w:t>具备有效期内的信息系统项目管理师、软件设计师、中级工程师证书的，每</w:t>
            </w:r>
            <w:r>
              <w:rPr>
                <w:rFonts w:hint="eastAsia" w:ascii="仿宋" w:hAnsi="仿宋" w:eastAsia="仿宋" w:cs="仿宋_GB2312"/>
                <w:sz w:val="24"/>
                <w:highlight w:val="none"/>
                <w:lang w:eastAsia="zh-CN"/>
              </w:rPr>
              <w:t>人</w:t>
            </w:r>
            <w:r>
              <w:rPr>
                <w:rFonts w:hint="eastAsia" w:ascii="仿宋" w:hAnsi="仿宋" w:eastAsia="仿宋" w:cs="仿宋_GB2312"/>
                <w:sz w:val="24"/>
                <w:highlight w:val="none"/>
                <w:lang w:eastAsia="zh-Hans"/>
              </w:rPr>
              <w:t>得1分，最高4分</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lang w:val="en-US" w:eastAsia="zh-CN"/>
              </w:rPr>
              <w:br w:type="textWrapping"/>
            </w:r>
            <w:r>
              <w:rPr>
                <w:rFonts w:hint="default" w:ascii="仿宋" w:hAnsi="仿宋" w:eastAsia="仿宋" w:cs="仿宋_GB2312"/>
                <w:sz w:val="24"/>
                <w:szCs w:val="24"/>
                <w:highlight w:val="none"/>
                <w:lang w:val="en-US" w:eastAsia="zh-CN"/>
              </w:rPr>
              <w:t>以上要求提供社保证明</w:t>
            </w:r>
            <w:r>
              <w:rPr>
                <w:rFonts w:hint="eastAsia" w:ascii="仿宋" w:hAnsi="仿宋" w:eastAsia="仿宋" w:cs="仿宋_GB2312"/>
                <w:sz w:val="24"/>
                <w:szCs w:val="24"/>
                <w:highlight w:val="none"/>
                <w:lang w:val="en-US" w:eastAsia="zh-CN"/>
              </w:rPr>
              <w:t>及</w:t>
            </w:r>
            <w:r>
              <w:rPr>
                <w:rFonts w:hint="default" w:ascii="仿宋" w:hAnsi="仿宋" w:eastAsia="仿宋" w:cs="仿宋_GB2312"/>
                <w:sz w:val="24"/>
                <w:szCs w:val="24"/>
                <w:highlight w:val="none"/>
                <w:lang w:val="en-US" w:eastAsia="zh-CN"/>
              </w:rPr>
              <w:t>资质证书</w:t>
            </w:r>
            <w:r>
              <w:rPr>
                <w:rFonts w:hint="eastAsia" w:ascii="仿宋" w:hAnsi="仿宋" w:eastAsia="仿宋" w:cs="仿宋_GB2312"/>
                <w:sz w:val="24"/>
                <w:szCs w:val="24"/>
                <w:highlight w:val="none"/>
                <w:lang w:val="en-US" w:eastAsia="zh-CN"/>
              </w:rPr>
              <w:t>。共6分。</w:t>
            </w:r>
          </w:p>
        </w:tc>
        <w:tc>
          <w:tcPr>
            <w:tcW w:w="316"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_GB2312"/>
                <w:sz w:val="24"/>
                <w:szCs w:val="24"/>
                <w:highlight w:val="none"/>
                <w:lang w:val="en-US" w:eastAsia="zh-CN"/>
              </w:rPr>
              <w:t>6</w:t>
            </w:r>
          </w:p>
        </w:tc>
        <w:tc>
          <w:tcPr>
            <w:tcW w:w="28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客观分</w:t>
            </w:r>
          </w:p>
        </w:tc>
        <w:tc>
          <w:tcPr>
            <w:tcW w:w="899"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76"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8</w:t>
            </w:r>
          </w:p>
        </w:tc>
        <w:tc>
          <w:tcPr>
            <w:tcW w:w="3124" w:type="pct"/>
            <w:vAlign w:val="center"/>
          </w:tcPr>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投标人提供三年售后服务方案（包括故障响应、故障处理、二次配置、系统配置、系统迁移、数据加工、系统升级、系统回访及改善），</w:t>
            </w:r>
            <w:r>
              <w:rPr>
                <w:rFonts w:hint="eastAsia" w:ascii="仿宋" w:hAnsi="仿宋" w:eastAsia="仿宋"/>
                <w:sz w:val="24"/>
                <w:szCs w:val="24"/>
                <w:highlight w:val="none"/>
                <w:lang w:eastAsia="zh-CN"/>
              </w:rPr>
              <w:t>方案科学合理，满足采购需求的得</w:t>
            </w:r>
            <w:r>
              <w:rPr>
                <w:rFonts w:hint="eastAsia" w:ascii="仿宋" w:hAnsi="仿宋" w:eastAsia="仿宋"/>
                <w:sz w:val="24"/>
                <w:szCs w:val="24"/>
                <w:highlight w:val="none"/>
                <w:lang w:val="en-US" w:eastAsia="zh-CN"/>
              </w:rPr>
              <w:t>5分，基本满足采购需求的得3分；有</w:t>
            </w:r>
            <w:r>
              <w:rPr>
                <w:rFonts w:hint="eastAsia" w:ascii="仿宋" w:hAnsi="仿宋" w:eastAsia="仿宋"/>
                <w:sz w:val="24"/>
                <w:szCs w:val="24"/>
                <w:highlight w:val="none"/>
              </w:rPr>
              <w:t>缺项</w:t>
            </w:r>
            <w:r>
              <w:rPr>
                <w:rFonts w:hint="eastAsia" w:ascii="仿宋" w:hAnsi="仿宋" w:eastAsia="仿宋"/>
                <w:sz w:val="24"/>
                <w:szCs w:val="24"/>
                <w:highlight w:val="none"/>
                <w:lang w:eastAsia="zh-CN"/>
              </w:rPr>
              <w:t>或部分满足的得</w:t>
            </w:r>
            <w:r>
              <w:rPr>
                <w:rFonts w:hint="eastAsia" w:ascii="仿宋" w:hAnsi="仿宋" w:eastAsia="仿宋"/>
                <w:sz w:val="24"/>
                <w:szCs w:val="24"/>
                <w:highlight w:val="none"/>
                <w:lang w:val="en-US" w:eastAsia="zh-CN"/>
              </w:rPr>
              <w:t>1分，</w:t>
            </w:r>
            <w:r>
              <w:rPr>
                <w:rFonts w:hint="eastAsia" w:ascii="仿宋" w:hAnsi="仿宋" w:eastAsia="仿宋"/>
                <w:sz w:val="24"/>
                <w:szCs w:val="24"/>
                <w:highlight w:val="none"/>
              </w:rPr>
              <w:t>售后不满三年</w:t>
            </w:r>
            <w:r>
              <w:rPr>
                <w:rFonts w:hint="eastAsia" w:ascii="仿宋" w:hAnsi="仿宋" w:eastAsia="仿宋"/>
                <w:sz w:val="24"/>
                <w:szCs w:val="24"/>
                <w:highlight w:val="none"/>
                <w:lang w:eastAsia="zh-CN"/>
              </w:rPr>
              <w:t>或不满足采购需求的</w:t>
            </w:r>
            <w:r>
              <w:rPr>
                <w:rFonts w:hint="eastAsia" w:ascii="仿宋" w:hAnsi="仿宋" w:eastAsia="仿宋"/>
                <w:sz w:val="24"/>
                <w:szCs w:val="24"/>
                <w:highlight w:val="none"/>
              </w:rPr>
              <w:t>不得分。共</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分。</w:t>
            </w:r>
          </w:p>
        </w:tc>
        <w:tc>
          <w:tcPr>
            <w:tcW w:w="316" w:type="pct"/>
            <w:vAlign w:val="center"/>
          </w:tcPr>
          <w:p>
            <w:pPr>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5</w:t>
            </w:r>
          </w:p>
        </w:tc>
        <w:tc>
          <w:tcPr>
            <w:tcW w:w="28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主观分</w:t>
            </w:r>
          </w:p>
        </w:tc>
        <w:tc>
          <w:tcPr>
            <w:tcW w:w="899" w:type="pct"/>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（七）售后服务要求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76"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3124" w:type="pct"/>
            <w:vAlign w:val="center"/>
          </w:tcPr>
          <w:p>
            <w:pPr>
              <w:spacing w:line="360" w:lineRule="auto"/>
              <w:rPr>
                <w:rFonts w:hint="eastAsia" w:ascii="仿宋" w:hAnsi="仿宋" w:eastAsia="仿宋" w:cstheme="minorBidi"/>
                <w:kern w:val="2"/>
                <w:sz w:val="24"/>
                <w:szCs w:val="24"/>
                <w:highlight w:val="none"/>
                <w:lang w:val="en-US" w:eastAsia="zh-CN" w:bidi="ar-SA"/>
              </w:rPr>
            </w:pPr>
            <w:r>
              <w:rPr>
                <w:rFonts w:hint="eastAsia" w:ascii="仿宋" w:hAnsi="仿宋" w:eastAsia="仿宋"/>
                <w:sz w:val="24"/>
                <w:szCs w:val="24"/>
                <w:highlight w:val="none"/>
              </w:rPr>
              <w:t>投标人承诺</w:t>
            </w:r>
            <w:r>
              <w:rPr>
                <w:rFonts w:hint="eastAsia" w:ascii="仿宋" w:hAnsi="仿宋" w:eastAsia="仿宋" w:cs="仿宋_GB2312"/>
                <w:sz w:val="24"/>
                <w:highlight w:val="none"/>
              </w:rPr>
              <w:t>服务期间，在采购方常驻1名运维人员，进行数据接入、终端点位治理和运维技术服务。提供驻点人员</w:t>
            </w:r>
            <w:r>
              <w:rPr>
                <w:rFonts w:hint="eastAsia" w:ascii="仿宋" w:hAnsi="仿宋" w:eastAsia="仿宋" w:cs="仿宋_GB2312"/>
                <w:sz w:val="24"/>
                <w:highlight w:val="none"/>
                <w:lang w:eastAsia="zh-CN"/>
              </w:rPr>
              <w:t>名单及</w:t>
            </w:r>
            <w:r>
              <w:rPr>
                <w:rFonts w:hint="eastAsia" w:ascii="仿宋" w:hAnsi="仿宋" w:eastAsia="仿宋" w:cs="仿宋_GB2312"/>
                <w:sz w:val="24"/>
                <w:highlight w:val="none"/>
              </w:rPr>
              <w:t>承诺的得</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否则不得分</w:t>
            </w:r>
            <w:r>
              <w:rPr>
                <w:rFonts w:hint="eastAsia" w:ascii="仿宋" w:hAnsi="仿宋" w:eastAsia="仿宋" w:cs="仿宋_GB2312"/>
                <w:sz w:val="24"/>
                <w:highlight w:val="none"/>
              </w:rPr>
              <w:t>。共</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w:t>
            </w:r>
          </w:p>
        </w:tc>
        <w:tc>
          <w:tcPr>
            <w:tcW w:w="316" w:type="pct"/>
            <w:vAlign w:val="center"/>
          </w:tcPr>
          <w:p>
            <w:pPr>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3</w:t>
            </w:r>
          </w:p>
        </w:tc>
        <w:tc>
          <w:tcPr>
            <w:tcW w:w="28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客观分</w:t>
            </w:r>
          </w:p>
        </w:tc>
        <w:tc>
          <w:tcPr>
            <w:tcW w:w="899"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76"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10</w:t>
            </w:r>
          </w:p>
        </w:tc>
        <w:tc>
          <w:tcPr>
            <w:tcW w:w="3124" w:type="pct"/>
            <w:vAlign w:val="center"/>
          </w:tcPr>
          <w:p>
            <w:pPr>
              <w:spacing w:line="360" w:lineRule="auto"/>
              <w:rPr>
                <w:rFonts w:hint="eastAsia" w:ascii="仿宋" w:hAnsi="仿宋" w:eastAsia="仿宋" w:cs="仿宋_GB2312"/>
                <w:kern w:val="2"/>
                <w:sz w:val="24"/>
                <w:szCs w:val="24"/>
                <w:highlight w:val="none"/>
                <w:lang w:val="en-US" w:eastAsia="zh-Hans" w:bidi="ar-SA"/>
              </w:rPr>
            </w:pPr>
            <w:r>
              <w:rPr>
                <w:rFonts w:hint="eastAsia" w:ascii="仿宋" w:hAnsi="仿宋" w:eastAsia="仿宋"/>
                <w:sz w:val="24"/>
                <w:szCs w:val="24"/>
                <w:highlight w:val="none"/>
              </w:rPr>
              <w:t>投标人承诺</w:t>
            </w:r>
            <w:r>
              <w:rPr>
                <w:rFonts w:hint="eastAsia" w:ascii="仿宋" w:hAnsi="仿宋" w:eastAsia="仿宋"/>
                <w:sz w:val="24"/>
                <w:szCs w:val="24"/>
                <w:highlight w:val="none"/>
                <w:lang w:eastAsia="zh-CN"/>
              </w:rPr>
              <w:t>服务期</w:t>
            </w:r>
            <w:r>
              <w:rPr>
                <w:rFonts w:hint="eastAsia" w:ascii="仿宋" w:hAnsi="仿宋" w:eastAsia="仿宋" w:cs="仿宋_GB2312"/>
                <w:sz w:val="24"/>
                <w:highlight w:val="none"/>
              </w:rPr>
              <w:t>提供7×24小时故障申告热线电话服务，对故障在1小时内响应、4小时内到现场、8小时内解决问题并保证正常使用</w:t>
            </w:r>
            <w:r>
              <w:rPr>
                <w:rFonts w:hint="eastAsia" w:ascii="仿宋" w:hAnsi="仿宋" w:eastAsia="仿宋"/>
                <w:sz w:val="24"/>
                <w:szCs w:val="24"/>
                <w:highlight w:val="none"/>
              </w:rPr>
              <w:t>。提供相应内容承诺的得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分，否则不得分</w:t>
            </w:r>
            <w:r>
              <w:rPr>
                <w:rFonts w:hint="eastAsia" w:ascii="仿宋" w:hAnsi="仿宋" w:eastAsia="仿宋"/>
                <w:sz w:val="24"/>
                <w:szCs w:val="24"/>
                <w:highlight w:val="none"/>
                <w:lang w:val="zh-CN"/>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2分。</w:t>
            </w:r>
          </w:p>
        </w:tc>
        <w:tc>
          <w:tcPr>
            <w:tcW w:w="316" w:type="pct"/>
            <w:vAlign w:val="center"/>
          </w:tcPr>
          <w:p>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2</w:t>
            </w:r>
          </w:p>
        </w:tc>
        <w:tc>
          <w:tcPr>
            <w:tcW w:w="28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客观分</w:t>
            </w:r>
          </w:p>
        </w:tc>
        <w:tc>
          <w:tcPr>
            <w:tcW w:w="899"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76"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3124" w:type="pct"/>
            <w:vAlign w:val="top"/>
          </w:tcPr>
          <w:p>
            <w:pPr>
              <w:spacing w:line="360" w:lineRule="auto"/>
              <w:outlineLvl w:val="0"/>
              <w:rPr>
                <w:rFonts w:hint="eastAsia" w:ascii="仿宋" w:hAnsi="仿宋" w:eastAsia="仿宋" w:cs="仿宋_GB2312"/>
                <w:sz w:val="24"/>
                <w:szCs w:val="24"/>
                <w:highlight w:val="none"/>
                <w:lang w:eastAsia="zh-Hans"/>
              </w:rPr>
            </w:pPr>
            <w:r>
              <w:rPr>
                <w:rFonts w:hint="eastAsia" w:ascii="仿宋" w:hAnsi="仿宋" w:eastAsia="仿宋" w:cs="仿宋"/>
                <w:color w:val="000000"/>
                <w:sz w:val="24"/>
                <w:highlight w:val="none"/>
                <w:lang w:val="zh-CN" w:eastAsia="zh-CN"/>
              </w:rPr>
              <w:t>投标人提供培训计划包括培训内容、培训时间地点、培训对象、培训师资力量等，根据培训方案内容进行评分，每一项科学合理，利于实际操作的得0.5分，共2分。</w:t>
            </w:r>
          </w:p>
        </w:tc>
        <w:tc>
          <w:tcPr>
            <w:tcW w:w="316"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lang w:val="en-US" w:eastAsia="zh-CN"/>
              </w:rPr>
              <w:t>2</w:t>
            </w:r>
          </w:p>
        </w:tc>
        <w:tc>
          <w:tcPr>
            <w:tcW w:w="28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主观分</w:t>
            </w:r>
          </w:p>
        </w:tc>
        <w:tc>
          <w:tcPr>
            <w:tcW w:w="899"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6"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bookmarkStart w:id="526" w:name="_GoBack"/>
            <w:r>
              <w:rPr>
                <w:rFonts w:hint="eastAsia" w:ascii="仿宋" w:hAnsi="仿宋" w:eastAsia="仿宋" w:cs="仿宋"/>
                <w:kern w:val="2"/>
                <w:sz w:val="24"/>
                <w:szCs w:val="24"/>
                <w:highlight w:val="none"/>
                <w:lang w:val="en-US" w:eastAsia="zh-CN" w:bidi="ar-SA"/>
              </w:rPr>
              <w:t>12</w:t>
            </w:r>
          </w:p>
        </w:tc>
        <w:tc>
          <w:tcPr>
            <w:tcW w:w="3124" w:type="pct"/>
            <w:vAlign w:val="center"/>
          </w:tcPr>
          <w:p>
            <w:pPr>
              <w:spacing w:line="360" w:lineRule="auto"/>
              <w:outlineLvl w:val="0"/>
              <w:rPr>
                <w:rFonts w:hint="eastAsia" w:ascii="仿宋" w:hAnsi="仿宋" w:eastAsia="仿宋" w:cs="仿宋_GB2312"/>
                <w:sz w:val="24"/>
                <w:highlight w:val="none"/>
                <w:lang w:val="en-US" w:eastAsia="zh-Hans"/>
              </w:rPr>
            </w:pPr>
            <w:r>
              <w:rPr>
                <w:rFonts w:hint="eastAsia" w:ascii="仿宋" w:hAnsi="仿宋" w:eastAsia="仿宋" w:cs="仿宋_GB2312"/>
                <w:sz w:val="24"/>
                <w:highlight w:val="none"/>
                <w:lang w:eastAsia="zh-Hans"/>
              </w:rPr>
              <w:t>系统演示</w:t>
            </w:r>
            <w:r>
              <w:rPr>
                <w:rFonts w:hint="eastAsia" w:ascii="仿宋" w:hAnsi="仿宋" w:eastAsia="仿宋" w:cs="仿宋_GB2312"/>
                <w:sz w:val="24"/>
                <w:highlight w:val="none"/>
                <w:lang w:val="en-US" w:eastAsia="zh-Hans"/>
              </w:rPr>
              <w:t>：由投标人自行准备相关演示环境，软件模型成功展现本次项目要求的功能，演示视频须制作成光盘或U盘，在投标截止前提交至杭州市临安区行政服务中心B座四楼B448办公室，逾期拒收。演示内容如下（PPT、Word演示或未提供演示不得分）：</w:t>
            </w:r>
          </w:p>
          <w:p>
            <w:pPr>
              <w:spacing w:line="360" w:lineRule="auto"/>
              <w:outlineLvl w:val="0"/>
              <w:rPr>
                <w:rFonts w:hint="eastAsia" w:ascii="仿宋" w:hAnsi="仿宋" w:eastAsia="仿宋" w:cs="仿宋_GB2312"/>
                <w:sz w:val="24"/>
                <w:highlight w:val="none"/>
                <w:lang w:val="en-US" w:eastAsia="zh-Hans"/>
              </w:rPr>
            </w:pPr>
            <w:r>
              <w:rPr>
                <w:rFonts w:hint="eastAsia" w:ascii="仿宋" w:hAnsi="仿宋" w:eastAsia="仿宋" w:cs="仿宋_GB2312"/>
                <w:sz w:val="24"/>
                <w:highlight w:val="none"/>
                <w:lang w:val="en-US" w:eastAsia="zh-Hans"/>
              </w:rPr>
              <w:t>注：演示视频需密封送达，评标阶段拆封演示，因响应方自身原因导致无法演示或者演示效果不理想的，责任自负。</w:t>
            </w:r>
          </w:p>
          <w:p>
            <w:pPr>
              <w:spacing w:line="360" w:lineRule="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r>
              <w:rPr>
                <w:rFonts w:hint="default" w:ascii="仿宋" w:hAnsi="仿宋" w:eastAsia="仿宋" w:cs="仿宋_GB2312"/>
                <w:sz w:val="24"/>
                <w:highlight w:val="none"/>
                <w:lang w:val="en-US" w:eastAsia="zh-Hans"/>
              </w:rPr>
              <w:t>演示</w:t>
            </w:r>
            <w:r>
              <w:rPr>
                <w:rFonts w:hint="eastAsia" w:ascii="仿宋" w:hAnsi="仿宋" w:eastAsia="仿宋" w:cs="仿宋_GB2312"/>
                <w:snapToGrid w:val="0"/>
                <w:color w:val="000000"/>
                <w:kern w:val="28"/>
                <w:sz w:val="24"/>
                <w:szCs w:val="20"/>
                <w:highlight w:val="none"/>
              </w:rPr>
              <w:t>物联设备接入模块包含</w:t>
            </w:r>
            <w:r>
              <w:rPr>
                <w:rFonts w:hint="eastAsia" w:ascii="仿宋" w:hAnsi="仿宋" w:eastAsia="仿宋" w:cs="仿宋_GB2312"/>
                <w:snapToGrid w:val="0"/>
                <w:color w:val="000000"/>
                <w:kern w:val="28"/>
                <w:sz w:val="24"/>
                <w:szCs w:val="20"/>
                <w:highlight w:val="none"/>
                <w:lang w:eastAsia="zh-CN"/>
              </w:rPr>
              <w:t>：①</w:t>
            </w:r>
            <w:r>
              <w:rPr>
                <w:rFonts w:hint="eastAsia" w:ascii="仿宋" w:hAnsi="仿宋" w:eastAsia="仿宋" w:cs="仿宋_GB2312"/>
                <w:snapToGrid w:val="0"/>
                <w:color w:val="000000"/>
                <w:kern w:val="28"/>
                <w:sz w:val="24"/>
                <w:szCs w:val="20"/>
                <w:highlight w:val="none"/>
              </w:rPr>
              <w:t>连接管理模块：支持系统、设备数据采集和上送；</w:t>
            </w:r>
            <w:r>
              <w:rPr>
                <w:rFonts w:hint="eastAsia" w:ascii="仿宋" w:hAnsi="仿宋" w:eastAsia="仿宋" w:cs="仿宋_GB2312"/>
                <w:snapToGrid w:val="0"/>
                <w:color w:val="000000"/>
                <w:kern w:val="28"/>
                <w:sz w:val="24"/>
                <w:szCs w:val="20"/>
                <w:highlight w:val="none"/>
                <w:lang w:eastAsia="zh-CN"/>
              </w:rPr>
              <w:t>②</w:t>
            </w:r>
            <w:r>
              <w:rPr>
                <w:rFonts w:hint="eastAsia" w:ascii="仿宋" w:hAnsi="仿宋" w:eastAsia="仿宋" w:cs="仿宋_GB2312"/>
                <w:snapToGrid w:val="0"/>
                <w:color w:val="000000"/>
                <w:kern w:val="28"/>
                <w:sz w:val="24"/>
                <w:szCs w:val="20"/>
                <w:highlight w:val="none"/>
              </w:rPr>
              <w:t>协议适配模块：系统自带各行业驱动协议，包含Modbus、IEC-104、OPC-UA、BACNet等常用行业协议。</w:t>
            </w:r>
            <w:r>
              <w:rPr>
                <w:rFonts w:hint="eastAsia" w:ascii="仿宋" w:hAnsi="仿宋" w:eastAsia="仿宋" w:cs="仿宋_GB2312"/>
                <w:sz w:val="24"/>
                <w:highlight w:val="none"/>
                <w:lang w:val="en-US" w:eastAsia="zh-CN"/>
              </w:rPr>
              <w:t>每演示成功一项得1.5分，共3分；</w:t>
            </w:r>
          </w:p>
          <w:p>
            <w:pPr>
              <w:spacing w:line="360" w:lineRule="auto"/>
              <w:outlineLvl w:val="0"/>
              <w:rPr>
                <w:rFonts w:hint="eastAsia" w:ascii="仿宋" w:hAnsi="仿宋" w:eastAsia="仿宋" w:cs="仿宋_GB2312"/>
                <w:sz w:val="24"/>
                <w:highlight w:val="none"/>
                <w:lang w:val="en-US" w:eastAsia="zh-CN"/>
              </w:rPr>
            </w:pPr>
            <w:r>
              <w:rPr>
                <w:rFonts w:hint="default" w:ascii="仿宋" w:hAnsi="仿宋" w:eastAsia="仿宋" w:cs="仿宋_GB2312"/>
                <w:sz w:val="24"/>
                <w:highlight w:val="none"/>
                <w:lang w:val="en-US" w:eastAsia="zh-Hans"/>
              </w:rPr>
              <w:t>2.演示设备设备管理包含</w:t>
            </w:r>
            <w:r>
              <w:rPr>
                <w:rFonts w:hint="eastAsia" w:ascii="仿宋" w:hAnsi="仿宋" w:eastAsia="仿宋" w:cs="仿宋_GB2312"/>
                <w:sz w:val="24"/>
                <w:highlight w:val="none"/>
                <w:lang w:val="en-US" w:eastAsia="zh-CN"/>
              </w:rPr>
              <w:t>：①</w:t>
            </w:r>
            <w:r>
              <w:rPr>
                <w:rFonts w:hint="default" w:ascii="仿宋" w:hAnsi="仿宋" w:eastAsia="仿宋" w:cs="仿宋_GB2312"/>
                <w:sz w:val="24"/>
                <w:highlight w:val="none"/>
                <w:lang w:val="en-US" w:eastAsia="zh-Hans"/>
              </w:rPr>
              <w:t>设备模型管理：支持对设备模型管理；</w:t>
            </w:r>
            <w:r>
              <w:rPr>
                <w:rFonts w:hint="eastAsia" w:ascii="仿宋" w:hAnsi="仿宋" w:eastAsia="仿宋" w:cs="仿宋_GB2312"/>
                <w:sz w:val="24"/>
                <w:highlight w:val="none"/>
                <w:lang w:val="en-US" w:eastAsia="zh-CN"/>
              </w:rPr>
              <w:t>②</w:t>
            </w:r>
            <w:r>
              <w:rPr>
                <w:rFonts w:hint="default" w:ascii="仿宋" w:hAnsi="仿宋" w:eastAsia="仿宋" w:cs="仿宋_GB2312"/>
                <w:sz w:val="24"/>
                <w:highlight w:val="none"/>
                <w:lang w:val="en-US" w:eastAsia="zh-Hans"/>
              </w:rPr>
              <w:t>场景图形画面支持变色、闪烁、移动、缩放、旋转、填充、图层可视编辑操作；</w:t>
            </w:r>
            <w:r>
              <w:rPr>
                <w:rFonts w:hint="eastAsia" w:ascii="仿宋" w:hAnsi="仿宋" w:eastAsia="仿宋" w:cs="仿宋_GB2312"/>
                <w:sz w:val="24"/>
                <w:highlight w:val="none"/>
                <w:lang w:val="en-US" w:eastAsia="zh-CN"/>
              </w:rPr>
              <w:t>③</w:t>
            </w:r>
            <w:r>
              <w:rPr>
                <w:rFonts w:hint="default" w:ascii="仿宋" w:hAnsi="仿宋" w:eastAsia="仿宋" w:cs="仿宋_GB2312"/>
                <w:sz w:val="24"/>
                <w:highlight w:val="none"/>
                <w:lang w:val="en-US" w:eastAsia="zh-Hans"/>
              </w:rPr>
              <w:t>设备对象管理：支持根据设备模型快速创建设备对象</w:t>
            </w:r>
            <w:r>
              <w:rPr>
                <w:rFonts w:hint="eastAsia" w:ascii="仿宋" w:hAnsi="仿宋" w:eastAsia="仿宋" w:cs="仿宋_GB2312"/>
                <w:sz w:val="24"/>
                <w:highlight w:val="none"/>
                <w:lang w:val="en-US" w:eastAsia="zh-CN"/>
              </w:rPr>
              <w:t>。每演示成功一项得1.5分，共4.5分；</w:t>
            </w:r>
          </w:p>
          <w:p>
            <w:pPr>
              <w:pStyle w:val="5"/>
              <w:numPr>
                <w:ilvl w:val="0"/>
                <w:numId w:val="0"/>
              </w:numPr>
              <w:rPr>
                <w:rFonts w:hint="eastAsia" w:ascii="仿宋" w:hAnsi="仿宋" w:eastAsia="仿宋" w:cs="仿宋_GB2312"/>
                <w:sz w:val="24"/>
                <w:highlight w:val="none"/>
                <w:lang w:val="en-US" w:eastAsia="zh-CN"/>
              </w:rPr>
            </w:pPr>
            <w:r>
              <w:rPr>
                <w:rFonts w:hint="default" w:ascii="仿宋" w:hAnsi="仿宋" w:eastAsia="仿宋" w:cs="仿宋_GB2312"/>
                <w:sz w:val="24"/>
                <w:highlight w:val="none"/>
                <w:lang w:val="en-US" w:eastAsia="zh-Hans"/>
              </w:rPr>
              <w:t>3.演示</w:t>
            </w:r>
            <w:r>
              <w:rPr>
                <w:rFonts w:hint="eastAsia" w:ascii="仿宋" w:hAnsi="仿宋" w:eastAsia="仿宋" w:cs="仿宋_GB2312"/>
                <w:snapToGrid w:val="0"/>
                <w:color w:val="000000"/>
                <w:kern w:val="28"/>
                <w:sz w:val="24"/>
                <w:szCs w:val="20"/>
                <w:highlight w:val="none"/>
              </w:rPr>
              <w:t>物联设备报警服务包含</w:t>
            </w:r>
            <w:r>
              <w:rPr>
                <w:rFonts w:hint="eastAsia" w:ascii="仿宋" w:hAnsi="仿宋" w:eastAsia="仿宋" w:cs="仿宋_GB2312"/>
                <w:snapToGrid w:val="0"/>
                <w:color w:val="000000"/>
                <w:kern w:val="28"/>
                <w:sz w:val="24"/>
                <w:szCs w:val="20"/>
                <w:highlight w:val="none"/>
                <w:lang w:eastAsia="zh-CN"/>
              </w:rPr>
              <w:t>：①</w:t>
            </w:r>
            <w:r>
              <w:rPr>
                <w:rFonts w:hint="eastAsia" w:ascii="仿宋" w:hAnsi="仿宋" w:eastAsia="仿宋" w:cs="仿宋_GB2312"/>
                <w:snapToGrid w:val="0"/>
                <w:color w:val="000000"/>
                <w:kern w:val="28"/>
                <w:sz w:val="24"/>
                <w:szCs w:val="20"/>
                <w:highlight w:val="none"/>
              </w:rPr>
              <w:t>报警计算模块：通过界面，无需代码实现报警逻辑配置；</w:t>
            </w:r>
            <w:r>
              <w:rPr>
                <w:rFonts w:hint="eastAsia" w:ascii="仿宋" w:hAnsi="仿宋" w:eastAsia="仿宋" w:cs="仿宋_GB2312"/>
                <w:snapToGrid w:val="0"/>
                <w:color w:val="000000"/>
                <w:kern w:val="28"/>
                <w:sz w:val="24"/>
                <w:szCs w:val="20"/>
                <w:highlight w:val="none"/>
                <w:lang w:eastAsia="zh-CN"/>
              </w:rPr>
              <w:t>②</w:t>
            </w:r>
            <w:r>
              <w:rPr>
                <w:rFonts w:hint="eastAsia" w:ascii="仿宋" w:hAnsi="仿宋" w:eastAsia="仿宋" w:cs="仿宋_GB2312"/>
                <w:snapToGrid w:val="0"/>
                <w:color w:val="000000"/>
                <w:kern w:val="28"/>
                <w:sz w:val="24"/>
                <w:szCs w:val="20"/>
                <w:highlight w:val="none"/>
              </w:rPr>
              <w:t>支持开关量状态报警，模拟量上下限报警等报警类型；</w:t>
            </w:r>
            <w:r>
              <w:rPr>
                <w:rFonts w:hint="eastAsia" w:ascii="仿宋" w:hAnsi="仿宋" w:eastAsia="仿宋" w:cs="仿宋_GB2312"/>
                <w:snapToGrid w:val="0"/>
                <w:color w:val="000000"/>
                <w:kern w:val="28"/>
                <w:sz w:val="24"/>
                <w:szCs w:val="20"/>
                <w:highlight w:val="none"/>
                <w:lang w:eastAsia="zh-CN"/>
              </w:rPr>
              <w:t>③</w:t>
            </w:r>
            <w:r>
              <w:rPr>
                <w:rFonts w:hint="eastAsia" w:ascii="仿宋" w:hAnsi="仿宋" w:eastAsia="仿宋" w:cs="仿宋_GB2312"/>
                <w:snapToGrid w:val="0"/>
                <w:color w:val="000000"/>
                <w:kern w:val="28"/>
                <w:sz w:val="24"/>
                <w:szCs w:val="20"/>
                <w:highlight w:val="none"/>
              </w:rPr>
              <w:t>支持对报警历史进行记录和查询</w:t>
            </w:r>
            <w:r>
              <w:rPr>
                <w:rFonts w:hint="default" w:ascii="仿宋" w:hAnsi="仿宋" w:eastAsia="仿宋" w:cs="仿宋_GB2312"/>
                <w:sz w:val="24"/>
                <w:highlight w:val="none"/>
                <w:lang w:val="en-US" w:eastAsia="zh-Hans"/>
              </w:rPr>
              <w:t>。</w:t>
            </w:r>
            <w:r>
              <w:rPr>
                <w:rFonts w:hint="eastAsia" w:ascii="仿宋" w:hAnsi="仿宋" w:eastAsia="仿宋" w:cs="仿宋_GB2312"/>
                <w:sz w:val="24"/>
                <w:highlight w:val="none"/>
                <w:lang w:val="en-US" w:eastAsia="zh-CN"/>
              </w:rPr>
              <w:t>每演示成功一项得1分，共3分；</w:t>
            </w:r>
          </w:p>
          <w:p>
            <w:pPr>
              <w:pStyle w:val="5"/>
              <w:numPr>
                <w:ilvl w:val="0"/>
                <w:numId w:val="0"/>
              </w:numPr>
              <w:rPr>
                <w:rFonts w:hint="eastAsia" w:ascii="仿宋" w:hAnsi="仿宋" w:eastAsia="仿宋" w:cs="仿宋_GB2312"/>
                <w:kern w:val="2"/>
                <w:sz w:val="24"/>
                <w:szCs w:val="24"/>
                <w:highlight w:val="none"/>
                <w:lang w:val="en-US" w:eastAsia="zh-CN" w:bidi="ar-SA"/>
              </w:rPr>
            </w:pPr>
            <w:r>
              <w:rPr>
                <w:rFonts w:hint="default" w:ascii="仿宋" w:hAnsi="仿宋" w:eastAsia="仿宋" w:cs="仿宋_GB2312"/>
                <w:sz w:val="24"/>
                <w:highlight w:val="none"/>
                <w:lang w:val="en-US" w:eastAsia="zh-Hans"/>
              </w:rPr>
              <w:t>4.演示物联设备可视化包含</w:t>
            </w:r>
            <w:r>
              <w:rPr>
                <w:rFonts w:hint="eastAsia" w:ascii="仿宋" w:hAnsi="仿宋" w:eastAsia="仿宋" w:cs="仿宋_GB2312"/>
                <w:sz w:val="24"/>
                <w:highlight w:val="none"/>
                <w:lang w:val="en-US" w:eastAsia="zh-CN"/>
              </w:rPr>
              <w:t>：①</w:t>
            </w:r>
            <w:r>
              <w:rPr>
                <w:rFonts w:hint="default" w:ascii="仿宋" w:hAnsi="仿宋" w:eastAsia="仿宋" w:cs="仿宋_GB2312"/>
                <w:sz w:val="24"/>
                <w:highlight w:val="none"/>
                <w:lang w:val="en-US" w:eastAsia="zh-Hans"/>
              </w:rPr>
              <w:t>提供基于WEB的设备可视化监控画面、场景画面访问；</w:t>
            </w:r>
            <w:r>
              <w:rPr>
                <w:rFonts w:hint="eastAsia" w:ascii="仿宋" w:hAnsi="仿宋" w:eastAsia="仿宋" w:cs="仿宋_GB2312"/>
                <w:sz w:val="24"/>
                <w:highlight w:val="none"/>
                <w:lang w:val="en-US" w:eastAsia="zh-CN"/>
              </w:rPr>
              <w:t>②</w:t>
            </w:r>
            <w:r>
              <w:rPr>
                <w:rFonts w:hint="default" w:ascii="仿宋" w:hAnsi="仿宋" w:eastAsia="仿宋" w:cs="仿宋_GB2312"/>
                <w:sz w:val="24"/>
                <w:highlight w:val="none"/>
                <w:lang w:val="en-US" w:eastAsia="zh-Hans"/>
              </w:rPr>
              <w:t>2D场景可视化：提供2D设备监控场景可视化功能，图形界面支持矢量缩放；</w:t>
            </w:r>
            <w:r>
              <w:rPr>
                <w:rFonts w:hint="eastAsia" w:ascii="仿宋" w:hAnsi="仿宋" w:eastAsia="仿宋" w:cs="仿宋_GB2312"/>
                <w:sz w:val="24"/>
                <w:highlight w:val="none"/>
                <w:lang w:val="en-US" w:eastAsia="zh-CN"/>
              </w:rPr>
              <w:t>③</w:t>
            </w:r>
            <w:r>
              <w:rPr>
                <w:rFonts w:hint="default" w:ascii="仿宋" w:hAnsi="仿宋" w:eastAsia="仿宋" w:cs="仿宋_GB2312"/>
                <w:sz w:val="24"/>
                <w:highlight w:val="none"/>
                <w:lang w:val="en-US" w:eastAsia="zh-Hans"/>
              </w:rPr>
              <w:t>3D场景可视化：提供3D设备监控场景可视化功能。</w:t>
            </w:r>
            <w:r>
              <w:rPr>
                <w:rFonts w:hint="eastAsia" w:ascii="仿宋" w:hAnsi="仿宋" w:eastAsia="仿宋" w:cs="仿宋_GB2312"/>
                <w:sz w:val="24"/>
                <w:highlight w:val="none"/>
                <w:lang w:val="en-US" w:eastAsia="zh-CN"/>
              </w:rPr>
              <w:t>每演示成功一项得1.5分，共4.5分。</w:t>
            </w:r>
          </w:p>
        </w:tc>
        <w:tc>
          <w:tcPr>
            <w:tcW w:w="316" w:type="pct"/>
            <w:vAlign w:val="center"/>
          </w:tcPr>
          <w:p>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w:t>
            </w:r>
          </w:p>
        </w:tc>
        <w:tc>
          <w:tcPr>
            <w:tcW w:w="28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c>
          <w:tcPr>
            <w:tcW w:w="899" w:type="pct"/>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bookmarkEnd w:id="5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76"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_GB2312"/>
                <w:sz w:val="24"/>
                <w:szCs w:val="24"/>
                <w:highlight w:val="none"/>
                <w:lang w:val="en-US" w:eastAsia="zh-CN"/>
              </w:rPr>
              <w:t>13</w:t>
            </w:r>
          </w:p>
        </w:tc>
        <w:tc>
          <w:tcPr>
            <w:tcW w:w="3124" w:type="pct"/>
            <w:vAlign w:val="center"/>
          </w:tcPr>
          <w:p>
            <w:pPr>
              <w:spacing w:line="360" w:lineRule="auto"/>
              <w:rPr>
                <w:rFonts w:hint="eastAsia" w:ascii="仿宋" w:hAnsi="仿宋" w:eastAsia="仿宋" w:cs="仿宋_GB2312"/>
                <w:sz w:val="24"/>
                <w:szCs w:val="24"/>
                <w:highlight w:val="none"/>
              </w:rPr>
            </w:pPr>
            <w:r>
              <w:rPr>
                <w:rFonts w:hint="eastAsia" w:ascii="仿宋" w:hAnsi="仿宋" w:eastAsia="仿宋" w:cs="仿宋_GB2312"/>
                <w:snapToGrid w:val="0"/>
                <w:sz w:val="24"/>
                <w:szCs w:val="24"/>
                <w:highlight w:val="none"/>
                <w:lang w:val="en-US" w:eastAsia="zh-CN"/>
              </w:rPr>
              <w:t>投标人成功案例及业绩：2019年1月1日起至开标时间止（以合同签订时间为准），投标人承担软件</w:t>
            </w:r>
            <w:r>
              <w:rPr>
                <w:rFonts w:hint="eastAsia" w:ascii="仿宋" w:hAnsi="仿宋" w:eastAsia="仿宋" w:cs="仿宋_GB2312"/>
                <w:sz w:val="24"/>
                <w:highlight w:val="none"/>
                <w:lang w:eastAsia="zh-Hans"/>
              </w:rPr>
              <w:t>开发建设</w:t>
            </w:r>
            <w:r>
              <w:rPr>
                <w:rFonts w:hint="eastAsia" w:ascii="仿宋" w:hAnsi="仿宋" w:eastAsia="仿宋" w:cs="仿宋_GB2312"/>
                <w:snapToGrid w:val="0"/>
                <w:sz w:val="24"/>
                <w:szCs w:val="24"/>
                <w:highlight w:val="none"/>
                <w:lang w:val="en-US" w:eastAsia="zh-CN"/>
              </w:rPr>
              <w:t>项目成功案例情况，须提供合同扫描件，每个案例得1分，</w:t>
            </w:r>
            <w:r>
              <w:rPr>
                <w:rFonts w:hint="default" w:ascii="仿宋" w:hAnsi="仿宋" w:eastAsia="仿宋" w:cs="仿宋_GB2312"/>
                <w:kern w:val="2"/>
                <w:sz w:val="24"/>
                <w:szCs w:val="24"/>
                <w:highlight w:val="none"/>
                <w:lang w:val="en-US" w:eastAsia="zh-CN" w:bidi="ar-SA"/>
              </w:rPr>
              <w:t>共3分</w:t>
            </w:r>
            <w:r>
              <w:rPr>
                <w:rFonts w:hint="eastAsia" w:ascii="仿宋" w:hAnsi="仿宋" w:eastAsia="仿宋" w:cs="仿宋_GB2312"/>
                <w:kern w:val="2"/>
                <w:sz w:val="24"/>
                <w:szCs w:val="24"/>
                <w:highlight w:val="none"/>
                <w:lang w:val="en-US" w:eastAsia="zh-CN" w:bidi="ar-SA"/>
              </w:rPr>
              <w:t>。</w:t>
            </w:r>
          </w:p>
        </w:tc>
        <w:tc>
          <w:tcPr>
            <w:tcW w:w="316"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_GB2312"/>
                <w:snapToGrid w:val="0"/>
                <w:sz w:val="24"/>
                <w:szCs w:val="24"/>
                <w:highlight w:val="none"/>
                <w:lang w:val="en-US" w:eastAsia="zh-CN"/>
              </w:rPr>
              <w:t>3</w:t>
            </w:r>
          </w:p>
        </w:tc>
        <w:tc>
          <w:tcPr>
            <w:tcW w:w="28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客观分</w:t>
            </w:r>
          </w:p>
        </w:tc>
        <w:tc>
          <w:tcPr>
            <w:tcW w:w="899"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（十）同类业绩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376"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3124" w:type="pct"/>
          </w:tcPr>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有效投标报价的最低价作为评标基准价，其最低报价为满分；按［投标报价得分=（评标基准价/投标报价）*30］的计算公式计算。</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评标过程中，不得去掉报价中的最高报价和最低报价。</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因落实政府采购政策需要进行价格调整的，以调整后的价格计算评标基准价和投标报价。</w:t>
            </w:r>
          </w:p>
        </w:tc>
        <w:tc>
          <w:tcPr>
            <w:tcW w:w="316"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283" w:type="pct"/>
            <w:vAlign w:val="center"/>
          </w:tcPr>
          <w:p>
            <w:pPr>
              <w:spacing w:line="360" w:lineRule="auto"/>
              <w:jc w:val="center"/>
              <w:outlineLvl w:val="0"/>
              <w:rPr>
                <w:rFonts w:hint="eastAsia" w:ascii="仿宋" w:hAnsi="仿宋" w:eastAsia="仿宋" w:cs="仿宋"/>
                <w:sz w:val="24"/>
                <w:szCs w:val="24"/>
                <w:highlight w:val="none"/>
              </w:rPr>
            </w:pPr>
          </w:p>
        </w:tc>
        <w:tc>
          <w:tcPr>
            <w:tcW w:w="899"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4"/>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仿宋" w:hAnsi="仿宋" w:eastAsia="仿宋" w:cs="仿宋"/>
        </w:rPr>
      </w:pPr>
    </w:p>
    <w:bookmarkEnd w:id="27"/>
    <w:p>
      <w:pPr>
        <w:spacing w:line="360" w:lineRule="auto"/>
        <w:ind w:left="720" w:leftChars="343" w:firstLine="1084" w:firstLineChars="300"/>
        <w:outlineLvl w:val="0"/>
        <w:rPr>
          <w:rFonts w:hint="eastAsia" w:ascii="仿宋" w:hAnsi="仿宋" w:eastAsia="仿宋" w:cs="仿宋"/>
          <w:b/>
          <w:sz w:val="36"/>
          <w:szCs w:val="36"/>
        </w:rPr>
      </w:pPr>
      <w:bookmarkStart w:id="401" w:name="第五部分"/>
      <w:bookmarkStart w:id="402"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69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2"/>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6"/>
        <w:spacing w:before="120" w:line="22" w:lineRule="atLeast"/>
        <w:rPr>
          <w:rFonts w:hint="eastAsia" w:ascii="仿宋" w:hAnsi="仿宋" w:eastAsia="仿宋" w:cs="仿宋"/>
          <w:szCs w:val="24"/>
        </w:rPr>
      </w:pPr>
    </w:p>
    <w:p>
      <w:pPr>
        <w:pStyle w:val="596"/>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03" w:name="_Toc19273"/>
      <w:bookmarkStart w:id="404" w:name="_Toc20421"/>
      <w:bookmarkStart w:id="405" w:name="_Toc22967"/>
      <w:bookmarkStart w:id="406" w:name="_Toc15367"/>
      <w:bookmarkStart w:id="407" w:name="_Toc28855"/>
      <w:r>
        <w:rPr>
          <w:rFonts w:hint="eastAsia" w:ascii="仿宋" w:hAnsi="仿宋" w:eastAsia="仿宋" w:cs="仿宋"/>
          <w:b/>
          <w:sz w:val="24"/>
        </w:rPr>
        <w:t>1.1 合同组成部分</w:t>
      </w:r>
      <w:bookmarkEnd w:id="403"/>
      <w:bookmarkEnd w:id="404"/>
      <w:bookmarkEnd w:id="405"/>
      <w:bookmarkEnd w:id="406"/>
      <w:bookmarkEnd w:id="4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08" w:name="_Toc6311"/>
      <w:bookmarkStart w:id="409" w:name="_Toc6773"/>
      <w:bookmarkStart w:id="410" w:name="_Toc22185"/>
      <w:bookmarkStart w:id="411" w:name="_Toc18585"/>
      <w:bookmarkStart w:id="412" w:name="_Toc2918"/>
      <w:r>
        <w:rPr>
          <w:rFonts w:hint="eastAsia" w:ascii="仿宋" w:hAnsi="仿宋" w:eastAsia="仿宋" w:cs="仿宋"/>
          <w:b/>
          <w:sz w:val="24"/>
        </w:rPr>
        <w:t>1.2 标的</w:t>
      </w:r>
      <w:bookmarkEnd w:id="408"/>
      <w:bookmarkEnd w:id="409"/>
      <w:bookmarkEnd w:id="410"/>
      <w:bookmarkEnd w:id="411"/>
      <w:bookmarkEnd w:id="412"/>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13" w:name="_Toc5635"/>
      <w:bookmarkStart w:id="414" w:name="_Toc13918"/>
      <w:bookmarkStart w:id="415" w:name="_Toc1386"/>
      <w:bookmarkStart w:id="416" w:name="_Toc4929"/>
      <w:bookmarkStart w:id="417" w:name="_Toc21124"/>
      <w:r>
        <w:rPr>
          <w:rFonts w:hint="eastAsia" w:ascii="仿宋" w:hAnsi="仿宋" w:eastAsia="仿宋" w:cs="仿宋"/>
          <w:b/>
          <w:sz w:val="24"/>
        </w:rPr>
        <w:t>1.3 价款</w:t>
      </w:r>
      <w:bookmarkEnd w:id="413"/>
      <w:bookmarkEnd w:id="414"/>
      <w:bookmarkEnd w:id="415"/>
      <w:bookmarkEnd w:id="416"/>
      <w:bookmarkEnd w:id="41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18" w:name="_Toc30158"/>
      <w:bookmarkStart w:id="419" w:name="_Toc30506"/>
      <w:bookmarkStart w:id="420" w:name="_Toc26916"/>
      <w:bookmarkStart w:id="421" w:name="_Toc14993"/>
      <w:bookmarkStart w:id="422" w:name="_Toc3654"/>
      <w:r>
        <w:rPr>
          <w:rFonts w:hint="eastAsia" w:ascii="仿宋" w:hAnsi="仿宋" w:eastAsia="仿宋" w:cs="仿宋"/>
          <w:b/>
          <w:sz w:val="24"/>
        </w:rPr>
        <w:t>1.4 付款方式和发票开具方式</w:t>
      </w:r>
      <w:bookmarkEnd w:id="418"/>
      <w:bookmarkEnd w:id="419"/>
      <w:bookmarkEnd w:id="420"/>
      <w:bookmarkEnd w:id="421"/>
      <w:bookmarkEnd w:id="422"/>
    </w:p>
    <w:p>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23" w:name="_Toc8772"/>
      <w:bookmarkStart w:id="424" w:name="_Toc4760"/>
      <w:bookmarkStart w:id="425" w:name="_Toc11108"/>
      <w:bookmarkStart w:id="426" w:name="_Toc3625"/>
      <w:bookmarkStart w:id="427" w:name="_Toc31421"/>
      <w:r>
        <w:rPr>
          <w:rFonts w:hint="eastAsia" w:ascii="仿宋" w:hAnsi="仿宋" w:eastAsia="仿宋" w:cs="仿宋"/>
          <w:b/>
          <w:sz w:val="24"/>
        </w:rPr>
        <w:t>1.5 履行期限、地点和方式</w:t>
      </w:r>
      <w:bookmarkEnd w:id="423"/>
      <w:bookmarkEnd w:id="424"/>
      <w:bookmarkEnd w:id="425"/>
      <w:bookmarkEnd w:id="426"/>
      <w:bookmarkEnd w:id="427"/>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28" w:name="_Toc2375"/>
      <w:bookmarkStart w:id="429" w:name="_Toc3079"/>
      <w:bookmarkStart w:id="430" w:name="_Toc8586"/>
      <w:bookmarkStart w:id="431" w:name="_Toc5698"/>
      <w:bookmarkStart w:id="432" w:name="_Toc24662"/>
      <w:r>
        <w:rPr>
          <w:rFonts w:hint="eastAsia" w:ascii="仿宋" w:hAnsi="仿宋" w:eastAsia="仿宋" w:cs="仿宋"/>
          <w:b/>
          <w:sz w:val="24"/>
        </w:rPr>
        <w:t>1.6 违约责任</w:t>
      </w:r>
      <w:bookmarkEnd w:id="428"/>
      <w:bookmarkEnd w:id="429"/>
      <w:bookmarkEnd w:id="430"/>
      <w:bookmarkEnd w:id="431"/>
      <w:bookmarkEnd w:id="43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33" w:name="_Toc18683"/>
      <w:bookmarkStart w:id="434" w:name="_Toc32454"/>
      <w:bookmarkStart w:id="435" w:name="_Toc9497"/>
      <w:bookmarkStart w:id="436" w:name="_Toc30329"/>
      <w:bookmarkStart w:id="437" w:name="_Toc26807"/>
      <w:r>
        <w:rPr>
          <w:rFonts w:hint="eastAsia" w:ascii="仿宋" w:hAnsi="仿宋" w:eastAsia="仿宋" w:cs="仿宋"/>
          <w:b/>
          <w:sz w:val="24"/>
        </w:rPr>
        <w:t>1.7 合同争议的解决</w:t>
      </w:r>
      <w:bookmarkEnd w:id="433"/>
      <w:bookmarkEnd w:id="434"/>
      <w:bookmarkEnd w:id="435"/>
      <w:bookmarkEnd w:id="436"/>
      <w:bookmarkEnd w:id="437"/>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38" w:name="_Toc26227"/>
      <w:bookmarkStart w:id="439" w:name="_Toc23784"/>
      <w:bookmarkStart w:id="440" w:name="_Toc16417"/>
      <w:bookmarkStart w:id="441" w:name="_Toc15827"/>
      <w:bookmarkStart w:id="442" w:name="_Toc12273"/>
      <w:r>
        <w:rPr>
          <w:rFonts w:hint="eastAsia" w:ascii="仿宋" w:hAnsi="仿宋" w:eastAsia="仿宋" w:cs="仿宋"/>
          <w:b/>
          <w:sz w:val="24"/>
        </w:rPr>
        <w:t>1.8 合同生效</w:t>
      </w:r>
      <w:bookmarkEnd w:id="438"/>
      <w:bookmarkEnd w:id="439"/>
      <w:bookmarkEnd w:id="440"/>
      <w:bookmarkEnd w:id="441"/>
      <w:bookmarkEnd w:id="442"/>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699"/>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43" w:name="_Toc25079"/>
      <w:bookmarkStart w:id="444" w:name="_Toc31297"/>
      <w:bookmarkStart w:id="445" w:name="_Toc5228"/>
      <w:bookmarkStart w:id="446" w:name="_Toc14021"/>
      <w:bookmarkStart w:id="447" w:name="_Toc19680"/>
      <w:r>
        <w:rPr>
          <w:rFonts w:hint="eastAsia" w:ascii="仿宋" w:hAnsi="仿宋" w:eastAsia="仿宋" w:cs="仿宋"/>
          <w:b/>
          <w:sz w:val="24"/>
        </w:rPr>
        <w:t>2.1 定义</w:t>
      </w:r>
      <w:bookmarkEnd w:id="443"/>
      <w:bookmarkEnd w:id="444"/>
      <w:bookmarkEnd w:id="445"/>
      <w:bookmarkEnd w:id="446"/>
      <w:bookmarkEnd w:id="44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48" w:name="_Toc3769"/>
      <w:bookmarkStart w:id="449" w:name="_Toc19539"/>
      <w:bookmarkStart w:id="450" w:name="_Toc31402"/>
      <w:bookmarkStart w:id="451" w:name="_Toc23289"/>
      <w:bookmarkStart w:id="452" w:name="_Toc16752"/>
      <w:r>
        <w:rPr>
          <w:rFonts w:hint="eastAsia" w:ascii="仿宋" w:hAnsi="仿宋" w:eastAsia="仿宋" w:cs="仿宋"/>
          <w:b/>
          <w:sz w:val="24"/>
        </w:rPr>
        <w:t>2.2 技术规范</w:t>
      </w:r>
      <w:bookmarkEnd w:id="448"/>
      <w:bookmarkEnd w:id="449"/>
      <w:bookmarkEnd w:id="450"/>
      <w:bookmarkEnd w:id="451"/>
      <w:bookmarkEnd w:id="45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3" w:name="_Toc4133"/>
      <w:bookmarkStart w:id="454" w:name="_Toc13673"/>
      <w:bookmarkStart w:id="455" w:name="_Toc9161"/>
      <w:bookmarkStart w:id="456" w:name="_Toc12412"/>
      <w:bookmarkStart w:id="457" w:name="_Toc27945"/>
      <w:r>
        <w:rPr>
          <w:rFonts w:hint="eastAsia" w:ascii="仿宋" w:hAnsi="仿宋" w:eastAsia="仿宋" w:cs="仿宋"/>
          <w:b/>
          <w:sz w:val="24"/>
        </w:rPr>
        <w:t>2.3 知识产权</w:t>
      </w:r>
      <w:bookmarkEnd w:id="453"/>
      <w:bookmarkEnd w:id="454"/>
      <w:bookmarkEnd w:id="455"/>
      <w:bookmarkEnd w:id="456"/>
      <w:bookmarkEnd w:id="45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58" w:name="_Toc32670"/>
      <w:bookmarkStart w:id="459" w:name="_Toc26555"/>
      <w:bookmarkStart w:id="460" w:name="_Toc22011"/>
      <w:bookmarkStart w:id="461" w:name="_Toc31233"/>
      <w:bookmarkStart w:id="462" w:name="_Toc15447"/>
      <w:r>
        <w:rPr>
          <w:rFonts w:hint="eastAsia" w:ascii="仿宋" w:hAnsi="仿宋" w:eastAsia="仿宋" w:cs="仿宋"/>
          <w:b/>
          <w:sz w:val="24"/>
        </w:rPr>
        <w:t>2.5 结算方式和付款条件</w:t>
      </w:r>
      <w:bookmarkEnd w:id="458"/>
      <w:bookmarkEnd w:id="459"/>
      <w:bookmarkEnd w:id="460"/>
      <w:bookmarkEnd w:id="461"/>
      <w:bookmarkEnd w:id="46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3" w:name="_Toc30507"/>
      <w:bookmarkStart w:id="464" w:name="_Toc16163"/>
      <w:bookmarkStart w:id="465" w:name="_Toc13467"/>
      <w:bookmarkStart w:id="466" w:name="_Toc13154"/>
      <w:bookmarkStart w:id="467" w:name="_Toc18990"/>
      <w:r>
        <w:rPr>
          <w:rFonts w:hint="eastAsia" w:ascii="仿宋" w:hAnsi="仿宋" w:eastAsia="仿宋" w:cs="仿宋"/>
          <w:b/>
          <w:sz w:val="24"/>
        </w:rPr>
        <w:t>2.6 技术资料和保密义务</w:t>
      </w:r>
      <w:bookmarkEnd w:id="463"/>
      <w:bookmarkEnd w:id="464"/>
      <w:bookmarkEnd w:id="465"/>
      <w:bookmarkEnd w:id="466"/>
      <w:bookmarkEnd w:id="46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68" w:name="_Toc19069"/>
      <w:r>
        <w:rPr>
          <w:rFonts w:hint="eastAsia" w:ascii="仿宋" w:hAnsi="仿宋" w:eastAsia="仿宋" w:cs="仿宋"/>
          <w:b/>
          <w:sz w:val="24"/>
        </w:rPr>
        <w:t>2.7 质量保证</w:t>
      </w:r>
      <w:bookmarkEnd w:id="46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69" w:name="_Toc22267"/>
      <w:r>
        <w:rPr>
          <w:rFonts w:hint="eastAsia" w:ascii="仿宋" w:hAnsi="仿宋" w:eastAsia="仿宋" w:cs="仿宋"/>
          <w:b/>
          <w:sz w:val="24"/>
        </w:rPr>
        <w:t>2.8 延迟履行</w:t>
      </w:r>
      <w:bookmarkEnd w:id="46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70" w:name="_Toc10611"/>
      <w:r>
        <w:rPr>
          <w:rFonts w:hint="eastAsia" w:ascii="仿宋" w:hAnsi="仿宋" w:eastAsia="仿宋" w:cs="仿宋"/>
          <w:b/>
          <w:sz w:val="24"/>
        </w:rPr>
        <w:t>2.9 合同变更</w:t>
      </w:r>
      <w:bookmarkEnd w:id="47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71" w:name="_Toc42"/>
      <w:bookmarkStart w:id="472" w:name="_Toc23368"/>
      <w:bookmarkStart w:id="473" w:name="_Toc21830"/>
      <w:bookmarkStart w:id="474" w:name="_Toc10663"/>
      <w:bookmarkStart w:id="475" w:name="_Toc26689"/>
      <w:r>
        <w:rPr>
          <w:rFonts w:hint="eastAsia" w:ascii="仿宋" w:hAnsi="仿宋" w:eastAsia="仿宋" w:cs="仿宋"/>
          <w:b/>
          <w:sz w:val="24"/>
        </w:rPr>
        <w:t>2.10 合同转让和分包</w:t>
      </w:r>
      <w:bookmarkEnd w:id="471"/>
      <w:bookmarkEnd w:id="472"/>
      <w:bookmarkEnd w:id="473"/>
      <w:bookmarkEnd w:id="474"/>
      <w:bookmarkEnd w:id="47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76" w:name="_Toc4720"/>
      <w:bookmarkStart w:id="477" w:name="_Toc32494"/>
      <w:bookmarkStart w:id="478" w:name="_Toc26633"/>
      <w:bookmarkStart w:id="479" w:name="_Toc25571"/>
      <w:bookmarkStart w:id="480" w:name="_Toc14371"/>
      <w:r>
        <w:rPr>
          <w:rFonts w:hint="eastAsia" w:ascii="仿宋" w:hAnsi="仿宋" w:eastAsia="仿宋" w:cs="仿宋"/>
          <w:b/>
          <w:sz w:val="24"/>
        </w:rPr>
        <w:t>2.11 不可抗力</w:t>
      </w:r>
      <w:bookmarkEnd w:id="476"/>
      <w:bookmarkEnd w:id="477"/>
      <w:bookmarkEnd w:id="478"/>
      <w:bookmarkEnd w:id="479"/>
      <w:bookmarkEnd w:id="48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81" w:name="_Toc14115"/>
      <w:bookmarkStart w:id="482" w:name="_Toc24465"/>
      <w:bookmarkStart w:id="483" w:name="_Toc23854"/>
      <w:bookmarkStart w:id="484" w:name="_Toc25783"/>
      <w:bookmarkStart w:id="485" w:name="_Toc3638"/>
      <w:r>
        <w:rPr>
          <w:rFonts w:hint="eastAsia" w:ascii="仿宋" w:hAnsi="仿宋" w:eastAsia="仿宋" w:cs="仿宋"/>
          <w:b/>
          <w:sz w:val="24"/>
        </w:rPr>
        <w:t>2.12 税费</w:t>
      </w:r>
      <w:bookmarkEnd w:id="481"/>
      <w:bookmarkEnd w:id="482"/>
      <w:bookmarkEnd w:id="483"/>
      <w:bookmarkEnd w:id="484"/>
      <w:bookmarkEnd w:id="48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86" w:name="_Toc25525"/>
      <w:bookmarkStart w:id="487" w:name="_Toc7315"/>
      <w:bookmarkStart w:id="488" w:name="_Toc14814"/>
      <w:bookmarkStart w:id="489" w:name="_Toc26883"/>
      <w:bookmarkStart w:id="490" w:name="_Toc30105"/>
      <w:r>
        <w:rPr>
          <w:rFonts w:hint="eastAsia" w:ascii="仿宋" w:hAnsi="仿宋" w:eastAsia="仿宋" w:cs="仿宋"/>
          <w:b/>
          <w:sz w:val="24"/>
        </w:rPr>
        <w:t>2.13 乙方破产</w:t>
      </w:r>
      <w:bookmarkEnd w:id="486"/>
      <w:bookmarkEnd w:id="487"/>
      <w:bookmarkEnd w:id="488"/>
      <w:bookmarkEnd w:id="489"/>
      <w:bookmarkEnd w:id="49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91" w:name="_Toc23323"/>
      <w:bookmarkStart w:id="492" w:name="_Toc2016"/>
      <w:bookmarkStart w:id="493" w:name="_Toc1123"/>
      <w:r>
        <w:rPr>
          <w:rFonts w:hint="eastAsia" w:ascii="仿宋" w:hAnsi="仿宋" w:eastAsia="仿宋" w:cs="仿宋"/>
          <w:b/>
          <w:sz w:val="24"/>
        </w:rPr>
        <w:t>2.14 合同中止、终止</w:t>
      </w:r>
      <w:bookmarkEnd w:id="491"/>
      <w:bookmarkEnd w:id="492"/>
      <w:bookmarkEnd w:id="49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94" w:name="_Toc1969"/>
      <w:bookmarkStart w:id="495" w:name="_Toc17363"/>
      <w:bookmarkStart w:id="496" w:name="_Toc14525"/>
      <w:r>
        <w:rPr>
          <w:rFonts w:hint="eastAsia" w:ascii="仿宋" w:hAnsi="仿宋" w:eastAsia="仿宋" w:cs="仿宋"/>
          <w:b/>
          <w:sz w:val="24"/>
        </w:rPr>
        <w:t>2.15 检验和验收</w:t>
      </w:r>
      <w:bookmarkEnd w:id="494"/>
      <w:bookmarkEnd w:id="495"/>
      <w:bookmarkEnd w:id="496"/>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497" w:name="_Toc31892"/>
      <w:bookmarkStart w:id="498" w:name="_Toc12666"/>
      <w:bookmarkStart w:id="499" w:name="_Toc9808"/>
      <w:bookmarkStart w:id="500" w:name="_Toc25198"/>
      <w:bookmarkStart w:id="501" w:name="_Toc2308"/>
      <w:r>
        <w:rPr>
          <w:rFonts w:hint="eastAsia" w:ascii="仿宋" w:hAnsi="仿宋" w:eastAsia="仿宋" w:cs="仿宋"/>
          <w:b/>
          <w:sz w:val="24"/>
        </w:rPr>
        <w:t>2.16 通知和送达</w:t>
      </w:r>
      <w:bookmarkEnd w:id="497"/>
      <w:bookmarkEnd w:id="498"/>
      <w:bookmarkEnd w:id="499"/>
      <w:bookmarkEnd w:id="500"/>
      <w:bookmarkEnd w:id="501"/>
    </w:p>
    <w:p>
      <w:pPr>
        <w:spacing w:line="560" w:lineRule="exact"/>
        <w:ind w:firstLine="480" w:firstLineChars="200"/>
        <w:rPr>
          <w:rFonts w:hint="eastAsia" w:ascii="仿宋" w:hAnsi="仿宋" w:eastAsia="仿宋" w:cs="仿宋"/>
          <w:sz w:val="24"/>
        </w:rPr>
      </w:pPr>
      <w:bookmarkStart w:id="502" w:name="_Toc27674"/>
      <w:bookmarkStart w:id="503"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2"/>
      <w:bookmarkEnd w:id="503"/>
    </w:p>
    <w:p>
      <w:pPr>
        <w:spacing w:line="560" w:lineRule="exact"/>
        <w:ind w:firstLine="482" w:firstLineChars="200"/>
        <w:outlineLvl w:val="0"/>
        <w:rPr>
          <w:rFonts w:hint="eastAsia" w:ascii="仿宋" w:hAnsi="仿宋" w:eastAsia="仿宋" w:cs="仿宋"/>
          <w:b/>
          <w:sz w:val="24"/>
        </w:rPr>
      </w:pPr>
      <w:bookmarkStart w:id="504" w:name="_Toc28906"/>
      <w:bookmarkStart w:id="505" w:name="_Toc20808"/>
      <w:bookmarkStart w:id="506" w:name="_Toc27644"/>
      <w:bookmarkStart w:id="507" w:name="_Toc12254"/>
      <w:bookmarkStart w:id="508" w:name="_Toc5063"/>
      <w:r>
        <w:rPr>
          <w:rFonts w:hint="eastAsia" w:ascii="仿宋" w:hAnsi="仿宋" w:eastAsia="仿宋" w:cs="仿宋"/>
          <w:b/>
          <w:sz w:val="24"/>
        </w:rPr>
        <w:t>2.17 合同使用的文字和适用的法律</w:t>
      </w:r>
      <w:bookmarkEnd w:id="504"/>
      <w:bookmarkEnd w:id="505"/>
      <w:bookmarkEnd w:id="506"/>
      <w:bookmarkEnd w:id="507"/>
      <w:bookmarkEnd w:id="50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09" w:name="_Toc27403"/>
      <w:bookmarkStart w:id="510" w:name="_Toc27127"/>
      <w:bookmarkStart w:id="511" w:name="_Toc30096"/>
      <w:bookmarkStart w:id="512" w:name="_Toc1492"/>
      <w:bookmarkStart w:id="513" w:name="_Toc22266"/>
      <w:r>
        <w:rPr>
          <w:rFonts w:hint="eastAsia" w:ascii="仿宋" w:hAnsi="仿宋" w:eastAsia="仿宋" w:cs="仿宋"/>
          <w:b/>
          <w:sz w:val="24"/>
        </w:rPr>
        <w:t>2.18 履约保证金</w:t>
      </w:r>
      <w:bookmarkEnd w:id="509"/>
      <w:bookmarkEnd w:id="510"/>
      <w:bookmarkEnd w:id="511"/>
      <w:bookmarkEnd w:id="512"/>
      <w:bookmarkEnd w:id="513"/>
    </w:p>
    <w:p>
      <w:pPr>
        <w:pStyle w:val="95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99"/>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14" w:name="_Toc331685784"/>
      <w:r>
        <w:rPr>
          <w:rFonts w:hint="eastAsia" w:ascii="仿宋" w:hAnsi="仿宋" w:eastAsia="仿宋" w:cs="仿宋"/>
          <w:b/>
          <w:szCs w:val="24"/>
        </w:rPr>
        <w:t xml:space="preserve"> </w:t>
      </w:r>
      <w:bookmarkEnd w:id="514"/>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1.4.4</w:t>
            </w:r>
          </w:p>
        </w:tc>
        <w:tc>
          <w:tcPr>
            <w:tcW w:w="4533" w:type="pct"/>
            <w:vAlign w:val="center"/>
          </w:tcPr>
          <w:p>
            <w:pPr>
              <w:pStyle w:val="82"/>
              <w:keepNext w:val="0"/>
              <w:keepLines w:val="0"/>
              <w:pageBreakBefore w:val="0"/>
              <w:widowControl w:val="0"/>
              <w:kinsoku/>
              <w:wordWrap/>
              <w:overflowPunct/>
              <w:topLinePunct w:val="0"/>
              <w:autoSpaceDE/>
              <w:autoSpaceDN/>
              <w:bidi w:val="0"/>
              <w:snapToGrid/>
              <w:ind w:firstLine="0"/>
              <w:textAlignment w:val="auto"/>
              <w:rPr>
                <w:highlight w:val="none"/>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w:t>
            </w:r>
            <w:r>
              <w:rPr>
                <w:rFonts w:hint="eastAsia" w:ascii="仿宋" w:hAnsi="仿宋" w:eastAsia="仿宋" w:cs="仿宋"/>
                <w:szCs w:val="24"/>
                <w:highlight w:val="none"/>
              </w:rPr>
              <w:t>项目建设期：</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1、采购合同签订生效后的5个工作日内，采购单位向成交供应商支付合同总金额40%的预付款项；</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2、项目初验完成后5个工作日内，采购单位向成交供应商支付合同总金额的30%；</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3、项目终验完成后5个工作日内，采购单位向成交供应商支付合同总金额的18%；</w:t>
            </w:r>
          </w:p>
          <w:p>
            <w:pPr>
              <w:pStyle w:val="82"/>
              <w:keepNext w:val="0"/>
              <w:keepLines w:val="0"/>
              <w:pageBreakBefore w:val="0"/>
              <w:widowControl w:val="0"/>
              <w:kinsoku/>
              <w:wordWrap/>
              <w:overflowPunct/>
              <w:topLinePunct w:val="0"/>
              <w:autoSpaceDE/>
              <w:autoSpaceDN/>
              <w:bidi w:val="0"/>
              <w:snapToGrid/>
              <w:ind w:firstLine="0"/>
              <w:textAlignment w:val="auto"/>
              <w:rPr>
                <w:highlight w:val="none"/>
              </w:rPr>
            </w:pPr>
            <w:r>
              <w:rPr>
                <w:rFonts w:hint="eastAsia" w:ascii="仿宋" w:hAnsi="仿宋" w:eastAsia="仿宋" w:cs="仿宋"/>
                <w:szCs w:val="24"/>
                <w:highlight w:val="none"/>
              </w:rPr>
              <w:t>项目运维期：</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1、项目运维第2年，采购单位向成交供应商支付合同总金额的6%；</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2、项目运维第3年，采购单位向成交供应商支付合同总金额的6%。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w:t>
            </w:r>
            <w:r>
              <w:rPr>
                <w:rFonts w:hint="eastAsia" w:ascii="仿宋" w:hAnsi="仿宋" w:eastAsia="仿宋" w:cs="仿宋"/>
                <w:sz w:val="24"/>
                <w:highlight w:val="none"/>
                <w:lang w:bidi="ar"/>
              </w:rPr>
              <w:t>项目建设期为</w:t>
            </w:r>
            <w:r>
              <w:rPr>
                <w:rFonts w:ascii="仿宋" w:hAnsi="仿宋" w:eastAsia="仿宋" w:cs="仿宋"/>
                <w:sz w:val="24"/>
                <w:highlight w:val="none"/>
                <w:lang w:bidi="ar"/>
              </w:rPr>
              <w:t>5</w:t>
            </w:r>
            <w:r>
              <w:rPr>
                <w:rFonts w:hint="eastAsia" w:ascii="仿宋" w:hAnsi="仿宋" w:eastAsia="仿宋" w:cs="仿宋"/>
                <w:sz w:val="24"/>
                <w:highlight w:val="none"/>
                <w:lang w:bidi="ar"/>
              </w:rPr>
              <w:t>个月内，自合同签订之日起</w:t>
            </w:r>
            <w:r>
              <w:rPr>
                <w:rFonts w:ascii="仿宋" w:hAnsi="仿宋" w:eastAsia="仿宋" w:cs="仿宋"/>
                <w:sz w:val="24"/>
                <w:highlight w:val="none"/>
                <w:lang w:bidi="ar"/>
              </w:rPr>
              <w:t>5</w:t>
            </w:r>
            <w:r>
              <w:rPr>
                <w:rFonts w:hint="eastAsia" w:ascii="仿宋" w:hAnsi="仿宋" w:eastAsia="仿宋" w:cs="仿宋"/>
                <w:sz w:val="24"/>
                <w:highlight w:val="none"/>
                <w:lang w:bidi="ar"/>
              </w:rPr>
              <w:t>个月内完成整体项目建设（可提前完成），其中实施期2个月，试运行3个月。服务期为自项目验收合格后36个月</w:t>
            </w:r>
            <w:r>
              <w:rPr>
                <w:rFonts w:hint="eastAsia" w:ascii="仿宋" w:hAnsi="仿宋" w:eastAsia="仿宋" w:cs="仿宋"/>
                <w:sz w:val="24"/>
                <w:highlight w:val="none"/>
                <w:lang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z w:val="24"/>
                <w:lang w:eastAsia="zh-CN"/>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z w:val="24"/>
                <w:lang w:val="en-US" w:eastAsia="zh-CN"/>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4533" w:type="pct"/>
            <w:vAlign w:val="center"/>
          </w:tcPr>
          <w:p>
            <w:pPr>
              <w:pStyle w:val="82"/>
              <w:keepNext w:val="0"/>
              <w:keepLines w:val="0"/>
              <w:pageBreakBefore w:val="0"/>
              <w:widowControl w:val="0"/>
              <w:kinsoku/>
              <w:wordWrap/>
              <w:overflowPunct/>
              <w:topLinePunct w:val="0"/>
              <w:autoSpaceDE/>
              <w:autoSpaceDN/>
              <w:bidi w:val="0"/>
              <w:snapToGrid/>
              <w:ind w:firstLine="0"/>
              <w:textAlignment w:val="auto"/>
              <w:rPr>
                <w:highlight w:val="none"/>
              </w:rPr>
            </w:pPr>
            <w:r>
              <w:rPr>
                <w:rFonts w:hint="eastAsia" w:ascii="仿宋" w:hAnsi="仿宋" w:eastAsia="仿宋" w:cs="仿宋"/>
                <w:kern w:val="2"/>
                <w:sz w:val="24"/>
                <w:szCs w:val="24"/>
                <w:highlight w:val="none"/>
                <w:lang w:val="en-US" w:eastAsia="zh-CN" w:bidi="ar-SA"/>
              </w:rPr>
              <w:t>结算方式和付款条件：</w:t>
            </w:r>
            <w:r>
              <w:rPr>
                <w:rFonts w:hint="eastAsia" w:ascii="仿宋" w:hAnsi="仿宋" w:eastAsia="仿宋" w:cs="仿宋"/>
                <w:szCs w:val="24"/>
                <w:highlight w:val="none"/>
              </w:rPr>
              <w:t>项目建设期：</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1、采购合同签订生效后的5个工作日内，采购单位向成交供应商支付合同总金额40%的预付款项；</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2、项目初验完成后5个工作日内，采购单位向成交供应商支付合同总金额的30%；</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3、项目终验完成后5个工作日内，采购单位向成交供应商支付合同总金额的18%；</w:t>
            </w:r>
          </w:p>
          <w:p>
            <w:pPr>
              <w:pStyle w:val="82"/>
              <w:keepNext w:val="0"/>
              <w:keepLines w:val="0"/>
              <w:pageBreakBefore w:val="0"/>
              <w:widowControl w:val="0"/>
              <w:kinsoku/>
              <w:wordWrap/>
              <w:overflowPunct/>
              <w:topLinePunct w:val="0"/>
              <w:autoSpaceDE/>
              <w:autoSpaceDN/>
              <w:bidi w:val="0"/>
              <w:snapToGrid/>
              <w:ind w:firstLine="0"/>
              <w:textAlignment w:val="auto"/>
              <w:rPr>
                <w:highlight w:val="none"/>
              </w:rPr>
            </w:pPr>
            <w:r>
              <w:rPr>
                <w:rFonts w:hint="eastAsia" w:ascii="仿宋" w:hAnsi="仿宋" w:eastAsia="仿宋" w:cs="仿宋"/>
                <w:szCs w:val="24"/>
                <w:highlight w:val="none"/>
              </w:rPr>
              <w:t>项目运维期：</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1、项目运维第2年，采购单位向成交供应商支付合同总金额的6%；</w:t>
            </w:r>
          </w:p>
          <w:p>
            <w:pPr>
              <w:pStyle w:val="875"/>
              <w:keepNext w:val="0"/>
              <w:keepLines w:val="0"/>
              <w:pageBreakBefore w:val="0"/>
              <w:widowControl w:val="0"/>
              <w:kinsoku/>
              <w:wordWrap/>
              <w:overflowPunct/>
              <w:topLinePunct w:val="0"/>
              <w:autoSpaceDE/>
              <w:autoSpaceDN/>
              <w:bidi w:val="0"/>
              <w:snapToGrid/>
              <w:spacing w:before="156" w:beforeLines="50" w:after="156" w:afterLines="50"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2、项目运维第3年，采购单位向成交供应商支付合同总金额的6%。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275"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275"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3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2.18.1</w:t>
            </w:r>
          </w:p>
        </w:tc>
        <w:tc>
          <w:tcPr>
            <w:tcW w:w="8275"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2.18.2</w:t>
            </w:r>
          </w:p>
        </w:tc>
        <w:tc>
          <w:tcPr>
            <w:tcW w:w="8275"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3" w:type="pct"/>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1"/>
      <w:r>
        <w:rPr>
          <w:rFonts w:hint="eastAsia" w:ascii="仿宋" w:hAnsi="仿宋" w:eastAsia="仿宋" w:cs="仿宋"/>
          <w:b/>
          <w:sz w:val="36"/>
          <w:szCs w:val="20"/>
        </w:rPr>
        <w:t xml:space="preserve"> </w:t>
      </w:r>
      <w:bookmarkEnd w:id="402"/>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2"/>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2"/>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5" w:name="_Hlk101257010"/>
      <w:r>
        <w:rPr>
          <w:rFonts w:hint="eastAsia" w:ascii="仿宋" w:hAnsi="仿宋" w:eastAsia="仿宋" w:cs="仿宋"/>
          <w:snapToGrid w:val="0"/>
          <w:kern w:val="28"/>
          <w:sz w:val="24"/>
          <w:szCs w:val="20"/>
        </w:rPr>
        <w:t>（如果有)</w:t>
      </w:r>
      <w:bookmarkEnd w:id="515"/>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2"/>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388"/>
        <w:gridCol w:w="2166"/>
        <w:gridCol w:w="2448"/>
        <w:gridCol w:w="1008"/>
        <w:gridCol w:w="1562"/>
        <w:gridCol w:w="802"/>
        <w:gridCol w:w="668"/>
        <w:gridCol w:w="1051"/>
        <w:gridCol w:w="133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99"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067" w:type="pct"/>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347"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538"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sz w:val="24"/>
                <w:lang w:val="en-US" w:eastAsia="zh-CN"/>
              </w:rPr>
              <w:t>单位</w:t>
            </w:r>
          </w:p>
        </w:tc>
        <w:tc>
          <w:tcPr>
            <w:tcW w:w="230"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362"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460"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总价</w:t>
            </w:r>
          </w:p>
        </w:tc>
        <w:tc>
          <w:tcPr>
            <w:tcW w:w="519" w:type="pct"/>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服务要求（年限）</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1</w:t>
            </w:r>
          </w:p>
        </w:tc>
        <w:tc>
          <w:tcPr>
            <w:tcW w:w="478"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kern w:val="0"/>
                <w:sz w:val="24"/>
              </w:rPr>
              <w:t>物联感知平台建设</w:t>
            </w: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物联设备接入模块</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终端接入框架</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2</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连接管理模块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3</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协议适配模块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4</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物联设备管理模块</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设备模型管理模块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5</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设备产品管理模块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6</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边缘管理模块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7</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通讯管理模块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8</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设备认证管理模块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9</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10</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设备标签管理模块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11</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设备分组管理模块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12</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物联数据实时处理</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设备影子模块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13</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实时计算引擎</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14</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规则引擎</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15</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物联设备报警服务</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报警周期管理模块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16</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报警查询模块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17</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报警阈值动态修改模块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18</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报警抑制模块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19</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物联历史数据管理</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历史存储模块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20</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历史查询模块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21</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系统日志管理</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日志存储模块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22</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日志查询模块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23</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物联设备控制调度</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设备控制模块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24</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场景联动模块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25</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计划调度模块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26</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物联设备可视化</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图形组件库</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27</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图元编辑工具</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28</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场景编辑工具</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29</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设备场景可视化模块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30</w:t>
            </w:r>
          </w:p>
        </w:tc>
        <w:tc>
          <w:tcPr>
            <w:tcW w:w="478" w:type="pct"/>
            <w:vMerge w:val="restart"/>
            <w:vAlign w:val="center"/>
          </w:tcPr>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Times New Roman"/>
                <w:kern w:val="0"/>
                <w:sz w:val="24"/>
                <w:lang w:val="en-US" w:eastAsia="zh-CN"/>
              </w:rPr>
              <w:t>数据资源体系建设</w:t>
            </w: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数据归集管理</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物联感知体系建设</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31</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终端标识服务开发</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32</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业务平台对接开发</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33</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终端设备建档</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34</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终端数据溯源</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35</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终端定位标注</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36</w:t>
            </w:r>
          </w:p>
        </w:tc>
        <w:tc>
          <w:tcPr>
            <w:tcW w:w="478" w:type="pct"/>
            <w:vMerge w:val="continue"/>
            <w:vAlign w:val="center"/>
          </w:tcPr>
          <w:p>
            <w:pPr>
              <w:jc w:val="center"/>
              <w:rPr>
                <w:rFonts w:hint="eastAsia" w:ascii="仿宋" w:hAnsi="仿宋" w:eastAsia="仿宋" w:cs="仿宋"/>
                <w:i w:val="0"/>
                <w:iCs w:val="0"/>
                <w:color w:val="000000"/>
                <w:kern w:val="0"/>
                <w:sz w:val="20"/>
                <w:szCs w:val="20"/>
                <w:u w:val="none"/>
                <w:lang w:val="en-US" w:eastAsia="zh-CN" w:bidi="ar"/>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数据治理管理</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设备数据建模</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37</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数据清洗</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38</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数据转换</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39</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设备预警整理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40</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事件事项梳理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41</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指标体系建设</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42</w:t>
            </w:r>
          </w:p>
        </w:tc>
        <w:tc>
          <w:tcPr>
            <w:tcW w:w="478" w:type="pct"/>
            <w:vMerge w:val="continue"/>
            <w:vAlign w:val="center"/>
          </w:tcPr>
          <w:p>
            <w:pPr>
              <w:jc w:val="center"/>
              <w:rPr>
                <w:rFonts w:hint="eastAsia" w:ascii="仿宋" w:hAnsi="仿宋" w:eastAsia="仿宋" w:cs="仿宋"/>
                <w:sz w:val="24"/>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数据共享交换</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杭州市城市物联感知平台</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43</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临安区一体化智能化公共数据平台</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478" w:type="pct"/>
            <w:vMerge w:val="restart"/>
            <w:vAlign w:val="center"/>
          </w:tcPr>
          <w:p>
            <w:pPr>
              <w:jc w:val="center"/>
              <w:rPr>
                <w:rFonts w:hint="eastAsia" w:ascii="仿宋" w:hAnsi="仿宋" w:eastAsia="仿宋" w:cs="仿宋"/>
                <w:sz w:val="24"/>
              </w:rPr>
            </w:pPr>
            <w:r>
              <w:rPr>
                <w:rFonts w:hint="eastAsia" w:ascii="仿宋" w:hAnsi="仿宋" w:eastAsia="仿宋" w:cs="仿宋"/>
                <w:sz w:val="24"/>
              </w:rPr>
              <w:t>物联感知门户与驾驶舱定制</w:t>
            </w: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Times New Roman"/>
                <w:kern w:val="0"/>
                <w:sz w:val="24"/>
                <w:lang w:val="en-US" w:eastAsia="zh-CN"/>
              </w:rPr>
              <w:t>临安物联感知门户定制</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访问控制</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控制台</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终端类型展示</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47</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终端产品展示</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2"/>
                <w:szCs w:val="22"/>
                <w:u w:val="none"/>
                <w:lang w:val="en-US" w:eastAsia="zh-CN" w:bidi="ar"/>
              </w:rPr>
              <w:t>48</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终端设备监视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业务平台监视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终端事件监视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51</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终端预警监视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52</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二维场景监视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53</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三维场景监视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54</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终端目录申请</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55</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二维场景申请</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56</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三维场景申请</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57</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访问日志审计</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58</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操作日志审计</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59</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终端统计分析</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数据统计分析</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61</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用户角色管理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62</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资源申请管理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63</w:t>
            </w:r>
          </w:p>
        </w:tc>
        <w:tc>
          <w:tcPr>
            <w:tcW w:w="478" w:type="pct"/>
            <w:vMerge w:val="continue"/>
            <w:vAlign w:val="center"/>
          </w:tcPr>
          <w:p>
            <w:pPr>
              <w:jc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资源审批管理</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64</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Times New Roman"/>
                <w:kern w:val="0"/>
                <w:sz w:val="24"/>
                <w:lang w:val="en-US" w:eastAsia="zh-CN"/>
              </w:rPr>
              <w:t>物联感知驾驶舱定制</w:t>
            </w: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设备地图开发</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物联感知终端大屏开发</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物联感知事件大屏开发</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478" w:type="pct"/>
            <w:vMerge w:val="continue"/>
            <w:vAlign w:val="center"/>
          </w:tcPr>
          <w:p>
            <w:pPr>
              <w:keepNext w:val="0"/>
              <w:keepLines w:val="0"/>
              <w:widowControl/>
              <w:suppressLineNumbers w:val="0"/>
              <w:jc w:val="center"/>
              <w:textAlignment w:val="center"/>
              <w:rPr>
                <w:rFonts w:hint="eastAsia" w:ascii="仿宋" w:hAnsi="仿宋" w:eastAsia="仿宋" w:cs="仿宋"/>
                <w:sz w:val="24"/>
              </w:rPr>
            </w:pPr>
          </w:p>
        </w:tc>
        <w:tc>
          <w:tcPr>
            <w:tcW w:w="746" w:type="pct"/>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43"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物联感知数据大屏开发</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3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68</w:t>
            </w:r>
          </w:p>
        </w:tc>
        <w:tc>
          <w:tcPr>
            <w:tcW w:w="2067" w:type="pct"/>
            <w:gridSpan w:val="3"/>
            <w:vAlign w:val="center"/>
          </w:tcPr>
          <w:p>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驻场运营维护服务</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人/年</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 w:type="pct"/>
            <w:vAlign w:val="center"/>
          </w:tcPr>
          <w:p>
            <w:pPr>
              <w:keepNext w:val="0"/>
              <w:keepLines w:val="0"/>
              <w:widowControl/>
              <w:suppressLineNumbers w:val="0"/>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69</w:t>
            </w:r>
          </w:p>
        </w:tc>
        <w:tc>
          <w:tcPr>
            <w:tcW w:w="2067" w:type="pct"/>
            <w:gridSpan w:val="3"/>
            <w:vAlign w:val="center"/>
          </w:tcPr>
          <w:p>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二级等保测评服务</w:t>
            </w:r>
          </w:p>
        </w:tc>
        <w:tc>
          <w:tcPr>
            <w:tcW w:w="347" w:type="pct"/>
            <w:vAlign w:val="center"/>
          </w:tcPr>
          <w:p>
            <w:pPr>
              <w:snapToGrid w:val="0"/>
              <w:spacing w:line="360" w:lineRule="auto"/>
              <w:jc w:val="center"/>
              <w:rPr>
                <w:rFonts w:hint="eastAsia" w:ascii="仿宋" w:hAnsi="仿宋" w:eastAsia="仿宋" w:cs="仿宋"/>
                <w:sz w:val="24"/>
              </w:rPr>
            </w:pPr>
          </w:p>
        </w:tc>
        <w:tc>
          <w:tcPr>
            <w:tcW w:w="538" w:type="pct"/>
            <w:vAlign w:val="center"/>
          </w:tcPr>
          <w:p>
            <w:pPr>
              <w:snapToGrid w:val="0"/>
              <w:spacing w:line="360" w:lineRule="auto"/>
              <w:jc w:val="center"/>
              <w:rPr>
                <w:rFonts w:hint="eastAsia" w:ascii="仿宋" w:hAnsi="仿宋" w:eastAsia="仿宋" w:cs="仿宋"/>
                <w:sz w:val="24"/>
              </w:rPr>
            </w:pPr>
          </w:p>
        </w:tc>
        <w:tc>
          <w:tcPr>
            <w:tcW w:w="276" w:type="pct"/>
            <w:vAlign w:val="center"/>
          </w:tcPr>
          <w:p>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次</w:t>
            </w:r>
          </w:p>
        </w:tc>
        <w:tc>
          <w:tcPr>
            <w:tcW w:w="230" w:type="pct"/>
            <w:vAlign w:val="center"/>
          </w:tcPr>
          <w:p>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1"/>
                <w:szCs w:val="21"/>
                <w:u w:val="none"/>
                <w:lang w:val="en-US" w:eastAsia="zh-CN" w:bidi="ar"/>
              </w:rPr>
              <w:t>1</w:t>
            </w:r>
          </w:p>
        </w:tc>
        <w:tc>
          <w:tcPr>
            <w:tcW w:w="362" w:type="pct"/>
            <w:vAlign w:val="center"/>
          </w:tcPr>
          <w:p>
            <w:pPr>
              <w:spacing w:line="360" w:lineRule="auto"/>
              <w:jc w:val="center"/>
              <w:rPr>
                <w:rFonts w:hint="eastAsia" w:ascii="仿宋" w:hAnsi="仿宋" w:eastAsia="仿宋" w:cs="仿宋"/>
                <w:sz w:val="24"/>
              </w:rPr>
            </w:pPr>
          </w:p>
        </w:tc>
        <w:tc>
          <w:tcPr>
            <w:tcW w:w="460" w:type="pct"/>
            <w:vAlign w:val="center"/>
          </w:tcPr>
          <w:p>
            <w:pPr>
              <w:spacing w:line="360" w:lineRule="auto"/>
              <w:jc w:val="center"/>
              <w:rPr>
                <w:rFonts w:hint="eastAsia" w:ascii="仿宋" w:hAnsi="仿宋" w:eastAsia="仿宋" w:cs="仿宋"/>
                <w:sz w:val="24"/>
              </w:rPr>
            </w:pPr>
          </w:p>
        </w:tc>
        <w:tc>
          <w:tcPr>
            <w:tcW w:w="51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 w:type="pct"/>
            <w:vAlign w:val="center"/>
          </w:tcPr>
          <w:p>
            <w:pPr>
              <w:spacing w:line="360" w:lineRule="auto"/>
              <w:jc w:val="center"/>
              <w:rPr>
                <w:rFonts w:hint="eastAsia" w:ascii="仿宋" w:hAnsi="仿宋" w:eastAsia="仿宋" w:cs="仿宋"/>
                <w:b/>
                <w:sz w:val="24"/>
              </w:rPr>
            </w:pPr>
          </w:p>
        </w:tc>
        <w:tc>
          <w:tcPr>
            <w:tcW w:w="2414"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2385" w:type="pct"/>
            <w:gridSpan w:val="6"/>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 w:type="pct"/>
            <w:vAlign w:val="center"/>
          </w:tcPr>
          <w:p>
            <w:pPr>
              <w:spacing w:line="360" w:lineRule="auto"/>
              <w:jc w:val="center"/>
              <w:rPr>
                <w:rFonts w:hint="eastAsia" w:ascii="仿宋" w:hAnsi="仿宋" w:eastAsia="仿宋" w:cs="仿宋"/>
                <w:b/>
                <w:sz w:val="24"/>
              </w:rPr>
            </w:pPr>
          </w:p>
        </w:tc>
        <w:tc>
          <w:tcPr>
            <w:tcW w:w="2414"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2385" w:type="pct"/>
            <w:gridSpan w:val="6"/>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2"/>
          <w:sz w:val="32"/>
          <w:szCs w:val="32"/>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2"/>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2"/>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16" w:name="_Toc465665161"/>
      <w:r>
        <w:rPr>
          <w:rFonts w:hint="eastAsia" w:ascii="仿宋" w:hAnsi="仿宋" w:eastAsia="仿宋" w:cs="仿宋"/>
        </w:rPr>
        <w:t>附件</w:t>
      </w:r>
      <w:bookmarkEnd w:id="516"/>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17" w:name="OLE_LINK13"/>
      <w:bookmarkStart w:id="518" w:name="OLE_LINK14"/>
      <w:r>
        <w:rPr>
          <w:rFonts w:hint="eastAsia" w:ascii="仿宋" w:hAnsi="仿宋" w:eastAsia="仿宋" w:cs="仿宋"/>
          <w:b/>
          <w:spacing w:val="6"/>
          <w:sz w:val="32"/>
          <w:szCs w:val="32"/>
        </w:rPr>
        <w:t>残疾人福利性单位声明函</w:t>
      </w:r>
    </w:p>
    <w:bookmarkEnd w:id="517"/>
    <w:bookmarkEnd w:id="518"/>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9" w:name="_Hlk101131882"/>
      <w:r>
        <w:rPr>
          <w:rFonts w:hint="eastAsia" w:ascii="仿宋" w:hAnsi="仿宋" w:eastAsia="仿宋" w:cs="仿宋"/>
          <w:kern w:val="0"/>
          <w:sz w:val="24"/>
          <w:u w:val="single"/>
        </w:rPr>
        <w:t>联合体成员X,……</w:t>
      </w:r>
      <w:bookmarkEnd w:id="519"/>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20"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20"/>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2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1"/>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22" w:name="_Toc164085800"/>
    <w:bookmarkStart w:id="523" w:name="_Toc36110187"/>
    <w:bookmarkStart w:id="524" w:name="_Toc131845147"/>
    <w:bookmarkStart w:id="525" w:name="_Toc91899912"/>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w:t>
    </w:r>
    <w:r>
      <w:rPr>
        <w:rFonts w:hint="eastAsia"/>
        <w:lang w:eastAsia="zh-CN"/>
      </w:rPr>
      <w:t>临安区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w:t>
    </w:r>
    <w:r>
      <w:rPr>
        <w:rFonts w:hint="eastAsia"/>
        <w:lang w:eastAsia="zh-CN"/>
      </w:rPr>
      <w:t>临安区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67124"/>
    <w:multiLevelType w:val="singleLevel"/>
    <w:tmpl w:val="E5E67124"/>
    <w:lvl w:ilvl="0" w:tentative="0">
      <w:start w:val="1"/>
      <w:numFmt w:val="decimal"/>
      <w:suff w:val="nothing"/>
      <w:lvlText w:val="%1）"/>
      <w:lvlJc w:val="left"/>
    </w:lvl>
  </w:abstractNum>
  <w:abstractNum w:abstractNumId="1">
    <w:nsid w:val="EA5BB903"/>
    <w:multiLevelType w:val="multilevel"/>
    <w:tmpl w:val="EA5BB903"/>
    <w:lvl w:ilvl="0" w:tentative="0">
      <w:start w:val="1"/>
      <w:numFmt w:val="decimal"/>
      <w:lvlText w:val="%1."/>
      <w:lvlJc w:val="left"/>
      <w:pPr>
        <w:ind w:left="425" w:hanging="425"/>
      </w:pPr>
      <w:rPr>
        <w:rFonts w:hint="default"/>
      </w:rPr>
    </w:lvl>
    <w:lvl w:ilvl="1" w:tentative="0">
      <w:start w:val="1"/>
      <w:numFmt w:val="decimal"/>
      <w:suff w:val="nothing"/>
      <w:lvlText w:val="%1.%2"/>
      <w:lvlJc w:val="left"/>
      <w:pPr>
        <w:tabs>
          <w:tab w:val="left" w:pos="420"/>
        </w:tabs>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734BA"/>
    <w:rsid w:val="025F0711"/>
    <w:rsid w:val="026751AC"/>
    <w:rsid w:val="026B2E25"/>
    <w:rsid w:val="02824D4D"/>
    <w:rsid w:val="02DC4B10"/>
    <w:rsid w:val="02DD76CE"/>
    <w:rsid w:val="02F36323"/>
    <w:rsid w:val="02F5619C"/>
    <w:rsid w:val="0326446A"/>
    <w:rsid w:val="032D5555"/>
    <w:rsid w:val="0346750A"/>
    <w:rsid w:val="036634D2"/>
    <w:rsid w:val="03DD35E4"/>
    <w:rsid w:val="04076900"/>
    <w:rsid w:val="041A5A3B"/>
    <w:rsid w:val="042311BA"/>
    <w:rsid w:val="042B157A"/>
    <w:rsid w:val="048F763B"/>
    <w:rsid w:val="049F330E"/>
    <w:rsid w:val="04AA775C"/>
    <w:rsid w:val="04AF1889"/>
    <w:rsid w:val="04E307C8"/>
    <w:rsid w:val="04F66F48"/>
    <w:rsid w:val="05251E14"/>
    <w:rsid w:val="05A16594"/>
    <w:rsid w:val="05A7762D"/>
    <w:rsid w:val="060E5941"/>
    <w:rsid w:val="06110FAF"/>
    <w:rsid w:val="06493CA7"/>
    <w:rsid w:val="065A6178"/>
    <w:rsid w:val="066F1CF3"/>
    <w:rsid w:val="06930BB8"/>
    <w:rsid w:val="06BE6513"/>
    <w:rsid w:val="0723229D"/>
    <w:rsid w:val="07245D42"/>
    <w:rsid w:val="07264C62"/>
    <w:rsid w:val="072F4870"/>
    <w:rsid w:val="0779354C"/>
    <w:rsid w:val="08061376"/>
    <w:rsid w:val="08452D77"/>
    <w:rsid w:val="086401F8"/>
    <w:rsid w:val="08751CAA"/>
    <w:rsid w:val="087E4C40"/>
    <w:rsid w:val="08A871D0"/>
    <w:rsid w:val="08D66AD6"/>
    <w:rsid w:val="08DA33A3"/>
    <w:rsid w:val="08E5587C"/>
    <w:rsid w:val="08E80F13"/>
    <w:rsid w:val="090848A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74370"/>
    <w:rsid w:val="0AA374A5"/>
    <w:rsid w:val="0AAB7649"/>
    <w:rsid w:val="0ABC5606"/>
    <w:rsid w:val="0B30404E"/>
    <w:rsid w:val="0B4C6C14"/>
    <w:rsid w:val="0B547599"/>
    <w:rsid w:val="0B631A88"/>
    <w:rsid w:val="0B683D45"/>
    <w:rsid w:val="0B7F3F11"/>
    <w:rsid w:val="0B884417"/>
    <w:rsid w:val="0BAB231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846EA"/>
    <w:rsid w:val="101379B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33008"/>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0746C"/>
    <w:rsid w:val="1C1B3B4A"/>
    <w:rsid w:val="1C393F76"/>
    <w:rsid w:val="1C88086E"/>
    <w:rsid w:val="1D266CE1"/>
    <w:rsid w:val="1D3963AF"/>
    <w:rsid w:val="1D6A673C"/>
    <w:rsid w:val="1D9247AE"/>
    <w:rsid w:val="1DB567EC"/>
    <w:rsid w:val="1DF51A98"/>
    <w:rsid w:val="1E3D060F"/>
    <w:rsid w:val="1E3F7D2E"/>
    <w:rsid w:val="1E4134E4"/>
    <w:rsid w:val="1E5062B3"/>
    <w:rsid w:val="1E523514"/>
    <w:rsid w:val="1E5B6C05"/>
    <w:rsid w:val="1E714A66"/>
    <w:rsid w:val="1E802593"/>
    <w:rsid w:val="1E8B6156"/>
    <w:rsid w:val="1EA703CC"/>
    <w:rsid w:val="1EB7330C"/>
    <w:rsid w:val="1F0A0FF3"/>
    <w:rsid w:val="1F135826"/>
    <w:rsid w:val="1F4846B0"/>
    <w:rsid w:val="1F5771FF"/>
    <w:rsid w:val="1FE868A9"/>
    <w:rsid w:val="20034907"/>
    <w:rsid w:val="20173E4B"/>
    <w:rsid w:val="204E48BC"/>
    <w:rsid w:val="208921B3"/>
    <w:rsid w:val="20973DEB"/>
    <w:rsid w:val="20B26522"/>
    <w:rsid w:val="20B44310"/>
    <w:rsid w:val="211116EB"/>
    <w:rsid w:val="21170B2C"/>
    <w:rsid w:val="216133FC"/>
    <w:rsid w:val="216B7CA9"/>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B1B9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939EF"/>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07B22"/>
    <w:rsid w:val="29806583"/>
    <w:rsid w:val="298B3C4C"/>
    <w:rsid w:val="29F26D24"/>
    <w:rsid w:val="2A15033F"/>
    <w:rsid w:val="2A1662C1"/>
    <w:rsid w:val="2A1C7367"/>
    <w:rsid w:val="2A2815FA"/>
    <w:rsid w:val="2A6D6092"/>
    <w:rsid w:val="2A7D76B4"/>
    <w:rsid w:val="2AF438F9"/>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2A07B6"/>
    <w:rsid w:val="336963EB"/>
    <w:rsid w:val="33816EEB"/>
    <w:rsid w:val="339454AD"/>
    <w:rsid w:val="33EB55CD"/>
    <w:rsid w:val="33EC4C02"/>
    <w:rsid w:val="33F24EFA"/>
    <w:rsid w:val="340D2360"/>
    <w:rsid w:val="3410665D"/>
    <w:rsid w:val="34211214"/>
    <w:rsid w:val="342E63AB"/>
    <w:rsid w:val="34950E68"/>
    <w:rsid w:val="34986E94"/>
    <w:rsid w:val="34AF62C9"/>
    <w:rsid w:val="34CB4388"/>
    <w:rsid w:val="34FA6E12"/>
    <w:rsid w:val="354D7158"/>
    <w:rsid w:val="358D5588"/>
    <w:rsid w:val="35B5195A"/>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07D78"/>
    <w:rsid w:val="38586797"/>
    <w:rsid w:val="38BC0149"/>
    <w:rsid w:val="38D87D1C"/>
    <w:rsid w:val="39636459"/>
    <w:rsid w:val="396B7F6C"/>
    <w:rsid w:val="39B417A9"/>
    <w:rsid w:val="39FC5695"/>
    <w:rsid w:val="3A006D8E"/>
    <w:rsid w:val="3A3651E5"/>
    <w:rsid w:val="3A744481"/>
    <w:rsid w:val="3A8C7BEF"/>
    <w:rsid w:val="3A906246"/>
    <w:rsid w:val="3B2349B7"/>
    <w:rsid w:val="3B381B42"/>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E6A44"/>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970AA"/>
    <w:rsid w:val="49F6167F"/>
    <w:rsid w:val="4A064FA0"/>
    <w:rsid w:val="4A16615C"/>
    <w:rsid w:val="4A4424D7"/>
    <w:rsid w:val="4AB82D0F"/>
    <w:rsid w:val="4AEB7664"/>
    <w:rsid w:val="4AFD7C19"/>
    <w:rsid w:val="4B0567D1"/>
    <w:rsid w:val="4B236AAE"/>
    <w:rsid w:val="4B707271"/>
    <w:rsid w:val="4B9739F7"/>
    <w:rsid w:val="4BE164D1"/>
    <w:rsid w:val="4BEE2503"/>
    <w:rsid w:val="4C245A30"/>
    <w:rsid w:val="4CB6685F"/>
    <w:rsid w:val="4CBE7CF0"/>
    <w:rsid w:val="4CC367FE"/>
    <w:rsid w:val="4D077F3C"/>
    <w:rsid w:val="4D123355"/>
    <w:rsid w:val="4D2A3B31"/>
    <w:rsid w:val="4D312C52"/>
    <w:rsid w:val="4D655ABF"/>
    <w:rsid w:val="4D905305"/>
    <w:rsid w:val="4D964A72"/>
    <w:rsid w:val="4D9C1254"/>
    <w:rsid w:val="4E285011"/>
    <w:rsid w:val="4E793892"/>
    <w:rsid w:val="4E800872"/>
    <w:rsid w:val="4EC569ED"/>
    <w:rsid w:val="4ED50EA1"/>
    <w:rsid w:val="4EEC050C"/>
    <w:rsid w:val="4F104EC3"/>
    <w:rsid w:val="4F47354A"/>
    <w:rsid w:val="4F911C54"/>
    <w:rsid w:val="4FE625E0"/>
    <w:rsid w:val="5021480F"/>
    <w:rsid w:val="50962ECB"/>
    <w:rsid w:val="509B7FEF"/>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43E9D"/>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35624"/>
    <w:rsid w:val="59F80043"/>
    <w:rsid w:val="5A09252F"/>
    <w:rsid w:val="5A0B2778"/>
    <w:rsid w:val="5A2A7C7B"/>
    <w:rsid w:val="5A3E2560"/>
    <w:rsid w:val="5A5D3B6E"/>
    <w:rsid w:val="5A637A76"/>
    <w:rsid w:val="5A6D33BA"/>
    <w:rsid w:val="5A792B1F"/>
    <w:rsid w:val="5A874767"/>
    <w:rsid w:val="5A894C33"/>
    <w:rsid w:val="5AA85BE2"/>
    <w:rsid w:val="5AAD6F28"/>
    <w:rsid w:val="5AD63A24"/>
    <w:rsid w:val="5B2E1A1D"/>
    <w:rsid w:val="5B3A35EB"/>
    <w:rsid w:val="5B843A1C"/>
    <w:rsid w:val="5B873E3F"/>
    <w:rsid w:val="5BAE731E"/>
    <w:rsid w:val="5C02690E"/>
    <w:rsid w:val="5C196DA7"/>
    <w:rsid w:val="5C2A048C"/>
    <w:rsid w:val="5C44359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4718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16004"/>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44E81"/>
    <w:rsid w:val="6E8335BD"/>
    <w:rsid w:val="6E8E12EF"/>
    <w:rsid w:val="6E972936"/>
    <w:rsid w:val="6ED446C5"/>
    <w:rsid w:val="6F2A7D94"/>
    <w:rsid w:val="6F8331F1"/>
    <w:rsid w:val="6FAE1A09"/>
    <w:rsid w:val="6FD75BF8"/>
    <w:rsid w:val="707723D0"/>
    <w:rsid w:val="70F5661B"/>
    <w:rsid w:val="71360107"/>
    <w:rsid w:val="713B688E"/>
    <w:rsid w:val="71B072FD"/>
    <w:rsid w:val="71D43752"/>
    <w:rsid w:val="71F1796A"/>
    <w:rsid w:val="72154626"/>
    <w:rsid w:val="72262B5D"/>
    <w:rsid w:val="72283FF7"/>
    <w:rsid w:val="722E7212"/>
    <w:rsid w:val="723A0474"/>
    <w:rsid w:val="725923E4"/>
    <w:rsid w:val="72662C14"/>
    <w:rsid w:val="727A783B"/>
    <w:rsid w:val="72864BF7"/>
    <w:rsid w:val="729023FC"/>
    <w:rsid w:val="73C0646E"/>
    <w:rsid w:val="742222F5"/>
    <w:rsid w:val="74476126"/>
    <w:rsid w:val="74706664"/>
    <w:rsid w:val="747F3682"/>
    <w:rsid w:val="749C4185"/>
    <w:rsid w:val="74D43D4F"/>
    <w:rsid w:val="75067759"/>
    <w:rsid w:val="752E6DCD"/>
    <w:rsid w:val="7551380D"/>
    <w:rsid w:val="75600BE5"/>
    <w:rsid w:val="7564475C"/>
    <w:rsid w:val="7583797F"/>
    <w:rsid w:val="75953DE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4846D6"/>
    <w:rsid w:val="78775729"/>
    <w:rsid w:val="78A42DB0"/>
    <w:rsid w:val="78A656AB"/>
    <w:rsid w:val="78B2245C"/>
    <w:rsid w:val="78CD7EA0"/>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06A5A"/>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1"/>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5975</Words>
  <Characters>34060</Characters>
  <Lines>283</Lines>
  <Paragraphs>79</Paragraphs>
  <TotalTime>2</TotalTime>
  <ScaleCrop>false</ScaleCrop>
  <LinksUpToDate>false</LinksUpToDate>
  <CharactersWithSpaces>39956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杨颖</cp:lastModifiedBy>
  <cp:lastPrinted>2021-12-27T03:06:00Z</cp:lastPrinted>
  <dcterms:modified xsi:type="dcterms:W3CDTF">2022-12-20T02:17:44Z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