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rPr>
        <w:t>杭州临安区纪委监委监督智慧监督平台（二期）建设项目-“护廉天目”公权力大数据监督应用</w:t>
      </w:r>
      <w:r>
        <w:rPr>
          <w:rFonts w:hint="eastAsia" w:ascii="仿宋" w:hAnsi="仿宋" w:eastAsia="仿宋" w:cs="仿宋"/>
          <w:sz w:val="48"/>
          <w:szCs w:val="48"/>
          <w:lang w:eastAsia="zh-CN"/>
        </w:rPr>
        <w:t>项目</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rPr>
        <w:t>招标</w:t>
      </w:r>
      <w:r>
        <w:rPr>
          <w:rFonts w:hint="eastAsia" w:ascii="仿宋" w:hAnsi="仿宋" w:eastAsia="仿宋" w:cs="仿宋"/>
          <w:sz w:val="48"/>
          <w:szCs w:val="48"/>
          <w:highlight w:val="none"/>
        </w:rPr>
        <w:t xml:space="preserve">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LZC-GK-2022-09065</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杭州市临安区数据资源管理局</w:t>
      </w:r>
    </w:p>
    <w:p>
      <w:pPr>
        <w:snapToGrid w:val="0"/>
        <w:spacing w:line="360" w:lineRule="auto"/>
        <w:jc w:val="cente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杭州市公共资源交易中心</w:t>
      </w:r>
      <w:r>
        <w:rPr>
          <w:rFonts w:hint="eastAsia" w:ascii="仿宋" w:hAnsi="仿宋" w:eastAsia="仿宋" w:cs="仿宋"/>
          <w:bCs/>
          <w:sz w:val="32"/>
          <w:szCs w:val="32"/>
          <w:highlight w:val="none"/>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十</w:t>
      </w:r>
      <w:r>
        <w:rPr>
          <w:rFonts w:hint="eastAsia" w:ascii="仿宋" w:hAnsi="仿宋" w:eastAsia="仿宋" w:cs="仿宋"/>
          <w:bCs/>
          <w:sz w:val="32"/>
          <w:szCs w:val="32"/>
        </w:rPr>
        <w:t>月</w:t>
      </w:r>
      <w:r>
        <w:rPr>
          <w:rFonts w:hint="eastAsia" w:ascii="仿宋" w:hAnsi="仿宋" w:eastAsia="仿宋" w:cs="仿宋"/>
          <w:bCs/>
          <w:sz w:val="32"/>
          <w:szCs w:val="32"/>
          <w:lang w:eastAsia="zh-CN"/>
        </w:rPr>
        <w:t>八</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6"/>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杭州临安区纪委监委监督智慧监督平台（二期）建设项目-“护廉天目”公权力大数据监督应用</w:t>
      </w:r>
      <w:r>
        <w:rPr>
          <w:rFonts w:hint="eastAsia" w:ascii="仿宋" w:hAnsi="仿宋" w:eastAsia="仿宋" w:cs="仿宋"/>
          <w:sz w:val="24"/>
          <w:lang w:eastAsia="zh-CN"/>
        </w:rPr>
        <w:t>项目</w:t>
      </w:r>
      <w:r>
        <w:rPr>
          <w:rFonts w:hint="eastAsia" w:ascii="仿宋" w:hAnsi="仿宋" w:eastAsia="仿宋" w:cs="仿宋"/>
          <w:sz w:val="24"/>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31</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w:t>
      </w:r>
      <w:r>
        <w:rPr>
          <w:rFonts w:hint="eastAsia" w:ascii="仿宋" w:hAnsi="仿宋" w:eastAsia="仿宋" w:cs="仿宋"/>
          <w:sz w:val="24"/>
        </w:rPr>
        <w:t>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val="en-US" w:eastAsia="zh-CN"/>
        </w:rPr>
        <w:t>LZC-GK-2022-09065</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rPr>
        <w:t>杭州临安区纪委监委监督智慧监督平台（二期）建设项目-“护廉天目”公权力大数据监督应用</w:t>
      </w:r>
      <w:r>
        <w:rPr>
          <w:rFonts w:hint="eastAsia" w:ascii="仿宋" w:hAnsi="仿宋" w:eastAsia="仿宋" w:cs="仿宋"/>
          <w:b w:val="0"/>
          <w:bCs/>
          <w:sz w:val="24"/>
          <w:lang w:eastAsia="zh-CN"/>
        </w:rPr>
        <w:t>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5000000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5000000</w:t>
      </w:r>
      <w:r>
        <w:rPr>
          <w:rFonts w:hint="eastAsia" w:ascii="仿宋" w:hAnsi="仿宋" w:eastAsia="仿宋" w:cs="仿宋"/>
          <w:sz w:val="24"/>
        </w:rPr>
        <w:t xml:space="preserve">  </w:t>
      </w:r>
    </w:p>
    <w:p>
      <w:pPr>
        <w:pStyle w:val="9"/>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护廉天目”公权力大数据监督应用在满足深入贯彻省委关于推进数字化改革，打造“重要窗口”重大标志性成果部署精神，落实省市纪委关于进一步加强公权力大数据监督的要求，在省纪委“一本账”统筹的框架下建设</w:t>
      </w:r>
      <w:r>
        <w:rPr>
          <w:rFonts w:hint="eastAsia" w:ascii="仿宋" w:hAnsi="仿宋" w:eastAsia="仿宋" w:cs="仿宋"/>
          <w:b w:val="0"/>
          <w:bCs/>
          <w:snapToGrid/>
          <w:color w:val="auto"/>
          <w:kern w:val="2"/>
          <w:sz w:val="24"/>
          <w:szCs w:val="24"/>
        </w:rPr>
        <w:t>。详见</w:t>
      </w:r>
      <w:r>
        <w:rPr>
          <w:rFonts w:hint="eastAsia" w:ascii="仿宋" w:hAnsi="仿宋" w:eastAsia="仿宋" w:cs="仿宋"/>
          <w:bCs/>
          <w:snapToGrid/>
          <w:color w:val="auto"/>
          <w:kern w:val="2"/>
          <w:sz w:val="24"/>
          <w:szCs w:val="24"/>
        </w:rPr>
        <w:t>招标文件第三部分采购需求。</w:t>
      </w:r>
    </w:p>
    <w:p>
      <w:pPr>
        <w:pStyle w:val="130"/>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 w:val="0"/>
          <w:bCs/>
        </w:rPr>
        <w:t>合同签订之日起60天内完成整体项目建设。</w:t>
      </w:r>
    </w:p>
    <w:p>
      <w:pPr>
        <w:pStyle w:val="9"/>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31</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31</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31</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6"/>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rPr>
              <w:t>区纪委监委监督智慧监督平台（二期）建设</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方式二：交易中心现场演示。现场</w:t>
            </w:r>
            <w:r>
              <w:rPr>
                <w:rFonts w:hint="eastAsia" w:ascii="仿宋" w:hAnsi="仿宋" w:eastAsia="仿宋" w:cs="仿宋"/>
                <w:kern w:val="0"/>
                <w:sz w:val="24"/>
                <w:lang w:val="zh-CN" w:eastAsia="zh-CN"/>
              </w:rPr>
              <w:t>演示</w:t>
            </w:r>
            <w:r>
              <w:rPr>
                <w:rFonts w:hint="eastAsia" w:ascii="仿宋" w:hAnsi="仿宋" w:eastAsia="仿宋" w:cs="仿宋"/>
                <w:kern w:val="0"/>
                <w:sz w:val="24"/>
                <w:lang w:val="zh-CN"/>
              </w:rPr>
              <w:t>地点为</w:t>
            </w:r>
            <w:r>
              <w:rPr>
                <w:rFonts w:hint="eastAsia" w:ascii="仿宋" w:hAnsi="仿宋" w:eastAsia="仿宋" w:cs="仿宋"/>
                <w:kern w:val="0"/>
                <w:sz w:val="24"/>
                <w:u w:val="single"/>
                <w:lang w:val="zh-CN"/>
              </w:rPr>
              <w:t>杭州市公共资源交易中心</w:t>
            </w:r>
            <w:r>
              <w:rPr>
                <w:rFonts w:hint="eastAsia" w:ascii="仿宋" w:hAnsi="仿宋" w:eastAsia="仿宋" w:cs="仿宋"/>
                <w:kern w:val="0"/>
                <w:sz w:val="24"/>
                <w:u w:val="single"/>
                <w:lang w:val="zh-CN" w:eastAsia="zh-CN"/>
              </w:rPr>
              <w:t>临安分中心询标</w:t>
            </w:r>
            <w:r>
              <w:rPr>
                <w:rFonts w:hint="eastAsia" w:ascii="仿宋" w:hAnsi="仿宋" w:eastAsia="仿宋" w:cs="仿宋"/>
                <w:kern w:val="0"/>
                <w:sz w:val="24"/>
                <w:u w:val="single"/>
                <w:lang w:val="zh-CN"/>
              </w:rPr>
              <w:t>室[杭州市</w:t>
            </w:r>
            <w:r>
              <w:rPr>
                <w:rFonts w:hint="eastAsia" w:ascii="仿宋" w:hAnsi="仿宋" w:eastAsia="仿宋" w:cs="仿宋"/>
                <w:kern w:val="0"/>
                <w:sz w:val="24"/>
                <w:u w:val="single"/>
                <w:lang w:val="zh-CN" w:eastAsia="zh-CN"/>
              </w:rPr>
              <w:t>临安区锦北街道科技大道4398号市民中心B座4楼询标室</w:t>
            </w:r>
            <w:r>
              <w:rPr>
                <w:rFonts w:hint="eastAsia" w:ascii="仿宋" w:hAnsi="仿宋" w:eastAsia="仿宋" w:cs="仿宋"/>
                <w:kern w:val="0"/>
                <w:sz w:val="24"/>
                <w:u w:val="single"/>
                <w:lang w:val="zh-CN"/>
              </w:rPr>
              <w:t>]</w:t>
            </w:r>
            <w:r>
              <w:rPr>
                <w:rFonts w:hint="eastAsia" w:ascii="仿宋" w:hAnsi="仿宋" w:eastAsia="仿宋" w:cs="仿宋"/>
                <w:kern w:val="0"/>
                <w:sz w:val="24"/>
                <w:lang w:val="zh-CN"/>
              </w:rPr>
              <w:t>，演示所用电脑等设备由投标人自备。现场演示人员进场时提供</w:t>
            </w:r>
            <w:r>
              <w:rPr>
                <w:rFonts w:hint="eastAsia" w:ascii="仿宋" w:hAnsi="仿宋" w:eastAsia="仿宋" w:cs="仿宋"/>
                <w:kern w:val="0"/>
                <w:sz w:val="24"/>
                <w:lang w:val="zh-CN" w:eastAsia="zh-CN"/>
              </w:rPr>
              <w:t>演示</w:t>
            </w:r>
            <w:r>
              <w:rPr>
                <w:rFonts w:hint="eastAsia" w:ascii="仿宋" w:hAnsi="仿宋" w:eastAsia="仿宋" w:cs="仿宋"/>
                <w:kern w:val="0"/>
                <w:sz w:val="24"/>
                <w:lang w:val="zh-CN"/>
              </w:rPr>
              <w:t>人员名单（加盖公章）及身份证明，否则不得演示。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lang w:val="zh-CN"/>
              </w:rPr>
              <w:t>注：因投标人自身原因导致无法演示或者演示效果不理想的，责任自负。因平台原因导致本项目方案</w:t>
            </w:r>
            <w:bookmarkStart w:id="527" w:name="_GoBack"/>
            <w:bookmarkEnd w:id="527"/>
            <w:r>
              <w:rPr>
                <w:rFonts w:hint="eastAsia" w:ascii="仿宋" w:hAnsi="仿宋" w:eastAsia="仿宋" w:cs="仿宋"/>
                <w:kern w:val="0"/>
                <w:sz w:val="24"/>
                <w:lang w:val="zh-CN"/>
              </w:rPr>
              <w:t>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9"/>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6"/>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6"/>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9"/>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6"/>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6"/>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10"/>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sz w:val="32"/>
        </w:rPr>
      </w:pPr>
    </w:p>
    <w:p>
      <w:pPr>
        <w:pStyle w:val="13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30"/>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10"/>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10"/>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10"/>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10"/>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7"/>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10"/>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8"/>
      <w:bookmarkEnd w:id="16"/>
      <w:bookmarkStart w:id="17" w:name="_Hlt75236011"/>
      <w:bookmarkEnd w:id="17"/>
      <w:bookmarkStart w:id="18" w:name="_Hlt75236101"/>
      <w:bookmarkEnd w:id="18"/>
      <w:bookmarkStart w:id="19" w:name="_Hlt68073093"/>
      <w:bookmarkEnd w:id="19"/>
      <w:bookmarkStart w:id="20" w:name="_Hlt75236290"/>
      <w:bookmarkEnd w:id="20"/>
      <w:bookmarkStart w:id="21" w:name="_Hlt68403820"/>
      <w:bookmarkEnd w:id="21"/>
      <w:bookmarkStart w:id="22" w:name="_Hlt74707468"/>
      <w:bookmarkEnd w:id="22"/>
      <w:bookmarkStart w:id="23" w:name="_Hlt68072990"/>
      <w:bookmarkEnd w:id="23"/>
      <w:bookmarkStart w:id="24" w:name="_Hlt74714665"/>
      <w:bookmarkEnd w:id="24"/>
      <w:bookmarkStart w:id="25" w:name="_Hlt68057669"/>
      <w:bookmarkEnd w:id="25"/>
      <w:bookmarkStart w:id="26" w:name="_Hlt74730295"/>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项目名称</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杭州临安区纪委监委监督智慧监督平台（二期）建设项目-“护廉天目”公权力大数据监督应用，以下简称“护廉天目”公权力大数据监督应用。</w:t>
      </w:r>
    </w:p>
    <w:p>
      <w:pPr>
        <w:pStyle w:val="9"/>
        <w:spacing w:line="360" w:lineRule="auto"/>
        <w:ind w:firstLine="0"/>
        <w:rPr>
          <w:rFonts w:hint="eastAsia" w:ascii="仿宋" w:hAnsi="仿宋" w:eastAsia="仿宋" w:cs="仿宋"/>
        </w:rPr>
      </w:pP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项目背景</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本项目建设内容重点围绕已进入《2022年全省重大改革（重大应用）“一本账S2”》的工程领域与追逃防逃领域子应用场景，并根据业务发展打造八大中心即智慧防逃监督管理中心，政治生态监督评估中心，大数据监督一体化中心，基层小微权力监督中心，工程项目监督预警中心、国有资产监督预警中心、惠民补助监督预警中心、监察对象监督预警中心，并新增数据源与预警规则模型，改造新建业务流程与日常办公功能。二期项目将进一步深化数字化改革总体指导思想，符合数据安全新规，严格按照省委要求完成《2022年全省重大改革（重大应用）“一本账S2”》的工程领域与追逃防逃领域子应用场景建设。</w:t>
      </w:r>
    </w:p>
    <w:p>
      <w:pPr>
        <w:pStyle w:val="9"/>
        <w:spacing w:line="360" w:lineRule="auto"/>
        <w:ind w:firstLine="0"/>
        <w:rPr>
          <w:rFonts w:hint="eastAsia" w:ascii="仿宋" w:hAnsi="仿宋" w:eastAsia="仿宋" w:cs="仿宋"/>
        </w:rPr>
      </w:pP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项目建设目标</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结合当下监督实际情况，进一步提升监督平台的治理效果，为监督执纪各项工作高质量发展提供有力支撑，从而新建护廉天目”公权力大数据监督应用。杭州临安区纪委监委监督智慧监督平台（二期）建设项目即“护廉天目”公权力大数据监督应用建设后主要实现以下目标：</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1、运用“护廉天目”公权力大数据监督应用，与相关单位进行有效衔接，对出入境全流程进行线上化办公闭环，保证同向发力、一体推进，以信息化手段积极打造规范化“智慧防逃”全省试点单位。</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在规范运用“护廉天目”公权力大数据监督应用的基础上，结合实际因地制宜开展工作，推动实现监督职责再强化、监督力量再融合、监督效果再提升。纳入更多优秀数据源，同时对补助领域、工程领域、国有资产领域、出入境领域、人员领域预警规则进一步扩充与优化，做到自助化实时预警、分析及报表推送，实现及时发现，及时处置的目的。</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3、根据中央、省市关于加强对“一把手”和领导班子监督的实施意见和省委“五张责任清单”，结合临安区工作实际和信息化工作内容，在原政治生态基础之上，搭建政治监督评估体系。</w:t>
      </w:r>
      <w:r>
        <w:rPr>
          <w:rFonts w:hint="eastAsia" w:ascii="仿宋" w:hAnsi="仿宋" w:eastAsia="仿宋" w:cs="仿宋"/>
          <w:color w:val="000000"/>
          <w:sz w:val="24"/>
          <w:shd w:val="clear" w:color="auto" w:fill="FFFFFF"/>
        </w:rPr>
        <w:t>聚焦“一把手”权力运行，找准关键点、风险点、薄弱点，明确监督重点，以列席会议、巡视巡察、履职谈话、廉政谈话、政治画像等方式，推动监督下沉、监督落地，提升监督精准性实效性，严实对“一把手”的日常监督提醒和行使权力的过程监督，不断强化对“一把手”落实主体责任、遵守党的政治纪律、执行民主集中制、落实重大决策部署等情况的监督，以无处不在、无时不在的精准监督解决专责监督偏晚问题</w:t>
      </w:r>
      <w:r>
        <w:rPr>
          <w:rFonts w:hint="eastAsia" w:ascii="仿宋" w:hAnsi="仿宋" w:eastAsia="仿宋" w:cs="仿宋"/>
          <w:sz w:val="24"/>
          <w:lang w:bidi="en-US"/>
        </w:rPr>
        <w:t>。</w:t>
      </w:r>
    </w:p>
    <w:p>
      <w:pPr>
        <w:spacing w:line="360" w:lineRule="auto"/>
        <w:ind w:firstLine="480" w:firstLineChars="200"/>
        <w:rPr>
          <w:rFonts w:hint="eastAsia" w:ascii="仿宋" w:hAnsi="仿宋" w:eastAsia="仿宋" w:cs="仿宋"/>
          <w:color w:val="191919"/>
          <w:sz w:val="24"/>
          <w:shd w:val="clear" w:color="auto" w:fill="FFFFFF"/>
        </w:rPr>
      </w:pPr>
      <w:r>
        <w:rPr>
          <w:rFonts w:hint="eastAsia" w:ascii="仿宋" w:hAnsi="仿宋" w:eastAsia="仿宋" w:cs="仿宋"/>
          <w:sz w:val="24"/>
          <w:lang w:bidi="en-US"/>
        </w:rPr>
        <w:t xml:space="preserve"> 4、</w:t>
      </w:r>
      <w:r>
        <w:rPr>
          <w:rFonts w:hint="eastAsia" w:ascii="仿宋" w:hAnsi="仿宋" w:eastAsia="仿宋" w:cs="仿宋"/>
          <w:color w:val="191919"/>
          <w:sz w:val="24"/>
          <w:shd w:val="clear" w:color="auto" w:fill="FFFFFF"/>
        </w:rPr>
        <w:t>多策并举、多管齐下的</w:t>
      </w:r>
      <w:r>
        <w:rPr>
          <w:rFonts w:hint="eastAsia" w:ascii="仿宋" w:hAnsi="仿宋" w:eastAsia="仿宋" w:cs="仿宋"/>
          <w:sz w:val="24"/>
          <w:lang w:bidi="en-US"/>
        </w:rPr>
        <w:t>进一步加强数据安全，数据质量等方面的监控与加固</w:t>
      </w:r>
      <w:r>
        <w:rPr>
          <w:rFonts w:hint="eastAsia" w:ascii="仿宋" w:hAnsi="仿宋" w:eastAsia="仿宋" w:cs="仿宋"/>
          <w:color w:val="191919"/>
          <w:sz w:val="24"/>
          <w:shd w:val="clear" w:color="auto" w:fill="FFFFFF"/>
        </w:rPr>
        <w:t>。从技术上扎牢安全藩篱，不断加固防火墙，在基础保护技术的研发、基础保护技术体系的建设和实施、关键信息基础设施的安全防护等方面持续强化。开展数据安全的风险评估和安全认证活动，做好自我约束工作，构筑与建设“科技向善”规则与伦理体系。此外，采用安全可信的产品和服务，提升基础设施关键设备的安全可靠水平，提升重大网络安全事件应急处理的能力和风险识别能力。</w:t>
      </w:r>
    </w:p>
    <w:p>
      <w:pPr>
        <w:pStyle w:val="9"/>
        <w:spacing w:line="360" w:lineRule="auto"/>
        <w:ind w:firstLine="0"/>
        <w:rPr>
          <w:rFonts w:hint="eastAsia" w:ascii="仿宋" w:hAnsi="仿宋" w:eastAsia="仿宋" w:cs="仿宋"/>
        </w:rPr>
      </w:pP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建设原则</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本项目设计遵循技术先进、功能齐全、性能稳定、节约成本的原则。并综合考虑实施、维护及操作因素。本系统设计内容是系统的、完整的、全面的；设计具有科学性、合理性、可操作性。增强工作的主动性，发挥科学管理的作用。在设计过程中应遵循以下原则：</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1、先进性与适用性</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系统的技术性能和质量达到领先水平；同时，系统的安装调试、软件编程和操作使用又应简便易行，容易掌握，适合中国国情和本项目的特点。该系统集众多先进技术于一身，体现了当前计算机控制技术与计算机网络技术的最新发展水平，适应时代发展的要求。同时系统是面向各种管理层次使用的系统，其功能的配置以能给用户提供舒适、安全、方便、快捷为准则，其操作应简便易学。</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2、经济性与实用性</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充分考虑用户实际需要和信息技术发展趋势，根据用户现场环境，设计选用功能和适合现场情况、符合用户要求的系统配置方案，通过严密、有机的组合，实现最佳的性能价格比，以便节约投资，同时保证系统功能实施的需求，经济实用。</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3、可靠性与安全性</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系统的设计应具有较高的可靠性，在系统故障或事故造成中断后，能确保数据的准确性、完整性和一致性，并具备迅速恢复的功能，同时系统具有一整套完整的系统管理策略，可以保证系统的运行安全。</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4、可扩充性</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系统设计中考虑到今后技术的发展和使用的需要，具有更新、扩充和升级的可能。并根据今后该项目工程的实际要求扩展系统功能，同时，在设计中留有冗余，以满足今后的发展要求。</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5、追求最优化的系统设备配置</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在满足用户对功能、质量、性能、价格和服务等各方面要求的前提下，追求最优化的系统设备配置，以尽量降低系统造价。</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6、保留足够的扩展容量</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该项目设备的控制容量上保留一定的余地，以便在系统中改造新的控制点；系统中还保留与其他计算机或自动化系统连接的接口；也尽量考虑未来科学的发展和新技术的应用。</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7、提高监管力度与综合管理水平</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本项目系统设备控制需要高效率、准确及可靠。系统的综合统筹管理可使设备按最优组合运行，在最佳情况下运行，既可节能，又可大大减少设备损耗，减少设备维修费用，从而提高监管力度与综合管理水平。</w:t>
      </w:r>
    </w:p>
    <w:p>
      <w:pPr>
        <w:pStyle w:val="9"/>
        <w:spacing w:line="360" w:lineRule="auto"/>
        <w:ind w:firstLine="0"/>
        <w:rPr>
          <w:rFonts w:hint="eastAsia" w:ascii="仿宋" w:hAnsi="仿宋" w:eastAsia="仿宋" w:cs="仿宋"/>
        </w:rPr>
      </w:pP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建设内容</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护廉天目”公权力大数据监督应用在满足深入贯彻省委关于推进数字化改革，打造“重要窗口”重大标志性成果部署精神，落实省市纪委关于进一步加强公权力大数据监督的要求，在省纪委“一本账”统筹的框架下建设，建设完成后，主要用途有以下方面：</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1、运用“护廉天目”公权力大数据监督应用，与相关单位进行有效衔接，对出入境全流程进行线上化办公闭环，保证同向发力、一体推进，以信息化手段积极打造规范化“智慧防逃”全省试点单位。</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在规范运用“护廉天目”公权力大数据监督应用的基础上，结合实际因地制宜开展工作，推动实现监督职责再强化、监督力量再融合、监督效果再提升。利用更多优秀数据源，通过补助领域、工程领域、国有资产领域、出入境领域、人员领域预警规则进一步扩充与优化，做到自助化实时预警、分析及报表推送，实现及时发现，及时处置的目的。</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3、根据中央、省市关于加强对“一把手”和领导班子监督的实施意见和省委“五张责任清单”，结合临安区工作实际和信息化工作内容，</w:t>
      </w:r>
      <w:r>
        <w:rPr>
          <w:rFonts w:hint="eastAsia" w:ascii="仿宋" w:hAnsi="仿宋" w:eastAsia="仿宋" w:cs="仿宋"/>
          <w:color w:val="000000"/>
          <w:sz w:val="24"/>
          <w:shd w:val="clear" w:color="auto" w:fill="FFFFFF"/>
          <w:lang w:bidi="en-US"/>
        </w:rPr>
        <w:t>通过</w:t>
      </w:r>
      <w:r>
        <w:rPr>
          <w:rFonts w:hint="eastAsia" w:ascii="仿宋" w:hAnsi="仿宋" w:eastAsia="仿宋" w:cs="仿宋"/>
          <w:color w:val="000000"/>
          <w:sz w:val="24"/>
          <w:shd w:val="clear" w:color="auto" w:fill="FFFFFF"/>
        </w:rPr>
        <w:t>政治生态监督评估</w:t>
      </w:r>
      <w:r>
        <w:rPr>
          <w:rFonts w:hint="eastAsia" w:ascii="仿宋" w:hAnsi="仿宋" w:eastAsia="仿宋" w:cs="仿宋"/>
          <w:color w:val="000000"/>
          <w:sz w:val="24"/>
          <w:shd w:val="clear" w:color="auto" w:fill="FFFFFF"/>
          <w:lang w:bidi="en-US"/>
        </w:rPr>
        <w:t>中心，</w:t>
      </w:r>
      <w:r>
        <w:rPr>
          <w:rFonts w:hint="eastAsia" w:ascii="仿宋" w:hAnsi="仿宋" w:eastAsia="仿宋" w:cs="仿宋"/>
          <w:color w:val="000000"/>
          <w:sz w:val="24"/>
          <w:shd w:val="clear" w:color="auto" w:fill="FFFFFF"/>
        </w:rPr>
        <w:t>推动监督下沉、监督落地，提升监督精准性实效性，严实对“一把手”的日常监督提醒和行使权力的过程监督，不断强化对“一把手”落实主体责任、遵守党的政治纪律、执行民主集中制、落实重大决策部署等情况的监督</w:t>
      </w:r>
      <w:r>
        <w:rPr>
          <w:rFonts w:hint="eastAsia" w:ascii="仿宋" w:hAnsi="仿宋" w:eastAsia="仿宋" w:cs="仿宋"/>
          <w:sz w:val="24"/>
          <w:lang w:bidi="en-US"/>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lang w:bidi="en-US"/>
        </w:rPr>
        <w:t>4、运用“护廉天目”公权力大数据监督应用，满足日常监督所需的同时，发挥大数据平台特长，突破打造亮点和服务日常执纪办案，搭建更多应用小场景，助力数字化改革建设。</w:t>
      </w:r>
    </w:p>
    <w:p>
      <w:pPr>
        <w:pStyle w:val="2"/>
        <w:spacing w:line="360" w:lineRule="auto"/>
        <w:ind w:firstLine="480" w:firstLineChars="200"/>
        <w:rPr>
          <w:rFonts w:hint="eastAsia" w:ascii="仿宋" w:hAnsi="仿宋" w:eastAsia="仿宋" w:cs="仿宋"/>
        </w:rPr>
      </w:pPr>
      <w:r>
        <w:rPr>
          <w:rFonts w:hint="eastAsia" w:ascii="仿宋" w:hAnsi="仿宋" w:eastAsia="仿宋" w:cs="仿宋"/>
          <w:color w:val="000000" w:themeColor="text1"/>
          <w:sz w:val="24"/>
          <w:szCs w:val="24"/>
          <w:lang w:eastAsia="zh-Hans"/>
          <w14:textFill>
            <w14:solidFill>
              <w14:schemeClr w14:val="tx1"/>
            </w14:solidFill>
          </w14:textFill>
        </w:rPr>
        <w:t>建设内容一览表</w:t>
      </w:r>
      <w:r>
        <w:rPr>
          <w:rFonts w:hint="eastAsia" w:ascii="仿宋" w:hAnsi="仿宋" w:eastAsia="仿宋" w:cs="仿宋"/>
          <w:color w:val="000000" w:themeColor="text1"/>
          <w:sz w:val="24"/>
          <w:szCs w:val="24"/>
          <w14:textFill>
            <w14:solidFill>
              <w14:schemeClr w14:val="tx1"/>
            </w14:solidFill>
          </w14:textFill>
        </w:rPr>
        <w:t>如下：</w:t>
      </w:r>
    </w:p>
    <w:tbl>
      <w:tblPr>
        <w:tblStyle w:val="64"/>
        <w:tblW w:w="8032" w:type="dxa"/>
        <w:jc w:val="center"/>
        <w:tblLayout w:type="fixed"/>
        <w:tblCellMar>
          <w:top w:w="0" w:type="dxa"/>
          <w:left w:w="108" w:type="dxa"/>
          <w:bottom w:w="0" w:type="dxa"/>
          <w:right w:w="108" w:type="dxa"/>
        </w:tblCellMar>
      </w:tblPr>
      <w:tblGrid>
        <w:gridCol w:w="960"/>
        <w:gridCol w:w="2056"/>
        <w:gridCol w:w="1211"/>
        <w:gridCol w:w="3805"/>
      </w:tblGrid>
      <w:tr>
        <w:tblPrEx>
          <w:tblCellMar>
            <w:top w:w="0" w:type="dxa"/>
            <w:left w:w="108" w:type="dxa"/>
            <w:bottom w:w="0" w:type="dxa"/>
            <w:right w:w="108" w:type="dxa"/>
          </w:tblCellMar>
        </w:tblPrEx>
        <w:trPr>
          <w:trHeight w:val="43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7072"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系统模块</w:t>
            </w:r>
          </w:p>
        </w:tc>
      </w:tr>
      <w:tr>
        <w:tblPrEx>
          <w:tblCellMar>
            <w:top w:w="0" w:type="dxa"/>
            <w:left w:w="108" w:type="dxa"/>
            <w:bottom w:w="0" w:type="dxa"/>
            <w:right w:w="108" w:type="dxa"/>
          </w:tblCellMar>
        </w:tblPrEx>
        <w:trPr>
          <w:trHeight w:val="422" w:hRule="atLeast"/>
          <w:jc w:val="center"/>
        </w:trPr>
        <w:tc>
          <w:tcPr>
            <w:tcW w:w="8032" w:type="dxa"/>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综合流转平台</w:t>
            </w:r>
          </w:p>
        </w:tc>
      </w:tr>
      <w:tr>
        <w:tblPrEx>
          <w:tblCellMar>
            <w:top w:w="0" w:type="dxa"/>
            <w:left w:w="108" w:type="dxa"/>
            <w:bottom w:w="0" w:type="dxa"/>
            <w:right w:w="108" w:type="dxa"/>
          </w:tblCellMar>
        </w:tblPrEx>
        <w:trPr>
          <w:trHeight w:val="422"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05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预警流转模块</w:t>
            </w:r>
          </w:p>
        </w:tc>
        <w:tc>
          <w:tcPr>
            <w:tcW w:w="501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预警核查</w:t>
            </w:r>
          </w:p>
        </w:tc>
      </w:tr>
      <w:tr>
        <w:tblPrEx>
          <w:tblCellMar>
            <w:top w:w="0" w:type="dxa"/>
            <w:left w:w="108" w:type="dxa"/>
            <w:bottom w:w="0" w:type="dxa"/>
            <w:right w:w="108" w:type="dxa"/>
          </w:tblCellMar>
        </w:tblPrEx>
        <w:trPr>
          <w:trHeight w:val="434"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205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职能部门处置</w:t>
            </w:r>
          </w:p>
        </w:tc>
      </w:tr>
      <w:tr>
        <w:tblPrEx>
          <w:tblCellMar>
            <w:top w:w="0" w:type="dxa"/>
            <w:left w:w="108" w:type="dxa"/>
            <w:bottom w:w="0" w:type="dxa"/>
            <w:right w:w="108" w:type="dxa"/>
          </w:tblCellMar>
        </w:tblPrEx>
        <w:trPr>
          <w:trHeight w:val="9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205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核查归档</w:t>
            </w:r>
          </w:p>
        </w:tc>
      </w:tr>
      <w:tr>
        <w:tblPrEx>
          <w:tblCellMar>
            <w:top w:w="0" w:type="dxa"/>
            <w:left w:w="108" w:type="dxa"/>
            <w:bottom w:w="0" w:type="dxa"/>
            <w:right w:w="108" w:type="dxa"/>
          </w:tblCellMar>
        </w:tblPrEx>
        <w:trPr>
          <w:trHeight w:val="456"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205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综合评价</w:t>
            </w:r>
          </w:p>
        </w:tc>
      </w:tr>
      <w:tr>
        <w:tblPrEx>
          <w:tblCellMar>
            <w:top w:w="0" w:type="dxa"/>
            <w:left w:w="108" w:type="dxa"/>
            <w:bottom w:w="0" w:type="dxa"/>
            <w:right w:w="108" w:type="dxa"/>
          </w:tblCellMar>
        </w:tblPrEx>
        <w:trPr>
          <w:trHeight w:val="49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数据流转模块</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数据流转检入模块</w:t>
            </w:r>
          </w:p>
        </w:tc>
      </w:tr>
      <w:tr>
        <w:tblPrEx>
          <w:tblCellMar>
            <w:top w:w="0" w:type="dxa"/>
            <w:left w:w="108" w:type="dxa"/>
            <w:bottom w:w="0" w:type="dxa"/>
            <w:right w:w="108" w:type="dxa"/>
          </w:tblCellMar>
        </w:tblPrEx>
        <w:trPr>
          <w:trHeight w:val="479"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问题数据流转检出模块</w:t>
            </w:r>
          </w:p>
        </w:tc>
      </w:tr>
      <w:tr>
        <w:tblPrEx>
          <w:tblCellMar>
            <w:top w:w="0" w:type="dxa"/>
            <w:left w:w="108" w:type="dxa"/>
            <w:bottom w:w="0" w:type="dxa"/>
            <w:right w:w="108" w:type="dxa"/>
          </w:tblCellMar>
        </w:tblPrEx>
        <w:trPr>
          <w:trHeight w:val="483"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20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报表流转模块</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预警分析报表</w:t>
            </w:r>
          </w:p>
        </w:tc>
      </w:tr>
      <w:tr>
        <w:tblPrEx>
          <w:tblCellMar>
            <w:top w:w="0" w:type="dxa"/>
            <w:left w:w="108" w:type="dxa"/>
            <w:bottom w:w="0" w:type="dxa"/>
            <w:right w:w="108" w:type="dxa"/>
          </w:tblCellMar>
        </w:tblPrEx>
        <w:trPr>
          <w:trHeight w:val="525" w:hRule="atLeast"/>
          <w:jc w:val="center"/>
        </w:trPr>
        <w:tc>
          <w:tcPr>
            <w:tcW w:w="8032" w:type="dxa"/>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开放查询平台</w:t>
            </w:r>
          </w:p>
        </w:tc>
      </w:tr>
      <w:tr>
        <w:tblPrEx>
          <w:tblCellMar>
            <w:top w:w="0" w:type="dxa"/>
            <w:left w:w="108" w:type="dxa"/>
            <w:bottom w:w="0" w:type="dxa"/>
            <w:right w:w="108" w:type="dxa"/>
          </w:tblCellMar>
        </w:tblPrEx>
        <w:trPr>
          <w:trHeight w:val="517"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20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数据聚合模块</w:t>
            </w:r>
          </w:p>
        </w:tc>
        <w:tc>
          <w:tcPr>
            <w:tcW w:w="501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数据汇集</w:t>
            </w:r>
          </w:p>
        </w:tc>
      </w:tr>
      <w:tr>
        <w:tblPrEx>
          <w:tblCellMar>
            <w:top w:w="0" w:type="dxa"/>
            <w:left w:w="108" w:type="dxa"/>
            <w:bottom w:w="0" w:type="dxa"/>
            <w:right w:w="108" w:type="dxa"/>
          </w:tblCellMar>
        </w:tblPrEx>
        <w:trPr>
          <w:trHeight w:val="494"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20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数据查询模块</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数据查询</w:t>
            </w:r>
          </w:p>
        </w:tc>
      </w:tr>
      <w:tr>
        <w:tblPrEx>
          <w:tblCellMar>
            <w:top w:w="0" w:type="dxa"/>
            <w:left w:w="108" w:type="dxa"/>
            <w:bottom w:w="0" w:type="dxa"/>
            <w:right w:w="108" w:type="dxa"/>
          </w:tblCellMar>
        </w:tblPrEx>
        <w:trPr>
          <w:trHeight w:val="445" w:hRule="atLeast"/>
          <w:jc w:val="center"/>
        </w:trPr>
        <w:tc>
          <w:tcPr>
            <w:tcW w:w="8032" w:type="dxa"/>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预警决策分析平台</w:t>
            </w:r>
          </w:p>
        </w:tc>
      </w:tr>
      <w:tr>
        <w:tblPrEx>
          <w:tblCellMar>
            <w:top w:w="0" w:type="dxa"/>
            <w:left w:w="108" w:type="dxa"/>
            <w:bottom w:w="0" w:type="dxa"/>
            <w:right w:w="108" w:type="dxa"/>
          </w:tblCellMar>
        </w:tblPrEx>
        <w:trPr>
          <w:trHeight w:val="548"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205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数据应用模块</w:t>
            </w:r>
          </w:p>
        </w:tc>
        <w:tc>
          <w:tcPr>
            <w:tcW w:w="501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数据处理（合并、追加、比对）</w:t>
            </w:r>
          </w:p>
        </w:tc>
      </w:tr>
      <w:tr>
        <w:tblPrEx>
          <w:tblCellMar>
            <w:top w:w="0" w:type="dxa"/>
            <w:left w:w="108" w:type="dxa"/>
            <w:bottom w:w="0" w:type="dxa"/>
            <w:right w:w="108" w:type="dxa"/>
          </w:tblCellMar>
        </w:tblPrEx>
        <w:trPr>
          <w:trHeight w:val="445"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205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场景规则</w:t>
            </w:r>
          </w:p>
        </w:tc>
      </w:tr>
      <w:tr>
        <w:tblPrEx>
          <w:tblCellMar>
            <w:top w:w="0" w:type="dxa"/>
            <w:left w:w="108" w:type="dxa"/>
            <w:bottom w:w="0" w:type="dxa"/>
            <w:right w:w="108" w:type="dxa"/>
          </w:tblCellMar>
        </w:tblPrEx>
        <w:trPr>
          <w:trHeight w:val="517"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20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规则预警场景</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预警场景管理</w:t>
            </w:r>
          </w:p>
        </w:tc>
      </w:tr>
      <w:tr>
        <w:tblPrEx>
          <w:tblCellMar>
            <w:top w:w="0" w:type="dxa"/>
            <w:left w:w="108" w:type="dxa"/>
            <w:bottom w:w="0" w:type="dxa"/>
            <w:right w:w="108" w:type="dxa"/>
          </w:tblCellMar>
        </w:tblPrEx>
        <w:trPr>
          <w:trHeight w:val="46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20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预警分析模块</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预警分析</w:t>
            </w:r>
          </w:p>
        </w:tc>
      </w:tr>
      <w:tr>
        <w:tblPrEx>
          <w:tblCellMar>
            <w:top w:w="0" w:type="dxa"/>
            <w:left w:w="108" w:type="dxa"/>
            <w:bottom w:w="0" w:type="dxa"/>
            <w:right w:w="108" w:type="dxa"/>
          </w:tblCellMar>
        </w:tblPrEx>
        <w:trPr>
          <w:trHeight w:val="479" w:hRule="atLeast"/>
          <w:jc w:val="center"/>
        </w:trPr>
        <w:tc>
          <w:tcPr>
            <w:tcW w:w="8032" w:type="dxa"/>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八大中心</w:t>
            </w:r>
          </w:p>
        </w:tc>
      </w:tr>
      <w:tr>
        <w:tblPrEx>
          <w:tblCellMar>
            <w:top w:w="0" w:type="dxa"/>
            <w:left w:w="108" w:type="dxa"/>
            <w:bottom w:w="0" w:type="dxa"/>
            <w:right w:w="108" w:type="dxa"/>
          </w:tblCellMar>
        </w:tblPrEx>
        <w:trPr>
          <w:trHeight w:val="81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205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大数据监督一体化中心</w:t>
            </w:r>
          </w:p>
        </w:tc>
        <w:tc>
          <w:tcPr>
            <w:tcW w:w="501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大数据监督一体化中心大屏</w:t>
            </w:r>
          </w:p>
        </w:tc>
      </w:tr>
      <w:tr>
        <w:tblPrEx>
          <w:tblCellMar>
            <w:top w:w="0" w:type="dxa"/>
            <w:left w:w="108" w:type="dxa"/>
            <w:bottom w:w="0" w:type="dxa"/>
            <w:right w:w="108" w:type="dxa"/>
          </w:tblCellMar>
        </w:tblPrEx>
        <w:trPr>
          <w:trHeight w:val="483"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政治生态监督评估中心</w:t>
            </w: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指标管理</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单位指标管理</w:t>
            </w:r>
          </w:p>
        </w:tc>
      </w:tr>
      <w:tr>
        <w:tblPrEx>
          <w:tblCellMar>
            <w:top w:w="0" w:type="dxa"/>
            <w:left w:w="108" w:type="dxa"/>
            <w:bottom w:w="0" w:type="dxa"/>
            <w:right w:w="108" w:type="dxa"/>
          </w:tblCellMar>
        </w:tblPrEx>
        <w:trPr>
          <w:trHeight w:val="47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一把手指标管理</w:t>
            </w:r>
          </w:p>
        </w:tc>
      </w:tr>
      <w:tr>
        <w:tblPrEx>
          <w:tblCellMar>
            <w:top w:w="0" w:type="dxa"/>
            <w:left w:w="108" w:type="dxa"/>
            <w:bottom w:w="0" w:type="dxa"/>
            <w:right w:w="108" w:type="dxa"/>
          </w:tblCellMar>
        </w:tblPrEx>
        <w:trPr>
          <w:trHeight w:val="38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个人指标管理</w:t>
            </w:r>
          </w:p>
        </w:tc>
      </w:tr>
      <w:tr>
        <w:tblPrEx>
          <w:tblCellMar>
            <w:top w:w="0" w:type="dxa"/>
            <w:left w:w="108" w:type="dxa"/>
            <w:bottom w:w="0" w:type="dxa"/>
            <w:right w:w="108" w:type="dxa"/>
          </w:tblCellMar>
        </w:tblPrEx>
        <w:trPr>
          <w:trHeight w:val="467"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赋分管理</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单位与一把手赋分管理</w:t>
            </w:r>
          </w:p>
        </w:tc>
      </w:tr>
      <w:tr>
        <w:tblPrEx>
          <w:tblCellMar>
            <w:top w:w="0" w:type="dxa"/>
            <w:left w:w="108" w:type="dxa"/>
            <w:bottom w:w="0" w:type="dxa"/>
            <w:right w:w="108" w:type="dxa"/>
          </w:tblCellMar>
        </w:tblPrEx>
        <w:trPr>
          <w:trHeight w:val="422"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个人赋分管理</w:t>
            </w:r>
          </w:p>
        </w:tc>
      </w:tr>
      <w:tr>
        <w:tblPrEx>
          <w:tblCellMar>
            <w:top w:w="0" w:type="dxa"/>
            <w:left w:w="108" w:type="dxa"/>
            <w:bottom w:w="0" w:type="dxa"/>
            <w:right w:w="108" w:type="dxa"/>
          </w:tblCellMar>
        </w:tblPrEx>
        <w:trPr>
          <w:trHeight w:val="448"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分数查看</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单位分数查看</w:t>
            </w:r>
          </w:p>
        </w:tc>
      </w:tr>
      <w:tr>
        <w:tblPrEx>
          <w:tblCellMar>
            <w:top w:w="0" w:type="dxa"/>
            <w:left w:w="108" w:type="dxa"/>
            <w:bottom w:w="0" w:type="dxa"/>
            <w:right w:w="108" w:type="dxa"/>
          </w:tblCellMar>
        </w:tblPrEx>
        <w:trPr>
          <w:trHeight w:val="494"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一把手分数查看</w:t>
            </w:r>
          </w:p>
        </w:tc>
      </w:tr>
      <w:tr>
        <w:tblPrEx>
          <w:tblCellMar>
            <w:top w:w="0" w:type="dxa"/>
            <w:left w:w="108" w:type="dxa"/>
            <w:bottom w:w="0" w:type="dxa"/>
            <w:right w:w="108" w:type="dxa"/>
          </w:tblCellMar>
        </w:tblPrEx>
        <w:trPr>
          <w:trHeight w:val="467"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个人分数查看</w:t>
            </w:r>
          </w:p>
        </w:tc>
      </w:tr>
      <w:tr>
        <w:tblPrEx>
          <w:tblCellMar>
            <w:top w:w="0" w:type="dxa"/>
            <w:left w:w="108" w:type="dxa"/>
            <w:bottom w:w="0" w:type="dxa"/>
            <w:right w:w="108" w:type="dxa"/>
          </w:tblCellMar>
        </w:tblPrEx>
        <w:trPr>
          <w:trHeight w:val="456"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人员处置</w:t>
            </w:r>
          </w:p>
        </w:tc>
      </w:tr>
      <w:tr>
        <w:tblPrEx>
          <w:tblCellMar>
            <w:top w:w="0" w:type="dxa"/>
            <w:left w:w="108" w:type="dxa"/>
            <w:bottom w:w="0" w:type="dxa"/>
            <w:right w:w="108" w:type="dxa"/>
          </w:tblCellMar>
        </w:tblPrEx>
        <w:trPr>
          <w:trHeight w:val="456"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四清单</w:t>
            </w:r>
          </w:p>
        </w:tc>
      </w:tr>
      <w:tr>
        <w:tblPrEx>
          <w:tblCellMar>
            <w:top w:w="0" w:type="dxa"/>
            <w:left w:w="108" w:type="dxa"/>
            <w:bottom w:w="0" w:type="dxa"/>
            <w:right w:w="108" w:type="dxa"/>
          </w:tblCellMar>
        </w:tblPrEx>
        <w:trPr>
          <w:trHeight w:val="502"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政治生态监督评估</w:t>
            </w:r>
            <w:r>
              <w:rPr>
                <w:rStyle w:val="121"/>
                <w:rFonts w:hint="eastAsia" w:ascii="仿宋" w:hAnsi="仿宋" w:eastAsia="仿宋" w:cs="仿宋"/>
                <w:lang w:bidi="ar"/>
              </w:rPr>
              <w:t>中心大屏</w:t>
            </w:r>
          </w:p>
        </w:tc>
      </w:tr>
      <w:tr>
        <w:tblPrEx>
          <w:tblCellMar>
            <w:top w:w="0" w:type="dxa"/>
            <w:left w:w="108" w:type="dxa"/>
            <w:bottom w:w="0" w:type="dxa"/>
            <w:right w:w="108" w:type="dxa"/>
          </w:tblCellMar>
        </w:tblPrEx>
        <w:trPr>
          <w:trHeight w:val="434"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智慧防逃监督管理中心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待办事项</w:t>
            </w:r>
          </w:p>
        </w:tc>
      </w:tr>
      <w:tr>
        <w:tblPrEx>
          <w:tblCellMar>
            <w:top w:w="0" w:type="dxa"/>
            <w:left w:w="108" w:type="dxa"/>
            <w:bottom w:w="0" w:type="dxa"/>
            <w:right w:w="108" w:type="dxa"/>
          </w:tblCellMar>
        </w:tblPrEx>
        <w:trPr>
          <w:trHeight w:val="41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23</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纳管人员管理</w:t>
            </w:r>
          </w:p>
        </w:tc>
      </w:tr>
      <w:tr>
        <w:tblPrEx>
          <w:tblCellMar>
            <w:top w:w="0" w:type="dxa"/>
            <w:left w:w="108" w:type="dxa"/>
            <w:bottom w:w="0" w:type="dxa"/>
            <w:right w:w="108" w:type="dxa"/>
          </w:tblCellMar>
        </w:tblPrEx>
        <w:trPr>
          <w:trHeight w:val="41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证照管理</w:t>
            </w:r>
          </w:p>
        </w:tc>
      </w:tr>
      <w:tr>
        <w:tblPrEx>
          <w:tblCellMar>
            <w:top w:w="0" w:type="dxa"/>
            <w:left w:w="108" w:type="dxa"/>
            <w:bottom w:w="0" w:type="dxa"/>
            <w:right w:w="108" w:type="dxa"/>
          </w:tblCellMar>
        </w:tblPrEx>
        <w:trPr>
          <w:trHeight w:val="49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25</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通报中心</w:t>
            </w:r>
          </w:p>
        </w:tc>
      </w:tr>
      <w:tr>
        <w:tblPrEx>
          <w:tblCellMar>
            <w:top w:w="0" w:type="dxa"/>
            <w:left w:w="108" w:type="dxa"/>
            <w:bottom w:w="0" w:type="dxa"/>
            <w:right w:w="108" w:type="dxa"/>
          </w:tblCellMar>
        </w:tblPrEx>
        <w:trPr>
          <w:trHeight w:val="927"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流程中心</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出国（境）审批（区管干部）</w:t>
            </w:r>
          </w:p>
        </w:tc>
      </w:tr>
      <w:tr>
        <w:tblPrEx>
          <w:tblCellMar>
            <w:top w:w="0" w:type="dxa"/>
            <w:left w:w="108" w:type="dxa"/>
            <w:bottom w:w="0" w:type="dxa"/>
            <w:right w:w="108" w:type="dxa"/>
          </w:tblCellMar>
        </w:tblPrEx>
        <w:trPr>
          <w:trHeight w:val="584"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出国（境）审批（非区管干部）</w:t>
            </w:r>
          </w:p>
        </w:tc>
      </w:tr>
      <w:tr>
        <w:tblPrEx>
          <w:tblCellMar>
            <w:top w:w="0" w:type="dxa"/>
            <w:left w:w="108" w:type="dxa"/>
            <w:bottom w:w="0" w:type="dxa"/>
            <w:right w:w="108" w:type="dxa"/>
          </w:tblCellMar>
        </w:tblPrEx>
        <w:trPr>
          <w:trHeight w:val="703"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行程变更（非区管干部）</w:t>
            </w:r>
          </w:p>
        </w:tc>
      </w:tr>
      <w:tr>
        <w:tblPrEx>
          <w:tblCellMar>
            <w:top w:w="0" w:type="dxa"/>
            <w:left w:w="108" w:type="dxa"/>
            <w:bottom w:w="0" w:type="dxa"/>
            <w:right w:w="108" w:type="dxa"/>
          </w:tblCellMar>
        </w:tblPrEx>
        <w:trPr>
          <w:trHeight w:val="45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办（补）证</w:t>
            </w:r>
          </w:p>
        </w:tc>
      </w:tr>
      <w:tr>
        <w:tblPrEx>
          <w:tblCellMar>
            <w:top w:w="0" w:type="dxa"/>
            <w:left w:w="108" w:type="dxa"/>
            <w:bottom w:w="0" w:type="dxa"/>
            <w:right w:w="108" w:type="dxa"/>
          </w:tblCellMar>
        </w:tblPrEx>
        <w:trPr>
          <w:trHeight w:val="63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人员备案</w:t>
            </w:r>
          </w:p>
        </w:tc>
      </w:tr>
      <w:tr>
        <w:tblPrEx>
          <w:tblCellMar>
            <w:top w:w="0" w:type="dxa"/>
            <w:left w:w="108" w:type="dxa"/>
            <w:bottom w:w="0" w:type="dxa"/>
            <w:right w:w="108" w:type="dxa"/>
          </w:tblCellMar>
        </w:tblPrEx>
        <w:trPr>
          <w:trHeight w:val="456"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人员换岗</w:t>
            </w:r>
          </w:p>
        </w:tc>
      </w:tr>
      <w:tr>
        <w:tblPrEx>
          <w:tblCellMar>
            <w:top w:w="0" w:type="dxa"/>
            <w:left w:w="108" w:type="dxa"/>
            <w:bottom w:w="0" w:type="dxa"/>
            <w:right w:w="108" w:type="dxa"/>
          </w:tblCellMar>
        </w:tblPrEx>
        <w:trPr>
          <w:trHeight w:val="55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退出监察范围</w:t>
            </w:r>
          </w:p>
        </w:tc>
      </w:tr>
      <w:tr>
        <w:tblPrEx>
          <w:tblCellMar>
            <w:top w:w="0" w:type="dxa"/>
            <w:left w:w="108" w:type="dxa"/>
            <w:bottom w:w="0" w:type="dxa"/>
            <w:right w:w="108" w:type="dxa"/>
          </w:tblCellMar>
        </w:tblPrEx>
        <w:trPr>
          <w:trHeight w:val="563"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系统管理</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单位管理</w:t>
            </w:r>
          </w:p>
        </w:tc>
      </w:tr>
      <w:tr>
        <w:tblPrEx>
          <w:tblCellMar>
            <w:top w:w="0" w:type="dxa"/>
            <w:left w:w="108" w:type="dxa"/>
            <w:bottom w:w="0" w:type="dxa"/>
            <w:right w:w="108" w:type="dxa"/>
          </w:tblCellMar>
        </w:tblPrEx>
        <w:trPr>
          <w:trHeight w:val="4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用户管理</w:t>
            </w:r>
          </w:p>
        </w:tc>
      </w:tr>
      <w:tr>
        <w:tblPrEx>
          <w:tblCellMar>
            <w:top w:w="0" w:type="dxa"/>
            <w:left w:w="108" w:type="dxa"/>
            <w:bottom w:w="0" w:type="dxa"/>
            <w:right w:w="108" w:type="dxa"/>
          </w:tblCellMar>
        </w:tblPrEx>
        <w:trPr>
          <w:trHeight w:val="513"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监督单位管理</w:t>
            </w:r>
          </w:p>
        </w:tc>
      </w:tr>
      <w:tr>
        <w:tblPrEx>
          <w:tblCellMar>
            <w:top w:w="0" w:type="dxa"/>
            <w:left w:w="108" w:type="dxa"/>
            <w:bottom w:w="0" w:type="dxa"/>
            <w:right w:w="108" w:type="dxa"/>
          </w:tblCellMar>
        </w:tblPrEx>
        <w:trPr>
          <w:trHeight w:val="47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角色管理</w:t>
            </w:r>
          </w:p>
        </w:tc>
      </w:tr>
      <w:tr>
        <w:tblPrEx>
          <w:tblCellMar>
            <w:top w:w="0" w:type="dxa"/>
            <w:left w:w="108" w:type="dxa"/>
            <w:bottom w:w="0" w:type="dxa"/>
            <w:right w:w="108" w:type="dxa"/>
          </w:tblCellMar>
        </w:tblPrEx>
        <w:trPr>
          <w:trHeight w:val="479"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智慧防逃监督管理中心大屏</w:t>
            </w:r>
          </w:p>
        </w:tc>
      </w:tr>
      <w:tr>
        <w:tblPrEx>
          <w:tblCellMar>
            <w:top w:w="0" w:type="dxa"/>
            <w:left w:w="108" w:type="dxa"/>
            <w:bottom w:w="0" w:type="dxa"/>
            <w:right w:w="108" w:type="dxa"/>
          </w:tblCellMar>
        </w:tblPrEx>
        <w:trPr>
          <w:trHeight w:val="513"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出入境领域规则模型</w:t>
            </w:r>
          </w:p>
        </w:tc>
      </w:tr>
      <w:tr>
        <w:tblPrEx>
          <w:tblCellMar>
            <w:top w:w="0" w:type="dxa"/>
            <w:left w:w="108" w:type="dxa"/>
            <w:bottom w:w="0" w:type="dxa"/>
            <w:right w:w="108" w:type="dxa"/>
          </w:tblCellMar>
        </w:tblPrEx>
        <w:trPr>
          <w:trHeight w:val="49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消息通知</w:t>
            </w:r>
          </w:p>
        </w:tc>
      </w:tr>
      <w:tr>
        <w:tblPrEx>
          <w:tblCellMar>
            <w:top w:w="0" w:type="dxa"/>
            <w:left w:w="108" w:type="dxa"/>
            <w:bottom w:w="0" w:type="dxa"/>
            <w:right w:w="108" w:type="dxa"/>
          </w:tblCellMar>
        </w:tblPrEx>
        <w:trPr>
          <w:trHeight w:val="756"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29</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防逃浙政钉应用</w:t>
            </w: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非区管干部出国（境）审批</w:t>
            </w:r>
          </w:p>
        </w:tc>
      </w:tr>
      <w:tr>
        <w:tblPrEx>
          <w:tblCellMar>
            <w:top w:w="0" w:type="dxa"/>
            <w:left w:w="108" w:type="dxa"/>
            <w:bottom w:w="0" w:type="dxa"/>
            <w:right w:w="108" w:type="dxa"/>
          </w:tblCellMar>
        </w:tblPrEx>
        <w:trPr>
          <w:trHeight w:val="520"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区管干部出国（境）审批</w:t>
            </w:r>
          </w:p>
        </w:tc>
      </w:tr>
      <w:tr>
        <w:tblPrEx>
          <w:tblCellMar>
            <w:top w:w="0" w:type="dxa"/>
            <w:left w:w="108" w:type="dxa"/>
            <w:bottom w:w="0" w:type="dxa"/>
            <w:right w:w="108" w:type="dxa"/>
          </w:tblCellMar>
        </w:tblPrEx>
        <w:trPr>
          <w:trHeight w:val="585"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121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3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非区管干部行程变更</w:t>
            </w:r>
          </w:p>
        </w:tc>
      </w:tr>
      <w:tr>
        <w:tblPrEx>
          <w:tblCellMar>
            <w:top w:w="0" w:type="dxa"/>
            <w:left w:w="108" w:type="dxa"/>
            <w:bottom w:w="0" w:type="dxa"/>
            <w:right w:w="108" w:type="dxa"/>
          </w:tblCellMar>
        </w:tblPrEx>
        <w:trPr>
          <w:trHeight w:val="729"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w:t>
            </w:r>
          </w:p>
        </w:tc>
        <w:tc>
          <w:tcPr>
            <w:tcW w:w="205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基层小微权力监督中心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基层小微权力监督中心大屏</w:t>
            </w:r>
          </w:p>
        </w:tc>
      </w:tr>
      <w:tr>
        <w:tblPrEx>
          <w:tblCellMar>
            <w:top w:w="0" w:type="dxa"/>
            <w:left w:w="108" w:type="dxa"/>
            <w:bottom w:w="0" w:type="dxa"/>
            <w:right w:w="108" w:type="dxa"/>
          </w:tblCellMar>
        </w:tblPrEx>
        <w:trPr>
          <w:trHeight w:val="49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31</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工程项目监督预警中心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工程项目监督预警中心大屏</w:t>
            </w:r>
          </w:p>
        </w:tc>
      </w:tr>
      <w:tr>
        <w:tblPrEx>
          <w:tblCellMar>
            <w:top w:w="0" w:type="dxa"/>
            <w:left w:w="108" w:type="dxa"/>
            <w:bottom w:w="0" w:type="dxa"/>
            <w:right w:w="108" w:type="dxa"/>
          </w:tblCellMar>
        </w:tblPrEx>
        <w:trPr>
          <w:trHeight w:val="502"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工程领域规则模型</w:t>
            </w:r>
          </w:p>
        </w:tc>
      </w:tr>
      <w:tr>
        <w:tblPrEx>
          <w:tblCellMar>
            <w:top w:w="0" w:type="dxa"/>
            <w:left w:w="108" w:type="dxa"/>
            <w:bottom w:w="0" w:type="dxa"/>
            <w:right w:w="108" w:type="dxa"/>
          </w:tblCellMar>
        </w:tblPrEx>
        <w:trPr>
          <w:trHeight w:val="66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33</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w:t>
            </w:r>
            <w:r>
              <w:rPr>
                <w:rFonts w:hint="eastAsia" w:ascii="仿宋" w:hAnsi="仿宋" w:eastAsia="仿宋" w:cs="仿宋"/>
                <w:color w:val="000000"/>
                <w:kern w:val="0"/>
                <w:sz w:val="24"/>
                <w:lang w:val="en-US" w:eastAsia="zh-CN" w:bidi="ar"/>
              </w:rPr>
              <w:t>有</w:t>
            </w:r>
            <w:r>
              <w:rPr>
                <w:rFonts w:hint="eastAsia" w:ascii="仿宋" w:hAnsi="仿宋" w:eastAsia="仿宋" w:cs="仿宋"/>
                <w:color w:val="000000"/>
                <w:kern w:val="0"/>
                <w:sz w:val="24"/>
                <w:lang w:bidi="ar"/>
              </w:rPr>
              <w:t>资产监督预警中心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国有资产监督预警中心大屏</w:t>
            </w:r>
          </w:p>
        </w:tc>
      </w:tr>
      <w:tr>
        <w:tblPrEx>
          <w:tblCellMar>
            <w:top w:w="0" w:type="dxa"/>
            <w:left w:w="108" w:type="dxa"/>
            <w:bottom w:w="0" w:type="dxa"/>
            <w:right w:w="108" w:type="dxa"/>
          </w:tblCellMar>
        </w:tblPrEx>
        <w:trPr>
          <w:trHeight w:val="639"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国资领域规则模型</w:t>
            </w:r>
          </w:p>
        </w:tc>
      </w:tr>
      <w:tr>
        <w:tblPrEx>
          <w:tblCellMar>
            <w:top w:w="0" w:type="dxa"/>
            <w:left w:w="108" w:type="dxa"/>
            <w:bottom w:w="0" w:type="dxa"/>
            <w:right w:w="108" w:type="dxa"/>
          </w:tblCellMar>
        </w:tblPrEx>
        <w:trPr>
          <w:trHeight w:val="605"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35</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惠民补助监督预警中心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惠民补助监督预警中心大屏</w:t>
            </w:r>
          </w:p>
        </w:tc>
      </w:tr>
      <w:tr>
        <w:tblPrEx>
          <w:tblCellMar>
            <w:top w:w="0" w:type="dxa"/>
            <w:left w:w="108" w:type="dxa"/>
            <w:bottom w:w="0" w:type="dxa"/>
            <w:right w:w="108" w:type="dxa"/>
          </w:tblCellMar>
        </w:tblPrEx>
        <w:trPr>
          <w:trHeight w:val="57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36</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补助领域规则模型</w:t>
            </w:r>
          </w:p>
        </w:tc>
      </w:tr>
      <w:tr>
        <w:tblPrEx>
          <w:tblCellMar>
            <w:top w:w="0" w:type="dxa"/>
            <w:left w:w="108" w:type="dxa"/>
            <w:bottom w:w="0" w:type="dxa"/>
            <w:right w:w="108" w:type="dxa"/>
          </w:tblCellMar>
        </w:tblPrEx>
        <w:trPr>
          <w:trHeight w:val="604"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37</w:t>
            </w:r>
          </w:p>
        </w:tc>
        <w:tc>
          <w:tcPr>
            <w:tcW w:w="205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监察对象监督预警中心</w:t>
            </w: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监察对象监督预警中心大屏</w:t>
            </w:r>
          </w:p>
        </w:tc>
      </w:tr>
      <w:tr>
        <w:tblPrEx>
          <w:tblCellMar>
            <w:top w:w="0" w:type="dxa"/>
            <w:left w:w="108" w:type="dxa"/>
            <w:bottom w:w="0" w:type="dxa"/>
            <w:right w:w="108" w:type="dxa"/>
          </w:tblCellMar>
        </w:tblPrEx>
        <w:trPr>
          <w:trHeight w:val="445"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38</w:t>
            </w:r>
          </w:p>
        </w:tc>
        <w:tc>
          <w:tcPr>
            <w:tcW w:w="20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rPr>
            </w:pPr>
          </w:p>
        </w:tc>
        <w:tc>
          <w:tcPr>
            <w:tcW w:w="501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人员领域规则模型</w:t>
            </w:r>
          </w:p>
        </w:tc>
      </w:tr>
      <w:tr>
        <w:tblPrEx>
          <w:tblCellMar>
            <w:top w:w="0" w:type="dxa"/>
            <w:left w:w="108" w:type="dxa"/>
            <w:bottom w:w="0" w:type="dxa"/>
            <w:right w:w="108" w:type="dxa"/>
          </w:tblCellMar>
        </w:tblPrEx>
        <w:trPr>
          <w:trHeight w:val="521"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w:t>
            </w:r>
          </w:p>
        </w:tc>
        <w:tc>
          <w:tcPr>
            <w:tcW w:w="7072"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八大中心首大屏</w:t>
            </w:r>
          </w:p>
        </w:tc>
      </w:tr>
      <w:tr>
        <w:tblPrEx>
          <w:tblCellMar>
            <w:top w:w="0" w:type="dxa"/>
            <w:left w:w="108" w:type="dxa"/>
            <w:bottom w:w="0" w:type="dxa"/>
            <w:right w:w="108" w:type="dxa"/>
          </w:tblCellMar>
        </w:tblPrEx>
        <w:trPr>
          <w:trHeight w:val="448"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w:t>
            </w:r>
          </w:p>
        </w:tc>
        <w:tc>
          <w:tcPr>
            <w:tcW w:w="7072"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三级等保测评，每年一次，三年共三次</w:t>
            </w:r>
          </w:p>
        </w:tc>
      </w:tr>
      <w:tr>
        <w:tblPrEx>
          <w:tblCellMar>
            <w:top w:w="0" w:type="dxa"/>
            <w:left w:w="108" w:type="dxa"/>
            <w:bottom w:w="0" w:type="dxa"/>
            <w:right w:w="108" w:type="dxa"/>
          </w:tblCellMar>
        </w:tblPrEx>
        <w:trPr>
          <w:trHeight w:val="492"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41</w:t>
            </w:r>
          </w:p>
        </w:tc>
        <w:tc>
          <w:tcPr>
            <w:tcW w:w="7072"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密码评测，每年一次，三年共三次</w:t>
            </w:r>
          </w:p>
        </w:tc>
      </w:tr>
    </w:tbl>
    <w:p>
      <w:pPr>
        <w:rPr>
          <w:rFonts w:hint="eastAsia" w:ascii="仿宋" w:hAnsi="仿宋" w:eastAsia="仿宋" w:cs="仿宋"/>
          <w:sz w:val="24"/>
        </w:rPr>
      </w:pPr>
    </w:p>
    <w:p>
      <w:pPr>
        <w:spacing w:line="360" w:lineRule="auto"/>
        <w:jc w:val="left"/>
        <w:outlineLvl w:val="1"/>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5.1 综合流转平台</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综合流转平台主要为职能部门工作人员设计的处置流程，即对于此类问题在流转过程中，由线上的方式流转给到各职能部门自行处置，将处置结果通过线上反馈到护廉天目”公权力大数据监督系统，减少较多的人工资源及时间浪费。</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1、除预警相关事项，通过流转平台，实现数据责任体系，专岗专人定时将无法通过接口或其他形式接入到平台的数据，节省大量的跑数据时间。</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2、实现定期报表（预警结果分析、政治生态扣分）及事项提醒也可从综合流转平台进行推送，使“护廉天目”公权力大数据监督系统成为区里重要的枢纽平台。</w:t>
      </w:r>
    </w:p>
    <w:p>
      <w:pPr>
        <w:spacing w:line="360" w:lineRule="auto"/>
        <w:jc w:val="left"/>
        <w:rPr>
          <w:rFonts w:hint="eastAsia" w:ascii="仿宋" w:hAnsi="仿宋" w:eastAsia="仿宋" w:cs="仿宋"/>
          <w:sz w:val="24"/>
          <w:lang w:eastAsia="zh-Hans"/>
        </w:rPr>
      </w:pPr>
    </w:p>
    <w:p>
      <w:pPr>
        <w:spacing w:line="360" w:lineRule="auto"/>
        <w:jc w:val="left"/>
        <w:outlineLvl w:val="1"/>
        <w:rPr>
          <w:rFonts w:hint="eastAsia" w:ascii="仿宋" w:hAnsi="仿宋" w:eastAsia="仿宋" w:cs="仿宋"/>
          <w:b/>
          <w:bCs/>
          <w:sz w:val="28"/>
          <w:szCs w:val="28"/>
          <w:lang w:bidi="en-US"/>
        </w:rPr>
      </w:pPr>
      <w:r>
        <w:rPr>
          <w:rFonts w:hint="eastAsia" w:ascii="仿宋" w:hAnsi="仿宋" w:eastAsia="仿宋" w:cs="仿宋"/>
          <w:b/>
          <w:bCs/>
          <w:sz w:val="28"/>
          <w:szCs w:val="28"/>
          <w:lang w:eastAsia="zh-Hans"/>
        </w:rPr>
        <w:t>5.2 开放查询平台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通过部门数据协同等方式，获取更多优质数据，实现开放查询平台数据量多、可信度高、价值高、可读性比例高，达到数据的动态性强、便捷度高，及时性快，以更精准的方式支撑日常需要的数据，及更好的服务于日常工作中的查询场景。</w:t>
      </w:r>
    </w:p>
    <w:p>
      <w:pPr>
        <w:spacing w:line="360" w:lineRule="auto"/>
        <w:ind w:firstLine="420"/>
        <w:rPr>
          <w:rFonts w:hint="eastAsia" w:ascii="仿宋" w:hAnsi="仿宋" w:eastAsia="仿宋" w:cs="仿宋"/>
          <w:sz w:val="24"/>
        </w:rPr>
      </w:pPr>
      <w:r>
        <w:rPr>
          <w:rFonts w:hint="eastAsia" w:ascii="仿宋" w:hAnsi="仿宋" w:eastAsia="仿宋" w:cs="仿宋"/>
          <w:sz w:val="24"/>
        </w:rPr>
        <w:t>1、逐单位理清监督对象底数，全区监对象全纳入；</w:t>
      </w:r>
    </w:p>
    <w:p>
      <w:pPr>
        <w:spacing w:line="360" w:lineRule="auto"/>
        <w:ind w:firstLine="420"/>
        <w:rPr>
          <w:rFonts w:hint="eastAsia" w:ascii="仿宋" w:hAnsi="仿宋" w:eastAsia="仿宋" w:cs="仿宋"/>
          <w:sz w:val="24"/>
        </w:rPr>
      </w:pPr>
      <w:r>
        <w:rPr>
          <w:rFonts w:hint="eastAsia" w:ascii="仿宋" w:hAnsi="仿宋" w:eastAsia="仿宋" w:cs="仿宋"/>
          <w:sz w:val="24"/>
        </w:rPr>
        <w:t>2、建立户籍库，实现在线检索；</w:t>
      </w:r>
    </w:p>
    <w:p>
      <w:pPr>
        <w:spacing w:line="360" w:lineRule="auto"/>
        <w:ind w:firstLine="420"/>
        <w:rPr>
          <w:rFonts w:hint="eastAsia" w:ascii="仿宋" w:hAnsi="仿宋" w:eastAsia="仿宋" w:cs="仿宋"/>
          <w:sz w:val="24"/>
        </w:rPr>
      </w:pPr>
      <w:r>
        <w:rPr>
          <w:rFonts w:hint="eastAsia" w:ascii="仿宋" w:hAnsi="仿宋" w:eastAsia="仿宋" w:cs="仿宋"/>
          <w:sz w:val="24"/>
        </w:rPr>
        <w:t>3、进一步优化数据源，基本做到自然人身份信息/社会信息/司法行政信息全面掌握，提升数据精细度准确度；</w:t>
      </w:r>
    </w:p>
    <w:p>
      <w:pPr>
        <w:spacing w:line="360" w:lineRule="auto"/>
        <w:ind w:firstLine="420"/>
        <w:rPr>
          <w:rFonts w:hint="eastAsia" w:ascii="仿宋" w:hAnsi="仿宋" w:eastAsia="仿宋" w:cs="仿宋"/>
          <w:sz w:val="24"/>
        </w:rPr>
      </w:pPr>
      <w:r>
        <w:rPr>
          <w:rFonts w:hint="eastAsia" w:ascii="仿宋" w:hAnsi="仿宋" w:eastAsia="仿宋" w:cs="仿宋"/>
          <w:sz w:val="24"/>
        </w:rPr>
        <w:t>4、建立人员历史信息，归集和关联岗位经手资金和事项数据；建立身份信息自动识别和自动合并功能，建立监督对象全域档案，自动汇总同一对象的全渠道数据；</w:t>
      </w:r>
    </w:p>
    <w:p>
      <w:pPr>
        <w:spacing w:line="360" w:lineRule="auto"/>
        <w:ind w:firstLine="420"/>
        <w:rPr>
          <w:rFonts w:hint="eastAsia" w:ascii="仿宋" w:hAnsi="仿宋" w:eastAsia="仿宋" w:cs="仿宋"/>
          <w:sz w:val="24"/>
        </w:rPr>
      </w:pPr>
      <w:r>
        <w:rPr>
          <w:rFonts w:hint="eastAsia" w:ascii="仿宋" w:hAnsi="仿宋" w:eastAsia="仿宋" w:cs="仿宋"/>
          <w:sz w:val="24"/>
        </w:rPr>
        <w:t>5、根据建立规范的日常数据查询申请、使用渠道。人员查询基本形成廉情档案（自填数据）、接口信息（应用接口数据）、关联信息（侧重挖掘关联性和历史数据）三大查询入口，优化人脉网络应用场景。</w:t>
      </w:r>
    </w:p>
    <w:p>
      <w:pPr>
        <w:spacing w:line="360" w:lineRule="auto"/>
        <w:jc w:val="left"/>
        <w:rPr>
          <w:rFonts w:hint="eastAsia" w:ascii="仿宋" w:hAnsi="仿宋" w:eastAsia="仿宋" w:cs="仿宋"/>
          <w:sz w:val="24"/>
          <w:lang w:eastAsia="zh-Hans"/>
        </w:rPr>
      </w:pPr>
    </w:p>
    <w:p>
      <w:pPr>
        <w:spacing w:line="360" w:lineRule="auto"/>
        <w:jc w:val="left"/>
        <w:outlineLvl w:val="1"/>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5.3 预警决策分析平台</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预警决策分析平台设计满足以拖拉拽形式，实现方便快捷的、易操作性强的比对功能和分析功能。</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元数据区：对数据库中的数据和接口进行明确的数据分类管理，便于比对时的查找，同时也能满足日常的数据盘查管理功能。</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导入区：此平台还应支持随时从外部导入excel类的电子表格，体现了比对数据源的灵活性.</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比对区： 用户能够对任意关注的数据表格进行单表查询、两表比对，同时可以设置筛选条件和关联条件。</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导出区：对于查询比对后的结果，可以保存至线上数据库、导出至线下excel、生成预警规则、多维度统计分析等。更加灵活地多层面发掘数据中的信息和价值。</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预览区：选中需要分析的数据后，此部分会以预览的形式展示字段的名称和明细等。</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分析区：对于需要分析的数据，下一步只需指明需要作为维度和指标的字段，以及指标的类型。维度如时间、镇街、村社、人员、机构等；指标如计数、求和、最大值、最小值、平均值等。</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可视化区：将上一步分析后的结果，选择合适的图标呈现方式，如折线图、饼形图、条形图等。</w:t>
      </w:r>
    </w:p>
    <w:p>
      <w:pPr>
        <w:spacing w:line="360" w:lineRule="auto"/>
        <w:jc w:val="left"/>
        <w:rPr>
          <w:rFonts w:hint="eastAsia" w:ascii="仿宋" w:hAnsi="仿宋" w:eastAsia="仿宋" w:cs="仿宋"/>
          <w:sz w:val="24"/>
          <w:lang w:eastAsia="zh-Hans"/>
        </w:rPr>
      </w:pPr>
    </w:p>
    <w:p>
      <w:pPr>
        <w:spacing w:line="360" w:lineRule="auto"/>
        <w:jc w:val="left"/>
        <w:outlineLvl w:val="1"/>
        <w:rPr>
          <w:rFonts w:hint="eastAsia" w:ascii="仿宋" w:hAnsi="仿宋" w:eastAsia="仿宋" w:cs="仿宋"/>
          <w:b/>
          <w:bCs/>
          <w:sz w:val="28"/>
          <w:szCs w:val="28"/>
          <w:lang w:val="en-US" w:eastAsia="zh-Hans"/>
        </w:rPr>
      </w:pPr>
      <w:r>
        <w:rPr>
          <w:rFonts w:hint="eastAsia" w:ascii="仿宋" w:hAnsi="仿宋" w:eastAsia="仿宋" w:cs="仿宋"/>
          <w:b/>
          <w:bCs/>
          <w:sz w:val="28"/>
          <w:szCs w:val="28"/>
          <w:lang w:eastAsia="zh-Hans"/>
        </w:rPr>
        <w:t xml:space="preserve">5.4 </w:t>
      </w:r>
      <w:r>
        <w:rPr>
          <w:rFonts w:hint="eastAsia" w:ascii="仿宋" w:hAnsi="仿宋" w:eastAsia="仿宋" w:cs="仿宋"/>
          <w:b/>
          <w:bCs/>
          <w:sz w:val="28"/>
          <w:szCs w:val="28"/>
          <w:lang w:val="en-US" w:eastAsia="zh-Hans"/>
        </w:rPr>
        <w:t>八大中心</w:t>
      </w:r>
    </w:p>
    <w:p>
      <w:pPr>
        <w:spacing w:line="360" w:lineRule="auto"/>
        <w:jc w:val="left"/>
        <w:outlineLvl w:val="2"/>
        <w:rPr>
          <w:rFonts w:hint="eastAsia" w:ascii="仿宋" w:hAnsi="仿宋" w:eastAsia="仿宋" w:cs="仿宋"/>
          <w:lang w:eastAsia="zh-Hans"/>
        </w:rPr>
      </w:pPr>
      <w:r>
        <w:rPr>
          <w:rFonts w:hint="eastAsia" w:ascii="仿宋" w:hAnsi="仿宋" w:eastAsia="仿宋" w:cs="仿宋"/>
          <w:b/>
          <w:bCs/>
          <w:sz w:val="28"/>
          <w:szCs w:val="28"/>
          <w:lang w:eastAsia="zh-Hans"/>
        </w:rPr>
        <w:t>5.4.1 大数据监督一体化中心</w:t>
      </w:r>
    </w:p>
    <w:p>
      <w:pPr>
        <w:spacing w:line="360" w:lineRule="auto"/>
        <w:ind w:firstLine="420"/>
        <w:jc w:val="left"/>
        <w:rPr>
          <w:rFonts w:hint="eastAsia" w:ascii="仿宋" w:hAnsi="仿宋" w:eastAsia="仿宋" w:cs="仿宋"/>
          <w:sz w:val="24"/>
          <w:lang w:eastAsia="zh-Hans"/>
        </w:rPr>
      </w:pPr>
      <w:r>
        <w:rPr>
          <w:rFonts w:hint="eastAsia" w:ascii="仿宋" w:hAnsi="仿宋" w:eastAsia="仿宋" w:cs="仿宋"/>
          <w:sz w:val="24"/>
          <w:lang w:eastAsia="zh-Hans"/>
        </w:rPr>
        <w:t>“护廉天目”公权力大数据监督系统汇集各领域数据，在大数据监督一体化中心大屏进行一窗式展现，包括基本信息，关联信息，人脉网络，预警信息等。通过一窗式展示，实时掌握人、事、物综合信息，辅助决策者对预警结果进行分析研判。</w:t>
      </w:r>
    </w:p>
    <w:p>
      <w:pPr>
        <w:numPr>
          <w:ilvl w:val="0"/>
          <w:numId w:val="2"/>
        </w:numPr>
        <w:spacing w:line="360" w:lineRule="auto"/>
        <w:jc w:val="left"/>
        <w:rPr>
          <w:rFonts w:hint="eastAsia" w:ascii="仿宋" w:hAnsi="仿宋" w:eastAsia="仿宋" w:cs="仿宋"/>
          <w:sz w:val="24"/>
          <w:lang w:eastAsia="zh-Hans"/>
        </w:rPr>
      </w:pPr>
      <w:r>
        <w:rPr>
          <w:rFonts w:hint="eastAsia" w:ascii="仿宋" w:hAnsi="仿宋" w:eastAsia="仿宋" w:cs="仿宋"/>
          <w:sz w:val="24"/>
          <w:lang w:eastAsia="zh-Hans"/>
        </w:rPr>
        <w:t>模糊搜索：通过搜索功能对平台汇集的指定数据进行模糊查询；</w:t>
      </w:r>
    </w:p>
    <w:p>
      <w:pPr>
        <w:numPr>
          <w:ilvl w:val="0"/>
          <w:numId w:val="2"/>
        </w:numPr>
        <w:spacing w:line="360" w:lineRule="auto"/>
        <w:jc w:val="left"/>
        <w:rPr>
          <w:rFonts w:hint="eastAsia" w:ascii="仿宋" w:hAnsi="仿宋" w:eastAsia="仿宋" w:cs="仿宋"/>
          <w:sz w:val="24"/>
          <w:lang w:eastAsia="zh-Hans"/>
        </w:rPr>
      </w:pPr>
      <w:r>
        <w:rPr>
          <w:rFonts w:hint="eastAsia" w:ascii="仿宋" w:hAnsi="仿宋" w:eastAsia="仿宋" w:cs="仿宋"/>
          <w:sz w:val="24"/>
          <w:lang w:eastAsia="zh-Hans"/>
        </w:rPr>
        <w:t>基本信息：展示人员基本信息；</w:t>
      </w:r>
    </w:p>
    <w:p>
      <w:pPr>
        <w:numPr>
          <w:ilvl w:val="0"/>
          <w:numId w:val="2"/>
        </w:numPr>
        <w:spacing w:line="360" w:lineRule="auto"/>
        <w:jc w:val="left"/>
        <w:rPr>
          <w:rFonts w:hint="eastAsia" w:ascii="仿宋" w:hAnsi="仿宋" w:eastAsia="仿宋" w:cs="仿宋"/>
          <w:sz w:val="24"/>
          <w:lang w:eastAsia="zh-Hans"/>
        </w:rPr>
      </w:pPr>
      <w:r>
        <w:rPr>
          <w:rFonts w:hint="eastAsia" w:ascii="仿宋" w:hAnsi="仿宋" w:eastAsia="仿宋" w:cs="仿宋"/>
          <w:sz w:val="24"/>
          <w:lang w:eastAsia="zh-Hans"/>
        </w:rPr>
        <w:t>关联信息：展示人员相关的事、物信息；</w:t>
      </w:r>
    </w:p>
    <w:p>
      <w:pPr>
        <w:numPr>
          <w:ilvl w:val="0"/>
          <w:numId w:val="2"/>
        </w:numPr>
        <w:spacing w:line="360" w:lineRule="auto"/>
        <w:jc w:val="left"/>
        <w:rPr>
          <w:rFonts w:hint="eastAsia" w:ascii="仿宋" w:hAnsi="仿宋" w:eastAsia="仿宋" w:cs="仿宋"/>
          <w:sz w:val="24"/>
          <w:lang w:eastAsia="zh-Hans"/>
        </w:rPr>
      </w:pPr>
      <w:r>
        <w:rPr>
          <w:rFonts w:hint="eastAsia" w:ascii="仿宋" w:hAnsi="仿宋" w:eastAsia="仿宋" w:cs="仿宋"/>
          <w:sz w:val="24"/>
          <w:lang w:eastAsia="zh-Hans"/>
        </w:rPr>
        <w:t>人脉网络：展示人员关联的人物关系网络；</w:t>
      </w:r>
    </w:p>
    <w:p>
      <w:pPr>
        <w:numPr>
          <w:ilvl w:val="0"/>
          <w:numId w:val="2"/>
        </w:numPr>
        <w:spacing w:line="360" w:lineRule="auto"/>
        <w:jc w:val="left"/>
        <w:rPr>
          <w:rFonts w:hint="eastAsia" w:ascii="仿宋" w:hAnsi="仿宋" w:eastAsia="仿宋" w:cs="仿宋"/>
          <w:sz w:val="24"/>
          <w:lang w:eastAsia="zh-Hans"/>
        </w:rPr>
      </w:pPr>
      <w:r>
        <w:rPr>
          <w:rFonts w:hint="eastAsia" w:ascii="仿宋" w:hAnsi="仿宋" w:eastAsia="仿宋" w:cs="仿宋"/>
          <w:sz w:val="24"/>
          <w:lang w:eastAsia="zh-Hans"/>
        </w:rPr>
        <w:t>预警信息：展示人员相关的人员类、工程类、补助类、国资类、防逃类预警信息。</w:t>
      </w:r>
    </w:p>
    <w:p>
      <w:pPr>
        <w:spacing w:line="360" w:lineRule="auto"/>
        <w:jc w:val="left"/>
        <w:rPr>
          <w:rFonts w:hint="eastAsia" w:ascii="仿宋" w:hAnsi="仿宋" w:eastAsia="仿宋" w:cs="仿宋"/>
          <w:sz w:val="24"/>
          <w:lang w:eastAsia="zh-Hans"/>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2 政治生态监督评估中心</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1、通过实时监控与主动监控，对人、事、物画像，对象监督，分析研判，行动执行等维度，形成单位评估体系，“一把手”评估体系，个人评估体系。</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2、探索部门数据协同，在继续细化预警规则的基础上，完善政治监督考评指标，推动平台内外数据应用，不断提升评价客观性与精准性。</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3、抓牢对“一把手”和领导班子监督，落实中央、省市关于加强对“一把手”和领导班子监督的实施意见和省委“五张责任清单”。</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4、形成扣分和分析报表，产生同比、环比等性质数据，并推送至相关责任部门，同时开发处置流程进行业务闭环。</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5、建设政治生态监督评估中心大屏，展示政治监督“四清单”、重点单位、重点一把手、重点个人评估等，形成四色热力图，对政治监督情况一目了然。</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6、需实现的相关功能清单如下：</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945"/>
        <w:gridCol w:w="2972"/>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44" w:type="pct"/>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模块</w:t>
            </w: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子模块</w:t>
            </w: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44" w:type="pct"/>
            <w:vMerge w:val="restar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政治生态监督评估中心</w:t>
            </w:r>
          </w:p>
        </w:tc>
        <w:tc>
          <w:tcPr>
            <w:tcW w:w="556" w:type="pct"/>
            <w:vMerge w:val="restar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指标管理</w:t>
            </w: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单位指标管理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创建单位指标体系，对单位指标项进行状态、查看等管理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一把手指标管理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创建一把手指标体系，对一把手指标项进行状态、查看等管理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个人指标管理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创建个人指标体系，对个人指标项项进行状态、查看等管理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restar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赋分管理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单位与一把手赋分管理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对单位与一把手的分值进行管理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个人赋分管理</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对个人的分值进行管理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restar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分数查看</w:t>
            </w: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单位分数查看</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根据单位指标体系进行运算，并对单位的分值进行管理与查看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一把手分数查看</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根据一把手指标体系进行运算，对一把手的分值进行管理与查看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556" w:type="pct"/>
            <w:vMerge w:val="continue"/>
            <w:shd w:val="clear" w:color="auto" w:fill="auto"/>
            <w:vAlign w:val="center"/>
          </w:tcPr>
          <w:p>
            <w:pPr>
              <w:spacing w:line="360" w:lineRule="auto"/>
              <w:ind w:firstLine="420"/>
              <w:jc w:val="left"/>
              <w:rPr>
                <w:rFonts w:hint="eastAsia" w:ascii="仿宋" w:hAnsi="仿宋" w:eastAsia="仿宋" w:cs="仿宋"/>
                <w:sz w:val="24"/>
                <w:lang w:bidi="en-US"/>
              </w:rPr>
            </w:pPr>
          </w:p>
        </w:tc>
        <w:tc>
          <w:tcPr>
            <w:tcW w:w="1749" w:type="pct"/>
            <w:shd w:val="clear" w:color="auto" w:fill="auto"/>
            <w:vAlign w:val="center"/>
          </w:tcPr>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个人分数查看</w:t>
            </w:r>
          </w:p>
        </w:tc>
        <w:tc>
          <w:tcPr>
            <w:tcW w:w="1749" w:type="pct"/>
            <w:shd w:val="clear" w:color="auto" w:fill="auto"/>
            <w:vAlign w:val="center"/>
          </w:tcPr>
          <w:p>
            <w:pPr>
              <w:spacing w:line="360" w:lineRule="auto"/>
              <w:jc w:val="left"/>
              <w:rPr>
                <w:rFonts w:hint="eastAsia" w:ascii="仿宋" w:hAnsi="仿宋" w:eastAsia="仿宋" w:cs="仿宋"/>
                <w:sz w:val="24"/>
                <w:lang w:bidi="en-US"/>
              </w:rPr>
            </w:pPr>
            <w:r>
              <w:rPr>
                <w:rFonts w:hint="eastAsia" w:ascii="仿宋" w:hAnsi="仿宋" w:eastAsia="仿宋" w:cs="仿宋"/>
                <w:sz w:val="24"/>
                <w:lang w:bidi="en-US"/>
              </w:rPr>
              <w:t>根据个人指标体系进行运算，对一把手的分值进行管理与查看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pct"/>
            <w:vMerge w:val="continue"/>
            <w:shd w:val="clear" w:color="auto" w:fill="auto"/>
            <w:vAlign w:val="center"/>
          </w:tcPr>
          <w:p>
            <w:pPr>
              <w:jc w:val="center"/>
              <w:rPr>
                <w:rFonts w:hint="eastAsia" w:ascii="仿宋" w:hAnsi="仿宋" w:eastAsia="仿宋" w:cs="仿宋"/>
                <w:color w:val="000000"/>
                <w:sz w:val="24"/>
              </w:rPr>
            </w:pPr>
          </w:p>
        </w:tc>
        <w:tc>
          <w:tcPr>
            <w:tcW w:w="2305"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人员处置流程</w:t>
            </w:r>
          </w:p>
        </w:tc>
        <w:tc>
          <w:tcPr>
            <w:tcW w:w="1749"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对有异常的个人或者单位进行线上处置及查看处置记录，填写处置对象及对应信息后，并对其发放纪检监察建议书及进行约谈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pct"/>
            <w:vMerge w:val="continue"/>
            <w:shd w:val="clear" w:color="auto" w:fill="auto"/>
            <w:vAlign w:val="center"/>
          </w:tcPr>
          <w:p>
            <w:pPr>
              <w:jc w:val="center"/>
              <w:rPr>
                <w:rFonts w:hint="eastAsia" w:ascii="仿宋" w:hAnsi="仿宋" w:eastAsia="仿宋" w:cs="仿宋"/>
                <w:color w:val="000000"/>
                <w:sz w:val="24"/>
              </w:rPr>
            </w:pPr>
          </w:p>
        </w:tc>
        <w:tc>
          <w:tcPr>
            <w:tcW w:w="2305"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四清单</w:t>
            </w:r>
          </w:p>
        </w:tc>
        <w:tc>
          <w:tcPr>
            <w:tcW w:w="1749" w:type="pct"/>
            <w:shd w:val="clear" w:color="auto" w:fill="auto"/>
            <w:vAlign w:val="center"/>
          </w:tcPr>
          <w:p>
            <w:pPr>
              <w:widowControl/>
              <w:textAlignment w:val="center"/>
              <w:rPr>
                <w:rFonts w:hint="eastAsia" w:ascii="仿宋" w:hAnsi="仿宋" w:eastAsia="仿宋" w:cs="仿宋"/>
                <w:color w:val="000000"/>
                <w:kern w:val="0"/>
                <w:sz w:val="24"/>
                <w:lang w:bidi="ar"/>
              </w:rPr>
            </w:pPr>
            <w:r>
              <w:rPr>
                <w:rFonts w:hint="eastAsia" w:ascii="仿宋" w:hAnsi="仿宋" w:eastAsia="仿宋" w:cs="仿宋"/>
                <w:kern w:val="0"/>
                <w:sz w:val="24"/>
                <w:lang w:bidi="ar"/>
              </w:rPr>
              <w:t>用于指导和规范纪检监察干部行为，主要提供线上填写四清单内容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4" w:type="pct"/>
            <w:vMerge w:val="continue"/>
            <w:shd w:val="clear" w:color="auto" w:fill="auto"/>
            <w:vAlign w:val="center"/>
          </w:tcPr>
          <w:p>
            <w:pPr>
              <w:jc w:val="center"/>
              <w:rPr>
                <w:rFonts w:hint="eastAsia" w:ascii="仿宋" w:hAnsi="仿宋" w:eastAsia="仿宋" w:cs="仿宋"/>
                <w:color w:val="000000"/>
                <w:sz w:val="24"/>
              </w:rPr>
            </w:pPr>
          </w:p>
        </w:tc>
        <w:tc>
          <w:tcPr>
            <w:tcW w:w="2305"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政治生态监督评估</w:t>
            </w:r>
            <w:r>
              <w:rPr>
                <w:rStyle w:val="121"/>
                <w:rFonts w:hint="eastAsia" w:ascii="仿宋" w:hAnsi="仿宋" w:eastAsia="仿宋" w:cs="仿宋"/>
                <w:lang w:bidi="ar"/>
              </w:rPr>
              <w:t>中心大屏</w:t>
            </w:r>
          </w:p>
        </w:tc>
        <w:tc>
          <w:tcPr>
            <w:tcW w:w="1749"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展示政治监督“四清单”、重点单位、重点一把手、重点个人评估等，形成四色热力图</w:t>
            </w:r>
          </w:p>
        </w:tc>
      </w:tr>
    </w:tbl>
    <w:p>
      <w:pPr>
        <w:pStyle w:val="9"/>
        <w:rPr>
          <w:rFonts w:hint="eastAsia" w:ascii="仿宋" w:hAnsi="仿宋" w:eastAsia="仿宋" w:cs="仿宋"/>
        </w:rPr>
      </w:pPr>
    </w:p>
    <w:p>
      <w:pPr>
        <w:spacing w:line="360" w:lineRule="auto"/>
        <w:jc w:val="left"/>
        <w:rPr>
          <w:rFonts w:hint="eastAsia" w:ascii="仿宋" w:hAnsi="仿宋" w:eastAsia="仿宋" w:cs="仿宋"/>
          <w:sz w:val="24"/>
          <w:lang w:eastAsia="zh-Hans"/>
        </w:rPr>
      </w:pPr>
    </w:p>
    <w:p>
      <w:pPr>
        <w:spacing w:line="360" w:lineRule="auto"/>
        <w:jc w:val="left"/>
        <w:rPr>
          <w:rFonts w:hint="eastAsia" w:ascii="仿宋" w:hAnsi="仿宋" w:eastAsia="仿宋" w:cs="仿宋"/>
          <w:sz w:val="24"/>
          <w:lang w:eastAsia="zh-Hans"/>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3 智慧防逃监督管理中心</w:t>
      </w:r>
    </w:p>
    <w:p>
      <w:pPr>
        <w:spacing w:line="360" w:lineRule="auto"/>
        <w:ind w:firstLine="480" w:firstLineChars="200"/>
        <w:jc w:val="left"/>
        <w:rPr>
          <w:rFonts w:hint="eastAsia" w:ascii="仿宋" w:hAnsi="仿宋" w:eastAsia="仿宋" w:cs="仿宋"/>
          <w:sz w:val="24"/>
          <w:lang w:bidi="en-US"/>
        </w:rPr>
      </w:pPr>
      <w:r>
        <w:rPr>
          <w:rFonts w:hint="eastAsia" w:ascii="仿宋" w:hAnsi="仿宋" w:eastAsia="仿宋" w:cs="仿宋"/>
          <w:sz w:val="24"/>
          <w:lang w:bidi="en-US"/>
        </w:rPr>
        <w:t>推进数字化技术在公职人员防逃全覆盖领域的运用，突出部门协同、数字交互、智能运算，利用“护廉天目”公权力大数据监督系统，推动临安区智慧防逃监督管理中心建设和推广运行，构建跨部门联动共享、全口径数据交互、全流程智慧预警的数字化应用场景，实现防逃工作全流程数字化监督管理。</w:t>
      </w:r>
    </w:p>
    <w:p>
      <w:pPr>
        <w:spacing w:line="360" w:lineRule="auto"/>
        <w:ind w:firstLine="480" w:firstLineChars="200"/>
        <w:jc w:val="left"/>
        <w:rPr>
          <w:rFonts w:hint="eastAsia" w:ascii="仿宋" w:hAnsi="仿宋" w:eastAsia="仿宋" w:cs="仿宋"/>
          <w:sz w:val="24"/>
          <w:lang w:bidi="en-US"/>
        </w:rPr>
      </w:pPr>
      <w:r>
        <w:rPr>
          <w:rFonts w:hint="eastAsia" w:ascii="仿宋" w:hAnsi="仿宋" w:eastAsia="仿宋" w:cs="仿宋"/>
          <w:sz w:val="24"/>
          <w:lang w:bidi="en-US"/>
        </w:rPr>
        <w:t>1、健全防逃管理线上数据库</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推动临安区智慧防逃监督管理中心数据化应用场景建设，构建防逃人员信息库、备案库、证照库等信息化数据库建设，夯实数字化管理坚实基础。</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2、健全防逃管理线上全流程</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根据防逃管理制度和流程要求，推动临安区智慧防逃监督管理中心数字化应用场景建设，实现网上联审和网上监管。初步确立防逃管理线上全流程框架，分为公职人员线上备案反馈流程、公职人员线上换岗反馈流程、公职人员退出监察范围线上反馈流程、公职人员线上办证（补证）审批反馈流程、公职人员因私出国（境）线上审批反馈流程等。</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3、健全防逃管理风险全预警</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依托“护廉天目”公权力大数据监督系统，推动临安区智慧防逃监督管理中心建设，实现防逃管理风险全预警。对出国（境）管理全流程制定预警规则，实现智能比对预警，从而发现各主管部门在出国（境）管理中存在的问题，及时堵治漏洞。</w:t>
      </w:r>
    </w:p>
    <w:p>
      <w:pPr>
        <w:numPr>
          <w:ilvl w:val="0"/>
          <w:numId w:val="3"/>
        </w:num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建设临安区智慧防逃监督管理中心大屏，展示基础指标，流程指标，风险预警指标，成效指标等数据，并层层展示详细信息，为决策者提供全方位防逃数据。</w:t>
      </w:r>
    </w:p>
    <w:p>
      <w:pPr>
        <w:pStyle w:val="9"/>
        <w:numPr>
          <w:ilvl w:val="0"/>
          <w:numId w:val="3"/>
        </w:numPr>
        <w:rPr>
          <w:rFonts w:hint="eastAsia" w:ascii="仿宋" w:hAnsi="仿宋" w:eastAsia="仿宋" w:cs="仿宋"/>
        </w:rPr>
      </w:pPr>
      <w:r>
        <w:rPr>
          <w:rFonts w:hint="eastAsia" w:ascii="仿宋" w:hAnsi="仿宋" w:eastAsia="仿宋" w:cs="仿宋"/>
        </w:rPr>
        <w:t>需要实现的相关清单如下：</w:t>
      </w:r>
      <w:r>
        <w:rPr>
          <w:rFonts w:hint="eastAsia" w:ascii="仿宋" w:hAnsi="仿宋" w:eastAsia="仿宋" w:cs="仿宋"/>
        </w:rPr>
        <w:br w:type="textWrapping"/>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50"/>
        <w:gridCol w:w="2675"/>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0" w:type="pct"/>
            <w:shd w:val="clear" w:color="auto" w:fill="auto"/>
            <w:vAlign w:val="center"/>
          </w:tcPr>
          <w:p>
            <w:pPr>
              <w:widowControl/>
              <w:jc w:val="center"/>
              <w:textAlignment w:val="center"/>
              <w:rPr>
                <w:rFonts w:hint="eastAsia" w:ascii="仿宋" w:hAnsi="仿宋" w:eastAsia="仿宋" w:cs="仿宋"/>
                <w:color w:val="000000"/>
                <w:kern w:val="0"/>
                <w:sz w:val="24"/>
                <w:lang w:bidi="ar"/>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模块</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0" w:type="pct"/>
            <w:vMerge w:val="restar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智慧防逃监督管理中心</w:t>
            </w: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待办事项</w:t>
            </w:r>
          </w:p>
        </w:tc>
        <w:tc>
          <w:tcPr>
            <w:tcW w:w="2074" w:type="pct"/>
            <w:shd w:val="clear" w:color="auto" w:fill="auto"/>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sz w:val="24"/>
              </w:rPr>
              <w:t>根据用户的数据权限统计待办事项数量并可快捷进行操作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纳管人员管理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对纳管人员进行增删改查管理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证照管理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对证照进行增删改查管理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通报中心</w:t>
            </w:r>
          </w:p>
        </w:tc>
        <w:tc>
          <w:tcPr>
            <w:tcW w:w="2074" w:type="pct"/>
            <w:shd w:val="clear" w:color="auto" w:fill="auto"/>
            <w:vAlign w:val="center"/>
          </w:tcPr>
          <w:p>
            <w:pPr>
              <w:pStyle w:val="699"/>
              <w:spacing w:line="36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sz w:val="24"/>
                <w:szCs w:val="24"/>
              </w:rPr>
              <w:t>对涉外公证事项发起、审批、反馈管理。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restar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流程中心</w:t>
            </w: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出国（境）审批（区管干部）</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可发起审批、部门联审、领取证照、报备、归还证照等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出国（境）审批（非区管干部）</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可发起审批、分管领导审批、单位主要领导审批、部门联审、领取证照、报备、归还证照等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行程变更（非区管干部）</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在非区管干部出国（境）审批流程中发起的行程变更数据将进入当前模块，并进行分管领导、纪检组、单位主要领导审批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办（补）证</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专管员可为纳管人员提交办（补）证申请，区公安分局出入境管理科进行线上办（补）证反馈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人员备案</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专管员可提交纳管人员备案申请，区公安分局出入境管理科进行线上反馈备案结果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人员换岗</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移出单位专管员可发起纳管人员换岗，移入单位进行人员接收，区公安分局出入境管理科进行线上反馈备案结果。分为区管干部、非区管干部人员换岗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退出监察范围</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专管员发起纳管纳管人员退出监察范围流程，区公安分局出入境管理科进行撤销备案并在线上反馈撤销备案结果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restar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系统管理</w:t>
            </w: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对单位及下属科室进行管理，新增、编辑、删除、筛选等操作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用户管理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对系统用户进行管理，进行新增、修改、重置密码、分配角色、筛选等操作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监督单位管理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对派驻机构、镇街纪工委与监督单位之间的监督关系进行维护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角色管理</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对系统角色进行维护管理，进行新增、修改、删除、筛选等操作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智慧防逃监督管理中心大屏</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展示基础指标，流程指标，风险预警指标，成效指标等数据，并层层展示详细信息，为决策者提供全方位防逃数据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出入境领域规则模型</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搭建符合业务的预警规则模型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2074" w:type="pct"/>
            <w:gridSpan w:val="2"/>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消息通知</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bidi="en-US"/>
              </w:rPr>
              <w:t>过短信、系统消息等方式实时通知人员备案流程进度、人员换岗流程进度、退出监察对象流程进度、办（补）证流程进度、出国(境)审批流程进度、日常预警（统计未纳管人员、未备案人员、证照过期、未纳管证照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restar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防逃浙政钉应用</w:t>
            </w: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非区管干部出国（境）审批</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结合pc端相关功能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区管干部出国（境）审批</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结合pc端相关功能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0" w:type="pct"/>
            <w:vMerge w:val="continue"/>
            <w:shd w:val="clear" w:color="auto" w:fill="auto"/>
            <w:vAlign w:val="center"/>
          </w:tcPr>
          <w:p>
            <w:pPr>
              <w:jc w:val="center"/>
              <w:rPr>
                <w:rFonts w:hint="eastAsia" w:ascii="仿宋" w:hAnsi="仿宋" w:eastAsia="仿宋" w:cs="仿宋"/>
                <w:color w:val="000000"/>
                <w:sz w:val="24"/>
              </w:rPr>
            </w:pPr>
          </w:p>
        </w:tc>
        <w:tc>
          <w:tcPr>
            <w:tcW w:w="500" w:type="pct"/>
            <w:vMerge w:val="continue"/>
            <w:shd w:val="clear" w:color="auto" w:fill="auto"/>
            <w:vAlign w:val="center"/>
          </w:tcPr>
          <w:p>
            <w:pPr>
              <w:jc w:val="center"/>
              <w:rPr>
                <w:rFonts w:hint="eastAsia" w:ascii="仿宋" w:hAnsi="仿宋" w:eastAsia="仿宋" w:cs="仿宋"/>
                <w:color w:val="000000"/>
                <w:sz w:val="24"/>
              </w:rPr>
            </w:pPr>
          </w:p>
        </w:tc>
        <w:tc>
          <w:tcPr>
            <w:tcW w:w="1574" w:type="pct"/>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非区管干部行程变更</w:t>
            </w:r>
          </w:p>
        </w:tc>
        <w:tc>
          <w:tcPr>
            <w:tcW w:w="2074" w:type="pct"/>
            <w:shd w:val="clear" w:color="auto" w:fill="auto"/>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结合pc端相关功能</w:t>
            </w:r>
          </w:p>
        </w:tc>
      </w:tr>
    </w:tbl>
    <w:p>
      <w:pPr>
        <w:spacing w:line="360" w:lineRule="auto"/>
        <w:jc w:val="left"/>
        <w:rPr>
          <w:rFonts w:hint="eastAsia" w:ascii="仿宋" w:hAnsi="仿宋" w:eastAsia="仿宋" w:cs="仿宋"/>
          <w:sz w:val="24"/>
          <w:lang w:eastAsia="zh-Hans"/>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4 基层小微权力监督中心</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1、引入小微工程、补助等新数据源，增加和完善信息公开事项，促进村社事项公开透明，满足群众知情权；</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2、搭建“民情直达”模块，使矛盾就地化解决的；</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3、搭建“公告管理”模块，推进部门协同，纳入村级党务公开，实现村级事项线上规范运行</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4、优化“廉情直报”模块，引导压实村社监察联络站监督责任</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5、结合杭州市纪委小微权力平台，构建临安特色基层小微权力监督中心大屏，基层小微权力监督中心大屏提供入口可链接至省平台</w:t>
      </w:r>
    </w:p>
    <w:p>
      <w:pPr>
        <w:pStyle w:val="9"/>
        <w:ind w:firstLine="840" w:firstLineChars="300"/>
        <w:rPr>
          <w:rFonts w:hint="eastAsia" w:ascii="仿宋" w:hAnsi="仿宋" w:eastAsia="仿宋" w:cs="仿宋"/>
        </w:rPr>
      </w:pPr>
    </w:p>
    <w:p>
      <w:pPr>
        <w:spacing w:line="360" w:lineRule="auto"/>
        <w:jc w:val="left"/>
        <w:rPr>
          <w:rFonts w:hint="eastAsia" w:ascii="仿宋" w:hAnsi="仿宋" w:eastAsia="仿宋" w:cs="仿宋"/>
          <w:sz w:val="24"/>
          <w:lang w:eastAsia="zh-Hans"/>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5 工程项目监督预警中心</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1、对接区市场监管局，引入全区企业实时更新数据，构建全区企业库；对接国资办系统数据，厘清平台公司持股关系及各强村公司，各部门镇街下属企业和招标主体数据。扎实构建工程预警数据基础。</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2、对审管办原有的“招必得”平台数据进行对接规范，对杭州市公共资源交易中心数据进一步沟通调试。</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3、搭建全区重点项目形象进度管理模块，引入相关数据，使预警由招投标阶段向变更和建设管理阶段进一步延伸。</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4、将企业数据和主体库数据下钻关联至股东/管理人员，以及公司社保缴纳人员，配套廉情档案一把手和职权信息，建设“</w:t>
      </w:r>
      <w:r>
        <w:rPr>
          <w:rFonts w:hint="eastAsia" w:ascii="仿宋" w:hAnsi="仿宋" w:eastAsia="仿宋" w:cs="仿宋"/>
          <w:sz w:val="24"/>
          <w:lang w:eastAsia="zh-Hans" w:bidi="en-US"/>
        </w:rPr>
        <w:t>公司随岗走</w:t>
      </w:r>
      <w:r>
        <w:rPr>
          <w:rFonts w:hint="eastAsia" w:ascii="仿宋" w:hAnsi="仿宋" w:eastAsia="仿宋" w:cs="仿宋"/>
          <w:sz w:val="24"/>
          <w:lang w:bidi="en-US"/>
        </w:rPr>
        <w:t>”新分析模型。</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5、单独打造工程项目监督预警中心大屏，形成一中心一大屏的新大屏架构。</w:t>
      </w:r>
    </w:p>
    <w:p>
      <w:pPr>
        <w:spacing w:line="360" w:lineRule="auto"/>
        <w:jc w:val="left"/>
        <w:rPr>
          <w:rFonts w:hint="eastAsia" w:ascii="仿宋" w:hAnsi="仿宋" w:eastAsia="仿宋" w:cs="仿宋"/>
          <w:sz w:val="24"/>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6 国有资产监督预警中心</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1、对接国资办资产管理系统，线上接入国有公房数据；</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2、增加土地监督并创建规则模型：对各平台公司及职能部门名下土地资产情况开展调研，纳入预警监督范围；</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3、增加供销社房产监督并创建规则模型：配合2021年供销系统整顿，积极起底全区范围内供销社公有房产，并根据对应管理规定，纳入房产预警监督范围；</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4、结合国资办资产管理系统，单独打造国有资产监督预警中心大屏，形成一中心一大屏的新大屏架构。</w:t>
      </w:r>
    </w:p>
    <w:p>
      <w:pPr>
        <w:spacing w:line="360" w:lineRule="auto"/>
        <w:jc w:val="left"/>
        <w:rPr>
          <w:rFonts w:hint="eastAsia" w:ascii="仿宋" w:hAnsi="仿宋" w:eastAsia="仿宋" w:cs="仿宋"/>
          <w:sz w:val="24"/>
          <w:lang w:eastAsia="zh-Hans"/>
        </w:rPr>
      </w:pPr>
    </w:p>
    <w:p>
      <w:pPr>
        <w:spacing w:line="360" w:lineRule="auto"/>
        <w:jc w:val="left"/>
        <w:outlineLvl w:val="2"/>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5.4</w:t>
      </w:r>
      <w:r>
        <w:rPr>
          <w:rFonts w:hint="eastAsia" w:ascii="仿宋" w:hAnsi="仿宋" w:eastAsia="仿宋" w:cs="仿宋"/>
          <w:b/>
          <w:bCs/>
          <w:sz w:val="28"/>
          <w:szCs w:val="28"/>
          <w:lang w:val="en-US" w:eastAsia="zh-Hans"/>
        </w:rPr>
        <w:t>.</w:t>
      </w:r>
      <w:r>
        <w:rPr>
          <w:rFonts w:hint="eastAsia" w:ascii="仿宋" w:hAnsi="仿宋" w:eastAsia="仿宋" w:cs="仿宋"/>
          <w:b/>
          <w:bCs/>
          <w:sz w:val="28"/>
          <w:szCs w:val="28"/>
          <w:lang w:eastAsia="zh-Hans"/>
        </w:rPr>
        <w:t>7 惠民补助监督预警中心</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1、融合亲清在线、民生直达数据，建设新补助预警规则，单独打造标志性应用场景，并进一步推动全区补助上平台进程；</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与数据局对接，协调新数据平台纳入各职能部门补助数据，解决补助数据源问题；进一步优化目前补助涉及的计生、死亡、社保数据源，提升现有补助规则精准度；纳入和梳理工商、税务、水务（国兴）、电力和亩产、社保等第三方数据；</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3、运用新数据，进一步搭建补助预警规则，在规则中形成企业类补助的绩效分析概念；</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4、纳入全区总发生额100万以上补助监管；建设对大体量补助职能部门专门预警和分析页面，如水利、农业；</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5、随着补助领域数据增加，单独打造惠民补助监督预警中心大屏，形成一中心一大屏的新大屏架构。</w:t>
      </w:r>
    </w:p>
    <w:p>
      <w:pPr>
        <w:spacing w:line="360" w:lineRule="auto"/>
        <w:jc w:val="left"/>
        <w:rPr>
          <w:rFonts w:hint="eastAsia" w:ascii="仿宋" w:hAnsi="仿宋" w:eastAsia="仿宋" w:cs="仿宋"/>
          <w:sz w:val="24"/>
          <w:lang w:bidi="en-US"/>
        </w:rPr>
      </w:pPr>
    </w:p>
    <w:p>
      <w:pPr>
        <w:spacing w:line="360" w:lineRule="auto"/>
        <w:jc w:val="left"/>
        <w:outlineLvl w:val="2"/>
        <w:rPr>
          <w:rFonts w:hint="eastAsia" w:ascii="仿宋" w:hAnsi="仿宋" w:eastAsia="仿宋" w:cs="仿宋"/>
          <w:b/>
          <w:bCs/>
          <w:sz w:val="28"/>
          <w:szCs w:val="28"/>
          <w:lang w:eastAsia="zh-Hans" w:bidi="en-US"/>
        </w:rPr>
      </w:pPr>
      <w:r>
        <w:rPr>
          <w:rFonts w:hint="eastAsia" w:ascii="仿宋" w:hAnsi="仿宋" w:eastAsia="仿宋" w:cs="仿宋"/>
          <w:b/>
          <w:bCs/>
          <w:sz w:val="28"/>
          <w:szCs w:val="28"/>
          <w:lang w:eastAsia="zh-Hans" w:bidi="en-US"/>
        </w:rPr>
        <w:t>5.4.8 监察对象监督预警中心</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1、丰富数据：对全区有行政处罚数据的相关执法单位进行数据搜集并优化，同步引入到“护廉天目”公权力大数据监督系统，具体为：市场监督管理局、市规划和自然资源局临安分局、农业农村局、统计局、民政局、市生态环境局临安分局、人力社保局、住建局、交通运输局、水利水电局、文化和广电旅游体育局、应急管理局、卫生健康局、城市管理局、医保分局、民宗局、消防大队、税务局，推动行政处罚数据通过全区数据平台汇总后以接口方式接入。</w:t>
      </w:r>
    </w:p>
    <w:p>
      <w:pPr>
        <w:spacing w:line="360" w:lineRule="auto"/>
        <w:ind w:firstLine="480" w:firstLineChars="200"/>
        <w:jc w:val="left"/>
        <w:rPr>
          <w:rFonts w:hint="eastAsia" w:ascii="仿宋" w:hAnsi="仿宋" w:eastAsia="仿宋" w:cs="仿宋"/>
          <w:sz w:val="24"/>
          <w:lang w:bidi="en-US"/>
        </w:rPr>
      </w:pPr>
      <w:r>
        <w:rPr>
          <w:rFonts w:hint="eastAsia" w:ascii="仿宋" w:hAnsi="仿宋" w:eastAsia="仿宋" w:cs="仿宋"/>
          <w:sz w:val="24"/>
          <w:lang w:bidi="en-US"/>
        </w:rPr>
        <w:t>2、丰富监督对象人员预警内容，引入稳定数据源，搭建行政处罚及民事刑事诉讼、判决等规则，新增</w:t>
      </w:r>
      <w:r>
        <w:rPr>
          <w:rFonts w:hint="eastAsia" w:ascii="仿宋" w:hAnsi="仿宋" w:eastAsia="仿宋" w:cs="仿宋"/>
          <w:sz w:val="24"/>
          <w:lang w:eastAsia="zh-Hans" w:bidi="en-US"/>
        </w:rPr>
        <w:t>监督对象失信人员</w:t>
      </w:r>
      <w:r>
        <w:rPr>
          <w:rFonts w:hint="eastAsia" w:ascii="仿宋" w:hAnsi="仿宋" w:eastAsia="仿宋" w:cs="仿宋"/>
          <w:sz w:val="24"/>
          <w:lang w:bidi="en-US"/>
        </w:rPr>
        <w:t>预警规则。</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3、细化廉情档案采集字段与审批机制，保证监督对象数据完整性。</w:t>
      </w:r>
    </w:p>
    <w:p>
      <w:pPr>
        <w:spacing w:line="360" w:lineRule="auto"/>
        <w:ind w:firstLine="420"/>
        <w:jc w:val="left"/>
        <w:rPr>
          <w:rFonts w:hint="eastAsia" w:ascii="仿宋" w:hAnsi="仿宋" w:eastAsia="仿宋" w:cs="仿宋"/>
          <w:sz w:val="24"/>
          <w:lang w:bidi="en-US"/>
        </w:rPr>
      </w:pPr>
      <w:r>
        <w:rPr>
          <w:rFonts w:hint="eastAsia" w:ascii="仿宋" w:hAnsi="仿宋" w:eastAsia="仿宋" w:cs="仿宋"/>
          <w:sz w:val="24"/>
          <w:lang w:bidi="en-US"/>
        </w:rPr>
        <w:t>4、单独打造监察对象监督预警中心大屏，形成一中心一大屏的新大屏架构。</w:t>
      </w:r>
    </w:p>
    <w:p>
      <w:pPr>
        <w:pStyle w:val="9"/>
        <w:numPr>
          <w:ilvl w:val="255"/>
          <w:numId w:val="0"/>
        </w:numPr>
        <w:tabs>
          <w:tab w:val="left" w:pos="420"/>
        </w:tabs>
        <w:spacing w:line="360" w:lineRule="auto"/>
        <w:rPr>
          <w:rFonts w:hint="eastAsia" w:ascii="仿宋" w:hAnsi="仿宋" w:eastAsia="仿宋" w:cs="仿宋"/>
          <w:lang w:eastAsia="zh-Hans" w:bidi="en-US"/>
        </w:rPr>
      </w:pPr>
    </w:p>
    <w:p>
      <w:pPr>
        <w:pStyle w:val="54"/>
        <w:tabs>
          <w:tab w:val="left" w:pos="420"/>
        </w:tabs>
        <w:ind w:left="0" w:firstLine="0" w:firstLineChars="0"/>
        <w:rPr>
          <w:rFonts w:hint="eastAsia" w:ascii="仿宋" w:hAnsi="仿宋" w:eastAsia="仿宋" w:cs="仿宋"/>
          <w:lang w:eastAsia="zh-Hans"/>
        </w:rPr>
      </w:pPr>
    </w:p>
    <w:p>
      <w:pPr>
        <w:spacing w:line="360" w:lineRule="auto"/>
        <w:jc w:val="left"/>
        <w:outlineLvl w:val="2"/>
        <w:rPr>
          <w:rFonts w:hint="eastAsia" w:ascii="仿宋" w:hAnsi="仿宋" w:eastAsia="仿宋" w:cs="仿宋"/>
          <w:b/>
          <w:bCs/>
          <w:sz w:val="28"/>
          <w:szCs w:val="28"/>
          <w:lang w:eastAsia="zh-Hans" w:bidi="en-US"/>
        </w:rPr>
      </w:pPr>
      <w:r>
        <w:rPr>
          <w:rFonts w:hint="eastAsia" w:ascii="仿宋" w:hAnsi="仿宋" w:eastAsia="仿宋" w:cs="仿宋"/>
          <w:b/>
          <w:bCs/>
          <w:sz w:val="28"/>
          <w:szCs w:val="28"/>
          <w:lang w:eastAsia="zh-Hans" w:bidi="en-US"/>
        </w:rPr>
        <w:t>5.4.9 八大中心首大屏</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首页通过“八大中心”导航框形式展现各中心关键业务指标，大屏中间区域实时统计护廉天目不同维度数据归集情况，以及通过临安区地图的形式分析各镇街风险预警程度。</w:t>
      </w:r>
    </w:p>
    <w:p>
      <w:pPr>
        <w:pStyle w:val="9"/>
        <w:tabs>
          <w:tab w:val="left" w:pos="420"/>
        </w:tabs>
        <w:spacing w:line="360" w:lineRule="auto"/>
        <w:ind w:firstLine="0"/>
        <w:rPr>
          <w:rFonts w:hint="eastAsia" w:ascii="仿宋" w:hAnsi="仿宋" w:eastAsia="仿宋" w:cs="仿宋"/>
          <w:lang w:eastAsia="zh-Hans"/>
        </w:rPr>
      </w:pPr>
    </w:p>
    <w:p>
      <w:pPr>
        <w:spacing w:line="360" w:lineRule="auto"/>
        <w:jc w:val="left"/>
        <w:outlineLvl w:val="1"/>
        <w:rPr>
          <w:rFonts w:hint="eastAsia" w:ascii="仿宋" w:hAnsi="仿宋" w:eastAsia="仿宋" w:cs="仿宋"/>
          <w:b/>
          <w:bCs/>
          <w:sz w:val="28"/>
          <w:szCs w:val="28"/>
          <w:lang w:bidi="en-US"/>
        </w:rPr>
      </w:pPr>
      <w:r>
        <w:rPr>
          <w:rFonts w:hint="eastAsia" w:ascii="仿宋" w:hAnsi="仿宋" w:eastAsia="仿宋" w:cs="仿宋"/>
          <w:b/>
          <w:bCs/>
          <w:sz w:val="28"/>
          <w:szCs w:val="28"/>
          <w:lang w:eastAsia="zh-Hans" w:bidi="en-US"/>
        </w:rPr>
        <w:t xml:space="preserve">5.5 </w:t>
      </w:r>
      <w:r>
        <w:rPr>
          <w:rFonts w:hint="eastAsia" w:ascii="仿宋" w:hAnsi="仿宋" w:eastAsia="仿宋" w:cs="仿宋"/>
          <w:b/>
          <w:bCs/>
          <w:sz w:val="28"/>
          <w:szCs w:val="28"/>
          <w:lang w:bidi="en-US"/>
        </w:rPr>
        <w:t>数据对接</w:t>
      </w:r>
    </w:p>
    <w:p>
      <w:pPr>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为进一步深化数字化改革工作，对接浙江省一体化数字资源系统IRS，按需提供申请共享数据，共享组件，数据目录等信息，并按照项目要求对接IRS共享数据，结合平台实际需要，进行IRS数据应用。</w:t>
      </w:r>
      <w:r>
        <w:rPr>
          <w:rFonts w:hint="eastAsia" w:ascii="仿宋" w:hAnsi="仿宋" w:eastAsia="仿宋" w:cs="仿宋"/>
          <w:sz w:val="24"/>
          <w:lang w:bidi="en-US"/>
        </w:rPr>
        <w:br w:type="textWrapping"/>
      </w:r>
      <w:r>
        <w:rPr>
          <w:rFonts w:hint="eastAsia" w:ascii="仿宋" w:hAnsi="仿宋" w:eastAsia="仿宋" w:cs="仿宋"/>
          <w:sz w:val="24"/>
          <w:lang w:bidi="en-US"/>
        </w:rPr>
        <w:t xml:space="preserve">   对接IRS数据平台的数据接口包含但不限于：</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1.行政处罚（个人）信息;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2.行政处罚信息;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3.行政强制信息;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4.低保边缘在册主表信息;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5.低保边缘在册家庭子表信息;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6.低保在册家庭子表信息;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7.低保在册主表信息;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8.火化证明;</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9.特困在册家庭子表信息;</w:t>
      </w:r>
    </w:p>
    <w:p>
      <w:pPr>
        <w:spacing w:line="360" w:lineRule="auto"/>
        <w:rPr>
          <w:rFonts w:hint="eastAsia" w:ascii="仿宋" w:hAnsi="仿宋" w:eastAsia="仿宋" w:cs="仿宋"/>
          <w:sz w:val="24"/>
          <w:lang w:bidi="en-US"/>
        </w:rPr>
      </w:pPr>
      <w:r>
        <w:rPr>
          <w:rFonts w:hint="eastAsia" w:ascii="仿宋" w:hAnsi="仿宋" w:eastAsia="仿宋" w:cs="仿宋"/>
          <w:sz w:val="24"/>
          <w:lang w:bidi="en-US"/>
        </w:rPr>
        <w:t>10.特困在册主表信息;</w:t>
      </w:r>
    </w:p>
    <w:p>
      <w:pPr>
        <w:pStyle w:val="9"/>
        <w:rPr>
          <w:rFonts w:hint="eastAsia" w:ascii="仿宋" w:hAnsi="仿宋" w:eastAsia="仿宋" w:cs="仿宋"/>
        </w:rPr>
      </w:pPr>
    </w:p>
    <w:p>
      <w:pPr>
        <w:pStyle w:val="2"/>
        <w:spacing w:line="360" w:lineRule="auto"/>
        <w:ind w:firstLineChars="200"/>
        <w:rPr>
          <w:rFonts w:hint="eastAsia" w:ascii="仿宋" w:hAnsi="仿宋" w:eastAsia="仿宋" w:cs="仿宋"/>
        </w:rPr>
      </w:pPr>
    </w:p>
    <w:p>
      <w:pPr>
        <w:pStyle w:val="54"/>
        <w:ind w:left="0" w:firstLine="0" w:firstLineChars="0"/>
        <w:rPr>
          <w:rFonts w:hint="eastAsia" w:ascii="仿宋" w:hAnsi="仿宋" w:eastAsia="仿宋" w:cs="仿宋"/>
        </w:rPr>
      </w:pPr>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技术总体要求</w:t>
      </w:r>
    </w:p>
    <w:p>
      <w:pPr>
        <w:spacing w:line="360" w:lineRule="auto"/>
        <w:ind w:firstLine="480" w:firstLineChars="200"/>
        <w:jc w:val="left"/>
        <w:rPr>
          <w:rFonts w:hint="eastAsia" w:ascii="仿宋" w:hAnsi="仿宋" w:eastAsia="仿宋" w:cs="仿宋"/>
          <w:sz w:val="24"/>
          <w:lang w:bidi="en-US"/>
        </w:rPr>
      </w:pPr>
      <w:bookmarkStart w:id="28" w:name="_Toc32617"/>
      <w:r>
        <w:rPr>
          <w:rFonts w:hint="eastAsia" w:ascii="仿宋" w:hAnsi="仿宋" w:eastAsia="仿宋" w:cs="仿宋"/>
          <w:sz w:val="24"/>
          <w:lang w:bidi="en-US"/>
        </w:rPr>
        <w:t>基于 B/S 技术架构的软件，在主流软硬件环境上都可以运行。</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采用JAVA语言技术，基于J2EE技术的分布式计算技术进行系统架构设计和系统开发；</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采用Web Service技术；</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用户侧支持Windows、UNIX以及Linux等操作系统；</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利用json作为系统接口的数据交换标准，进行信息资源整合；</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采用docker容器化部署</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采用组件技术提供系统的快速开发和更新；</w:t>
      </w:r>
    </w:p>
    <w:p>
      <w:pPr>
        <w:numPr>
          <w:ilvl w:val="0"/>
          <w:numId w:val="4"/>
        </w:numPr>
        <w:spacing w:line="360" w:lineRule="auto"/>
        <w:rPr>
          <w:rFonts w:hint="eastAsia" w:ascii="仿宋" w:hAnsi="仿宋" w:eastAsia="仿宋" w:cs="仿宋"/>
          <w:sz w:val="24"/>
          <w:lang w:bidi="en-US"/>
        </w:rPr>
      </w:pPr>
      <w:r>
        <w:rPr>
          <w:rFonts w:hint="eastAsia" w:ascii="仿宋" w:hAnsi="仿宋" w:eastAsia="仿宋" w:cs="仿宋"/>
          <w:sz w:val="24"/>
          <w:lang w:bidi="en-US"/>
        </w:rPr>
        <w:t>采用高性能中间件技术作为基础平台，如政务平台中间件技术、数据访问中间件技术、事务处理中间件技术、安全控制中间件技术等；</w:t>
      </w:r>
    </w:p>
    <w:p>
      <w:pPr>
        <w:numPr>
          <w:ilvl w:val="255"/>
          <w:numId w:val="0"/>
        </w:numPr>
        <w:spacing w:line="360" w:lineRule="auto"/>
        <w:ind w:firstLine="480" w:firstLineChars="200"/>
        <w:jc w:val="left"/>
        <w:rPr>
          <w:rFonts w:hint="eastAsia" w:ascii="仿宋" w:hAnsi="仿宋" w:eastAsia="仿宋" w:cs="仿宋"/>
          <w:b/>
          <w:sz w:val="30"/>
          <w:szCs w:val="30"/>
        </w:rPr>
      </w:pPr>
      <w:r>
        <w:rPr>
          <w:rFonts w:hint="eastAsia" w:ascii="仿宋" w:hAnsi="仿宋" w:eastAsia="仿宋" w:cs="仿宋"/>
          <w:sz w:val="24"/>
          <w:lang w:bidi="en-US"/>
        </w:rPr>
        <w:t>支持信任与授权服务、基于底层的PKI/PMI证书服务机制和PKI基础安全服务机制，提供符合J2EE规范的可信Web计算平台，该平台提供基于安全json技术的PKI基础安全服务和PKI/PMI证书服务的统一调用接口。</w:t>
      </w:r>
      <w:bookmarkEnd w:id="28"/>
    </w:p>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服务、培训及验收需求</w:t>
      </w:r>
    </w:p>
    <w:p>
      <w:pPr>
        <w:numPr>
          <w:ilvl w:val="0"/>
          <w:numId w:val="5"/>
        </w:numPr>
        <w:autoSpaceDE w:val="0"/>
        <w:spacing w:before="156" w:beforeLines="50" w:after="156" w:afterLines="50" w:line="360" w:lineRule="auto"/>
        <w:ind w:firstLine="480" w:firstLineChars="200"/>
        <w:rPr>
          <w:rFonts w:hint="eastAsia" w:ascii="仿宋" w:hAnsi="仿宋" w:eastAsia="仿宋" w:cs="仿宋"/>
          <w:sz w:val="24"/>
          <w:lang w:bidi="ar"/>
        </w:rPr>
      </w:pPr>
      <w:bookmarkStart w:id="29" w:name="_Toc6391"/>
      <w:bookmarkStart w:id="30" w:name="_Toc4577"/>
      <w:bookmarkStart w:id="31" w:name="_Toc9994"/>
      <w:bookmarkStart w:id="32" w:name="_Toc1292"/>
      <w:bookmarkStart w:id="33" w:name="_Toc12495"/>
      <w:bookmarkStart w:id="34" w:name="_Toc20989"/>
      <w:bookmarkStart w:id="35" w:name="_Toc25171"/>
      <w:bookmarkStart w:id="36" w:name="_Toc12487"/>
      <w:r>
        <w:rPr>
          <w:rFonts w:hint="eastAsia" w:ascii="仿宋" w:hAnsi="仿宋" w:eastAsia="仿宋" w:cs="仿宋"/>
          <w:sz w:val="24"/>
          <w:lang w:bidi="ar"/>
        </w:rPr>
        <w:t>项目实施周期：</w:t>
      </w:r>
    </w:p>
    <w:p>
      <w:pPr>
        <w:autoSpaceDE w:val="0"/>
        <w:spacing w:before="156" w:beforeLines="50" w:after="156" w:afterLines="50" w:line="360" w:lineRule="auto"/>
        <w:ind w:left="420" w:leftChars="200"/>
        <w:rPr>
          <w:rFonts w:hint="eastAsia" w:ascii="仿宋" w:hAnsi="仿宋" w:eastAsia="仿宋" w:cs="仿宋"/>
          <w:sz w:val="24"/>
        </w:rPr>
      </w:pPr>
      <w:r>
        <w:rPr>
          <w:rFonts w:hint="eastAsia" w:ascii="仿宋" w:hAnsi="仿宋" w:eastAsia="仿宋" w:cs="仿宋"/>
          <w:sz w:val="24"/>
          <w:lang w:bidi="ar"/>
        </w:rPr>
        <w:t>合同签订之日起60天内完成整体项目建设。</w:t>
      </w:r>
    </w:p>
    <w:p>
      <w:pPr>
        <w:autoSpaceDE w:val="0"/>
        <w:spacing w:before="156" w:beforeLines="50" w:after="156" w:afterLines="50" w:line="360" w:lineRule="auto"/>
        <w:ind w:firstLine="480" w:firstLineChars="200"/>
        <w:rPr>
          <w:rFonts w:hint="eastAsia" w:ascii="仿宋" w:hAnsi="仿宋" w:eastAsia="仿宋" w:cs="仿宋"/>
          <w:sz w:val="24"/>
        </w:rPr>
      </w:pPr>
      <w:r>
        <w:rPr>
          <w:rFonts w:hint="eastAsia" w:ascii="仿宋" w:hAnsi="仿宋" w:eastAsia="仿宋" w:cs="仿宋"/>
          <w:sz w:val="24"/>
          <w:lang w:bidi="ar"/>
        </w:rPr>
        <w:t>2）项目售后服务要求：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本项目需提供提供3年7×24服务热线服务，负责解答用户在软件平台使用中遇到的问题，并及时提出解决问题的建议和操作方法；维护人员应具备独立承担日常维护的技术能力，及时响应服务需求。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3）项目培训要求：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培训对象主要包括系统管理员及使用人员，培训至少包括如下内容：</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（1）系统操作培训：主要面向使用系统的工作人员，提供操作手册；</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（2）系统日常维护培训：主要面向技术人员进行培训，使其具备独立进行系统日常维护的能力。</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4）项目实施人员要求：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项目组应包含实施本项目所必须的各类技术和管理人员，其中包括但不限于项目经理、业务专家以及系统分析、架构设计、应用开发、系统测试、文档管理等方面的专业人员。</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5）项目验收要求：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（1）验收组织</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业主方负责组织本项目验收小组，负责整个验收过程。供应商应组建由有关专业技术人员构成的测试小组，并在项目验收小组指导监督下开展工作。验收小组提出的验收测试要求及质量保证要求，供应商应积极响应，并会同业主方共同制定合适的验收和质量保证方案。</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（2）验收标准</w:t>
      </w:r>
    </w:p>
    <w:p>
      <w:pPr>
        <w:pStyle w:val="877"/>
        <w:numPr>
          <w:ilvl w:val="0"/>
          <w:numId w:val="6"/>
        </w:numPr>
        <w:autoSpaceDE w:val="0"/>
        <w:spacing w:before="156" w:beforeLines="50" w:after="156" w:afterLines="50" w:line="360" w:lineRule="auto"/>
        <w:ind w:firstLine="480"/>
        <w:rPr>
          <w:rFonts w:hint="eastAsia" w:ascii="仿宋" w:hAnsi="仿宋" w:eastAsia="仿宋" w:cs="仿宋"/>
          <w:sz w:val="24"/>
          <w:szCs w:val="24"/>
        </w:rPr>
      </w:pPr>
      <w:r>
        <w:rPr>
          <w:rFonts w:hint="eastAsia" w:ascii="仿宋" w:hAnsi="仿宋" w:eastAsia="仿宋" w:cs="仿宋"/>
          <w:sz w:val="24"/>
          <w:szCs w:val="24"/>
        </w:rPr>
        <w:t>各阶段实施满足本需求书要求，并完成相关培训和知识转移工作。</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按用户需求书完成相关的工作并提交项目成果，所有项目成果均已达到需求书要求，通过采购人的审查并签字确认。</w:t>
      </w:r>
    </w:p>
    <w:p>
      <w:pPr>
        <w:pStyle w:val="877"/>
        <w:numPr>
          <w:ilvl w:val="0"/>
          <w:numId w:val="6"/>
        </w:numPr>
        <w:autoSpaceDE w:val="0"/>
        <w:spacing w:before="156" w:beforeLines="50" w:after="156" w:afterLines="50" w:line="360" w:lineRule="auto"/>
        <w:ind w:firstLine="480"/>
        <w:rPr>
          <w:rFonts w:hint="eastAsia" w:ascii="仿宋" w:hAnsi="仿宋" w:eastAsia="仿宋" w:cs="仿宋"/>
          <w:sz w:val="24"/>
          <w:szCs w:val="24"/>
        </w:rPr>
      </w:pPr>
      <w:r>
        <w:rPr>
          <w:rFonts w:hint="eastAsia" w:ascii="仿宋" w:hAnsi="仿宋" w:eastAsia="仿宋" w:cs="仿宋"/>
          <w:sz w:val="24"/>
          <w:szCs w:val="24"/>
        </w:rPr>
        <w:t>系统性能、功能、安全、文档满足需求。</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试运行期间如出现功能故障、系统不稳定现象，解决故障时间不计入试运行时间，上线试运行时间往后顺延。</w:t>
      </w:r>
    </w:p>
    <w:p>
      <w:pPr>
        <w:pStyle w:val="877"/>
        <w:autoSpaceDE w:val="0"/>
        <w:spacing w:before="156" w:beforeLines="50" w:after="156" w:afterLines="50" w:line="360" w:lineRule="auto"/>
        <w:ind w:firstLine="461"/>
        <w:rPr>
          <w:rFonts w:hint="eastAsia" w:ascii="仿宋" w:hAnsi="仿宋" w:eastAsia="仿宋" w:cs="仿宋"/>
          <w:sz w:val="24"/>
          <w:szCs w:val="24"/>
        </w:rPr>
      </w:pPr>
      <w:r>
        <w:rPr>
          <w:rFonts w:hint="eastAsia" w:ascii="仿宋" w:hAnsi="仿宋" w:eastAsia="仿宋" w:cs="仿宋"/>
          <w:sz w:val="24"/>
          <w:szCs w:val="24"/>
        </w:rPr>
        <w:t>（3）验收</w:t>
      </w:r>
    </w:p>
    <w:p>
      <w:pPr>
        <w:pStyle w:val="877"/>
        <w:autoSpaceDE w:val="0"/>
        <w:spacing w:before="156" w:beforeLines="50" w:after="156" w:after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项目成果交付后，采购人检查项目符合项目验收标准后，供应商组织进行项目验收工作。</w:t>
      </w:r>
    </w:p>
    <w:p>
      <w:pPr>
        <w:pStyle w:val="877"/>
        <w:autoSpaceDE w:val="0"/>
        <w:spacing w:before="156" w:beforeLines="50" w:after="156" w:after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本项目的验收需在系统上线试运行结束后进行。</w:t>
      </w:r>
    </w:p>
    <w:p>
      <w:pPr>
        <w:pStyle w:val="877"/>
        <w:autoSpaceDE w:val="0"/>
        <w:spacing w:before="156" w:beforeLines="50" w:after="156" w:after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本项目中全过程所提交的技术文档如有修改，供应商需提交最新版本的相关技术文档等。</w:t>
      </w:r>
    </w:p>
    <w:bookmarkEnd w:id="29"/>
    <w:bookmarkEnd w:id="30"/>
    <w:bookmarkEnd w:id="31"/>
    <w:bookmarkEnd w:id="32"/>
    <w:bookmarkEnd w:id="33"/>
    <w:bookmarkEnd w:id="34"/>
    <w:bookmarkEnd w:id="35"/>
    <w:bookmarkEnd w:id="36"/>
    <w:p>
      <w:pPr>
        <w:pStyle w:val="4"/>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项目付款方式</w:t>
      </w:r>
    </w:p>
    <w:p>
      <w:pPr>
        <w:pStyle w:val="877"/>
        <w:autoSpaceDE w:val="0"/>
        <w:spacing w:before="156" w:beforeLines="50" w:after="156" w:afterLines="50" w:line="360" w:lineRule="auto"/>
        <w:rPr>
          <w:rFonts w:hint="eastAsia" w:ascii="仿宋" w:hAnsi="仿宋" w:eastAsia="仿宋" w:cs="仿宋"/>
          <w:sz w:val="24"/>
          <w:szCs w:val="24"/>
        </w:rPr>
      </w:pPr>
      <w:r>
        <w:rPr>
          <w:rFonts w:hint="eastAsia" w:ascii="仿宋" w:hAnsi="仿宋" w:eastAsia="仿宋" w:cs="仿宋"/>
          <w:sz w:val="24"/>
          <w:szCs w:val="24"/>
        </w:rPr>
        <w:t>1、第一期付款：采购合同签订生效后的</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个工作日内，采购单位向成交供应商支付合同总价40%的预付款项；</w:t>
      </w:r>
    </w:p>
    <w:p>
      <w:pPr>
        <w:pStyle w:val="877"/>
        <w:autoSpaceDE w:val="0"/>
        <w:spacing w:before="156" w:beforeLines="50" w:after="156" w:afterLines="50" w:line="360" w:lineRule="auto"/>
        <w:rPr>
          <w:rFonts w:hint="eastAsia" w:ascii="仿宋" w:hAnsi="仿宋" w:eastAsia="仿宋" w:cs="仿宋"/>
          <w:sz w:val="24"/>
          <w:szCs w:val="24"/>
        </w:rPr>
      </w:pPr>
      <w:r>
        <w:rPr>
          <w:rFonts w:hint="eastAsia" w:ascii="仿宋" w:hAnsi="仿宋" w:eastAsia="仿宋" w:cs="仿宋"/>
          <w:sz w:val="24"/>
          <w:szCs w:val="24"/>
        </w:rPr>
        <w:t>2，第二期付款：项目完成系统上线，并通过初验后5个工作日内，采购单位向成交供应商支付合同总价的40%；</w:t>
      </w:r>
    </w:p>
    <w:p>
      <w:pPr>
        <w:pStyle w:val="877"/>
        <w:autoSpaceDE w:val="0"/>
        <w:spacing w:before="156" w:beforeLines="50" w:after="156" w:afterLines="50" w:line="360" w:lineRule="auto"/>
        <w:rPr>
          <w:rFonts w:hint="eastAsia" w:ascii="仿宋" w:hAnsi="仿宋" w:eastAsia="仿宋" w:cs="仿宋"/>
          <w:sz w:val="24"/>
          <w:szCs w:val="24"/>
          <w:lang w:eastAsia="zh-CN"/>
        </w:rPr>
      </w:pPr>
      <w:r>
        <w:rPr>
          <w:rFonts w:hint="eastAsia" w:ascii="仿宋" w:hAnsi="仿宋" w:eastAsia="仿宋" w:cs="仿宋"/>
          <w:sz w:val="24"/>
          <w:szCs w:val="24"/>
        </w:rPr>
        <w:t>3，第三期付款：系统上线试运行3个月，且通过终验后5个工作日内，采购单位向成交供应商支付合同总价的</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eastAsia="zh-CN"/>
        </w:rPr>
        <w:t>。</w:t>
      </w:r>
    </w:p>
    <w:p>
      <w:pPr>
        <w:spacing w:line="360" w:lineRule="auto"/>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7" w:name="_Toc184314450"/>
      <w:bookmarkEnd w:id="37"/>
      <w:bookmarkStart w:id="38" w:name="_Toc184314421"/>
      <w:bookmarkEnd w:id="38"/>
      <w:bookmarkStart w:id="39" w:name="_Toc184314414"/>
      <w:bookmarkEnd w:id="39"/>
      <w:bookmarkStart w:id="40" w:name="_Toc184310296"/>
      <w:bookmarkEnd w:id="40"/>
      <w:bookmarkStart w:id="41" w:name="_Toc184310283"/>
      <w:bookmarkEnd w:id="41"/>
      <w:bookmarkStart w:id="42" w:name="_Toc184310299"/>
      <w:bookmarkEnd w:id="42"/>
      <w:bookmarkStart w:id="43" w:name="_Toc184314472"/>
      <w:bookmarkEnd w:id="43"/>
      <w:bookmarkStart w:id="44" w:name="_Toc184314428"/>
      <w:bookmarkEnd w:id="44"/>
      <w:bookmarkStart w:id="45" w:name="_Toc184313277"/>
      <w:bookmarkEnd w:id="45"/>
      <w:bookmarkStart w:id="46" w:name="_Toc184312139"/>
      <w:bookmarkEnd w:id="46"/>
      <w:bookmarkStart w:id="47" w:name="_Toc184312067"/>
      <w:bookmarkEnd w:id="47"/>
      <w:bookmarkStart w:id="48" w:name="_Toc184313295"/>
      <w:bookmarkEnd w:id="48"/>
      <w:bookmarkStart w:id="49" w:name="_Toc184314449"/>
      <w:bookmarkEnd w:id="49"/>
      <w:bookmarkStart w:id="50" w:name="_Toc184310289"/>
      <w:bookmarkEnd w:id="50"/>
      <w:bookmarkStart w:id="51" w:name="_Toc184314444"/>
      <w:bookmarkEnd w:id="51"/>
      <w:bookmarkStart w:id="52" w:name="_Toc184312085"/>
      <w:bookmarkEnd w:id="52"/>
      <w:bookmarkStart w:id="53" w:name="_Toc184312138"/>
      <w:bookmarkEnd w:id="53"/>
      <w:bookmarkStart w:id="54" w:name="_Toc184313238"/>
      <w:bookmarkEnd w:id="54"/>
      <w:bookmarkStart w:id="55" w:name="_Toc184313244"/>
      <w:bookmarkEnd w:id="55"/>
      <w:bookmarkStart w:id="56" w:name="_Toc184313262"/>
      <w:bookmarkEnd w:id="56"/>
      <w:bookmarkStart w:id="57" w:name="_Toc184313282"/>
      <w:bookmarkEnd w:id="57"/>
      <w:bookmarkStart w:id="58" w:name="_Toc184314482"/>
      <w:bookmarkEnd w:id="58"/>
      <w:bookmarkStart w:id="59" w:name="_Toc184313274"/>
      <w:bookmarkEnd w:id="59"/>
      <w:bookmarkStart w:id="60" w:name="_Toc184313306"/>
      <w:bookmarkEnd w:id="60"/>
      <w:bookmarkStart w:id="61" w:name="_Toc184312079"/>
      <w:bookmarkEnd w:id="61"/>
      <w:bookmarkStart w:id="62" w:name="_Toc184312075"/>
      <w:bookmarkEnd w:id="62"/>
      <w:bookmarkStart w:id="63" w:name="_Toc184308079"/>
      <w:bookmarkEnd w:id="63"/>
      <w:bookmarkStart w:id="64" w:name="_Toc184310323"/>
      <w:bookmarkEnd w:id="64"/>
      <w:bookmarkStart w:id="65" w:name="_Toc184314415"/>
      <w:bookmarkEnd w:id="65"/>
      <w:bookmarkStart w:id="66" w:name="_Toc184312104"/>
      <w:bookmarkEnd w:id="66"/>
      <w:bookmarkStart w:id="67" w:name="_Toc184312099"/>
      <w:bookmarkEnd w:id="67"/>
      <w:bookmarkStart w:id="68" w:name="_Toc184314445"/>
      <w:bookmarkEnd w:id="68"/>
      <w:bookmarkStart w:id="69" w:name="_Toc184314460"/>
      <w:bookmarkEnd w:id="69"/>
      <w:bookmarkStart w:id="70" w:name="_Toc184314420"/>
      <w:bookmarkEnd w:id="70"/>
      <w:bookmarkStart w:id="71" w:name="_Toc184310319"/>
      <w:bookmarkEnd w:id="71"/>
      <w:bookmarkStart w:id="72" w:name="_Toc184310272"/>
      <w:bookmarkEnd w:id="72"/>
      <w:bookmarkStart w:id="73" w:name="_Toc184308108"/>
      <w:bookmarkEnd w:id="73"/>
      <w:bookmarkStart w:id="74" w:name="_Toc184310284"/>
      <w:bookmarkEnd w:id="74"/>
      <w:bookmarkStart w:id="75" w:name="_Toc184308100"/>
      <w:bookmarkEnd w:id="75"/>
      <w:bookmarkStart w:id="76" w:name="_Toc184308041"/>
      <w:bookmarkEnd w:id="76"/>
      <w:bookmarkStart w:id="77" w:name="_Toc184312074"/>
      <w:bookmarkEnd w:id="77"/>
      <w:bookmarkStart w:id="78" w:name="_Toc184310312"/>
      <w:bookmarkEnd w:id="78"/>
      <w:bookmarkStart w:id="79" w:name="_Toc184312102"/>
      <w:bookmarkEnd w:id="79"/>
      <w:bookmarkStart w:id="80" w:name="_Toc184308039"/>
      <w:bookmarkEnd w:id="80"/>
      <w:bookmarkStart w:id="81" w:name="_Toc184310297"/>
      <w:bookmarkEnd w:id="81"/>
      <w:bookmarkStart w:id="82" w:name="_Toc184314478"/>
      <w:bookmarkEnd w:id="82"/>
      <w:bookmarkStart w:id="83" w:name="_Toc184310318"/>
      <w:bookmarkEnd w:id="83"/>
      <w:bookmarkStart w:id="84" w:name="_Toc184308044"/>
      <w:bookmarkEnd w:id="84"/>
      <w:bookmarkStart w:id="85" w:name="_Toc184308086"/>
      <w:bookmarkEnd w:id="85"/>
      <w:bookmarkStart w:id="86" w:name="_Toc184310328"/>
      <w:bookmarkEnd w:id="86"/>
      <w:bookmarkStart w:id="87" w:name="_Toc184308066"/>
      <w:bookmarkEnd w:id="87"/>
      <w:bookmarkStart w:id="88" w:name="_Toc184310316"/>
      <w:bookmarkEnd w:id="88"/>
      <w:bookmarkStart w:id="89" w:name="_Toc184313265"/>
      <w:bookmarkEnd w:id="89"/>
      <w:bookmarkStart w:id="90" w:name="_Toc184313256"/>
      <w:bookmarkEnd w:id="90"/>
      <w:bookmarkStart w:id="91" w:name="_Toc184314462"/>
      <w:bookmarkEnd w:id="91"/>
      <w:bookmarkStart w:id="92" w:name="_Toc184310287"/>
      <w:bookmarkEnd w:id="92"/>
      <w:bookmarkStart w:id="93" w:name="_Toc184310324"/>
      <w:bookmarkEnd w:id="93"/>
      <w:bookmarkStart w:id="94" w:name="_Toc184314411"/>
      <w:bookmarkEnd w:id="94"/>
      <w:bookmarkStart w:id="95" w:name="_Toc184312078"/>
      <w:bookmarkEnd w:id="95"/>
      <w:bookmarkStart w:id="96" w:name="_Toc184308096"/>
      <w:bookmarkEnd w:id="96"/>
      <w:bookmarkStart w:id="97" w:name="_Toc184314432"/>
      <w:bookmarkEnd w:id="97"/>
      <w:bookmarkStart w:id="98" w:name="_Toc184312073"/>
      <w:bookmarkEnd w:id="98"/>
      <w:bookmarkStart w:id="99" w:name="_Toc184310285"/>
      <w:bookmarkEnd w:id="99"/>
      <w:bookmarkStart w:id="100" w:name="_Toc184314473"/>
      <w:bookmarkEnd w:id="100"/>
      <w:bookmarkStart w:id="101" w:name="_Toc184313264"/>
      <w:bookmarkEnd w:id="101"/>
      <w:bookmarkStart w:id="102" w:name="_Toc184312081"/>
      <w:bookmarkEnd w:id="102"/>
      <w:bookmarkStart w:id="103" w:name="_Toc184312093"/>
      <w:bookmarkEnd w:id="103"/>
      <w:bookmarkStart w:id="104" w:name="_Toc184314418"/>
      <w:bookmarkEnd w:id="104"/>
      <w:bookmarkStart w:id="105" w:name="_Toc184312089"/>
      <w:bookmarkEnd w:id="105"/>
      <w:bookmarkStart w:id="106" w:name="_Toc184313246"/>
      <w:bookmarkEnd w:id="106"/>
      <w:bookmarkStart w:id="107" w:name="_Toc184310311"/>
      <w:bookmarkEnd w:id="107"/>
      <w:bookmarkStart w:id="108" w:name="_Toc184313301"/>
      <w:bookmarkEnd w:id="108"/>
      <w:bookmarkStart w:id="109" w:name="_Toc184312129"/>
      <w:bookmarkEnd w:id="109"/>
      <w:bookmarkStart w:id="110" w:name="_Toc184312086"/>
      <w:bookmarkEnd w:id="110"/>
      <w:bookmarkStart w:id="111" w:name="_Toc184314480"/>
      <w:bookmarkEnd w:id="111"/>
      <w:bookmarkStart w:id="112" w:name="_Toc184312111"/>
      <w:bookmarkEnd w:id="112"/>
      <w:bookmarkStart w:id="113" w:name="_Toc184314431"/>
      <w:bookmarkEnd w:id="113"/>
      <w:bookmarkStart w:id="114" w:name="_Toc184310339"/>
      <w:bookmarkEnd w:id="114"/>
      <w:bookmarkStart w:id="115" w:name="_Toc184313243"/>
      <w:bookmarkEnd w:id="115"/>
      <w:bookmarkStart w:id="116" w:name="_Toc184310314"/>
      <w:bookmarkEnd w:id="116"/>
      <w:bookmarkStart w:id="117" w:name="_Toc184314479"/>
      <w:bookmarkEnd w:id="117"/>
      <w:bookmarkStart w:id="118" w:name="_Toc184308059"/>
      <w:bookmarkEnd w:id="118"/>
      <w:bookmarkStart w:id="119" w:name="_Toc184314442"/>
      <w:bookmarkEnd w:id="119"/>
      <w:bookmarkStart w:id="120" w:name="_Toc184313259"/>
      <w:bookmarkEnd w:id="120"/>
      <w:bookmarkStart w:id="121" w:name="_Toc184314461"/>
      <w:bookmarkEnd w:id="121"/>
      <w:bookmarkStart w:id="122" w:name="_Toc184313260"/>
      <w:bookmarkEnd w:id="122"/>
      <w:bookmarkStart w:id="123" w:name="_Toc184310277"/>
      <w:bookmarkEnd w:id="123"/>
      <w:bookmarkStart w:id="124" w:name="_Toc184314457"/>
      <w:bookmarkEnd w:id="124"/>
      <w:bookmarkStart w:id="125" w:name="_Toc184310344"/>
      <w:bookmarkEnd w:id="125"/>
      <w:bookmarkStart w:id="126" w:name="_Toc184312071"/>
      <w:bookmarkEnd w:id="126"/>
      <w:bookmarkStart w:id="127" w:name="_Toc184312092"/>
      <w:bookmarkEnd w:id="127"/>
      <w:bookmarkStart w:id="128" w:name="_Toc184310333"/>
      <w:bookmarkEnd w:id="128"/>
      <w:bookmarkStart w:id="129" w:name="_Toc184313272"/>
      <w:bookmarkEnd w:id="129"/>
      <w:bookmarkStart w:id="130" w:name="_Toc184313266"/>
      <w:bookmarkEnd w:id="130"/>
      <w:bookmarkStart w:id="131" w:name="_Toc184310279"/>
      <w:bookmarkEnd w:id="131"/>
      <w:bookmarkStart w:id="132" w:name="_Toc184308067"/>
      <w:bookmarkEnd w:id="132"/>
      <w:bookmarkStart w:id="133" w:name="_Toc184313261"/>
      <w:bookmarkEnd w:id="133"/>
      <w:bookmarkStart w:id="134" w:name="_Toc184313254"/>
      <w:bookmarkEnd w:id="134"/>
      <w:bookmarkStart w:id="135" w:name="_Toc184313245"/>
      <w:bookmarkEnd w:id="135"/>
      <w:bookmarkStart w:id="136" w:name="_Toc184314467"/>
      <w:bookmarkEnd w:id="136"/>
      <w:bookmarkStart w:id="137" w:name="_Toc184308071"/>
      <w:bookmarkEnd w:id="137"/>
      <w:bookmarkStart w:id="138" w:name="_Toc184314447"/>
      <w:bookmarkEnd w:id="138"/>
      <w:bookmarkStart w:id="139" w:name="_Toc184312127"/>
      <w:bookmarkEnd w:id="139"/>
      <w:bookmarkStart w:id="140" w:name="_Toc184310342"/>
      <w:bookmarkEnd w:id="140"/>
      <w:bookmarkStart w:id="141" w:name="_Toc184313239"/>
      <w:bookmarkEnd w:id="141"/>
      <w:bookmarkStart w:id="142" w:name="_Toc184308062"/>
      <w:bookmarkEnd w:id="142"/>
      <w:bookmarkStart w:id="143" w:name="_Toc184312106"/>
      <w:bookmarkEnd w:id="143"/>
      <w:bookmarkStart w:id="144" w:name="_Toc184314417"/>
      <w:bookmarkEnd w:id="144"/>
      <w:bookmarkStart w:id="145" w:name="_Toc184308106"/>
      <w:bookmarkEnd w:id="145"/>
      <w:bookmarkStart w:id="146" w:name="_Toc184308091"/>
      <w:bookmarkEnd w:id="146"/>
      <w:bookmarkStart w:id="147" w:name="_Toc184308083"/>
      <w:bookmarkEnd w:id="147"/>
      <w:bookmarkStart w:id="148" w:name="_Toc184313267"/>
      <w:bookmarkEnd w:id="148"/>
      <w:bookmarkStart w:id="149" w:name="_Toc184310274"/>
      <w:bookmarkEnd w:id="149"/>
      <w:bookmarkStart w:id="150" w:name="_Toc184312097"/>
      <w:bookmarkEnd w:id="150"/>
      <w:bookmarkStart w:id="151" w:name="_Toc184310276"/>
      <w:bookmarkEnd w:id="151"/>
      <w:bookmarkStart w:id="152" w:name="_Toc184314433"/>
      <w:bookmarkEnd w:id="152"/>
      <w:bookmarkStart w:id="153" w:name="_Toc184312095"/>
      <w:bookmarkEnd w:id="153"/>
      <w:bookmarkStart w:id="154" w:name="_Toc184314416"/>
      <w:bookmarkEnd w:id="154"/>
      <w:bookmarkStart w:id="155" w:name="_Toc184308094"/>
      <w:bookmarkEnd w:id="155"/>
      <w:bookmarkStart w:id="156" w:name="_Toc184310303"/>
      <w:bookmarkEnd w:id="156"/>
      <w:bookmarkStart w:id="157" w:name="_Toc184312100"/>
      <w:bookmarkEnd w:id="157"/>
      <w:bookmarkStart w:id="158" w:name="_Toc184314463"/>
      <w:bookmarkEnd w:id="158"/>
      <w:bookmarkStart w:id="159" w:name="_Toc184308105"/>
      <w:bookmarkEnd w:id="159"/>
      <w:bookmarkStart w:id="160" w:name="_Toc184313270"/>
      <w:bookmarkEnd w:id="160"/>
      <w:bookmarkStart w:id="161" w:name="_Toc184308042"/>
      <w:bookmarkEnd w:id="161"/>
      <w:bookmarkStart w:id="162" w:name="_Toc184310341"/>
      <w:bookmarkEnd w:id="162"/>
      <w:bookmarkStart w:id="163" w:name="_Toc184314474"/>
      <w:bookmarkEnd w:id="163"/>
      <w:bookmarkStart w:id="164" w:name="_Toc184308089"/>
      <w:bookmarkEnd w:id="164"/>
      <w:bookmarkStart w:id="165" w:name="_Toc184314477"/>
      <w:bookmarkEnd w:id="165"/>
      <w:bookmarkStart w:id="166" w:name="_Toc184310326"/>
      <w:bookmarkEnd w:id="166"/>
      <w:bookmarkStart w:id="167" w:name="_Toc184314434"/>
      <w:bookmarkEnd w:id="167"/>
      <w:bookmarkStart w:id="168" w:name="_Toc184313308"/>
      <w:bookmarkEnd w:id="168"/>
      <w:bookmarkStart w:id="169" w:name="_Toc184310290"/>
      <w:bookmarkEnd w:id="169"/>
      <w:bookmarkStart w:id="170" w:name="_Toc184308061"/>
      <w:bookmarkEnd w:id="170"/>
      <w:bookmarkStart w:id="171" w:name="_Toc184312082"/>
      <w:bookmarkEnd w:id="171"/>
      <w:bookmarkStart w:id="172" w:name="_Toc184310301"/>
      <w:bookmarkEnd w:id="172"/>
      <w:bookmarkStart w:id="173" w:name="_Toc184308038"/>
      <w:bookmarkEnd w:id="173"/>
      <w:bookmarkStart w:id="174" w:name="_Toc184312120"/>
      <w:bookmarkEnd w:id="174"/>
      <w:bookmarkStart w:id="175" w:name="_Toc184312084"/>
      <w:bookmarkEnd w:id="175"/>
      <w:bookmarkStart w:id="176" w:name="_Toc184308057"/>
      <w:bookmarkEnd w:id="176"/>
      <w:bookmarkStart w:id="177" w:name="_Toc184313257"/>
      <w:bookmarkEnd w:id="177"/>
      <w:bookmarkStart w:id="178" w:name="_Toc184313299"/>
      <w:bookmarkEnd w:id="178"/>
      <w:bookmarkStart w:id="179" w:name="_Toc184314438"/>
      <w:bookmarkEnd w:id="179"/>
      <w:bookmarkStart w:id="180" w:name="_Toc184308043"/>
      <w:bookmarkEnd w:id="180"/>
      <w:bookmarkStart w:id="181" w:name="_Toc184314440"/>
      <w:bookmarkEnd w:id="181"/>
      <w:bookmarkStart w:id="182" w:name="_Toc184310335"/>
      <w:bookmarkEnd w:id="182"/>
      <w:bookmarkStart w:id="183" w:name="_Toc184314425"/>
      <w:bookmarkEnd w:id="183"/>
      <w:bookmarkStart w:id="184" w:name="_Toc184310291"/>
      <w:bookmarkEnd w:id="184"/>
      <w:bookmarkStart w:id="185" w:name="_Toc184313294"/>
      <w:bookmarkEnd w:id="185"/>
      <w:bookmarkStart w:id="186" w:name="_Toc184308075"/>
      <w:bookmarkEnd w:id="186"/>
      <w:bookmarkStart w:id="187" w:name="_Toc184310337"/>
      <w:bookmarkEnd w:id="187"/>
      <w:bookmarkStart w:id="188" w:name="_Toc184314453"/>
      <w:bookmarkEnd w:id="188"/>
      <w:bookmarkStart w:id="189" w:name="_Toc184312123"/>
      <w:bookmarkEnd w:id="189"/>
      <w:bookmarkStart w:id="190" w:name="_Toc184314470"/>
      <w:bookmarkEnd w:id="190"/>
      <w:bookmarkStart w:id="191" w:name="_Toc184310278"/>
      <w:bookmarkEnd w:id="191"/>
      <w:bookmarkStart w:id="192" w:name="_Toc184308065"/>
      <w:bookmarkEnd w:id="192"/>
      <w:bookmarkStart w:id="193" w:name="_Toc184313300"/>
      <w:bookmarkEnd w:id="193"/>
      <w:bookmarkStart w:id="194" w:name="_Toc184310275"/>
      <w:bookmarkEnd w:id="194"/>
      <w:bookmarkStart w:id="195" w:name="_Toc184308087"/>
      <w:bookmarkEnd w:id="195"/>
      <w:bookmarkStart w:id="196" w:name="_Toc184314419"/>
      <w:bookmarkEnd w:id="196"/>
      <w:bookmarkStart w:id="197" w:name="_Toc184312068"/>
      <w:bookmarkEnd w:id="197"/>
      <w:bookmarkStart w:id="198" w:name="_Toc184310331"/>
      <w:bookmarkEnd w:id="198"/>
      <w:bookmarkStart w:id="199" w:name="_Toc184308048"/>
      <w:bookmarkEnd w:id="199"/>
      <w:bookmarkStart w:id="200" w:name="_Toc184312076"/>
      <w:bookmarkEnd w:id="200"/>
      <w:bookmarkStart w:id="201" w:name="_Toc184312077"/>
      <w:bookmarkEnd w:id="201"/>
      <w:bookmarkStart w:id="202" w:name="_Toc184314458"/>
      <w:bookmarkEnd w:id="202"/>
      <w:bookmarkStart w:id="203" w:name="_Toc184308090"/>
      <w:bookmarkEnd w:id="203"/>
      <w:bookmarkStart w:id="204" w:name="_Toc184308081"/>
      <w:bookmarkEnd w:id="204"/>
      <w:bookmarkStart w:id="205" w:name="_Toc184314443"/>
      <w:bookmarkEnd w:id="205"/>
      <w:bookmarkStart w:id="206" w:name="_Toc184308055"/>
      <w:bookmarkEnd w:id="206"/>
      <w:bookmarkStart w:id="207" w:name="_Toc184310317"/>
      <w:bookmarkEnd w:id="207"/>
      <w:bookmarkStart w:id="208" w:name="_Toc184308064"/>
      <w:bookmarkEnd w:id="208"/>
      <w:bookmarkStart w:id="209" w:name="_Toc184312108"/>
      <w:bookmarkEnd w:id="209"/>
      <w:bookmarkStart w:id="210" w:name="_Toc184308103"/>
      <w:bookmarkEnd w:id="210"/>
      <w:bookmarkStart w:id="211" w:name="_Toc184308040"/>
      <w:bookmarkEnd w:id="211"/>
      <w:bookmarkStart w:id="212" w:name="_Toc184314468"/>
      <w:bookmarkEnd w:id="212"/>
      <w:bookmarkStart w:id="213" w:name="_Toc184314459"/>
      <w:bookmarkEnd w:id="213"/>
      <w:bookmarkStart w:id="214" w:name="_Toc184312121"/>
      <w:bookmarkEnd w:id="214"/>
      <w:bookmarkStart w:id="215" w:name="_Toc184312112"/>
      <w:bookmarkEnd w:id="215"/>
      <w:bookmarkStart w:id="216" w:name="_Toc184314439"/>
      <w:bookmarkEnd w:id="216"/>
      <w:bookmarkStart w:id="217" w:name="_Toc184312137"/>
      <w:bookmarkEnd w:id="217"/>
      <w:bookmarkStart w:id="218" w:name="_Toc184313304"/>
      <w:bookmarkEnd w:id="218"/>
      <w:bookmarkStart w:id="219" w:name="_Toc184310273"/>
      <w:bookmarkEnd w:id="219"/>
      <w:bookmarkStart w:id="220" w:name="_Toc184314412"/>
      <w:bookmarkEnd w:id="220"/>
      <w:bookmarkStart w:id="221" w:name="_Toc184308037"/>
      <w:bookmarkEnd w:id="221"/>
      <w:bookmarkStart w:id="222" w:name="_Toc184313310"/>
      <w:bookmarkEnd w:id="222"/>
      <w:bookmarkStart w:id="223" w:name="_Toc184313241"/>
      <w:bookmarkEnd w:id="223"/>
      <w:bookmarkStart w:id="224" w:name="_Toc184312109"/>
      <w:bookmarkEnd w:id="224"/>
      <w:bookmarkStart w:id="225" w:name="_Toc184313273"/>
      <w:bookmarkEnd w:id="225"/>
      <w:bookmarkStart w:id="226" w:name="_Toc184308084"/>
      <w:bookmarkEnd w:id="226"/>
      <w:bookmarkStart w:id="227" w:name="_Toc184312114"/>
      <w:bookmarkEnd w:id="227"/>
      <w:bookmarkStart w:id="228" w:name="_Toc184308046"/>
      <w:bookmarkEnd w:id="228"/>
      <w:bookmarkStart w:id="229" w:name="_Toc184310286"/>
      <w:bookmarkEnd w:id="229"/>
      <w:bookmarkStart w:id="230" w:name="_Toc184310304"/>
      <w:bookmarkEnd w:id="230"/>
      <w:bookmarkStart w:id="231" w:name="_Toc184308049"/>
      <w:bookmarkEnd w:id="231"/>
      <w:bookmarkStart w:id="232" w:name="_Toc184312134"/>
      <w:bookmarkEnd w:id="232"/>
      <w:bookmarkStart w:id="233" w:name="_Toc184312132"/>
      <w:bookmarkEnd w:id="233"/>
      <w:bookmarkStart w:id="234" w:name="_Toc184314475"/>
      <w:bookmarkEnd w:id="234"/>
      <w:bookmarkStart w:id="235" w:name="_Toc184308085"/>
      <w:bookmarkEnd w:id="235"/>
      <w:bookmarkStart w:id="236" w:name="_Toc184314465"/>
      <w:bookmarkEnd w:id="236"/>
      <w:bookmarkStart w:id="237" w:name="_Toc184312117"/>
      <w:bookmarkEnd w:id="237"/>
      <w:bookmarkStart w:id="238" w:name="_Toc184310325"/>
      <w:bookmarkEnd w:id="238"/>
      <w:bookmarkStart w:id="239" w:name="_Toc184312087"/>
      <w:bookmarkEnd w:id="239"/>
      <w:bookmarkStart w:id="240" w:name="_Toc184312130"/>
      <w:bookmarkEnd w:id="240"/>
      <w:bookmarkStart w:id="241" w:name="_Toc184312113"/>
      <w:bookmarkEnd w:id="241"/>
      <w:bookmarkStart w:id="242" w:name="_Toc184312116"/>
      <w:bookmarkEnd w:id="242"/>
      <w:bookmarkStart w:id="243" w:name="_Toc184308088"/>
      <w:bookmarkEnd w:id="243"/>
      <w:bookmarkStart w:id="244" w:name="_Toc184314423"/>
      <w:bookmarkEnd w:id="244"/>
      <w:bookmarkStart w:id="245" w:name="_Toc184312094"/>
      <w:bookmarkEnd w:id="245"/>
      <w:bookmarkStart w:id="246" w:name="_Toc184312088"/>
      <w:bookmarkEnd w:id="246"/>
      <w:bookmarkStart w:id="247" w:name="_Toc184310308"/>
      <w:bookmarkEnd w:id="247"/>
      <w:bookmarkStart w:id="248" w:name="_Toc184313298"/>
      <w:bookmarkEnd w:id="248"/>
      <w:bookmarkStart w:id="249" w:name="_Toc184312096"/>
      <w:bookmarkEnd w:id="249"/>
      <w:bookmarkStart w:id="250" w:name="_Toc184308102"/>
      <w:bookmarkEnd w:id="250"/>
      <w:bookmarkStart w:id="251" w:name="_Toc184308068"/>
      <w:bookmarkEnd w:id="251"/>
      <w:bookmarkStart w:id="252" w:name="_Toc184313287"/>
      <w:bookmarkEnd w:id="252"/>
      <w:bookmarkStart w:id="253" w:name="_Toc184313248"/>
      <w:bookmarkEnd w:id="253"/>
      <w:bookmarkStart w:id="254" w:name="_Toc184312119"/>
      <w:bookmarkEnd w:id="254"/>
      <w:bookmarkStart w:id="255" w:name="_Toc184312135"/>
      <w:bookmarkEnd w:id="255"/>
      <w:bookmarkStart w:id="256" w:name="_Toc184314466"/>
      <w:bookmarkEnd w:id="256"/>
      <w:bookmarkStart w:id="257" w:name="_Toc184313281"/>
      <w:bookmarkEnd w:id="257"/>
      <w:bookmarkStart w:id="258" w:name="_Toc184308104"/>
      <w:bookmarkEnd w:id="258"/>
      <w:bookmarkStart w:id="259" w:name="_Toc184310305"/>
      <w:bookmarkEnd w:id="259"/>
      <w:bookmarkStart w:id="260" w:name="_Toc184312091"/>
      <w:bookmarkEnd w:id="260"/>
      <w:bookmarkStart w:id="261" w:name="_Toc184313242"/>
      <w:bookmarkEnd w:id="261"/>
      <w:bookmarkStart w:id="262" w:name="_Toc184312083"/>
      <w:bookmarkEnd w:id="262"/>
      <w:bookmarkStart w:id="263" w:name="_Toc184314476"/>
      <w:bookmarkEnd w:id="263"/>
      <w:bookmarkStart w:id="264" w:name="_Toc184313288"/>
      <w:bookmarkEnd w:id="264"/>
      <w:bookmarkStart w:id="265" w:name="_Toc184314413"/>
      <w:bookmarkEnd w:id="265"/>
      <w:bookmarkStart w:id="266" w:name="_Toc184313303"/>
      <w:bookmarkEnd w:id="266"/>
      <w:bookmarkStart w:id="267" w:name="_Toc184310334"/>
      <w:bookmarkEnd w:id="267"/>
      <w:bookmarkStart w:id="268" w:name="_Toc184312072"/>
      <w:bookmarkEnd w:id="268"/>
      <w:bookmarkStart w:id="269" w:name="_Toc184314436"/>
      <w:bookmarkEnd w:id="269"/>
      <w:bookmarkStart w:id="270" w:name="_Toc184313263"/>
      <w:bookmarkEnd w:id="270"/>
      <w:bookmarkStart w:id="271" w:name="_Toc184314424"/>
      <w:bookmarkEnd w:id="271"/>
      <w:bookmarkStart w:id="272" w:name="_Toc184310288"/>
      <w:bookmarkEnd w:id="272"/>
      <w:bookmarkStart w:id="273" w:name="_Toc184308099"/>
      <w:bookmarkEnd w:id="273"/>
      <w:bookmarkStart w:id="274" w:name="_Toc184313285"/>
      <w:bookmarkEnd w:id="274"/>
      <w:bookmarkStart w:id="275" w:name="_Toc184313251"/>
      <w:bookmarkEnd w:id="275"/>
      <w:bookmarkStart w:id="276" w:name="_Toc184310340"/>
      <w:bookmarkEnd w:id="276"/>
      <w:bookmarkStart w:id="277" w:name="_Toc184310322"/>
      <w:bookmarkEnd w:id="277"/>
      <w:bookmarkStart w:id="278" w:name="_Toc184312125"/>
      <w:bookmarkEnd w:id="278"/>
      <w:bookmarkStart w:id="279" w:name="_Toc184312136"/>
      <w:bookmarkEnd w:id="279"/>
      <w:bookmarkStart w:id="280" w:name="_Toc184312069"/>
      <w:bookmarkEnd w:id="280"/>
      <w:bookmarkStart w:id="281" w:name="_Toc184314452"/>
      <w:bookmarkEnd w:id="281"/>
      <w:bookmarkStart w:id="282" w:name="_Toc184308051"/>
      <w:bookmarkEnd w:id="282"/>
      <w:bookmarkStart w:id="283" w:name="_Toc184312098"/>
      <w:bookmarkEnd w:id="283"/>
      <w:bookmarkStart w:id="284" w:name="_Toc184308054"/>
      <w:bookmarkEnd w:id="284"/>
      <w:bookmarkStart w:id="285" w:name="_Toc184313258"/>
      <w:bookmarkEnd w:id="285"/>
      <w:bookmarkStart w:id="286" w:name="_Toc184308056"/>
      <w:bookmarkEnd w:id="286"/>
      <w:bookmarkStart w:id="287" w:name="_Toc184314454"/>
      <w:bookmarkEnd w:id="287"/>
      <w:bookmarkStart w:id="288" w:name="_Toc184310329"/>
      <w:bookmarkEnd w:id="288"/>
      <w:bookmarkStart w:id="289" w:name="_Toc184308098"/>
      <w:bookmarkEnd w:id="289"/>
      <w:bookmarkStart w:id="290" w:name="_Toc184312126"/>
      <w:bookmarkEnd w:id="290"/>
      <w:bookmarkStart w:id="291" w:name="_Toc184308073"/>
      <w:bookmarkEnd w:id="291"/>
      <w:bookmarkStart w:id="292" w:name="_Toc184314446"/>
      <w:bookmarkEnd w:id="292"/>
      <w:bookmarkStart w:id="293" w:name="_Toc184308077"/>
      <w:bookmarkEnd w:id="293"/>
      <w:bookmarkStart w:id="294" w:name="_Toc184308072"/>
      <w:bookmarkEnd w:id="294"/>
      <w:bookmarkStart w:id="295" w:name="_Toc184314441"/>
      <w:bookmarkEnd w:id="295"/>
      <w:bookmarkStart w:id="296" w:name="_Toc184312122"/>
      <w:bookmarkEnd w:id="296"/>
      <w:bookmarkStart w:id="297" w:name="_Toc184310321"/>
      <w:bookmarkEnd w:id="297"/>
      <w:bookmarkStart w:id="298" w:name="_Toc184310315"/>
      <w:bookmarkEnd w:id="298"/>
      <w:bookmarkStart w:id="299" w:name="_Toc184314435"/>
      <w:bookmarkEnd w:id="299"/>
      <w:bookmarkStart w:id="300" w:name="_Toc184308107"/>
      <w:bookmarkEnd w:id="300"/>
      <w:bookmarkStart w:id="301" w:name="_Toc184313280"/>
      <w:bookmarkEnd w:id="301"/>
      <w:bookmarkStart w:id="302" w:name="_Toc184314481"/>
      <w:bookmarkEnd w:id="302"/>
      <w:bookmarkStart w:id="303" w:name="_Toc184310309"/>
      <w:bookmarkEnd w:id="303"/>
      <w:bookmarkStart w:id="304" w:name="_Toc184313253"/>
      <w:bookmarkEnd w:id="304"/>
      <w:bookmarkStart w:id="305" w:name="_Toc184313247"/>
      <w:bookmarkEnd w:id="305"/>
      <w:bookmarkStart w:id="306" w:name="_Toc184310280"/>
      <w:bookmarkEnd w:id="306"/>
      <w:bookmarkStart w:id="307" w:name="_Toc184310294"/>
      <w:bookmarkEnd w:id="307"/>
      <w:bookmarkStart w:id="308" w:name="_Toc184310338"/>
      <w:bookmarkEnd w:id="308"/>
      <w:bookmarkStart w:id="309" w:name="_Toc184312090"/>
      <w:bookmarkEnd w:id="309"/>
      <w:bookmarkStart w:id="310" w:name="_Toc184308078"/>
      <w:bookmarkEnd w:id="310"/>
      <w:bookmarkStart w:id="311" w:name="_Toc184313290"/>
      <w:bookmarkEnd w:id="311"/>
      <w:bookmarkStart w:id="312" w:name="_Toc184310307"/>
      <w:bookmarkEnd w:id="312"/>
      <w:bookmarkStart w:id="313" w:name="_Toc184310330"/>
      <w:bookmarkEnd w:id="313"/>
      <w:bookmarkStart w:id="314" w:name="_Toc184312133"/>
      <w:bookmarkEnd w:id="314"/>
      <w:bookmarkStart w:id="315" w:name="_Toc184312131"/>
      <w:bookmarkEnd w:id="315"/>
      <w:bookmarkStart w:id="316" w:name="_Toc184312128"/>
      <w:bookmarkEnd w:id="316"/>
      <w:bookmarkStart w:id="317" w:name="_Toc184313279"/>
      <w:bookmarkEnd w:id="317"/>
      <w:bookmarkStart w:id="318" w:name="_Toc184314437"/>
      <w:bookmarkEnd w:id="318"/>
      <w:bookmarkStart w:id="319" w:name="_Toc184308095"/>
      <w:bookmarkEnd w:id="319"/>
      <w:bookmarkStart w:id="320" w:name="_Toc184308058"/>
      <w:bookmarkEnd w:id="320"/>
      <w:bookmarkStart w:id="321" w:name="_Toc184308076"/>
      <w:bookmarkEnd w:id="321"/>
      <w:bookmarkStart w:id="322" w:name="_Toc184312118"/>
      <w:bookmarkEnd w:id="322"/>
      <w:bookmarkStart w:id="323" w:name="_Toc184308047"/>
      <w:bookmarkEnd w:id="323"/>
      <w:bookmarkStart w:id="324" w:name="_Toc184308074"/>
      <w:bookmarkEnd w:id="324"/>
      <w:bookmarkStart w:id="325" w:name="_Toc184310336"/>
      <w:bookmarkEnd w:id="325"/>
      <w:bookmarkStart w:id="326" w:name="_Toc184314427"/>
      <w:bookmarkEnd w:id="326"/>
      <w:bookmarkStart w:id="327" w:name="_Toc184313293"/>
      <w:bookmarkEnd w:id="327"/>
      <w:bookmarkStart w:id="328" w:name="_Toc184313278"/>
      <w:bookmarkEnd w:id="328"/>
      <w:bookmarkStart w:id="329" w:name="_Toc184313297"/>
      <w:bookmarkEnd w:id="329"/>
      <w:bookmarkStart w:id="330" w:name="_Toc184314456"/>
      <w:bookmarkEnd w:id="330"/>
      <w:bookmarkStart w:id="331" w:name="_Toc184313307"/>
      <w:bookmarkEnd w:id="331"/>
      <w:bookmarkStart w:id="332" w:name="_Toc184313286"/>
      <w:bookmarkEnd w:id="332"/>
      <w:bookmarkStart w:id="333" w:name="_Toc184308080"/>
      <w:bookmarkEnd w:id="333"/>
      <w:bookmarkStart w:id="334" w:name="_Toc184310298"/>
      <w:bookmarkEnd w:id="334"/>
      <w:bookmarkStart w:id="335" w:name="_Toc184308036"/>
      <w:bookmarkEnd w:id="335"/>
      <w:bookmarkStart w:id="336" w:name="_Toc184310310"/>
      <w:bookmarkEnd w:id="336"/>
      <w:bookmarkStart w:id="337" w:name="_Toc184313296"/>
      <w:bookmarkEnd w:id="337"/>
      <w:bookmarkStart w:id="338" w:name="_Toc184313289"/>
      <w:bookmarkEnd w:id="338"/>
      <w:bookmarkStart w:id="339" w:name="_Toc184308092"/>
      <w:bookmarkEnd w:id="339"/>
      <w:bookmarkStart w:id="340" w:name="_Toc184310327"/>
      <w:bookmarkEnd w:id="340"/>
      <w:bookmarkStart w:id="341" w:name="_Toc184308101"/>
      <w:bookmarkEnd w:id="341"/>
      <w:bookmarkStart w:id="342" w:name="_Toc184310306"/>
      <w:bookmarkEnd w:id="342"/>
      <w:bookmarkStart w:id="343" w:name="_Toc184308097"/>
      <w:bookmarkEnd w:id="343"/>
      <w:bookmarkStart w:id="344" w:name="_Toc184313250"/>
      <w:bookmarkEnd w:id="344"/>
      <w:bookmarkStart w:id="345" w:name="_Toc184314469"/>
      <w:bookmarkEnd w:id="345"/>
      <w:bookmarkStart w:id="346" w:name="_Toc184313291"/>
      <w:bookmarkEnd w:id="346"/>
      <w:bookmarkStart w:id="347" w:name="_Toc184312124"/>
      <w:bookmarkEnd w:id="347"/>
      <w:bookmarkStart w:id="348" w:name="_Toc184308069"/>
      <w:bookmarkEnd w:id="348"/>
      <w:bookmarkStart w:id="349" w:name="_Toc184308070"/>
      <w:bookmarkEnd w:id="349"/>
      <w:bookmarkStart w:id="350" w:name="_Toc184310302"/>
      <w:bookmarkEnd w:id="350"/>
      <w:bookmarkStart w:id="351" w:name="_Toc184308060"/>
      <w:bookmarkEnd w:id="351"/>
      <w:bookmarkStart w:id="352" w:name="_Toc184314464"/>
      <w:bookmarkEnd w:id="352"/>
      <w:bookmarkStart w:id="353" w:name="_Toc184313249"/>
      <w:bookmarkEnd w:id="353"/>
      <w:bookmarkStart w:id="354" w:name="_Toc184314422"/>
      <w:bookmarkEnd w:id="354"/>
      <w:bookmarkStart w:id="355" w:name="_Toc184313240"/>
      <w:bookmarkEnd w:id="355"/>
      <w:bookmarkStart w:id="356" w:name="_Toc184314455"/>
      <w:bookmarkEnd w:id="356"/>
      <w:bookmarkStart w:id="357" w:name="_Toc184314410"/>
      <w:bookmarkEnd w:id="357"/>
      <w:bookmarkStart w:id="358" w:name="_Toc184313276"/>
      <w:bookmarkEnd w:id="358"/>
      <w:bookmarkStart w:id="359" w:name="_Toc184310313"/>
      <w:bookmarkEnd w:id="359"/>
      <w:bookmarkStart w:id="360" w:name="_Toc184313305"/>
      <w:bookmarkEnd w:id="360"/>
      <w:bookmarkStart w:id="361" w:name="_Toc184314448"/>
      <w:bookmarkEnd w:id="361"/>
      <w:bookmarkStart w:id="362" w:name="_Toc184313302"/>
      <w:bookmarkEnd w:id="362"/>
      <w:bookmarkStart w:id="363" w:name="_Toc184310300"/>
      <w:bookmarkEnd w:id="363"/>
      <w:bookmarkStart w:id="364" w:name="_Toc184308093"/>
      <w:bookmarkEnd w:id="364"/>
      <w:bookmarkStart w:id="365" w:name="_Toc184314430"/>
      <w:bookmarkEnd w:id="365"/>
      <w:bookmarkStart w:id="366" w:name="_Toc184310320"/>
      <w:bookmarkEnd w:id="366"/>
      <w:bookmarkStart w:id="367" w:name="_Toc184308053"/>
      <w:bookmarkEnd w:id="367"/>
      <w:bookmarkStart w:id="368" w:name="_Toc184313309"/>
      <w:bookmarkEnd w:id="368"/>
      <w:bookmarkStart w:id="369" w:name="_Toc184312105"/>
      <w:bookmarkEnd w:id="369"/>
      <w:bookmarkStart w:id="370" w:name="_Toc184312103"/>
      <w:bookmarkEnd w:id="370"/>
      <w:bookmarkStart w:id="371" w:name="_Toc184310293"/>
      <w:bookmarkEnd w:id="371"/>
      <w:bookmarkStart w:id="372" w:name="_Toc184310281"/>
      <w:bookmarkEnd w:id="372"/>
      <w:bookmarkStart w:id="373" w:name="_Toc184313255"/>
      <w:bookmarkEnd w:id="373"/>
      <w:bookmarkStart w:id="374" w:name="_Toc184314471"/>
      <w:bookmarkEnd w:id="374"/>
      <w:bookmarkStart w:id="375" w:name="_Toc184314426"/>
      <w:bookmarkEnd w:id="375"/>
      <w:bookmarkStart w:id="376" w:name="_Toc184310295"/>
      <w:bookmarkEnd w:id="376"/>
      <w:bookmarkStart w:id="377" w:name="_Toc184310332"/>
      <w:bookmarkEnd w:id="377"/>
      <w:bookmarkStart w:id="378" w:name="_Toc184313268"/>
      <w:bookmarkEnd w:id="378"/>
      <w:bookmarkStart w:id="379" w:name="_Toc184314429"/>
      <w:bookmarkEnd w:id="379"/>
      <w:bookmarkStart w:id="380" w:name="_Toc184312070"/>
      <w:bookmarkEnd w:id="380"/>
      <w:bookmarkStart w:id="381" w:name="_Toc184313269"/>
      <w:bookmarkEnd w:id="381"/>
      <w:bookmarkStart w:id="382" w:name="_Toc184308052"/>
      <w:bookmarkEnd w:id="382"/>
      <w:bookmarkStart w:id="383" w:name="_Toc184308050"/>
      <w:bookmarkEnd w:id="383"/>
      <w:bookmarkStart w:id="384" w:name="_Toc184312107"/>
      <w:bookmarkEnd w:id="384"/>
      <w:bookmarkStart w:id="385" w:name="_Toc184313271"/>
      <w:bookmarkEnd w:id="385"/>
      <w:bookmarkStart w:id="386" w:name="_Toc184313252"/>
      <w:bookmarkEnd w:id="386"/>
      <w:bookmarkStart w:id="387" w:name="_Toc184313283"/>
      <w:bookmarkEnd w:id="387"/>
      <w:bookmarkStart w:id="388" w:name="_Toc184312101"/>
      <w:bookmarkEnd w:id="388"/>
      <w:bookmarkStart w:id="389" w:name="_Toc184308082"/>
      <w:bookmarkEnd w:id="389"/>
      <w:bookmarkStart w:id="390" w:name="_Toc184312110"/>
      <w:bookmarkEnd w:id="390"/>
      <w:bookmarkStart w:id="391" w:name="_Toc184312080"/>
      <w:bookmarkEnd w:id="391"/>
      <w:bookmarkStart w:id="392" w:name="_Toc184313284"/>
      <w:bookmarkEnd w:id="392"/>
      <w:bookmarkStart w:id="393" w:name="_Toc184313292"/>
      <w:bookmarkEnd w:id="393"/>
      <w:bookmarkStart w:id="394" w:name="_Toc184308063"/>
      <w:bookmarkEnd w:id="394"/>
      <w:bookmarkStart w:id="395" w:name="_Toc184310343"/>
      <w:bookmarkEnd w:id="395"/>
      <w:bookmarkStart w:id="396" w:name="_Toc184312115"/>
      <w:bookmarkEnd w:id="396"/>
      <w:bookmarkStart w:id="397" w:name="_Toc184313275"/>
      <w:bookmarkEnd w:id="397"/>
      <w:bookmarkStart w:id="398" w:name="_Toc184308045"/>
      <w:bookmarkEnd w:id="398"/>
      <w:bookmarkStart w:id="399" w:name="_Toc184314451"/>
      <w:bookmarkEnd w:id="399"/>
      <w:bookmarkStart w:id="400" w:name="_Toc184310292"/>
      <w:bookmarkEnd w:id="400"/>
      <w:bookmarkStart w:id="401" w:name="_Toc184310282"/>
      <w:bookmarkEnd w:id="401"/>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pPr w:leftFromText="180" w:rightFromText="180" w:vertAnchor="text" w:horzAnchor="page" w:tblpXSpec="center" w:tblpY="126"/>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5469"/>
        <w:gridCol w:w="69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56"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097"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91"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54"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56"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1</w:t>
            </w:r>
          </w:p>
        </w:tc>
        <w:tc>
          <w:tcPr>
            <w:tcW w:w="3097"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提供投标人对该项目</w:t>
            </w:r>
            <w:r>
              <w:rPr>
                <w:rFonts w:hint="eastAsia" w:ascii="仿宋" w:hAnsi="仿宋" w:eastAsia="仿宋" w:cs="仿宋"/>
                <w:color w:val="auto"/>
                <w:kern w:val="2"/>
                <w:sz w:val="24"/>
                <w:szCs w:val="24"/>
                <w:highlight w:val="none"/>
                <w:lang w:val="en-US" w:eastAsia="zh-CN" w:bidi="ar-SA"/>
              </w:rPr>
              <w:t>系统平台服务结构框架的设计和规划情况的阐述</w:t>
            </w:r>
            <w:r>
              <w:rPr>
                <w:rFonts w:hint="eastAsia" w:ascii="仿宋" w:hAnsi="仿宋" w:eastAsia="仿宋" w:cs="仿宋_GB2312"/>
                <w:sz w:val="24"/>
                <w:highlight w:val="none"/>
              </w:rPr>
              <w:t>，</w:t>
            </w:r>
            <w:r>
              <w:rPr>
                <w:rFonts w:hint="eastAsia" w:ascii="仿宋" w:hAnsi="仿宋" w:eastAsia="仿宋" w:cs="仿宋_GB2312"/>
                <w:sz w:val="24"/>
                <w:highlight w:val="none"/>
                <w:lang w:eastAsia="zh-CN"/>
              </w:rPr>
              <w:t>设计科学</w:t>
            </w:r>
            <w:r>
              <w:rPr>
                <w:rFonts w:hint="eastAsia" w:ascii="仿宋" w:hAnsi="仿宋" w:eastAsia="仿宋" w:cs="仿宋_GB2312"/>
                <w:sz w:val="24"/>
                <w:highlight w:val="none"/>
              </w:rPr>
              <w:t>、准确到位，统筹考虑了总体目标实现的得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分，有缺项或不完善的得1分，与实际情况不符的不得分。</w:t>
            </w:r>
          </w:p>
        </w:tc>
        <w:tc>
          <w:tcPr>
            <w:tcW w:w="391"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r>
              <w:rPr>
                <w:rFonts w:hint="eastAsia" w:ascii="仿宋" w:hAnsi="仿宋" w:eastAsia="仿宋" w:cs="仿宋"/>
                <w:color w:val="auto"/>
                <w:kern w:val="2"/>
                <w:sz w:val="24"/>
                <w:szCs w:val="24"/>
                <w:highlight w:val="none"/>
                <w:lang w:val="en-US" w:eastAsia="zh-CN" w:bidi="ar-SA"/>
              </w:rPr>
              <w:t>结构框架的设计和规划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投标人</w:t>
            </w:r>
            <w:r>
              <w:rPr>
                <w:rFonts w:hint="eastAsia" w:ascii="仿宋" w:hAnsi="仿宋" w:eastAsia="仿宋" w:cs="仿宋_GB2312"/>
                <w:sz w:val="24"/>
                <w:highlight w:val="none"/>
              </w:rPr>
              <w:t>对本项目需求的重点、难点分析</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能够明确描述项目针对性解决问题</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能够准确梳理项目建设难点</w:t>
            </w:r>
            <w:r>
              <w:rPr>
                <w:rFonts w:hint="eastAsia" w:ascii="仿宋" w:hAnsi="仿宋" w:eastAsia="仿宋" w:cs="仿宋_GB2312"/>
                <w:sz w:val="24"/>
                <w:highlight w:val="none"/>
                <w:lang w:eastAsia="zh-CN"/>
              </w:rPr>
              <w:t>，并提出合理化建议的得</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rPr>
              <w:t>；</w:t>
            </w:r>
            <w:r>
              <w:rPr>
                <w:rFonts w:hint="eastAsia" w:ascii="仿宋" w:hAnsi="仿宋" w:eastAsia="仿宋" w:cs="仿宋_GB2312"/>
                <w:sz w:val="24"/>
                <w:highlight w:val="none"/>
                <w:lang w:eastAsia="zh-CN"/>
              </w:rPr>
              <w:t>存在不足或有缺陷的得</w:t>
            </w:r>
            <w:r>
              <w:rPr>
                <w:rFonts w:hint="eastAsia" w:ascii="仿宋" w:hAnsi="仿宋" w:eastAsia="仿宋" w:cs="仿宋_GB2312"/>
                <w:sz w:val="24"/>
                <w:highlight w:val="none"/>
                <w:lang w:val="en-US" w:eastAsia="zh-CN"/>
              </w:rPr>
              <w:t>1分；没提供或不合理的不得分。</w:t>
            </w:r>
          </w:p>
        </w:tc>
        <w:tc>
          <w:tcPr>
            <w:tcW w:w="391"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3097"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投标人</w:t>
            </w:r>
            <w:r>
              <w:rPr>
                <w:rFonts w:hint="default" w:ascii="仿宋" w:hAnsi="仿宋" w:eastAsia="仿宋" w:cs="仿宋_GB2312"/>
                <w:sz w:val="24"/>
                <w:highlight w:val="none"/>
                <w:lang w:val="en-US" w:eastAsia="zh-CN"/>
              </w:rPr>
              <w:t>阐述本项目</w:t>
            </w:r>
            <w:r>
              <w:rPr>
                <w:rFonts w:hint="eastAsia" w:ascii="仿宋" w:hAnsi="仿宋" w:eastAsia="仿宋" w:cs="仿宋_GB2312"/>
                <w:sz w:val="24"/>
                <w:highlight w:val="none"/>
                <w:lang w:val="en-US" w:eastAsia="zh-CN"/>
              </w:rPr>
              <w:t>软件开发</w:t>
            </w:r>
            <w:r>
              <w:rPr>
                <w:rFonts w:hint="default" w:ascii="仿宋" w:hAnsi="仿宋" w:eastAsia="仿宋" w:cs="仿宋_GB2312"/>
                <w:sz w:val="24"/>
                <w:highlight w:val="none"/>
                <w:lang w:val="en-US" w:eastAsia="zh-CN"/>
              </w:rPr>
              <w:t>的建设内容，包含：①综合流转平台；②开放查询平台；③预警决策分析平台</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CN"/>
              </w:rPr>
              <w:t>内容详尽且</w:t>
            </w:r>
            <w:r>
              <w:rPr>
                <w:rFonts w:hint="eastAsia" w:ascii="仿宋" w:hAnsi="仿宋" w:eastAsia="仿宋" w:cs="仿宋_GB2312"/>
                <w:sz w:val="24"/>
                <w:highlight w:val="none"/>
                <w:lang w:val="en-US" w:eastAsia="zh-CN"/>
              </w:rPr>
              <w:t>完全</w:t>
            </w:r>
            <w:r>
              <w:rPr>
                <w:rFonts w:hint="default" w:ascii="仿宋" w:hAnsi="仿宋" w:eastAsia="仿宋" w:cs="仿宋_GB2312"/>
                <w:sz w:val="24"/>
                <w:highlight w:val="none"/>
                <w:lang w:val="en-US" w:eastAsia="zh-CN"/>
              </w:rPr>
              <w:t>满足采购需求的，每一项得</w:t>
            </w:r>
            <w:r>
              <w:rPr>
                <w:rFonts w:hint="eastAsia" w:ascii="仿宋" w:hAnsi="仿宋" w:eastAsia="仿宋" w:cs="仿宋_GB2312"/>
                <w:sz w:val="24"/>
                <w:highlight w:val="none"/>
                <w:lang w:val="en-US" w:eastAsia="zh-CN"/>
              </w:rPr>
              <w:t>2</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；内容完整且基本满足采购需求的得1分；其余</w:t>
            </w:r>
            <w:r>
              <w:rPr>
                <w:rFonts w:hint="default" w:ascii="仿宋" w:hAnsi="仿宋" w:eastAsia="仿宋" w:cs="仿宋_GB2312"/>
                <w:sz w:val="24"/>
                <w:highlight w:val="none"/>
                <w:lang w:val="en-US" w:eastAsia="zh-CN"/>
              </w:rPr>
              <w:t>不得分，</w:t>
            </w:r>
            <w:r>
              <w:rPr>
                <w:rFonts w:hint="eastAsia" w:ascii="仿宋" w:hAnsi="仿宋" w:eastAsia="仿宋" w:cs="仿宋_GB2312"/>
                <w:sz w:val="24"/>
                <w:highlight w:val="none"/>
                <w:lang w:val="en-US" w:eastAsia="zh-CN"/>
              </w:rPr>
              <w:t>共6</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w:t>
            </w:r>
          </w:p>
        </w:tc>
        <w:tc>
          <w:tcPr>
            <w:tcW w:w="391"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054" w:type="pct"/>
            <w:vMerge w:val="restar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3097" w:type="pct"/>
            <w:vAlign w:val="center"/>
          </w:tcPr>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
                <w:color w:val="auto"/>
                <w:kern w:val="2"/>
                <w:sz w:val="24"/>
                <w:szCs w:val="24"/>
                <w:highlight w:val="none"/>
                <w:lang w:val="en-US" w:eastAsia="zh-CN" w:bidi="ar-SA"/>
              </w:rPr>
              <w:t>投标人</w:t>
            </w:r>
            <w:r>
              <w:rPr>
                <w:rFonts w:hint="default" w:ascii="仿宋" w:hAnsi="仿宋" w:eastAsia="仿宋" w:cs="仿宋_GB2312"/>
                <w:sz w:val="24"/>
                <w:highlight w:val="none"/>
                <w:lang w:val="en-US" w:eastAsia="zh-CN"/>
              </w:rPr>
              <w:t>阐述本项目</w:t>
            </w:r>
            <w:r>
              <w:rPr>
                <w:rFonts w:hint="eastAsia" w:ascii="仿宋" w:hAnsi="仿宋" w:eastAsia="仿宋" w:cs="仿宋_GB2312"/>
                <w:sz w:val="24"/>
                <w:highlight w:val="none"/>
                <w:lang w:val="en-US" w:eastAsia="zh-CN"/>
              </w:rPr>
              <w:t>软件开发</w:t>
            </w:r>
            <w:r>
              <w:rPr>
                <w:rFonts w:hint="default" w:ascii="仿宋" w:hAnsi="仿宋" w:eastAsia="仿宋" w:cs="仿宋_GB2312"/>
                <w:sz w:val="24"/>
                <w:highlight w:val="none"/>
                <w:lang w:val="en-US" w:eastAsia="zh-CN"/>
              </w:rPr>
              <w:t>的建设内容，</w:t>
            </w:r>
            <w:r>
              <w:rPr>
                <w:rFonts w:hint="eastAsia" w:ascii="仿宋" w:hAnsi="仿宋" w:eastAsia="仿宋" w:cs="仿宋_GB2312"/>
                <w:sz w:val="24"/>
                <w:highlight w:val="none"/>
                <w:lang w:val="en-US" w:eastAsia="zh-CN"/>
              </w:rPr>
              <w:t>包含：①大数据监督一体化中心；②</w:t>
            </w:r>
            <w:r>
              <w:rPr>
                <w:rFonts w:hint="eastAsia" w:ascii="仿宋" w:hAnsi="仿宋" w:eastAsia="仿宋" w:cs="仿宋"/>
                <w:color w:val="auto"/>
                <w:kern w:val="2"/>
                <w:sz w:val="24"/>
                <w:szCs w:val="24"/>
                <w:highlight w:val="none"/>
                <w:lang w:val="en-US" w:eastAsia="zh-CN" w:bidi="ar-SA"/>
              </w:rPr>
              <w:t>政治生态监督评估中心；③智慧防逃监督管理中心；④基层小微权力监督中心；⑤工程项目监督预警中心；⑥国有资产监督预警中心；⑦惠民补助监督预警中心；⑧监察对象监督预警中心，</w:t>
            </w:r>
            <w:r>
              <w:rPr>
                <w:rFonts w:hint="default" w:ascii="仿宋" w:hAnsi="仿宋" w:eastAsia="仿宋" w:cs="仿宋_GB2312"/>
                <w:sz w:val="24"/>
                <w:highlight w:val="none"/>
                <w:lang w:val="en-US" w:eastAsia="zh-CN"/>
              </w:rPr>
              <w:t>内容详尽且</w:t>
            </w:r>
            <w:r>
              <w:rPr>
                <w:rFonts w:hint="eastAsia" w:ascii="仿宋" w:hAnsi="仿宋" w:eastAsia="仿宋" w:cs="仿宋_GB2312"/>
                <w:sz w:val="24"/>
                <w:highlight w:val="none"/>
                <w:lang w:val="en-US" w:eastAsia="zh-CN"/>
              </w:rPr>
              <w:t>完全</w:t>
            </w:r>
            <w:r>
              <w:rPr>
                <w:rFonts w:hint="default" w:ascii="仿宋" w:hAnsi="仿宋" w:eastAsia="仿宋" w:cs="仿宋_GB2312"/>
                <w:sz w:val="24"/>
                <w:highlight w:val="none"/>
                <w:lang w:val="en-US" w:eastAsia="zh-CN"/>
              </w:rPr>
              <w:t>满足采购需求的，每一项得</w:t>
            </w:r>
            <w:r>
              <w:rPr>
                <w:rFonts w:hint="eastAsia" w:ascii="仿宋" w:hAnsi="仿宋" w:eastAsia="仿宋" w:cs="仿宋_GB2312"/>
                <w:sz w:val="24"/>
                <w:highlight w:val="none"/>
                <w:lang w:val="en-US" w:eastAsia="zh-CN"/>
              </w:rPr>
              <w:t>2</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；内容完整且基本满足采购需求的得1分；</w:t>
            </w:r>
            <w:r>
              <w:rPr>
                <w:rFonts w:hint="default" w:ascii="仿宋" w:hAnsi="仿宋" w:eastAsia="仿宋" w:cs="仿宋_GB2312"/>
                <w:sz w:val="24"/>
                <w:highlight w:val="none"/>
                <w:lang w:val="en-US" w:eastAsia="zh-CN"/>
              </w:rPr>
              <w:t>无内容或不满足采购人需求的不得分，</w:t>
            </w:r>
            <w:r>
              <w:rPr>
                <w:rFonts w:hint="eastAsia" w:ascii="仿宋" w:hAnsi="仿宋" w:eastAsia="仿宋" w:cs="仿宋_GB2312"/>
                <w:sz w:val="24"/>
                <w:highlight w:val="none"/>
                <w:lang w:val="en-US" w:eastAsia="zh-CN"/>
              </w:rPr>
              <w:t>共16</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w:t>
            </w:r>
          </w:p>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sz w:val="24"/>
                <w:highlight w:val="none"/>
                <w:lang w:val="en-US" w:eastAsia="zh-CN"/>
              </w:rPr>
              <w:t>注：</w:t>
            </w:r>
            <w:r>
              <w:rPr>
                <w:rFonts w:hint="eastAsia" w:ascii="仿宋" w:hAnsi="仿宋" w:eastAsia="仿宋" w:cs="仿宋"/>
                <w:color w:val="auto"/>
                <w:kern w:val="2"/>
                <w:sz w:val="24"/>
                <w:szCs w:val="24"/>
                <w:highlight w:val="none"/>
                <w:lang w:val="en-US" w:eastAsia="zh-CN" w:bidi="ar-SA"/>
              </w:rPr>
              <w:t>每一项须同时提供中心大屏设计稿截图以及详细指标梳理方案，缺内容该项不得分。</w:t>
            </w:r>
          </w:p>
        </w:tc>
        <w:tc>
          <w:tcPr>
            <w:tcW w:w="391"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054" w:type="pct"/>
            <w:vMerge w:val="continue"/>
            <w:vAlign w:val="center"/>
          </w:tcPr>
          <w:p>
            <w:pPr>
              <w:spacing w:line="360" w:lineRule="auto"/>
              <w:jc w:val="center"/>
              <w:outlineLvl w:val="0"/>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97" w:type="pct"/>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投标人提供的方案对本项目的数据采集的来源、处理等操作流程有清晰的闭环解决思路</w:t>
            </w:r>
            <w:r>
              <w:rPr>
                <w:rFonts w:hint="eastAsia" w:ascii="仿宋" w:hAnsi="仿宋" w:eastAsia="仿宋" w:cs="仿宋"/>
                <w:color w:val="auto"/>
                <w:kern w:val="2"/>
                <w:sz w:val="24"/>
                <w:szCs w:val="24"/>
                <w:highlight w:val="none"/>
                <w:lang w:val="en-US" w:eastAsia="zh-Hans" w:bidi="ar-SA"/>
              </w:rPr>
              <w:t>且符合业务要求</w:t>
            </w:r>
            <w:r>
              <w:rPr>
                <w:rFonts w:hint="eastAsia" w:ascii="仿宋" w:hAnsi="仿宋" w:eastAsia="仿宋" w:cs="仿宋"/>
                <w:color w:val="auto"/>
                <w:kern w:val="2"/>
                <w:sz w:val="24"/>
                <w:szCs w:val="24"/>
                <w:highlight w:val="none"/>
                <w:lang w:val="en-US" w:eastAsia="zh-CN" w:bidi="ar-SA"/>
              </w:rPr>
              <w:t>的得5分；流程基本符合要求的3分；流程存在缺陷的得1分；没提供或不合理的不得分。</w:t>
            </w:r>
          </w:p>
        </w:tc>
        <w:tc>
          <w:tcPr>
            <w:tcW w:w="391"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 </w:t>
            </w:r>
          </w:p>
        </w:tc>
        <w:tc>
          <w:tcPr>
            <w:tcW w:w="1054"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（四）数据采集及处理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3097" w:type="pct"/>
            <w:vAlign w:val="center"/>
          </w:tcPr>
          <w:p>
            <w:pPr>
              <w:spacing w:line="360" w:lineRule="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投标人提供的方案充分考虑综合大屏的贯穿能力且承诺融合杭州临安区纪委监委相关信息系统，满足得3分；部分满足得1分；否则不得分</w:t>
            </w:r>
          </w:p>
        </w:tc>
        <w:tc>
          <w:tcPr>
            <w:tcW w:w="391"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54" w:type="pct"/>
            <w:vMerge w:val="restart"/>
            <w:vAlign w:val="center"/>
          </w:tcPr>
          <w:p>
            <w:pPr>
              <w:spacing w:line="360" w:lineRule="auto"/>
              <w:jc w:val="both"/>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pct"/>
            <w:vAlign w:val="center"/>
          </w:tcPr>
          <w:p>
            <w:pPr>
              <w:spacing w:line="360" w:lineRule="auto"/>
              <w:jc w:val="center"/>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3097"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
                <w:color w:val="auto"/>
                <w:kern w:val="2"/>
                <w:sz w:val="24"/>
                <w:szCs w:val="24"/>
                <w:highlight w:val="none"/>
                <w:lang w:val="en-US" w:eastAsia="zh-CN" w:bidi="ar-SA"/>
              </w:rPr>
              <w:t>投标人提供满足临安区政府统一互联网出口管理要求，且同时访问政务网的网络解决方案，方案科学且可操作性强的得2分；方案合理可操作的得1分；没提供或不合理的不得分。</w:t>
            </w:r>
          </w:p>
        </w:tc>
        <w:tc>
          <w:tcPr>
            <w:tcW w:w="391"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Merge w:val="continue"/>
            <w:vAlign w:val="center"/>
          </w:tcPr>
          <w:p>
            <w:pPr>
              <w:spacing w:line="360" w:lineRule="auto"/>
              <w:jc w:val="center"/>
              <w:outlineLvl w:val="0"/>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8</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rPr>
              <w:t>投标人应根据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p>
        </w:tc>
        <w:tc>
          <w:tcPr>
            <w:tcW w:w="391"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3</w:t>
            </w:r>
          </w:p>
        </w:tc>
        <w:tc>
          <w:tcPr>
            <w:tcW w:w="1054"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6" w:type="pct"/>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①</w:t>
            </w:r>
            <w:r>
              <w:rPr>
                <w:rFonts w:hint="eastAsia" w:ascii="仿宋" w:hAnsi="仿宋" w:eastAsia="仿宋" w:cs="仿宋_GB2312"/>
                <w:sz w:val="24"/>
                <w:highlight w:val="none"/>
                <w:lang w:eastAsia="zh-Hans"/>
              </w:rPr>
              <w:t>本项目拟派项目</w:t>
            </w:r>
            <w:r>
              <w:rPr>
                <w:rFonts w:hint="eastAsia" w:ascii="仿宋" w:hAnsi="仿宋" w:eastAsia="仿宋" w:cs="仿宋_GB2312"/>
                <w:sz w:val="24"/>
                <w:highlight w:val="none"/>
                <w:lang w:eastAsia="zh-CN"/>
              </w:rPr>
              <w:t>负责人</w:t>
            </w:r>
            <w:r>
              <w:rPr>
                <w:rFonts w:hint="eastAsia" w:ascii="仿宋" w:hAnsi="仿宋" w:eastAsia="仿宋" w:cs="仿宋_GB2312"/>
                <w:sz w:val="24"/>
                <w:highlight w:val="none"/>
                <w:lang w:eastAsia="zh-Hans"/>
              </w:rPr>
              <w:t>具备信息系统项目管理师</w:t>
            </w:r>
            <w:r>
              <w:rPr>
                <w:rFonts w:hint="eastAsia" w:ascii="仿宋" w:hAnsi="仿宋" w:eastAsia="仿宋" w:cs="仿宋_GB2312"/>
                <w:sz w:val="24"/>
                <w:highlight w:val="none"/>
                <w:lang w:eastAsia="zh-CN"/>
              </w:rPr>
              <w:t>证书的</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；②</w:t>
            </w:r>
            <w:r>
              <w:rPr>
                <w:rFonts w:hint="eastAsia" w:ascii="仿宋" w:hAnsi="仿宋" w:eastAsia="仿宋" w:cs="仿宋_GB2312"/>
                <w:sz w:val="24"/>
                <w:highlight w:val="none"/>
                <w:lang w:val="en-US" w:eastAsia="zh-CN"/>
              </w:rPr>
              <w:t>项目经理具备</w:t>
            </w:r>
            <w:r>
              <w:rPr>
                <w:rFonts w:hint="eastAsia" w:ascii="仿宋" w:hAnsi="仿宋" w:eastAsia="仿宋" w:cs="仿宋"/>
                <w:color w:val="auto"/>
                <w:kern w:val="2"/>
                <w:sz w:val="24"/>
                <w:szCs w:val="24"/>
                <w:highlight w:val="none"/>
                <w:lang w:val="en-US" w:eastAsia="zh-CN" w:bidi="ar-SA"/>
              </w:rPr>
              <w:t>PMP证书</w:t>
            </w:r>
            <w:r>
              <w:rPr>
                <w:rFonts w:hint="eastAsia" w:ascii="仿宋" w:hAnsi="仿宋" w:eastAsia="仿宋" w:cs="仿宋_GB2312"/>
                <w:sz w:val="24"/>
                <w:highlight w:val="none"/>
                <w:lang w:eastAsia="zh-Hans"/>
              </w:rPr>
              <w:t>的</w:t>
            </w:r>
            <w:r>
              <w:rPr>
                <w:rFonts w:hint="eastAsia" w:ascii="仿宋" w:hAnsi="仿宋" w:eastAsia="仿宋" w:cs="仿宋_GB2312"/>
                <w:sz w:val="24"/>
                <w:highlight w:val="none"/>
                <w:lang w:eastAsia="zh-CN"/>
              </w:rPr>
              <w:t>得</w:t>
            </w:r>
            <w:r>
              <w:rPr>
                <w:rFonts w:hint="eastAsia" w:ascii="仿宋" w:hAnsi="仿宋" w:eastAsia="仿宋" w:cs="仿宋_GB2312"/>
                <w:sz w:val="24"/>
                <w:highlight w:val="none"/>
                <w:lang w:val="en-US" w:eastAsia="zh-CN"/>
              </w:rPr>
              <w:t>1分</w:t>
            </w:r>
            <w:r>
              <w:rPr>
                <w:rFonts w:hint="eastAsia" w:ascii="仿宋" w:hAnsi="仿宋" w:eastAsia="仿宋" w:cs="仿宋_GB2312"/>
                <w:sz w:val="24"/>
                <w:highlight w:val="none"/>
                <w:lang w:eastAsia="zh-Hans"/>
              </w:rPr>
              <w:t>；</w:t>
            </w:r>
            <w:r>
              <w:rPr>
                <w:rFonts w:hint="eastAsia" w:ascii="仿宋" w:hAnsi="仿宋" w:eastAsia="仿宋" w:cs="仿宋_GB2312"/>
                <w:sz w:val="24"/>
                <w:highlight w:val="none"/>
                <w:lang w:eastAsia="zh-CN"/>
              </w:rPr>
              <w:t>③</w:t>
            </w:r>
            <w:r>
              <w:rPr>
                <w:rFonts w:hint="eastAsia" w:ascii="仿宋" w:hAnsi="仿宋" w:eastAsia="仿宋" w:cs="仿宋_GB2312"/>
                <w:sz w:val="24"/>
                <w:highlight w:val="none"/>
                <w:lang w:eastAsia="zh-Hans"/>
              </w:rPr>
              <w:t>项目组实施人员</w:t>
            </w:r>
            <w:r>
              <w:rPr>
                <w:rFonts w:hint="eastAsia" w:ascii="仿宋" w:hAnsi="仿宋" w:eastAsia="仿宋" w:cs="仿宋_GB2312"/>
                <w:sz w:val="24"/>
                <w:highlight w:val="none"/>
                <w:lang w:eastAsia="zh-CN"/>
              </w:rPr>
              <w:t>（不含项目负责人、项目经理）</w:t>
            </w:r>
            <w:r>
              <w:rPr>
                <w:rFonts w:hint="eastAsia" w:ascii="仿宋" w:hAnsi="仿宋" w:eastAsia="仿宋" w:cs="仿宋_GB2312"/>
                <w:sz w:val="24"/>
                <w:highlight w:val="none"/>
                <w:lang w:eastAsia="zh-Hans"/>
              </w:rPr>
              <w:t>具备高级工程师（信息化相关）的</w:t>
            </w:r>
            <w:r>
              <w:rPr>
                <w:rFonts w:hint="eastAsia" w:ascii="仿宋" w:hAnsi="仿宋" w:eastAsia="仿宋" w:cs="仿宋_GB2312"/>
                <w:sz w:val="24"/>
                <w:highlight w:val="none"/>
                <w:lang w:eastAsia="zh-CN"/>
              </w:rPr>
              <w:t>，每人</w:t>
            </w:r>
            <w:r>
              <w:rPr>
                <w:rFonts w:hint="eastAsia" w:ascii="仿宋" w:hAnsi="仿宋" w:eastAsia="仿宋" w:cs="仿宋_GB2312"/>
                <w:sz w:val="24"/>
                <w:highlight w:val="none"/>
                <w:lang w:eastAsia="zh-Hans"/>
              </w:rPr>
              <w:t>得1分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2分；④</w:t>
            </w:r>
            <w:r>
              <w:rPr>
                <w:rFonts w:hint="eastAsia" w:ascii="仿宋" w:hAnsi="仿宋" w:eastAsia="仿宋" w:cs="仿宋"/>
                <w:color w:val="auto"/>
                <w:kern w:val="2"/>
                <w:sz w:val="24"/>
                <w:szCs w:val="24"/>
                <w:highlight w:val="none"/>
                <w:lang w:val="en-US" w:eastAsia="zh-CN" w:bidi="ar-SA"/>
              </w:rPr>
              <w:t>项目的开发实施人员及运行维护人</w:t>
            </w:r>
            <w:r>
              <w:rPr>
                <w:rFonts w:hint="eastAsia" w:ascii="仿宋" w:hAnsi="仿宋" w:eastAsia="仿宋" w:cs="仿宋_GB2312"/>
                <w:sz w:val="24"/>
                <w:highlight w:val="none"/>
                <w:lang w:eastAsia="zh-CN"/>
              </w:rPr>
              <w:t>（不含项目负责人、项目经理）</w:t>
            </w:r>
            <w:r>
              <w:rPr>
                <w:rFonts w:hint="eastAsia" w:ascii="仿宋" w:hAnsi="仿宋" w:eastAsia="仿宋" w:cs="仿宋"/>
                <w:color w:val="auto"/>
                <w:kern w:val="2"/>
                <w:sz w:val="24"/>
                <w:szCs w:val="24"/>
                <w:highlight w:val="none"/>
                <w:lang w:val="en-US" w:eastAsia="zh-CN" w:bidi="ar-SA"/>
              </w:rPr>
              <w:t>至少有两人具备软件工程师资质的得2分。以上需同时提供证书扫描件及社保证明，共6分。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054"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zh-CN" w:eastAsia="zh-CN"/>
              </w:rPr>
              <w:t>测试及验收方案：投标人是否提出合理可行的功能测试及验收方案。满足得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val="zh-CN" w:eastAsia="zh-CN"/>
              </w:rPr>
              <w:t>分，部分满足得1分，不满足不得分，共</w:t>
            </w:r>
            <w:r>
              <w:rPr>
                <w:rFonts w:hint="eastAsia" w:ascii="仿宋" w:hAnsi="仿宋" w:eastAsia="仿宋" w:cs="仿宋_GB2312"/>
                <w:sz w:val="24"/>
                <w:highlight w:val="none"/>
                <w:lang w:val="en-US" w:eastAsia="zh-CN"/>
              </w:rPr>
              <w:t>2分。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val="zh-CN" w:eastAsia="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3097" w:type="pct"/>
            <w:vAlign w:val="center"/>
          </w:tcPr>
          <w:p>
            <w:pPr>
              <w:spacing w:line="360" w:lineRule="auto"/>
              <w:outlineLvl w:val="0"/>
              <w:rPr>
                <w:rFonts w:hint="eastAsia" w:ascii="仿宋" w:hAnsi="仿宋" w:eastAsia="仿宋" w:cs="仿宋_GB2312"/>
                <w:sz w:val="24"/>
                <w:highlight w:val="none"/>
                <w:lang w:eastAsia="zh-Hans"/>
              </w:rPr>
            </w:pPr>
            <w:r>
              <w:rPr>
                <w:rFonts w:hint="eastAsia" w:ascii="仿宋" w:hAnsi="仿宋" w:eastAsia="仿宋" w:cs="仿宋_GB2312"/>
                <w:sz w:val="24"/>
                <w:highlight w:val="none"/>
                <w:lang w:eastAsia="zh-Hans"/>
              </w:rPr>
              <w:t>培训方案：培训计划包括培训内容、培训时间地点、培训对象，培训师资力量等；根据培训方案内容进行评分，每一项科学合理，利于实际操作的得0.5分。共2分。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投标人提供的售后服务方案等情况，服务承诺的可行性、完整性以及服务承诺落实的保障措施，质保期内外的后续技术支持和维护能力情况等进行评审。内容完整、符合采购需求，视为满足。满足得3分，部分满足得1分，不满足或未提供不得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54"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（十）</w:t>
            </w:r>
            <w:r>
              <w:rPr>
                <w:rFonts w:hint="eastAsia" w:ascii="仿宋" w:hAnsi="仿宋" w:eastAsia="仿宋" w:cs="仿宋"/>
                <w:sz w:val="24"/>
                <w:szCs w:val="24"/>
                <w:highlight w:val="none"/>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3097" w:type="pct"/>
            <w:vAlign w:val="center"/>
          </w:tcPr>
          <w:p>
            <w:pPr>
              <w:spacing w:line="360" w:lineRule="auto"/>
              <w:outlineLvl w:val="0"/>
              <w:rPr>
                <w:rFonts w:hint="eastAsia" w:ascii="仿宋" w:hAnsi="仿宋" w:eastAsia="仿宋" w:cs="仿宋"/>
                <w:sz w:val="24"/>
                <w:lang w:val="en-US" w:eastAsia="zh-Hans"/>
              </w:rPr>
            </w:pPr>
            <w:r>
              <w:rPr>
                <w:rFonts w:hint="eastAsia" w:ascii="仿宋" w:hAnsi="仿宋" w:eastAsia="仿宋" w:cs="仿宋_GB2312"/>
                <w:snapToGrid w:val="0"/>
                <w:color w:val="000000"/>
                <w:kern w:val="28"/>
                <w:sz w:val="24"/>
                <w:szCs w:val="20"/>
                <w:highlight w:val="none"/>
                <w:lang w:val="en-US" w:eastAsia="zh-Hans" w:bidi="ar-SA"/>
              </w:rPr>
              <w:t>系统演示：</w:t>
            </w:r>
            <w:r>
              <w:rPr>
                <w:rFonts w:hint="eastAsia" w:ascii="仿宋" w:hAnsi="仿宋" w:eastAsia="仿宋" w:cs="仿宋_GB2312"/>
                <w:snapToGrid w:val="0"/>
                <w:color w:val="000000"/>
                <w:kern w:val="28"/>
                <w:sz w:val="24"/>
                <w:szCs w:val="20"/>
                <w:highlight w:val="none"/>
                <w:lang w:val="en-US" w:eastAsia="zh-CN" w:bidi="ar-SA"/>
              </w:rPr>
              <w:t>演示要求及方式详见前附表，</w:t>
            </w:r>
            <w:r>
              <w:rPr>
                <w:rFonts w:hint="eastAsia" w:ascii="仿宋" w:hAnsi="仿宋" w:eastAsia="仿宋" w:cs="仿宋"/>
                <w:sz w:val="24"/>
                <w:lang w:val="en-US" w:eastAsia="zh-Hans"/>
              </w:rPr>
              <w:t>由投标人自行准备相关演示环境，软件模型成功展现本次项目要求的功能，演示内容如下（PPT、Word演示或未提供演示不得分）：</w:t>
            </w:r>
          </w:p>
          <w:p>
            <w:pPr>
              <w:widowControl/>
              <w:numPr>
                <w:ilvl w:val="0"/>
                <w:numId w:val="7"/>
              </w:numPr>
              <w:spacing w:line="360" w:lineRule="auto"/>
              <w:jc w:val="left"/>
              <w:textAlignment w:val="center"/>
              <w:rPr>
                <w:rFonts w:hint="eastAsia"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CN" w:bidi="ar-SA"/>
              </w:rPr>
              <w:t>智慧防逃监督管理中心:①出国（境）审批（区管干部）流程演示；②行程变更流程演示；③办（补）证流程演示；④人员备案流程演示；⑤人员换岗流程演示；⑥退出监察范围流程演示，以上每成功演示一项得0.5分，否则不得分，共3分；</w:t>
            </w:r>
          </w:p>
          <w:p>
            <w:pPr>
              <w:widowControl/>
              <w:numPr>
                <w:ilvl w:val="0"/>
                <w:numId w:val="7"/>
              </w:numPr>
              <w:spacing w:line="360" w:lineRule="auto"/>
              <w:jc w:val="left"/>
              <w:textAlignment w:val="center"/>
              <w:rPr>
                <w:rFonts w:hint="eastAsia"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CN" w:bidi="ar-SA"/>
              </w:rPr>
              <w:t>智慧防逃监督管理中心：①大屏及详细指标演示；②防逃预警模型演示，以上每成功演示一项得1.5分，否则不得分，共3分；</w:t>
            </w:r>
          </w:p>
          <w:p>
            <w:pPr>
              <w:widowControl/>
              <w:numPr>
                <w:ilvl w:val="0"/>
                <w:numId w:val="7"/>
              </w:numPr>
              <w:spacing w:line="360" w:lineRule="auto"/>
              <w:jc w:val="left"/>
              <w:textAlignment w:val="center"/>
              <w:rPr>
                <w:rFonts w:hint="default"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CN" w:bidi="ar-SA"/>
              </w:rPr>
              <w:t>政治生态监督评估中心：①大屏及详细评估指标演示；②单位评估体系演示；③一把手评估体系演示；④个人评估体系演示，以上每成功演示一项得1分，否则不得分，共4分；</w:t>
            </w:r>
          </w:p>
          <w:p>
            <w:pPr>
              <w:widowControl/>
              <w:numPr>
                <w:ilvl w:val="0"/>
                <w:numId w:val="7"/>
              </w:numPr>
              <w:spacing w:line="360" w:lineRule="auto"/>
              <w:jc w:val="left"/>
              <w:textAlignment w:val="center"/>
              <w:rPr>
                <w:rFonts w:hint="default" w:ascii="仿宋" w:hAnsi="仿宋" w:eastAsia="仿宋" w:cs="仿宋_GB2312"/>
                <w:snapToGrid w:val="0"/>
                <w:color w:val="000000"/>
                <w:kern w:val="28"/>
                <w:sz w:val="24"/>
                <w:szCs w:val="20"/>
                <w:highlight w:val="none"/>
                <w:lang w:val="en-US" w:eastAsia="zh-CN" w:bidi="ar-SA"/>
              </w:rPr>
            </w:pPr>
            <w:r>
              <w:rPr>
                <w:rFonts w:hint="default" w:ascii="仿宋" w:hAnsi="仿宋" w:eastAsia="仿宋" w:cs="仿宋_GB2312"/>
                <w:snapToGrid w:val="0"/>
                <w:color w:val="000000"/>
                <w:kern w:val="28"/>
                <w:sz w:val="24"/>
                <w:szCs w:val="20"/>
                <w:highlight w:val="none"/>
                <w:lang w:val="en-US" w:eastAsia="zh-CN" w:bidi="ar-SA"/>
              </w:rPr>
              <w:t>大数据监督一体化中心</w:t>
            </w:r>
            <w:r>
              <w:rPr>
                <w:rFonts w:hint="eastAsia" w:ascii="仿宋" w:hAnsi="仿宋" w:eastAsia="仿宋" w:cs="仿宋_GB2312"/>
                <w:snapToGrid w:val="0"/>
                <w:color w:val="000000"/>
                <w:kern w:val="28"/>
                <w:sz w:val="24"/>
                <w:szCs w:val="20"/>
                <w:highlight w:val="none"/>
                <w:lang w:val="en-US" w:eastAsia="zh-CN" w:bidi="ar-SA"/>
              </w:rPr>
              <w:t>：</w:t>
            </w:r>
            <w:r>
              <w:rPr>
                <w:rFonts w:hint="default" w:ascii="仿宋" w:hAnsi="仿宋" w:eastAsia="仿宋" w:cs="仿宋_GB2312"/>
                <w:snapToGrid w:val="0"/>
                <w:color w:val="000000"/>
                <w:kern w:val="28"/>
                <w:sz w:val="24"/>
                <w:szCs w:val="20"/>
                <w:highlight w:val="none"/>
                <w:lang w:val="en-US" w:eastAsia="zh-CN" w:bidi="ar-SA"/>
              </w:rPr>
              <w:t>大屏及详细指标</w:t>
            </w:r>
            <w:r>
              <w:rPr>
                <w:rFonts w:hint="eastAsia" w:ascii="仿宋" w:hAnsi="仿宋" w:eastAsia="仿宋" w:cs="仿宋_GB2312"/>
                <w:snapToGrid w:val="0"/>
                <w:color w:val="000000"/>
                <w:kern w:val="28"/>
                <w:sz w:val="24"/>
                <w:szCs w:val="20"/>
                <w:highlight w:val="none"/>
                <w:lang w:val="en-US" w:eastAsia="zh-CN" w:bidi="ar-SA"/>
              </w:rPr>
              <w:t>演示，成功演示得1分，否则不得分</w:t>
            </w:r>
            <w:r>
              <w:rPr>
                <w:rFonts w:hint="default" w:ascii="仿宋" w:hAnsi="仿宋" w:eastAsia="仿宋" w:cs="仿宋_GB2312"/>
                <w:snapToGrid w:val="0"/>
                <w:color w:val="000000"/>
                <w:kern w:val="28"/>
                <w:sz w:val="24"/>
                <w:szCs w:val="20"/>
                <w:highlight w:val="none"/>
                <w:lang w:val="en-US" w:eastAsia="zh-CN" w:bidi="ar-SA"/>
              </w:rPr>
              <w:t>；</w:t>
            </w:r>
          </w:p>
          <w:p>
            <w:pPr>
              <w:pStyle w:val="9"/>
              <w:numPr>
                <w:ilvl w:val="0"/>
                <w:numId w:val="0"/>
              </w:numPr>
              <w:rPr>
                <w:rFonts w:hint="default"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CN" w:bidi="ar-SA"/>
              </w:rPr>
              <w:t>5、</w:t>
            </w:r>
            <w:r>
              <w:rPr>
                <w:rFonts w:hint="default" w:ascii="仿宋" w:hAnsi="仿宋" w:eastAsia="仿宋" w:cs="仿宋_GB2312"/>
                <w:snapToGrid w:val="0"/>
                <w:color w:val="000000"/>
                <w:kern w:val="28"/>
                <w:sz w:val="24"/>
                <w:szCs w:val="20"/>
                <w:highlight w:val="none"/>
                <w:lang w:val="en-US" w:eastAsia="zh-CN" w:bidi="ar-SA"/>
              </w:rPr>
              <w:t>基层小微权力监督中心</w:t>
            </w:r>
            <w:r>
              <w:rPr>
                <w:rFonts w:hint="eastAsia" w:ascii="仿宋" w:hAnsi="仿宋" w:eastAsia="仿宋" w:cs="仿宋_GB2312"/>
                <w:snapToGrid w:val="0"/>
                <w:color w:val="000000"/>
                <w:kern w:val="28"/>
                <w:sz w:val="24"/>
                <w:szCs w:val="20"/>
                <w:highlight w:val="none"/>
                <w:lang w:val="en-US" w:eastAsia="zh-CN" w:bidi="ar-SA"/>
              </w:rPr>
              <w:t>：</w:t>
            </w:r>
            <w:r>
              <w:rPr>
                <w:rFonts w:hint="default" w:ascii="仿宋" w:hAnsi="仿宋" w:eastAsia="仿宋" w:cs="仿宋_GB2312"/>
                <w:snapToGrid w:val="0"/>
                <w:color w:val="000000"/>
                <w:kern w:val="28"/>
                <w:sz w:val="24"/>
                <w:szCs w:val="20"/>
                <w:highlight w:val="none"/>
                <w:lang w:val="en-US" w:eastAsia="zh-CN" w:bidi="ar-SA"/>
              </w:rPr>
              <w:t>大屏及详细指标</w:t>
            </w:r>
            <w:r>
              <w:rPr>
                <w:rFonts w:hint="eastAsia" w:ascii="仿宋" w:hAnsi="仿宋" w:eastAsia="仿宋" w:cs="仿宋_GB2312"/>
                <w:snapToGrid w:val="0"/>
                <w:color w:val="000000"/>
                <w:kern w:val="28"/>
                <w:sz w:val="24"/>
                <w:szCs w:val="20"/>
                <w:highlight w:val="none"/>
                <w:lang w:val="en-US" w:eastAsia="zh-CN" w:bidi="ar-SA"/>
              </w:rPr>
              <w:t>演示，成功演示得1分，否则不得分</w:t>
            </w:r>
            <w:r>
              <w:rPr>
                <w:rFonts w:hint="default" w:ascii="仿宋" w:hAnsi="仿宋" w:eastAsia="仿宋" w:cs="仿宋_GB2312"/>
                <w:snapToGrid w:val="0"/>
                <w:color w:val="000000"/>
                <w:kern w:val="28"/>
                <w:sz w:val="24"/>
                <w:szCs w:val="20"/>
                <w:highlight w:val="none"/>
                <w:lang w:val="en-US" w:eastAsia="zh-CN" w:bidi="ar-SA"/>
              </w:rPr>
              <w:t>；</w:t>
            </w:r>
          </w:p>
          <w:p>
            <w:pPr>
              <w:pStyle w:val="9"/>
              <w:numPr>
                <w:ilvl w:val="0"/>
                <w:numId w:val="0"/>
              </w:numPr>
              <w:rPr>
                <w:rFonts w:hint="eastAsia" w:ascii="仿宋" w:hAnsi="仿宋" w:eastAsia="仿宋" w:cs="仿宋_GB2312"/>
                <w:snapToGrid w:val="0"/>
                <w:color w:val="000000"/>
                <w:kern w:val="28"/>
                <w:sz w:val="24"/>
                <w:szCs w:val="20"/>
                <w:highlight w:val="none"/>
                <w:lang w:val="en-US" w:eastAsia="zh-Hans" w:bidi="ar-SA"/>
              </w:rPr>
            </w:pPr>
            <w:r>
              <w:rPr>
                <w:rFonts w:hint="eastAsia" w:ascii="仿宋" w:hAnsi="仿宋" w:eastAsia="仿宋" w:cs="仿宋_GB2312"/>
                <w:snapToGrid w:val="0"/>
                <w:color w:val="000000"/>
                <w:kern w:val="28"/>
                <w:sz w:val="24"/>
                <w:szCs w:val="20"/>
                <w:highlight w:val="none"/>
                <w:lang w:val="en-US" w:eastAsia="zh-Hans" w:bidi="ar-SA"/>
              </w:rPr>
              <w:t>6、工程项目监督预警中心：①大屏及详细指标演示；②工程项目预警模型演示，以上每成功演示一项得1分，否则不得分，共2分；</w:t>
            </w:r>
          </w:p>
          <w:p>
            <w:pPr>
              <w:pStyle w:val="9"/>
              <w:numPr>
                <w:ilvl w:val="0"/>
                <w:numId w:val="0"/>
              </w:numPr>
              <w:rPr>
                <w:rFonts w:hint="eastAsia" w:ascii="仿宋" w:hAnsi="仿宋" w:eastAsia="仿宋" w:cs="仿宋_GB2312"/>
                <w:snapToGrid w:val="0"/>
                <w:color w:val="000000"/>
                <w:kern w:val="28"/>
                <w:sz w:val="24"/>
                <w:szCs w:val="20"/>
                <w:highlight w:val="none"/>
                <w:lang w:val="en-US" w:eastAsia="zh-Hans" w:bidi="ar-SA"/>
              </w:rPr>
            </w:pPr>
            <w:r>
              <w:rPr>
                <w:rFonts w:hint="eastAsia" w:ascii="仿宋" w:hAnsi="仿宋" w:eastAsia="仿宋" w:cs="仿宋_GB2312"/>
                <w:snapToGrid w:val="0"/>
                <w:color w:val="000000"/>
                <w:kern w:val="28"/>
                <w:sz w:val="24"/>
                <w:szCs w:val="20"/>
                <w:highlight w:val="none"/>
                <w:lang w:val="en-US" w:eastAsia="zh-Hans" w:bidi="ar-SA"/>
              </w:rPr>
              <w:t>7、国有资产监督预警中心：①大屏及详细指标演示；②国有资产预警模型演示，以上每成功演示一项得1分，否则不得分，共2分；</w:t>
            </w:r>
          </w:p>
          <w:p>
            <w:pPr>
              <w:pStyle w:val="9"/>
              <w:numPr>
                <w:ilvl w:val="0"/>
                <w:numId w:val="0"/>
              </w:numPr>
              <w:rPr>
                <w:rFonts w:hint="eastAsia" w:ascii="仿宋" w:hAnsi="仿宋" w:eastAsia="仿宋" w:cs="仿宋_GB2312"/>
                <w:snapToGrid w:val="0"/>
                <w:color w:val="000000"/>
                <w:kern w:val="28"/>
                <w:sz w:val="24"/>
                <w:szCs w:val="20"/>
                <w:highlight w:val="none"/>
                <w:lang w:val="en-US" w:eastAsia="zh-Hans" w:bidi="ar-SA"/>
              </w:rPr>
            </w:pPr>
            <w:r>
              <w:rPr>
                <w:rFonts w:hint="eastAsia" w:ascii="仿宋" w:hAnsi="仿宋" w:eastAsia="仿宋" w:cs="仿宋_GB2312"/>
                <w:snapToGrid w:val="0"/>
                <w:color w:val="000000"/>
                <w:kern w:val="28"/>
                <w:sz w:val="24"/>
                <w:szCs w:val="20"/>
                <w:highlight w:val="none"/>
                <w:lang w:val="en-US" w:eastAsia="zh-Hans" w:bidi="ar-SA"/>
              </w:rPr>
              <w:t>8、惠民补助监督预警中心：①大屏及详细指标演示；②惠民补助预警模型演示，以上每成功演示一项得1分，否则不得分，共2分；</w:t>
            </w:r>
          </w:p>
          <w:p>
            <w:pPr>
              <w:pStyle w:val="9"/>
              <w:numPr>
                <w:ilvl w:val="0"/>
                <w:numId w:val="0"/>
              </w:numPr>
              <w:rPr>
                <w:rFonts w:hint="eastAsia"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Hans" w:bidi="ar-SA"/>
              </w:rPr>
              <w:t>9、监察对象监督预警中心：①大屏及详细指标演示；②监察对象预警模型演示，以上每成功演示一项得1分，否则不得分，共2分</w:t>
            </w:r>
            <w:r>
              <w:rPr>
                <w:rFonts w:hint="eastAsia" w:ascii="仿宋" w:hAnsi="仿宋" w:eastAsia="仿宋" w:cs="仿宋_GB2312"/>
                <w:snapToGrid w:val="0"/>
                <w:color w:val="000000"/>
                <w:kern w:val="28"/>
                <w:sz w:val="24"/>
                <w:szCs w:val="20"/>
                <w:highlight w:val="none"/>
                <w:lang w:val="en-US" w:eastAsia="zh-CN" w:bidi="ar-SA"/>
              </w:rPr>
              <w:t>。</w:t>
            </w:r>
          </w:p>
        </w:tc>
        <w:tc>
          <w:tcPr>
            <w:tcW w:w="391"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054"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3097" w:type="pct"/>
            <w:vAlign w:val="center"/>
          </w:tcPr>
          <w:p>
            <w:pPr>
              <w:spacing w:line="360" w:lineRule="auto"/>
              <w:outlineLvl w:val="0"/>
              <w:rPr>
                <w:rFonts w:hint="eastAsia" w:ascii="仿宋" w:hAnsi="仿宋" w:eastAsia="仿宋" w:cs="仿宋_GB2312"/>
                <w:snapToGrid w:val="0"/>
                <w:color w:val="000000"/>
                <w:kern w:val="28"/>
                <w:sz w:val="24"/>
                <w:szCs w:val="20"/>
                <w:highlight w:val="none"/>
                <w:lang w:val="en-US" w:eastAsia="zh-CN" w:bidi="ar-SA"/>
              </w:rPr>
            </w:pPr>
            <w:r>
              <w:rPr>
                <w:rFonts w:hint="eastAsia" w:ascii="仿宋" w:hAnsi="仿宋" w:eastAsia="仿宋" w:cs="仿宋_GB2312"/>
                <w:snapToGrid w:val="0"/>
                <w:color w:val="000000"/>
                <w:kern w:val="28"/>
                <w:sz w:val="24"/>
                <w:szCs w:val="20"/>
                <w:highlight w:val="none"/>
                <w:lang w:val="en-US" w:eastAsia="zh-Hans" w:bidi="ar-SA"/>
              </w:rPr>
              <w:t>投标人具备</w:t>
            </w:r>
            <w:r>
              <w:rPr>
                <w:rFonts w:hint="eastAsia" w:ascii="仿宋" w:hAnsi="仿宋" w:eastAsia="仿宋" w:cs="仿宋_GB2312"/>
                <w:snapToGrid w:val="0"/>
                <w:color w:val="000000"/>
                <w:kern w:val="28"/>
                <w:sz w:val="24"/>
                <w:szCs w:val="20"/>
                <w:highlight w:val="none"/>
                <w:lang w:val="en-US" w:eastAsia="zh-CN" w:bidi="ar-SA"/>
              </w:rPr>
              <w:t>本项目</w:t>
            </w:r>
            <w:r>
              <w:rPr>
                <w:rFonts w:hint="eastAsia" w:ascii="仿宋" w:hAnsi="仿宋" w:eastAsia="仿宋" w:cs="仿宋_GB2312"/>
                <w:snapToGrid w:val="0"/>
                <w:color w:val="000000"/>
                <w:kern w:val="28"/>
                <w:sz w:val="24"/>
                <w:szCs w:val="20"/>
                <w:highlight w:val="none"/>
                <w:lang w:val="en-US" w:eastAsia="zh-Hans" w:bidi="ar-SA"/>
              </w:rPr>
              <w:t>相关软件著作权，每提供一个</w:t>
            </w:r>
            <w:r>
              <w:rPr>
                <w:rFonts w:hint="eastAsia" w:ascii="仿宋" w:hAnsi="仿宋" w:eastAsia="仿宋" w:cs="仿宋_GB2312"/>
                <w:snapToGrid w:val="0"/>
                <w:color w:val="000000"/>
                <w:kern w:val="28"/>
                <w:sz w:val="24"/>
                <w:szCs w:val="20"/>
                <w:highlight w:val="none"/>
                <w:lang w:val="en-US" w:eastAsia="zh-CN" w:bidi="ar-SA"/>
              </w:rPr>
              <w:t>相关证书的</w:t>
            </w:r>
            <w:r>
              <w:rPr>
                <w:rFonts w:hint="eastAsia" w:ascii="仿宋" w:hAnsi="仿宋" w:eastAsia="仿宋" w:cs="仿宋_GB2312"/>
                <w:snapToGrid w:val="0"/>
                <w:color w:val="000000"/>
                <w:kern w:val="28"/>
                <w:sz w:val="24"/>
                <w:szCs w:val="20"/>
                <w:highlight w:val="none"/>
                <w:lang w:val="en-US" w:eastAsia="zh-Hans" w:bidi="ar-SA"/>
              </w:rPr>
              <w:t>得</w:t>
            </w:r>
            <w:r>
              <w:rPr>
                <w:rFonts w:hint="eastAsia" w:ascii="仿宋" w:hAnsi="仿宋" w:eastAsia="仿宋" w:cs="仿宋_GB2312"/>
                <w:snapToGrid w:val="0"/>
                <w:color w:val="000000"/>
                <w:kern w:val="28"/>
                <w:sz w:val="24"/>
                <w:szCs w:val="20"/>
                <w:highlight w:val="none"/>
                <w:lang w:val="en-US" w:eastAsia="zh-CN" w:bidi="ar-SA"/>
              </w:rPr>
              <w:t>0.5</w:t>
            </w:r>
            <w:r>
              <w:rPr>
                <w:rFonts w:hint="eastAsia" w:ascii="仿宋" w:hAnsi="仿宋" w:eastAsia="仿宋" w:cs="仿宋_GB2312"/>
                <w:snapToGrid w:val="0"/>
                <w:color w:val="000000"/>
                <w:kern w:val="28"/>
                <w:sz w:val="24"/>
                <w:szCs w:val="20"/>
                <w:highlight w:val="none"/>
                <w:lang w:val="en-US" w:eastAsia="zh-Hans" w:bidi="ar-SA"/>
              </w:rPr>
              <w:t>分，</w:t>
            </w:r>
            <w:r>
              <w:rPr>
                <w:rFonts w:hint="eastAsia" w:ascii="仿宋" w:hAnsi="仿宋" w:eastAsia="仿宋" w:cs="仿宋_GB2312"/>
                <w:snapToGrid w:val="0"/>
                <w:color w:val="000000"/>
                <w:kern w:val="28"/>
                <w:sz w:val="24"/>
                <w:szCs w:val="20"/>
                <w:highlight w:val="none"/>
                <w:lang w:val="en-US" w:eastAsia="zh-CN" w:bidi="ar-SA"/>
              </w:rPr>
              <w:t>共1</w:t>
            </w:r>
            <w:r>
              <w:rPr>
                <w:rFonts w:hint="eastAsia" w:ascii="仿宋" w:hAnsi="仿宋" w:eastAsia="仿宋" w:cs="仿宋_GB2312"/>
                <w:snapToGrid w:val="0"/>
                <w:color w:val="000000"/>
                <w:kern w:val="28"/>
                <w:sz w:val="24"/>
                <w:szCs w:val="20"/>
                <w:highlight w:val="none"/>
                <w:lang w:val="en-US" w:eastAsia="zh-Hans" w:bidi="ar-SA"/>
              </w:rPr>
              <w:t>分</w:t>
            </w:r>
            <w:r>
              <w:rPr>
                <w:rFonts w:hint="eastAsia" w:ascii="仿宋" w:hAnsi="仿宋" w:eastAsia="仿宋" w:cs="仿宋_GB2312"/>
                <w:snapToGrid w:val="0"/>
                <w:color w:val="000000"/>
                <w:kern w:val="28"/>
                <w:sz w:val="24"/>
                <w:szCs w:val="20"/>
                <w:highlight w:val="none"/>
                <w:lang w:val="en-US" w:eastAsia="zh-CN" w:bidi="ar-SA"/>
              </w:rPr>
              <w:t>。</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054" w:type="pct"/>
            <w:vMerge w:val="restart"/>
            <w:vAlign w:val="center"/>
          </w:tcPr>
          <w:p>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sz w:val="24"/>
                <w:szCs w:val="24"/>
                <w:highlight w:val="none"/>
                <w:lang w:val="en-US" w:eastAsia="zh-CN"/>
              </w:rPr>
              <w:t>十一）综合实力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3097" w:type="pct"/>
            <w:vAlign w:val="center"/>
          </w:tcPr>
          <w:p>
            <w:pPr>
              <w:spacing w:line="360" w:lineRule="auto"/>
              <w:outlineLvl w:val="0"/>
              <w:rPr>
                <w:rFonts w:hint="eastAsia" w:ascii="仿宋" w:hAnsi="仿宋" w:eastAsia="仿宋" w:cs="仿宋_GB2312"/>
                <w:snapToGrid w:val="0"/>
                <w:color w:val="000000"/>
                <w:kern w:val="28"/>
                <w:sz w:val="24"/>
                <w:szCs w:val="20"/>
                <w:highlight w:val="none"/>
                <w:lang w:val="en-US" w:eastAsia="zh-Hans" w:bidi="ar-SA"/>
              </w:rPr>
            </w:pPr>
            <w:r>
              <w:rPr>
                <w:rFonts w:hint="eastAsia" w:ascii="仿宋" w:hAnsi="仿宋" w:eastAsia="仿宋" w:cs="仿宋_GB2312"/>
                <w:snapToGrid w:val="0"/>
                <w:color w:val="000000"/>
                <w:kern w:val="28"/>
                <w:sz w:val="24"/>
                <w:szCs w:val="20"/>
                <w:highlight w:val="none"/>
                <w:lang w:val="en-US" w:eastAsia="zh-Hans" w:bidi="ar-SA"/>
              </w:rPr>
              <w:t>投标人具备</w:t>
            </w:r>
            <w:r>
              <w:rPr>
                <w:rFonts w:hint="eastAsia" w:ascii="仿宋" w:hAnsi="仿宋" w:eastAsia="仿宋" w:cs="仿宋_GB2312"/>
                <w:snapToGrid w:val="0"/>
                <w:color w:val="000000"/>
                <w:kern w:val="28"/>
                <w:sz w:val="24"/>
                <w:szCs w:val="20"/>
                <w:highlight w:val="none"/>
                <w:lang w:val="en-US" w:eastAsia="zh-CN" w:bidi="ar-SA"/>
              </w:rPr>
              <w:t>涉密信息系统集成乙级及以上资质且在有效期内的，提供相关证书的得2分。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Merge w:val="continue"/>
            <w:vAlign w:val="center"/>
          </w:tcPr>
          <w:p>
            <w:pPr>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309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Hans"/>
              </w:rPr>
              <w:t>投标人具有ISO9001质量管理体系证书</w:t>
            </w:r>
            <w:r>
              <w:rPr>
                <w:rFonts w:hint="eastAsia" w:ascii="仿宋" w:hAnsi="仿宋" w:eastAsia="仿宋" w:cs="仿宋_GB2312"/>
                <w:sz w:val="24"/>
                <w:highlight w:val="none"/>
                <w:lang w:eastAsia="zh-CN"/>
              </w:rPr>
              <w:t>、ISO20000信息技术服务管理体系认证证书、ISO27001信息安全管理体系认证证书，提供相关证书，每个证书</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3分。</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54" w:type="pct"/>
            <w:vMerge w:val="continue"/>
            <w:vAlign w:val="center"/>
          </w:tcPr>
          <w:p>
            <w:pPr>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6" w:type="pct"/>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3097" w:type="pct"/>
            <w:vAlign w:val="center"/>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lang w:eastAsia="zh-Hans"/>
              </w:rPr>
              <w:t>类似项目建设的成功经验</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eastAsia="zh-Hans"/>
              </w:rPr>
              <w:t>投标人提供</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lang w:val="en-US" w:eastAsia="zh-CN"/>
              </w:rPr>
              <w:t>2019</w:t>
            </w:r>
            <w:r>
              <w:rPr>
                <w:rFonts w:hint="eastAsia" w:ascii="仿宋" w:hAnsi="仿宋" w:eastAsia="仿宋" w:cs="仿宋_GB2312"/>
                <w:sz w:val="24"/>
                <w:highlight w:val="none"/>
                <w:lang w:eastAsia="zh-Hans"/>
              </w:rPr>
              <w:t>年1月1日至</w:t>
            </w:r>
            <w:r>
              <w:rPr>
                <w:rFonts w:hint="eastAsia" w:ascii="仿宋" w:hAnsi="仿宋" w:eastAsia="仿宋" w:cs="仿宋_GB2312"/>
                <w:sz w:val="24"/>
                <w:highlight w:val="none"/>
              </w:rPr>
              <w:t>开标时间止</w:t>
            </w:r>
            <w:r>
              <w:rPr>
                <w:rFonts w:hint="eastAsia" w:ascii="仿宋" w:hAnsi="仿宋" w:eastAsia="仿宋" w:cs="仿宋_GB2312"/>
                <w:sz w:val="24"/>
                <w:highlight w:val="none"/>
                <w:lang w:eastAsia="zh-Hans"/>
              </w:rPr>
              <w:t>（以合同签订时间为准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完成过</w:t>
            </w:r>
            <w:r>
              <w:rPr>
                <w:rFonts w:hint="eastAsia" w:ascii="仿宋" w:hAnsi="仿宋" w:eastAsia="仿宋" w:cs="仿宋_GB2312"/>
                <w:sz w:val="24"/>
                <w:highlight w:val="none"/>
                <w:lang w:eastAsia="zh-CN"/>
              </w:rPr>
              <w:t>类似大数据监督</w:t>
            </w:r>
            <w:r>
              <w:rPr>
                <w:rFonts w:hint="eastAsia" w:ascii="仿宋" w:hAnsi="仿宋" w:eastAsia="仿宋" w:cs="仿宋_GB2312"/>
                <w:sz w:val="24"/>
                <w:highlight w:val="none"/>
              </w:rPr>
              <w:t>建设</w:t>
            </w:r>
            <w:r>
              <w:rPr>
                <w:rFonts w:hint="eastAsia" w:ascii="仿宋" w:hAnsi="仿宋" w:eastAsia="仿宋" w:cs="仿宋_GB2312"/>
                <w:sz w:val="24"/>
                <w:highlight w:val="none"/>
                <w:lang w:eastAsia="zh-CN"/>
              </w:rPr>
              <w:t>类</w:t>
            </w:r>
            <w:r>
              <w:rPr>
                <w:rFonts w:hint="eastAsia" w:ascii="仿宋" w:hAnsi="仿宋" w:eastAsia="仿宋" w:cs="仿宋_GB2312"/>
                <w:sz w:val="24"/>
                <w:highlight w:val="none"/>
                <w:lang w:eastAsia="zh-Hans"/>
              </w:rPr>
              <w:t>案例情况，</w:t>
            </w:r>
            <w:r>
              <w:rPr>
                <w:rFonts w:hint="eastAsia" w:ascii="仿宋" w:hAnsi="仿宋" w:eastAsia="仿宋" w:cs="仿宋_GB2312"/>
                <w:sz w:val="24"/>
                <w:highlight w:val="none"/>
                <w:lang w:eastAsia="zh-CN"/>
              </w:rPr>
              <w:t>需同时提供合同及验收报告扫描件，</w:t>
            </w:r>
            <w:r>
              <w:rPr>
                <w:rFonts w:hint="eastAsia" w:ascii="仿宋" w:hAnsi="仿宋" w:eastAsia="仿宋" w:cs="仿宋_GB2312"/>
                <w:sz w:val="24"/>
                <w:highlight w:val="none"/>
                <w:lang w:eastAsia="zh-Hans"/>
              </w:rPr>
              <w:t>每个案例得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rPr>
              <w:t>。</w:t>
            </w:r>
          </w:p>
        </w:tc>
        <w:tc>
          <w:tcPr>
            <w:tcW w:w="39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54" w:type="pct"/>
            <w:vMerge w:val="continue"/>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56"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3097" w:type="pct"/>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有效投标报价的最低价作为评标基准价，其最低报价为满分；按［投标报价得分=（评标基准价/投标报价）*</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0］的计算公式计算。</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391"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w:t>
            </w:r>
          </w:p>
        </w:tc>
        <w:tc>
          <w:tcPr>
            <w:tcW w:w="1054"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0"/>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7"/>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10"/>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10"/>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10"/>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10"/>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10"/>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10"/>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10"/>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0"/>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10"/>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10"/>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10"/>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10"/>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0"/>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10"/>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402" w:name="第五部分"/>
      <w:bookmarkStart w:id="403"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1"/>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7"/>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8"/>
        <w:spacing w:before="120" w:line="22" w:lineRule="atLeast"/>
        <w:rPr>
          <w:rFonts w:hint="eastAsia" w:ascii="仿宋" w:hAnsi="仿宋" w:eastAsia="仿宋" w:cs="仿宋"/>
          <w:szCs w:val="24"/>
        </w:rPr>
      </w:pPr>
    </w:p>
    <w:p>
      <w:pPr>
        <w:pStyle w:val="59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4" w:name="_Toc20421"/>
      <w:bookmarkStart w:id="405" w:name="_Toc28855"/>
      <w:bookmarkStart w:id="406" w:name="_Toc22967"/>
      <w:bookmarkStart w:id="407" w:name="_Toc19273"/>
      <w:bookmarkStart w:id="408" w:name="_Toc15367"/>
      <w:r>
        <w:rPr>
          <w:rFonts w:hint="eastAsia" w:ascii="仿宋" w:hAnsi="仿宋" w:eastAsia="仿宋" w:cs="仿宋"/>
          <w:b/>
          <w:sz w:val="24"/>
        </w:rPr>
        <w:t>1.1 合同组成部分</w:t>
      </w:r>
      <w:bookmarkEnd w:id="404"/>
      <w:bookmarkEnd w:id="405"/>
      <w:bookmarkEnd w:id="406"/>
      <w:bookmarkEnd w:id="407"/>
      <w:bookmarkEnd w:id="40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9" w:name="_Toc18585"/>
      <w:bookmarkStart w:id="410" w:name="_Toc6773"/>
      <w:bookmarkStart w:id="411" w:name="_Toc2918"/>
      <w:bookmarkStart w:id="412" w:name="_Toc22185"/>
      <w:bookmarkStart w:id="413" w:name="_Toc6311"/>
      <w:r>
        <w:rPr>
          <w:rFonts w:hint="eastAsia" w:ascii="仿宋" w:hAnsi="仿宋" w:eastAsia="仿宋" w:cs="仿宋"/>
          <w:b/>
          <w:sz w:val="24"/>
        </w:rPr>
        <w:t>1.2 标的</w:t>
      </w:r>
      <w:bookmarkEnd w:id="409"/>
      <w:bookmarkEnd w:id="410"/>
      <w:bookmarkEnd w:id="411"/>
      <w:bookmarkEnd w:id="412"/>
      <w:bookmarkEnd w:id="413"/>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4" w:name="_Toc4929"/>
      <w:bookmarkStart w:id="415" w:name="_Toc5635"/>
      <w:bookmarkStart w:id="416" w:name="_Toc21124"/>
      <w:bookmarkStart w:id="417" w:name="_Toc13918"/>
      <w:bookmarkStart w:id="418" w:name="_Toc1386"/>
      <w:r>
        <w:rPr>
          <w:rFonts w:hint="eastAsia" w:ascii="仿宋" w:hAnsi="仿宋" w:eastAsia="仿宋" w:cs="仿宋"/>
          <w:b/>
          <w:sz w:val="24"/>
        </w:rPr>
        <w:t>1.3 价款</w:t>
      </w:r>
      <w:bookmarkEnd w:id="414"/>
      <w:bookmarkEnd w:id="415"/>
      <w:bookmarkEnd w:id="416"/>
      <w:bookmarkEnd w:id="417"/>
      <w:bookmarkEnd w:id="41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9" w:name="_Toc26916"/>
      <w:bookmarkStart w:id="420" w:name="_Toc30158"/>
      <w:bookmarkStart w:id="421" w:name="_Toc14993"/>
      <w:bookmarkStart w:id="422" w:name="_Toc30506"/>
      <w:bookmarkStart w:id="423" w:name="_Toc3654"/>
      <w:r>
        <w:rPr>
          <w:rFonts w:hint="eastAsia" w:ascii="仿宋" w:hAnsi="仿宋" w:eastAsia="仿宋" w:cs="仿宋"/>
          <w:b/>
          <w:sz w:val="24"/>
        </w:rPr>
        <w:t>1.4 付款方式和发票开具方式</w:t>
      </w:r>
      <w:bookmarkEnd w:id="419"/>
      <w:bookmarkEnd w:id="420"/>
      <w:bookmarkEnd w:id="421"/>
      <w:bookmarkEnd w:id="422"/>
      <w:bookmarkEnd w:id="423"/>
    </w:p>
    <w:p>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24" w:name="_Toc31421"/>
      <w:bookmarkStart w:id="425" w:name="_Toc4760"/>
      <w:bookmarkStart w:id="426" w:name="_Toc11108"/>
      <w:bookmarkStart w:id="427" w:name="_Toc3625"/>
      <w:bookmarkStart w:id="428" w:name="_Toc8772"/>
      <w:r>
        <w:rPr>
          <w:rFonts w:hint="eastAsia" w:ascii="仿宋" w:hAnsi="仿宋" w:eastAsia="仿宋" w:cs="仿宋"/>
          <w:b/>
          <w:sz w:val="24"/>
        </w:rPr>
        <w:t>1.5 履行期限、地点和方式</w:t>
      </w:r>
      <w:bookmarkEnd w:id="424"/>
      <w:bookmarkEnd w:id="425"/>
      <w:bookmarkEnd w:id="426"/>
      <w:bookmarkEnd w:id="427"/>
      <w:bookmarkEnd w:id="42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29" w:name="_Toc8586"/>
      <w:bookmarkStart w:id="430" w:name="_Toc2375"/>
      <w:bookmarkStart w:id="431" w:name="_Toc24662"/>
      <w:bookmarkStart w:id="432" w:name="_Toc5698"/>
      <w:bookmarkStart w:id="433" w:name="_Toc3079"/>
      <w:r>
        <w:rPr>
          <w:rFonts w:hint="eastAsia" w:ascii="仿宋" w:hAnsi="仿宋" w:eastAsia="仿宋" w:cs="仿宋"/>
          <w:b/>
          <w:sz w:val="24"/>
        </w:rPr>
        <w:t>1.6 违约责任</w:t>
      </w:r>
      <w:bookmarkEnd w:id="429"/>
      <w:bookmarkEnd w:id="430"/>
      <w:bookmarkEnd w:id="431"/>
      <w:bookmarkEnd w:id="432"/>
      <w:bookmarkEnd w:id="43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34" w:name="_Toc18683"/>
      <w:bookmarkStart w:id="435" w:name="_Toc26807"/>
      <w:bookmarkStart w:id="436" w:name="_Toc9497"/>
      <w:bookmarkStart w:id="437" w:name="_Toc30329"/>
      <w:bookmarkStart w:id="438" w:name="_Toc32454"/>
      <w:r>
        <w:rPr>
          <w:rFonts w:hint="eastAsia" w:ascii="仿宋" w:hAnsi="仿宋" w:eastAsia="仿宋" w:cs="仿宋"/>
          <w:b/>
          <w:sz w:val="24"/>
        </w:rPr>
        <w:t>1.7 合同争议的解决</w:t>
      </w:r>
      <w:bookmarkEnd w:id="434"/>
      <w:bookmarkEnd w:id="435"/>
      <w:bookmarkEnd w:id="436"/>
      <w:bookmarkEnd w:id="437"/>
      <w:bookmarkEnd w:id="438"/>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39" w:name="_Toc23784"/>
      <w:bookmarkStart w:id="440" w:name="_Toc16417"/>
      <w:bookmarkStart w:id="441" w:name="_Toc12273"/>
      <w:bookmarkStart w:id="442" w:name="_Toc26227"/>
      <w:bookmarkStart w:id="443" w:name="_Toc15827"/>
      <w:r>
        <w:rPr>
          <w:rFonts w:hint="eastAsia" w:ascii="仿宋" w:hAnsi="仿宋" w:eastAsia="仿宋" w:cs="仿宋"/>
          <w:b/>
          <w:sz w:val="24"/>
        </w:rPr>
        <w:t>1.8 合同生效</w:t>
      </w:r>
      <w:bookmarkEnd w:id="439"/>
      <w:bookmarkEnd w:id="440"/>
      <w:bookmarkEnd w:id="441"/>
      <w:bookmarkEnd w:id="442"/>
      <w:bookmarkEnd w:id="443"/>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701"/>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4" w:name="_Toc19680"/>
      <w:bookmarkStart w:id="445" w:name="_Toc5228"/>
      <w:bookmarkStart w:id="446" w:name="_Toc31297"/>
      <w:bookmarkStart w:id="447" w:name="_Toc14021"/>
      <w:bookmarkStart w:id="448" w:name="_Toc25079"/>
      <w:r>
        <w:rPr>
          <w:rFonts w:hint="eastAsia" w:ascii="仿宋" w:hAnsi="仿宋" w:eastAsia="仿宋" w:cs="仿宋"/>
          <w:b/>
          <w:sz w:val="24"/>
        </w:rPr>
        <w:t>2.1 定义</w:t>
      </w:r>
      <w:bookmarkEnd w:id="444"/>
      <w:bookmarkEnd w:id="445"/>
      <w:bookmarkEnd w:id="446"/>
      <w:bookmarkEnd w:id="447"/>
      <w:bookmarkEnd w:id="44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9" w:name="_Toc23289"/>
      <w:bookmarkStart w:id="450" w:name="_Toc31402"/>
      <w:bookmarkStart w:id="451" w:name="_Toc19539"/>
      <w:bookmarkStart w:id="452" w:name="_Toc16752"/>
      <w:bookmarkStart w:id="453" w:name="_Toc3769"/>
      <w:r>
        <w:rPr>
          <w:rFonts w:hint="eastAsia" w:ascii="仿宋" w:hAnsi="仿宋" w:eastAsia="仿宋" w:cs="仿宋"/>
          <w:b/>
          <w:sz w:val="24"/>
        </w:rPr>
        <w:t>2.2 技术规范</w:t>
      </w:r>
      <w:bookmarkEnd w:id="449"/>
      <w:bookmarkEnd w:id="450"/>
      <w:bookmarkEnd w:id="451"/>
      <w:bookmarkEnd w:id="452"/>
      <w:bookmarkEnd w:id="4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4" w:name="_Toc9161"/>
      <w:bookmarkStart w:id="455" w:name="_Toc27945"/>
      <w:bookmarkStart w:id="456" w:name="_Toc12412"/>
      <w:bookmarkStart w:id="457" w:name="_Toc4133"/>
      <w:bookmarkStart w:id="458" w:name="_Toc13673"/>
      <w:r>
        <w:rPr>
          <w:rFonts w:hint="eastAsia" w:ascii="仿宋" w:hAnsi="仿宋" w:eastAsia="仿宋" w:cs="仿宋"/>
          <w:b/>
          <w:sz w:val="24"/>
        </w:rPr>
        <w:t>2.3 知识产权</w:t>
      </w:r>
      <w:bookmarkEnd w:id="454"/>
      <w:bookmarkEnd w:id="455"/>
      <w:bookmarkEnd w:id="456"/>
      <w:bookmarkEnd w:id="457"/>
      <w:bookmarkEnd w:id="4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9" w:name="_Toc15447"/>
      <w:bookmarkStart w:id="460" w:name="_Toc32670"/>
      <w:bookmarkStart w:id="461" w:name="_Toc31233"/>
      <w:bookmarkStart w:id="462" w:name="_Toc26555"/>
      <w:bookmarkStart w:id="463" w:name="_Toc22011"/>
      <w:r>
        <w:rPr>
          <w:rFonts w:hint="eastAsia" w:ascii="仿宋" w:hAnsi="仿宋" w:eastAsia="仿宋" w:cs="仿宋"/>
          <w:b/>
          <w:sz w:val="24"/>
        </w:rPr>
        <w:t>2.5 结算方式和付款条件</w:t>
      </w:r>
      <w:bookmarkEnd w:id="459"/>
      <w:bookmarkEnd w:id="460"/>
      <w:bookmarkEnd w:id="461"/>
      <w:bookmarkEnd w:id="462"/>
      <w:bookmarkEnd w:id="46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4" w:name="_Toc13154"/>
      <w:bookmarkStart w:id="465" w:name="_Toc18990"/>
      <w:bookmarkStart w:id="466" w:name="_Toc16163"/>
      <w:bookmarkStart w:id="467" w:name="_Toc30507"/>
      <w:bookmarkStart w:id="468" w:name="_Toc13467"/>
      <w:r>
        <w:rPr>
          <w:rFonts w:hint="eastAsia" w:ascii="仿宋" w:hAnsi="仿宋" w:eastAsia="仿宋" w:cs="仿宋"/>
          <w:b/>
          <w:sz w:val="24"/>
        </w:rPr>
        <w:t>2.6 技术资料和保密义务</w:t>
      </w:r>
      <w:bookmarkEnd w:id="464"/>
      <w:bookmarkEnd w:id="465"/>
      <w:bookmarkEnd w:id="466"/>
      <w:bookmarkEnd w:id="467"/>
      <w:bookmarkEnd w:id="46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9" w:name="_Toc19069"/>
      <w:r>
        <w:rPr>
          <w:rFonts w:hint="eastAsia" w:ascii="仿宋" w:hAnsi="仿宋" w:eastAsia="仿宋" w:cs="仿宋"/>
          <w:b/>
          <w:sz w:val="24"/>
        </w:rPr>
        <w:t>2.7 质量保证</w:t>
      </w:r>
      <w:bookmarkEnd w:id="46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0" w:name="_Toc22267"/>
      <w:r>
        <w:rPr>
          <w:rFonts w:hint="eastAsia" w:ascii="仿宋" w:hAnsi="仿宋" w:eastAsia="仿宋" w:cs="仿宋"/>
          <w:b/>
          <w:sz w:val="24"/>
        </w:rPr>
        <w:t>2.8 延迟履行</w:t>
      </w:r>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1" w:name="_Toc10611"/>
      <w:r>
        <w:rPr>
          <w:rFonts w:hint="eastAsia" w:ascii="仿宋" w:hAnsi="仿宋" w:eastAsia="仿宋" w:cs="仿宋"/>
          <w:b/>
          <w:sz w:val="24"/>
        </w:rPr>
        <w:t>2.9 合同变更</w:t>
      </w:r>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2" w:name="_Toc26689"/>
      <w:bookmarkStart w:id="473" w:name="_Toc21830"/>
      <w:bookmarkStart w:id="474" w:name="_Toc23368"/>
      <w:bookmarkStart w:id="475" w:name="_Toc42"/>
      <w:bookmarkStart w:id="476" w:name="_Toc10663"/>
      <w:r>
        <w:rPr>
          <w:rFonts w:hint="eastAsia" w:ascii="仿宋" w:hAnsi="仿宋" w:eastAsia="仿宋" w:cs="仿宋"/>
          <w:b/>
          <w:sz w:val="24"/>
        </w:rPr>
        <w:t>2.10 合同转让和分包</w:t>
      </w:r>
      <w:bookmarkEnd w:id="472"/>
      <w:bookmarkEnd w:id="473"/>
      <w:bookmarkEnd w:id="474"/>
      <w:bookmarkEnd w:id="475"/>
      <w:bookmarkEnd w:id="47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7" w:name="_Toc32494"/>
      <w:bookmarkStart w:id="478" w:name="_Toc26633"/>
      <w:bookmarkStart w:id="479" w:name="_Toc4720"/>
      <w:bookmarkStart w:id="480" w:name="_Toc14371"/>
      <w:bookmarkStart w:id="481" w:name="_Toc25571"/>
      <w:r>
        <w:rPr>
          <w:rFonts w:hint="eastAsia" w:ascii="仿宋" w:hAnsi="仿宋" w:eastAsia="仿宋" w:cs="仿宋"/>
          <w:b/>
          <w:sz w:val="24"/>
        </w:rPr>
        <w:t>2.11 不可抗力</w:t>
      </w:r>
      <w:bookmarkEnd w:id="477"/>
      <w:bookmarkEnd w:id="478"/>
      <w:bookmarkEnd w:id="479"/>
      <w:bookmarkEnd w:id="480"/>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2" w:name="_Toc24465"/>
      <w:bookmarkStart w:id="483" w:name="_Toc3638"/>
      <w:bookmarkStart w:id="484" w:name="_Toc23854"/>
      <w:bookmarkStart w:id="485" w:name="_Toc25783"/>
      <w:bookmarkStart w:id="486" w:name="_Toc14115"/>
      <w:r>
        <w:rPr>
          <w:rFonts w:hint="eastAsia" w:ascii="仿宋" w:hAnsi="仿宋" w:eastAsia="仿宋" w:cs="仿宋"/>
          <w:b/>
          <w:sz w:val="24"/>
        </w:rPr>
        <w:t>2.12 税费</w:t>
      </w:r>
      <w:bookmarkEnd w:id="482"/>
      <w:bookmarkEnd w:id="483"/>
      <w:bookmarkEnd w:id="484"/>
      <w:bookmarkEnd w:id="485"/>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7" w:name="_Toc14814"/>
      <w:bookmarkStart w:id="488" w:name="_Toc26883"/>
      <w:bookmarkStart w:id="489" w:name="_Toc30105"/>
      <w:bookmarkStart w:id="490" w:name="_Toc7315"/>
      <w:bookmarkStart w:id="491" w:name="_Toc25525"/>
      <w:r>
        <w:rPr>
          <w:rFonts w:hint="eastAsia" w:ascii="仿宋" w:hAnsi="仿宋" w:eastAsia="仿宋" w:cs="仿宋"/>
          <w:b/>
          <w:sz w:val="24"/>
        </w:rPr>
        <w:t>2.13 乙方破产</w:t>
      </w:r>
      <w:bookmarkEnd w:id="487"/>
      <w:bookmarkEnd w:id="488"/>
      <w:bookmarkEnd w:id="489"/>
      <w:bookmarkEnd w:id="490"/>
      <w:bookmarkEnd w:id="4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2" w:name="_Toc2016"/>
      <w:bookmarkStart w:id="493" w:name="_Toc23323"/>
      <w:bookmarkStart w:id="494" w:name="_Toc1123"/>
      <w:r>
        <w:rPr>
          <w:rFonts w:hint="eastAsia" w:ascii="仿宋" w:hAnsi="仿宋" w:eastAsia="仿宋" w:cs="仿宋"/>
          <w:b/>
          <w:sz w:val="24"/>
        </w:rPr>
        <w:t>2.14 合同中止、终止</w:t>
      </w:r>
      <w:bookmarkEnd w:id="492"/>
      <w:bookmarkEnd w:id="493"/>
      <w:bookmarkEnd w:id="49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5" w:name="_Toc17363"/>
      <w:bookmarkStart w:id="496" w:name="_Toc1969"/>
      <w:bookmarkStart w:id="497" w:name="_Toc14525"/>
      <w:r>
        <w:rPr>
          <w:rFonts w:hint="eastAsia" w:ascii="仿宋" w:hAnsi="仿宋" w:eastAsia="仿宋" w:cs="仿宋"/>
          <w:b/>
          <w:sz w:val="24"/>
        </w:rPr>
        <w:t>2.15 检验和验收</w:t>
      </w:r>
      <w:bookmarkEnd w:id="495"/>
      <w:bookmarkEnd w:id="496"/>
      <w:bookmarkEnd w:id="497"/>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98" w:name="_Toc12666"/>
      <w:bookmarkStart w:id="499" w:name="_Toc25198"/>
      <w:bookmarkStart w:id="500" w:name="_Toc31892"/>
      <w:bookmarkStart w:id="501" w:name="_Toc9808"/>
      <w:bookmarkStart w:id="502" w:name="_Toc2308"/>
      <w:r>
        <w:rPr>
          <w:rFonts w:hint="eastAsia" w:ascii="仿宋" w:hAnsi="仿宋" w:eastAsia="仿宋" w:cs="仿宋"/>
          <w:b/>
          <w:sz w:val="24"/>
        </w:rPr>
        <w:t>2.16 通知和送达</w:t>
      </w:r>
      <w:bookmarkEnd w:id="498"/>
      <w:bookmarkEnd w:id="499"/>
      <w:bookmarkEnd w:id="500"/>
      <w:bookmarkEnd w:id="501"/>
      <w:bookmarkEnd w:id="502"/>
    </w:p>
    <w:p>
      <w:pPr>
        <w:spacing w:line="560" w:lineRule="exact"/>
        <w:ind w:firstLine="480" w:firstLineChars="200"/>
        <w:rPr>
          <w:rFonts w:hint="eastAsia" w:ascii="仿宋" w:hAnsi="仿宋" w:eastAsia="仿宋" w:cs="仿宋"/>
          <w:sz w:val="24"/>
        </w:rPr>
      </w:pPr>
      <w:bookmarkStart w:id="503" w:name="_Toc27674"/>
      <w:bookmarkStart w:id="504"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82" w:firstLineChars="200"/>
        <w:outlineLvl w:val="0"/>
        <w:rPr>
          <w:rFonts w:hint="eastAsia" w:ascii="仿宋" w:hAnsi="仿宋" w:eastAsia="仿宋" w:cs="仿宋"/>
          <w:b/>
          <w:sz w:val="24"/>
        </w:rPr>
      </w:pPr>
      <w:bookmarkStart w:id="505" w:name="_Toc27644"/>
      <w:bookmarkStart w:id="506" w:name="_Toc28906"/>
      <w:bookmarkStart w:id="507" w:name="_Toc12254"/>
      <w:bookmarkStart w:id="508" w:name="_Toc5063"/>
      <w:bookmarkStart w:id="509" w:name="_Toc20808"/>
      <w:r>
        <w:rPr>
          <w:rFonts w:hint="eastAsia" w:ascii="仿宋" w:hAnsi="仿宋" w:eastAsia="仿宋" w:cs="仿宋"/>
          <w:b/>
          <w:sz w:val="24"/>
        </w:rPr>
        <w:t>2.17 合同使用的文字和适用的法律</w:t>
      </w:r>
      <w:bookmarkEnd w:id="505"/>
      <w:bookmarkEnd w:id="506"/>
      <w:bookmarkEnd w:id="507"/>
      <w:bookmarkEnd w:id="508"/>
      <w:bookmarkEnd w:id="5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0" w:name="_Toc30096"/>
      <w:bookmarkStart w:id="511" w:name="_Toc1492"/>
      <w:bookmarkStart w:id="512" w:name="_Toc27403"/>
      <w:bookmarkStart w:id="513" w:name="_Toc22266"/>
      <w:bookmarkStart w:id="514" w:name="_Toc27127"/>
      <w:r>
        <w:rPr>
          <w:rFonts w:hint="eastAsia" w:ascii="仿宋" w:hAnsi="仿宋" w:eastAsia="仿宋" w:cs="仿宋"/>
          <w:b/>
          <w:sz w:val="24"/>
        </w:rPr>
        <w:t>2.18 履约保证金</w:t>
      </w:r>
      <w:bookmarkEnd w:id="510"/>
      <w:bookmarkEnd w:id="511"/>
      <w:bookmarkEnd w:id="512"/>
      <w:bookmarkEnd w:id="513"/>
      <w:bookmarkEnd w:id="514"/>
    </w:p>
    <w:p>
      <w:pPr>
        <w:pStyle w:val="95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1"/>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5" w:name="_Toc331685784"/>
      <w:r>
        <w:rPr>
          <w:rFonts w:hint="eastAsia" w:ascii="仿宋" w:hAnsi="仿宋" w:eastAsia="仿宋" w:cs="仿宋"/>
          <w:b/>
          <w:szCs w:val="24"/>
        </w:rPr>
        <w:t xml:space="preserve"> </w:t>
      </w:r>
      <w:bookmarkEnd w:id="515"/>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3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0"/>
        <w:gridCol w:w="9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22"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7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77"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1、第一期付款：采购合同签订生效后的</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个工作日内，采购单位向成交供应商支付合同总价40%的预付款项；</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2，第二期付款：项目完成系统上线，并通过初验后5个工作日内，采购单位向成交供应商支付合同总价的40%；</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3，第三期付款：系统上线试运行3个月，且通过终验后5个工作日内，采购单位向成交供应商支付合同总价的</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w:t>
            </w:r>
            <w:r>
              <w:rPr>
                <w:rFonts w:hint="eastAsia" w:ascii="仿宋" w:hAnsi="仿宋" w:eastAsia="仿宋" w:cs="仿宋"/>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77"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：合同签订之日起60天内完成整体项目建设。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77"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77"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77"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77"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77"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77"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77" w:type="pct"/>
            <w:vAlign w:val="center"/>
          </w:tcPr>
          <w:p>
            <w:pPr>
              <w:spacing w:line="360" w:lineRule="auto"/>
              <w:ind w:left="-420" w:leftChars="-200" w:right="-420" w:rightChars="-20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77" w:type="pct"/>
            <w:vAlign w:val="center"/>
          </w:tcPr>
          <w:p>
            <w:pPr>
              <w:spacing w:line="360" w:lineRule="auto"/>
              <w:ind w:left="-420" w:leftChars="-200" w:right="-420" w:rightChars="-200"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结算方式和付款条件：验收后付款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4577" w:type="pct"/>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577" w:type="pct"/>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77"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77"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4577" w:type="pct"/>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4577" w:type="pct"/>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22"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77"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22" w:type="pct"/>
            <w:tcBorders>
              <w:left w:val="single" w:color="auto" w:sz="4" w:space="0"/>
            </w:tcBorders>
            <w:vAlign w:val="center"/>
          </w:tcPr>
          <w:p>
            <w:pPr>
              <w:spacing w:line="360" w:lineRule="auto"/>
              <w:rPr>
                <w:rFonts w:hint="eastAsia" w:ascii="仿宋" w:hAnsi="仿宋" w:eastAsia="仿宋" w:cs="仿宋"/>
                <w:sz w:val="24"/>
              </w:rPr>
            </w:pPr>
          </w:p>
        </w:tc>
        <w:tc>
          <w:tcPr>
            <w:tcW w:w="4577"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22"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77"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2"/>
      <w:r>
        <w:rPr>
          <w:rFonts w:hint="eastAsia" w:ascii="仿宋" w:hAnsi="仿宋" w:eastAsia="仿宋" w:cs="仿宋"/>
          <w:b/>
          <w:sz w:val="36"/>
          <w:szCs w:val="20"/>
        </w:rPr>
        <w:t xml:space="preserve"> </w:t>
      </w:r>
      <w:bookmarkEnd w:id="403"/>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7"/>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7"/>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6" w:name="_Hlk101257010"/>
      <w:r>
        <w:rPr>
          <w:rFonts w:hint="eastAsia" w:ascii="仿宋" w:hAnsi="仿宋" w:eastAsia="仿宋" w:cs="仿宋"/>
          <w:snapToGrid w:val="0"/>
          <w:kern w:val="28"/>
          <w:sz w:val="24"/>
          <w:szCs w:val="20"/>
        </w:rPr>
        <w:t>（如果有)</w:t>
      </w:r>
      <w:bookmarkEnd w:id="516"/>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7"/>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7"/>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区纪委监委监督智慧监督平台（二期）建设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7"/>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7"/>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7" w:name="_Toc465665161"/>
      <w:r>
        <w:rPr>
          <w:rFonts w:hint="eastAsia" w:ascii="仿宋" w:hAnsi="仿宋" w:eastAsia="仿宋" w:cs="仿宋"/>
        </w:rPr>
        <w:t>附件</w:t>
      </w:r>
      <w:bookmarkEnd w:id="517"/>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18" w:name="OLE_LINK14"/>
      <w:bookmarkStart w:id="519" w:name="OLE_LINK13"/>
      <w:r>
        <w:rPr>
          <w:rFonts w:hint="eastAsia" w:ascii="仿宋" w:hAnsi="仿宋" w:eastAsia="仿宋" w:cs="仿宋"/>
          <w:b/>
          <w:spacing w:val="6"/>
          <w:sz w:val="32"/>
          <w:szCs w:val="32"/>
        </w:rPr>
        <w:t>残疾人福利性单位声明函</w:t>
      </w:r>
    </w:p>
    <w:bookmarkEnd w:id="518"/>
    <w:bookmarkEnd w:id="519"/>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0" w:name="_Hlk101131882"/>
      <w:r>
        <w:rPr>
          <w:rFonts w:hint="eastAsia" w:ascii="仿宋" w:hAnsi="仿宋" w:eastAsia="仿宋" w:cs="仿宋"/>
          <w:kern w:val="0"/>
          <w:sz w:val="24"/>
          <w:u w:val="single"/>
        </w:rPr>
        <w:t>联合体成员X,……</w:t>
      </w:r>
      <w:bookmarkEnd w:id="520"/>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1"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21"/>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2"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2"/>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7"/>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3" w:name="_Toc164085800"/>
    <w:bookmarkStart w:id="524" w:name="_Toc36110187"/>
    <w:bookmarkStart w:id="525" w:name="_Toc131845147"/>
    <w:bookmarkStart w:id="526" w:name="_Toc91899912"/>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w:t>
    </w:r>
    <w:r>
      <w:rPr>
        <w:rFonts w:hint="eastAsia"/>
        <w:lang w:eastAsia="zh-CN"/>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w:t>
    </w:r>
    <w:r>
      <w:rPr>
        <w:rFonts w:hint="eastAsia"/>
        <w:lang w:eastAsia="zh-CN"/>
      </w:rPr>
      <w:t>临安区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C710D"/>
    <w:multiLevelType w:val="singleLevel"/>
    <w:tmpl w:val="9B7C710D"/>
    <w:lvl w:ilvl="0" w:tentative="0">
      <w:start w:val="1"/>
      <w:numFmt w:val="decimal"/>
      <w:lvlText w:val="%1)"/>
      <w:lvlJc w:val="left"/>
      <w:pPr>
        <w:ind w:left="425" w:hanging="425"/>
      </w:pPr>
      <w:rPr>
        <w:rFonts w:hint="default"/>
      </w:rPr>
    </w:lvl>
  </w:abstractNum>
  <w:abstractNum w:abstractNumId="1">
    <w:nsid w:val="CBE94094"/>
    <w:multiLevelType w:val="singleLevel"/>
    <w:tmpl w:val="CBE94094"/>
    <w:lvl w:ilvl="0" w:tentative="0">
      <w:start w:val="1"/>
      <w:numFmt w:val="decimal"/>
      <w:suff w:val="nothing"/>
      <w:lvlText w:val="%1、"/>
      <w:lvlJc w:val="left"/>
    </w:lvl>
  </w:abstractNum>
  <w:abstractNum w:abstractNumId="2">
    <w:nsid w:val="DD5A6E43"/>
    <w:multiLevelType w:val="singleLevel"/>
    <w:tmpl w:val="DD5A6E43"/>
    <w:lvl w:ilvl="0" w:tentative="0">
      <w:start w:val="1"/>
      <w:numFmt w:val="bullet"/>
      <w:lvlText w:val=""/>
      <w:lvlJc w:val="left"/>
      <w:pPr>
        <w:ind w:left="420" w:hanging="420"/>
      </w:pPr>
      <w:rPr>
        <w:rFonts w:hint="default" w:ascii="Wingdings" w:hAnsi="Wingdings"/>
      </w:rPr>
    </w:lvl>
  </w:abstractNum>
  <w:abstractNum w:abstractNumId="3">
    <w:nsid w:val="E5E67124"/>
    <w:multiLevelType w:val="singleLevel"/>
    <w:tmpl w:val="E5E67124"/>
    <w:lvl w:ilvl="0" w:tentative="0">
      <w:start w:val="1"/>
      <w:numFmt w:val="decimal"/>
      <w:suff w:val="nothing"/>
      <w:lvlText w:val="%1）"/>
      <w:lvlJc w:val="left"/>
    </w:lvl>
  </w:abstractNum>
  <w:abstractNum w:abstractNumId="4">
    <w:nsid w:val="EA5BB903"/>
    <w:multiLevelType w:val="multilevel"/>
    <w:tmpl w:val="EA5BB903"/>
    <w:lvl w:ilvl="0" w:tentative="0">
      <w:start w:val="1"/>
      <w:numFmt w:val="decimal"/>
      <w:lvlText w:val="%1."/>
      <w:lvlJc w:val="left"/>
      <w:pPr>
        <w:ind w:left="425" w:hanging="425"/>
      </w:pPr>
      <w:rPr>
        <w:rFonts w:hint="default"/>
      </w:rPr>
    </w:lvl>
    <w:lvl w:ilvl="1" w:tentative="0">
      <w:start w:val="1"/>
      <w:numFmt w:val="decimal"/>
      <w:suff w:val="nothing"/>
      <w:lvlText w:val="%1.%2"/>
      <w:lvlJc w:val="left"/>
      <w:pPr>
        <w:tabs>
          <w:tab w:val="left" w:pos="420"/>
        </w:tabs>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D60CBB6"/>
    <w:multiLevelType w:val="singleLevel"/>
    <w:tmpl w:val="0D60CBB6"/>
    <w:lvl w:ilvl="0" w:tentative="0">
      <w:start w:val="1"/>
      <w:numFmt w:val="decimalEnclosedCircleChinese"/>
      <w:suff w:val="nothing"/>
      <w:lvlText w:val="%1　"/>
      <w:lvlJc w:val="left"/>
      <w:pPr>
        <w:ind w:left="150" w:firstLine="400"/>
      </w:pPr>
      <w:rPr>
        <w:rFonts w:hint="eastAsia"/>
      </w:rPr>
    </w:lvl>
  </w:abstractNum>
  <w:abstractNum w:abstractNumId="6">
    <w:nsid w:val="435A8BEA"/>
    <w:multiLevelType w:val="singleLevel"/>
    <w:tmpl w:val="435A8BEA"/>
    <w:lvl w:ilvl="0" w:tentative="0">
      <w:start w:val="4"/>
      <w:numFmt w:val="decimal"/>
      <w:suff w:val="nothing"/>
      <w:lvlText w:val="%1、"/>
      <w:lvlJc w:val="left"/>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0690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E258E"/>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E656B"/>
    <w:rsid w:val="0D827401"/>
    <w:rsid w:val="0D84094E"/>
    <w:rsid w:val="0D8A00E9"/>
    <w:rsid w:val="0D8D589E"/>
    <w:rsid w:val="0DA01C73"/>
    <w:rsid w:val="0DD63300"/>
    <w:rsid w:val="0DEC2D55"/>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E104CC"/>
    <w:rsid w:val="11E20309"/>
    <w:rsid w:val="11EF3ED7"/>
    <w:rsid w:val="12255233"/>
    <w:rsid w:val="12530213"/>
    <w:rsid w:val="127723A9"/>
    <w:rsid w:val="12862074"/>
    <w:rsid w:val="12883966"/>
    <w:rsid w:val="129E45B4"/>
    <w:rsid w:val="12D81596"/>
    <w:rsid w:val="13072A44"/>
    <w:rsid w:val="131F21EA"/>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E3EEF"/>
    <w:rsid w:val="1B832448"/>
    <w:rsid w:val="1BA209CF"/>
    <w:rsid w:val="1BB4777D"/>
    <w:rsid w:val="1BBE7DC3"/>
    <w:rsid w:val="1BD75AB8"/>
    <w:rsid w:val="1C0459C2"/>
    <w:rsid w:val="1C1B3B4A"/>
    <w:rsid w:val="1C5B508A"/>
    <w:rsid w:val="1C88086E"/>
    <w:rsid w:val="1D266CE1"/>
    <w:rsid w:val="1D3963AF"/>
    <w:rsid w:val="1D6A673C"/>
    <w:rsid w:val="1D9247AE"/>
    <w:rsid w:val="1DB567EC"/>
    <w:rsid w:val="1DF51A98"/>
    <w:rsid w:val="1E3D060F"/>
    <w:rsid w:val="1E3F7D2E"/>
    <w:rsid w:val="1E4134E4"/>
    <w:rsid w:val="1E49022D"/>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C1DBD"/>
    <w:rsid w:val="22BE6801"/>
    <w:rsid w:val="233500BF"/>
    <w:rsid w:val="23377FF7"/>
    <w:rsid w:val="236B425F"/>
    <w:rsid w:val="23836192"/>
    <w:rsid w:val="23901F29"/>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713B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73156"/>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1424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F2082"/>
    <w:rsid w:val="36A74ADA"/>
    <w:rsid w:val="36AD60D5"/>
    <w:rsid w:val="36B224F9"/>
    <w:rsid w:val="36EC0CC9"/>
    <w:rsid w:val="373F410B"/>
    <w:rsid w:val="37EE7094"/>
    <w:rsid w:val="38296C89"/>
    <w:rsid w:val="383002EB"/>
    <w:rsid w:val="38470AB8"/>
    <w:rsid w:val="38586797"/>
    <w:rsid w:val="38B76E5C"/>
    <w:rsid w:val="38BC0149"/>
    <w:rsid w:val="38D87D1C"/>
    <w:rsid w:val="39636459"/>
    <w:rsid w:val="396B7F6C"/>
    <w:rsid w:val="39B417A9"/>
    <w:rsid w:val="39FC5695"/>
    <w:rsid w:val="3A006D8E"/>
    <w:rsid w:val="3A222D94"/>
    <w:rsid w:val="3A3651E5"/>
    <w:rsid w:val="3A744481"/>
    <w:rsid w:val="3A8C7BEF"/>
    <w:rsid w:val="3A906246"/>
    <w:rsid w:val="3B2349B7"/>
    <w:rsid w:val="3B616CFF"/>
    <w:rsid w:val="3B6259F6"/>
    <w:rsid w:val="3B976654"/>
    <w:rsid w:val="3BC01EFC"/>
    <w:rsid w:val="3BCA786A"/>
    <w:rsid w:val="3BD31E2F"/>
    <w:rsid w:val="3BF15831"/>
    <w:rsid w:val="3C105946"/>
    <w:rsid w:val="3C127D77"/>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C4E87"/>
    <w:rsid w:val="40592157"/>
    <w:rsid w:val="406E1CAE"/>
    <w:rsid w:val="40A0133A"/>
    <w:rsid w:val="40C31A53"/>
    <w:rsid w:val="40FF545D"/>
    <w:rsid w:val="410067C8"/>
    <w:rsid w:val="418F0D2A"/>
    <w:rsid w:val="41D01505"/>
    <w:rsid w:val="423A104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B5030"/>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A3053"/>
    <w:rsid w:val="48E36F51"/>
    <w:rsid w:val="48E37AAB"/>
    <w:rsid w:val="48FD4B4C"/>
    <w:rsid w:val="490A68E0"/>
    <w:rsid w:val="491055FE"/>
    <w:rsid w:val="49484490"/>
    <w:rsid w:val="495F5B3E"/>
    <w:rsid w:val="495F7845"/>
    <w:rsid w:val="496F77D7"/>
    <w:rsid w:val="497654FD"/>
    <w:rsid w:val="49B64211"/>
    <w:rsid w:val="49F6167F"/>
    <w:rsid w:val="4A064FA0"/>
    <w:rsid w:val="4A16615C"/>
    <w:rsid w:val="4A4424D7"/>
    <w:rsid w:val="4AB82D0F"/>
    <w:rsid w:val="4AEB7664"/>
    <w:rsid w:val="4AFD7C19"/>
    <w:rsid w:val="4B0567D1"/>
    <w:rsid w:val="4B1149CD"/>
    <w:rsid w:val="4B236AAE"/>
    <w:rsid w:val="4B707271"/>
    <w:rsid w:val="4B9739F7"/>
    <w:rsid w:val="4BEE2503"/>
    <w:rsid w:val="4C245A30"/>
    <w:rsid w:val="4CB6685F"/>
    <w:rsid w:val="4CC367FE"/>
    <w:rsid w:val="4D077F3C"/>
    <w:rsid w:val="4D123355"/>
    <w:rsid w:val="4D2A3B31"/>
    <w:rsid w:val="4D312C52"/>
    <w:rsid w:val="4D624D04"/>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55B4F"/>
    <w:rsid w:val="526F4DE4"/>
    <w:rsid w:val="52977FD4"/>
    <w:rsid w:val="52A25790"/>
    <w:rsid w:val="52A96B6F"/>
    <w:rsid w:val="52B45975"/>
    <w:rsid w:val="52D94AA4"/>
    <w:rsid w:val="52EA3A62"/>
    <w:rsid w:val="52F50BB8"/>
    <w:rsid w:val="53097272"/>
    <w:rsid w:val="531328F2"/>
    <w:rsid w:val="53544462"/>
    <w:rsid w:val="5397158E"/>
    <w:rsid w:val="54013861"/>
    <w:rsid w:val="54487265"/>
    <w:rsid w:val="544D6070"/>
    <w:rsid w:val="54605E1E"/>
    <w:rsid w:val="546D6C3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05BE4"/>
    <w:rsid w:val="57032A2C"/>
    <w:rsid w:val="570F5219"/>
    <w:rsid w:val="5737126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00A9E"/>
    <w:rsid w:val="58917D2F"/>
    <w:rsid w:val="5894085C"/>
    <w:rsid w:val="58AE4F0C"/>
    <w:rsid w:val="58B85899"/>
    <w:rsid w:val="58E363A9"/>
    <w:rsid w:val="59042C17"/>
    <w:rsid w:val="595E1678"/>
    <w:rsid w:val="596D5BD4"/>
    <w:rsid w:val="59797265"/>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92A3D"/>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00654"/>
    <w:rsid w:val="5E552BBA"/>
    <w:rsid w:val="5E611C10"/>
    <w:rsid w:val="5E7A0F3F"/>
    <w:rsid w:val="5EFC7377"/>
    <w:rsid w:val="5F06174D"/>
    <w:rsid w:val="5F3A3602"/>
    <w:rsid w:val="5F45733B"/>
    <w:rsid w:val="5F6277C6"/>
    <w:rsid w:val="5F667643"/>
    <w:rsid w:val="5F6D0B1D"/>
    <w:rsid w:val="5F8D0B82"/>
    <w:rsid w:val="5FCC5339"/>
    <w:rsid w:val="5FE34A5B"/>
    <w:rsid w:val="5FFE1E36"/>
    <w:rsid w:val="60232584"/>
    <w:rsid w:val="607330CE"/>
    <w:rsid w:val="60825176"/>
    <w:rsid w:val="609F2AC4"/>
    <w:rsid w:val="60DC1CC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51B46"/>
    <w:rsid w:val="653C3090"/>
    <w:rsid w:val="656031D9"/>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91EF9"/>
    <w:rsid w:val="687C10C9"/>
    <w:rsid w:val="68840C16"/>
    <w:rsid w:val="68876EFB"/>
    <w:rsid w:val="68884654"/>
    <w:rsid w:val="689F444F"/>
    <w:rsid w:val="68B96DBB"/>
    <w:rsid w:val="68C71ED6"/>
    <w:rsid w:val="68CA2805"/>
    <w:rsid w:val="68E937A3"/>
    <w:rsid w:val="693E15D3"/>
    <w:rsid w:val="69627681"/>
    <w:rsid w:val="6977531D"/>
    <w:rsid w:val="69CC2BFF"/>
    <w:rsid w:val="69FD55B8"/>
    <w:rsid w:val="6A0B1C62"/>
    <w:rsid w:val="6A2406C8"/>
    <w:rsid w:val="6A2F0CCB"/>
    <w:rsid w:val="6ADE0BD1"/>
    <w:rsid w:val="6AE96859"/>
    <w:rsid w:val="6B147746"/>
    <w:rsid w:val="6B24787C"/>
    <w:rsid w:val="6B573233"/>
    <w:rsid w:val="6B5B6274"/>
    <w:rsid w:val="6B935D53"/>
    <w:rsid w:val="6C196F71"/>
    <w:rsid w:val="6C226FCB"/>
    <w:rsid w:val="6C31226F"/>
    <w:rsid w:val="6C552F0B"/>
    <w:rsid w:val="6C8B1132"/>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C454E"/>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115EE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D6791"/>
    <w:rsid w:val="78775729"/>
    <w:rsid w:val="78890A5D"/>
    <w:rsid w:val="78A42DB0"/>
    <w:rsid w:val="78A656AB"/>
    <w:rsid w:val="78B2245C"/>
    <w:rsid w:val="78E172CC"/>
    <w:rsid w:val="78EA1D1F"/>
    <w:rsid w:val="7904172F"/>
    <w:rsid w:val="790C2EA0"/>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91154E"/>
    <w:rsid w:val="7CE27788"/>
    <w:rsid w:val="7D0C32F1"/>
    <w:rsid w:val="7D0F408D"/>
    <w:rsid w:val="7D491C6C"/>
    <w:rsid w:val="7D5429C0"/>
    <w:rsid w:val="7D6E6D43"/>
    <w:rsid w:val="7DB11B4C"/>
    <w:rsid w:val="7DB57A34"/>
    <w:rsid w:val="7DE60973"/>
    <w:rsid w:val="7DEF0916"/>
    <w:rsid w:val="7E1E5218"/>
    <w:rsid w:val="7E25003E"/>
    <w:rsid w:val="7E9A4E1F"/>
    <w:rsid w:val="7EA7723A"/>
    <w:rsid w:val="7EF56FBB"/>
    <w:rsid w:val="7F0768EB"/>
    <w:rsid w:val="7F143BEC"/>
    <w:rsid w:val="7F2150C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6"/>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5">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styleId="9">
    <w:name w:val="Normal Indent"/>
    <w:basedOn w:val="1"/>
    <w:next w:val="10"/>
    <w:link w:val="192"/>
    <w:qFormat/>
    <w:uiPriority w:val="0"/>
    <w:pPr>
      <w:widowControl/>
      <w:snapToGrid w:val="0"/>
      <w:spacing w:line="480" w:lineRule="exact"/>
      <w:ind w:firstLine="567"/>
    </w:pPr>
    <w:rPr>
      <w:rFonts w:ascii="宋体"/>
      <w:snapToGrid w:val="0"/>
      <w:color w:val="000000"/>
      <w:kern w:val="28"/>
      <w:sz w:val="28"/>
      <w:szCs w:val="20"/>
    </w:rPr>
  </w:style>
  <w:style w:type="paragraph" w:styleId="10">
    <w:name w:val="Body Text Indent"/>
    <w:basedOn w:val="1"/>
    <w:next w:val="11"/>
    <w:link w:val="264"/>
    <w:qFormat/>
    <w:uiPriority w:val="0"/>
    <w:pPr>
      <w:spacing w:line="480" w:lineRule="exact"/>
      <w:ind w:firstLine="480" w:firstLineChars="200"/>
    </w:pPr>
    <w:rPr>
      <w:rFonts w:ascii="宋体" w:hAnsi="宋体"/>
      <w:sz w:val="24"/>
    </w:rPr>
  </w:style>
  <w:style w:type="paragraph" w:styleId="11">
    <w:name w:val="Body Text First Indent 2"/>
    <w:basedOn w:val="10"/>
    <w:link w:val="120"/>
    <w:qFormat/>
    <w:uiPriority w:val="0"/>
    <w:pPr>
      <w:adjustRightInd/>
      <w:spacing w:after="120" w:line="240" w:lineRule="auto"/>
      <w:ind w:left="420" w:leftChars="200" w:firstLine="210"/>
    </w:pPr>
    <w:rPr>
      <w:sz w:val="21"/>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28"/>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1"/>
    <w:qFormat/>
    <w:uiPriority w:val="0"/>
    <w:pPr>
      <w:shd w:val="clear" w:color="auto" w:fill="000080"/>
    </w:pPr>
  </w:style>
  <w:style w:type="paragraph" w:styleId="25">
    <w:name w:val="annotation text"/>
    <w:basedOn w:val="1"/>
    <w:link w:val="343"/>
    <w:qFormat/>
    <w:uiPriority w:val="99"/>
    <w:pPr>
      <w:jc w:val="left"/>
    </w:pPr>
  </w:style>
  <w:style w:type="paragraph" w:styleId="26">
    <w:name w:val="Salutation"/>
    <w:basedOn w:val="1"/>
    <w:next w:val="1"/>
    <w:link w:val="297"/>
    <w:qFormat/>
    <w:uiPriority w:val="0"/>
    <w:rPr>
      <w:rFonts w:ascii="仿宋_GB2312" w:eastAsia="仿宋_GB2312"/>
      <w:sz w:val="28"/>
      <w:szCs w:val="20"/>
    </w:rPr>
  </w:style>
  <w:style w:type="paragraph" w:styleId="27">
    <w:name w:val="Body Text 3"/>
    <w:basedOn w:val="1"/>
    <w:link w:val="329"/>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9"/>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1"/>
    <w:qFormat/>
    <w:uiPriority w:val="0"/>
    <w:pPr>
      <w:spacing w:after="120" w:line="480" w:lineRule="auto"/>
    </w:pPr>
  </w:style>
  <w:style w:type="paragraph" w:styleId="60">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9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3"/>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11"/>
    <w:qFormat/>
    <w:uiPriority w:val="0"/>
    <w:rPr>
      <w:rFonts w:ascii="宋体" w:hAnsi="宋体"/>
      <w:kern w:val="2"/>
      <w:sz w:val="21"/>
      <w:szCs w:val="24"/>
    </w:rPr>
  </w:style>
  <w:style w:type="character" w:customStyle="1" w:styleId="121">
    <w:name w:val="font11"/>
    <w:basedOn w:val="7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4"/>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9"/>
    <w:qFormat/>
    <w:uiPriority w:val="0"/>
    <w:rPr>
      <w:rFonts w:ascii="宋体"/>
      <w:kern w:val="2"/>
      <w:sz w:val="24"/>
      <w:szCs w:val="21"/>
      <w:lang w:val="zh-CN"/>
    </w:rPr>
  </w:style>
  <w:style w:type="character" w:customStyle="1" w:styleId="181">
    <w:name w:val="标题 9 字符"/>
    <w:link w:val="17"/>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4"/>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2"/>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2"/>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10"/>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2"/>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3"/>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6"/>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60"/>
    <w:qFormat/>
    <w:uiPriority w:val="0"/>
    <w:rPr>
      <w:rFonts w:ascii="黑体" w:hAnsi="Courier New" w:eastAsia="黑体"/>
    </w:rPr>
  </w:style>
  <w:style w:type="character" w:customStyle="1" w:styleId="301">
    <w:name w:val="正文文本 2 字符1"/>
    <w:link w:val="59"/>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2"/>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5"/>
    <w:qFormat/>
    <w:uiPriority w:val="0"/>
    <w:rPr>
      <w:b/>
      <w:bCs/>
      <w:kern w:val="2"/>
      <w:sz w:val="24"/>
      <w:szCs w:val="24"/>
    </w:rPr>
  </w:style>
  <w:style w:type="character" w:customStyle="1" w:styleId="307">
    <w:name w:val="正文文本缩进 2 字符"/>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2"/>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7"/>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5"/>
    <w:qFormat/>
    <w:uiPriority w:val="0"/>
    <w:rPr>
      <w:kern w:val="2"/>
      <w:sz w:val="21"/>
      <w:szCs w:val="24"/>
    </w:rPr>
  </w:style>
  <w:style w:type="character" w:customStyle="1" w:styleId="344">
    <w:name w:val="签名 字符"/>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6"/>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6"/>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2"/>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7"/>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8"/>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3"/>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2"/>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9"/>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2"/>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8"/>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4"/>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3"/>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1"/>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1</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2022-10-08T08:00:16Z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